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6"/>
      </w:tblGrid>
      <w:tr w:rsidR="00F02AEC" w:rsidRPr="00215D48" w14:paraId="55E1DCBA" w14:textId="77777777" w:rsidTr="000007C0">
        <w:trPr>
          <w:trHeight w:val="1142"/>
        </w:trPr>
        <w:tc>
          <w:tcPr>
            <w:tcW w:w="8466" w:type="dxa"/>
          </w:tcPr>
          <w:p w14:paraId="798DF44B" w14:textId="042CF8D4" w:rsidR="00F02AEC" w:rsidRPr="00215D48" w:rsidRDefault="00457050" w:rsidP="002B29B2">
            <w:pPr>
              <w:pStyle w:val="Title"/>
            </w:pPr>
            <w:r>
              <w:t>Notice of final</w:t>
            </w:r>
            <w:r w:rsidR="00B63FDD">
              <w:t xml:space="preserve"> </w:t>
            </w:r>
            <w:r w:rsidR="00B63FDD" w:rsidRPr="00B63FDD">
              <w:t>decisions to amend (or not amend) the current Poisons Standard</w:t>
            </w:r>
          </w:p>
        </w:tc>
      </w:tr>
      <w:tr w:rsidR="00F02AEC" w:rsidRPr="00215D48" w14:paraId="5819680E" w14:textId="77777777" w:rsidTr="000007C0">
        <w:trPr>
          <w:trHeight w:val="915"/>
        </w:trPr>
        <w:tc>
          <w:tcPr>
            <w:tcW w:w="8466" w:type="dxa"/>
          </w:tcPr>
          <w:p w14:paraId="54DDB299" w14:textId="448575F1" w:rsidR="00F02AEC" w:rsidRPr="00215D48" w:rsidRDefault="00D452E1" w:rsidP="00D1612F">
            <w:pPr>
              <w:pStyle w:val="Subtitle"/>
              <w:ind w:left="0"/>
            </w:pPr>
            <w:r w:rsidRPr="00D452E1">
              <w:t>19</w:t>
            </w:r>
            <w:r w:rsidR="00771812" w:rsidRPr="00D452E1">
              <w:t xml:space="preserve"> </w:t>
            </w:r>
            <w:r w:rsidR="00B63FDD">
              <w:t>January</w:t>
            </w:r>
            <w:r w:rsidR="00437DCC">
              <w:t xml:space="preserve"> </w:t>
            </w:r>
            <w:r w:rsidR="00FB6920">
              <w:t>202</w:t>
            </w:r>
            <w:r w:rsidR="00FB6E0B">
              <w:t>6</w:t>
            </w:r>
          </w:p>
        </w:tc>
      </w:tr>
    </w:tbl>
    <w:p w14:paraId="5F09A95D" w14:textId="77777777" w:rsidR="00F02AEC" w:rsidRPr="00215D48" w:rsidRDefault="00F02AEC" w:rsidP="0084624F">
      <w:pPr>
        <w:pStyle w:val="ListBullet"/>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10B332C0" w14:textId="77777777" w:rsidR="00F02AEC" w:rsidRPr="00DF29BA" w:rsidRDefault="00F02AEC" w:rsidP="00DE78C9">
      <w:pPr>
        <w:rPr>
          <w:b/>
          <w:bCs/>
          <w:sz w:val="16"/>
          <w:szCs w:val="16"/>
        </w:rPr>
      </w:pPr>
      <w:r w:rsidRPr="00DF29BA">
        <w:rPr>
          <w:b/>
          <w:bCs/>
          <w:sz w:val="16"/>
          <w:szCs w:val="16"/>
        </w:rPr>
        <w:lastRenderedPageBreak/>
        <w:t>Copyright</w:t>
      </w:r>
    </w:p>
    <w:p w14:paraId="5671087C" w14:textId="17B4757B" w:rsidR="00175CD8" w:rsidRPr="00D911C8" w:rsidRDefault="00F02AEC" w:rsidP="00DE78C9">
      <w:pPr>
        <w:rPr>
          <w:sz w:val="16"/>
          <w:szCs w:val="16"/>
        </w:rPr>
      </w:pPr>
      <w:r w:rsidRPr="00D911C8">
        <w:rPr>
          <w:sz w:val="16"/>
          <w:szCs w:val="16"/>
        </w:rPr>
        <w:t>© Commonwealth of Australia 20</w:t>
      </w:r>
      <w:r w:rsidRPr="000D677D">
        <w:rPr>
          <w:sz w:val="16"/>
          <w:szCs w:val="16"/>
        </w:rPr>
        <w:t>2</w:t>
      </w:r>
      <w:r w:rsidR="00B63FDD" w:rsidRPr="000D677D">
        <w:rPr>
          <w:sz w:val="16"/>
          <w:szCs w:val="16"/>
        </w:rPr>
        <w:t>6</w:t>
      </w:r>
      <w:r w:rsidRPr="00D911C8">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911C8">
        <w:rPr>
          <w:i/>
          <w:sz w:val="16"/>
          <w:szCs w:val="16"/>
        </w:rPr>
        <w:t>Copyright Act 1968</w:t>
      </w:r>
      <w:r w:rsidRPr="00D911C8">
        <w:rPr>
          <w:sz w:val="16"/>
          <w:szCs w:val="16"/>
        </w:rPr>
        <w:t xml:space="preserve"> or allowed by this copyright notice, all other rights are </w:t>
      </w:r>
      <w:proofErr w:type="gramStart"/>
      <w:r w:rsidRPr="00D911C8">
        <w:rPr>
          <w:sz w:val="16"/>
          <w:szCs w:val="16"/>
        </w:rPr>
        <w:t>reserved</w:t>
      </w:r>
      <w:proofErr w:type="gramEnd"/>
      <w:r w:rsidRPr="00D911C8">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4" w:history="1">
        <w:r w:rsidRPr="00D911C8">
          <w:rPr>
            <w:rStyle w:val="Hyperlink"/>
            <w:rFonts w:cs="Arial"/>
            <w:sz w:val="16"/>
            <w:szCs w:val="16"/>
          </w:rPr>
          <w:t>tga.copyright@tga.gov.au</w:t>
        </w:r>
      </w:hyperlink>
      <w:r w:rsidRPr="00D911C8">
        <w:rPr>
          <w:sz w:val="16"/>
          <w:szCs w:val="16"/>
        </w:rPr>
        <w:t>.</w:t>
      </w:r>
    </w:p>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1A5880">
          <w:pPr>
            <w:pStyle w:val="NonTOCheading2"/>
            <w:outlineLvl w:val="9"/>
          </w:pPr>
          <w:r w:rsidRPr="00215D48">
            <w:t>Contents</w:t>
          </w:r>
        </w:p>
        <w:p w14:paraId="23C0D22A" w14:textId="6470C803" w:rsidR="000D677D"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9385672" w:history="1">
            <w:r w:rsidR="000D677D" w:rsidRPr="00D320F5">
              <w:rPr>
                <w:rStyle w:val="Hyperlink"/>
                <w:noProof/>
              </w:rPr>
              <w:t>Notice of final decision to amend (or not amend) the current Poisons Standard</w:t>
            </w:r>
            <w:r w:rsidR="000D677D">
              <w:rPr>
                <w:noProof/>
                <w:webHidden/>
              </w:rPr>
              <w:tab/>
            </w:r>
            <w:r w:rsidR="000D677D">
              <w:rPr>
                <w:noProof/>
                <w:webHidden/>
              </w:rPr>
              <w:fldChar w:fldCharType="begin"/>
            </w:r>
            <w:r w:rsidR="000D677D">
              <w:rPr>
                <w:noProof/>
                <w:webHidden/>
              </w:rPr>
              <w:instrText xml:space="preserve"> PAGEREF _Toc219385672 \h </w:instrText>
            </w:r>
            <w:r w:rsidR="000D677D">
              <w:rPr>
                <w:noProof/>
                <w:webHidden/>
              </w:rPr>
            </w:r>
            <w:r w:rsidR="000D677D">
              <w:rPr>
                <w:noProof/>
                <w:webHidden/>
              </w:rPr>
              <w:fldChar w:fldCharType="separate"/>
            </w:r>
            <w:r w:rsidR="000D677D">
              <w:rPr>
                <w:noProof/>
                <w:webHidden/>
              </w:rPr>
              <w:t>4</w:t>
            </w:r>
            <w:r w:rsidR="000D677D">
              <w:rPr>
                <w:noProof/>
                <w:webHidden/>
              </w:rPr>
              <w:fldChar w:fldCharType="end"/>
            </w:r>
          </w:hyperlink>
        </w:p>
        <w:p w14:paraId="374B51CD" w14:textId="41037A50" w:rsidR="000D677D" w:rsidRDefault="000D677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385673" w:history="1">
            <w:r w:rsidRPr="00D320F5">
              <w:rPr>
                <w:rStyle w:val="Hyperlink"/>
                <w:noProof/>
              </w:rPr>
              <w:t>Final decision on a proposed amendment referred to the Advisory Committee on Chemicals Scheduling (ACCS #38, March 2024)</w:t>
            </w:r>
            <w:r>
              <w:rPr>
                <w:noProof/>
                <w:webHidden/>
              </w:rPr>
              <w:tab/>
            </w:r>
            <w:r>
              <w:rPr>
                <w:noProof/>
                <w:webHidden/>
              </w:rPr>
              <w:fldChar w:fldCharType="begin"/>
            </w:r>
            <w:r>
              <w:rPr>
                <w:noProof/>
                <w:webHidden/>
              </w:rPr>
              <w:instrText xml:space="preserve"> PAGEREF _Toc219385673 \h </w:instrText>
            </w:r>
            <w:r>
              <w:rPr>
                <w:noProof/>
                <w:webHidden/>
              </w:rPr>
            </w:r>
            <w:r>
              <w:rPr>
                <w:noProof/>
                <w:webHidden/>
              </w:rPr>
              <w:fldChar w:fldCharType="separate"/>
            </w:r>
            <w:r>
              <w:rPr>
                <w:noProof/>
                <w:webHidden/>
              </w:rPr>
              <w:t>5</w:t>
            </w:r>
            <w:r>
              <w:rPr>
                <w:noProof/>
                <w:webHidden/>
              </w:rPr>
              <w:fldChar w:fldCharType="end"/>
            </w:r>
          </w:hyperlink>
        </w:p>
        <w:p w14:paraId="5F8DF652" w14:textId="46A90D5F"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74" w:history="1">
            <w:r w:rsidRPr="00D320F5">
              <w:rPr>
                <w:rStyle w:val="Hyperlink"/>
                <w:noProof/>
              </w:rPr>
              <w:t>Final decision in relation to ethyl lactyl retinoate</w:t>
            </w:r>
            <w:r>
              <w:rPr>
                <w:noProof/>
                <w:webHidden/>
              </w:rPr>
              <w:tab/>
            </w:r>
            <w:r>
              <w:rPr>
                <w:noProof/>
                <w:webHidden/>
              </w:rPr>
              <w:fldChar w:fldCharType="begin"/>
            </w:r>
            <w:r>
              <w:rPr>
                <w:noProof/>
                <w:webHidden/>
              </w:rPr>
              <w:instrText xml:space="preserve"> PAGEREF _Toc219385674 \h </w:instrText>
            </w:r>
            <w:r>
              <w:rPr>
                <w:noProof/>
                <w:webHidden/>
              </w:rPr>
            </w:r>
            <w:r>
              <w:rPr>
                <w:noProof/>
                <w:webHidden/>
              </w:rPr>
              <w:fldChar w:fldCharType="separate"/>
            </w:r>
            <w:r>
              <w:rPr>
                <w:noProof/>
                <w:webHidden/>
              </w:rPr>
              <w:t>5</w:t>
            </w:r>
            <w:r>
              <w:rPr>
                <w:noProof/>
                <w:webHidden/>
              </w:rPr>
              <w:fldChar w:fldCharType="end"/>
            </w:r>
          </w:hyperlink>
        </w:p>
        <w:p w14:paraId="642F8140" w14:textId="786C4021" w:rsidR="000D677D" w:rsidRDefault="000D677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385675" w:history="1">
            <w:r w:rsidRPr="00D320F5">
              <w:rPr>
                <w:rStyle w:val="Hyperlink"/>
                <w:noProof/>
              </w:rPr>
              <w:t>Final decision on a proposed amendment referred to the Advisory Committee on Medicines and Chemicals Scheduling in joint session (Joint ACMS-ACCS #37, June 2024)</w:t>
            </w:r>
            <w:r>
              <w:rPr>
                <w:noProof/>
                <w:webHidden/>
              </w:rPr>
              <w:tab/>
            </w:r>
            <w:r>
              <w:rPr>
                <w:noProof/>
                <w:webHidden/>
              </w:rPr>
              <w:fldChar w:fldCharType="begin"/>
            </w:r>
            <w:r>
              <w:rPr>
                <w:noProof/>
                <w:webHidden/>
              </w:rPr>
              <w:instrText xml:space="preserve"> PAGEREF _Toc219385675 \h </w:instrText>
            </w:r>
            <w:r>
              <w:rPr>
                <w:noProof/>
                <w:webHidden/>
              </w:rPr>
            </w:r>
            <w:r>
              <w:rPr>
                <w:noProof/>
                <w:webHidden/>
              </w:rPr>
              <w:fldChar w:fldCharType="separate"/>
            </w:r>
            <w:r>
              <w:rPr>
                <w:noProof/>
                <w:webHidden/>
              </w:rPr>
              <w:t>9</w:t>
            </w:r>
            <w:r>
              <w:rPr>
                <w:noProof/>
                <w:webHidden/>
              </w:rPr>
              <w:fldChar w:fldCharType="end"/>
            </w:r>
          </w:hyperlink>
        </w:p>
        <w:p w14:paraId="0D7E6FCF" w14:textId="4F341C9E"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76" w:history="1">
            <w:r w:rsidRPr="00D320F5">
              <w:rPr>
                <w:rStyle w:val="Hyperlink"/>
                <w:noProof/>
              </w:rPr>
              <w:t>Final decision in relation to intravenous potassium salts</w:t>
            </w:r>
            <w:r>
              <w:rPr>
                <w:noProof/>
                <w:webHidden/>
              </w:rPr>
              <w:tab/>
            </w:r>
            <w:r>
              <w:rPr>
                <w:noProof/>
                <w:webHidden/>
              </w:rPr>
              <w:fldChar w:fldCharType="begin"/>
            </w:r>
            <w:r>
              <w:rPr>
                <w:noProof/>
                <w:webHidden/>
              </w:rPr>
              <w:instrText xml:space="preserve"> PAGEREF _Toc219385676 \h </w:instrText>
            </w:r>
            <w:r>
              <w:rPr>
                <w:noProof/>
                <w:webHidden/>
              </w:rPr>
            </w:r>
            <w:r>
              <w:rPr>
                <w:noProof/>
                <w:webHidden/>
              </w:rPr>
              <w:fldChar w:fldCharType="separate"/>
            </w:r>
            <w:r>
              <w:rPr>
                <w:noProof/>
                <w:webHidden/>
              </w:rPr>
              <w:t>9</w:t>
            </w:r>
            <w:r>
              <w:rPr>
                <w:noProof/>
                <w:webHidden/>
              </w:rPr>
              <w:fldChar w:fldCharType="end"/>
            </w:r>
          </w:hyperlink>
        </w:p>
        <w:p w14:paraId="46941FD5" w14:textId="7250E1EE" w:rsidR="000D677D" w:rsidRDefault="000D677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385677" w:history="1">
            <w:r w:rsidRPr="00D320F5">
              <w:rPr>
                <w:rStyle w:val="Hyperlink"/>
                <w:noProof/>
              </w:rPr>
              <w:t>Final decision on a proposed amendment to the current Poisons Standard under regulation 42ZCZU</w:t>
            </w:r>
            <w:r>
              <w:rPr>
                <w:noProof/>
                <w:webHidden/>
              </w:rPr>
              <w:tab/>
            </w:r>
            <w:r>
              <w:rPr>
                <w:noProof/>
                <w:webHidden/>
              </w:rPr>
              <w:fldChar w:fldCharType="begin"/>
            </w:r>
            <w:r>
              <w:rPr>
                <w:noProof/>
                <w:webHidden/>
              </w:rPr>
              <w:instrText xml:space="preserve"> PAGEREF _Toc219385677 \h </w:instrText>
            </w:r>
            <w:r>
              <w:rPr>
                <w:noProof/>
                <w:webHidden/>
              </w:rPr>
            </w:r>
            <w:r>
              <w:rPr>
                <w:noProof/>
                <w:webHidden/>
              </w:rPr>
              <w:fldChar w:fldCharType="separate"/>
            </w:r>
            <w:r>
              <w:rPr>
                <w:noProof/>
                <w:webHidden/>
              </w:rPr>
              <w:t>11</w:t>
            </w:r>
            <w:r>
              <w:rPr>
                <w:noProof/>
                <w:webHidden/>
              </w:rPr>
              <w:fldChar w:fldCharType="end"/>
            </w:r>
          </w:hyperlink>
        </w:p>
        <w:p w14:paraId="3B95FABB" w14:textId="09A28E0C"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78" w:history="1">
            <w:r w:rsidRPr="00D320F5">
              <w:rPr>
                <w:rStyle w:val="Hyperlink"/>
                <w:rFonts w:cs="Arial"/>
                <w:noProof/>
              </w:rPr>
              <w:t>Final decision in relation to fenmezoditiaz</w:t>
            </w:r>
            <w:r>
              <w:rPr>
                <w:noProof/>
                <w:webHidden/>
              </w:rPr>
              <w:tab/>
            </w:r>
            <w:r>
              <w:rPr>
                <w:noProof/>
                <w:webHidden/>
              </w:rPr>
              <w:fldChar w:fldCharType="begin"/>
            </w:r>
            <w:r>
              <w:rPr>
                <w:noProof/>
                <w:webHidden/>
              </w:rPr>
              <w:instrText xml:space="preserve"> PAGEREF _Toc219385678 \h </w:instrText>
            </w:r>
            <w:r>
              <w:rPr>
                <w:noProof/>
                <w:webHidden/>
              </w:rPr>
            </w:r>
            <w:r>
              <w:rPr>
                <w:noProof/>
                <w:webHidden/>
              </w:rPr>
              <w:fldChar w:fldCharType="separate"/>
            </w:r>
            <w:r>
              <w:rPr>
                <w:noProof/>
                <w:webHidden/>
              </w:rPr>
              <w:t>11</w:t>
            </w:r>
            <w:r>
              <w:rPr>
                <w:noProof/>
                <w:webHidden/>
              </w:rPr>
              <w:fldChar w:fldCharType="end"/>
            </w:r>
          </w:hyperlink>
        </w:p>
        <w:p w14:paraId="03C0B54C" w14:textId="1A2776E9" w:rsidR="000D677D" w:rsidRDefault="000D677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9385679" w:history="1">
            <w:r w:rsidRPr="00D320F5">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_Toc219385679 \h </w:instrText>
            </w:r>
            <w:r>
              <w:rPr>
                <w:noProof/>
                <w:webHidden/>
              </w:rPr>
            </w:r>
            <w:r>
              <w:rPr>
                <w:noProof/>
                <w:webHidden/>
              </w:rPr>
              <w:fldChar w:fldCharType="separate"/>
            </w:r>
            <w:r>
              <w:rPr>
                <w:noProof/>
                <w:webHidden/>
              </w:rPr>
              <w:t>14</w:t>
            </w:r>
            <w:r>
              <w:rPr>
                <w:noProof/>
                <w:webHidden/>
              </w:rPr>
              <w:fldChar w:fldCharType="end"/>
            </w:r>
          </w:hyperlink>
        </w:p>
        <w:p w14:paraId="12F7E487" w14:textId="43EE0BC9"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80" w:history="1">
            <w:r w:rsidRPr="00D320F5">
              <w:rPr>
                <w:rStyle w:val="Hyperlink"/>
                <w:noProof/>
              </w:rPr>
              <w:t>BELANTAMAB MAFODOTIN</w:t>
            </w:r>
            <w:r>
              <w:rPr>
                <w:noProof/>
                <w:webHidden/>
              </w:rPr>
              <w:tab/>
            </w:r>
            <w:r>
              <w:rPr>
                <w:noProof/>
                <w:webHidden/>
              </w:rPr>
              <w:fldChar w:fldCharType="begin"/>
            </w:r>
            <w:r>
              <w:rPr>
                <w:noProof/>
                <w:webHidden/>
              </w:rPr>
              <w:instrText xml:space="preserve"> PAGEREF _Toc219385680 \h </w:instrText>
            </w:r>
            <w:r>
              <w:rPr>
                <w:noProof/>
                <w:webHidden/>
              </w:rPr>
            </w:r>
            <w:r>
              <w:rPr>
                <w:noProof/>
                <w:webHidden/>
              </w:rPr>
              <w:fldChar w:fldCharType="separate"/>
            </w:r>
            <w:r>
              <w:rPr>
                <w:noProof/>
                <w:webHidden/>
              </w:rPr>
              <w:t>14</w:t>
            </w:r>
            <w:r>
              <w:rPr>
                <w:noProof/>
                <w:webHidden/>
              </w:rPr>
              <w:fldChar w:fldCharType="end"/>
            </w:r>
          </w:hyperlink>
        </w:p>
        <w:p w14:paraId="4B06C032" w14:textId="2240D460"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81" w:history="1">
            <w:r w:rsidRPr="00D320F5">
              <w:rPr>
                <w:rStyle w:val="Hyperlink"/>
                <w:noProof/>
              </w:rPr>
              <w:t>IMLUNESTRANT</w:t>
            </w:r>
            <w:r>
              <w:rPr>
                <w:noProof/>
                <w:webHidden/>
              </w:rPr>
              <w:tab/>
            </w:r>
            <w:r>
              <w:rPr>
                <w:noProof/>
                <w:webHidden/>
              </w:rPr>
              <w:fldChar w:fldCharType="begin"/>
            </w:r>
            <w:r>
              <w:rPr>
                <w:noProof/>
                <w:webHidden/>
              </w:rPr>
              <w:instrText xml:space="preserve"> PAGEREF _Toc219385681 \h </w:instrText>
            </w:r>
            <w:r>
              <w:rPr>
                <w:noProof/>
                <w:webHidden/>
              </w:rPr>
            </w:r>
            <w:r>
              <w:rPr>
                <w:noProof/>
                <w:webHidden/>
              </w:rPr>
              <w:fldChar w:fldCharType="separate"/>
            </w:r>
            <w:r>
              <w:rPr>
                <w:noProof/>
                <w:webHidden/>
              </w:rPr>
              <w:t>14</w:t>
            </w:r>
            <w:r>
              <w:rPr>
                <w:noProof/>
                <w:webHidden/>
              </w:rPr>
              <w:fldChar w:fldCharType="end"/>
            </w:r>
          </w:hyperlink>
        </w:p>
        <w:p w14:paraId="5D081DFF" w14:textId="6729BA28"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82" w:history="1">
            <w:r w:rsidRPr="00D320F5">
              <w:rPr>
                <w:rStyle w:val="Hyperlink"/>
                <w:noProof/>
              </w:rPr>
              <w:t>LONCASTUXIMAB TESIRINE</w:t>
            </w:r>
            <w:r>
              <w:rPr>
                <w:noProof/>
                <w:webHidden/>
              </w:rPr>
              <w:tab/>
            </w:r>
            <w:r>
              <w:rPr>
                <w:noProof/>
                <w:webHidden/>
              </w:rPr>
              <w:fldChar w:fldCharType="begin"/>
            </w:r>
            <w:r>
              <w:rPr>
                <w:noProof/>
                <w:webHidden/>
              </w:rPr>
              <w:instrText xml:space="preserve"> PAGEREF _Toc219385682 \h </w:instrText>
            </w:r>
            <w:r>
              <w:rPr>
                <w:noProof/>
                <w:webHidden/>
              </w:rPr>
            </w:r>
            <w:r>
              <w:rPr>
                <w:noProof/>
                <w:webHidden/>
              </w:rPr>
              <w:fldChar w:fldCharType="separate"/>
            </w:r>
            <w:r>
              <w:rPr>
                <w:noProof/>
                <w:webHidden/>
              </w:rPr>
              <w:t>14</w:t>
            </w:r>
            <w:r>
              <w:rPr>
                <w:noProof/>
                <w:webHidden/>
              </w:rPr>
              <w:fldChar w:fldCharType="end"/>
            </w:r>
          </w:hyperlink>
        </w:p>
        <w:p w14:paraId="1B73A5B1" w14:textId="55E11917"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83" w:history="1">
            <w:r w:rsidRPr="00D320F5">
              <w:rPr>
                <w:rStyle w:val="Hyperlink"/>
                <w:noProof/>
              </w:rPr>
              <w:t>MIRVETUXIMAB SORAVTANSINE</w:t>
            </w:r>
            <w:r>
              <w:rPr>
                <w:noProof/>
                <w:webHidden/>
              </w:rPr>
              <w:tab/>
            </w:r>
            <w:r>
              <w:rPr>
                <w:noProof/>
                <w:webHidden/>
              </w:rPr>
              <w:fldChar w:fldCharType="begin"/>
            </w:r>
            <w:r>
              <w:rPr>
                <w:noProof/>
                <w:webHidden/>
              </w:rPr>
              <w:instrText xml:space="preserve"> PAGEREF _Toc219385683 \h </w:instrText>
            </w:r>
            <w:r>
              <w:rPr>
                <w:noProof/>
                <w:webHidden/>
              </w:rPr>
            </w:r>
            <w:r>
              <w:rPr>
                <w:noProof/>
                <w:webHidden/>
              </w:rPr>
              <w:fldChar w:fldCharType="separate"/>
            </w:r>
            <w:r>
              <w:rPr>
                <w:noProof/>
                <w:webHidden/>
              </w:rPr>
              <w:t>14</w:t>
            </w:r>
            <w:r>
              <w:rPr>
                <w:noProof/>
                <w:webHidden/>
              </w:rPr>
              <w:fldChar w:fldCharType="end"/>
            </w:r>
          </w:hyperlink>
        </w:p>
        <w:p w14:paraId="3EA839EA" w14:textId="20C6FDD6"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84" w:history="1">
            <w:r w:rsidRPr="00D320F5">
              <w:rPr>
                <w:rStyle w:val="Hyperlink"/>
                <w:noProof/>
              </w:rPr>
              <w:t>SODIUM THIOSULFATE ANHYDROUS</w:t>
            </w:r>
            <w:r>
              <w:rPr>
                <w:noProof/>
                <w:webHidden/>
              </w:rPr>
              <w:tab/>
            </w:r>
            <w:r>
              <w:rPr>
                <w:noProof/>
                <w:webHidden/>
              </w:rPr>
              <w:fldChar w:fldCharType="begin"/>
            </w:r>
            <w:r>
              <w:rPr>
                <w:noProof/>
                <w:webHidden/>
              </w:rPr>
              <w:instrText xml:space="preserve"> PAGEREF _Toc219385684 \h </w:instrText>
            </w:r>
            <w:r>
              <w:rPr>
                <w:noProof/>
                <w:webHidden/>
              </w:rPr>
            </w:r>
            <w:r>
              <w:rPr>
                <w:noProof/>
                <w:webHidden/>
              </w:rPr>
              <w:fldChar w:fldCharType="separate"/>
            </w:r>
            <w:r>
              <w:rPr>
                <w:noProof/>
                <w:webHidden/>
              </w:rPr>
              <w:t>14</w:t>
            </w:r>
            <w:r>
              <w:rPr>
                <w:noProof/>
                <w:webHidden/>
              </w:rPr>
              <w:fldChar w:fldCharType="end"/>
            </w:r>
          </w:hyperlink>
        </w:p>
        <w:p w14:paraId="56C28BD7" w14:textId="0AA4891A" w:rsidR="000D677D" w:rsidRDefault="000D677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9385685" w:history="1">
            <w:r w:rsidRPr="00D320F5">
              <w:rPr>
                <w:rStyle w:val="Hyperlink"/>
                <w:noProof/>
              </w:rPr>
              <w:t>TOFERSEN</w:t>
            </w:r>
            <w:r>
              <w:rPr>
                <w:noProof/>
                <w:webHidden/>
              </w:rPr>
              <w:tab/>
            </w:r>
            <w:r>
              <w:rPr>
                <w:noProof/>
                <w:webHidden/>
              </w:rPr>
              <w:fldChar w:fldCharType="begin"/>
            </w:r>
            <w:r>
              <w:rPr>
                <w:noProof/>
                <w:webHidden/>
              </w:rPr>
              <w:instrText xml:space="preserve"> PAGEREF _Toc219385685 \h </w:instrText>
            </w:r>
            <w:r>
              <w:rPr>
                <w:noProof/>
                <w:webHidden/>
              </w:rPr>
            </w:r>
            <w:r>
              <w:rPr>
                <w:noProof/>
                <w:webHidden/>
              </w:rPr>
              <w:fldChar w:fldCharType="separate"/>
            </w:r>
            <w:r>
              <w:rPr>
                <w:noProof/>
                <w:webHidden/>
              </w:rPr>
              <w:t>15</w:t>
            </w:r>
            <w:r>
              <w:rPr>
                <w:noProof/>
                <w:webHidden/>
              </w:rPr>
              <w:fldChar w:fldCharType="end"/>
            </w:r>
          </w:hyperlink>
        </w:p>
        <w:p w14:paraId="09B05728" w14:textId="007B9C0A" w:rsidR="00F02AEC" w:rsidRPr="00215D48" w:rsidRDefault="00F02AEC" w:rsidP="001A5880">
          <w:r w:rsidRPr="00215D48">
            <w:fldChar w:fldCharType="end"/>
          </w:r>
        </w:p>
      </w:sdtContent>
    </w:sdt>
    <w:p w14:paraId="76C62CE9" w14:textId="1B5C39D7" w:rsidR="00F02AEC" w:rsidRPr="00215D48" w:rsidRDefault="000007C0" w:rsidP="00967490">
      <w:r>
        <w:br w:type="page"/>
      </w:r>
    </w:p>
    <w:p w14:paraId="3A06BE1E" w14:textId="6E2B7463" w:rsidR="00457050" w:rsidRPr="000007C0" w:rsidRDefault="000007C0" w:rsidP="000007C0">
      <w:pPr>
        <w:pStyle w:val="Heading2"/>
      </w:pPr>
      <w:bookmarkStart w:id="0" w:name="_Toc219385672"/>
      <w:r w:rsidRPr="000007C0">
        <w:lastRenderedPageBreak/>
        <w:t>Notice of final decision to amend (or not amend) the current Poisons Standard</w:t>
      </w:r>
      <w:bookmarkEnd w:id="0"/>
    </w:p>
    <w:p w14:paraId="2FB850E1" w14:textId="72B4EC15" w:rsidR="00457050" w:rsidRPr="00D318D9" w:rsidRDefault="00457050" w:rsidP="00967490">
      <w:r w:rsidRPr="00D318D9">
        <w:t>This web publication constitutes a notice for the purposes of regulation</w:t>
      </w:r>
      <w:r w:rsidR="000D677D">
        <w:t xml:space="preserve"> </w:t>
      </w:r>
      <w:r w:rsidR="000D677D" w:rsidRPr="000D677D">
        <w:t>42ZCZS and</w:t>
      </w:r>
      <w:r w:rsidRPr="00D318D9">
        <w:t xml:space="preserve"> </w:t>
      </w:r>
      <w:r w:rsidR="000D677D">
        <w:t xml:space="preserve">regulation </w:t>
      </w:r>
      <w:r w:rsidRPr="00D318D9">
        <w:t>42ZCZ</w:t>
      </w:r>
      <w:r w:rsidR="00FB6920">
        <w:t>X</w:t>
      </w:r>
      <w:r w:rsidRPr="00D318D9">
        <w:t xml:space="preserve"> of the </w:t>
      </w:r>
      <w:r w:rsidRPr="00D318D9">
        <w:rPr>
          <w:i/>
        </w:rPr>
        <w:t xml:space="preserve">Therapeutic Goods Regulations 1990 </w:t>
      </w:r>
      <w:r w:rsidRPr="00D318D9">
        <w:t xml:space="preserve">(the </w:t>
      </w:r>
      <w:r w:rsidRPr="00D318D9">
        <w:rPr>
          <w:b/>
        </w:rPr>
        <w:t>Regulations</w:t>
      </w:r>
      <w:r w:rsidRPr="00D318D9">
        <w:t>). In accordance with regulation</w:t>
      </w:r>
      <w:r w:rsidR="000D677D">
        <w:t xml:space="preserve">s </w:t>
      </w:r>
      <w:r w:rsidR="000D677D" w:rsidRPr="000D677D">
        <w:t xml:space="preserve">42ZCZS </w:t>
      </w:r>
      <w:r w:rsidR="000D677D">
        <w:t>and</w:t>
      </w:r>
      <w:r w:rsidR="00D1655D" w:rsidRPr="00D318D9">
        <w:t xml:space="preserve"> </w:t>
      </w:r>
      <w:r w:rsidRPr="00D318D9">
        <w:t>42ZCZ</w:t>
      </w:r>
      <w:r w:rsidR="00FB6920">
        <w:t>X</w:t>
      </w:r>
      <w:r w:rsidRPr="00D318D9">
        <w:t xml:space="preserve">, this notice </w:t>
      </w:r>
      <w:r w:rsidR="00B1089E">
        <w:t>comprises</w:t>
      </w:r>
      <w:r w:rsidRPr="00D318D9">
        <w:t>:</w:t>
      </w:r>
    </w:p>
    <w:p w14:paraId="4D038242" w14:textId="5D38E402" w:rsidR="00457050" w:rsidRPr="002B6996" w:rsidRDefault="00457050" w:rsidP="0084624F">
      <w:pPr>
        <w:pStyle w:val="ListBullet"/>
        <w:numPr>
          <w:ilvl w:val="0"/>
          <w:numId w:val="16"/>
        </w:numPr>
        <w:rPr>
          <w:b/>
          <w:bCs/>
          <w:i/>
          <w:iCs/>
        </w:rPr>
      </w:pPr>
      <w:r w:rsidRPr="002B6996">
        <w:t xml:space="preserve">the </w:t>
      </w:r>
      <w:r w:rsidR="003D7715">
        <w:t xml:space="preserve">final </w:t>
      </w:r>
      <w:r w:rsidRPr="002B6996">
        <w:t>decision</w:t>
      </w:r>
      <w:r w:rsidR="00CE434F">
        <w:t>s</w:t>
      </w:r>
      <w:r w:rsidRPr="002B6996">
        <w:t xml:space="preserve"> made by a delegate</w:t>
      </w:r>
      <w:r w:rsidRPr="002B6996">
        <w:rPr>
          <w:rStyle w:val="FootnoteReference"/>
        </w:rPr>
        <w:footnoteReference w:id="1"/>
      </w:r>
      <w:r w:rsidRPr="002B6996">
        <w:t xml:space="preserve"> of the Secretary of the Department of Health and Aged Care (the </w:t>
      </w:r>
      <w:r w:rsidRPr="00DD1DD8">
        <w:rPr>
          <w:b/>
          <w:bCs/>
        </w:rPr>
        <w:t>Delegate</w:t>
      </w:r>
      <w:r w:rsidRPr="002B6996">
        <w:t>) pursuant to regulation</w:t>
      </w:r>
      <w:r w:rsidR="000D677D">
        <w:t xml:space="preserve"> 42ZCZR</w:t>
      </w:r>
      <w:r w:rsidR="00DD1DD8">
        <w:t xml:space="preserve"> and</w:t>
      </w:r>
      <w:r w:rsidR="000D677D">
        <w:t xml:space="preserve"> 42ZCZU</w:t>
      </w:r>
    </w:p>
    <w:p w14:paraId="1AA8F280" w14:textId="5899A525" w:rsidR="00457050" w:rsidRPr="002B6996" w:rsidRDefault="00457050" w:rsidP="0084624F">
      <w:pPr>
        <w:pStyle w:val="ListBullet"/>
        <w:numPr>
          <w:ilvl w:val="0"/>
          <w:numId w:val="16"/>
        </w:numPr>
        <w:rPr>
          <w:b/>
          <w:bCs/>
          <w:i/>
          <w:iCs/>
        </w:rPr>
      </w:pPr>
      <w:r w:rsidRPr="002B6996">
        <w:t xml:space="preserve">the reasons for </w:t>
      </w:r>
      <w:r w:rsidR="00C14A17">
        <w:t>the</w:t>
      </w:r>
      <w:r w:rsidR="00C14A17" w:rsidRPr="002B6996">
        <w:t xml:space="preserve"> </w:t>
      </w:r>
      <w:r w:rsidRPr="002B6996">
        <w:t>final decision</w:t>
      </w:r>
      <w:r w:rsidR="00CE434F">
        <w:t>s</w:t>
      </w:r>
      <w:r w:rsidR="00D443A2" w:rsidRPr="002B6996">
        <w:t>,</w:t>
      </w:r>
      <w:r w:rsidRPr="002B6996">
        <w:t xml:space="preserve"> and</w:t>
      </w:r>
    </w:p>
    <w:p w14:paraId="5E6BC7C7" w14:textId="59B43CEB" w:rsidR="00457050" w:rsidRPr="002B6996" w:rsidRDefault="00457050" w:rsidP="0084624F">
      <w:pPr>
        <w:pStyle w:val="ListBullet"/>
        <w:numPr>
          <w:ilvl w:val="0"/>
          <w:numId w:val="16"/>
        </w:numPr>
        <w:rPr>
          <w:b/>
          <w:bCs/>
          <w:i/>
          <w:iCs/>
        </w:rPr>
      </w:pPr>
      <w:r w:rsidRPr="002B6996">
        <w:t>the date</w:t>
      </w:r>
      <w:r w:rsidR="00C14A17">
        <w:t>s</w:t>
      </w:r>
      <w:r w:rsidRPr="002B6996">
        <w:t xml:space="preserve"> of effect of </w:t>
      </w:r>
      <w:proofErr w:type="gramStart"/>
      <w:r w:rsidR="00C14A17">
        <w:t>the</w:t>
      </w:r>
      <w:r w:rsidR="002D42F9">
        <w:t xml:space="preserve"> these</w:t>
      </w:r>
      <w:proofErr w:type="gramEnd"/>
      <w:r w:rsidR="00C14A17" w:rsidRPr="002B6996">
        <w:t xml:space="preserve"> </w:t>
      </w:r>
      <w:r w:rsidRPr="002B6996">
        <w:t>decision</w:t>
      </w:r>
      <w:r w:rsidR="00C14A17">
        <w:t>s</w:t>
      </w:r>
      <w:r w:rsidRPr="002B6996">
        <w:t>.</w:t>
      </w:r>
    </w:p>
    <w:p w14:paraId="7E1362D6" w14:textId="2AAF82C4" w:rsidR="00C14A17" w:rsidRDefault="00C14A17" w:rsidP="00B1089E">
      <w:pPr>
        <w:rPr>
          <w:b/>
          <w:bCs/>
        </w:rPr>
      </w:pPr>
      <w:bookmarkStart w:id="1" w:name="_Hlk219458194"/>
      <w:r w:rsidRPr="002D42F9">
        <w:rPr>
          <w:rFonts w:eastAsia="Cambria" w:cs="Arial"/>
        </w:rPr>
        <w:t>This web publication also contains decisions made by the Delegate pursuant to subsection</w:t>
      </w:r>
      <w:r>
        <w:t xml:space="preserve"> 52D(2) of </w:t>
      </w:r>
      <w:r w:rsidRPr="00C14A17">
        <w:rPr>
          <w:i/>
          <w:iCs/>
        </w:rPr>
        <w:t>Therapeutic Goods Act 1989</w:t>
      </w:r>
      <w:r>
        <w:rPr>
          <w:i/>
          <w:iCs/>
        </w:rPr>
        <w:t xml:space="preserve"> </w:t>
      </w:r>
      <w:r>
        <w:t>(the </w:t>
      </w:r>
      <w:r w:rsidRPr="00C14A17">
        <w:rPr>
          <w:b/>
          <w:bCs/>
        </w:rPr>
        <w:t>Act</w:t>
      </w:r>
      <w:r>
        <w:t>).</w:t>
      </w:r>
      <w:bookmarkEnd w:id="1"/>
    </w:p>
    <w:p w14:paraId="67DC0EBB" w14:textId="4A35693F" w:rsidR="00457050" w:rsidRPr="00B1089E" w:rsidRDefault="00831B56" w:rsidP="00B1089E">
      <w:pPr>
        <w:rPr>
          <w:b/>
          <w:bCs/>
        </w:rPr>
      </w:pPr>
      <w:r w:rsidRPr="00B1089E">
        <w:rPr>
          <w:b/>
          <w:bCs/>
        </w:rPr>
        <w:t>Defined terms</w:t>
      </w:r>
    </w:p>
    <w:p w14:paraId="3518FC9A" w14:textId="39B18FB7" w:rsidR="00831B56" w:rsidRPr="002B6996" w:rsidRDefault="00831B56" w:rsidP="007A62B9">
      <w:r w:rsidRPr="002B6996">
        <w:t>In this notice the following defined terms are used in addition to those above:</w:t>
      </w:r>
    </w:p>
    <w:p w14:paraId="6BE33439" w14:textId="29031A03" w:rsidR="00831B56" w:rsidRPr="002B6996" w:rsidRDefault="00831B56" w:rsidP="0084624F">
      <w:pPr>
        <w:pStyle w:val="ListBullet"/>
        <w:numPr>
          <w:ilvl w:val="0"/>
          <w:numId w:val="17"/>
        </w:numPr>
        <w:rPr>
          <w:b/>
          <w:bCs/>
          <w:i/>
          <w:iCs/>
        </w:rPr>
      </w:pPr>
      <w:r w:rsidRPr="002B6996">
        <w:t>the Therapeutic Goods Act 1989 (</w:t>
      </w:r>
      <w:proofErr w:type="spellStart"/>
      <w:r w:rsidRPr="002B6996">
        <w:t>Cth</w:t>
      </w:r>
      <w:proofErr w:type="spellEnd"/>
      <w:r w:rsidRPr="002B6996">
        <w:t xml:space="preserve">) (the </w:t>
      </w:r>
      <w:r w:rsidRPr="00DD1DD8">
        <w:rPr>
          <w:b/>
          <w:bCs/>
        </w:rPr>
        <w:t>Act</w:t>
      </w:r>
      <w:r w:rsidRPr="002B6996">
        <w:t>)</w:t>
      </w:r>
    </w:p>
    <w:p w14:paraId="6550B5E6" w14:textId="5EBA37FF" w:rsidR="00831B56" w:rsidRPr="002B6996" w:rsidRDefault="00831B56" w:rsidP="0084624F">
      <w:pPr>
        <w:pStyle w:val="ListBullet"/>
        <w:numPr>
          <w:ilvl w:val="0"/>
          <w:numId w:val="17"/>
        </w:numPr>
        <w:rPr>
          <w:b/>
          <w:bCs/>
          <w:i/>
          <w:iCs/>
        </w:rPr>
      </w:pPr>
      <w:r w:rsidRPr="002B6996">
        <w:t xml:space="preserve">the </w:t>
      </w:r>
      <w:hyperlink r:id="rId15" w:history="1">
        <w:r w:rsidRPr="002B6996">
          <w:rPr>
            <w:rStyle w:val="Hyperlink"/>
          </w:rPr>
          <w:t>Scheduling Policy Framework</w:t>
        </w:r>
      </w:hyperlink>
      <w:r w:rsidRPr="002B6996">
        <w:rPr>
          <w:rStyle w:val="Hyperlink"/>
        </w:rPr>
        <w:t xml:space="preserve"> </w:t>
      </w:r>
      <w:r w:rsidRPr="002B6996">
        <w:t xml:space="preserve">2018 (the </w:t>
      </w:r>
      <w:r w:rsidRPr="00DD1DD8">
        <w:rPr>
          <w:b/>
          <w:bCs/>
        </w:rPr>
        <w:t>SPF</w:t>
      </w:r>
      <w:r w:rsidRPr="002B6996">
        <w:t>)</w:t>
      </w:r>
    </w:p>
    <w:p w14:paraId="4CDC567B" w14:textId="46FFCF22" w:rsidR="00831B56" w:rsidRPr="002B6996" w:rsidRDefault="00831B56" w:rsidP="0084624F">
      <w:pPr>
        <w:pStyle w:val="ListBullet"/>
        <w:numPr>
          <w:ilvl w:val="0"/>
          <w:numId w:val="17"/>
        </w:numPr>
        <w:rPr>
          <w:b/>
          <w:bCs/>
          <w:i/>
          <w:iCs/>
        </w:rPr>
      </w:pPr>
      <w:r w:rsidRPr="002B6996">
        <w:t>the Scheduling handbook</w:t>
      </w:r>
      <w:r w:rsidR="00FC1EB4" w:rsidRPr="002B6996">
        <w:t>,</w:t>
      </w:r>
      <w:r w:rsidRPr="002B6996">
        <w:t xml:space="preserve"> </w:t>
      </w:r>
      <w:hyperlink r:id="rId16" w:history="1">
        <w:r w:rsidRPr="002B6996">
          <w:rPr>
            <w:rStyle w:val="Hyperlink"/>
          </w:rPr>
          <w:t>Guidance for amending the Poisons Standard</w:t>
        </w:r>
      </w:hyperlink>
      <w:r w:rsidRPr="002B6996">
        <w:t xml:space="preserve"> (the </w:t>
      </w:r>
      <w:r w:rsidRPr="00DD1DD8">
        <w:rPr>
          <w:b/>
          <w:bCs/>
        </w:rPr>
        <w:t>Handbook</w:t>
      </w:r>
      <w:r w:rsidRPr="002B6996">
        <w:t>) and</w:t>
      </w:r>
    </w:p>
    <w:p w14:paraId="78D91CCD" w14:textId="3DC73865" w:rsidR="00831B56" w:rsidRPr="002B6996" w:rsidRDefault="00831B56" w:rsidP="0084624F">
      <w:pPr>
        <w:pStyle w:val="ListBullet"/>
        <w:numPr>
          <w:ilvl w:val="0"/>
          <w:numId w:val="17"/>
        </w:numPr>
        <w:rPr>
          <w:b/>
          <w:bCs/>
          <w:i/>
          <w:iCs/>
        </w:rPr>
      </w:pPr>
      <w:r w:rsidRPr="002B6996">
        <w:t xml:space="preserve">the Therapeutic Goods Administration (the </w:t>
      </w:r>
      <w:r w:rsidRPr="00DD1DD8">
        <w:rPr>
          <w:b/>
          <w:bCs/>
        </w:rPr>
        <w:t>TGA</w:t>
      </w:r>
      <w:r w:rsidRPr="002B6996">
        <w:t>).</w:t>
      </w:r>
    </w:p>
    <w:p w14:paraId="1ECB50B6" w14:textId="479B8507" w:rsidR="007A62B9" w:rsidRPr="00176743" w:rsidRDefault="00831B56" w:rsidP="007A62B9">
      <w:pPr>
        <w:rPr>
          <w:sz w:val="18"/>
          <w:szCs w:val="18"/>
        </w:rPr>
      </w:pPr>
      <w:r w:rsidRPr="00176743">
        <w:rPr>
          <w:sz w:val="18"/>
          <w:szCs w:val="18"/>
        </w:rPr>
        <w:t>Note: additional terms are also defined for individual decisions.</w:t>
      </w:r>
    </w:p>
    <w:p w14:paraId="002E1C4A" w14:textId="660C4ED5" w:rsidR="00457050" w:rsidRPr="00FF49C0" w:rsidRDefault="007A62B9" w:rsidP="00FF49C0">
      <w:pPr>
        <w:rPr>
          <w:rFonts w:eastAsia="Cambria" w:cstheme="minorHAnsi"/>
        </w:rPr>
      </w:pPr>
      <w:r>
        <w:br w:type="page"/>
      </w:r>
    </w:p>
    <w:p w14:paraId="4CC87F9C" w14:textId="7A5EABF2" w:rsidR="00345035" w:rsidRDefault="00345035" w:rsidP="00AC5187">
      <w:pPr>
        <w:pStyle w:val="Heading2"/>
      </w:pPr>
      <w:bookmarkStart w:id="2" w:name="_Toc219385673"/>
      <w:bookmarkStart w:id="3" w:name="_Toc198028600"/>
      <w:r>
        <w:lastRenderedPageBreak/>
        <w:t xml:space="preserve">Final decision on </w:t>
      </w:r>
      <w:r w:rsidR="00CE434F">
        <w:t xml:space="preserve">a </w:t>
      </w:r>
      <w:r>
        <w:t>proposed amendment referred to the Advisory Committee on Chemicals Scheduling (ACCS #38, March 2024)</w:t>
      </w:r>
      <w:bookmarkEnd w:id="2"/>
    </w:p>
    <w:p w14:paraId="10D5BF58" w14:textId="42D46288" w:rsidR="00345035" w:rsidRDefault="00345035" w:rsidP="00345035">
      <w:pPr>
        <w:pStyle w:val="Heading3"/>
      </w:pPr>
      <w:bookmarkStart w:id="4" w:name="_Toc219385674"/>
      <w:r>
        <w:t xml:space="preserve">Final decision in relation to ethyl </w:t>
      </w:r>
      <w:proofErr w:type="spellStart"/>
      <w:r>
        <w:t>lactyl</w:t>
      </w:r>
      <w:proofErr w:type="spellEnd"/>
      <w:r>
        <w:t xml:space="preserve"> retinoate</w:t>
      </w:r>
      <w:bookmarkEnd w:id="4"/>
    </w:p>
    <w:p w14:paraId="2C1771C9" w14:textId="77777777" w:rsidR="00595BA4" w:rsidRPr="00595BA4" w:rsidRDefault="00595BA4" w:rsidP="00595BA4">
      <w:pPr>
        <w:keepNext/>
        <w:keepLines/>
        <w:spacing w:before="360" w:line="240" w:lineRule="atLeast"/>
        <w:outlineLvl w:val="3"/>
        <w:rPr>
          <w:rFonts w:eastAsia="Cambria" w:cs="Times New Roman"/>
          <w:color w:val="001871"/>
          <w:sz w:val="28"/>
          <w:szCs w:val="26"/>
        </w:rPr>
      </w:pPr>
      <w:r w:rsidRPr="00595BA4">
        <w:rPr>
          <w:rFonts w:eastAsia="Cambria" w:cs="Times New Roman"/>
          <w:bCs/>
          <w:color w:val="001871"/>
          <w:sz w:val="28"/>
          <w:szCs w:val="26"/>
        </w:rPr>
        <w:t>Proposal</w:t>
      </w:r>
    </w:p>
    <w:p w14:paraId="1A750470" w14:textId="77777777" w:rsidR="00595BA4" w:rsidRPr="00595BA4" w:rsidRDefault="00595BA4" w:rsidP="00595BA4">
      <w:pPr>
        <w:rPr>
          <w:rFonts w:cs="Arial"/>
        </w:rPr>
      </w:pPr>
      <w:r w:rsidRPr="00595BA4">
        <w:rPr>
          <w:rFonts w:cs="Arial"/>
        </w:rPr>
        <w:t xml:space="preserve">The Delegate received an application to amend the Prescription only medicine (Schedule 4) entry for tretinoin to exempt dermal cosmetic preparations that contain ethyl </w:t>
      </w:r>
      <w:proofErr w:type="spellStart"/>
      <w:r w:rsidRPr="00595BA4">
        <w:rPr>
          <w:rFonts w:cs="Arial"/>
        </w:rPr>
        <w:t>lactyl</w:t>
      </w:r>
      <w:proofErr w:type="spellEnd"/>
      <w:r w:rsidRPr="00595BA4">
        <w:rPr>
          <w:rFonts w:cs="Arial"/>
        </w:rPr>
        <w:t xml:space="preserve"> retinoate (ELR). This would mean that dermal use preparations containing 0.1% or less of ELR could be made available for general sale. Under the current scheduling, ELR is considered a derivative of tretinoin under the Poisons Standard and, therefore, subject to the controls imposed on Schedule 4 substances.</w:t>
      </w:r>
    </w:p>
    <w:p w14:paraId="1637FD0E" w14:textId="77777777" w:rsidR="00595BA4" w:rsidRPr="00595BA4" w:rsidRDefault="00595BA4" w:rsidP="00595BA4">
      <w:pPr>
        <w:keepNext/>
        <w:keepLines/>
        <w:spacing w:before="360" w:line="240" w:lineRule="atLeast"/>
        <w:outlineLvl w:val="3"/>
        <w:rPr>
          <w:rFonts w:eastAsia="Cambria" w:cs="Times New Roman"/>
          <w:bCs/>
          <w:color w:val="001871"/>
          <w:sz w:val="28"/>
          <w:szCs w:val="26"/>
        </w:rPr>
      </w:pPr>
      <w:r w:rsidRPr="00595BA4">
        <w:rPr>
          <w:rFonts w:eastAsia="Cambria" w:cs="Times New Roman"/>
          <w:bCs/>
          <w:color w:val="001871"/>
          <w:sz w:val="28"/>
          <w:szCs w:val="26"/>
        </w:rPr>
        <w:t xml:space="preserve">Final decision </w:t>
      </w:r>
    </w:p>
    <w:p w14:paraId="7CF3B6AF" w14:textId="77777777" w:rsidR="00595BA4" w:rsidRPr="00595BA4" w:rsidRDefault="00595BA4" w:rsidP="00595BA4">
      <w:pPr>
        <w:rPr>
          <w:rFonts w:cs="Arial"/>
          <w:b/>
          <w:bCs/>
        </w:rPr>
      </w:pPr>
      <w:r w:rsidRPr="00595BA4">
        <w:rPr>
          <w:rFonts w:cs="Arial"/>
        </w:rPr>
        <w:t xml:space="preserve">Pursuant to regulation 42ZCZR of the Regulations, the Delegate has made a final decision to vary the interim decision and amend the current Poisons Standard in relation to ethyl </w:t>
      </w:r>
      <w:proofErr w:type="spellStart"/>
      <w:r w:rsidRPr="00595BA4">
        <w:rPr>
          <w:rFonts w:cs="Arial"/>
        </w:rPr>
        <w:t>lactyl</w:t>
      </w:r>
      <w:proofErr w:type="spellEnd"/>
      <w:r w:rsidRPr="00595BA4">
        <w:rPr>
          <w:rFonts w:cs="Arial"/>
        </w:rPr>
        <w:t xml:space="preserve"> retinoate as follows:</w:t>
      </w:r>
      <w:r w:rsidRPr="00595BA4">
        <w:rPr>
          <w:vertAlign w:val="superscript"/>
        </w:rPr>
        <w:footnoteReference w:id="2"/>
      </w:r>
    </w:p>
    <w:p w14:paraId="2CB4450C" w14:textId="77777777" w:rsidR="00595BA4" w:rsidRPr="00595BA4" w:rsidRDefault="00595BA4" w:rsidP="00595BA4">
      <w:pPr>
        <w:ind w:firstLine="720"/>
        <w:rPr>
          <w:rFonts w:cs="Arial"/>
          <w:b/>
          <w:bCs/>
        </w:rPr>
      </w:pPr>
      <w:r w:rsidRPr="00595BA4">
        <w:rPr>
          <w:rFonts w:cs="Arial"/>
          <w:b/>
          <w:bCs/>
        </w:rPr>
        <w:t>Schedule 4 – Amend entry</w:t>
      </w:r>
    </w:p>
    <w:p w14:paraId="1AC99F60" w14:textId="12C1CD2B" w:rsidR="00595BA4" w:rsidRPr="00595BA4" w:rsidRDefault="00595BA4" w:rsidP="00595BA4">
      <w:pPr>
        <w:ind w:firstLine="720"/>
        <w:rPr>
          <w:rFonts w:cs="Arial"/>
        </w:rPr>
      </w:pPr>
      <w:r w:rsidRPr="00595BA4">
        <w:rPr>
          <w:rFonts w:cs="Arial"/>
        </w:rPr>
        <w:t xml:space="preserve"># TRETINOIN </w:t>
      </w:r>
      <w:r w:rsidRPr="00595BA4">
        <w:rPr>
          <w:rFonts w:cs="Arial"/>
          <w:b/>
          <w:bCs/>
        </w:rPr>
        <w:t>except</w:t>
      </w:r>
      <w:r w:rsidR="009417AE">
        <w:rPr>
          <w:rFonts w:cs="Arial"/>
          <w:b/>
          <w:bCs/>
        </w:rPr>
        <w:t xml:space="preserve"> </w:t>
      </w:r>
      <w:r w:rsidR="009417AE" w:rsidRPr="00750AB2">
        <w:rPr>
          <w:rFonts w:cs="Arial"/>
        </w:rPr>
        <w:t>for</w:t>
      </w:r>
      <w:r w:rsidRPr="00595BA4">
        <w:rPr>
          <w:rFonts w:cs="Arial"/>
        </w:rPr>
        <w:t xml:space="preserve">: </w:t>
      </w:r>
    </w:p>
    <w:p w14:paraId="2460BDB7" w14:textId="77777777" w:rsidR="009417AE" w:rsidRDefault="00595BA4" w:rsidP="009417AE">
      <w:pPr>
        <w:pStyle w:val="ListParagraph"/>
        <w:numPr>
          <w:ilvl w:val="0"/>
          <w:numId w:val="40"/>
        </w:numPr>
        <w:contextualSpacing/>
        <w:rPr>
          <w:rFonts w:cs="Arial"/>
          <w:color w:val="00B050"/>
          <w:u w:val="single"/>
        </w:rPr>
      </w:pPr>
      <w:r w:rsidRPr="009417AE">
        <w:rPr>
          <w:rFonts w:cs="Arial"/>
          <w:strike/>
          <w:color w:val="FF0000"/>
        </w:rPr>
        <w:t>the ester</w:t>
      </w:r>
      <w:r w:rsidRPr="009417AE">
        <w:rPr>
          <w:rFonts w:cs="Arial"/>
          <w:color w:val="FF0000"/>
        </w:rPr>
        <w:t xml:space="preserve"> </w:t>
      </w:r>
      <w:proofErr w:type="spellStart"/>
      <w:r w:rsidRPr="009417AE">
        <w:rPr>
          <w:rFonts w:cs="Arial"/>
          <w:color w:val="auto"/>
        </w:rPr>
        <w:t>hydroxypinacolone</w:t>
      </w:r>
      <w:proofErr w:type="spellEnd"/>
      <w:r w:rsidRPr="009417AE">
        <w:rPr>
          <w:rFonts w:cs="Arial"/>
          <w:color w:val="auto"/>
        </w:rPr>
        <w:t xml:space="preserve"> retinoate in preparations for dermal use containing 0.5% or less of </w:t>
      </w:r>
      <w:proofErr w:type="spellStart"/>
      <w:r w:rsidRPr="009417AE">
        <w:rPr>
          <w:rFonts w:cs="Arial"/>
          <w:color w:val="auto"/>
        </w:rPr>
        <w:t>hydroxypinacolone</w:t>
      </w:r>
      <w:proofErr w:type="spellEnd"/>
      <w:r w:rsidRPr="009417AE">
        <w:rPr>
          <w:rFonts w:cs="Arial"/>
          <w:color w:val="auto"/>
        </w:rPr>
        <w:t xml:space="preserve"> retinoate; </w:t>
      </w:r>
      <w:r w:rsidRPr="009417AE">
        <w:rPr>
          <w:rFonts w:cs="Arial"/>
          <w:color w:val="00B050"/>
          <w:u w:val="single"/>
        </w:rPr>
        <w:t>or</w:t>
      </w:r>
    </w:p>
    <w:p w14:paraId="7D0B81AF" w14:textId="02F5A251" w:rsidR="00595BA4" w:rsidRDefault="00595BA4" w:rsidP="009417AE">
      <w:pPr>
        <w:pStyle w:val="ListParagraph"/>
        <w:numPr>
          <w:ilvl w:val="0"/>
          <w:numId w:val="40"/>
        </w:numPr>
        <w:contextualSpacing/>
        <w:rPr>
          <w:rFonts w:cs="Arial"/>
          <w:color w:val="00B050"/>
          <w:u w:val="single"/>
        </w:rPr>
      </w:pPr>
      <w:r w:rsidRPr="009417AE">
        <w:rPr>
          <w:rFonts w:cs="Arial"/>
          <w:color w:val="00B050"/>
          <w:u w:val="single"/>
        </w:rPr>
        <w:t xml:space="preserve">ethyl </w:t>
      </w:r>
      <w:proofErr w:type="spellStart"/>
      <w:r w:rsidRPr="009417AE">
        <w:rPr>
          <w:rFonts w:cs="Arial"/>
          <w:color w:val="00B050"/>
          <w:u w:val="single"/>
        </w:rPr>
        <w:t>lactyl</w:t>
      </w:r>
      <w:proofErr w:type="spellEnd"/>
      <w:r w:rsidRPr="009417AE">
        <w:rPr>
          <w:rFonts w:cs="Arial"/>
          <w:color w:val="00B050"/>
          <w:u w:val="single"/>
        </w:rPr>
        <w:t xml:space="preserve"> retinoate in preparations for dermal use containing 0.1% or less of ethyl </w:t>
      </w:r>
      <w:proofErr w:type="spellStart"/>
      <w:r w:rsidRPr="009417AE">
        <w:rPr>
          <w:rFonts w:cs="Arial"/>
          <w:color w:val="00B050"/>
          <w:u w:val="single"/>
        </w:rPr>
        <w:t>lactyl</w:t>
      </w:r>
      <w:proofErr w:type="spellEnd"/>
      <w:r w:rsidRPr="009417AE">
        <w:rPr>
          <w:rFonts w:cs="Arial"/>
          <w:color w:val="00B050"/>
          <w:u w:val="single"/>
        </w:rPr>
        <w:t xml:space="preserve"> retinoate.</w:t>
      </w:r>
    </w:p>
    <w:p w14:paraId="257E9B4D" w14:textId="77777777" w:rsidR="00750AB2" w:rsidRPr="009417AE" w:rsidRDefault="00750AB2" w:rsidP="00750AB2">
      <w:pPr>
        <w:pStyle w:val="ListParagraph"/>
        <w:numPr>
          <w:ilvl w:val="0"/>
          <w:numId w:val="0"/>
        </w:numPr>
        <w:ind w:left="2160"/>
        <w:contextualSpacing/>
        <w:rPr>
          <w:rFonts w:cs="Arial"/>
          <w:color w:val="00B050"/>
          <w:u w:val="single"/>
        </w:rPr>
      </w:pPr>
    </w:p>
    <w:p w14:paraId="3D7B071E" w14:textId="77777777" w:rsidR="00595BA4" w:rsidRPr="00595BA4" w:rsidRDefault="00595BA4" w:rsidP="00595BA4">
      <w:pPr>
        <w:ind w:left="709" w:firstLine="11"/>
        <w:rPr>
          <w:rFonts w:cs="Arial"/>
          <w:b/>
          <w:bCs/>
        </w:rPr>
      </w:pPr>
      <w:r w:rsidRPr="00595BA4">
        <w:rPr>
          <w:rFonts w:cs="Arial"/>
          <w:b/>
          <w:bCs/>
        </w:rPr>
        <w:t>Appendix D, clause 4</w:t>
      </w:r>
      <w:r w:rsidRPr="00595BA4">
        <w:rPr>
          <w:rFonts w:cs="Arial"/>
        </w:rPr>
        <w:t xml:space="preserve"> – </w:t>
      </w:r>
      <w:r w:rsidRPr="00595BA4">
        <w:rPr>
          <w:rFonts w:cs="Arial"/>
          <w:b/>
          <w:bCs/>
        </w:rPr>
        <w:t>Poisons available only from or on the order of a specialist physician</w:t>
      </w:r>
    </w:p>
    <w:p w14:paraId="33CCDD25" w14:textId="77777777" w:rsidR="00595BA4" w:rsidRPr="00595BA4" w:rsidRDefault="00595BA4" w:rsidP="00595BA4">
      <w:pPr>
        <w:ind w:firstLine="720"/>
        <w:rPr>
          <w:rFonts w:cs="Arial"/>
        </w:rPr>
      </w:pPr>
      <w:r w:rsidRPr="00595BA4">
        <w:rPr>
          <w:rFonts w:cs="Arial"/>
        </w:rPr>
        <w:t>A poison specified in the following table may be supplied:</w:t>
      </w:r>
    </w:p>
    <w:p w14:paraId="554CA6B6" w14:textId="77777777" w:rsidR="00595BA4" w:rsidRPr="00595BA4" w:rsidRDefault="00595BA4" w:rsidP="00595BA4">
      <w:pPr>
        <w:numPr>
          <w:ilvl w:val="0"/>
          <w:numId w:val="36"/>
        </w:numPr>
        <w:contextualSpacing/>
        <w:rPr>
          <w:rFonts w:cs="Arial"/>
          <w:color w:val="auto"/>
        </w:rPr>
      </w:pPr>
      <w:r w:rsidRPr="00595BA4">
        <w:rPr>
          <w:rFonts w:cs="Arial"/>
          <w:color w:val="auto"/>
        </w:rPr>
        <w:t>only by, or on the prescription or order of, a specialist physician; and</w:t>
      </w:r>
    </w:p>
    <w:p w14:paraId="78A47EE3" w14:textId="77777777" w:rsidR="00595BA4" w:rsidRPr="00595BA4" w:rsidRDefault="00595BA4" w:rsidP="00595BA4">
      <w:pPr>
        <w:numPr>
          <w:ilvl w:val="0"/>
          <w:numId w:val="36"/>
        </w:numPr>
        <w:contextualSpacing/>
        <w:rPr>
          <w:rFonts w:cs="Arial"/>
          <w:color w:val="auto"/>
        </w:rPr>
      </w:pPr>
      <w:r w:rsidRPr="00595BA4">
        <w:rPr>
          <w:rFonts w:cs="Arial"/>
          <w:color w:val="auto"/>
        </w:rPr>
        <w:t>if the person to whom the poison is to be supplied is a woman of child</w:t>
      </w:r>
      <w:r w:rsidRPr="00595BA4">
        <w:rPr>
          <w:rFonts w:cs="Arial"/>
          <w:color w:val="auto"/>
        </w:rPr>
        <w:noBreakHyphen/>
        <w:t>bearing age—only if the specialist physician has:</w:t>
      </w:r>
    </w:p>
    <w:p w14:paraId="59A4C472" w14:textId="77777777" w:rsidR="00595BA4" w:rsidRPr="00595BA4" w:rsidRDefault="00595BA4" w:rsidP="00595BA4">
      <w:pPr>
        <w:numPr>
          <w:ilvl w:val="0"/>
          <w:numId w:val="37"/>
        </w:numPr>
        <w:contextualSpacing/>
        <w:rPr>
          <w:rFonts w:cs="Arial"/>
          <w:color w:val="auto"/>
          <w:szCs w:val="20"/>
        </w:rPr>
      </w:pPr>
      <w:r w:rsidRPr="00595BA4">
        <w:rPr>
          <w:rFonts w:cs="Arial"/>
          <w:color w:val="auto"/>
        </w:rPr>
        <w:t xml:space="preserve">ensured that the possibility of </w:t>
      </w:r>
      <w:r w:rsidRPr="00595BA4">
        <w:rPr>
          <w:rFonts w:cs="Arial"/>
          <w:color w:val="auto"/>
          <w:szCs w:val="20"/>
        </w:rPr>
        <w:t>pregnancy has been excluded prior to commencement of treatment; and</w:t>
      </w:r>
    </w:p>
    <w:p w14:paraId="21113E87" w14:textId="77777777" w:rsidR="00595BA4" w:rsidRPr="00595BA4" w:rsidRDefault="00595BA4" w:rsidP="00595BA4">
      <w:pPr>
        <w:numPr>
          <w:ilvl w:val="0"/>
          <w:numId w:val="37"/>
        </w:numPr>
        <w:contextualSpacing/>
        <w:rPr>
          <w:rFonts w:cs="Arial"/>
          <w:color w:val="auto"/>
          <w:szCs w:val="20"/>
        </w:rPr>
      </w:pPr>
      <w:r w:rsidRPr="00595BA4">
        <w:rPr>
          <w:rFonts w:cs="Arial"/>
          <w:color w:val="auto"/>
          <w:szCs w:val="20"/>
        </w:rPr>
        <w:t>advised the patient to avoid becoming pregnant during or for a period of 1 month after completion of treatment.</w:t>
      </w:r>
    </w:p>
    <w:p w14:paraId="2D989736" w14:textId="77777777" w:rsidR="00595BA4" w:rsidRPr="00595BA4" w:rsidRDefault="00595BA4" w:rsidP="00595BA4">
      <w:pPr>
        <w:rPr>
          <w:color w:val="auto"/>
        </w:rPr>
      </w:pPr>
      <w:bookmarkStart w:id="5" w:name="_Hlk216347849"/>
    </w:p>
    <w:tbl>
      <w:tblPr>
        <w:tblStyle w:val="TableTGAblue20231"/>
        <w:tblW w:w="9067" w:type="dxa"/>
        <w:tblLook w:val="04A0" w:firstRow="1" w:lastRow="0" w:firstColumn="1" w:lastColumn="0" w:noHBand="0" w:noVBand="1"/>
      </w:tblPr>
      <w:tblGrid>
        <w:gridCol w:w="1271"/>
        <w:gridCol w:w="7796"/>
      </w:tblGrid>
      <w:tr w:rsidR="00595BA4" w:rsidRPr="00595BA4" w14:paraId="11D37815" w14:textId="77777777" w:rsidTr="006F5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1EDC81C" w14:textId="77777777" w:rsidR="00595BA4" w:rsidRPr="00595BA4" w:rsidRDefault="00595BA4" w:rsidP="00595BA4">
            <w:pPr>
              <w:rPr>
                <w:color w:val="263287"/>
                <w:sz w:val="20"/>
                <w:szCs w:val="20"/>
              </w:rPr>
            </w:pPr>
            <w:r w:rsidRPr="00595BA4">
              <w:rPr>
                <w:color w:val="263287"/>
                <w:sz w:val="20"/>
                <w:szCs w:val="20"/>
              </w:rPr>
              <w:t>Item</w:t>
            </w:r>
          </w:p>
        </w:tc>
        <w:tc>
          <w:tcPr>
            <w:tcW w:w="7796" w:type="dxa"/>
          </w:tcPr>
          <w:p w14:paraId="2A22BDAE" w14:textId="77777777" w:rsidR="00595BA4" w:rsidRPr="00595BA4" w:rsidRDefault="00595BA4" w:rsidP="00595BA4">
            <w:pPr>
              <w:cnfStyle w:val="100000000000" w:firstRow="1" w:lastRow="0" w:firstColumn="0" w:lastColumn="0" w:oddVBand="0" w:evenVBand="0" w:oddHBand="0" w:evenHBand="0" w:firstRowFirstColumn="0" w:firstRowLastColumn="0" w:lastRowFirstColumn="0" w:lastRowLastColumn="0"/>
              <w:rPr>
                <w:color w:val="263287"/>
                <w:sz w:val="20"/>
                <w:szCs w:val="20"/>
              </w:rPr>
            </w:pPr>
            <w:r w:rsidRPr="00595BA4">
              <w:rPr>
                <w:color w:val="263287"/>
                <w:sz w:val="20"/>
                <w:szCs w:val="20"/>
              </w:rPr>
              <w:t>Poison</w:t>
            </w:r>
          </w:p>
        </w:tc>
      </w:tr>
      <w:tr w:rsidR="00595BA4" w:rsidRPr="00595BA4" w14:paraId="1E0300D3" w14:textId="77777777" w:rsidTr="006F56F4">
        <w:tc>
          <w:tcPr>
            <w:cnfStyle w:val="001000000000" w:firstRow="0" w:lastRow="0" w:firstColumn="1" w:lastColumn="0" w:oddVBand="0" w:evenVBand="0" w:oddHBand="0" w:evenHBand="0" w:firstRowFirstColumn="0" w:firstRowLastColumn="0" w:lastRowFirstColumn="0" w:lastRowLastColumn="0"/>
            <w:tcW w:w="1271" w:type="dxa"/>
          </w:tcPr>
          <w:p w14:paraId="78B2761F" w14:textId="77777777" w:rsidR="00595BA4" w:rsidRPr="00595BA4" w:rsidRDefault="00595BA4" w:rsidP="00595BA4">
            <w:pPr>
              <w:rPr>
                <w:color w:val="000000"/>
                <w:sz w:val="20"/>
                <w:szCs w:val="20"/>
              </w:rPr>
            </w:pPr>
            <w:r w:rsidRPr="00595BA4">
              <w:rPr>
                <w:color w:val="000000"/>
                <w:sz w:val="20"/>
                <w:szCs w:val="20"/>
              </w:rPr>
              <w:t>4</w:t>
            </w:r>
          </w:p>
        </w:tc>
        <w:tc>
          <w:tcPr>
            <w:tcW w:w="7796" w:type="dxa"/>
          </w:tcPr>
          <w:p w14:paraId="716A81D0" w14:textId="77777777" w:rsidR="00595BA4" w:rsidRPr="00595BA4" w:rsidRDefault="00595BA4" w:rsidP="00595BA4">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5BA4">
              <w:rPr>
                <w:rFonts w:cs="Arial"/>
                <w:color w:val="auto"/>
                <w:sz w:val="20"/>
                <w:szCs w:val="20"/>
              </w:rPr>
              <w:t>TRETINOIN for human oral use</w:t>
            </w:r>
          </w:p>
        </w:tc>
      </w:tr>
    </w:tbl>
    <w:p w14:paraId="744366A8" w14:textId="77777777" w:rsidR="00595BA4" w:rsidRPr="00595BA4" w:rsidRDefault="00595BA4" w:rsidP="00595BA4">
      <w:pPr>
        <w:rPr>
          <w:color w:val="auto"/>
        </w:rPr>
      </w:pPr>
    </w:p>
    <w:bookmarkEnd w:id="5"/>
    <w:p w14:paraId="58C62A39" w14:textId="77777777" w:rsidR="00595BA4" w:rsidRPr="00595BA4" w:rsidRDefault="00595BA4" w:rsidP="00595BA4">
      <w:pPr>
        <w:ind w:left="709" w:firstLine="11"/>
        <w:rPr>
          <w:rFonts w:cs="Arial"/>
          <w:b/>
          <w:bCs/>
        </w:rPr>
      </w:pPr>
      <w:r w:rsidRPr="00595BA4">
        <w:rPr>
          <w:rFonts w:cs="Arial"/>
          <w:b/>
          <w:bCs/>
        </w:rPr>
        <w:t>Appendix F, clause 4 – Warning statements and general safety directions for poisons</w:t>
      </w:r>
    </w:p>
    <w:p w14:paraId="454EBBD3" w14:textId="77777777" w:rsidR="00595BA4" w:rsidRPr="00595BA4" w:rsidRDefault="00595BA4" w:rsidP="00595BA4">
      <w:pPr>
        <w:ind w:left="709" w:firstLine="11"/>
        <w:rPr>
          <w:rFonts w:cs="Arial"/>
        </w:rPr>
      </w:pPr>
      <w:r w:rsidRPr="00595BA4">
        <w:rPr>
          <w:rFonts w:cs="Arial"/>
        </w:rPr>
        <w:t>(Note: only topical use requirement is included in this decision document; oral use require different warning statements that remain unchanged.)</w:t>
      </w:r>
    </w:p>
    <w:tbl>
      <w:tblPr>
        <w:tblStyle w:val="TableTGAblue20231"/>
        <w:tblW w:w="9067" w:type="dxa"/>
        <w:tblLook w:val="04A0" w:firstRow="1" w:lastRow="0" w:firstColumn="1" w:lastColumn="0" w:noHBand="0" w:noVBand="1"/>
      </w:tblPr>
      <w:tblGrid>
        <w:gridCol w:w="1271"/>
        <w:gridCol w:w="3053"/>
        <w:gridCol w:w="2264"/>
        <w:gridCol w:w="2479"/>
      </w:tblGrid>
      <w:tr w:rsidR="00595BA4" w:rsidRPr="00595BA4" w14:paraId="485B97EF" w14:textId="77777777" w:rsidTr="006F5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88875CD" w14:textId="77777777" w:rsidR="00595BA4" w:rsidRPr="00595BA4" w:rsidRDefault="00595BA4" w:rsidP="00595BA4">
            <w:pPr>
              <w:rPr>
                <w:color w:val="263287"/>
                <w:sz w:val="20"/>
                <w:szCs w:val="20"/>
              </w:rPr>
            </w:pPr>
            <w:r w:rsidRPr="00595BA4">
              <w:rPr>
                <w:color w:val="263287"/>
                <w:sz w:val="20"/>
                <w:szCs w:val="20"/>
              </w:rPr>
              <w:lastRenderedPageBreak/>
              <w:t>Item</w:t>
            </w:r>
          </w:p>
        </w:tc>
        <w:tc>
          <w:tcPr>
            <w:tcW w:w="3053" w:type="dxa"/>
          </w:tcPr>
          <w:p w14:paraId="261C25BF" w14:textId="77777777" w:rsidR="00595BA4" w:rsidRPr="00595BA4" w:rsidRDefault="00595BA4" w:rsidP="00595BA4">
            <w:pPr>
              <w:cnfStyle w:val="100000000000" w:firstRow="1" w:lastRow="0" w:firstColumn="0" w:lastColumn="0" w:oddVBand="0" w:evenVBand="0" w:oddHBand="0" w:evenHBand="0" w:firstRowFirstColumn="0" w:firstRowLastColumn="0" w:lastRowFirstColumn="0" w:lastRowLastColumn="0"/>
              <w:rPr>
                <w:color w:val="263287"/>
                <w:sz w:val="20"/>
                <w:szCs w:val="20"/>
              </w:rPr>
            </w:pPr>
            <w:r w:rsidRPr="00595BA4">
              <w:rPr>
                <w:color w:val="263287"/>
                <w:sz w:val="20"/>
                <w:szCs w:val="20"/>
              </w:rPr>
              <w:t>Poison</w:t>
            </w:r>
          </w:p>
        </w:tc>
        <w:tc>
          <w:tcPr>
            <w:tcW w:w="2264" w:type="dxa"/>
          </w:tcPr>
          <w:p w14:paraId="20E0D5FF" w14:textId="77777777" w:rsidR="00595BA4" w:rsidRPr="00595BA4" w:rsidRDefault="00595BA4" w:rsidP="00595BA4">
            <w:pPr>
              <w:cnfStyle w:val="100000000000" w:firstRow="1" w:lastRow="0" w:firstColumn="0" w:lastColumn="0" w:oddVBand="0" w:evenVBand="0" w:oddHBand="0" w:evenHBand="0" w:firstRowFirstColumn="0" w:firstRowLastColumn="0" w:lastRowFirstColumn="0" w:lastRowLastColumn="0"/>
              <w:rPr>
                <w:color w:val="263287"/>
                <w:sz w:val="20"/>
                <w:szCs w:val="20"/>
              </w:rPr>
            </w:pPr>
            <w:r w:rsidRPr="00595BA4">
              <w:rPr>
                <w:color w:val="263287"/>
                <w:sz w:val="20"/>
                <w:szCs w:val="20"/>
              </w:rPr>
              <w:t>Warning statement item number</w:t>
            </w:r>
          </w:p>
        </w:tc>
        <w:tc>
          <w:tcPr>
            <w:tcW w:w="2479" w:type="dxa"/>
          </w:tcPr>
          <w:p w14:paraId="6C7E67A8" w14:textId="77777777" w:rsidR="00595BA4" w:rsidRPr="00595BA4" w:rsidRDefault="00595BA4" w:rsidP="00595BA4">
            <w:pPr>
              <w:cnfStyle w:val="100000000000" w:firstRow="1" w:lastRow="0" w:firstColumn="0" w:lastColumn="0" w:oddVBand="0" w:evenVBand="0" w:oddHBand="0" w:evenHBand="0" w:firstRowFirstColumn="0" w:firstRowLastColumn="0" w:lastRowFirstColumn="0" w:lastRowLastColumn="0"/>
              <w:rPr>
                <w:color w:val="263287"/>
                <w:sz w:val="20"/>
                <w:szCs w:val="20"/>
              </w:rPr>
            </w:pPr>
            <w:r w:rsidRPr="00595BA4">
              <w:rPr>
                <w:color w:val="263287"/>
                <w:sz w:val="20"/>
                <w:szCs w:val="20"/>
              </w:rPr>
              <w:t>Safety direction item number</w:t>
            </w:r>
          </w:p>
        </w:tc>
      </w:tr>
      <w:tr w:rsidR="00595BA4" w:rsidRPr="00595BA4" w14:paraId="1450943B" w14:textId="77777777" w:rsidTr="006F56F4">
        <w:tc>
          <w:tcPr>
            <w:cnfStyle w:val="001000000000" w:firstRow="0" w:lastRow="0" w:firstColumn="1" w:lastColumn="0" w:oddVBand="0" w:evenVBand="0" w:oddHBand="0" w:evenHBand="0" w:firstRowFirstColumn="0" w:firstRowLastColumn="0" w:lastRowFirstColumn="0" w:lastRowLastColumn="0"/>
            <w:tcW w:w="1271" w:type="dxa"/>
          </w:tcPr>
          <w:p w14:paraId="7CE0880F" w14:textId="77777777" w:rsidR="00595BA4" w:rsidRPr="00595BA4" w:rsidRDefault="00595BA4" w:rsidP="00595BA4">
            <w:pPr>
              <w:spacing w:before="120"/>
              <w:rPr>
                <w:rFonts w:cs="Arial"/>
                <w:color w:val="auto"/>
                <w:sz w:val="20"/>
                <w:szCs w:val="20"/>
              </w:rPr>
            </w:pPr>
            <w:r w:rsidRPr="00595BA4">
              <w:rPr>
                <w:rFonts w:cs="Arial"/>
                <w:color w:val="auto"/>
                <w:sz w:val="20"/>
                <w:szCs w:val="20"/>
              </w:rPr>
              <w:t>347</w:t>
            </w:r>
          </w:p>
        </w:tc>
        <w:tc>
          <w:tcPr>
            <w:tcW w:w="3053" w:type="dxa"/>
            <w:hideMark/>
          </w:tcPr>
          <w:p w14:paraId="4CD0984A"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595BA4">
              <w:rPr>
                <w:rFonts w:cs="Arial"/>
                <w:color w:val="auto"/>
                <w:sz w:val="20"/>
                <w:szCs w:val="20"/>
              </w:rPr>
              <w:t>TRETINOIN—for topical use</w:t>
            </w:r>
          </w:p>
        </w:tc>
        <w:tc>
          <w:tcPr>
            <w:tcW w:w="2264" w:type="dxa"/>
            <w:hideMark/>
          </w:tcPr>
          <w:p w14:paraId="796F3E00"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595BA4">
              <w:rPr>
                <w:rFonts w:cs="Arial"/>
                <w:color w:val="auto"/>
                <w:sz w:val="20"/>
                <w:szCs w:val="20"/>
              </w:rPr>
              <w:t>62, 77</w:t>
            </w:r>
          </w:p>
        </w:tc>
        <w:tc>
          <w:tcPr>
            <w:tcW w:w="2479" w:type="dxa"/>
          </w:tcPr>
          <w:p w14:paraId="3BAA6E27"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p>
        </w:tc>
      </w:tr>
    </w:tbl>
    <w:p w14:paraId="7253488A" w14:textId="77777777" w:rsidR="00595BA4" w:rsidRPr="00595BA4" w:rsidRDefault="00595BA4" w:rsidP="00595BA4">
      <w:pPr>
        <w:ind w:firstLine="720"/>
        <w:rPr>
          <w:rFonts w:eastAsia="Cambria" w:cs="Arial"/>
          <w:color w:val="auto"/>
          <w:szCs w:val="20"/>
          <w:lang w:eastAsia="en-AU"/>
        </w:rPr>
      </w:pPr>
    </w:p>
    <w:p w14:paraId="0012BD50" w14:textId="77777777" w:rsidR="00595BA4" w:rsidRPr="00595BA4" w:rsidRDefault="00595BA4" w:rsidP="00595BA4">
      <w:pPr>
        <w:ind w:firstLine="720"/>
        <w:rPr>
          <w:rFonts w:cs="Arial"/>
        </w:rPr>
      </w:pPr>
      <w:r w:rsidRPr="00595BA4">
        <w:rPr>
          <w:rFonts w:cs="Arial"/>
        </w:rPr>
        <w:t>Where the required labels are:</w:t>
      </w:r>
    </w:p>
    <w:tbl>
      <w:tblPr>
        <w:tblStyle w:val="TableTGAblue2023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4"/>
        <w:gridCol w:w="7778"/>
      </w:tblGrid>
      <w:tr w:rsidR="00595BA4" w:rsidRPr="00595BA4" w14:paraId="5F966F15" w14:textId="77777777" w:rsidTr="006F5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Mar>
              <w:top w:w="0" w:type="dxa"/>
              <w:left w:w="108" w:type="dxa"/>
              <w:bottom w:w="0" w:type="dxa"/>
              <w:right w:w="108" w:type="dxa"/>
            </w:tcMar>
          </w:tcPr>
          <w:p w14:paraId="69F55E2E" w14:textId="77777777" w:rsidR="00595BA4" w:rsidRPr="00595BA4" w:rsidRDefault="00595BA4" w:rsidP="00595BA4">
            <w:pPr>
              <w:rPr>
                <w:color w:val="263287"/>
                <w:sz w:val="20"/>
                <w:szCs w:val="20"/>
              </w:rPr>
            </w:pPr>
            <w:bookmarkStart w:id="6" w:name="_Hlk216189430"/>
            <w:r w:rsidRPr="00595BA4">
              <w:rPr>
                <w:color w:val="263287"/>
                <w:sz w:val="20"/>
                <w:szCs w:val="20"/>
              </w:rPr>
              <w:t>Item</w:t>
            </w:r>
          </w:p>
        </w:tc>
        <w:tc>
          <w:tcPr>
            <w:tcW w:w="7778" w:type="dxa"/>
            <w:tcMar>
              <w:top w:w="0" w:type="dxa"/>
              <w:left w:w="108" w:type="dxa"/>
              <w:bottom w:w="0" w:type="dxa"/>
              <w:right w:w="108" w:type="dxa"/>
            </w:tcMar>
          </w:tcPr>
          <w:p w14:paraId="052B0CCB" w14:textId="77777777" w:rsidR="00595BA4" w:rsidRPr="00595BA4" w:rsidRDefault="00595BA4" w:rsidP="00595BA4">
            <w:pPr>
              <w:cnfStyle w:val="100000000000" w:firstRow="1" w:lastRow="0" w:firstColumn="0" w:lastColumn="0" w:oddVBand="0" w:evenVBand="0" w:oddHBand="0" w:evenHBand="0" w:firstRowFirstColumn="0" w:firstRowLastColumn="0" w:lastRowFirstColumn="0" w:lastRowLastColumn="0"/>
              <w:rPr>
                <w:color w:val="263287"/>
                <w:sz w:val="20"/>
                <w:szCs w:val="20"/>
              </w:rPr>
            </w:pPr>
            <w:r w:rsidRPr="00595BA4">
              <w:rPr>
                <w:color w:val="263287"/>
                <w:sz w:val="20"/>
                <w:szCs w:val="20"/>
              </w:rPr>
              <w:t>Warning statement</w:t>
            </w:r>
          </w:p>
        </w:tc>
      </w:tr>
      <w:tr w:rsidR="00595BA4" w:rsidRPr="00595BA4" w14:paraId="6A126ADD" w14:textId="77777777" w:rsidTr="006F56F4">
        <w:tc>
          <w:tcPr>
            <w:cnfStyle w:val="001000000000" w:firstRow="0" w:lastRow="0" w:firstColumn="1" w:lastColumn="0" w:oddVBand="0" w:evenVBand="0" w:oddHBand="0" w:evenHBand="0" w:firstRowFirstColumn="0" w:firstRowLastColumn="0" w:lastRowFirstColumn="0" w:lastRowLastColumn="0"/>
            <w:tcW w:w="1294" w:type="dxa"/>
            <w:tcMar>
              <w:top w:w="0" w:type="dxa"/>
              <w:left w:w="108" w:type="dxa"/>
              <w:bottom w:w="0" w:type="dxa"/>
              <w:right w:w="108" w:type="dxa"/>
            </w:tcMar>
            <w:hideMark/>
          </w:tcPr>
          <w:p w14:paraId="29306055" w14:textId="77777777" w:rsidR="00595BA4" w:rsidRPr="00595BA4" w:rsidRDefault="00595BA4" w:rsidP="00595BA4">
            <w:pPr>
              <w:spacing w:before="120"/>
              <w:rPr>
                <w:rFonts w:cs="Arial"/>
                <w:color w:val="auto"/>
                <w:sz w:val="20"/>
                <w:szCs w:val="20"/>
              </w:rPr>
            </w:pPr>
            <w:r w:rsidRPr="00595BA4">
              <w:rPr>
                <w:rFonts w:cs="Arial"/>
                <w:color w:val="auto"/>
                <w:sz w:val="20"/>
                <w:szCs w:val="20"/>
              </w:rPr>
              <w:t>62</w:t>
            </w:r>
          </w:p>
        </w:tc>
        <w:tc>
          <w:tcPr>
            <w:tcW w:w="7778" w:type="dxa"/>
            <w:tcMar>
              <w:top w:w="0" w:type="dxa"/>
              <w:left w:w="108" w:type="dxa"/>
              <w:bottom w:w="0" w:type="dxa"/>
              <w:right w:w="108" w:type="dxa"/>
            </w:tcMar>
            <w:hideMark/>
          </w:tcPr>
          <w:p w14:paraId="3FEC5F57"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595BA4">
              <w:rPr>
                <w:rFonts w:cs="Arial"/>
                <w:color w:val="auto"/>
                <w:sz w:val="20"/>
                <w:szCs w:val="20"/>
              </w:rPr>
              <w:t>Do not use if pregnant.</w:t>
            </w:r>
          </w:p>
        </w:tc>
      </w:tr>
      <w:tr w:rsidR="00595BA4" w:rsidRPr="00595BA4" w14:paraId="531EC7CA" w14:textId="77777777" w:rsidTr="006F56F4">
        <w:tc>
          <w:tcPr>
            <w:cnfStyle w:val="001000000000" w:firstRow="0" w:lastRow="0" w:firstColumn="1" w:lastColumn="0" w:oddVBand="0" w:evenVBand="0" w:oddHBand="0" w:evenHBand="0" w:firstRowFirstColumn="0" w:firstRowLastColumn="0" w:lastRowFirstColumn="0" w:lastRowLastColumn="0"/>
            <w:tcW w:w="1294" w:type="dxa"/>
            <w:tcMar>
              <w:top w:w="0" w:type="dxa"/>
              <w:left w:w="108" w:type="dxa"/>
              <w:bottom w:w="0" w:type="dxa"/>
              <w:right w:w="108" w:type="dxa"/>
            </w:tcMar>
            <w:hideMark/>
          </w:tcPr>
          <w:p w14:paraId="5F9A8D74" w14:textId="77777777" w:rsidR="00595BA4" w:rsidRPr="00595BA4" w:rsidRDefault="00595BA4" w:rsidP="00595BA4">
            <w:pPr>
              <w:spacing w:before="120"/>
              <w:rPr>
                <w:rFonts w:cs="Arial"/>
                <w:color w:val="auto"/>
                <w:sz w:val="20"/>
                <w:szCs w:val="20"/>
              </w:rPr>
            </w:pPr>
            <w:r w:rsidRPr="00595BA4">
              <w:rPr>
                <w:rFonts w:cs="Arial"/>
                <w:color w:val="auto"/>
                <w:sz w:val="20"/>
                <w:szCs w:val="20"/>
              </w:rPr>
              <w:t>77</w:t>
            </w:r>
          </w:p>
        </w:tc>
        <w:tc>
          <w:tcPr>
            <w:tcW w:w="7778" w:type="dxa"/>
            <w:tcMar>
              <w:top w:w="0" w:type="dxa"/>
              <w:left w:w="108" w:type="dxa"/>
              <w:bottom w:w="0" w:type="dxa"/>
              <w:right w:w="108" w:type="dxa"/>
            </w:tcMar>
            <w:hideMark/>
          </w:tcPr>
          <w:p w14:paraId="47318DEE"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595BA4">
              <w:rPr>
                <w:rFonts w:cs="Arial"/>
                <w:color w:val="auto"/>
                <w:sz w:val="20"/>
                <w:szCs w:val="20"/>
              </w:rPr>
              <w:t>WARNING – May cause birth defects.</w:t>
            </w:r>
          </w:p>
        </w:tc>
      </w:tr>
      <w:bookmarkEnd w:id="6"/>
    </w:tbl>
    <w:p w14:paraId="5EE3728A" w14:textId="77777777" w:rsidR="00595BA4" w:rsidRPr="00595BA4" w:rsidRDefault="00595BA4" w:rsidP="00595BA4">
      <w:pPr>
        <w:ind w:firstLine="720"/>
        <w:rPr>
          <w:rFonts w:ascii="Times New Roman" w:eastAsia="Times New Roman" w:hAnsi="Times New Roman" w:cs="Times New Roman"/>
          <w:color w:val="auto"/>
          <w:sz w:val="24"/>
          <w:szCs w:val="24"/>
          <w:lang w:eastAsia="en-AU"/>
        </w:rPr>
      </w:pPr>
    </w:p>
    <w:p w14:paraId="56ADF006" w14:textId="77777777" w:rsidR="00595BA4" w:rsidRPr="00595BA4" w:rsidRDefault="00595BA4" w:rsidP="00595BA4">
      <w:pPr>
        <w:ind w:firstLine="720"/>
        <w:rPr>
          <w:rFonts w:cs="Arial"/>
          <w:b/>
          <w:bCs/>
        </w:rPr>
      </w:pPr>
      <w:r w:rsidRPr="00595BA4">
        <w:rPr>
          <w:rFonts w:cs="Arial"/>
          <w:b/>
          <w:bCs/>
        </w:rPr>
        <w:t>Appendix L, clause 2 - Requirements for dispensing labels for medicines</w:t>
      </w:r>
    </w:p>
    <w:p w14:paraId="69DDF27D" w14:textId="77777777" w:rsidR="00595BA4" w:rsidRPr="00595BA4" w:rsidRDefault="00595BA4" w:rsidP="00595BA4">
      <w:pPr>
        <w:ind w:left="720"/>
        <w:rPr>
          <w:rFonts w:cs="Arial"/>
        </w:rPr>
      </w:pPr>
      <w:r w:rsidRPr="00595BA4">
        <w:rPr>
          <w:rFonts w:cs="Arial"/>
        </w:rPr>
        <w:t>(Note: only topical use requirement is included in this decision document; oral use require different warning statements that remain unchanged.)</w:t>
      </w:r>
    </w:p>
    <w:tbl>
      <w:tblPr>
        <w:tblStyle w:val="TableTGAblue2023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3588"/>
        <w:gridCol w:w="4201"/>
      </w:tblGrid>
      <w:tr w:rsidR="00595BA4" w:rsidRPr="00595BA4" w14:paraId="2FF31FF6" w14:textId="77777777" w:rsidTr="006F5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Mar>
              <w:top w:w="0" w:type="dxa"/>
              <w:left w:w="108" w:type="dxa"/>
              <w:bottom w:w="0" w:type="dxa"/>
              <w:right w:w="108" w:type="dxa"/>
            </w:tcMar>
          </w:tcPr>
          <w:p w14:paraId="02AC9D39" w14:textId="77777777" w:rsidR="00595BA4" w:rsidRPr="00595BA4" w:rsidRDefault="00595BA4" w:rsidP="00595BA4">
            <w:pPr>
              <w:rPr>
                <w:color w:val="263287"/>
                <w:sz w:val="20"/>
                <w:szCs w:val="20"/>
              </w:rPr>
            </w:pPr>
            <w:r w:rsidRPr="00595BA4">
              <w:rPr>
                <w:color w:val="263287"/>
                <w:sz w:val="20"/>
                <w:szCs w:val="20"/>
              </w:rPr>
              <w:t>Item</w:t>
            </w:r>
          </w:p>
        </w:tc>
        <w:tc>
          <w:tcPr>
            <w:tcW w:w="3588" w:type="dxa"/>
            <w:tcMar>
              <w:top w:w="0" w:type="dxa"/>
              <w:left w:w="108" w:type="dxa"/>
              <w:bottom w:w="0" w:type="dxa"/>
              <w:right w:w="108" w:type="dxa"/>
            </w:tcMar>
          </w:tcPr>
          <w:p w14:paraId="33185831" w14:textId="77777777" w:rsidR="00595BA4" w:rsidRPr="00595BA4" w:rsidRDefault="00595BA4" w:rsidP="00595BA4">
            <w:pPr>
              <w:cnfStyle w:val="100000000000" w:firstRow="1" w:lastRow="0" w:firstColumn="0" w:lastColumn="0" w:oddVBand="0" w:evenVBand="0" w:oddHBand="0" w:evenHBand="0" w:firstRowFirstColumn="0" w:firstRowLastColumn="0" w:lastRowFirstColumn="0" w:lastRowLastColumn="0"/>
              <w:rPr>
                <w:color w:val="263287"/>
                <w:sz w:val="20"/>
                <w:szCs w:val="20"/>
              </w:rPr>
            </w:pPr>
            <w:r w:rsidRPr="00595BA4">
              <w:rPr>
                <w:color w:val="263287"/>
                <w:sz w:val="20"/>
                <w:szCs w:val="20"/>
              </w:rPr>
              <w:t>Poison</w:t>
            </w:r>
          </w:p>
        </w:tc>
        <w:tc>
          <w:tcPr>
            <w:tcW w:w="4201" w:type="dxa"/>
          </w:tcPr>
          <w:p w14:paraId="47FC2A64" w14:textId="77777777" w:rsidR="00595BA4" w:rsidRPr="00595BA4" w:rsidRDefault="00595BA4" w:rsidP="00595BA4">
            <w:pPr>
              <w:cnfStyle w:val="100000000000" w:firstRow="1" w:lastRow="0" w:firstColumn="0" w:lastColumn="0" w:oddVBand="0" w:evenVBand="0" w:oddHBand="0" w:evenHBand="0" w:firstRowFirstColumn="0" w:firstRowLastColumn="0" w:lastRowFirstColumn="0" w:lastRowLastColumn="0"/>
              <w:rPr>
                <w:color w:val="263287"/>
                <w:sz w:val="20"/>
                <w:szCs w:val="20"/>
              </w:rPr>
            </w:pPr>
            <w:r w:rsidRPr="00595BA4">
              <w:rPr>
                <w:color w:val="263287"/>
                <w:sz w:val="20"/>
                <w:szCs w:val="20"/>
              </w:rPr>
              <w:t>Warning statement (item number)</w:t>
            </w:r>
          </w:p>
        </w:tc>
      </w:tr>
      <w:tr w:rsidR="00595BA4" w:rsidRPr="00595BA4" w14:paraId="68BBD52D" w14:textId="77777777" w:rsidTr="006F56F4">
        <w:tc>
          <w:tcPr>
            <w:cnfStyle w:val="001000000000" w:firstRow="0" w:lastRow="0" w:firstColumn="1" w:lastColumn="0" w:oddVBand="0" w:evenVBand="0" w:oddHBand="0" w:evenHBand="0" w:firstRowFirstColumn="0" w:firstRowLastColumn="0" w:lastRowFirstColumn="0" w:lastRowLastColumn="0"/>
            <w:tcW w:w="1276" w:type="dxa"/>
            <w:tcMar>
              <w:top w:w="0" w:type="dxa"/>
              <w:left w:w="108" w:type="dxa"/>
              <w:bottom w:w="0" w:type="dxa"/>
              <w:right w:w="108" w:type="dxa"/>
            </w:tcMar>
            <w:hideMark/>
          </w:tcPr>
          <w:p w14:paraId="1D1DEDD8" w14:textId="77777777" w:rsidR="00595BA4" w:rsidRPr="00595BA4" w:rsidRDefault="00595BA4" w:rsidP="00595BA4">
            <w:pPr>
              <w:spacing w:before="120"/>
              <w:rPr>
                <w:rFonts w:cs="Arial"/>
                <w:color w:val="auto"/>
                <w:sz w:val="20"/>
                <w:szCs w:val="20"/>
              </w:rPr>
            </w:pPr>
            <w:r w:rsidRPr="00595BA4">
              <w:rPr>
                <w:rFonts w:cs="Arial"/>
                <w:color w:val="auto"/>
                <w:sz w:val="20"/>
                <w:szCs w:val="20"/>
              </w:rPr>
              <w:t>43</w:t>
            </w:r>
          </w:p>
        </w:tc>
        <w:tc>
          <w:tcPr>
            <w:tcW w:w="3588" w:type="dxa"/>
            <w:tcMar>
              <w:top w:w="0" w:type="dxa"/>
              <w:left w:w="108" w:type="dxa"/>
              <w:bottom w:w="0" w:type="dxa"/>
              <w:right w:w="108" w:type="dxa"/>
            </w:tcMar>
            <w:hideMark/>
          </w:tcPr>
          <w:p w14:paraId="203A4A44"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595BA4">
              <w:rPr>
                <w:rFonts w:cs="Arial"/>
                <w:color w:val="auto"/>
                <w:sz w:val="20"/>
                <w:szCs w:val="20"/>
              </w:rPr>
              <w:t>TRETINOIN—for topical use</w:t>
            </w:r>
          </w:p>
        </w:tc>
        <w:tc>
          <w:tcPr>
            <w:tcW w:w="4201" w:type="dxa"/>
          </w:tcPr>
          <w:p w14:paraId="773FE186"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595BA4">
              <w:rPr>
                <w:rFonts w:cs="Arial"/>
                <w:color w:val="auto"/>
                <w:sz w:val="20"/>
                <w:szCs w:val="20"/>
              </w:rPr>
              <w:t>62, 77</w:t>
            </w:r>
          </w:p>
        </w:tc>
      </w:tr>
    </w:tbl>
    <w:p w14:paraId="08EE1729" w14:textId="77777777" w:rsidR="00595BA4" w:rsidRPr="00595BA4" w:rsidRDefault="00595BA4" w:rsidP="00595BA4">
      <w:pPr>
        <w:ind w:firstLine="720"/>
        <w:rPr>
          <w:rFonts w:cs="Arial"/>
        </w:rPr>
      </w:pPr>
    </w:p>
    <w:p w14:paraId="30FB4461" w14:textId="77777777" w:rsidR="00595BA4" w:rsidRPr="00595BA4" w:rsidRDefault="00595BA4" w:rsidP="00595BA4">
      <w:pPr>
        <w:ind w:firstLine="720"/>
        <w:rPr>
          <w:rFonts w:cs="Arial"/>
        </w:rPr>
      </w:pPr>
      <w:r w:rsidRPr="00595BA4">
        <w:rPr>
          <w:rFonts w:cs="Arial"/>
        </w:rPr>
        <w:t>Where the required labels are:</w:t>
      </w:r>
    </w:p>
    <w:tbl>
      <w:tblPr>
        <w:tblStyle w:val="TableTGAblue20231"/>
        <w:tblW w:w="9083" w:type="dxa"/>
        <w:tblInd w:w="-5" w:type="dxa"/>
        <w:tblLook w:val="04A0" w:firstRow="1" w:lastRow="0" w:firstColumn="1" w:lastColumn="0" w:noHBand="0" w:noVBand="1"/>
      </w:tblPr>
      <w:tblGrid>
        <w:gridCol w:w="1245"/>
        <w:gridCol w:w="7838"/>
      </w:tblGrid>
      <w:tr w:rsidR="00595BA4" w:rsidRPr="00595BA4" w14:paraId="432F927C" w14:textId="77777777" w:rsidTr="006F56F4">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45" w:type="dxa"/>
          </w:tcPr>
          <w:p w14:paraId="327B17D4" w14:textId="77777777" w:rsidR="00595BA4" w:rsidRPr="00595BA4" w:rsidRDefault="00595BA4" w:rsidP="00595BA4">
            <w:pPr>
              <w:spacing w:before="120"/>
              <w:rPr>
                <w:color w:val="263287"/>
                <w:sz w:val="20"/>
                <w:szCs w:val="20"/>
              </w:rPr>
            </w:pPr>
            <w:r w:rsidRPr="00595BA4">
              <w:rPr>
                <w:color w:val="263287"/>
                <w:sz w:val="20"/>
                <w:szCs w:val="20"/>
              </w:rPr>
              <w:t>Item</w:t>
            </w:r>
          </w:p>
        </w:tc>
        <w:tc>
          <w:tcPr>
            <w:tcW w:w="7838" w:type="dxa"/>
          </w:tcPr>
          <w:p w14:paraId="374DEAA5" w14:textId="77777777" w:rsidR="00595BA4" w:rsidRPr="00595BA4" w:rsidRDefault="00595BA4" w:rsidP="00595BA4">
            <w:pPr>
              <w:spacing w:before="120"/>
              <w:cnfStyle w:val="100000000000" w:firstRow="1" w:lastRow="0" w:firstColumn="0" w:lastColumn="0" w:oddVBand="0" w:evenVBand="0" w:oddHBand="0" w:evenHBand="0" w:firstRowFirstColumn="0" w:firstRowLastColumn="0" w:lastRowFirstColumn="0" w:lastRowLastColumn="0"/>
              <w:rPr>
                <w:color w:val="263287"/>
                <w:sz w:val="20"/>
                <w:szCs w:val="20"/>
              </w:rPr>
            </w:pPr>
            <w:r w:rsidRPr="00595BA4">
              <w:rPr>
                <w:color w:val="263287"/>
                <w:sz w:val="20"/>
                <w:szCs w:val="20"/>
              </w:rPr>
              <w:t>Warning statement</w:t>
            </w:r>
          </w:p>
        </w:tc>
      </w:tr>
      <w:tr w:rsidR="00595BA4" w:rsidRPr="00595BA4" w14:paraId="15D99F96" w14:textId="77777777" w:rsidTr="006F56F4">
        <w:trPr>
          <w:trHeight w:val="373"/>
        </w:trPr>
        <w:tc>
          <w:tcPr>
            <w:cnfStyle w:val="001000000000" w:firstRow="0" w:lastRow="0" w:firstColumn="1" w:lastColumn="0" w:oddVBand="0" w:evenVBand="0" w:oddHBand="0" w:evenHBand="0" w:firstRowFirstColumn="0" w:firstRowLastColumn="0" w:lastRowFirstColumn="0" w:lastRowLastColumn="0"/>
            <w:tcW w:w="1245" w:type="dxa"/>
            <w:hideMark/>
          </w:tcPr>
          <w:p w14:paraId="13137106" w14:textId="77777777" w:rsidR="00595BA4" w:rsidRPr="00595BA4" w:rsidRDefault="00595BA4" w:rsidP="00595BA4">
            <w:pPr>
              <w:spacing w:before="120"/>
              <w:rPr>
                <w:rFonts w:cs="Arial"/>
                <w:color w:val="auto"/>
                <w:sz w:val="20"/>
                <w:szCs w:val="20"/>
              </w:rPr>
            </w:pPr>
            <w:r w:rsidRPr="00595BA4">
              <w:rPr>
                <w:rFonts w:cs="Arial"/>
                <w:color w:val="auto"/>
                <w:sz w:val="20"/>
                <w:szCs w:val="20"/>
              </w:rPr>
              <w:t>62</w:t>
            </w:r>
          </w:p>
        </w:tc>
        <w:tc>
          <w:tcPr>
            <w:tcW w:w="7838" w:type="dxa"/>
            <w:hideMark/>
          </w:tcPr>
          <w:p w14:paraId="6BE39BB7"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595BA4">
              <w:rPr>
                <w:rFonts w:cs="Arial"/>
                <w:color w:val="auto"/>
                <w:sz w:val="20"/>
                <w:szCs w:val="20"/>
              </w:rPr>
              <w:t>Do not use if pregnant.</w:t>
            </w:r>
          </w:p>
        </w:tc>
      </w:tr>
      <w:tr w:rsidR="00595BA4" w:rsidRPr="00595BA4" w14:paraId="6E8221FA" w14:textId="77777777" w:rsidTr="006F56F4">
        <w:trPr>
          <w:trHeight w:val="385"/>
        </w:trPr>
        <w:tc>
          <w:tcPr>
            <w:cnfStyle w:val="001000000000" w:firstRow="0" w:lastRow="0" w:firstColumn="1" w:lastColumn="0" w:oddVBand="0" w:evenVBand="0" w:oddHBand="0" w:evenHBand="0" w:firstRowFirstColumn="0" w:firstRowLastColumn="0" w:lastRowFirstColumn="0" w:lastRowLastColumn="0"/>
            <w:tcW w:w="1245" w:type="dxa"/>
            <w:hideMark/>
          </w:tcPr>
          <w:p w14:paraId="58CC0ABE" w14:textId="77777777" w:rsidR="00595BA4" w:rsidRPr="00595BA4" w:rsidRDefault="00595BA4" w:rsidP="00595BA4">
            <w:pPr>
              <w:spacing w:before="120"/>
              <w:rPr>
                <w:rFonts w:cs="Arial"/>
                <w:color w:val="auto"/>
                <w:sz w:val="20"/>
                <w:szCs w:val="20"/>
              </w:rPr>
            </w:pPr>
            <w:r w:rsidRPr="00595BA4">
              <w:rPr>
                <w:rFonts w:cs="Arial"/>
                <w:color w:val="auto"/>
                <w:sz w:val="20"/>
                <w:szCs w:val="20"/>
              </w:rPr>
              <w:t>77</w:t>
            </w:r>
          </w:p>
        </w:tc>
        <w:tc>
          <w:tcPr>
            <w:tcW w:w="7838" w:type="dxa"/>
            <w:hideMark/>
          </w:tcPr>
          <w:p w14:paraId="26C4FF48" w14:textId="77777777" w:rsidR="00595BA4" w:rsidRPr="00595BA4" w:rsidRDefault="00595BA4" w:rsidP="00595BA4">
            <w:pPr>
              <w:spacing w:before="120"/>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595BA4">
              <w:rPr>
                <w:rFonts w:cs="Arial"/>
                <w:color w:val="auto"/>
                <w:sz w:val="20"/>
                <w:szCs w:val="20"/>
              </w:rPr>
              <w:t>WARNING – May cause birth defects.</w:t>
            </w:r>
          </w:p>
        </w:tc>
      </w:tr>
    </w:tbl>
    <w:p w14:paraId="115E7633" w14:textId="77777777" w:rsidR="00595BA4" w:rsidRPr="00595BA4" w:rsidRDefault="00595BA4" w:rsidP="00595BA4">
      <w:pPr>
        <w:rPr>
          <w:rFonts w:cs="Arial"/>
          <w:b/>
          <w:bCs/>
          <w:i/>
          <w:iCs/>
        </w:rPr>
      </w:pPr>
    </w:p>
    <w:p w14:paraId="6FE93819" w14:textId="77777777" w:rsidR="00595BA4" w:rsidRPr="00595BA4" w:rsidRDefault="00595BA4" w:rsidP="00595BA4">
      <w:pPr>
        <w:rPr>
          <w:rFonts w:cs="Arial"/>
          <w:b/>
          <w:bCs/>
          <w:i/>
          <w:iCs/>
        </w:rPr>
      </w:pPr>
      <w:r w:rsidRPr="00595BA4">
        <w:rPr>
          <w:rFonts w:cs="Arial"/>
          <w:b/>
          <w:bCs/>
          <w:i/>
          <w:iCs/>
        </w:rPr>
        <w:t xml:space="preserve">Materials considered </w:t>
      </w:r>
    </w:p>
    <w:p w14:paraId="611A126A" w14:textId="77777777" w:rsidR="00595BA4" w:rsidRPr="00595BA4" w:rsidRDefault="00595BA4" w:rsidP="00595BA4">
      <w:pPr>
        <w:rPr>
          <w:rFonts w:cs="Arial"/>
        </w:rPr>
      </w:pPr>
      <w:r w:rsidRPr="00595BA4">
        <w:rPr>
          <w:rFonts w:cs="Arial"/>
        </w:rPr>
        <w:t>In making this final decision, the Delegate considered the following material:</w:t>
      </w:r>
    </w:p>
    <w:p w14:paraId="404145BF" w14:textId="77777777" w:rsidR="00595BA4" w:rsidRPr="00B012FC" w:rsidRDefault="00595BA4" w:rsidP="00B012FC">
      <w:pPr>
        <w:pStyle w:val="ListBullet"/>
      </w:pPr>
      <w:r w:rsidRPr="00B012FC">
        <w:t xml:space="preserve">the application to amend the current Poisons Standard with respect to ethyl </w:t>
      </w:r>
      <w:proofErr w:type="spellStart"/>
      <w:r w:rsidRPr="00B012FC">
        <w:t>lactyl</w:t>
      </w:r>
      <w:proofErr w:type="spellEnd"/>
      <w:r w:rsidRPr="00B012FC">
        <w:t xml:space="preserve"> retinoate (the Application)</w:t>
      </w:r>
    </w:p>
    <w:p w14:paraId="231D970A" w14:textId="77777777" w:rsidR="00595BA4" w:rsidRPr="00B012FC" w:rsidRDefault="00595BA4" w:rsidP="00B012FC">
      <w:pPr>
        <w:pStyle w:val="ListBullet"/>
      </w:pPr>
      <w:r w:rsidRPr="00B012FC">
        <w:t xml:space="preserve">the 9 </w:t>
      </w:r>
      <w:hyperlink r:id="rId17" w:history="1">
        <w:r w:rsidRPr="00B012FC">
          <w:t>public submissions</w:t>
        </w:r>
      </w:hyperlink>
      <w:r w:rsidRPr="00B012FC">
        <w:t xml:space="preserve"> received in response to the </w:t>
      </w:r>
      <w:hyperlink r:id="rId18" w:history="1">
        <w:r w:rsidRPr="00B012FC">
          <w:t>pre-meeting consultation</w:t>
        </w:r>
      </w:hyperlink>
      <w:r w:rsidRPr="00B012FC">
        <w:t xml:space="preserve"> under regulation 42ZCZK of the Regulations</w:t>
      </w:r>
    </w:p>
    <w:p w14:paraId="41382EA1" w14:textId="77777777" w:rsidR="00595BA4" w:rsidRPr="00B012FC" w:rsidRDefault="00595BA4" w:rsidP="00B012FC">
      <w:pPr>
        <w:pStyle w:val="ListBullet"/>
      </w:pPr>
      <w:r w:rsidRPr="00B012FC">
        <w:t>the advice received from the 38th meeting of the Advisory Committee on Chemicals Scheduling (the Committee)</w:t>
      </w:r>
    </w:p>
    <w:p w14:paraId="2361A1B8" w14:textId="77777777" w:rsidR="00595BA4" w:rsidRPr="00B012FC" w:rsidRDefault="00595BA4" w:rsidP="00B012FC">
      <w:pPr>
        <w:pStyle w:val="ListBullet"/>
      </w:pPr>
      <w:r w:rsidRPr="00B012FC">
        <w:t xml:space="preserve">the </w:t>
      </w:r>
      <w:hyperlink r:id="rId19" w:history="1">
        <w:r w:rsidRPr="00B012FC">
          <w:t>interim decision</w:t>
        </w:r>
      </w:hyperlink>
      <w:r w:rsidRPr="00B012FC">
        <w:t xml:space="preserve"> relating to ethyl </w:t>
      </w:r>
      <w:proofErr w:type="spellStart"/>
      <w:r w:rsidRPr="00B012FC">
        <w:t>lactyl</w:t>
      </w:r>
      <w:proofErr w:type="spellEnd"/>
      <w:r w:rsidRPr="00B012FC">
        <w:t xml:space="preserve"> retinoate and the materials considered as part of the interim decision, as published on 26 July 2024</w:t>
      </w:r>
    </w:p>
    <w:p w14:paraId="7385D167" w14:textId="77777777" w:rsidR="00595BA4" w:rsidRPr="00B012FC" w:rsidRDefault="00595BA4" w:rsidP="00B012FC">
      <w:pPr>
        <w:pStyle w:val="ListBullet"/>
      </w:pPr>
      <w:r w:rsidRPr="00B012FC">
        <w:t xml:space="preserve">the 6 public submission received in response to the </w:t>
      </w:r>
      <w:hyperlink r:id="rId20" w:history="1">
        <w:r w:rsidRPr="00B012FC">
          <w:t>interim decision consultation</w:t>
        </w:r>
      </w:hyperlink>
      <w:r w:rsidRPr="00B012FC">
        <w:t xml:space="preserve"> under regulation 42ZCZP of the Regulations</w:t>
      </w:r>
    </w:p>
    <w:p w14:paraId="6FBF5A25" w14:textId="77777777" w:rsidR="00595BA4" w:rsidRPr="00B012FC" w:rsidRDefault="00595BA4" w:rsidP="00B012FC">
      <w:pPr>
        <w:pStyle w:val="ListBullet"/>
      </w:pPr>
      <w:r w:rsidRPr="00B012FC">
        <w:t>subsection 52E(1)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1AF235DB" w14:textId="77777777" w:rsidR="00595BA4" w:rsidRPr="00B012FC" w:rsidRDefault="00595BA4" w:rsidP="00B012FC">
      <w:pPr>
        <w:pStyle w:val="ListBullet"/>
      </w:pPr>
      <w:r w:rsidRPr="00B012FC">
        <w:t>pursuant to paragraph 52E(2)(a) of the Act, the SPF, and</w:t>
      </w:r>
    </w:p>
    <w:p w14:paraId="5908C223" w14:textId="77777777" w:rsidR="00595BA4" w:rsidRPr="00B012FC" w:rsidRDefault="00595BA4" w:rsidP="00B012FC">
      <w:pPr>
        <w:pStyle w:val="ListBullet"/>
      </w:pPr>
      <w:r w:rsidRPr="00B012FC">
        <w:t>the Handbook. and</w:t>
      </w:r>
    </w:p>
    <w:p w14:paraId="400C9FAB" w14:textId="77777777" w:rsidR="00595BA4" w:rsidRPr="00B012FC" w:rsidRDefault="00595BA4" w:rsidP="00B012FC">
      <w:pPr>
        <w:pStyle w:val="ListBullet"/>
      </w:pPr>
      <w:r w:rsidRPr="00B012FC">
        <w:lastRenderedPageBreak/>
        <w:t xml:space="preserve">Additional data provided by the applicant following the </w:t>
      </w:r>
      <w:hyperlink r:id="rId21" w:history="1">
        <w:r w:rsidRPr="00B012FC">
          <w:t>interim decision</w:t>
        </w:r>
      </w:hyperlink>
      <w:r w:rsidRPr="00B012FC">
        <w:t>.</w:t>
      </w:r>
    </w:p>
    <w:p w14:paraId="3F562CA0" w14:textId="77777777" w:rsidR="00595BA4" w:rsidRPr="00CE434F" w:rsidRDefault="00595BA4" w:rsidP="00CE434F">
      <w:pPr>
        <w:keepNext/>
        <w:keepLines/>
        <w:spacing w:before="360" w:line="240" w:lineRule="atLeast"/>
        <w:outlineLvl w:val="3"/>
        <w:rPr>
          <w:rFonts w:eastAsia="Cambria" w:cs="Times New Roman"/>
          <w:bCs/>
          <w:color w:val="001871"/>
          <w:sz w:val="28"/>
          <w:szCs w:val="26"/>
        </w:rPr>
      </w:pPr>
      <w:r w:rsidRPr="00CE434F">
        <w:rPr>
          <w:rFonts w:eastAsia="Cambria" w:cs="Times New Roman"/>
          <w:bCs/>
          <w:color w:val="001871"/>
          <w:sz w:val="28"/>
          <w:szCs w:val="26"/>
        </w:rPr>
        <w:t>Reasons for the final decision (including findings on material questions of fact)</w:t>
      </w:r>
    </w:p>
    <w:p w14:paraId="67FAD73B" w14:textId="77777777" w:rsidR="00595BA4" w:rsidRPr="00595BA4" w:rsidRDefault="00595BA4" w:rsidP="00595BA4">
      <w:r w:rsidRPr="00595BA4">
        <w:t xml:space="preserve">I have made a final decision to vary my interim decision to amend the current Poisons Standard with respect to dermal cosmetic preparations that contain less than 0.1% ethyl </w:t>
      </w:r>
      <w:proofErr w:type="spellStart"/>
      <w:r w:rsidRPr="00595BA4">
        <w:t>lactyl</w:t>
      </w:r>
      <w:proofErr w:type="spellEnd"/>
      <w:r w:rsidRPr="00595BA4">
        <w:t xml:space="preserve"> retinoate (ELR).</w:t>
      </w:r>
    </w:p>
    <w:p w14:paraId="1D1FDBDC" w14:textId="77777777" w:rsidR="00595BA4" w:rsidRPr="00595BA4" w:rsidRDefault="00595BA4" w:rsidP="00595BA4">
      <w:r w:rsidRPr="00595BA4">
        <w:t xml:space="preserve">In making my final decision, I have </w:t>
      </w:r>
      <w:proofErr w:type="gramStart"/>
      <w:r w:rsidRPr="00595BA4">
        <w:t>taken into account</w:t>
      </w:r>
      <w:proofErr w:type="gramEnd"/>
      <w:r w:rsidRPr="00595BA4">
        <w:t xml:space="preserve"> the information previously considered in the interim decision, </w:t>
      </w:r>
      <w:r w:rsidRPr="00595BA4">
        <w:rPr>
          <w:rFonts w:cs="Arial"/>
        </w:rPr>
        <w:t>additional data and clarification provided by the applicant following the interim decision</w:t>
      </w:r>
      <w:r w:rsidRPr="00595BA4">
        <w:t>, and the 6 public submissions which were received via public consultation on the interim decision.</w:t>
      </w:r>
    </w:p>
    <w:p w14:paraId="6A425033" w14:textId="77777777" w:rsidR="00595BA4" w:rsidRPr="00595BA4" w:rsidRDefault="00595BA4" w:rsidP="00595BA4">
      <w:r w:rsidRPr="00595BA4">
        <w:t>ELR is structurally related to, but distinct from, tretinoin, which is classified as a Prescription-only medicine (Schedule 4) due to the potential developmental toxicity for a growing foetus. ELR is currently scheduled under the tretinoin entry as it is a derivative of tretinoin.</w:t>
      </w:r>
    </w:p>
    <w:p w14:paraId="0D0BA719" w14:textId="77777777" w:rsidR="00595BA4" w:rsidRPr="00595BA4" w:rsidRDefault="00595BA4" w:rsidP="00595BA4">
      <w:r w:rsidRPr="00595BA4">
        <w:t>The interim decision not to amend the Poisons Standard was in alignment with the Committee recommendations. The reasons for the interim decision included the lack of data, in particular evidence that ELR doesn’t hydrolyse into retinoic acid. Retinoic acid is of major concern to human health and safety due to its known ability to cause developmental and reproductive toxicity in a developing foetus following exposure to the expectant mother. In the absence of available information regarding teratogenicity and no clear history of safe use, especially in pregnant women, there was insufficient evidence to support a lower risk to users than tretinoin.</w:t>
      </w:r>
    </w:p>
    <w:p w14:paraId="13161325" w14:textId="77777777" w:rsidR="00595BA4" w:rsidRPr="00595BA4" w:rsidRDefault="00595BA4" w:rsidP="00595BA4">
      <w:r w:rsidRPr="00595BA4">
        <w:t>Two submissions were received in favour of the interim decision, while the other 4 submissions were in opposition, with a written component.</w:t>
      </w:r>
    </w:p>
    <w:p w14:paraId="50E93A99" w14:textId="77777777" w:rsidR="00595BA4" w:rsidRPr="00595BA4" w:rsidRDefault="00595BA4" w:rsidP="00595BA4">
      <w:r w:rsidRPr="00595BA4">
        <w:t>The submissions in support of retaining ELR under Schedule 4 of the Poisons Standard were concerned that the lack of safety data in pregnant women might put consumers and their foetus(es) at risk if it was made available in cosmetic preparations and emphasising the need for professional medical oversight.</w:t>
      </w:r>
    </w:p>
    <w:p w14:paraId="1E79D65A" w14:textId="77777777" w:rsidR="00595BA4" w:rsidRPr="00595BA4" w:rsidRDefault="00595BA4" w:rsidP="00595BA4">
      <w:r w:rsidRPr="00595BA4">
        <w:t>The submissions supporting the removal of low dose topical preparations of ELR from the Schedule 4 entry provided substantial data packages including clinical studies, expert statements, and published research articles to support the argument that preparations of ELR with a concentration less than 0.1% for use in cosmetic preparations would be unlikely to pose a significant risk to human health.</w:t>
      </w:r>
    </w:p>
    <w:p w14:paraId="4320FB35" w14:textId="77777777" w:rsidR="00595BA4" w:rsidRPr="00595BA4" w:rsidRDefault="00595BA4" w:rsidP="00595BA4">
      <w:r w:rsidRPr="00595BA4">
        <w:t xml:space="preserve">One submission also highlighted that the interim decision would result in different regulatory controls than exist in other jurisdictions such as the European Union. </w:t>
      </w:r>
    </w:p>
    <w:p w14:paraId="63520927" w14:textId="77777777" w:rsidR="00595BA4" w:rsidRPr="00595BA4" w:rsidRDefault="00595BA4" w:rsidP="00595BA4">
      <w:r w:rsidRPr="00595BA4">
        <w:t>Regarding s 52E(1)(a) and (b) of the Act, I note that ELR has been widely available internationally in cosmetic products where it is promoted to improve the appearance of skin. ELR is a synthetically derived molecule that combines alpha hydroxy acids with a retinoid conjugate.</w:t>
      </w:r>
    </w:p>
    <w:p w14:paraId="5D360265" w14:textId="77777777" w:rsidR="00595BA4" w:rsidRPr="00595BA4" w:rsidRDefault="00595BA4" w:rsidP="00595BA4">
      <w:r w:rsidRPr="00595BA4">
        <w:t>The expert statement and additional information from the applicant inferred that there were no adverse events reported in the use of the products containing ELR from the supply of over 6.2 million units sold internationally between 2015 and 2024.</w:t>
      </w:r>
    </w:p>
    <w:p w14:paraId="7C06C5BD" w14:textId="77777777" w:rsidR="00595BA4" w:rsidRPr="00595BA4" w:rsidRDefault="00595BA4" w:rsidP="00595BA4">
      <w:r w:rsidRPr="00595BA4">
        <w:t xml:space="preserve">In relation to s 52E(1) (b), (c), and (d) of the Act, I acknowledge that the proposed 0.1% cut-off exemption to the Schedule 4 entry for tretinoin is based on typical product concentrations from available overseas formulations. According to the clinical data including </w:t>
      </w:r>
      <w:r w:rsidRPr="00595BA4">
        <w:rPr>
          <w:rFonts w:cs="Arial"/>
        </w:rPr>
        <w:t>Human Repeat Insult Patch Tests</w:t>
      </w:r>
      <w:r w:rsidRPr="00595BA4">
        <w:t xml:space="preserve"> (HRIPT), tolerability and efficacy studies 0.1% is the typical ELR concentration in the cosmetic products tested. Clinical studies reported minimal skin irritation and no skin sensitisation from HRIPT and maximisation tests, supporting the local tolerability and safety of cosmetic formulations containing less of 0.1% ELR (supplied in-confidence).</w:t>
      </w:r>
    </w:p>
    <w:p w14:paraId="2ADCD6D4" w14:textId="77777777" w:rsidR="00595BA4" w:rsidRPr="00595BA4" w:rsidRDefault="00595BA4" w:rsidP="00595BA4">
      <w:r w:rsidRPr="00595BA4">
        <w:t xml:space="preserve">The key issues regarding the systemic toxicity of ELR include the quality or lack of information about the level of dermal absorption of ELR; the potential for </w:t>
      </w:r>
      <w:r w:rsidRPr="00595BA4">
        <w:rPr>
          <w:i/>
          <w:iCs/>
        </w:rPr>
        <w:t>in vivo</w:t>
      </w:r>
      <w:r w:rsidRPr="00595BA4">
        <w:t xml:space="preserve"> conversion of ELR to the known teratogen all </w:t>
      </w:r>
      <w:r w:rsidRPr="00595BA4">
        <w:rPr>
          <w:i/>
          <w:iCs/>
        </w:rPr>
        <w:t>trans</w:t>
      </w:r>
      <w:r w:rsidRPr="00595BA4">
        <w:t>-retinoic acid (ATRA); and the potential for ELR to induce teratogenicity in pregnant users of products containing ELR. The applicant has provided further information and clarification with respect to these issues.</w:t>
      </w:r>
    </w:p>
    <w:p w14:paraId="752A3D88" w14:textId="77777777" w:rsidR="00595BA4" w:rsidRPr="00595BA4" w:rsidRDefault="00595BA4" w:rsidP="00595BA4">
      <w:pPr>
        <w:spacing w:before="120" w:line="240" w:lineRule="atLeast"/>
        <w:rPr>
          <w:rFonts w:eastAsia="Cambria" w:cs="Arial"/>
          <w:color w:val="auto"/>
        </w:rPr>
      </w:pPr>
      <w:r w:rsidRPr="00595BA4">
        <w:rPr>
          <w:rFonts w:eastAsia="Cambria" w:cstheme="minorHAnsi"/>
        </w:rPr>
        <w:lastRenderedPageBreak/>
        <w:t xml:space="preserve">An </w:t>
      </w:r>
      <w:r w:rsidRPr="00595BA4">
        <w:rPr>
          <w:rFonts w:eastAsia="Cambria" w:cstheme="minorHAnsi"/>
          <w:i/>
          <w:iCs/>
        </w:rPr>
        <w:t>ex vivo</w:t>
      </w:r>
      <w:r w:rsidRPr="00595BA4">
        <w:rPr>
          <w:rFonts w:eastAsia="Cambria" w:cstheme="minorHAnsi"/>
        </w:rPr>
        <w:t xml:space="preserve"> skin absorption study (OECD TG 428 with study deviations) indicated that ELR has low skin absorption (0.03–0.04%) and is metabolised primarily to </w:t>
      </w:r>
      <w:proofErr w:type="spellStart"/>
      <w:r w:rsidRPr="00595BA4">
        <w:rPr>
          <w:rFonts w:eastAsia="Cambria" w:cstheme="minorHAnsi"/>
        </w:rPr>
        <w:t>lactyl</w:t>
      </w:r>
      <w:proofErr w:type="spellEnd"/>
      <w:r w:rsidRPr="00595BA4">
        <w:rPr>
          <w:rFonts w:eastAsia="Cambria" w:cstheme="minorHAnsi"/>
        </w:rPr>
        <w:t xml:space="preserve"> retinoate (supplied in-confidence). Metabolism to retinoic acid was not detected, </w:t>
      </w:r>
      <w:r w:rsidRPr="00595BA4">
        <w:rPr>
          <w:rFonts w:eastAsia="Cambria" w:cs="Arial"/>
        </w:rPr>
        <w:t>although an unidentified metabolite, potentially a hydroxylated derivative, was also observed</w:t>
      </w:r>
      <w:r w:rsidRPr="00595BA4">
        <w:rPr>
          <w:rFonts w:eastAsia="Cambria" w:cstheme="minorHAnsi"/>
        </w:rPr>
        <w:t>. A</w:t>
      </w:r>
      <w:r w:rsidRPr="00595BA4">
        <w:rPr>
          <w:rFonts w:eastAsia="Cambria" w:cs="Arial"/>
          <w:color w:val="auto"/>
        </w:rPr>
        <w:t xml:space="preserve">n </w:t>
      </w:r>
      <w:r w:rsidRPr="00595BA4">
        <w:rPr>
          <w:rFonts w:eastAsia="Cambria" w:cs="Arial"/>
          <w:i/>
          <w:iCs/>
          <w:color w:val="auto"/>
        </w:rPr>
        <w:t>in vitro</w:t>
      </w:r>
      <w:r w:rsidRPr="00595BA4">
        <w:rPr>
          <w:rFonts w:eastAsia="Cambria" w:cs="Arial"/>
          <w:color w:val="auto"/>
        </w:rPr>
        <w:t xml:space="preserve"> enzymatic hydrolysis test in foetal bovine serum confirmed a low probability of ELR conversion to retinoic acid in the presence of serum enzyme. This effect was likely to be the result of steric hindrance of the ethyl </w:t>
      </w:r>
      <w:proofErr w:type="spellStart"/>
      <w:r w:rsidRPr="00595BA4">
        <w:rPr>
          <w:rFonts w:eastAsia="Cambria" w:cs="Arial"/>
          <w:color w:val="auto"/>
        </w:rPr>
        <w:t>lactyl</w:t>
      </w:r>
      <w:proofErr w:type="spellEnd"/>
      <w:r w:rsidRPr="00595BA4">
        <w:rPr>
          <w:rFonts w:eastAsia="Cambria" w:cs="Arial"/>
          <w:color w:val="auto"/>
        </w:rPr>
        <w:t xml:space="preserve"> group. An additional </w:t>
      </w:r>
      <w:r w:rsidRPr="00595BA4">
        <w:rPr>
          <w:rFonts w:eastAsia="Cambria" w:cs="Arial"/>
          <w:i/>
          <w:iCs/>
          <w:color w:val="auto"/>
        </w:rPr>
        <w:t>in vitro</w:t>
      </w:r>
      <w:r w:rsidRPr="00595BA4">
        <w:rPr>
          <w:rFonts w:eastAsia="Cambria" w:cs="Arial"/>
          <w:color w:val="auto"/>
        </w:rPr>
        <w:t xml:space="preserve"> study utilising human liver and epidermis (</w:t>
      </w:r>
      <w:proofErr w:type="spellStart"/>
      <w:r w:rsidRPr="00595BA4">
        <w:rPr>
          <w:rFonts w:eastAsia="Cambria" w:cs="Arial"/>
          <w:color w:val="auto"/>
        </w:rPr>
        <w:t>EpiSkin</w:t>
      </w:r>
      <w:proofErr w:type="spellEnd"/>
      <w:r w:rsidRPr="00595BA4">
        <w:rPr>
          <w:rFonts w:eastAsia="Cambria" w:cs="Arial"/>
          <w:color w:val="auto"/>
        </w:rPr>
        <w:t>) S9 subcellular fractions, found that ELR was metabolised in the liver (t</w:t>
      </w:r>
      <w:r w:rsidRPr="00595BA4">
        <w:rPr>
          <w:rFonts w:eastAsia="Cambria" w:cs="Arial"/>
          <w:color w:val="auto"/>
          <w:vertAlign w:val="subscript"/>
        </w:rPr>
        <w:t>½</w:t>
      </w:r>
      <w:r w:rsidRPr="00595BA4">
        <w:rPr>
          <w:rFonts w:eastAsia="Cambria" w:cs="Arial"/>
          <w:color w:val="auto"/>
        </w:rPr>
        <w:t xml:space="preserve"> = 119 minutes) and skin (t</w:t>
      </w:r>
      <w:r w:rsidRPr="00595BA4">
        <w:rPr>
          <w:rFonts w:eastAsia="Cambria" w:cs="Arial"/>
          <w:color w:val="auto"/>
          <w:vertAlign w:val="subscript"/>
        </w:rPr>
        <w:t>½</w:t>
      </w:r>
      <w:r w:rsidRPr="00595BA4">
        <w:rPr>
          <w:rFonts w:eastAsia="Cambria" w:cs="Arial"/>
          <w:color w:val="auto"/>
        </w:rPr>
        <w:t xml:space="preserve"> &gt; 240 minutes) via an esterase pathway, and </w:t>
      </w:r>
      <w:proofErr w:type="spellStart"/>
      <w:r w:rsidRPr="00595BA4">
        <w:rPr>
          <w:rFonts w:eastAsia="Cambria" w:cs="Arial"/>
          <w:color w:val="auto"/>
        </w:rPr>
        <w:t>lactyl</w:t>
      </w:r>
      <w:proofErr w:type="spellEnd"/>
      <w:r w:rsidRPr="00595BA4">
        <w:rPr>
          <w:rFonts w:eastAsia="Cambria" w:cs="Arial"/>
          <w:color w:val="auto"/>
        </w:rPr>
        <w:t xml:space="preserve"> retinoate (73.26% in liver S9; 7.74% in skin S9) and a hydroxylated derivative (8.06% in liver S9; 1.05% in skin S9) were the main metabolites. Furthermore, retinoic acid was not detected in this study (LOD 120 </w:t>
      </w:r>
      <w:proofErr w:type="spellStart"/>
      <w:r w:rsidRPr="00595BA4">
        <w:rPr>
          <w:rFonts w:eastAsia="Cambria" w:cs="Arial"/>
          <w:color w:val="auto"/>
        </w:rPr>
        <w:t>nM</w:t>
      </w:r>
      <w:proofErr w:type="spellEnd"/>
      <w:r w:rsidRPr="00595BA4">
        <w:rPr>
          <w:rFonts w:eastAsia="Cambria" w:cs="Arial"/>
          <w:color w:val="auto"/>
        </w:rPr>
        <w:t xml:space="preserve">) </w:t>
      </w:r>
      <w:r w:rsidRPr="00595BA4">
        <w:rPr>
          <w:rFonts w:eastAsia="Cambria" w:cstheme="minorHAnsi"/>
        </w:rPr>
        <w:t>(supplied in-confidence)</w:t>
      </w:r>
      <w:r w:rsidRPr="00595BA4">
        <w:rPr>
          <w:rFonts w:eastAsia="Cambria" w:cs="Arial"/>
          <w:color w:val="auto"/>
        </w:rPr>
        <w:t>.</w:t>
      </w:r>
    </w:p>
    <w:p w14:paraId="70878549" w14:textId="77777777" w:rsidR="00595BA4" w:rsidRPr="00595BA4" w:rsidRDefault="00595BA4" w:rsidP="00595BA4">
      <w:r w:rsidRPr="00595BA4">
        <w:t>Some submissions expressed concern that ELR may theoretically bind to retinoic acid receptors (RAR and RXR) or convert to retinoic acid through hydrolysis. However, in a study examining the gene expression in cultured human keratinocytes following 6 hours of incubation with either of ELR, retinal or retinol, no statistically significant increase in the relative gene expression profiles of ELR compared to the other retinoids and controls (supplied in-confidence). While the study was not designed to qualify the downstream retinoid protein synthesis within these cell cultures, the data indicate minimal retinoic acid receptor binding affinity for ELR.</w:t>
      </w:r>
    </w:p>
    <w:p w14:paraId="1A113D87" w14:textId="77777777" w:rsidR="00595BA4" w:rsidRPr="00595BA4" w:rsidRDefault="00595BA4" w:rsidP="00595BA4">
      <w:r w:rsidRPr="00595BA4">
        <w:t xml:space="preserve">The developmental toxicity potential of ELR and ATRA were examined using the </w:t>
      </w:r>
      <w:proofErr w:type="spellStart"/>
      <w:r w:rsidRPr="00595BA4">
        <w:t>devTox</w:t>
      </w:r>
      <w:proofErr w:type="spellEnd"/>
      <w:r w:rsidRPr="00595BA4">
        <w:t xml:space="preserve"> </w:t>
      </w:r>
      <w:proofErr w:type="spellStart"/>
      <w:r w:rsidRPr="00595BA4">
        <w:t>quickPredict</w:t>
      </w:r>
      <w:proofErr w:type="spellEnd"/>
      <w:r w:rsidRPr="00595BA4">
        <w:t xml:space="preserve"> assay with induced human pluripotent stem cells. This method measures metabolic changes in ornithine and cystine (expressed as the o/c ratio) where a decrease in the o/c ratio below a threshold (0.85) indicates developmental toxicity potential (</w:t>
      </w:r>
      <w:proofErr w:type="spellStart"/>
      <w:r w:rsidRPr="00595BA4">
        <w:t>dTP</w:t>
      </w:r>
      <w:proofErr w:type="spellEnd"/>
      <w:r w:rsidRPr="00595BA4">
        <w:t xml:space="preserve">) at or above the predicted </w:t>
      </w:r>
      <w:proofErr w:type="spellStart"/>
      <w:r w:rsidRPr="00595BA4">
        <w:t>dTP</w:t>
      </w:r>
      <w:proofErr w:type="spellEnd"/>
      <w:r w:rsidRPr="00595BA4">
        <w:t xml:space="preserve"> concentration. This additional </w:t>
      </w:r>
      <w:r w:rsidRPr="00595BA4">
        <w:rPr>
          <w:i/>
          <w:iCs/>
        </w:rPr>
        <w:t>in vitro</w:t>
      </w:r>
      <w:r w:rsidRPr="00595BA4">
        <w:t xml:space="preserve"> data provided by the applicant showed </w:t>
      </w:r>
      <w:proofErr w:type="spellStart"/>
      <w:r w:rsidRPr="00595BA4">
        <w:t>dTP</w:t>
      </w:r>
      <w:proofErr w:type="spellEnd"/>
      <w:r w:rsidRPr="00595BA4">
        <w:t xml:space="preserve"> but only at high concentrations of ELR, and at approximately 100-fold less potency than retinoic acid.</w:t>
      </w:r>
      <w:r w:rsidRPr="00595BA4">
        <w:rPr>
          <w:vertAlign w:val="superscript"/>
        </w:rPr>
        <w:footnoteReference w:id="3"/>
      </w:r>
      <w:r w:rsidRPr="00595BA4">
        <w:t xml:space="preserve"> This information further supports the contention that there is minimal conversion or metabolism of ELR to retinoic acid.</w:t>
      </w:r>
    </w:p>
    <w:p w14:paraId="22722F33" w14:textId="22318285" w:rsidR="00595BA4" w:rsidRPr="00595BA4" w:rsidRDefault="00595BA4" w:rsidP="00595BA4">
      <w:pPr>
        <w:spacing w:after="160"/>
        <w:rPr>
          <w:rFonts w:cs="Arial"/>
        </w:rPr>
      </w:pPr>
      <w:r w:rsidRPr="00595BA4">
        <w:t xml:space="preserve">Overall, </w:t>
      </w:r>
      <w:r w:rsidRPr="00595BA4">
        <w:rPr>
          <w:rFonts w:cs="Arial"/>
        </w:rPr>
        <w:t xml:space="preserve">I am of the view that the additional data and clarification provided by the applicant in their submission following the interim decision, is sufficient to support the contention that the risks of </w:t>
      </w:r>
      <w:r w:rsidRPr="00595BA4">
        <w:rPr>
          <w:noProof/>
          <w:lang w:eastAsia="en-AU"/>
        </w:rPr>
        <w:t>ELR use when used at 0.1% or less in cosmetic formulations are low. I am also of the opinion that there is limited data available at this time to determine the risks at concentrations greater than 0.1%. Moreover, ongoing monitoring of the scientific and medical literature for any adverse consumer reports associated with the use of retinoids including ELR, would be prudent.</w:t>
      </w:r>
    </w:p>
    <w:p w14:paraId="11897220" w14:textId="0AC95664" w:rsidR="00595BA4" w:rsidRPr="00595BA4" w:rsidRDefault="00595BA4" w:rsidP="00595BA4">
      <w:pPr>
        <w:rPr>
          <w:noProof/>
          <w:lang w:eastAsia="en-AU"/>
        </w:rPr>
      </w:pPr>
      <w:r w:rsidRPr="00595BA4">
        <w:t xml:space="preserve">In conclusion, I have made the final decision to exempt </w:t>
      </w:r>
      <w:r w:rsidRPr="00595BA4">
        <w:rPr>
          <w:noProof/>
          <w:lang w:eastAsia="en-AU"/>
        </w:rPr>
        <w:t xml:space="preserve">dermal cosmetic preparations containing 0.1% or less of ELR from the Schedule 4 entry for tretinoin. </w:t>
      </w:r>
    </w:p>
    <w:p w14:paraId="60EBEABF" w14:textId="77777777" w:rsidR="00595BA4" w:rsidRPr="00CE434F" w:rsidRDefault="00595BA4" w:rsidP="00CE434F">
      <w:pPr>
        <w:keepNext/>
        <w:keepLines/>
        <w:spacing w:before="360" w:line="240" w:lineRule="atLeast"/>
        <w:outlineLvl w:val="3"/>
        <w:rPr>
          <w:rFonts w:eastAsia="Cambria" w:cs="Times New Roman"/>
          <w:bCs/>
          <w:color w:val="001871"/>
          <w:sz w:val="28"/>
          <w:szCs w:val="26"/>
        </w:rPr>
      </w:pPr>
      <w:r w:rsidRPr="00CE434F">
        <w:rPr>
          <w:rFonts w:eastAsia="Cambria" w:cs="Times New Roman"/>
          <w:bCs/>
          <w:color w:val="001871"/>
          <w:sz w:val="28"/>
          <w:szCs w:val="26"/>
        </w:rPr>
        <w:t xml:space="preserve">Implementation date </w:t>
      </w:r>
    </w:p>
    <w:p w14:paraId="47C66667" w14:textId="55999945" w:rsidR="00345035" w:rsidRPr="00345035" w:rsidRDefault="00595BA4" w:rsidP="00595BA4">
      <w:r w:rsidRPr="00595BA4">
        <w:rPr>
          <w:rFonts w:cs="Arial"/>
        </w:rPr>
        <w:t>1 February 2026</w:t>
      </w:r>
    </w:p>
    <w:p w14:paraId="4F6D0BAD" w14:textId="3EA5CFF7" w:rsidR="00B63FDD" w:rsidRPr="00B63FDD" w:rsidRDefault="00B63FDD" w:rsidP="00AC5187">
      <w:pPr>
        <w:pStyle w:val="Heading2"/>
      </w:pPr>
      <w:bookmarkStart w:id="7" w:name="_Toc219385675"/>
      <w:r w:rsidRPr="00B63FDD">
        <w:lastRenderedPageBreak/>
        <w:t xml:space="preserve">Final decision on </w:t>
      </w:r>
      <w:r w:rsidR="00CE434F">
        <w:t xml:space="preserve">a </w:t>
      </w:r>
      <w:r w:rsidRPr="00B63FDD">
        <w:t>proposed amendment referred to the Advisory Committee on Medicines and Chemicals Scheduling in joint session (Joint ACMS-ACCS #3</w:t>
      </w:r>
      <w:r>
        <w:t>7</w:t>
      </w:r>
      <w:r w:rsidRPr="00B63FDD">
        <w:t xml:space="preserve">, </w:t>
      </w:r>
      <w:r>
        <w:t>June</w:t>
      </w:r>
      <w:r w:rsidRPr="00B63FDD">
        <w:t xml:space="preserve"> 2024)</w:t>
      </w:r>
      <w:bookmarkEnd w:id="3"/>
      <w:bookmarkEnd w:id="7"/>
    </w:p>
    <w:p w14:paraId="1A33BE4D" w14:textId="1FF72212" w:rsidR="00D409DA" w:rsidRDefault="00D409DA" w:rsidP="001A5880">
      <w:pPr>
        <w:pStyle w:val="Heading3"/>
      </w:pPr>
      <w:bookmarkStart w:id="8" w:name="_Toc219385676"/>
      <w:r>
        <w:t xml:space="preserve">Final decision in relation to </w:t>
      </w:r>
      <w:r w:rsidR="00C76599">
        <w:t>intravenous potassium</w:t>
      </w:r>
      <w:r w:rsidR="0031281E">
        <w:t xml:space="preserve"> salts</w:t>
      </w:r>
      <w:bookmarkEnd w:id="8"/>
    </w:p>
    <w:p w14:paraId="4E185954" w14:textId="77777777" w:rsidR="00D409DA" w:rsidRPr="00CE434F" w:rsidRDefault="00D409DA" w:rsidP="00CE434F">
      <w:pPr>
        <w:keepNext/>
        <w:keepLines/>
        <w:spacing w:before="360" w:line="240" w:lineRule="atLeast"/>
        <w:outlineLvl w:val="3"/>
        <w:rPr>
          <w:rFonts w:eastAsia="Cambria" w:cs="Times New Roman"/>
          <w:bCs/>
          <w:color w:val="001871"/>
          <w:sz w:val="28"/>
          <w:szCs w:val="26"/>
        </w:rPr>
      </w:pPr>
      <w:r w:rsidRPr="00CE434F">
        <w:rPr>
          <w:rFonts w:eastAsia="Cambria" w:cs="Times New Roman"/>
          <w:bCs/>
          <w:color w:val="001871"/>
          <w:sz w:val="28"/>
          <w:szCs w:val="26"/>
        </w:rPr>
        <w:t>Proposal</w:t>
      </w:r>
    </w:p>
    <w:p w14:paraId="1727BEB0" w14:textId="794AE5B0" w:rsidR="00D409DA" w:rsidRPr="00E951D8" w:rsidRDefault="0031281E" w:rsidP="00D409DA">
      <w:pPr>
        <w:rPr>
          <w:b/>
          <w:bCs/>
          <w:i/>
        </w:rPr>
      </w:pPr>
      <w:r w:rsidRPr="0031281E">
        <w:t>The Delegate received an application to create a new Prescription</w:t>
      </w:r>
      <w:r w:rsidR="00437DCC">
        <w:t>-o</w:t>
      </w:r>
      <w:r w:rsidRPr="0031281E">
        <w:t>nly medicine (Schedule 4) entry for preparations of potassium salts for injection or infusion. Potassium salts for intravenous (IV) administration are currently unscheduled.</w:t>
      </w:r>
    </w:p>
    <w:p w14:paraId="6ACB313D" w14:textId="2DB703E6" w:rsidR="00D409DA" w:rsidRPr="00CE434F" w:rsidRDefault="00D409DA" w:rsidP="00CE434F">
      <w:pPr>
        <w:keepNext/>
        <w:keepLines/>
        <w:spacing w:before="360" w:line="240" w:lineRule="atLeast"/>
        <w:outlineLvl w:val="3"/>
        <w:rPr>
          <w:rFonts w:eastAsia="Cambria" w:cs="Times New Roman"/>
          <w:bCs/>
          <w:color w:val="001871"/>
          <w:sz w:val="28"/>
          <w:szCs w:val="26"/>
        </w:rPr>
      </w:pPr>
      <w:r w:rsidRPr="00CE434F">
        <w:rPr>
          <w:rFonts w:eastAsia="Cambria" w:cs="Times New Roman"/>
          <w:bCs/>
          <w:color w:val="001871"/>
          <w:sz w:val="28"/>
          <w:szCs w:val="26"/>
        </w:rPr>
        <w:t>Final decision</w:t>
      </w:r>
    </w:p>
    <w:p w14:paraId="102CE00F" w14:textId="06071658" w:rsidR="00D409DA" w:rsidRDefault="00D409DA" w:rsidP="00D409DA">
      <w:r w:rsidRPr="00967490">
        <w:t xml:space="preserve">Pursuant to regulation </w:t>
      </w:r>
      <w:r w:rsidR="00C14A17" w:rsidRPr="00967490">
        <w:t>42ZCZ</w:t>
      </w:r>
      <w:r w:rsidR="00C14A17">
        <w:t>U</w:t>
      </w:r>
      <w:r w:rsidR="00C14A17" w:rsidRPr="00967490">
        <w:t xml:space="preserve"> </w:t>
      </w:r>
      <w:r w:rsidRPr="00967490">
        <w:t xml:space="preserve">of the Regulations, the Delegate has made a final </w:t>
      </w:r>
      <w:r w:rsidRPr="00C90AA1">
        <w:t xml:space="preserve">decision to </w:t>
      </w:r>
      <w:r w:rsidR="00E33137">
        <w:t xml:space="preserve">revise </w:t>
      </w:r>
      <w:r w:rsidRPr="00967490">
        <w:t xml:space="preserve">the interim </w:t>
      </w:r>
      <w:r w:rsidRPr="00E70A38">
        <w:t xml:space="preserve">decision and amend the current Poisons Standard in relation to </w:t>
      </w:r>
      <w:r w:rsidR="001261B3">
        <w:t>potassium salts</w:t>
      </w:r>
      <w:r w:rsidRPr="00E70A38">
        <w:t xml:space="preserve"> as follows:</w:t>
      </w:r>
      <w:r w:rsidR="001C003B">
        <w:rPr>
          <w:rStyle w:val="FootnoteReference"/>
        </w:rPr>
        <w:footnoteReference w:id="4"/>
      </w:r>
    </w:p>
    <w:p w14:paraId="5BCE3BE7" w14:textId="6F84C08C" w:rsidR="008F39E9" w:rsidRDefault="008F39E9" w:rsidP="008F39E9">
      <w:pPr>
        <w:spacing w:before="100" w:beforeAutospacing="1"/>
        <w:ind w:left="425"/>
        <w:rPr>
          <w:rFonts w:cs="Arial"/>
          <w:b/>
          <w:bCs/>
        </w:rPr>
      </w:pPr>
      <w:r>
        <w:rPr>
          <w:rFonts w:cs="Arial"/>
          <w:b/>
          <w:bCs/>
        </w:rPr>
        <w:t xml:space="preserve">Schedule </w:t>
      </w:r>
      <w:r w:rsidR="001261B3">
        <w:rPr>
          <w:rFonts w:cs="Arial"/>
          <w:b/>
          <w:bCs/>
        </w:rPr>
        <w:t>4</w:t>
      </w:r>
      <w:r>
        <w:rPr>
          <w:rFonts w:cs="Arial"/>
          <w:b/>
          <w:bCs/>
        </w:rPr>
        <w:t xml:space="preserve"> – New Entry </w:t>
      </w:r>
    </w:p>
    <w:p w14:paraId="6617A547" w14:textId="77777777" w:rsidR="00AE7ACC" w:rsidRDefault="00AE7ACC" w:rsidP="00AE7ACC">
      <w:pPr>
        <w:pStyle w:val="paragraph"/>
        <w:spacing w:before="0" w:beforeAutospacing="0" w:after="0" w:afterAutospacing="0"/>
        <w:ind w:left="567"/>
        <w:textAlignment w:val="baseline"/>
        <w:rPr>
          <w:rStyle w:val="normaltextrun"/>
          <w:rFonts w:ascii="Arial" w:eastAsia="Cambria" w:hAnsi="Arial" w:cs="Arial"/>
          <w:color w:val="00B050"/>
          <w:sz w:val="20"/>
          <w:szCs w:val="20"/>
          <w:u w:val="single"/>
        </w:rPr>
      </w:pPr>
      <w:r w:rsidRPr="00594663">
        <w:rPr>
          <w:rStyle w:val="normaltextrun"/>
          <w:rFonts w:ascii="Arial" w:eastAsia="Cambria" w:hAnsi="Arial" w:cs="Arial"/>
          <w:color w:val="00B050"/>
          <w:sz w:val="20"/>
          <w:szCs w:val="20"/>
          <w:u w:val="single"/>
        </w:rPr>
        <w:t xml:space="preserve">POTASSIUM SALTS, including chloride, phosphate or acetate salts of potassium alone or in any combination, in preparations for therapeutic use for </w:t>
      </w:r>
      <w:r>
        <w:rPr>
          <w:rStyle w:val="normaltextrun"/>
          <w:rFonts w:ascii="Arial" w:eastAsia="Cambria" w:hAnsi="Arial" w:cs="Arial"/>
          <w:color w:val="00B050"/>
          <w:sz w:val="20"/>
          <w:szCs w:val="20"/>
          <w:u w:val="single"/>
        </w:rPr>
        <w:t>i</w:t>
      </w:r>
      <w:r w:rsidRPr="00594663">
        <w:rPr>
          <w:rStyle w:val="normaltextrun"/>
          <w:rFonts w:ascii="Arial" w:eastAsia="Cambria" w:hAnsi="Arial" w:cs="Arial"/>
          <w:color w:val="00B050"/>
          <w:sz w:val="20"/>
          <w:szCs w:val="20"/>
          <w:u w:val="single"/>
        </w:rPr>
        <w:t xml:space="preserve">njection or infusion </w:t>
      </w:r>
      <w:r w:rsidRPr="00594663">
        <w:rPr>
          <w:rStyle w:val="normaltextrun"/>
          <w:rFonts w:ascii="Arial" w:eastAsia="Cambria" w:hAnsi="Arial" w:cs="Arial"/>
          <w:b/>
          <w:bCs/>
          <w:color w:val="00B050"/>
          <w:sz w:val="20"/>
          <w:szCs w:val="20"/>
          <w:u w:val="single"/>
        </w:rPr>
        <w:t>except</w:t>
      </w:r>
      <w:r w:rsidRPr="00594663">
        <w:rPr>
          <w:rStyle w:val="normaltextrun"/>
          <w:rFonts w:ascii="Arial" w:eastAsia="Cambria" w:hAnsi="Arial" w:cs="Arial"/>
          <w:color w:val="00B050"/>
          <w:sz w:val="20"/>
          <w:szCs w:val="20"/>
          <w:u w:val="single"/>
        </w:rPr>
        <w:t>:</w:t>
      </w:r>
    </w:p>
    <w:p w14:paraId="1455FB1A" w14:textId="10443F24" w:rsidR="00AE7ACC" w:rsidRPr="00AE7ACC" w:rsidRDefault="00437DCC" w:rsidP="00AE7ACC">
      <w:pPr>
        <w:pStyle w:val="ListBulleta"/>
        <w:spacing w:after="0"/>
        <w:jc w:val="both"/>
        <w:rPr>
          <w:rStyle w:val="normaltextrun"/>
          <w:rFonts w:cs="Arial"/>
          <w:color w:val="00B050"/>
          <w:szCs w:val="20"/>
          <w:u w:val="single"/>
        </w:rPr>
      </w:pPr>
      <w:r>
        <w:rPr>
          <w:rStyle w:val="normaltextrun"/>
          <w:rFonts w:eastAsia="Cambria" w:cs="Arial"/>
          <w:color w:val="00B050"/>
          <w:szCs w:val="20"/>
          <w:u w:val="single"/>
        </w:rPr>
        <w:t xml:space="preserve">in preparations </w:t>
      </w:r>
      <w:r w:rsidR="00AE7ACC" w:rsidRPr="00AE7ACC">
        <w:rPr>
          <w:rStyle w:val="normaltextrun"/>
          <w:rFonts w:eastAsia="Cambria" w:cs="Arial"/>
          <w:color w:val="00B050"/>
          <w:szCs w:val="20"/>
          <w:u w:val="single"/>
        </w:rPr>
        <w:t xml:space="preserve">with a concentration of less than 10 mmol/100 mL of potassium; </w:t>
      </w:r>
      <w:r>
        <w:rPr>
          <w:rStyle w:val="normaltextrun"/>
          <w:rFonts w:eastAsia="Cambria" w:cs="Arial"/>
          <w:color w:val="00B050"/>
          <w:szCs w:val="20"/>
          <w:u w:val="single"/>
        </w:rPr>
        <w:t>or</w:t>
      </w:r>
    </w:p>
    <w:p w14:paraId="2F3AB018" w14:textId="26701464" w:rsidR="008F39E9" w:rsidRPr="00D31A6B" w:rsidRDefault="00437DCC" w:rsidP="00D31A6B">
      <w:pPr>
        <w:pStyle w:val="ListBulleta"/>
        <w:jc w:val="both"/>
        <w:rPr>
          <w:rFonts w:cs="Arial"/>
          <w:color w:val="00B050"/>
          <w:szCs w:val="20"/>
          <w:u w:val="single"/>
        </w:rPr>
      </w:pPr>
      <w:r>
        <w:rPr>
          <w:rStyle w:val="normaltextrun"/>
          <w:rFonts w:eastAsia="Cambria" w:cs="Arial"/>
          <w:color w:val="00B050"/>
          <w:szCs w:val="20"/>
          <w:u w:val="single"/>
        </w:rPr>
        <w:t xml:space="preserve">in preparations </w:t>
      </w:r>
      <w:r w:rsidR="00D31A6B">
        <w:rPr>
          <w:rStyle w:val="normaltextrun"/>
          <w:rFonts w:eastAsia="Cambria" w:cs="Arial"/>
          <w:color w:val="00B050"/>
          <w:szCs w:val="20"/>
          <w:u w:val="single"/>
        </w:rPr>
        <w:t xml:space="preserve">in </w:t>
      </w:r>
      <w:r w:rsidR="00AE7ACC" w:rsidRPr="00AE7ACC">
        <w:rPr>
          <w:rStyle w:val="normaltextrun"/>
          <w:rFonts w:eastAsia="Cambria" w:cs="Arial"/>
          <w:color w:val="00B050"/>
          <w:szCs w:val="20"/>
          <w:u w:val="single"/>
        </w:rPr>
        <w:t>pre-mixed infusion bags</w:t>
      </w:r>
    </w:p>
    <w:p w14:paraId="79824A0E" w14:textId="77777777" w:rsidR="008F39E9" w:rsidRPr="00C34F1B" w:rsidRDefault="008F39E9" w:rsidP="008F39E9">
      <w:pPr>
        <w:ind w:left="425"/>
      </w:pPr>
      <w:r w:rsidRPr="00B653E0">
        <w:rPr>
          <w:b/>
          <w:bCs/>
        </w:rPr>
        <w:t>Index – Amend entry</w:t>
      </w:r>
    </w:p>
    <w:p w14:paraId="2FD85C06" w14:textId="25371269" w:rsidR="008903F8" w:rsidRPr="008903F8" w:rsidRDefault="008903F8" w:rsidP="008903F8">
      <w:pPr>
        <w:spacing w:after="0" w:line="240" w:lineRule="auto"/>
        <w:ind w:left="567"/>
        <w:textAlignment w:val="baseline"/>
        <w:rPr>
          <w:rFonts w:eastAsia="Times New Roman" w:cs="Arial"/>
          <w:color w:val="000000"/>
          <w:szCs w:val="20"/>
          <w:lang w:eastAsia="en-AU"/>
        </w:rPr>
      </w:pPr>
      <w:r w:rsidRPr="008903F8">
        <w:rPr>
          <w:rFonts w:eastAsia="Cambria" w:cs="Arial"/>
          <w:color w:val="00B050"/>
          <w:szCs w:val="20"/>
          <w:u w:val="single"/>
          <w:lang w:eastAsia="en-AU"/>
        </w:rPr>
        <w:t>POTASSIUM SALTS</w:t>
      </w:r>
    </w:p>
    <w:p w14:paraId="473470A5" w14:textId="77777777" w:rsidR="008903F8" w:rsidRDefault="008903F8" w:rsidP="008903F8">
      <w:pPr>
        <w:spacing w:line="240" w:lineRule="auto"/>
        <w:ind w:left="567"/>
        <w:textAlignment w:val="baseline"/>
        <w:rPr>
          <w:rFonts w:eastAsia="Times New Roman" w:cs="Arial"/>
          <w:color w:val="000000"/>
          <w:szCs w:val="20"/>
          <w:lang w:eastAsia="en-AU"/>
        </w:rPr>
      </w:pPr>
      <w:r w:rsidRPr="008903F8">
        <w:rPr>
          <w:rFonts w:eastAsia="Cambria" w:cs="Arial"/>
          <w:color w:val="00B050"/>
          <w:szCs w:val="20"/>
          <w:u w:val="single"/>
          <w:lang w:eastAsia="en-AU"/>
        </w:rPr>
        <w:t>cross reference: POTASSIUM CHLORIDE, POTASSIUM PHOSPHATE, POTASSIUM DIHYDROGEN PHOSPHATE, POTASSIUM ACETATE</w:t>
      </w:r>
      <w:r w:rsidRPr="008903F8">
        <w:rPr>
          <w:rFonts w:eastAsia="Times New Roman" w:cs="Arial"/>
          <w:color w:val="00B050"/>
          <w:szCs w:val="20"/>
          <w:lang w:eastAsia="en-AU"/>
        </w:rPr>
        <w:t> </w:t>
      </w:r>
    </w:p>
    <w:p w14:paraId="4C1E4DF5" w14:textId="4CCA00D0" w:rsidR="008F39E9" w:rsidRPr="008903F8" w:rsidRDefault="008903F8" w:rsidP="008903F8">
      <w:pPr>
        <w:spacing w:after="0" w:line="240" w:lineRule="auto"/>
        <w:ind w:left="567"/>
        <w:textAlignment w:val="baseline"/>
        <w:rPr>
          <w:rFonts w:eastAsia="Times New Roman" w:cs="Arial"/>
          <w:color w:val="000000"/>
          <w:szCs w:val="20"/>
          <w:lang w:eastAsia="en-AU"/>
        </w:rPr>
      </w:pPr>
      <w:r w:rsidRPr="008903F8">
        <w:rPr>
          <w:rFonts w:eastAsia="Cambria" w:cs="Arial"/>
          <w:color w:val="00B050"/>
          <w:szCs w:val="20"/>
          <w:u w:val="single"/>
        </w:rPr>
        <w:t>Schedule 4</w:t>
      </w:r>
    </w:p>
    <w:p w14:paraId="59B27172" w14:textId="48400A0E" w:rsidR="004A129D" w:rsidRDefault="004A129D">
      <w:pPr>
        <w:rPr>
          <w:b/>
          <w:bCs/>
          <w:i/>
          <w:iCs/>
        </w:rPr>
      </w:pPr>
    </w:p>
    <w:p w14:paraId="249C4C55" w14:textId="7C8E0E04" w:rsidR="00D409DA" w:rsidRPr="00CE434F" w:rsidRDefault="00D409DA" w:rsidP="00CE434F">
      <w:pPr>
        <w:keepNext/>
        <w:keepLines/>
        <w:spacing w:before="360" w:line="240" w:lineRule="atLeast"/>
        <w:outlineLvl w:val="3"/>
        <w:rPr>
          <w:rFonts w:eastAsia="Cambria" w:cs="Times New Roman"/>
          <w:bCs/>
          <w:color w:val="001871"/>
          <w:sz w:val="28"/>
          <w:szCs w:val="26"/>
        </w:rPr>
      </w:pPr>
      <w:r w:rsidRPr="00CE434F">
        <w:rPr>
          <w:rFonts w:eastAsia="Cambria" w:cs="Times New Roman"/>
          <w:bCs/>
          <w:color w:val="001871"/>
          <w:sz w:val="28"/>
          <w:szCs w:val="26"/>
        </w:rPr>
        <w:t>Materials considered</w:t>
      </w:r>
    </w:p>
    <w:p w14:paraId="1B292B27" w14:textId="77777777" w:rsidR="00D409DA" w:rsidRDefault="00D409DA" w:rsidP="00D409DA">
      <w:r>
        <w:t>In making this final decision, the Delegate considered the following material:</w:t>
      </w:r>
    </w:p>
    <w:p w14:paraId="2E2754B7" w14:textId="485F2FBF" w:rsidR="00D409DA" w:rsidRPr="000B69F6" w:rsidRDefault="00D409DA" w:rsidP="0084624F">
      <w:pPr>
        <w:pStyle w:val="ListBullet"/>
        <w:numPr>
          <w:ilvl w:val="0"/>
          <w:numId w:val="21"/>
        </w:numPr>
      </w:pPr>
      <w:r w:rsidRPr="000B69F6">
        <w:t xml:space="preserve">the application to amend the current Poisons Standard with respect to </w:t>
      </w:r>
      <w:r w:rsidR="00CB277E" w:rsidRPr="000B69F6">
        <w:t>intravenous potassium salts</w:t>
      </w:r>
      <w:r w:rsidRPr="000B69F6">
        <w:t xml:space="preserve"> (the Application)</w:t>
      </w:r>
    </w:p>
    <w:p w14:paraId="13EB4E58" w14:textId="75407175" w:rsidR="00A57834" w:rsidRPr="000B69F6" w:rsidRDefault="00946F83" w:rsidP="0084624F">
      <w:pPr>
        <w:pStyle w:val="ListBullet"/>
        <w:numPr>
          <w:ilvl w:val="0"/>
          <w:numId w:val="21"/>
        </w:numPr>
      </w:pPr>
      <w:r w:rsidRPr="000B69F6">
        <w:rPr>
          <w:rFonts w:eastAsiaTheme="minorHAnsi" w:cstheme="minorBidi"/>
          <w:color w:val="auto"/>
          <w:szCs w:val="20"/>
        </w:rPr>
        <w:t>t</w:t>
      </w:r>
      <w:sdt>
        <w:sdtPr>
          <w:rPr>
            <w:rFonts w:eastAsiaTheme="minorHAnsi" w:cstheme="minorBidi"/>
            <w:color w:val="auto"/>
            <w:szCs w:val="20"/>
          </w:rPr>
          <w:id w:val="-1805536372"/>
          <w:placeholder>
            <w:docPart w:val="C657A1987A964D2D914B57BB21786EA5"/>
          </w:placeholder>
        </w:sdtPr>
        <w:sdtEndPr/>
        <w:sdtContent>
          <w:r w:rsidR="00A57834" w:rsidRPr="000B69F6">
            <w:rPr>
              <w:rFonts w:eastAsiaTheme="minorHAnsi" w:cstheme="minorBidi"/>
              <w:color w:val="auto"/>
              <w:szCs w:val="20"/>
            </w:rPr>
            <w:t xml:space="preserve">he 3 </w:t>
          </w:r>
          <w:hyperlink r:id="rId22" w:history="1">
            <w:r w:rsidR="00A57834" w:rsidRPr="001A5880">
              <w:rPr>
                <w:rFonts w:eastAsiaTheme="minorHAnsi"/>
                <w:color w:val="0000FF"/>
                <w:szCs w:val="20"/>
                <w:u w:val="single"/>
              </w:rPr>
              <w:t>public submissions</w:t>
            </w:r>
          </w:hyperlink>
          <w:r w:rsidR="00A57834" w:rsidRPr="000B69F6">
            <w:rPr>
              <w:rFonts w:eastAsiaTheme="minorHAnsi" w:cstheme="minorBidi"/>
              <w:color w:val="auto"/>
              <w:szCs w:val="20"/>
            </w:rPr>
            <w:t xml:space="preserve">, with 2 including a written component, received in response to the </w:t>
          </w:r>
          <w:r w:rsidR="00A57834" w:rsidRPr="000B69F6">
            <w:rPr>
              <w:rFonts w:eastAsiaTheme="minorHAnsi" w:cstheme="minorBidi"/>
              <w:color w:val="auto"/>
              <w:szCs w:val="20"/>
            </w:rPr>
            <w:br/>
          </w:r>
          <w:hyperlink r:id="rId23" w:history="1">
            <w:r w:rsidR="00A57834" w:rsidRPr="001A5880">
              <w:rPr>
                <w:rFonts w:eastAsiaTheme="minorHAnsi"/>
                <w:color w:val="0000FF"/>
                <w:szCs w:val="20"/>
                <w:u w:val="single"/>
              </w:rPr>
              <w:t>pre-meeting consultation</w:t>
            </w:r>
          </w:hyperlink>
          <w:r w:rsidR="00A57834" w:rsidRPr="000B69F6">
            <w:rPr>
              <w:rFonts w:eastAsiaTheme="minorHAnsi" w:cstheme="minorBidi"/>
              <w:color w:val="auto"/>
              <w:szCs w:val="20"/>
            </w:rPr>
            <w:t xml:space="preserve"> </w:t>
          </w:r>
        </w:sdtContent>
      </w:sdt>
      <w:r w:rsidR="00A57834" w:rsidRPr="000B69F6">
        <w:rPr>
          <w:rFonts w:eastAsiaTheme="minorHAnsi" w:cstheme="minorBidi"/>
          <w:color w:val="auto"/>
          <w:szCs w:val="20"/>
        </w:rPr>
        <w:t>and a targeted consultation with hospital pharmacy representative peak body - Advanced Pharmacy Australia</w:t>
      </w:r>
      <w:r w:rsidR="00A57834" w:rsidRPr="000B69F6">
        <w:rPr>
          <w:rFonts w:eastAsiaTheme="minorHAnsi" w:cstheme="minorBidi"/>
          <w:color w:val="2B2B2B"/>
          <w:szCs w:val="20"/>
          <w:shd w:val="clear" w:color="auto" w:fill="FFFFFF"/>
        </w:rPr>
        <w:t xml:space="preserve"> (</w:t>
      </w:r>
      <w:proofErr w:type="spellStart"/>
      <w:r w:rsidR="00A57834" w:rsidRPr="000B69F6">
        <w:rPr>
          <w:rFonts w:eastAsiaTheme="minorHAnsi" w:cstheme="minorBidi"/>
          <w:color w:val="2B2B2B"/>
          <w:szCs w:val="20"/>
          <w:shd w:val="clear" w:color="auto" w:fill="FFFFFF"/>
        </w:rPr>
        <w:t>AdPha</w:t>
      </w:r>
      <w:proofErr w:type="spellEnd"/>
      <w:r w:rsidR="00A57834" w:rsidRPr="000B69F6">
        <w:rPr>
          <w:rFonts w:eastAsiaTheme="minorHAnsi" w:cstheme="minorBidi"/>
          <w:color w:val="2B2B2B"/>
          <w:szCs w:val="20"/>
          <w:shd w:val="clear" w:color="auto" w:fill="FFFFFF"/>
        </w:rPr>
        <w:t>)</w:t>
      </w:r>
      <w:r w:rsidR="00A57834" w:rsidRPr="000B69F6">
        <w:rPr>
          <w:rFonts w:eastAsiaTheme="minorHAnsi" w:cstheme="minorBidi"/>
          <w:color w:val="auto"/>
          <w:szCs w:val="20"/>
        </w:rPr>
        <w:t xml:space="preserve"> (the Submissions)</w:t>
      </w:r>
    </w:p>
    <w:p w14:paraId="4BE4F2F7" w14:textId="361BA2BF" w:rsidR="00190BA0" w:rsidRPr="000B69F6" w:rsidRDefault="00946F83" w:rsidP="0084624F">
      <w:pPr>
        <w:pStyle w:val="ListBullet"/>
        <w:numPr>
          <w:ilvl w:val="0"/>
          <w:numId w:val="21"/>
        </w:numPr>
      </w:pPr>
      <w:r w:rsidRPr="000B69F6">
        <w:t>t</w:t>
      </w:r>
      <w:r w:rsidR="00190BA0" w:rsidRPr="000B69F6">
        <w:t>he advice received from the 37th meeting of the Advisory Committee on Medicines and Chemicals Scheduling in Joint session (the Committee)</w:t>
      </w:r>
    </w:p>
    <w:p w14:paraId="35E9C6A6" w14:textId="1213E7AC" w:rsidR="00D409DA" w:rsidRPr="000B69F6" w:rsidRDefault="00D409DA" w:rsidP="0084624F">
      <w:pPr>
        <w:pStyle w:val="ListBullet"/>
        <w:numPr>
          <w:ilvl w:val="0"/>
          <w:numId w:val="21"/>
        </w:numPr>
      </w:pPr>
      <w:r w:rsidRPr="000B69F6">
        <w:t xml:space="preserve">the </w:t>
      </w:r>
      <w:hyperlink r:id="rId24" w:history="1">
        <w:r w:rsidRPr="001A5880">
          <w:rPr>
            <w:rStyle w:val="Hyperlink"/>
          </w:rPr>
          <w:t>interim decision</w:t>
        </w:r>
      </w:hyperlink>
      <w:r w:rsidRPr="000B69F6">
        <w:t xml:space="preserve"> relating</w:t>
      </w:r>
      <w:r w:rsidR="00B0501B" w:rsidRPr="000B69F6">
        <w:t xml:space="preserve"> to</w:t>
      </w:r>
      <w:r w:rsidRPr="000B69F6">
        <w:t xml:space="preserve"> </w:t>
      </w:r>
      <w:r w:rsidR="00CB277E" w:rsidRPr="000B69F6">
        <w:t>intravenous potassium salts</w:t>
      </w:r>
      <w:r w:rsidRPr="000B69F6">
        <w:t xml:space="preserve"> and the materials considered as part of the interim decision, as published on </w:t>
      </w:r>
      <w:r w:rsidR="00B37655" w:rsidRPr="000B69F6">
        <w:t>13</w:t>
      </w:r>
      <w:r w:rsidR="00186440" w:rsidRPr="000B69F6">
        <w:t xml:space="preserve"> </w:t>
      </w:r>
      <w:r w:rsidR="00B37655" w:rsidRPr="000B69F6">
        <w:t>December</w:t>
      </w:r>
      <w:r w:rsidR="00186440" w:rsidRPr="000B69F6">
        <w:t xml:space="preserve"> </w:t>
      </w:r>
      <w:r w:rsidRPr="000B69F6">
        <w:t>2024</w:t>
      </w:r>
    </w:p>
    <w:p w14:paraId="6997E55C" w14:textId="5D411997" w:rsidR="006271F3" w:rsidRPr="000B69F6" w:rsidRDefault="00D452E1" w:rsidP="0084624F">
      <w:pPr>
        <w:pStyle w:val="ListBullet"/>
        <w:numPr>
          <w:ilvl w:val="0"/>
          <w:numId w:val="21"/>
        </w:numPr>
      </w:pPr>
      <w:sdt>
        <w:sdtPr>
          <w:id w:val="109945352"/>
          <w:placeholder>
            <w:docPart w:val="D75E32010D6C4F008EFF234E38C72EA3"/>
          </w:placeholder>
        </w:sdtPr>
        <w:sdtEndPr/>
        <w:sdtContent>
          <w:r w:rsidR="00946F83" w:rsidRPr="000B69F6">
            <w:t>t</w:t>
          </w:r>
          <w:r w:rsidR="006271F3" w:rsidRPr="000B69F6">
            <w:t xml:space="preserve">he 17 public submissions, with </w:t>
          </w:r>
          <w:r w:rsidR="005F6015" w:rsidRPr="000B69F6">
            <w:t>1</w:t>
          </w:r>
          <w:r w:rsidR="006271F3" w:rsidRPr="000B69F6">
            <w:t xml:space="preserve">2 including a written component, received in response to the </w:t>
          </w:r>
          <w:r w:rsidR="006271F3" w:rsidRPr="000B69F6">
            <w:br/>
          </w:r>
          <w:hyperlink r:id="rId25" w:history="1">
            <w:r w:rsidR="006271F3" w:rsidRPr="001A5880">
              <w:rPr>
                <w:rStyle w:val="Hyperlink"/>
                <w:rFonts w:eastAsiaTheme="minorHAnsi"/>
                <w:szCs w:val="20"/>
              </w:rPr>
              <w:t>consultation</w:t>
            </w:r>
            <w:r w:rsidR="00C03561" w:rsidRPr="001A5880">
              <w:rPr>
                <w:rStyle w:val="Hyperlink"/>
                <w:rFonts w:eastAsiaTheme="minorHAnsi" w:cstheme="minorBidi"/>
                <w:szCs w:val="20"/>
              </w:rPr>
              <w:t xml:space="preserve"> on interim decision</w:t>
            </w:r>
          </w:hyperlink>
          <w:r w:rsidR="00C03561" w:rsidRPr="000B69F6">
            <w:t xml:space="preserve"> under regulation 42ZCZP </w:t>
          </w:r>
          <w:r w:rsidR="006271F3" w:rsidRPr="000B69F6">
            <w:t xml:space="preserve"> </w:t>
          </w:r>
        </w:sdtContent>
      </w:sdt>
    </w:p>
    <w:p w14:paraId="382FE8CD" w14:textId="60A05EA5" w:rsidR="00D409DA" w:rsidRPr="002B6996" w:rsidRDefault="00D409DA" w:rsidP="0084624F">
      <w:pPr>
        <w:pStyle w:val="ListBullet"/>
        <w:numPr>
          <w:ilvl w:val="0"/>
          <w:numId w:val="21"/>
        </w:numPr>
        <w:rPr>
          <w:b/>
          <w:bCs/>
          <w:i/>
          <w:iCs/>
        </w:rPr>
      </w:pPr>
      <w:r w:rsidRPr="000B69F6">
        <w:t xml:space="preserve">subsection 52E(1) of the </w:t>
      </w:r>
      <w:r w:rsidR="009738FC" w:rsidRPr="000B69F6">
        <w:t>Therapeutic Goods Act 1989</w:t>
      </w:r>
      <w:r w:rsidRPr="000B69F6">
        <w:t>, in particular (a) the risks and benefits of the use of a substance; (b) the purposes for which a substance is to be used and the extent of use of a substance; (c) the toxicity of a substance; (d) the dosage, formulation, labelling, packaging and presentation</w:t>
      </w:r>
      <w:r w:rsidRPr="002B6996">
        <w:t xml:space="preserve"> of a substance; and (e) the potential for abuse of a substance; and (f) any other matters considered necessary to protect public health.</w:t>
      </w:r>
    </w:p>
    <w:p w14:paraId="2102D36C" w14:textId="77777777" w:rsidR="00D409DA" w:rsidRPr="002B6996" w:rsidRDefault="00D409DA" w:rsidP="0084624F">
      <w:pPr>
        <w:pStyle w:val="ListBullet"/>
        <w:numPr>
          <w:ilvl w:val="0"/>
          <w:numId w:val="21"/>
        </w:numPr>
        <w:rPr>
          <w:b/>
          <w:bCs/>
          <w:i/>
          <w:iCs/>
        </w:rPr>
      </w:pPr>
      <w:r w:rsidRPr="002B6996">
        <w:t>pursuant to paragraph 52E(2)(a) of the Act, the SPF, and</w:t>
      </w:r>
    </w:p>
    <w:p w14:paraId="5347BA32" w14:textId="03A68E36" w:rsidR="00D407C2" w:rsidRPr="00C03561" w:rsidRDefault="00D409DA" w:rsidP="0084624F">
      <w:pPr>
        <w:pStyle w:val="ListBullet"/>
        <w:numPr>
          <w:ilvl w:val="0"/>
          <w:numId w:val="21"/>
        </w:numPr>
        <w:rPr>
          <w:b/>
          <w:bCs/>
          <w:i/>
          <w:iCs/>
        </w:rPr>
      </w:pPr>
      <w:r w:rsidRPr="002B6996">
        <w:t>the Handbook.</w:t>
      </w:r>
      <w:r w:rsidR="00537917">
        <w:rPr>
          <w:rStyle w:val="FootnoteReference"/>
        </w:rPr>
        <w:footnoteReference w:id="5"/>
      </w:r>
    </w:p>
    <w:p w14:paraId="364D2C82" w14:textId="77777777" w:rsidR="00D409DA" w:rsidRPr="00CE434F" w:rsidRDefault="00D409DA" w:rsidP="00CE434F">
      <w:pPr>
        <w:keepNext/>
        <w:keepLines/>
        <w:spacing w:before="360" w:line="240" w:lineRule="atLeast"/>
        <w:outlineLvl w:val="3"/>
        <w:rPr>
          <w:rFonts w:eastAsia="Cambria" w:cs="Times New Roman"/>
          <w:bCs/>
          <w:color w:val="001871"/>
          <w:sz w:val="28"/>
          <w:szCs w:val="26"/>
        </w:rPr>
      </w:pPr>
      <w:r w:rsidRPr="00CE434F">
        <w:rPr>
          <w:rFonts w:eastAsia="Cambria" w:cs="Times New Roman"/>
          <w:bCs/>
          <w:color w:val="001871"/>
          <w:sz w:val="28"/>
          <w:szCs w:val="26"/>
        </w:rPr>
        <w:t>Reasons for the final decision (including findings on material questions of fact)</w:t>
      </w:r>
    </w:p>
    <w:p w14:paraId="49B15410" w14:textId="0FCE6740" w:rsidR="00D409DA" w:rsidRDefault="00D409DA" w:rsidP="00EB1AB3">
      <w:pPr>
        <w:spacing w:before="180" w:after="180" w:line="240" w:lineRule="atLeast"/>
        <w:rPr>
          <w:rFonts w:eastAsia="Times New Roman" w:cs="Arial"/>
          <w:color w:val="000000"/>
          <w:szCs w:val="20"/>
          <w:lang w:eastAsia="en-AU"/>
        </w:rPr>
      </w:pPr>
      <w:r w:rsidRPr="00476B74">
        <w:rPr>
          <w:rFonts w:cs="Arial"/>
          <w:szCs w:val="20"/>
        </w:rPr>
        <w:t xml:space="preserve">I have made a final decision to amend the current Poisons Standard with respect to </w:t>
      </w:r>
      <w:r w:rsidR="004707CE">
        <w:rPr>
          <w:rFonts w:cs="Arial"/>
          <w:szCs w:val="20"/>
        </w:rPr>
        <w:t>intravenous</w:t>
      </w:r>
      <w:r w:rsidR="0085655B">
        <w:rPr>
          <w:rFonts w:cs="Arial"/>
          <w:szCs w:val="20"/>
        </w:rPr>
        <w:t xml:space="preserve"> (IV)</w:t>
      </w:r>
      <w:r w:rsidR="004707CE">
        <w:rPr>
          <w:rFonts w:cs="Arial"/>
          <w:szCs w:val="20"/>
        </w:rPr>
        <w:t xml:space="preserve"> potassium salts</w:t>
      </w:r>
      <w:r w:rsidR="000B214C">
        <w:rPr>
          <w:rFonts w:cs="Arial"/>
          <w:szCs w:val="20"/>
        </w:rPr>
        <w:t xml:space="preserve"> which differs from my interim decision</w:t>
      </w:r>
      <w:r w:rsidRPr="00476B74">
        <w:rPr>
          <w:rFonts w:cs="Arial"/>
          <w:szCs w:val="20"/>
        </w:rPr>
        <w:t>.</w:t>
      </w:r>
      <w:r w:rsidR="004707CE">
        <w:rPr>
          <w:rFonts w:cs="Arial"/>
          <w:szCs w:val="20"/>
        </w:rPr>
        <w:t xml:space="preserve"> </w:t>
      </w:r>
      <w:r w:rsidR="009670CA">
        <w:rPr>
          <w:rFonts w:cs="Arial"/>
          <w:szCs w:val="20"/>
        </w:rPr>
        <w:t xml:space="preserve">In consideration of the public submissions received during the interim consultation, I have decided to </w:t>
      </w:r>
      <w:r w:rsidR="0069570E">
        <w:rPr>
          <w:rFonts w:cs="Arial"/>
          <w:szCs w:val="20"/>
        </w:rPr>
        <w:t>exempt all</w:t>
      </w:r>
      <w:r w:rsidR="00A576F5">
        <w:rPr>
          <w:rFonts w:cs="Arial"/>
          <w:szCs w:val="20"/>
        </w:rPr>
        <w:t xml:space="preserve"> concentrations of</w:t>
      </w:r>
      <w:r w:rsidR="0069570E">
        <w:rPr>
          <w:rFonts w:cs="Arial"/>
          <w:szCs w:val="20"/>
        </w:rPr>
        <w:t xml:space="preserve"> pre-mixed bag</w:t>
      </w:r>
      <w:r w:rsidR="00A576F5">
        <w:rPr>
          <w:rFonts w:cs="Arial"/>
          <w:szCs w:val="20"/>
        </w:rPr>
        <w:t>s for infusion</w:t>
      </w:r>
      <w:r w:rsidR="005B3951">
        <w:rPr>
          <w:rFonts w:cs="Arial"/>
          <w:szCs w:val="20"/>
        </w:rPr>
        <w:t>, rather than specifying a cut</w:t>
      </w:r>
      <w:r w:rsidR="00437DCC">
        <w:rPr>
          <w:rFonts w:cs="Arial"/>
          <w:szCs w:val="20"/>
        </w:rPr>
        <w:t>-</w:t>
      </w:r>
      <w:r w:rsidR="005B3951">
        <w:rPr>
          <w:rFonts w:cs="Arial"/>
          <w:szCs w:val="20"/>
        </w:rPr>
        <w:t xml:space="preserve">off </w:t>
      </w:r>
      <w:r w:rsidR="00437DCC">
        <w:rPr>
          <w:rFonts w:cs="Arial"/>
          <w:szCs w:val="20"/>
        </w:rPr>
        <w:t>concentration</w:t>
      </w:r>
      <w:r w:rsidR="00A576F5">
        <w:rPr>
          <w:rFonts w:cs="Arial"/>
          <w:szCs w:val="20"/>
        </w:rPr>
        <w:t xml:space="preserve">. </w:t>
      </w:r>
      <w:r w:rsidRPr="00476B74">
        <w:rPr>
          <w:rFonts w:cs="Arial"/>
          <w:szCs w:val="20"/>
        </w:rPr>
        <w:t xml:space="preserve">In making my final decision, I have </w:t>
      </w:r>
      <w:r w:rsidR="009B6D9F" w:rsidRPr="00476B74">
        <w:rPr>
          <w:rFonts w:cs="Arial"/>
          <w:szCs w:val="20"/>
        </w:rPr>
        <w:t>considered</w:t>
      </w:r>
      <w:r w:rsidRPr="00476B74">
        <w:rPr>
          <w:rFonts w:cs="Arial"/>
          <w:szCs w:val="20"/>
        </w:rPr>
        <w:t xml:space="preserve"> the material in the interim decision</w:t>
      </w:r>
      <w:r w:rsidR="002C145D">
        <w:rPr>
          <w:rFonts w:cs="Arial"/>
          <w:szCs w:val="20"/>
        </w:rPr>
        <w:t xml:space="preserve"> and the </w:t>
      </w:r>
      <w:r w:rsidR="00006C70">
        <w:rPr>
          <w:rFonts w:cs="Arial"/>
          <w:szCs w:val="20"/>
        </w:rPr>
        <w:t>17 public</w:t>
      </w:r>
      <w:r w:rsidR="002C145D">
        <w:rPr>
          <w:rFonts w:cs="Arial"/>
          <w:szCs w:val="20"/>
        </w:rPr>
        <w:t xml:space="preserve"> </w:t>
      </w:r>
      <w:r w:rsidR="003E1ACD" w:rsidRPr="00476B74">
        <w:rPr>
          <w:rFonts w:cs="Arial"/>
          <w:szCs w:val="20"/>
        </w:rPr>
        <w:t>submission</w:t>
      </w:r>
      <w:r w:rsidR="00120379" w:rsidRPr="00476B74">
        <w:rPr>
          <w:rFonts w:cs="Arial"/>
          <w:szCs w:val="20"/>
        </w:rPr>
        <w:t>s</w:t>
      </w:r>
      <w:r w:rsidR="003E1ACD" w:rsidRPr="00476B74">
        <w:rPr>
          <w:rFonts w:cs="Arial"/>
          <w:szCs w:val="20"/>
        </w:rPr>
        <w:t xml:space="preserve"> received </w:t>
      </w:r>
      <w:r w:rsidR="00006C70">
        <w:rPr>
          <w:rFonts w:cs="Arial"/>
          <w:szCs w:val="20"/>
        </w:rPr>
        <w:t>during</w:t>
      </w:r>
      <w:r w:rsidRPr="00476B74">
        <w:rPr>
          <w:rFonts w:cs="Arial"/>
          <w:szCs w:val="20"/>
        </w:rPr>
        <w:t xml:space="preserve"> </w:t>
      </w:r>
      <w:r w:rsidR="00120379" w:rsidRPr="00476B74">
        <w:rPr>
          <w:rFonts w:cs="Arial"/>
          <w:szCs w:val="20"/>
        </w:rPr>
        <w:t xml:space="preserve">public </w:t>
      </w:r>
      <w:r w:rsidR="003E1ACD" w:rsidRPr="00476B74">
        <w:rPr>
          <w:rFonts w:cs="Arial"/>
          <w:szCs w:val="20"/>
        </w:rPr>
        <w:t>consultation</w:t>
      </w:r>
      <w:r w:rsidR="00C00ED7" w:rsidRPr="00476B74">
        <w:rPr>
          <w:rFonts w:eastAsia="Times New Roman" w:cs="Arial"/>
          <w:color w:val="000000"/>
          <w:szCs w:val="20"/>
          <w:lang w:eastAsia="en-AU"/>
        </w:rPr>
        <w:t>.</w:t>
      </w:r>
    </w:p>
    <w:p w14:paraId="10F32E2F" w14:textId="6AA149D6" w:rsidR="00D86534" w:rsidRDefault="0018296A" w:rsidP="00EB1AB3">
      <w:pPr>
        <w:spacing w:before="180" w:after="180" w:line="240" w:lineRule="atLeast"/>
        <w:rPr>
          <w:rFonts w:eastAsia="Times New Roman" w:cs="Arial"/>
          <w:color w:val="000000"/>
          <w:szCs w:val="20"/>
          <w:lang w:eastAsia="en-AU"/>
        </w:rPr>
      </w:pPr>
      <w:r w:rsidRPr="0018296A">
        <w:rPr>
          <w:rFonts w:eastAsia="Times New Roman" w:cs="Arial"/>
          <w:color w:val="000000"/>
          <w:szCs w:val="20"/>
          <w:lang w:eastAsia="en-AU"/>
        </w:rPr>
        <w:t xml:space="preserve">Of the submissions received in </w:t>
      </w:r>
      <w:r>
        <w:rPr>
          <w:rFonts w:eastAsia="Times New Roman" w:cs="Arial"/>
          <w:color w:val="000000"/>
          <w:szCs w:val="20"/>
          <w:lang w:eastAsia="en-AU"/>
        </w:rPr>
        <w:t>response to</w:t>
      </w:r>
      <w:r w:rsidRPr="0018296A">
        <w:rPr>
          <w:rFonts w:eastAsia="Times New Roman" w:cs="Arial"/>
          <w:color w:val="000000"/>
          <w:szCs w:val="20"/>
          <w:lang w:eastAsia="en-AU"/>
        </w:rPr>
        <w:t xml:space="preserve"> the interim decision</w:t>
      </w:r>
      <w:r>
        <w:rPr>
          <w:rFonts w:eastAsia="Times New Roman" w:cs="Arial"/>
          <w:color w:val="000000"/>
          <w:szCs w:val="20"/>
          <w:lang w:eastAsia="en-AU"/>
        </w:rPr>
        <w:t xml:space="preserve">, </w:t>
      </w:r>
      <w:r w:rsidR="00481410">
        <w:rPr>
          <w:rFonts w:eastAsia="Times New Roman" w:cs="Arial"/>
          <w:color w:val="000000"/>
          <w:szCs w:val="20"/>
          <w:lang w:eastAsia="en-AU"/>
        </w:rPr>
        <w:t xml:space="preserve">9 were supportive, 6 were partially supportive, and 2 were opposed. </w:t>
      </w:r>
      <w:r w:rsidR="00AA4B36">
        <w:rPr>
          <w:rFonts w:eastAsia="Times New Roman" w:cs="Arial"/>
          <w:color w:val="000000"/>
          <w:szCs w:val="20"/>
          <w:lang w:eastAsia="en-AU"/>
        </w:rPr>
        <w:t xml:space="preserve">I note that all </w:t>
      </w:r>
      <w:r w:rsidR="000B214C">
        <w:rPr>
          <w:rFonts w:eastAsia="Times New Roman" w:cs="Arial"/>
          <w:color w:val="000000"/>
          <w:szCs w:val="20"/>
          <w:lang w:eastAsia="en-AU"/>
        </w:rPr>
        <w:t xml:space="preserve">the submissions </w:t>
      </w:r>
      <w:r w:rsidR="00AA4B36">
        <w:rPr>
          <w:rFonts w:eastAsia="Times New Roman" w:cs="Arial"/>
          <w:color w:val="000000"/>
          <w:szCs w:val="20"/>
          <w:lang w:eastAsia="en-AU"/>
        </w:rPr>
        <w:t xml:space="preserve">provided a written response, except for </w:t>
      </w:r>
      <w:r w:rsidR="00A578E3">
        <w:rPr>
          <w:rFonts w:eastAsia="Times New Roman" w:cs="Arial"/>
          <w:color w:val="000000"/>
          <w:szCs w:val="20"/>
          <w:lang w:eastAsia="en-AU"/>
        </w:rPr>
        <w:t xml:space="preserve">5 submissions in support. </w:t>
      </w:r>
      <w:r w:rsidR="009C6E16">
        <w:rPr>
          <w:rFonts w:eastAsia="Times New Roman" w:cs="Arial"/>
          <w:color w:val="000000"/>
          <w:szCs w:val="20"/>
          <w:lang w:eastAsia="en-AU"/>
        </w:rPr>
        <w:t xml:space="preserve">The submissions in support </w:t>
      </w:r>
      <w:r w:rsidR="0085655B">
        <w:rPr>
          <w:rFonts w:eastAsia="Times New Roman" w:cs="Arial"/>
          <w:color w:val="000000"/>
          <w:szCs w:val="20"/>
          <w:lang w:eastAsia="en-AU"/>
        </w:rPr>
        <w:t xml:space="preserve">raised concerns that IV potassium </w:t>
      </w:r>
      <w:r w:rsidR="00622BD8" w:rsidRPr="00622BD8">
        <w:rPr>
          <w:rFonts w:eastAsia="Times New Roman" w:cs="Arial"/>
          <w:color w:val="000000"/>
          <w:szCs w:val="20"/>
          <w:lang w:eastAsia="en-AU"/>
        </w:rPr>
        <w:t xml:space="preserve">is </w:t>
      </w:r>
      <w:r w:rsidR="00622BD8">
        <w:rPr>
          <w:rFonts w:eastAsia="Times New Roman" w:cs="Arial"/>
          <w:color w:val="000000"/>
          <w:szCs w:val="20"/>
          <w:lang w:eastAsia="en-AU"/>
        </w:rPr>
        <w:t>a</w:t>
      </w:r>
      <w:r w:rsidR="00622BD8" w:rsidRPr="00622BD8">
        <w:rPr>
          <w:rFonts w:eastAsia="Times New Roman" w:cs="Arial"/>
          <w:color w:val="000000"/>
          <w:szCs w:val="20"/>
          <w:lang w:eastAsia="en-AU"/>
        </w:rPr>
        <w:t xml:space="preserve"> high-risk medicine</w:t>
      </w:r>
      <w:r w:rsidR="00622BD8">
        <w:rPr>
          <w:rFonts w:eastAsia="Times New Roman" w:cs="Arial"/>
          <w:color w:val="000000"/>
          <w:szCs w:val="20"/>
          <w:lang w:eastAsia="en-AU"/>
        </w:rPr>
        <w:t xml:space="preserve"> which,</w:t>
      </w:r>
      <w:r w:rsidR="00622BD8" w:rsidRPr="00622BD8">
        <w:rPr>
          <w:rFonts w:eastAsia="Times New Roman" w:cs="Arial"/>
          <w:color w:val="000000"/>
          <w:szCs w:val="20"/>
          <w:lang w:eastAsia="en-AU"/>
        </w:rPr>
        <w:t xml:space="preserve"> if used incorrectly</w:t>
      </w:r>
      <w:r w:rsidR="00622BD8">
        <w:rPr>
          <w:rFonts w:eastAsia="Times New Roman" w:cs="Arial"/>
          <w:color w:val="000000"/>
          <w:szCs w:val="20"/>
          <w:lang w:eastAsia="en-AU"/>
        </w:rPr>
        <w:t xml:space="preserve">, can result in adverse outcomes or </w:t>
      </w:r>
      <w:r w:rsidR="00622BD8" w:rsidRPr="00622BD8">
        <w:rPr>
          <w:rFonts w:eastAsia="Times New Roman" w:cs="Arial"/>
          <w:color w:val="000000"/>
          <w:szCs w:val="20"/>
          <w:lang w:eastAsia="en-AU"/>
        </w:rPr>
        <w:t>fatal</w:t>
      </w:r>
      <w:r w:rsidR="00622BD8">
        <w:rPr>
          <w:rFonts w:eastAsia="Times New Roman" w:cs="Arial"/>
          <w:color w:val="000000"/>
          <w:szCs w:val="20"/>
          <w:lang w:eastAsia="en-AU"/>
        </w:rPr>
        <w:t>ity</w:t>
      </w:r>
      <w:r w:rsidR="00622BD8" w:rsidRPr="00622BD8">
        <w:rPr>
          <w:rFonts w:eastAsia="Times New Roman" w:cs="Arial"/>
          <w:color w:val="000000"/>
          <w:szCs w:val="20"/>
          <w:lang w:eastAsia="en-AU"/>
        </w:rPr>
        <w:t>.</w:t>
      </w:r>
      <w:r w:rsidR="002109D5">
        <w:rPr>
          <w:rFonts w:eastAsia="Times New Roman" w:cs="Arial"/>
          <w:color w:val="000000"/>
          <w:szCs w:val="20"/>
          <w:lang w:eastAsia="en-AU"/>
        </w:rPr>
        <w:t xml:space="preserve"> </w:t>
      </w:r>
      <w:r w:rsidR="00622BD8" w:rsidRPr="00622BD8">
        <w:rPr>
          <w:rFonts w:eastAsia="Times New Roman" w:cs="Arial"/>
          <w:color w:val="000000"/>
          <w:szCs w:val="20"/>
          <w:lang w:eastAsia="en-AU"/>
        </w:rPr>
        <w:t xml:space="preserve">Hospitals already </w:t>
      </w:r>
      <w:r w:rsidR="007B6782">
        <w:rPr>
          <w:rFonts w:eastAsia="Times New Roman" w:cs="Arial"/>
          <w:color w:val="000000"/>
          <w:szCs w:val="20"/>
          <w:lang w:eastAsia="en-AU"/>
        </w:rPr>
        <w:t>consider</w:t>
      </w:r>
      <w:r w:rsidR="00622BD8" w:rsidRPr="00622BD8">
        <w:rPr>
          <w:rFonts w:eastAsia="Times New Roman" w:cs="Arial"/>
          <w:color w:val="000000"/>
          <w:szCs w:val="20"/>
          <w:lang w:eastAsia="en-AU"/>
        </w:rPr>
        <w:t xml:space="preserve"> potassium containing fluids </w:t>
      </w:r>
      <w:r w:rsidR="007B6782">
        <w:rPr>
          <w:rFonts w:eastAsia="Times New Roman" w:cs="Arial"/>
          <w:color w:val="000000"/>
          <w:szCs w:val="20"/>
          <w:lang w:eastAsia="en-AU"/>
        </w:rPr>
        <w:t>to be</w:t>
      </w:r>
      <w:r w:rsidR="00622BD8" w:rsidRPr="00622BD8">
        <w:rPr>
          <w:rFonts w:eastAsia="Times New Roman" w:cs="Arial"/>
          <w:color w:val="000000"/>
          <w:szCs w:val="20"/>
          <w:lang w:eastAsia="en-AU"/>
        </w:rPr>
        <w:t xml:space="preserve"> high-risk medicines</w:t>
      </w:r>
      <w:r w:rsidR="002109D5">
        <w:rPr>
          <w:rFonts w:eastAsia="Times New Roman" w:cs="Arial"/>
          <w:color w:val="000000"/>
          <w:szCs w:val="20"/>
          <w:lang w:eastAsia="en-AU"/>
        </w:rPr>
        <w:t>.</w:t>
      </w:r>
      <w:r w:rsidR="006E0824">
        <w:rPr>
          <w:rFonts w:eastAsia="Times New Roman" w:cs="Arial"/>
          <w:color w:val="000000"/>
          <w:szCs w:val="20"/>
          <w:lang w:eastAsia="en-AU"/>
        </w:rPr>
        <w:t xml:space="preserve"> They also noted that </w:t>
      </w:r>
      <w:r w:rsidR="000D792A">
        <w:rPr>
          <w:rFonts w:eastAsia="Times New Roman" w:cs="Arial"/>
          <w:color w:val="000000"/>
          <w:szCs w:val="20"/>
          <w:lang w:eastAsia="en-AU"/>
        </w:rPr>
        <w:t>t</w:t>
      </w:r>
      <w:r w:rsidR="000D792A" w:rsidRPr="000D792A">
        <w:rPr>
          <w:rFonts w:eastAsia="Times New Roman" w:cs="Arial"/>
          <w:color w:val="000000"/>
          <w:szCs w:val="20"/>
          <w:lang w:eastAsia="en-AU"/>
        </w:rPr>
        <w:t>he current scheduling for IV potassium is inconsistent with oral potassium products (Schedule 4), despite the IV formulation presenting a higher risk</w:t>
      </w:r>
      <w:r w:rsidR="0024198F">
        <w:rPr>
          <w:rFonts w:eastAsia="Times New Roman" w:cs="Arial"/>
          <w:color w:val="000000"/>
          <w:szCs w:val="20"/>
          <w:lang w:eastAsia="en-AU"/>
        </w:rPr>
        <w:t xml:space="preserve"> if misused</w:t>
      </w:r>
      <w:r w:rsidR="000D792A" w:rsidRPr="000D792A">
        <w:rPr>
          <w:rFonts w:eastAsia="Times New Roman" w:cs="Arial"/>
          <w:color w:val="000000"/>
          <w:szCs w:val="20"/>
          <w:lang w:eastAsia="en-AU"/>
        </w:rPr>
        <w:t>.</w:t>
      </w:r>
      <w:r w:rsidR="00A37429">
        <w:rPr>
          <w:rFonts w:eastAsia="Times New Roman" w:cs="Arial"/>
          <w:color w:val="000000"/>
          <w:szCs w:val="20"/>
          <w:lang w:eastAsia="en-AU"/>
        </w:rPr>
        <w:t xml:space="preserve"> Generally, these submissions felt that the proposed scheduling would have minimal impact on use of </w:t>
      </w:r>
      <w:r w:rsidR="00CB6642">
        <w:rPr>
          <w:rFonts w:eastAsia="Times New Roman" w:cs="Arial"/>
          <w:color w:val="000000"/>
          <w:szCs w:val="20"/>
          <w:lang w:eastAsia="en-AU"/>
        </w:rPr>
        <w:t xml:space="preserve">IV potassium products in the healthcare setting, as they already require </w:t>
      </w:r>
      <w:r w:rsidR="00117F33" w:rsidRPr="00117F33">
        <w:rPr>
          <w:rFonts w:eastAsia="Times New Roman" w:cs="Arial"/>
          <w:color w:val="000000"/>
          <w:szCs w:val="20"/>
          <w:lang w:eastAsia="en-AU"/>
        </w:rPr>
        <w:t>clinical oversight by a pharmacist or other health professional authorised to purchase/procure</w:t>
      </w:r>
      <w:r w:rsidR="000B214C">
        <w:rPr>
          <w:rFonts w:eastAsia="Times New Roman" w:cs="Arial"/>
          <w:color w:val="000000"/>
          <w:szCs w:val="20"/>
          <w:lang w:eastAsia="en-AU"/>
        </w:rPr>
        <w:t xml:space="preserve"> the product</w:t>
      </w:r>
      <w:r w:rsidR="00117F33">
        <w:rPr>
          <w:rFonts w:eastAsia="Times New Roman" w:cs="Arial"/>
          <w:color w:val="000000"/>
          <w:szCs w:val="20"/>
          <w:lang w:eastAsia="en-AU"/>
        </w:rPr>
        <w:t xml:space="preserve">, and </w:t>
      </w:r>
      <w:r w:rsidR="007F754B">
        <w:rPr>
          <w:rFonts w:eastAsia="Times New Roman" w:cs="Arial"/>
          <w:color w:val="000000"/>
          <w:szCs w:val="20"/>
          <w:lang w:eastAsia="en-AU"/>
        </w:rPr>
        <w:t xml:space="preserve">a </w:t>
      </w:r>
      <w:r w:rsidR="002A2B40">
        <w:rPr>
          <w:rFonts w:eastAsia="Times New Roman" w:cs="Arial"/>
          <w:color w:val="000000"/>
          <w:szCs w:val="20"/>
          <w:lang w:eastAsia="en-AU"/>
        </w:rPr>
        <w:t>prescriber</w:t>
      </w:r>
      <w:r w:rsidR="007F754B">
        <w:rPr>
          <w:rFonts w:eastAsia="Times New Roman" w:cs="Arial"/>
          <w:color w:val="000000"/>
          <w:szCs w:val="20"/>
          <w:lang w:eastAsia="en-AU"/>
        </w:rPr>
        <w:t xml:space="preserve"> </w:t>
      </w:r>
      <w:r w:rsidR="0024198F">
        <w:rPr>
          <w:rFonts w:eastAsia="Times New Roman" w:cs="Arial"/>
          <w:color w:val="000000"/>
          <w:szCs w:val="20"/>
          <w:lang w:eastAsia="en-AU"/>
        </w:rPr>
        <w:t>to</w:t>
      </w:r>
      <w:r w:rsidR="007F754B">
        <w:rPr>
          <w:rFonts w:eastAsia="Times New Roman" w:cs="Arial"/>
          <w:color w:val="000000"/>
          <w:szCs w:val="20"/>
          <w:lang w:eastAsia="en-AU"/>
        </w:rPr>
        <w:t xml:space="preserve"> be pres</w:t>
      </w:r>
      <w:r w:rsidR="00B436D4">
        <w:rPr>
          <w:rFonts w:eastAsia="Times New Roman" w:cs="Arial"/>
          <w:color w:val="000000"/>
          <w:szCs w:val="20"/>
          <w:lang w:eastAsia="en-AU"/>
        </w:rPr>
        <w:t>ent at any facility using these products</w:t>
      </w:r>
      <w:r w:rsidR="007F754B">
        <w:rPr>
          <w:rFonts w:eastAsia="Times New Roman" w:cs="Arial"/>
          <w:color w:val="000000"/>
          <w:szCs w:val="20"/>
          <w:lang w:eastAsia="en-AU"/>
        </w:rPr>
        <w:t>.</w:t>
      </w:r>
      <w:r w:rsidR="00B436D4">
        <w:rPr>
          <w:rFonts w:eastAsia="Times New Roman" w:cs="Arial"/>
          <w:color w:val="000000"/>
          <w:szCs w:val="20"/>
          <w:lang w:eastAsia="en-AU"/>
        </w:rPr>
        <w:t xml:space="preserve"> </w:t>
      </w:r>
      <w:r w:rsidR="00625DB2">
        <w:rPr>
          <w:rFonts w:eastAsia="Times New Roman" w:cs="Arial"/>
          <w:color w:val="000000"/>
          <w:szCs w:val="20"/>
          <w:lang w:eastAsia="en-AU"/>
        </w:rPr>
        <w:t xml:space="preserve">They also noted that IV potassium ampoules pose a greater risk compared to </w:t>
      </w:r>
      <w:r w:rsidR="009C2695" w:rsidRPr="009C2695">
        <w:rPr>
          <w:rFonts w:eastAsia="Times New Roman" w:cs="Arial"/>
          <w:color w:val="000000"/>
          <w:szCs w:val="20"/>
          <w:lang w:eastAsia="en-AU"/>
        </w:rPr>
        <w:t xml:space="preserve">multi-component </w:t>
      </w:r>
      <w:r w:rsidR="009C2695">
        <w:rPr>
          <w:rFonts w:eastAsia="Times New Roman" w:cs="Arial"/>
          <w:color w:val="000000"/>
          <w:szCs w:val="20"/>
          <w:lang w:eastAsia="en-AU"/>
        </w:rPr>
        <w:t xml:space="preserve">mixed </w:t>
      </w:r>
      <w:r w:rsidR="009C2695" w:rsidRPr="009C2695">
        <w:rPr>
          <w:rFonts w:eastAsia="Times New Roman" w:cs="Arial"/>
          <w:color w:val="000000"/>
          <w:szCs w:val="20"/>
          <w:lang w:eastAsia="en-AU"/>
        </w:rPr>
        <w:t>bags</w:t>
      </w:r>
      <w:r w:rsidR="006B6DDE">
        <w:rPr>
          <w:rFonts w:eastAsia="Times New Roman" w:cs="Arial"/>
          <w:color w:val="000000"/>
          <w:szCs w:val="20"/>
          <w:lang w:eastAsia="en-AU"/>
        </w:rPr>
        <w:t>.</w:t>
      </w:r>
    </w:p>
    <w:p w14:paraId="4C46F0E9" w14:textId="7ED8A458" w:rsidR="00006C70" w:rsidRDefault="00895C11" w:rsidP="00EB1AB3">
      <w:pPr>
        <w:spacing w:before="180" w:after="180" w:line="240" w:lineRule="atLeast"/>
        <w:rPr>
          <w:rFonts w:eastAsia="Times New Roman" w:cs="Arial"/>
          <w:color w:val="000000"/>
          <w:szCs w:val="20"/>
          <w:lang w:eastAsia="en-AU"/>
        </w:rPr>
      </w:pPr>
      <w:r>
        <w:rPr>
          <w:rFonts w:eastAsia="Times New Roman" w:cs="Arial"/>
          <w:color w:val="000000"/>
          <w:szCs w:val="20"/>
          <w:lang w:eastAsia="en-AU"/>
        </w:rPr>
        <w:t>Submissions in partial support of the interim decision noted the efficacy of IV potassium in</w:t>
      </w:r>
      <w:r w:rsidR="009C2695">
        <w:rPr>
          <w:rFonts w:eastAsia="Times New Roman" w:cs="Arial"/>
          <w:color w:val="000000"/>
          <w:szCs w:val="20"/>
          <w:lang w:eastAsia="en-AU"/>
        </w:rPr>
        <w:t xml:space="preserve"> </w:t>
      </w:r>
      <w:r w:rsidR="003F0D84" w:rsidRPr="003F0D84">
        <w:rPr>
          <w:rFonts w:eastAsia="Times New Roman" w:cs="Arial"/>
          <w:color w:val="000000"/>
          <w:szCs w:val="20"/>
          <w:lang w:eastAsia="en-AU"/>
        </w:rPr>
        <w:t xml:space="preserve">rapid correction of hypokalaemia is crucial in emergency </w:t>
      </w:r>
      <w:r w:rsidR="00966B91" w:rsidRPr="003F0D84">
        <w:rPr>
          <w:rFonts w:eastAsia="Times New Roman" w:cs="Arial"/>
          <w:color w:val="000000"/>
          <w:szCs w:val="20"/>
          <w:lang w:eastAsia="en-AU"/>
        </w:rPr>
        <w:t>scenarios</w:t>
      </w:r>
      <w:r w:rsidR="00966B91">
        <w:rPr>
          <w:rFonts w:eastAsia="Times New Roman" w:cs="Arial"/>
          <w:color w:val="000000"/>
          <w:szCs w:val="20"/>
          <w:lang w:eastAsia="en-AU"/>
        </w:rPr>
        <w:t xml:space="preserve"> and</w:t>
      </w:r>
      <w:r w:rsidR="003F0D84">
        <w:rPr>
          <w:rFonts w:eastAsia="Times New Roman" w:cs="Arial"/>
          <w:color w:val="000000"/>
          <w:szCs w:val="20"/>
          <w:lang w:eastAsia="en-AU"/>
        </w:rPr>
        <w:t xml:space="preserve"> noted that </w:t>
      </w:r>
      <w:r w:rsidR="003F0D84" w:rsidRPr="003F0D84">
        <w:rPr>
          <w:rFonts w:eastAsia="Times New Roman" w:cs="Arial"/>
          <w:color w:val="000000"/>
          <w:szCs w:val="20"/>
          <w:lang w:eastAsia="en-AU"/>
        </w:rPr>
        <w:t>higher concentration IV potassium formulation</w:t>
      </w:r>
      <w:r w:rsidR="00904AAE">
        <w:rPr>
          <w:rFonts w:eastAsia="Times New Roman" w:cs="Arial"/>
          <w:color w:val="000000"/>
          <w:szCs w:val="20"/>
          <w:lang w:eastAsia="en-AU"/>
        </w:rPr>
        <w:t xml:space="preserve">s allow for </w:t>
      </w:r>
      <w:r w:rsidR="00904AAE" w:rsidRPr="00904AAE">
        <w:rPr>
          <w:rFonts w:eastAsia="Times New Roman" w:cs="Arial"/>
          <w:color w:val="000000"/>
          <w:szCs w:val="20"/>
          <w:lang w:eastAsia="en-AU"/>
        </w:rPr>
        <w:t>lower infusion volume</w:t>
      </w:r>
      <w:r w:rsidR="000B214C">
        <w:rPr>
          <w:rFonts w:eastAsia="Times New Roman" w:cs="Arial"/>
          <w:color w:val="000000"/>
          <w:szCs w:val="20"/>
          <w:lang w:eastAsia="en-AU"/>
        </w:rPr>
        <w:t>s</w:t>
      </w:r>
      <w:r w:rsidR="00904AAE">
        <w:rPr>
          <w:rFonts w:eastAsia="Times New Roman" w:cs="Arial"/>
          <w:color w:val="000000"/>
          <w:szCs w:val="20"/>
          <w:lang w:eastAsia="en-AU"/>
        </w:rPr>
        <w:t xml:space="preserve"> which</w:t>
      </w:r>
      <w:r w:rsidR="00904AAE" w:rsidRPr="00904AAE">
        <w:rPr>
          <w:rFonts w:eastAsia="Times New Roman" w:cs="Arial"/>
          <w:color w:val="000000"/>
          <w:szCs w:val="20"/>
          <w:lang w:eastAsia="en-AU"/>
        </w:rPr>
        <w:t xml:space="preserve"> </w:t>
      </w:r>
      <w:r w:rsidR="00904AAE">
        <w:rPr>
          <w:rFonts w:eastAsia="Times New Roman" w:cs="Arial"/>
          <w:color w:val="000000"/>
          <w:szCs w:val="20"/>
          <w:lang w:eastAsia="en-AU"/>
        </w:rPr>
        <w:t>expedites</w:t>
      </w:r>
      <w:r w:rsidR="00904AAE" w:rsidRPr="00904AAE">
        <w:rPr>
          <w:rFonts w:eastAsia="Times New Roman" w:cs="Arial"/>
          <w:color w:val="000000"/>
          <w:szCs w:val="20"/>
          <w:lang w:eastAsia="en-AU"/>
        </w:rPr>
        <w:t xml:space="preserve"> correction</w:t>
      </w:r>
      <w:r w:rsidR="00C154EB">
        <w:rPr>
          <w:rFonts w:eastAsia="Times New Roman" w:cs="Arial"/>
          <w:color w:val="000000"/>
          <w:szCs w:val="20"/>
          <w:lang w:eastAsia="en-AU"/>
        </w:rPr>
        <w:t xml:space="preserve"> and </w:t>
      </w:r>
      <w:r w:rsidR="00904AAE" w:rsidRPr="00904AAE">
        <w:rPr>
          <w:rFonts w:eastAsia="Times New Roman" w:cs="Arial"/>
          <w:color w:val="000000"/>
          <w:szCs w:val="20"/>
          <w:lang w:eastAsia="en-AU"/>
        </w:rPr>
        <w:t>reduc</w:t>
      </w:r>
      <w:r w:rsidR="00C154EB">
        <w:rPr>
          <w:rFonts w:eastAsia="Times New Roman" w:cs="Arial"/>
          <w:color w:val="000000"/>
          <w:szCs w:val="20"/>
          <w:lang w:eastAsia="en-AU"/>
        </w:rPr>
        <w:t>es</w:t>
      </w:r>
      <w:r w:rsidR="00904AAE" w:rsidRPr="00904AAE">
        <w:rPr>
          <w:rFonts w:eastAsia="Times New Roman" w:cs="Arial"/>
          <w:color w:val="000000"/>
          <w:szCs w:val="20"/>
          <w:lang w:eastAsia="en-AU"/>
        </w:rPr>
        <w:t xml:space="preserve"> the risk of fluid overload</w:t>
      </w:r>
      <w:r w:rsidR="00C154EB">
        <w:rPr>
          <w:rFonts w:eastAsia="Times New Roman" w:cs="Arial"/>
          <w:color w:val="000000"/>
          <w:szCs w:val="20"/>
          <w:lang w:eastAsia="en-AU"/>
        </w:rPr>
        <w:t xml:space="preserve"> and </w:t>
      </w:r>
      <w:r w:rsidR="000B214C">
        <w:rPr>
          <w:rFonts w:eastAsia="Times New Roman" w:cs="Arial"/>
          <w:color w:val="000000"/>
          <w:szCs w:val="20"/>
          <w:lang w:eastAsia="en-AU"/>
        </w:rPr>
        <w:t xml:space="preserve">related </w:t>
      </w:r>
      <w:r w:rsidR="00C6731F">
        <w:rPr>
          <w:rFonts w:eastAsia="Times New Roman" w:cs="Arial"/>
          <w:color w:val="000000"/>
          <w:szCs w:val="20"/>
          <w:lang w:eastAsia="en-AU"/>
        </w:rPr>
        <w:t>complications (such as arrhythmias)</w:t>
      </w:r>
      <w:r w:rsidR="00904AAE" w:rsidRPr="00904AAE">
        <w:rPr>
          <w:rFonts w:eastAsia="Times New Roman" w:cs="Arial"/>
          <w:color w:val="000000"/>
          <w:szCs w:val="20"/>
          <w:lang w:eastAsia="en-AU"/>
        </w:rPr>
        <w:t>.</w:t>
      </w:r>
      <w:r w:rsidR="00C6731F">
        <w:rPr>
          <w:rFonts w:eastAsia="Times New Roman" w:cs="Arial"/>
          <w:color w:val="000000"/>
          <w:szCs w:val="20"/>
          <w:lang w:eastAsia="en-AU"/>
        </w:rPr>
        <w:t xml:space="preserve"> </w:t>
      </w:r>
      <w:r w:rsidR="00966B91">
        <w:rPr>
          <w:rFonts w:eastAsia="Times New Roman" w:cs="Arial"/>
          <w:color w:val="000000"/>
          <w:szCs w:val="20"/>
          <w:lang w:eastAsia="en-AU"/>
        </w:rPr>
        <w:t>Numerous submissions also noted the significant logisti</w:t>
      </w:r>
      <w:r w:rsidR="006F39BF">
        <w:rPr>
          <w:rFonts w:eastAsia="Times New Roman" w:cs="Arial"/>
          <w:color w:val="000000"/>
          <w:szCs w:val="20"/>
          <w:lang w:eastAsia="en-AU"/>
        </w:rPr>
        <w:t>cal</w:t>
      </w:r>
      <w:r w:rsidR="00966B91">
        <w:rPr>
          <w:rFonts w:eastAsia="Times New Roman" w:cs="Arial"/>
          <w:color w:val="000000"/>
          <w:szCs w:val="20"/>
          <w:lang w:eastAsia="en-AU"/>
        </w:rPr>
        <w:t xml:space="preserve"> challenges associated with including IV potassium pre-mixed bags in Schedule 4</w:t>
      </w:r>
      <w:r w:rsidR="006F39BF">
        <w:rPr>
          <w:rFonts w:eastAsia="Times New Roman" w:cs="Arial"/>
          <w:color w:val="000000"/>
          <w:szCs w:val="20"/>
          <w:lang w:eastAsia="en-AU"/>
        </w:rPr>
        <w:t>. Inclusion in Schedule 4 would require storage in lock</w:t>
      </w:r>
      <w:r w:rsidR="000B214C">
        <w:rPr>
          <w:rFonts w:eastAsia="Times New Roman" w:cs="Arial"/>
          <w:color w:val="000000"/>
          <w:szCs w:val="20"/>
          <w:lang w:eastAsia="en-AU"/>
        </w:rPr>
        <w:t>able</w:t>
      </w:r>
      <w:r w:rsidR="006F39BF">
        <w:rPr>
          <w:rFonts w:eastAsia="Times New Roman" w:cs="Arial"/>
          <w:color w:val="000000"/>
          <w:szCs w:val="20"/>
          <w:lang w:eastAsia="en-AU"/>
        </w:rPr>
        <w:t xml:space="preserve"> </w:t>
      </w:r>
      <w:r w:rsidR="000B214C">
        <w:rPr>
          <w:rFonts w:eastAsia="Times New Roman" w:cs="Arial"/>
          <w:color w:val="000000"/>
          <w:szCs w:val="20"/>
          <w:lang w:eastAsia="en-AU"/>
        </w:rPr>
        <w:t>compartments</w:t>
      </w:r>
      <w:r w:rsidR="00E36259">
        <w:rPr>
          <w:rFonts w:eastAsia="Times New Roman" w:cs="Arial"/>
          <w:color w:val="000000"/>
          <w:szCs w:val="20"/>
          <w:lang w:eastAsia="en-AU"/>
        </w:rPr>
        <w:t xml:space="preserve"> (including </w:t>
      </w:r>
      <w:r w:rsidR="006B3195">
        <w:rPr>
          <w:rFonts w:eastAsia="Times New Roman" w:cs="Arial"/>
          <w:color w:val="000000"/>
          <w:szCs w:val="20"/>
          <w:lang w:eastAsia="en-AU"/>
        </w:rPr>
        <w:t>storerooms</w:t>
      </w:r>
      <w:r w:rsidR="00E36259">
        <w:rPr>
          <w:rFonts w:eastAsia="Times New Roman" w:cs="Arial"/>
          <w:color w:val="000000"/>
          <w:szCs w:val="20"/>
          <w:lang w:eastAsia="en-AU"/>
        </w:rPr>
        <w:t>, cupboards, trolleys</w:t>
      </w:r>
      <w:r w:rsidR="00BA283D">
        <w:rPr>
          <w:rFonts w:eastAsia="Times New Roman" w:cs="Arial"/>
          <w:color w:val="000000"/>
          <w:szCs w:val="20"/>
          <w:lang w:eastAsia="en-AU"/>
        </w:rPr>
        <w:t xml:space="preserve">, </w:t>
      </w:r>
      <w:r w:rsidR="00476F7A">
        <w:rPr>
          <w:rFonts w:eastAsia="Times New Roman" w:cs="Arial"/>
          <w:color w:val="000000"/>
          <w:szCs w:val="20"/>
          <w:lang w:eastAsia="en-AU"/>
        </w:rPr>
        <w:t xml:space="preserve">bed-side </w:t>
      </w:r>
      <w:r w:rsidR="00BA283D">
        <w:rPr>
          <w:rFonts w:eastAsia="Times New Roman" w:cs="Arial"/>
          <w:color w:val="000000"/>
          <w:szCs w:val="20"/>
          <w:lang w:eastAsia="en-AU"/>
        </w:rPr>
        <w:t>drawers, and drug refrigerators</w:t>
      </w:r>
      <w:r w:rsidR="00476F7A">
        <w:rPr>
          <w:rFonts w:eastAsia="Times New Roman" w:cs="Arial"/>
          <w:color w:val="000000"/>
          <w:szCs w:val="20"/>
          <w:lang w:eastAsia="en-AU"/>
        </w:rPr>
        <w:t>)</w:t>
      </w:r>
      <w:r w:rsidR="003D6707" w:rsidRPr="003D6707">
        <w:t xml:space="preserve"> </w:t>
      </w:r>
      <w:r w:rsidR="000B214C">
        <w:t xml:space="preserve">in most facilities </w:t>
      </w:r>
      <w:r w:rsidR="003D6707" w:rsidRPr="003D6707">
        <w:rPr>
          <w:rFonts w:eastAsia="Times New Roman" w:cs="Arial"/>
          <w:color w:val="000000"/>
          <w:szCs w:val="20"/>
          <w:lang w:eastAsia="en-AU"/>
        </w:rPr>
        <w:t>to ensure secure handling and access. The physical bulk of IV potassium bags makes it difficult to allocate</w:t>
      </w:r>
      <w:r w:rsidR="003D6707">
        <w:rPr>
          <w:rFonts w:eastAsia="Times New Roman" w:cs="Arial"/>
          <w:color w:val="000000"/>
          <w:szCs w:val="20"/>
          <w:lang w:eastAsia="en-AU"/>
        </w:rPr>
        <w:t xml:space="preserve"> sufficient</w:t>
      </w:r>
      <w:r w:rsidR="003D6707" w:rsidRPr="003D6707">
        <w:rPr>
          <w:rFonts w:eastAsia="Times New Roman" w:cs="Arial"/>
          <w:color w:val="000000"/>
          <w:szCs w:val="20"/>
          <w:lang w:eastAsia="en-AU"/>
        </w:rPr>
        <w:t xml:space="preserve"> secure</w:t>
      </w:r>
      <w:r w:rsidR="000B214C">
        <w:rPr>
          <w:rFonts w:eastAsia="Times New Roman" w:cs="Arial"/>
          <w:color w:val="000000"/>
          <w:szCs w:val="20"/>
          <w:lang w:eastAsia="en-AU"/>
        </w:rPr>
        <w:t xml:space="preserve"> storage</w:t>
      </w:r>
      <w:r w:rsidR="003D6707" w:rsidRPr="003D6707">
        <w:rPr>
          <w:rFonts w:eastAsia="Times New Roman" w:cs="Arial"/>
          <w:color w:val="000000"/>
          <w:szCs w:val="20"/>
          <w:lang w:eastAsia="en-AU"/>
        </w:rPr>
        <w:t xml:space="preserve"> space, particularly in emergency areas where rapid access is critical.</w:t>
      </w:r>
      <w:r w:rsidR="003D6707">
        <w:rPr>
          <w:rFonts w:eastAsia="Times New Roman" w:cs="Arial"/>
          <w:color w:val="000000"/>
          <w:szCs w:val="20"/>
          <w:lang w:eastAsia="en-AU"/>
        </w:rPr>
        <w:t xml:space="preserve"> </w:t>
      </w:r>
      <w:r w:rsidR="00711CC1">
        <w:rPr>
          <w:rFonts w:eastAsia="Times New Roman" w:cs="Arial"/>
          <w:color w:val="000000"/>
          <w:szCs w:val="20"/>
          <w:lang w:eastAsia="en-AU"/>
        </w:rPr>
        <w:t>Ampoules of IV potassium do not present the same challenge given their smaller size.</w:t>
      </w:r>
      <w:r w:rsidR="001F677B">
        <w:rPr>
          <w:rFonts w:eastAsia="Times New Roman" w:cs="Arial"/>
          <w:color w:val="000000"/>
          <w:szCs w:val="20"/>
          <w:lang w:eastAsia="en-AU"/>
        </w:rPr>
        <w:t xml:space="preserve"> Numerous submissions also noted that standard professional practice </w:t>
      </w:r>
      <w:r w:rsidR="00A9137E">
        <w:rPr>
          <w:rFonts w:eastAsia="Times New Roman" w:cs="Arial"/>
          <w:color w:val="000000"/>
          <w:szCs w:val="20"/>
          <w:lang w:eastAsia="en-AU"/>
        </w:rPr>
        <w:t>involves storing</w:t>
      </w:r>
      <w:r w:rsidR="001F677B">
        <w:rPr>
          <w:rFonts w:eastAsia="Times New Roman" w:cs="Arial"/>
          <w:color w:val="000000"/>
          <w:szCs w:val="20"/>
          <w:lang w:eastAsia="en-AU"/>
        </w:rPr>
        <w:t xml:space="preserve"> IV potassium </w:t>
      </w:r>
      <w:r w:rsidR="00A9137E">
        <w:rPr>
          <w:rFonts w:eastAsia="Times New Roman" w:cs="Arial"/>
          <w:color w:val="000000"/>
          <w:szCs w:val="20"/>
          <w:lang w:eastAsia="en-AU"/>
        </w:rPr>
        <w:t xml:space="preserve">in locked pharmacy </w:t>
      </w:r>
      <w:r w:rsidR="006B3195">
        <w:rPr>
          <w:rFonts w:eastAsia="Times New Roman" w:cs="Arial"/>
          <w:color w:val="000000"/>
          <w:szCs w:val="20"/>
          <w:lang w:eastAsia="en-AU"/>
        </w:rPr>
        <w:t>rooms and</w:t>
      </w:r>
      <w:r w:rsidR="00427726">
        <w:rPr>
          <w:rFonts w:eastAsia="Times New Roman" w:cs="Arial"/>
          <w:color w:val="000000"/>
          <w:szCs w:val="20"/>
          <w:lang w:eastAsia="en-AU"/>
        </w:rPr>
        <w:t xml:space="preserve"> are</w:t>
      </w:r>
      <w:r w:rsidR="001F3D4D">
        <w:rPr>
          <w:rFonts w:eastAsia="Times New Roman" w:cs="Arial"/>
          <w:color w:val="000000"/>
          <w:szCs w:val="20"/>
          <w:lang w:eastAsia="en-AU"/>
        </w:rPr>
        <w:t xml:space="preserve"> considered</w:t>
      </w:r>
      <w:r w:rsidR="00427726">
        <w:rPr>
          <w:rFonts w:eastAsia="Times New Roman" w:cs="Arial"/>
          <w:color w:val="000000"/>
          <w:szCs w:val="20"/>
          <w:lang w:eastAsia="en-AU"/>
        </w:rPr>
        <w:t xml:space="preserve"> </w:t>
      </w:r>
      <w:r w:rsidR="006272DA">
        <w:rPr>
          <w:rFonts w:eastAsia="Times New Roman" w:cs="Arial"/>
          <w:color w:val="000000"/>
          <w:szCs w:val="20"/>
          <w:lang w:eastAsia="en-AU"/>
        </w:rPr>
        <w:t>A</w:t>
      </w:r>
      <w:r w:rsidR="00427726">
        <w:rPr>
          <w:rFonts w:eastAsia="Times New Roman" w:cs="Arial"/>
          <w:color w:val="000000"/>
          <w:szCs w:val="20"/>
          <w:lang w:eastAsia="en-AU"/>
        </w:rPr>
        <w:t>PINCH</w:t>
      </w:r>
      <w:r w:rsidR="006272DA">
        <w:rPr>
          <w:rFonts w:eastAsia="Times New Roman" w:cs="Arial"/>
          <w:color w:val="000000"/>
          <w:szCs w:val="20"/>
          <w:lang w:eastAsia="en-AU"/>
        </w:rPr>
        <w:t>S</w:t>
      </w:r>
      <w:r w:rsidR="000B214C">
        <w:rPr>
          <w:rStyle w:val="FootnoteReference"/>
          <w:rFonts w:eastAsia="Times New Roman" w:cs="Arial"/>
          <w:color w:val="000000"/>
          <w:szCs w:val="20"/>
          <w:lang w:eastAsia="en-AU"/>
        </w:rPr>
        <w:footnoteReference w:id="6"/>
      </w:r>
      <w:r w:rsidR="00427726">
        <w:rPr>
          <w:rFonts w:eastAsia="Times New Roman" w:cs="Arial"/>
          <w:color w:val="000000"/>
          <w:szCs w:val="20"/>
          <w:lang w:eastAsia="en-AU"/>
        </w:rPr>
        <w:t xml:space="preserve"> medicines</w:t>
      </w:r>
      <w:r w:rsidR="00611F63">
        <w:rPr>
          <w:rFonts w:eastAsia="Times New Roman" w:cs="Arial"/>
          <w:color w:val="000000"/>
          <w:szCs w:val="20"/>
          <w:lang w:eastAsia="en-AU"/>
        </w:rPr>
        <w:t xml:space="preserve"> (recognised </w:t>
      </w:r>
      <w:r w:rsidR="001F3D4D">
        <w:rPr>
          <w:rFonts w:eastAsia="Times New Roman" w:cs="Arial"/>
          <w:color w:val="000000"/>
          <w:szCs w:val="20"/>
          <w:lang w:eastAsia="en-AU"/>
        </w:rPr>
        <w:t xml:space="preserve">as </w:t>
      </w:r>
      <w:r w:rsidR="00611F63">
        <w:rPr>
          <w:rFonts w:eastAsia="Times New Roman" w:cs="Arial"/>
          <w:color w:val="000000"/>
          <w:szCs w:val="20"/>
          <w:lang w:eastAsia="en-AU"/>
        </w:rPr>
        <w:t>high risk</w:t>
      </w:r>
      <w:r w:rsidR="001F3D4D">
        <w:rPr>
          <w:rFonts w:eastAsia="Times New Roman" w:cs="Arial"/>
          <w:color w:val="000000"/>
          <w:szCs w:val="20"/>
          <w:lang w:eastAsia="en-AU"/>
        </w:rPr>
        <w:t xml:space="preserve"> </w:t>
      </w:r>
      <w:r w:rsidR="000B214C">
        <w:rPr>
          <w:rFonts w:eastAsia="Times New Roman" w:cs="Arial"/>
          <w:color w:val="000000"/>
          <w:szCs w:val="20"/>
          <w:lang w:eastAsia="en-AU"/>
        </w:rPr>
        <w:t>for medication harm</w:t>
      </w:r>
      <w:r w:rsidR="00611F63">
        <w:rPr>
          <w:rFonts w:eastAsia="Times New Roman" w:cs="Arial"/>
          <w:color w:val="000000"/>
          <w:szCs w:val="20"/>
          <w:lang w:eastAsia="en-AU"/>
        </w:rPr>
        <w:t>)</w:t>
      </w:r>
      <w:r w:rsidR="00427726">
        <w:rPr>
          <w:rFonts w:eastAsia="Times New Roman" w:cs="Arial"/>
          <w:color w:val="000000"/>
          <w:szCs w:val="20"/>
          <w:lang w:eastAsia="en-AU"/>
        </w:rPr>
        <w:t xml:space="preserve"> </w:t>
      </w:r>
      <w:r w:rsidR="006F2E1B">
        <w:rPr>
          <w:rFonts w:eastAsia="Times New Roman" w:cs="Arial"/>
          <w:color w:val="000000"/>
          <w:szCs w:val="20"/>
          <w:lang w:eastAsia="en-AU"/>
        </w:rPr>
        <w:t>requiring</w:t>
      </w:r>
      <w:r w:rsidR="003F5924">
        <w:rPr>
          <w:rFonts w:eastAsia="Times New Roman" w:cs="Arial"/>
          <w:color w:val="000000"/>
          <w:szCs w:val="20"/>
          <w:lang w:eastAsia="en-AU"/>
        </w:rPr>
        <w:t xml:space="preserve"> double check</w:t>
      </w:r>
      <w:r w:rsidR="006B3195">
        <w:rPr>
          <w:rFonts w:eastAsia="Times New Roman" w:cs="Arial"/>
          <w:color w:val="000000"/>
          <w:szCs w:val="20"/>
          <w:lang w:eastAsia="en-AU"/>
        </w:rPr>
        <w:t>ing by staff</w:t>
      </w:r>
      <w:r w:rsidR="003F5924">
        <w:rPr>
          <w:rFonts w:eastAsia="Times New Roman" w:cs="Arial"/>
          <w:color w:val="000000"/>
          <w:szCs w:val="20"/>
          <w:lang w:eastAsia="en-AU"/>
        </w:rPr>
        <w:t xml:space="preserve"> prior to administration</w:t>
      </w:r>
      <w:r w:rsidR="001F677B">
        <w:rPr>
          <w:rFonts w:eastAsia="Times New Roman" w:cs="Arial"/>
          <w:color w:val="000000"/>
          <w:szCs w:val="20"/>
          <w:lang w:eastAsia="en-AU"/>
        </w:rPr>
        <w:t xml:space="preserve"> </w:t>
      </w:r>
      <w:r w:rsidR="006B3195">
        <w:rPr>
          <w:rFonts w:eastAsia="Times New Roman" w:cs="Arial"/>
          <w:color w:val="000000"/>
          <w:szCs w:val="20"/>
          <w:lang w:eastAsia="en-AU"/>
        </w:rPr>
        <w:t>and use of an infusion pump with dose error reduction software.</w:t>
      </w:r>
    </w:p>
    <w:p w14:paraId="2EE49149" w14:textId="655D31FB" w:rsidR="002C145D" w:rsidRPr="00EF0D6A" w:rsidRDefault="00337C4D" w:rsidP="00EB1AB3">
      <w:pPr>
        <w:spacing w:before="180" w:after="180" w:line="240" w:lineRule="atLeast"/>
        <w:rPr>
          <w:rFonts w:eastAsia="Times New Roman" w:cs="Arial"/>
          <w:color w:val="000000"/>
          <w:szCs w:val="20"/>
          <w:lang w:eastAsia="en-AU"/>
        </w:rPr>
      </w:pPr>
      <w:r>
        <w:rPr>
          <w:rFonts w:eastAsia="Times New Roman" w:cs="Arial"/>
          <w:color w:val="000000"/>
          <w:szCs w:val="20"/>
          <w:lang w:eastAsia="en-AU"/>
        </w:rPr>
        <w:t>Submissions opposed to the interim decision raised similar concerns to those in partial support</w:t>
      </w:r>
      <w:r w:rsidR="00E93C03">
        <w:rPr>
          <w:rFonts w:eastAsia="Times New Roman" w:cs="Arial"/>
          <w:color w:val="000000"/>
          <w:szCs w:val="20"/>
          <w:lang w:eastAsia="en-AU"/>
        </w:rPr>
        <w:t xml:space="preserve">; namely </w:t>
      </w:r>
      <w:r w:rsidR="00776EA7">
        <w:rPr>
          <w:rFonts w:eastAsia="Times New Roman" w:cs="Arial"/>
          <w:color w:val="000000"/>
          <w:szCs w:val="20"/>
          <w:lang w:eastAsia="en-AU"/>
        </w:rPr>
        <w:t>that</w:t>
      </w:r>
      <w:r w:rsidR="006B2EA9">
        <w:rPr>
          <w:rFonts w:eastAsia="Times New Roman" w:cs="Arial"/>
          <w:color w:val="000000"/>
          <w:szCs w:val="20"/>
          <w:lang w:eastAsia="en-AU"/>
        </w:rPr>
        <w:t xml:space="preserve"> inclusion of IV potassium bags in</w:t>
      </w:r>
      <w:r w:rsidR="00776EA7">
        <w:rPr>
          <w:rFonts w:eastAsia="Times New Roman" w:cs="Arial"/>
          <w:color w:val="000000"/>
          <w:szCs w:val="20"/>
          <w:lang w:eastAsia="en-AU"/>
        </w:rPr>
        <w:t xml:space="preserve"> </w:t>
      </w:r>
      <w:r w:rsidR="006B2EA9">
        <w:rPr>
          <w:rFonts w:eastAsia="Times New Roman" w:cs="Arial"/>
          <w:color w:val="000000"/>
          <w:szCs w:val="20"/>
          <w:lang w:eastAsia="en-AU"/>
        </w:rPr>
        <w:t>Schedule 4</w:t>
      </w:r>
      <w:r w:rsidR="00057491">
        <w:rPr>
          <w:rFonts w:eastAsia="Times New Roman" w:cs="Arial"/>
          <w:color w:val="000000"/>
          <w:szCs w:val="20"/>
          <w:lang w:eastAsia="en-AU"/>
        </w:rPr>
        <w:t xml:space="preserve"> will create significant storage challenges</w:t>
      </w:r>
      <w:r w:rsidR="00695C54">
        <w:rPr>
          <w:rFonts w:eastAsia="Times New Roman" w:cs="Arial"/>
          <w:color w:val="000000"/>
          <w:szCs w:val="20"/>
          <w:lang w:eastAsia="en-AU"/>
        </w:rPr>
        <w:t xml:space="preserve"> for the commonly used fluids in hospital and ambulance</w:t>
      </w:r>
      <w:r w:rsidR="00E6711E">
        <w:rPr>
          <w:rFonts w:eastAsia="Times New Roman" w:cs="Arial"/>
          <w:color w:val="000000"/>
          <w:szCs w:val="20"/>
          <w:lang w:eastAsia="en-AU"/>
        </w:rPr>
        <w:t xml:space="preserve"> settings</w:t>
      </w:r>
      <w:r w:rsidR="00695C54">
        <w:rPr>
          <w:rFonts w:eastAsia="Times New Roman" w:cs="Arial"/>
          <w:color w:val="000000"/>
          <w:szCs w:val="20"/>
          <w:lang w:eastAsia="en-AU"/>
        </w:rPr>
        <w:t>.</w:t>
      </w:r>
      <w:r w:rsidR="00E6711E">
        <w:rPr>
          <w:rFonts w:eastAsia="Times New Roman" w:cs="Arial"/>
          <w:color w:val="000000"/>
          <w:szCs w:val="20"/>
          <w:lang w:eastAsia="en-AU"/>
        </w:rPr>
        <w:t xml:space="preserve"> They also echoed that </w:t>
      </w:r>
      <w:r w:rsidR="009F503E">
        <w:rPr>
          <w:rFonts w:eastAsia="Times New Roman" w:cs="Arial"/>
          <w:color w:val="000000"/>
          <w:szCs w:val="20"/>
          <w:lang w:eastAsia="en-AU"/>
        </w:rPr>
        <w:t xml:space="preserve">these products are typically </w:t>
      </w:r>
      <w:r w:rsidR="00282B41" w:rsidRPr="00282B41">
        <w:rPr>
          <w:rFonts w:eastAsia="Times New Roman" w:cs="Arial"/>
          <w:color w:val="000000"/>
          <w:szCs w:val="20"/>
          <w:lang w:eastAsia="en-AU"/>
        </w:rPr>
        <w:t xml:space="preserve">stored </w:t>
      </w:r>
      <w:r w:rsidR="0058290F">
        <w:rPr>
          <w:rFonts w:eastAsia="Times New Roman" w:cs="Arial"/>
          <w:color w:val="000000"/>
          <w:szCs w:val="20"/>
          <w:lang w:eastAsia="en-AU"/>
        </w:rPr>
        <w:t>in</w:t>
      </w:r>
      <w:r w:rsidR="00282B41">
        <w:rPr>
          <w:rFonts w:eastAsia="Times New Roman" w:cs="Arial"/>
          <w:color w:val="000000"/>
          <w:szCs w:val="20"/>
          <w:lang w:eastAsia="en-AU"/>
        </w:rPr>
        <w:t xml:space="preserve"> locked medication </w:t>
      </w:r>
      <w:r w:rsidR="00DC1BD5">
        <w:rPr>
          <w:rFonts w:eastAsia="Times New Roman" w:cs="Arial"/>
          <w:color w:val="000000"/>
          <w:szCs w:val="20"/>
          <w:lang w:eastAsia="en-AU"/>
        </w:rPr>
        <w:t>rooms and</w:t>
      </w:r>
      <w:r w:rsidR="00FC7376">
        <w:rPr>
          <w:rFonts w:eastAsia="Times New Roman" w:cs="Arial"/>
          <w:color w:val="000000"/>
          <w:szCs w:val="20"/>
          <w:lang w:eastAsia="en-AU"/>
        </w:rPr>
        <w:t xml:space="preserve"> are </w:t>
      </w:r>
      <w:r w:rsidR="00DC1BD5" w:rsidRPr="00DC1BD5">
        <w:rPr>
          <w:rFonts w:eastAsia="Times New Roman" w:cs="Arial"/>
          <w:color w:val="000000"/>
          <w:szCs w:val="20"/>
          <w:lang w:eastAsia="en-AU"/>
        </w:rPr>
        <w:t>already prescribed by authorised prescribers in healthcare organisations</w:t>
      </w:r>
      <w:r w:rsidR="008C628B">
        <w:rPr>
          <w:rFonts w:eastAsia="Times New Roman" w:cs="Arial"/>
          <w:color w:val="000000"/>
          <w:szCs w:val="20"/>
          <w:lang w:eastAsia="en-AU"/>
        </w:rPr>
        <w:t>.</w:t>
      </w:r>
      <w:r w:rsidR="00DC1BD5">
        <w:rPr>
          <w:rFonts w:eastAsia="Times New Roman" w:cs="Arial"/>
          <w:color w:val="000000"/>
          <w:szCs w:val="20"/>
          <w:lang w:eastAsia="en-AU"/>
        </w:rPr>
        <w:t xml:space="preserve"> </w:t>
      </w:r>
      <w:r w:rsidR="00C84A18">
        <w:rPr>
          <w:rFonts w:eastAsia="Times New Roman" w:cs="Arial"/>
          <w:color w:val="000000"/>
          <w:szCs w:val="20"/>
          <w:lang w:eastAsia="en-AU"/>
        </w:rPr>
        <w:t xml:space="preserve">It was also noted that </w:t>
      </w:r>
      <w:r w:rsidR="004029D2" w:rsidRPr="004029D2">
        <w:rPr>
          <w:rFonts w:eastAsia="Times New Roman" w:cs="Arial"/>
          <w:color w:val="000000"/>
          <w:szCs w:val="20"/>
          <w:lang w:eastAsia="en-AU"/>
        </w:rPr>
        <w:t xml:space="preserve">premixed potassium bags </w:t>
      </w:r>
      <w:r w:rsidR="00874DB7" w:rsidRPr="004029D2">
        <w:rPr>
          <w:rFonts w:eastAsia="Times New Roman" w:cs="Arial"/>
          <w:color w:val="000000"/>
          <w:szCs w:val="20"/>
          <w:lang w:eastAsia="en-AU"/>
        </w:rPr>
        <w:t>have</w:t>
      </w:r>
      <w:r w:rsidR="004029D2" w:rsidRPr="004029D2">
        <w:rPr>
          <w:rFonts w:eastAsia="Times New Roman" w:cs="Arial"/>
          <w:color w:val="000000"/>
          <w:szCs w:val="20"/>
          <w:lang w:eastAsia="en-AU"/>
        </w:rPr>
        <w:t xml:space="preserve"> significantly </w:t>
      </w:r>
      <w:r w:rsidR="004029D2" w:rsidRPr="004029D2">
        <w:rPr>
          <w:rFonts w:eastAsia="Times New Roman" w:cs="Arial"/>
          <w:color w:val="000000"/>
          <w:szCs w:val="20"/>
          <w:lang w:eastAsia="en-AU"/>
        </w:rPr>
        <w:lastRenderedPageBreak/>
        <w:t>reduced risks associated with intravenous potassium administration, and have provided an alternative to concentrated potassium ampoules, with reduced associated risks.</w:t>
      </w:r>
      <w:r w:rsidR="00874DB7">
        <w:rPr>
          <w:rFonts w:eastAsia="Times New Roman" w:cs="Arial"/>
          <w:color w:val="000000"/>
          <w:szCs w:val="20"/>
          <w:lang w:eastAsia="en-AU"/>
        </w:rPr>
        <w:t xml:space="preserve"> Two submissions supported the exemption of </w:t>
      </w:r>
      <w:r w:rsidR="00FA56CF" w:rsidRPr="00FA56CF">
        <w:rPr>
          <w:rFonts w:eastAsia="Times New Roman" w:cs="Arial"/>
          <w:color w:val="000000"/>
          <w:szCs w:val="20"/>
          <w:lang w:eastAsia="en-AU"/>
        </w:rPr>
        <w:t>pre-mixed uses for Total Parenteral Nutrition (TPN)</w:t>
      </w:r>
      <w:r w:rsidR="00FA56CF">
        <w:rPr>
          <w:rFonts w:eastAsia="Times New Roman" w:cs="Arial"/>
          <w:color w:val="000000"/>
          <w:szCs w:val="20"/>
          <w:lang w:eastAsia="en-AU"/>
        </w:rPr>
        <w:t xml:space="preserve"> as they do not pose a risk of a bolus dos</w:t>
      </w:r>
      <w:r w:rsidR="006E2112">
        <w:rPr>
          <w:rFonts w:eastAsia="Times New Roman" w:cs="Arial"/>
          <w:color w:val="000000"/>
          <w:szCs w:val="20"/>
          <w:lang w:eastAsia="en-AU"/>
        </w:rPr>
        <w:t>e. A</w:t>
      </w:r>
      <w:r w:rsidR="00073D8A">
        <w:rPr>
          <w:rFonts w:eastAsia="Times New Roman" w:cs="Arial"/>
          <w:color w:val="000000"/>
          <w:szCs w:val="20"/>
          <w:lang w:eastAsia="en-AU"/>
        </w:rPr>
        <w:t xml:space="preserve">s noted in the interim decision, </w:t>
      </w:r>
      <w:r w:rsidR="008C1DF9" w:rsidRPr="008C1DF9">
        <w:rPr>
          <w:rFonts w:eastAsia="Times New Roman" w:cs="Arial"/>
          <w:color w:val="000000"/>
          <w:szCs w:val="20"/>
          <w:lang w:eastAsia="en-AU"/>
        </w:rPr>
        <w:t>Nutrition Replacement Preparations</w:t>
      </w:r>
      <w:r w:rsidR="008C1DF9">
        <w:rPr>
          <w:rFonts w:eastAsia="Times New Roman" w:cs="Arial"/>
          <w:color w:val="000000"/>
          <w:szCs w:val="20"/>
          <w:lang w:eastAsia="en-AU"/>
        </w:rPr>
        <w:t xml:space="preserve"> are already exempt under Appendix A</w:t>
      </w:r>
      <w:r w:rsidR="000428F8">
        <w:rPr>
          <w:rFonts w:eastAsia="Times New Roman" w:cs="Arial"/>
          <w:color w:val="000000"/>
          <w:szCs w:val="20"/>
          <w:lang w:eastAsia="en-AU"/>
        </w:rPr>
        <w:t xml:space="preserve"> of the Poisons Standard</w:t>
      </w:r>
      <w:r w:rsidR="008C1DF9">
        <w:rPr>
          <w:rFonts w:eastAsia="Times New Roman" w:cs="Arial"/>
          <w:color w:val="000000"/>
          <w:szCs w:val="20"/>
          <w:lang w:eastAsia="en-AU"/>
        </w:rPr>
        <w:t>.</w:t>
      </w:r>
    </w:p>
    <w:p w14:paraId="2B58A636" w14:textId="6D02A89A" w:rsidR="005D58A8" w:rsidRDefault="00D30416" w:rsidP="00EB1AB3">
      <w:pPr>
        <w:spacing w:before="180" w:after="180" w:line="240" w:lineRule="atLeast"/>
        <w:rPr>
          <w:rFonts w:eastAsia="Times New Roman" w:cs="Arial"/>
          <w:color w:val="000000"/>
          <w:szCs w:val="20"/>
          <w:lang w:eastAsia="en-AU"/>
        </w:rPr>
      </w:pPr>
      <w:r w:rsidRPr="00476B74">
        <w:rPr>
          <w:rFonts w:cs="Arial"/>
          <w:szCs w:val="20"/>
        </w:rPr>
        <w:t xml:space="preserve">My reason for making the final decision </w:t>
      </w:r>
      <w:r w:rsidR="00B13259">
        <w:rPr>
          <w:rFonts w:cs="Arial"/>
          <w:szCs w:val="20"/>
        </w:rPr>
        <w:t>to exempt</w:t>
      </w:r>
      <w:r w:rsidR="00F70F40">
        <w:rPr>
          <w:rFonts w:cs="Arial"/>
          <w:szCs w:val="20"/>
        </w:rPr>
        <w:t xml:space="preserve"> IV potassium in pre-mixed bags for infusion is </w:t>
      </w:r>
      <w:r w:rsidR="0052385D">
        <w:rPr>
          <w:rFonts w:cs="Arial"/>
          <w:szCs w:val="20"/>
        </w:rPr>
        <w:t xml:space="preserve">weighing up the </w:t>
      </w:r>
      <w:r w:rsidR="00F70F40">
        <w:rPr>
          <w:rFonts w:cs="Arial"/>
          <w:szCs w:val="20"/>
        </w:rPr>
        <w:t>logistical challenges of storing these bulky preparations</w:t>
      </w:r>
      <w:r w:rsidR="005D58A8">
        <w:rPr>
          <w:rFonts w:cs="Arial"/>
          <w:szCs w:val="20"/>
        </w:rPr>
        <w:t xml:space="preserve"> and </w:t>
      </w:r>
      <w:r w:rsidR="00EC73A5">
        <w:rPr>
          <w:rFonts w:cs="Arial"/>
          <w:szCs w:val="20"/>
        </w:rPr>
        <w:t>the benefit of maintaining r</w:t>
      </w:r>
      <w:r w:rsidR="005D58A8">
        <w:rPr>
          <w:rFonts w:cs="Arial"/>
          <w:szCs w:val="20"/>
        </w:rPr>
        <w:t>apid access in emergency care settings</w:t>
      </w:r>
      <w:r w:rsidR="00EC73A5">
        <w:rPr>
          <w:rFonts w:cs="Arial"/>
          <w:szCs w:val="20"/>
        </w:rPr>
        <w:t>.</w:t>
      </w:r>
      <w:r w:rsidRPr="00476B74">
        <w:rPr>
          <w:rFonts w:cs="Arial"/>
          <w:szCs w:val="20"/>
        </w:rPr>
        <w:t xml:space="preserve"> </w:t>
      </w:r>
      <w:r w:rsidR="00AA3726">
        <w:rPr>
          <w:rFonts w:eastAsia="Times New Roman" w:cs="Arial"/>
          <w:color w:val="000000"/>
          <w:szCs w:val="20"/>
          <w:lang w:eastAsia="en-AU"/>
        </w:rPr>
        <w:t>In considering s 52E(1)(a) of the Act,</w:t>
      </w:r>
      <w:r w:rsidR="00B12A27">
        <w:rPr>
          <w:rFonts w:eastAsia="Times New Roman" w:cs="Arial"/>
          <w:color w:val="000000"/>
          <w:szCs w:val="20"/>
          <w:lang w:eastAsia="en-AU"/>
        </w:rPr>
        <w:t xml:space="preserve"> I </w:t>
      </w:r>
      <w:proofErr w:type="gramStart"/>
      <w:r w:rsidR="00B12A27">
        <w:rPr>
          <w:rFonts w:eastAsia="Times New Roman" w:cs="Arial"/>
          <w:color w:val="000000"/>
          <w:szCs w:val="20"/>
          <w:lang w:eastAsia="en-AU"/>
        </w:rPr>
        <w:t>am of the opinion that</w:t>
      </w:r>
      <w:proofErr w:type="gramEnd"/>
      <w:r w:rsidR="00B12A27">
        <w:rPr>
          <w:rFonts w:eastAsia="Times New Roman" w:cs="Arial"/>
          <w:color w:val="000000"/>
          <w:szCs w:val="20"/>
          <w:lang w:eastAsia="en-AU"/>
        </w:rPr>
        <w:t xml:space="preserve"> the </w:t>
      </w:r>
      <w:r w:rsidR="001D47EC">
        <w:rPr>
          <w:rFonts w:eastAsia="Times New Roman" w:cs="Arial"/>
          <w:color w:val="000000"/>
          <w:szCs w:val="20"/>
          <w:lang w:eastAsia="en-AU"/>
        </w:rPr>
        <w:t xml:space="preserve">current evidence of </w:t>
      </w:r>
      <w:r w:rsidR="009D3C1F">
        <w:rPr>
          <w:rFonts w:eastAsia="Times New Roman" w:cs="Arial"/>
          <w:color w:val="000000"/>
          <w:szCs w:val="20"/>
          <w:lang w:eastAsia="en-AU"/>
        </w:rPr>
        <w:t>IV potassium misuse and adverse outcomes do</w:t>
      </w:r>
      <w:r w:rsidR="002A0728">
        <w:rPr>
          <w:rFonts w:eastAsia="Times New Roman" w:cs="Arial"/>
          <w:color w:val="000000"/>
          <w:szCs w:val="20"/>
          <w:lang w:eastAsia="en-AU"/>
        </w:rPr>
        <w:t>es</w:t>
      </w:r>
      <w:r w:rsidR="009D3C1F">
        <w:rPr>
          <w:rFonts w:eastAsia="Times New Roman" w:cs="Arial"/>
          <w:color w:val="000000"/>
          <w:szCs w:val="20"/>
          <w:lang w:eastAsia="en-AU"/>
        </w:rPr>
        <w:t xml:space="preserve"> not support the regulatory burden the proposed scheduling would create for </w:t>
      </w:r>
      <w:r w:rsidR="00A44F58">
        <w:rPr>
          <w:rFonts w:eastAsia="Times New Roman" w:cs="Arial"/>
          <w:color w:val="000000"/>
          <w:szCs w:val="20"/>
          <w:lang w:eastAsia="en-AU"/>
        </w:rPr>
        <w:t xml:space="preserve">emergency care providers. I acknowledge the </w:t>
      </w:r>
      <w:r w:rsidR="00186688">
        <w:rPr>
          <w:rFonts w:eastAsia="Times New Roman" w:cs="Arial"/>
          <w:color w:val="000000"/>
          <w:szCs w:val="20"/>
          <w:lang w:eastAsia="en-AU"/>
        </w:rPr>
        <w:t>challenge</w:t>
      </w:r>
      <w:r w:rsidR="002D1F9F">
        <w:rPr>
          <w:rFonts w:eastAsia="Times New Roman" w:cs="Arial"/>
          <w:color w:val="000000"/>
          <w:szCs w:val="20"/>
          <w:lang w:eastAsia="en-AU"/>
        </w:rPr>
        <w:t xml:space="preserve"> t</w:t>
      </w:r>
      <w:r w:rsidR="00C43844">
        <w:rPr>
          <w:rFonts w:eastAsia="Times New Roman" w:cs="Arial"/>
          <w:color w:val="000000"/>
          <w:szCs w:val="20"/>
          <w:lang w:eastAsia="en-AU"/>
        </w:rPr>
        <w:t>his</w:t>
      </w:r>
      <w:r w:rsidR="00186688">
        <w:rPr>
          <w:rFonts w:eastAsia="Times New Roman" w:cs="Arial"/>
          <w:color w:val="000000"/>
          <w:szCs w:val="20"/>
          <w:lang w:eastAsia="en-AU"/>
        </w:rPr>
        <w:t xml:space="preserve"> would create</w:t>
      </w:r>
      <w:r w:rsidR="002A0728">
        <w:rPr>
          <w:rFonts w:eastAsia="Times New Roman" w:cs="Arial"/>
          <w:color w:val="000000"/>
          <w:szCs w:val="20"/>
          <w:lang w:eastAsia="en-AU"/>
        </w:rPr>
        <w:t xml:space="preserve"> for</w:t>
      </w:r>
      <w:r w:rsidR="00186688">
        <w:rPr>
          <w:rFonts w:eastAsia="Times New Roman" w:cs="Arial"/>
          <w:color w:val="000000"/>
          <w:szCs w:val="20"/>
          <w:lang w:eastAsia="en-AU"/>
        </w:rPr>
        <w:t xml:space="preserve"> </w:t>
      </w:r>
      <w:r w:rsidR="00360A35" w:rsidRPr="00360A35">
        <w:rPr>
          <w:rFonts w:eastAsia="Times New Roman" w:cs="Arial"/>
          <w:color w:val="000000"/>
          <w:szCs w:val="20"/>
          <w:lang w:eastAsia="en-AU"/>
        </w:rPr>
        <w:t xml:space="preserve">workflow issues, storage </w:t>
      </w:r>
      <w:r w:rsidR="002A0728">
        <w:rPr>
          <w:rFonts w:eastAsia="Times New Roman" w:cs="Arial"/>
          <w:color w:val="000000"/>
          <w:szCs w:val="20"/>
          <w:lang w:eastAsia="en-AU"/>
        </w:rPr>
        <w:t>and</w:t>
      </w:r>
      <w:r w:rsidR="00360A35" w:rsidRPr="00360A35">
        <w:rPr>
          <w:rFonts w:eastAsia="Times New Roman" w:cs="Arial"/>
          <w:color w:val="000000"/>
          <w:szCs w:val="20"/>
          <w:lang w:eastAsia="en-AU"/>
        </w:rPr>
        <w:t xml:space="preserve"> accessibility in the hospital </w:t>
      </w:r>
      <w:r w:rsidR="002A0728" w:rsidRPr="00360A35">
        <w:rPr>
          <w:rFonts w:eastAsia="Times New Roman" w:cs="Arial"/>
          <w:color w:val="000000"/>
          <w:szCs w:val="20"/>
          <w:lang w:eastAsia="en-AU"/>
        </w:rPr>
        <w:t xml:space="preserve">environment </w:t>
      </w:r>
      <w:r w:rsidR="002A0728">
        <w:rPr>
          <w:rFonts w:eastAsia="Times New Roman" w:cs="Arial"/>
          <w:color w:val="000000"/>
          <w:szCs w:val="20"/>
          <w:lang w:eastAsia="en-AU"/>
        </w:rPr>
        <w:t>where</w:t>
      </w:r>
      <w:r w:rsidR="00360A35">
        <w:rPr>
          <w:rFonts w:eastAsia="Times New Roman" w:cs="Arial"/>
          <w:color w:val="000000"/>
          <w:szCs w:val="20"/>
          <w:lang w:eastAsia="en-AU"/>
        </w:rPr>
        <w:t xml:space="preserve"> </w:t>
      </w:r>
      <w:r w:rsidR="00C43844">
        <w:rPr>
          <w:rFonts w:eastAsia="Times New Roman" w:cs="Arial"/>
          <w:color w:val="000000"/>
          <w:szCs w:val="20"/>
          <w:lang w:eastAsia="en-AU"/>
        </w:rPr>
        <w:t>rapid</w:t>
      </w:r>
      <w:r w:rsidR="006F2B5A">
        <w:rPr>
          <w:rFonts w:eastAsia="Times New Roman" w:cs="Arial"/>
          <w:color w:val="000000"/>
          <w:szCs w:val="20"/>
          <w:lang w:eastAsia="en-AU"/>
        </w:rPr>
        <w:t xml:space="preserve"> access by</w:t>
      </w:r>
      <w:r w:rsidR="00186688">
        <w:rPr>
          <w:rFonts w:eastAsia="Times New Roman" w:cs="Arial"/>
          <w:color w:val="000000"/>
          <w:szCs w:val="20"/>
          <w:lang w:eastAsia="en-AU"/>
        </w:rPr>
        <w:t xml:space="preserve"> emergency healthcare providers</w:t>
      </w:r>
      <w:r w:rsidR="00360A35">
        <w:rPr>
          <w:rFonts w:eastAsia="Times New Roman" w:cs="Arial"/>
          <w:color w:val="000000"/>
          <w:szCs w:val="20"/>
          <w:lang w:eastAsia="en-AU"/>
        </w:rPr>
        <w:t xml:space="preserve"> is essential</w:t>
      </w:r>
      <w:r w:rsidR="006F2B5A">
        <w:rPr>
          <w:rFonts w:eastAsia="Times New Roman" w:cs="Arial"/>
          <w:color w:val="000000"/>
          <w:szCs w:val="20"/>
          <w:lang w:eastAsia="en-AU"/>
        </w:rPr>
        <w:t>.</w:t>
      </w:r>
      <w:r w:rsidR="002D04D5">
        <w:rPr>
          <w:rFonts w:eastAsia="Times New Roman" w:cs="Arial"/>
          <w:color w:val="000000"/>
          <w:szCs w:val="20"/>
          <w:lang w:eastAsia="en-AU"/>
        </w:rPr>
        <w:t xml:space="preserve"> I</w:t>
      </w:r>
      <w:r w:rsidR="003213D7">
        <w:rPr>
          <w:rFonts w:eastAsia="Times New Roman" w:cs="Arial"/>
          <w:color w:val="000000"/>
          <w:szCs w:val="20"/>
          <w:lang w:eastAsia="en-AU"/>
        </w:rPr>
        <w:t xml:space="preserve"> am</w:t>
      </w:r>
      <w:r w:rsidR="002D04D5">
        <w:rPr>
          <w:rFonts w:eastAsia="Times New Roman" w:cs="Arial"/>
          <w:color w:val="000000"/>
          <w:szCs w:val="20"/>
          <w:lang w:eastAsia="en-AU"/>
        </w:rPr>
        <w:t xml:space="preserve"> satisfied that</w:t>
      </w:r>
      <w:r w:rsidR="00FD4C76">
        <w:rPr>
          <w:rFonts w:eastAsia="Times New Roman" w:cs="Arial"/>
          <w:color w:val="000000"/>
          <w:szCs w:val="20"/>
          <w:lang w:eastAsia="en-AU"/>
        </w:rPr>
        <w:t xml:space="preserve"> </w:t>
      </w:r>
      <w:r w:rsidR="00FD4C76" w:rsidRPr="00FD4C76">
        <w:rPr>
          <w:rFonts w:eastAsia="Times New Roman" w:cs="Arial"/>
          <w:color w:val="000000"/>
          <w:szCs w:val="20"/>
          <w:lang w:eastAsia="en-AU"/>
        </w:rPr>
        <w:t>pre-mixed formulations have a lower risk of a bolus dose being administered</w:t>
      </w:r>
      <w:r w:rsidR="00FD4C76">
        <w:rPr>
          <w:rFonts w:eastAsia="Times New Roman" w:cs="Arial"/>
          <w:color w:val="000000"/>
          <w:szCs w:val="20"/>
          <w:lang w:eastAsia="en-AU"/>
        </w:rPr>
        <w:t>, and that</w:t>
      </w:r>
      <w:r w:rsidR="002D04D5">
        <w:rPr>
          <w:rFonts w:eastAsia="Times New Roman" w:cs="Arial"/>
          <w:color w:val="000000"/>
          <w:szCs w:val="20"/>
          <w:lang w:eastAsia="en-AU"/>
        </w:rPr>
        <w:t xml:space="preserve"> current professional practice</w:t>
      </w:r>
      <w:r w:rsidR="002A0728">
        <w:rPr>
          <w:rFonts w:eastAsia="Times New Roman" w:cs="Arial"/>
          <w:color w:val="000000"/>
          <w:szCs w:val="20"/>
          <w:lang w:eastAsia="en-AU"/>
        </w:rPr>
        <w:t>s</w:t>
      </w:r>
      <w:r w:rsidR="002D04D5">
        <w:rPr>
          <w:rFonts w:eastAsia="Times New Roman" w:cs="Arial"/>
          <w:color w:val="000000"/>
          <w:szCs w:val="20"/>
          <w:lang w:eastAsia="en-AU"/>
        </w:rPr>
        <w:t xml:space="preserve"> </w:t>
      </w:r>
      <w:r w:rsidR="003213D7">
        <w:rPr>
          <w:rFonts w:eastAsia="Times New Roman" w:cs="Arial"/>
          <w:color w:val="000000"/>
          <w:szCs w:val="20"/>
          <w:lang w:eastAsia="en-AU"/>
        </w:rPr>
        <w:t>in</w:t>
      </w:r>
      <w:r w:rsidR="00C43844">
        <w:rPr>
          <w:rFonts w:eastAsia="Times New Roman" w:cs="Arial"/>
          <w:color w:val="000000"/>
          <w:szCs w:val="20"/>
          <w:lang w:eastAsia="en-AU"/>
        </w:rPr>
        <w:t xml:space="preserve"> storage and</w:t>
      </w:r>
      <w:r w:rsidR="002D04D5">
        <w:rPr>
          <w:rFonts w:eastAsia="Times New Roman" w:cs="Arial"/>
          <w:color w:val="000000"/>
          <w:szCs w:val="20"/>
          <w:lang w:eastAsia="en-AU"/>
        </w:rPr>
        <w:t xml:space="preserve"> </w:t>
      </w:r>
      <w:r w:rsidR="003213D7">
        <w:rPr>
          <w:rFonts w:eastAsia="Times New Roman" w:cs="Arial"/>
          <w:color w:val="000000"/>
          <w:szCs w:val="20"/>
          <w:lang w:eastAsia="en-AU"/>
        </w:rPr>
        <w:t>dispensing</w:t>
      </w:r>
      <w:r w:rsidR="002D04D5">
        <w:rPr>
          <w:rFonts w:eastAsia="Times New Roman" w:cs="Arial"/>
          <w:color w:val="000000"/>
          <w:szCs w:val="20"/>
          <w:lang w:eastAsia="en-AU"/>
        </w:rPr>
        <w:t xml:space="preserve"> of APINCHS </w:t>
      </w:r>
      <w:r w:rsidR="003213D7">
        <w:rPr>
          <w:rFonts w:eastAsia="Times New Roman" w:cs="Arial"/>
          <w:color w:val="000000"/>
          <w:szCs w:val="20"/>
          <w:lang w:eastAsia="en-AU"/>
        </w:rPr>
        <w:t xml:space="preserve">medicines </w:t>
      </w:r>
      <w:r w:rsidR="003022D0">
        <w:rPr>
          <w:rFonts w:eastAsia="Times New Roman" w:cs="Arial"/>
          <w:color w:val="000000"/>
          <w:szCs w:val="20"/>
          <w:lang w:eastAsia="en-AU"/>
        </w:rPr>
        <w:t>reduce</w:t>
      </w:r>
      <w:r w:rsidR="00665260">
        <w:rPr>
          <w:rFonts w:eastAsia="Times New Roman" w:cs="Arial"/>
          <w:color w:val="000000"/>
          <w:szCs w:val="20"/>
          <w:lang w:eastAsia="en-AU"/>
        </w:rPr>
        <w:t>s</w:t>
      </w:r>
      <w:r w:rsidR="003022D0">
        <w:rPr>
          <w:rFonts w:eastAsia="Times New Roman" w:cs="Arial"/>
          <w:color w:val="000000"/>
          <w:szCs w:val="20"/>
          <w:lang w:eastAsia="en-AU"/>
        </w:rPr>
        <w:t xml:space="preserve"> the risk of misuse</w:t>
      </w:r>
      <w:r w:rsidR="00970040">
        <w:rPr>
          <w:rFonts w:eastAsia="Times New Roman" w:cs="Arial"/>
          <w:color w:val="000000"/>
          <w:szCs w:val="20"/>
          <w:lang w:eastAsia="en-AU"/>
        </w:rPr>
        <w:t xml:space="preserve">. </w:t>
      </w:r>
      <w:r w:rsidR="006F2B5A">
        <w:rPr>
          <w:rFonts w:eastAsia="Times New Roman" w:cs="Arial"/>
          <w:color w:val="000000"/>
          <w:szCs w:val="20"/>
          <w:lang w:eastAsia="en-AU"/>
        </w:rPr>
        <w:t xml:space="preserve">However, I </w:t>
      </w:r>
      <w:proofErr w:type="gramStart"/>
      <w:r w:rsidR="006F2B5A">
        <w:rPr>
          <w:rFonts w:eastAsia="Times New Roman" w:cs="Arial"/>
          <w:color w:val="000000"/>
          <w:szCs w:val="20"/>
          <w:lang w:eastAsia="en-AU"/>
        </w:rPr>
        <w:t>am in agreement</w:t>
      </w:r>
      <w:proofErr w:type="gramEnd"/>
      <w:r w:rsidR="00970040">
        <w:rPr>
          <w:rFonts w:eastAsia="Times New Roman" w:cs="Arial"/>
          <w:color w:val="000000"/>
          <w:szCs w:val="20"/>
          <w:lang w:eastAsia="en-AU"/>
        </w:rPr>
        <w:t xml:space="preserve"> with the consensus of the public submissions that ampoules of IV potassium for injection </w:t>
      </w:r>
      <w:r w:rsidR="00BE0590">
        <w:rPr>
          <w:rFonts w:eastAsia="Times New Roman" w:cs="Arial"/>
          <w:color w:val="000000"/>
          <w:szCs w:val="20"/>
          <w:lang w:eastAsia="en-AU"/>
        </w:rPr>
        <w:t>pose a greater risk during administration and can more easily be</w:t>
      </w:r>
      <w:r w:rsidR="0059784F">
        <w:rPr>
          <w:rFonts w:eastAsia="Times New Roman" w:cs="Arial"/>
          <w:color w:val="000000"/>
          <w:szCs w:val="20"/>
          <w:lang w:eastAsia="en-AU"/>
        </w:rPr>
        <w:t xml:space="preserve"> securely</w:t>
      </w:r>
      <w:r w:rsidR="00BE0590">
        <w:rPr>
          <w:rFonts w:eastAsia="Times New Roman" w:cs="Arial"/>
          <w:color w:val="000000"/>
          <w:szCs w:val="20"/>
          <w:lang w:eastAsia="en-AU"/>
        </w:rPr>
        <w:t xml:space="preserve"> stored</w:t>
      </w:r>
      <w:r w:rsidR="0059784F">
        <w:rPr>
          <w:rFonts w:eastAsia="Times New Roman" w:cs="Arial"/>
          <w:color w:val="000000"/>
          <w:szCs w:val="20"/>
          <w:lang w:eastAsia="en-AU"/>
        </w:rPr>
        <w:t xml:space="preserve">. As such, I have made the decision to </w:t>
      </w:r>
      <w:r w:rsidR="00B21BB3">
        <w:rPr>
          <w:rFonts w:eastAsia="Times New Roman" w:cs="Arial"/>
          <w:color w:val="000000"/>
          <w:szCs w:val="20"/>
          <w:lang w:eastAsia="en-AU"/>
        </w:rPr>
        <w:t xml:space="preserve">capture ampoule preparations containing greater than 10 mmol/100 mL </w:t>
      </w:r>
      <w:r w:rsidR="00555796">
        <w:rPr>
          <w:rFonts w:eastAsia="Times New Roman" w:cs="Arial"/>
          <w:color w:val="000000"/>
          <w:szCs w:val="20"/>
          <w:lang w:eastAsia="en-AU"/>
        </w:rPr>
        <w:t>of potassium in Schedule 4 for the reasons outlined in the interim decision.</w:t>
      </w:r>
    </w:p>
    <w:p w14:paraId="79B5DEC2" w14:textId="153D2BCC" w:rsidR="00D409DA" w:rsidRPr="00476B74" w:rsidRDefault="00C113FE" w:rsidP="00CA3F6E">
      <w:pPr>
        <w:rPr>
          <w:rFonts w:cs="Arial"/>
          <w:szCs w:val="20"/>
        </w:rPr>
      </w:pPr>
      <w:r>
        <w:rPr>
          <w:rFonts w:eastAsia="Times New Roman" w:cs="Arial"/>
          <w:color w:val="000000"/>
          <w:szCs w:val="20"/>
          <w:lang w:eastAsia="en-AU"/>
        </w:rPr>
        <w:t xml:space="preserve">Whilst </w:t>
      </w:r>
      <w:r w:rsidR="00685824">
        <w:rPr>
          <w:rFonts w:eastAsia="Times New Roman" w:cs="Arial"/>
          <w:color w:val="000000"/>
          <w:szCs w:val="20"/>
          <w:lang w:eastAsia="en-AU"/>
        </w:rPr>
        <w:t>th</w:t>
      </w:r>
      <w:r>
        <w:rPr>
          <w:rFonts w:eastAsia="Times New Roman" w:cs="Arial"/>
          <w:color w:val="000000"/>
          <w:szCs w:val="20"/>
          <w:lang w:eastAsia="en-AU"/>
        </w:rPr>
        <w:t xml:space="preserve">is decision will impact substantially fewer products than the interim decision, </w:t>
      </w:r>
      <w:r w:rsidR="004503EA">
        <w:rPr>
          <w:rFonts w:eastAsia="Times New Roman" w:cs="Arial"/>
          <w:color w:val="000000"/>
          <w:szCs w:val="20"/>
          <w:lang w:eastAsia="en-AU"/>
        </w:rPr>
        <w:t xml:space="preserve">I </w:t>
      </w:r>
      <w:r w:rsidR="00685824" w:rsidRPr="00685824">
        <w:rPr>
          <w:rFonts w:eastAsia="Times New Roman" w:cs="Arial"/>
          <w:color w:val="000000"/>
          <w:szCs w:val="20"/>
          <w:lang w:eastAsia="en-AU"/>
        </w:rPr>
        <w:t>have decided to</w:t>
      </w:r>
      <w:r>
        <w:rPr>
          <w:rFonts w:eastAsia="Times New Roman" w:cs="Arial"/>
          <w:color w:val="000000"/>
          <w:szCs w:val="20"/>
          <w:lang w:eastAsia="en-AU"/>
        </w:rPr>
        <w:t xml:space="preserve"> </w:t>
      </w:r>
      <w:r w:rsidR="00685824" w:rsidRPr="00685824">
        <w:rPr>
          <w:rFonts w:eastAsia="Times New Roman" w:cs="Arial"/>
          <w:color w:val="000000"/>
          <w:szCs w:val="20"/>
          <w:lang w:eastAsia="en-AU"/>
        </w:rPr>
        <w:t>allow for a</w:t>
      </w:r>
      <w:r>
        <w:rPr>
          <w:rFonts w:eastAsia="Times New Roman" w:cs="Arial"/>
          <w:color w:val="000000"/>
          <w:szCs w:val="20"/>
          <w:lang w:eastAsia="en-AU"/>
        </w:rPr>
        <w:t xml:space="preserve">n extended </w:t>
      </w:r>
      <w:r w:rsidR="00685824" w:rsidRPr="00685824">
        <w:rPr>
          <w:rFonts w:eastAsia="Times New Roman" w:cs="Arial"/>
          <w:color w:val="000000"/>
          <w:szCs w:val="20"/>
          <w:lang w:eastAsia="en-AU"/>
        </w:rPr>
        <w:t>transition time for industry</w:t>
      </w:r>
      <w:r w:rsidR="00C21CD3">
        <w:rPr>
          <w:rFonts w:eastAsia="Times New Roman" w:cs="Arial"/>
          <w:color w:val="000000"/>
          <w:szCs w:val="20"/>
          <w:lang w:eastAsia="en-AU"/>
        </w:rPr>
        <w:t xml:space="preserve"> </w:t>
      </w:r>
      <w:r w:rsidR="00685824" w:rsidRPr="00685824">
        <w:rPr>
          <w:rFonts w:eastAsia="Times New Roman" w:cs="Arial"/>
          <w:color w:val="000000"/>
          <w:szCs w:val="20"/>
          <w:lang w:eastAsia="en-AU"/>
        </w:rPr>
        <w:t>to accommodate for changes that may have to occur within health professional settings</w:t>
      </w:r>
      <w:r w:rsidR="00685824">
        <w:rPr>
          <w:rFonts w:eastAsia="Times New Roman" w:cs="Arial"/>
          <w:color w:val="000000"/>
          <w:szCs w:val="20"/>
          <w:lang w:eastAsia="en-AU"/>
        </w:rPr>
        <w:t>.</w:t>
      </w:r>
    </w:p>
    <w:p w14:paraId="512FAB6B" w14:textId="77777777" w:rsidR="00D409DA" w:rsidRPr="00CE434F" w:rsidRDefault="00D409DA" w:rsidP="00CE434F">
      <w:pPr>
        <w:keepNext/>
        <w:keepLines/>
        <w:spacing w:before="360" w:line="240" w:lineRule="atLeast"/>
        <w:outlineLvl w:val="3"/>
        <w:rPr>
          <w:rFonts w:eastAsia="Cambria" w:cs="Times New Roman"/>
          <w:bCs/>
          <w:color w:val="001871"/>
          <w:sz w:val="28"/>
          <w:szCs w:val="26"/>
        </w:rPr>
      </w:pPr>
      <w:bookmarkStart w:id="9" w:name="_Toc217304828"/>
      <w:r w:rsidRPr="00CE434F">
        <w:rPr>
          <w:rFonts w:eastAsia="Cambria" w:cs="Times New Roman"/>
          <w:bCs/>
          <w:color w:val="001871"/>
          <w:sz w:val="28"/>
          <w:szCs w:val="26"/>
        </w:rPr>
        <w:t>Implementation date</w:t>
      </w:r>
      <w:bookmarkEnd w:id="9"/>
    </w:p>
    <w:p w14:paraId="27172DA6" w14:textId="507CFAD6" w:rsidR="0084624F" w:rsidRDefault="00D409DA" w:rsidP="00967490">
      <w:pPr>
        <w:rPr>
          <w:color w:val="auto"/>
        </w:rPr>
      </w:pPr>
      <w:r w:rsidRPr="00301791">
        <w:rPr>
          <w:color w:val="auto"/>
        </w:rPr>
        <w:t xml:space="preserve">1 </w:t>
      </w:r>
      <w:r w:rsidR="00D550BA">
        <w:rPr>
          <w:color w:val="auto"/>
        </w:rPr>
        <w:t>February</w:t>
      </w:r>
      <w:r w:rsidR="00D550BA" w:rsidRPr="00301791">
        <w:rPr>
          <w:color w:val="auto"/>
        </w:rPr>
        <w:t xml:space="preserve"> 202</w:t>
      </w:r>
      <w:r w:rsidR="00D550BA">
        <w:rPr>
          <w:color w:val="auto"/>
        </w:rPr>
        <w:t>7</w:t>
      </w:r>
    </w:p>
    <w:p w14:paraId="3F3EF074" w14:textId="02EAEBEF" w:rsidR="0084624F" w:rsidRPr="00782D84" w:rsidRDefault="0084624F" w:rsidP="009F69FF">
      <w:pPr>
        <w:pStyle w:val="Heading2"/>
      </w:pPr>
      <w:bookmarkStart w:id="10" w:name="_Toc219385677"/>
      <w:bookmarkStart w:id="11" w:name="_Toc209794441"/>
      <w:r w:rsidRPr="00782D84">
        <w:t xml:space="preserve">Final decision on </w:t>
      </w:r>
      <w:r w:rsidR="00CE434F">
        <w:t xml:space="preserve">a </w:t>
      </w:r>
      <w:r w:rsidRPr="00782D84">
        <w:t>proposed amendment to the current Poisons Standard under regulation 42ZCZU</w:t>
      </w:r>
      <w:bookmarkEnd w:id="10"/>
    </w:p>
    <w:p w14:paraId="6C9B5FFD" w14:textId="77777777" w:rsidR="0084624F" w:rsidRPr="00782D84" w:rsidRDefault="0084624F" w:rsidP="0084624F">
      <w:pPr>
        <w:rPr>
          <w:rFonts w:eastAsia="Calibri" w:cs="Times New Roman"/>
          <w:color w:val="000000"/>
        </w:rPr>
      </w:pPr>
      <w:bookmarkStart w:id="12" w:name="_Hlk209190696"/>
      <w:r w:rsidRPr="00782D84">
        <w:rPr>
          <w:rFonts w:eastAsia="Calibri" w:cs="Times New Roman"/>
          <w:color w:val="000000"/>
        </w:rPr>
        <w:t>In my capacity as a delegate of the Secretary for the purpose of regulation 42ZCZU</w:t>
      </w:r>
      <w:r w:rsidRPr="00782D84" w:rsidDel="005F3EA0">
        <w:rPr>
          <w:rFonts w:eastAsia="Calibri" w:cs="Times New Roman"/>
          <w:color w:val="000000"/>
        </w:rPr>
        <w:t xml:space="preserve"> </w:t>
      </w:r>
      <w:r w:rsidRPr="00782D84">
        <w:rPr>
          <w:rFonts w:eastAsia="Calibri" w:cs="Times New Roman"/>
          <w:color w:val="000000"/>
        </w:rPr>
        <w:t xml:space="preserve">of the </w:t>
      </w:r>
      <w:r w:rsidRPr="00782D84">
        <w:rPr>
          <w:rFonts w:eastAsia="Calibri" w:cs="Times New Roman"/>
          <w:bCs/>
          <w:color w:val="000000"/>
        </w:rPr>
        <w:t>Regulations</w:t>
      </w:r>
      <w:r w:rsidRPr="00782D84">
        <w:rPr>
          <w:rFonts w:eastAsia="Calibri" w:cs="Times New Roman"/>
          <w:color w:val="000000"/>
        </w:rPr>
        <w:t xml:space="preserve">, I have made </w:t>
      </w:r>
      <w:r>
        <w:rPr>
          <w:rFonts w:eastAsia="Calibri" w:cs="Times New Roman"/>
          <w:color w:val="000000"/>
        </w:rPr>
        <w:t xml:space="preserve">a </w:t>
      </w:r>
      <w:r w:rsidRPr="00782D84">
        <w:rPr>
          <w:rFonts w:eastAsia="Calibri" w:cs="Times New Roman"/>
          <w:color w:val="000000"/>
        </w:rPr>
        <w:t>final decision under regulation 42ZCZU</w:t>
      </w:r>
      <w:r w:rsidRPr="00782D84" w:rsidDel="005F3EA0">
        <w:rPr>
          <w:rFonts w:eastAsia="Calibri" w:cs="Times New Roman"/>
          <w:color w:val="000000"/>
        </w:rPr>
        <w:t xml:space="preserve"> </w:t>
      </w:r>
      <w:r w:rsidRPr="00782D84">
        <w:rPr>
          <w:rFonts w:eastAsia="Calibri" w:cs="Times New Roman"/>
          <w:color w:val="000000"/>
        </w:rPr>
        <w:t>with respect to the following substance:</w:t>
      </w:r>
    </w:p>
    <w:bookmarkEnd w:id="12"/>
    <w:p w14:paraId="1FBE628D" w14:textId="77777777" w:rsidR="0084624F" w:rsidRPr="00DD4ECB" w:rsidRDefault="0084624F" w:rsidP="0084624F">
      <w:pPr>
        <w:numPr>
          <w:ilvl w:val="0"/>
          <w:numId w:val="35"/>
        </w:numPr>
        <w:autoSpaceDE w:val="0"/>
        <w:autoSpaceDN w:val="0"/>
        <w:adjustRightInd w:val="0"/>
        <w:spacing w:before="120" w:line="276" w:lineRule="auto"/>
        <w:ind w:left="714" w:hanging="357"/>
        <w:rPr>
          <w:rFonts w:eastAsia="Cambria" w:cs="Times New Roman"/>
          <w:color w:val="auto"/>
          <w:szCs w:val="20"/>
        </w:rPr>
      </w:pPr>
      <w:proofErr w:type="spellStart"/>
      <w:r w:rsidRPr="00782D84">
        <w:rPr>
          <w:rFonts w:eastAsia="Cambria" w:cs="Times New Roman"/>
          <w:color w:val="auto"/>
          <w:szCs w:val="20"/>
        </w:rPr>
        <w:t>Fenmezoditiaz</w:t>
      </w:r>
      <w:proofErr w:type="spellEnd"/>
    </w:p>
    <w:p w14:paraId="65D77597" w14:textId="77777777" w:rsidR="0084624F" w:rsidRDefault="0084624F" w:rsidP="0084624F">
      <w:pPr>
        <w:pStyle w:val="Heading3"/>
        <w:rPr>
          <w:rFonts w:cs="Arial"/>
        </w:rPr>
      </w:pPr>
      <w:bookmarkStart w:id="13" w:name="_Toc219385678"/>
      <w:r w:rsidRPr="001A1480">
        <w:rPr>
          <w:rFonts w:cs="Arial"/>
        </w:rPr>
        <w:t xml:space="preserve">Final decision in relation to </w:t>
      </w:r>
      <w:bookmarkEnd w:id="11"/>
      <w:proofErr w:type="spellStart"/>
      <w:r w:rsidRPr="001A1480">
        <w:rPr>
          <w:rFonts w:cs="Arial"/>
        </w:rPr>
        <w:t>fenmezoditiaz</w:t>
      </w:r>
      <w:bookmarkStart w:id="14" w:name="_Toc164149822"/>
      <w:bookmarkStart w:id="15" w:name="_Toc198028603"/>
      <w:bookmarkEnd w:id="13"/>
      <w:proofErr w:type="spellEnd"/>
      <w:r w:rsidRPr="00DD4ECB">
        <w:rPr>
          <w:rFonts w:cs="Arial"/>
        </w:rPr>
        <w:t xml:space="preserve"> </w:t>
      </w:r>
      <w:bookmarkEnd w:id="14"/>
      <w:bookmarkEnd w:id="15"/>
    </w:p>
    <w:p w14:paraId="72D40FBF" w14:textId="77777777" w:rsidR="0084624F" w:rsidRPr="00027C26" w:rsidRDefault="0084624F" w:rsidP="0084624F">
      <w:pPr>
        <w:rPr>
          <w:rFonts w:eastAsia="Cambria" w:cs="Arial"/>
          <w:szCs w:val="20"/>
        </w:rPr>
      </w:pPr>
      <w:r w:rsidRPr="00027C26">
        <w:rPr>
          <w:rFonts w:eastAsia="Cambria" w:cs="Arial"/>
          <w:szCs w:val="20"/>
        </w:rPr>
        <w:t xml:space="preserve">Pursuant to regulation 42ZCZU of the Regulations, a Delegate of the Secretary has made a final decision to amend the current Poisons Standard in relation to </w:t>
      </w:r>
      <w:bookmarkStart w:id="16" w:name="_Hlk195191434"/>
      <w:proofErr w:type="spellStart"/>
      <w:r>
        <w:rPr>
          <w:rFonts w:eastAsia="Cambria" w:cs="Arial"/>
          <w:szCs w:val="20"/>
        </w:rPr>
        <w:t>fenmezoditiaz</w:t>
      </w:r>
      <w:proofErr w:type="spellEnd"/>
      <w:r w:rsidRPr="00027C26">
        <w:rPr>
          <w:rFonts w:eastAsia="Cambria" w:cs="Arial"/>
          <w:szCs w:val="20"/>
        </w:rPr>
        <w:t xml:space="preserve"> </w:t>
      </w:r>
      <w:bookmarkEnd w:id="16"/>
      <w:r w:rsidRPr="00027C26">
        <w:rPr>
          <w:rFonts w:eastAsia="Cambria" w:cs="Arial"/>
          <w:szCs w:val="20"/>
        </w:rPr>
        <w:t>as follows:</w:t>
      </w:r>
      <w:r w:rsidRPr="00027C26">
        <w:rPr>
          <w:rStyle w:val="FootnoteReference"/>
          <w:rFonts w:eastAsia="Cambria" w:cs="Arial"/>
        </w:rPr>
        <w:footnoteReference w:id="7"/>
      </w:r>
    </w:p>
    <w:p w14:paraId="4C6D19C8" w14:textId="77777777" w:rsidR="0084624F" w:rsidRPr="0016159C" w:rsidRDefault="0084624F" w:rsidP="0084624F">
      <w:pPr>
        <w:ind w:left="425"/>
        <w:rPr>
          <w:rFonts w:cs="Arial"/>
          <w:b/>
          <w:bCs/>
          <w:szCs w:val="20"/>
        </w:rPr>
      </w:pPr>
      <w:r w:rsidRPr="0016159C">
        <w:rPr>
          <w:rFonts w:cs="Arial"/>
          <w:b/>
          <w:bCs/>
          <w:szCs w:val="20"/>
        </w:rPr>
        <w:t xml:space="preserve">Schedule </w:t>
      </w:r>
      <w:r>
        <w:rPr>
          <w:rFonts w:cs="Arial"/>
          <w:b/>
          <w:bCs/>
          <w:szCs w:val="20"/>
        </w:rPr>
        <w:t>6</w:t>
      </w:r>
      <w:r w:rsidRPr="0016159C">
        <w:rPr>
          <w:rFonts w:cs="Arial"/>
          <w:b/>
          <w:bCs/>
          <w:szCs w:val="20"/>
        </w:rPr>
        <w:t xml:space="preserve"> – New Entry</w:t>
      </w:r>
    </w:p>
    <w:p w14:paraId="1082F031" w14:textId="77777777" w:rsidR="0084624F" w:rsidRPr="00307556" w:rsidRDefault="0084624F" w:rsidP="0084624F">
      <w:pPr>
        <w:ind w:left="709"/>
        <w:rPr>
          <w:rFonts w:cs="Arial"/>
          <w:b/>
          <w:bCs/>
          <w:color w:val="00B050"/>
          <w:szCs w:val="20"/>
          <w:u w:val="single"/>
        </w:rPr>
      </w:pPr>
      <w:r w:rsidRPr="00307556">
        <w:rPr>
          <w:rFonts w:eastAsia="Cambria" w:cs="Arial"/>
          <w:color w:val="00B050"/>
          <w:kern w:val="24"/>
          <w:szCs w:val="20"/>
          <w:u w:val="single"/>
        </w:rPr>
        <w:t>F</w:t>
      </w:r>
      <w:r>
        <w:rPr>
          <w:rFonts w:eastAsia="Cambria" w:cs="Arial"/>
          <w:color w:val="00B050"/>
          <w:kern w:val="24"/>
          <w:szCs w:val="20"/>
          <w:u w:val="single"/>
        </w:rPr>
        <w:t>ENMEZODITIAZ</w:t>
      </w:r>
    </w:p>
    <w:p w14:paraId="0A4535CF" w14:textId="77777777" w:rsidR="0084624F" w:rsidRPr="00307556" w:rsidRDefault="0084624F" w:rsidP="0084624F">
      <w:pPr>
        <w:ind w:left="425"/>
        <w:rPr>
          <w:rFonts w:cs="Arial"/>
          <w:b/>
          <w:bCs/>
          <w:szCs w:val="20"/>
        </w:rPr>
      </w:pPr>
      <w:r w:rsidRPr="00307556">
        <w:rPr>
          <w:rFonts w:cs="Arial"/>
          <w:b/>
          <w:bCs/>
          <w:szCs w:val="20"/>
        </w:rPr>
        <w:t>Index – New Entry</w:t>
      </w:r>
    </w:p>
    <w:p w14:paraId="1C2E0DE8" w14:textId="77777777" w:rsidR="0084624F" w:rsidRDefault="0084624F" w:rsidP="0084624F">
      <w:pPr>
        <w:ind w:left="709"/>
        <w:rPr>
          <w:rFonts w:eastAsia="Cambria" w:cs="Arial"/>
          <w:color w:val="00B050"/>
          <w:kern w:val="24"/>
          <w:szCs w:val="20"/>
          <w:u w:val="single"/>
        </w:rPr>
      </w:pPr>
      <w:r w:rsidRPr="00307556">
        <w:rPr>
          <w:rFonts w:eastAsia="Cambria" w:cs="Arial"/>
          <w:color w:val="00B050"/>
          <w:kern w:val="24"/>
          <w:szCs w:val="20"/>
          <w:u w:val="single"/>
        </w:rPr>
        <w:t>F</w:t>
      </w:r>
      <w:r>
        <w:rPr>
          <w:rFonts w:eastAsia="Cambria" w:cs="Arial"/>
          <w:color w:val="00B050"/>
          <w:kern w:val="24"/>
          <w:szCs w:val="20"/>
          <w:u w:val="single"/>
        </w:rPr>
        <w:t>ENMEZODITIAZ</w:t>
      </w:r>
    </w:p>
    <w:p w14:paraId="5E98FD2F" w14:textId="6B09E3A5" w:rsidR="0084624F" w:rsidRPr="0084624F" w:rsidRDefault="0084624F" w:rsidP="0084624F">
      <w:pPr>
        <w:ind w:left="709"/>
        <w:rPr>
          <w:rFonts w:cs="Arial"/>
          <w:b/>
          <w:bCs/>
          <w:color w:val="00B050"/>
          <w:szCs w:val="20"/>
          <w:u w:val="single"/>
        </w:rPr>
      </w:pPr>
      <w:r>
        <w:rPr>
          <w:rFonts w:eastAsia="Cambria" w:cs="Arial"/>
          <w:color w:val="00B050"/>
          <w:kern w:val="24"/>
          <w:szCs w:val="20"/>
          <w:u w:val="single"/>
        </w:rPr>
        <w:t xml:space="preserve">Schedule </w:t>
      </w:r>
      <w:r w:rsidR="00C673DC">
        <w:rPr>
          <w:rFonts w:eastAsia="Cambria" w:cs="Arial"/>
          <w:color w:val="00B050"/>
          <w:kern w:val="24"/>
          <w:szCs w:val="20"/>
          <w:u w:val="single"/>
        </w:rPr>
        <w:t>6</w:t>
      </w:r>
    </w:p>
    <w:p w14:paraId="2E35DABA" w14:textId="77777777" w:rsidR="0084624F" w:rsidRPr="00CE434F" w:rsidRDefault="0084624F" w:rsidP="00CE434F">
      <w:pPr>
        <w:keepNext/>
        <w:keepLines/>
        <w:spacing w:before="360" w:line="240" w:lineRule="atLeast"/>
        <w:outlineLvl w:val="3"/>
        <w:rPr>
          <w:rFonts w:eastAsia="Cambria" w:cs="Times New Roman"/>
          <w:bCs/>
          <w:color w:val="001871"/>
          <w:sz w:val="28"/>
          <w:szCs w:val="26"/>
        </w:rPr>
      </w:pPr>
      <w:bookmarkStart w:id="17" w:name="_Toc217304832"/>
      <w:r w:rsidRPr="00CE434F">
        <w:rPr>
          <w:rFonts w:eastAsia="Cambria" w:cs="Times New Roman"/>
          <w:bCs/>
          <w:color w:val="001871"/>
          <w:sz w:val="28"/>
          <w:szCs w:val="26"/>
        </w:rPr>
        <w:lastRenderedPageBreak/>
        <w:t>Materials considered</w:t>
      </w:r>
      <w:bookmarkEnd w:id="17"/>
    </w:p>
    <w:p w14:paraId="4A8A555D" w14:textId="77777777" w:rsidR="0084624F" w:rsidRPr="0084624F" w:rsidRDefault="0084624F" w:rsidP="0084624F">
      <w:pPr>
        <w:rPr>
          <w:rFonts w:eastAsia="Aptos" w:cs="Arial"/>
          <w:color w:val="000000"/>
        </w:rPr>
      </w:pPr>
      <w:r w:rsidRPr="0084624F">
        <w:rPr>
          <w:rFonts w:eastAsia="Aptos" w:cs="Arial"/>
          <w:color w:val="000000"/>
        </w:rPr>
        <w:t>In making this final decision, the Delegate considered the following material:</w:t>
      </w:r>
    </w:p>
    <w:p w14:paraId="37F9B63D" w14:textId="77777777" w:rsidR="0084624F" w:rsidRPr="0084624F" w:rsidRDefault="0084624F" w:rsidP="0084624F">
      <w:pPr>
        <w:numPr>
          <w:ilvl w:val="0"/>
          <w:numId w:val="35"/>
        </w:numPr>
        <w:spacing w:before="120" w:after="180" w:line="240" w:lineRule="atLeast"/>
        <w:ind w:hanging="436"/>
        <w:rPr>
          <w:rFonts w:eastAsia="Cambria" w:cs="Arial"/>
          <w:color w:val="000000"/>
        </w:rPr>
      </w:pPr>
      <w:r w:rsidRPr="0084624F">
        <w:rPr>
          <w:rFonts w:eastAsia="Cambria" w:cs="Arial"/>
          <w:color w:val="000000"/>
        </w:rPr>
        <w:t xml:space="preserve">The application to amend the current Poisons Standard with respect to </w:t>
      </w:r>
      <w:proofErr w:type="spellStart"/>
      <w:r w:rsidRPr="0084624F">
        <w:rPr>
          <w:rFonts w:eastAsia="Cambria" w:cs="Arial"/>
          <w:color w:val="000000"/>
          <w:szCs w:val="20"/>
        </w:rPr>
        <w:t>fenmezoditiaz</w:t>
      </w:r>
      <w:proofErr w:type="spellEnd"/>
      <w:r w:rsidRPr="0084624F">
        <w:rPr>
          <w:rFonts w:eastAsia="Cambria" w:cs="Arial"/>
          <w:color w:val="000000"/>
          <w:szCs w:val="20"/>
        </w:rPr>
        <w:t xml:space="preserve"> </w:t>
      </w:r>
      <w:r w:rsidRPr="0084624F">
        <w:rPr>
          <w:rFonts w:eastAsia="Cambria" w:cs="Arial"/>
          <w:color w:val="000000"/>
        </w:rPr>
        <w:t xml:space="preserve">(the </w:t>
      </w:r>
      <w:r w:rsidRPr="0084624F">
        <w:rPr>
          <w:rFonts w:eastAsia="Cambria" w:cs="Arial"/>
          <w:b/>
          <w:bCs/>
          <w:color w:val="000000"/>
        </w:rPr>
        <w:t>Application</w:t>
      </w:r>
      <w:r w:rsidRPr="0084624F">
        <w:rPr>
          <w:rFonts w:eastAsia="Cambria" w:cs="Arial"/>
          <w:color w:val="000000"/>
        </w:rPr>
        <w:t>)</w:t>
      </w:r>
    </w:p>
    <w:p w14:paraId="01D119C1" w14:textId="77777777" w:rsidR="0084624F" w:rsidRPr="0084624F" w:rsidRDefault="0084624F" w:rsidP="0084624F">
      <w:pPr>
        <w:numPr>
          <w:ilvl w:val="0"/>
          <w:numId w:val="35"/>
        </w:numPr>
        <w:spacing w:before="120" w:after="180" w:line="240" w:lineRule="atLeast"/>
        <w:ind w:hanging="436"/>
        <w:rPr>
          <w:rFonts w:eastAsia="Cambria" w:cs="Arial"/>
          <w:color w:val="000000"/>
        </w:rPr>
      </w:pPr>
      <w:r w:rsidRPr="0084624F">
        <w:rPr>
          <w:rFonts w:eastAsia="Cambria" w:cs="Arial"/>
          <w:color w:val="000000"/>
        </w:rPr>
        <w:t xml:space="preserve">Subsection 52E(1)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 </w:t>
      </w:r>
    </w:p>
    <w:p w14:paraId="4DD5C18D" w14:textId="77777777" w:rsidR="0084624F" w:rsidRPr="0084624F" w:rsidRDefault="0084624F" w:rsidP="0084624F">
      <w:pPr>
        <w:numPr>
          <w:ilvl w:val="0"/>
          <w:numId w:val="35"/>
        </w:numPr>
        <w:spacing w:before="120" w:after="180" w:line="240" w:lineRule="atLeast"/>
        <w:ind w:hanging="436"/>
        <w:rPr>
          <w:rFonts w:eastAsia="Cambria" w:cs="Arial"/>
          <w:color w:val="000000"/>
        </w:rPr>
      </w:pPr>
      <w:r w:rsidRPr="0084624F">
        <w:rPr>
          <w:rFonts w:eastAsia="Cambria" w:cs="Arial"/>
          <w:color w:val="000000"/>
        </w:rPr>
        <w:t>Pursuant to paragraph 52E(2)(a) of the Act, the SPF</w:t>
      </w:r>
    </w:p>
    <w:p w14:paraId="1C6F2029" w14:textId="77777777" w:rsidR="0084624F" w:rsidRPr="0084624F" w:rsidRDefault="0084624F" w:rsidP="0084624F">
      <w:pPr>
        <w:numPr>
          <w:ilvl w:val="0"/>
          <w:numId w:val="35"/>
        </w:numPr>
        <w:spacing w:before="120" w:after="180" w:line="240" w:lineRule="atLeast"/>
        <w:ind w:hanging="436"/>
        <w:rPr>
          <w:rFonts w:eastAsia="Cambria" w:cs="Arial"/>
          <w:color w:val="000000"/>
        </w:rPr>
      </w:pPr>
      <w:r w:rsidRPr="0084624F">
        <w:rPr>
          <w:rFonts w:eastAsia="Cambria" w:cs="Arial"/>
          <w:color w:val="000000"/>
        </w:rPr>
        <w:t>The Handbook.</w:t>
      </w:r>
    </w:p>
    <w:p w14:paraId="0FD09E83" w14:textId="77777777" w:rsidR="0084624F" w:rsidRPr="00CE434F" w:rsidRDefault="0084624F" w:rsidP="00CE434F">
      <w:pPr>
        <w:keepNext/>
        <w:keepLines/>
        <w:spacing w:before="360" w:line="240" w:lineRule="atLeast"/>
        <w:outlineLvl w:val="3"/>
        <w:rPr>
          <w:rFonts w:eastAsia="Cambria" w:cs="Times New Roman"/>
          <w:bCs/>
          <w:color w:val="001871"/>
          <w:sz w:val="28"/>
          <w:szCs w:val="26"/>
        </w:rPr>
      </w:pPr>
      <w:bookmarkStart w:id="18" w:name="_Toc217304833"/>
      <w:r w:rsidRPr="00CE434F">
        <w:rPr>
          <w:rFonts w:eastAsia="Cambria" w:cs="Times New Roman"/>
          <w:bCs/>
          <w:color w:val="001871"/>
          <w:sz w:val="28"/>
          <w:szCs w:val="26"/>
        </w:rPr>
        <w:t>Reasons for the final decision (including findings on material questions of fact)</w:t>
      </w:r>
      <w:bookmarkEnd w:id="18"/>
    </w:p>
    <w:p w14:paraId="515DC973" w14:textId="77777777" w:rsidR="0084624F" w:rsidRPr="0084624F" w:rsidRDefault="0084624F" w:rsidP="000E7C68">
      <w:pPr>
        <w:pStyle w:val="ListBullet"/>
        <w:numPr>
          <w:ilvl w:val="0"/>
          <w:numId w:val="0"/>
        </w:numPr>
      </w:pPr>
      <w:r w:rsidRPr="0084624F">
        <w:t xml:space="preserve">The proposal is to amend the current Poisons Standard to create a Poison (Schedule 6) entry for </w:t>
      </w:r>
      <w:proofErr w:type="spellStart"/>
      <w:r w:rsidRPr="0084624F">
        <w:rPr>
          <w:szCs w:val="20"/>
        </w:rPr>
        <w:t>fenmezoditiaz</w:t>
      </w:r>
      <w:proofErr w:type="spellEnd"/>
      <w:r w:rsidRPr="0084624F">
        <w:rPr>
          <w:szCs w:val="20"/>
        </w:rPr>
        <w:t xml:space="preserve"> with no exceptions</w:t>
      </w:r>
      <w:r w:rsidRPr="0084624F">
        <w:t xml:space="preserve">. </w:t>
      </w:r>
      <w:proofErr w:type="spellStart"/>
      <w:r w:rsidRPr="0084624F">
        <w:rPr>
          <w:szCs w:val="20"/>
        </w:rPr>
        <w:t>Fenmezoditiaz</w:t>
      </w:r>
      <w:proofErr w:type="spellEnd"/>
      <w:r w:rsidRPr="0084624F">
        <w:rPr>
          <w:szCs w:val="20"/>
        </w:rPr>
        <w:t xml:space="preserve"> </w:t>
      </w:r>
      <w:r w:rsidRPr="0084624F">
        <w:t>is the agricultural active constituent of a new, proposed product and is not included in the current Poisons Standard.</w:t>
      </w:r>
    </w:p>
    <w:p w14:paraId="16063405" w14:textId="77777777" w:rsidR="0084624F" w:rsidRDefault="0084624F" w:rsidP="0084624F">
      <w:pPr>
        <w:rPr>
          <w:rFonts w:cs="Arial"/>
        </w:rPr>
      </w:pPr>
      <w:r w:rsidRPr="0084624F">
        <w:rPr>
          <w:rFonts w:cs="Arial"/>
        </w:rPr>
        <w:t xml:space="preserve">In determining that this matter will be a delegate-only decision I have </w:t>
      </w:r>
      <w:proofErr w:type="gramStart"/>
      <w:r w:rsidRPr="0084624F">
        <w:rPr>
          <w:rFonts w:cs="Arial"/>
        </w:rPr>
        <w:t>taken into account</w:t>
      </w:r>
      <w:proofErr w:type="gramEnd"/>
      <w:r w:rsidRPr="0084624F">
        <w:rPr>
          <w:rFonts w:cs="Arial"/>
        </w:rPr>
        <w:t xml:space="preserve"> the information provided in the Application, and the matters </w:t>
      </w:r>
      <w:r w:rsidRPr="00307556">
        <w:rPr>
          <w:rFonts w:cs="Arial"/>
        </w:rPr>
        <w:t>outlined under s 52E of the Act and the SPF. My reasons for making the final decision follow.</w:t>
      </w:r>
    </w:p>
    <w:p w14:paraId="0706653C" w14:textId="1451FB6F" w:rsidR="0084624F" w:rsidRDefault="0084624F" w:rsidP="0084624F">
      <w:pPr>
        <w:rPr>
          <w:rFonts w:cs="Arial"/>
        </w:rPr>
      </w:pPr>
      <w:proofErr w:type="spellStart"/>
      <w:r>
        <w:rPr>
          <w:rFonts w:cs="Arial"/>
        </w:rPr>
        <w:t>Fenmezoditiaz</w:t>
      </w:r>
      <w:proofErr w:type="spellEnd"/>
      <w:r>
        <w:rPr>
          <w:rFonts w:cs="Arial"/>
        </w:rPr>
        <w:t xml:space="preserve"> (CAS No. </w:t>
      </w:r>
      <w:r w:rsidRPr="00C87EC9">
        <w:rPr>
          <w:rFonts w:cs="Arial"/>
        </w:rPr>
        <w:t>2413390-32-4</w:t>
      </w:r>
      <w:r>
        <w:rPr>
          <w:rFonts w:cs="Arial"/>
        </w:rPr>
        <w:t>) is a novel nicotinic acetylcholine receptor (</w:t>
      </w:r>
      <w:proofErr w:type="spellStart"/>
      <w:r>
        <w:rPr>
          <w:rFonts w:cs="Arial"/>
        </w:rPr>
        <w:t>nAChR</w:t>
      </w:r>
      <w:proofErr w:type="spellEnd"/>
      <w:r>
        <w:rPr>
          <w:rFonts w:cs="Arial"/>
        </w:rPr>
        <w:t>) competitive modulator, indicated for the control of aphids in winter cereal crops</w:t>
      </w:r>
      <w:r w:rsidRPr="00C61EA0">
        <w:t xml:space="preserve"> </w:t>
      </w:r>
      <w:r w:rsidRPr="00C61EA0">
        <w:rPr>
          <w:rFonts w:cs="Arial"/>
        </w:rPr>
        <w:t>(barley, oats and wheat).</w:t>
      </w:r>
      <w:r>
        <w:rPr>
          <w:rFonts w:cs="Arial"/>
        </w:rPr>
        <w:t xml:space="preserve"> It belongs to a subgroup of substances called ‘</w:t>
      </w:r>
      <w:proofErr w:type="spellStart"/>
      <w:r>
        <w:rPr>
          <w:rFonts w:cs="Arial"/>
        </w:rPr>
        <w:t>mesoionics</w:t>
      </w:r>
      <w:proofErr w:type="spellEnd"/>
      <w:r>
        <w:rPr>
          <w:rFonts w:cs="Arial"/>
        </w:rPr>
        <w:t xml:space="preserve">’ and is the first active constituent of this subgroup to be considered for approval in Australia. This class of insecticide has been found to have lower toxicity in off-target organisms when compared to other </w:t>
      </w:r>
      <w:proofErr w:type="spellStart"/>
      <w:r>
        <w:rPr>
          <w:rFonts w:cs="Arial"/>
        </w:rPr>
        <w:t>nAChR</w:t>
      </w:r>
      <w:proofErr w:type="spellEnd"/>
      <w:r>
        <w:rPr>
          <w:rFonts w:cs="Arial"/>
        </w:rPr>
        <w:t>-targeting substances.</w:t>
      </w:r>
      <w:r>
        <w:rPr>
          <w:rStyle w:val="FootnoteReference"/>
          <w:rFonts w:cs="Arial"/>
        </w:rPr>
        <w:footnoteReference w:id="8"/>
      </w:r>
      <w:r>
        <w:rPr>
          <w:rFonts w:cs="Arial"/>
        </w:rPr>
        <w:t xml:space="preserve"> </w:t>
      </w:r>
    </w:p>
    <w:p w14:paraId="1B6651DE" w14:textId="40E32919" w:rsidR="0084624F" w:rsidRDefault="0084624F" w:rsidP="0084624F">
      <w:pPr>
        <w:rPr>
          <w:rFonts w:cs="Arial"/>
        </w:rPr>
      </w:pPr>
      <w:r>
        <w:rPr>
          <w:rFonts w:cs="Arial"/>
        </w:rPr>
        <w:t xml:space="preserve">With reference to </w:t>
      </w:r>
      <w:r w:rsidR="000E7C68">
        <w:rPr>
          <w:rFonts w:cs="Arial"/>
        </w:rPr>
        <w:t>s</w:t>
      </w:r>
      <w:r>
        <w:rPr>
          <w:rFonts w:cs="Arial"/>
        </w:rPr>
        <w:t xml:space="preserve"> 52E(1)(a) of the Act, the benefits of </w:t>
      </w:r>
      <w:proofErr w:type="spellStart"/>
      <w:r>
        <w:rPr>
          <w:rFonts w:cs="Arial"/>
        </w:rPr>
        <w:t>fenmezoditiaz</w:t>
      </w:r>
      <w:proofErr w:type="spellEnd"/>
      <w:r>
        <w:rPr>
          <w:rFonts w:cs="Arial"/>
        </w:rPr>
        <w:t xml:space="preserve"> include improved specificity to target pests – which reduces environmental impact by preserving biodiversity. </w:t>
      </w:r>
      <w:r w:rsidR="000E7C68">
        <w:rPr>
          <w:rFonts w:cs="Arial"/>
        </w:rPr>
        <w:t>I</w:t>
      </w:r>
      <w:r>
        <w:rPr>
          <w:rFonts w:cs="Arial"/>
        </w:rPr>
        <w:t xml:space="preserve">nsecticide resistance is a pressing issue that threatens to disrupt the global agricultural industry. As </w:t>
      </w:r>
      <w:proofErr w:type="spellStart"/>
      <w:r>
        <w:rPr>
          <w:rFonts w:cs="Arial"/>
        </w:rPr>
        <w:t>fenmezoditiaz</w:t>
      </w:r>
      <w:proofErr w:type="spellEnd"/>
      <w:r>
        <w:rPr>
          <w:rFonts w:cs="Arial"/>
        </w:rPr>
        <w:t xml:space="preserve"> is a novel insecticide, it presents reduced insect resistance,</w:t>
      </w:r>
      <w:r>
        <w:rPr>
          <w:rStyle w:val="FootnoteReference"/>
          <w:rFonts w:cs="Arial"/>
        </w:rPr>
        <w:footnoteReference w:id="9"/>
      </w:r>
      <w:r>
        <w:rPr>
          <w:rFonts w:cs="Arial"/>
        </w:rPr>
        <w:t xml:space="preserve"> thus providing an alternative option for the industry to draw upon when facing a decline in efficacy of other insecticides.</w:t>
      </w:r>
      <w:r>
        <w:rPr>
          <w:rStyle w:val="FootnoteReference"/>
          <w:rFonts w:cs="Arial"/>
        </w:rPr>
        <w:footnoteReference w:id="10"/>
      </w:r>
      <w:r>
        <w:rPr>
          <w:rFonts w:cs="Arial"/>
        </w:rPr>
        <w:t xml:space="preserve"> Risks associated with </w:t>
      </w:r>
      <w:proofErr w:type="spellStart"/>
      <w:r>
        <w:rPr>
          <w:rFonts w:cs="Arial"/>
        </w:rPr>
        <w:t>fenmezoditiaz</w:t>
      </w:r>
      <w:proofErr w:type="spellEnd"/>
      <w:r>
        <w:rPr>
          <w:rFonts w:cs="Arial"/>
        </w:rPr>
        <w:t xml:space="preserve"> include acute oral, dermal and inhalation toxicity.</w:t>
      </w:r>
    </w:p>
    <w:p w14:paraId="5959FC1D" w14:textId="681244FF" w:rsidR="00C97016" w:rsidRDefault="00C97016" w:rsidP="0084624F">
      <w:pPr>
        <w:rPr>
          <w:rFonts w:cs="Arial"/>
        </w:rPr>
      </w:pPr>
      <w:r>
        <w:rPr>
          <w:rFonts w:cs="Arial"/>
        </w:rPr>
        <w:t>Regarding</w:t>
      </w:r>
      <w:r w:rsidR="0084624F">
        <w:rPr>
          <w:rFonts w:cs="Arial"/>
        </w:rPr>
        <w:t xml:space="preserve"> s 52E(1)(b) of the Act, I note that </w:t>
      </w:r>
      <w:proofErr w:type="spellStart"/>
      <w:r w:rsidR="0084624F">
        <w:rPr>
          <w:rFonts w:cs="Arial"/>
        </w:rPr>
        <w:t>fenmezoditiaz</w:t>
      </w:r>
      <w:proofErr w:type="spellEnd"/>
      <w:r w:rsidR="0084624F">
        <w:rPr>
          <w:rFonts w:cs="Arial"/>
        </w:rPr>
        <w:t xml:space="preserve"> will be used almost exclusively for pest control on commercial crops</w:t>
      </w:r>
      <w:r>
        <w:rPr>
          <w:rFonts w:cs="Arial"/>
        </w:rPr>
        <w:t xml:space="preserve"> with a maximum of 2 applications per season</w:t>
      </w:r>
      <w:r w:rsidR="0084624F">
        <w:rPr>
          <w:rFonts w:cs="Arial"/>
        </w:rPr>
        <w:t xml:space="preserve">. </w:t>
      </w:r>
    </w:p>
    <w:p w14:paraId="49C2CDC7" w14:textId="663311C4" w:rsidR="0084624F" w:rsidRDefault="0084624F" w:rsidP="0084624F">
      <w:pPr>
        <w:rPr>
          <w:rFonts w:cs="Arial"/>
        </w:rPr>
      </w:pPr>
      <w:r>
        <w:rPr>
          <w:rFonts w:cs="Arial"/>
        </w:rPr>
        <w:t xml:space="preserve">A </w:t>
      </w:r>
      <w:r w:rsidRPr="00C61EA0">
        <w:rPr>
          <w:rFonts w:cs="Arial"/>
        </w:rPr>
        <w:t>comprehensive data package</w:t>
      </w:r>
      <w:r>
        <w:rPr>
          <w:rFonts w:cs="Arial"/>
        </w:rPr>
        <w:t xml:space="preserve"> was submitted</w:t>
      </w:r>
      <w:r w:rsidRPr="00C61EA0">
        <w:rPr>
          <w:rFonts w:cs="Arial"/>
        </w:rPr>
        <w:t xml:space="preserve"> to support the application</w:t>
      </w:r>
      <w:r>
        <w:rPr>
          <w:rFonts w:cs="Arial"/>
        </w:rPr>
        <w:t xml:space="preserve">. </w:t>
      </w:r>
      <w:r w:rsidRPr="00C61EA0">
        <w:rPr>
          <w:rFonts w:cs="Arial"/>
        </w:rPr>
        <w:t xml:space="preserve">The data included studies on </w:t>
      </w:r>
      <w:r w:rsidRPr="00C97016">
        <w:rPr>
          <w:rFonts w:cs="Arial"/>
          <w:i/>
          <w:iCs/>
        </w:rPr>
        <w:t>in vivo</w:t>
      </w:r>
      <w:r w:rsidRPr="00C61EA0">
        <w:rPr>
          <w:rFonts w:cs="Arial"/>
        </w:rPr>
        <w:t xml:space="preserve"> and </w:t>
      </w:r>
      <w:r w:rsidRPr="00C97016">
        <w:rPr>
          <w:rFonts w:cs="Arial"/>
          <w:i/>
          <w:iCs/>
        </w:rPr>
        <w:t>in vitro</w:t>
      </w:r>
      <w:r w:rsidRPr="00C61EA0">
        <w:rPr>
          <w:rFonts w:cs="Arial"/>
        </w:rPr>
        <w:t xml:space="preserve"> metabolism of </w:t>
      </w:r>
      <w:proofErr w:type="spellStart"/>
      <w:r w:rsidRPr="00C61EA0">
        <w:rPr>
          <w:rFonts w:cs="Arial"/>
        </w:rPr>
        <w:t>fenmezodiatiaz</w:t>
      </w:r>
      <w:proofErr w:type="spellEnd"/>
      <w:r w:rsidRPr="00C61EA0">
        <w:rPr>
          <w:rFonts w:cs="Arial"/>
        </w:rPr>
        <w:t>, acute toxicity, short- and long-term repeat dose toxicity, carcinogenicity, genotoxicity, reproductive and developmental toxicity, neurotoxicity, endocrine disruption (oestrogen/androgen), mechanism of action, toxicity of metabolites and impurities, and studies on the acute toxicity and dermal absorption of the product</w:t>
      </w:r>
      <w:r w:rsidR="00C97016">
        <w:rPr>
          <w:rFonts w:cs="Arial"/>
        </w:rPr>
        <w:t xml:space="preserve"> (s 52E(1)(c) of the Act)</w:t>
      </w:r>
      <w:r w:rsidRPr="00C61EA0">
        <w:rPr>
          <w:rFonts w:cs="Arial"/>
        </w:rPr>
        <w:t>.</w:t>
      </w:r>
      <w:r w:rsidR="00C97016">
        <w:rPr>
          <w:rFonts w:cs="Arial"/>
        </w:rPr>
        <w:t xml:space="preserve"> </w:t>
      </w:r>
      <w:proofErr w:type="spellStart"/>
      <w:r w:rsidRPr="00C61EA0">
        <w:rPr>
          <w:rFonts w:cs="Arial"/>
        </w:rPr>
        <w:t>Fenmezoditiaz</w:t>
      </w:r>
      <w:proofErr w:type="spellEnd"/>
      <w:r w:rsidRPr="00C61EA0">
        <w:rPr>
          <w:rFonts w:cs="Arial"/>
        </w:rPr>
        <w:t xml:space="preserve"> has low acute oral toxicity (500 &lt; LD</w:t>
      </w:r>
      <w:r w:rsidRPr="00DD1DD8">
        <w:rPr>
          <w:rFonts w:cs="Arial"/>
          <w:vertAlign w:val="subscript"/>
        </w:rPr>
        <w:t>50</w:t>
      </w:r>
      <w:r w:rsidRPr="00C61EA0">
        <w:rPr>
          <w:rFonts w:cs="Arial"/>
        </w:rPr>
        <w:t xml:space="preserve"> &lt; 2</w:t>
      </w:r>
      <w:r>
        <w:rPr>
          <w:rFonts w:cs="Arial"/>
        </w:rPr>
        <w:t>,</w:t>
      </w:r>
      <w:r w:rsidRPr="00C61EA0">
        <w:rPr>
          <w:rFonts w:cs="Arial"/>
        </w:rPr>
        <w:t xml:space="preserve">000 mg/kg </w:t>
      </w:r>
      <w:proofErr w:type="spellStart"/>
      <w:r w:rsidRPr="00C61EA0">
        <w:rPr>
          <w:rFonts w:cs="Arial"/>
        </w:rPr>
        <w:t>bw</w:t>
      </w:r>
      <w:proofErr w:type="spellEnd"/>
      <w:r w:rsidRPr="00C61EA0">
        <w:rPr>
          <w:rFonts w:cs="Arial"/>
        </w:rPr>
        <w:t>), dermal toxicity (LD</w:t>
      </w:r>
      <w:r w:rsidRPr="00DD1DD8">
        <w:rPr>
          <w:rFonts w:cs="Arial"/>
          <w:vertAlign w:val="subscript"/>
        </w:rPr>
        <w:t>50</w:t>
      </w:r>
      <w:r w:rsidRPr="00C61EA0">
        <w:rPr>
          <w:rFonts w:cs="Arial"/>
        </w:rPr>
        <w:t xml:space="preserve"> &gt;2</w:t>
      </w:r>
      <w:r>
        <w:rPr>
          <w:rFonts w:cs="Arial"/>
        </w:rPr>
        <w:t>,</w:t>
      </w:r>
      <w:r w:rsidRPr="00C61EA0">
        <w:rPr>
          <w:rFonts w:cs="Arial"/>
        </w:rPr>
        <w:t xml:space="preserve">000 mg/kg </w:t>
      </w:r>
      <w:proofErr w:type="spellStart"/>
      <w:r w:rsidRPr="00C61EA0">
        <w:rPr>
          <w:rFonts w:cs="Arial"/>
        </w:rPr>
        <w:t>bw</w:t>
      </w:r>
      <w:proofErr w:type="spellEnd"/>
      <w:r w:rsidRPr="00C61EA0">
        <w:rPr>
          <w:rFonts w:cs="Arial"/>
        </w:rPr>
        <w:t>) and inhalation toxicity (LC</w:t>
      </w:r>
      <w:r w:rsidRPr="00DD1DD8">
        <w:rPr>
          <w:rFonts w:cs="Arial"/>
          <w:vertAlign w:val="subscript"/>
        </w:rPr>
        <w:t>50</w:t>
      </w:r>
      <w:r w:rsidRPr="00C61EA0">
        <w:rPr>
          <w:rFonts w:cs="Arial"/>
        </w:rPr>
        <w:t xml:space="preserve"> &gt;2</w:t>
      </w:r>
      <w:r>
        <w:rPr>
          <w:rFonts w:cs="Arial"/>
        </w:rPr>
        <w:t>,</w:t>
      </w:r>
      <w:r w:rsidRPr="00C61EA0">
        <w:rPr>
          <w:rFonts w:cs="Arial"/>
        </w:rPr>
        <w:t>416 mg/m</w:t>
      </w:r>
      <w:r w:rsidRPr="00DD1DD8">
        <w:rPr>
          <w:rFonts w:cs="Arial"/>
          <w:vertAlign w:val="superscript"/>
        </w:rPr>
        <w:t>3</w:t>
      </w:r>
      <w:r w:rsidRPr="00C61EA0">
        <w:rPr>
          <w:rFonts w:cs="Arial"/>
        </w:rPr>
        <w:t xml:space="preserve">). </w:t>
      </w:r>
      <w:proofErr w:type="spellStart"/>
      <w:r w:rsidRPr="00C61EA0">
        <w:rPr>
          <w:rFonts w:cs="Arial"/>
        </w:rPr>
        <w:t>Fenmezoditiaz</w:t>
      </w:r>
      <w:proofErr w:type="spellEnd"/>
      <w:r w:rsidRPr="00C61EA0">
        <w:rPr>
          <w:rFonts w:cs="Arial"/>
        </w:rPr>
        <w:t xml:space="preserve"> is a slight skin irritant, is not irritating to the eyes and is not a skin sensitiser</w:t>
      </w:r>
      <w:r>
        <w:rPr>
          <w:rFonts w:cs="Arial"/>
        </w:rPr>
        <w:t xml:space="preserve">. In summation, </w:t>
      </w:r>
      <w:proofErr w:type="spellStart"/>
      <w:r>
        <w:rPr>
          <w:rFonts w:cs="Arial"/>
        </w:rPr>
        <w:t>fenmezoditiaz</w:t>
      </w:r>
      <w:proofErr w:type="spellEnd"/>
      <w:r>
        <w:rPr>
          <w:rFonts w:cs="Arial"/>
        </w:rPr>
        <w:t xml:space="preserve"> exhibits low toxicity </w:t>
      </w:r>
      <w:r>
        <w:rPr>
          <w:rFonts w:cs="Arial"/>
        </w:rPr>
        <w:lastRenderedPageBreak/>
        <w:t xml:space="preserve">across all exposure routes. </w:t>
      </w:r>
      <w:proofErr w:type="spellStart"/>
      <w:r w:rsidRPr="00C61EA0">
        <w:rPr>
          <w:rFonts w:cs="Arial"/>
        </w:rPr>
        <w:t>Fenmezoditiaz</w:t>
      </w:r>
      <w:proofErr w:type="spellEnd"/>
      <w:r w:rsidRPr="00C61EA0">
        <w:rPr>
          <w:rFonts w:cs="Arial"/>
        </w:rPr>
        <w:t xml:space="preserve"> was examined for its genotoxic potential in an adequate range of </w:t>
      </w:r>
      <w:r w:rsidRPr="00C97016">
        <w:rPr>
          <w:rFonts w:cs="Arial"/>
          <w:i/>
          <w:iCs/>
        </w:rPr>
        <w:t>in vitro</w:t>
      </w:r>
      <w:r w:rsidRPr="00C61EA0">
        <w:rPr>
          <w:rFonts w:cs="Arial"/>
        </w:rPr>
        <w:t xml:space="preserve"> and </w:t>
      </w:r>
      <w:r w:rsidRPr="00C97016">
        <w:rPr>
          <w:rFonts w:cs="Arial"/>
          <w:i/>
          <w:iCs/>
        </w:rPr>
        <w:t>in vivo</w:t>
      </w:r>
      <w:r w:rsidRPr="00C61EA0">
        <w:rPr>
          <w:rFonts w:cs="Arial"/>
        </w:rPr>
        <w:t xml:space="preserve"> </w:t>
      </w:r>
      <w:r w:rsidR="00C97016" w:rsidRPr="00C61EA0">
        <w:rPr>
          <w:rFonts w:cs="Arial"/>
        </w:rPr>
        <w:t>tests,</w:t>
      </w:r>
      <w:r w:rsidRPr="00C61EA0">
        <w:rPr>
          <w:rFonts w:cs="Arial"/>
        </w:rPr>
        <w:t xml:space="preserve"> and all were found to be negative.</w:t>
      </w:r>
      <w:r>
        <w:rPr>
          <w:rFonts w:cs="Arial"/>
        </w:rPr>
        <w:t xml:space="preserve"> </w:t>
      </w:r>
      <w:proofErr w:type="spellStart"/>
      <w:r w:rsidRPr="00C61EA0">
        <w:rPr>
          <w:rFonts w:cs="Arial"/>
        </w:rPr>
        <w:t>Fenmezoditiaz</w:t>
      </w:r>
      <w:proofErr w:type="spellEnd"/>
      <w:r w:rsidRPr="00C61EA0">
        <w:rPr>
          <w:rFonts w:cs="Arial"/>
        </w:rPr>
        <w:t xml:space="preserve"> did not demonstrate carcinogenic or reproductive toxicity potential at the doses tested, or developmental toxicity at doses that were not </w:t>
      </w:r>
      <w:proofErr w:type="spellStart"/>
      <w:r w:rsidRPr="00C61EA0">
        <w:rPr>
          <w:rFonts w:cs="Arial"/>
        </w:rPr>
        <w:t>maternotoxic</w:t>
      </w:r>
      <w:proofErr w:type="spellEnd"/>
      <w:r w:rsidRPr="00C61EA0">
        <w:rPr>
          <w:rFonts w:cs="Arial"/>
        </w:rPr>
        <w:t xml:space="preserve">. </w:t>
      </w:r>
      <w:r>
        <w:rPr>
          <w:rFonts w:cs="Arial"/>
        </w:rPr>
        <w:t>Overall</w:t>
      </w:r>
      <w:r w:rsidR="00BE123F">
        <w:rPr>
          <w:rFonts w:cs="Arial"/>
        </w:rPr>
        <w:t>,</w:t>
      </w:r>
      <w:r>
        <w:rPr>
          <w:rFonts w:cs="Arial"/>
        </w:rPr>
        <w:t xml:space="preserve"> in relation to toxicity, </w:t>
      </w:r>
      <w:proofErr w:type="spellStart"/>
      <w:r>
        <w:rPr>
          <w:rFonts w:cs="Arial"/>
        </w:rPr>
        <w:t>f</w:t>
      </w:r>
      <w:r w:rsidRPr="004E3B6F">
        <w:rPr>
          <w:rFonts w:cs="Arial"/>
        </w:rPr>
        <w:t>enmezoditiaz</w:t>
      </w:r>
      <w:proofErr w:type="spellEnd"/>
      <w:r w:rsidRPr="004E3B6F">
        <w:rPr>
          <w:rFonts w:cs="Arial"/>
        </w:rPr>
        <w:t xml:space="preserve"> meets </w:t>
      </w:r>
      <w:r>
        <w:rPr>
          <w:rFonts w:cs="Arial"/>
        </w:rPr>
        <w:t>a majority of the</w:t>
      </w:r>
      <w:r w:rsidRPr="004E3B6F">
        <w:rPr>
          <w:rFonts w:cs="Arial"/>
        </w:rPr>
        <w:t xml:space="preserve"> Schedule 6 </w:t>
      </w:r>
      <w:r>
        <w:rPr>
          <w:rFonts w:cs="Arial"/>
        </w:rPr>
        <w:t xml:space="preserve">scheduling factors (Schedule 6, Scheduling </w:t>
      </w:r>
      <w:r w:rsidR="00BE123F">
        <w:rPr>
          <w:rFonts w:cs="Arial"/>
        </w:rPr>
        <w:t>F</w:t>
      </w:r>
      <w:r>
        <w:rPr>
          <w:rFonts w:cs="Arial"/>
        </w:rPr>
        <w:t>actors 1,</w:t>
      </w:r>
      <w:r w:rsidR="00BE123F">
        <w:rPr>
          <w:rFonts w:cs="Arial"/>
        </w:rPr>
        <w:t>2</w:t>
      </w:r>
      <w:r>
        <w:rPr>
          <w:rFonts w:cs="Arial"/>
        </w:rPr>
        <w:t xml:space="preserve"> and 4). </w:t>
      </w:r>
    </w:p>
    <w:p w14:paraId="515D3A90" w14:textId="2AC36E3D" w:rsidR="0084624F" w:rsidRDefault="0084624F" w:rsidP="0084624F">
      <w:pPr>
        <w:rPr>
          <w:rFonts w:cs="Arial"/>
        </w:rPr>
      </w:pPr>
      <w:r>
        <w:rPr>
          <w:rFonts w:cs="Arial"/>
        </w:rPr>
        <w:t xml:space="preserve">Regarding </w:t>
      </w:r>
      <w:r w:rsidR="00C97016">
        <w:rPr>
          <w:rFonts w:cs="Arial"/>
        </w:rPr>
        <w:t>s</w:t>
      </w:r>
      <w:r>
        <w:rPr>
          <w:rFonts w:cs="Arial"/>
        </w:rPr>
        <w:t xml:space="preserve"> 52E(1)(d) of the Act, </w:t>
      </w:r>
      <w:proofErr w:type="spellStart"/>
      <w:r>
        <w:rPr>
          <w:rFonts w:cs="Arial"/>
        </w:rPr>
        <w:t>fenmezoditiaz</w:t>
      </w:r>
      <w:proofErr w:type="spellEnd"/>
      <w:r>
        <w:rPr>
          <w:rFonts w:cs="Arial"/>
        </w:rPr>
        <w:t xml:space="preserve"> will be packaged as the active constituent in the proposed product which will be available in a 200 g/L suspension concentrate (SC) formulation, in 1-1,000 L pack sizes. The product is intended for professional use, to be </w:t>
      </w:r>
      <w:r w:rsidR="00C97016">
        <w:rPr>
          <w:rFonts w:cs="Arial"/>
        </w:rPr>
        <w:t xml:space="preserve">diluted and </w:t>
      </w:r>
      <w:r>
        <w:rPr>
          <w:rFonts w:cs="Arial"/>
        </w:rPr>
        <w:t xml:space="preserve">applied mechanically </w:t>
      </w:r>
      <w:r w:rsidR="00C97016" w:rsidRPr="00C61EA0">
        <w:rPr>
          <w:rFonts w:cs="Arial"/>
        </w:rPr>
        <w:t>by ground boom or by aircraft</w:t>
      </w:r>
      <w:r>
        <w:rPr>
          <w:rFonts w:cs="Arial"/>
        </w:rPr>
        <w:t>, with a maximum of 2 applications per season.</w:t>
      </w:r>
      <w:r w:rsidR="00C97016">
        <w:rPr>
          <w:rFonts w:cs="Arial"/>
        </w:rPr>
        <w:t xml:space="preserve"> </w:t>
      </w:r>
      <w:r>
        <w:rPr>
          <w:rFonts w:cs="Arial"/>
        </w:rPr>
        <w:t>Following this decision for the</w:t>
      </w:r>
      <w:r w:rsidRPr="00C61EA0">
        <w:t xml:space="preserve"> </w:t>
      </w:r>
      <w:r w:rsidRPr="00C61EA0">
        <w:rPr>
          <w:rFonts w:cs="Arial"/>
        </w:rPr>
        <w:t xml:space="preserve">scheduling of </w:t>
      </w:r>
      <w:proofErr w:type="spellStart"/>
      <w:r>
        <w:rPr>
          <w:rFonts w:cs="Arial"/>
        </w:rPr>
        <w:t>fenmezoditiaz</w:t>
      </w:r>
      <w:proofErr w:type="spellEnd"/>
      <w:r>
        <w:rPr>
          <w:rFonts w:cs="Arial"/>
        </w:rPr>
        <w:t xml:space="preserve">, </w:t>
      </w:r>
      <w:r w:rsidRPr="00292EFE">
        <w:rPr>
          <w:rFonts w:cs="Arial"/>
        </w:rPr>
        <w:t xml:space="preserve">a </w:t>
      </w:r>
      <w:r w:rsidRPr="00DD4ECB">
        <w:rPr>
          <w:rFonts w:cs="Arial"/>
        </w:rPr>
        <w:t xml:space="preserve">POISON </w:t>
      </w:r>
      <w:r w:rsidRPr="00292EFE">
        <w:rPr>
          <w:rFonts w:cs="Arial"/>
        </w:rPr>
        <w:t xml:space="preserve">signal header for the product label will be recommended by the </w:t>
      </w:r>
      <w:r>
        <w:rPr>
          <w:rFonts w:cs="Arial"/>
        </w:rPr>
        <w:t>Australian Pesticides and Veterinary Medicines Authority</w:t>
      </w:r>
      <w:r w:rsidRPr="00292EFE">
        <w:rPr>
          <w:rFonts w:cs="Arial"/>
        </w:rPr>
        <w:t>.</w:t>
      </w:r>
      <w:r>
        <w:rPr>
          <w:rFonts w:cs="Arial"/>
        </w:rPr>
        <w:t xml:space="preserve"> </w:t>
      </w:r>
    </w:p>
    <w:p w14:paraId="009C760A" w14:textId="60B10C73" w:rsidR="0084624F" w:rsidRDefault="0084624F" w:rsidP="0084624F">
      <w:pPr>
        <w:rPr>
          <w:rFonts w:cs="Arial"/>
        </w:rPr>
      </w:pPr>
      <w:r>
        <w:rPr>
          <w:rFonts w:cs="Arial"/>
        </w:rPr>
        <w:t xml:space="preserve">With consideration of </w:t>
      </w:r>
      <w:r w:rsidR="00C97016">
        <w:rPr>
          <w:rFonts w:cs="Arial"/>
        </w:rPr>
        <w:t>s</w:t>
      </w:r>
      <w:r>
        <w:rPr>
          <w:rFonts w:cs="Arial"/>
        </w:rPr>
        <w:t xml:space="preserve"> 52E(1)(e) and (f) of the Act, </w:t>
      </w:r>
      <w:proofErr w:type="spellStart"/>
      <w:r>
        <w:rPr>
          <w:rFonts w:cs="Arial"/>
        </w:rPr>
        <w:t>fenmezoditiaz</w:t>
      </w:r>
      <w:proofErr w:type="spellEnd"/>
      <w:r>
        <w:rPr>
          <w:rFonts w:cs="Arial"/>
        </w:rPr>
        <w:t xml:space="preserve"> has no known potential for misuse or abuse. Exposure to </w:t>
      </w:r>
      <w:proofErr w:type="spellStart"/>
      <w:r>
        <w:rPr>
          <w:rFonts w:cs="Arial"/>
        </w:rPr>
        <w:t>fenmezoditiaz</w:t>
      </w:r>
      <w:proofErr w:type="spellEnd"/>
      <w:r>
        <w:rPr>
          <w:rFonts w:cs="Arial"/>
        </w:rPr>
        <w:t xml:space="preserve"> is unlikely </w:t>
      </w:r>
      <w:r w:rsidRPr="00225DD5">
        <w:rPr>
          <w:rFonts w:cs="Arial"/>
        </w:rPr>
        <w:t>except as part of an appropriately labelled and registered agr</w:t>
      </w:r>
      <w:r>
        <w:rPr>
          <w:rFonts w:cs="Arial"/>
        </w:rPr>
        <w:t>icultural</w:t>
      </w:r>
      <w:r w:rsidRPr="00225DD5">
        <w:rPr>
          <w:rFonts w:cs="Arial"/>
        </w:rPr>
        <w:t xml:space="preserve"> product.</w:t>
      </w:r>
      <w:r>
        <w:rPr>
          <w:rFonts w:cs="Arial"/>
        </w:rPr>
        <w:t xml:space="preserve"> I</w:t>
      </w:r>
      <w:r w:rsidRPr="49558462">
        <w:rPr>
          <w:rFonts w:cs="Arial"/>
        </w:rPr>
        <w:t xml:space="preserve">ndividuals who </w:t>
      </w:r>
      <w:bookmarkStart w:id="19" w:name="_Int_h0bkzYl0"/>
      <w:proofErr w:type="gramStart"/>
      <w:r w:rsidRPr="49558462">
        <w:rPr>
          <w:rFonts w:cs="Arial"/>
        </w:rPr>
        <w:t>come into contact with</w:t>
      </w:r>
      <w:bookmarkEnd w:id="19"/>
      <w:proofErr w:type="gramEnd"/>
      <w:r w:rsidRPr="49558462">
        <w:rPr>
          <w:rFonts w:cs="Arial"/>
        </w:rPr>
        <w:t xml:space="preserve"> the substance, such as</w:t>
      </w:r>
      <w:r>
        <w:rPr>
          <w:rFonts w:cs="Arial"/>
        </w:rPr>
        <w:t xml:space="preserve"> operators working in </w:t>
      </w:r>
      <w:r w:rsidRPr="49558462">
        <w:rPr>
          <w:rFonts w:cs="Arial"/>
        </w:rPr>
        <w:t>industrial and large-scal</w:t>
      </w:r>
      <w:r>
        <w:rPr>
          <w:rFonts w:cs="Arial"/>
        </w:rPr>
        <w:t>e agricultural settings</w:t>
      </w:r>
      <w:r w:rsidRPr="49558462">
        <w:rPr>
          <w:rFonts w:cs="Arial"/>
        </w:rPr>
        <w:t xml:space="preserve">, will </w:t>
      </w:r>
      <w:r>
        <w:rPr>
          <w:rFonts w:cs="Arial"/>
        </w:rPr>
        <w:t xml:space="preserve">be able to refer to the </w:t>
      </w:r>
      <w:r w:rsidRPr="00292EFE">
        <w:rPr>
          <w:rFonts w:cs="Arial"/>
        </w:rPr>
        <w:t>directions for use (DFU)</w:t>
      </w:r>
      <w:r>
        <w:rPr>
          <w:rFonts w:cs="Arial"/>
        </w:rPr>
        <w:t xml:space="preserve"> on the proposed product label which will include </w:t>
      </w:r>
      <w:r w:rsidRPr="00292EFE">
        <w:rPr>
          <w:rFonts w:cs="Arial"/>
        </w:rPr>
        <w:t xml:space="preserve">first aid instructions, safety directions, </w:t>
      </w:r>
      <w:r>
        <w:rPr>
          <w:rFonts w:cs="Arial"/>
        </w:rPr>
        <w:t xml:space="preserve">a </w:t>
      </w:r>
      <w:r w:rsidRPr="00292EFE">
        <w:rPr>
          <w:rFonts w:cs="Arial"/>
        </w:rPr>
        <w:t>re-entry statement and restraints and restrictions should appear on the product label</w:t>
      </w:r>
      <w:r>
        <w:rPr>
          <w:rFonts w:cs="Arial"/>
        </w:rPr>
        <w:t>. Therefore,</w:t>
      </w:r>
      <w:r w:rsidRPr="004E3B6F">
        <w:rPr>
          <w:rFonts w:cs="Arial"/>
        </w:rPr>
        <w:t xml:space="preserve"> risks can be mitigated through </w:t>
      </w:r>
      <w:r w:rsidR="00BE123F" w:rsidRPr="004E3B6F">
        <w:rPr>
          <w:rFonts w:cs="Arial"/>
        </w:rPr>
        <w:t>label warnings</w:t>
      </w:r>
      <w:r w:rsidR="00BE123F">
        <w:rPr>
          <w:rFonts w:cs="Arial"/>
        </w:rPr>
        <w:t xml:space="preserve">, </w:t>
      </w:r>
      <w:r w:rsidR="00BE123F" w:rsidRPr="00292EFE">
        <w:rPr>
          <w:rFonts w:cs="Arial"/>
        </w:rPr>
        <w:t>safety directions</w:t>
      </w:r>
      <w:r w:rsidR="00BE123F">
        <w:rPr>
          <w:rFonts w:cs="Arial"/>
        </w:rPr>
        <w:t xml:space="preserve"> and</w:t>
      </w:r>
      <w:r w:rsidR="00BE123F" w:rsidRPr="004E3B6F">
        <w:rPr>
          <w:rFonts w:cs="Arial"/>
        </w:rPr>
        <w:t xml:space="preserve"> </w:t>
      </w:r>
      <w:r w:rsidRPr="004E3B6F">
        <w:rPr>
          <w:rFonts w:cs="Arial"/>
        </w:rPr>
        <w:t xml:space="preserve">appropriate packaging </w:t>
      </w:r>
      <w:r w:rsidR="00BE123F">
        <w:rPr>
          <w:rFonts w:cs="Arial"/>
        </w:rPr>
        <w:t>(Schedule 6, Scheduling Factor 3)</w:t>
      </w:r>
      <w:r w:rsidRPr="004E3B6F">
        <w:rPr>
          <w:rFonts w:cs="Arial"/>
        </w:rPr>
        <w:t>.</w:t>
      </w:r>
      <w:r>
        <w:rPr>
          <w:rFonts w:cs="Arial"/>
        </w:rPr>
        <w:t xml:space="preserve"> </w:t>
      </w:r>
      <w:r w:rsidRPr="00703C00">
        <w:rPr>
          <w:rFonts w:cs="Arial"/>
        </w:rPr>
        <w:t>Because</w:t>
      </w:r>
      <w:r>
        <w:rPr>
          <w:rFonts w:cs="Arial"/>
        </w:rPr>
        <w:t xml:space="preserve"> the intended product containing </w:t>
      </w:r>
      <w:proofErr w:type="spellStart"/>
      <w:r w:rsidRPr="00703C00">
        <w:rPr>
          <w:rFonts w:cs="Arial"/>
        </w:rPr>
        <w:t>fenmezoditiaz</w:t>
      </w:r>
      <w:proofErr w:type="spellEnd"/>
      <w:r>
        <w:rPr>
          <w:rFonts w:cs="Arial"/>
        </w:rPr>
        <w:t xml:space="preserve"> </w:t>
      </w:r>
      <w:r w:rsidRPr="00703C00">
        <w:rPr>
          <w:rFonts w:cs="Arial"/>
        </w:rPr>
        <w:t xml:space="preserve">is designed for professional use only, applied no more than twice per season using mechanical methods such as ground boom or aerial spraying, </w:t>
      </w:r>
      <w:proofErr w:type="gramStart"/>
      <w:r w:rsidRPr="00703C00">
        <w:rPr>
          <w:rFonts w:cs="Arial"/>
        </w:rPr>
        <w:t>general public</w:t>
      </w:r>
      <w:proofErr w:type="gramEnd"/>
      <w:r>
        <w:rPr>
          <w:rFonts w:cs="Arial"/>
        </w:rPr>
        <w:t xml:space="preserve"> </w:t>
      </w:r>
      <w:r w:rsidRPr="00703C00">
        <w:rPr>
          <w:rFonts w:cs="Arial"/>
        </w:rPr>
        <w:t xml:space="preserve">are unlikely to </w:t>
      </w:r>
      <w:proofErr w:type="gramStart"/>
      <w:r w:rsidRPr="00703C00">
        <w:rPr>
          <w:rFonts w:cs="Arial"/>
        </w:rPr>
        <w:t>come into contact with</w:t>
      </w:r>
      <w:proofErr w:type="gramEnd"/>
      <w:r w:rsidRPr="00703C00">
        <w:rPr>
          <w:rFonts w:cs="Arial"/>
        </w:rPr>
        <w:t xml:space="preserve"> it.</w:t>
      </w:r>
    </w:p>
    <w:p w14:paraId="14491F42" w14:textId="04E3D8D8" w:rsidR="0084624F" w:rsidRPr="00307556" w:rsidRDefault="0084624F" w:rsidP="0084624F">
      <w:pPr>
        <w:rPr>
          <w:rFonts w:cs="Arial"/>
        </w:rPr>
      </w:pPr>
      <w:proofErr w:type="spellStart"/>
      <w:r>
        <w:rPr>
          <w:rFonts w:cs="Arial"/>
        </w:rPr>
        <w:t>Fenmezoditiaz</w:t>
      </w:r>
      <w:proofErr w:type="spellEnd"/>
      <w:r>
        <w:rPr>
          <w:rFonts w:cs="Arial"/>
        </w:rPr>
        <w:t xml:space="preserve"> is an effective alternative pesticide </w:t>
      </w:r>
      <w:r w:rsidR="00BE123F">
        <w:rPr>
          <w:rFonts w:cs="Arial"/>
        </w:rPr>
        <w:t xml:space="preserve">proposed for </w:t>
      </w:r>
      <w:r w:rsidR="00BE123F" w:rsidRPr="004E3B6F">
        <w:rPr>
          <w:rFonts w:cs="Arial"/>
        </w:rPr>
        <w:t>the control of aphids in winter cereal crops</w:t>
      </w:r>
      <w:r w:rsidR="00BE123F" w:rsidRPr="00BE123F">
        <w:rPr>
          <w:rFonts w:cs="Arial"/>
        </w:rPr>
        <w:t xml:space="preserve"> </w:t>
      </w:r>
      <w:r w:rsidR="00BE123F">
        <w:rPr>
          <w:rFonts w:cs="Arial"/>
        </w:rPr>
        <w:t xml:space="preserve">in </w:t>
      </w:r>
      <w:r w:rsidR="00BE123F" w:rsidRPr="004E3B6F">
        <w:rPr>
          <w:rFonts w:cs="Arial"/>
        </w:rPr>
        <w:t>Australia</w:t>
      </w:r>
      <w:r w:rsidR="00BE123F">
        <w:rPr>
          <w:rFonts w:cs="Arial"/>
        </w:rPr>
        <w:t xml:space="preserve">.  </w:t>
      </w:r>
      <w:proofErr w:type="spellStart"/>
      <w:r w:rsidR="00BE123F">
        <w:rPr>
          <w:rFonts w:cs="Arial"/>
        </w:rPr>
        <w:t>Fenmezoditiaz</w:t>
      </w:r>
      <w:proofErr w:type="spellEnd"/>
      <w:r w:rsidR="00BE123F">
        <w:rPr>
          <w:rFonts w:cs="Arial"/>
        </w:rPr>
        <w:t xml:space="preserve"> has a</w:t>
      </w:r>
      <w:r>
        <w:rPr>
          <w:rFonts w:cs="Arial"/>
        </w:rPr>
        <w:t xml:space="preserve"> well-defined oral, dermal and inhalation toxicity profile</w:t>
      </w:r>
      <w:r w:rsidR="00BE123F">
        <w:rPr>
          <w:rFonts w:cs="Arial"/>
        </w:rPr>
        <w:t xml:space="preserve"> and</w:t>
      </w:r>
      <w:r>
        <w:rPr>
          <w:rFonts w:cs="Arial"/>
        </w:rPr>
        <w:t xml:space="preserve"> harms </w:t>
      </w:r>
      <w:r w:rsidR="00BE123F">
        <w:rPr>
          <w:rFonts w:cs="Arial"/>
        </w:rPr>
        <w:t xml:space="preserve">to users </w:t>
      </w:r>
      <w:r>
        <w:rPr>
          <w:rFonts w:cs="Arial"/>
        </w:rPr>
        <w:t xml:space="preserve">associated with </w:t>
      </w:r>
      <w:r w:rsidR="00004ECC">
        <w:rPr>
          <w:rFonts w:cs="Arial"/>
        </w:rPr>
        <w:t>its</w:t>
      </w:r>
      <w:r w:rsidR="00BE123F">
        <w:rPr>
          <w:rFonts w:cs="Arial"/>
        </w:rPr>
        <w:t xml:space="preserve"> </w:t>
      </w:r>
      <w:r>
        <w:rPr>
          <w:rFonts w:cs="Arial"/>
        </w:rPr>
        <w:t>oral and inhalation toxicity can be adequately mitigated with appropriate packaging and labelling. For these reasons I have decided to create a Poison (Schedule</w:t>
      </w:r>
      <w:r w:rsidR="00BE123F">
        <w:rPr>
          <w:rFonts w:cs="Arial"/>
        </w:rPr>
        <w:t> </w:t>
      </w:r>
      <w:r>
        <w:rPr>
          <w:rFonts w:cs="Arial"/>
        </w:rPr>
        <w:t xml:space="preserve">6) entry for </w:t>
      </w:r>
      <w:proofErr w:type="spellStart"/>
      <w:r>
        <w:rPr>
          <w:rFonts w:cs="Arial"/>
        </w:rPr>
        <w:t>fenmezoditiaz</w:t>
      </w:r>
      <w:proofErr w:type="spellEnd"/>
      <w:r>
        <w:rPr>
          <w:rFonts w:cs="Arial"/>
        </w:rPr>
        <w:t>.</w:t>
      </w:r>
    </w:p>
    <w:p w14:paraId="5440F47D" w14:textId="77777777" w:rsidR="0084624F" w:rsidRPr="00CE434F" w:rsidRDefault="0084624F" w:rsidP="00CE434F">
      <w:pPr>
        <w:keepNext/>
        <w:keepLines/>
        <w:spacing w:before="360" w:line="240" w:lineRule="atLeast"/>
        <w:outlineLvl w:val="3"/>
        <w:rPr>
          <w:rFonts w:eastAsia="Cambria" w:cs="Times New Roman"/>
          <w:bCs/>
          <w:color w:val="001871"/>
          <w:sz w:val="28"/>
          <w:szCs w:val="26"/>
        </w:rPr>
      </w:pPr>
      <w:bookmarkStart w:id="20" w:name="_Toc217304834"/>
      <w:r w:rsidRPr="00CE434F">
        <w:rPr>
          <w:rFonts w:eastAsia="Cambria" w:cs="Times New Roman"/>
          <w:bCs/>
          <w:color w:val="001871"/>
          <w:sz w:val="28"/>
          <w:szCs w:val="26"/>
        </w:rPr>
        <w:t>Implementation date</w:t>
      </w:r>
      <w:bookmarkEnd w:id="20"/>
    </w:p>
    <w:p w14:paraId="1687AEBA" w14:textId="77777777" w:rsidR="0084624F" w:rsidRDefault="0084624F" w:rsidP="00967490">
      <w:pPr>
        <w:rPr>
          <w:rFonts w:cs="Arial"/>
        </w:rPr>
      </w:pPr>
      <w:r w:rsidRPr="00DD4ECB">
        <w:rPr>
          <w:rFonts w:cs="Arial"/>
        </w:rPr>
        <w:t>1 February 2026</w:t>
      </w:r>
    </w:p>
    <w:p w14:paraId="3122C2A4" w14:textId="77777777" w:rsidR="00F52D24" w:rsidRDefault="00F52D24" w:rsidP="00967490">
      <w:pPr>
        <w:rPr>
          <w:rFonts w:cs="Arial"/>
        </w:rPr>
      </w:pPr>
    </w:p>
    <w:p w14:paraId="019003BD" w14:textId="77777777" w:rsidR="00F52D24" w:rsidRDefault="00F52D24" w:rsidP="00967490">
      <w:pPr>
        <w:rPr>
          <w:rFonts w:cs="Arial"/>
        </w:rPr>
      </w:pPr>
    </w:p>
    <w:p w14:paraId="0F6EB850" w14:textId="77777777" w:rsidR="000E7C68" w:rsidRDefault="000E7C68">
      <w:pPr>
        <w:rPr>
          <w:rFonts w:eastAsia="Times New Roman" w:cs="Times New Roman"/>
          <w:b/>
          <w:bCs/>
          <w:color w:val="001871"/>
          <w:sz w:val="38"/>
          <w:szCs w:val="38"/>
        </w:rPr>
      </w:pPr>
      <w:bookmarkStart w:id="21" w:name="_Toc198028607"/>
      <w:r>
        <w:br w:type="page"/>
      </w:r>
    </w:p>
    <w:p w14:paraId="2263CEDD" w14:textId="6767AD42" w:rsidR="00F52D24" w:rsidRPr="00F52D24" w:rsidRDefault="00F52D24" w:rsidP="00F52D24">
      <w:pPr>
        <w:pStyle w:val="Heading2"/>
      </w:pPr>
      <w:bookmarkStart w:id="22" w:name="_Toc219385679"/>
      <w:r w:rsidRPr="00F52D24">
        <w:lastRenderedPageBreak/>
        <w:t>Amendments to the Poison Standard in relation to New Ch</w:t>
      </w:r>
      <w:r w:rsidR="001A5880">
        <w:t>e</w:t>
      </w:r>
      <w:r w:rsidRPr="00F52D24">
        <w:t>mical Entities (NCEs)</w:t>
      </w:r>
      <w:bookmarkEnd w:id="21"/>
      <w:bookmarkEnd w:id="22"/>
    </w:p>
    <w:p w14:paraId="6A03B83E" w14:textId="34CD95FA" w:rsidR="00F52D24" w:rsidRPr="00F52D24" w:rsidRDefault="00F52D24" w:rsidP="00F52D24">
      <w:pPr>
        <w:spacing w:line="256" w:lineRule="auto"/>
        <w:rPr>
          <w:rFonts w:eastAsia="Calibri" w:cs="Times New Roman"/>
        </w:rPr>
      </w:pPr>
      <w:r w:rsidRPr="00F52D24">
        <w:rPr>
          <w:rFonts w:eastAsia="Calibri" w:cs="Times New Roman"/>
        </w:rPr>
        <w:t>The NCEs listed below will be included in the new Poisons Standard that will come into effect on 1 </w:t>
      </w:r>
      <w:r>
        <w:rPr>
          <w:rFonts w:eastAsia="Calibri" w:cs="Times New Roman"/>
        </w:rPr>
        <w:t>February</w:t>
      </w:r>
      <w:r w:rsidRPr="00F52D24">
        <w:rPr>
          <w:rFonts w:eastAsia="Calibri" w:cs="Times New Roman"/>
        </w:rPr>
        <w:t xml:space="preserve"> 202</w:t>
      </w:r>
      <w:r>
        <w:rPr>
          <w:rFonts w:eastAsia="Calibri" w:cs="Times New Roman"/>
        </w:rPr>
        <w:t>6</w:t>
      </w:r>
      <w:r w:rsidRPr="00F52D24">
        <w:rPr>
          <w:rFonts w:eastAsia="Calibri" w:cs="Times New Roman"/>
        </w:rPr>
        <w:t>.</w:t>
      </w:r>
    </w:p>
    <w:p w14:paraId="2BC01910" w14:textId="5FFFE887" w:rsidR="00F52D24" w:rsidRPr="00F52D24" w:rsidRDefault="00217173" w:rsidP="00F52D24">
      <w:pPr>
        <w:pStyle w:val="Heading3"/>
      </w:pPr>
      <w:bookmarkStart w:id="23" w:name="_Toc219385680"/>
      <w:r w:rsidRPr="00217173">
        <w:t>BELANTAMAB MAFODOTIN</w:t>
      </w:r>
      <w:bookmarkEnd w:id="23"/>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2D24" w:rsidRPr="00F52D24" w14:paraId="4E7010BA" w14:textId="77777777">
        <w:tc>
          <w:tcPr>
            <w:tcW w:w="8072" w:type="dxa"/>
            <w:tcBorders>
              <w:top w:val="single" w:sz="4" w:space="0" w:color="auto"/>
              <w:left w:val="single" w:sz="4" w:space="0" w:color="auto"/>
              <w:bottom w:val="single" w:sz="4" w:space="0" w:color="auto"/>
              <w:right w:val="single" w:sz="4" w:space="0" w:color="auto"/>
            </w:tcBorders>
            <w:hideMark/>
          </w:tcPr>
          <w:p w14:paraId="038E3BEE" w14:textId="77777777" w:rsidR="00F52D24" w:rsidRPr="00F52D24" w:rsidRDefault="00F52D24" w:rsidP="00F52D24">
            <w:pPr>
              <w:spacing w:before="120"/>
              <w:rPr>
                <w:rFonts w:eastAsia="Calibri" w:cs="Arial"/>
                <w:szCs w:val="20"/>
              </w:rPr>
            </w:pPr>
            <w:r w:rsidRPr="00F52D24">
              <w:rPr>
                <w:rFonts w:eastAsia="Calibri" w:cs="Arial"/>
                <w:b/>
                <w:bCs/>
                <w:color w:val="000000"/>
                <w:szCs w:val="20"/>
              </w:rPr>
              <w:t>Schedule 4 – New Entry</w:t>
            </w:r>
          </w:p>
          <w:p w14:paraId="029DC705" w14:textId="67A863F1" w:rsidR="00F52D24" w:rsidRPr="00F52D24" w:rsidRDefault="00217173" w:rsidP="00F52D24">
            <w:pPr>
              <w:spacing w:before="120"/>
              <w:rPr>
                <w:rFonts w:eastAsia="Calibri" w:cs="Arial"/>
                <w:color w:val="00B050"/>
                <w:szCs w:val="20"/>
                <w:u w:val="single"/>
              </w:rPr>
            </w:pPr>
            <w:r w:rsidRPr="00217173">
              <w:rPr>
                <w:rFonts w:eastAsia="Calibri" w:cs="Arial"/>
                <w:color w:val="00B050"/>
                <w:szCs w:val="20"/>
                <w:u w:val="single"/>
              </w:rPr>
              <w:t>BELANTAMAB MAFODOTIN</w:t>
            </w:r>
          </w:p>
          <w:p w14:paraId="79E8CF13" w14:textId="77777777" w:rsidR="00F52D24" w:rsidRPr="00F52D24" w:rsidRDefault="00F52D24" w:rsidP="00F52D24">
            <w:pPr>
              <w:spacing w:before="120"/>
              <w:rPr>
                <w:rFonts w:eastAsia="Calibri" w:cs="Arial"/>
                <w:szCs w:val="20"/>
              </w:rPr>
            </w:pPr>
            <w:r w:rsidRPr="00F52D24">
              <w:rPr>
                <w:rFonts w:eastAsia="Calibri" w:cs="Arial"/>
                <w:b/>
                <w:bCs/>
                <w:color w:val="000000"/>
                <w:szCs w:val="20"/>
              </w:rPr>
              <w:t>Index – New Entry</w:t>
            </w:r>
          </w:p>
          <w:p w14:paraId="735CF7F3" w14:textId="5DEE6A0C" w:rsidR="00F52D24" w:rsidRPr="00F52D24" w:rsidRDefault="00217173" w:rsidP="00F52D24">
            <w:pPr>
              <w:spacing w:before="120"/>
              <w:rPr>
                <w:rFonts w:eastAsia="Calibri" w:cs="Arial"/>
                <w:b/>
                <w:bCs/>
                <w:color w:val="00B050"/>
                <w:szCs w:val="20"/>
                <w:u w:val="single"/>
              </w:rPr>
            </w:pPr>
            <w:r w:rsidRPr="00217173">
              <w:rPr>
                <w:rFonts w:eastAsia="Calibri" w:cs="Arial"/>
                <w:color w:val="00B050"/>
                <w:szCs w:val="20"/>
                <w:u w:val="single"/>
              </w:rPr>
              <w:t>BELANTAMAB MAFODOTIN</w:t>
            </w:r>
          </w:p>
          <w:p w14:paraId="50A11359" w14:textId="77777777" w:rsidR="00F52D24" w:rsidRPr="00F52D24" w:rsidRDefault="00F52D24" w:rsidP="00F52D24">
            <w:pPr>
              <w:spacing w:before="120"/>
              <w:rPr>
                <w:rFonts w:eastAsia="Calibri"/>
                <w:color w:val="00B050"/>
              </w:rPr>
            </w:pPr>
            <w:r w:rsidRPr="00F52D24">
              <w:rPr>
                <w:rFonts w:eastAsia="Calibri" w:cs="Arial"/>
                <w:color w:val="00B050"/>
                <w:szCs w:val="20"/>
                <w:u w:val="single"/>
              </w:rPr>
              <w:t>Schedule 4</w:t>
            </w:r>
          </w:p>
        </w:tc>
      </w:tr>
    </w:tbl>
    <w:p w14:paraId="757C89B4" w14:textId="4708BE33" w:rsidR="00E326D4" w:rsidRPr="00F52D24" w:rsidRDefault="00E326D4" w:rsidP="00E326D4">
      <w:pPr>
        <w:pStyle w:val="Heading3"/>
      </w:pPr>
      <w:bookmarkStart w:id="24" w:name="_Toc219385681"/>
      <w:r>
        <w:t>I</w:t>
      </w:r>
      <w:r w:rsidRPr="00E326D4">
        <w:t>MLUNESTRANT</w:t>
      </w:r>
      <w:bookmarkEnd w:id="24"/>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E326D4" w:rsidRPr="00F52D24" w14:paraId="599EB431" w14:textId="77777777" w:rsidTr="007F262A">
        <w:tc>
          <w:tcPr>
            <w:tcW w:w="8072" w:type="dxa"/>
            <w:tcBorders>
              <w:top w:val="single" w:sz="4" w:space="0" w:color="auto"/>
              <w:left w:val="single" w:sz="4" w:space="0" w:color="auto"/>
              <w:bottom w:val="single" w:sz="4" w:space="0" w:color="auto"/>
              <w:right w:val="single" w:sz="4" w:space="0" w:color="auto"/>
            </w:tcBorders>
            <w:hideMark/>
          </w:tcPr>
          <w:p w14:paraId="45BBA6FE" w14:textId="77777777" w:rsidR="00E326D4" w:rsidRPr="00F52D24" w:rsidRDefault="00E326D4" w:rsidP="007F262A">
            <w:pPr>
              <w:spacing w:before="120"/>
              <w:rPr>
                <w:rFonts w:eastAsia="Calibri" w:cs="Arial"/>
                <w:szCs w:val="20"/>
              </w:rPr>
            </w:pPr>
            <w:r w:rsidRPr="00F52D24">
              <w:rPr>
                <w:rFonts w:eastAsia="Calibri" w:cs="Arial"/>
                <w:b/>
                <w:bCs/>
                <w:color w:val="000000"/>
                <w:szCs w:val="20"/>
              </w:rPr>
              <w:t>Schedule 4 – New Entry</w:t>
            </w:r>
          </w:p>
          <w:p w14:paraId="4B0227A1" w14:textId="1DA76D00" w:rsidR="00E326D4" w:rsidRPr="00F52D24" w:rsidRDefault="00E326D4" w:rsidP="007F262A">
            <w:pPr>
              <w:spacing w:before="120"/>
              <w:rPr>
                <w:rFonts w:eastAsia="Calibri" w:cs="Arial"/>
                <w:color w:val="00B050"/>
                <w:szCs w:val="20"/>
                <w:u w:val="single"/>
              </w:rPr>
            </w:pPr>
            <w:r w:rsidRPr="00E326D4">
              <w:rPr>
                <w:rFonts w:eastAsia="Calibri" w:cs="Arial"/>
                <w:color w:val="00B050"/>
                <w:szCs w:val="20"/>
                <w:u w:val="single"/>
              </w:rPr>
              <w:t>IMLUNESTRANT</w:t>
            </w:r>
          </w:p>
          <w:p w14:paraId="2CB71EA9" w14:textId="77777777" w:rsidR="00E326D4" w:rsidRPr="00F52D24" w:rsidRDefault="00E326D4" w:rsidP="007F262A">
            <w:pPr>
              <w:spacing w:before="120"/>
              <w:rPr>
                <w:rFonts w:eastAsia="Calibri" w:cs="Arial"/>
                <w:szCs w:val="20"/>
              </w:rPr>
            </w:pPr>
            <w:r w:rsidRPr="00F52D24">
              <w:rPr>
                <w:rFonts w:eastAsia="Calibri" w:cs="Arial"/>
                <w:b/>
                <w:bCs/>
                <w:color w:val="000000"/>
                <w:szCs w:val="20"/>
              </w:rPr>
              <w:t>Index – New Entry</w:t>
            </w:r>
          </w:p>
          <w:p w14:paraId="082004B4" w14:textId="2E792323" w:rsidR="00E326D4" w:rsidRDefault="00E326D4" w:rsidP="007F262A">
            <w:pPr>
              <w:spacing w:before="120"/>
              <w:rPr>
                <w:rFonts w:eastAsia="Calibri" w:cs="Arial"/>
                <w:color w:val="00B050"/>
                <w:szCs w:val="20"/>
                <w:u w:val="single"/>
              </w:rPr>
            </w:pPr>
            <w:r w:rsidRPr="00E326D4">
              <w:rPr>
                <w:rFonts w:eastAsia="Calibri" w:cs="Arial"/>
                <w:color w:val="00B050"/>
                <w:szCs w:val="20"/>
                <w:u w:val="single"/>
              </w:rPr>
              <w:t>IMLUNESTRANT</w:t>
            </w:r>
          </w:p>
          <w:p w14:paraId="4F610F8F" w14:textId="77777777" w:rsidR="00E326D4" w:rsidRPr="00F52D24" w:rsidRDefault="00E326D4" w:rsidP="007F262A">
            <w:pPr>
              <w:spacing w:before="120"/>
              <w:rPr>
                <w:rFonts w:eastAsia="Calibri"/>
                <w:color w:val="00B050"/>
              </w:rPr>
            </w:pPr>
            <w:r w:rsidRPr="00F52D24">
              <w:rPr>
                <w:rFonts w:eastAsia="Calibri" w:cs="Arial"/>
                <w:color w:val="00B050"/>
                <w:szCs w:val="20"/>
                <w:u w:val="single"/>
              </w:rPr>
              <w:t>Schedule 4</w:t>
            </w:r>
          </w:p>
        </w:tc>
      </w:tr>
    </w:tbl>
    <w:p w14:paraId="5D3EC3F9" w14:textId="55E43D51" w:rsidR="00E326D4" w:rsidRPr="00F52D24" w:rsidRDefault="00E326D4" w:rsidP="00E326D4">
      <w:pPr>
        <w:pStyle w:val="Heading3"/>
      </w:pPr>
      <w:bookmarkStart w:id="25" w:name="_Toc219385682"/>
      <w:r w:rsidRPr="00E326D4">
        <w:t>LONCASTUXIMAB TESIRINE</w:t>
      </w:r>
      <w:bookmarkEnd w:id="25"/>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E326D4" w:rsidRPr="00F52D24" w14:paraId="4C7B487B" w14:textId="77777777" w:rsidTr="007F262A">
        <w:tc>
          <w:tcPr>
            <w:tcW w:w="8072" w:type="dxa"/>
            <w:tcBorders>
              <w:top w:val="single" w:sz="4" w:space="0" w:color="auto"/>
              <w:left w:val="single" w:sz="4" w:space="0" w:color="auto"/>
              <w:bottom w:val="single" w:sz="4" w:space="0" w:color="auto"/>
              <w:right w:val="single" w:sz="4" w:space="0" w:color="auto"/>
            </w:tcBorders>
            <w:hideMark/>
          </w:tcPr>
          <w:p w14:paraId="4BF116A6" w14:textId="77777777" w:rsidR="00E326D4" w:rsidRPr="00F52D24" w:rsidRDefault="00E326D4" w:rsidP="007F262A">
            <w:pPr>
              <w:spacing w:before="120"/>
              <w:rPr>
                <w:rFonts w:eastAsia="Calibri" w:cs="Arial"/>
                <w:szCs w:val="20"/>
              </w:rPr>
            </w:pPr>
            <w:r w:rsidRPr="00F52D24">
              <w:rPr>
                <w:rFonts w:eastAsia="Calibri" w:cs="Arial"/>
                <w:b/>
                <w:bCs/>
                <w:color w:val="000000"/>
                <w:szCs w:val="20"/>
              </w:rPr>
              <w:t>Schedule 4 – New Entry</w:t>
            </w:r>
          </w:p>
          <w:p w14:paraId="7AFECD6C" w14:textId="589E52B9" w:rsidR="00E326D4" w:rsidRPr="00F52D24" w:rsidRDefault="00E326D4" w:rsidP="007F262A">
            <w:pPr>
              <w:spacing w:before="120"/>
              <w:rPr>
                <w:rFonts w:eastAsia="Calibri" w:cs="Arial"/>
                <w:color w:val="00B050"/>
                <w:szCs w:val="20"/>
                <w:u w:val="single"/>
              </w:rPr>
            </w:pPr>
            <w:r w:rsidRPr="00E326D4">
              <w:rPr>
                <w:rFonts w:eastAsia="Calibri" w:cs="Arial"/>
                <w:color w:val="00B050"/>
                <w:szCs w:val="20"/>
                <w:u w:val="single"/>
              </w:rPr>
              <w:t>LONCASTUXIMAB TESIRINE</w:t>
            </w:r>
          </w:p>
          <w:p w14:paraId="1C1B9063" w14:textId="77777777" w:rsidR="00E326D4" w:rsidRPr="00F52D24" w:rsidRDefault="00E326D4" w:rsidP="007F262A">
            <w:pPr>
              <w:spacing w:before="120"/>
              <w:rPr>
                <w:rFonts w:eastAsia="Calibri" w:cs="Arial"/>
                <w:szCs w:val="20"/>
              </w:rPr>
            </w:pPr>
            <w:r w:rsidRPr="00F52D24">
              <w:rPr>
                <w:rFonts w:eastAsia="Calibri" w:cs="Arial"/>
                <w:b/>
                <w:bCs/>
                <w:color w:val="000000"/>
                <w:szCs w:val="20"/>
              </w:rPr>
              <w:t>Index – New Entry</w:t>
            </w:r>
          </w:p>
          <w:p w14:paraId="62941C6F" w14:textId="77777777" w:rsidR="00E326D4" w:rsidRDefault="00E326D4" w:rsidP="007F262A">
            <w:pPr>
              <w:spacing w:before="120"/>
              <w:rPr>
                <w:rFonts w:eastAsia="Calibri" w:cs="Arial"/>
                <w:color w:val="00B050"/>
                <w:szCs w:val="20"/>
                <w:u w:val="single"/>
              </w:rPr>
            </w:pPr>
            <w:r w:rsidRPr="00E326D4">
              <w:rPr>
                <w:rFonts w:eastAsia="Calibri" w:cs="Arial"/>
                <w:color w:val="00B050"/>
                <w:szCs w:val="20"/>
                <w:u w:val="single"/>
              </w:rPr>
              <w:t>LONCASTUXIMAB TESIRINE</w:t>
            </w:r>
          </w:p>
          <w:p w14:paraId="683175A6" w14:textId="44754991" w:rsidR="00E326D4" w:rsidRPr="00F52D24" w:rsidRDefault="00E326D4" w:rsidP="007F262A">
            <w:pPr>
              <w:spacing w:before="120"/>
              <w:rPr>
                <w:rFonts w:eastAsia="Calibri"/>
                <w:color w:val="00B050"/>
              </w:rPr>
            </w:pPr>
            <w:r w:rsidRPr="00F52D24">
              <w:rPr>
                <w:rFonts w:eastAsia="Calibri" w:cs="Arial"/>
                <w:color w:val="00B050"/>
                <w:szCs w:val="20"/>
                <w:u w:val="single"/>
              </w:rPr>
              <w:t>Schedule 4</w:t>
            </w:r>
          </w:p>
        </w:tc>
      </w:tr>
    </w:tbl>
    <w:p w14:paraId="0E3CDDF7" w14:textId="5EA43A08" w:rsidR="00217173" w:rsidRPr="00F52D24" w:rsidRDefault="00217173" w:rsidP="00217173">
      <w:pPr>
        <w:pStyle w:val="Heading3"/>
      </w:pPr>
      <w:bookmarkStart w:id="26" w:name="_Toc219385683"/>
      <w:r w:rsidRPr="00217173">
        <w:t>MIRVETUXIMAB SORAVTANSINE</w:t>
      </w:r>
      <w:bookmarkEnd w:id="26"/>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217173" w:rsidRPr="00F52D24" w14:paraId="2F8CD19F" w14:textId="77777777" w:rsidTr="007F262A">
        <w:tc>
          <w:tcPr>
            <w:tcW w:w="8072" w:type="dxa"/>
            <w:tcBorders>
              <w:top w:val="single" w:sz="4" w:space="0" w:color="auto"/>
              <w:left w:val="single" w:sz="4" w:space="0" w:color="auto"/>
              <w:bottom w:val="single" w:sz="4" w:space="0" w:color="auto"/>
              <w:right w:val="single" w:sz="4" w:space="0" w:color="auto"/>
            </w:tcBorders>
            <w:hideMark/>
          </w:tcPr>
          <w:p w14:paraId="501C0F0B" w14:textId="77777777" w:rsidR="00217173" w:rsidRPr="00F52D24" w:rsidRDefault="00217173" w:rsidP="007F262A">
            <w:pPr>
              <w:spacing w:before="120"/>
              <w:rPr>
                <w:rFonts w:eastAsia="Calibri" w:cs="Arial"/>
                <w:szCs w:val="20"/>
              </w:rPr>
            </w:pPr>
            <w:r w:rsidRPr="00F52D24">
              <w:rPr>
                <w:rFonts w:eastAsia="Calibri" w:cs="Arial"/>
                <w:b/>
                <w:bCs/>
                <w:color w:val="000000"/>
                <w:szCs w:val="20"/>
              </w:rPr>
              <w:t>Schedule 4 – New Entry</w:t>
            </w:r>
          </w:p>
          <w:p w14:paraId="5F79E951" w14:textId="03A95EE2" w:rsidR="00217173" w:rsidRPr="00F52D24" w:rsidRDefault="00217173" w:rsidP="007F262A">
            <w:pPr>
              <w:spacing w:before="120"/>
              <w:rPr>
                <w:rFonts w:eastAsia="Calibri" w:cs="Arial"/>
                <w:color w:val="00B050"/>
                <w:szCs w:val="20"/>
                <w:u w:val="single"/>
              </w:rPr>
            </w:pPr>
            <w:r w:rsidRPr="00217173">
              <w:rPr>
                <w:rFonts w:eastAsia="Calibri" w:cs="Arial"/>
                <w:color w:val="00B050"/>
                <w:szCs w:val="20"/>
                <w:u w:val="single"/>
              </w:rPr>
              <w:t>MIRVETUXIMAB SORAVTANSINE</w:t>
            </w:r>
          </w:p>
          <w:p w14:paraId="62F8BDD6" w14:textId="77777777" w:rsidR="00217173" w:rsidRPr="00F52D24" w:rsidRDefault="00217173" w:rsidP="007F262A">
            <w:pPr>
              <w:spacing w:before="120"/>
              <w:rPr>
                <w:rFonts w:eastAsia="Calibri" w:cs="Arial"/>
                <w:szCs w:val="20"/>
              </w:rPr>
            </w:pPr>
            <w:r w:rsidRPr="00F52D24">
              <w:rPr>
                <w:rFonts w:eastAsia="Calibri" w:cs="Arial"/>
                <w:b/>
                <w:bCs/>
                <w:color w:val="000000"/>
                <w:szCs w:val="20"/>
              </w:rPr>
              <w:t>Index – New Entry</w:t>
            </w:r>
          </w:p>
          <w:p w14:paraId="7B97ACC8" w14:textId="739EBEE4" w:rsidR="00217173" w:rsidRPr="00F52D24" w:rsidRDefault="00217173" w:rsidP="007F262A">
            <w:pPr>
              <w:spacing w:before="120"/>
              <w:rPr>
                <w:rFonts w:eastAsia="Calibri" w:cs="Arial"/>
                <w:b/>
                <w:bCs/>
                <w:color w:val="00B050"/>
                <w:szCs w:val="20"/>
                <w:u w:val="single"/>
              </w:rPr>
            </w:pPr>
            <w:r w:rsidRPr="00217173">
              <w:rPr>
                <w:rFonts w:eastAsia="Calibri" w:cs="Arial"/>
                <w:color w:val="00B050"/>
                <w:szCs w:val="20"/>
                <w:u w:val="single"/>
              </w:rPr>
              <w:t>MIRVETUXIMAB SORAVTANSINE</w:t>
            </w:r>
          </w:p>
          <w:p w14:paraId="04CC6008" w14:textId="77777777" w:rsidR="00217173" w:rsidRPr="00F52D24" w:rsidRDefault="00217173" w:rsidP="007F262A">
            <w:pPr>
              <w:spacing w:before="120"/>
              <w:rPr>
                <w:rFonts w:eastAsia="Calibri"/>
                <w:color w:val="00B050"/>
              </w:rPr>
            </w:pPr>
            <w:r w:rsidRPr="00F52D24">
              <w:rPr>
                <w:rFonts w:eastAsia="Calibri" w:cs="Arial"/>
                <w:color w:val="00B050"/>
                <w:szCs w:val="20"/>
                <w:u w:val="single"/>
              </w:rPr>
              <w:t>Schedule 4</w:t>
            </w:r>
          </w:p>
        </w:tc>
      </w:tr>
    </w:tbl>
    <w:p w14:paraId="34EEB1EA" w14:textId="18D0363B" w:rsidR="00217173" w:rsidRPr="00F52D24" w:rsidRDefault="00217173" w:rsidP="00217173">
      <w:pPr>
        <w:pStyle w:val="Heading3"/>
      </w:pPr>
      <w:bookmarkStart w:id="27" w:name="_Toc219385684"/>
      <w:r w:rsidRPr="00217173">
        <w:t>SODIUM THIOSULFATE ANHYDROUS</w:t>
      </w:r>
      <w:bookmarkEnd w:id="27"/>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217173" w:rsidRPr="00F52D24" w14:paraId="66240783" w14:textId="77777777" w:rsidTr="007F262A">
        <w:tc>
          <w:tcPr>
            <w:tcW w:w="8072" w:type="dxa"/>
            <w:tcBorders>
              <w:top w:val="single" w:sz="4" w:space="0" w:color="auto"/>
              <w:left w:val="single" w:sz="4" w:space="0" w:color="auto"/>
              <w:bottom w:val="single" w:sz="4" w:space="0" w:color="auto"/>
              <w:right w:val="single" w:sz="4" w:space="0" w:color="auto"/>
            </w:tcBorders>
            <w:hideMark/>
          </w:tcPr>
          <w:p w14:paraId="442C402A" w14:textId="77777777" w:rsidR="00217173" w:rsidRPr="00F52D24" w:rsidRDefault="00217173" w:rsidP="007F262A">
            <w:pPr>
              <w:spacing w:before="120"/>
              <w:rPr>
                <w:rFonts w:eastAsia="Calibri" w:cs="Arial"/>
                <w:szCs w:val="20"/>
              </w:rPr>
            </w:pPr>
            <w:r w:rsidRPr="00F52D24">
              <w:rPr>
                <w:rFonts w:eastAsia="Calibri" w:cs="Arial"/>
                <w:b/>
                <w:bCs/>
                <w:color w:val="000000"/>
                <w:szCs w:val="20"/>
              </w:rPr>
              <w:t>Schedule 4 – New Entry</w:t>
            </w:r>
          </w:p>
          <w:p w14:paraId="70A66325" w14:textId="427DF076" w:rsidR="00217173" w:rsidRPr="00F52D24" w:rsidRDefault="00217173" w:rsidP="007F262A">
            <w:pPr>
              <w:spacing w:before="120"/>
              <w:rPr>
                <w:rFonts w:eastAsia="Calibri" w:cs="Arial"/>
                <w:color w:val="00B050"/>
                <w:szCs w:val="20"/>
                <w:u w:val="single"/>
              </w:rPr>
            </w:pPr>
            <w:r w:rsidRPr="00217173">
              <w:rPr>
                <w:rFonts w:eastAsia="Calibri" w:cs="Arial"/>
                <w:color w:val="00B050"/>
                <w:szCs w:val="20"/>
                <w:u w:val="single"/>
              </w:rPr>
              <w:lastRenderedPageBreak/>
              <w:t>SODIUM THIOSULFATE ANHYDROUS</w:t>
            </w:r>
            <w:r w:rsidR="00E326D4">
              <w:rPr>
                <w:rFonts w:eastAsia="Calibri" w:cs="Arial"/>
                <w:color w:val="00B050"/>
                <w:szCs w:val="20"/>
                <w:u w:val="single"/>
              </w:rPr>
              <w:t xml:space="preserve"> </w:t>
            </w:r>
            <w:r w:rsidR="00E326D4" w:rsidRPr="00E326D4">
              <w:rPr>
                <w:rFonts w:eastAsia="Calibri" w:cs="Arial"/>
                <w:color w:val="00B050"/>
                <w:szCs w:val="20"/>
                <w:u w:val="single"/>
              </w:rPr>
              <w:t>for human therapeutic use in preparations for injection</w:t>
            </w:r>
          </w:p>
          <w:p w14:paraId="3A36851E" w14:textId="77777777" w:rsidR="00217173" w:rsidRPr="00F52D24" w:rsidRDefault="00217173" w:rsidP="007F262A">
            <w:pPr>
              <w:spacing w:before="120"/>
              <w:rPr>
                <w:rFonts w:eastAsia="Calibri" w:cs="Arial"/>
                <w:szCs w:val="20"/>
              </w:rPr>
            </w:pPr>
            <w:r w:rsidRPr="00F52D24">
              <w:rPr>
                <w:rFonts w:eastAsia="Calibri" w:cs="Arial"/>
                <w:b/>
                <w:bCs/>
                <w:color w:val="000000"/>
                <w:szCs w:val="20"/>
              </w:rPr>
              <w:t>Index – New Entry</w:t>
            </w:r>
          </w:p>
          <w:p w14:paraId="589DA158" w14:textId="0910CE6E" w:rsidR="00217173" w:rsidRPr="00F52D24" w:rsidRDefault="00217173" w:rsidP="007F262A">
            <w:pPr>
              <w:spacing w:before="120"/>
              <w:rPr>
                <w:rFonts w:eastAsia="Calibri" w:cs="Arial"/>
                <w:b/>
                <w:bCs/>
                <w:color w:val="00B050"/>
                <w:szCs w:val="20"/>
                <w:u w:val="single"/>
              </w:rPr>
            </w:pPr>
            <w:r w:rsidRPr="00217173">
              <w:rPr>
                <w:rFonts w:eastAsia="Calibri" w:cs="Arial"/>
                <w:color w:val="00B050"/>
                <w:szCs w:val="20"/>
                <w:u w:val="single"/>
              </w:rPr>
              <w:t>SODIUM THIOSULFATE ANHYDROUS</w:t>
            </w:r>
          </w:p>
          <w:p w14:paraId="324397D1" w14:textId="77777777" w:rsidR="00217173" w:rsidRPr="00F52D24" w:rsidRDefault="00217173" w:rsidP="007F262A">
            <w:pPr>
              <w:spacing w:before="120"/>
              <w:rPr>
                <w:rFonts w:eastAsia="Calibri"/>
                <w:color w:val="00B050"/>
              </w:rPr>
            </w:pPr>
            <w:r w:rsidRPr="00F52D24">
              <w:rPr>
                <w:rFonts w:eastAsia="Calibri" w:cs="Arial"/>
                <w:color w:val="00B050"/>
                <w:szCs w:val="20"/>
                <w:u w:val="single"/>
              </w:rPr>
              <w:t>Schedule 4</w:t>
            </w:r>
          </w:p>
        </w:tc>
      </w:tr>
    </w:tbl>
    <w:p w14:paraId="3B4C0465" w14:textId="396E6578" w:rsidR="00E326D4" w:rsidRPr="00F52D24" w:rsidRDefault="00E326D4" w:rsidP="00E326D4">
      <w:pPr>
        <w:pStyle w:val="Heading3"/>
      </w:pPr>
      <w:bookmarkStart w:id="28" w:name="_Toc219385685"/>
      <w:r>
        <w:lastRenderedPageBreak/>
        <w:t>T</w:t>
      </w:r>
      <w:r w:rsidRPr="00E326D4">
        <w:t>OFERSEN</w:t>
      </w:r>
      <w:bookmarkEnd w:id="28"/>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E326D4" w:rsidRPr="00F52D24" w14:paraId="58F51400" w14:textId="77777777" w:rsidTr="007F262A">
        <w:tc>
          <w:tcPr>
            <w:tcW w:w="8072" w:type="dxa"/>
            <w:tcBorders>
              <w:top w:val="single" w:sz="4" w:space="0" w:color="auto"/>
              <w:left w:val="single" w:sz="4" w:space="0" w:color="auto"/>
              <w:bottom w:val="single" w:sz="4" w:space="0" w:color="auto"/>
              <w:right w:val="single" w:sz="4" w:space="0" w:color="auto"/>
            </w:tcBorders>
            <w:hideMark/>
          </w:tcPr>
          <w:p w14:paraId="6E517ADE" w14:textId="77777777" w:rsidR="00E326D4" w:rsidRPr="00F52D24" w:rsidRDefault="00E326D4" w:rsidP="007F262A">
            <w:pPr>
              <w:spacing w:before="120"/>
              <w:rPr>
                <w:rFonts w:eastAsia="Calibri" w:cs="Arial"/>
                <w:szCs w:val="20"/>
              </w:rPr>
            </w:pPr>
            <w:r w:rsidRPr="00F52D24">
              <w:rPr>
                <w:rFonts w:eastAsia="Calibri" w:cs="Arial"/>
                <w:b/>
                <w:bCs/>
                <w:color w:val="000000"/>
                <w:szCs w:val="20"/>
              </w:rPr>
              <w:t>Schedule 4 – New Entry</w:t>
            </w:r>
          </w:p>
          <w:p w14:paraId="46E3913B" w14:textId="4FDAA431" w:rsidR="00E326D4" w:rsidRPr="00F52D24" w:rsidRDefault="00E326D4" w:rsidP="007F262A">
            <w:pPr>
              <w:spacing w:before="120"/>
              <w:rPr>
                <w:rFonts w:eastAsia="Calibri" w:cs="Arial"/>
                <w:color w:val="00B050"/>
                <w:szCs w:val="20"/>
                <w:u w:val="single"/>
              </w:rPr>
            </w:pPr>
            <w:r w:rsidRPr="00E326D4">
              <w:rPr>
                <w:rFonts w:eastAsia="Calibri" w:cs="Arial"/>
                <w:color w:val="00B050"/>
                <w:szCs w:val="20"/>
                <w:u w:val="single"/>
              </w:rPr>
              <w:t>TOFERSEN</w:t>
            </w:r>
          </w:p>
          <w:p w14:paraId="23476492" w14:textId="77777777" w:rsidR="00E326D4" w:rsidRPr="00F52D24" w:rsidRDefault="00E326D4" w:rsidP="007F262A">
            <w:pPr>
              <w:spacing w:before="120"/>
              <w:rPr>
                <w:rFonts w:eastAsia="Calibri" w:cs="Arial"/>
                <w:szCs w:val="20"/>
              </w:rPr>
            </w:pPr>
            <w:r w:rsidRPr="00F52D24">
              <w:rPr>
                <w:rFonts w:eastAsia="Calibri" w:cs="Arial"/>
                <w:b/>
                <w:bCs/>
                <w:color w:val="000000"/>
                <w:szCs w:val="20"/>
              </w:rPr>
              <w:t>Index – New Entry</w:t>
            </w:r>
          </w:p>
          <w:p w14:paraId="04E9EA3E" w14:textId="67E3600B" w:rsidR="00E326D4" w:rsidRPr="00F52D24" w:rsidRDefault="00E326D4" w:rsidP="007F262A">
            <w:pPr>
              <w:spacing w:before="120"/>
              <w:rPr>
                <w:rFonts w:eastAsia="Calibri" w:cs="Arial"/>
                <w:b/>
                <w:bCs/>
                <w:color w:val="00B050"/>
                <w:szCs w:val="20"/>
                <w:u w:val="single"/>
              </w:rPr>
            </w:pPr>
            <w:r w:rsidRPr="00E326D4">
              <w:rPr>
                <w:rFonts w:eastAsia="Calibri" w:cs="Arial"/>
                <w:color w:val="00B050"/>
                <w:szCs w:val="20"/>
                <w:u w:val="single"/>
              </w:rPr>
              <w:t>TOFERSEN</w:t>
            </w:r>
          </w:p>
          <w:p w14:paraId="1CCBFEA7" w14:textId="77777777" w:rsidR="00E326D4" w:rsidRPr="00F52D24" w:rsidRDefault="00E326D4" w:rsidP="007F262A">
            <w:pPr>
              <w:spacing w:before="120"/>
              <w:rPr>
                <w:rFonts w:eastAsia="Calibri"/>
                <w:color w:val="00B050"/>
              </w:rPr>
            </w:pPr>
            <w:r w:rsidRPr="00F52D24">
              <w:rPr>
                <w:rFonts w:eastAsia="Calibri" w:cs="Arial"/>
                <w:color w:val="00B050"/>
                <w:szCs w:val="20"/>
                <w:u w:val="single"/>
              </w:rPr>
              <w:t>Schedule 4</w:t>
            </w:r>
          </w:p>
        </w:tc>
      </w:tr>
    </w:tbl>
    <w:p w14:paraId="1C7DEDBF" w14:textId="6E6BE963" w:rsidR="00E326D4" w:rsidRPr="00F52D24" w:rsidRDefault="00E326D4" w:rsidP="00967490">
      <w:pPr>
        <w:rPr>
          <w:rFonts w:cs="Arial"/>
        </w:rPr>
        <w:sectPr w:rsidR="00E326D4" w:rsidRPr="00F52D24" w:rsidSect="00437DCC">
          <w:headerReference w:type="default" r:id="rId26"/>
          <w:footerReference w:type="default" r:id="rId2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28" w:history="1">
              <w:r w:rsidRPr="00215D48">
                <w:rPr>
                  <w:rStyle w:val="Hyperlink"/>
                </w:rPr>
                <w:t>info@tga.gov.au</w:t>
              </w:r>
            </w:hyperlink>
            <w:r w:rsidRPr="00215D48">
              <w:t xml:space="preserve">  </w:t>
            </w:r>
            <w:r w:rsidRPr="005E3E9A">
              <w:rPr>
                <w:color w:val="auto"/>
              </w:rPr>
              <w:t>Phone: 1800 020 653  Fax: 02 6203 1605</w:t>
            </w:r>
          </w:p>
          <w:p w14:paraId="49F7061A" w14:textId="77777777" w:rsidR="00F02AEC" w:rsidRPr="00215D48" w:rsidRDefault="00F02AEC" w:rsidP="00300CBB">
            <w:pPr>
              <w:pStyle w:val="Address"/>
              <w:jc w:val="center"/>
              <w:rPr>
                <w:rStyle w:val="Hyperlink"/>
                <w:b/>
                <w:color w:val="auto"/>
                <w:sz w:val="22"/>
              </w:rPr>
            </w:pPr>
            <w:hyperlink r:id="rId29" w:history="1">
              <w:r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15628B" w:rsidRDefault="0015628B" w:rsidP="00967490"/>
    <w:sectPr w:rsidR="0015628B" w:rsidSect="00AE7C6A">
      <w:headerReference w:type="first" r:id="rId30"/>
      <w:footerReference w:type="first" r:id="rId3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4F91" w14:textId="77777777" w:rsidR="008F4AB4" w:rsidRDefault="008F4AB4" w:rsidP="00967490">
      <w:r>
        <w:separator/>
      </w:r>
    </w:p>
    <w:p w14:paraId="65333AC6" w14:textId="77777777" w:rsidR="008F4AB4" w:rsidRDefault="008F4AB4" w:rsidP="00967490"/>
    <w:p w14:paraId="7962BA9B" w14:textId="77777777" w:rsidR="008F4AB4" w:rsidRDefault="008F4AB4" w:rsidP="00967490"/>
  </w:endnote>
  <w:endnote w:type="continuationSeparator" w:id="0">
    <w:p w14:paraId="512B7EC8" w14:textId="77777777" w:rsidR="008F4AB4" w:rsidRDefault="008F4AB4" w:rsidP="00967490">
      <w:r>
        <w:continuationSeparator/>
      </w:r>
    </w:p>
    <w:p w14:paraId="0CABA89C" w14:textId="77777777" w:rsidR="008F4AB4" w:rsidRDefault="008F4AB4" w:rsidP="00967490"/>
    <w:p w14:paraId="30701601" w14:textId="77777777" w:rsidR="008F4AB4" w:rsidRDefault="008F4AB4"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3D5A" w14:textId="66D3D99D" w:rsidR="00D57B35" w:rsidRDefault="00D57B35">
    <w:pPr>
      <w:pStyle w:val="Footer"/>
    </w:pPr>
    <w:r>
      <w:rPr>
        <w:noProof/>
      </w:rPr>
      <mc:AlternateContent>
        <mc:Choice Requires="wps">
          <w:drawing>
            <wp:anchor distT="0" distB="0" distL="0" distR="0" simplePos="0" relativeHeight="251668480" behindDoc="0" locked="0" layoutInCell="1" allowOverlap="1" wp14:anchorId="6850575D" wp14:editId="469BD759">
              <wp:simplePos x="635" y="635"/>
              <wp:positionH relativeFrom="page">
                <wp:align>center</wp:align>
              </wp:positionH>
              <wp:positionV relativeFrom="page">
                <wp:align>bottom</wp:align>
              </wp:positionV>
              <wp:extent cx="622300" cy="391160"/>
              <wp:effectExtent l="0" t="0" r="6350" b="0"/>
              <wp:wrapNone/>
              <wp:docPr id="845812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3B5539D" w14:textId="4E557883" w:rsidR="00D57B35" w:rsidRPr="00D57B35" w:rsidRDefault="00D57B35" w:rsidP="00D57B35">
                          <w:pPr>
                            <w:spacing w:after="0"/>
                            <w:rPr>
                              <w:rFonts w:ascii="Aptos" w:eastAsia="Aptos" w:hAnsi="Aptos" w:cs="Aptos"/>
                              <w:noProof/>
                              <w:color w:val="FF0000"/>
                              <w:sz w:val="24"/>
                              <w:szCs w:val="24"/>
                            </w:rPr>
                          </w:pPr>
                          <w:r w:rsidRPr="00D57B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0575D"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3B5539D" w14:textId="4E557883" w:rsidR="00D57B35" w:rsidRPr="00D57B35" w:rsidRDefault="00D57B35" w:rsidP="00D57B35">
                    <w:pPr>
                      <w:spacing w:after="0"/>
                      <w:rPr>
                        <w:rFonts w:ascii="Aptos" w:eastAsia="Aptos" w:hAnsi="Aptos" w:cs="Aptos"/>
                        <w:noProof/>
                        <w:color w:val="FF0000"/>
                        <w:sz w:val="24"/>
                        <w:szCs w:val="24"/>
                      </w:rPr>
                    </w:pPr>
                    <w:r w:rsidRPr="00D57B3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3D99EAFC" w:rsidR="00F02AEC" w:rsidRDefault="00D57B35" w:rsidP="00967490">
          <w:pPr>
            <w:pStyle w:val="Footer"/>
          </w:pPr>
          <w:r>
            <w:rPr>
              <w:noProof/>
            </w:rPr>
            <mc:AlternateContent>
              <mc:Choice Requires="wps">
                <w:drawing>
                  <wp:anchor distT="0" distB="0" distL="0" distR="0" simplePos="0" relativeHeight="251669504" behindDoc="0" locked="0" layoutInCell="1" allowOverlap="1" wp14:anchorId="54D89C63" wp14:editId="43EE21C6">
                    <wp:simplePos x="635" y="635"/>
                    <wp:positionH relativeFrom="page">
                      <wp:align>center</wp:align>
                    </wp:positionH>
                    <wp:positionV relativeFrom="page">
                      <wp:align>bottom</wp:align>
                    </wp:positionV>
                    <wp:extent cx="622300" cy="391160"/>
                    <wp:effectExtent l="0" t="0" r="6350" b="0"/>
                    <wp:wrapNone/>
                    <wp:docPr id="152345954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99A286C" w14:textId="6A0D9CC3" w:rsidR="00D57B35" w:rsidRPr="00D57B35" w:rsidRDefault="00D57B35" w:rsidP="00D57B35">
                                <w:pPr>
                                  <w:spacing w:after="0"/>
                                  <w:rPr>
                                    <w:rFonts w:ascii="Aptos" w:eastAsia="Aptos" w:hAnsi="Aptos" w:cs="Aptos"/>
                                    <w:noProof/>
                                    <w:color w:val="FF0000"/>
                                    <w:sz w:val="24"/>
                                    <w:szCs w:val="24"/>
                                  </w:rPr>
                                </w:pPr>
                                <w:r w:rsidRPr="00D57B3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89C63"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399A286C" w14:textId="6A0D9CC3" w:rsidR="00D57B35" w:rsidRPr="00D57B35" w:rsidRDefault="00D57B35" w:rsidP="00D57B35">
                          <w:pPr>
                            <w:spacing w:after="0"/>
                            <w:rPr>
                              <w:rFonts w:ascii="Aptos" w:eastAsia="Aptos" w:hAnsi="Aptos" w:cs="Aptos"/>
                              <w:noProof/>
                              <w:color w:val="FF0000"/>
                              <w:sz w:val="24"/>
                              <w:szCs w:val="24"/>
                            </w:rPr>
                          </w:pPr>
                          <w:r w:rsidRPr="00D57B35">
                            <w:rPr>
                              <w:rFonts w:ascii="Aptos" w:eastAsia="Aptos" w:hAnsi="Aptos" w:cs="Aptos"/>
                              <w:noProof/>
                              <w:color w:val="FF0000"/>
                              <w:sz w:val="24"/>
                              <w:szCs w:val="24"/>
                            </w:rPr>
                            <w:t>OFFICIAL</w:t>
                          </w:r>
                        </w:p>
                      </w:txbxContent>
                    </v:textbox>
                    <w10:wrap anchorx="page" anchory="page"/>
                  </v:shape>
                </w:pict>
              </mc:Fallback>
            </mc:AlternateContent>
          </w: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2A3F" w14:textId="3B5337F8" w:rsidR="00F02AEC" w:rsidRDefault="00F02AEC" w:rsidP="00967490">
    <w:pPr>
      <w:pStyle w:val="Footer"/>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5FF3321B" w14:textId="1A4691E0" w:rsidR="00F02AEC" w:rsidRPr="00D911C8" w:rsidRDefault="00AC6716" w:rsidP="00DE78C9">
          <w:pPr>
            <w:ind w:left="-110"/>
            <w:rPr>
              <w:rFonts w:cs="Arial"/>
              <w:sz w:val="16"/>
              <w:szCs w:val="16"/>
            </w:rPr>
          </w:pPr>
          <w:r w:rsidRPr="00D911C8">
            <w:rPr>
              <w:rFonts w:cs="Arial"/>
              <w:sz w:val="16"/>
              <w:szCs w:val="16"/>
            </w:rPr>
            <w:t xml:space="preserve">Notice of final </w:t>
          </w:r>
          <w:r w:rsidR="00B63FDD" w:rsidRPr="00B63FDD">
            <w:rPr>
              <w:rFonts w:cs="Arial"/>
              <w:sz w:val="16"/>
              <w:szCs w:val="16"/>
            </w:rPr>
            <w:t>decisions to amend (or not amend) the current Poisons Standard</w:t>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1125295C" w:rsidR="00F02AEC" w:rsidRPr="00DE78C9" w:rsidRDefault="00F02AEC" w:rsidP="00DE78C9">
    <w:pPr>
      <w:rPr>
        <w:rFonts w:cstheme="minorHAns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615D470F" w:rsidR="0015628B" w:rsidRPr="008E3C43" w:rsidRDefault="0015628B"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5EFD" w14:textId="77777777" w:rsidR="008F4AB4" w:rsidRDefault="008F4AB4" w:rsidP="00967490">
      <w:r>
        <w:separator/>
      </w:r>
    </w:p>
  </w:footnote>
  <w:footnote w:type="continuationSeparator" w:id="0">
    <w:p w14:paraId="6F619DD8" w14:textId="77777777" w:rsidR="008F4AB4" w:rsidRDefault="008F4AB4" w:rsidP="00967490">
      <w:r>
        <w:continuationSeparator/>
      </w:r>
    </w:p>
    <w:p w14:paraId="0EF147D4" w14:textId="77777777" w:rsidR="008F4AB4" w:rsidRDefault="008F4AB4" w:rsidP="00967490"/>
    <w:p w14:paraId="595D5A45" w14:textId="77777777" w:rsidR="008F4AB4" w:rsidRDefault="008F4AB4" w:rsidP="00967490"/>
  </w:footnote>
  <w:footnote w:id="1">
    <w:p w14:paraId="799494EA" w14:textId="77777777"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w:t>
      </w:r>
      <w:r w:rsidRPr="00734C03">
        <w:rPr>
          <w:rFonts w:cs="Arial"/>
          <w:sz w:val="16"/>
          <w:szCs w:val="16"/>
        </w:rPr>
        <w:t xml:space="preserve">For the purposes of s 52D of the </w:t>
      </w:r>
      <w:r w:rsidRPr="00734C03">
        <w:rPr>
          <w:rFonts w:cs="Arial"/>
          <w:i/>
          <w:iCs/>
          <w:sz w:val="16"/>
          <w:szCs w:val="16"/>
        </w:rPr>
        <w:t>Therapeutic Goods Act 1989</w:t>
      </w:r>
      <w:r w:rsidRPr="00734C03">
        <w:rPr>
          <w:rFonts w:cs="Arial"/>
          <w:sz w:val="16"/>
          <w:szCs w:val="16"/>
        </w:rPr>
        <w:t xml:space="preserve"> (Cth).</w:t>
      </w:r>
      <w:r w:rsidRPr="006119D9">
        <w:rPr>
          <w:rFonts w:asciiTheme="minorHAnsi" w:hAnsiTheme="minorHAnsi" w:cstheme="minorHAnsi"/>
          <w:sz w:val="18"/>
          <w:szCs w:val="18"/>
        </w:rPr>
        <w:t xml:space="preserve"> </w:t>
      </w:r>
    </w:p>
  </w:footnote>
  <w:footnote w:id="2">
    <w:p w14:paraId="592B6558" w14:textId="77777777" w:rsidR="00595BA4" w:rsidRDefault="00595BA4" w:rsidP="00595BA4">
      <w:pPr>
        <w:pStyle w:val="FootnoteText"/>
      </w:pPr>
      <w:r w:rsidRPr="00D46C00">
        <w:rPr>
          <w:rFonts w:cs="Arial"/>
          <w:color w:val="000000" w:themeColor="text1"/>
          <w:sz w:val="16"/>
          <w:szCs w:val="16"/>
        </w:rPr>
        <w:footnoteRef/>
      </w:r>
      <w:r>
        <w:rPr>
          <w:rFonts w:cs="Arial"/>
          <w:color w:val="000000" w:themeColor="text1"/>
          <w:sz w:val="16"/>
          <w:szCs w:val="16"/>
        </w:rPr>
        <w:t xml:space="preserve"> </w:t>
      </w:r>
      <w:r w:rsidRPr="00D46C00">
        <w:rPr>
          <w:rFonts w:cs="Arial"/>
          <w:color w:val="000000" w:themeColor="text1"/>
          <w:sz w:val="16"/>
          <w:szCs w:val="16"/>
        </w:rPr>
        <w:t>Proposed additions are shown in green underlined font, proposed deletions are shown in red strikethrough font, and text without this formatting represents the current text in the Poisons Standard.</w:t>
      </w:r>
    </w:p>
  </w:footnote>
  <w:footnote w:id="3">
    <w:p w14:paraId="70DBD794" w14:textId="77777777" w:rsidR="00595BA4" w:rsidRPr="00FB450B" w:rsidRDefault="00595BA4" w:rsidP="00595BA4">
      <w:pPr>
        <w:pStyle w:val="FootnoteText"/>
        <w:rPr>
          <w:sz w:val="16"/>
          <w:szCs w:val="16"/>
        </w:rPr>
      </w:pPr>
      <w:r w:rsidRPr="00FB450B">
        <w:rPr>
          <w:rStyle w:val="FootnoteReference"/>
          <w:sz w:val="16"/>
          <w:szCs w:val="16"/>
        </w:rPr>
        <w:footnoteRef/>
      </w:r>
      <w:r w:rsidRPr="00FB450B">
        <w:rPr>
          <w:sz w:val="16"/>
          <w:szCs w:val="16"/>
        </w:rPr>
        <w:t xml:space="preserve"> Palmer JA, </w:t>
      </w:r>
      <w:r>
        <w:rPr>
          <w:sz w:val="16"/>
          <w:szCs w:val="16"/>
        </w:rPr>
        <w:t xml:space="preserve">Smith AM, </w:t>
      </w:r>
      <w:r>
        <w:rPr>
          <w:sz w:val="16"/>
          <w:szCs w:val="16"/>
        </w:rPr>
        <w:t xml:space="preserve">Egnash LA, Colwell MR, Donley ELR, Kirchner FR, Burrier RE (2017). A human induced pluripotent stem cell-based </w:t>
      </w:r>
      <w:r w:rsidRPr="00FB450B">
        <w:rPr>
          <w:i/>
          <w:iCs/>
          <w:sz w:val="16"/>
          <w:szCs w:val="16"/>
        </w:rPr>
        <w:t xml:space="preserve">in vitro </w:t>
      </w:r>
      <w:r>
        <w:rPr>
          <w:sz w:val="16"/>
          <w:szCs w:val="16"/>
        </w:rPr>
        <w:t>assay predicts developmental toxicity through a retinoic acid receptor-mediated pathway for a series of related retinoid analogues. Repro Toxicol 73:350-361.</w:t>
      </w:r>
    </w:p>
  </w:footnote>
  <w:footnote w:id="4">
    <w:p w14:paraId="6370CCC9" w14:textId="77777777" w:rsidR="001C003B" w:rsidRPr="00734C03" w:rsidRDefault="001C003B" w:rsidP="001C003B">
      <w:pPr>
        <w:pStyle w:val="FootnoteText"/>
        <w:rPr>
          <w:rFonts w:cs="Arial"/>
          <w:sz w:val="16"/>
          <w:szCs w:val="16"/>
        </w:rPr>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w:t>
      </w:r>
      <w:r w:rsidRPr="00734C03">
        <w:rPr>
          <w:rFonts w:cs="Arial"/>
          <w:color w:val="000000" w:themeColor="text1"/>
          <w:sz w:val="16"/>
          <w:szCs w:val="16"/>
        </w:rPr>
        <w:t>Proposed additions are shown in green underlined font, proposed deletions are shown in red strikethrough font, and text without this formatting represents the current text in the Poisons Standard.</w:t>
      </w:r>
    </w:p>
  </w:footnote>
  <w:footnote w:id="5">
    <w:p w14:paraId="0F7EF66D" w14:textId="0BA5C3B2" w:rsidR="00B37686" w:rsidRPr="00757F82" w:rsidRDefault="00537917" w:rsidP="005570DC">
      <w:pPr>
        <w:pStyle w:val="FootnoteText"/>
        <w:contextualSpacing/>
        <w:rPr>
          <w:rFonts w:cs="Arial"/>
          <w:sz w:val="16"/>
          <w:szCs w:val="16"/>
        </w:rPr>
      </w:pPr>
      <w:r w:rsidRPr="00757F82">
        <w:rPr>
          <w:rStyle w:val="FootnoteReference"/>
          <w:rFonts w:cs="Arial"/>
          <w:sz w:val="16"/>
          <w:szCs w:val="16"/>
        </w:rPr>
        <w:footnoteRef/>
      </w:r>
      <w:r w:rsidRPr="00757F82">
        <w:rPr>
          <w:rFonts w:cs="Arial"/>
          <w:sz w:val="16"/>
          <w:szCs w:val="16"/>
        </w:rPr>
        <w:t xml:space="preserve"> </w:t>
      </w:r>
      <w:hyperlink r:id="rId1" w:history="1">
        <w:r w:rsidR="00B37686" w:rsidRPr="00C07C9B">
          <w:rPr>
            <w:rStyle w:val="Hyperlink"/>
            <w:rFonts w:cs="Arial"/>
            <w:sz w:val="16"/>
            <w:szCs w:val="16"/>
          </w:rPr>
          <w:t>https://www.tga.gov.au/sites/default/files/scheduling-handbook-guidance-amending-poisons-standard.pdf</w:t>
        </w:r>
      </w:hyperlink>
    </w:p>
  </w:footnote>
  <w:footnote w:id="6">
    <w:p w14:paraId="21A2175E" w14:textId="03B98A8F" w:rsidR="000B214C" w:rsidRPr="000B214C" w:rsidRDefault="000B214C">
      <w:pPr>
        <w:pStyle w:val="FootnoteText"/>
        <w:rPr>
          <w:b/>
          <w:bCs/>
        </w:rPr>
      </w:pPr>
      <w:r w:rsidRPr="0084624F">
        <w:rPr>
          <w:rStyle w:val="FootnoteReference"/>
          <w:rFonts w:cs="Arial"/>
          <w:sz w:val="16"/>
          <w:szCs w:val="16"/>
        </w:rPr>
        <w:footnoteRef/>
      </w:r>
      <w:r>
        <w:t xml:space="preserve"> </w:t>
      </w:r>
      <w:hyperlink r:id="rId2" w:history="1">
        <w:r w:rsidRPr="0084624F">
          <w:rPr>
            <w:rStyle w:val="Hyperlink"/>
            <w:rFonts w:cs="Arial"/>
            <w:sz w:val="16"/>
            <w:szCs w:val="16"/>
          </w:rPr>
          <w:t xml:space="preserve">APINCHS classification of </w:t>
        </w:r>
        <w:r w:rsidR="0084624F" w:rsidRPr="0084624F">
          <w:rPr>
            <w:rStyle w:val="Hyperlink"/>
            <w:rFonts w:cs="Arial"/>
            <w:sz w:val="16"/>
            <w:szCs w:val="16"/>
          </w:rPr>
          <w:t>high-risk</w:t>
        </w:r>
        <w:r w:rsidRPr="0084624F">
          <w:rPr>
            <w:rStyle w:val="Hyperlink"/>
            <w:rFonts w:cs="Arial"/>
            <w:sz w:val="16"/>
            <w:szCs w:val="16"/>
          </w:rPr>
          <w:t xml:space="preserve"> medicines | Australian Commission on Safety and Quality in Health Care</w:t>
        </w:r>
      </w:hyperlink>
    </w:p>
  </w:footnote>
  <w:footnote w:id="7">
    <w:p w14:paraId="31DC772F" w14:textId="77777777" w:rsidR="0084624F" w:rsidRPr="008E66A0" w:rsidRDefault="0084624F" w:rsidP="0084624F">
      <w:pPr>
        <w:pStyle w:val="FootnoteText"/>
        <w:rPr>
          <w:rFonts w:asciiTheme="minorHAnsi" w:hAnsiTheme="minorHAnsi" w:cstheme="minorHAnsi"/>
          <w:sz w:val="16"/>
          <w:szCs w:val="16"/>
        </w:rPr>
      </w:pPr>
      <w:r w:rsidRPr="008E66A0">
        <w:rPr>
          <w:rStyle w:val="FootnoteReference"/>
          <w:rFonts w:cs="Arial"/>
          <w:sz w:val="16"/>
          <w:szCs w:val="16"/>
        </w:rPr>
        <w:footnoteRef/>
      </w:r>
      <w:r w:rsidRPr="008E66A0">
        <w:rPr>
          <w:rFonts w:asciiTheme="minorHAnsi" w:hAnsiTheme="minorHAnsi" w:cstheme="minorHAnsi"/>
          <w:sz w:val="16"/>
          <w:szCs w:val="16"/>
        </w:rPr>
        <w:t xml:space="preserve"> </w:t>
      </w:r>
      <w:r w:rsidRPr="008E66A0">
        <w:rPr>
          <w:rFonts w:cs="Arial"/>
          <w:sz w:val="16"/>
          <w:szCs w:val="16"/>
        </w:rPr>
        <w:t>Proposed additions are shown in green underlined font, proposed deletions are shown in red strikethrough font, and text without this formatting represents the current text in the Poisons Standard</w:t>
      </w:r>
    </w:p>
  </w:footnote>
  <w:footnote w:id="8">
    <w:p w14:paraId="71D50C48" w14:textId="60511668" w:rsidR="0084624F" w:rsidRDefault="0084624F" w:rsidP="0084624F">
      <w:pPr>
        <w:pStyle w:val="FootnoteText"/>
      </w:pPr>
      <w:r w:rsidRPr="008E66A0">
        <w:rPr>
          <w:rStyle w:val="FootnoteReference"/>
          <w:sz w:val="16"/>
          <w:szCs w:val="16"/>
        </w:rPr>
        <w:footnoteRef/>
      </w:r>
      <w:r w:rsidRPr="008E66A0">
        <w:rPr>
          <w:sz w:val="16"/>
          <w:szCs w:val="16"/>
        </w:rPr>
        <w:t xml:space="preserve"> Zhang et al., “Susceptibility, resistance risk and sublethal effect to </w:t>
      </w:r>
      <w:r w:rsidRPr="008E66A0">
        <w:rPr>
          <w:sz w:val="16"/>
          <w:szCs w:val="16"/>
        </w:rPr>
        <w:t xml:space="preserve">fenmezoditiaz, a novel mesoionic insecticide, in the brown planthopper, Nilaparvata lugens”, </w:t>
      </w:r>
      <w:r w:rsidRPr="008E66A0">
        <w:rPr>
          <w:i/>
          <w:iCs/>
          <w:sz w:val="16"/>
          <w:szCs w:val="16"/>
        </w:rPr>
        <w:t>Pesticide Biochemistry and Physiology</w:t>
      </w:r>
      <w:r w:rsidRPr="008E66A0">
        <w:rPr>
          <w:sz w:val="16"/>
          <w:szCs w:val="16"/>
        </w:rPr>
        <w:t xml:space="preserve"> 213, issue number 106540 (September 2025). </w:t>
      </w:r>
      <w:hyperlink r:id="rId3" w:history="1">
        <w:r w:rsidRPr="008E66A0">
          <w:rPr>
            <w:rStyle w:val="Hyperlink"/>
            <w:sz w:val="16"/>
            <w:szCs w:val="16"/>
          </w:rPr>
          <w:t>https://doi.org/10.1016/j.pestbp.2025.106540</w:t>
        </w:r>
      </w:hyperlink>
      <w:r w:rsidR="008E66A0">
        <w:rPr>
          <w:sz w:val="16"/>
          <w:szCs w:val="16"/>
        </w:rPr>
        <w:t>.</w:t>
      </w:r>
    </w:p>
  </w:footnote>
  <w:footnote w:id="9">
    <w:p w14:paraId="15450791" w14:textId="2000A501" w:rsidR="0084624F" w:rsidRPr="008E66A0" w:rsidRDefault="0084624F" w:rsidP="0084624F">
      <w:pPr>
        <w:pStyle w:val="FootnoteText"/>
        <w:rPr>
          <w:sz w:val="16"/>
          <w:szCs w:val="16"/>
        </w:rPr>
      </w:pPr>
      <w:r w:rsidRPr="008E66A0">
        <w:rPr>
          <w:rStyle w:val="FootnoteReference"/>
          <w:sz w:val="16"/>
          <w:szCs w:val="16"/>
        </w:rPr>
        <w:footnoteRef/>
      </w:r>
      <w:r w:rsidRPr="008E66A0">
        <w:rPr>
          <w:sz w:val="16"/>
          <w:szCs w:val="16"/>
        </w:rPr>
        <w:t xml:space="preserve"> Huang et al., “Discovery and biological characterization of a novel </w:t>
      </w:r>
      <w:r w:rsidRPr="008E66A0">
        <w:rPr>
          <w:sz w:val="16"/>
          <w:szCs w:val="16"/>
        </w:rPr>
        <w:t xml:space="preserve">mesoionic insecticide fenmezoditiaz”, </w:t>
      </w:r>
      <w:r w:rsidRPr="008E66A0">
        <w:rPr>
          <w:i/>
          <w:iCs/>
          <w:sz w:val="16"/>
          <w:szCs w:val="16"/>
        </w:rPr>
        <w:t xml:space="preserve">Pest Management Science </w:t>
      </w:r>
      <w:r w:rsidRPr="008E66A0">
        <w:rPr>
          <w:sz w:val="16"/>
          <w:szCs w:val="16"/>
        </w:rPr>
        <w:t xml:space="preserve">81, issue number 5 (March 2024). </w:t>
      </w:r>
      <w:hyperlink r:id="rId4" w:history="1">
        <w:r w:rsidRPr="008E66A0">
          <w:rPr>
            <w:rStyle w:val="Hyperlink"/>
            <w:sz w:val="16"/>
            <w:szCs w:val="16"/>
          </w:rPr>
          <w:t>https://doi.org/10.1002/ps.8108</w:t>
        </w:r>
      </w:hyperlink>
    </w:p>
  </w:footnote>
  <w:footnote w:id="10">
    <w:p w14:paraId="143FFE40" w14:textId="3EA3765D" w:rsidR="0084624F" w:rsidRDefault="0084624F" w:rsidP="0084624F">
      <w:pPr>
        <w:pStyle w:val="FootnoteText"/>
      </w:pPr>
      <w:r w:rsidRPr="008E66A0">
        <w:rPr>
          <w:rStyle w:val="FootnoteReference"/>
          <w:sz w:val="16"/>
          <w:szCs w:val="16"/>
        </w:rPr>
        <w:footnoteRef/>
      </w:r>
      <w:r w:rsidRPr="008E66A0">
        <w:rPr>
          <w:sz w:val="16"/>
          <w:szCs w:val="16"/>
        </w:rPr>
        <w:t xml:space="preserve"> Liang et al., “Insect Resistance to Insecticides: Causes, Mechanisms, and Exploring Potential Solutions”, </w:t>
      </w:r>
      <w:r w:rsidRPr="008E66A0">
        <w:rPr>
          <w:i/>
          <w:iCs/>
          <w:sz w:val="16"/>
          <w:szCs w:val="16"/>
        </w:rPr>
        <w:t>Archives of Insect Biochemistry and Physiology</w:t>
      </w:r>
      <w:r w:rsidRPr="008E66A0">
        <w:rPr>
          <w:sz w:val="16"/>
          <w:szCs w:val="16"/>
        </w:rPr>
        <w:t xml:space="preserve"> 118, issue number 2 (February 2025). </w:t>
      </w:r>
      <w:hyperlink r:id="rId5" w:history="1">
        <w:r w:rsidRPr="008E66A0">
          <w:rPr>
            <w:rStyle w:val="Hyperlink"/>
            <w:sz w:val="16"/>
            <w:szCs w:val="16"/>
          </w:rPr>
          <w:t>https://doi.org/10.1002/arch.70045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AE1F" w14:textId="534E19C5" w:rsidR="00D57B35" w:rsidRDefault="00D57B35">
    <w:pPr>
      <w:pStyle w:val="Header"/>
    </w:pPr>
    <w:r>
      <w:rPr>
        <w:noProof/>
      </w:rPr>
      <mc:AlternateContent>
        <mc:Choice Requires="wps">
          <w:drawing>
            <wp:anchor distT="0" distB="0" distL="0" distR="0" simplePos="0" relativeHeight="251663360" behindDoc="0" locked="0" layoutInCell="1" allowOverlap="1" wp14:anchorId="763F8004" wp14:editId="2D6C382B">
              <wp:simplePos x="635" y="635"/>
              <wp:positionH relativeFrom="page">
                <wp:align>center</wp:align>
              </wp:positionH>
              <wp:positionV relativeFrom="page">
                <wp:align>top</wp:align>
              </wp:positionV>
              <wp:extent cx="622300" cy="391160"/>
              <wp:effectExtent l="0" t="0" r="6350" b="8890"/>
              <wp:wrapNone/>
              <wp:docPr id="13074190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94B3102" w14:textId="24A3DF90" w:rsidR="00D57B35" w:rsidRPr="00D57B35" w:rsidRDefault="00D57B35" w:rsidP="00D57B35">
                          <w:pPr>
                            <w:spacing w:after="0"/>
                            <w:rPr>
                              <w:rFonts w:ascii="Aptos" w:eastAsia="Aptos" w:hAnsi="Aptos" w:cs="Aptos"/>
                              <w:noProof/>
                              <w:color w:val="FF0000"/>
                              <w:sz w:val="24"/>
                              <w:szCs w:val="24"/>
                            </w:rPr>
                          </w:pPr>
                          <w:r w:rsidRPr="00D57B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F800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94B3102" w14:textId="24A3DF90" w:rsidR="00D57B35" w:rsidRPr="00D57B35" w:rsidRDefault="00D57B35" w:rsidP="00D57B35">
                    <w:pPr>
                      <w:spacing w:after="0"/>
                      <w:rPr>
                        <w:rFonts w:ascii="Aptos" w:eastAsia="Aptos" w:hAnsi="Aptos" w:cs="Aptos"/>
                        <w:noProof/>
                        <w:color w:val="FF0000"/>
                        <w:sz w:val="24"/>
                        <w:szCs w:val="24"/>
                      </w:rPr>
                    </w:pPr>
                    <w:r w:rsidRPr="00D57B3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C626" w14:textId="222E9E99" w:rsidR="00D57B35" w:rsidRDefault="00D57B35">
    <w:pPr>
      <w:pStyle w:val="Header"/>
    </w:pPr>
    <w:r>
      <w:rPr>
        <w:noProof/>
      </w:rPr>
      <mc:AlternateContent>
        <mc:Choice Requires="wps">
          <w:drawing>
            <wp:anchor distT="0" distB="0" distL="0" distR="0" simplePos="0" relativeHeight="251664384" behindDoc="0" locked="0" layoutInCell="1" allowOverlap="1" wp14:anchorId="7187178A" wp14:editId="5CF08685">
              <wp:simplePos x="635" y="635"/>
              <wp:positionH relativeFrom="page">
                <wp:align>center</wp:align>
              </wp:positionH>
              <wp:positionV relativeFrom="page">
                <wp:align>top</wp:align>
              </wp:positionV>
              <wp:extent cx="622300" cy="391160"/>
              <wp:effectExtent l="0" t="0" r="6350" b="8890"/>
              <wp:wrapNone/>
              <wp:docPr id="3487183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64BC33E" w14:textId="038E040F" w:rsidR="00D57B35" w:rsidRPr="00D57B35" w:rsidRDefault="00D57B35" w:rsidP="00D57B35">
                          <w:pPr>
                            <w:spacing w:after="0"/>
                            <w:rPr>
                              <w:rFonts w:ascii="Aptos" w:eastAsia="Aptos" w:hAnsi="Aptos" w:cs="Aptos"/>
                              <w:noProof/>
                              <w:color w:val="FF0000"/>
                              <w:sz w:val="24"/>
                              <w:szCs w:val="24"/>
                            </w:rPr>
                          </w:pPr>
                          <w:r w:rsidRPr="00D57B3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7178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664BC33E" w14:textId="038E040F" w:rsidR="00D57B35" w:rsidRPr="00D57B35" w:rsidRDefault="00D57B35" w:rsidP="00D57B35">
                    <w:pPr>
                      <w:spacing w:after="0"/>
                      <w:rPr>
                        <w:rFonts w:ascii="Aptos" w:eastAsia="Aptos" w:hAnsi="Aptos" w:cs="Aptos"/>
                        <w:noProof/>
                        <w:color w:val="FF0000"/>
                        <w:sz w:val="24"/>
                        <w:szCs w:val="24"/>
                      </w:rPr>
                    </w:pPr>
                    <w:r w:rsidRPr="00D57B3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4D43C116"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09EEE3A9">
          <wp:simplePos x="0" y="0"/>
          <wp:positionH relativeFrom="column">
            <wp:posOffset>-400685</wp:posOffset>
          </wp:positionH>
          <wp:positionV relativeFrom="paragraph">
            <wp:posOffset>-81280</wp:posOffset>
          </wp:positionV>
          <wp:extent cx="2676525" cy="554355"/>
          <wp:effectExtent l="0" t="0" r="9525" b="0"/>
          <wp:wrapTopAndBottom/>
          <wp:docPr id="956972399" name="Picture 95697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47329" name="Picture 9886473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554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874805611" name="Picture 87480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0296E9CF"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E78C9">
    <w:pPr>
      <w:jc w:val="right"/>
      <w:rPr>
        <w:rFonts w:cstheme="minorHAnsi"/>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59B073F4" w:rsidR="0015628B" w:rsidRPr="00FE501F" w:rsidRDefault="0015628B"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4F19"/>
    <w:multiLevelType w:val="hybridMultilevel"/>
    <w:tmpl w:val="6EA076E6"/>
    <w:lvl w:ilvl="0" w:tplc="9BD4AB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A5A4A78"/>
    <w:multiLevelType w:val="hybridMultilevel"/>
    <w:tmpl w:val="547CB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053F11"/>
    <w:multiLevelType w:val="multilevel"/>
    <w:tmpl w:val="E58A81F0"/>
    <w:styleLink w:val="NumberBullet"/>
    <w:lvl w:ilvl="0">
      <w:start w:val="1"/>
      <w:numFmt w:val="decimal"/>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2840C24"/>
    <w:multiLevelType w:val="hybridMultilevel"/>
    <w:tmpl w:val="21D659AC"/>
    <w:lvl w:ilvl="0" w:tplc="729E865C">
      <w:start w:val="1"/>
      <w:numFmt w:val="lowerLetter"/>
      <w:pStyle w:val="ListParagraph"/>
      <w:lvlText w:val="(%1)"/>
      <w:lvlJc w:val="left"/>
      <w:pPr>
        <w:ind w:left="1648" w:hanging="360"/>
      </w:pPr>
      <w:rPr>
        <w:rFonts w:ascii="Arial" w:eastAsiaTheme="minorHAnsi" w:hAnsi="Arial" w:cs="Arial" w:hint="default"/>
      </w:rPr>
    </w:lvl>
    <w:lvl w:ilvl="1" w:tplc="0C090019">
      <w:start w:val="1"/>
      <w:numFmt w:val="lowerLetter"/>
      <w:lvlText w:val="%2."/>
      <w:lvlJc w:val="left"/>
      <w:pPr>
        <w:ind w:left="2368" w:hanging="360"/>
      </w:pPr>
    </w:lvl>
    <w:lvl w:ilvl="2" w:tplc="0C09001B" w:tentative="1">
      <w:start w:val="1"/>
      <w:numFmt w:val="lowerRoman"/>
      <w:lvlText w:val="%3."/>
      <w:lvlJc w:val="right"/>
      <w:pPr>
        <w:ind w:left="3088" w:hanging="180"/>
      </w:pPr>
    </w:lvl>
    <w:lvl w:ilvl="3" w:tplc="0C09000F" w:tentative="1">
      <w:start w:val="1"/>
      <w:numFmt w:val="decimal"/>
      <w:lvlText w:val="%4."/>
      <w:lvlJc w:val="left"/>
      <w:pPr>
        <w:ind w:left="3808" w:hanging="360"/>
      </w:pPr>
    </w:lvl>
    <w:lvl w:ilvl="4" w:tplc="0C090019" w:tentative="1">
      <w:start w:val="1"/>
      <w:numFmt w:val="lowerLetter"/>
      <w:lvlText w:val="%5."/>
      <w:lvlJc w:val="left"/>
      <w:pPr>
        <w:ind w:left="4528" w:hanging="360"/>
      </w:pPr>
    </w:lvl>
    <w:lvl w:ilvl="5" w:tplc="0C09001B" w:tentative="1">
      <w:start w:val="1"/>
      <w:numFmt w:val="lowerRoman"/>
      <w:lvlText w:val="%6."/>
      <w:lvlJc w:val="right"/>
      <w:pPr>
        <w:ind w:left="5248" w:hanging="180"/>
      </w:pPr>
    </w:lvl>
    <w:lvl w:ilvl="6" w:tplc="0C09000F" w:tentative="1">
      <w:start w:val="1"/>
      <w:numFmt w:val="decimal"/>
      <w:lvlText w:val="%7."/>
      <w:lvlJc w:val="left"/>
      <w:pPr>
        <w:ind w:left="5968" w:hanging="360"/>
      </w:pPr>
    </w:lvl>
    <w:lvl w:ilvl="7" w:tplc="0C090019" w:tentative="1">
      <w:start w:val="1"/>
      <w:numFmt w:val="lowerLetter"/>
      <w:lvlText w:val="%8."/>
      <w:lvlJc w:val="left"/>
      <w:pPr>
        <w:ind w:left="6688" w:hanging="360"/>
      </w:pPr>
    </w:lvl>
    <w:lvl w:ilvl="8" w:tplc="0C09001B" w:tentative="1">
      <w:start w:val="1"/>
      <w:numFmt w:val="lowerRoman"/>
      <w:lvlText w:val="%9."/>
      <w:lvlJc w:val="right"/>
      <w:pPr>
        <w:ind w:left="7408" w:hanging="180"/>
      </w:pPr>
    </w:lvl>
  </w:abstractNum>
  <w:abstractNum w:abstractNumId="4" w15:restartNumberingAfterBreak="0">
    <w:nsid w:val="13BE0E28"/>
    <w:multiLevelType w:val="hybridMultilevel"/>
    <w:tmpl w:val="8BBC1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524B67"/>
    <w:multiLevelType w:val="hybridMultilevel"/>
    <w:tmpl w:val="798E9FE8"/>
    <w:lvl w:ilvl="0" w:tplc="1E2ABA9C">
      <w:start w:val="1"/>
      <w:numFmt w:val="lowerLetter"/>
      <w:lvlText w:val="(%1)"/>
      <w:lvlJc w:val="left"/>
      <w:pPr>
        <w:ind w:left="1148" w:hanging="360"/>
      </w:pPr>
      <w:rPr>
        <w:rFonts w:hint="default"/>
      </w:rPr>
    </w:lvl>
    <w:lvl w:ilvl="1" w:tplc="0C090019" w:tentative="1">
      <w:start w:val="1"/>
      <w:numFmt w:val="lowerLetter"/>
      <w:lvlText w:val="%2."/>
      <w:lvlJc w:val="left"/>
      <w:pPr>
        <w:ind w:left="1868" w:hanging="360"/>
      </w:pPr>
    </w:lvl>
    <w:lvl w:ilvl="2" w:tplc="0C09001B" w:tentative="1">
      <w:start w:val="1"/>
      <w:numFmt w:val="lowerRoman"/>
      <w:lvlText w:val="%3."/>
      <w:lvlJc w:val="right"/>
      <w:pPr>
        <w:ind w:left="2588" w:hanging="180"/>
      </w:pPr>
    </w:lvl>
    <w:lvl w:ilvl="3" w:tplc="0C09000F" w:tentative="1">
      <w:start w:val="1"/>
      <w:numFmt w:val="decimal"/>
      <w:lvlText w:val="%4."/>
      <w:lvlJc w:val="left"/>
      <w:pPr>
        <w:ind w:left="3308" w:hanging="360"/>
      </w:pPr>
    </w:lvl>
    <w:lvl w:ilvl="4" w:tplc="0C090019" w:tentative="1">
      <w:start w:val="1"/>
      <w:numFmt w:val="lowerLetter"/>
      <w:lvlText w:val="%5."/>
      <w:lvlJc w:val="left"/>
      <w:pPr>
        <w:ind w:left="4028" w:hanging="360"/>
      </w:pPr>
    </w:lvl>
    <w:lvl w:ilvl="5" w:tplc="0C09001B" w:tentative="1">
      <w:start w:val="1"/>
      <w:numFmt w:val="lowerRoman"/>
      <w:lvlText w:val="%6."/>
      <w:lvlJc w:val="right"/>
      <w:pPr>
        <w:ind w:left="4748" w:hanging="180"/>
      </w:pPr>
    </w:lvl>
    <w:lvl w:ilvl="6" w:tplc="0C09000F" w:tentative="1">
      <w:start w:val="1"/>
      <w:numFmt w:val="decimal"/>
      <w:lvlText w:val="%7."/>
      <w:lvlJc w:val="left"/>
      <w:pPr>
        <w:ind w:left="5468" w:hanging="360"/>
      </w:pPr>
    </w:lvl>
    <w:lvl w:ilvl="7" w:tplc="0C090019" w:tentative="1">
      <w:start w:val="1"/>
      <w:numFmt w:val="lowerLetter"/>
      <w:lvlText w:val="%8."/>
      <w:lvlJc w:val="left"/>
      <w:pPr>
        <w:ind w:left="6188" w:hanging="360"/>
      </w:pPr>
    </w:lvl>
    <w:lvl w:ilvl="8" w:tplc="0C09001B" w:tentative="1">
      <w:start w:val="1"/>
      <w:numFmt w:val="lowerRoman"/>
      <w:lvlText w:val="%9."/>
      <w:lvlJc w:val="right"/>
      <w:pPr>
        <w:ind w:left="6908" w:hanging="180"/>
      </w:p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6364D0"/>
    <w:multiLevelType w:val="hybridMultilevel"/>
    <w:tmpl w:val="B8564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1C652D"/>
    <w:multiLevelType w:val="multilevel"/>
    <w:tmpl w:val="575857BE"/>
    <w:lvl w:ilvl="0">
      <w:start w:val="1"/>
      <w:numFmt w:val="lowerLetter"/>
      <w:lvlText w:val="%1)"/>
      <w:lvlJc w:val="left"/>
      <w:pPr>
        <w:tabs>
          <w:tab w:val="num" w:pos="1080"/>
        </w:tabs>
        <w:ind w:left="1077" w:hanging="357"/>
      </w:pPr>
      <w:rPr>
        <w:rFonts w:hint="default"/>
        <w:color w:val="00B050"/>
      </w:rPr>
    </w:lvl>
    <w:lvl w:ilvl="1">
      <w:start w:val="1"/>
      <w:numFmt w:val="lowerRoman"/>
      <w:lvlText w:val="(%2)"/>
      <w:lvlJc w:val="left"/>
      <w:pPr>
        <w:ind w:left="1928" w:hanging="488"/>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2973D28"/>
    <w:multiLevelType w:val="hybridMultilevel"/>
    <w:tmpl w:val="25103DFC"/>
    <w:lvl w:ilvl="0" w:tplc="0C090017">
      <w:start w:val="1"/>
      <w:numFmt w:val="lowerLetter"/>
      <w:lvlText w:val="%1)"/>
      <w:lvlJc w:val="left"/>
      <w:pPr>
        <w:ind w:left="1440" w:hanging="360"/>
      </w:pPr>
    </w:lvl>
    <w:lvl w:ilvl="1" w:tplc="6B4A5C18">
      <w:start w:val="1"/>
      <w:numFmt w:val="lowerRoman"/>
      <w:lvlText w:val="(%2)"/>
      <w:lvlJc w:val="left"/>
      <w:pPr>
        <w:ind w:left="2520" w:hanging="72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pStyle w:val="ListBullet-dotick"/>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24093658"/>
    <w:multiLevelType w:val="hybridMultilevel"/>
    <w:tmpl w:val="2B7EC4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8FE63F8"/>
    <w:multiLevelType w:val="hybridMultilevel"/>
    <w:tmpl w:val="3A8C9884"/>
    <w:lvl w:ilvl="0" w:tplc="FFFFFFFF">
      <w:start w:val="1"/>
      <w:numFmt w:val="lowerLetter"/>
      <w:lvlText w:val="(%1)"/>
      <w:lvlJc w:val="left"/>
      <w:pPr>
        <w:ind w:left="720" w:hanging="360"/>
      </w:pPr>
      <w:rPr>
        <w:rFonts w:hint="default"/>
        <w:strike w:val="0"/>
        <w:color w:val="00B05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855DBD"/>
    <w:multiLevelType w:val="hybridMultilevel"/>
    <w:tmpl w:val="BB869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953D05"/>
    <w:multiLevelType w:val="hybridMultilevel"/>
    <w:tmpl w:val="34144056"/>
    <w:lvl w:ilvl="0" w:tplc="8CD66FBE">
      <w:start w:val="1"/>
      <w:numFmt w:val="lowerLetter"/>
      <w:pStyle w:val="AlphaList"/>
      <w:lvlText w:val="%1)"/>
      <w:lvlJc w:val="left"/>
      <w:pPr>
        <w:ind w:left="4571" w:hanging="360"/>
      </w:pPr>
    </w:lvl>
    <w:lvl w:ilvl="1" w:tplc="0FD483CA">
      <w:start w:val="1"/>
      <w:numFmt w:val="lowerRoman"/>
      <w:lvlText w:val="%2)"/>
      <w:lvlJc w:val="left"/>
      <w:pPr>
        <w:ind w:left="5291" w:hanging="360"/>
      </w:pPr>
      <w:rPr>
        <w:rFonts w:hint="default"/>
      </w:rPr>
    </w:lvl>
    <w:lvl w:ilvl="2" w:tplc="0C09001B" w:tentative="1">
      <w:start w:val="1"/>
      <w:numFmt w:val="lowerRoman"/>
      <w:lvlText w:val="%3."/>
      <w:lvlJc w:val="right"/>
      <w:pPr>
        <w:ind w:left="6011" w:hanging="180"/>
      </w:pPr>
    </w:lvl>
    <w:lvl w:ilvl="3" w:tplc="0C09000F" w:tentative="1">
      <w:start w:val="1"/>
      <w:numFmt w:val="decimal"/>
      <w:lvlText w:val="%4."/>
      <w:lvlJc w:val="left"/>
      <w:pPr>
        <w:ind w:left="6731" w:hanging="360"/>
      </w:pPr>
    </w:lvl>
    <w:lvl w:ilvl="4" w:tplc="0C090019" w:tentative="1">
      <w:start w:val="1"/>
      <w:numFmt w:val="lowerLetter"/>
      <w:lvlText w:val="%5."/>
      <w:lvlJc w:val="left"/>
      <w:pPr>
        <w:ind w:left="7451" w:hanging="360"/>
      </w:pPr>
    </w:lvl>
    <w:lvl w:ilvl="5" w:tplc="0C09001B" w:tentative="1">
      <w:start w:val="1"/>
      <w:numFmt w:val="lowerRoman"/>
      <w:lvlText w:val="%6."/>
      <w:lvlJc w:val="right"/>
      <w:pPr>
        <w:ind w:left="8171" w:hanging="180"/>
      </w:pPr>
    </w:lvl>
    <w:lvl w:ilvl="6" w:tplc="0C09000F" w:tentative="1">
      <w:start w:val="1"/>
      <w:numFmt w:val="decimal"/>
      <w:lvlText w:val="%7."/>
      <w:lvlJc w:val="left"/>
      <w:pPr>
        <w:ind w:left="8891" w:hanging="360"/>
      </w:pPr>
    </w:lvl>
    <w:lvl w:ilvl="7" w:tplc="0C090019" w:tentative="1">
      <w:start w:val="1"/>
      <w:numFmt w:val="lowerLetter"/>
      <w:lvlText w:val="%8."/>
      <w:lvlJc w:val="left"/>
      <w:pPr>
        <w:ind w:left="9611" w:hanging="360"/>
      </w:pPr>
    </w:lvl>
    <w:lvl w:ilvl="8" w:tplc="0C09001B" w:tentative="1">
      <w:start w:val="1"/>
      <w:numFmt w:val="lowerRoman"/>
      <w:lvlText w:val="%9."/>
      <w:lvlJc w:val="right"/>
      <w:pPr>
        <w:ind w:left="10331" w:hanging="180"/>
      </w:pPr>
    </w:lvl>
  </w:abstractNum>
  <w:abstractNum w:abstractNumId="16" w15:restartNumberingAfterBreak="0">
    <w:nsid w:val="32B514DC"/>
    <w:multiLevelType w:val="hybridMultilevel"/>
    <w:tmpl w:val="8DDCA6FA"/>
    <w:lvl w:ilvl="0" w:tplc="FFFFFFFF">
      <w:start w:val="1"/>
      <w:numFmt w:val="lowerLetter"/>
      <w:lvlText w:val="(%1)"/>
      <w:lvlJc w:val="left"/>
      <w:pPr>
        <w:ind w:left="1713" w:hanging="360"/>
      </w:pPr>
      <w:rPr>
        <w:rFonts w:hint="default"/>
        <w:color w:val="00B050"/>
        <w:u w:val="single"/>
      </w:rPr>
    </w:lvl>
    <w:lvl w:ilvl="1" w:tplc="B1B88C96">
      <w:start w:val="1"/>
      <w:numFmt w:val="lowerLetter"/>
      <w:lvlText w:val="(%2)"/>
      <w:lvlJc w:val="left"/>
      <w:pPr>
        <w:ind w:left="720" w:hanging="360"/>
      </w:pPr>
      <w:rPr>
        <w:rFonts w:hint="default"/>
        <w:color w:val="00B050"/>
        <w:u w:val="single"/>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7"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95421E"/>
    <w:multiLevelType w:val="hybridMultilevel"/>
    <w:tmpl w:val="590A5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9955271"/>
    <w:multiLevelType w:val="hybridMultilevel"/>
    <w:tmpl w:val="0C3EE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366D37"/>
    <w:multiLevelType w:val="hybridMultilevel"/>
    <w:tmpl w:val="5C686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405BA5"/>
    <w:multiLevelType w:val="hybridMultilevel"/>
    <w:tmpl w:val="81AC0D96"/>
    <w:lvl w:ilvl="0" w:tplc="8DB61AE8">
      <w:start w:val="1"/>
      <w:numFmt w:val="lowerLetter"/>
      <w:lvlText w:val="%1)"/>
      <w:lvlJc w:val="left"/>
      <w:pPr>
        <w:ind w:left="2160" w:hanging="360"/>
      </w:pPr>
      <w:rPr>
        <w:color w:val="000000" w:themeColor="text1"/>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15:restartNumberingAfterBreak="0">
    <w:nsid w:val="49E34E51"/>
    <w:multiLevelType w:val="hybridMultilevel"/>
    <w:tmpl w:val="815E6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A487F84"/>
    <w:multiLevelType w:val="hybridMultilevel"/>
    <w:tmpl w:val="8B18908C"/>
    <w:lvl w:ilvl="0" w:tplc="50F67CBA">
      <w:start w:val="1"/>
      <w:numFmt w:val="lowerRoman"/>
      <w:lvlText w:val="%1."/>
      <w:lvlJc w:val="left"/>
      <w:pPr>
        <w:ind w:left="1868" w:hanging="720"/>
      </w:pPr>
      <w:rPr>
        <w:rFonts w:hint="default"/>
      </w:rPr>
    </w:lvl>
    <w:lvl w:ilvl="1" w:tplc="0C090019" w:tentative="1">
      <w:start w:val="1"/>
      <w:numFmt w:val="lowerLetter"/>
      <w:lvlText w:val="%2."/>
      <w:lvlJc w:val="left"/>
      <w:pPr>
        <w:ind w:left="2228" w:hanging="360"/>
      </w:pPr>
    </w:lvl>
    <w:lvl w:ilvl="2" w:tplc="0C09001B" w:tentative="1">
      <w:start w:val="1"/>
      <w:numFmt w:val="lowerRoman"/>
      <w:lvlText w:val="%3."/>
      <w:lvlJc w:val="right"/>
      <w:pPr>
        <w:ind w:left="2948" w:hanging="180"/>
      </w:pPr>
    </w:lvl>
    <w:lvl w:ilvl="3" w:tplc="0C09000F" w:tentative="1">
      <w:start w:val="1"/>
      <w:numFmt w:val="decimal"/>
      <w:lvlText w:val="%4."/>
      <w:lvlJc w:val="left"/>
      <w:pPr>
        <w:ind w:left="3668" w:hanging="360"/>
      </w:pPr>
    </w:lvl>
    <w:lvl w:ilvl="4" w:tplc="0C090019" w:tentative="1">
      <w:start w:val="1"/>
      <w:numFmt w:val="lowerLetter"/>
      <w:lvlText w:val="%5."/>
      <w:lvlJc w:val="left"/>
      <w:pPr>
        <w:ind w:left="4388" w:hanging="360"/>
      </w:pPr>
    </w:lvl>
    <w:lvl w:ilvl="5" w:tplc="0C09001B" w:tentative="1">
      <w:start w:val="1"/>
      <w:numFmt w:val="lowerRoman"/>
      <w:lvlText w:val="%6."/>
      <w:lvlJc w:val="right"/>
      <w:pPr>
        <w:ind w:left="5108" w:hanging="180"/>
      </w:pPr>
    </w:lvl>
    <w:lvl w:ilvl="6" w:tplc="0C09000F" w:tentative="1">
      <w:start w:val="1"/>
      <w:numFmt w:val="decimal"/>
      <w:lvlText w:val="%7."/>
      <w:lvlJc w:val="left"/>
      <w:pPr>
        <w:ind w:left="5828" w:hanging="360"/>
      </w:pPr>
    </w:lvl>
    <w:lvl w:ilvl="7" w:tplc="0C090019" w:tentative="1">
      <w:start w:val="1"/>
      <w:numFmt w:val="lowerLetter"/>
      <w:lvlText w:val="%8."/>
      <w:lvlJc w:val="left"/>
      <w:pPr>
        <w:ind w:left="6548" w:hanging="360"/>
      </w:pPr>
    </w:lvl>
    <w:lvl w:ilvl="8" w:tplc="0C09001B" w:tentative="1">
      <w:start w:val="1"/>
      <w:numFmt w:val="lowerRoman"/>
      <w:lvlText w:val="%9."/>
      <w:lvlJc w:val="right"/>
      <w:pPr>
        <w:ind w:left="7268" w:hanging="180"/>
      </w:pPr>
    </w:lvl>
  </w:abstractNum>
  <w:abstractNum w:abstractNumId="24" w15:restartNumberingAfterBreak="0">
    <w:nsid w:val="4BEC6F85"/>
    <w:multiLevelType w:val="hybridMultilevel"/>
    <w:tmpl w:val="2C7E4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2578A4"/>
    <w:multiLevelType w:val="hybridMultilevel"/>
    <w:tmpl w:val="D91463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6E5E35"/>
    <w:multiLevelType w:val="hybridMultilevel"/>
    <w:tmpl w:val="C2F60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D840668"/>
    <w:multiLevelType w:val="hybridMultilevel"/>
    <w:tmpl w:val="85EC50E8"/>
    <w:lvl w:ilvl="0" w:tplc="53125568">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pStyle w:val="ListBullet-donotcross"/>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EC0430"/>
    <w:multiLevelType w:val="hybridMultilevel"/>
    <w:tmpl w:val="CAA48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FD6286"/>
    <w:multiLevelType w:val="hybridMultilevel"/>
    <w:tmpl w:val="08367FB6"/>
    <w:lvl w:ilvl="0" w:tplc="058ADF2C">
      <w:start w:val="1"/>
      <w:numFmt w:val="lowerLetter"/>
      <w:pStyle w:val="ListBulleta"/>
      <w:lvlText w:val="(%1)"/>
      <w:lvlJc w:val="left"/>
      <w:pPr>
        <w:ind w:left="1287" w:hanging="360"/>
      </w:pPr>
      <w:rPr>
        <w:rFonts w:hint="default"/>
        <w:strike w:val="0"/>
        <w:color w:val="00B050"/>
        <w:u w:val="singl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62E375E0"/>
    <w:multiLevelType w:val="hybridMultilevel"/>
    <w:tmpl w:val="BB3A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BB388E"/>
    <w:multiLevelType w:val="hybridMultilevel"/>
    <w:tmpl w:val="7F0EC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EA049FA"/>
    <w:multiLevelType w:val="hybridMultilevel"/>
    <w:tmpl w:val="95486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FC17EA"/>
    <w:multiLevelType w:val="hybridMultilevel"/>
    <w:tmpl w:val="3404F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0E25F19"/>
    <w:multiLevelType w:val="hybridMultilevel"/>
    <w:tmpl w:val="3DBE1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243102"/>
    <w:multiLevelType w:val="hybridMultilevel"/>
    <w:tmpl w:val="633A155C"/>
    <w:lvl w:ilvl="0" w:tplc="FFFFFFFF">
      <w:start w:val="1"/>
      <w:numFmt w:val="lowerRoman"/>
      <w:lvlText w:val="%1."/>
      <w:lvlJc w:val="right"/>
      <w:pPr>
        <w:ind w:left="1800" w:hanging="360"/>
      </w:pPr>
    </w:lvl>
    <w:lvl w:ilvl="1" w:tplc="0C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641575018">
    <w:abstractNumId w:val="7"/>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2"/>
  </w:num>
  <w:num w:numId="3" w16cid:durableId="1248614696">
    <w:abstractNumId w:val="6"/>
  </w:num>
  <w:num w:numId="4" w16cid:durableId="297951965">
    <w:abstractNumId w:val="29"/>
  </w:num>
  <w:num w:numId="5" w16cid:durableId="1535191726">
    <w:abstractNumId w:val="11"/>
  </w:num>
  <w:num w:numId="6" w16cid:durableId="224069918">
    <w:abstractNumId w:val="28"/>
  </w:num>
  <w:num w:numId="7" w16cid:durableId="91820601">
    <w:abstractNumId w:val="7"/>
  </w:num>
  <w:num w:numId="8" w16cid:durableId="191186244">
    <w:abstractNumId w:val="9"/>
  </w:num>
  <w:num w:numId="9" w16cid:durableId="622883931">
    <w:abstractNumId w:val="13"/>
  </w:num>
  <w:num w:numId="10" w16cid:durableId="922223776">
    <w:abstractNumId w:val="3"/>
  </w:num>
  <w:num w:numId="11" w16cid:durableId="80493006">
    <w:abstractNumId w:val="17"/>
  </w:num>
  <w:num w:numId="12" w16cid:durableId="1395471182">
    <w:abstractNumId w:val="16"/>
  </w:num>
  <w:num w:numId="13" w16cid:durableId="1252934627">
    <w:abstractNumId w:val="15"/>
  </w:num>
  <w:num w:numId="14" w16cid:durableId="174081671">
    <w:abstractNumId w:val="37"/>
  </w:num>
  <w:num w:numId="15" w16cid:durableId="142041547">
    <w:abstractNumId w:val="34"/>
  </w:num>
  <w:num w:numId="16" w16cid:durableId="1852796690">
    <w:abstractNumId w:val="33"/>
  </w:num>
  <w:num w:numId="17" w16cid:durableId="1718820688">
    <w:abstractNumId w:val="36"/>
  </w:num>
  <w:num w:numId="18" w16cid:durableId="2113935528">
    <w:abstractNumId w:val="8"/>
  </w:num>
  <w:num w:numId="19" w16cid:durableId="1652636213">
    <w:abstractNumId w:val="18"/>
  </w:num>
  <w:num w:numId="20" w16cid:durableId="1481338835">
    <w:abstractNumId w:val="20"/>
  </w:num>
  <w:num w:numId="21" w16cid:durableId="1239025592">
    <w:abstractNumId w:val="22"/>
  </w:num>
  <w:num w:numId="22" w16cid:durableId="515273927">
    <w:abstractNumId w:val="19"/>
  </w:num>
  <w:num w:numId="23" w16cid:durableId="2079939296">
    <w:abstractNumId w:val="1"/>
  </w:num>
  <w:num w:numId="24" w16cid:durableId="2023433308">
    <w:abstractNumId w:val="4"/>
  </w:num>
  <w:num w:numId="25" w16cid:durableId="1025132434">
    <w:abstractNumId w:val="35"/>
  </w:num>
  <w:num w:numId="26" w16cid:durableId="72899852">
    <w:abstractNumId w:val="26"/>
  </w:num>
  <w:num w:numId="27" w16cid:durableId="549415901">
    <w:abstractNumId w:val="25"/>
  </w:num>
  <w:num w:numId="28" w16cid:durableId="1736852955">
    <w:abstractNumId w:val="14"/>
  </w:num>
  <w:num w:numId="29" w16cid:durableId="1236210419">
    <w:abstractNumId w:val="12"/>
  </w:num>
  <w:num w:numId="30" w16cid:durableId="703360712">
    <w:abstractNumId w:val="24"/>
  </w:num>
  <w:num w:numId="31" w16cid:durableId="751203012">
    <w:abstractNumId w:val="5"/>
  </w:num>
  <w:num w:numId="32" w16cid:durableId="1898473126">
    <w:abstractNumId w:val="23"/>
  </w:num>
  <w:num w:numId="33" w16cid:durableId="643705503">
    <w:abstractNumId w:val="0"/>
  </w:num>
  <w:num w:numId="34" w16cid:durableId="726807891">
    <w:abstractNumId w:val="31"/>
  </w:num>
  <w:num w:numId="35" w16cid:durableId="893274779">
    <w:abstractNumId w:val="32"/>
  </w:num>
  <w:num w:numId="36" w16cid:durableId="788552597">
    <w:abstractNumId w:val="10"/>
  </w:num>
  <w:num w:numId="37" w16cid:durableId="1543202376">
    <w:abstractNumId w:val="38"/>
  </w:num>
  <w:num w:numId="38" w16cid:durableId="1923106035">
    <w:abstractNumId w:val="30"/>
  </w:num>
  <w:num w:numId="39" w16cid:durableId="477962410">
    <w:abstractNumId w:val="27"/>
  </w:num>
  <w:num w:numId="40" w16cid:durableId="767431258">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07C0"/>
    <w:rsid w:val="00004ECC"/>
    <w:rsid w:val="000066E7"/>
    <w:rsid w:val="00006C70"/>
    <w:rsid w:val="00007A50"/>
    <w:rsid w:val="00010BB2"/>
    <w:rsid w:val="00015FFA"/>
    <w:rsid w:val="0001612B"/>
    <w:rsid w:val="000200A9"/>
    <w:rsid w:val="00021C46"/>
    <w:rsid w:val="000220A2"/>
    <w:rsid w:val="00025359"/>
    <w:rsid w:val="00027839"/>
    <w:rsid w:val="00035B96"/>
    <w:rsid w:val="000428F8"/>
    <w:rsid w:val="00042A25"/>
    <w:rsid w:val="00043EA3"/>
    <w:rsid w:val="0004645C"/>
    <w:rsid w:val="000502CA"/>
    <w:rsid w:val="00052055"/>
    <w:rsid w:val="00053964"/>
    <w:rsid w:val="00057491"/>
    <w:rsid w:val="000602CA"/>
    <w:rsid w:val="0006082B"/>
    <w:rsid w:val="00063193"/>
    <w:rsid w:val="00065407"/>
    <w:rsid w:val="00065C3B"/>
    <w:rsid w:val="000733F2"/>
    <w:rsid w:val="00073D8A"/>
    <w:rsid w:val="00075CD6"/>
    <w:rsid w:val="00076AE2"/>
    <w:rsid w:val="00082143"/>
    <w:rsid w:val="00094B81"/>
    <w:rsid w:val="00095E25"/>
    <w:rsid w:val="00096611"/>
    <w:rsid w:val="000A567A"/>
    <w:rsid w:val="000A7B6A"/>
    <w:rsid w:val="000B214C"/>
    <w:rsid w:val="000B4574"/>
    <w:rsid w:val="000B640D"/>
    <w:rsid w:val="000B69F6"/>
    <w:rsid w:val="000C105A"/>
    <w:rsid w:val="000C5EB1"/>
    <w:rsid w:val="000C68A1"/>
    <w:rsid w:val="000C7A03"/>
    <w:rsid w:val="000D0412"/>
    <w:rsid w:val="000D2A9D"/>
    <w:rsid w:val="000D4410"/>
    <w:rsid w:val="000D4925"/>
    <w:rsid w:val="000D677D"/>
    <w:rsid w:val="000D792A"/>
    <w:rsid w:val="000D7942"/>
    <w:rsid w:val="000E6912"/>
    <w:rsid w:val="000E7C68"/>
    <w:rsid w:val="000F1A52"/>
    <w:rsid w:val="000F30A2"/>
    <w:rsid w:val="000F3AE8"/>
    <w:rsid w:val="000F6F9C"/>
    <w:rsid w:val="000F7C51"/>
    <w:rsid w:val="001006E9"/>
    <w:rsid w:val="0010426B"/>
    <w:rsid w:val="00105AE9"/>
    <w:rsid w:val="00113AF4"/>
    <w:rsid w:val="00114DE1"/>
    <w:rsid w:val="00117F33"/>
    <w:rsid w:val="00117F77"/>
    <w:rsid w:val="00120379"/>
    <w:rsid w:val="0012102D"/>
    <w:rsid w:val="0012473C"/>
    <w:rsid w:val="001261B3"/>
    <w:rsid w:val="00127A9D"/>
    <w:rsid w:val="0013296D"/>
    <w:rsid w:val="00134815"/>
    <w:rsid w:val="00143EFF"/>
    <w:rsid w:val="00144134"/>
    <w:rsid w:val="0014548E"/>
    <w:rsid w:val="00147015"/>
    <w:rsid w:val="001501F1"/>
    <w:rsid w:val="00150AEC"/>
    <w:rsid w:val="00151891"/>
    <w:rsid w:val="00155C46"/>
    <w:rsid w:val="0015628B"/>
    <w:rsid w:val="001570FF"/>
    <w:rsid w:val="00157DD0"/>
    <w:rsid w:val="00160D3C"/>
    <w:rsid w:val="00161E58"/>
    <w:rsid w:val="00161FCB"/>
    <w:rsid w:val="001629C1"/>
    <w:rsid w:val="00162B5F"/>
    <w:rsid w:val="00163E92"/>
    <w:rsid w:val="00165F7C"/>
    <w:rsid w:val="0016760F"/>
    <w:rsid w:val="001677E7"/>
    <w:rsid w:val="00173A1F"/>
    <w:rsid w:val="0017507D"/>
    <w:rsid w:val="00175CD8"/>
    <w:rsid w:val="00176743"/>
    <w:rsid w:val="00181626"/>
    <w:rsid w:val="001826A7"/>
    <w:rsid w:val="0018296A"/>
    <w:rsid w:val="00185F27"/>
    <w:rsid w:val="00186440"/>
    <w:rsid w:val="00186688"/>
    <w:rsid w:val="00186985"/>
    <w:rsid w:val="00186AC1"/>
    <w:rsid w:val="00186B82"/>
    <w:rsid w:val="00186FFA"/>
    <w:rsid w:val="00187B23"/>
    <w:rsid w:val="00190BA0"/>
    <w:rsid w:val="00192BFE"/>
    <w:rsid w:val="00195C63"/>
    <w:rsid w:val="001A1897"/>
    <w:rsid w:val="001A5880"/>
    <w:rsid w:val="001A6848"/>
    <w:rsid w:val="001A68A0"/>
    <w:rsid w:val="001B0599"/>
    <w:rsid w:val="001B15E5"/>
    <w:rsid w:val="001B5B0C"/>
    <w:rsid w:val="001C003B"/>
    <w:rsid w:val="001C091C"/>
    <w:rsid w:val="001C1920"/>
    <w:rsid w:val="001C3B48"/>
    <w:rsid w:val="001C5F89"/>
    <w:rsid w:val="001C6495"/>
    <w:rsid w:val="001C763A"/>
    <w:rsid w:val="001D12C7"/>
    <w:rsid w:val="001D1E48"/>
    <w:rsid w:val="001D47EC"/>
    <w:rsid w:val="001D5577"/>
    <w:rsid w:val="001E234B"/>
    <w:rsid w:val="001E2687"/>
    <w:rsid w:val="001E2840"/>
    <w:rsid w:val="001F2EE3"/>
    <w:rsid w:val="001F3D4D"/>
    <w:rsid w:val="001F5299"/>
    <w:rsid w:val="001F677B"/>
    <w:rsid w:val="001F7533"/>
    <w:rsid w:val="001F798D"/>
    <w:rsid w:val="002022E3"/>
    <w:rsid w:val="002026EC"/>
    <w:rsid w:val="00203C12"/>
    <w:rsid w:val="00206C83"/>
    <w:rsid w:val="002109D5"/>
    <w:rsid w:val="002137D1"/>
    <w:rsid w:val="002146F1"/>
    <w:rsid w:val="00215035"/>
    <w:rsid w:val="00217173"/>
    <w:rsid w:val="002177DF"/>
    <w:rsid w:val="00220B1E"/>
    <w:rsid w:val="0022290D"/>
    <w:rsid w:val="00223A98"/>
    <w:rsid w:val="00225E39"/>
    <w:rsid w:val="00226808"/>
    <w:rsid w:val="002272BF"/>
    <w:rsid w:val="00230CEB"/>
    <w:rsid w:val="0023141A"/>
    <w:rsid w:val="00232F73"/>
    <w:rsid w:val="00233DD0"/>
    <w:rsid w:val="0023539D"/>
    <w:rsid w:val="00235802"/>
    <w:rsid w:val="002358E2"/>
    <w:rsid w:val="0024198F"/>
    <w:rsid w:val="00242031"/>
    <w:rsid w:val="00244FA3"/>
    <w:rsid w:val="0024638F"/>
    <w:rsid w:val="002512A3"/>
    <w:rsid w:val="00253460"/>
    <w:rsid w:val="00253671"/>
    <w:rsid w:val="00255CE7"/>
    <w:rsid w:val="002565C4"/>
    <w:rsid w:val="00260487"/>
    <w:rsid w:val="002612C8"/>
    <w:rsid w:val="00262389"/>
    <w:rsid w:val="002635F5"/>
    <w:rsid w:val="002656D7"/>
    <w:rsid w:val="00266AFB"/>
    <w:rsid w:val="00266BE0"/>
    <w:rsid w:val="00271567"/>
    <w:rsid w:val="00277D22"/>
    <w:rsid w:val="00280DC6"/>
    <w:rsid w:val="00282B41"/>
    <w:rsid w:val="00283D94"/>
    <w:rsid w:val="00286388"/>
    <w:rsid w:val="00291064"/>
    <w:rsid w:val="0029325D"/>
    <w:rsid w:val="00294FD0"/>
    <w:rsid w:val="0029649D"/>
    <w:rsid w:val="002A0728"/>
    <w:rsid w:val="002A2B40"/>
    <w:rsid w:val="002A4CEC"/>
    <w:rsid w:val="002B1D25"/>
    <w:rsid w:val="002B3AD7"/>
    <w:rsid w:val="002B66D4"/>
    <w:rsid w:val="002B6996"/>
    <w:rsid w:val="002B7204"/>
    <w:rsid w:val="002C0143"/>
    <w:rsid w:val="002C145D"/>
    <w:rsid w:val="002C15C0"/>
    <w:rsid w:val="002C4B50"/>
    <w:rsid w:val="002C5C1C"/>
    <w:rsid w:val="002C6AED"/>
    <w:rsid w:val="002D04D5"/>
    <w:rsid w:val="002D0DB9"/>
    <w:rsid w:val="002D14E3"/>
    <w:rsid w:val="002D1F9F"/>
    <w:rsid w:val="002D42F9"/>
    <w:rsid w:val="002D5F8A"/>
    <w:rsid w:val="002D653B"/>
    <w:rsid w:val="002E1599"/>
    <w:rsid w:val="002E1B81"/>
    <w:rsid w:val="002E1DB5"/>
    <w:rsid w:val="002E212A"/>
    <w:rsid w:val="002F0702"/>
    <w:rsid w:val="002F1999"/>
    <w:rsid w:val="002F25B6"/>
    <w:rsid w:val="002F32EC"/>
    <w:rsid w:val="002F46FA"/>
    <w:rsid w:val="002F6DCE"/>
    <w:rsid w:val="002F72E6"/>
    <w:rsid w:val="002F7EC4"/>
    <w:rsid w:val="00300345"/>
    <w:rsid w:val="003008D8"/>
    <w:rsid w:val="00300CBB"/>
    <w:rsid w:val="00301791"/>
    <w:rsid w:val="003022D0"/>
    <w:rsid w:val="00304CE6"/>
    <w:rsid w:val="0031281E"/>
    <w:rsid w:val="00313C70"/>
    <w:rsid w:val="00320908"/>
    <w:rsid w:val="003213D7"/>
    <w:rsid w:val="00321A41"/>
    <w:rsid w:val="00321B93"/>
    <w:rsid w:val="00321D6A"/>
    <w:rsid w:val="0032434B"/>
    <w:rsid w:val="00325FBD"/>
    <w:rsid w:val="00330402"/>
    <w:rsid w:val="00330CB9"/>
    <w:rsid w:val="003343FE"/>
    <w:rsid w:val="00334E2B"/>
    <w:rsid w:val="00337C4D"/>
    <w:rsid w:val="00342ED8"/>
    <w:rsid w:val="00344F40"/>
    <w:rsid w:val="00345035"/>
    <w:rsid w:val="003473D2"/>
    <w:rsid w:val="0034751E"/>
    <w:rsid w:val="00347558"/>
    <w:rsid w:val="003518B7"/>
    <w:rsid w:val="003530B6"/>
    <w:rsid w:val="0035444D"/>
    <w:rsid w:val="00355B9F"/>
    <w:rsid w:val="00355CAC"/>
    <w:rsid w:val="00357744"/>
    <w:rsid w:val="00360A35"/>
    <w:rsid w:val="003613A3"/>
    <w:rsid w:val="00363D71"/>
    <w:rsid w:val="0036472D"/>
    <w:rsid w:val="00370544"/>
    <w:rsid w:val="0037347D"/>
    <w:rsid w:val="00375062"/>
    <w:rsid w:val="003776E0"/>
    <w:rsid w:val="00381572"/>
    <w:rsid w:val="00382F56"/>
    <w:rsid w:val="003834B3"/>
    <w:rsid w:val="003936B4"/>
    <w:rsid w:val="00394DC2"/>
    <w:rsid w:val="0039776F"/>
    <w:rsid w:val="003A3AC5"/>
    <w:rsid w:val="003A768E"/>
    <w:rsid w:val="003B1BB6"/>
    <w:rsid w:val="003B331B"/>
    <w:rsid w:val="003B3FD5"/>
    <w:rsid w:val="003B6006"/>
    <w:rsid w:val="003C2649"/>
    <w:rsid w:val="003C3914"/>
    <w:rsid w:val="003C3AF1"/>
    <w:rsid w:val="003C7F45"/>
    <w:rsid w:val="003D2187"/>
    <w:rsid w:val="003D3484"/>
    <w:rsid w:val="003D3D01"/>
    <w:rsid w:val="003D6707"/>
    <w:rsid w:val="003D74C8"/>
    <w:rsid w:val="003D7715"/>
    <w:rsid w:val="003E013E"/>
    <w:rsid w:val="003E1ACD"/>
    <w:rsid w:val="003E2018"/>
    <w:rsid w:val="003E3729"/>
    <w:rsid w:val="003E470C"/>
    <w:rsid w:val="003F0D84"/>
    <w:rsid w:val="003F2A17"/>
    <w:rsid w:val="003F2E33"/>
    <w:rsid w:val="003F50BC"/>
    <w:rsid w:val="003F5924"/>
    <w:rsid w:val="003F5E43"/>
    <w:rsid w:val="003F7AA5"/>
    <w:rsid w:val="004029D2"/>
    <w:rsid w:val="00404D9A"/>
    <w:rsid w:val="00405A47"/>
    <w:rsid w:val="004109FA"/>
    <w:rsid w:val="004113D9"/>
    <w:rsid w:val="004115D2"/>
    <w:rsid w:val="004136FA"/>
    <w:rsid w:val="00415AF7"/>
    <w:rsid w:val="00421AC3"/>
    <w:rsid w:val="00423F55"/>
    <w:rsid w:val="004246B8"/>
    <w:rsid w:val="00425286"/>
    <w:rsid w:val="00427726"/>
    <w:rsid w:val="00430B20"/>
    <w:rsid w:val="00431BAD"/>
    <w:rsid w:val="0043665F"/>
    <w:rsid w:val="00437DCC"/>
    <w:rsid w:val="00440CDE"/>
    <w:rsid w:val="00440F66"/>
    <w:rsid w:val="00441181"/>
    <w:rsid w:val="00442946"/>
    <w:rsid w:val="00443950"/>
    <w:rsid w:val="00444ED3"/>
    <w:rsid w:val="00446635"/>
    <w:rsid w:val="004503EA"/>
    <w:rsid w:val="0045258F"/>
    <w:rsid w:val="00454AE8"/>
    <w:rsid w:val="00457050"/>
    <w:rsid w:val="0046127B"/>
    <w:rsid w:val="00461318"/>
    <w:rsid w:val="00462F02"/>
    <w:rsid w:val="00463B4F"/>
    <w:rsid w:val="004640AD"/>
    <w:rsid w:val="004707CE"/>
    <w:rsid w:val="00472C41"/>
    <w:rsid w:val="0047416F"/>
    <w:rsid w:val="0047489D"/>
    <w:rsid w:val="004751F3"/>
    <w:rsid w:val="00476B74"/>
    <w:rsid w:val="00476F7A"/>
    <w:rsid w:val="00480456"/>
    <w:rsid w:val="00481410"/>
    <w:rsid w:val="00482773"/>
    <w:rsid w:val="00482AFF"/>
    <w:rsid w:val="00484710"/>
    <w:rsid w:val="00485F50"/>
    <w:rsid w:val="00487DD2"/>
    <w:rsid w:val="004914B1"/>
    <w:rsid w:val="00495BCA"/>
    <w:rsid w:val="00495D4A"/>
    <w:rsid w:val="00495E46"/>
    <w:rsid w:val="004A129D"/>
    <w:rsid w:val="004A175C"/>
    <w:rsid w:val="004A483E"/>
    <w:rsid w:val="004A59E6"/>
    <w:rsid w:val="004A605F"/>
    <w:rsid w:val="004A6252"/>
    <w:rsid w:val="004A7265"/>
    <w:rsid w:val="004B150D"/>
    <w:rsid w:val="004B2962"/>
    <w:rsid w:val="004B5B4B"/>
    <w:rsid w:val="004B7FF6"/>
    <w:rsid w:val="004C0837"/>
    <w:rsid w:val="004C0F84"/>
    <w:rsid w:val="004C1505"/>
    <w:rsid w:val="004C57AD"/>
    <w:rsid w:val="004D06D7"/>
    <w:rsid w:val="004D4308"/>
    <w:rsid w:val="004E1625"/>
    <w:rsid w:val="004E16E1"/>
    <w:rsid w:val="004E1E2B"/>
    <w:rsid w:val="004E2FD1"/>
    <w:rsid w:val="004E34A3"/>
    <w:rsid w:val="004E4B0E"/>
    <w:rsid w:val="004E5E56"/>
    <w:rsid w:val="004E645C"/>
    <w:rsid w:val="004E6F76"/>
    <w:rsid w:val="004F44A3"/>
    <w:rsid w:val="004F78FD"/>
    <w:rsid w:val="00502950"/>
    <w:rsid w:val="00502C94"/>
    <w:rsid w:val="00505A78"/>
    <w:rsid w:val="00507404"/>
    <w:rsid w:val="00510E11"/>
    <w:rsid w:val="00510FCC"/>
    <w:rsid w:val="0051180F"/>
    <w:rsid w:val="0051276E"/>
    <w:rsid w:val="00512FD9"/>
    <w:rsid w:val="00514B77"/>
    <w:rsid w:val="00516592"/>
    <w:rsid w:val="00517568"/>
    <w:rsid w:val="0051778A"/>
    <w:rsid w:val="0052036D"/>
    <w:rsid w:val="0052280B"/>
    <w:rsid w:val="0052385D"/>
    <w:rsid w:val="0053069E"/>
    <w:rsid w:val="00531EB4"/>
    <w:rsid w:val="00534E90"/>
    <w:rsid w:val="00536735"/>
    <w:rsid w:val="00537917"/>
    <w:rsid w:val="00540946"/>
    <w:rsid w:val="00541E72"/>
    <w:rsid w:val="005424D1"/>
    <w:rsid w:val="0054310E"/>
    <w:rsid w:val="00546112"/>
    <w:rsid w:val="0054727A"/>
    <w:rsid w:val="005502CD"/>
    <w:rsid w:val="00550775"/>
    <w:rsid w:val="0055080B"/>
    <w:rsid w:val="005527FE"/>
    <w:rsid w:val="005530C3"/>
    <w:rsid w:val="00554374"/>
    <w:rsid w:val="00554D76"/>
    <w:rsid w:val="00555796"/>
    <w:rsid w:val="005570DC"/>
    <w:rsid w:val="0056391D"/>
    <w:rsid w:val="0056542C"/>
    <w:rsid w:val="00566928"/>
    <w:rsid w:val="0057234F"/>
    <w:rsid w:val="00574C08"/>
    <w:rsid w:val="0057711A"/>
    <w:rsid w:val="0058290F"/>
    <w:rsid w:val="0058575E"/>
    <w:rsid w:val="00595BA4"/>
    <w:rsid w:val="0059784F"/>
    <w:rsid w:val="005A3E5D"/>
    <w:rsid w:val="005A5749"/>
    <w:rsid w:val="005B31FC"/>
    <w:rsid w:val="005B3951"/>
    <w:rsid w:val="005B5BAC"/>
    <w:rsid w:val="005B6CDC"/>
    <w:rsid w:val="005B7044"/>
    <w:rsid w:val="005B74C4"/>
    <w:rsid w:val="005B74CE"/>
    <w:rsid w:val="005C51F9"/>
    <w:rsid w:val="005C6279"/>
    <w:rsid w:val="005C65E7"/>
    <w:rsid w:val="005C66A2"/>
    <w:rsid w:val="005C7529"/>
    <w:rsid w:val="005D197F"/>
    <w:rsid w:val="005D58A8"/>
    <w:rsid w:val="005E2B15"/>
    <w:rsid w:val="005E3E9A"/>
    <w:rsid w:val="005E6C98"/>
    <w:rsid w:val="005E6E29"/>
    <w:rsid w:val="005F316C"/>
    <w:rsid w:val="005F6015"/>
    <w:rsid w:val="005F7F1B"/>
    <w:rsid w:val="006039BD"/>
    <w:rsid w:val="00603F4F"/>
    <w:rsid w:val="006119D9"/>
    <w:rsid w:val="00611F63"/>
    <w:rsid w:val="0061212B"/>
    <w:rsid w:val="00614A1D"/>
    <w:rsid w:val="00622A4E"/>
    <w:rsid w:val="00622BD8"/>
    <w:rsid w:val="00622E2C"/>
    <w:rsid w:val="00625DB2"/>
    <w:rsid w:val="00626B2C"/>
    <w:rsid w:val="006271F3"/>
    <w:rsid w:val="006272DA"/>
    <w:rsid w:val="0062779D"/>
    <w:rsid w:val="0063395A"/>
    <w:rsid w:val="0063499E"/>
    <w:rsid w:val="00635A63"/>
    <w:rsid w:val="006374A8"/>
    <w:rsid w:val="006375D5"/>
    <w:rsid w:val="00642C53"/>
    <w:rsid w:val="00645E72"/>
    <w:rsid w:val="0065037B"/>
    <w:rsid w:val="0065197F"/>
    <w:rsid w:val="0065633F"/>
    <w:rsid w:val="00656B44"/>
    <w:rsid w:val="006579DA"/>
    <w:rsid w:val="00660378"/>
    <w:rsid w:val="006619FC"/>
    <w:rsid w:val="00661DD3"/>
    <w:rsid w:val="00665260"/>
    <w:rsid w:val="00665F60"/>
    <w:rsid w:val="006665A4"/>
    <w:rsid w:val="0066700F"/>
    <w:rsid w:val="00672D6C"/>
    <w:rsid w:val="00676DFF"/>
    <w:rsid w:val="00676F5B"/>
    <w:rsid w:val="006833D2"/>
    <w:rsid w:val="00683EB9"/>
    <w:rsid w:val="00684288"/>
    <w:rsid w:val="00685403"/>
    <w:rsid w:val="00685824"/>
    <w:rsid w:val="00690552"/>
    <w:rsid w:val="0069570E"/>
    <w:rsid w:val="00695B0F"/>
    <w:rsid w:val="00695C54"/>
    <w:rsid w:val="006A0B0A"/>
    <w:rsid w:val="006A1F0B"/>
    <w:rsid w:val="006A4036"/>
    <w:rsid w:val="006A4ED0"/>
    <w:rsid w:val="006A6779"/>
    <w:rsid w:val="006A6EE0"/>
    <w:rsid w:val="006A715E"/>
    <w:rsid w:val="006B12B5"/>
    <w:rsid w:val="006B2A3B"/>
    <w:rsid w:val="006B2EA9"/>
    <w:rsid w:val="006B3195"/>
    <w:rsid w:val="006B3E37"/>
    <w:rsid w:val="006B6DDE"/>
    <w:rsid w:val="006B7C4E"/>
    <w:rsid w:val="006C14D7"/>
    <w:rsid w:val="006D1142"/>
    <w:rsid w:val="006D51AD"/>
    <w:rsid w:val="006E0824"/>
    <w:rsid w:val="006E18A4"/>
    <w:rsid w:val="006E2112"/>
    <w:rsid w:val="006E3BA3"/>
    <w:rsid w:val="006E5507"/>
    <w:rsid w:val="006E6A11"/>
    <w:rsid w:val="006F1CED"/>
    <w:rsid w:val="006F2B5A"/>
    <w:rsid w:val="006F2E1B"/>
    <w:rsid w:val="006F39BF"/>
    <w:rsid w:val="006F623C"/>
    <w:rsid w:val="006F6A34"/>
    <w:rsid w:val="006F7516"/>
    <w:rsid w:val="00700297"/>
    <w:rsid w:val="007005FB"/>
    <w:rsid w:val="00701260"/>
    <w:rsid w:val="00702FE0"/>
    <w:rsid w:val="00703AC5"/>
    <w:rsid w:val="00703FA3"/>
    <w:rsid w:val="007076F9"/>
    <w:rsid w:val="00711BD4"/>
    <w:rsid w:val="00711CC1"/>
    <w:rsid w:val="0071213C"/>
    <w:rsid w:val="007152B4"/>
    <w:rsid w:val="00715858"/>
    <w:rsid w:val="007161ED"/>
    <w:rsid w:val="007238FD"/>
    <w:rsid w:val="00726008"/>
    <w:rsid w:val="0072636F"/>
    <w:rsid w:val="007278DE"/>
    <w:rsid w:val="00731917"/>
    <w:rsid w:val="00734C03"/>
    <w:rsid w:val="007426F3"/>
    <w:rsid w:val="0074346F"/>
    <w:rsid w:val="00743ABF"/>
    <w:rsid w:val="007444B0"/>
    <w:rsid w:val="00746990"/>
    <w:rsid w:val="00746B22"/>
    <w:rsid w:val="0075008A"/>
    <w:rsid w:val="00750AB2"/>
    <w:rsid w:val="007518B8"/>
    <w:rsid w:val="00754982"/>
    <w:rsid w:val="00757775"/>
    <w:rsid w:val="00757E6A"/>
    <w:rsid w:val="00757F82"/>
    <w:rsid w:val="00760346"/>
    <w:rsid w:val="00760DB8"/>
    <w:rsid w:val="00760F3C"/>
    <w:rsid w:val="00764066"/>
    <w:rsid w:val="00765707"/>
    <w:rsid w:val="00766150"/>
    <w:rsid w:val="00770F8C"/>
    <w:rsid w:val="00771812"/>
    <w:rsid w:val="00776EA7"/>
    <w:rsid w:val="0077725A"/>
    <w:rsid w:val="00780D1F"/>
    <w:rsid w:val="00782B07"/>
    <w:rsid w:val="00786E43"/>
    <w:rsid w:val="00793BB8"/>
    <w:rsid w:val="00793C74"/>
    <w:rsid w:val="00795CB1"/>
    <w:rsid w:val="00795D02"/>
    <w:rsid w:val="007A5D47"/>
    <w:rsid w:val="007A62B9"/>
    <w:rsid w:val="007B00EF"/>
    <w:rsid w:val="007B022C"/>
    <w:rsid w:val="007B13FF"/>
    <w:rsid w:val="007B2434"/>
    <w:rsid w:val="007B2B0A"/>
    <w:rsid w:val="007B3B45"/>
    <w:rsid w:val="007B5012"/>
    <w:rsid w:val="007B5806"/>
    <w:rsid w:val="007B5CF8"/>
    <w:rsid w:val="007B6782"/>
    <w:rsid w:val="007B6BE8"/>
    <w:rsid w:val="007C1FD2"/>
    <w:rsid w:val="007C254E"/>
    <w:rsid w:val="007D243A"/>
    <w:rsid w:val="007E1352"/>
    <w:rsid w:val="007E39FF"/>
    <w:rsid w:val="007E3B7B"/>
    <w:rsid w:val="007E64DB"/>
    <w:rsid w:val="007F0A77"/>
    <w:rsid w:val="007F0B2E"/>
    <w:rsid w:val="007F0C05"/>
    <w:rsid w:val="007F1049"/>
    <w:rsid w:val="007F21C6"/>
    <w:rsid w:val="007F5490"/>
    <w:rsid w:val="007F689A"/>
    <w:rsid w:val="007F754B"/>
    <w:rsid w:val="007F7F9B"/>
    <w:rsid w:val="00800E72"/>
    <w:rsid w:val="00802DDD"/>
    <w:rsid w:val="00804426"/>
    <w:rsid w:val="00804B73"/>
    <w:rsid w:val="00806A9C"/>
    <w:rsid w:val="008079CE"/>
    <w:rsid w:val="00813FA2"/>
    <w:rsid w:val="008148E1"/>
    <w:rsid w:val="00815742"/>
    <w:rsid w:val="00822F69"/>
    <w:rsid w:val="008237DA"/>
    <w:rsid w:val="0082443C"/>
    <w:rsid w:val="008248DA"/>
    <w:rsid w:val="00831B56"/>
    <w:rsid w:val="008329DB"/>
    <w:rsid w:val="00833401"/>
    <w:rsid w:val="00835342"/>
    <w:rsid w:val="00840486"/>
    <w:rsid w:val="00840C6F"/>
    <w:rsid w:val="00845589"/>
    <w:rsid w:val="0084624F"/>
    <w:rsid w:val="00853612"/>
    <w:rsid w:val="0085655B"/>
    <w:rsid w:val="00856EC2"/>
    <w:rsid w:val="008637D9"/>
    <w:rsid w:val="0086591A"/>
    <w:rsid w:val="00866B85"/>
    <w:rsid w:val="008713EF"/>
    <w:rsid w:val="008725EC"/>
    <w:rsid w:val="00872A70"/>
    <w:rsid w:val="00874DB7"/>
    <w:rsid w:val="008813AA"/>
    <w:rsid w:val="00882FA4"/>
    <w:rsid w:val="008840C5"/>
    <w:rsid w:val="0088443C"/>
    <w:rsid w:val="008850FA"/>
    <w:rsid w:val="008903F8"/>
    <w:rsid w:val="00893261"/>
    <w:rsid w:val="0089492A"/>
    <w:rsid w:val="00895C11"/>
    <w:rsid w:val="00896C2F"/>
    <w:rsid w:val="008A1108"/>
    <w:rsid w:val="008A2DD0"/>
    <w:rsid w:val="008A4278"/>
    <w:rsid w:val="008B0BAE"/>
    <w:rsid w:val="008B75B6"/>
    <w:rsid w:val="008C1DF9"/>
    <w:rsid w:val="008C4FB7"/>
    <w:rsid w:val="008C5AA1"/>
    <w:rsid w:val="008C628B"/>
    <w:rsid w:val="008C7489"/>
    <w:rsid w:val="008D3A23"/>
    <w:rsid w:val="008E0D11"/>
    <w:rsid w:val="008E5122"/>
    <w:rsid w:val="008E66A0"/>
    <w:rsid w:val="008E70DF"/>
    <w:rsid w:val="008E7578"/>
    <w:rsid w:val="008F20BB"/>
    <w:rsid w:val="008F39E9"/>
    <w:rsid w:val="008F4217"/>
    <w:rsid w:val="008F4AB4"/>
    <w:rsid w:val="008F642E"/>
    <w:rsid w:val="008F6B7C"/>
    <w:rsid w:val="008F6CA0"/>
    <w:rsid w:val="00904AAE"/>
    <w:rsid w:val="00911449"/>
    <w:rsid w:val="0091187D"/>
    <w:rsid w:val="0091258F"/>
    <w:rsid w:val="00913DC1"/>
    <w:rsid w:val="00915DD5"/>
    <w:rsid w:val="00920F77"/>
    <w:rsid w:val="00922467"/>
    <w:rsid w:val="0092716C"/>
    <w:rsid w:val="00927AFD"/>
    <w:rsid w:val="00930C47"/>
    <w:rsid w:val="00930D58"/>
    <w:rsid w:val="00934B86"/>
    <w:rsid w:val="0093515F"/>
    <w:rsid w:val="009367EB"/>
    <w:rsid w:val="009417AE"/>
    <w:rsid w:val="0094662D"/>
    <w:rsid w:val="00946F83"/>
    <w:rsid w:val="00947DA4"/>
    <w:rsid w:val="009502AD"/>
    <w:rsid w:val="00951F7A"/>
    <w:rsid w:val="009560C5"/>
    <w:rsid w:val="0096505F"/>
    <w:rsid w:val="0096531D"/>
    <w:rsid w:val="00966B91"/>
    <w:rsid w:val="009670CA"/>
    <w:rsid w:val="00967490"/>
    <w:rsid w:val="0096770C"/>
    <w:rsid w:val="00967C2B"/>
    <w:rsid w:val="00967F88"/>
    <w:rsid w:val="00970040"/>
    <w:rsid w:val="009705C8"/>
    <w:rsid w:val="009714FD"/>
    <w:rsid w:val="009738FC"/>
    <w:rsid w:val="009800B5"/>
    <w:rsid w:val="009872E0"/>
    <w:rsid w:val="00990061"/>
    <w:rsid w:val="00991905"/>
    <w:rsid w:val="00995D32"/>
    <w:rsid w:val="00995E69"/>
    <w:rsid w:val="009A0947"/>
    <w:rsid w:val="009A0C91"/>
    <w:rsid w:val="009A271C"/>
    <w:rsid w:val="009A2F15"/>
    <w:rsid w:val="009A3196"/>
    <w:rsid w:val="009A4603"/>
    <w:rsid w:val="009A4833"/>
    <w:rsid w:val="009A62A2"/>
    <w:rsid w:val="009A73DB"/>
    <w:rsid w:val="009A7F59"/>
    <w:rsid w:val="009B16F8"/>
    <w:rsid w:val="009B1D25"/>
    <w:rsid w:val="009B29A3"/>
    <w:rsid w:val="009B6D9F"/>
    <w:rsid w:val="009C2695"/>
    <w:rsid w:val="009C52E2"/>
    <w:rsid w:val="009C6E16"/>
    <w:rsid w:val="009D3C1F"/>
    <w:rsid w:val="009D6FED"/>
    <w:rsid w:val="009E05CF"/>
    <w:rsid w:val="009E2B4C"/>
    <w:rsid w:val="009E5421"/>
    <w:rsid w:val="009E61D7"/>
    <w:rsid w:val="009E671F"/>
    <w:rsid w:val="009E7BF6"/>
    <w:rsid w:val="009E7E17"/>
    <w:rsid w:val="009F16D0"/>
    <w:rsid w:val="009F16E7"/>
    <w:rsid w:val="009F38EB"/>
    <w:rsid w:val="009F4396"/>
    <w:rsid w:val="009F503E"/>
    <w:rsid w:val="009F617A"/>
    <w:rsid w:val="009F69FF"/>
    <w:rsid w:val="009F7132"/>
    <w:rsid w:val="00A00C05"/>
    <w:rsid w:val="00A01C80"/>
    <w:rsid w:val="00A049F2"/>
    <w:rsid w:val="00A07F38"/>
    <w:rsid w:val="00A130A9"/>
    <w:rsid w:val="00A174F5"/>
    <w:rsid w:val="00A2087D"/>
    <w:rsid w:val="00A209DB"/>
    <w:rsid w:val="00A21FAD"/>
    <w:rsid w:val="00A25603"/>
    <w:rsid w:val="00A330A1"/>
    <w:rsid w:val="00A342D2"/>
    <w:rsid w:val="00A36924"/>
    <w:rsid w:val="00A37429"/>
    <w:rsid w:val="00A426C5"/>
    <w:rsid w:val="00A44F58"/>
    <w:rsid w:val="00A45B6D"/>
    <w:rsid w:val="00A51241"/>
    <w:rsid w:val="00A52A67"/>
    <w:rsid w:val="00A54898"/>
    <w:rsid w:val="00A560F0"/>
    <w:rsid w:val="00A576F5"/>
    <w:rsid w:val="00A57834"/>
    <w:rsid w:val="00A578E3"/>
    <w:rsid w:val="00A6623B"/>
    <w:rsid w:val="00A67AC3"/>
    <w:rsid w:val="00A75358"/>
    <w:rsid w:val="00A7776A"/>
    <w:rsid w:val="00A77ED5"/>
    <w:rsid w:val="00A85451"/>
    <w:rsid w:val="00A900A0"/>
    <w:rsid w:val="00A90C64"/>
    <w:rsid w:val="00A9137E"/>
    <w:rsid w:val="00A936C5"/>
    <w:rsid w:val="00A93C7F"/>
    <w:rsid w:val="00A96550"/>
    <w:rsid w:val="00A97D7C"/>
    <w:rsid w:val="00AA12EC"/>
    <w:rsid w:val="00AA3726"/>
    <w:rsid w:val="00AA3EF2"/>
    <w:rsid w:val="00AA4B36"/>
    <w:rsid w:val="00AA4EC1"/>
    <w:rsid w:val="00AA7B4C"/>
    <w:rsid w:val="00AB7CBF"/>
    <w:rsid w:val="00AB7D8A"/>
    <w:rsid w:val="00AC083F"/>
    <w:rsid w:val="00AC108E"/>
    <w:rsid w:val="00AC3575"/>
    <w:rsid w:val="00AC36EA"/>
    <w:rsid w:val="00AC5187"/>
    <w:rsid w:val="00AC5490"/>
    <w:rsid w:val="00AC6716"/>
    <w:rsid w:val="00AD0376"/>
    <w:rsid w:val="00AD1B71"/>
    <w:rsid w:val="00AD3B6A"/>
    <w:rsid w:val="00AD677A"/>
    <w:rsid w:val="00AD79BF"/>
    <w:rsid w:val="00AE154D"/>
    <w:rsid w:val="00AE2500"/>
    <w:rsid w:val="00AE2994"/>
    <w:rsid w:val="00AE5ED4"/>
    <w:rsid w:val="00AE7ACC"/>
    <w:rsid w:val="00AF350F"/>
    <w:rsid w:val="00B012FC"/>
    <w:rsid w:val="00B02F4C"/>
    <w:rsid w:val="00B03D12"/>
    <w:rsid w:val="00B04A58"/>
    <w:rsid w:val="00B04F24"/>
    <w:rsid w:val="00B0501B"/>
    <w:rsid w:val="00B07163"/>
    <w:rsid w:val="00B10568"/>
    <w:rsid w:val="00B1089E"/>
    <w:rsid w:val="00B12A27"/>
    <w:rsid w:val="00B13259"/>
    <w:rsid w:val="00B159E2"/>
    <w:rsid w:val="00B167C2"/>
    <w:rsid w:val="00B20CC5"/>
    <w:rsid w:val="00B21BB3"/>
    <w:rsid w:val="00B22BD0"/>
    <w:rsid w:val="00B22DE3"/>
    <w:rsid w:val="00B33D6B"/>
    <w:rsid w:val="00B37655"/>
    <w:rsid w:val="00B37686"/>
    <w:rsid w:val="00B42819"/>
    <w:rsid w:val="00B436D4"/>
    <w:rsid w:val="00B46BC0"/>
    <w:rsid w:val="00B474C4"/>
    <w:rsid w:val="00B475AA"/>
    <w:rsid w:val="00B52204"/>
    <w:rsid w:val="00B54416"/>
    <w:rsid w:val="00B5650A"/>
    <w:rsid w:val="00B60325"/>
    <w:rsid w:val="00B60658"/>
    <w:rsid w:val="00B63BEE"/>
    <w:rsid w:val="00B63FDD"/>
    <w:rsid w:val="00B735BA"/>
    <w:rsid w:val="00B73D9C"/>
    <w:rsid w:val="00B76E09"/>
    <w:rsid w:val="00B834B0"/>
    <w:rsid w:val="00B83C07"/>
    <w:rsid w:val="00B93B25"/>
    <w:rsid w:val="00B93CBB"/>
    <w:rsid w:val="00B9517F"/>
    <w:rsid w:val="00B953AD"/>
    <w:rsid w:val="00BA283D"/>
    <w:rsid w:val="00BA32F4"/>
    <w:rsid w:val="00BA375C"/>
    <w:rsid w:val="00BA6432"/>
    <w:rsid w:val="00BB0A7A"/>
    <w:rsid w:val="00BB1472"/>
    <w:rsid w:val="00BB34CD"/>
    <w:rsid w:val="00BB4D5D"/>
    <w:rsid w:val="00BC1ABE"/>
    <w:rsid w:val="00BC2ED3"/>
    <w:rsid w:val="00BD3EBB"/>
    <w:rsid w:val="00BD5064"/>
    <w:rsid w:val="00BE0386"/>
    <w:rsid w:val="00BE0590"/>
    <w:rsid w:val="00BE123F"/>
    <w:rsid w:val="00BE71F1"/>
    <w:rsid w:val="00BE7D75"/>
    <w:rsid w:val="00BF1B89"/>
    <w:rsid w:val="00BF45C5"/>
    <w:rsid w:val="00BF5342"/>
    <w:rsid w:val="00C00ED7"/>
    <w:rsid w:val="00C01003"/>
    <w:rsid w:val="00C03561"/>
    <w:rsid w:val="00C04F30"/>
    <w:rsid w:val="00C07C15"/>
    <w:rsid w:val="00C101FC"/>
    <w:rsid w:val="00C10CF2"/>
    <w:rsid w:val="00C113FE"/>
    <w:rsid w:val="00C14A17"/>
    <w:rsid w:val="00C154EB"/>
    <w:rsid w:val="00C20CAF"/>
    <w:rsid w:val="00C21CD3"/>
    <w:rsid w:val="00C21FC5"/>
    <w:rsid w:val="00C25942"/>
    <w:rsid w:val="00C25E6B"/>
    <w:rsid w:val="00C30D5F"/>
    <w:rsid w:val="00C313A9"/>
    <w:rsid w:val="00C3144B"/>
    <w:rsid w:val="00C32E40"/>
    <w:rsid w:val="00C41616"/>
    <w:rsid w:val="00C43844"/>
    <w:rsid w:val="00C521AA"/>
    <w:rsid w:val="00C52F95"/>
    <w:rsid w:val="00C6409A"/>
    <w:rsid w:val="00C642EE"/>
    <w:rsid w:val="00C66897"/>
    <w:rsid w:val="00C6731F"/>
    <w:rsid w:val="00C673DC"/>
    <w:rsid w:val="00C751AF"/>
    <w:rsid w:val="00C76599"/>
    <w:rsid w:val="00C82016"/>
    <w:rsid w:val="00C83B4B"/>
    <w:rsid w:val="00C83D16"/>
    <w:rsid w:val="00C84A18"/>
    <w:rsid w:val="00C85A6E"/>
    <w:rsid w:val="00C90AA1"/>
    <w:rsid w:val="00C93568"/>
    <w:rsid w:val="00C94A84"/>
    <w:rsid w:val="00C96941"/>
    <w:rsid w:val="00C96EA4"/>
    <w:rsid w:val="00C97016"/>
    <w:rsid w:val="00CA09E8"/>
    <w:rsid w:val="00CA21D8"/>
    <w:rsid w:val="00CA3F6E"/>
    <w:rsid w:val="00CB04A1"/>
    <w:rsid w:val="00CB0550"/>
    <w:rsid w:val="00CB277E"/>
    <w:rsid w:val="00CB6642"/>
    <w:rsid w:val="00CB7071"/>
    <w:rsid w:val="00CB7D07"/>
    <w:rsid w:val="00CC4131"/>
    <w:rsid w:val="00CC4A72"/>
    <w:rsid w:val="00CD1C8C"/>
    <w:rsid w:val="00CD1DA3"/>
    <w:rsid w:val="00CD3998"/>
    <w:rsid w:val="00CD7F8A"/>
    <w:rsid w:val="00CE02C8"/>
    <w:rsid w:val="00CE2D9A"/>
    <w:rsid w:val="00CE434F"/>
    <w:rsid w:val="00CF4842"/>
    <w:rsid w:val="00CF550C"/>
    <w:rsid w:val="00CF768E"/>
    <w:rsid w:val="00CF7BB1"/>
    <w:rsid w:val="00D00BE6"/>
    <w:rsid w:val="00D036A1"/>
    <w:rsid w:val="00D03CF7"/>
    <w:rsid w:val="00D07359"/>
    <w:rsid w:val="00D07796"/>
    <w:rsid w:val="00D078BE"/>
    <w:rsid w:val="00D079E6"/>
    <w:rsid w:val="00D13F8A"/>
    <w:rsid w:val="00D15E47"/>
    <w:rsid w:val="00D1612F"/>
    <w:rsid w:val="00D1655D"/>
    <w:rsid w:val="00D16F7E"/>
    <w:rsid w:val="00D23512"/>
    <w:rsid w:val="00D239DB"/>
    <w:rsid w:val="00D242CB"/>
    <w:rsid w:val="00D30416"/>
    <w:rsid w:val="00D318D9"/>
    <w:rsid w:val="00D31A6B"/>
    <w:rsid w:val="00D36B41"/>
    <w:rsid w:val="00D36D5D"/>
    <w:rsid w:val="00D407C2"/>
    <w:rsid w:val="00D409DA"/>
    <w:rsid w:val="00D42712"/>
    <w:rsid w:val="00D443A2"/>
    <w:rsid w:val="00D452E1"/>
    <w:rsid w:val="00D4534C"/>
    <w:rsid w:val="00D47102"/>
    <w:rsid w:val="00D47DFE"/>
    <w:rsid w:val="00D535F6"/>
    <w:rsid w:val="00D537CB"/>
    <w:rsid w:val="00D53F63"/>
    <w:rsid w:val="00D550BA"/>
    <w:rsid w:val="00D57B35"/>
    <w:rsid w:val="00D6032A"/>
    <w:rsid w:val="00D60CAD"/>
    <w:rsid w:val="00D62A47"/>
    <w:rsid w:val="00D66DD3"/>
    <w:rsid w:val="00D6772C"/>
    <w:rsid w:val="00D70215"/>
    <w:rsid w:val="00D7689F"/>
    <w:rsid w:val="00D7704D"/>
    <w:rsid w:val="00D83732"/>
    <w:rsid w:val="00D85518"/>
    <w:rsid w:val="00D86534"/>
    <w:rsid w:val="00D87047"/>
    <w:rsid w:val="00D87BEC"/>
    <w:rsid w:val="00D90336"/>
    <w:rsid w:val="00D911C8"/>
    <w:rsid w:val="00D918D5"/>
    <w:rsid w:val="00D93F95"/>
    <w:rsid w:val="00D968B3"/>
    <w:rsid w:val="00DA0BA3"/>
    <w:rsid w:val="00DA53F4"/>
    <w:rsid w:val="00DB0D5C"/>
    <w:rsid w:val="00DB1C08"/>
    <w:rsid w:val="00DB1C26"/>
    <w:rsid w:val="00DC19AE"/>
    <w:rsid w:val="00DC1BD5"/>
    <w:rsid w:val="00DD1DD8"/>
    <w:rsid w:val="00DD28E1"/>
    <w:rsid w:val="00DD333D"/>
    <w:rsid w:val="00DD45E2"/>
    <w:rsid w:val="00DE334F"/>
    <w:rsid w:val="00DE78C9"/>
    <w:rsid w:val="00DE7E0D"/>
    <w:rsid w:val="00DF0AD9"/>
    <w:rsid w:val="00DF1F30"/>
    <w:rsid w:val="00DF29BA"/>
    <w:rsid w:val="00DF428A"/>
    <w:rsid w:val="00E00801"/>
    <w:rsid w:val="00E0134C"/>
    <w:rsid w:val="00E02968"/>
    <w:rsid w:val="00E05328"/>
    <w:rsid w:val="00E05866"/>
    <w:rsid w:val="00E05B80"/>
    <w:rsid w:val="00E06B0E"/>
    <w:rsid w:val="00E119E6"/>
    <w:rsid w:val="00E23F35"/>
    <w:rsid w:val="00E2400D"/>
    <w:rsid w:val="00E245C8"/>
    <w:rsid w:val="00E260B4"/>
    <w:rsid w:val="00E317F0"/>
    <w:rsid w:val="00E326D4"/>
    <w:rsid w:val="00E32B41"/>
    <w:rsid w:val="00E33137"/>
    <w:rsid w:val="00E33325"/>
    <w:rsid w:val="00E36259"/>
    <w:rsid w:val="00E4089A"/>
    <w:rsid w:val="00E42057"/>
    <w:rsid w:val="00E4571C"/>
    <w:rsid w:val="00E4575C"/>
    <w:rsid w:val="00E46653"/>
    <w:rsid w:val="00E471AF"/>
    <w:rsid w:val="00E51BF7"/>
    <w:rsid w:val="00E53423"/>
    <w:rsid w:val="00E53D3F"/>
    <w:rsid w:val="00E54976"/>
    <w:rsid w:val="00E54AA7"/>
    <w:rsid w:val="00E550AF"/>
    <w:rsid w:val="00E55A65"/>
    <w:rsid w:val="00E5638E"/>
    <w:rsid w:val="00E56F45"/>
    <w:rsid w:val="00E60EF2"/>
    <w:rsid w:val="00E62378"/>
    <w:rsid w:val="00E64CB0"/>
    <w:rsid w:val="00E65302"/>
    <w:rsid w:val="00E667D9"/>
    <w:rsid w:val="00E6711E"/>
    <w:rsid w:val="00E70A38"/>
    <w:rsid w:val="00E711F1"/>
    <w:rsid w:val="00E71D49"/>
    <w:rsid w:val="00E7335C"/>
    <w:rsid w:val="00E73972"/>
    <w:rsid w:val="00E76F97"/>
    <w:rsid w:val="00E800C8"/>
    <w:rsid w:val="00E865BF"/>
    <w:rsid w:val="00E91E4D"/>
    <w:rsid w:val="00E93C03"/>
    <w:rsid w:val="00E963AF"/>
    <w:rsid w:val="00E973FF"/>
    <w:rsid w:val="00E975DE"/>
    <w:rsid w:val="00EA1051"/>
    <w:rsid w:val="00EA1803"/>
    <w:rsid w:val="00EA18E2"/>
    <w:rsid w:val="00EA33DA"/>
    <w:rsid w:val="00EA5E6A"/>
    <w:rsid w:val="00EA673F"/>
    <w:rsid w:val="00EB1673"/>
    <w:rsid w:val="00EB1AB3"/>
    <w:rsid w:val="00EC1CE2"/>
    <w:rsid w:val="00EC73A5"/>
    <w:rsid w:val="00ED2038"/>
    <w:rsid w:val="00ED2350"/>
    <w:rsid w:val="00ED5ACD"/>
    <w:rsid w:val="00EE0878"/>
    <w:rsid w:val="00EE31CD"/>
    <w:rsid w:val="00EE54F5"/>
    <w:rsid w:val="00EF0D6A"/>
    <w:rsid w:val="00EF1EF4"/>
    <w:rsid w:val="00EF2A26"/>
    <w:rsid w:val="00F01041"/>
    <w:rsid w:val="00F02AEC"/>
    <w:rsid w:val="00F04479"/>
    <w:rsid w:val="00F12123"/>
    <w:rsid w:val="00F1599E"/>
    <w:rsid w:val="00F233CD"/>
    <w:rsid w:val="00F2503C"/>
    <w:rsid w:val="00F26C22"/>
    <w:rsid w:val="00F274AB"/>
    <w:rsid w:val="00F27D1A"/>
    <w:rsid w:val="00F379AB"/>
    <w:rsid w:val="00F418D6"/>
    <w:rsid w:val="00F43BE0"/>
    <w:rsid w:val="00F44A12"/>
    <w:rsid w:val="00F45230"/>
    <w:rsid w:val="00F50D10"/>
    <w:rsid w:val="00F52D24"/>
    <w:rsid w:val="00F52DB0"/>
    <w:rsid w:val="00F57246"/>
    <w:rsid w:val="00F6267E"/>
    <w:rsid w:val="00F67BCE"/>
    <w:rsid w:val="00F70F40"/>
    <w:rsid w:val="00F76923"/>
    <w:rsid w:val="00F77A19"/>
    <w:rsid w:val="00F81AEA"/>
    <w:rsid w:val="00F83829"/>
    <w:rsid w:val="00F855BB"/>
    <w:rsid w:val="00F9005C"/>
    <w:rsid w:val="00F92AAF"/>
    <w:rsid w:val="00F95C38"/>
    <w:rsid w:val="00FA49C3"/>
    <w:rsid w:val="00FA56CF"/>
    <w:rsid w:val="00FA5EE3"/>
    <w:rsid w:val="00FA70E4"/>
    <w:rsid w:val="00FB0B51"/>
    <w:rsid w:val="00FB1714"/>
    <w:rsid w:val="00FB356C"/>
    <w:rsid w:val="00FB6920"/>
    <w:rsid w:val="00FB6E0B"/>
    <w:rsid w:val="00FC1EB4"/>
    <w:rsid w:val="00FC235A"/>
    <w:rsid w:val="00FC64EF"/>
    <w:rsid w:val="00FC7376"/>
    <w:rsid w:val="00FD4C76"/>
    <w:rsid w:val="00FD7C00"/>
    <w:rsid w:val="00FE084C"/>
    <w:rsid w:val="00FE1EF7"/>
    <w:rsid w:val="00FF0D73"/>
    <w:rsid w:val="00FF1BB1"/>
    <w:rsid w:val="00FF49C0"/>
    <w:rsid w:val="00FF51B9"/>
    <w:rsid w:val="00FF5742"/>
    <w:rsid w:val="00FF7A1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15"/>
    <w:rPr>
      <w:rFonts w:ascii="Arial" w:hAnsi="Arial"/>
      <w:color w:val="000000" w:themeColor="text1"/>
      <w:szCs w:val="22"/>
    </w:rPr>
  </w:style>
  <w:style w:type="paragraph" w:styleId="Heading1">
    <w:name w:val="heading 1"/>
    <w:basedOn w:val="Normal"/>
    <w:next w:val="Normal"/>
    <w:link w:val="Heading1Char"/>
    <w:uiPriority w:val="9"/>
    <w:qFormat/>
    <w:rsid w:val="000007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SmartHyperlink"/>
    <w:uiPriority w:val="99"/>
    <w:unhideWhenUsed/>
    <w:qFormat/>
    <w:rsid w:val="00147015"/>
    <w:rPr>
      <w:rFonts w:ascii="Arial" w:hAnsi="Arial"/>
      <w:color w:val="0000FF"/>
      <w:sz w:val="20"/>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595BA4"/>
    <w:pPr>
      <w:numPr>
        <w:numId w:val="39"/>
      </w:numPr>
      <w:spacing w:before="180" w:after="180" w:line="240" w:lineRule="atLeast"/>
    </w:pPr>
    <w:rPr>
      <w:rFonts w:eastAsia="Cambria" w:cs="Arial"/>
    </w:rPr>
  </w:style>
  <w:style w:type="paragraph" w:styleId="ListBullet2">
    <w:name w:val="List Bullet 2"/>
    <w:basedOn w:val="Normal"/>
    <w:autoRedefine/>
    <w:uiPriority w:val="2"/>
    <w:qFormat/>
    <w:rsid w:val="00BE0386"/>
    <w:pPr>
      <w:numPr>
        <w:ilvl w:val="1"/>
        <w:numId w:val="1"/>
      </w:numPr>
      <w:spacing w:before="120" w:after="180" w:line="240" w:lineRule="atLeast"/>
      <w:ind w:left="850" w:hanging="425"/>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7"/>
      </w:numPr>
    </w:pPr>
  </w:style>
  <w:style w:type="paragraph" w:customStyle="1" w:styleId="Numberbullet0">
    <w:name w:val="Number bullet"/>
    <w:basedOn w:val="ListBullet"/>
    <w:autoRedefine/>
    <w:uiPriority w:val="3"/>
    <w:qFormat/>
    <w:rsid w:val="00B46BC0"/>
    <w:pPr>
      <w:ind w:left="851" w:hanging="426"/>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4E6F76"/>
    <w:pPr>
      <w:keepNext/>
      <w:keepLines/>
      <w:tabs>
        <w:tab w:val="right" w:leader="underscore" w:pos="8505"/>
      </w:tabs>
      <w:spacing w:before="120" w:after="200" w:line="240" w:lineRule="auto"/>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9F4396"/>
    <w:pPr>
      <w:numPr>
        <w:numId w:val="10"/>
      </w:numPr>
      <w:spacing w:before="120" w:after="0" w:line="240" w:lineRule="atLeast"/>
      <w:ind w:left="993" w:hanging="357"/>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table" w:customStyle="1" w:styleId="TableTGAblue">
    <w:name w:val="Table TGA blue"/>
    <w:basedOn w:val="TableNormal"/>
    <w:uiPriority w:val="99"/>
    <w:qFormat/>
    <w:rsid w:val="00E64CB0"/>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paragraph">
    <w:name w:val="paragraph"/>
    <w:basedOn w:val="Normal"/>
    <w:rsid w:val="00E70A3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1">
    <w:name w:val="Table TGA blue1"/>
    <w:basedOn w:val="TableTGAblue"/>
    <w:uiPriority w:val="99"/>
    <w:qFormat/>
    <w:rsid w:val="003C3AF1"/>
    <w:pPr>
      <w:spacing w:after="0" w:line="240" w:lineRule="auto"/>
    </w:pPr>
    <w:rPr>
      <w:rFonts w:ascii="Arial" w:hAnsi="Arial" w:cs="Times New Roman"/>
      <w:color w:val="000000"/>
      <w:sz w:val="20"/>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blStylePr w:type="firstRow">
      <w:pPr>
        <w:keepNext/>
        <w:wordWrap/>
      </w:pPr>
      <w:rPr>
        <w:rFonts w:ascii="Cambria" w:hAnsi="Cambria"/>
        <w:b/>
        <w:color w:val="FFFFFF"/>
        <w:sz w:val="22"/>
      </w:rPr>
      <w:tblPr/>
      <w:trPr>
        <w:cantSplit/>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AlphaList">
    <w:name w:val="Alpha List"/>
    <w:basedOn w:val="ListParagraph"/>
    <w:link w:val="AlphaListChar"/>
    <w:qFormat/>
    <w:rsid w:val="00320908"/>
    <w:pPr>
      <w:numPr>
        <w:numId w:val="13"/>
      </w:numPr>
      <w:ind w:left="1134"/>
    </w:pPr>
  </w:style>
  <w:style w:type="character" w:customStyle="1" w:styleId="eop">
    <w:name w:val="eop"/>
    <w:basedOn w:val="DefaultParagraphFont"/>
    <w:rsid w:val="00E54AA7"/>
  </w:style>
  <w:style w:type="character" w:styleId="SmartHyperlink">
    <w:name w:val="Smart Hyperlink"/>
    <w:basedOn w:val="DefaultParagraphFont"/>
    <w:uiPriority w:val="99"/>
    <w:semiHidden/>
    <w:unhideWhenUsed/>
    <w:rsid w:val="00266BE0"/>
    <w:rPr>
      <w:u w:val="dotted"/>
    </w:rPr>
  </w:style>
  <w:style w:type="character" w:customStyle="1" w:styleId="ListParagraphChar">
    <w:name w:val="List Paragraph Char"/>
    <w:basedOn w:val="DefaultParagraphFont"/>
    <w:link w:val="ListParagraph"/>
    <w:uiPriority w:val="34"/>
    <w:rsid w:val="009F4396"/>
    <w:rPr>
      <w:rFonts w:ascii="Arial" w:hAnsi="Arial"/>
      <w:color w:val="000000" w:themeColor="text1"/>
      <w:szCs w:val="22"/>
    </w:rPr>
  </w:style>
  <w:style w:type="character" w:customStyle="1" w:styleId="AlphaListChar">
    <w:name w:val="Alpha List Char"/>
    <w:basedOn w:val="ListParagraphChar"/>
    <w:link w:val="AlphaList"/>
    <w:rsid w:val="00320908"/>
    <w:rPr>
      <w:rFonts w:ascii="Arial" w:hAnsi="Arial"/>
      <w:color w:val="000000" w:themeColor="text1"/>
      <w:szCs w:val="22"/>
    </w:rPr>
  </w:style>
  <w:style w:type="character" w:styleId="FollowedHyperlink">
    <w:name w:val="FollowedHyperlink"/>
    <w:basedOn w:val="DefaultParagraphFont"/>
    <w:uiPriority w:val="99"/>
    <w:semiHidden/>
    <w:unhideWhenUsed/>
    <w:rsid w:val="00042A25"/>
    <w:rPr>
      <w:color w:val="954F72" w:themeColor="followedHyperlink"/>
      <w:u w:val="single"/>
    </w:rPr>
  </w:style>
  <w:style w:type="paragraph" w:styleId="Revision">
    <w:name w:val="Revision"/>
    <w:hidden/>
    <w:uiPriority w:val="99"/>
    <w:semiHidden/>
    <w:rsid w:val="008840C5"/>
    <w:pPr>
      <w:spacing w:after="0" w:line="240" w:lineRule="auto"/>
    </w:pPr>
    <w:rPr>
      <w:rFonts w:ascii="Arial" w:hAnsi="Arial"/>
      <w:color w:val="000000" w:themeColor="text1"/>
      <w:szCs w:val="22"/>
    </w:rPr>
  </w:style>
  <w:style w:type="paragraph" w:customStyle="1" w:styleId="ScheduleA">
    <w:name w:val="Schedule (A)"/>
    <w:basedOn w:val="Normal"/>
    <w:uiPriority w:val="99"/>
    <w:rsid w:val="008F39E9"/>
    <w:pPr>
      <w:tabs>
        <w:tab w:val="left" w:pos="2977"/>
      </w:tabs>
      <w:spacing w:after="240" w:line="240" w:lineRule="auto"/>
      <w:ind w:left="2977" w:right="1418" w:hanging="709"/>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0007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007C0"/>
    <w:pPr>
      <w:outlineLvl w:val="9"/>
    </w:pPr>
    <w:rPr>
      <w:lang w:val="en-US"/>
    </w:rPr>
  </w:style>
  <w:style w:type="character" w:styleId="PlaceholderText">
    <w:name w:val="Placeholder Text"/>
    <w:basedOn w:val="DefaultParagraphFont"/>
    <w:uiPriority w:val="99"/>
    <w:semiHidden/>
    <w:rsid w:val="00B93B25"/>
    <w:rPr>
      <w:color w:val="666666"/>
    </w:rPr>
  </w:style>
  <w:style w:type="character" w:customStyle="1" w:styleId="normaltextrun">
    <w:name w:val="normaltextrun"/>
    <w:basedOn w:val="DefaultParagraphFont"/>
    <w:rsid w:val="00AE7ACC"/>
  </w:style>
  <w:style w:type="paragraph" w:customStyle="1" w:styleId="ListBulleta">
    <w:name w:val="List Bullet a)"/>
    <w:basedOn w:val="Normal"/>
    <w:rsid w:val="00AE7ACC"/>
    <w:pPr>
      <w:numPr>
        <w:numId w:val="34"/>
      </w:numPr>
    </w:pPr>
  </w:style>
  <w:style w:type="table" w:customStyle="1" w:styleId="TableTGAblue20231">
    <w:name w:val="Table TGA blue 20231"/>
    <w:basedOn w:val="TableNormal"/>
    <w:uiPriority w:val="99"/>
    <w:qFormat/>
    <w:rsid w:val="00595BA4"/>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1966">
      <w:bodyDiv w:val="1"/>
      <w:marLeft w:val="0"/>
      <w:marRight w:val="0"/>
      <w:marTop w:val="0"/>
      <w:marBottom w:val="0"/>
      <w:divBdr>
        <w:top w:val="none" w:sz="0" w:space="0" w:color="auto"/>
        <w:left w:val="none" w:sz="0" w:space="0" w:color="auto"/>
        <w:bottom w:val="none" w:sz="0" w:space="0" w:color="auto"/>
        <w:right w:val="none" w:sz="0" w:space="0" w:color="auto"/>
      </w:divBdr>
    </w:div>
    <w:div w:id="1515266408">
      <w:bodyDiv w:val="1"/>
      <w:marLeft w:val="0"/>
      <w:marRight w:val="0"/>
      <w:marTop w:val="0"/>
      <w:marBottom w:val="0"/>
      <w:divBdr>
        <w:top w:val="none" w:sz="0" w:space="0" w:color="auto"/>
        <w:left w:val="none" w:sz="0" w:space="0" w:color="auto"/>
        <w:bottom w:val="none" w:sz="0" w:space="0" w:color="auto"/>
        <w:right w:val="none" w:sz="0" w:space="0" w:color="auto"/>
      </w:divBdr>
    </w:div>
    <w:div w:id="1517308451">
      <w:bodyDiv w:val="1"/>
      <w:marLeft w:val="0"/>
      <w:marRight w:val="0"/>
      <w:marTop w:val="0"/>
      <w:marBottom w:val="0"/>
      <w:divBdr>
        <w:top w:val="none" w:sz="0" w:space="0" w:color="auto"/>
        <w:left w:val="none" w:sz="0" w:space="0" w:color="auto"/>
        <w:bottom w:val="none" w:sz="0" w:space="0" w:color="auto"/>
        <w:right w:val="none" w:sz="0" w:space="0" w:color="auto"/>
      </w:divBdr>
    </w:div>
    <w:div w:id="1782146909">
      <w:bodyDiv w:val="1"/>
      <w:marLeft w:val="0"/>
      <w:marRight w:val="0"/>
      <w:marTop w:val="0"/>
      <w:marBottom w:val="0"/>
      <w:divBdr>
        <w:top w:val="none" w:sz="0" w:space="0" w:color="auto"/>
        <w:left w:val="none" w:sz="0" w:space="0" w:color="auto"/>
        <w:bottom w:val="none" w:sz="0" w:space="0" w:color="auto"/>
        <w:right w:val="none" w:sz="0" w:space="0" w:color="auto"/>
      </w:divBdr>
    </w:div>
    <w:div w:id="1784114245">
      <w:bodyDiv w:val="1"/>
      <w:marLeft w:val="0"/>
      <w:marRight w:val="0"/>
      <w:marTop w:val="0"/>
      <w:marBottom w:val="0"/>
      <w:divBdr>
        <w:top w:val="none" w:sz="0" w:space="0" w:color="auto"/>
        <w:left w:val="none" w:sz="0" w:space="0" w:color="auto"/>
        <w:bottom w:val="none" w:sz="0" w:space="0" w:color="auto"/>
        <w:right w:val="none" w:sz="0" w:space="0" w:color="auto"/>
      </w:divBdr>
    </w:div>
    <w:div w:id="1809280300">
      <w:bodyDiv w:val="1"/>
      <w:marLeft w:val="0"/>
      <w:marRight w:val="0"/>
      <w:marTop w:val="0"/>
      <w:marBottom w:val="0"/>
      <w:divBdr>
        <w:top w:val="none" w:sz="0" w:space="0" w:color="auto"/>
        <w:left w:val="none" w:sz="0" w:space="0" w:color="auto"/>
        <w:bottom w:val="none" w:sz="0" w:space="0" w:color="auto"/>
        <w:right w:val="none" w:sz="0" w:space="0" w:color="auto"/>
      </w:divBdr>
    </w:div>
    <w:div w:id="20536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onsultations.tga.gov.au/tga/scheduling-pre-meeting-march-2024/"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tga.gov.au/sites/default/files/2024-07/public_notice_of_interim_decisions_-_acms44_accs38_joint_acms-accs36_-_march_2024.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nsultations.tga.gov.au/tga/scheduling-pre-meeting-march-2024/" TargetMode="External"/><Relationship Id="rId25" Type="http://schemas.openxmlformats.org/officeDocument/2006/relationships/hyperlink" Target="ttps://consultations.tga.gov.au/tga/iv-potassium-interim-decision"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tga.gov.au/publication/scheduling-handbook-guidance-amending-poisons-standard" TargetMode="External"/><Relationship Id="rId20" Type="http://schemas.openxmlformats.org/officeDocument/2006/relationships/hyperlink" Target="https://consultations.tga.gov.au/tga/scheduling-interim-decision-march-2024/" TargetMode="Externa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resources/publication/scheduling-decisions-interim/notice-and-invitation-comment-interim-decisions-amend-current-poisons-standard-relation-intravenous-potassium-salts-iv-and-nicotinic-aci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publication/ahmac-scheduling-policy-framework-medicines-and-chemicals" TargetMode="External"/><Relationship Id="rId23" Type="http://schemas.openxmlformats.org/officeDocument/2006/relationships/hyperlink" Target="https://consultations.tga.gov.au/tga/scheduling-pre-meeting-june-2024/user_uploads/pre-meeting-public-notice---12-june-2024-2.pdf" TargetMode="External"/><Relationship Id="rId28" Type="http://schemas.openxmlformats.org/officeDocument/2006/relationships/hyperlink" Target="mailto:info@tga.gov.au" TargetMode="External"/><Relationship Id="rId10" Type="http://schemas.openxmlformats.org/officeDocument/2006/relationships/footer" Target="footer1.xml"/><Relationship Id="rId19" Type="http://schemas.openxmlformats.org/officeDocument/2006/relationships/hyperlink" Target="https://www.tga.gov.au/sites/default/files/2024-07/public_notice_of_interim_decisions_-_acms44_accs38_joint_acms-accs36_-_march_2024.pdf"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consultations.tga.gov.au/tga/scheduling-pre-meeting-june-2024/" TargetMode="External"/><Relationship Id="rId27" Type="http://schemas.openxmlformats.org/officeDocument/2006/relationships/footer" Target="footer4.xml"/><Relationship Id="rId30" Type="http://schemas.openxmlformats.org/officeDocument/2006/relationships/header" Target="header5.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pestbp.2025.106540" TargetMode="External"/><Relationship Id="rId2" Type="http://schemas.openxmlformats.org/officeDocument/2006/relationships/hyperlink" Target="https://www.safetyandquality.gov.au/our-work/medicines-safety-and-quality/high-risk-medicines/apinchs-classification-high-risk-medicines" TargetMode="External"/><Relationship Id="rId1" Type="http://schemas.openxmlformats.org/officeDocument/2006/relationships/hyperlink" Target="https://www.tga.gov.au/sites/default/files/scheduling-handbook-guidance-amending-poisons-standard.pdf" TargetMode="External"/><Relationship Id="rId5" Type="http://schemas.openxmlformats.org/officeDocument/2006/relationships/hyperlink" Target="https://doi.org/10.1002/arch.70045" TargetMode="External"/><Relationship Id="rId4" Type="http://schemas.openxmlformats.org/officeDocument/2006/relationships/hyperlink" Target="https://doi.org/10.1002/ps.810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7A1987A964D2D914B57BB21786EA5"/>
        <w:category>
          <w:name w:val="General"/>
          <w:gallery w:val="placeholder"/>
        </w:category>
        <w:types>
          <w:type w:val="bbPlcHdr"/>
        </w:types>
        <w:behaviors>
          <w:behavior w:val="content"/>
        </w:behaviors>
        <w:guid w:val="{83E4E464-AE65-4E80-A526-A7ECDBFB7324}"/>
      </w:docPartPr>
      <w:docPartBody>
        <w:p w:rsidR="009D5187" w:rsidRDefault="009D5187" w:rsidP="009D5187">
          <w:pPr>
            <w:pStyle w:val="C657A1987A964D2D914B57BB21786EA5"/>
          </w:pPr>
          <w:r w:rsidRPr="00B210A9">
            <w:rPr>
              <w:rStyle w:val="PlaceholderText"/>
            </w:rPr>
            <w:t>Click or tap here to enter text.</w:t>
          </w:r>
        </w:p>
      </w:docPartBody>
    </w:docPart>
    <w:docPart>
      <w:docPartPr>
        <w:name w:val="D75E32010D6C4F008EFF234E38C72EA3"/>
        <w:category>
          <w:name w:val="General"/>
          <w:gallery w:val="placeholder"/>
        </w:category>
        <w:types>
          <w:type w:val="bbPlcHdr"/>
        </w:types>
        <w:behaviors>
          <w:behavior w:val="content"/>
        </w:behaviors>
        <w:guid w:val="{EE930E7E-76BB-40FD-946D-DE2CD0CE457B}"/>
      </w:docPartPr>
      <w:docPartBody>
        <w:p w:rsidR="009D5187" w:rsidRDefault="009D5187" w:rsidP="009D5187">
          <w:pPr>
            <w:pStyle w:val="D75E32010D6C4F008EFF234E38C72EA3"/>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87"/>
    <w:rsid w:val="00106EB3"/>
    <w:rsid w:val="001D12C7"/>
    <w:rsid w:val="00203C12"/>
    <w:rsid w:val="00226808"/>
    <w:rsid w:val="002C4360"/>
    <w:rsid w:val="00394DC2"/>
    <w:rsid w:val="003C2649"/>
    <w:rsid w:val="004136FA"/>
    <w:rsid w:val="004E4CE2"/>
    <w:rsid w:val="005D01B4"/>
    <w:rsid w:val="00661DD3"/>
    <w:rsid w:val="006C6B7D"/>
    <w:rsid w:val="007152B4"/>
    <w:rsid w:val="007D0013"/>
    <w:rsid w:val="00860BAE"/>
    <w:rsid w:val="0093139F"/>
    <w:rsid w:val="00934B86"/>
    <w:rsid w:val="00977FED"/>
    <w:rsid w:val="009D5187"/>
    <w:rsid w:val="009D51C8"/>
    <w:rsid w:val="00A9617E"/>
    <w:rsid w:val="00AA44FF"/>
    <w:rsid w:val="00AD6DEB"/>
    <w:rsid w:val="00BC09CC"/>
    <w:rsid w:val="00BF6B18"/>
    <w:rsid w:val="00C05AD7"/>
    <w:rsid w:val="00C10CF2"/>
    <w:rsid w:val="00CB7D07"/>
    <w:rsid w:val="00E119E6"/>
    <w:rsid w:val="00E4575C"/>
    <w:rsid w:val="00E46653"/>
    <w:rsid w:val="00E51BF7"/>
    <w:rsid w:val="00ED5ACD"/>
    <w:rsid w:val="00F10C1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187"/>
    <w:rPr>
      <w:color w:val="808080"/>
    </w:rPr>
  </w:style>
  <w:style w:type="paragraph" w:customStyle="1" w:styleId="C657A1987A964D2D914B57BB21786EA5">
    <w:name w:val="C657A1987A964D2D914B57BB21786EA5"/>
    <w:rsid w:val="009D5187"/>
  </w:style>
  <w:style w:type="paragraph" w:customStyle="1" w:styleId="D75E32010D6C4F008EFF234E38C72EA3">
    <w:name w:val="D75E32010D6C4F008EFF234E38C72EA3"/>
    <w:rsid w:val="009D5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16</Pages>
  <Words>4906</Words>
  <Characters>27382</Characters>
  <Application>Microsoft Office Word</Application>
  <DocSecurity>0</DocSecurity>
  <Lines>516</Lines>
  <Paragraphs>275</Paragraphs>
  <ScaleCrop>false</ScaleCrop>
  <HeadingPairs>
    <vt:vector size="2" baseType="variant">
      <vt:variant>
        <vt:lpstr>Title</vt:lpstr>
      </vt:variant>
      <vt:variant>
        <vt:i4>1</vt:i4>
      </vt:variant>
    </vt:vector>
  </HeadingPairs>
  <TitlesOfParts>
    <vt:vector size="1" baseType="lpstr">
      <vt:lpstr>Notice of final decisions to amend (or not amend) the current Poisons Standard</vt:lpstr>
    </vt:vector>
  </TitlesOfParts>
  <Company>Department of Health, Disability and Ageing</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dc:title>
  <dc:subject>scheduling</dc:subject>
  <dc:creator>Therapeutic Goods Administration</dc:creator>
  <cp:keywords/>
  <dc:description/>
  <cp:lastModifiedBy>LACK, Janet</cp:lastModifiedBy>
  <cp:revision>2</cp:revision>
  <dcterms:created xsi:type="dcterms:W3CDTF">2026-01-19T02:29:00Z</dcterms:created>
  <dcterms:modified xsi:type="dcterms:W3CDTF">2026-01-19T02:29:00Z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50c00013,4deda1c2,14c9053f,4cf5e71a,eb77d4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3115ac1f,50a9b90,5ace25d9,45e81cc8,563b5dc1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2025-12-09T00:11:10Z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8f12370a-5906-457e-8b51-9b912a714216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