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692C8B2C" w:rsidR="00F02AEC" w:rsidRPr="00215D48" w:rsidRDefault="00346EC2" w:rsidP="00E77B7A">
            <w:pPr>
              <w:pStyle w:val="Title"/>
            </w:pPr>
            <w:r w:rsidRPr="00346EC2">
              <w:t xml:space="preserve">Australian Public Assessment Report for </w:t>
            </w:r>
            <w:r w:rsidR="003C393E">
              <w:t>Sondelbay</w:t>
            </w:r>
            <w:r w:rsidR="006A165C">
              <w:t xml:space="preserve">, </w:t>
            </w:r>
            <w:r w:rsidR="003C393E">
              <w:t>Teriparintas</w:t>
            </w:r>
            <w:r w:rsidR="006A165C">
              <w:t xml:space="preserve"> and </w:t>
            </w:r>
            <w:r w:rsidR="003C393E">
              <w:t>Teriparaccord</w:t>
            </w:r>
          </w:p>
        </w:tc>
      </w:tr>
      <w:tr w:rsidR="00F02AEC" w:rsidRPr="00215D48" w14:paraId="318A40A3" w14:textId="77777777" w:rsidTr="00346EC2">
        <w:trPr>
          <w:trHeight w:val="995"/>
        </w:trPr>
        <w:tc>
          <w:tcPr>
            <w:tcW w:w="8720" w:type="dxa"/>
          </w:tcPr>
          <w:p w14:paraId="719FA8CD" w14:textId="77777777" w:rsidR="000D60F1" w:rsidRDefault="000D60F1" w:rsidP="007452E8">
            <w:pPr>
              <w:pStyle w:val="Subtitle"/>
              <w:ind w:left="0"/>
            </w:pPr>
          </w:p>
          <w:p w14:paraId="1AA7C701" w14:textId="3F03033A" w:rsidR="00F02AEC" w:rsidRPr="00215D48" w:rsidRDefault="00346EC2" w:rsidP="007452E8">
            <w:pPr>
              <w:pStyle w:val="Subtitle"/>
              <w:ind w:left="0"/>
            </w:pPr>
            <w:r w:rsidRPr="00346EC2">
              <w:t>Active ingredients:</w:t>
            </w:r>
            <w:r w:rsidR="008113A2">
              <w:t xml:space="preserve"> </w:t>
            </w:r>
            <w:r w:rsidR="008113A2" w:rsidRPr="008113A2">
              <w:t>teriparatide</w:t>
            </w:r>
          </w:p>
        </w:tc>
      </w:tr>
      <w:tr w:rsidR="00346EC2" w:rsidRPr="00215D48" w14:paraId="362CCAE4" w14:textId="77777777" w:rsidTr="007452E8">
        <w:trPr>
          <w:trHeight w:val="1916"/>
        </w:trPr>
        <w:tc>
          <w:tcPr>
            <w:tcW w:w="8720" w:type="dxa"/>
          </w:tcPr>
          <w:p w14:paraId="63908C0B" w14:textId="77777777" w:rsidR="000D60F1" w:rsidRDefault="000D60F1" w:rsidP="007452E8">
            <w:pPr>
              <w:pStyle w:val="Subtitle"/>
              <w:ind w:left="0"/>
            </w:pPr>
          </w:p>
          <w:p w14:paraId="709C45C0" w14:textId="5BA08A51" w:rsidR="00346EC2" w:rsidRPr="00215D48" w:rsidRDefault="0002773E" w:rsidP="007452E8">
            <w:pPr>
              <w:pStyle w:val="Subtitle"/>
              <w:ind w:left="0"/>
            </w:pPr>
            <w:r>
              <w:t>Sponsor</w:t>
            </w:r>
            <w:r w:rsidR="00346EC2" w:rsidRPr="00346EC2">
              <w:t>:</w:t>
            </w:r>
            <w:r w:rsidR="008113A2">
              <w:t xml:space="preserve"> </w:t>
            </w:r>
            <w:r w:rsidR="008113A2" w:rsidRPr="008113A2">
              <w:t>Accord Healthcare Pty Ltd</w:t>
            </w:r>
          </w:p>
        </w:tc>
      </w:tr>
      <w:tr w:rsidR="00F02AEC" w:rsidRPr="00215D48" w14:paraId="37F2AA1F" w14:textId="77777777" w:rsidTr="007452E8">
        <w:tc>
          <w:tcPr>
            <w:tcW w:w="8720" w:type="dxa"/>
          </w:tcPr>
          <w:p w14:paraId="1FDE8DCD" w14:textId="4DD40271" w:rsidR="00F02AEC" w:rsidRPr="00215D48" w:rsidRDefault="002343FF" w:rsidP="007452E8">
            <w:pPr>
              <w:pStyle w:val="Date"/>
            </w:pPr>
            <w:r>
              <w:t>December</w:t>
            </w:r>
            <w:r w:rsidR="008113A2">
              <w:t xml:space="preserve"> 2025</w:t>
            </w:r>
          </w:p>
        </w:tc>
      </w:tr>
    </w:tbl>
    <w:p w14:paraId="73752706" w14:textId="77777777" w:rsidR="00F02AEC" w:rsidRPr="00215D48" w:rsidRDefault="00F02AEC" w:rsidP="007452E8">
      <w:pPr>
        <w:pStyle w:val="ListBullet"/>
        <w:numPr>
          <w:ilvl w:val="0"/>
          <w:numId w:val="0"/>
        </w:numPr>
        <w:sectPr w:rsidR="00F02AEC" w:rsidRPr="00215D48" w:rsidSect="00CB0550">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038D0DA4" w:rsidR="00346EC2" w:rsidRPr="00391B0C" w:rsidRDefault="00346EC2" w:rsidP="0056766D">
      <w:pPr>
        <w:pStyle w:val="ListBullet"/>
      </w:pPr>
      <w:r w:rsidRPr="00391B0C">
        <w:t xml:space="preserve">The Therapeutic Goods Administration (TGA) is part of the Australian Government </w:t>
      </w:r>
      <w:r w:rsidRPr="00C22214">
        <w:t>Department of Health</w:t>
      </w:r>
      <w:r w:rsidR="0006693A">
        <w:t>, Disability</w:t>
      </w:r>
      <w:r w:rsidRPr="00C22214">
        <w:t xml:space="preserve"> and Ag</w:t>
      </w:r>
      <w:r w:rsidR="0006693A">
        <w:t>eing</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C976CB8"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7" w:history="1">
        <w:r w:rsidRPr="00A63C07">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010FE2EE"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8"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796829F4" w:rsidR="00175CD8" w:rsidRPr="00346EC2" w:rsidRDefault="00F02AEC" w:rsidP="00346EC2">
      <w:pPr>
        <w:pStyle w:val="LegalCopy"/>
        <w:rPr>
          <w:rFonts w:cs="Arial"/>
        </w:rPr>
      </w:pPr>
      <w:r w:rsidRPr="00215D48">
        <w:rPr>
          <w:rFonts w:cs="Arial"/>
        </w:rPr>
        <w:t>© Commonwealth of Australia 20</w:t>
      </w:r>
      <w:r>
        <w:rPr>
          <w:rFonts w:cs="Arial"/>
        </w:rPr>
        <w:t>2</w:t>
      </w:r>
      <w:r w:rsidR="00210F9B">
        <w:rPr>
          <w:rFonts w:cs="Arial"/>
        </w:rPr>
        <w:t>5</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9" w:history="1">
        <w:r w:rsidRPr="00215D48">
          <w:rPr>
            <w:rStyle w:val="Hyperlink"/>
            <w:rFonts w:cs="Arial"/>
          </w:rPr>
          <w:t>tga.copyright@tga.gov.au</w:t>
        </w:r>
      </w:hyperlink>
      <w:r w:rsidRPr="00215D4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77777777" w:rsidR="00F02AEC" w:rsidRPr="00215D48" w:rsidRDefault="00F02AEC" w:rsidP="007452E8">
          <w:pPr>
            <w:pStyle w:val="NonTOCheading2"/>
          </w:pPr>
          <w:r w:rsidRPr="00215D48">
            <w:t>Contents</w:t>
          </w:r>
        </w:p>
        <w:p w14:paraId="2D823B4B" w14:textId="652F05A2" w:rsidR="003C677E" w:rsidRDefault="00F02AEC">
          <w:pPr>
            <w:pStyle w:val="TOC1"/>
            <w:rPr>
              <w:rFonts w:asciiTheme="minorHAnsi" w:eastAsiaTheme="minorEastAsia" w:hAnsiTheme="minorHAnsi" w:cstheme="minorBidi"/>
              <w:b w:val="0"/>
              <w:noProof/>
              <w:color w:val="auto"/>
              <w:kern w:val="2"/>
              <w:sz w:val="24"/>
              <w:szCs w:val="24"/>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216790313" w:history="1">
            <w:r w:rsidR="003C677E" w:rsidRPr="000E0CC3">
              <w:rPr>
                <w:rStyle w:val="Hyperlink"/>
                <w:noProof/>
              </w:rPr>
              <w:t>List of abbreviations</w:t>
            </w:r>
            <w:r w:rsidR="003C677E">
              <w:rPr>
                <w:noProof/>
                <w:webHidden/>
              </w:rPr>
              <w:tab/>
            </w:r>
            <w:r w:rsidR="003C677E">
              <w:rPr>
                <w:noProof/>
                <w:webHidden/>
              </w:rPr>
              <w:fldChar w:fldCharType="begin"/>
            </w:r>
            <w:r w:rsidR="003C677E">
              <w:rPr>
                <w:noProof/>
                <w:webHidden/>
              </w:rPr>
              <w:instrText xml:space="preserve"> PAGEREF _Toc216790313 \h </w:instrText>
            </w:r>
            <w:r w:rsidR="003C677E">
              <w:rPr>
                <w:noProof/>
                <w:webHidden/>
              </w:rPr>
            </w:r>
            <w:r w:rsidR="003C677E">
              <w:rPr>
                <w:noProof/>
                <w:webHidden/>
              </w:rPr>
              <w:fldChar w:fldCharType="separate"/>
            </w:r>
            <w:r w:rsidR="003C677E">
              <w:rPr>
                <w:noProof/>
                <w:webHidden/>
              </w:rPr>
              <w:t>4</w:t>
            </w:r>
            <w:r w:rsidR="003C677E">
              <w:rPr>
                <w:noProof/>
                <w:webHidden/>
              </w:rPr>
              <w:fldChar w:fldCharType="end"/>
            </w:r>
          </w:hyperlink>
        </w:p>
        <w:p w14:paraId="782975AC" w14:textId="5F47963A" w:rsidR="003C677E" w:rsidRDefault="003C677E">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16790314" w:history="1">
            <w:r w:rsidRPr="000E0CC3">
              <w:rPr>
                <w:rStyle w:val="Hyperlink"/>
                <w:noProof/>
              </w:rPr>
              <w:t>Product submission</w:t>
            </w:r>
            <w:r>
              <w:rPr>
                <w:noProof/>
                <w:webHidden/>
              </w:rPr>
              <w:tab/>
            </w:r>
            <w:r>
              <w:rPr>
                <w:noProof/>
                <w:webHidden/>
              </w:rPr>
              <w:fldChar w:fldCharType="begin"/>
            </w:r>
            <w:r>
              <w:rPr>
                <w:noProof/>
                <w:webHidden/>
              </w:rPr>
              <w:instrText xml:space="preserve"> PAGEREF _Toc216790314 \h </w:instrText>
            </w:r>
            <w:r>
              <w:rPr>
                <w:noProof/>
                <w:webHidden/>
              </w:rPr>
            </w:r>
            <w:r>
              <w:rPr>
                <w:noProof/>
                <w:webHidden/>
              </w:rPr>
              <w:fldChar w:fldCharType="separate"/>
            </w:r>
            <w:r>
              <w:rPr>
                <w:noProof/>
                <w:webHidden/>
              </w:rPr>
              <w:t>5</w:t>
            </w:r>
            <w:r>
              <w:rPr>
                <w:noProof/>
                <w:webHidden/>
              </w:rPr>
              <w:fldChar w:fldCharType="end"/>
            </w:r>
          </w:hyperlink>
        </w:p>
        <w:p w14:paraId="699447FC" w14:textId="3BB5F32C" w:rsidR="003C677E" w:rsidRDefault="003C677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6790315" w:history="1">
            <w:r w:rsidRPr="000E0CC3">
              <w:rPr>
                <w:rStyle w:val="Hyperlink"/>
                <w:noProof/>
                <w:lang w:eastAsia="en-AU"/>
              </w:rPr>
              <w:t>Submission details</w:t>
            </w:r>
            <w:r>
              <w:rPr>
                <w:noProof/>
                <w:webHidden/>
              </w:rPr>
              <w:tab/>
            </w:r>
            <w:r>
              <w:rPr>
                <w:noProof/>
                <w:webHidden/>
              </w:rPr>
              <w:fldChar w:fldCharType="begin"/>
            </w:r>
            <w:r>
              <w:rPr>
                <w:noProof/>
                <w:webHidden/>
              </w:rPr>
              <w:instrText xml:space="preserve"> PAGEREF _Toc216790315 \h </w:instrText>
            </w:r>
            <w:r>
              <w:rPr>
                <w:noProof/>
                <w:webHidden/>
              </w:rPr>
            </w:r>
            <w:r>
              <w:rPr>
                <w:noProof/>
                <w:webHidden/>
              </w:rPr>
              <w:fldChar w:fldCharType="separate"/>
            </w:r>
            <w:r>
              <w:rPr>
                <w:noProof/>
                <w:webHidden/>
              </w:rPr>
              <w:t>5</w:t>
            </w:r>
            <w:r>
              <w:rPr>
                <w:noProof/>
                <w:webHidden/>
              </w:rPr>
              <w:fldChar w:fldCharType="end"/>
            </w:r>
          </w:hyperlink>
        </w:p>
        <w:p w14:paraId="789A7C2A" w14:textId="583C7D33" w:rsidR="003C677E" w:rsidRDefault="003C677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6790316" w:history="1">
            <w:r w:rsidRPr="000E0CC3">
              <w:rPr>
                <w:rStyle w:val="Hyperlink"/>
                <w:noProof/>
              </w:rPr>
              <w:t>Product background</w:t>
            </w:r>
            <w:r>
              <w:rPr>
                <w:noProof/>
                <w:webHidden/>
              </w:rPr>
              <w:tab/>
            </w:r>
            <w:r>
              <w:rPr>
                <w:noProof/>
                <w:webHidden/>
              </w:rPr>
              <w:fldChar w:fldCharType="begin"/>
            </w:r>
            <w:r>
              <w:rPr>
                <w:noProof/>
                <w:webHidden/>
              </w:rPr>
              <w:instrText xml:space="preserve"> PAGEREF _Toc216790316 \h </w:instrText>
            </w:r>
            <w:r>
              <w:rPr>
                <w:noProof/>
                <w:webHidden/>
              </w:rPr>
            </w:r>
            <w:r>
              <w:rPr>
                <w:noProof/>
                <w:webHidden/>
              </w:rPr>
              <w:fldChar w:fldCharType="separate"/>
            </w:r>
            <w:r>
              <w:rPr>
                <w:noProof/>
                <w:webHidden/>
              </w:rPr>
              <w:t>6</w:t>
            </w:r>
            <w:r>
              <w:rPr>
                <w:noProof/>
                <w:webHidden/>
              </w:rPr>
              <w:fldChar w:fldCharType="end"/>
            </w:r>
          </w:hyperlink>
        </w:p>
        <w:p w14:paraId="599A4D7E" w14:textId="3357A129" w:rsidR="003C677E" w:rsidRDefault="003C677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16790317" w:history="1">
            <w:r w:rsidRPr="000E0CC3">
              <w:rPr>
                <w:rStyle w:val="Hyperlink"/>
                <w:noProof/>
              </w:rPr>
              <w:t>Disease or condition</w:t>
            </w:r>
            <w:r>
              <w:rPr>
                <w:noProof/>
                <w:webHidden/>
              </w:rPr>
              <w:tab/>
            </w:r>
            <w:r>
              <w:rPr>
                <w:noProof/>
                <w:webHidden/>
              </w:rPr>
              <w:fldChar w:fldCharType="begin"/>
            </w:r>
            <w:r>
              <w:rPr>
                <w:noProof/>
                <w:webHidden/>
              </w:rPr>
              <w:instrText xml:space="preserve"> PAGEREF _Toc216790317 \h </w:instrText>
            </w:r>
            <w:r>
              <w:rPr>
                <w:noProof/>
                <w:webHidden/>
              </w:rPr>
            </w:r>
            <w:r>
              <w:rPr>
                <w:noProof/>
                <w:webHidden/>
              </w:rPr>
              <w:fldChar w:fldCharType="separate"/>
            </w:r>
            <w:r>
              <w:rPr>
                <w:noProof/>
                <w:webHidden/>
              </w:rPr>
              <w:t>6</w:t>
            </w:r>
            <w:r>
              <w:rPr>
                <w:noProof/>
                <w:webHidden/>
              </w:rPr>
              <w:fldChar w:fldCharType="end"/>
            </w:r>
          </w:hyperlink>
        </w:p>
        <w:p w14:paraId="0F9BCCE4" w14:textId="61EC7E4C" w:rsidR="003C677E" w:rsidRDefault="003C677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16790318" w:history="1">
            <w:r w:rsidRPr="000E0CC3">
              <w:rPr>
                <w:rStyle w:val="Hyperlink"/>
                <w:noProof/>
              </w:rPr>
              <w:t>Current treatment options</w:t>
            </w:r>
            <w:r>
              <w:rPr>
                <w:noProof/>
                <w:webHidden/>
              </w:rPr>
              <w:tab/>
            </w:r>
            <w:r>
              <w:rPr>
                <w:noProof/>
                <w:webHidden/>
              </w:rPr>
              <w:fldChar w:fldCharType="begin"/>
            </w:r>
            <w:r>
              <w:rPr>
                <w:noProof/>
                <w:webHidden/>
              </w:rPr>
              <w:instrText xml:space="preserve"> PAGEREF _Toc216790318 \h </w:instrText>
            </w:r>
            <w:r>
              <w:rPr>
                <w:noProof/>
                <w:webHidden/>
              </w:rPr>
            </w:r>
            <w:r>
              <w:rPr>
                <w:noProof/>
                <w:webHidden/>
              </w:rPr>
              <w:fldChar w:fldCharType="separate"/>
            </w:r>
            <w:r>
              <w:rPr>
                <w:noProof/>
                <w:webHidden/>
              </w:rPr>
              <w:t>7</w:t>
            </w:r>
            <w:r>
              <w:rPr>
                <w:noProof/>
                <w:webHidden/>
              </w:rPr>
              <w:fldChar w:fldCharType="end"/>
            </w:r>
          </w:hyperlink>
        </w:p>
        <w:p w14:paraId="671012CE" w14:textId="0BE28B1B" w:rsidR="003C677E" w:rsidRDefault="003C677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16790319" w:history="1">
            <w:r w:rsidRPr="000E0CC3">
              <w:rPr>
                <w:rStyle w:val="Hyperlink"/>
                <w:noProof/>
              </w:rPr>
              <w:t>Clinical rationale</w:t>
            </w:r>
            <w:r>
              <w:rPr>
                <w:noProof/>
                <w:webHidden/>
              </w:rPr>
              <w:tab/>
            </w:r>
            <w:r>
              <w:rPr>
                <w:noProof/>
                <w:webHidden/>
              </w:rPr>
              <w:fldChar w:fldCharType="begin"/>
            </w:r>
            <w:r>
              <w:rPr>
                <w:noProof/>
                <w:webHidden/>
              </w:rPr>
              <w:instrText xml:space="preserve"> PAGEREF _Toc216790319 \h </w:instrText>
            </w:r>
            <w:r>
              <w:rPr>
                <w:noProof/>
                <w:webHidden/>
              </w:rPr>
            </w:r>
            <w:r>
              <w:rPr>
                <w:noProof/>
                <w:webHidden/>
              </w:rPr>
              <w:fldChar w:fldCharType="separate"/>
            </w:r>
            <w:r>
              <w:rPr>
                <w:noProof/>
                <w:webHidden/>
              </w:rPr>
              <w:t>7</w:t>
            </w:r>
            <w:r>
              <w:rPr>
                <w:noProof/>
                <w:webHidden/>
              </w:rPr>
              <w:fldChar w:fldCharType="end"/>
            </w:r>
          </w:hyperlink>
        </w:p>
        <w:p w14:paraId="6EAE49B7" w14:textId="36A38C97" w:rsidR="003C677E" w:rsidRDefault="003C677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6790320" w:history="1">
            <w:r w:rsidRPr="000E0CC3">
              <w:rPr>
                <w:rStyle w:val="Hyperlink"/>
                <w:noProof/>
              </w:rPr>
              <w:t>Regulatory status</w:t>
            </w:r>
            <w:r>
              <w:rPr>
                <w:noProof/>
                <w:webHidden/>
              </w:rPr>
              <w:tab/>
            </w:r>
            <w:r>
              <w:rPr>
                <w:noProof/>
                <w:webHidden/>
              </w:rPr>
              <w:fldChar w:fldCharType="begin"/>
            </w:r>
            <w:r>
              <w:rPr>
                <w:noProof/>
                <w:webHidden/>
              </w:rPr>
              <w:instrText xml:space="preserve"> PAGEREF _Toc216790320 \h </w:instrText>
            </w:r>
            <w:r>
              <w:rPr>
                <w:noProof/>
                <w:webHidden/>
              </w:rPr>
            </w:r>
            <w:r>
              <w:rPr>
                <w:noProof/>
                <w:webHidden/>
              </w:rPr>
              <w:fldChar w:fldCharType="separate"/>
            </w:r>
            <w:r>
              <w:rPr>
                <w:noProof/>
                <w:webHidden/>
              </w:rPr>
              <w:t>8</w:t>
            </w:r>
            <w:r>
              <w:rPr>
                <w:noProof/>
                <w:webHidden/>
              </w:rPr>
              <w:fldChar w:fldCharType="end"/>
            </w:r>
          </w:hyperlink>
        </w:p>
        <w:p w14:paraId="2F4EEC5D" w14:textId="51DAD422" w:rsidR="003C677E" w:rsidRDefault="003C677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16790321" w:history="1">
            <w:r w:rsidRPr="000E0CC3">
              <w:rPr>
                <w:rStyle w:val="Hyperlink"/>
                <w:noProof/>
              </w:rPr>
              <w:t>Australian regulatory status</w:t>
            </w:r>
            <w:r>
              <w:rPr>
                <w:noProof/>
                <w:webHidden/>
              </w:rPr>
              <w:tab/>
            </w:r>
            <w:r>
              <w:rPr>
                <w:noProof/>
                <w:webHidden/>
              </w:rPr>
              <w:fldChar w:fldCharType="begin"/>
            </w:r>
            <w:r>
              <w:rPr>
                <w:noProof/>
                <w:webHidden/>
              </w:rPr>
              <w:instrText xml:space="preserve"> PAGEREF _Toc216790321 \h </w:instrText>
            </w:r>
            <w:r>
              <w:rPr>
                <w:noProof/>
                <w:webHidden/>
              </w:rPr>
            </w:r>
            <w:r>
              <w:rPr>
                <w:noProof/>
                <w:webHidden/>
              </w:rPr>
              <w:fldChar w:fldCharType="separate"/>
            </w:r>
            <w:r>
              <w:rPr>
                <w:noProof/>
                <w:webHidden/>
              </w:rPr>
              <w:t>8</w:t>
            </w:r>
            <w:r>
              <w:rPr>
                <w:noProof/>
                <w:webHidden/>
              </w:rPr>
              <w:fldChar w:fldCharType="end"/>
            </w:r>
          </w:hyperlink>
        </w:p>
        <w:p w14:paraId="01CE816F" w14:textId="186F57C5" w:rsidR="003C677E" w:rsidRDefault="003C677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16790322" w:history="1">
            <w:r w:rsidRPr="000E0CC3">
              <w:rPr>
                <w:rStyle w:val="Hyperlink"/>
                <w:noProof/>
              </w:rPr>
              <w:t>International regulatory status</w:t>
            </w:r>
            <w:r>
              <w:rPr>
                <w:noProof/>
                <w:webHidden/>
              </w:rPr>
              <w:tab/>
            </w:r>
            <w:r>
              <w:rPr>
                <w:noProof/>
                <w:webHidden/>
              </w:rPr>
              <w:fldChar w:fldCharType="begin"/>
            </w:r>
            <w:r>
              <w:rPr>
                <w:noProof/>
                <w:webHidden/>
              </w:rPr>
              <w:instrText xml:space="preserve"> PAGEREF _Toc216790322 \h </w:instrText>
            </w:r>
            <w:r>
              <w:rPr>
                <w:noProof/>
                <w:webHidden/>
              </w:rPr>
            </w:r>
            <w:r>
              <w:rPr>
                <w:noProof/>
                <w:webHidden/>
              </w:rPr>
              <w:fldChar w:fldCharType="separate"/>
            </w:r>
            <w:r>
              <w:rPr>
                <w:noProof/>
                <w:webHidden/>
              </w:rPr>
              <w:t>8</w:t>
            </w:r>
            <w:r>
              <w:rPr>
                <w:noProof/>
                <w:webHidden/>
              </w:rPr>
              <w:fldChar w:fldCharType="end"/>
            </w:r>
          </w:hyperlink>
        </w:p>
        <w:p w14:paraId="6A482409" w14:textId="0C83D903" w:rsidR="003C677E" w:rsidRDefault="003C677E">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16790323" w:history="1">
            <w:r w:rsidRPr="000E0CC3">
              <w:rPr>
                <w:rStyle w:val="Hyperlink"/>
                <w:noProof/>
              </w:rPr>
              <w:t>Registration timeline</w:t>
            </w:r>
            <w:r>
              <w:rPr>
                <w:noProof/>
                <w:webHidden/>
              </w:rPr>
              <w:tab/>
            </w:r>
            <w:r>
              <w:rPr>
                <w:noProof/>
                <w:webHidden/>
              </w:rPr>
              <w:fldChar w:fldCharType="begin"/>
            </w:r>
            <w:r>
              <w:rPr>
                <w:noProof/>
                <w:webHidden/>
              </w:rPr>
              <w:instrText xml:space="preserve"> PAGEREF _Toc216790323 \h </w:instrText>
            </w:r>
            <w:r>
              <w:rPr>
                <w:noProof/>
                <w:webHidden/>
              </w:rPr>
            </w:r>
            <w:r>
              <w:rPr>
                <w:noProof/>
                <w:webHidden/>
              </w:rPr>
              <w:fldChar w:fldCharType="separate"/>
            </w:r>
            <w:r>
              <w:rPr>
                <w:noProof/>
                <w:webHidden/>
              </w:rPr>
              <w:t>9</w:t>
            </w:r>
            <w:r>
              <w:rPr>
                <w:noProof/>
                <w:webHidden/>
              </w:rPr>
              <w:fldChar w:fldCharType="end"/>
            </w:r>
          </w:hyperlink>
        </w:p>
        <w:p w14:paraId="6C9B6D9F" w14:textId="756D0526" w:rsidR="003C677E" w:rsidRDefault="003C677E">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16790324" w:history="1">
            <w:r w:rsidRPr="000E0CC3">
              <w:rPr>
                <w:rStyle w:val="Hyperlink"/>
                <w:noProof/>
              </w:rPr>
              <w:t>Assessment overview</w:t>
            </w:r>
            <w:r>
              <w:rPr>
                <w:noProof/>
                <w:webHidden/>
              </w:rPr>
              <w:tab/>
            </w:r>
            <w:r>
              <w:rPr>
                <w:noProof/>
                <w:webHidden/>
              </w:rPr>
              <w:fldChar w:fldCharType="begin"/>
            </w:r>
            <w:r>
              <w:rPr>
                <w:noProof/>
                <w:webHidden/>
              </w:rPr>
              <w:instrText xml:space="preserve"> PAGEREF _Toc216790324 \h </w:instrText>
            </w:r>
            <w:r>
              <w:rPr>
                <w:noProof/>
                <w:webHidden/>
              </w:rPr>
            </w:r>
            <w:r>
              <w:rPr>
                <w:noProof/>
                <w:webHidden/>
              </w:rPr>
              <w:fldChar w:fldCharType="separate"/>
            </w:r>
            <w:r>
              <w:rPr>
                <w:noProof/>
                <w:webHidden/>
              </w:rPr>
              <w:t>9</w:t>
            </w:r>
            <w:r>
              <w:rPr>
                <w:noProof/>
                <w:webHidden/>
              </w:rPr>
              <w:fldChar w:fldCharType="end"/>
            </w:r>
          </w:hyperlink>
        </w:p>
        <w:p w14:paraId="21C96360" w14:textId="1E157D83" w:rsidR="003C677E" w:rsidRDefault="003C677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6790325" w:history="1">
            <w:r w:rsidRPr="000E0CC3">
              <w:rPr>
                <w:rStyle w:val="Hyperlink"/>
                <w:noProof/>
              </w:rPr>
              <w:t>Quality evaluation summary</w:t>
            </w:r>
            <w:r>
              <w:rPr>
                <w:noProof/>
                <w:webHidden/>
              </w:rPr>
              <w:tab/>
            </w:r>
            <w:r>
              <w:rPr>
                <w:noProof/>
                <w:webHidden/>
              </w:rPr>
              <w:fldChar w:fldCharType="begin"/>
            </w:r>
            <w:r>
              <w:rPr>
                <w:noProof/>
                <w:webHidden/>
              </w:rPr>
              <w:instrText xml:space="preserve"> PAGEREF _Toc216790325 \h </w:instrText>
            </w:r>
            <w:r>
              <w:rPr>
                <w:noProof/>
                <w:webHidden/>
              </w:rPr>
            </w:r>
            <w:r>
              <w:rPr>
                <w:noProof/>
                <w:webHidden/>
              </w:rPr>
              <w:fldChar w:fldCharType="separate"/>
            </w:r>
            <w:r>
              <w:rPr>
                <w:noProof/>
                <w:webHidden/>
              </w:rPr>
              <w:t>9</w:t>
            </w:r>
            <w:r>
              <w:rPr>
                <w:noProof/>
                <w:webHidden/>
              </w:rPr>
              <w:fldChar w:fldCharType="end"/>
            </w:r>
          </w:hyperlink>
        </w:p>
        <w:p w14:paraId="45F62208" w14:textId="04B93FA4" w:rsidR="003C677E" w:rsidRDefault="003C677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6790326" w:history="1">
            <w:r w:rsidRPr="000E0CC3">
              <w:rPr>
                <w:rStyle w:val="Hyperlink"/>
                <w:noProof/>
              </w:rPr>
              <w:t>Nonclinical evaluation summary</w:t>
            </w:r>
            <w:r>
              <w:rPr>
                <w:noProof/>
                <w:webHidden/>
              </w:rPr>
              <w:tab/>
            </w:r>
            <w:r>
              <w:rPr>
                <w:noProof/>
                <w:webHidden/>
              </w:rPr>
              <w:fldChar w:fldCharType="begin"/>
            </w:r>
            <w:r>
              <w:rPr>
                <w:noProof/>
                <w:webHidden/>
              </w:rPr>
              <w:instrText xml:space="preserve"> PAGEREF _Toc216790326 \h </w:instrText>
            </w:r>
            <w:r>
              <w:rPr>
                <w:noProof/>
                <w:webHidden/>
              </w:rPr>
            </w:r>
            <w:r>
              <w:rPr>
                <w:noProof/>
                <w:webHidden/>
              </w:rPr>
              <w:fldChar w:fldCharType="separate"/>
            </w:r>
            <w:r>
              <w:rPr>
                <w:noProof/>
                <w:webHidden/>
              </w:rPr>
              <w:t>10</w:t>
            </w:r>
            <w:r>
              <w:rPr>
                <w:noProof/>
                <w:webHidden/>
              </w:rPr>
              <w:fldChar w:fldCharType="end"/>
            </w:r>
          </w:hyperlink>
        </w:p>
        <w:p w14:paraId="0E8463AD" w14:textId="7994F2B4" w:rsidR="003C677E" w:rsidRDefault="003C677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6790327" w:history="1">
            <w:r w:rsidRPr="000E0CC3">
              <w:rPr>
                <w:rStyle w:val="Hyperlink"/>
                <w:noProof/>
              </w:rPr>
              <w:t>Clinical evaluation summary</w:t>
            </w:r>
            <w:r>
              <w:rPr>
                <w:noProof/>
                <w:webHidden/>
              </w:rPr>
              <w:tab/>
            </w:r>
            <w:r>
              <w:rPr>
                <w:noProof/>
                <w:webHidden/>
              </w:rPr>
              <w:fldChar w:fldCharType="begin"/>
            </w:r>
            <w:r>
              <w:rPr>
                <w:noProof/>
                <w:webHidden/>
              </w:rPr>
              <w:instrText xml:space="preserve"> PAGEREF _Toc216790327 \h </w:instrText>
            </w:r>
            <w:r>
              <w:rPr>
                <w:noProof/>
                <w:webHidden/>
              </w:rPr>
            </w:r>
            <w:r>
              <w:rPr>
                <w:noProof/>
                <w:webHidden/>
              </w:rPr>
              <w:fldChar w:fldCharType="separate"/>
            </w:r>
            <w:r>
              <w:rPr>
                <w:noProof/>
                <w:webHidden/>
              </w:rPr>
              <w:t>10</w:t>
            </w:r>
            <w:r>
              <w:rPr>
                <w:noProof/>
                <w:webHidden/>
              </w:rPr>
              <w:fldChar w:fldCharType="end"/>
            </w:r>
          </w:hyperlink>
        </w:p>
        <w:p w14:paraId="07F0A45D" w14:textId="61D3949F" w:rsidR="003C677E" w:rsidRDefault="003C677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16790328" w:history="1">
            <w:r w:rsidRPr="000E0CC3">
              <w:rPr>
                <w:rStyle w:val="Hyperlink"/>
                <w:noProof/>
              </w:rPr>
              <w:t>Pharmacology</w:t>
            </w:r>
            <w:r>
              <w:rPr>
                <w:noProof/>
                <w:webHidden/>
              </w:rPr>
              <w:tab/>
            </w:r>
            <w:r>
              <w:rPr>
                <w:noProof/>
                <w:webHidden/>
              </w:rPr>
              <w:fldChar w:fldCharType="begin"/>
            </w:r>
            <w:r>
              <w:rPr>
                <w:noProof/>
                <w:webHidden/>
              </w:rPr>
              <w:instrText xml:space="preserve"> PAGEREF _Toc216790328 \h </w:instrText>
            </w:r>
            <w:r>
              <w:rPr>
                <w:noProof/>
                <w:webHidden/>
              </w:rPr>
            </w:r>
            <w:r>
              <w:rPr>
                <w:noProof/>
                <w:webHidden/>
              </w:rPr>
              <w:fldChar w:fldCharType="separate"/>
            </w:r>
            <w:r>
              <w:rPr>
                <w:noProof/>
                <w:webHidden/>
              </w:rPr>
              <w:t>11</w:t>
            </w:r>
            <w:r>
              <w:rPr>
                <w:noProof/>
                <w:webHidden/>
              </w:rPr>
              <w:fldChar w:fldCharType="end"/>
            </w:r>
          </w:hyperlink>
        </w:p>
        <w:p w14:paraId="35DE4653" w14:textId="58BE9029" w:rsidR="003C677E" w:rsidRDefault="003C677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16790329" w:history="1">
            <w:r w:rsidRPr="000E0CC3">
              <w:rPr>
                <w:rStyle w:val="Hyperlink"/>
                <w:noProof/>
              </w:rPr>
              <w:t>Efficacy</w:t>
            </w:r>
            <w:r>
              <w:rPr>
                <w:noProof/>
                <w:webHidden/>
              </w:rPr>
              <w:tab/>
            </w:r>
            <w:r>
              <w:rPr>
                <w:noProof/>
                <w:webHidden/>
              </w:rPr>
              <w:fldChar w:fldCharType="begin"/>
            </w:r>
            <w:r>
              <w:rPr>
                <w:noProof/>
                <w:webHidden/>
              </w:rPr>
              <w:instrText xml:space="preserve"> PAGEREF _Toc216790329 \h </w:instrText>
            </w:r>
            <w:r>
              <w:rPr>
                <w:noProof/>
                <w:webHidden/>
              </w:rPr>
            </w:r>
            <w:r>
              <w:rPr>
                <w:noProof/>
                <w:webHidden/>
              </w:rPr>
              <w:fldChar w:fldCharType="separate"/>
            </w:r>
            <w:r>
              <w:rPr>
                <w:noProof/>
                <w:webHidden/>
              </w:rPr>
              <w:t>17</w:t>
            </w:r>
            <w:r>
              <w:rPr>
                <w:noProof/>
                <w:webHidden/>
              </w:rPr>
              <w:fldChar w:fldCharType="end"/>
            </w:r>
          </w:hyperlink>
        </w:p>
        <w:p w14:paraId="2B3C9D05" w14:textId="1064B777" w:rsidR="003C677E" w:rsidRDefault="003C677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16790330" w:history="1">
            <w:r w:rsidRPr="000E0CC3">
              <w:rPr>
                <w:rStyle w:val="Hyperlink"/>
                <w:noProof/>
              </w:rPr>
              <w:t>Safety</w:t>
            </w:r>
            <w:r>
              <w:rPr>
                <w:noProof/>
                <w:webHidden/>
              </w:rPr>
              <w:tab/>
            </w:r>
            <w:r>
              <w:rPr>
                <w:noProof/>
                <w:webHidden/>
              </w:rPr>
              <w:fldChar w:fldCharType="begin"/>
            </w:r>
            <w:r>
              <w:rPr>
                <w:noProof/>
                <w:webHidden/>
              </w:rPr>
              <w:instrText xml:space="preserve"> PAGEREF _Toc216790330 \h </w:instrText>
            </w:r>
            <w:r>
              <w:rPr>
                <w:noProof/>
                <w:webHidden/>
              </w:rPr>
            </w:r>
            <w:r>
              <w:rPr>
                <w:noProof/>
                <w:webHidden/>
              </w:rPr>
              <w:fldChar w:fldCharType="separate"/>
            </w:r>
            <w:r>
              <w:rPr>
                <w:noProof/>
                <w:webHidden/>
              </w:rPr>
              <w:t>18</w:t>
            </w:r>
            <w:r>
              <w:rPr>
                <w:noProof/>
                <w:webHidden/>
              </w:rPr>
              <w:fldChar w:fldCharType="end"/>
            </w:r>
          </w:hyperlink>
        </w:p>
        <w:p w14:paraId="4F608B81" w14:textId="3FFA2FCC" w:rsidR="003C677E" w:rsidRDefault="003C677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6790331" w:history="1">
            <w:r w:rsidRPr="000E0CC3">
              <w:rPr>
                <w:rStyle w:val="Hyperlink"/>
                <w:noProof/>
              </w:rPr>
              <w:t>Risk Management Plan evaluation</w:t>
            </w:r>
            <w:r>
              <w:rPr>
                <w:noProof/>
                <w:webHidden/>
              </w:rPr>
              <w:tab/>
            </w:r>
            <w:r>
              <w:rPr>
                <w:noProof/>
                <w:webHidden/>
              </w:rPr>
              <w:fldChar w:fldCharType="begin"/>
            </w:r>
            <w:r>
              <w:rPr>
                <w:noProof/>
                <w:webHidden/>
              </w:rPr>
              <w:instrText xml:space="preserve"> PAGEREF _Toc216790331 \h </w:instrText>
            </w:r>
            <w:r>
              <w:rPr>
                <w:noProof/>
                <w:webHidden/>
              </w:rPr>
            </w:r>
            <w:r>
              <w:rPr>
                <w:noProof/>
                <w:webHidden/>
              </w:rPr>
              <w:fldChar w:fldCharType="separate"/>
            </w:r>
            <w:r>
              <w:rPr>
                <w:noProof/>
                <w:webHidden/>
              </w:rPr>
              <w:t>21</w:t>
            </w:r>
            <w:r>
              <w:rPr>
                <w:noProof/>
                <w:webHidden/>
              </w:rPr>
              <w:fldChar w:fldCharType="end"/>
            </w:r>
          </w:hyperlink>
        </w:p>
        <w:p w14:paraId="45D4A0AA" w14:textId="6D9EF194" w:rsidR="003C677E" w:rsidRDefault="003C677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16790332" w:history="1">
            <w:r w:rsidRPr="000E0CC3">
              <w:rPr>
                <w:rStyle w:val="Hyperlink"/>
                <w:noProof/>
              </w:rPr>
              <w:t>Discussion</w:t>
            </w:r>
            <w:r>
              <w:rPr>
                <w:noProof/>
                <w:webHidden/>
              </w:rPr>
              <w:tab/>
            </w:r>
            <w:r>
              <w:rPr>
                <w:noProof/>
                <w:webHidden/>
              </w:rPr>
              <w:fldChar w:fldCharType="begin"/>
            </w:r>
            <w:r>
              <w:rPr>
                <w:noProof/>
                <w:webHidden/>
              </w:rPr>
              <w:instrText xml:space="preserve"> PAGEREF _Toc216790332 \h </w:instrText>
            </w:r>
            <w:r>
              <w:rPr>
                <w:noProof/>
                <w:webHidden/>
              </w:rPr>
            </w:r>
            <w:r>
              <w:rPr>
                <w:noProof/>
                <w:webHidden/>
              </w:rPr>
              <w:fldChar w:fldCharType="separate"/>
            </w:r>
            <w:r>
              <w:rPr>
                <w:noProof/>
                <w:webHidden/>
              </w:rPr>
              <w:t>21</w:t>
            </w:r>
            <w:r>
              <w:rPr>
                <w:noProof/>
                <w:webHidden/>
              </w:rPr>
              <w:fldChar w:fldCharType="end"/>
            </w:r>
          </w:hyperlink>
        </w:p>
        <w:p w14:paraId="09247A92" w14:textId="66432627" w:rsidR="003C677E" w:rsidRDefault="003C677E">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16790333" w:history="1">
            <w:r w:rsidRPr="000E0CC3">
              <w:rPr>
                <w:rStyle w:val="Hyperlink"/>
                <w:noProof/>
              </w:rPr>
              <w:t>Assessment outcome</w:t>
            </w:r>
            <w:r>
              <w:rPr>
                <w:noProof/>
                <w:webHidden/>
              </w:rPr>
              <w:tab/>
            </w:r>
            <w:r>
              <w:rPr>
                <w:noProof/>
                <w:webHidden/>
              </w:rPr>
              <w:fldChar w:fldCharType="begin"/>
            </w:r>
            <w:r>
              <w:rPr>
                <w:noProof/>
                <w:webHidden/>
              </w:rPr>
              <w:instrText xml:space="preserve"> PAGEREF _Toc216790333 \h </w:instrText>
            </w:r>
            <w:r>
              <w:rPr>
                <w:noProof/>
                <w:webHidden/>
              </w:rPr>
            </w:r>
            <w:r>
              <w:rPr>
                <w:noProof/>
                <w:webHidden/>
              </w:rPr>
              <w:fldChar w:fldCharType="separate"/>
            </w:r>
            <w:r>
              <w:rPr>
                <w:noProof/>
                <w:webHidden/>
              </w:rPr>
              <w:t>21</w:t>
            </w:r>
            <w:r>
              <w:rPr>
                <w:noProof/>
                <w:webHidden/>
              </w:rPr>
              <w:fldChar w:fldCharType="end"/>
            </w:r>
          </w:hyperlink>
        </w:p>
        <w:p w14:paraId="577EDA3A" w14:textId="71242636" w:rsidR="003C677E" w:rsidRDefault="003C677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16790334" w:history="1">
            <w:r w:rsidRPr="000E0CC3">
              <w:rPr>
                <w:rStyle w:val="Hyperlink"/>
                <w:noProof/>
              </w:rPr>
              <w:t>Specific conditions of registration</w:t>
            </w:r>
            <w:r>
              <w:rPr>
                <w:noProof/>
                <w:webHidden/>
              </w:rPr>
              <w:tab/>
            </w:r>
            <w:r>
              <w:rPr>
                <w:noProof/>
                <w:webHidden/>
              </w:rPr>
              <w:fldChar w:fldCharType="begin"/>
            </w:r>
            <w:r>
              <w:rPr>
                <w:noProof/>
                <w:webHidden/>
              </w:rPr>
              <w:instrText xml:space="preserve"> PAGEREF _Toc216790334 \h </w:instrText>
            </w:r>
            <w:r>
              <w:rPr>
                <w:noProof/>
                <w:webHidden/>
              </w:rPr>
            </w:r>
            <w:r>
              <w:rPr>
                <w:noProof/>
                <w:webHidden/>
              </w:rPr>
              <w:fldChar w:fldCharType="separate"/>
            </w:r>
            <w:r>
              <w:rPr>
                <w:noProof/>
                <w:webHidden/>
              </w:rPr>
              <w:t>22</w:t>
            </w:r>
            <w:r>
              <w:rPr>
                <w:noProof/>
                <w:webHidden/>
              </w:rPr>
              <w:fldChar w:fldCharType="end"/>
            </w:r>
          </w:hyperlink>
        </w:p>
        <w:p w14:paraId="3886BCD6" w14:textId="721CE18E" w:rsidR="003C677E" w:rsidRDefault="003C677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16790335" w:history="1">
            <w:r w:rsidRPr="000E0CC3">
              <w:rPr>
                <w:rStyle w:val="Hyperlink"/>
                <w:noProof/>
              </w:rPr>
              <w:t>Product Information and Consumer Medicine Information</w:t>
            </w:r>
            <w:r>
              <w:rPr>
                <w:noProof/>
                <w:webHidden/>
              </w:rPr>
              <w:tab/>
            </w:r>
            <w:r>
              <w:rPr>
                <w:noProof/>
                <w:webHidden/>
              </w:rPr>
              <w:fldChar w:fldCharType="begin"/>
            </w:r>
            <w:r>
              <w:rPr>
                <w:noProof/>
                <w:webHidden/>
              </w:rPr>
              <w:instrText xml:space="preserve"> PAGEREF _Toc216790335 \h </w:instrText>
            </w:r>
            <w:r>
              <w:rPr>
                <w:noProof/>
                <w:webHidden/>
              </w:rPr>
            </w:r>
            <w:r>
              <w:rPr>
                <w:noProof/>
                <w:webHidden/>
              </w:rPr>
              <w:fldChar w:fldCharType="separate"/>
            </w:r>
            <w:r>
              <w:rPr>
                <w:noProof/>
                <w:webHidden/>
              </w:rPr>
              <w:t>22</w:t>
            </w:r>
            <w:r>
              <w:rPr>
                <w:noProof/>
                <w:webHidden/>
              </w:rPr>
              <w:fldChar w:fldCharType="end"/>
            </w:r>
          </w:hyperlink>
        </w:p>
        <w:p w14:paraId="77659F2D" w14:textId="24072873"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1E73AB93" w14:textId="77777777" w:rsidR="00324B33" w:rsidRDefault="00324B33" w:rsidP="00324B33">
      <w:pPr>
        <w:pStyle w:val="Heading2"/>
      </w:pPr>
      <w:bookmarkStart w:id="0" w:name="_Toc98931917"/>
      <w:bookmarkStart w:id="1" w:name="_Toc103679287"/>
      <w:bookmarkStart w:id="2" w:name="_Toc216790313"/>
      <w:bookmarkStart w:id="3" w:name="_Toc323739589"/>
      <w:bookmarkStart w:id="4" w:name="_Toc356305216"/>
      <w:r>
        <w:lastRenderedPageBreak/>
        <w:t>List of abbreviations</w:t>
      </w:r>
      <w:bookmarkEnd w:id="0"/>
      <w:bookmarkEnd w:id="1"/>
      <w:bookmarkEnd w:id="2"/>
    </w:p>
    <w:tbl>
      <w:tblPr>
        <w:tblStyle w:val="TableTGAblue2023"/>
        <w:tblW w:w="5000" w:type="pct"/>
        <w:tblLook w:val="04A0" w:firstRow="1" w:lastRow="0" w:firstColumn="1" w:lastColumn="0" w:noHBand="0" w:noVBand="1"/>
      </w:tblPr>
      <w:tblGrid>
        <w:gridCol w:w="2174"/>
        <w:gridCol w:w="6886"/>
      </w:tblGrid>
      <w:tr w:rsidR="00FB1AAD" w:rsidRPr="006718D3" w14:paraId="157FDE70" w14:textId="77777777" w:rsidTr="00343657">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123D28F3" w14:textId="77777777" w:rsidR="00FB1AAD" w:rsidRPr="006718D3" w:rsidRDefault="00FB1AAD" w:rsidP="00343657">
            <w:pPr>
              <w:rPr>
                <w:szCs w:val="22"/>
              </w:rPr>
            </w:pPr>
            <w:r w:rsidRPr="006718D3">
              <w:rPr>
                <w:szCs w:val="22"/>
              </w:rPr>
              <w:t>Abbreviation</w:t>
            </w:r>
          </w:p>
        </w:tc>
        <w:tc>
          <w:tcPr>
            <w:tcW w:w="3800" w:type="pct"/>
          </w:tcPr>
          <w:p w14:paraId="4F589CB0" w14:textId="77777777" w:rsidR="00FB1AAD" w:rsidRPr="006718D3" w:rsidRDefault="00FB1AAD" w:rsidP="00343657">
            <w:pPr>
              <w:cnfStyle w:val="100000000000" w:firstRow="1" w:lastRow="0" w:firstColumn="0" w:lastColumn="0" w:oddVBand="0" w:evenVBand="0" w:oddHBand="0" w:evenHBand="0" w:firstRowFirstColumn="0" w:firstRowLastColumn="0" w:lastRowFirstColumn="0" w:lastRowLastColumn="0"/>
              <w:rPr>
                <w:szCs w:val="22"/>
              </w:rPr>
            </w:pPr>
            <w:r w:rsidRPr="006718D3">
              <w:rPr>
                <w:szCs w:val="22"/>
              </w:rPr>
              <w:t>Meaning</w:t>
            </w:r>
          </w:p>
        </w:tc>
      </w:tr>
      <w:tr w:rsidR="00FB1AAD" w:rsidRPr="006718D3" w14:paraId="20FE7C9E" w14:textId="77777777" w:rsidTr="0034365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58521A3" w14:textId="77777777" w:rsidR="00FB1AAD" w:rsidRPr="006718D3" w:rsidRDefault="00FB1AAD" w:rsidP="00343657">
            <w:pPr>
              <w:rPr>
                <w:szCs w:val="22"/>
              </w:rPr>
            </w:pPr>
            <w:r w:rsidRPr="006718D3">
              <w:rPr>
                <w:szCs w:val="22"/>
              </w:rPr>
              <w:t>ACM</w:t>
            </w:r>
          </w:p>
        </w:tc>
        <w:tc>
          <w:tcPr>
            <w:tcW w:w="3800" w:type="pct"/>
          </w:tcPr>
          <w:p w14:paraId="3F6857D6" w14:textId="77777777" w:rsidR="00FB1AAD" w:rsidRPr="006718D3" w:rsidRDefault="00FB1AAD" w:rsidP="00343657">
            <w:pPr>
              <w:cnfStyle w:val="000000000000" w:firstRow="0" w:lastRow="0" w:firstColumn="0" w:lastColumn="0" w:oddVBand="0" w:evenVBand="0" w:oddHBand="0" w:evenHBand="0" w:firstRowFirstColumn="0" w:firstRowLastColumn="0" w:lastRowFirstColumn="0" w:lastRowLastColumn="0"/>
              <w:rPr>
                <w:szCs w:val="22"/>
              </w:rPr>
            </w:pPr>
            <w:r w:rsidRPr="006718D3">
              <w:rPr>
                <w:szCs w:val="22"/>
              </w:rPr>
              <w:t>Advisory Committee on Medicines</w:t>
            </w:r>
          </w:p>
        </w:tc>
      </w:tr>
      <w:tr w:rsidR="00FB1AAD" w:rsidRPr="0076074B" w14:paraId="0673998C" w14:textId="77777777" w:rsidTr="0034365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DFF8500" w14:textId="77777777" w:rsidR="00FB1AAD" w:rsidRPr="0076074B" w:rsidRDefault="00FB1AAD" w:rsidP="00343657">
            <w:pPr>
              <w:rPr>
                <w:szCs w:val="22"/>
              </w:rPr>
            </w:pPr>
            <w:r w:rsidRPr="0076074B">
              <w:rPr>
                <w:szCs w:val="22"/>
              </w:rPr>
              <w:t xml:space="preserve">AEs </w:t>
            </w:r>
          </w:p>
        </w:tc>
        <w:tc>
          <w:tcPr>
            <w:tcW w:w="3800" w:type="pct"/>
          </w:tcPr>
          <w:p w14:paraId="2E9E3568" w14:textId="77777777" w:rsidR="00FB1AAD" w:rsidRPr="0076074B" w:rsidRDefault="00FB1AAD" w:rsidP="00343657">
            <w:pPr>
              <w:cnfStyle w:val="000000000000" w:firstRow="0" w:lastRow="0" w:firstColumn="0" w:lastColumn="0" w:oddVBand="0" w:evenVBand="0" w:oddHBand="0" w:evenHBand="0" w:firstRowFirstColumn="0" w:firstRowLastColumn="0" w:lastRowFirstColumn="0" w:lastRowLastColumn="0"/>
              <w:rPr>
                <w:szCs w:val="22"/>
              </w:rPr>
            </w:pPr>
            <w:r w:rsidRPr="0076074B">
              <w:rPr>
                <w:szCs w:val="22"/>
              </w:rPr>
              <w:t>Adverse events</w:t>
            </w:r>
          </w:p>
        </w:tc>
      </w:tr>
      <w:tr w:rsidR="00FB1AAD" w:rsidRPr="006718D3" w14:paraId="67A86840" w14:textId="77777777" w:rsidTr="0034365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BD63D45" w14:textId="77777777" w:rsidR="00FB1AAD" w:rsidRPr="006718D3" w:rsidRDefault="00FB1AAD" w:rsidP="00343657">
            <w:pPr>
              <w:rPr>
                <w:szCs w:val="22"/>
              </w:rPr>
            </w:pPr>
            <w:r w:rsidRPr="006718D3">
              <w:rPr>
                <w:szCs w:val="22"/>
              </w:rPr>
              <w:t>ARTG</w:t>
            </w:r>
          </w:p>
        </w:tc>
        <w:tc>
          <w:tcPr>
            <w:tcW w:w="3800" w:type="pct"/>
          </w:tcPr>
          <w:p w14:paraId="04F93665" w14:textId="77777777" w:rsidR="00FB1AAD" w:rsidRPr="006718D3" w:rsidRDefault="00FB1AAD" w:rsidP="00343657">
            <w:pPr>
              <w:cnfStyle w:val="000000000000" w:firstRow="0" w:lastRow="0" w:firstColumn="0" w:lastColumn="0" w:oddVBand="0" w:evenVBand="0" w:oddHBand="0" w:evenHBand="0" w:firstRowFirstColumn="0" w:firstRowLastColumn="0" w:lastRowFirstColumn="0" w:lastRowLastColumn="0"/>
              <w:rPr>
                <w:szCs w:val="22"/>
              </w:rPr>
            </w:pPr>
            <w:r w:rsidRPr="006718D3">
              <w:rPr>
                <w:szCs w:val="22"/>
              </w:rPr>
              <w:t>Australian Register of Therapeutic Goods</w:t>
            </w:r>
          </w:p>
        </w:tc>
      </w:tr>
      <w:tr w:rsidR="00FB1AAD" w:rsidRPr="0076074B" w14:paraId="2E444834" w14:textId="77777777" w:rsidTr="0034365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2B45BDB" w14:textId="77777777" w:rsidR="00FB1AAD" w:rsidRPr="0076074B" w:rsidRDefault="00FB1AAD" w:rsidP="00343657">
            <w:pPr>
              <w:rPr>
                <w:szCs w:val="22"/>
              </w:rPr>
            </w:pPr>
            <w:r w:rsidRPr="0076074B">
              <w:rPr>
                <w:szCs w:val="22"/>
              </w:rPr>
              <w:t>AUC</w:t>
            </w:r>
            <w:r w:rsidRPr="0076074B">
              <w:rPr>
                <w:szCs w:val="22"/>
                <w:vertAlign w:val="subscript"/>
              </w:rPr>
              <w:t>0-t</w:t>
            </w:r>
          </w:p>
        </w:tc>
        <w:tc>
          <w:tcPr>
            <w:tcW w:w="3800" w:type="pct"/>
          </w:tcPr>
          <w:p w14:paraId="1C34BD06" w14:textId="2DAFFC3D" w:rsidR="00FB1AAD" w:rsidRPr="0076074B" w:rsidRDefault="00FB1AAD" w:rsidP="00343657">
            <w:pPr>
              <w:pStyle w:val="Default"/>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76074B">
              <w:rPr>
                <w:rFonts w:ascii="Cambria" w:hAnsi="Cambria"/>
                <w:sz w:val="22"/>
                <w:szCs w:val="22"/>
              </w:rPr>
              <w:t>Area under the serum concentration versus time curve from time zero to the last measurable concentration</w:t>
            </w:r>
          </w:p>
        </w:tc>
      </w:tr>
      <w:tr w:rsidR="0023475E" w:rsidRPr="0076074B" w14:paraId="0CC522AE" w14:textId="77777777" w:rsidTr="0034365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067D316" w14:textId="6D3675C9" w:rsidR="0023475E" w:rsidRPr="008353CF" w:rsidRDefault="0023475E" w:rsidP="0023475E">
            <w:pPr>
              <w:rPr>
                <w:szCs w:val="22"/>
              </w:rPr>
            </w:pPr>
            <w:r w:rsidRPr="008353CF">
              <w:rPr>
                <w:szCs w:val="22"/>
                <w14:ligatures w14:val="standardContextual"/>
              </w:rPr>
              <w:t>AUC</w:t>
            </w:r>
            <w:r w:rsidRPr="008353CF">
              <w:rPr>
                <w:szCs w:val="22"/>
                <w:vertAlign w:val="subscript"/>
                <w14:ligatures w14:val="standardContextual"/>
              </w:rPr>
              <w:t>0-∞</w:t>
            </w:r>
          </w:p>
        </w:tc>
        <w:tc>
          <w:tcPr>
            <w:tcW w:w="3800" w:type="pct"/>
          </w:tcPr>
          <w:p w14:paraId="3A19D9CB" w14:textId="5D51A025" w:rsidR="0023475E" w:rsidRPr="008353CF" w:rsidRDefault="0023475E" w:rsidP="0023475E">
            <w:pPr>
              <w:pStyle w:val="Default"/>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8353CF">
              <w:rPr>
                <w:rFonts w:ascii="Cambria" w:hAnsi="Cambria"/>
                <w:sz w:val="22"/>
                <w:szCs w:val="22"/>
              </w:rPr>
              <w:t>Area under the serum concentration versus time curve from time zero to infinity</w:t>
            </w:r>
          </w:p>
        </w:tc>
      </w:tr>
      <w:tr w:rsidR="0023475E" w:rsidRPr="0076074B" w14:paraId="561CF7E3" w14:textId="77777777" w:rsidTr="0034365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C92AF23" w14:textId="77777777" w:rsidR="0023475E" w:rsidRPr="0076074B" w:rsidRDefault="0023475E" w:rsidP="0023475E">
            <w:pPr>
              <w:rPr>
                <w:szCs w:val="22"/>
              </w:rPr>
            </w:pPr>
            <w:r w:rsidRPr="0076074B">
              <w:rPr>
                <w:szCs w:val="22"/>
              </w:rPr>
              <w:t>AUEC</w:t>
            </w:r>
            <w:r w:rsidRPr="0076074B">
              <w:rPr>
                <w:szCs w:val="22"/>
                <w:vertAlign w:val="subscript"/>
              </w:rPr>
              <w:t>0-t</w:t>
            </w:r>
          </w:p>
        </w:tc>
        <w:tc>
          <w:tcPr>
            <w:tcW w:w="3800" w:type="pct"/>
          </w:tcPr>
          <w:p w14:paraId="725586B0" w14:textId="77777777" w:rsidR="0023475E" w:rsidRPr="0076074B" w:rsidRDefault="0023475E" w:rsidP="0023475E">
            <w:pPr>
              <w:cnfStyle w:val="000000000000" w:firstRow="0" w:lastRow="0" w:firstColumn="0" w:lastColumn="0" w:oddVBand="0" w:evenVBand="0" w:oddHBand="0" w:evenHBand="0" w:firstRowFirstColumn="0" w:firstRowLastColumn="0" w:lastRowFirstColumn="0" w:lastRowLastColumn="0"/>
              <w:rPr>
                <w:szCs w:val="22"/>
              </w:rPr>
            </w:pPr>
            <w:r w:rsidRPr="0076074B">
              <w:rPr>
                <w:szCs w:val="22"/>
              </w:rPr>
              <w:t>Area under serum calcium vs. time curve from time zero to the last measurable concentration</w:t>
            </w:r>
          </w:p>
        </w:tc>
      </w:tr>
      <w:tr w:rsidR="0023475E" w:rsidRPr="0076074B" w14:paraId="187A69DE" w14:textId="77777777" w:rsidTr="0034365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05E9350" w14:textId="77777777" w:rsidR="0023475E" w:rsidRPr="0076074B" w:rsidRDefault="0023475E" w:rsidP="0023475E">
            <w:pPr>
              <w:rPr>
                <w:szCs w:val="22"/>
              </w:rPr>
            </w:pPr>
            <w:r w:rsidRPr="0076074B">
              <w:rPr>
                <w:szCs w:val="22"/>
              </w:rPr>
              <w:t>BMD</w:t>
            </w:r>
          </w:p>
        </w:tc>
        <w:tc>
          <w:tcPr>
            <w:tcW w:w="3800" w:type="pct"/>
          </w:tcPr>
          <w:p w14:paraId="3746215B" w14:textId="77777777" w:rsidR="0023475E" w:rsidRPr="0076074B" w:rsidRDefault="0023475E" w:rsidP="0023475E">
            <w:pPr>
              <w:cnfStyle w:val="000000000000" w:firstRow="0" w:lastRow="0" w:firstColumn="0" w:lastColumn="0" w:oddVBand="0" w:evenVBand="0" w:oddHBand="0" w:evenHBand="0" w:firstRowFirstColumn="0" w:firstRowLastColumn="0" w:lastRowFirstColumn="0" w:lastRowLastColumn="0"/>
              <w:rPr>
                <w:szCs w:val="22"/>
              </w:rPr>
            </w:pPr>
            <w:r w:rsidRPr="0076074B">
              <w:rPr>
                <w:szCs w:val="22"/>
              </w:rPr>
              <w:t xml:space="preserve">Bone mineral density </w:t>
            </w:r>
          </w:p>
        </w:tc>
      </w:tr>
      <w:tr w:rsidR="0023475E" w:rsidRPr="0076074B" w14:paraId="7E9441B2" w14:textId="77777777" w:rsidTr="0034365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B3C19E7" w14:textId="77777777" w:rsidR="0023475E" w:rsidRPr="0076074B" w:rsidRDefault="0023475E" w:rsidP="0023475E">
            <w:pPr>
              <w:rPr>
                <w:szCs w:val="22"/>
              </w:rPr>
            </w:pPr>
            <w:r w:rsidRPr="0076074B">
              <w:rPr>
                <w:szCs w:val="22"/>
                <w:lang w:eastAsia="ja-JP"/>
              </w:rPr>
              <w:t>CIs</w:t>
            </w:r>
          </w:p>
        </w:tc>
        <w:tc>
          <w:tcPr>
            <w:tcW w:w="3800" w:type="pct"/>
          </w:tcPr>
          <w:p w14:paraId="3BBA8BDC" w14:textId="77777777" w:rsidR="0023475E" w:rsidRPr="0076074B" w:rsidRDefault="0023475E" w:rsidP="0023475E">
            <w:pPr>
              <w:cnfStyle w:val="000000000000" w:firstRow="0" w:lastRow="0" w:firstColumn="0" w:lastColumn="0" w:oddVBand="0" w:evenVBand="0" w:oddHBand="0" w:evenHBand="0" w:firstRowFirstColumn="0" w:firstRowLastColumn="0" w:lastRowFirstColumn="0" w:lastRowLastColumn="0"/>
              <w:rPr>
                <w:szCs w:val="22"/>
              </w:rPr>
            </w:pPr>
            <w:r w:rsidRPr="0076074B">
              <w:rPr>
                <w:szCs w:val="22"/>
                <w:lang w:eastAsia="ja-JP"/>
              </w:rPr>
              <w:t>Confidence intervals</w:t>
            </w:r>
          </w:p>
        </w:tc>
      </w:tr>
      <w:tr w:rsidR="0023475E" w:rsidRPr="0076074B" w14:paraId="4BFC0E86" w14:textId="77777777" w:rsidTr="0034365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8A95482" w14:textId="77777777" w:rsidR="0023475E" w:rsidRPr="0076074B" w:rsidRDefault="0023475E" w:rsidP="0023475E">
            <w:pPr>
              <w:rPr>
                <w:szCs w:val="22"/>
                <w:lang w:eastAsia="ja-JP"/>
              </w:rPr>
            </w:pPr>
            <w:r w:rsidRPr="0076074B">
              <w:rPr>
                <w:szCs w:val="22"/>
              </w:rPr>
              <w:t>C</w:t>
            </w:r>
            <w:r w:rsidRPr="0076074B">
              <w:rPr>
                <w:szCs w:val="22"/>
                <w:vertAlign w:val="subscript"/>
              </w:rPr>
              <w:t>max</w:t>
            </w:r>
          </w:p>
        </w:tc>
        <w:tc>
          <w:tcPr>
            <w:tcW w:w="3800" w:type="pct"/>
          </w:tcPr>
          <w:p w14:paraId="331BC908" w14:textId="77777777" w:rsidR="0023475E" w:rsidRPr="0076074B" w:rsidRDefault="0023475E" w:rsidP="0023475E">
            <w:pPr>
              <w:cnfStyle w:val="000000000000" w:firstRow="0" w:lastRow="0" w:firstColumn="0" w:lastColumn="0" w:oddVBand="0" w:evenVBand="0" w:oddHBand="0" w:evenHBand="0" w:firstRowFirstColumn="0" w:firstRowLastColumn="0" w:lastRowFirstColumn="0" w:lastRowLastColumn="0"/>
              <w:rPr>
                <w:szCs w:val="22"/>
                <w:lang w:eastAsia="ja-JP"/>
              </w:rPr>
            </w:pPr>
            <w:r w:rsidRPr="0076074B">
              <w:rPr>
                <w:szCs w:val="22"/>
              </w:rPr>
              <w:t>Maximum measured serum concentration</w:t>
            </w:r>
          </w:p>
        </w:tc>
      </w:tr>
      <w:tr w:rsidR="0023475E" w:rsidRPr="006718D3" w14:paraId="4692539D" w14:textId="77777777" w:rsidTr="0034365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FC6039F" w14:textId="77777777" w:rsidR="0023475E" w:rsidRPr="006718D3" w:rsidRDefault="0023475E" w:rsidP="0023475E">
            <w:pPr>
              <w:rPr>
                <w:szCs w:val="22"/>
              </w:rPr>
            </w:pPr>
            <w:r w:rsidRPr="006718D3">
              <w:rPr>
                <w:szCs w:val="22"/>
              </w:rPr>
              <w:t>CMI</w:t>
            </w:r>
          </w:p>
        </w:tc>
        <w:tc>
          <w:tcPr>
            <w:tcW w:w="3800" w:type="pct"/>
          </w:tcPr>
          <w:p w14:paraId="0A85B58B" w14:textId="77777777" w:rsidR="0023475E" w:rsidRPr="006718D3" w:rsidRDefault="0023475E" w:rsidP="0023475E">
            <w:pPr>
              <w:cnfStyle w:val="000000000000" w:firstRow="0" w:lastRow="0" w:firstColumn="0" w:lastColumn="0" w:oddVBand="0" w:evenVBand="0" w:oddHBand="0" w:evenHBand="0" w:firstRowFirstColumn="0" w:firstRowLastColumn="0" w:lastRowFirstColumn="0" w:lastRowLastColumn="0"/>
              <w:rPr>
                <w:szCs w:val="22"/>
              </w:rPr>
            </w:pPr>
            <w:r w:rsidRPr="006718D3">
              <w:rPr>
                <w:szCs w:val="22"/>
              </w:rPr>
              <w:t>Consumer Medicines Information</w:t>
            </w:r>
          </w:p>
        </w:tc>
      </w:tr>
      <w:tr w:rsidR="0023475E" w:rsidRPr="0076074B" w14:paraId="259AAD55" w14:textId="77777777" w:rsidTr="0034365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69E77C3" w14:textId="77777777" w:rsidR="0023475E" w:rsidRPr="0076074B" w:rsidRDefault="0023475E" w:rsidP="0023475E">
            <w:pPr>
              <w:rPr>
                <w:szCs w:val="22"/>
              </w:rPr>
            </w:pPr>
            <w:r w:rsidRPr="0076074B">
              <w:rPr>
                <w:szCs w:val="22"/>
              </w:rPr>
              <w:t>E</w:t>
            </w:r>
            <w:r w:rsidRPr="0076074B">
              <w:rPr>
                <w:szCs w:val="22"/>
                <w:vertAlign w:val="subscript"/>
              </w:rPr>
              <w:t>max</w:t>
            </w:r>
            <w:r w:rsidRPr="0076074B">
              <w:rPr>
                <w:szCs w:val="22"/>
              </w:rPr>
              <w:t xml:space="preserve"> </w:t>
            </w:r>
          </w:p>
        </w:tc>
        <w:tc>
          <w:tcPr>
            <w:tcW w:w="3800" w:type="pct"/>
          </w:tcPr>
          <w:p w14:paraId="386569DA" w14:textId="77777777" w:rsidR="0023475E" w:rsidRPr="0076074B" w:rsidRDefault="0023475E" w:rsidP="0023475E">
            <w:pPr>
              <w:cnfStyle w:val="000000000000" w:firstRow="0" w:lastRow="0" w:firstColumn="0" w:lastColumn="0" w:oddVBand="0" w:evenVBand="0" w:oddHBand="0" w:evenHBand="0" w:firstRowFirstColumn="0" w:firstRowLastColumn="0" w:lastRowFirstColumn="0" w:lastRowLastColumn="0"/>
              <w:rPr>
                <w:szCs w:val="22"/>
              </w:rPr>
            </w:pPr>
            <w:r w:rsidRPr="0076074B">
              <w:rPr>
                <w:szCs w:val="22"/>
              </w:rPr>
              <w:t xml:space="preserve">Maximum measured serum calcium concentration </w:t>
            </w:r>
          </w:p>
        </w:tc>
      </w:tr>
      <w:tr w:rsidR="0023475E" w:rsidRPr="0076074B" w14:paraId="09925EB4" w14:textId="77777777" w:rsidTr="0034365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9F86740" w14:textId="77777777" w:rsidR="0023475E" w:rsidRPr="0076074B" w:rsidRDefault="0023475E" w:rsidP="0023475E">
            <w:pPr>
              <w:rPr>
                <w:szCs w:val="22"/>
              </w:rPr>
            </w:pPr>
            <w:r w:rsidRPr="0076074B">
              <w:rPr>
                <w:szCs w:val="22"/>
              </w:rPr>
              <w:t xml:space="preserve">INTG8 </w:t>
            </w:r>
          </w:p>
        </w:tc>
        <w:tc>
          <w:tcPr>
            <w:tcW w:w="3800" w:type="pct"/>
          </w:tcPr>
          <w:p w14:paraId="099DE622" w14:textId="7C5CC2C5" w:rsidR="0023475E" w:rsidRPr="0076074B" w:rsidRDefault="0023475E" w:rsidP="0023475E">
            <w:pPr>
              <w:cnfStyle w:val="000000000000" w:firstRow="0" w:lastRow="0" w:firstColumn="0" w:lastColumn="0" w:oddVBand="0" w:evenVBand="0" w:oddHBand="0" w:evenHBand="0" w:firstRowFirstColumn="0" w:firstRowLastColumn="0" w:lastRowFirstColumn="0" w:lastRowLastColumn="0"/>
              <w:rPr>
                <w:szCs w:val="22"/>
              </w:rPr>
            </w:pPr>
            <w:r>
              <w:rPr>
                <w:szCs w:val="22"/>
              </w:rPr>
              <w:t>T</w:t>
            </w:r>
            <w:r w:rsidRPr="0076074B">
              <w:rPr>
                <w:szCs w:val="22"/>
              </w:rPr>
              <w:t>eriparatide</w:t>
            </w:r>
          </w:p>
        </w:tc>
      </w:tr>
      <w:tr w:rsidR="0023475E" w:rsidRPr="0076074B" w14:paraId="2C52F9EC" w14:textId="77777777" w:rsidTr="0034365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F47C348" w14:textId="77777777" w:rsidR="0023475E" w:rsidRPr="0076074B" w:rsidRDefault="0023475E" w:rsidP="0023475E">
            <w:pPr>
              <w:rPr>
                <w:szCs w:val="22"/>
              </w:rPr>
            </w:pPr>
            <w:r w:rsidRPr="0076074B">
              <w:rPr>
                <w:szCs w:val="22"/>
                <w:lang w:eastAsia="ja-JP"/>
              </w:rPr>
              <w:t xml:space="preserve">LSMs </w:t>
            </w:r>
          </w:p>
        </w:tc>
        <w:tc>
          <w:tcPr>
            <w:tcW w:w="3800" w:type="pct"/>
          </w:tcPr>
          <w:p w14:paraId="0F1B7B39" w14:textId="77C35B58" w:rsidR="0023475E" w:rsidRPr="0076074B" w:rsidRDefault="0023475E" w:rsidP="0023475E">
            <w:pPr>
              <w:cnfStyle w:val="000000000000" w:firstRow="0" w:lastRow="0" w:firstColumn="0" w:lastColumn="0" w:oddVBand="0" w:evenVBand="0" w:oddHBand="0" w:evenHBand="0" w:firstRowFirstColumn="0" w:firstRowLastColumn="0" w:lastRowFirstColumn="0" w:lastRowLastColumn="0"/>
              <w:rPr>
                <w:szCs w:val="22"/>
              </w:rPr>
            </w:pPr>
            <w:r w:rsidRPr="0076074B">
              <w:rPr>
                <w:szCs w:val="22"/>
                <w:lang w:eastAsia="ja-JP"/>
              </w:rPr>
              <w:t xml:space="preserve">Least </w:t>
            </w:r>
            <w:r>
              <w:rPr>
                <w:szCs w:val="22"/>
                <w:lang w:eastAsia="ja-JP"/>
              </w:rPr>
              <w:t>s</w:t>
            </w:r>
            <w:r w:rsidRPr="0076074B">
              <w:rPr>
                <w:szCs w:val="22"/>
                <w:lang w:eastAsia="ja-JP"/>
              </w:rPr>
              <w:t xml:space="preserve">quares </w:t>
            </w:r>
            <w:proofErr w:type="gramStart"/>
            <w:r>
              <w:rPr>
                <w:szCs w:val="22"/>
                <w:lang w:eastAsia="ja-JP"/>
              </w:rPr>
              <w:t>m</w:t>
            </w:r>
            <w:r w:rsidRPr="0076074B">
              <w:rPr>
                <w:szCs w:val="22"/>
                <w:lang w:eastAsia="ja-JP"/>
              </w:rPr>
              <w:t>eans</w:t>
            </w:r>
            <w:proofErr w:type="gramEnd"/>
          </w:p>
        </w:tc>
      </w:tr>
      <w:tr w:rsidR="0023475E" w:rsidRPr="0076074B" w14:paraId="5F82D7FD" w14:textId="77777777" w:rsidTr="0034365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64A9FC4" w14:textId="77777777" w:rsidR="0023475E" w:rsidRPr="0076074B" w:rsidRDefault="0023475E" w:rsidP="0023475E">
            <w:pPr>
              <w:rPr>
                <w:szCs w:val="22"/>
              </w:rPr>
            </w:pPr>
            <w:r w:rsidRPr="0076074B">
              <w:rPr>
                <w:szCs w:val="22"/>
              </w:rPr>
              <w:t>PD</w:t>
            </w:r>
          </w:p>
        </w:tc>
        <w:tc>
          <w:tcPr>
            <w:tcW w:w="3800" w:type="pct"/>
          </w:tcPr>
          <w:p w14:paraId="77DFCB30" w14:textId="77777777" w:rsidR="0023475E" w:rsidRPr="0076074B" w:rsidRDefault="0023475E" w:rsidP="0023475E">
            <w:pPr>
              <w:cnfStyle w:val="000000000000" w:firstRow="0" w:lastRow="0" w:firstColumn="0" w:lastColumn="0" w:oddVBand="0" w:evenVBand="0" w:oddHBand="0" w:evenHBand="0" w:firstRowFirstColumn="0" w:firstRowLastColumn="0" w:lastRowFirstColumn="0" w:lastRowLastColumn="0"/>
              <w:rPr>
                <w:szCs w:val="22"/>
              </w:rPr>
            </w:pPr>
            <w:r w:rsidRPr="0076074B">
              <w:rPr>
                <w:szCs w:val="22"/>
              </w:rPr>
              <w:t>pharmacodynamic</w:t>
            </w:r>
          </w:p>
        </w:tc>
      </w:tr>
      <w:tr w:rsidR="0023475E" w:rsidRPr="006718D3" w14:paraId="2661CFE0" w14:textId="77777777" w:rsidTr="0034365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9A4DFF3" w14:textId="77777777" w:rsidR="0023475E" w:rsidRPr="006718D3" w:rsidRDefault="0023475E" w:rsidP="0023475E">
            <w:pPr>
              <w:rPr>
                <w:szCs w:val="22"/>
              </w:rPr>
            </w:pPr>
            <w:r w:rsidRPr="006718D3">
              <w:rPr>
                <w:szCs w:val="22"/>
              </w:rPr>
              <w:t>PI</w:t>
            </w:r>
          </w:p>
        </w:tc>
        <w:tc>
          <w:tcPr>
            <w:tcW w:w="3800" w:type="pct"/>
          </w:tcPr>
          <w:p w14:paraId="05303B5B" w14:textId="77777777" w:rsidR="0023475E" w:rsidRPr="006718D3" w:rsidRDefault="0023475E" w:rsidP="0023475E">
            <w:pPr>
              <w:cnfStyle w:val="000000000000" w:firstRow="0" w:lastRow="0" w:firstColumn="0" w:lastColumn="0" w:oddVBand="0" w:evenVBand="0" w:oddHBand="0" w:evenHBand="0" w:firstRowFirstColumn="0" w:firstRowLastColumn="0" w:lastRowFirstColumn="0" w:lastRowLastColumn="0"/>
              <w:rPr>
                <w:szCs w:val="22"/>
              </w:rPr>
            </w:pPr>
            <w:r w:rsidRPr="006718D3">
              <w:rPr>
                <w:szCs w:val="22"/>
              </w:rPr>
              <w:t>Product Information</w:t>
            </w:r>
          </w:p>
        </w:tc>
      </w:tr>
      <w:tr w:rsidR="0023475E" w:rsidRPr="006718D3" w14:paraId="7B775B41" w14:textId="77777777" w:rsidTr="0034365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1709899" w14:textId="77777777" w:rsidR="0023475E" w:rsidRPr="006718D3" w:rsidRDefault="0023475E" w:rsidP="0023475E">
            <w:pPr>
              <w:rPr>
                <w:szCs w:val="22"/>
              </w:rPr>
            </w:pPr>
            <w:r w:rsidRPr="006718D3">
              <w:rPr>
                <w:szCs w:val="22"/>
              </w:rPr>
              <w:t>PSUR</w:t>
            </w:r>
          </w:p>
        </w:tc>
        <w:tc>
          <w:tcPr>
            <w:tcW w:w="3800" w:type="pct"/>
          </w:tcPr>
          <w:p w14:paraId="279ADF5B" w14:textId="77777777" w:rsidR="0023475E" w:rsidRPr="006718D3" w:rsidRDefault="0023475E" w:rsidP="0023475E">
            <w:pPr>
              <w:cnfStyle w:val="000000000000" w:firstRow="0" w:lastRow="0" w:firstColumn="0" w:lastColumn="0" w:oddVBand="0" w:evenVBand="0" w:oddHBand="0" w:evenHBand="0" w:firstRowFirstColumn="0" w:firstRowLastColumn="0" w:lastRowFirstColumn="0" w:lastRowLastColumn="0"/>
              <w:rPr>
                <w:szCs w:val="22"/>
              </w:rPr>
            </w:pPr>
            <w:r w:rsidRPr="006718D3">
              <w:rPr>
                <w:szCs w:val="22"/>
              </w:rPr>
              <w:t>Periodic safety update report</w:t>
            </w:r>
          </w:p>
        </w:tc>
      </w:tr>
      <w:tr w:rsidR="0023475E" w:rsidRPr="0076074B" w14:paraId="013E17D0" w14:textId="77777777" w:rsidTr="0034365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CF4CB78" w14:textId="77777777" w:rsidR="0023475E" w:rsidRPr="0076074B" w:rsidRDefault="0023475E" w:rsidP="0023475E">
            <w:pPr>
              <w:rPr>
                <w:szCs w:val="22"/>
              </w:rPr>
            </w:pPr>
            <w:r w:rsidRPr="0076074B">
              <w:rPr>
                <w:szCs w:val="22"/>
              </w:rPr>
              <w:t>PTH</w:t>
            </w:r>
          </w:p>
        </w:tc>
        <w:tc>
          <w:tcPr>
            <w:tcW w:w="3800" w:type="pct"/>
          </w:tcPr>
          <w:p w14:paraId="462E8200" w14:textId="77777777" w:rsidR="0023475E" w:rsidRPr="0076074B" w:rsidRDefault="0023475E" w:rsidP="0023475E">
            <w:pPr>
              <w:cnfStyle w:val="000000000000" w:firstRow="0" w:lastRow="0" w:firstColumn="0" w:lastColumn="0" w:oddVBand="0" w:evenVBand="0" w:oddHBand="0" w:evenHBand="0" w:firstRowFirstColumn="0" w:firstRowLastColumn="0" w:lastRowFirstColumn="0" w:lastRowLastColumn="0"/>
              <w:rPr>
                <w:szCs w:val="22"/>
              </w:rPr>
            </w:pPr>
            <w:r w:rsidRPr="0076074B">
              <w:rPr>
                <w:szCs w:val="22"/>
              </w:rPr>
              <w:t>Parathyroid hormone</w:t>
            </w:r>
          </w:p>
        </w:tc>
      </w:tr>
      <w:tr w:rsidR="0023475E" w:rsidRPr="0076074B" w14:paraId="78E53D02" w14:textId="77777777" w:rsidTr="0034365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62449EC" w14:textId="77777777" w:rsidR="0023475E" w:rsidRPr="0076074B" w:rsidRDefault="0023475E" w:rsidP="0023475E">
            <w:pPr>
              <w:rPr>
                <w:szCs w:val="22"/>
              </w:rPr>
            </w:pPr>
            <w:r w:rsidRPr="0076074B">
              <w:rPr>
                <w:szCs w:val="22"/>
              </w:rPr>
              <w:t>rhPTH</w:t>
            </w:r>
          </w:p>
        </w:tc>
        <w:tc>
          <w:tcPr>
            <w:tcW w:w="3800" w:type="pct"/>
          </w:tcPr>
          <w:p w14:paraId="7934C7E3" w14:textId="23B744F0" w:rsidR="0023475E" w:rsidRPr="0076074B" w:rsidRDefault="0023475E" w:rsidP="0023475E">
            <w:pPr>
              <w:cnfStyle w:val="000000000000" w:firstRow="0" w:lastRow="0" w:firstColumn="0" w:lastColumn="0" w:oddVBand="0" w:evenVBand="0" w:oddHBand="0" w:evenHBand="0" w:firstRowFirstColumn="0" w:firstRowLastColumn="0" w:lastRowFirstColumn="0" w:lastRowLastColumn="0"/>
              <w:rPr>
                <w:szCs w:val="22"/>
              </w:rPr>
            </w:pPr>
            <w:r>
              <w:rPr>
                <w:szCs w:val="22"/>
              </w:rPr>
              <w:t>R</w:t>
            </w:r>
            <w:r w:rsidRPr="0076074B">
              <w:rPr>
                <w:szCs w:val="22"/>
              </w:rPr>
              <w:t>ecombinant human parathyroid hormone</w:t>
            </w:r>
          </w:p>
        </w:tc>
      </w:tr>
      <w:tr w:rsidR="0023475E" w:rsidRPr="006718D3" w14:paraId="2E2C131B" w14:textId="77777777" w:rsidTr="0034365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D626526" w14:textId="77777777" w:rsidR="0023475E" w:rsidRPr="006718D3" w:rsidRDefault="0023475E" w:rsidP="0023475E">
            <w:pPr>
              <w:rPr>
                <w:szCs w:val="22"/>
              </w:rPr>
            </w:pPr>
            <w:r w:rsidRPr="006718D3">
              <w:rPr>
                <w:szCs w:val="22"/>
              </w:rPr>
              <w:t>RMP</w:t>
            </w:r>
          </w:p>
        </w:tc>
        <w:tc>
          <w:tcPr>
            <w:tcW w:w="3800" w:type="pct"/>
          </w:tcPr>
          <w:p w14:paraId="12CF1A2E" w14:textId="77777777" w:rsidR="0023475E" w:rsidRPr="006718D3" w:rsidRDefault="0023475E" w:rsidP="0023475E">
            <w:pPr>
              <w:cnfStyle w:val="000000000000" w:firstRow="0" w:lastRow="0" w:firstColumn="0" w:lastColumn="0" w:oddVBand="0" w:evenVBand="0" w:oddHBand="0" w:evenHBand="0" w:firstRowFirstColumn="0" w:firstRowLastColumn="0" w:lastRowFirstColumn="0" w:lastRowLastColumn="0"/>
              <w:rPr>
                <w:szCs w:val="22"/>
              </w:rPr>
            </w:pPr>
            <w:r w:rsidRPr="006718D3">
              <w:rPr>
                <w:szCs w:val="22"/>
              </w:rPr>
              <w:t>Risk management plan</w:t>
            </w:r>
          </w:p>
        </w:tc>
      </w:tr>
      <w:tr w:rsidR="0023475E" w:rsidRPr="006718D3" w14:paraId="530836AA" w14:textId="77777777" w:rsidTr="0034365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BE5B5B8" w14:textId="77777777" w:rsidR="0023475E" w:rsidRPr="006718D3" w:rsidRDefault="0023475E" w:rsidP="0023475E">
            <w:pPr>
              <w:rPr>
                <w:szCs w:val="22"/>
              </w:rPr>
            </w:pPr>
            <w:r w:rsidRPr="006718D3">
              <w:rPr>
                <w:szCs w:val="22"/>
              </w:rPr>
              <w:t>TGA</w:t>
            </w:r>
          </w:p>
        </w:tc>
        <w:tc>
          <w:tcPr>
            <w:tcW w:w="3800" w:type="pct"/>
          </w:tcPr>
          <w:p w14:paraId="6679358C" w14:textId="77777777" w:rsidR="0023475E" w:rsidRPr="006718D3" w:rsidRDefault="0023475E" w:rsidP="0023475E">
            <w:pPr>
              <w:cnfStyle w:val="000000000000" w:firstRow="0" w:lastRow="0" w:firstColumn="0" w:lastColumn="0" w:oddVBand="0" w:evenVBand="0" w:oddHBand="0" w:evenHBand="0" w:firstRowFirstColumn="0" w:firstRowLastColumn="0" w:lastRowFirstColumn="0" w:lastRowLastColumn="0"/>
              <w:rPr>
                <w:szCs w:val="22"/>
              </w:rPr>
            </w:pPr>
            <w:r w:rsidRPr="006718D3">
              <w:rPr>
                <w:szCs w:val="22"/>
              </w:rPr>
              <w:t>Therapeutic Goods Administration</w:t>
            </w:r>
          </w:p>
        </w:tc>
      </w:tr>
      <w:tr w:rsidR="0023475E" w:rsidRPr="0076074B" w14:paraId="37FC5964" w14:textId="77777777" w:rsidTr="0034365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D260CCB" w14:textId="77777777" w:rsidR="0023475E" w:rsidRPr="0076074B" w:rsidRDefault="0023475E" w:rsidP="0023475E">
            <w:pPr>
              <w:rPr>
                <w:szCs w:val="22"/>
              </w:rPr>
            </w:pPr>
            <w:r w:rsidRPr="0076074B">
              <w:rPr>
                <w:szCs w:val="22"/>
              </w:rPr>
              <w:t>T</w:t>
            </w:r>
            <w:r w:rsidRPr="0076074B">
              <w:rPr>
                <w:szCs w:val="22"/>
                <w:vertAlign w:val="subscript"/>
              </w:rPr>
              <w:t>max</w:t>
            </w:r>
          </w:p>
        </w:tc>
        <w:tc>
          <w:tcPr>
            <w:tcW w:w="3800" w:type="pct"/>
          </w:tcPr>
          <w:p w14:paraId="37C5BD4F" w14:textId="77777777" w:rsidR="0023475E" w:rsidRPr="0076074B" w:rsidRDefault="0023475E" w:rsidP="0023475E">
            <w:pPr>
              <w:cnfStyle w:val="000000000000" w:firstRow="0" w:lastRow="0" w:firstColumn="0" w:lastColumn="0" w:oddVBand="0" w:evenVBand="0" w:oddHBand="0" w:evenHBand="0" w:firstRowFirstColumn="0" w:firstRowLastColumn="0" w:lastRowFirstColumn="0" w:lastRowLastColumn="0"/>
              <w:rPr>
                <w:szCs w:val="22"/>
              </w:rPr>
            </w:pPr>
            <w:r w:rsidRPr="0076074B">
              <w:rPr>
                <w:szCs w:val="22"/>
              </w:rPr>
              <w:t>Time to reach the maximum measured serum concentration</w:t>
            </w:r>
          </w:p>
        </w:tc>
      </w:tr>
    </w:tbl>
    <w:p w14:paraId="7378F926" w14:textId="77777777" w:rsidR="00324B33" w:rsidRDefault="00324B33" w:rsidP="00324B33"/>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77777777" w:rsidR="00324B33" w:rsidRDefault="00324B33" w:rsidP="00324B33">
      <w:pPr>
        <w:pStyle w:val="Heading2"/>
      </w:pPr>
      <w:bookmarkStart w:id="5" w:name="_Toc103679288"/>
      <w:bookmarkStart w:id="6" w:name="_Toc216790314"/>
      <w:r>
        <w:lastRenderedPageBreak/>
        <w:t>Product submission</w:t>
      </w:r>
      <w:bookmarkEnd w:id="5"/>
      <w:bookmarkEnd w:id="6"/>
    </w:p>
    <w:p w14:paraId="21D559DF" w14:textId="77777777" w:rsidR="00324B33" w:rsidRDefault="00324B33" w:rsidP="00324B33">
      <w:pPr>
        <w:pStyle w:val="Heading3"/>
        <w:rPr>
          <w:lang w:eastAsia="en-AU"/>
        </w:rPr>
      </w:pPr>
      <w:bookmarkStart w:id="7" w:name="_Toc247691502"/>
      <w:bookmarkStart w:id="8" w:name="_Toc314842483"/>
      <w:bookmarkStart w:id="9" w:name="_Toc103679289"/>
      <w:bookmarkStart w:id="10" w:name="_Toc216790315"/>
      <w:r>
        <w:rPr>
          <w:lang w:eastAsia="en-AU"/>
        </w:rPr>
        <w:t>Submission details</w:t>
      </w:r>
      <w:bookmarkEnd w:id="7"/>
      <w:bookmarkEnd w:id="8"/>
      <w:bookmarkEnd w:id="9"/>
      <w:bookmarkEnd w:id="10"/>
    </w:p>
    <w:tbl>
      <w:tblPr>
        <w:tblW w:w="5000" w:type="pct"/>
        <w:tblLook w:val="01E0" w:firstRow="1" w:lastRow="1" w:firstColumn="1" w:lastColumn="1" w:noHBand="0" w:noVBand="0"/>
      </w:tblPr>
      <w:tblGrid>
        <w:gridCol w:w="2861"/>
        <w:gridCol w:w="6209"/>
      </w:tblGrid>
      <w:tr w:rsidR="00324B33" w:rsidRPr="00BD5DBD" w14:paraId="77D11C95" w14:textId="77777777" w:rsidTr="00F865A7">
        <w:tc>
          <w:tcPr>
            <w:tcW w:w="1577" w:type="pct"/>
          </w:tcPr>
          <w:p w14:paraId="10E57D62" w14:textId="5320E8D4" w:rsidR="00324B33" w:rsidRPr="00BD5DBD" w:rsidRDefault="00324B33" w:rsidP="007452E8">
            <w:pPr>
              <w:rPr>
                <w:i/>
                <w:szCs w:val="22"/>
              </w:rPr>
            </w:pPr>
            <w:r w:rsidRPr="00BD5DBD">
              <w:rPr>
                <w:i/>
                <w:szCs w:val="22"/>
              </w:rPr>
              <w:t>Type</w:t>
            </w:r>
            <w:r w:rsidR="008113A2">
              <w:rPr>
                <w:i/>
                <w:szCs w:val="22"/>
              </w:rPr>
              <w:t xml:space="preserve"> </w:t>
            </w:r>
            <w:r w:rsidRPr="00BD5DBD">
              <w:rPr>
                <w:i/>
                <w:szCs w:val="22"/>
              </w:rPr>
              <w:t>of submission:</w:t>
            </w:r>
          </w:p>
        </w:tc>
        <w:tc>
          <w:tcPr>
            <w:tcW w:w="3423" w:type="pct"/>
          </w:tcPr>
          <w:p w14:paraId="4F07C303" w14:textId="3F6A8A1F" w:rsidR="00324B33" w:rsidRPr="00BD5DBD" w:rsidRDefault="00324B33" w:rsidP="007452E8">
            <w:pPr>
              <w:rPr>
                <w:szCs w:val="22"/>
              </w:rPr>
            </w:pPr>
            <w:bookmarkStart w:id="11" w:name="_Hlk218580265"/>
            <w:r w:rsidRPr="00BD5DBD">
              <w:rPr>
                <w:szCs w:val="22"/>
              </w:rPr>
              <w:t>New chemical entity</w:t>
            </w:r>
            <w:bookmarkEnd w:id="11"/>
          </w:p>
        </w:tc>
      </w:tr>
      <w:tr w:rsidR="00324B33" w:rsidRPr="00BD5DBD" w14:paraId="13482B61" w14:textId="77777777" w:rsidTr="00F865A7">
        <w:tc>
          <w:tcPr>
            <w:tcW w:w="1577" w:type="pct"/>
          </w:tcPr>
          <w:p w14:paraId="2C427FCF" w14:textId="19A6EC94" w:rsidR="00324B33" w:rsidRPr="00BD5DBD" w:rsidRDefault="00324B33" w:rsidP="007452E8">
            <w:pPr>
              <w:rPr>
                <w:i/>
                <w:szCs w:val="22"/>
              </w:rPr>
            </w:pPr>
            <w:r w:rsidRPr="00BD5DBD">
              <w:rPr>
                <w:i/>
                <w:szCs w:val="22"/>
              </w:rPr>
              <w:t>Product name</w:t>
            </w:r>
            <w:r w:rsidR="008113A2">
              <w:rPr>
                <w:i/>
                <w:szCs w:val="22"/>
              </w:rPr>
              <w:t>s</w:t>
            </w:r>
            <w:r w:rsidRPr="00BD5DBD">
              <w:rPr>
                <w:i/>
                <w:szCs w:val="22"/>
              </w:rPr>
              <w:t>:</w:t>
            </w:r>
          </w:p>
        </w:tc>
        <w:tc>
          <w:tcPr>
            <w:tcW w:w="3423" w:type="pct"/>
          </w:tcPr>
          <w:p w14:paraId="0E2DEF76" w14:textId="004438B3" w:rsidR="00324B33" w:rsidRPr="00BD5DBD" w:rsidRDefault="003C393E" w:rsidP="007452E8">
            <w:pPr>
              <w:rPr>
                <w:szCs w:val="22"/>
              </w:rPr>
            </w:pPr>
            <w:r>
              <w:rPr>
                <w:szCs w:val="22"/>
              </w:rPr>
              <w:t>Sondelbay</w:t>
            </w:r>
            <w:r w:rsidR="008113A2" w:rsidRPr="008113A2">
              <w:rPr>
                <w:szCs w:val="22"/>
              </w:rPr>
              <w:t xml:space="preserve">, </w:t>
            </w:r>
            <w:r>
              <w:rPr>
                <w:szCs w:val="22"/>
              </w:rPr>
              <w:t>Teriparintas</w:t>
            </w:r>
            <w:r w:rsidR="008113A2" w:rsidRPr="008113A2">
              <w:rPr>
                <w:szCs w:val="22"/>
              </w:rPr>
              <w:t xml:space="preserve"> and </w:t>
            </w:r>
            <w:r>
              <w:rPr>
                <w:szCs w:val="22"/>
              </w:rPr>
              <w:t>Teriparaccord</w:t>
            </w:r>
          </w:p>
        </w:tc>
      </w:tr>
      <w:tr w:rsidR="00324B33" w:rsidRPr="00BD5DBD" w14:paraId="01255B5B" w14:textId="77777777" w:rsidTr="00F865A7">
        <w:tc>
          <w:tcPr>
            <w:tcW w:w="1577" w:type="pct"/>
          </w:tcPr>
          <w:p w14:paraId="52B4F3D7" w14:textId="0AD55EF5" w:rsidR="00324B33" w:rsidRPr="00BD5DBD" w:rsidRDefault="00324B33" w:rsidP="007452E8">
            <w:pPr>
              <w:rPr>
                <w:i/>
                <w:szCs w:val="22"/>
              </w:rPr>
            </w:pPr>
            <w:r w:rsidRPr="00BD5DBD">
              <w:rPr>
                <w:i/>
                <w:szCs w:val="22"/>
              </w:rPr>
              <w:t>Active ingredient:</w:t>
            </w:r>
          </w:p>
        </w:tc>
        <w:tc>
          <w:tcPr>
            <w:tcW w:w="3423" w:type="pct"/>
          </w:tcPr>
          <w:p w14:paraId="02FB6383" w14:textId="00F35F35" w:rsidR="00324B33" w:rsidRPr="00BD5DBD" w:rsidRDefault="008113A2" w:rsidP="007452E8">
            <w:pPr>
              <w:rPr>
                <w:szCs w:val="22"/>
              </w:rPr>
            </w:pPr>
            <w:r w:rsidRPr="008113A2">
              <w:rPr>
                <w:szCs w:val="22"/>
              </w:rPr>
              <w:t>teriparatide</w:t>
            </w:r>
          </w:p>
        </w:tc>
      </w:tr>
      <w:tr w:rsidR="00324B33" w:rsidRPr="00BD5DBD" w14:paraId="219A281B" w14:textId="77777777" w:rsidTr="00F865A7">
        <w:tc>
          <w:tcPr>
            <w:tcW w:w="1577" w:type="pct"/>
          </w:tcPr>
          <w:p w14:paraId="112E5F78" w14:textId="77777777" w:rsidR="00324B33" w:rsidRPr="00BD5DBD" w:rsidRDefault="00324B33" w:rsidP="007452E8">
            <w:pPr>
              <w:rPr>
                <w:i/>
                <w:szCs w:val="22"/>
              </w:rPr>
            </w:pPr>
            <w:r w:rsidRPr="00BD5DBD">
              <w:rPr>
                <w:i/>
                <w:szCs w:val="22"/>
              </w:rPr>
              <w:t>Decision:</w:t>
            </w:r>
          </w:p>
        </w:tc>
        <w:tc>
          <w:tcPr>
            <w:tcW w:w="3423" w:type="pct"/>
          </w:tcPr>
          <w:p w14:paraId="3B114BEA" w14:textId="6564AB65" w:rsidR="00324B33" w:rsidRPr="00BD5DBD" w:rsidRDefault="00324B33" w:rsidP="007452E8">
            <w:pPr>
              <w:rPr>
                <w:szCs w:val="22"/>
              </w:rPr>
            </w:pPr>
            <w:r w:rsidRPr="00BD5DBD">
              <w:rPr>
                <w:szCs w:val="22"/>
              </w:rPr>
              <w:t>Approved</w:t>
            </w:r>
          </w:p>
        </w:tc>
      </w:tr>
      <w:tr w:rsidR="00AE1947" w:rsidRPr="00BD5DBD" w14:paraId="32B72632" w14:textId="77777777" w:rsidTr="00F865A7">
        <w:tc>
          <w:tcPr>
            <w:tcW w:w="1577" w:type="pct"/>
          </w:tcPr>
          <w:p w14:paraId="332A5CD5" w14:textId="65682B5F" w:rsidR="00AE1947" w:rsidRPr="00BD5DBD" w:rsidRDefault="00AE1947" w:rsidP="007F1E37">
            <w:r w:rsidRPr="00BD5DBD">
              <w:rPr>
                <w:i/>
                <w:szCs w:val="22"/>
              </w:rPr>
              <w:t>Date of decision:</w:t>
            </w:r>
          </w:p>
        </w:tc>
        <w:tc>
          <w:tcPr>
            <w:tcW w:w="3423" w:type="pct"/>
          </w:tcPr>
          <w:p w14:paraId="7B381CD6" w14:textId="53EAC447" w:rsidR="00AE1947" w:rsidRPr="00BD5DBD" w:rsidRDefault="008113A2" w:rsidP="00602658">
            <w:pPr>
              <w:rPr>
                <w:szCs w:val="22"/>
              </w:rPr>
            </w:pPr>
            <w:r w:rsidRPr="008113A2">
              <w:rPr>
                <w:szCs w:val="22"/>
              </w:rPr>
              <w:t>11 August 2025</w:t>
            </w:r>
          </w:p>
        </w:tc>
      </w:tr>
      <w:tr w:rsidR="00324B33" w:rsidRPr="00BD5DBD" w14:paraId="60A25F5A" w14:textId="77777777" w:rsidTr="00F865A7">
        <w:tc>
          <w:tcPr>
            <w:tcW w:w="1577" w:type="pct"/>
          </w:tcPr>
          <w:p w14:paraId="5C5E4CBA" w14:textId="77777777" w:rsidR="00324B33" w:rsidRPr="00BD5DBD" w:rsidRDefault="00324B33" w:rsidP="007452E8">
            <w:pPr>
              <w:rPr>
                <w:i/>
                <w:szCs w:val="22"/>
              </w:rPr>
            </w:pPr>
            <w:r w:rsidRPr="00BD5DBD">
              <w:rPr>
                <w:i/>
                <w:szCs w:val="22"/>
              </w:rPr>
              <w:t>Date of entry onto ARTG:</w:t>
            </w:r>
          </w:p>
        </w:tc>
        <w:tc>
          <w:tcPr>
            <w:tcW w:w="3423" w:type="pct"/>
          </w:tcPr>
          <w:p w14:paraId="28B270E9" w14:textId="23F0FB61" w:rsidR="00324B33" w:rsidRPr="00BD5DBD" w:rsidRDefault="0023475E" w:rsidP="007452E8">
            <w:pPr>
              <w:rPr>
                <w:szCs w:val="22"/>
              </w:rPr>
            </w:pPr>
            <w:r>
              <w:rPr>
                <w:szCs w:val="22"/>
              </w:rPr>
              <w:t>2</w:t>
            </w:r>
            <w:r w:rsidRPr="001F256E">
              <w:rPr>
                <w:szCs w:val="22"/>
              </w:rPr>
              <w:t xml:space="preserve"> </w:t>
            </w:r>
            <w:r w:rsidR="001F256E" w:rsidRPr="001F256E">
              <w:rPr>
                <w:szCs w:val="22"/>
              </w:rPr>
              <w:t>October 2025</w:t>
            </w:r>
          </w:p>
        </w:tc>
      </w:tr>
      <w:tr w:rsidR="00324B33" w:rsidRPr="00BD5DBD" w14:paraId="547E08D7" w14:textId="77777777" w:rsidTr="00F865A7">
        <w:tc>
          <w:tcPr>
            <w:tcW w:w="1577" w:type="pct"/>
          </w:tcPr>
          <w:p w14:paraId="5030EF30" w14:textId="69A54C31" w:rsidR="00324B33" w:rsidRPr="00BD5DBD" w:rsidRDefault="00324B33" w:rsidP="007452E8">
            <w:pPr>
              <w:rPr>
                <w:i/>
                <w:szCs w:val="22"/>
              </w:rPr>
            </w:pPr>
            <w:r w:rsidRPr="00BD5DBD">
              <w:rPr>
                <w:i/>
                <w:szCs w:val="22"/>
              </w:rPr>
              <w:t>ARTG numbers:</w:t>
            </w:r>
          </w:p>
        </w:tc>
        <w:tc>
          <w:tcPr>
            <w:tcW w:w="3423" w:type="pct"/>
          </w:tcPr>
          <w:p w14:paraId="0054E912" w14:textId="2F48238F" w:rsidR="00324B33" w:rsidRPr="00BD5DBD" w:rsidRDefault="003C393E" w:rsidP="007452E8">
            <w:pPr>
              <w:rPr>
                <w:szCs w:val="22"/>
              </w:rPr>
            </w:pPr>
            <w:r>
              <w:rPr>
                <w:szCs w:val="22"/>
              </w:rPr>
              <w:t>Sondelbay</w:t>
            </w:r>
            <w:r w:rsidR="008113A2">
              <w:rPr>
                <w:szCs w:val="22"/>
              </w:rPr>
              <w:t xml:space="preserve"> (</w:t>
            </w:r>
            <w:hyperlink r:id="rId20" w:history="1">
              <w:r w:rsidR="008113A2" w:rsidRPr="008113A2">
                <w:rPr>
                  <w:rStyle w:val="Hyperlink"/>
                  <w:szCs w:val="22"/>
                </w:rPr>
                <w:t>407484</w:t>
              </w:r>
            </w:hyperlink>
            <w:r w:rsidR="008113A2">
              <w:rPr>
                <w:szCs w:val="22"/>
              </w:rPr>
              <w:t>)</w:t>
            </w:r>
            <w:r w:rsidR="008113A2" w:rsidRPr="008113A2">
              <w:rPr>
                <w:szCs w:val="22"/>
              </w:rPr>
              <w:t xml:space="preserve">, </w:t>
            </w:r>
            <w:r>
              <w:rPr>
                <w:szCs w:val="22"/>
              </w:rPr>
              <w:t>Teriparintas</w:t>
            </w:r>
            <w:r w:rsidR="008113A2">
              <w:rPr>
                <w:szCs w:val="22"/>
              </w:rPr>
              <w:t xml:space="preserve"> (</w:t>
            </w:r>
            <w:hyperlink r:id="rId21" w:history="1">
              <w:r w:rsidR="008113A2" w:rsidRPr="008113A2">
                <w:rPr>
                  <w:rStyle w:val="Hyperlink"/>
                  <w:szCs w:val="22"/>
                </w:rPr>
                <w:t>407485</w:t>
              </w:r>
            </w:hyperlink>
            <w:r w:rsidR="008113A2">
              <w:rPr>
                <w:szCs w:val="22"/>
              </w:rPr>
              <w:t>)</w:t>
            </w:r>
            <w:r w:rsidR="008113A2" w:rsidRPr="008113A2">
              <w:rPr>
                <w:szCs w:val="22"/>
              </w:rPr>
              <w:t xml:space="preserve"> and </w:t>
            </w:r>
            <w:r>
              <w:rPr>
                <w:szCs w:val="22"/>
              </w:rPr>
              <w:t>Teriparaccord</w:t>
            </w:r>
            <w:r w:rsidR="008113A2">
              <w:rPr>
                <w:szCs w:val="22"/>
              </w:rPr>
              <w:t xml:space="preserve"> (</w:t>
            </w:r>
            <w:hyperlink r:id="rId22" w:history="1">
              <w:r w:rsidR="008113A2" w:rsidRPr="008113A2">
                <w:rPr>
                  <w:rStyle w:val="Hyperlink"/>
                  <w:szCs w:val="22"/>
                </w:rPr>
                <w:t>407486</w:t>
              </w:r>
            </w:hyperlink>
            <w:r w:rsidR="008113A2">
              <w:rPr>
                <w:szCs w:val="22"/>
              </w:rPr>
              <w:t>)</w:t>
            </w:r>
          </w:p>
        </w:tc>
      </w:tr>
      <w:tr w:rsidR="00324B33" w:rsidRPr="00BD5DBD" w14:paraId="7618393F" w14:textId="77777777" w:rsidTr="00F865A7">
        <w:tc>
          <w:tcPr>
            <w:tcW w:w="1577" w:type="pct"/>
          </w:tcPr>
          <w:p w14:paraId="02260DE2" w14:textId="2C1E71F7" w:rsidR="00324B33" w:rsidRPr="00BD5DBD" w:rsidRDefault="00324B33" w:rsidP="008113A2">
            <w:pPr>
              <w:rPr>
                <w:i/>
                <w:szCs w:val="22"/>
              </w:rPr>
            </w:pPr>
            <w:r w:rsidRPr="00BD5DBD">
              <w:rPr>
                <w:rFonts w:ascii="Wingdings 3" w:hAnsi="Wingdings 3"/>
                <w:szCs w:val="22"/>
                <w:lang w:eastAsia="en-AU"/>
              </w:rPr>
              <w:t></w:t>
            </w:r>
            <w:hyperlink r:id="rId23" w:history="1">
              <w:r w:rsidRPr="00BD5DBD">
                <w:rPr>
                  <w:rStyle w:val="Hyperlink"/>
                  <w:i/>
                  <w:szCs w:val="22"/>
                </w:rPr>
                <w:t>Black Triangle Scheme</w:t>
              </w:r>
            </w:hyperlink>
            <w:r w:rsidRPr="00BD5DBD">
              <w:rPr>
                <w:i/>
                <w:szCs w:val="22"/>
              </w:rPr>
              <w:t>:</w:t>
            </w:r>
          </w:p>
        </w:tc>
        <w:tc>
          <w:tcPr>
            <w:tcW w:w="3423" w:type="pct"/>
          </w:tcPr>
          <w:p w14:paraId="6FF3C6A2" w14:textId="4F25576D" w:rsidR="00324B33" w:rsidRPr="00BD5DBD" w:rsidRDefault="00324B33" w:rsidP="007452E8">
            <w:pPr>
              <w:rPr>
                <w:szCs w:val="22"/>
              </w:rPr>
            </w:pPr>
            <w:r w:rsidRPr="00BD5DBD">
              <w:rPr>
                <w:szCs w:val="22"/>
              </w:rPr>
              <w:t>No</w:t>
            </w:r>
          </w:p>
        </w:tc>
      </w:tr>
      <w:tr w:rsidR="00324B33" w:rsidRPr="00BD5DBD" w14:paraId="179E09FE" w14:textId="77777777" w:rsidTr="00F865A7">
        <w:tc>
          <w:tcPr>
            <w:tcW w:w="1577" w:type="pct"/>
          </w:tcPr>
          <w:p w14:paraId="1A592498" w14:textId="16D237EE" w:rsidR="00324B33" w:rsidRPr="00BD5DBD" w:rsidRDefault="0002773E" w:rsidP="007452E8">
            <w:pPr>
              <w:rPr>
                <w:i/>
                <w:szCs w:val="22"/>
              </w:rPr>
            </w:pPr>
            <w:r>
              <w:rPr>
                <w:i/>
                <w:szCs w:val="22"/>
              </w:rPr>
              <w:t>Sponsor</w:t>
            </w:r>
            <w:r w:rsidR="00324B33" w:rsidRPr="00BD5DBD">
              <w:rPr>
                <w:i/>
                <w:szCs w:val="22"/>
              </w:rPr>
              <w:t>’s name and address:</w:t>
            </w:r>
          </w:p>
        </w:tc>
        <w:tc>
          <w:tcPr>
            <w:tcW w:w="3423" w:type="pct"/>
          </w:tcPr>
          <w:p w14:paraId="68DD94B0" w14:textId="26EDE885" w:rsidR="00324B33" w:rsidRPr="00BD5DBD" w:rsidRDefault="008113A2" w:rsidP="008113A2">
            <w:pPr>
              <w:rPr>
                <w:szCs w:val="22"/>
              </w:rPr>
            </w:pPr>
            <w:r w:rsidRPr="008113A2">
              <w:rPr>
                <w:szCs w:val="22"/>
              </w:rPr>
              <w:t>Accord Healthcare Pty Ltd Level 24, 570 Bourke Street</w:t>
            </w:r>
            <w:r>
              <w:rPr>
                <w:szCs w:val="22"/>
              </w:rPr>
              <w:t xml:space="preserve">, </w:t>
            </w:r>
            <w:r w:rsidRPr="008113A2">
              <w:rPr>
                <w:szCs w:val="22"/>
              </w:rPr>
              <w:t>Melbourne, VIC, 3000</w:t>
            </w:r>
          </w:p>
        </w:tc>
      </w:tr>
      <w:tr w:rsidR="00324B33" w:rsidRPr="00BD5DBD" w14:paraId="5322B989" w14:textId="77777777" w:rsidTr="00F865A7">
        <w:tc>
          <w:tcPr>
            <w:tcW w:w="1577" w:type="pct"/>
          </w:tcPr>
          <w:p w14:paraId="24F217E3" w14:textId="16C8CBAA" w:rsidR="00324B33" w:rsidRPr="00BD5DBD" w:rsidRDefault="00324B33" w:rsidP="007452E8">
            <w:pPr>
              <w:rPr>
                <w:i/>
                <w:szCs w:val="22"/>
              </w:rPr>
            </w:pPr>
            <w:r w:rsidRPr="00BD5DBD">
              <w:rPr>
                <w:i/>
                <w:szCs w:val="22"/>
              </w:rPr>
              <w:t>Dose form:</w:t>
            </w:r>
          </w:p>
        </w:tc>
        <w:tc>
          <w:tcPr>
            <w:tcW w:w="3423" w:type="pct"/>
          </w:tcPr>
          <w:p w14:paraId="768B254C" w14:textId="14105E70" w:rsidR="00324B33" w:rsidRPr="00BD5DBD" w:rsidRDefault="00790092" w:rsidP="007452E8">
            <w:pPr>
              <w:rPr>
                <w:szCs w:val="22"/>
              </w:rPr>
            </w:pPr>
            <w:r w:rsidRPr="00790092">
              <w:rPr>
                <w:szCs w:val="22"/>
              </w:rPr>
              <w:t>Solution for injection</w:t>
            </w:r>
          </w:p>
        </w:tc>
      </w:tr>
      <w:tr w:rsidR="00324B33" w:rsidRPr="00BD5DBD" w14:paraId="115243E6" w14:textId="77777777" w:rsidTr="00F865A7">
        <w:tc>
          <w:tcPr>
            <w:tcW w:w="1577" w:type="pct"/>
          </w:tcPr>
          <w:p w14:paraId="7634B062" w14:textId="61946FEB" w:rsidR="00324B33" w:rsidRPr="00BD5DBD" w:rsidRDefault="00324B33" w:rsidP="007452E8">
            <w:pPr>
              <w:rPr>
                <w:i/>
                <w:szCs w:val="22"/>
              </w:rPr>
            </w:pPr>
            <w:r w:rsidRPr="00BD5DBD">
              <w:rPr>
                <w:i/>
                <w:szCs w:val="22"/>
              </w:rPr>
              <w:t>Strength:</w:t>
            </w:r>
          </w:p>
        </w:tc>
        <w:tc>
          <w:tcPr>
            <w:tcW w:w="3423" w:type="pct"/>
          </w:tcPr>
          <w:p w14:paraId="5E5F83DB" w14:textId="08A8EDB4" w:rsidR="00324B33" w:rsidRPr="00BD5DBD" w:rsidRDefault="001B05D4" w:rsidP="007452E8">
            <w:pPr>
              <w:rPr>
                <w:szCs w:val="22"/>
              </w:rPr>
            </w:pPr>
            <w:r w:rsidRPr="001B05D4">
              <w:rPr>
                <w:szCs w:val="22"/>
              </w:rPr>
              <w:t xml:space="preserve">teriparatide </w:t>
            </w:r>
            <w:r w:rsidR="00B87CEB">
              <w:rPr>
                <w:szCs w:val="22"/>
              </w:rPr>
              <w:t>250</w:t>
            </w:r>
            <w:r w:rsidR="00B87CEB" w:rsidRPr="001B05D4">
              <w:rPr>
                <w:szCs w:val="22"/>
              </w:rPr>
              <w:t xml:space="preserve"> </w:t>
            </w:r>
            <w:r w:rsidRPr="001B05D4">
              <w:rPr>
                <w:szCs w:val="22"/>
              </w:rPr>
              <w:t>micrograms/mL</w:t>
            </w:r>
          </w:p>
        </w:tc>
      </w:tr>
      <w:tr w:rsidR="00324B33" w:rsidRPr="00BD5DBD" w14:paraId="34B07BA6" w14:textId="77777777" w:rsidTr="00F865A7">
        <w:tc>
          <w:tcPr>
            <w:tcW w:w="1577" w:type="pct"/>
          </w:tcPr>
          <w:p w14:paraId="1C039224" w14:textId="0CE010E5" w:rsidR="00324B33" w:rsidRPr="00BD5DBD" w:rsidRDefault="00324B33" w:rsidP="007452E8">
            <w:pPr>
              <w:rPr>
                <w:i/>
                <w:szCs w:val="22"/>
              </w:rPr>
            </w:pPr>
            <w:r w:rsidRPr="00BD5DBD">
              <w:rPr>
                <w:i/>
                <w:szCs w:val="22"/>
              </w:rPr>
              <w:t>Container:</w:t>
            </w:r>
          </w:p>
        </w:tc>
        <w:tc>
          <w:tcPr>
            <w:tcW w:w="3423" w:type="pct"/>
          </w:tcPr>
          <w:p w14:paraId="500A42C6" w14:textId="62B90FC1" w:rsidR="00324B33" w:rsidRPr="00BD5DBD" w:rsidRDefault="003C393E" w:rsidP="007452E8">
            <w:pPr>
              <w:rPr>
                <w:szCs w:val="22"/>
              </w:rPr>
            </w:pPr>
            <w:r>
              <w:rPr>
                <w:szCs w:val="22"/>
              </w:rPr>
              <w:t>Sondelbay</w:t>
            </w:r>
            <w:r w:rsidR="008113A2" w:rsidRPr="008113A2">
              <w:rPr>
                <w:szCs w:val="22"/>
              </w:rPr>
              <w:t xml:space="preserve">, </w:t>
            </w:r>
            <w:r>
              <w:rPr>
                <w:szCs w:val="22"/>
              </w:rPr>
              <w:t>Teriparintas</w:t>
            </w:r>
            <w:r w:rsidR="008113A2">
              <w:rPr>
                <w:szCs w:val="22"/>
              </w:rPr>
              <w:t xml:space="preserve">, </w:t>
            </w:r>
            <w:r w:rsidR="008113A2" w:rsidRPr="008113A2">
              <w:rPr>
                <w:szCs w:val="22"/>
              </w:rPr>
              <w:t xml:space="preserve">and </w:t>
            </w:r>
            <w:r>
              <w:rPr>
                <w:szCs w:val="22"/>
              </w:rPr>
              <w:t>Teriparaccord</w:t>
            </w:r>
            <w:r w:rsidR="008113A2" w:rsidRPr="008113A2">
              <w:rPr>
                <w:szCs w:val="22"/>
              </w:rPr>
              <w:t xml:space="preserve"> (407486)</w:t>
            </w:r>
            <w:r w:rsidR="008113A2">
              <w:rPr>
                <w:szCs w:val="22"/>
              </w:rPr>
              <w:t xml:space="preserve"> are </w:t>
            </w:r>
            <w:r w:rsidR="008113A2" w:rsidRPr="008113A2">
              <w:rPr>
                <w:szCs w:val="22"/>
              </w:rPr>
              <w:t xml:space="preserve">supplied as 600 micrograms/2.4 mL (250 micrograms/mL) in a 3 mL prefilled cartridge [pen]. The pen provides 28 doses of 20 micrograms/80 microlitres. </w:t>
            </w:r>
            <w:r>
              <w:rPr>
                <w:szCs w:val="22"/>
              </w:rPr>
              <w:t>Teriparintas</w:t>
            </w:r>
            <w:r w:rsidR="008113A2" w:rsidRPr="008113A2">
              <w:rPr>
                <w:szCs w:val="22"/>
              </w:rPr>
              <w:t xml:space="preserve"> is available in packs of one or three pens.</w:t>
            </w:r>
          </w:p>
        </w:tc>
      </w:tr>
      <w:tr w:rsidR="00324B33" w:rsidRPr="00BD5DBD" w14:paraId="176B6773" w14:textId="77777777" w:rsidTr="00F865A7">
        <w:tc>
          <w:tcPr>
            <w:tcW w:w="1577" w:type="pct"/>
          </w:tcPr>
          <w:p w14:paraId="71846159" w14:textId="248C0666" w:rsidR="00324B33" w:rsidRPr="00BD5DBD" w:rsidRDefault="00324B33" w:rsidP="007452E8">
            <w:pPr>
              <w:rPr>
                <w:i/>
                <w:szCs w:val="22"/>
              </w:rPr>
            </w:pPr>
            <w:r w:rsidRPr="00BD5DBD">
              <w:rPr>
                <w:i/>
                <w:szCs w:val="22"/>
              </w:rPr>
              <w:t>Pack sizes:</w:t>
            </w:r>
          </w:p>
        </w:tc>
        <w:tc>
          <w:tcPr>
            <w:tcW w:w="3423" w:type="pct"/>
          </w:tcPr>
          <w:p w14:paraId="7E978F8F" w14:textId="56977E95" w:rsidR="00324B33" w:rsidRPr="00BD5DBD" w:rsidRDefault="00790092" w:rsidP="007452E8">
            <w:pPr>
              <w:rPr>
                <w:szCs w:val="22"/>
              </w:rPr>
            </w:pPr>
            <w:r>
              <w:rPr>
                <w:szCs w:val="22"/>
              </w:rPr>
              <w:t xml:space="preserve">1 or 3 </w:t>
            </w:r>
            <w:r w:rsidRPr="00790092">
              <w:rPr>
                <w:szCs w:val="22"/>
              </w:rPr>
              <w:t>prefilled cartridge</w:t>
            </w:r>
            <w:r>
              <w:rPr>
                <w:szCs w:val="22"/>
              </w:rPr>
              <w:t>s</w:t>
            </w:r>
          </w:p>
        </w:tc>
      </w:tr>
      <w:tr w:rsidR="00324B33" w:rsidRPr="00BD5DBD" w14:paraId="19A2544A" w14:textId="77777777" w:rsidTr="00F865A7">
        <w:tc>
          <w:tcPr>
            <w:tcW w:w="1577" w:type="pct"/>
          </w:tcPr>
          <w:p w14:paraId="0E6C5C0E" w14:textId="7DB3FC66" w:rsidR="00324B33" w:rsidRPr="00BD5DBD" w:rsidRDefault="00324B33" w:rsidP="007452E8">
            <w:pPr>
              <w:rPr>
                <w:i/>
                <w:szCs w:val="22"/>
              </w:rPr>
            </w:pPr>
            <w:r w:rsidRPr="00BD5DBD">
              <w:rPr>
                <w:i/>
                <w:szCs w:val="22"/>
              </w:rPr>
              <w:t>Approved therapeutic use</w:t>
            </w:r>
            <w:r w:rsidR="00E47E0C" w:rsidRPr="00BD5DBD">
              <w:rPr>
                <w:i/>
                <w:szCs w:val="22"/>
              </w:rPr>
              <w:t xml:space="preserve"> </w:t>
            </w:r>
            <w:r w:rsidR="007B04DE" w:rsidRPr="00BD5DBD">
              <w:rPr>
                <w:i/>
                <w:szCs w:val="22"/>
              </w:rPr>
              <w:t>for the current</w:t>
            </w:r>
            <w:r w:rsidR="00E47E0C" w:rsidRPr="00BD5DBD">
              <w:rPr>
                <w:i/>
                <w:szCs w:val="22"/>
              </w:rPr>
              <w:t xml:space="preserve"> submission</w:t>
            </w:r>
            <w:r w:rsidRPr="00BD5DBD">
              <w:rPr>
                <w:i/>
                <w:szCs w:val="22"/>
              </w:rPr>
              <w:t>:</w:t>
            </w:r>
          </w:p>
        </w:tc>
        <w:tc>
          <w:tcPr>
            <w:tcW w:w="3423" w:type="pct"/>
          </w:tcPr>
          <w:p w14:paraId="05FC35AC" w14:textId="04BBCF1F" w:rsidR="00324B33" w:rsidRDefault="003C393E" w:rsidP="007452E8">
            <w:pPr>
              <w:rPr>
                <w:szCs w:val="22"/>
              </w:rPr>
            </w:pPr>
            <w:r>
              <w:rPr>
                <w:szCs w:val="22"/>
              </w:rPr>
              <w:t>Sondelbay</w:t>
            </w:r>
            <w:r w:rsidR="00790092" w:rsidRPr="00790092">
              <w:rPr>
                <w:szCs w:val="22"/>
              </w:rPr>
              <w:t xml:space="preserve">, </w:t>
            </w:r>
            <w:r>
              <w:rPr>
                <w:szCs w:val="22"/>
              </w:rPr>
              <w:t>Teriparintas</w:t>
            </w:r>
            <w:r w:rsidR="00790092" w:rsidRPr="00790092">
              <w:rPr>
                <w:szCs w:val="22"/>
              </w:rPr>
              <w:t xml:space="preserve">, and </w:t>
            </w:r>
            <w:r>
              <w:rPr>
                <w:szCs w:val="22"/>
              </w:rPr>
              <w:t>Teriparaccord</w:t>
            </w:r>
            <w:r w:rsidR="00790092" w:rsidRPr="00790092">
              <w:rPr>
                <w:szCs w:val="22"/>
              </w:rPr>
              <w:t xml:space="preserve"> </w:t>
            </w:r>
            <w:r w:rsidR="00790092">
              <w:rPr>
                <w:szCs w:val="22"/>
              </w:rPr>
              <w:t>are</w:t>
            </w:r>
            <w:r w:rsidR="00790092" w:rsidRPr="00790092">
              <w:rPr>
                <w:szCs w:val="22"/>
              </w:rPr>
              <w:t xml:space="preserve"> indicated for the treatment of osteoporosis in postmenopausal women and the treatment of primary osteoporosis in men when other agents are considered unsuitable and when there is a high risk of fractures</w:t>
            </w:r>
            <w:r w:rsidR="00790092">
              <w:rPr>
                <w:szCs w:val="22"/>
              </w:rPr>
              <w:t>.</w:t>
            </w:r>
          </w:p>
          <w:p w14:paraId="6E143E2E" w14:textId="546F9C17" w:rsidR="00790092" w:rsidRPr="00BD5DBD" w:rsidRDefault="003C393E" w:rsidP="007452E8">
            <w:pPr>
              <w:rPr>
                <w:szCs w:val="22"/>
              </w:rPr>
            </w:pPr>
            <w:r>
              <w:rPr>
                <w:szCs w:val="22"/>
              </w:rPr>
              <w:t>Sondelbay</w:t>
            </w:r>
            <w:r w:rsidR="00790092" w:rsidRPr="00790092">
              <w:rPr>
                <w:szCs w:val="22"/>
              </w:rPr>
              <w:t xml:space="preserve">, </w:t>
            </w:r>
            <w:r>
              <w:rPr>
                <w:szCs w:val="22"/>
              </w:rPr>
              <w:t>Teriparintas</w:t>
            </w:r>
            <w:r w:rsidR="00790092" w:rsidRPr="00790092">
              <w:rPr>
                <w:szCs w:val="22"/>
              </w:rPr>
              <w:t xml:space="preserve">, and </w:t>
            </w:r>
            <w:r>
              <w:rPr>
                <w:szCs w:val="22"/>
              </w:rPr>
              <w:t>Teriparaccord</w:t>
            </w:r>
            <w:r w:rsidR="00790092" w:rsidRPr="00790092">
              <w:rPr>
                <w:szCs w:val="22"/>
              </w:rPr>
              <w:t xml:space="preserve"> </w:t>
            </w:r>
            <w:r w:rsidR="00790092">
              <w:rPr>
                <w:szCs w:val="22"/>
              </w:rPr>
              <w:t>are</w:t>
            </w:r>
            <w:r w:rsidR="00790092" w:rsidRPr="00790092">
              <w:rPr>
                <w:szCs w:val="22"/>
              </w:rPr>
              <w:t xml:space="preserve"> indicated for the treatment of osteoporosis associated with sustained systemic glucocorticoid therapy in women and men at high risk for fracture</w:t>
            </w:r>
          </w:p>
        </w:tc>
      </w:tr>
      <w:tr w:rsidR="00324B33" w:rsidRPr="00BD5DBD" w14:paraId="5AFDEED3" w14:textId="77777777" w:rsidTr="00F865A7">
        <w:tc>
          <w:tcPr>
            <w:tcW w:w="1577" w:type="pct"/>
          </w:tcPr>
          <w:p w14:paraId="03884BD1" w14:textId="0527B34C" w:rsidR="00324B33" w:rsidRPr="00BD5DBD" w:rsidRDefault="00324B33" w:rsidP="007452E8">
            <w:pPr>
              <w:rPr>
                <w:i/>
                <w:szCs w:val="22"/>
              </w:rPr>
            </w:pPr>
            <w:r w:rsidRPr="00BD5DBD">
              <w:rPr>
                <w:i/>
                <w:szCs w:val="22"/>
              </w:rPr>
              <w:t>Route of administration:</w:t>
            </w:r>
          </w:p>
        </w:tc>
        <w:tc>
          <w:tcPr>
            <w:tcW w:w="3423" w:type="pct"/>
          </w:tcPr>
          <w:p w14:paraId="1ED1357E" w14:textId="0A16CA3F" w:rsidR="00324B33" w:rsidRPr="00BD5DBD" w:rsidRDefault="00790092" w:rsidP="007452E8">
            <w:pPr>
              <w:rPr>
                <w:szCs w:val="22"/>
              </w:rPr>
            </w:pPr>
            <w:r w:rsidRPr="00790092">
              <w:rPr>
                <w:szCs w:val="22"/>
              </w:rPr>
              <w:t>subcutaneous injection</w:t>
            </w:r>
          </w:p>
        </w:tc>
      </w:tr>
      <w:tr w:rsidR="00324B33" w:rsidRPr="00BD5DBD" w14:paraId="70D7E9FA" w14:textId="77777777" w:rsidTr="00F865A7">
        <w:tc>
          <w:tcPr>
            <w:tcW w:w="1577" w:type="pct"/>
          </w:tcPr>
          <w:p w14:paraId="5ABFFC80" w14:textId="77777777" w:rsidR="00324B33" w:rsidRPr="00BD5DBD" w:rsidRDefault="00324B33" w:rsidP="007452E8">
            <w:pPr>
              <w:rPr>
                <w:i/>
                <w:szCs w:val="22"/>
              </w:rPr>
            </w:pPr>
            <w:r w:rsidRPr="00BD5DBD">
              <w:rPr>
                <w:i/>
                <w:szCs w:val="22"/>
              </w:rPr>
              <w:t>Dosage:</w:t>
            </w:r>
          </w:p>
        </w:tc>
        <w:tc>
          <w:tcPr>
            <w:tcW w:w="3423" w:type="pct"/>
          </w:tcPr>
          <w:p w14:paraId="4BD4ECF7" w14:textId="4363D59C" w:rsidR="00666911" w:rsidRDefault="00790092" w:rsidP="007452E8">
            <w:pPr>
              <w:rPr>
                <w:szCs w:val="22"/>
              </w:rPr>
            </w:pPr>
            <w:r w:rsidRPr="00790092">
              <w:rPr>
                <w:szCs w:val="22"/>
              </w:rPr>
              <w:t>20 micrograms administered once daily</w:t>
            </w:r>
          </w:p>
          <w:p w14:paraId="3D0B2D5C" w14:textId="60C20B18" w:rsidR="00324B33" w:rsidRPr="00BD5DBD" w:rsidRDefault="00324B33" w:rsidP="007452E8">
            <w:pPr>
              <w:rPr>
                <w:szCs w:val="22"/>
              </w:rPr>
            </w:pPr>
            <w:r w:rsidRPr="00BD5DBD">
              <w:rPr>
                <w:szCs w:val="22"/>
              </w:rPr>
              <w:t>For further information regarding dosage</w:t>
            </w:r>
            <w:r w:rsidR="006B7126">
              <w:rPr>
                <w:szCs w:val="22"/>
              </w:rPr>
              <w:t xml:space="preserve">, </w:t>
            </w:r>
            <w:r w:rsidRPr="00BD5DBD">
              <w:rPr>
                <w:szCs w:val="22"/>
              </w:rPr>
              <w:t>refer to the Product Information.</w:t>
            </w:r>
          </w:p>
        </w:tc>
      </w:tr>
      <w:tr w:rsidR="0017005C" w:rsidRPr="00BD5DBD" w14:paraId="7B7BB6AE" w14:textId="77777777" w:rsidTr="00F865A7">
        <w:tc>
          <w:tcPr>
            <w:tcW w:w="1577" w:type="pct"/>
          </w:tcPr>
          <w:p w14:paraId="2B9BBBDE" w14:textId="77777777" w:rsidR="0017005C" w:rsidRDefault="0070330F" w:rsidP="0017005C">
            <w:pPr>
              <w:rPr>
                <w:i/>
                <w:szCs w:val="22"/>
              </w:rPr>
            </w:pPr>
            <w:r w:rsidRPr="00BD5DBD">
              <w:rPr>
                <w:i/>
                <w:szCs w:val="22"/>
              </w:rPr>
              <w:t>Pregnancy category:</w:t>
            </w:r>
          </w:p>
          <w:p w14:paraId="0CD1DB4B" w14:textId="77777777" w:rsidR="00790092" w:rsidRPr="00790092" w:rsidRDefault="00790092" w:rsidP="00790092"/>
          <w:p w14:paraId="6869C5C9" w14:textId="77777777" w:rsidR="00790092" w:rsidRPr="00790092" w:rsidRDefault="00790092" w:rsidP="00790092"/>
          <w:p w14:paraId="3A76AFF7" w14:textId="7C436DD9" w:rsidR="00790092" w:rsidRPr="00790092" w:rsidRDefault="00790092" w:rsidP="00790092">
            <w:pPr>
              <w:jc w:val="center"/>
            </w:pPr>
          </w:p>
        </w:tc>
        <w:tc>
          <w:tcPr>
            <w:tcW w:w="3423" w:type="pct"/>
          </w:tcPr>
          <w:p w14:paraId="00DD515B" w14:textId="77777777" w:rsidR="00790092" w:rsidRDefault="00790092" w:rsidP="00306E72">
            <w:r w:rsidRPr="00790092">
              <w:t>Category B3</w:t>
            </w:r>
          </w:p>
          <w:p w14:paraId="60249821" w14:textId="164EEDB9" w:rsidR="00790092" w:rsidRDefault="00790092" w:rsidP="00306E72">
            <w:r w:rsidRPr="00790092">
              <w:t xml:space="preserve">Drugs which have been taken by only a limited number of pregnant women and women of childbearing age, without an increase in the frequency of malformation or other direct or </w:t>
            </w:r>
            <w:r w:rsidRPr="00790092">
              <w:lastRenderedPageBreak/>
              <w:t>indirect harmful effects on the human fetus having been observed.</w:t>
            </w:r>
          </w:p>
          <w:p w14:paraId="76497789" w14:textId="617E67FA" w:rsidR="0017005C" w:rsidRPr="00BD5DBD" w:rsidRDefault="00790092" w:rsidP="00306E72">
            <w:pPr>
              <w:rPr>
                <w:szCs w:val="22"/>
              </w:rPr>
            </w:pPr>
            <w:r w:rsidRPr="00790092">
              <w:t xml:space="preserve">Studies in animals have shown evidence of an increased occurrence of fetal damage, the significance of which is considered uncertain in </w:t>
            </w:r>
            <w:r w:rsidR="002513AC" w:rsidRPr="00790092">
              <w:t>humans.</w:t>
            </w:r>
          </w:p>
        </w:tc>
      </w:tr>
    </w:tbl>
    <w:p w14:paraId="51F2479F" w14:textId="1225ED64" w:rsidR="00324B33" w:rsidRDefault="00324B33" w:rsidP="00324B33">
      <w:pPr>
        <w:pStyle w:val="Heading3"/>
      </w:pPr>
      <w:bookmarkStart w:id="12" w:name="_Toc247691503"/>
      <w:bookmarkStart w:id="13" w:name="_Toc314842484"/>
      <w:bookmarkStart w:id="14" w:name="_Toc103679290"/>
      <w:bookmarkStart w:id="15" w:name="_Toc216790316"/>
      <w:r>
        <w:lastRenderedPageBreak/>
        <w:t>Product background</w:t>
      </w:r>
      <w:bookmarkEnd w:id="12"/>
      <w:bookmarkEnd w:id="13"/>
      <w:bookmarkEnd w:id="14"/>
      <w:bookmarkEnd w:id="15"/>
    </w:p>
    <w:p w14:paraId="59BF31D1" w14:textId="70ED29A5" w:rsidR="001500A8" w:rsidRDefault="00324B33" w:rsidP="00065839">
      <w:r w:rsidRPr="00065839">
        <w:t xml:space="preserve">This AusPAR describes the submission by </w:t>
      </w:r>
      <w:r w:rsidR="00790092" w:rsidRPr="00790092">
        <w:t xml:space="preserve">Accord Healthcare Pty Ltd </w:t>
      </w:r>
      <w:r w:rsidRPr="00065839">
        <w:t xml:space="preserve">(the </w:t>
      </w:r>
      <w:r w:rsidR="0002773E">
        <w:t>Sponsor</w:t>
      </w:r>
      <w:r w:rsidRPr="00065839">
        <w:t xml:space="preserve">) to register </w:t>
      </w:r>
      <w:r w:rsidR="003C393E">
        <w:t>Sondelbay</w:t>
      </w:r>
      <w:r w:rsidR="00790092" w:rsidRPr="00790092">
        <w:t xml:space="preserve">, </w:t>
      </w:r>
      <w:r w:rsidR="003C393E">
        <w:t>Teriparintas</w:t>
      </w:r>
      <w:r w:rsidR="00790092" w:rsidRPr="00790092">
        <w:t xml:space="preserve"> and </w:t>
      </w:r>
      <w:r w:rsidR="003C393E">
        <w:t>Teriparaccord</w:t>
      </w:r>
      <w:r w:rsidR="00790092" w:rsidRPr="00790092">
        <w:t xml:space="preserve"> </w:t>
      </w:r>
      <w:r w:rsidRPr="00065839">
        <w:t>(</w:t>
      </w:r>
      <w:r w:rsidR="00790092" w:rsidRPr="00790092">
        <w:t>teriparatide</w:t>
      </w:r>
      <w:r w:rsidR="00790092">
        <w:t>)</w:t>
      </w:r>
      <w:r w:rsidRPr="00065839">
        <w:t xml:space="preserve"> for the following proposed</w:t>
      </w:r>
      <w:r w:rsidR="00790092">
        <w:t xml:space="preserve"> </w:t>
      </w:r>
      <w:r w:rsidRPr="00065839">
        <w:t>indication</w:t>
      </w:r>
      <w:r w:rsidR="00790092">
        <w:t>s:</w:t>
      </w:r>
      <w:r w:rsidR="00D63760" w:rsidRPr="00065839">
        <w:rPr>
          <w:vertAlign w:val="superscript"/>
        </w:rPr>
        <w:footnoteReference w:id="1"/>
      </w:r>
    </w:p>
    <w:p w14:paraId="66833B5B" w14:textId="745F80D8" w:rsidR="00C42096" w:rsidRDefault="00C42096" w:rsidP="00C42096">
      <w:pPr>
        <w:pStyle w:val="Indication"/>
      </w:pPr>
      <w:r>
        <w:t>Treatment of osteoporosis in postmenopausal women and in men at increased risk of fracture; and</w:t>
      </w:r>
    </w:p>
    <w:p w14:paraId="187252A7" w14:textId="1743384F" w:rsidR="00C42096" w:rsidRDefault="00C42096" w:rsidP="00C42096">
      <w:pPr>
        <w:pStyle w:val="Indication"/>
      </w:pPr>
      <w:r>
        <w:t>Treatment of osteoporosis associated with sustained systemic glucocorticoid therapy in women and men at increased risk for fracture.</w:t>
      </w:r>
    </w:p>
    <w:p w14:paraId="4B8947BB" w14:textId="66F1C1D0" w:rsidR="005C6DA4" w:rsidRPr="00516974" w:rsidRDefault="003C393E" w:rsidP="00516974">
      <w:r>
        <w:t>Sondelbay</w:t>
      </w:r>
      <w:r w:rsidR="00516974" w:rsidRPr="00516974">
        <w:t xml:space="preserve">, </w:t>
      </w:r>
      <w:r>
        <w:t>Teriparintas</w:t>
      </w:r>
      <w:r w:rsidR="00516974" w:rsidRPr="00516974">
        <w:t xml:space="preserve"> and </w:t>
      </w:r>
      <w:r>
        <w:t>Teriparaccord</w:t>
      </w:r>
      <w:r w:rsidR="00516974">
        <w:t xml:space="preserve"> are biosimilars </w:t>
      </w:r>
      <w:r w:rsidR="002F78C9" w:rsidRPr="002F78C9">
        <w:t xml:space="preserve">to that of the Australian innovator product, </w:t>
      </w:r>
      <w:r>
        <w:t>Forteo</w:t>
      </w:r>
      <w:r w:rsidR="002F78C9" w:rsidRPr="002F78C9">
        <w:t xml:space="preserve"> (AUSTR 80333)</w:t>
      </w:r>
      <w:r w:rsidR="001F256E">
        <w:t>.</w:t>
      </w:r>
    </w:p>
    <w:p w14:paraId="1E63A2AE" w14:textId="1EEE7408" w:rsidR="00CB6813" w:rsidRDefault="00005DFC" w:rsidP="00CB6813">
      <w:pPr>
        <w:pStyle w:val="Heading4"/>
      </w:pPr>
      <w:bookmarkStart w:id="16" w:name="_Toc216790317"/>
      <w:bookmarkStart w:id="17" w:name="_Toc314842485"/>
      <w:bookmarkStart w:id="18" w:name="_Toc247691504"/>
      <w:r>
        <w:t>D</w:t>
      </w:r>
      <w:r w:rsidR="00CB6813" w:rsidRPr="00C12D65">
        <w:t>isease</w:t>
      </w:r>
      <w:r w:rsidR="006428C5">
        <w:t xml:space="preserve"> or condition</w:t>
      </w:r>
      <w:bookmarkEnd w:id="16"/>
    </w:p>
    <w:p w14:paraId="040288AA" w14:textId="3CD84171" w:rsidR="00A53766" w:rsidRDefault="00A53766" w:rsidP="000548B7">
      <w:pPr>
        <w:pStyle w:val="Heading5"/>
      </w:pPr>
      <w:r>
        <w:t>Osteoporosis</w:t>
      </w:r>
    </w:p>
    <w:p w14:paraId="6C59CA1B" w14:textId="24DEDB94" w:rsidR="00216EB4" w:rsidRDefault="00A53766" w:rsidP="00216EB4">
      <w:r>
        <w:t xml:space="preserve">Osteoporosis is characterised by both low bone mineral density (BMD) and microarchitectural deterioration of bone tissue, leading to decreased bone strength, increased bone </w:t>
      </w:r>
      <w:r w:rsidR="00754E6A">
        <w:t>fragility,</w:t>
      </w:r>
      <w:r>
        <w:t xml:space="preserve"> and a consequent increase in fracture risk. Osteoporosis is a ‘silent disease’ because deterioration of skeletal tissue proceeds with no symptoms until a symptomatic fracture occurs, and thus the condition is under-recognised and affected individuals are undertreated.</w:t>
      </w:r>
      <w:r w:rsidR="00C63E25">
        <w:rPr>
          <w:rStyle w:val="FootnoteReference"/>
        </w:rPr>
        <w:footnoteReference w:id="2"/>
      </w:r>
      <w:r>
        <w:t xml:space="preserve"> </w:t>
      </w:r>
    </w:p>
    <w:p w14:paraId="4803ED8C" w14:textId="1CCB5D9E" w:rsidR="00413BA6" w:rsidRDefault="00413BA6" w:rsidP="00413BA6">
      <w:r>
        <w:t>A 2012 burden of disease analysis report estimated that, in 2022, 6.2 million Australians aged &gt;50 years would have osteoporosis or osteopenia, an increase of 31% from 2012. This modelling predicted a similar increase in the rate of fractures, from 140,882 in 2012 to 183,105 in 2022. In addition to significant health and social burden, poor bone health exerts considerable economic pressure on Australia’s healthcare system, with the total direct and indirect costs of osteoporosis and osteopenia predicted to reach $3.84 billion by 2022.</w:t>
      </w:r>
      <w:r w:rsidR="009F737E">
        <w:rPr>
          <w:rStyle w:val="FootnoteReference"/>
        </w:rPr>
        <w:footnoteReference w:id="3"/>
      </w:r>
      <w:r>
        <w:t xml:space="preserve">  </w:t>
      </w:r>
    </w:p>
    <w:p w14:paraId="50D1016A" w14:textId="77777777" w:rsidR="0019218A" w:rsidRDefault="00413BA6" w:rsidP="00413BA6">
      <w:r>
        <w:t>Based on the W</w:t>
      </w:r>
      <w:r w:rsidR="00216EB4">
        <w:t>orld Health Organisation (W</w:t>
      </w:r>
      <w:r>
        <w:t>HO</w:t>
      </w:r>
      <w:r w:rsidR="00216EB4">
        <w:t>)</w:t>
      </w:r>
      <w:r>
        <w:t xml:space="preserve"> definition of osteoporosis and osteopenia</w:t>
      </w:r>
      <w:r w:rsidR="00D77E1A">
        <w:t xml:space="preserve"> (Table 1)</w:t>
      </w:r>
      <w:r>
        <w:t xml:space="preserve">, approximately 3% of men and 13% of women in Australia aged 50–69 years are osteoporotic, rising to 13% and 43% for men and women aged &gt;70 years. </w:t>
      </w:r>
    </w:p>
    <w:p w14:paraId="19FCC341" w14:textId="3FF90F69" w:rsidR="00D77E1A" w:rsidRDefault="00413BA6" w:rsidP="00413BA6">
      <w:pPr>
        <w:rPr>
          <w:noProof/>
        </w:rPr>
      </w:pPr>
      <w:r>
        <w:lastRenderedPageBreak/>
        <w:t xml:space="preserve">Fifty-five per cent of men and 49% of women between 50 and 69 years of age are osteopenic, with a similar </w:t>
      </w:r>
      <w:proofErr w:type="spellStart"/>
      <w:r>
        <w:t>revalence</w:t>
      </w:r>
      <w:proofErr w:type="spellEnd"/>
      <w:r>
        <w:t xml:space="preserve"> in those aged &gt;70 years. By 2022, approximately 72% of women and 62% of men aged &gt;50 years will have osteoporosis or osteopenia based on WHO criteria.</w:t>
      </w:r>
      <w:r w:rsidR="00D51AE5">
        <w:rPr>
          <w:rStyle w:val="FootnoteReference"/>
        </w:rPr>
        <w:footnoteReference w:id="4"/>
      </w:r>
      <w:r w:rsidR="004B4B23" w:rsidRPr="004B4B23">
        <w:rPr>
          <w:vertAlign w:val="superscript"/>
        </w:rPr>
        <w:t>,</w:t>
      </w:r>
      <w:r w:rsidR="004B4B23">
        <w:rPr>
          <w:rStyle w:val="FootnoteReference"/>
        </w:rPr>
        <w:footnoteReference w:id="5"/>
      </w:r>
      <w:r w:rsidR="00D77E1A" w:rsidRPr="00D77E1A">
        <w:rPr>
          <w:noProof/>
        </w:rPr>
        <w:t xml:space="preserve"> </w:t>
      </w:r>
    </w:p>
    <w:p w14:paraId="3BD2DFC7" w14:textId="77777777" w:rsidR="0019218A" w:rsidRDefault="00D77E1A" w:rsidP="00D77E1A">
      <w:pPr>
        <w:pStyle w:val="TableTitle"/>
      </w:pPr>
      <w:r w:rsidRPr="00D77E1A">
        <w:t>Table 1: WHO definitions of osteoporosis and osteopenia</w:t>
      </w:r>
    </w:p>
    <w:p w14:paraId="4FF59AD5" w14:textId="7D302A47" w:rsidR="00987381" w:rsidRDefault="00D77E1A" w:rsidP="0019218A">
      <w:r>
        <w:rPr>
          <w:noProof/>
          <w:lang w:val="en-IN" w:eastAsia="en-IN"/>
        </w:rPr>
        <w:drawing>
          <wp:inline distT="0" distB="0" distL="0" distR="0" wp14:anchorId="435F05C0" wp14:editId="1EFD3001">
            <wp:extent cx="5605145" cy="1978347"/>
            <wp:effectExtent l="0" t="0" r="0" b="3175"/>
            <wp:docPr id="1488254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254412" name="Picture 1"/>
                    <pic:cNvPicPr/>
                  </pic:nvPicPr>
                  <pic:blipFill rotWithShape="1">
                    <a:blip r:embed="rId24">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rcRect l="23456" t="37139" r="24908" b="30443"/>
                    <a:stretch>
                      <a:fillRect/>
                    </a:stretch>
                  </pic:blipFill>
                  <pic:spPr bwMode="auto">
                    <a:xfrm>
                      <a:off x="0" y="0"/>
                      <a:ext cx="5605145" cy="1978347"/>
                    </a:xfrm>
                    <a:prstGeom prst="rect">
                      <a:avLst/>
                    </a:prstGeom>
                    <a:ln>
                      <a:noFill/>
                    </a:ln>
                    <a:extLst>
                      <a:ext uri="{53640926-AAD7-44D8-BBD7-CCE9431645EC}">
                        <a14:shadowObscured xmlns:a14="http://schemas.microsoft.com/office/drawing/2010/main"/>
                      </a:ext>
                    </a:extLst>
                  </pic:spPr>
                </pic:pic>
              </a:graphicData>
            </a:graphic>
          </wp:inline>
        </w:drawing>
      </w:r>
    </w:p>
    <w:p w14:paraId="255E083A" w14:textId="4B53266A" w:rsidR="00CB6813" w:rsidRDefault="00CB6813" w:rsidP="00CB6813">
      <w:pPr>
        <w:pStyle w:val="Heading4"/>
      </w:pPr>
      <w:bookmarkStart w:id="19" w:name="_Toc216790318"/>
      <w:r>
        <w:t>Current treatment options</w:t>
      </w:r>
      <w:bookmarkEnd w:id="19"/>
    </w:p>
    <w:p w14:paraId="018815BF" w14:textId="77777777" w:rsidR="00556E68" w:rsidRDefault="00556E68" w:rsidP="00556E68">
      <w:r>
        <w:t xml:space="preserve">Pharmacological approaches to prevention and treatment may be divided as follows:  </w:t>
      </w:r>
    </w:p>
    <w:p w14:paraId="5CB6F86F" w14:textId="4F228BD3" w:rsidR="00556E68" w:rsidRDefault="00556E68" w:rsidP="00556E68">
      <w:pPr>
        <w:pStyle w:val="ListBullet"/>
      </w:pPr>
      <w:r>
        <w:t xml:space="preserve">antiresorptive therapy (inhibits osteoclast activity) </w:t>
      </w:r>
    </w:p>
    <w:p w14:paraId="72658F11" w14:textId="4B7564D0" w:rsidR="00556E68" w:rsidRDefault="00556E68" w:rsidP="00E6398E">
      <w:pPr>
        <w:pStyle w:val="ListBullet2"/>
      </w:pPr>
      <w:r>
        <w:t>bisphosphonates (</w:t>
      </w:r>
      <w:r w:rsidR="002513AC">
        <w:t>e.g.</w:t>
      </w:r>
      <w:r>
        <w:t xml:space="preserve"> alendronate, risedronate, zoledronate/zoledronic acid) </w:t>
      </w:r>
    </w:p>
    <w:p w14:paraId="3D2E7530" w14:textId="1225D351" w:rsidR="00556E68" w:rsidRDefault="00556E68" w:rsidP="00E6398E">
      <w:pPr>
        <w:pStyle w:val="ListBullet2"/>
      </w:pPr>
      <w:r>
        <w:t xml:space="preserve">denosumab </w:t>
      </w:r>
    </w:p>
    <w:p w14:paraId="3A528F93" w14:textId="0A42FD09" w:rsidR="00556E68" w:rsidRDefault="00556E68" w:rsidP="00E6398E">
      <w:pPr>
        <w:pStyle w:val="ListBullet2"/>
      </w:pPr>
      <w:r>
        <w:t>menopausal hormone therapy (</w:t>
      </w:r>
      <w:r w:rsidR="002513AC">
        <w:t>e.g.</w:t>
      </w:r>
      <w:r>
        <w:t xml:space="preserve"> oestrogen, tibolone) </w:t>
      </w:r>
    </w:p>
    <w:p w14:paraId="2F7D59C6" w14:textId="0FDAFD12" w:rsidR="00E6398E" w:rsidRDefault="00556E68" w:rsidP="00E6398E">
      <w:pPr>
        <w:pStyle w:val="ListBullet2"/>
      </w:pPr>
      <w:r>
        <w:t>selective oestrogen receptor modulators (</w:t>
      </w:r>
      <w:proofErr w:type="gramStart"/>
      <w:r>
        <w:t>SERMs;</w:t>
      </w:r>
      <w:proofErr w:type="gramEnd"/>
      <w:r>
        <w:t xml:space="preserve"> </w:t>
      </w:r>
      <w:r w:rsidR="002513AC">
        <w:t>e.g.</w:t>
      </w:r>
      <w:r>
        <w:t xml:space="preserve"> raloxifene) </w:t>
      </w:r>
    </w:p>
    <w:p w14:paraId="12484ED0" w14:textId="6E1179DF" w:rsidR="00556E68" w:rsidRDefault="00556E68" w:rsidP="00E6398E">
      <w:pPr>
        <w:pStyle w:val="ListBullet"/>
      </w:pPr>
      <w:r>
        <w:t xml:space="preserve">osteoanabolic therapy (predominant stimulatory effect on osteoblasts) </w:t>
      </w:r>
    </w:p>
    <w:p w14:paraId="7B0439E8" w14:textId="32B18AB2" w:rsidR="00556E68" w:rsidRDefault="00556E68" w:rsidP="00E6398E">
      <w:pPr>
        <w:pStyle w:val="ListBullet2"/>
      </w:pPr>
      <w:r>
        <w:t xml:space="preserve">teriparatide </w:t>
      </w:r>
    </w:p>
    <w:p w14:paraId="6A5377D8" w14:textId="24E6668E" w:rsidR="00556E68" w:rsidRPr="00556E68" w:rsidRDefault="00556E68" w:rsidP="00E6398E">
      <w:pPr>
        <w:pStyle w:val="ListBullet2"/>
      </w:pPr>
      <w:r>
        <w:t>romosozumab (also inhibits osteoclast activity)</w:t>
      </w:r>
    </w:p>
    <w:p w14:paraId="37C47E09" w14:textId="14D3762D" w:rsidR="00CB6813" w:rsidRDefault="00CB6813" w:rsidP="00CB6813">
      <w:pPr>
        <w:pStyle w:val="Heading4"/>
      </w:pPr>
      <w:bookmarkStart w:id="20" w:name="_Toc216790319"/>
      <w:r>
        <w:t>C</w:t>
      </w:r>
      <w:r w:rsidRPr="00DE1344">
        <w:t>linical rational</w:t>
      </w:r>
      <w:r w:rsidR="0025785B">
        <w:t>e</w:t>
      </w:r>
      <w:bookmarkEnd w:id="20"/>
    </w:p>
    <w:p w14:paraId="56D08E2A" w14:textId="69CF7D30" w:rsidR="00196339" w:rsidRDefault="007B6C16" w:rsidP="00196339">
      <w:r w:rsidRPr="007B6C16">
        <w:t xml:space="preserve">Endogenous 84-amino acid </w:t>
      </w:r>
      <w:r w:rsidR="00144494">
        <w:t>parathyroid hormone (</w:t>
      </w:r>
      <w:r w:rsidRPr="007B6C16">
        <w:t>PTH</w:t>
      </w:r>
      <w:r w:rsidR="00144494">
        <w:t>)</w:t>
      </w:r>
      <w:r w:rsidRPr="007B6C16">
        <w:t xml:space="preserve"> is the primary regulator of calcium and phosphate metabolism in the bone and kidney. </w:t>
      </w:r>
      <w:r w:rsidR="004F1A0C">
        <w:t>The p</w:t>
      </w:r>
      <w:r w:rsidRPr="007B6C16">
        <w:t xml:space="preserve">hysiological actions of PTH include regulation of bone metabolism, renal tubular reabsorption of calcium and phosphate, and intestinal calcium absorption. </w:t>
      </w:r>
      <w:r w:rsidR="00196339">
        <w:t xml:space="preserve">Teriparatide is </w:t>
      </w:r>
      <w:r w:rsidR="004F1A0C">
        <w:t xml:space="preserve">a </w:t>
      </w:r>
      <w:r w:rsidR="00196339">
        <w:t xml:space="preserve">recombinant human parathyroid hormone (rhPTH), identical in sequence to the active fragment, </w:t>
      </w:r>
      <w:r w:rsidR="0019218A">
        <w:t>the 34 N-terminal amino acids (1-34)</w:t>
      </w:r>
      <w:r w:rsidR="00196339">
        <w:t xml:space="preserve"> of the natural endogenous 84 amino acid human</w:t>
      </w:r>
      <w:r w:rsidR="004F1A0C">
        <w:t xml:space="preserve"> </w:t>
      </w:r>
      <w:r w:rsidR="00196339">
        <w:t>PTH.</w:t>
      </w:r>
      <w:r w:rsidR="00196339" w:rsidRPr="007B6C16">
        <w:t xml:space="preserve"> </w:t>
      </w:r>
    </w:p>
    <w:p w14:paraId="60E9D3C8" w14:textId="77777777" w:rsidR="00196339" w:rsidRDefault="007B6C16" w:rsidP="00196339">
      <w:r w:rsidRPr="007B6C16">
        <w:t>The biological actions of PTH and teriparatide are mediated through binding to specific high-affinity cell surface receptors. Teriparatide and the 34 N-terminal amino acids of PTH bind to these receptors with the same affinity and have the same physiological actions on bone and kidney.</w:t>
      </w:r>
      <w:r w:rsidR="00DC6FB6" w:rsidRPr="00DC6FB6">
        <w:t xml:space="preserve"> </w:t>
      </w:r>
    </w:p>
    <w:p w14:paraId="5CB71826" w14:textId="19EAD493" w:rsidR="006906BD" w:rsidRPr="007B6C16" w:rsidRDefault="00DC6FB6" w:rsidP="00196339">
      <w:r w:rsidRPr="00DC6FB6">
        <w:lastRenderedPageBreak/>
        <w:t>Once-daily administration of teriparatide stimulates new bone formation on trabecular and cortical (periosteal and/or endosteal) bone surfaces by preferential stimulation of osteoblastic activity over osteoclastic activity</w:t>
      </w:r>
      <w:r w:rsidR="005A36C3">
        <w:t>. T</w:t>
      </w:r>
      <w:r w:rsidR="000A3AB3" w:rsidRPr="000A3AB3">
        <w:t>he anabolic effects of teriparatide manifest as an increase in skeletal mass, an increase in markers of bone formation and resorption, and an increase in bone strength</w:t>
      </w:r>
      <w:r w:rsidR="000A3AB3">
        <w:t xml:space="preserve">. </w:t>
      </w:r>
    </w:p>
    <w:p w14:paraId="0D615854" w14:textId="77777777" w:rsidR="00324B33" w:rsidRPr="003F31A2" w:rsidRDefault="00324B33" w:rsidP="0019218A">
      <w:pPr>
        <w:pStyle w:val="Heading2"/>
      </w:pPr>
      <w:bookmarkStart w:id="21" w:name="_Toc103679291"/>
      <w:bookmarkStart w:id="22" w:name="_Toc216790320"/>
      <w:r>
        <w:t>Regulatory status</w:t>
      </w:r>
      <w:bookmarkEnd w:id="17"/>
      <w:bookmarkEnd w:id="18"/>
      <w:bookmarkEnd w:id="21"/>
      <w:bookmarkEnd w:id="22"/>
    </w:p>
    <w:p w14:paraId="72C889D6" w14:textId="7E200950" w:rsidR="0017005C" w:rsidRPr="00BD5DBD" w:rsidRDefault="0017005C" w:rsidP="0019218A">
      <w:pPr>
        <w:pStyle w:val="Heading3"/>
      </w:pPr>
      <w:bookmarkStart w:id="23" w:name="_Toc216790321"/>
      <w:r w:rsidRPr="00BD5DBD">
        <w:t>Australian regulatory</w:t>
      </w:r>
      <w:r>
        <w:t xml:space="preserve"> sta</w:t>
      </w:r>
      <w:r w:rsidR="0025785B">
        <w:t>t</w:t>
      </w:r>
      <w:r>
        <w:t>us</w:t>
      </w:r>
      <w:bookmarkEnd w:id="23"/>
    </w:p>
    <w:p w14:paraId="6A8633FA" w14:textId="2E309D41" w:rsidR="00324B33" w:rsidRDefault="00324B33" w:rsidP="00324B33">
      <w:pPr>
        <w:rPr>
          <w:szCs w:val="22"/>
        </w:rPr>
      </w:pPr>
      <w:r w:rsidRPr="00BD5DBD">
        <w:rPr>
          <w:szCs w:val="22"/>
        </w:rPr>
        <w:t xml:space="preserve">This product is considered </w:t>
      </w:r>
      <w:r w:rsidR="005A36C3">
        <w:rPr>
          <w:szCs w:val="22"/>
        </w:rPr>
        <w:t xml:space="preserve">a </w:t>
      </w:r>
      <w:r w:rsidR="008C754C" w:rsidRPr="00BD5DBD">
        <w:rPr>
          <w:szCs w:val="22"/>
        </w:rPr>
        <w:t xml:space="preserve">new </w:t>
      </w:r>
      <w:r w:rsidRPr="00BD5DBD">
        <w:rPr>
          <w:szCs w:val="22"/>
        </w:rPr>
        <w:t>biosimilar medicine for Australian regulatory purposes.</w:t>
      </w:r>
    </w:p>
    <w:p w14:paraId="546C1031" w14:textId="4EF98FA1" w:rsidR="0017005C" w:rsidRDefault="00131B1B" w:rsidP="0019218A">
      <w:pPr>
        <w:pStyle w:val="Heading3"/>
      </w:pPr>
      <w:bookmarkStart w:id="24" w:name="_Toc216790322"/>
      <w:r>
        <w:t xml:space="preserve">International </w:t>
      </w:r>
      <w:r w:rsidR="0017005C" w:rsidRPr="00BD5DBD">
        <w:t>regulatory</w:t>
      </w:r>
      <w:r w:rsidR="0017005C">
        <w:t xml:space="preserve"> status</w:t>
      </w:r>
      <w:bookmarkEnd w:id="24"/>
    </w:p>
    <w:p w14:paraId="7FDF4A0B" w14:textId="3EB0FFB7" w:rsidR="008F4A62" w:rsidRPr="0017005C" w:rsidRDefault="008F4A62" w:rsidP="008F4A62">
      <w:r w:rsidRPr="00BD5DBD">
        <w:rPr>
          <w:szCs w:val="22"/>
        </w:rPr>
        <w:t xml:space="preserve">At the time the TGA considered this submission, a similar submission had been </w:t>
      </w:r>
      <w:r>
        <w:rPr>
          <w:szCs w:val="22"/>
        </w:rPr>
        <w:t xml:space="preserve">considered by other regulatory agencies. </w:t>
      </w:r>
      <w:r w:rsidR="00E749D4">
        <w:rPr>
          <w:szCs w:val="22"/>
        </w:rPr>
        <w:t>Table 2</w:t>
      </w:r>
      <w:r w:rsidRPr="00BD5DBD">
        <w:rPr>
          <w:szCs w:val="22"/>
        </w:rPr>
        <w:t xml:space="preserve"> summarises these submissions and provides the indications where approved.</w:t>
      </w:r>
      <w:r>
        <w:rPr>
          <w:szCs w:val="22"/>
        </w:rPr>
        <w:t xml:space="preserve"> </w:t>
      </w:r>
    </w:p>
    <w:p w14:paraId="19B9E0AC" w14:textId="4416E016" w:rsidR="00324B33" w:rsidRDefault="00324B33" w:rsidP="00324B33">
      <w:pPr>
        <w:pStyle w:val="TableTitle"/>
      </w:pPr>
      <w:bookmarkStart w:id="25" w:name="_Ref99705479"/>
      <w:r>
        <w:t>Table</w:t>
      </w:r>
      <w:bookmarkEnd w:id="25"/>
      <w:r w:rsidR="00E749D4">
        <w:t xml:space="preserve"> 2</w:t>
      </w:r>
      <w:r>
        <w:t>: International regulatory status</w:t>
      </w:r>
    </w:p>
    <w:tbl>
      <w:tblPr>
        <w:tblStyle w:val="TableTGAblue2023"/>
        <w:tblW w:w="4880" w:type="pct"/>
        <w:tblLook w:val="04A0" w:firstRow="1" w:lastRow="0" w:firstColumn="1" w:lastColumn="0" w:noHBand="0" w:noVBand="1"/>
      </w:tblPr>
      <w:tblGrid>
        <w:gridCol w:w="1634"/>
        <w:gridCol w:w="1638"/>
        <w:gridCol w:w="2678"/>
        <w:gridCol w:w="2893"/>
      </w:tblGrid>
      <w:tr w:rsidR="00AE33C4" w:rsidRPr="00D01DDB" w14:paraId="405E5D78" w14:textId="36322190" w:rsidTr="00886B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 w:type="pct"/>
          </w:tcPr>
          <w:p w14:paraId="185B099B" w14:textId="7A4C0E6C" w:rsidR="00AE33C4" w:rsidRPr="00D01DDB" w:rsidRDefault="00AE33C4" w:rsidP="0019218A">
            <w:r w:rsidRPr="00D01DDB">
              <w:t>Region</w:t>
            </w:r>
          </w:p>
        </w:tc>
        <w:tc>
          <w:tcPr>
            <w:tcW w:w="926" w:type="pct"/>
          </w:tcPr>
          <w:p w14:paraId="778C35C7" w14:textId="52D23C85" w:rsidR="00AE33C4" w:rsidRPr="00D01DDB" w:rsidRDefault="00AE33C4" w:rsidP="0019218A">
            <w:pPr>
              <w:cnfStyle w:val="100000000000" w:firstRow="1" w:lastRow="0" w:firstColumn="0" w:lastColumn="0" w:oddVBand="0" w:evenVBand="0" w:oddHBand="0" w:evenHBand="0" w:firstRowFirstColumn="0" w:firstRowLastColumn="0" w:lastRowFirstColumn="0" w:lastRowLastColumn="0"/>
            </w:pPr>
            <w:r w:rsidRPr="00D01DDB">
              <w:t>Submission date</w:t>
            </w:r>
          </w:p>
        </w:tc>
        <w:tc>
          <w:tcPr>
            <w:tcW w:w="1514" w:type="pct"/>
          </w:tcPr>
          <w:p w14:paraId="58F81584" w14:textId="66689ABF" w:rsidR="00AE33C4" w:rsidRPr="00D01DDB" w:rsidRDefault="00AE33C4" w:rsidP="0019218A">
            <w:pPr>
              <w:cnfStyle w:val="100000000000" w:firstRow="1" w:lastRow="0" w:firstColumn="0" w:lastColumn="0" w:oddVBand="0" w:evenVBand="0" w:oddHBand="0" w:evenHBand="0" w:firstRowFirstColumn="0" w:firstRowLastColumn="0" w:lastRowFirstColumn="0" w:lastRowLastColumn="0"/>
            </w:pPr>
            <w:r w:rsidRPr="00D01DDB">
              <w:t>Status</w:t>
            </w:r>
          </w:p>
        </w:tc>
        <w:tc>
          <w:tcPr>
            <w:tcW w:w="1636" w:type="pct"/>
          </w:tcPr>
          <w:p w14:paraId="3C3E5C3E" w14:textId="4EC829B7" w:rsidR="00AE33C4" w:rsidRPr="00D01DDB" w:rsidRDefault="00886B52" w:rsidP="0019218A">
            <w:pPr>
              <w:cnfStyle w:val="100000000000" w:firstRow="1" w:lastRow="0" w:firstColumn="0" w:lastColumn="0" w:oddVBand="0" w:evenVBand="0" w:oddHBand="0" w:evenHBand="0" w:firstRowFirstColumn="0" w:firstRowLastColumn="0" w:lastRowFirstColumn="0" w:lastRowLastColumn="0"/>
            </w:pPr>
            <w:r w:rsidRPr="00886B52">
              <w:t>Indications</w:t>
            </w:r>
            <w:r>
              <w:t xml:space="preserve"> </w:t>
            </w:r>
            <w:r w:rsidRPr="00886B52">
              <w:t>(requested/ approved)</w:t>
            </w:r>
          </w:p>
        </w:tc>
      </w:tr>
      <w:tr w:rsidR="00AE33C4" w:rsidRPr="00D01DDB" w14:paraId="070CD3DF" w14:textId="5BEE7303" w:rsidTr="00886B52">
        <w:tc>
          <w:tcPr>
            <w:cnfStyle w:val="001000000000" w:firstRow="0" w:lastRow="0" w:firstColumn="1" w:lastColumn="0" w:oddVBand="0" w:evenVBand="0" w:oddHBand="0" w:evenHBand="0" w:firstRowFirstColumn="0" w:firstRowLastColumn="0" w:lastRowFirstColumn="0" w:lastRowLastColumn="0"/>
            <w:tcW w:w="924" w:type="pct"/>
          </w:tcPr>
          <w:p w14:paraId="5D990DFD" w14:textId="5D58F89D" w:rsidR="00AE33C4" w:rsidRPr="00D01DDB" w:rsidRDefault="00AE33C4" w:rsidP="0019218A">
            <w:r w:rsidRPr="00744F4E">
              <w:t>E</w:t>
            </w:r>
            <w:r w:rsidR="00D77E1A">
              <w:t>uropean Union</w:t>
            </w:r>
          </w:p>
        </w:tc>
        <w:tc>
          <w:tcPr>
            <w:tcW w:w="926" w:type="pct"/>
          </w:tcPr>
          <w:p w14:paraId="53BA7FE5" w14:textId="70A9985B" w:rsidR="00AE33C4" w:rsidRPr="00D01DDB" w:rsidRDefault="00AE33C4" w:rsidP="0019218A">
            <w:pPr>
              <w:cnfStyle w:val="000000000000" w:firstRow="0" w:lastRow="0" w:firstColumn="0" w:lastColumn="0" w:oddVBand="0" w:evenVBand="0" w:oddHBand="0" w:evenHBand="0" w:firstRowFirstColumn="0" w:firstRowLastColumn="0" w:lastRowFirstColumn="0" w:lastRowLastColumn="0"/>
            </w:pPr>
            <w:r w:rsidRPr="00744F4E">
              <w:t>05 March 2021</w:t>
            </w:r>
          </w:p>
        </w:tc>
        <w:tc>
          <w:tcPr>
            <w:tcW w:w="1514" w:type="pct"/>
          </w:tcPr>
          <w:p w14:paraId="34C95DFE" w14:textId="3BA8499A" w:rsidR="00AE33C4" w:rsidRPr="00D01DDB" w:rsidRDefault="00AE33C4" w:rsidP="0019218A">
            <w:pPr>
              <w:cnfStyle w:val="000000000000" w:firstRow="0" w:lastRow="0" w:firstColumn="0" w:lastColumn="0" w:oddVBand="0" w:evenVBand="0" w:oddHBand="0" w:evenHBand="0" w:firstRowFirstColumn="0" w:firstRowLastColumn="0" w:lastRowFirstColumn="0" w:lastRowLastColumn="0"/>
            </w:pPr>
            <w:r w:rsidRPr="00744F4E">
              <w:t>Approved (24 March 2022)</w:t>
            </w:r>
          </w:p>
        </w:tc>
        <w:tc>
          <w:tcPr>
            <w:tcW w:w="1636" w:type="pct"/>
          </w:tcPr>
          <w:p w14:paraId="65BF101B" w14:textId="0A79FDBE" w:rsidR="00AE33C4" w:rsidRPr="00744F4E" w:rsidRDefault="00886B52" w:rsidP="0019218A">
            <w:pPr>
              <w:cnfStyle w:val="000000000000" w:firstRow="0" w:lastRow="0" w:firstColumn="0" w:lastColumn="0" w:oddVBand="0" w:evenVBand="0" w:oddHBand="0" w:evenHBand="0" w:firstRowFirstColumn="0" w:firstRowLastColumn="0" w:lastRowFirstColumn="0" w:lastRowLastColumn="0"/>
            </w:pPr>
            <w:r w:rsidRPr="00886B52">
              <w:t>As below</w:t>
            </w:r>
          </w:p>
        </w:tc>
      </w:tr>
      <w:tr w:rsidR="00AE33C4" w:rsidRPr="00D01DDB" w14:paraId="0D92ECB0" w14:textId="07709510" w:rsidTr="00886B52">
        <w:tc>
          <w:tcPr>
            <w:cnfStyle w:val="001000000000" w:firstRow="0" w:lastRow="0" w:firstColumn="1" w:lastColumn="0" w:oddVBand="0" w:evenVBand="0" w:oddHBand="0" w:evenHBand="0" w:firstRowFirstColumn="0" w:firstRowLastColumn="0" w:lastRowFirstColumn="0" w:lastRowLastColumn="0"/>
            <w:tcW w:w="924" w:type="pct"/>
          </w:tcPr>
          <w:p w14:paraId="1228BCF3" w14:textId="73736D71" w:rsidR="00AE33C4" w:rsidRPr="00D01DDB" w:rsidRDefault="00AE33C4" w:rsidP="0019218A">
            <w:r w:rsidRPr="0057235F">
              <w:t>U</w:t>
            </w:r>
            <w:r w:rsidR="00D77E1A">
              <w:t>nited Kingdom</w:t>
            </w:r>
          </w:p>
        </w:tc>
        <w:tc>
          <w:tcPr>
            <w:tcW w:w="926" w:type="pct"/>
          </w:tcPr>
          <w:p w14:paraId="3FE56CD3" w14:textId="7ABDFAB0" w:rsidR="00AE33C4" w:rsidRPr="00D01DDB" w:rsidRDefault="00AE33C4" w:rsidP="0019218A">
            <w:pPr>
              <w:cnfStyle w:val="000000000000" w:firstRow="0" w:lastRow="0" w:firstColumn="0" w:lastColumn="0" w:oddVBand="0" w:evenVBand="0" w:oddHBand="0" w:evenHBand="0" w:firstRowFirstColumn="0" w:firstRowLastColumn="0" w:lastRowFirstColumn="0" w:lastRowLastColumn="0"/>
            </w:pPr>
            <w:r w:rsidRPr="0057235F">
              <w:t>01 April 2021</w:t>
            </w:r>
          </w:p>
        </w:tc>
        <w:tc>
          <w:tcPr>
            <w:tcW w:w="1514" w:type="pct"/>
          </w:tcPr>
          <w:p w14:paraId="5F8CBD7B" w14:textId="2CFF93DC" w:rsidR="00AE33C4" w:rsidRPr="00D01DDB" w:rsidRDefault="00AE33C4" w:rsidP="0019218A">
            <w:pPr>
              <w:cnfStyle w:val="000000000000" w:firstRow="0" w:lastRow="0" w:firstColumn="0" w:lastColumn="0" w:oddVBand="0" w:evenVBand="0" w:oddHBand="0" w:evenHBand="0" w:firstRowFirstColumn="0" w:firstRowLastColumn="0" w:lastRowFirstColumn="0" w:lastRowLastColumn="0"/>
            </w:pPr>
            <w:r w:rsidRPr="0057235F">
              <w:t>Approved (04 March 2022)</w:t>
            </w:r>
          </w:p>
        </w:tc>
        <w:tc>
          <w:tcPr>
            <w:tcW w:w="1636" w:type="pct"/>
          </w:tcPr>
          <w:p w14:paraId="05132DEE" w14:textId="744994DD" w:rsidR="00AE33C4" w:rsidRPr="0057235F" w:rsidRDefault="00886B52" w:rsidP="0019218A">
            <w:pPr>
              <w:cnfStyle w:val="000000000000" w:firstRow="0" w:lastRow="0" w:firstColumn="0" w:lastColumn="0" w:oddVBand="0" w:evenVBand="0" w:oddHBand="0" w:evenHBand="0" w:firstRowFirstColumn="0" w:firstRowLastColumn="0" w:lastRowFirstColumn="0" w:lastRowLastColumn="0"/>
            </w:pPr>
            <w:r w:rsidRPr="00886B52">
              <w:t>As below</w:t>
            </w:r>
          </w:p>
        </w:tc>
      </w:tr>
      <w:tr w:rsidR="00AE33C4" w:rsidRPr="00D01DDB" w14:paraId="38D24E86" w14:textId="57E57D96" w:rsidTr="00886B52">
        <w:tc>
          <w:tcPr>
            <w:cnfStyle w:val="001000000000" w:firstRow="0" w:lastRow="0" w:firstColumn="1" w:lastColumn="0" w:oddVBand="0" w:evenVBand="0" w:oddHBand="0" w:evenHBand="0" w:firstRowFirstColumn="0" w:firstRowLastColumn="0" w:lastRowFirstColumn="0" w:lastRowLastColumn="0"/>
            <w:tcW w:w="924" w:type="pct"/>
          </w:tcPr>
          <w:p w14:paraId="4C540DE5" w14:textId="12A2C6CC" w:rsidR="00AE33C4" w:rsidRPr="00D01DDB" w:rsidRDefault="00AE33C4" w:rsidP="0019218A">
            <w:r w:rsidRPr="00DE313B">
              <w:t>Switzerland</w:t>
            </w:r>
          </w:p>
        </w:tc>
        <w:tc>
          <w:tcPr>
            <w:tcW w:w="926" w:type="pct"/>
          </w:tcPr>
          <w:p w14:paraId="4FA5DDA9" w14:textId="58D4FC6F" w:rsidR="00AE33C4" w:rsidRPr="00D01DDB" w:rsidRDefault="00AE33C4" w:rsidP="0019218A">
            <w:pPr>
              <w:cnfStyle w:val="000000000000" w:firstRow="0" w:lastRow="0" w:firstColumn="0" w:lastColumn="0" w:oddVBand="0" w:evenVBand="0" w:oddHBand="0" w:evenHBand="0" w:firstRowFirstColumn="0" w:firstRowLastColumn="0" w:lastRowFirstColumn="0" w:lastRowLastColumn="0"/>
            </w:pPr>
            <w:r w:rsidRPr="00DE313B">
              <w:t>04 June 2021</w:t>
            </w:r>
          </w:p>
        </w:tc>
        <w:tc>
          <w:tcPr>
            <w:tcW w:w="1514" w:type="pct"/>
          </w:tcPr>
          <w:p w14:paraId="29358393" w14:textId="19DC49A8" w:rsidR="00AE33C4" w:rsidRPr="00D01DDB" w:rsidRDefault="00AE33C4" w:rsidP="0019218A">
            <w:pPr>
              <w:cnfStyle w:val="000000000000" w:firstRow="0" w:lastRow="0" w:firstColumn="0" w:lastColumn="0" w:oddVBand="0" w:evenVBand="0" w:oddHBand="0" w:evenHBand="0" w:firstRowFirstColumn="0" w:firstRowLastColumn="0" w:lastRowFirstColumn="0" w:lastRowLastColumn="0"/>
            </w:pPr>
            <w:r w:rsidRPr="00DE313B">
              <w:t>Approved (18 August 2022)</w:t>
            </w:r>
          </w:p>
        </w:tc>
        <w:tc>
          <w:tcPr>
            <w:tcW w:w="1636" w:type="pct"/>
          </w:tcPr>
          <w:p w14:paraId="1A0FDB3B" w14:textId="557B152B" w:rsidR="00AE33C4" w:rsidRPr="00DE313B" w:rsidRDefault="00886B52" w:rsidP="0019218A">
            <w:pPr>
              <w:cnfStyle w:val="000000000000" w:firstRow="0" w:lastRow="0" w:firstColumn="0" w:lastColumn="0" w:oddVBand="0" w:evenVBand="0" w:oddHBand="0" w:evenHBand="0" w:firstRowFirstColumn="0" w:firstRowLastColumn="0" w:lastRowFirstColumn="0" w:lastRowLastColumn="0"/>
            </w:pPr>
            <w:r w:rsidRPr="00886B52">
              <w:t>As below</w:t>
            </w:r>
          </w:p>
        </w:tc>
      </w:tr>
      <w:tr w:rsidR="00AE33C4" w:rsidRPr="00D01DDB" w14:paraId="18B6E2AA" w14:textId="5166572A" w:rsidTr="00886B52">
        <w:tc>
          <w:tcPr>
            <w:cnfStyle w:val="001000000000" w:firstRow="0" w:lastRow="0" w:firstColumn="1" w:lastColumn="0" w:oddVBand="0" w:evenVBand="0" w:oddHBand="0" w:evenHBand="0" w:firstRowFirstColumn="0" w:firstRowLastColumn="0" w:lastRowFirstColumn="0" w:lastRowLastColumn="0"/>
            <w:tcW w:w="924" w:type="pct"/>
          </w:tcPr>
          <w:p w14:paraId="7F348960" w14:textId="537AEC73" w:rsidR="00AE33C4" w:rsidRPr="00D01DDB" w:rsidRDefault="00AE33C4" w:rsidP="0019218A">
            <w:r w:rsidRPr="00AE33C4">
              <w:t>Singapore</w:t>
            </w:r>
          </w:p>
        </w:tc>
        <w:tc>
          <w:tcPr>
            <w:tcW w:w="926" w:type="pct"/>
          </w:tcPr>
          <w:p w14:paraId="1D871E57" w14:textId="0722BA5F" w:rsidR="00AE33C4" w:rsidRPr="00D01DDB" w:rsidRDefault="00AE33C4" w:rsidP="0019218A">
            <w:pPr>
              <w:cnfStyle w:val="000000000000" w:firstRow="0" w:lastRow="0" w:firstColumn="0" w:lastColumn="0" w:oddVBand="0" w:evenVBand="0" w:oddHBand="0" w:evenHBand="0" w:firstRowFirstColumn="0" w:firstRowLastColumn="0" w:lastRowFirstColumn="0" w:lastRowLastColumn="0"/>
            </w:pPr>
            <w:r w:rsidRPr="00AE33C4">
              <w:t>03 March 2022</w:t>
            </w:r>
          </w:p>
        </w:tc>
        <w:tc>
          <w:tcPr>
            <w:tcW w:w="1514" w:type="pct"/>
          </w:tcPr>
          <w:p w14:paraId="63A3A9D3" w14:textId="7C1C0D14" w:rsidR="00AE33C4" w:rsidRPr="00D01DDB" w:rsidRDefault="00E44623" w:rsidP="0019218A">
            <w:pPr>
              <w:cnfStyle w:val="000000000000" w:firstRow="0" w:lastRow="0" w:firstColumn="0" w:lastColumn="0" w:oddVBand="0" w:evenVBand="0" w:oddHBand="0" w:evenHBand="0" w:firstRowFirstColumn="0" w:firstRowLastColumn="0" w:lastRowFirstColumn="0" w:lastRowLastColumn="0"/>
            </w:pPr>
            <w:r>
              <w:t>Approved (01 June 2023)</w:t>
            </w:r>
          </w:p>
        </w:tc>
        <w:tc>
          <w:tcPr>
            <w:tcW w:w="1636" w:type="pct"/>
          </w:tcPr>
          <w:p w14:paraId="5E2AC052" w14:textId="2819F347" w:rsidR="00AE33C4" w:rsidRPr="00AE33C4" w:rsidRDefault="00886B52" w:rsidP="0019218A">
            <w:pPr>
              <w:cnfStyle w:val="000000000000" w:firstRow="0" w:lastRow="0" w:firstColumn="0" w:lastColumn="0" w:oddVBand="0" w:evenVBand="0" w:oddHBand="0" w:evenHBand="0" w:firstRowFirstColumn="0" w:firstRowLastColumn="0" w:lastRowFirstColumn="0" w:lastRowLastColumn="0"/>
            </w:pPr>
            <w:r w:rsidRPr="00886B52">
              <w:t>As below</w:t>
            </w:r>
          </w:p>
        </w:tc>
      </w:tr>
    </w:tbl>
    <w:p w14:paraId="006B638E" w14:textId="77777777" w:rsidR="00862958" w:rsidRDefault="00862958" w:rsidP="00862958">
      <w:bookmarkStart w:id="26" w:name="_Toc504480011"/>
      <w:bookmarkStart w:id="27" w:name="_Toc103679293"/>
    </w:p>
    <w:p w14:paraId="0C9349D8" w14:textId="57BC8857" w:rsidR="00862958" w:rsidRPr="00886B52" w:rsidRDefault="00862958" w:rsidP="00862958">
      <w:pPr>
        <w:rPr>
          <w:b/>
          <w:bCs/>
        </w:rPr>
      </w:pPr>
      <w:r w:rsidRPr="00886B52">
        <w:rPr>
          <w:b/>
          <w:bCs/>
        </w:rPr>
        <w:t>Indications approved in EU:</w:t>
      </w:r>
    </w:p>
    <w:p w14:paraId="0984A0D7" w14:textId="77777777" w:rsidR="00862958" w:rsidRDefault="00862958" w:rsidP="00862958">
      <w:r>
        <w:t>Treatment of osteoporosis in postmenopausal women and in men at increased risk of fracture. In postmenopausal women, a significant reduction in the incidence of vertebral and non-vertebral fractures but not hip fractures have been demonstrated.</w:t>
      </w:r>
    </w:p>
    <w:p w14:paraId="5FCB526C" w14:textId="401B0284" w:rsidR="00073A85" w:rsidRDefault="00862958" w:rsidP="00862958">
      <w:r>
        <w:t>Treatment of osteoporosis associated with sustained systemic glucocorticoid therapy in women and men at increased risk for fracture.</w:t>
      </w:r>
    </w:p>
    <w:p w14:paraId="38A234AB" w14:textId="77777777" w:rsidR="00862958" w:rsidRPr="00886B52" w:rsidRDefault="00862958" w:rsidP="00862958">
      <w:pPr>
        <w:rPr>
          <w:b/>
          <w:bCs/>
        </w:rPr>
      </w:pPr>
      <w:r w:rsidRPr="00886B52">
        <w:rPr>
          <w:b/>
          <w:bCs/>
        </w:rPr>
        <w:t>Indications approved in UK:</w:t>
      </w:r>
    </w:p>
    <w:p w14:paraId="41CB635B" w14:textId="77777777" w:rsidR="00862958" w:rsidRDefault="00862958" w:rsidP="00862958">
      <w:r>
        <w:t>Treatment of osteoporosis in postmenopausal women and in men at increased risk of fracture. In postmenopausal women, a significant reduction in the incidence of vertebral and non-vertebral fractures but not hip fractures have been demonstrated.</w:t>
      </w:r>
    </w:p>
    <w:p w14:paraId="32AF6EBB" w14:textId="77777777" w:rsidR="00862958" w:rsidRDefault="00862958" w:rsidP="00862958">
      <w:r>
        <w:t>Treatment of osteoporosis associated with sustained systemic glucocorticoid therapy in women and men at increased risk for fracture.</w:t>
      </w:r>
    </w:p>
    <w:p w14:paraId="0F37B927" w14:textId="77777777" w:rsidR="00862958" w:rsidRPr="00886B52" w:rsidRDefault="00862958" w:rsidP="00862958">
      <w:pPr>
        <w:rPr>
          <w:b/>
          <w:bCs/>
        </w:rPr>
      </w:pPr>
      <w:r w:rsidRPr="00886B52">
        <w:rPr>
          <w:b/>
          <w:bCs/>
        </w:rPr>
        <w:t>Indications approved in Switzerland:</w:t>
      </w:r>
    </w:p>
    <w:p w14:paraId="67C6D000" w14:textId="0622205B" w:rsidR="00862958" w:rsidRDefault="003C393E" w:rsidP="00862958">
      <w:r>
        <w:lastRenderedPageBreak/>
        <w:t>Sondelbay</w:t>
      </w:r>
      <w:r w:rsidR="00862958">
        <w:t xml:space="preserve"> is indicated for the treatment of postmenopausal women with manifest osteoporosis and a high risk of fracture. A significant reduction in the incidence of vertebral and nonvertebral fractures has been shown in postmenopausal women with osteoporosis.</w:t>
      </w:r>
    </w:p>
    <w:p w14:paraId="5126911A" w14:textId="3B4F2892" w:rsidR="00862958" w:rsidRDefault="003C393E" w:rsidP="00862958">
      <w:r>
        <w:t>Sondelbay</w:t>
      </w:r>
      <w:r w:rsidR="00862958">
        <w:t xml:space="preserve"> is indicated in men with primary or hypogonadal osteoporosis high fracture risk. </w:t>
      </w:r>
      <w:r>
        <w:t>Sondelbay</w:t>
      </w:r>
      <w:r w:rsidR="00862958">
        <w:t xml:space="preserve"> increases in men with primary or hypogonadal osteoporosis the bone mineral density. Treatment of glucocorticoid-induced osteoporosis in adults at increased risk of fracture.</w:t>
      </w:r>
    </w:p>
    <w:p w14:paraId="4F996B03" w14:textId="77777777" w:rsidR="00862958" w:rsidRPr="00886B52" w:rsidRDefault="00862958" w:rsidP="00862958">
      <w:pPr>
        <w:rPr>
          <w:b/>
          <w:bCs/>
        </w:rPr>
      </w:pPr>
      <w:r w:rsidRPr="00886B52">
        <w:rPr>
          <w:b/>
          <w:bCs/>
        </w:rPr>
        <w:t>Indications under evaluation in Singapore:</w:t>
      </w:r>
    </w:p>
    <w:p w14:paraId="7C10F5F9" w14:textId="4BAB2064" w:rsidR="00862958" w:rsidRDefault="00862958" w:rsidP="00862958">
      <w:r>
        <w:t>Treatment of postmenopausal women with osteoporosis who are at high risk for fracture (defined herein as having a history of osteoporotic fracture or multiple risk factors for fracture) or who have failed or are intolerant of previous osteoporosis therapy, based upon physician assessment. In postmenopausal women with osteoporosis, teriparatide increases BMD and reduces the risk of vertebral and nonvertebral fractures. To increase bone mass in men with primary or hypogonadal osteoporosis who are at high risk for fracture. These include men with a history of osteoporotic fracture, or who have multiple risk factors for fracture, or who have failed or are intolerant to previous osteoporosis therapy, based upon physician assessment. In men with primary or hypogonadal osteoporosis, teriparatide increases BMD. The effects of teriparatide on risk for fracture in men have not been studied. For the treatment of men and women with glucocorticoid-induced osteoporosis at high risk for fracture.</w:t>
      </w:r>
    </w:p>
    <w:p w14:paraId="6D92589C" w14:textId="6BA6244B" w:rsidR="00324B33" w:rsidRDefault="00324B33" w:rsidP="00324B33">
      <w:pPr>
        <w:pStyle w:val="Heading2"/>
      </w:pPr>
      <w:bookmarkStart w:id="28" w:name="_Toc216790323"/>
      <w:r>
        <w:t>Registration timeline</w:t>
      </w:r>
      <w:bookmarkEnd w:id="26"/>
      <w:bookmarkEnd w:id="27"/>
      <w:bookmarkEnd w:id="28"/>
    </w:p>
    <w:p w14:paraId="225E3D87" w14:textId="201B5394" w:rsidR="00324B33" w:rsidRPr="00BD5DBD" w:rsidRDefault="00E749D4" w:rsidP="00324B33">
      <w:pPr>
        <w:rPr>
          <w:szCs w:val="22"/>
        </w:rPr>
      </w:pPr>
      <w:r>
        <w:rPr>
          <w:szCs w:val="22"/>
        </w:rPr>
        <w:t>Table 3</w:t>
      </w:r>
      <w:r w:rsidR="00324B33" w:rsidRPr="00BD5DBD">
        <w:rPr>
          <w:szCs w:val="22"/>
        </w:rPr>
        <w:t xml:space="preserve"> captures the key steps and dates for this submission.</w:t>
      </w:r>
    </w:p>
    <w:p w14:paraId="6BB76942" w14:textId="49C62989" w:rsidR="00477C4E" w:rsidRPr="00BD5DBD" w:rsidRDefault="00477C4E" w:rsidP="00324B33">
      <w:pPr>
        <w:rPr>
          <w:szCs w:val="22"/>
        </w:rPr>
      </w:pPr>
      <w:r w:rsidRPr="00BD5DBD">
        <w:rPr>
          <w:szCs w:val="22"/>
        </w:rPr>
        <w:t xml:space="preserve">This submission was evaluated under the </w:t>
      </w:r>
      <w:hyperlink r:id="rId26" w:history="1">
        <w:r w:rsidRPr="00BD5DBD">
          <w:rPr>
            <w:rStyle w:val="Hyperlink"/>
            <w:szCs w:val="22"/>
          </w:rPr>
          <w:t>standard prescription medicines registration process</w:t>
        </w:r>
      </w:hyperlink>
      <w:r w:rsidRPr="00BD5DBD">
        <w:rPr>
          <w:szCs w:val="22"/>
        </w:rPr>
        <w:t>.</w:t>
      </w:r>
    </w:p>
    <w:p w14:paraId="44628C5F" w14:textId="51B8347E" w:rsidR="00324B33" w:rsidRDefault="00324B33" w:rsidP="002C1232">
      <w:pPr>
        <w:pStyle w:val="TableTitle"/>
      </w:pPr>
      <w:r w:rsidRPr="002C1232">
        <w:t>Table</w:t>
      </w:r>
      <w:r w:rsidR="00E749D4">
        <w:t xml:space="preserve"> 3</w:t>
      </w:r>
      <w:r w:rsidRPr="002C1232">
        <w:t xml:space="preserve">: Timeline for </w:t>
      </w:r>
      <w:r w:rsidR="003C393E">
        <w:t>Sondelbay</w:t>
      </w:r>
      <w:r w:rsidR="00627E87" w:rsidRPr="00627E87">
        <w:t xml:space="preserve">, </w:t>
      </w:r>
      <w:r w:rsidR="003C393E">
        <w:t>Teriparintas</w:t>
      </w:r>
      <w:r w:rsidR="00627E87" w:rsidRPr="00627E87">
        <w:t xml:space="preserve"> and </w:t>
      </w:r>
      <w:r w:rsidR="003C393E">
        <w:t>Teriparaccord</w:t>
      </w:r>
      <w:r w:rsidR="00627E87">
        <w:t>, submission</w:t>
      </w:r>
      <w:r w:rsidRPr="002C1232">
        <w:t xml:space="preserve"> </w:t>
      </w:r>
      <w:r w:rsidR="00627E87" w:rsidRPr="00627E87">
        <w:t>PM-2023-01370-1-5</w:t>
      </w:r>
    </w:p>
    <w:tbl>
      <w:tblPr>
        <w:tblStyle w:val="TableTGAblue2023"/>
        <w:tblW w:w="8642" w:type="dxa"/>
        <w:tblLook w:val="04A0" w:firstRow="1" w:lastRow="0" w:firstColumn="1" w:lastColumn="0" w:noHBand="0" w:noVBand="1"/>
      </w:tblPr>
      <w:tblGrid>
        <w:gridCol w:w="6232"/>
        <w:gridCol w:w="2410"/>
      </w:tblGrid>
      <w:tr w:rsidR="00324B33" w:rsidRPr="00D01DDB" w14:paraId="6C59BE9C" w14:textId="77777777" w:rsidTr="001921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16D80E78" w14:textId="3EC0CCAF" w:rsidR="00324B33" w:rsidRPr="00D01DDB" w:rsidRDefault="00324B33" w:rsidP="00324B33">
            <w:pPr>
              <w:rPr>
                <w:szCs w:val="22"/>
              </w:rPr>
            </w:pPr>
            <w:r w:rsidRPr="00D01DDB">
              <w:rPr>
                <w:szCs w:val="22"/>
              </w:rPr>
              <w:t>Description</w:t>
            </w:r>
          </w:p>
        </w:tc>
        <w:tc>
          <w:tcPr>
            <w:tcW w:w="2410" w:type="dxa"/>
          </w:tcPr>
          <w:p w14:paraId="79AFDC4B" w14:textId="0579203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324B33" w:rsidRPr="00D01DDB" w14:paraId="23610C53" w14:textId="77777777" w:rsidTr="0019218A">
        <w:tc>
          <w:tcPr>
            <w:cnfStyle w:val="001000000000" w:firstRow="0" w:lastRow="0" w:firstColumn="1" w:lastColumn="0" w:oddVBand="0" w:evenVBand="0" w:oddHBand="0" w:evenHBand="0" w:firstRowFirstColumn="0" w:firstRowLastColumn="0" w:lastRowFirstColumn="0" w:lastRowLastColumn="0"/>
            <w:tcW w:w="6232" w:type="dxa"/>
          </w:tcPr>
          <w:p w14:paraId="759D2A12" w14:textId="0D705F83" w:rsidR="00324B33" w:rsidRPr="00E679D1" w:rsidRDefault="00324B33" w:rsidP="00E679D1">
            <w:r w:rsidRPr="00E679D1">
              <w:t>Submission dossier accepted and first round evaluation commenced</w:t>
            </w:r>
          </w:p>
        </w:tc>
        <w:tc>
          <w:tcPr>
            <w:tcW w:w="2410" w:type="dxa"/>
          </w:tcPr>
          <w:p w14:paraId="2963D9D8" w14:textId="1E539BFD" w:rsidR="00324B33" w:rsidRPr="00D01DDB" w:rsidRDefault="00693CBF"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 June 2023</w:t>
            </w:r>
          </w:p>
        </w:tc>
      </w:tr>
      <w:tr w:rsidR="00803926" w:rsidRPr="00D01DDB" w14:paraId="16D13F79" w14:textId="77777777" w:rsidTr="0019218A">
        <w:tc>
          <w:tcPr>
            <w:cnfStyle w:val="001000000000" w:firstRow="0" w:lastRow="0" w:firstColumn="1" w:lastColumn="0" w:oddVBand="0" w:evenVBand="0" w:oddHBand="0" w:evenHBand="0" w:firstRowFirstColumn="0" w:firstRowLastColumn="0" w:lastRowFirstColumn="0" w:lastRowLastColumn="0"/>
            <w:tcW w:w="6232" w:type="dxa"/>
          </w:tcPr>
          <w:p w14:paraId="6858B45A" w14:textId="1B8A6FE6" w:rsidR="00803926" w:rsidRPr="00E679D1" w:rsidDel="00C62B1C" w:rsidRDefault="00803926" w:rsidP="00E679D1">
            <w:r>
              <w:t>Evaluation completed</w:t>
            </w:r>
          </w:p>
        </w:tc>
        <w:tc>
          <w:tcPr>
            <w:tcW w:w="2410" w:type="dxa"/>
          </w:tcPr>
          <w:p w14:paraId="2E0BD403" w14:textId="0F44F1A7" w:rsidR="00803926" w:rsidRPr="00D01DDB" w:rsidRDefault="00B63E48"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8 February 2024</w:t>
            </w:r>
          </w:p>
        </w:tc>
      </w:tr>
      <w:tr w:rsidR="00324B33" w:rsidRPr="00D01DDB" w14:paraId="6E5D32FE" w14:textId="77777777" w:rsidTr="0019218A">
        <w:tc>
          <w:tcPr>
            <w:cnfStyle w:val="001000000000" w:firstRow="0" w:lastRow="0" w:firstColumn="1" w:lastColumn="0" w:oddVBand="0" w:evenVBand="0" w:oddHBand="0" w:evenHBand="0" w:firstRowFirstColumn="0" w:firstRowLastColumn="0" w:lastRowFirstColumn="0" w:lastRowLastColumn="0"/>
            <w:tcW w:w="6232" w:type="dxa"/>
          </w:tcPr>
          <w:p w14:paraId="4E95C44C" w14:textId="7A91C710" w:rsidR="00324B33" w:rsidRPr="00E679D1" w:rsidRDefault="00324B33" w:rsidP="00E679D1">
            <w:r w:rsidRPr="00E679D1">
              <w:t>Registration decision (Outcome)</w:t>
            </w:r>
          </w:p>
        </w:tc>
        <w:tc>
          <w:tcPr>
            <w:tcW w:w="2410" w:type="dxa"/>
          </w:tcPr>
          <w:p w14:paraId="62987ABD" w14:textId="3BBC337C" w:rsidR="00324B33" w:rsidRPr="00D01DDB" w:rsidRDefault="00B63E48" w:rsidP="00324B33">
            <w:pPr>
              <w:cnfStyle w:val="000000000000" w:firstRow="0" w:lastRow="0" w:firstColumn="0" w:lastColumn="0" w:oddVBand="0" w:evenVBand="0" w:oddHBand="0" w:evenHBand="0" w:firstRowFirstColumn="0" w:firstRowLastColumn="0" w:lastRowFirstColumn="0" w:lastRowLastColumn="0"/>
              <w:rPr>
                <w:szCs w:val="22"/>
              </w:rPr>
            </w:pPr>
            <w:r w:rsidRPr="00B63E48">
              <w:rPr>
                <w:szCs w:val="22"/>
              </w:rPr>
              <w:t>11 August 2025</w:t>
            </w:r>
          </w:p>
        </w:tc>
      </w:tr>
      <w:tr w:rsidR="00324B33" w:rsidRPr="00D01DDB" w14:paraId="6DDCDDA4" w14:textId="77777777" w:rsidTr="0019218A">
        <w:tc>
          <w:tcPr>
            <w:cnfStyle w:val="001000000000" w:firstRow="0" w:lastRow="0" w:firstColumn="1" w:lastColumn="0" w:oddVBand="0" w:evenVBand="0" w:oddHBand="0" w:evenHBand="0" w:firstRowFirstColumn="0" w:firstRowLastColumn="0" w:lastRowFirstColumn="0" w:lastRowLastColumn="0"/>
            <w:tcW w:w="6232" w:type="dxa"/>
          </w:tcPr>
          <w:p w14:paraId="192FD19D" w14:textId="3672D1A8" w:rsidR="00324B33" w:rsidRPr="00E679D1" w:rsidRDefault="0013132F" w:rsidP="007311B9">
            <w:pPr>
              <w:ind w:left="0"/>
            </w:pPr>
            <w:r w:rsidRPr="00E679D1">
              <w:t xml:space="preserve"> </w:t>
            </w:r>
            <w:r w:rsidR="00782F7E">
              <w:t xml:space="preserve"> </w:t>
            </w:r>
            <w:r w:rsidR="00C00844">
              <w:t>R</w:t>
            </w:r>
            <w:r w:rsidRPr="00E679D1">
              <w:t xml:space="preserve">egistration </w:t>
            </w:r>
            <w:r w:rsidR="005C4B46" w:rsidRPr="00E679D1">
              <w:t xml:space="preserve">in </w:t>
            </w:r>
            <w:r w:rsidRPr="00E679D1">
              <w:t>the ARTG completed</w:t>
            </w:r>
          </w:p>
        </w:tc>
        <w:tc>
          <w:tcPr>
            <w:tcW w:w="2410" w:type="dxa"/>
          </w:tcPr>
          <w:p w14:paraId="5A8923FD" w14:textId="150206FB" w:rsidR="00324B33" w:rsidRPr="00D01DDB" w:rsidRDefault="00533FA6"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2 </w:t>
            </w:r>
            <w:r w:rsidR="001F256E">
              <w:rPr>
                <w:szCs w:val="22"/>
              </w:rPr>
              <w:t>October 2025</w:t>
            </w:r>
          </w:p>
        </w:tc>
      </w:tr>
      <w:tr w:rsidR="00324B33" w:rsidRPr="00D01DDB" w14:paraId="56D922E2" w14:textId="77777777" w:rsidTr="0019218A">
        <w:tc>
          <w:tcPr>
            <w:cnfStyle w:val="001000000000" w:firstRow="0" w:lastRow="0" w:firstColumn="1" w:lastColumn="0" w:oddVBand="0" w:evenVBand="0" w:oddHBand="0" w:evenHBand="0" w:firstRowFirstColumn="0" w:firstRowLastColumn="0" w:lastRowFirstColumn="0" w:lastRowLastColumn="0"/>
            <w:tcW w:w="6232" w:type="dxa"/>
          </w:tcPr>
          <w:p w14:paraId="787FD8DD" w14:textId="0E0CF97F" w:rsidR="00324B33" w:rsidRPr="00E679D1" w:rsidRDefault="00324B33" w:rsidP="00E679D1">
            <w:r w:rsidRPr="00E679D1">
              <w:t>Number of working days from submission dossier acceptance to registration decision*</w:t>
            </w:r>
          </w:p>
        </w:tc>
        <w:tc>
          <w:tcPr>
            <w:tcW w:w="2410" w:type="dxa"/>
          </w:tcPr>
          <w:p w14:paraId="5BAF9FA1" w14:textId="772C9F46" w:rsidR="00324B33" w:rsidRPr="00D01DDB" w:rsidRDefault="00B95C5E"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180</w:t>
            </w:r>
          </w:p>
        </w:tc>
      </w:tr>
    </w:tbl>
    <w:p w14:paraId="7B02554C" w14:textId="77777777" w:rsidR="00433318" w:rsidRDefault="00433318" w:rsidP="00433318">
      <w:pPr>
        <w:pStyle w:val="TableDescription"/>
      </w:pPr>
      <w:r>
        <w:t>*</w:t>
      </w:r>
      <w:r w:rsidRPr="00BF3774">
        <w:t xml:space="preserve">Statutory </w:t>
      </w:r>
      <w:r>
        <w:t>timeframe for standard submissions is 255 working days</w:t>
      </w:r>
    </w:p>
    <w:p w14:paraId="220925F1" w14:textId="75C7430A" w:rsidR="00C22214" w:rsidRPr="00792A32" w:rsidRDefault="00083763" w:rsidP="00C22214">
      <w:pPr>
        <w:pStyle w:val="Heading2"/>
      </w:pPr>
      <w:bookmarkStart w:id="29" w:name="_Toc216790324"/>
      <w:bookmarkStart w:id="30" w:name="_Toc196046504"/>
      <w:bookmarkStart w:id="31" w:name="_Toc247691527"/>
      <w:bookmarkStart w:id="32" w:name="_Toc314842510"/>
      <w:bookmarkStart w:id="33" w:name="_Toc103679294"/>
      <w:r>
        <w:t xml:space="preserve">Assessment </w:t>
      </w:r>
      <w:r w:rsidR="00C22214" w:rsidRPr="00006FAB">
        <w:t>overview</w:t>
      </w:r>
      <w:bookmarkEnd w:id="29"/>
      <w:r w:rsidR="00C22214" w:rsidRPr="00006FAB">
        <w:t xml:space="preserve"> </w:t>
      </w:r>
      <w:bookmarkEnd w:id="30"/>
      <w:bookmarkEnd w:id="31"/>
      <w:bookmarkEnd w:id="32"/>
      <w:bookmarkEnd w:id="33"/>
    </w:p>
    <w:p w14:paraId="37F5A1C0" w14:textId="5D3D5FE0" w:rsidR="00C22214" w:rsidRDefault="00095C6A" w:rsidP="00C22214">
      <w:pPr>
        <w:pStyle w:val="Heading3"/>
      </w:pPr>
      <w:bookmarkStart w:id="34" w:name="_Toc247691528"/>
      <w:bookmarkStart w:id="35" w:name="_Toc314842511"/>
      <w:bookmarkStart w:id="36" w:name="_Toc103679295"/>
      <w:bookmarkStart w:id="37" w:name="_Toc216790325"/>
      <w:r>
        <w:t>Q</w:t>
      </w:r>
      <w:r w:rsidR="00C22214">
        <w:t>uality</w:t>
      </w:r>
      <w:bookmarkEnd w:id="34"/>
      <w:bookmarkEnd w:id="35"/>
      <w:bookmarkEnd w:id="36"/>
      <w:r w:rsidR="007E6443">
        <w:t xml:space="preserve"> evaluation</w:t>
      </w:r>
      <w:r>
        <w:t xml:space="preserve"> summary</w:t>
      </w:r>
      <w:bookmarkEnd w:id="37"/>
    </w:p>
    <w:p w14:paraId="0C2898D5" w14:textId="7315D3BF" w:rsidR="00810E7B" w:rsidRDefault="00810E7B" w:rsidP="00810E7B">
      <w:r w:rsidRPr="00810E7B">
        <w:t xml:space="preserve">INTG8 is a proposed biosimilar of teriparatide, which is manufactured using a strain of </w:t>
      </w:r>
      <w:r w:rsidRPr="005A2A29">
        <w:rPr>
          <w:i/>
          <w:iCs/>
        </w:rPr>
        <w:t>Escherichia coli</w:t>
      </w:r>
      <w:r w:rsidRPr="00810E7B">
        <w:t xml:space="preserve"> modified by recombinant DNA technology. INTG8 contains recombinant human parathyroid hormone (PTH; 1-34</w:t>
      </w:r>
      <w:r w:rsidR="002513AC" w:rsidRPr="00810E7B">
        <w:t>) and</w:t>
      </w:r>
      <w:r w:rsidRPr="00810E7B">
        <w:t xml:space="preserve"> is also called rhPTH (1-34). It has an identical sequence </w:t>
      </w:r>
      <w:r w:rsidRPr="00810E7B">
        <w:lastRenderedPageBreak/>
        <w:t>to the 34 N-terminal amino acids (the biologically active region) of the 84-amino acid human PTH. Teriparatide has a molecular weight of 4117.8 Daltons</w:t>
      </w:r>
      <w:r w:rsidR="005D0D93">
        <w:t xml:space="preserve">. </w:t>
      </w:r>
    </w:p>
    <w:p w14:paraId="590D643F" w14:textId="258AEEF8" w:rsidR="005D0D93" w:rsidRDefault="005D0D93" w:rsidP="005D0D93">
      <w:r>
        <w:t xml:space="preserve">During the development of </w:t>
      </w:r>
      <w:r w:rsidR="003C393E">
        <w:t>Sondelbay</w:t>
      </w:r>
      <w:r>
        <w:t>/</w:t>
      </w:r>
      <w:r w:rsidR="003C393E">
        <w:t>Teriparintas</w:t>
      </w:r>
      <w:r>
        <w:t>/</w:t>
      </w:r>
      <w:r w:rsidR="003C393E">
        <w:t>Teriparaccord</w:t>
      </w:r>
      <w:r>
        <w:t xml:space="preserve">, </w:t>
      </w:r>
      <w:r w:rsidR="003C393E">
        <w:t>Forsteo</w:t>
      </w:r>
      <w:r>
        <w:t xml:space="preserve"> (EU product) was used as the main reference product to demonstrate biosimilarity in terms of quality and non-clinical comparability exercise. Additional bridging comparability study was performed between the EU </w:t>
      </w:r>
      <w:r w:rsidR="003C393E">
        <w:t>Forsteo</w:t>
      </w:r>
      <w:r>
        <w:t xml:space="preserve"> and AU </w:t>
      </w:r>
      <w:r w:rsidR="003C393E">
        <w:t>Forteo</w:t>
      </w:r>
      <w:r>
        <w:t xml:space="preserve"> to present EU </w:t>
      </w:r>
      <w:r w:rsidR="003C393E">
        <w:t>Forsteo</w:t>
      </w:r>
      <w:r>
        <w:t xml:space="preserve"> as representative of the Australian registered product (</w:t>
      </w:r>
      <w:r w:rsidR="003C393E">
        <w:t>Forteo</w:t>
      </w:r>
      <w:r>
        <w:t>; AUST R 80333).</w:t>
      </w:r>
    </w:p>
    <w:p w14:paraId="71CBA5B1" w14:textId="01AAB046" w:rsidR="005D0D93" w:rsidRDefault="005D0D93" w:rsidP="005D0D93">
      <w:r>
        <w:t xml:space="preserve">Extensive characterisation studies involving comparison of primary, secondary and tertiary structures, physicochemical properties and biological activities showed that </w:t>
      </w:r>
      <w:r w:rsidR="003C393E">
        <w:t>Sondelbay</w:t>
      </w:r>
      <w:r>
        <w:t>/</w:t>
      </w:r>
      <w:r w:rsidR="003C393E">
        <w:t>Teriparintas</w:t>
      </w:r>
      <w:r>
        <w:t>/</w:t>
      </w:r>
      <w:r w:rsidR="003C393E">
        <w:t>Teriparaccord</w:t>
      </w:r>
      <w:r>
        <w:t xml:space="preserve"> and the EU reference medicine </w:t>
      </w:r>
      <w:r w:rsidR="003C393E">
        <w:t>Forsteo</w:t>
      </w:r>
      <w:r>
        <w:t xml:space="preserve"> are generally similar.  </w:t>
      </w:r>
    </w:p>
    <w:p w14:paraId="2CA06B37" w14:textId="0787CC42" w:rsidR="005D0D93" w:rsidRDefault="005D0D93" w:rsidP="005D0D93">
      <w:r>
        <w:t xml:space="preserve">Overall, the </w:t>
      </w:r>
      <w:r w:rsidR="0002773E">
        <w:t>Sponsor</w:t>
      </w:r>
      <w:r>
        <w:t xml:space="preserve"> has demonstrated that </w:t>
      </w:r>
      <w:r w:rsidR="003C393E">
        <w:t>Sondelbay</w:t>
      </w:r>
      <w:r>
        <w:t>/</w:t>
      </w:r>
      <w:r w:rsidR="003C393E">
        <w:t>Teriparintas</w:t>
      </w:r>
      <w:r>
        <w:t xml:space="preserve">/ </w:t>
      </w:r>
      <w:r w:rsidR="003C393E">
        <w:t>Teriparaccord</w:t>
      </w:r>
      <w:r>
        <w:t xml:space="preserve"> is comparable to </w:t>
      </w:r>
      <w:r w:rsidR="003C393E">
        <w:t>Forteo</w:t>
      </w:r>
      <w:r>
        <w:t xml:space="preserve"> in terms of structure, species, function and degradation profile (</w:t>
      </w:r>
      <w:r w:rsidR="002513AC">
        <w:t>i.e.</w:t>
      </w:r>
      <w:r>
        <w:t xml:space="preserve"> physicochemically and biologically).</w:t>
      </w:r>
    </w:p>
    <w:p w14:paraId="521C3EF6" w14:textId="2F05BBA7" w:rsidR="005D0D93" w:rsidRPr="00810E7B" w:rsidRDefault="005D0D93" w:rsidP="005D0D93">
      <w:r>
        <w:t xml:space="preserve">There are no objections on quality grounds to the approval of </w:t>
      </w:r>
      <w:r w:rsidR="003C393E">
        <w:t>Sondelbay</w:t>
      </w:r>
      <w:r>
        <w:t>/</w:t>
      </w:r>
      <w:r w:rsidR="003C393E">
        <w:t>Teriparintas</w:t>
      </w:r>
      <w:r>
        <w:t xml:space="preserve">/ </w:t>
      </w:r>
      <w:r w:rsidR="003C393E">
        <w:t>Teriparaccord</w:t>
      </w:r>
      <w:r>
        <w:t xml:space="preserve"> (teriparatide).</w:t>
      </w:r>
    </w:p>
    <w:p w14:paraId="2BE90AAE" w14:textId="35796FD3" w:rsidR="00C22214" w:rsidRDefault="00C22214" w:rsidP="00C22214">
      <w:pPr>
        <w:pStyle w:val="Heading3"/>
      </w:pPr>
      <w:bookmarkStart w:id="38" w:name="_Toc314842512"/>
      <w:bookmarkStart w:id="39" w:name="_Toc103679296"/>
      <w:bookmarkStart w:id="40" w:name="_Toc216790326"/>
      <w:r>
        <w:t>Nonclinical</w:t>
      </w:r>
      <w:bookmarkEnd w:id="38"/>
      <w:bookmarkEnd w:id="39"/>
      <w:r w:rsidR="007E6443">
        <w:t xml:space="preserve"> evaluation</w:t>
      </w:r>
      <w:r w:rsidR="00095C6A">
        <w:t xml:space="preserve"> summary</w:t>
      </w:r>
      <w:bookmarkEnd w:id="40"/>
    </w:p>
    <w:p w14:paraId="5AFA2B39" w14:textId="09C53EFE" w:rsidR="00E070F2" w:rsidRDefault="00E070F2" w:rsidP="00E070F2">
      <w:r>
        <w:t>The nonclinical dossier contained two comparative studies, concerning repeat dose toxicity and immunogenicity. The scope of the nonclinical dataset is adequate under the relevant TGA adopted EMA guideline</w:t>
      </w:r>
      <w:r w:rsidR="00934ED2">
        <w:rPr>
          <w:rStyle w:val="FootnoteReference"/>
        </w:rPr>
        <w:footnoteReference w:id="6"/>
      </w:r>
      <w:r>
        <w:t>.</w:t>
      </w:r>
    </w:p>
    <w:p w14:paraId="4A590E09" w14:textId="37B9EA02" w:rsidR="00E070F2" w:rsidRDefault="00E070F2" w:rsidP="00E070F2">
      <w:r>
        <w:t>A G</w:t>
      </w:r>
      <w:r w:rsidR="00F93859">
        <w:t>ood Laboratory Practice-</w:t>
      </w:r>
      <w:r>
        <w:t xml:space="preserve">compliant comparative repeat dose toxicity study was performed in rats, and involved once daily </w:t>
      </w:r>
      <w:r w:rsidR="0002773E">
        <w:t>subcutaneous</w:t>
      </w:r>
      <w:r>
        <w:t xml:space="preserve"> injection</w:t>
      </w:r>
      <w:r w:rsidR="0002773E">
        <w:t>s</w:t>
      </w:r>
      <w:r>
        <w:t xml:space="preserve"> for 4 weeks, and used EU sourced </w:t>
      </w:r>
      <w:r w:rsidR="003C393E">
        <w:t>Forsteo</w:t>
      </w:r>
      <w:r>
        <w:t xml:space="preserve"> (alternative tradename to </w:t>
      </w:r>
      <w:r w:rsidR="003C393E">
        <w:t>Forteo</w:t>
      </w:r>
      <w:r>
        <w:t xml:space="preserve">) as the reference product. Findings in the studies were related to the primary pharmacological action of teriparatide on bone, and comparable for the two teriparatide products. However, no information was provided to verify the comparability of EU sourced </w:t>
      </w:r>
      <w:r w:rsidR="003C393E">
        <w:t>Forsteo</w:t>
      </w:r>
      <w:r>
        <w:t xml:space="preserve"> and Australian sourced </w:t>
      </w:r>
      <w:r w:rsidR="003C393E">
        <w:t>Forteo</w:t>
      </w:r>
      <w:r>
        <w:t>.</w:t>
      </w:r>
    </w:p>
    <w:p w14:paraId="557C516D" w14:textId="5026F1CF" w:rsidR="00E070F2" w:rsidRDefault="00E070F2" w:rsidP="00E070F2">
      <w:r>
        <w:t xml:space="preserve">In vitro data indicated low and comparable immunogenicity for </w:t>
      </w:r>
      <w:r w:rsidR="003C393E">
        <w:t>Sondelbay</w:t>
      </w:r>
      <w:r>
        <w:t xml:space="preserve"> / </w:t>
      </w:r>
      <w:r w:rsidR="003C393E">
        <w:t>Teriparaccord</w:t>
      </w:r>
      <w:r>
        <w:t xml:space="preserve"> / </w:t>
      </w:r>
      <w:r w:rsidR="003C393E">
        <w:t>Teriparintas</w:t>
      </w:r>
      <w:r>
        <w:t xml:space="preserve">, EU sourced </w:t>
      </w:r>
      <w:r w:rsidR="003C393E">
        <w:t>Forsteo</w:t>
      </w:r>
      <w:r>
        <w:t xml:space="preserve"> and US sourced </w:t>
      </w:r>
      <w:r w:rsidR="003C393E">
        <w:t>Forteo</w:t>
      </w:r>
      <w:r>
        <w:t>.</w:t>
      </w:r>
    </w:p>
    <w:p w14:paraId="1D4C9A7E" w14:textId="7C13FC3B" w:rsidR="00E070F2" w:rsidRDefault="00E070F2" w:rsidP="00E070F2">
      <w:r>
        <w:t xml:space="preserve">The ability of the nonclinical studies to support comparability to Australian </w:t>
      </w:r>
      <w:r w:rsidR="003C393E">
        <w:t>Forteo</w:t>
      </w:r>
      <w:r>
        <w:t xml:space="preserve"> depends on the conclusion of the </w:t>
      </w:r>
      <w:r w:rsidR="00F93859">
        <w:t>quality</w:t>
      </w:r>
      <w:r>
        <w:t xml:space="preserve"> Evaluator regarding the identity of </w:t>
      </w:r>
      <w:r w:rsidR="003C393E">
        <w:t>Forteo</w:t>
      </w:r>
      <w:r>
        <w:t>/</w:t>
      </w:r>
      <w:r w:rsidR="003C393E">
        <w:t>Forsteo</w:t>
      </w:r>
      <w:r>
        <w:t xml:space="preserve"> products across jurisdictions. Provided that EU sourced </w:t>
      </w:r>
      <w:r w:rsidR="003C393E">
        <w:t>Forsteo</w:t>
      </w:r>
      <w:r>
        <w:t xml:space="preserve"> </w:t>
      </w:r>
      <w:proofErr w:type="gramStart"/>
      <w:r>
        <w:t>is considered to be</w:t>
      </w:r>
      <w:proofErr w:type="gramEnd"/>
      <w:r>
        <w:t xml:space="preserve"> identical or highly comparable to Australian </w:t>
      </w:r>
      <w:r w:rsidR="003C393E">
        <w:t>Forteo</w:t>
      </w:r>
      <w:r>
        <w:t xml:space="preserve">, there are no nonclinical objections to the registration of </w:t>
      </w:r>
      <w:r w:rsidR="003C393E">
        <w:t>Sondelbay</w:t>
      </w:r>
      <w:r>
        <w:t xml:space="preserve"> / </w:t>
      </w:r>
      <w:r w:rsidR="003C393E">
        <w:t>Teriparaccord</w:t>
      </w:r>
      <w:r>
        <w:t xml:space="preserve"> / </w:t>
      </w:r>
      <w:r w:rsidR="003C393E">
        <w:t>Teriparintas</w:t>
      </w:r>
      <w:r>
        <w:t>.</w:t>
      </w:r>
    </w:p>
    <w:p w14:paraId="55049CCF" w14:textId="7B6532E5" w:rsidR="00D6363D" w:rsidRPr="00D6363D" w:rsidRDefault="00E070F2" w:rsidP="00E070F2">
      <w:r>
        <w:t xml:space="preserve">The proposed Product information document </w:t>
      </w:r>
      <w:proofErr w:type="gramStart"/>
      <w:r>
        <w:t>is considered to be</w:t>
      </w:r>
      <w:proofErr w:type="gramEnd"/>
      <w:r>
        <w:t xml:space="preserve"> acceptable from a nonclinical perspective. Statements dealing with nonclinical matters and the Pregnancy Category (B3) are consistent with the approved Australian PI for </w:t>
      </w:r>
      <w:r w:rsidR="003C393E">
        <w:t>Forteo</w:t>
      </w:r>
      <w:r>
        <w:t>.</w:t>
      </w:r>
    </w:p>
    <w:p w14:paraId="35B580A5" w14:textId="40B226DC" w:rsidR="00C22214" w:rsidRDefault="00C22214" w:rsidP="008804CF">
      <w:pPr>
        <w:pStyle w:val="Heading3"/>
      </w:pPr>
      <w:bookmarkStart w:id="41" w:name="_Toc247691530"/>
      <w:bookmarkStart w:id="42" w:name="_Toc314842513"/>
      <w:bookmarkStart w:id="43" w:name="_Toc103679297"/>
      <w:bookmarkStart w:id="44" w:name="_Toc216790327"/>
      <w:r>
        <w:lastRenderedPageBreak/>
        <w:t>Clinical</w:t>
      </w:r>
      <w:bookmarkEnd w:id="41"/>
      <w:bookmarkEnd w:id="42"/>
      <w:bookmarkEnd w:id="43"/>
      <w:r w:rsidR="00095C6A">
        <w:t xml:space="preserve"> evaluation summary</w:t>
      </w:r>
      <w:bookmarkEnd w:id="44"/>
    </w:p>
    <w:p w14:paraId="28237BA2" w14:textId="77777777" w:rsidR="00E25DBB" w:rsidRDefault="00E25DBB" w:rsidP="00E25DBB">
      <w:r>
        <w:t xml:space="preserve">Clinical evaluation was guided by the following TGA-adopted guidance: </w:t>
      </w:r>
    </w:p>
    <w:p w14:paraId="744AD023" w14:textId="5207EFA5" w:rsidR="00E25DBB" w:rsidRDefault="00E25DBB" w:rsidP="00DA463C">
      <w:pPr>
        <w:pStyle w:val="ListBullet"/>
      </w:pPr>
      <w:r>
        <w:t>European Medicines Agency. Guideline on similar biological medicinal products containing biotechnology-derived proteins as active substance: non-clinical and clinical issues. 2015.</w:t>
      </w:r>
      <w:r w:rsidR="00DA463C">
        <w:rPr>
          <w:rStyle w:val="FootnoteReference"/>
        </w:rPr>
        <w:footnoteReference w:id="7"/>
      </w:r>
    </w:p>
    <w:p w14:paraId="27ED3482" w14:textId="1EAC04ED" w:rsidR="00E25DBB" w:rsidRDefault="00B43573" w:rsidP="00DA463C">
      <w:pPr>
        <w:pStyle w:val="ListBullet"/>
      </w:pPr>
      <w:r w:rsidRPr="00B43573">
        <w:t>European Medicines Agency</w:t>
      </w:r>
      <w:r>
        <w:t xml:space="preserve">. </w:t>
      </w:r>
      <w:r w:rsidR="00E25DBB">
        <w:t>Guideline on the investigation of bioequivalence</w:t>
      </w:r>
      <w:r w:rsidR="00DA463C">
        <w:t>. 2010.</w:t>
      </w:r>
      <w:r w:rsidR="00DA463C">
        <w:rPr>
          <w:rStyle w:val="FootnoteReference"/>
        </w:rPr>
        <w:footnoteReference w:id="8"/>
      </w:r>
      <w:r w:rsidR="00DA463C">
        <w:t xml:space="preserve"> </w:t>
      </w:r>
    </w:p>
    <w:p w14:paraId="7027DAF7" w14:textId="4D6A6B5A" w:rsidR="004A3196" w:rsidRDefault="004A3196" w:rsidP="00285219">
      <w:pPr>
        <w:pStyle w:val="Heading4"/>
      </w:pPr>
      <w:bookmarkStart w:id="45" w:name="_Toc216790328"/>
      <w:r w:rsidRPr="00285219">
        <w:t>Pharmacology</w:t>
      </w:r>
      <w:bookmarkEnd w:id="45"/>
    </w:p>
    <w:p w14:paraId="47DF6A7A" w14:textId="63312A12" w:rsidR="000A074B" w:rsidRDefault="00ED365C" w:rsidP="00285219">
      <w:pPr>
        <w:pStyle w:val="Heading5"/>
      </w:pPr>
      <w:r w:rsidRPr="000A074B">
        <w:t>Pharmacokinetics</w:t>
      </w:r>
      <w:r w:rsidRPr="00AA53F4">
        <w:t xml:space="preserve"> </w:t>
      </w:r>
      <w:bookmarkStart w:id="46" w:name="_Toc272414617"/>
      <w:bookmarkStart w:id="47" w:name="_Toc290888466"/>
      <w:bookmarkStart w:id="48" w:name="_Toc416353662"/>
      <w:bookmarkStart w:id="49" w:name="_Toc421005243"/>
      <w:bookmarkStart w:id="50" w:name="_Toc432079125"/>
      <w:bookmarkStart w:id="51" w:name="_Toc432080698"/>
    </w:p>
    <w:bookmarkEnd w:id="46"/>
    <w:bookmarkEnd w:id="47"/>
    <w:bookmarkEnd w:id="48"/>
    <w:bookmarkEnd w:id="49"/>
    <w:bookmarkEnd w:id="50"/>
    <w:bookmarkEnd w:id="51"/>
    <w:p w14:paraId="3F16A69E" w14:textId="77777777" w:rsidR="00ED365C" w:rsidRDefault="00ED365C" w:rsidP="00285219">
      <w:pPr>
        <w:pStyle w:val="Heading6"/>
        <w:rPr>
          <w:lang w:eastAsia="ja-JP"/>
        </w:rPr>
      </w:pPr>
      <w:r>
        <w:rPr>
          <w:lang w:eastAsia="ja-JP"/>
        </w:rPr>
        <w:t>Sites and mechanism of absorption</w:t>
      </w:r>
    </w:p>
    <w:p w14:paraId="6302E27F" w14:textId="2D6454BF" w:rsidR="00ED365C" w:rsidRDefault="00AC5442" w:rsidP="00ED365C">
      <w:pPr>
        <w:rPr>
          <w:lang w:eastAsia="ja-JP"/>
        </w:rPr>
      </w:pPr>
      <w:r>
        <w:rPr>
          <w:lang w:eastAsia="ja-JP"/>
        </w:rPr>
        <w:t>T</w:t>
      </w:r>
      <w:r w:rsidR="00ED365C">
        <w:rPr>
          <w:lang w:eastAsia="ja-JP"/>
        </w:rPr>
        <w:t xml:space="preserve">eriparatide reaches peak serum concentrations about 30 minutes after subcutaneous injection of a </w:t>
      </w:r>
      <w:proofErr w:type="gramStart"/>
      <w:r w:rsidR="00ED365C">
        <w:rPr>
          <w:lang w:eastAsia="ja-JP"/>
        </w:rPr>
        <w:t>20 microgram</w:t>
      </w:r>
      <w:proofErr w:type="gramEnd"/>
      <w:r w:rsidR="00ED365C">
        <w:rPr>
          <w:lang w:eastAsia="ja-JP"/>
        </w:rPr>
        <w:t xml:space="preserve"> dose and declines to non-quantifiable concentrations within 3 hours.</w:t>
      </w:r>
    </w:p>
    <w:p w14:paraId="00B81FF2" w14:textId="77777777" w:rsidR="00ED365C" w:rsidRPr="00C37A1D" w:rsidRDefault="00ED365C" w:rsidP="00285219">
      <w:pPr>
        <w:pStyle w:val="Heading6"/>
      </w:pPr>
      <w:r w:rsidRPr="00C37A1D">
        <w:t xml:space="preserve">Absolute </w:t>
      </w:r>
      <w:r w:rsidRPr="00F77F87">
        <w:t>bioavailability</w:t>
      </w:r>
    </w:p>
    <w:p w14:paraId="32AE396B" w14:textId="77777777" w:rsidR="00ED365C" w:rsidRDefault="00ED365C" w:rsidP="00ED365C">
      <w:pPr>
        <w:rPr>
          <w:lang w:eastAsia="ja-JP"/>
        </w:rPr>
      </w:pPr>
      <w:r>
        <w:rPr>
          <w:lang w:eastAsia="ja-JP"/>
        </w:rPr>
        <w:t>The absolute bioavailability of teriparatide is approximately 95% based on pooled data from 20, 40, and 80 microgram doses.</w:t>
      </w:r>
    </w:p>
    <w:p w14:paraId="60DD81AE" w14:textId="77777777" w:rsidR="00ED365C" w:rsidRPr="00533011" w:rsidRDefault="00ED365C" w:rsidP="00285219">
      <w:pPr>
        <w:pStyle w:val="Heading6"/>
      </w:pPr>
      <w:r w:rsidRPr="00533011">
        <w:t>Volume of distribution</w:t>
      </w:r>
    </w:p>
    <w:p w14:paraId="2CC4E450" w14:textId="77777777" w:rsidR="00ED365C" w:rsidRDefault="00ED365C" w:rsidP="00ED365C">
      <w:pPr>
        <w:rPr>
          <w:lang w:eastAsia="ja-JP"/>
        </w:rPr>
      </w:pPr>
      <w:r>
        <w:rPr>
          <w:lang w:eastAsia="ja-JP"/>
        </w:rPr>
        <w:t>The volume of distribution is approximately 1.7 L/kg.</w:t>
      </w:r>
    </w:p>
    <w:p w14:paraId="1877A908" w14:textId="77777777" w:rsidR="00ED365C" w:rsidRPr="001C7E9F" w:rsidRDefault="00ED365C" w:rsidP="00285219">
      <w:pPr>
        <w:pStyle w:val="Heading6"/>
      </w:pPr>
      <w:r w:rsidRPr="000A074B">
        <w:t>Metabolism</w:t>
      </w:r>
    </w:p>
    <w:p w14:paraId="419C54D3" w14:textId="0A152269" w:rsidR="00ED365C" w:rsidRDefault="000A074B" w:rsidP="00ED365C">
      <w:pPr>
        <w:rPr>
          <w:lang w:eastAsia="ja-JP"/>
        </w:rPr>
      </w:pPr>
      <w:bookmarkStart w:id="52" w:name="_Toc241374289"/>
      <w:bookmarkStart w:id="53" w:name="_Toc272414623"/>
      <w:bookmarkStart w:id="54" w:name="_Toc290888472"/>
      <w:bookmarkStart w:id="55" w:name="_Toc416353668"/>
      <w:r>
        <w:rPr>
          <w:lang w:eastAsia="ja-JP"/>
        </w:rPr>
        <w:t>No</w:t>
      </w:r>
      <w:r w:rsidR="00ED365C">
        <w:rPr>
          <w:lang w:eastAsia="ja-JP"/>
        </w:rPr>
        <w:t xml:space="preserve"> metabolism or excretion studies have been conducted with teriparatide. Peripheral metabolism of PTH is thought to occur by non-specific mechanisms in the liver followed by excretion via the kidney.</w:t>
      </w:r>
    </w:p>
    <w:bookmarkEnd w:id="52"/>
    <w:bookmarkEnd w:id="53"/>
    <w:bookmarkEnd w:id="54"/>
    <w:bookmarkEnd w:id="55"/>
    <w:p w14:paraId="2BF9350B" w14:textId="77777777" w:rsidR="00ED365C" w:rsidRPr="00533011" w:rsidRDefault="00ED365C" w:rsidP="00285219">
      <w:pPr>
        <w:pStyle w:val="Heading6"/>
      </w:pPr>
      <w:r w:rsidRPr="00533011">
        <w:t xml:space="preserve">Routes and mechanisms of </w:t>
      </w:r>
      <w:r w:rsidRPr="000A074B">
        <w:t>excretion</w:t>
      </w:r>
    </w:p>
    <w:p w14:paraId="1274BE11" w14:textId="6CAB6566" w:rsidR="00ED365C" w:rsidRDefault="00ED365C" w:rsidP="00ED365C">
      <w:pPr>
        <w:rPr>
          <w:lang w:eastAsia="ja-JP"/>
        </w:rPr>
      </w:pPr>
      <w:r>
        <w:rPr>
          <w:lang w:eastAsia="ja-JP"/>
        </w:rPr>
        <w:t>As stated in the</w:t>
      </w:r>
      <w:r w:rsidR="0002773E">
        <w:rPr>
          <w:lang w:eastAsia="ja-JP"/>
        </w:rPr>
        <w:t xml:space="preserve"> product information docu</w:t>
      </w:r>
      <w:r w:rsidR="00C6410F">
        <w:rPr>
          <w:lang w:eastAsia="ja-JP"/>
        </w:rPr>
        <w:t xml:space="preserve">ment </w:t>
      </w:r>
      <w:r w:rsidR="0002773E">
        <w:rPr>
          <w:lang w:eastAsia="ja-JP"/>
        </w:rPr>
        <w:t>(PI)</w:t>
      </w:r>
      <w:r>
        <w:rPr>
          <w:lang w:eastAsia="ja-JP"/>
        </w:rPr>
        <w:t>, teriparatide is eliminated through hepatic and extra-hepatic clearance (approximately 62 L/hr in women; 94 L/hr in men). No excretion studies have been performed with teriparatide. However, the mechanism of elimination of PTH (1-34) and intact PTH have been extensively described.</w:t>
      </w:r>
    </w:p>
    <w:p w14:paraId="23AC4833" w14:textId="77777777" w:rsidR="00ED365C" w:rsidRPr="004C0134" w:rsidRDefault="00ED365C" w:rsidP="00285219">
      <w:pPr>
        <w:pStyle w:val="Heading6"/>
      </w:pPr>
      <w:bookmarkStart w:id="56" w:name="_Toc241374294"/>
      <w:bookmarkStart w:id="57" w:name="_Toc272414632"/>
      <w:bookmarkStart w:id="58" w:name="_Toc290888481"/>
      <w:bookmarkStart w:id="59" w:name="_Toc416353678"/>
      <w:bookmarkStart w:id="60" w:name="_Toc421005249"/>
      <w:bookmarkStart w:id="61" w:name="_Toc432079130"/>
      <w:bookmarkStart w:id="62" w:name="_Toc432080703"/>
      <w:r w:rsidRPr="004C0134">
        <w:t>Pharmacokinetic interactions</w:t>
      </w:r>
      <w:bookmarkEnd w:id="56"/>
      <w:bookmarkEnd w:id="57"/>
      <w:bookmarkEnd w:id="58"/>
      <w:bookmarkEnd w:id="59"/>
      <w:bookmarkEnd w:id="60"/>
      <w:bookmarkEnd w:id="61"/>
      <w:bookmarkEnd w:id="62"/>
    </w:p>
    <w:p w14:paraId="235AA4F2" w14:textId="7730EB33" w:rsidR="00ED365C" w:rsidRDefault="00ED365C" w:rsidP="00ED365C">
      <w:pPr>
        <w:rPr>
          <w:lang w:eastAsia="ja-JP"/>
        </w:rPr>
      </w:pPr>
      <w:r>
        <w:rPr>
          <w:lang w:eastAsia="ja-JP"/>
        </w:rPr>
        <w:t xml:space="preserve">No relevant studies have been provided in this submission. However, the PI (largely based on the reference product </w:t>
      </w:r>
      <w:r w:rsidR="003C393E">
        <w:rPr>
          <w:lang w:eastAsia="ja-JP"/>
        </w:rPr>
        <w:t>Forteo</w:t>
      </w:r>
      <w:r>
        <w:rPr>
          <w:lang w:eastAsia="ja-JP"/>
        </w:rPr>
        <w:t xml:space="preserve">) identifies </w:t>
      </w:r>
      <w:proofErr w:type="gramStart"/>
      <w:r>
        <w:rPr>
          <w:lang w:eastAsia="ja-JP"/>
        </w:rPr>
        <w:t>a number of</w:t>
      </w:r>
      <w:proofErr w:type="gramEnd"/>
      <w:r>
        <w:rPr>
          <w:lang w:eastAsia="ja-JP"/>
        </w:rPr>
        <w:t xml:space="preserve"> potential interactions with teriparatide 40 micrograms (twice the recommended dose of </w:t>
      </w:r>
      <w:r w:rsidR="003C393E">
        <w:rPr>
          <w:lang w:eastAsia="ja-JP"/>
        </w:rPr>
        <w:t>Sondelbay</w:t>
      </w:r>
      <w:r>
        <w:rPr>
          <w:lang w:eastAsia="ja-JP"/>
        </w:rPr>
        <w:t xml:space="preserve">). The use of diuretics such as hydrochlorothiazide or frusemide in conjunction with teriparatide may further exaggerate the action of PTH or its derivatives in elevating serum calcium. Caution regarding concomitant digoxin use is connected to the theoretical risk of hypercalcaemia, again due to the action of teriparatide. Previous studies involving women with hypertension and treatment with calcium channel antagonists or atenolol have identified no clear impacts on blood pressure when administered with teriparatide. Although not studied, co-administration of teriparatide with </w:t>
      </w:r>
      <w:r>
        <w:rPr>
          <w:lang w:eastAsia="ja-JP"/>
        </w:rPr>
        <w:lastRenderedPageBreak/>
        <w:t>anticoagulants require appropriate precautions against haematoma formation at the injection site.</w:t>
      </w:r>
    </w:p>
    <w:p w14:paraId="4BBCB6C1" w14:textId="77777777" w:rsidR="00ED365C" w:rsidRPr="00C37A1D" w:rsidRDefault="00ED365C" w:rsidP="00285219">
      <w:pPr>
        <w:pStyle w:val="Heading6"/>
      </w:pPr>
      <w:r w:rsidRPr="00C37A1D">
        <w:t xml:space="preserve">Bioequivalence to relevant </w:t>
      </w:r>
      <w:r w:rsidRPr="00285219">
        <w:t>registered</w:t>
      </w:r>
      <w:r w:rsidRPr="00C37A1D">
        <w:t xml:space="preserve"> products</w:t>
      </w:r>
    </w:p>
    <w:p w14:paraId="21BBF796" w14:textId="08C87B9E" w:rsidR="00ED365C" w:rsidRDefault="00ED365C" w:rsidP="00ED365C">
      <w:pPr>
        <w:rPr>
          <w:lang w:eastAsia="ja-JP"/>
        </w:rPr>
      </w:pPr>
      <w:r>
        <w:rPr>
          <w:lang w:eastAsia="ja-JP"/>
        </w:rPr>
        <w:t xml:space="preserve">Study 0258-20 was undertaken to compare the pharmacokinetics of </w:t>
      </w:r>
      <w:r w:rsidR="003C393E">
        <w:rPr>
          <w:lang w:eastAsia="ja-JP"/>
        </w:rPr>
        <w:t>Sondelbay</w:t>
      </w:r>
      <w:r>
        <w:rPr>
          <w:lang w:eastAsia="ja-JP"/>
        </w:rPr>
        <w:t xml:space="preserve"> (INTG8) with its biosimilar reference product </w:t>
      </w:r>
      <w:r w:rsidR="003C393E">
        <w:rPr>
          <w:lang w:eastAsia="ja-JP"/>
        </w:rPr>
        <w:t>Forsteo</w:t>
      </w:r>
      <w:r>
        <w:rPr>
          <w:lang w:eastAsia="ja-JP"/>
        </w:rPr>
        <w:t xml:space="preserve"> (20 microgram teriparatide/20 micromilitre pre-filled pen, Eli Lilly Nederland B.V., The Netherlands). </w:t>
      </w:r>
    </w:p>
    <w:p w14:paraId="42E7277F" w14:textId="075AAED9" w:rsidR="003945A9" w:rsidRDefault="007F7814" w:rsidP="00ED365C">
      <w:pPr>
        <w:rPr>
          <w:lang w:eastAsia="ja-JP"/>
        </w:rPr>
      </w:pPr>
      <w:r w:rsidRPr="007F7814">
        <w:rPr>
          <w:lang w:eastAsia="ja-JP"/>
        </w:rPr>
        <w:t>Geometric Least Squares Means (LSMs), Confidence Intervals (CIs), intra-subject coefficient of variation, and power were the components relevant to the bioequivalence analysis. Tables 4 and 5 summarise the statistical comparisons of pharmacokinetic (PK) parameters between INTG8 vs Forteo and INTG8 vs Forsteo</w:t>
      </w:r>
    </w:p>
    <w:p w14:paraId="35391786" w14:textId="77777777" w:rsidR="004D7FB8" w:rsidRDefault="004D7FB8" w:rsidP="004D7FB8">
      <w:pPr>
        <w:pStyle w:val="TableTitle"/>
        <w:rPr>
          <w:lang w:eastAsia="ja-JP"/>
        </w:rPr>
      </w:pPr>
      <w:bookmarkStart w:id="63" w:name="_Toc150956027"/>
      <w:r w:rsidRPr="000D6BB4">
        <w:t>Table</w:t>
      </w:r>
      <w:r>
        <w:t xml:space="preserve"> 4</w:t>
      </w:r>
      <w:r w:rsidRPr="000D6BB4">
        <w:t>:</w:t>
      </w:r>
      <w:r w:rsidRPr="000D6BB4">
        <w:rPr>
          <w:lang w:eastAsia="ja-JP"/>
        </w:rPr>
        <w:t xml:space="preserve"> PK Statistical Comparison between INTG8 and Forteo (n=105 if not otherwise indicated)</w:t>
      </w:r>
      <w:bookmarkEnd w:id="63"/>
    </w:p>
    <w:p w14:paraId="4F1EC8DA" w14:textId="34E5CA90" w:rsidR="0075158A" w:rsidRPr="0075158A" w:rsidRDefault="00A951D0" w:rsidP="0019218A">
      <w:pPr>
        <w:pStyle w:val="TableDescription"/>
      </w:pPr>
      <w:r>
        <w:rPr>
          <w:noProof/>
        </w:rPr>
        <w:drawing>
          <wp:inline distT="0" distB="0" distL="0" distR="0" wp14:anchorId="0F2EBDC2" wp14:editId="64F7583E">
            <wp:extent cx="5730875" cy="1286510"/>
            <wp:effectExtent l="0" t="0" r="3175" b="8890"/>
            <wp:docPr id="113945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0875" cy="1286510"/>
                    </a:xfrm>
                    <a:prstGeom prst="rect">
                      <a:avLst/>
                    </a:prstGeom>
                    <a:noFill/>
                  </pic:spPr>
                </pic:pic>
              </a:graphicData>
            </a:graphic>
          </wp:inline>
        </w:drawing>
      </w:r>
      <w:r w:rsidR="0075158A" w:rsidRPr="0075158A">
        <w:t>^N=103.</w:t>
      </w:r>
    </w:p>
    <w:p w14:paraId="08A55FE8" w14:textId="77777777" w:rsidR="0075158A" w:rsidRDefault="0075158A" w:rsidP="0075158A">
      <w:pPr>
        <w:pStyle w:val="TableDescription"/>
      </w:pPr>
      <w:r w:rsidRPr="0075158A">
        <w:t>Note: Terminal rate constant (</w:t>
      </w:r>
      <w:proofErr w:type="spellStart"/>
      <w:r w:rsidRPr="0075158A">
        <w:t>lambda_z</w:t>
      </w:r>
      <w:proofErr w:type="spellEnd"/>
      <w:r w:rsidRPr="0075158A">
        <w:t>) cannot be estimated based on obtained concentration data for subject no. 1012 (Period-I, INTG8) and 1095 (Period-I, Forteo). Hence, AUC</w:t>
      </w:r>
      <w:r w:rsidRPr="0075158A">
        <w:rPr>
          <w:vertAlign w:val="subscript"/>
        </w:rPr>
        <w:t>O-inf</w:t>
      </w:r>
      <w:r w:rsidRPr="0075158A">
        <w:t xml:space="preserve"> cannot be calculated. In absence of comparator data, same was also excluded from the other treatment arm</w:t>
      </w:r>
    </w:p>
    <w:p w14:paraId="77827B48" w14:textId="557638D1" w:rsidR="00AC5442" w:rsidRDefault="00B353B2" w:rsidP="00B353B2">
      <w:pPr>
        <w:pStyle w:val="TableTitle"/>
        <w:rPr>
          <w:noProof/>
          <w:lang w:val="en-IN" w:eastAsia="en-IN"/>
        </w:rPr>
      </w:pPr>
      <w:r w:rsidRPr="00B353B2">
        <w:t>Table 5: PK Statistical Comparison between INTG8 vs. Forsteo</w:t>
      </w:r>
      <w:r w:rsidRPr="00B353B2" w:rsidDel="003945A9">
        <w:rPr>
          <w:lang w:val="en-IN"/>
        </w:rPr>
        <w:t xml:space="preserve"> </w:t>
      </w:r>
    </w:p>
    <w:p w14:paraId="5E8473E1" w14:textId="1130A824" w:rsidR="00B51E75" w:rsidRDefault="00B51E75" w:rsidP="0019218A">
      <w:r>
        <w:rPr>
          <w:noProof/>
        </w:rPr>
        <w:drawing>
          <wp:inline distT="0" distB="0" distL="0" distR="0" wp14:anchorId="5FE62A5B" wp14:editId="6579EAC6">
            <wp:extent cx="5730875" cy="1286510"/>
            <wp:effectExtent l="0" t="0" r="3175" b="8890"/>
            <wp:docPr id="19028331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0875" cy="1286510"/>
                    </a:xfrm>
                    <a:prstGeom prst="rect">
                      <a:avLst/>
                    </a:prstGeom>
                    <a:noFill/>
                  </pic:spPr>
                </pic:pic>
              </a:graphicData>
            </a:graphic>
          </wp:inline>
        </w:drawing>
      </w:r>
    </w:p>
    <w:p w14:paraId="3EE896FD" w14:textId="77777777" w:rsidR="00A4026A" w:rsidRDefault="00A4026A" w:rsidP="00A4026A">
      <w:pPr>
        <w:pStyle w:val="TableDescription"/>
      </w:pPr>
      <w:r>
        <w:t>^N=103.</w:t>
      </w:r>
    </w:p>
    <w:p w14:paraId="1EB43234" w14:textId="77777777" w:rsidR="00A4026A" w:rsidRDefault="00A4026A" w:rsidP="00A4026A">
      <w:pPr>
        <w:pStyle w:val="TableDescription"/>
      </w:pPr>
      <w:r>
        <w:t>Note: Terminal rate constant (</w:t>
      </w:r>
      <w:proofErr w:type="spellStart"/>
      <w:r>
        <w:t>lambda_z</w:t>
      </w:r>
      <w:proofErr w:type="spellEnd"/>
      <w:r>
        <w:t>) cannot be estimated based on obtained concentration data for subject no. 1012 (Period-I, INTG8) and 1057 (Period-I, Forteo). Hence, AUCO-inf cannot be calculated. In absence of comparator data, same was also excluded from the other treatment arm</w:t>
      </w:r>
    </w:p>
    <w:p w14:paraId="36B0B2DC" w14:textId="17A1367E" w:rsidR="00F2710A" w:rsidRPr="00F2710A" w:rsidRDefault="00F2710A" w:rsidP="00A4026A">
      <w:r w:rsidRPr="00F2710A">
        <w:t>Analysis on the ln-transformed C</w:t>
      </w:r>
      <w:r w:rsidRPr="00F2710A">
        <w:rPr>
          <w:vertAlign w:val="subscript"/>
        </w:rPr>
        <w:t>max</w:t>
      </w:r>
      <w:r w:rsidRPr="00F2710A">
        <w:t>, AUC</w:t>
      </w:r>
      <w:r w:rsidRPr="00F2710A">
        <w:rPr>
          <w:vertAlign w:val="subscript"/>
        </w:rPr>
        <w:t>0-t</w:t>
      </w:r>
      <w:r w:rsidRPr="00F2710A">
        <w:t xml:space="preserve"> and AUC</w:t>
      </w:r>
      <w:r w:rsidRPr="00F2710A">
        <w:rPr>
          <w:vertAlign w:val="subscript"/>
        </w:rPr>
        <w:t>0-∞</w:t>
      </w:r>
      <w:r w:rsidRPr="00F2710A">
        <w:t xml:space="preserve"> of INTG8 relative to Forsteo and Forteo was performed and demonstrated the 90% CIs of the geometric LSM ratios were within the acceptance range of 80.00% to 125.00% as outlined in the bioequivalence guidance of the EMA.</w:t>
      </w:r>
      <w:r w:rsidRPr="00F2710A">
        <w:rPr>
          <w:vertAlign w:val="superscript"/>
        </w:rPr>
        <w:footnoteReference w:id="9"/>
      </w:r>
    </w:p>
    <w:p w14:paraId="45BFD7D9" w14:textId="57CB92E1" w:rsidR="00A04E03" w:rsidRDefault="00A04E03" w:rsidP="00285219">
      <w:pPr>
        <w:pStyle w:val="Heading6"/>
      </w:pPr>
      <w:r>
        <w:t xml:space="preserve">Clinical </w:t>
      </w:r>
      <w:r w:rsidR="0019218A">
        <w:t>e</w:t>
      </w:r>
      <w:r>
        <w:t>valuator’s overall conclusions on pharmacokinetics and bioequivalence</w:t>
      </w:r>
    </w:p>
    <w:p w14:paraId="6BC87CD1" w14:textId="77777777" w:rsidR="00A04E03" w:rsidRDefault="00A04E03" w:rsidP="00A04E03">
      <w:r>
        <w:t>The following conclusions are framed (where relevant) to the guidance adopted by the TGA.</w:t>
      </w:r>
    </w:p>
    <w:p w14:paraId="056947BA" w14:textId="5923B6D4" w:rsidR="00A04E03" w:rsidRDefault="00A04E03" w:rsidP="00A04E03">
      <w:r>
        <w:t xml:space="preserve">Firstly, the study population chosen in Study 0258-20 as outlined in the Dossier was acceptable. There is no current indication in the literature that there is any variation in the PTH-receptor </w:t>
      </w:r>
      <w:r>
        <w:lastRenderedPageBreak/>
        <w:t xml:space="preserve">density between healthy individuals and those with osteoporosis. According to the PI for </w:t>
      </w:r>
      <w:r w:rsidR="003C393E">
        <w:t>Forteo</w:t>
      </w:r>
      <w:r>
        <w:t xml:space="preserve">, PK characteristics are not expected to vary according to age. Healthy subjects are the preferred population for a crossover study and the demographic profile of each of the groups were well balanced across the treatment arms. The decision to perform the study in healthy subjects (men aged 18-45 years and postmenopausal women aged 45-65 years) helped ensure homogeneity of the study population and included the potential target patients of either gender population. The inclusion and exclusion criteria were appropriate. The exclusion criteria appropriately excluded patients with relevant diseases/disorders/medication that could impact on BMD. PK and </w:t>
      </w:r>
      <w:r w:rsidR="0023789B">
        <w:t>pharmacodynamic (</w:t>
      </w:r>
      <w:r>
        <w:t>PD</w:t>
      </w:r>
      <w:r w:rsidR="0023789B">
        <w:t>)</w:t>
      </w:r>
      <w:r>
        <w:t xml:space="preserve"> profiles of teriparatide products have not been extensively studied in different ethnic groups; however, the available data encompassing Caucasian, Chinese and Japanese women do not indicate clinically significant differences.</w:t>
      </w:r>
    </w:p>
    <w:p w14:paraId="32F17054" w14:textId="41EAE4F1" w:rsidR="00A04E03" w:rsidRDefault="00A04E03" w:rsidP="00A04E03">
      <w:r>
        <w:t xml:space="preserve">The study design and protocol appear reasonable. The randomising schedule and assessor-blinding protocol appear appropriate, with no indication of any bias. The single dose 20 microgram teriparatide SC injection used in the study matches the daily dose of the currently approved product </w:t>
      </w:r>
      <w:r w:rsidR="003C393E">
        <w:t>Forteo</w:t>
      </w:r>
      <w:r>
        <w:t xml:space="preserve"> and is appropriate. Given the half-life of teriparatide (given </w:t>
      </w:r>
      <w:r w:rsidR="00087D83">
        <w:t>subcutaneously</w:t>
      </w:r>
      <w:r>
        <w:t>) in serum is close to 60 minutes across the literature, the designated washout period of 24 hours between the dosing days was suitable. The chosen primary and secondary endpoints of the study are reasonable. The protocol had no notable amendments. All 105 subjects who received treatment dosing satisfactorily completed the study with none taking any concomitant medications during the study.</w:t>
      </w:r>
    </w:p>
    <w:p w14:paraId="736F2479" w14:textId="0BC400C5" w:rsidR="00A04E03" w:rsidRDefault="003C692E" w:rsidP="00A04E03">
      <w:r>
        <w:t>T</w:t>
      </w:r>
      <w:r w:rsidR="00A04E03">
        <w:t>here were statistically significant Group, Sequence, Sequence*Group, Formulation, Period</w:t>
      </w:r>
      <w:r w:rsidR="00243EDC">
        <w:t xml:space="preserve"> </w:t>
      </w:r>
      <w:r w:rsidR="00A04E03">
        <w:t>(Group)and Subject</w:t>
      </w:r>
      <w:r w:rsidR="00243EDC">
        <w:t xml:space="preserve"> </w:t>
      </w:r>
      <w:r w:rsidR="00A04E03">
        <w:t>(Sequence*Group) effects in this study – these are deemed not clinically relevant.</w:t>
      </w:r>
    </w:p>
    <w:p w14:paraId="09D72D9F" w14:textId="48FD4CC4" w:rsidR="00A04E03" w:rsidRDefault="00A04E03" w:rsidP="00A04E03">
      <w:r>
        <w:t>In addition, all but one of the PK parameters do not cross 1. This is relevant as the EMA guideline on similar biological medicinal products</w:t>
      </w:r>
      <w:r w:rsidR="003C692E">
        <w:rPr>
          <w:rStyle w:val="FootnoteReference"/>
        </w:rPr>
        <w:footnoteReference w:id="10"/>
      </w:r>
      <w:r>
        <w:t xml:space="preserve"> </w:t>
      </w:r>
      <w:r w:rsidR="003C692E">
        <w:t>(</w:t>
      </w:r>
      <w:r>
        <w:t>accepted by the TGA</w:t>
      </w:r>
      <w:r w:rsidR="003C692E">
        <w:t>)</w:t>
      </w:r>
      <w:r>
        <w:t xml:space="preserve"> states that 90% CIs of ratios of biosimilar to reference products within a pre-specified, justified acceptance range may not, by itself, be sufficient and that the location and width of the CI should also be taken into account in the interpretation of similarity.</w:t>
      </w:r>
    </w:p>
    <w:p w14:paraId="1EFDE363" w14:textId="0E9840AA" w:rsidR="00A04E03" w:rsidRDefault="003C692E" w:rsidP="00A04E03">
      <w:r>
        <w:t>A</w:t>
      </w:r>
      <w:r w:rsidR="00A04E03">
        <w:t xml:space="preserve"> small number of samples were designated “not reportable” with most cases due to haemolysis. As a result of the treatment of these results in the study, they are unlikely to have a notable impact on the overall data.</w:t>
      </w:r>
    </w:p>
    <w:p w14:paraId="0D091067" w14:textId="07847630" w:rsidR="00A04E03" w:rsidRDefault="00A04E03" w:rsidP="00A04E03">
      <w:r>
        <w:t xml:space="preserve">Overall, bioequivalence criteria were satisfied between INTG8 vs. </w:t>
      </w:r>
      <w:r w:rsidR="003C393E">
        <w:t>Forteo</w:t>
      </w:r>
      <w:r>
        <w:t xml:space="preserve"> and INTG8 vs. </w:t>
      </w:r>
      <w:r w:rsidR="003C393E">
        <w:t>Forsteo</w:t>
      </w:r>
      <w:r>
        <w:t>. The 90% CIs of the geometric LSM ratios for the parameters C</w:t>
      </w:r>
      <w:r w:rsidRPr="003C692E">
        <w:rPr>
          <w:vertAlign w:val="subscript"/>
        </w:rPr>
        <w:t>max</w:t>
      </w:r>
      <w:r>
        <w:t>, AUC</w:t>
      </w:r>
      <w:r w:rsidRPr="003C692E">
        <w:rPr>
          <w:vertAlign w:val="subscript"/>
        </w:rPr>
        <w:t>0-t</w:t>
      </w:r>
      <w:r>
        <w:t xml:space="preserve"> and AUC</w:t>
      </w:r>
      <w:r w:rsidRPr="003C692E">
        <w:rPr>
          <w:vertAlign w:val="subscript"/>
        </w:rPr>
        <w:t>0-∞</w:t>
      </w:r>
      <w:r>
        <w:t xml:space="preserve"> were within the 80.00%-125.00% acceptance range as specified in EMA guidance. </w:t>
      </w:r>
    </w:p>
    <w:p w14:paraId="011E6D50" w14:textId="68ED7EDE" w:rsidR="00A04E03" w:rsidRDefault="00A04E03" w:rsidP="003C692E">
      <w:pPr>
        <w:pStyle w:val="Heading5"/>
      </w:pPr>
      <w:r>
        <w:t>Pharmacodynamics</w:t>
      </w:r>
    </w:p>
    <w:p w14:paraId="07544100" w14:textId="1F2CF608" w:rsidR="00A04E03" w:rsidRDefault="00A04E03" w:rsidP="00A04E03">
      <w:r>
        <w:t xml:space="preserve">Study 0258-20 assessed the </w:t>
      </w:r>
      <w:r w:rsidR="0023789B">
        <w:t>PD</w:t>
      </w:r>
      <w:r w:rsidR="003C692E">
        <w:t xml:space="preserve"> </w:t>
      </w:r>
      <w:r>
        <w:t xml:space="preserve">profile of a healthy population by measuring their corrected total serum calcium levels following a single dose of INTG8, </w:t>
      </w:r>
      <w:r w:rsidR="003C393E">
        <w:t>Forteo</w:t>
      </w:r>
      <w:r>
        <w:t xml:space="preserve"> and </w:t>
      </w:r>
      <w:r w:rsidR="003C393E">
        <w:t>Forsteo</w:t>
      </w:r>
      <w:r>
        <w:t xml:space="preserve"> via subcutaneous administration.</w:t>
      </w:r>
    </w:p>
    <w:p w14:paraId="464E538D" w14:textId="77777777" w:rsidR="00A04E03" w:rsidRDefault="00A04E03" w:rsidP="00285219">
      <w:pPr>
        <w:pStyle w:val="Heading6"/>
      </w:pPr>
      <w:r w:rsidRPr="00285219">
        <w:t>Mechanism</w:t>
      </w:r>
      <w:r>
        <w:t xml:space="preserve"> of action</w:t>
      </w:r>
    </w:p>
    <w:p w14:paraId="45E81031" w14:textId="77777777" w:rsidR="00A04E03" w:rsidRDefault="00A04E03" w:rsidP="00A04E03">
      <w:r>
        <w:t>The biological actions of PTH and teriparatide are mediated through the binding to specific PTH cell-surface receptors. Teriparatide is the active fragment (1-34) of endogenous human PTH, manufactured using recombinant DNA technology. Teriparatide binds to these receptors with similar affinity as PTH and has the same actions in bone and kidney.</w:t>
      </w:r>
    </w:p>
    <w:p w14:paraId="72C2005D" w14:textId="77777777" w:rsidR="00A04E03" w:rsidRDefault="00A04E03" w:rsidP="00285219">
      <w:pPr>
        <w:pStyle w:val="Heading6"/>
      </w:pPr>
      <w:r>
        <w:lastRenderedPageBreak/>
        <w:t xml:space="preserve">Pharmacodynamic effects </w:t>
      </w:r>
    </w:p>
    <w:p w14:paraId="1794E474" w14:textId="06F8FC20" w:rsidR="00A04E03" w:rsidRDefault="00A04E03" w:rsidP="00A04E03">
      <w:r>
        <w:t xml:space="preserve">Endogenous 84-amino-acid PTH is the primary regulator of calcium and phosphate metabolism in bone and kidney. Physiological actions of PTH include regulation of bone metabolism, renal tubular reabsorption of calcium and phosphate, and intestinal calcium absorption. Like endogenous PTH, teriparatide is not expected to accumulate in bone or other tissues. </w:t>
      </w:r>
    </w:p>
    <w:p w14:paraId="460CE293" w14:textId="77777777" w:rsidR="00A04E03" w:rsidRDefault="00A04E03" w:rsidP="00A04E03">
      <w:r>
        <w:t xml:space="preserve">The skeletal effects of teriparatide depend upon the pattern of systemic exposure. Once daily therapeutic administration of teriparatide increases apposition of new bone on trabecular and cortical (endosteal and periosteal) bone surfaces by preferential stimulation of osteoblastic activity over osteoclastic activity. In contrast, continuous excess of endogenous PTH, as occurs in hyperparathyroidism, may be detrimental to the skeleton because bone resorption may be stimulated more than bone formation. This distinction between the pharmacological action of administered teriparatide on one hand and the pathophysiological action of hypersecreted PTH in hyperparathyroidism - particularly primary hyperparathyroidism - is an important one. Osteopenia (diminished BMD) or even osteoporosis is a feature of primary hyperparathyroidism and may progress to more severe forms of parathyroid bone disease principally </w:t>
      </w:r>
      <w:proofErr w:type="gramStart"/>
      <w:r>
        <w:t>as a consequence of</w:t>
      </w:r>
      <w:proofErr w:type="gramEnd"/>
      <w:r>
        <w:t xml:space="preserve"> excessive osteoclastic activity under the influence of PTH. It is a matter of the degree to which PTH receptors in bone are exposed to PTH, which determines the predominance of osteoblastic over osteoclastic activity.</w:t>
      </w:r>
    </w:p>
    <w:p w14:paraId="775CF039" w14:textId="77777777" w:rsidR="00A04E03" w:rsidRDefault="00A04E03" w:rsidP="00285219">
      <w:pPr>
        <w:pStyle w:val="Heading6"/>
      </w:pPr>
      <w:r>
        <w:t xml:space="preserve">Time course of pharmacodynamic </w:t>
      </w:r>
      <w:r w:rsidRPr="00285219">
        <w:t>effects</w:t>
      </w:r>
    </w:p>
    <w:p w14:paraId="4378BE35" w14:textId="77777777" w:rsidR="00A04E03" w:rsidRDefault="00A04E03" w:rsidP="00A04E03">
      <w:r>
        <w:t>If using the elevation in serum calcium levels as an indication of the pharmacodynamic response to PTH or administered teriparatide, the calcium levels were at their peak at approximately 4-6 hours post-dose returning to near baseline levels within 16 hours.</w:t>
      </w:r>
    </w:p>
    <w:p w14:paraId="0A25C8B4" w14:textId="77777777" w:rsidR="00A04E03" w:rsidRDefault="00A04E03" w:rsidP="003C692E">
      <w:pPr>
        <w:pStyle w:val="Heading6"/>
      </w:pPr>
      <w:r>
        <w:t>Relationship between drug concentration and pharmacodynamic effects</w:t>
      </w:r>
    </w:p>
    <w:p w14:paraId="669165E0" w14:textId="11FC3896" w:rsidR="00A04E03" w:rsidRDefault="00A04E03" w:rsidP="00A04E03">
      <w:r>
        <w:t xml:space="preserve">No relevant data has been provided in this submission. However, the </w:t>
      </w:r>
      <w:r w:rsidR="0002773E">
        <w:t>Sponsor</w:t>
      </w:r>
      <w:r>
        <w:t xml:space="preserve"> has presented the following pharmacodynamic results from Study 0258-20. This study’s secondary objectives were to assess and compare the pharmacodynamics, local tolerance, safety, and tolerability of INTG8 against </w:t>
      </w:r>
      <w:r w:rsidR="003C393E">
        <w:t>Forteo</w:t>
      </w:r>
      <w:r>
        <w:t xml:space="preserve"> and </w:t>
      </w:r>
      <w:r w:rsidR="003C393E">
        <w:t>Forsteo</w:t>
      </w:r>
      <w:r>
        <w:t xml:space="preserve"> following a single 20 microgram subcutaneous injection in healthy men and postmenopausal women. Total serum calcium levels have been used as a marker of the pharmacodynamic response to teriparatide. As the above background information indicates, total serum calcium levels can reflect the pharmacodynamic activity of teriparatide. The PD parameters for INGT8, </w:t>
      </w:r>
      <w:r w:rsidR="003C393E">
        <w:t>Forsteo</w:t>
      </w:r>
      <w:r>
        <w:t xml:space="preserve"> and </w:t>
      </w:r>
      <w:r w:rsidR="003C393E">
        <w:t>Forteo</w:t>
      </w:r>
      <w:r>
        <w:t xml:space="preserve"> have been summarised in the </w:t>
      </w:r>
      <w:r w:rsidR="00E749D4">
        <w:t xml:space="preserve">Table </w:t>
      </w:r>
      <w:r w:rsidR="00A56932">
        <w:t>6</w:t>
      </w:r>
      <w:r>
        <w:t>.</w:t>
      </w:r>
    </w:p>
    <w:p w14:paraId="230279B5" w14:textId="4CBF447D" w:rsidR="004B289F" w:rsidRDefault="00A04E03" w:rsidP="00D80B23">
      <w:pPr>
        <w:pStyle w:val="TableTitle"/>
      </w:pPr>
      <w:r>
        <w:t>Table</w:t>
      </w:r>
      <w:r w:rsidR="00E749D4">
        <w:t xml:space="preserve"> </w:t>
      </w:r>
      <w:r w:rsidR="00A56932">
        <w:t>6</w:t>
      </w:r>
      <w:r>
        <w:t xml:space="preserve">: Baseline Non-Adjusted Corrected Total Serum Calcium Levels after Administration of INTG8, </w:t>
      </w:r>
      <w:r w:rsidR="003C393E">
        <w:t>Forsteo</w:t>
      </w:r>
      <w:r>
        <w:t xml:space="preserve"> and </w:t>
      </w:r>
      <w:r w:rsidR="003C393E">
        <w:t>Forteo</w:t>
      </w:r>
      <w:r>
        <w:t>)</w:t>
      </w:r>
    </w:p>
    <w:p w14:paraId="0865882C" w14:textId="366E072D" w:rsidR="00EC4863" w:rsidRDefault="00EC4863" w:rsidP="0019218A">
      <w:r w:rsidRPr="00B70F68">
        <w:rPr>
          <w:noProof/>
          <w:lang w:val="en-IN" w:eastAsia="en-IN"/>
        </w:rPr>
        <w:drawing>
          <wp:inline distT="0" distB="0" distL="0" distR="0" wp14:anchorId="361609F0" wp14:editId="4A192BF0">
            <wp:extent cx="5731510" cy="1211281"/>
            <wp:effectExtent l="0" t="0" r="2540" b="8255"/>
            <wp:docPr id="17" name="Picture 17" descr="A table of numbers and formul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table of numbers and formulas&#10;&#10;AI-generated content may be incorrect."/>
                    <pic:cNvPicPr/>
                  </pic:nvPicPr>
                  <pic:blipFill rotWithShape="1">
                    <a:blip r:embed="rId29">
                      <a:extLst>
                        <a:ext uri="{BEBA8EAE-BF5A-486C-A8C5-ECC9F3942E4B}">
                          <a14:imgProps xmlns:a14="http://schemas.microsoft.com/office/drawing/2010/main">
                            <a14:imgLayer r:embed="rId30">
                              <a14:imgEffect>
                                <a14:sharpenSoften amount="25000"/>
                              </a14:imgEffect>
                            </a14:imgLayer>
                          </a14:imgProps>
                        </a:ext>
                      </a:extLst>
                    </a:blip>
                    <a:srcRect t="19953"/>
                    <a:stretch/>
                  </pic:blipFill>
                  <pic:spPr bwMode="auto">
                    <a:xfrm>
                      <a:off x="0" y="0"/>
                      <a:ext cx="5731510" cy="1211281"/>
                    </a:xfrm>
                    <a:prstGeom prst="rect">
                      <a:avLst/>
                    </a:prstGeom>
                    <a:ln>
                      <a:noFill/>
                    </a:ln>
                    <a:extLst>
                      <a:ext uri="{53640926-AAD7-44D8-BBD7-CCE9431645EC}">
                        <a14:shadowObscured xmlns:a14="http://schemas.microsoft.com/office/drawing/2010/main"/>
                      </a:ext>
                    </a:extLst>
                  </pic:spPr>
                </pic:pic>
              </a:graphicData>
            </a:graphic>
          </wp:inline>
        </w:drawing>
      </w:r>
    </w:p>
    <w:p w14:paraId="59298904" w14:textId="09F613F1" w:rsidR="00D27761" w:rsidRDefault="00D27761" w:rsidP="00D27761">
      <w:r>
        <w:t>The geometric LSM ratios for baseline non-adjusted E</w:t>
      </w:r>
      <w:r w:rsidRPr="00D27761">
        <w:rPr>
          <w:vertAlign w:val="subscript"/>
        </w:rPr>
        <w:t>max</w:t>
      </w:r>
      <w:r>
        <w:t xml:space="preserve"> </w:t>
      </w:r>
      <w:r w:rsidR="00FC249A">
        <w:t>(</w:t>
      </w:r>
      <w:r w:rsidR="00A01831">
        <w:t>m</w:t>
      </w:r>
      <w:r w:rsidR="00A01831" w:rsidRPr="00A01831">
        <w:t>aximum measured serum calcium concentration</w:t>
      </w:r>
      <w:r w:rsidR="00A01831">
        <w:t xml:space="preserve">) </w:t>
      </w:r>
      <w:r>
        <w:t>and AUEC</w:t>
      </w:r>
      <w:r w:rsidRPr="00D27761">
        <w:rPr>
          <w:vertAlign w:val="subscript"/>
        </w:rPr>
        <w:t>0-t</w:t>
      </w:r>
      <w:r>
        <w:t xml:space="preserve"> </w:t>
      </w:r>
      <w:r w:rsidR="00136F05">
        <w:t>(</w:t>
      </w:r>
      <w:r w:rsidR="00E749D4">
        <w:t>a</w:t>
      </w:r>
      <w:r w:rsidR="00136F05" w:rsidRPr="00136F05">
        <w:t>rea under serum calcium vs. time curve from time zero to the last measurable concentration</w:t>
      </w:r>
      <w:r w:rsidR="00136F05">
        <w:t xml:space="preserve">) </w:t>
      </w:r>
      <w:r>
        <w:t xml:space="preserve">were 99.9% and 101.6% respectively for INTG8 vs. </w:t>
      </w:r>
      <w:r w:rsidR="003C393E">
        <w:t>Forteo</w:t>
      </w:r>
      <w:r>
        <w:t xml:space="preserve"> and 99.9% and 100.1% respectively for INTG8 vs. </w:t>
      </w:r>
      <w:r w:rsidR="003C393E">
        <w:t>Forsteo</w:t>
      </w:r>
      <w:r>
        <w:t xml:space="preserve">. The CIs of the geometric LSM ratios, calculated from the analysis on the ln-transformed corrected total serum calcium level </w:t>
      </w:r>
      <w:r>
        <w:lastRenderedPageBreak/>
        <w:t>parameters E</w:t>
      </w:r>
      <w:r w:rsidRPr="00D27761">
        <w:rPr>
          <w:vertAlign w:val="subscript"/>
        </w:rPr>
        <w:t>max</w:t>
      </w:r>
      <w:r>
        <w:t xml:space="preserve"> and AUEC</w:t>
      </w:r>
      <w:r w:rsidRPr="00136F05">
        <w:rPr>
          <w:vertAlign w:val="subscript"/>
        </w:rPr>
        <w:t>0-t</w:t>
      </w:r>
      <w:r w:rsidRPr="00D27761">
        <w:rPr>
          <w:vertAlign w:val="subscript"/>
        </w:rPr>
        <w:t xml:space="preserve"> </w:t>
      </w:r>
      <w:r>
        <w:t xml:space="preserve">of both INTG8 vs. </w:t>
      </w:r>
      <w:r w:rsidR="003C393E">
        <w:t>Forteo</w:t>
      </w:r>
      <w:r>
        <w:t xml:space="preserve"> and INTG8 vs. </w:t>
      </w:r>
      <w:r w:rsidR="003C393E">
        <w:t>Forsteo</w:t>
      </w:r>
      <w:r>
        <w:t xml:space="preserve"> were within the acceptance limits of 80.00% to 125.00%. </w:t>
      </w:r>
    </w:p>
    <w:p w14:paraId="4388A862" w14:textId="3DC96AC1" w:rsidR="00D27761" w:rsidRDefault="00D27761" w:rsidP="00D27761">
      <w:r>
        <w:t xml:space="preserve">Further statistical comparisons </w:t>
      </w:r>
      <w:r w:rsidR="00E13DEB">
        <w:t>are displayed</w:t>
      </w:r>
      <w:r>
        <w:t xml:space="preserve"> in </w:t>
      </w:r>
      <w:r w:rsidR="00A22F2D">
        <w:t xml:space="preserve">Table </w:t>
      </w:r>
      <w:r w:rsidR="004F03B2">
        <w:t>7</w:t>
      </w:r>
      <w:r w:rsidR="00E13DEB">
        <w:t xml:space="preserve"> and </w:t>
      </w:r>
      <w:r w:rsidR="004F03B2">
        <w:t>8</w:t>
      </w:r>
      <w:r>
        <w:t>.</w:t>
      </w:r>
    </w:p>
    <w:p w14:paraId="6F373191" w14:textId="7B2454BD" w:rsidR="00A22F2D" w:rsidRDefault="00A22F2D" w:rsidP="00A22F2D">
      <w:pPr>
        <w:pStyle w:val="TableTitle"/>
      </w:pPr>
      <w:r w:rsidRPr="00A22F2D">
        <w:t xml:space="preserve">Table </w:t>
      </w:r>
      <w:r w:rsidR="004F03B2">
        <w:t>7</w:t>
      </w:r>
      <w:r w:rsidRPr="00A22F2D">
        <w:t xml:space="preserve">: Summary of Statistical Comparisons of Corrected Total Serum Calcium Levels Parameters (INTG8 vs. </w:t>
      </w:r>
      <w:r w:rsidR="003C393E">
        <w:t>Forteo</w:t>
      </w:r>
      <w:r w:rsidRPr="00A22F2D">
        <w:t>)</w:t>
      </w:r>
    </w:p>
    <w:p w14:paraId="1C34EDAC" w14:textId="358EB009" w:rsidR="00991505" w:rsidRDefault="00991505" w:rsidP="00D27761">
      <w:r w:rsidRPr="00015F18">
        <w:rPr>
          <w:noProof/>
          <w:lang w:val="en-IN" w:eastAsia="en-IN"/>
        </w:rPr>
        <w:drawing>
          <wp:inline distT="0" distB="0" distL="0" distR="0" wp14:anchorId="3E0406DC" wp14:editId="0C43828C">
            <wp:extent cx="5782920" cy="1957064"/>
            <wp:effectExtent l="0" t="0" r="0" b="5715"/>
            <wp:docPr id="16" name="Picture 16"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document&#10;&#10;AI-generated content may be incorrect."/>
                    <pic:cNvPicPr/>
                  </pic:nvPicPr>
                  <pic:blipFill rotWithShape="1">
                    <a:blip r:embed="rId31"/>
                    <a:srcRect b="44086"/>
                    <a:stretch>
                      <a:fillRect/>
                    </a:stretch>
                  </pic:blipFill>
                  <pic:spPr bwMode="auto">
                    <a:xfrm>
                      <a:off x="0" y="0"/>
                      <a:ext cx="5832237" cy="1973754"/>
                    </a:xfrm>
                    <a:prstGeom prst="rect">
                      <a:avLst/>
                    </a:prstGeom>
                    <a:ln>
                      <a:noFill/>
                    </a:ln>
                    <a:extLst>
                      <a:ext uri="{53640926-AAD7-44D8-BBD7-CCE9431645EC}">
                        <a14:shadowObscured xmlns:a14="http://schemas.microsoft.com/office/drawing/2010/main"/>
                      </a:ext>
                    </a:extLst>
                  </pic:spPr>
                </pic:pic>
              </a:graphicData>
            </a:graphic>
          </wp:inline>
        </w:drawing>
      </w:r>
    </w:p>
    <w:p w14:paraId="21CF7E50" w14:textId="33D46AC8" w:rsidR="00C40C48" w:rsidRDefault="00C40C48" w:rsidP="00A222A0">
      <w:pPr>
        <w:pStyle w:val="TableDescription"/>
      </w:pPr>
      <w:r>
        <w:t>^N=90</w:t>
      </w:r>
    </w:p>
    <w:p w14:paraId="4F0C8009" w14:textId="451A890A" w:rsidR="00A222A0" w:rsidRDefault="00A222A0" w:rsidP="00A222A0">
      <w:pPr>
        <w:pStyle w:val="TableDescription"/>
      </w:pPr>
      <w:r>
        <w:t xml:space="preserve">Note 1: * Subjects 1006 (Period-I, INTG8). </w:t>
      </w:r>
      <w:r w:rsidRPr="0038658D">
        <w:rPr>
          <w:lang w:val="it-IT"/>
        </w:rPr>
        <w:t xml:space="preserve">1006 (Period-III. </w:t>
      </w:r>
      <w:r w:rsidR="003C393E">
        <w:rPr>
          <w:lang w:val="it-IT"/>
        </w:rPr>
        <w:t>Forteo</w:t>
      </w:r>
      <w:r w:rsidRPr="0038658D">
        <w:rPr>
          <w:lang w:val="it-IT"/>
        </w:rPr>
        <w:t xml:space="preserve">), 1012 (Period-I. </w:t>
      </w:r>
      <w:r>
        <w:t xml:space="preserve">INTG8). 1037 (Period-III, INTG8), 1045 (Period-II. </w:t>
      </w:r>
      <w:r w:rsidR="003C393E">
        <w:t>Forteo</w:t>
      </w:r>
      <w:r>
        <w:t>), 1060 (Period-III. INTG8). 1066 (Period-II. INTG8). 1080 (Period-I. INTG8). 1087 (Period-II, INTG§8)</w:t>
      </w:r>
      <w:r w:rsidR="00C40C48">
        <w:t xml:space="preserve">, </w:t>
      </w:r>
      <w:r>
        <w:t>1088 (Period-Il. INTG8) and 1100 (Period-I, INTG8) had pre-dose sample as NR, post-dose sample could not be baseline-</w:t>
      </w:r>
      <w:r w:rsidR="00C40C48">
        <w:t xml:space="preserve"> </w:t>
      </w:r>
      <w:r>
        <w:t>adjusted and hence same was excluded from statistical analysis. In absence of comparator data, all these subjects were also</w:t>
      </w:r>
      <w:r w:rsidR="00C40C48">
        <w:t xml:space="preserve"> </w:t>
      </w:r>
      <w:r>
        <w:t xml:space="preserve">excluded from the other treatment </w:t>
      </w:r>
      <w:r w:rsidR="00CF34FD">
        <w:t>arm</w:t>
      </w:r>
      <w:r>
        <w:t>.</w:t>
      </w:r>
    </w:p>
    <w:p w14:paraId="60D4EA86" w14:textId="59CB7F7D" w:rsidR="00A222A0" w:rsidRDefault="00A222A0" w:rsidP="00A222A0">
      <w:pPr>
        <w:pStyle w:val="TableDescription"/>
      </w:pPr>
      <w:r>
        <w:t xml:space="preserve">Note 2: </w:t>
      </w:r>
      <w:r w:rsidR="00C40C48">
        <w:t>^</w:t>
      </w:r>
      <w:r>
        <w:t xml:space="preserve"> Subjects 1001 (Period-I, </w:t>
      </w:r>
      <w:r w:rsidR="003C393E">
        <w:t>Forteo</w:t>
      </w:r>
      <w:r>
        <w:t xml:space="preserve">), 1019 (Period-I, </w:t>
      </w:r>
      <w:r w:rsidR="003C393E">
        <w:t>Forteo</w:t>
      </w:r>
      <w:r>
        <w:t xml:space="preserve">). 1021 (Period-I, </w:t>
      </w:r>
      <w:r w:rsidR="003C393E">
        <w:t>Forteo</w:t>
      </w:r>
      <w:r>
        <w:t xml:space="preserve">). 1032 (Period-I, </w:t>
      </w:r>
      <w:r w:rsidR="003C393E">
        <w:t>Forteo</w:t>
      </w:r>
      <w:r>
        <w:t>). 1072</w:t>
      </w:r>
      <w:r w:rsidR="00C40C48">
        <w:t xml:space="preserve"> </w:t>
      </w:r>
      <w:r>
        <w:t>(Period-I, INTG8) and 1084 (Period-I</w:t>
      </w:r>
      <w:r w:rsidR="00CD3C37">
        <w:t>,</w:t>
      </w:r>
      <w:r>
        <w:t xml:space="preserve"> INTG8) had zero corrected total serum calcium levels of the study hence</w:t>
      </w:r>
      <w:r w:rsidR="00C40C48">
        <w:t xml:space="preserve"> </w:t>
      </w:r>
      <w:r>
        <w:t>pharmacodynamic parameters E</w:t>
      </w:r>
      <w:r w:rsidRPr="00CD3C37">
        <w:rPr>
          <w:vertAlign w:val="subscript"/>
        </w:rPr>
        <w:t>max</w:t>
      </w:r>
      <w:r>
        <w:t xml:space="preserve"> and AUEC</w:t>
      </w:r>
      <w:r w:rsidR="00C40C48" w:rsidRPr="00C40C48">
        <w:rPr>
          <w:vertAlign w:val="subscript"/>
        </w:rPr>
        <w:t>0</w:t>
      </w:r>
      <w:r w:rsidRPr="00C40C48">
        <w:rPr>
          <w:vertAlign w:val="subscript"/>
        </w:rPr>
        <w:t>-</w:t>
      </w:r>
      <w:r w:rsidR="00C40C48" w:rsidRPr="00C40C48">
        <w:rPr>
          <w:vertAlign w:val="subscript"/>
        </w:rPr>
        <w:t>t</w:t>
      </w:r>
      <w:r>
        <w:t xml:space="preserve"> could not be calculated after In-transformation. In absence of comparator data</w:t>
      </w:r>
      <w:r w:rsidR="00C40C48">
        <w:t xml:space="preserve">, </w:t>
      </w:r>
      <w:r>
        <w:t>same was also excluded from the other treatment arm.</w:t>
      </w:r>
    </w:p>
    <w:p w14:paraId="4AA66479" w14:textId="4679C9F7" w:rsidR="009A55A3" w:rsidRDefault="009A55A3" w:rsidP="009A55A3">
      <w:pPr>
        <w:pStyle w:val="TableTitle"/>
      </w:pPr>
      <w:r w:rsidRPr="009A55A3">
        <w:t xml:space="preserve">Table </w:t>
      </w:r>
      <w:r w:rsidR="004F03B2">
        <w:t>8</w:t>
      </w:r>
      <w:r w:rsidRPr="009A55A3">
        <w:t xml:space="preserve">: Summary of Statistical Comparisons of Corrected Total Serum Calcium Levels Parameters (INTG8 vs. </w:t>
      </w:r>
      <w:r w:rsidR="003C393E">
        <w:t>Forsteo</w:t>
      </w:r>
      <w:r w:rsidRPr="009A55A3">
        <w:t>)</w:t>
      </w:r>
    </w:p>
    <w:p w14:paraId="1C97038E" w14:textId="7F3509DA" w:rsidR="00596616" w:rsidRDefault="009778C1" w:rsidP="00D27761">
      <w:r w:rsidRPr="009778C1">
        <w:rPr>
          <w:noProof/>
          <w:lang w:val="en-IN" w:eastAsia="en-IN"/>
        </w:rPr>
        <w:drawing>
          <wp:inline distT="0" distB="0" distL="0" distR="0" wp14:anchorId="30C7D9C5" wp14:editId="6696DABD">
            <wp:extent cx="5759450" cy="1951990"/>
            <wp:effectExtent l="0" t="0" r="0" b="0"/>
            <wp:docPr id="269977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977051" name=""/>
                    <pic:cNvPicPr/>
                  </pic:nvPicPr>
                  <pic:blipFill>
                    <a:blip r:embed="rId32"/>
                    <a:stretch>
                      <a:fillRect/>
                    </a:stretch>
                  </pic:blipFill>
                  <pic:spPr>
                    <a:xfrm>
                      <a:off x="0" y="0"/>
                      <a:ext cx="5759450" cy="1951990"/>
                    </a:xfrm>
                    <a:prstGeom prst="rect">
                      <a:avLst/>
                    </a:prstGeom>
                  </pic:spPr>
                </pic:pic>
              </a:graphicData>
            </a:graphic>
          </wp:inline>
        </w:drawing>
      </w:r>
    </w:p>
    <w:p w14:paraId="05DC322C" w14:textId="77777777" w:rsidR="00690EA2" w:rsidRDefault="00690EA2" w:rsidP="00690EA2">
      <w:pPr>
        <w:pStyle w:val="TableDescription"/>
      </w:pPr>
      <w:r>
        <w:t>^N=92.</w:t>
      </w:r>
    </w:p>
    <w:p w14:paraId="41C4A62B" w14:textId="39DD1E56" w:rsidR="00690EA2" w:rsidRDefault="00690EA2" w:rsidP="00690EA2">
      <w:pPr>
        <w:pStyle w:val="TableDescription"/>
      </w:pPr>
      <w:r>
        <w:t xml:space="preserve">Note 1: * Subjects 1006 (Period-I, INTG8), 1012 (Period-I, INTG8), 1037 (Period-III, INTG8), 1060 (Period-III, INTG8), 1066 (Period-II, INTG8), 1080 (Period-I, INTG8), 1087 (Period-II, INTG8), 1088 (Period-II, </w:t>
      </w:r>
      <w:r w:rsidR="003C393E">
        <w:t>Forsteo</w:t>
      </w:r>
      <w:r>
        <w:t>) and 1100 (Period-II, INTG8) had pre-dose sample as NR, post-dose sample could not be baseline-adjusted and hence same was excluded from statistical analysis. In absence of comparator data, all these subjects were also excluded from the other treatment arm.</w:t>
      </w:r>
    </w:p>
    <w:p w14:paraId="290B4EA3" w14:textId="431B2374" w:rsidR="009778C1" w:rsidRDefault="00690EA2" w:rsidP="00690EA2">
      <w:pPr>
        <w:pStyle w:val="TableDescription"/>
      </w:pPr>
      <w:r>
        <w:t xml:space="preserve">Note 2: ^ Subjects 1008 (Period-I, </w:t>
      </w:r>
      <w:r w:rsidR="003C393E">
        <w:t>Forsteo</w:t>
      </w:r>
      <w:r>
        <w:t xml:space="preserve">), 1027 (Period-I, </w:t>
      </w:r>
      <w:r w:rsidR="003C393E">
        <w:t>Forsteo</w:t>
      </w:r>
      <w:r>
        <w:t>), 1072 (Period-I, INTG8) and 1084 (Period-I, INTG8) had zero corrected total serum calcium levels of the study hence pharmacodynamic parameters Emax and AUEC0-t could not be calculated after ln-transformation. In absence of comparator data, same was also excluded from the other treatment arm.</w:t>
      </w:r>
    </w:p>
    <w:p w14:paraId="1BCD73B0" w14:textId="2F0D8D9F" w:rsidR="00520813" w:rsidRDefault="000C5A63" w:rsidP="00520813">
      <w:r>
        <w:lastRenderedPageBreak/>
        <w:t xml:space="preserve">Tables </w:t>
      </w:r>
      <w:r w:rsidR="00EA0B3A">
        <w:t>9</w:t>
      </w:r>
      <w:r>
        <w:t xml:space="preserve"> and </w:t>
      </w:r>
      <w:r w:rsidR="00EA0B3A">
        <w:t>10</w:t>
      </w:r>
      <w:r w:rsidR="00520813" w:rsidRPr="00520813">
        <w:t xml:space="preserve"> outline the ANOVA p-values and inter-subject CV for corrected total serum calcium levels for INTG8 vs. </w:t>
      </w:r>
      <w:r w:rsidR="003C393E">
        <w:t>Forteo</w:t>
      </w:r>
      <w:r w:rsidR="00520813" w:rsidRPr="00520813">
        <w:t xml:space="preserve"> and INTG8 vs. </w:t>
      </w:r>
      <w:r w:rsidR="003C393E">
        <w:t>Forteo</w:t>
      </w:r>
      <w:r w:rsidR="00520813" w:rsidRPr="00520813">
        <w:t>.</w:t>
      </w:r>
    </w:p>
    <w:p w14:paraId="38ECE0A3" w14:textId="50F57560" w:rsidR="000C5A63" w:rsidRDefault="000C5A63" w:rsidP="000C5A63">
      <w:pPr>
        <w:pStyle w:val="TableTitle"/>
      </w:pPr>
      <w:r w:rsidRPr="000C5A63">
        <w:t xml:space="preserve">Table </w:t>
      </w:r>
      <w:r w:rsidR="00EA0B3A">
        <w:t>9</w:t>
      </w:r>
      <w:r w:rsidRPr="000C5A63">
        <w:t xml:space="preserve">: ANOVA p-values and Inter-subject CV for Corrected Total Serum Calcium Levels (INTG8 vs. </w:t>
      </w:r>
      <w:r w:rsidR="003C393E">
        <w:t>Forteo</w:t>
      </w:r>
      <w:r w:rsidRPr="000C5A63">
        <w:t>)</w:t>
      </w:r>
    </w:p>
    <w:p w14:paraId="240D11C6" w14:textId="3B520613" w:rsidR="00520813" w:rsidRDefault="00F043AD" w:rsidP="00520813">
      <w:r w:rsidRPr="00186695">
        <w:rPr>
          <w:noProof/>
          <w:lang w:val="en-IN" w:eastAsia="en-IN"/>
        </w:rPr>
        <w:drawing>
          <wp:inline distT="0" distB="0" distL="0" distR="0" wp14:anchorId="54BFEB91" wp14:editId="39815DAA">
            <wp:extent cx="4718649" cy="2818329"/>
            <wp:effectExtent l="0" t="0" r="6350" b="1270"/>
            <wp:docPr id="18" name="Picture 18" descr="A white shee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white sheet with black text&#10;&#10;AI-generated content may be incorrect."/>
                    <pic:cNvPicPr/>
                  </pic:nvPicPr>
                  <pic:blipFill>
                    <a:blip r:embed="rId33">
                      <a:extLst>
                        <a:ext uri="{BEBA8EAE-BF5A-486C-A8C5-ECC9F3942E4B}">
                          <a14:imgProps xmlns:a14="http://schemas.microsoft.com/office/drawing/2010/main">
                            <a14:imgLayer r:embed="rId34">
                              <a14:imgEffect>
                                <a14:sharpenSoften amount="25000"/>
                              </a14:imgEffect>
                            </a14:imgLayer>
                          </a14:imgProps>
                        </a:ext>
                      </a:extLst>
                    </a:blip>
                    <a:stretch>
                      <a:fillRect/>
                    </a:stretch>
                  </pic:blipFill>
                  <pic:spPr>
                    <a:xfrm>
                      <a:off x="0" y="0"/>
                      <a:ext cx="4723999" cy="2821524"/>
                    </a:xfrm>
                    <a:prstGeom prst="rect">
                      <a:avLst/>
                    </a:prstGeom>
                  </pic:spPr>
                </pic:pic>
              </a:graphicData>
            </a:graphic>
          </wp:inline>
        </w:drawing>
      </w:r>
    </w:p>
    <w:p w14:paraId="36E6720D" w14:textId="6CA50FF2" w:rsidR="00C54AC3" w:rsidRDefault="00C54AC3" w:rsidP="00C54AC3">
      <w:r>
        <w:t xml:space="preserve">When comparing INTG8 and </w:t>
      </w:r>
      <w:r w:rsidR="003C393E">
        <w:t>Forteo</w:t>
      </w:r>
      <w:r>
        <w:t xml:space="preserve">, </w:t>
      </w:r>
      <w:proofErr w:type="gramStart"/>
      <w:r>
        <w:t>Period(</w:t>
      </w:r>
      <w:proofErr w:type="gramEnd"/>
      <w:r>
        <w:t>Group) was found to be statistically significant for the ln-transformed E</w:t>
      </w:r>
      <w:r w:rsidRPr="00FC249A">
        <w:rPr>
          <w:vertAlign w:val="subscript"/>
        </w:rPr>
        <w:t>max</w:t>
      </w:r>
      <w:r>
        <w:t xml:space="preserve"> </w:t>
      </w:r>
      <w:r w:rsidR="00375E7E">
        <w:t>and AUEC</w:t>
      </w:r>
      <w:r w:rsidR="00375E7E" w:rsidRPr="00136F05">
        <w:rPr>
          <w:vertAlign w:val="subscript"/>
        </w:rPr>
        <w:t>0-t</w:t>
      </w:r>
      <w:r w:rsidR="00375E7E">
        <w:t xml:space="preserve"> </w:t>
      </w:r>
      <w:r>
        <w:t xml:space="preserve">of baseline non-adjusted corrected total serum calcium levels. </w:t>
      </w:r>
    </w:p>
    <w:p w14:paraId="2811573C" w14:textId="15DD5B50" w:rsidR="00C54AC3" w:rsidRDefault="00C54AC3" w:rsidP="00C54AC3">
      <w:pPr>
        <w:pStyle w:val="TableTitle"/>
      </w:pPr>
      <w:r>
        <w:t xml:space="preserve">Table </w:t>
      </w:r>
      <w:r w:rsidR="000C5A63">
        <w:t>1</w:t>
      </w:r>
      <w:r w:rsidR="00EA0B3A">
        <w:t>0</w:t>
      </w:r>
      <w:r>
        <w:t xml:space="preserve">: ANOVA p-values and Inter-subject CV for Corrected Total Serum Calcium Levels (INTG8 vs. </w:t>
      </w:r>
      <w:r w:rsidR="003C393E">
        <w:t>Forsteo</w:t>
      </w:r>
      <w:r>
        <w:t>)</w:t>
      </w:r>
    </w:p>
    <w:p w14:paraId="179185D4" w14:textId="5B6F659B" w:rsidR="00C54AC3" w:rsidRDefault="00232776" w:rsidP="0019218A">
      <w:r w:rsidRPr="00186695">
        <w:rPr>
          <w:noProof/>
          <w:lang w:val="en-IN" w:eastAsia="en-IN"/>
        </w:rPr>
        <w:drawing>
          <wp:inline distT="0" distB="0" distL="0" distR="0" wp14:anchorId="5B99D34F" wp14:editId="17BC17C2">
            <wp:extent cx="4670930" cy="3053751"/>
            <wp:effectExtent l="0" t="0" r="0" b="0"/>
            <wp:docPr id="14" name="Picture 14" descr="A white shee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white sheet with black text&#10;&#10;AI-generated content may be incorrect."/>
                    <pic:cNvPicPr/>
                  </pic:nvPicPr>
                  <pic:blipFill>
                    <a:blip r:embed="rId35">
                      <a:extLst>
                        <a:ext uri="{BEBA8EAE-BF5A-486C-A8C5-ECC9F3942E4B}">
                          <a14:imgProps xmlns:a14="http://schemas.microsoft.com/office/drawing/2010/main">
                            <a14:imgLayer r:embed="rId36">
                              <a14:imgEffect>
                                <a14:sharpenSoften amount="25000"/>
                              </a14:imgEffect>
                            </a14:imgLayer>
                          </a14:imgProps>
                        </a:ext>
                      </a:extLst>
                    </a:blip>
                    <a:stretch>
                      <a:fillRect/>
                    </a:stretch>
                  </pic:blipFill>
                  <pic:spPr>
                    <a:xfrm>
                      <a:off x="0" y="0"/>
                      <a:ext cx="4677631" cy="3058132"/>
                    </a:xfrm>
                    <a:prstGeom prst="rect">
                      <a:avLst/>
                    </a:prstGeom>
                  </pic:spPr>
                </pic:pic>
              </a:graphicData>
            </a:graphic>
          </wp:inline>
        </w:drawing>
      </w:r>
    </w:p>
    <w:p w14:paraId="0F3650EF" w14:textId="2BC7505D" w:rsidR="00862138" w:rsidRDefault="00862138" w:rsidP="00862138">
      <w:r w:rsidRPr="00862138">
        <w:t xml:space="preserve">When comparing INTG8 and </w:t>
      </w:r>
      <w:r w:rsidR="003C393E">
        <w:t>Forsteo</w:t>
      </w:r>
      <w:r w:rsidRPr="00862138">
        <w:t>, the following effects were found to be statistically significant for the ln-transformed E</w:t>
      </w:r>
      <w:r w:rsidRPr="00FC249A">
        <w:rPr>
          <w:vertAlign w:val="subscript"/>
        </w:rPr>
        <w:t xml:space="preserve">max </w:t>
      </w:r>
      <w:r w:rsidRPr="00862138">
        <w:t xml:space="preserve">of baseline non-adjusted corrected total serum calcium levels: Group, Sequence*Group, </w:t>
      </w:r>
      <w:proofErr w:type="gramStart"/>
      <w:r w:rsidRPr="00862138">
        <w:t>Period(</w:t>
      </w:r>
      <w:proofErr w:type="gramEnd"/>
      <w:r w:rsidRPr="00862138">
        <w:t xml:space="preserve">Group) and </w:t>
      </w:r>
      <w:proofErr w:type="gramStart"/>
      <w:r w:rsidRPr="00862138">
        <w:t>Subject(</w:t>
      </w:r>
      <w:proofErr w:type="gramEnd"/>
      <w:r w:rsidRPr="00862138">
        <w:t>Sequence*Group) effects. Regarding the ln-transformed AUEC</w:t>
      </w:r>
      <w:r w:rsidRPr="00746359">
        <w:rPr>
          <w:vertAlign w:val="subscript"/>
        </w:rPr>
        <w:t>0-t</w:t>
      </w:r>
      <w:r w:rsidRPr="00862138">
        <w:t xml:space="preserve"> of baseline non-adjusted corrected total serum calcium levels, only </w:t>
      </w:r>
      <w:proofErr w:type="gramStart"/>
      <w:r w:rsidRPr="00862138">
        <w:t>Subject(</w:t>
      </w:r>
      <w:proofErr w:type="gramEnd"/>
      <w:r w:rsidRPr="00862138">
        <w:t xml:space="preserve">Sequence*Group) effect was found to be statistically significant.  </w:t>
      </w:r>
    </w:p>
    <w:p w14:paraId="4A17ADBC" w14:textId="77777777" w:rsidR="007F0058" w:rsidRDefault="007F0058" w:rsidP="00285219">
      <w:pPr>
        <w:pStyle w:val="Heading6"/>
      </w:pPr>
      <w:r>
        <w:lastRenderedPageBreak/>
        <w:t>Evaluator’s overall conclusions on pharmacodynamics</w:t>
      </w:r>
    </w:p>
    <w:p w14:paraId="0970E6B5" w14:textId="4A44FFED" w:rsidR="007F0058" w:rsidRDefault="007F0058" w:rsidP="007F0058">
      <w:r>
        <w:t xml:space="preserve">Teriparatide has been synthesised to mimic the biologically active region of endogenous parathyroid hormone and therefore matches the binding to specific receptors at the same affinity as PTH. It is expected that the pharmacodynamics of teriparatide will also match the reference product </w:t>
      </w:r>
      <w:r w:rsidR="003C393E">
        <w:t>Forteo</w:t>
      </w:r>
      <w:r>
        <w:t>.</w:t>
      </w:r>
    </w:p>
    <w:p w14:paraId="4B4F6653" w14:textId="2CEB52BF" w:rsidR="007F0058" w:rsidRDefault="007F0058" w:rsidP="007F0058">
      <w:r>
        <w:t>The total corrected calcium levels data from Study 0258-20 were calculated from all 105 subjects. The geometric LSM ratios for baseline non-adjusted E</w:t>
      </w:r>
      <w:r w:rsidRPr="00FC249A">
        <w:rPr>
          <w:vertAlign w:val="subscript"/>
        </w:rPr>
        <w:t>max</w:t>
      </w:r>
      <w:r>
        <w:t xml:space="preserve"> and AUE</w:t>
      </w:r>
      <w:r w:rsidRPr="00FC249A">
        <w:rPr>
          <w:vertAlign w:val="subscript"/>
        </w:rPr>
        <w:t>C0-t</w:t>
      </w:r>
      <w:r>
        <w:t xml:space="preserve"> were 99.9% and 101.6% respectively for INTG8 vs. </w:t>
      </w:r>
      <w:r w:rsidR="003C393E">
        <w:t>Forteo</w:t>
      </w:r>
      <w:r>
        <w:t xml:space="preserve"> and 99.9% and 100.1% respectively for INTG8 vs. </w:t>
      </w:r>
      <w:r w:rsidR="003C393E">
        <w:t>Forsteo</w:t>
      </w:r>
      <w:r>
        <w:t>.</w:t>
      </w:r>
    </w:p>
    <w:p w14:paraId="40155D50" w14:textId="77777777" w:rsidR="007F0058" w:rsidRDefault="007F0058" w:rsidP="007F0058">
      <w:r>
        <w:t>The above two tables also present baseline-adjusted data. However, as a secondary endpoint, the study was not powered to compare baseline-adjusted data.</w:t>
      </w:r>
    </w:p>
    <w:p w14:paraId="6CD62554" w14:textId="1361BA1E" w:rsidR="007F0058" w:rsidRDefault="007F0058" w:rsidP="007F0058">
      <w:r>
        <w:t xml:space="preserve">Overall, Study 0258-20 demonstrates evidence that </w:t>
      </w:r>
      <w:r w:rsidR="003C393E">
        <w:t>Sondelbay</w:t>
      </w:r>
      <w:r w:rsidR="00FC3998" w:rsidRPr="00790092">
        <w:rPr>
          <w:szCs w:val="22"/>
        </w:rPr>
        <w:t xml:space="preserve">, </w:t>
      </w:r>
      <w:r w:rsidR="003C393E">
        <w:rPr>
          <w:szCs w:val="22"/>
        </w:rPr>
        <w:t>Teriparintas</w:t>
      </w:r>
      <w:r w:rsidR="00FC3998" w:rsidRPr="00790092">
        <w:rPr>
          <w:szCs w:val="22"/>
        </w:rPr>
        <w:t xml:space="preserve">, and </w:t>
      </w:r>
      <w:r w:rsidR="003C393E">
        <w:rPr>
          <w:szCs w:val="22"/>
        </w:rPr>
        <w:t>Teriparaccord</w:t>
      </w:r>
      <w:r w:rsidR="00FC3998">
        <w:t xml:space="preserve"> </w:t>
      </w:r>
      <w:r>
        <w:t xml:space="preserve">is a biosimilar of </w:t>
      </w:r>
      <w:r w:rsidR="003C393E">
        <w:t>Forteo</w:t>
      </w:r>
      <w:r>
        <w:t xml:space="preserve"> and </w:t>
      </w:r>
      <w:r w:rsidR="003C393E">
        <w:t>Forsteo</w:t>
      </w:r>
      <w:r>
        <w:t>.</w:t>
      </w:r>
    </w:p>
    <w:p w14:paraId="1019BBED" w14:textId="57900EE9" w:rsidR="007F0058" w:rsidRDefault="00F905E5" w:rsidP="00F905E5">
      <w:pPr>
        <w:pStyle w:val="Heading4"/>
      </w:pPr>
      <w:bookmarkStart w:id="64" w:name="_Toc216790329"/>
      <w:r w:rsidRPr="00F905E5">
        <w:t>Efficacy</w:t>
      </w:r>
      <w:bookmarkEnd w:id="64"/>
    </w:p>
    <w:p w14:paraId="370E9AD2" w14:textId="5DD397A9" w:rsidR="00E61050" w:rsidRDefault="00E61050" w:rsidP="00E61050">
      <w:r>
        <w:t xml:space="preserve">No study for </w:t>
      </w:r>
      <w:r w:rsidR="003C393E">
        <w:t>Sondelbay</w:t>
      </w:r>
      <w:r>
        <w:t xml:space="preserve"> has been performed solely to assess efficacy. This submission contained Study 0258-20 which included efficacy data and consisted of a comparative PK study comprising healthy subjects and used serum calcium as a pharmacodynamic parameter.  </w:t>
      </w:r>
      <w:proofErr w:type="gramStart"/>
      <w:r>
        <w:t>Therefore</w:t>
      </w:r>
      <w:proofErr w:type="gramEnd"/>
      <w:r>
        <w:t xml:space="preserve"> the main question for the clinical evaluation was not to ascertain the absolute level of efficacy of </w:t>
      </w:r>
      <w:r w:rsidR="003C393E">
        <w:t>Sondelbay</w:t>
      </w:r>
      <w:r>
        <w:t xml:space="preserve">, but to determine bioequivalence between it and the reference products </w:t>
      </w:r>
      <w:r w:rsidR="003C393E">
        <w:t>Forteo</w:t>
      </w:r>
      <w:r>
        <w:t xml:space="preserve"> and </w:t>
      </w:r>
      <w:r w:rsidR="003C393E">
        <w:t>Forsteo</w:t>
      </w:r>
      <w:r>
        <w:t>.</w:t>
      </w:r>
    </w:p>
    <w:p w14:paraId="46564148" w14:textId="3188C611" w:rsidR="00E61050" w:rsidRDefault="00E61050" w:rsidP="00E61050">
      <w:r>
        <w:t xml:space="preserve">The </w:t>
      </w:r>
      <w:r w:rsidR="0002773E">
        <w:t>Sponsor</w:t>
      </w:r>
      <w:r>
        <w:t xml:space="preserve"> has proposed the same dosing regimen in their submitted PI as found in the PI of the existing approved formulation </w:t>
      </w:r>
      <w:r w:rsidR="003C393E">
        <w:t>Forteo</w:t>
      </w:r>
      <w:r>
        <w:t xml:space="preserve"> – the “recommended dose of </w:t>
      </w:r>
      <w:r w:rsidR="003C393E">
        <w:t>Sondelbay</w:t>
      </w:r>
      <w:r>
        <w:t xml:space="preserve"> is 20 micrograms administered once daily by subcutaneous injection in the thigh or abdomen”. The </w:t>
      </w:r>
      <w:r w:rsidR="0002773E">
        <w:t>Sponsor</w:t>
      </w:r>
      <w:r>
        <w:t xml:space="preserve"> has adhered to this </w:t>
      </w:r>
      <w:proofErr w:type="gramStart"/>
      <w:r>
        <w:t>20 microgram</w:t>
      </w:r>
      <w:proofErr w:type="gramEnd"/>
      <w:r>
        <w:t xml:space="preserve"> dose in their comparative PK/PD study 0258-20. </w:t>
      </w:r>
    </w:p>
    <w:p w14:paraId="76133C92" w14:textId="77777777" w:rsidR="00E61050" w:rsidRDefault="00E61050" w:rsidP="00E61050">
      <w:pPr>
        <w:pStyle w:val="Heading4"/>
      </w:pPr>
      <w:bookmarkStart w:id="65" w:name="_Toc216790330"/>
      <w:r>
        <w:t>Safety</w:t>
      </w:r>
      <w:bookmarkEnd w:id="65"/>
    </w:p>
    <w:p w14:paraId="50F5709D" w14:textId="5115F23A" w:rsidR="00E61050" w:rsidRDefault="00E61050" w:rsidP="00E61050">
      <w:r>
        <w:t xml:space="preserve">Although the primary objective of Study 0258-20 was focussed on demonstrating pharmacokinetic bioequivalence against reference products, it also aimed to assess and compare the local tolerance, safety and tolerability of </w:t>
      </w:r>
      <w:r w:rsidR="003C393E">
        <w:t>Sondelbay</w:t>
      </w:r>
      <w:r>
        <w:t xml:space="preserve"> against the reference products. The following data related to safety were collected from all 105 subjects from the study – adverse effects, clinical laboratory measurements, vital signs and 12-lead electrocardiograms (ECG).</w:t>
      </w:r>
    </w:p>
    <w:p w14:paraId="72EE1C7C" w14:textId="77777777" w:rsidR="00E61050" w:rsidRDefault="00E61050" w:rsidP="00E61050">
      <w:pPr>
        <w:pStyle w:val="Heading5"/>
      </w:pPr>
      <w:r>
        <w:t>Patient exposure</w:t>
      </w:r>
    </w:p>
    <w:p w14:paraId="33C7BF01" w14:textId="69FDDF28" w:rsidR="00E61050" w:rsidRDefault="00E61050" w:rsidP="00E61050">
      <w:r>
        <w:t xml:space="preserve">The known patient exposure to the </w:t>
      </w:r>
      <w:r w:rsidR="0002773E">
        <w:t>Sponsor</w:t>
      </w:r>
      <w:r>
        <w:t xml:space="preserve">’s teriparatide product is limited to the data from Study 0258-20 presented in the Dossier. In that study, each of the 105 subjects were administered a single 20 microgram dose of INTG8, </w:t>
      </w:r>
      <w:r w:rsidR="003C393E">
        <w:t>Forsteo</w:t>
      </w:r>
      <w:r>
        <w:t xml:space="preserve"> or </w:t>
      </w:r>
      <w:r w:rsidR="003C393E">
        <w:t>Forteo</w:t>
      </w:r>
      <w:r>
        <w:t xml:space="preserve"> in each study period. All 105 were included in the safety assessment – also defined as the safety set.</w:t>
      </w:r>
    </w:p>
    <w:p w14:paraId="63C59AB4" w14:textId="77777777" w:rsidR="0019218A" w:rsidRDefault="00E61050" w:rsidP="0019218A">
      <w:pPr>
        <w:pStyle w:val="TableTitle"/>
      </w:pPr>
      <w:r>
        <w:t xml:space="preserve">Table </w:t>
      </w:r>
      <w:r w:rsidR="000C5A63">
        <w:t>1</w:t>
      </w:r>
      <w:r w:rsidR="00FA2076">
        <w:t>1</w:t>
      </w:r>
      <w:r>
        <w:t>: Extent of Exposure</w:t>
      </w:r>
    </w:p>
    <w:p w14:paraId="7C1E9692" w14:textId="2F18C18A" w:rsidR="00E61050" w:rsidRDefault="00686CFD" w:rsidP="0019218A">
      <w:r w:rsidRPr="003B3809">
        <w:rPr>
          <w:noProof/>
          <w:lang w:val="en-IN" w:eastAsia="en-IN"/>
        </w:rPr>
        <w:drawing>
          <wp:inline distT="0" distB="0" distL="0" distR="0" wp14:anchorId="73367186" wp14:editId="6AA5A790">
            <wp:extent cx="5016220" cy="1173193"/>
            <wp:effectExtent l="0" t="0" r="0" b="8255"/>
            <wp:docPr id="4" name="Picture 4"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white paper with black text&#10;&#10;AI-generated content may be incorrect."/>
                    <pic:cNvPicPr/>
                  </pic:nvPicPr>
                  <pic:blipFill>
                    <a:blip r:embed="rId37"/>
                    <a:stretch>
                      <a:fillRect/>
                    </a:stretch>
                  </pic:blipFill>
                  <pic:spPr>
                    <a:xfrm>
                      <a:off x="0" y="0"/>
                      <a:ext cx="5039979" cy="1178750"/>
                    </a:xfrm>
                    <a:prstGeom prst="rect">
                      <a:avLst/>
                    </a:prstGeom>
                  </pic:spPr>
                </pic:pic>
              </a:graphicData>
            </a:graphic>
          </wp:inline>
        </w:drawing>
      </w:r>
    </w:p>
    <w:p w14:paraId="5C406FB5" w14:textId="262F2A19" w:rsidR="00E72815" w:rsidRDefault="00E72815" w:rsidP="00E72815">
      <w:pPr>
        <w:pStyle w:val="Heading5"/>
      </w:pPr>
      <w:r>
        <w:lastRenderedPageBreak/>
        <w:t>Adverse events</w:t>
      </w:r>
    </w:p>
    <w:p w14:paraId="572E2894" w14:textId="76966436" w:rsidR="00E72815" w:rsidRDefault="00E72815" w:rsidP="00E72815">
      <w:r>
        <w:t xml:space="preserve">Adverse events (AEs) were categorised according to MedDRA in </w:t>
      </w:r>
      <w:r w:rsidR="000C5A63">
        <w:t>Table 1</w:t>
      </w:r>
      <w:r w:rsidR="00FA2076">
        <w:t>2</w:t>
      </w:r>
      <w:r>
        <w:t>.</w:t>
      </w:r>
    </w:p>
    <w:p w14:paraId="21D2A1BA" w14:textId="4F961229" w:rsidR="003B3953" w:rsidRDefault="003B3953" w:rsidP="003B3953">
      <w:pPr>
        <w:pStyle w:val="TableTitle"/>
      </w:pPr>
      <w:r w:rsidRPr="003B3953">
        <w:t>Table 1</w:t>
      </w:r>
      <w:r w:rsidR="00FA2076">
        <w:t>2</w:t>
      </w:r>
      <w:r w:rsidRPr="003B3953">
        <w:t>: Summary of Adverse Events by System Organ Class (Safety Set)</w:t>
      </w:r>
    </w:p>
    <w:p w14:paraId="6AAC3041" w14:textId="6334B1F0" w:rsidR="004564E8" w:rsidRDefault="004564E8" w:rsidP="00E72815">
      <w:r w:rsidRPr="00A86B95">
        <w:rPr>
          <w:noProof/>
          <w:lang w:val="en-IN" w:eastAsia="en-IN"/>
        </w:rPr>
        <w:drawing>
          <wp:inline distT="0" distB="0" distL="0" distR="0" wp14:anchorId="01FF0989" wp14:editId="15578152">
            <wp:extent cx="4097547" cy="2948999"/>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BEBA8EAE-BF5A-486C-A8C5-ECC9F3942E4B}">
                          <a14:imgProps xmlns:a14="http://schemas.microsoft.com/office/drawing/2010/main">
                            <a14:imgLayer r:embed="rId39">
                              <a14:imgEffect>
                                <a14:sharpenSoften amount="50000"/>
                              </a14:imgEffect>
                            </a14:imgLayer>
                          </a14:imgProps>
                        </a:ext>
                      </a:extLst>
                    </a:blip>
                    <a:srcRect b="14222"/>
                    <a:stretch>
                      <a:fillRect/>
                    </a:stretch>
                  </pic:blipFill>
                  <pic:spPr bwMode="auto">
                    <a:xfrm>
                      <a:off x="0" y="0"/>
                      <a:ext cx="4103528" cy="2953303"/>
                    </a:xfrm>
                    <a:prstGeom prst="rect">
                      <a:avLst/>
                    </a:prstGeom>
                    <a:ln>
                      <a:noFill/>
                    </a:ln>
                    <a:extLst>
                      <a:ext uri="{53640926-AAD7-44D8-BBD7-CCE9431645EC}">
                        <a14:shadowObscured xmlns:a14="http://schemas.microsoft.com/office/drawing/2010/main"/>
                      </a:ext>
                    </a:extLst>
                  </pic:spPr>
                </pic:pic>
              </a:graphicData>
            </a:graphic>
          </wp:inline>
        </w:drawing>
      </w:r>
    </w:p>
    <w:p w14:paraId="0A4DE4B1" w14:textId="19709DD7" w:rsidR="00257472" w:rsidRDefault="00257472" w:rsidP="00257472">
      <w:pPr>
        <w:pStyle w:val="TableDescription"/>
      </w:pPr>
      <w:r>
        <w:t>N = Number of subjects in respective treatment.</w:t>
      </w:r>
    </w:p>
    <w:p w14:paraId="17BBE405" w14:textId="65E44736" w:rsidR="00257472" w:rsidRDefault="00257472" w:rsidP="00257472">
      <w:pPr>
        <w:pStyle w:val="TableDescription"/>
      </w:pPr>
      <w:r>
        <w:t>n = Number of subjects in respective categories; e = Number of events.</w:t>
      </w:r>
    </w:p>
    <w:p w14:paraId="1E2755E8" w14:textId="13FAAE92" w:rsidR="00257472" w:rsidRDefault="00257472" w:rsidP="00257472">
      <w:pPr>
        <w:pStyle w:val="TableDescription"/>
      </w:pPr>
      <w:r>
        <w:t>Percentages are based on total number of subjects in each category.</w:t>
      </w:r>
    </w:p>
    <w:p w14:paraId="66964F9A" w14:textId="2BC61494" w:rsidR="00257472" w:rsidRDefault="00257472" w:rsidP="00257472">
      <w:pPr>
        <w:pStyle w:val="TableDescription"/>
      </w:pPr>
      <w:r>
        <w:t>Each subject is counted at the most once within each PT.</w:t>
      </w:r>
    </w:p>
    <w:p w14:paraId="486B1E50" w14:textId="2E8F394F" w:rsidR="00257472" w:rsidRDefault="00257472" w:rsidP="00257472">
      <w:pPr>
        <w:pStyle w:val="TableDescription"/>
      </w:pPr>
      <w:r>
        <w:t>Adverse Events are coded using Medical Dictionary for Regulatory Activities (MedDRA) version 23.1.</w:t>
      </w:r>
    </w:p>
    <w:p w14:paraId="0696A6FA" w14:textId="4744D74A" w:rsidR="00065F66" w:rsidRDefault="00065F66" w:rsidP="00065F66">
      <w:r>
        <w:t xml:space="preserve">Nineteen AEs were reported by 13 (12.4%) of the 105 subjects, with 11 AEs in 8 (7.6%) of 105 subjects are they received INTG8, compared to 5 AEs in 4 subjects (3.8%) after </w:t>
      </w:r>
      <w:r w:rsidR="003C393E">
        <w:t>Forsteo</w:t>
      </w:r>
      <w:r>
        <w:t xml:space="preserve"> administration and 3 AEs in 3 subjects (2.9%) after </w:t>
      </w:r>
      <w:r w:rsidR="003C393E">
        <w:t>Forteo</w:t>
      </w:r>
      <w:r>
        <w:t xml:space="preserve"> was administered. All the AEs were assessed as mild. </w:t>
      </w:r>
    </w:p>
    <w:p w14:paraId="20FDCB30" w14:textId="77777777" w:rsidR="00C619EC" w:rsidRDefault="00C619EC" w:rsidP="00C619EC">
      <w:pPr>
        <w:pStyle w:val="Heading5"/>
      </w:pPr>
      <w:r>
        <w:t>Deaths and other serious adverse events</w:t>
      </w:r>
    </w:p>
    <w:p w14:paraId="4368B842" w14:textId="77777777" w:rsidR="00C619EC" w:rsidRDefault="00C619EC" w:rsidP="00C619EC">
      <w:r>
        <w:t>There were no deaths during study 0258-20. There were no other serious or significant adverse effects.</w:t>
      </w:r>
    </w:p>
    <w:p w14:paraId="23718692" w14:textId="77777777" w:rsidR="00C619EC" w:rsidRDefault="00C619EC" w:rsidP="00C619EC">
      <w:pPr>
        <w:pStyle w:val="Heading5"/>
      </w:pPr>
      <w:r>
        <w:t>Discontinuations due to adverse events</w:t>
      </w:r>
    </w:p>
    <w:p w14:paraId="55444EE1" w14:textId="77777777" w:rsidR="00C619EC" w:rsidRDefault="00C619EC" w:rsidP="00C619EC">
      <w:r>
        <w:t>No subject discontinued from the study due to adverse events.</w:t>
      </w:r>
    </w:p>
    <w:p w14:paraId="3892DE49" w14:textId="77777777" w:rsidR="00C619EC" w:rsidRDefault="00C619EC" w:rsidP="00C619EC">
      <w:pPr>
        <w:pStyle w:val="Heading5"/>
      </w:pPr>
      <w:r>
        <w:t>Liver function and liver toxicity</w:t>
      </w:r>
    </w:p>
    <w:p w14:paraId="777559A2" w14:textId="272DC679" w:rsidR="00C619EC" w:rsidRDefault="00C619EC" w:rsidP="00C619EC">
      <w:r>
        <w:t>The following laboratory variables (specific to liver function/toxicity) and the absolute change from the screening values were measured – these included AST, ALT, albumin, alkaline phosphatase, amylase, bilirubin, GGT.  According to P-values calculated based on ANOVA, there were no statistically significant changes measured, besides lip</w:t>
      </w:r>
      <w:r w:rsidR="00AD45FE">
        <w:t>ase</w:t>
      </w:r>
      <w:r>
        <w:t xml:space="preserve"> which was not considered clinically significant.</w:t>
      </w:r>
    </w:p>
    <w:p w14:paraId="3D86C8FD" w14:textId="77777777" w:rsidR="00DE5A6F" w:rsidRDefault="00DE5A6F" w:rsidP="00DE5A6F">
      <w:pPr>
        <w:pStyle w:val="Heading5"/>
      </w:pPr>
      <w:r>
        <w:t>Haematology and haematological toxicity</w:t>
      </w:r>
    </w:p>
    <w:p w14:paraId="76D978B6" w14:textId="77777777" w:rsidR="00DE5A6F" w:rsidRDefault="00DE5A6F" w:rsidP="00DE5A6F">
      <w:r>
        <w:t xml:space="preserve">Laboratory tests covering haematology-related markers were performed during screening </w:t>
      </w:r>
      <w:proofErr w:type="gramStart"/>
      <w:r>
        <w:t>and also</w:t>
      </w:r>
      <w:proofErr w:type="gramEnd"/>
      <w:r>
        <w:t xml:space="preserve"> at the end of the study (i.e. 28 days after the dose received in Period III). The laboratory </w:t>
      </w:r>
      <w:r>
        <w:lastRenderedPageBreak/>
        <w:t>reports at both time points were considered clinically acceptable for all subjects. Two subjects were found to have an increase in their white blood cell count and neutrophil count during their post-study safety assessment but were lost to follow-up.</w:t>
      </w:r>
    </w:p>
    <w:p w14:paraId="7681D2B2" w14:textId="77777777" w:rsidR="00DE5A6F" w:rsidRDefault="00DE5A6F" w:rsidP="00DE5A6F">
      <w:pPr>
        <w:pStyle w:val="Heading5"/>
      </w:pPr>
      <w:r>
        <w:t>Electrocardiograph findings and cardiovascular safety</w:t>
      </w:r>
    </w:p>
    <w:p w14:paraId="6D7D004E" w14:textId="12E8D185" w:rsidR="00DE5A6F" w:rsidRDefault="00DE5A6F" w:rsidP="00DE5A6F">
      <w:r>
        <w:t>Twelve-lead electrocardiograph recordings were performed at the following points in the study: – at screening, 5 hours (+/- 1 hour) after the dose in each period and at the end of the study. The study concluded that no subjects were found to have clinically significant ECG abnormalities. All subjects were deemed to have either normal or acceptable ECGs with a small number found to have sinus bradycardia which was deemed not to be clinically significant.</w:t>
      </w:r>
    </w:p>
    <w:p w14:paraId="6F81A419" w14:textId="77777777" w:rsidR="00DE5A6F" w:rsidRDefault="00DE5A6F" w:rsidP="00DE5A6F">
      <w:pPr>
        <w:pStyle w:val="Heading5"/>
      </w:pPr>
      <w:r>
        <w:t>Vital signs and clinical examination findings</w:t>
      </w:r>
    </w:p>
    <w:p w14:paraId="5B814559" w14:textId="77777777" w:rsidR="00DE5A6F" w:rsidRDefault="00DE5A6F" w:rsidP="00DE5A6F">
      <w:r>
        <w:t>Firstly, subjects with orthostatic hypotension were not included in the study. Parameters including blood pressure, respiratory rate, radial pulse rate and axillary body temperature were measured at pre-dose, 1-, 3- and 10-hours post-dose and during each clinical examination. The study concluded that none of the subjects had any clinically significant vital sign abnormalities.</w:t>
      </w:r>
    </w:p>
    <w:p w14:paraId="5A0C68F1" w14:textId="77777777" w:rsidR="00AD1416" w:rsidRDefault="00AD1416" w:rsidP="00AD1416">
      <w:pPr>
        <w:pStyle w:val="Heading5"/>
      </w:pPr>
      <w:r>
        <w:t>Serious skin reactions</w:t>
      </w:r>
    </w:p>
    <w:p w14:paraId="2922D8B8" w14:textId="57B2BEC9" w:rsidR="00AD1416" w:rsidRDefault="00AD1416" w:rsidP="00AD1416">
      <w:r>
        <w:t xml:space="preserve">In Study 0258-20, there were no reports of serious skin reactions. </w:t>
      </w:r>
    </w:p>
    <w:p w14:paraId="38E0DC4B" w14:textId="77777777" w:rsidR="00AD1416" w:rsidRDefault="00AD1416" w:rsidP="00AD1416">
      <w:pPr>
        <w:pStyle w:val="Heading5"/>
      </w:pPr>
      <w:r>
        <w:t>Safety related to drug-drug interactions and other interactions</w:t>
      </w:r>
    </w:p>
    <w:p w14:paraId="256FEDBC" w14:textId="13A57AD1" w:rsidR="00AD1416" w:rsidRDefault="00AD1416" w:rsidP="00AD1416">
      <w:r>
        <w:t xml:space="preserve">No studies relating to drug-drug interactions were included in this submission. Nevertheless, please see Section 4.2.6 of this report which discusses the potential drug interactions of teriparatide as found in the </w:t>
      </w:r>
      <w:r w:rsidR="003C393E">
        <w:t>Sondelbay</w:t>
      </w:r>
      <w:r>
        <w:t xml:space="preserve"> proposed PI (largely based on the reference product </w:t>
      </w:r>
      <w:r w:rsidR="003C393E">
        <w:t>Forteo</w:t>
      </w:r>
      <w:r>
        <w:t>).</w:t>
      </w:r>
    </w:p>
    <w:p w14:paraId="51FFF985" w14:textId="77777777" w:rsidR="00AD1416" w:rsidRDefault="00AD1416" w:rsidP="00AD1416">
      <w:pPr>
        <w:pStyle w:val="Heading5"/>
      </w:pPr>
      <w:r>
        <w:t>Post marketing experience</w:t>
      </w:r>
    </w:p>
    <w:p w14:paraId="3A636996" w14:textId="124088BB" w:rsidR="00065F66" w:rsidRDefault="00AD1416" w:rsidP="00AD1416">
      <w:r>
        <w:t xml:space="preserve">INTG8 has been marketed in India under the brand name “Terifrac” by Intas Pharmaceuticals Limited, India following its approval by the relevant Indian authorities on 1 November 2010 for the treatment of osteoporosis in postmenopausal women at high risk of fracture. The </w:t>
      </w:r>
      <w:r w:rsidR="0002773E">
        <w:t>Sponsor</w:t>
      </w:r>
      <w:r>
        <w:t xml:space="preserve"> has included Periodic Safety Update Reports (PSUR) from </w:t>
      </w:r>
      <w:r w:rsidR="007D04D4">
        <w:t xml:space="preserve">01 </w:t>
      </w:r>
      <w:r>
        <w:t xml:space="preserve">November 2010 to </w:t>
      </w:r>
      <w:r w:rsidR="007D04D4">
        <w:t xml:space="preserve">31 </w:t>
      </w:r>
      <w:r>
        <w:t xml:space="preserve">October </w:t>
      </w:r>
      <w:r w:rsidR="007D04D4">
        <w:t xml:space="preserve">2022 </w:t>
      </w:r>
      <w:r>
        <w:t xml:space="preserve">inclusive. During this </w:t>
      </w:r>
      <w:proofErr w:type="gramStart"/>
      <w:r>
        <w:t>particular period</w:t>
      </w:r>
      <w:proofErr w:type="gramEnd"/>
      <w:r>
        <w:t xml:space="preserve">, there were no reports of any spontaneous or serious adverse reactions with Terifrac received and no action was taken by regulatory bodies or Intas themselves regarding safety. </w:t>
      </w:r>
    </w:p>
    <w:p w14:paraId="0E4C668F" w14:textId="77777777" w:rsidR="006F1082" w:rsidRDefault="006F1082" w:rsidP="006F1082">
      <w:pPr>
        <w:pStyle w:val="Heading5"/>
      </w:pPr>
      <w:r>
        <w:t>Evaluator’s overall conclusions on clinical safety</w:t>
      </w:r>
    </w:p>
    <w:p w14:paraId="240736C5" w14:textId="3955A4E6" w:rsidR="006F1082" w:rsidRDefault="006F1082" w:rsidP="006F1082">
      <w:r>
        <w:t xml:space="preserve">The design of the study limits the ability to obtain safety data. There were only 105 subjects, and each subject had one dose of each of the three different products across 3 consecutive days. The sole laboratory measurements were performed 28 days after the third treatment for each subject, which made it particularly challenging to be able to link whether the three treatments had any impact on these measurements, let alone narrowing any impacts down to one single treatment. Also, the treatment period was not reflective of the typical duration of daily teriparatide treatment. Therefore, any rare, or slow-developing adverse events, or those triggered by cumulative exposure would be unlikely to be detected in this study, nor would an accurate reflection of </w:t>
      </w:r>
      <w:r w:rsidR="002F106B">
        <w:t xml:space="preserve">anti-drug antibodies </w:t>
      </w:r>
      <w:r>
        <w:t>be likely to develop during the study period.</w:t>
      </w:r>
    </w:p>
    <w:p w14:paraId="43CCED98" w14:textId="46F74E5A" w:rsidR="006F1082" w:rsidRDefault="006F1082" w:rsidP="00285219">
      <w:pPr>
        <w:pStyle w:val="Heading3"/>
      </w:pPr>
      <w:bookmarkStart w:id="66" w:name="_Toc216790331"/>
      <w:r>
        <w:lastRenderedPageBreak/>
        <w:t xml:space="preserve">Risk </w:t>
      </w:r>
      <w:r w:rsidR="0019218A">
        <w:t>management p</w:t>
      </w:r>
      <w:r>
        <w:t>lan evaluation</w:t>
      </w:r>
      <w:bookmarkEnd w:id="66"/>
    </w:p>
    <w:p w14:paraId="27C3CBBE" w14:textId="3E739C82" w:rsidR="006F1082" w:rsidRDefault="006F1082" w:rsidP="006F1082">
      <w:r>
        <w:t>A</w:t>
      </w:r>
      <w:r w:rsidR="00285219">
        <w:t xml:space="preserve"> </w:t>
      </w:r>
      <w:r w:rsidR="00285219" w:rsidRPr="00285219">
        <w:t>Risk Management Plan</w:t>
      </w:r>
      <w:r>
        <w:t xml:space="preserve"> </w:t>
      </w:r>
      <w:r w:rsidR="00285219">
        <w:t>(</w:t>
      </w:r>
      <w:r>
        <w:t>RMP</w:t>
      </w:r>
      <w:r w:rsidR="00285219">
        <w:t>)</w:t>
      </w:r>
      <w:r>
        <w:t xml:space="preserve"> was not provided with this biosimilar application which is acceptable.  </w:t>
      </w:r>
    </w:p>
    <w:p w14:paraId="1D6C049A" w14:textId="77777777" w:rsidR="006F1082" w:rsidRDefault="006F1082" w:rsidP="006F1082">
      <w:pPr>
        <w:pStyle w:val="Heading4"/>
      </w:pPr>
      <w:bookmarkStart w:id="67" w:name="_Toc216790332"/>
      <w:r>
        <w:t>Discussion</w:t>
      </w:r>
      <w:bookmarkEnd w:id="67"/>
    </w:p>
    <w:p w14:paraId="53F953D9" w14:textId="684EBC66" w:rsidR="006F1082" w:rsidRDefault="006F1082" w:rsidP="006F1082">
      <w:r>
        <w:t xml:space="preserve">INTG8 has been developed as a proposed biosimilar to </w:t>
      </w:r>
      <w:r w:rsidR="003C393E">
        <w:t>Forteo</w:t>
      </w:r>
      <w:r>
        <w:t xml:space="preserve"> (teriparatide), with comparable indication, proposed dose and route of administration.  </w:t>
      </w:r>
    </w:p>
    <w:p w14:paraId="1F1285C0" w14:textId="77777777" w:rsidR="006F1082" w:rsidRDefault="006F1082" w:rsidP="006F1082">
      <w:r>
        <w:t xml:space="preserve">It is noted that no dedicated efficacy study was submitted to support biosimilarity. Therefore, this application requires that similar efficacy and safety can be confidently deduced from the similarity of physicochemical characteristics, biological activity/potency, and PK and PD profiles of the biosimilar and the reference product. </w:t>
      </w:r>
    </w:p>
    <w:p w14:paraId="24A1C907" w14:textId="3A78CB92" w:rsidR="006F1082" w:rsidRDefault="006F1082" w:rsidP="006F1082">
      <w:r>
        <w:t xml:space="preserve">Comprehensive comparisons of physicochemical and biological quality attributes were undertaken to demonstrate biosimilarity of INTG8 to EU-sourced </w:t>
      </w:r>
      <w:r w:rsidR="003C393E">
        <w:t>Forteo</w:t>
      </w:r>
      <w:r>
        <w:t xml:space="preserve"> (</w:t>
      </w:r>
      <w:r w:rsidR="003C393E">
        <w:t>Forsteo</w:t>
      </w:r>
      <w:r>
        <w:t xml:space="preserve">). A bridging study demonstrated high similarity of Australian-sourced </w:t>
      </w:r>
      <w:r w:rsidR="003C393E">
        <w:t>Forteo</w:t>
      </w:r>
      <w:r>
        <w:t xml:space="preserve"> to EU-sourced </w:t>
      </w:r>
      <w:r w:rsidR="003C393E">
        <w:t>Forteo</w:t>
      </w:r>
      <w:r>
        <w:t xml:space="preserve"> (</w:t>
      </w:r>
      <w:r w:rsidR="003C393E">
        <w:t>Forsteo</w:t>
      </w:r>
      <w:r>
        <w:t>) supporting biosimilarity of INTG8 to the Australian reference product.</w:t>
      </w:r>
    </w:p>
    <w:p w14:paraId="12D67031" w14:textId="5355ABFF" w:rsidR="00065F66" w:rsidRDefault="006F1082" w:rsidP="006F1082">
      <w:r>
        <w:t xml:space="preserve">The clinical development consisted of one single dose PK study in healthy volunteers comparing three formulations of teriparatide (INTG8, EU sourced </w:t>
      </w:r>
      <w:r w:rsidR="003C393E">
        <w:t>Forteo</w:t>
      </w:r>
      <w:r>
        <w:t xml:space="preserve"> (</w:t>
      </w:r>
      <w:r w:rsidR="003C393E">
        <w:t>Forsteo</w:t>
      </w:r>
      <w:r>
        <w:t xml:space="preserve">) and US sourced </w:t>
      </w:r>
      <w:r w:rsidR="003C393E">
        <w:t>Forteo</w:t>
      </w:r>
      <w:r>
        <w:t xml:space="preserve">) to evaluate the pharmacokinetics, pharmacodynamics, safety, and immunogenicity of INTG8 compared to EU-sourced </w:t>
      </w:r>
      <w:r w:rsidR="003C393E">
        <w:t>Forteo</w:t>
      </w:r>
      <w:r>
        <w:t xml:space="preserve"> (</w:t>
      </w:r>
      <w:r w:rsidR="003C393E">
        <w:t>Forsteo</w:t>
      </w:r>
      <w:r>
        <w:t xml:space="preserve">) and US-sourced </w:t>
      </w:r>
      <w:r w:rsidR="003C393E">
        <w:t>Forteo</w:t>
      </w:r>
      <w:r>
        <w:t>.  The Study was evaluated as being satisfactory. For PK, the 90% CIs of the geometric LSM ratios, derived from the analysis on the ln-transformed C</w:t>
      </w:r>
      <w:r w:rsidRPr="006F1082">
        <w:rPr>
          <w:vertAlign w:val="subscript"/>
        </w:rPr>
        <w:t>max</w:t>
      </w:r>
      <w:r>
        <w:t>, AUC</w:t>
      </w:r>
      <w:r w:rsidRPr="006F1082">
        <w:rPr>
          <w:vertAlign w:val="subscript"/>
        </w:rPr>
        <w:t>0-t</w:t>
      </w:r>
      <w:r>
        <w:t xml:space="preserve"> and AUC</w:t>
      </w:r>
      <w:r w:rsidRPr="006F1082">
        <w:rPr>
          <w:vertAlign w:val="subscript"/>
        </w:rPr>
        <w:t>0-∞</w:t>
      </w:r>
      <w:r>
        <w:t xml:space="preserve"> of INTG8 relative to EU-sourced </w:t>
      </w:r>
      <w:r w:rsidR="003C393E">
        <w:t>Forteo</w:t>
      </w:r>
      <w:r>
        <w:t xml:space="preserve"> (</w:t>
      </w:r>
      <w:r w:rsidR="003C393E">
        <w:t>Forsteo</w:t>
      </w:r>
      <w:r>
        <w:t>) were within the acceptance range of 80% to 125%. Bioequivalence was also demonstrated for other comparisons including the US reference product.  PD data is also considered supportive.</w:t>
      </w:r>
    </w:p>
    <w:p w14:paraId="21BF56E2" w14:textId="77777777" w:rsidR="00786A19" w:rsidRDefault="00786A19" w:rsidP="00786A19">
      <w:pPr>
        <w:pStyle w:val="Heading5"/>
      </w:pPr>
      <w:r>
        <w:t>Conclusions</w:t>
      </w:r>
    </w:p>
    <w:p w14:paraId="1E510794" w14:textId="562ECEBB" w:rsidR="00786A19" w:rsidRDefault="00786A19" w:rsidP="00786A19">
      <w:r>
        <w:t xml:space="preserve">Biosimilarity of INTG8 to </w:t>
      </w:r>
      <w:r w:rsidR="003C393E">
        <w:t>Forteo</w:t>
      </w:r>
      <w:r>
        <w:t xml:space="preserve"> (teriparatide) has satisfactorily been demonstrated, and therefore a benefit/risk balance comparable to the reference product can be concluded</w:t>
      </w:r>
    </w:p>
    <w:p w14:paraId="307F236C" w14:textId="7FD19BD3" w:rsidR="00C22214" w:rsidRPr="002E238E" w:rsidRDefault="0046285C" w:rsidP="00C22214">
      <w:pPr>
        <w:pStyle w:val="Heading2"/>
      </w:pPr>
      <w:bookmarkStart w:id="68" w:name="_Toc247691532"/>
      <w:bookmarkStart w:id="69" w:name="_Toc314842516"/>
      <w:bookmarkStart w:id="70" w:name="_Toc103679300"/>
      <w:bookmarkStart w:id="71" w:name="_Toc216790333"/>
      <w:r>
        <w:t>Assessment</w:t>
      </w:r>
      <w:r w:rsidR="00190853">
        <w:t xml:space="preserve"> </w:t>
      </w:r>
      <w:r>
        <w:t>o</w:t>
      </w:r>
      <w:r w:rsidR="00C22214">
        <w:t>utcome</w:t>
      </w:r>
      <w:bookmarkEnd w:id="68"/>
      <w:bookmarkEnd w:id="69"/>
      <w:bookmarkEnd w:id="70"/>
      <w:bookmarkEnd w:id="71"/>
    </w:p>
    <w:p w14:paraId="4EF22939" w14:textId="4E7AA859" w:rsidR="00C22214" w:rsidRDefault="00C22214" w:rsidP="0006104E">
      <w:r w:rsidRPr="0017005C">
        <w:t xml:space="preserve">Based on a review of quality, safety, and efficacy, the TGA </w:t>
      </w:r>
      <w:r w:rsidR="00B46DFB">
        <w:t>decided to</w:t>
      </w:r>
      <w:r w:rsidRPr="0017005C">
        <w:t xml:space="preserve"> regist</w:t>
      </w:r>
      <w:r w:rsidR="00B46DFB">
        <w:t>er</w:t>
      </w:r>
      <w:r w:rsidRPr="0017005C">
        <w:t xml:space="preserve"> </w:t>
      </w:r>
      <w:r w:rsidR="003C393E">
        <w:t>Sondelbay</w:t>
      </w:r>
      <w:r w:rsidR="006311B5" w:rsidRPr="006311B5">
        <w:t xml:space="preserve">, </w:t>
      </w:r>
      <w:r w:rsidR="003C393E">
        <w:t>Teriparintas</w:t>
      </w:r>
      <w:r w:rsidR="006311B5" w:rsidRPr="006311B5">
        <w:t xml:space="preserve"> and </w:t>
      </w:r>
      <w:r w:rsidR="003C393E">
        <w:t>Teriparaccord</w:t>
      </w:r>
      <w:r w:rsidR="006311B5" w:rsidRPr="006311B5">
        <w:t xml:space="preserve"> </w:t>
      </w:r>
      <w:r w:rsidR="006311B5">
        <w:t>(</w:t>
      </w:r>
      <w:r w:rsidR="006311B5" w:rsidRPr="006311B5">
        <w:t>teriparatide</w:t>
      </w:r>
      <w:r w:rsidR="006311B5">
        <w:t>)</w:t>
      </w:r>
      <w:r w:rsidRPr="0017005C">
        <w:t xml:space="preserve"> for the following indications:</w:t>
      </w:r>
    </w:p>
    <w:p w14:paraId="5ECAB55A" w14:textId="5C90D032" w:rsidR="00EE7CE7" w:rsidRPr="0019218A" w:rsidRDefault="003C393E" w:rsidP="0019218A">
      <w:pPr>
        <w:ind w:left="720"/>
        <w:rPr>
          <w:i/>
          <w:iCs/>
        </w:rPr>
      </w:pPr>
      <w:r w:rsidRPr="0019218A">
        <w:rPr>
          <w:i/>
          <w:iCs/>
        </w:rPr>
        <w:t>Sondelbay</w:t>
      </w:r>
      <w:r w:rsidR="00EE7CE7" w:rsidRPr="0019218A">
        <w:rPr>
          <w:i/>
          <w:iCs/>
        </w:rPr>
        <w:t xml:space="preserve">, </w:t>
      </w:r>
      <w:r w:rsidRPr="0019218A">
        <w:rPr>
          <w:i/>
          <w:iCs/>
        </w:rPr>
        <w:t>Teriparintas</w:t>
      </w:r>
      <w:r w:rsidR="00EE7CE7" w:rsidRPr="0019218A">
        <w:rPr>
          <w:i/>
          <w:iCs/>
        </w:rPr>
        <w:t xml:space="preserve">, and </w:t>
      </w:r>
      <w:r w:rsidRPr="0019218A">
        <w:rPr>
          <w:i/>
          <w:iCs/>
        </w:rPr>
        <w:t>Teriparaccord</w:t>
      </w:r>
      <w:r w:rsidR="00EE7CE7" w:rsidRPr="0019218A">
        <w:rPr>
          <w:i/>
          <w:iCs/>
        </w:rPr>
        <w:t xml:space="preserve"> are indicated for the treatment of osteoporosis in postmenopausal women and the treatment of primary osteoporosis in men when other agents are considered unsuitable and when there is a high risk of fractures.</w:t>
      </w:r>
    </w:p>
    <w:p w14:paraId="5CF3960D" w14:textId="408FFFD5" w:rsidR="006D3D57" w:rsidRPr="0019218A" w:rsidRDefault="003C393E" w:rsidP="0019218A">
      <w:pPr>
        <w:ind w:left="720"/>
        <w:rPr>
          <w:i/>
          <w:iCs/>
        </w:rPr>
      </w:pPr>
      <w:r w:rsidRPr="0019218A">
        <w:rPr>
          <w:i/>
          <w:iCs/>
        </w:rPr>
        <w:t>Sondelbay</w:t>
      </w:r>
      <w:r w:rsidR="00EE7CE7" w:rsidRPr="0019218A">
        <w:rPr>
          <w:i/>
          <w:iCs/>
        </w:rPr>
        <w:t xml:space="preserve">, </w:t>
      </w:r>
      <w:r w:rsidRPr="0019218A">
        <w:rPr>
          <w:i/>
          <w:iCs/>
        </w:rPr>
        <w:t>Teriparintas</w:t>
      </w:r>
      <w:r w:rsidR="00EE7CE7" w:rsidRPr="0019218A">
        <w:rPr>
          <w:i/>
          <w:iCs/>
        </w:rPr>
        <w:t xml:space="preserve">, and </w:t>
      </w:r>
      <w:r w:rsidRPr="0019218A">
        <w:rPr>
          <w:i/>
          <w:iCs/>
        </w:rPr>
        <w:t>Teriparaccord</w:t>
      </w:r>
      <w:r w:rsidR="00EE7CE7" w:rsidRPr="0019218A">
        <w:rPr>
          <w:i/>
          <w:iCs/>
        </w:rPr>
        <w:t xml:space="preserve"> are indicated for the treatment of osteoporosis associated with sustained systemic glucocorticoid therapy in women and men at high risk for fracture</w:t>
      </w:r>
    </w:p>
    <w:p w14:paraId="0D732DA4" w14:textId="74882685" w:rsidR="00854D98" w:rsidRPr="00D23139" w:rsidRDefault="00854D98" w:rsidP="006D3D57">
      <w:pPr>
        <w:pStyle w:val="Heading4"/>
      </w:pPr>
      <w:bookmarkStart w:id="72" w:name="_Toc216790334"/>
      <w:bookmarkStart w:id="73" w:name="_Toc103679301"/>
      <w:r w:rsidRPr="00D23139">
        <w:t>Specific conditions of registration</w:t>
      </w:r>
      <w:bookmarkEnd w:id="72"/>
      <w:r w:rsidRPr="00D23139">
        <w:t xml:space="preserve"> </w:t>
      </w:r>
      <w:bookmarkEnd w:id="73"/>
    </w:p>
    <w:p w14:paraId="78B8B60F" w14:textId="5637E3F8" w:rsidR="00B15805" w:rsidRPr="00B15805" w:rsidRDefault="00B15805" w:rsidP="00B15805">
      <w:pPr>
        <w:rPr>
          <w:b/>
          <w:bCs/>
          <w:szCs w:val="22"/>
        </w:rPr>
      </w:pPr>
      <w:r w:rsidRPr="00B15805">
        <w:rPr>
          <w:b/>
          <w:bCs/>
          <w:szCs w:val="22"/>
        </w:rPr>
        <w:t>Laboratory testing &amp; compliance with Certified Product Details (CPD)</w:t>
      </w:r>
    </w:p>
    <w:p w14:paraId="21EABE63" w14:textId="5FA18E2C" w:rsidR="00B15805" w:rsidRPr="00B15805" w:rsidRDefault="00B15805" w:rsidP="00B15805">
      <w:pPr>
        <w:pStyle w:val="ListBullet"/>
      </w:pPr>
      <w:r w:rsidRPr="00B15805">
        <w:t xml:space="preserve">All batches of </w:t>
      </w:r>
      <w:r w:rsidR="003C393E">
        <w:t>Sondelbay</w:t>
      </w:r>
      <w:r w:rsidRPr="00B15805">
        <w:t xml:space="preserve">/ </w:t>
      </w:r>
      <w:r w:rsidR="003C393E">
        <w:t>Teriparintas</w:t>
      </w:r>
      <w:r w:rsidRPr="00B15805">
        <w:t xml:space="preserve">/ </w:t>
      </w:r>
      <w:r w:rsidR="003C393E">
        <w:t>Teriparaccord</w:t>
      </w:r>
      <w:r w:rsidRPr="00B15805">
        <w:t xml:space="preserve"> supplied in Australia must comply with the product details and specifications approved during evaluation and detailed in the Certified Product Details (CPD).</w:t>
      </w:r>
    </w:p>
    <w:p w14:paraId="1DFBD296" w14:textId="61BAB8EA" w:rsidR="00B15805" w:rsidRPr="00B15805" w:rsidRDefault="00B15805" w:rsidP="00D128C0">
      <w:pPr>
        <w:pStyle w:val="ListBullet"/>
      </w:pPr>
      <w:r w:rsidRPr="00B15805">
        <w:lastRenderedPageBreak/>
        <w:t xml:space="preserve">When requested by the TGA, the </w:t>
      </w:r>
      <w:r w:rsidR="0002773E">
        <w:t>Sponsor</w:t>
      </w:r>
      <w:r w:rsidRPr="00B15805">
        <w:t xml:space="preserve"> should be prepared to provide product samples, specified reference materials and documentary evidence to enable the TGA to</w:t>
      </w:r>
      <w:r>
        <w:t xml:space="preserve"> </w:t>
      </w:r>
      <w:r w:rsidRPr="00B15805">
        <w:t>conduct laboratory testing on the Product. Outcomes of laboratory testing are published biannually in the TGA Database of Laboratory Testing Results http://www.tga.gov.au/ws-labs-index and periodically in testing reports on the TGA website.</w:t>
      </w:r>
    </w:p>
    <w:p w14:paraId="60CA98EF" w14:textId="470C1E82" w:rsidR="00B15805" w:rsidRPr="00B15805" w:rsidRDefault="00B15805" w:rsidP="00B15805">
      <w:pPr>
        <w:rPr>
          <w:b/>
          <w:bCs/>
          <w:szCs w:val="22"/>
        </w:rPr>
      </w:pPr>
      <w:r w:rsidRPr="00B15805">
        <w:rPr>
          <w:b/>
          <w:bCs/>
          <w:szCs w:val="22"/>
        </w:rPr>
        <w:t xml:space="preserve">Certified </w:t>
      </w:r>
      <w:r w:rsidR="0019218A" w:rsidRPr="00B15805">
        <w:rPr>
          <w:b/>
          <w:bCs/>
          <w:szCs w:val="22"/>
        </w:rPr>
        <w:t>product details</w:t>
      </w:r>
    </w:p>
    <w:p w14:paraId="326CD67C" w14:textId="77777777" w:rsidR="00B15805" w:rsidRPr="00B15805" w:rsidRDefault="00B15805" w:rsidP="00B15805">
      <w:pPr>
        <w:rPr>
          <w:szCs w:val="22"/>
        </w:rPr>
      </w:pPr>
      <w:r w:rsidRPr="00B15805">
        <w:rPr>
          <w:szCs w:val="22"/>
        </w:rPr>
        <w:t>The Certified Product Details (CPD), as described in Guidance 7: Certified Product Details of the Australian Regulatory Guidelines for Prescription Medicines (ARGPM), in PDF format, for the above products should be provided upon registration of these therapeutic goods. In addition, an updated CPD should be provided when changes to finished product specifications and test methods are approved in a Category 3 application or notified through a self-assessable change.</w:t>
      </w:r>
    </w:p>
    <w:p w14:paraId="146D2CAA" w14:textId="77777777" w:rsidR="00B15805" w:rsidRPr="00B15805" w:rsidRDefault="00B15805" w:rsidP="00B15805">
      <w:pPr>
        <w:rPr>
          <w:szCs w:val="22"/>
        </w:rPr>
      </w:pPr>
      <w:r w:rsidRPr="00B15805">
        <w:rPr>
          <w:szCs w:val="22"/>
        </w:rPr>
        <w:t>A template for preparation of CPD for biological prescription medicines can be obtained from the TGA website</w:t>
      </w:r>
    </w:p>
    <w:p w14:paraId="3B573286" w14:textId="7DB8DF5F" w:rsidR="00B15805" w:rsidRPr="00B15805" w:rsidRDefault="00B15805" w:rsidP="00B15805">
      <w:pPr>
        <w:rPr>
          <w:szCs w:val="22"/>
        </w:rPr>
      </w:pPr>
      <w:r w:rsidRPr="00B15805">
        <w:rPr>
          <w:szCs w:val="22"/>
        </w:rPr>
        <w:t xml:space="preserve">[for the form] </w:t>
      </w:r>
      <w:hyperlink r:id="rId40" w:history="1">
        <w:r w:rsidR="00696F74" w:rsidRPr="00B551A6">
          <w:rPr>
            <w:rStyle w:val="Hyperlink"/>
            <w:szCs w:val="22"/>
          </w:rPr>
          <w:t>https://www.tga.gov.au/resources/resources/forms/certified-product-details-cpd-biological-prescription-medicines</w:t>
        </w:r>
      </w:hyperlink>
      <w:r w:rsidR="00696F74">
        <w:rPr>
          <w:szCs w:val="22"/>
        </w:rPr>
        <w:t xml:space="preserve"> </w:t>
      </w:r>
    </w:p>
    <w:p w14:paraId="7C967F1B" w14:textId="7766FD1D" w:rsidR="00854D98" w:rsidRPr="00854D98" w:rsidRDefault="00B15805" w:rsidP="00B15805">
      <w:pPr>
        <w:rPr>
          <w:szCs w:val="22"/>
        </w:rPr>
      </w:pPr>
      <w:r w:rsidRPr="00B15805">
        <w:rPr>
          <w:szCs w:val="22"/>
        </w:rPr>
        <w:t xml:space="preserve">[for the CPD guidance] </w:t>
      </w:r>
      <w:hyperlink r:id="rId41" w:history="1">
        <w:r w:rsidR="00556416" w:rsidRPr="00B551A6">
          <w:rPr>
            <w:rStyle w:val="Hyperlink"/>
            <w:szCs w:val="22"/>
          </w:rPr>
          <w:t>https://www.tga.gov.au/resources/guidance/submitting-certified-product-details-cpd-biological-prescription-medicines</w:t>
        </w:r>
      </w:hyperlink>
      <w:r w:rsidR="00556416">
        <w:rPr>
          <w:szCs w:val="22"/>
        </w:rPr>
        <w:t xml:space="preserve"> </w:t>
      </w:r>
    </w:p>
    <w:p w14:paraId="0F9C1952" w14:textId="46BD475E" w:rsidR="00BA657C" w:rsidRPr="00BA657C" w:rsidRDefault="00BA657C" w:rsidP="0019218A">
      <w:pPr>
        <w:pStyle w:val="Heading2"/>
      </w:pPr>
      <w:bookmarkStart w:id="74" w:name="_Toc216790335"/>
      <w:bookmarkStart w:id="75" w:name="_Toc196738290"/>
      <w:r w:rsidRPr="00BA657C">
        <w:t>Product Information and Consumer Medicine Information</w:t>
      </w:r>
      <w:bookmarkEnd w:id="74"/>
      <w:r w:rsidRPr="00BA657C">
        <w:t xml:space="preserve"> </w:t>
      </w:r>
      <w:bookmarkEnd w:id="75"/>
    </w:p>
    <w:p w14:paraId="5F276616" w14:textId="6667B73D" w:rsidR="004D0933" w:rsidRPr="004D0933" w:rsidRDefault="004D0933" w:rsidP="004D0933">
      <w:bookmarkStart w:id="76" w:name="_Hlk200021736"/>
      <w:r w:rsidRPr="004D0933">
        <w:t xml:space="preserve">For the most recent Product Information (PI) and Consumer Medicine Information (CMI), please refer to the TGA </w:t>
      </w:r>
      <w:hyperlink r:id="rId42" w:history="1">
        <w:r w:rsidRPr="004D0933">
          <w:rPr>
            <w:rStyle w:val="Hyperlink"/>
          </w:rPr>
          <w:t>PI/CMI search facility.</w:t>
        </w:r>
      </w:hyperlink>
    </w:p>
    <w:bookmarkEnd w:id="76"/>
    <w:p w14:paraId="40740B65" w14:textId="5819D664" w:rsidR="00C22214" w:rsidRPr="008B4DA3" w:rsidRDefault="00C22214" w:rsidP="00C22214">
      <w:pPr>
        <w:autoSpaceDE w:val="0"/>
        <w:autoSpaceDN w:val="0"/>
        <w:adjustRightInd w:val="0"/>
        <w:spacing w:after="0"/>
      </w:pPr>
    </w:p>
    <w:p w14:paraId="53357BF3" w14:textId="276457B5" w:rsidR="00C22214" w:rsidRDefault="00C22214" w:rsidP="00C22214">
      <w:pPr>
        <w:rPr>
          <w:lang w:eastAsia="ja-JP"/>
        </w:rPr>
        <w:sectPr w:rsidR="00C22214" w:rsidSect="007452E8">
          <w:headerReference w:type="default" r:id="rId43"/>
          <w:footerReference w:type="default" r:id="rId44"/>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3"/>
          <w:bookmarkEnd w:id="4"/>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53CB9479" w:rsidR="00F02AEC" w:rsidRDefault="00F02AEC">
            <w:pPr>
              <w:pStyle w:val="Address"/>
              <w:jc w:val="center"/>
              <w:rPr>
                <w:sz w:val="22"/>
                <w:szCs w:val="22"/>
              </w:rPr>
            </w:pPr>
            <w:r w:rsidRPr="00215D48">
              <w:t xml:space="preserve">Email: </w:t>
            </w:r>
            <w:hyperlink r:id="rId45" w:history="1">
              <w:r w:rsidRPr="00215D48">
                <w:rPr>
                  <w:rStyle w:val="Hyperlink"/>
                </w:rPr>
                <w:t>info@tga.gov.au</w:t>
              </w:r>
            </w:hyperlink>
            <w:r w:rsidRPr="00215D48">
              <w:t xml:space="preserve">  Phone: 1800 020 </w:t>
            </w:r>
            <w:proofErr w:type="gramStart"/>
            <w:r w:rsidRPr="00215D48">
              <w:t>653  Fax</w:t>
            </w:r>
            <w:proofErr w:type="gramEnd"/>
            <w:r w:rsidRPr="00215D48">
              <w:t xml:space="preserve">: </w:t>
            </w:r>
            <w:r w:rsidRPr="00BA0DFC">
              <w:t>02 6203 1605</w:t>
            </w:r>
          </w:p>
          <w:p w14:paraId="4533D80F" w14:textId="1519D7A3" w:rsidR="00F02AEC" w:rsidRPr="00215D48" w:rsidRDefault="00F02AEC">
            <w:pPr>
              <w:pStyle w:val="Address"/>
              <w:jc w:val="center"/>
              <w:rPr>
                <w:rStyle w:val="Hyperlink"/>
                <w:b/>
                <w:color w:val="auto"/>
                <w:sz w:val="22"/>
              </w:rPr>
            </w:pPr>
            <w:hyperlink r:id="rId46" w:history="1">
              <w:r w:rsidRPr="00C4721A">
                <w:rPr>
                  <w:rStyle w:val="Hyperlink"/>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77777777" w:rsidR="00F02AEC" w:rsidRPr="00215D48" w:rsidRDefault="00F02AEC" w:rsidP="007452E8">
            <w:pPr>
              <w:pStyle w:val="Address"/>
              <w:jc w:val="center"/>
            </w:pPr>
            <w:r w:rsidRPr="00215D48">
              <w:t>Reference/Publication #</w:t>
            </w:r>
          </w:p>
        </w:tc>
      </w:tr>
    </w:tbl>
    <w:p w14:paraId="788B80FD" w14:textId="77777777" w:rsidR="007452E8" w:rsidRDefault="007452E8"/>
    <w:sectPr w:rsidR="007452E8" w:rsidSect="007452E8">
      <w:headerReference w:type="first" r:id="rId47"/>
      <w:footerReference w:type="first" r:id="rId48"/>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BE49A3" w14:textId="77777777" w:rsidR="007A3AA5" w:rsidRDefault="007A3AA5" w:rsidP="00F02AEC">
      <w:pPr>
        <w:spacing w:after="0" w:line="240" w:lineRule="auto"/>
      </w:pPr>
      <w:r>
        <w:separator/>
      </w:r>
    </w:p>
  </w:endnote>
  <w:endnote w:type="continuationSeparator" w:id="0">
    <w:p w14:paraId="5CC71C6D" w14:textId="77777777" w:rsidR="007A3AA5" w:rsidRDefault="007A3AA5"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2CF40" w14:textId="0B547063" w:rsidR="001B05D4" w:rsidRDefault="001B05D4">
    <w:pPr>
      <w:pStyle w:val="Footer"/>
    </w:pPr>
    <w:r>
      <w:rPr>
        <w:noProof/>
        <w:lang w:val="en-IN" w:eastAsia="en-IN"/>
      </w:rPr>
      <mc:AlternateContent>
        <mc:Choice Requires="wps">
          <w:drawing>
            <wp:anchor distT="0" distB="0" distL="0" distR="0" simplePos="0" relativeHeight="251658247" behindDoc="0" locked="0" layoutInCell="1" allowOverlap="1" wp14:anchorId="41683CAA" wp14:editId="16A11073">
              <wp:simplePos x="635" y="635"/>
              <wp:positionH relativeFrom="page">
                <wp:align>center</wp:align>
              </wp:positionH>
              <wp:positionV relativeFrom="page">
                <wp:align>bottom</wp:align>
              </wp:positionV>
              <wp:extent cx="551815" cy="391160"/>
              <wp:effectExtent l="0" t="0" r="635" b="0"/>
              <wp:wrapNone/>
              <wp:docPr id="1597795897"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3C0B1B87" w14:textId="112BD7D2" w:rsidR="001B05D4" w:rsidRPr="001B05D4" w:rsidRDefault="001B05D4" w:rsidP="001B05D4">
                          <w:pPr>
                            <w:spacing w:after="0"/>
                            <w:rPr>
                              <w:rFonts w:ascii="Calibri" w:eastAsia="Calibri" w:hAnsi="Calibri" w:cs="Calibri"/>
                              <w:noProof/>
                              <w:color w:val="FF0000"/>
                              <w:sz w:val="24"/>
                              <w:szCs w:val="24"/>
                            </w:rPr>
                          </w:pPr>
                          <w:r w:rsidRPr="001B05D4">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683CAA" id="_x0000_t202" coordsize="21600,21600" o:spt="202" path="m,l,21600r21600,l21600,xe">
              <v:stroke joinstyle="miter"/>
              <v:path gradientshapeok="t" o:connecttype="rect"/>
            </v:shapetype>
            <v:shape id="Text Box 7" o:spid="_x0000_s1028" type="#_x0000_t202" alt="OFFICIAL" style="position:absolute;margin-left:0;margin-top:0;width:43.45pt;height:30.8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BymlN1DgIAABwE&#10;AAAOAAAAAAAAAAAAAAAAAC4CAABkcnMvZTJvRG9jLnhtbFBLAQItABQABgAIAAAAIQDLo44Q2gAA&#10;AAMBAAAPAAAAAAAAAAAAAAAAAGgEAABkcnMvZG93bnJldi54bWxQSwUGAAAAAAQABADzAAAAbwUA&#10;AAAA&#10;" filled="f" stroked="f">
              <v:textbox style="mso-fit-shape-to-text:t" inset="0,0,0,15pt">
                <w:txbxContent>
                  <w:p w14:paraId="3C0B1B87" w14:textId="112BD7D2" w:rsidR="001B05D4" w:rsidRPr="001B05D4" w:rsidRDefault="001B05D4" w:rsidP="001B05D4">
                    <w:pPr>
                      <w:spacing w:after="0"/>
                      <w:rPr>
                        <w:rFonts w:ascii="Calibri" w:eastAsia="Calibri" w:hAnsi="Calibri" w:cs="Calibri"/>
                        <w:noProof/>
                        <w:color w:val="FF0000"/>
                        <w:sz w:val="24"/>
                        <w:szCs w:val="24"/>
                      </w:rPr>
                    </w:pPr>
                    <w:r w:rsidRPr="001B05D4">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0811401C" w:rsidR="007452E8" w:rsidRDefault="001B05D4" w:rsidP="007452E8">
          <w:pPr>
            <w:pStyle w:val="Footer"/>
          </w:pPr>
          <w:r>
            <w:rPr>
              <w:noProof/>
              <w:lang w:val="en-IN" w:eastAsia="en-IN"/>
            </w:rPr>
            <mc:AlternateContent>
              <mc:Choice Requires="wps">
                <w:drawing>
                  <wp:anchor distT="0" distB="0" distL="0" distR="0" simplePos="0" relativeHeight="251658248" behindDoc="0" locked="0" layoutInCell="1" allowOverlap="1" wp14:anchorId="18D5317D" wp14:editId="150D3CE5">
                    <wp:simplePos x="635" y="635"/>
                    <wp:positionH relativeFrom="page">
                      <wp:align>center</wp:align>
                    </wp:positionH>
                    <wp:positionV relativeFrom="page">
                      <wp:align>bottom</wp:align>
                    </wp:positionV>
                    <wp:extent cx="551815" cy="391160"/>
                    <wp:effectExtent l="0" t="0" r="635" b="0"/>
                    <wp:wrapNone/>
                    <wp:docPr id="1415969552"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30AC27E1" w14:textId="5782C185" w:rsidR="001B05D4" w:rsidRPr="001B05D4" w:rsidRDefault="001B05D4" w:rsidP="001B05D4">
                                <w:pPr>
                                  <w:spacing w:after="0"/>
                                  <w:rPr>
                                    <w:rFonts w:ascii="Calibri" w:eastAsia="Calibri" w:hAnsi="Calibri" w:cs="Calibri"/>
                                    <w:noProof/>
                                    <w:color w:val="FF0000"/>
                                    <w:sz w:val="24"/>
                                    <w:szCs w:val="24"/>
                                  </w:rPr>
                                </w:pPr>
                                <w:r w:rsidRPr="001B05D4">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D5317D" id="_x0000_t202" coordsize="21600,21600" o:spt="202" path="m,l,21600r21600,l21600,xe">
                    <v:stroke joinstyle="miter"/>
                    <v:path gradientshapeok="t" o:connecttype="rect"/>
                  </v:shapetype>
                  <v:shape id="Text Box 8" o:spid="_x0000_s1029" type="#_x0000_t202" alt="OFFICIAL" style="position:absolute;margin-left:0;margin-top:0;width:43.45pt;height:30.8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AfJeFIDgIAABwE&#10;AAAOAAAAAAAAAAAAAAAAAC4CAABkcnMvZTJvRG9jLnhtbFBLAQItABQABgAIAAAAIQDLo44Q2gAA&#10;AAMBAAAPAAAAAAAAAAAAAAAAAGgEAABkcnMvZG93bnJldi54bWxQSwUGAAAAAAQABADzAAAAbwUA&#10;AAAA&#10;" filled="f" stroked="f">
                    <v:textbox style="mso-fit-shape-to-text:t" inset="0,0,0,15pt">
                      <w:txbxContent>
                        <w:p w14:paraId="30AC27E1" w14:textId="5782C185" w:rsidR="001B05D4" w:rsidRPr="001B05D4" w:rsidRDefault="001B05D4" w:rsidP="001B05D4">
                          <w:pPr>
                            <w:spacing w:after="0"/>
                            <w:rPr>
                              <w:rFonts w:ascii="Calibri" w:eastAsia="Calibri" w:hAnsi="Calibri" w:cs="Calibri"/>
                              <w:noProof/>
                              <w:color w:val="FF0000"/>
                              <w:sz w:val="24"/>
                              <w:szCs w:val="24"/>
                            </w:rPr>
                          </w:pPr>
                          <w:r w:rsidRPr="001B05D4">
                            <w:rPr>
                              <w:rFonts w:ascii="Calibri" w:eastAsia="Calibri" w:hAnsi="Calibri" w:cs="Calibri"/>
                              <w:noProof/>
                              <w:color w:val="FF0000"/>
                              <w:sz w:val="24"/>
                              <w:szCs w:val="24"/>
                            </w:rPr>
                            <w:t>OFFICIAL</w:t>
                          </w:r>
                        </w:p>
                      </w:txbxContent>
                    </v:textbox>
                    <w10:wrap anchorx="page" anchory="page"/>
                  </v:shape>
                </w:pict>
              </mc:Fallback>
            </mc:AlternateContent>
          </w: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fldChar w:fldCharType="begin"/>
              </w:r>
              <w:r>
                <w:instrText xml:space="preserve"> NUMPAGES  </w:instrText>
              </w:r>
              <w:r>
                <w:fldChar w:fldCharType="separate"/>
              </w:r>
              <w:r>
                <w:rPr>
                  <w:noProof/>
                </w:rPr>
                <w:t>2</w:t>
              </w:r>
              <w:r>
                <w:rPr>
                  <w:noProof/>
                </w:rP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AA29C" w14:textId="4B85CD4B" w:rsidR="007452E8" w:rsidRDefault="007452E8" w:rsidP="007452E8">
    <w:pPr>
      <w:pStyle w:val="Footer"/>
      <w:ind w:left="-1701"/>
    </w:pPr>
    <w:r w:rsidRPr="002B29B2">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49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480"/>
      <w:gridCol w:w="2018"/>
    </w:tblGrid>
    <w:tr w:rsidR="007452E8" w:rsidRPr="004A3084" w14:paraId="6266BC33" w14:textId="77777777" w:rsidTr="0019218A">
      <w:trPr>
        <w:trHeight w:val="423"/>
      </w:trPr>
      <w:tc>
        <w:tcPr>
          <w:tcW w:w="7480" w:type="dxa"/>
          <w:tcBorders>
            <w:top w:val="single" w:sz="4" w:space="0" w:color="auto"/>
          </w:tcBorders>
        </w:tcPr>
        <w:p w14:paraId="3C421323" w14:textId="63D5BA86" w:rsidR="007452E8" w:rsidRPr="004A3084" w:rsidRDefault="001B05D4" w:rsidP="007452E8">
          <w:pPr>
            <w:pStyle w:val="Footer"/>
          </w:pPr>
          <w:r>
            <w:rPr>
              <w:noProof/>
              <w:lang w:val="en-IN" w:eastAsia="en-IN"/>
            </w:rPr>
            <mc:AlternateContent>
              <mc:Choice Requires="wps">
                <w:drawing>
                  <wp:anchor distT="0" distB="0" distL="0" distR="0" simplePos="0" relativeHeight="251658249" behindDoc="0" locked="0" layoutInCell="1" allowOverlap="1" wp14:anchorId="44F30052" wp14:editId="7969F96F">
                    <wp:simplePos x="0" y="0"/>
                    <wp:positionH relativeFrom="page">
                      <wp:posOffset>2605657</wp:posOffset>
                    </wp:positionH>
                    <wp:positionV relativeFrom="page">
                      <wp:posOffset>172193</wp:posOffset>
                    </wp:positionV>
                    <wp:extent cx="551815" cy="391160"/>
                    <wp:effectExtent l="0" t="0" r="635" b="0"/>
                    <wp:wrapNone/>
                    <wp:docPr id="1196211496"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6DD3C516" w14:textId="703CC5E4" w:rsidR="001B05D4" w:rsidRPr="001B05D4" w:rsidRDefault="001B05D4" w:rsidP="001B05D4">
                                <w:pPr>
                                  <w:spacing w:after="0"/>
                                  <w:rPr>
                                    <w:rFonts w:ascii="Calibri" w:eastAsia="Calibri" w:hAnsi="Calibri" w:cs="Calibri"/>
                                    <w:noProof/>
                                    <w:color w:val="FF0000"/>
                                    <w:sz w:val="24"/>
                                    <w:szCs w:val="24"/>
                                  </w:rPr>
                                </w:pPr>
                                <w:r w:rsidRPr="001B05D4">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F30052" id="_x0000_t202" coordsize="21600,21600" o:spt="202" path="m,l,21600r21600,l21600,xe">
                    <v:stroke joinstyle="miter"/>
                    <v:path gradientshapeok="t" o:connecttype="rect"/>
                  </v:shapetype>
                  <v:shape id="Text Box 9" o:spid="_x0000_s1033" type="#_x0000_t202" alt="OFFICIAL" style="position:absolute;margin-left:205.15pt;margin-top:13.55pt;width:43.45pt;height:30.8pt;z-index:251658249;visibility:visible;mso-wrap-style:non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" filled="f" stroked="f">
                    <v:textbox style="mso-fit-shape-to-text:t" inset="0,0,0,15pt">
                      <w:txbxContent>
                        <w:p w14:paraId="6DD3C516" w14:textId="703CC5E4" w:rsidR="001B05D4" w:rsidRPr="001B05D4" w:rsidRDefault="001B05D4" w:rsidP="001B05D4">
                          <w:pPr>
                            <w:spacing w:after="0"/>
                            <w:rPr>
                              <w:rFonts w:ascii="Calibri" w:eastAsia="Calibri" w:hAnsi="Calibri" w:cs="Calibri"/>
                              <w:noProof/>
                              <w:color w:val="FF0000"/>
                              <w:sz w:val="24"/>
                              <w:szCs w:val="24"/>
                            </w:rPr>
                          </w:pPr>
                          <w:r w:rsidRPr="001B05D4">
                            <w:rPr>
                              <w:rFonts w:ascii="Calibri" w:eastAsia="Calibri" w:hAnsi="Calibri" w:cs="Calibri"/>
                              <w:noProof/>
                              <w:color w:val="FF0000"/>
                              <w:sz w:val="24"/>
                              <w:szCs w:val="24"/>
                            </w:rPr>
                            <w:t>OFFICIAL</w:t>
                          </w:r>
                        </w:p>
                      </w:txbxContent>
                    </v:textbox>
                    <w10:wrap anchorx="page" anchory="page"/>
                  </v:shape>
                </w:pict>
              </mc:Fallback>
            </mc:AlternateContent>
          </w:r>
          <w:r w:rsidR="007452E8" w:rsidRPr="00487162">
            <w:t>AusPA</w:t>
          </w:r>
          <w:r w:rsidR="007452E8">
            <w:t xml:space="preserve">R - </w:t>
          </w:r>
          <w:r w:rsidR="003C393E">
            <w:t>Sondelbay</w:t>
          </w:r>
          <w:r w:rsidR="008113A2" w:rsidRPr="008113A2">
            <w:t xml:space="preserve">, </w:t>
          </w:r>
          <w:r w:rsidR="003C393E">
            <w:t>Teriparintas</w:t>
          </w:r>
          <w:r w:rsidR="008113A2" w:rsidRPr="008113A2">
            <w:t xml:space="preserve"> and </w:t>
          </w:r>
          <w:r w:rsidR="003C393E">
            <w:t>Teriparaccord</w:t>
          </w:r>
          <w:r w:rsidR="007452E8">
            <w:t xml:space="preserve"> -</w:t>
          </w:r>
          <w:r w:rsidR="007452E8" w:rsidRPr="00460036">
            <w:t xml:space="preserve"> </w:t>
          </w:r>
          <w:r w:rsidR="008113A2">
            <w:t>teriparatide</w:t>
          </w:r>
          <w:r w:rsidR="007452E8" w:rsidRPr="00460036">
            <w:t xml:space="preserve"> </w:t>
          </w:r>
          <w:r w:rsidR="008C754C">
            <w:t>-</w:t>
          </w:r>
          <w:r w:rsidR="007452E8">
            <w:t xml:space="preserve"> </w:t>
          </w:r>
          <w:r w:rsidR="008113A2" w:rsidRPr="008113A2">
            <w:t>Accord Healthcare Pty Ltd</w:t>
          </w:r>
          <w:r>
            <w:t xml:space="preserve"> - </w:t>
          </w:r>
          <w:r w:rsidR="008113A2" w:rsidRPr="008113A2">
            <w:t>PM-2023-01370-1-5</w:t>
          </w:r>
          <w:r w:rsidR="0019218A">
            <w:t xml:space="preserve"> </w:t>
          </w:r>
          <w:r w:rsidR="007452E8">
            <w:br/>
          </w:r>
          <w:r w:rsidR="007452E8" w:rsidRPr="00487162">
            <w:t>Date of Finalisation</w:t>
          </w:r>
          <w:r w:rsidR="002343FF">
            <w:t>: 19 December 2025</w:t>
          </w:r>
        </w:p>
      </w:tc>
      <w:tc>
        <w:tcPr>
          <w:tcW w:w="2018" w:type="dxa"/>
          <w:tcBorders>
            <w:top w:val="single" w:sz="4" w:space="0" w:color="auto"/>
          </w:tcBorders>
        </w:tcPr>
        <w:sdt>
          <w:sdtPr>
            <w:id w:val="11571659"/>
            <w:docPartObj>
              <w:docPartGallery w:val="Page Numbers (Top of Page)"/>
              <w:docPartUnique/>
            </w:docPartObj>
          </w:sdtPr>
          <w:sdtEndPr/>
          <w:sdtContent>
            <w:p w14:paraId="4DE4ED0C" w14:textId="7B57905C"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536198">
                <w:rPr>
                  <w:noProof/>
                </w:rPr>
                <w:t>25</w:t>
              </w:r>
              <w:r>
                <w:rPr>
                  <w:noProof/>
                </w:rPr>
                <w:fldChar w:fldCharType="end"/>
              </w:r>
              <w:r w:rsidRPr="004A3084">
                <w:t xml:space="preserve"> of </w:t>
              </w:r>
              <w:r w:rsidR="00536198">
                <w:fldChar w:fldCharType="begin"/>
              </w:r>
              <w:r w:rsidR="00536198">
                <w:instrText xml:space="preserve"> NUMPAGES  </w:instrText>
              </w:r>
              <w:r w:rsidR="00536198">
                <w:fldChar w:fldCharType="separate"/>
              </w:r>
              <w:r w:rsidR="00536198">
                <w:rPr>
                  <w:noProof/>
                </w:rPr>
                <w:t>28</w:t>
              </w:r>
              <w:r w:rsidR="00536198">
                <w:rPr>
                  <w:noProof/>
                </w:rP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3F70A" w14:textId="42D154A3" w:rsidR="007452E8" w:rsidRPr="008E3C43" w:rsidRDefault="001B05D4" w:rsidP="007452E8">
    <w:pPr>
      <w:pStyle w:val="Footer"/>
    </w:pPr>
    <w:r>
      <w:rPr>
        <w:noProof/>
        <w:lang w:val="en-IN" w:eastAsia="en-IN"/>
      </w:rPr>
      <mc:AlternateContent>
        <mc:Choice Requires="wps">
          <w:drawing>
            <wp:anchor distT="0" distB="0" distL="0" distR="0" simplePos="0" relativeHeight="251658250" behindDoc="0" locked="0" layoutInCell="1" allowOverlap="1" wp14:anchorId="73A8D0F8" wp14:editId="41C3C1B6">
              <wp:simplePos x="635" y="635"/>
              <wp:positionH relativeFrom="page">
                <wp:align>center</wp:align>
              </wp:positionH>
              <wp:positionV relativeFrom="page">
                <wp:align>bottom</wp:align>
              </wp:positionV>
              <wp:extent cx="551815" cy="391160"/>
              <wp:effectExtent l="0" t="0" r="635" b="0"/>
              <wp:wrapNone/>
              <wp:docPr id="1293554960"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0035C2C4" w14:textId="297D972C" w:rsidR="001B05D4" w:rsidRPr="001B05D4" w:rsidRDefault="001B05D4" w:rsidP="001B05D4">
                          <w:pPr>
                            <w:spacing w:after="0"/>
                            <w:rPr>
                              <w:rFonts w:ascii="Calibri" w:eastAsia="Calibri" w:hAnsi="Calibri" w:cs="Calibri"/>
                              <w:noProof/>
                              <w:color w:val="FF0000"/>
                              <w:sz w:val="24"/>
                              <w:szCs w:val="24"/>
                            </w:rPr>
                          </w:pPr>
                          <w:r w:rsidRPr="001B05D4">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3A8D0F8" id="_x0000_t202" coordsize="21600,21600" o:spt="202" path="m,l,21600r21600,l21600,xe">
              <v:stroke joinstyle="miter"/>
              <v:path gradientshapeok="t" o:connecttype="rect"/>
            </v:shapetype>
            <v:shape id="Text Box 10" o:spid="_x0000_s1035" type="#_x0000_t202" alt="OFFICIAL" style="position:absolute;margin-left:0;margin-top:0;width:43.45pt;height:30.8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DspmAFDgIAABwE&#10;AAAOAAAAAAAAAAAAAAAAAC4CAABkcnMvZTJvRG9jLnhtbFBLAQItABQABgAIAAAAIQDLo44Q2gAA&#10;AAMBAAAPAAAAAAAAAAAAAAAAAGgEAABkcnMvZG93bnJldi54bWxQSwUGAAAAAAQABADzAAAAbwUA&#10;AAAA&#10;" filled="f" stroked="f">
              <v:textbox style="mso-fit-shape-to-text:t" inset="0,0,0,15pt">
                <w:txbxContent>
                  <w:p w14:paraId="0035C2C4" w14:textId="297D972C" w:rsidR="001B05D4" w:rsidRPr="001B05D4" w:rsidRDefault="001B05D4" w:rsidP="001B05D4">
                    <w:pPr>
                      <w:spacing w:after="0"/>
                      <w:rPr>
                        <w:rFonts w:ascii="Calibri" w:eastAsia="Calibri" w:hAnsi="Calibri" w:cs="Calibri"/>
                        <w:noProof/>
                        <w:color w:val="FF0000"/>
                        <w:sz w:val="24"/>
                        <w:szCs w:val="24"/>
                      </w:rPr>
                    </w:pPr>
                    <w:r w:rsidRPr="001B05D4">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E08987" w14:textId="77777777" w:rsidR="007A3AA5" w:rsidRDefault="007A3AA5" w:rsidP="00F02AEC">
      <w:pPr>
        <w:spacing w:after="0" w:line="240" w:lineRule="auto"/>
      </w:pPr>
      <w:r>
        <w:separator/>
      </w:r>
    </w:p>
  </w:footnote>
  <w:footnote w:type="continuationSeparator" w:id="0">
    <w:p w14:paraId="47305015" w14:textId="77777777" w:rsidR="007A3AA5" w:rsidRDefault="007A3AA5" w:rsidP="00F02AEC">
      <w:pPr>
        <w:spacing w:after="0" w:line="240" w:lineRule="auto"/>
      </w:pPr>
      <w:r>
        <w:continuationSeparator/>
      </w:r>
    </w:p>
  </w:footnote>
  <w:footnote w:id="1">
    <w:p w14:paraId="68402A9B" w14:textId="42E6F8E0" w:rsidR="007452E8" w:rsidRPr="00A93DC6" w:rsidRDefault="007452E8">
      <w:pPr>
        <w:pStyle w:val="FootnoteText"/>
        <w:rPr>
          <w:lang w:val="en-GB"/>
        </w:rPr>
      </w:pPr>
      <w:r>
        <w:rPr>
          <w:rStyle w:val="FootnoteReference"/>
        </w:rPr>
        <w:footnoteRef/>
      </w:r>
      <w:r>
        <w:t xml:space="preserve"> </w:t>
      </w:r>
      <w:r w:rsidR="00FB236E">
        <w:t>This is the original indication proposed by the sponsor</w:t>
      </w:r>
      <w:r w:rsidR="00FB236E">
        <w:rPr>
          <w:lang w:val="en-GB"/>
        </w:rPr>
        <w:t xml:space="preserve"> when the TGA commenced the evaluation of this submission. It </w:t>
      </w:r>
      <w:r w:rsidRPr="007452E8">
        <w:rPr>
          <w:lang w:val="en-GB"/>
        </w:rPr>
        <w:t xml:space="preserve">may </w:t>
      </w:r>
      <w:r w:rsidR="00FB236E">
        <w:rPr>
          <w:lang w:val="en-GB"/>
        </w:rPr>
        <w:t>differ</w:t>
      </w:r>
      <w:r w:rsidRPr="007452E8">
        <w:rPr>
          <w:lang w:val="en-GB"/>
        </w:rPr>
        <w:t xml:space="preserve"> to the final indication approved by th</w:t>
      </w:r>
      <w:r w:rsidR="00FB236E">
        <w:rPr>
          <w:lang w:val="en-GB"/>
        </w:rPr>
        <w:t xml:space="preserve">e TGA and registered </w:t>
      </w:r>
      <w:r w:rsidR="005C4B46">
        <w:rPr>
          <w:lang w:val="en-GB"/>
        </w:rPr>
        <w:t xml:space="preserve">in </w:t>
      </w:r>
      <w:r w:rsidR="00FB236E">
        <w:rPr>
          <w:lang w:val="en-GB"/>
        </w:rPr>
        <w:t>the Australian Register of Therapeutic Goods.</w:t>
      </w:r>
    </w:p>
  </w:footnote>
  <w:footnote w:id="2">
    <w:p w14:paraId="322FA47B" w14:textId="6B509718" w:rsidR="00C63E25" w:rsidRDefault="00C63E25">
      <w:pPr>
        <w:pStyle w:val="FootnoteText"/>
      </w:pPr>
      <w:r>
        <w:rPr>
          <w:rStyle w:val="FootnoteReference"/>
        </w:rPr>
        <w:footnoteRef/>
      </w:r>
      <w:r>
        <w:t xml:space="preserve"> </w:t>
      </w:r>
      <w:r w:rsidR="000D4B96">
        <w:t xml:space="preserve">Royal Australian College of General Practitioners. </w:t>
      </w:r>
      <w:r w:rsidR="00130A74">
        <w:t xml:space="preserve">Osteoporosis management and fracture </w:t>
      </w:r>
      <w:r w:rsidR="000548B7">
        <w:t>prevention in post-menopausal women and men over 50 years of age. March 2024. Available at:</w:t>
      </w:r>
      <w:r w:rsidR="00130A74">
        <w:t xml:space="preserve"> </w:t>
      </w:r>
      <w:hyperlink r:id="rId1" w:history="1">
        <w:r w:rsidRPr="00C63E25">
          <w:rPr>
            <w:rStyle w:val="Hyperlink"/>
          </w:rPr>
          <w:t>RACGP - Osteoporosis management and fracture prevention in post-menopausal women and men &gt; 50 years of age</w:t>
        </w:r>
      </w:hyperlink>
    </w:p>
  </w:footnote>
  <w:footnote w:id="3">
    <w:p w14:paraId="5FAA4C1E" w14:textId="102D90A7" w:rsidR="009F737E" w:rsidRDefault="009F737E">
      <w:pPr>
        <w:pStyle w:val="FootnoteText"/>
      </w:pPr>
      <w:r>
        <w:rPr>
          <w:rStyle w:val="FootnoteReference"/>
        </w:rPr>
        <w:footnoteRef/>
      </w:r>
      <w:r>
        <w:t xml:space="preserve"> </w:t>
      </w:r>
      <w:r w:rsidRPr="009F737E">
        <w:t>Watts JJ, Abimanyi-Ochom J, Sanders KM. Osteoporosis costing all Australians: A new burden of disease analysis – 2012 to 2022. Osteoporosis Australia, 2013 (https://healthybon esaustralia.org.au/wp-content/uploads/2022/09/ burden-of-disease-analysis-2012-2022.pdf)</w:t>
      </w:r>
    </w:p>
  </w:footnote>
  <w:footnote w:id="4">
    <w:p w14:paraId="1660F818" w14:textId="4471EA1E" w:rsidR="00D51AE5" w:rsidRDefault="00D51AE5">
      <w:pPr>
        <w:pStyle w:val="FootnoteText"/>
      </w:pPr>
      <w:r>
        <w:rPr>
          <w:rStyle w:val="FootnoteReference"/>
        </w:rPr>
        <w:footnoteRef/>
      </w:r>
      <w:r>
        <w:t xml:space="preserve"> </w:t>
      </w:r>
      <w:r w:rsidRPr="00D51AE5">
        <w:t>Chen W, Simpson JM, March LM, et al. Comorbidities only account for a small proportion of excess mortality after fracture: A record linkage study of individual fracture types. J Bone Miner Res 2018;33(5):795–802. (https://doi.org/1 0.1002/jbmr.3374)</w:t>
      </w:r>
    </w:p>
  </w:footnote>
  <w:footnote w:id="5">
    <w:p w14:paraId="38646081" w14:textId="75153339" w:rsidR="004B4B23" w:rsidRDefault="004B4B23">
      <w:pPr>
        <w:pStyle w:val="FootnoteText"/>
      </w:pPr>
      <w:r>
        <w:rPr>
          <w:rStyle w:val="FootnoteReference"/>
        </w:rPr>
        <w:footnoteRef/>
      </w:r>
      <w:r>
        <w:t xml:space="preserve"> RACGP, 2024. </w:t>
      </w:r>
    </w:p>
  </w:footnote>
  <w:footnote w:id="6">
    <w:p w14:paraId="6F0E39A3" w14:textId="4A88BD54" w:rsidR="00934ED2" w:rsidRDefault="00934ED2">
      <w:pPr>
        <w:pStyle w:val="FootnoteText"/>
      </w:pPr>
      <w:r>
        <w:rPr>
          <w:rStyle w:val="FootnoteReference"/>
        </w:rPr>
        <w:footnoteRef/>
      </w:r>
      <w:r>
        <w:t xml:space="preserve"> </w:t>
      </w:r>
      <w:r w:rsidR="00797A13">
        <w:t xml:space="preserve">European Medicines Agency. </w:t>
      </w:r>
      <w:r w:rsidRPr="00934ED2">
        <w:t>Similar biological medicinal products containing biotechnology-derived proteins as active substance: non-clinical and clinical issues - Scientific guideline</w:t>
      </w:r>
      <w:r>
        <w:t xml:space="preserve">. </w:t>
      </w:r>
      <w:r w:rsidR="00797A13">
        <w:t>20</w:t>
      </w:r>
      <w:r w:rsidR="00563EDA">
        <w:t xml:space="preserve">15. Available at </w:t>
      </w:r>
      <w:hyperlink r:id="rId2" w:history="1">
        <w:r w:rsidR="00563EDA" w:rsidRPr="00B551A6">
          <w:rPr>
            <w:rStyle w:val="Hyperlink"/>
          </w:rPr>
          <w:t>https://www.ema.europa.eu/en/documents/scientific-guideline/guideline-similar-biological-medicinal-products-containing-biotechnology-derived-proteins-active-substance-non-clinical-and-clinical-issues-revision-1_en.pdf</w:t>
        </w:r>
      </w:hyperlink>
      <w:r w:rsidR="00563EDA">
        <w:t xml:space="preserve"> </w:t>
      </w:r>
    </w:p>
  </w:footnote>
  <w:footnote w:id="7">
    <w:p w14:paraId="158179BD" w14:textId="1AAD5244" w:rsidR="00DA463C" w:rsidRDefault="00DA463C">
      <w:pPr>
        <w:pStyle w:val="FootnoteText"/>
      </w:pPr>
      <w:r>
        <w:rPr>
          <w:rStyle w:val="FootnoteReference"/>
        </w:rPr>
        <w:footnoteRef/>
      </w:r>
      <w:r>
        <w:t xml:space="preserve"> EMA, 2015</w:t>
      </w:r>
    </w:p>
  </w:footnote>
  <w:footnote w:id="8">
    <w:p w14:paraId="4845BA42" w14:textId="7E65563F" w:rsidR="00DA463C" w:rsidRDefault="00DA463C">
      <w:pPr>
        <w:pStyle w:val="FootnoteText"/>
      </w:pPr>
      <w:r>
        <w:rPr>
          <w:rStyle w:val="FootnoteReference"/>
        </w:rPr>
        <w:footnoteRef/>
      </w:r>
      <w:r>
        <w:t xml:space="preserve"> </w:t>
      </w:r>
      <w:r w:rsidRPr="00DA463C">
        <w:t>European Medicines Agency. Guideline on the investigation of bioequivalence. 2010</w:t>
      </w:r>
      <w:r>
        <w:t xml:space="preserve">. Available at </w:t>
      </w:r>
      <w:hyperlink r:id="rId3" w:history="1">
        <w:r w:rsidR="00F26759" w:rsidRPr="00B551A6">
          <w:rPr>
            <w:rStyle w:val="Hyperlink"/>
          </w:rPr>
          <w:t>https://www.ema.europa.eu/en/documents/scientific-guideline/guideline-investigation-bioequivalence-rev1_en.pdf</w:t>
        </w:r>
      </w:hyperlink>
      <w:r w:rsidR="00F26759">
        <w:t xml:space="preserve"> </w:t>
      </w:r>
    </w:p>
  </w:footnote>
  <w:footnote w:id="9">
    <w:p w14:paraId="33CA717F" w14:textId="77777777" w:rsidR="00F2710A" w:rsidRDefault="00F2710A" w:rsidP="00F2710A">
      <w:pPr>
        <w:pStyle w:val="FootnoteText"/>
      </w:pPr>
      <w:r>
        <w:rPr>
          <w:rStyle w:val="FootnoteReference"/>
        </w:rPr>
        <w:footnoteRef/>
      </w:r>
      <w:r>
        <w:t xml:space="preserve"> EMA, 2010. </w:t>
      </w:r>
    </w:p>
  </w:footnote>
  <w:footnote w:id="10">
    <w:p w14:paraId="3876DCD6" w14:textId="41FBBBCA" w:rsidR="003C692E" w:rsidRDefault="003C692E">
      <w:pPr>
        <w:pStyle w:val="FootnoteText"/>
      </w:pPr>
      <w:r>
        <w:rPr>
          <w:rStyle w:val="FootnoteReference"/>
        </w:rPr>
        <w:footnoteRef/>
      </w:r>
      <w:r>
        <w:t xml:space="preserve"> EMA, 2010.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FF2B3" w14:textId="74B7CDB5" w:rsidR="001B05D4" w:rsidRDefault="001B05D4">
    <w:pPr>
      <w:pStyle w:val="Header"/>
    </w:pPr>
    <w:r>
      <w:rPr>
        <w:noProof/>
        <w:lang w:val="en-IN" w:eastAsia="en-IN"/>
      </w:rPr>
      <mc:AlternateContent>
        <mc:Choice Requires="wps">
          <w:drawing>
            <wp:anchor distT="0" distB="0" distL="0" distR="0" simplePos="0" relativeHeight="251658242" behindDoc="0" locked="0" layoutInCell="1" allowOverlap="1" wp14:anchorId="4A5B8E3E" wp14:editId="5D2EE9E9">
              <wp:simplePos x="635" y="635"/>
              <wp:positionH relativeFrom="page">
                <wp:align>center</wp:align>
              </wp:positionH>
              <wp:positionV relativeFrom="page">
                <wp:align>top</wp:align>
              </wp:positionV>
              <wp:extent cx="551815" cy="391160"/>
              <wp:effectExtent l="0" t="0" r="635" b="8890"/>
              <wp:wrapNone/>
              <wp:docPr id="60338025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0FC4D365" w14:textId="0CEE73F4" w:rsidR="001B05D4" w:rsidRPr="001B05D4" w:rsidRDefault="001B05D4" w:rsidP="001B05D4">
                          <w:pPr>
                            <w:spacing w:after="0"/>
                            <w:rPr>
                              <w:rFonts w:ascii="Calibri" w:eastAsia="Calibri" w:hAnsi="Calibri" w:cs="Calibri"/>
                              <w:noProof/>
                              <w:color w:val="FF0000"/>
                              <w:sz w:val="24"/>
                              <w:szCs w:val="24"/>
                            </w:rPr>
                          </w:pPr>
                          <w:r w:rsidRPr="001B05D4">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5B8E3E" id="_x0000_t202" coordsize="21600,21600" o:spt="202" path="m,l,21600r21600,l21600,xe">
              <v:stroke joinstyle="miter"/>
              <v:path gradientshapeok="t" o:connecttype="rect"/>
            </v:shapetype>
            <v:shape id="Text Box 2" o:spid="_x0000_s1026" type="#_x0000_t202" alt="OFFICIAL" style="position:absolute;left:0;text-align:left;margin-left:0;margin-top:0;width:43.45pt;height:30.8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" filled="f" stroked="f">
              <v:textbox style="mso-fit-shape-to-text:t" inset="0,15pt,0,0">
                <w:txbxContent>
                  <w:p w14:paraId="0FC4D365" w14:textId="0CEE73F4" w:rsidR="001B05D4" w:rsidRPr="001B05D4" w:rsidRDefault="001B05D4" w:rsidP="001B05D4">
                    <w:pPr>
                      <w:spacing w:after="0"/>
                      <w:rPr>
                        <w:rFonts w:ascii="Calibri" w:eastAsia="Calibri" w:hAnsi="Calibri" w:cs="Calibri"/>
                        <w:noProof/>
                        <w:color w:val="FF0000"/>
                        <w:sz w:val="24"/>
                        <w:szCs w:val="24"/>
                      </w:rPr>
                    </w:pPr>
                    <w:r w:rsidRPr="001B05D4">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E3517" w14:textId="3609A49B" w:rsidR="007452E8" w:rsidRPr="00CB0550" w:rsidRDefault="001B05D4" w:rsidP="00CB0550">
    <w:pPr>
      <w:pStyle w:val="Header"/>
      <w:jc w:val="left"/>
    </w:pPr>
    <w:r>
      <w:rPr>
        <w:noProof/>
        <w:lang w:val="en-IN" w:eastAsia="en-IN"/>
      </w:rPr>
      <mc:AlternateContent>
        <mc:Choice Requires="wps">
          <w:drawing>
            <wp:anchor distT="0" distB="0" distL="0" distR="0" simplePos="0" relativeHeight="251658243" behindDoc="0" locked="0" layoutInCell="1" allowOverlap="1" wp14:anchorId="2AFCAB4C" wp14:editId="77899B79">
              <wp:simplePos x="635" y="635"/>
              <wp:positionH relativeFrom="page">
                <wp:align>center</wp:align>
              </wp:positionH>
              <wp:positionV relativeFrom="page">
                <wp:align>top</wp:align>
              </wp:positionV>
              <wp:extent cx="551815" cy="391160"/>
              <wp:effectExtent l="0" t="0" r="635" b="8890"/>
              <wp:wrapNone/>
              <wp:docPr id="71884577"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7A515CDB" w14:textId="1E643539" w:rsidR="001B05D4" w:rsidRPr="001B05D4" w:rsidRDefault="001B05D4" w:rsidP="001B05D4">
                          <w:pPr>
                            <w:spacing w:after="0"/>
                            <w:rPr>
                              <w:rFonts w:ascii="Calibri" w:eastAsia="Calibri" w:hAnsi="Calibri" w:cs="Calibri"/>
                              <w:noProof/>
                              <w:color w:val="FF0000"/>
                              <w:sz w:val="24"/>
                              <w:szCs w:val="24"/>
                            </w:rPr>
                          </w:pPr>
                          <w:r w:rsidRPr="001B05D4">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AFCAB4C" id="_x0000_t202" coordsize="21600,21600" o:spt="202" path="m,l,21600r21600,l21600,xe">
              <v:stroke joinstyle="miter"/>
              <v:path gradientshapeok="t" o:connecttype="rect"/>
            </v:shapetype>
            <v:shape id="Text Box 3" o:spid="_x0000_s1027" type="#_x0000_t202" alt="OFFICIAL" style="position:absolute;margin-left:0;margin-top:0;width:43.45pt;height:30.8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" filled="f" stroked="f">
              <v:textbox style="mso-fit-shape-to-text:t" inset="0,15pt,0,0">
                <w:txbxContent>
                  <w:p w14:paraId="7A515CDB" w14:textId="1E643539" w:rsidR="001B05D4" w:rsidRPr="001B05D4" w:rsidRDefault="001B05D4" w:rsidP="001B05D4">
                    <w:pPr>
                      <w:spacing w:after="0"/>
                      <w:rPr>
                        <w:rFonts w:ascii="Calibri" w:eastAsia="Calibri" w:hAnsi="Calibri" w:cs="Calibri"/>
                        <w:noProof/>
                        <w:color w:val="FF0000"/>
                        <w:sz w:val="24"/>
                        <w:szCs w:val="24"/>
                      </w:rPr>
                    </w:pPr>
                    <w:r w:rsidRPr="001B05D4">
                      <w:rPr>
                        <w:rFonts w:ascii="Calibri" w:eastAsia="Calibri" w:hAnsi="Calibri" w:cs="Calibri"/>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4008D041" w:rsidR="007452E8" w:rsidRPr="002B29B2" w:rsidRDefault="001B05D4" w:rsidP="007452E8">
          <w:pPr>
            <w:ind w:left="-57"/>
            <w:rPr>
              <w:noProof/>
            </w:rPr>
          </w:pPr>
          <w:r>
            <w:rPr>
              <w:noProof/>
              <w:lang w:val="en-IN" w:eastAsia="en-IN"/>
            </w:rPr>
            <mc:AlternateContent>
              <mc:Choice Requires="wps">
                <w:drawing>
                  <wp:anchor distT="0" distB="0" distL="0" distR="0" simplePos="0" relativeHeight="251658241" behindDoc="0" locked="0" layoutInCell="1" allowOverlap="1" wp14:anchorId="2D2A1E9D" wp14:editId="2D958EB1">
                    <wp:simplePos x="635" y="635"/>
                    <wp:positionH relativeFrom="page">
                      <wp:align>center</wp:align>
                    </wp:positionH>
                    <wp:positionV relativeFrom="page">
                      <wp:align>top</wp:align>
                    </wp:positionV>
                    <wp:extent cx="551815" cy="391160"/>
                    <wp:effectExtent l="0" t="0" r="635" b="8890"/>
                    <wp:wrapNone/>
                    <wp:docPr id="2117120865"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1641A8F1" w14:textId="6FFAEADB" w:rsidR="001B05D4" w:rsidRPr="001B05D4" w:rsidRDefault="001B05D4" w:rsidP="001B05D4">
                                <w:pPr>
                                  <w:spacing w:after="0"/>
                                  <w:rPr>
                                    <w:rFonts w:ascii="Calibri" w:eastAsia="Calibri" w:hAnsi="Calibri" w:cs="Calibri"/>
                                    <w:noProof/>
                                    <w:color w:val="FF0000"/>
                                    <w:sz w:val="24"/>
                                    <w:szCs w:val="24"/>
                                  </w:rPr>
                                </w:pPr>
                                <w:r w:rsidRPr="001B05D4">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2A1E9D" id="_x0000_t202" coordsize="21600,21600" o:spt="202" path="m,l,21600r21600,l21600,xe">
                    <v:stroke joinstyle="miter"/>
                    <v:path gradientshapeok="t" o:connecttype="rect"/>
                  </v:shapetype>
                  <v:shape id="Text Box 1" o:spid="_x0000_s1030" type="#_x0000_t202" alt="OFFICIAL" style="position:absolute;left:0;text-align:left;margin-left:0;margin-top:0;width:43.45pt;height:30.8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" filled="f" stroked="f">
                    <v:textbox style="mso-fit-shape-to-text:t" inset="0,15pt,0,0">
                      <w:txbxContent>
                        <w:p w14:paraId="1641A8F1" w14:textId="6FFAEADB" w:rsidR="001B05D4" w:rsidRPr="001B05D4" w:rsidRDefault="001B05D4" w:rsidP="001B05D4">
                          <w:pPr>
                            <w:spacing w:after="0"/>
                            <w:rPr>
                              <w:rFonts w:ascii="Calibri" w:eastAsia="Calibri" w:hAnsi="Calibri" w:cs="Calibri"/>
                              <w:noProof/>
                              <w:color w:val="FF0000"/>
                              <w:sz w:val="24"/>
                              <w:szCs w:val="24"/>
                            </w:rPr>
                          </w:pPr>
                          <w:r w:rsidRPr="001B05D4">
                            <w:rPr>
                              <w:rFonts w:ascii="Calibri" w:eastAsia="Calibri" w:hAnsi="Calibri" w:cs="Calibri"/>
                              <w:noProof/>
                              <w:color w:val="FF0000"/>
                              <w:sz w:val="24"/>
                              <w:szCs w:val="24"/>
                            </w:rPr>
                            <w:t>OFFICIAL</w:t>
                          </w:r>
                        </w:p>
                      </w:txbxContent>
                    </v:textbox>
                    <w10:wrap anchorx="page" anchory="page"/>
                  </v:shape>
                </w:pict>
              </mc:Fallback>
            </mc:AlternateContent>
          </w:r>
          <w:sdt>
            <w:sdtPr>
              <w:rPr>
                <w:noProof/>
              </w:rPr>
              <w:id w:val="1926993388"/>
              <w:showingPlcHdr/>
              <w:picture/>
            </w:sdtPr>
            <w:sdtEndPr/>
            <w:sdtContent>
              <w:r w:rsidR="007452E8" w:rsidRPr="00F71E1E">
                <w:rPr>
                  <w:noProof/>
                  <w:lang w:val="en-IN" w:eastAsia="en-IN"/>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38802056" w:rsidR="007452E8" w:rsidRDefault="0006693A" w:rsidP="007452E8">
    <w:pPr>
      <w:rPr>
        <w:noProof/>
      </w:rPr>
    </w:pPr>
    <w:r>
      <w:rPr>
        <w:noProof/>
        <w:lang w:val="en-IN" w:eastAsia="en-IN"/>
      </w:rPr>
      <w:drawing>
        <wp:inline distT="0" distB="0" distL="0" distR="0" wp14:anchorId="26654E9F" wp14:editId="78E105AB">
          <wp:extent cx="3344545" cy="694055"/>
          <wp:effectExtent l="0" t="0" r="8255" b="0"/>
          <wp:docPr id="1596027861"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27861" name="Picture 2" descr="A black background with a black square&#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44545" cy="694055"/>
                  </a:xfrm>
                  <a:prstGeom prst="rect">
                    <a:avLst/>
                  </a:prstGeom>
                  <a:noFill/>
                  <a:ln>
                    <a:noFill/>
                  </a:ln>
                </pic:spPr>
              </pic:pic>
            </a:graphicData>
          </a:graphic>
        </wp:inline>
      </w:drawing>
    </w:r>
    <w:r w:rsidR="007452E8" w:rsidRPr="002B29B2">
      <w:rPr>
        <w:noProof/>
        <w:lang w:val="en-IN" w:eastAsia="en-IN"/>
      </w:rPr>
      <w:drawing>
        <wp:anchor distT="0" distB="0" distL="114300" distR="114300" simplePos="0" relativeHeight="251658240" behindDoc="0" locked="0" layoutInCell="0" allowOverlap="1" wp14:anchorId="14BBEAC1" wp14:editId="5D9F0498">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632D" w14:textId="2D4F5367" w:rsidR="007452E8" w:rsidRDefault="001B05D4" w:rsidP="007452E8">
    <w:pPr>
      <w:pStyle w:val="Header"/>
    </w:pPr>
    <w:r>
      <w:rPr>
        <w:noProof/>
        <w:lang w:val="en-IN" w:eastAsia="en-IN"/>
      </w:rPr>
      <mc:AlternateContent>
        <mc:Choice Requires="wps">
          <w:drawing>
            <wp:anchor distT="0" distB="0" distL="0" distR="0" simplePos="0" relativeHeight="251658244" behindDoc="0" locked="0" layoutInCell="1" allowOverlap="1" wp14:anchorId="573F5F79" wp14:editId="644D835C">
              <wp:simplePos x="900545" y="367145"/>
              <wp:positionH relativeFrom="page">
                <wp:align>center</wp:align>
              </wp:positionH>
              <wp:positionV relativeFrom="page">
                <wp:align>top</wp:align>
              </wp:positionV>
              <wp:extent cx="551815" cy="391160"/>
              <wp:effectExtent l="0" t="0" r="635" b="8890"/>
              <wp:wrapNone/>
              <wp:docPr id="823389627"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55BDCF78" w14:textId="6DCD0FEC" w:rsidR="001B05D4" w:rsidRPr="001B05D4" w:rsidRDefault="001B05D4" w:rsidP="001B05D4">
                          <w:pPr>
                            <w:spacing w:after="0"/>
                            <w:rPr>
                              <w:rFonts w:ascii="Calibri" w:eastAsia="Calibri" w:hAnsi="Calibri" w:cs="Calibri"/>
                              <w:noProof/>
                              <w:color w:val="FF0000"/>
                              <w:sz w:val="24"/>
                              <w:szCs w:val="24"/>
                            </w:rPr>
                          </w:pPr>
                          <w:r w:rsidRPr="001B05D4">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3F5F79" id="_x0000_t202" coordsize="21600,21600" o:spt="202" path="m,l,21600r21600,l21600,xe">
              <v:stroke joinstyle="miter"/>
              <v:path gradientshapeok="t" o:connecttype="rect"/>
            </v:shapetype>
            <v:shape id="Text Box 4" o:spid="_x0000_s1032" type="#_x0000_t202" alt="OFFICIAL" style="position:absolute;left:0;text-align:left;margin-left:0;margin-top:0;width:43.45pt;height:30.8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" filled="f" stroked="f">
              <v:textbox style="mso-fit-shape-to-text:t" inset="0,15pt,0,0">
                <w:txbxContent>
                  <w:p w14:paraId="55BDCF78" w14:textId="6DCD0FEC" w:rsidR="001B05D4" w:rsidRPr="001B05D4" w:rsidRDefault="001B05D4" w:rsidP="001B05D4">
                    <w:pPr>
                      <w:spacing w:after="0"/>
                      <w:rPr>
                        <w:rFonts w:ascii="Calibri" w:eastAsia="Calibri" w:hAnsi="Calibri" w:cs="Calibri"/>
                        <w:noProof/>
                        <w:color w:val="FF0000"/>
                        <w:sz w:val="24"/>
                        <w:szCs w:val="24"/>
                      </w:rPr>
                    </w:pPr>
                    <w:r w:rsidRPr="001B05D4">
                      <w:rPr>
                        <w:rFonts w:ascii="Calibri" w:eastAsia="Calibri" w:hAnsi="Calibri" w:cs="Calibri"/>
                        <w:noProof/>
                        <w:color w:val="FF0000"/>
                        <w:sz w:val="24"/>
                        <w:szCs w:val="24"/>
                      </w:rPr>
                      <w:t>OFFICIAL</w:t>
                    </w:r>
                  </w:p>
                </w:txbxContent>
              </v:textbox>
              <w10:wrap anchorx="page" anchory="page"/>
            </v:shape>
          </w:pict>
        </mc:Fallback>
      </mc:AlternateContent>
    </w:r>
    <w:r w:rsidR="007452E8" w:rsidRPr="000F5176">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B477B" w14:textId="242C189A" w:rsidR="007452E8" w:rsidRPr="00FE501F" w:rsidRDefault="001B05D4" w:rsidP="007452E8">
    <w:pPr>
      <w:pStyle w:val="Headernoline"/>
    </w:pPr>
    <w:r>
      <w:rPr>
        <w:noProof/>
        <w:lang w:val="en-IN" w:eastAsia="en-IN"/>
      </w:rPr>
      <mc:AlternateContent>
        <mc:Choice Requires="wps">
          <w:drawing>
            <wp:anchor distT="0" distB="0" distL="0" distR="0" simplePos="0" relativeHeight="251658245" behindDoc="0" locked="0" layoutInCell="1" allowOverlap="1" wp14:anchorId="4AB89753" wp14:editId="5A19A72D">
              <wp:simplePos x="635" y="635"/>
              <wp:positionH relativeFrom="page">
                <wp:align>center</wp:align>
              </wp:positionH>
              <wp:positionV relativeFrom="page">
                <wp:align>top</wp:align>
              </wp:positionV>
              <wp:extent cx="551815" cy="391160"/>
              <wp:effectExtent l="0" t="0" r="635" b="8890"/>
              <wp:wrapNone/>
              <wp:docPr id="1152094280"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21700965" w14:textId="62252894" w:rsidR="001B05D4" w:rsidRPr="001B05D4" w:rsidRDefault="001B05D4" w:rsidP="001B05D4">
                          <w:pPr>
                            <w:spacing w:after="0"/>
                            <w:rPr>
                              <w:rFonts w:ascii="Calibri" w:eastAsia="Calibri" w:hAnsi="Calibri" w:cs="Calibri"/>
                              <w:noProof/>
                              <w:color w:val="FF0000"/>
                              <w:sz w:val="24"/>
                              <w:szCs w:val="24"/>
                            </w:rPr>
                          </w:pPr>
                          <w:r w:rsidRPr="001B05D4">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B89753" id="_x0000_t202" coordsize="21600,21600" o:spt="202" path="m,l,21600r21600,l21600,xe">
              <v:stroke joinstyle="miter"/>
              <v:path gradientshapeok="t" o:connecttype="rect"/>
            </v:shapetype>
            <v:shape id="Text Box 5" o:spid="_x0000_s1034" type="#_x0000_t202" alt="OFFICIAL" style="position:absolute;left:0;text-align:left;margin-left:0;margin-top:0;width:43.45pt;height:30.8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" filled="f" stroked="f">
              <v:textbox style="mso-fit-shape-to-text:t" inset="0,15pt,0,0">
                <w:txbxContent>
                  <w:p w14:paraId="21700965" w14:textId="62252894" w:rsidR="001B05D4" w:rsidRPr="001B05D4" w:rsidRDefault="001B05D4" w:rsidP="001B05D4">
                    <w:pPr>
                      <w:spacing w:after="0"/>
                      <w:rPr>
                        <w:rFonts w:ascii="Calibri" w:eastAsia="Calibri" w:hAnsi="Calibri" w:cs="Calibri"/>
                        <w:noProof/>
                        <w:color w:val="FF0000"/>
                        <w:sz w:val="24"/>
                        <w:szCs w:val="24"/>
                      </w:rPr>
                    </w:pPr>
                    <w:r w:rsidRPr="001B05D4">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2"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5"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6"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7"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8"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9"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11"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num w:numId="1" w16cid:durableId="112796303">
    <w:abstractNumId w:val="3"/>
  </w:num>
  <w:num w:numId="2" w16cid:durableId="621182365">
    <w:abstractNumId w:val="0"/>
  </w:num>
  <w:num w:numId="3" w16cid:durableId="1614240777">
    <w:abstractNumId w:val="2"/>
  </w:num>
  <w:num w:numId="4" w16cid:durableId="1102795413">
    <w:abstractNumId w:val="9"/>
  </w:num>
  <w:num w:numId="5" w16cid:durableId="1393890511">
    <w:abstractNumId w:val="5"/>
  </w:num>
  <w:num w:numId="6" w16cid:durableId="289744146">
    <w:abstractNumId w:val="7"/>
  </w:num>
  <w:num w:numId="7" w16cid:durableId="1912078998">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050500410">
    <w:abstractNumId w:val="8"/>
  </w:num>
  <w:num w:numId="9" w16cid:durableId="1824153304">
    <w:abstractNumId w:val="1"/>
  </w:num>
  <w:num w:numId="10" w16cid:durableId="1092507760">
    <w:abstractNumId w:val="4"/>
  </w:num>
  <w:num w:numId="11" w16cid:durableId="1218931781">
    <w:abstractNumId w:val="6"/>
  </w:num>
  <w:num w:numId="12" w16cid:durableId="2000229341">
    <w:abstractNumId w:val="10"/>
  </w:num>
  <w:num w:numId="13" w16cid:durableId="3286807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E6E"/>
    <w:rsid w:val="00004431"/>
    <w:rsid w:val="00005062"/>
    <w:rsid w:val="00005DFC"/>
    <w:rsid w:val="0001064C"/>
    <w:rsid w:val="00013394"/>
    <w:rsid w:val="0001384A"/>
    <w:rsid w:val="00021C13"/>
    <w:rsid w:val="00021D38"/>
    <w:rsid w:val="0002773E"/>
    <w:rsid w:val="00030390"/>
    <w:rsid w:val="00032A0F"/>
    <w:rsid w:val="00040D8D"/>
    <w:rsid w:val="0004303A"/>
    <w:rsid w:val="00045861"/>
    <w:rsid w:val="00045E5E"/>
    <w:rsid w:val="00046423"/>
    <w:rsid w:val="000477F5"/>
    <w:rsid w:val="0005067C"/>
    <w:rsid w:val="00053F38"/>
    <w:rsid w:val="000548B7"/>
    <w:rsid w:val="0006104E"/>
    <w:rsid w:val="000640BD"/>
    <w:rsid w:val="00064884"/>
    <w:rsid w:val="00065839"/>
    <w:rsid w:val="00065F66"/>
    <w:rsid w:val="00065FDF"/>
    <w:rsid w:val="0006693A"/>
    <w:rsid w:val="00073A85"/>
    <w:rsid w:val="00077844"/>
    <w:rsid w:val="00083763"/>
    <w:rsid w:val="0008539F"/>
    <w:rsid w:val="00087D83"/>
    <w:rsid w:val="00090510"/>
    <w:rsid w:val="000917AE"/>
    <w:rsid w:val="000941A9"/>
    <w:rsid w:val="00094B81"/>
    <w:rsid w:val="00095C6A"/>
    <w:rsid w:val="00095DA8"/>
    <w:rsid w:val="000975AA"/>
    <w:rsid w:val="000A01AB"/>
    <w:rsid w:val="000A074B"/>
    <w:rsid w:val="000A3AB3"/>
    <w:rsid w:val="000B3BAE"/>
    <w:rsid w:val="000B6B15"/>
    <w:rsid w:val="000C25A7"/>
    <w:rsid w:val="000C5A63"/>
    <w:rsid w:val="000D4B96"/>
    <w:rsid w:val="000D60F1"/>
    <w:rsid w:val="000D635F"/>
    <w:rsid w:val="000D78EC"/>
    <w:rsid w:val="000D7934"/>
    <w:rsid w:val="000E2434"/>
    <w:rsid w:val="000E2597"/>
    <w:rsid w:val="000E504E"/>
    <w:rsid w:val="000E6746"/>
    <w:rsid w:val="000F069D"/>
    <w:rsid w:val="000F2E4D"/>
    <w:rsid w:val="000F7B51"/>
    <w:rsid w:val="00100161"/>
    <w:rsid w:val="00101BEE"/>
    <w:rsid w:val="00101CE6"/>
    <w:rsid w:val="00101F8D"/>
    <w:rsid w:val="00101FB1"/>
    <w:rsid w:val="0010558A"/>
    <w:rsid w:val="00106BD3"/>
    <w:rsid w:val="001101FF"/>
    <w:rsid w:val="00111989"/>
    <w:rsid w:val="00113F9F"/>
    <w:rsid w:val="00114025"/>
    <w:rsid w:val="0012473C"/>
    <w:rsid w:val="00127A74"/>
    <w:rsid w:val="00130A74"/>
    <w:rsid w:val="0013132F"/>
    <w:rsid w:val="00131B1B"/>
    <w:rsid w:val="0013306D"/>
    <w:rsid w:val="0013380F"/>
    <w:rsid w:val="00135039"/>
    <w:rsid w:val="0013528C"/>
    <w:rsid w:val="00136F05"/>
    <w:rsid w:val="001442A2"/>
    <w:rsid w:val="00144494"/>
    <w:rsid w:val="001468CA"/>
    <w:rsid w:val="001500A8"/>
    <w:rsid w:val="00155D85"/>
    <w:rsid w:val="00165D28"/>
    <w:rsid w:val="0017005C"/>
    <w:rsid w:val="00175CD8"/>
    <w:rsid w:val="00182BD8"/>
    <w:rsid w:val="00190853"/>
    <w:rsid w:val="0019218A"/>
    <w:rsid w:val="0019487A"/>
    <w:rsid w:val="00196339"/>
    <w:rsid w:val="00196551"/>
    <w:rsid w:val="001A2FCC"/>
    <w:rsid w:val="001A76F9"/>
    <w:rsid w:val="001B05D4"/>
    <w:rsid w:val="001B06FF"/>
    <w:rsid w:val="001B1703"/>
    <w:rsid w:val="001C1C2E"/>
    <w:rsid w:val="001C31A1"/>
    <w:rsid w:val="001C3FA2"/>
    <w:rsid w:val="001C5EE2"/>
    <w:rsid w:val="001D0077"/>
    <w:rsid w:val="001E407B"/>
    <w:rsid w:val="001E7FC6"/>
    <w:rsid w:val="001F2502"/>
    <w:rsid w:val="001F256E"/>
    <w:rsid w:val="001F2760"/>
    <w:rsid w:val="001F3E67"/>
    <w:rsid w:val="001F70A5"/>
    <w:rsid w:val="001F7E39"/>
    <w:rsid w:val="0020235D"/>
    <w:rsid w:val="0020369B"/>
    <w:rsid w:val="00207B4D"/>
    <w:rsid w:val="00210F9B"/>
    <w:rsid w:val="002117B1"/>
    <w:rsid w:val="00212248"/>
    <w:rsid w:val="00216EB4"/>
    <w:rsid w:val="00217CCE"/>
    <w:rsid w:val="002203B1"/>
    <w:rsid w:val="00226F39"/>
    <w:rsid w:val="00232776"/>
    <w:rsid w:val="002334AD"/>
    <w:rsid w:val="002343FF"/>
    <w:rsid w:val="0023475E"/>
    <w:rsid w:val="0023789B"/>
    <w:rsid w:val="00241B60"/>
    <w:rsid w:val="00243EDC"/>
    <w:rsid w:val="002513AC"/>
    <w:rsid w:val="00257472"/>
    <w:rsid w:val="0025785B"/>
    <w:rsid w:val="00257969"/>
    <w:rsid w:val="00265CD1"/>
    <w:rsid w:val="0027327A"/>
    <w:rsid w:val="00280048"/>
    <w:rsid w:val="0028489E"/>
    <w:rsid w:val="002848DE"/>
    <w:rsid w:val="00285219"/>
    <w:rsid w:val="0028653C"/>
    <w:rsid w:val="0028794E"/>
    <w:rsid w:val="0029733B"/>
    <w:rsid w:val="002A5841"/>
    <w:rsid w:val="002B1C17"/>
    <w:rsid w:val="002B1EDF"/>
    <w:rsid w:val="002B2061"/>
    <w:rsid w:val="002B33C3"/>
    <w:rsid w:val="002C1232"/>
    <w:rsid w:val="002C1E44"/>
    <w:rsid w:val="002C4E85"/>
    <w:rsid w:val="002C5252"/>
    <w:rsid w:val="002C5C92"/>
    <w:rsid w:val="002C5E29"/>
    <w:rsid w:val="002D027B"/>
    <w:rsid w:val="002D0478"/>
    <w:rsid w:val="002D3182"/>
    <w:rsid w:val="002D7127"/>
    <w:rsid w:val="002F106B"/>
    <w:rsid w:val="002F599E"/>
    <w:rsid w:val="002F78C9"/>
    <w:rsid w:val="003008D8"/>
    <w:rsid w:val="00301D9A"/>
    <w:rsid w:val="00303959"/>
    <w:rsid w:val="003047CD"/>
    <w:rsid w:val="00306E72"/>
    <w:rsid w:val="00312AC3"/>
    <w:rsid w:val="00312E8D"/>
    <w:rsid w:val="00314430"/>
    <w:rsid w:val="003163BC"/>
    <w:rsid w:val="003212D9"/>
    <w:rsid w:val="0032351A"/>
    <w:rsid w:val="00324B33"/>
    <w:rsid w:val="00327488"/>
    <w:rsid w:val="003278AC"/>
    <w:rsid w:val="00336FE1"/>
    <w:rsid w:val="00337BD8"/>
    <w:rsid w:val="00342D56"/>
    <w:rsid w:val="003456E7"/>
    <w:rsid w:val="00346EC2"/>
    <w:rsid w:val="003477F9"/>
    <w:rsid w:val="0035103E"/>
    <w:rsid w:val="0035444D"/>
    <w:rsid w:val="00356D62"/>
    <w:rsid w:val="00363EE3"/>
    <w:rsid w:val="003735F3"/>
    <w:rsid w:val="00374729"/>
    <w:rsid w:val="00375E7E"/>
    <w:rsid w:val="0038658D"/>
    <w:rsid w:val="00387298"/>
    <w:rsid w:val="00387984"/>
    <w:rsid w:val="003945A9"/>
    <w:rsid w:val="00395140"/>
    <w:rsid w:val="003A1925"/>
    <w:rsid w:val="003A2422"/>
    <w:rsid w:val="003A6855"/>
    <w:rsid w:val="003B08D7"/>
    <w:rsid w:val="003B149C"/>
    <w:rsid w:val="003B1953"/>
    <w:rsid w:val="003B3953"/>
    <w:rsid w:val="003C0FDB"/>
    <w:rsid w:val="003C1192"/>
    <w:rsid w:val="003C393E"/>
    <w:rsid w:val="003C55E2"/>
    <w:rsid w:val="003C63D5"/>
    <w:rsid w:val="003C677E"/>
    <w:rsid w:val="003C692E"/>
    <w:rsid w:val="003C7AA8"/>
    <w:rsid w:val="003D3327"/>
    <w:rsid w:val="003D71A1"/>
    <w:rsid w:val="00413BA6"/>
    <w:rsid w:val="0041688F"/>
    <w:rsid w:val="00422567"/>
    <w:rsid w:val="0042376F"/>
    <w:rsid w:val="004246B8"/>
    <w:rsid w:val="004248F1"/>
    <w:rsid w:val="00433318"/>
    <w:rsid w:val="004411D9"/>
    <w:rsid w:val="00442A56"/>
    <w:rsid w:val="004444B0"/>
    <w:rsid w:val="0045060B"/>
    <w:rsid w:val="00451EEF"/>
    <w:rsid w:val="004564E8"/>
    <w:rsid w:val="004626FF"/>
    <w:rsid w:val="0046285C"/>
    <w:rsid w:val="00470A52"/>
    <w:rsid w:val="00471BD5"/>
    <w:rsid w:val="00477C4E"/>
    <w:rsid w:val="00477F07"/>
    <w:rsid w:val="00481503"/>
    <w:rsid w:val="00481D12"/>
    <w:rsid w:val="00482760"/>
    <w:rsid w:val="004854A6"/>
    <w:rsid w:val="00491A55"/>
    <w:rsid w:val="00494C3E"/>
    <w:rsid w:val="00497DF1"/>
    <w:rsid w:val="004A318E"/>
    <w:rsid w:val="004A3196"/>
    <w:rsid w:val="004A45D4"/>
    <w:rsid w:val="004A57E8"/>
    <w:rsid w:val="004A60E2"/>
    <w:rsid w:val="004A64DC"/>
    <w:rsid w:val="004B289F"/>
    <w:rsid w:val="004B3081"/>
    <w:rsid w:val="004B4A09"/>
    <w:rsid w:val="004B4B23"/>
    <w:rsid w:val="004C41CE"/>
    <w:rsid w:val="004C631B"/>
    <w:rsid w:val="004D0933"/>
    <w:rsid w:val="004D2759"/>
    <w:rsid w:val="004D2F00"/>
    <w:rsid w:val="004D31D8"/>
    <w:rsid w:val="004D35D1"/>
    <w:rsid w:val="004D4AD5"/>
    <w:rsid w:val="004D5388"/>
    <w:rsid w:val="004D7FB8"/>
    <w:rsid w:val="004E0EF1"/>
    <w:rsid w:val="004E1A47"/>
    <w:rsid w:val="004E4F1C"/>
    <w:rsid w:val="004E7F16"/>
    <w:rsid w:val="004F03B2"/>
    <w:rsid w:val="004F17FB"/>
    <w:rsid w:val="004F18EC"/>
    <w:rsid w:val="004F1A0C"/>
    <w:rsid w:val="00500D68"/>
    <w:rsid w:val="00516974"/>
    <w:rsid w:val="00520813"/>
    <w:rsid w:val="005237B4"/>
    <w:rsid w:val="00523CFB"/>
    <w:rsid w:val="0053377D"/>
    <w:rsid w:val="00533FA6"/>
    <w:rsid w:val="00535DFE"/>
    <w:rsid w:val="00536198"/>
    <w:rsid w:val="00536B6F"/>
    <w:rsid w:val="005373B5"/>
    <w:rsid w:val="00537AB7"/>
    <w:rsid w:val="0054669B"/>
    <w:rsid w:val="00556416"/>
    <w:rsid w:val="00556E68"/>
    <w:rsid w:val="00557684"/>
    <w:rsid w:val="00560EC1"/>
    <w:rsid w:val="005610D1"/>
    <w:rsid w:val="00562F42"/>
    <w:rsid w:val="00563EDA"/>
    <w:rsid w:val="00565739"/>
    <w:rsid w:val="0056766D"/>
    <w:rsid w:val="005718CC"/>
    <w:rsid w:val="0057235F"/>
    <w:rsid w:val="00575215"/>
    <w:rsid w:val="005775D0"/>
    <w:rsid w:val="00581138"/>
    <w:rsid w:val="0058575E"/>
    <w:rsid w:val="0058783C"/>
    <w:rsid w:val="005911AE"/>
    <w:rsid w:val="005926E2"/>
    <w:rsid w:val="0059313A"/>
    <w:rsid w:val="00594F23"/>
    <w:rsid w:val="00596616"/>
    <w:rsid w:val="005A2A29"/>
    <w:rsid w:val="005A36C3"/>
    <w:rsid w:val="005A54EA"/>
    <w:rsid w:val="005B023F"/>
    <w:rsid w:val="005B02A2"/>
    <w:rsid w:val="005B1417"/>
    <w:rsid w:val="005B69CF"/>
    <w:rsid w:val="005C3F07"/>
    <w:rsid w:val="005C4B46"/>
    <w:rsid w:val="005C4C62"/>
    <w:rsid w:val="005C5DC5"/>
    <w:rsid w:val="005C6DA4"/>
    <w:rsid w:val="005D0D93"/>
    <w:rsid w:val="005D0E1E"/>
    <w:rsid w:val="005D2089"/>
    <w:rsid w:val="005D7514"/>
    <w:rsid w:val="005E0FC6"/>
    <w:rsid w:val="005E1A7B"/>
    <w:rsid w:val="005E231F"/>
    <w:rsid w:val="005E7904"/>
    <w:rsid w:val="005F10D1"/>
    <w:rsid w:val="00602D6E"/>
    <w:rsid w:val="00603EFB"/>
    <w:rsid w:val="00605C05"/>
    <w:rsid w:val="00611351"/>
    <w:rsid w:val="0061217D"/>
    <w:rsid w:val="006129AE"/>
    <w:rsid w:val="00613ABE"/>
    <w:rsid w:val="006277A1"/>
    <w:rsid w:val="00627E87"/>
    <w:rsid w:val="006311B5"/>
    <w:rsid w:val="00633BD7"/>
    <w:rsid w:val="00634580"/>
    <w:rsid w:val="00634884"/>
    <w:rsid w:val="006351D9"/>
    <w:rsid w:val="00637130"/>
    <w:rsid w:val="00637F0E"/>
    <w:rsid w:val="006423F2"/>
    <w:rsid w:val="006428C5"/>
    <w:rsid w:val="00650234"/>
    <w:rsid w:val="0066044B"/>
    <w:rsid w:val="006614AB"/>
    <w:rsid w:val="006630AA"/>
    <w:rsid w:val="00663544"/>
    <w:rsid w:val="00666539"/>
    <w:rsid w:val="00666911"/>
    <w:rsid w:val="00675F81"/>
    <w:rsid w:val="00677A57"/>
    <w:rsid w:val="0068143E"/>
    <w:rsid w:val="0068507D"/>
    <w:rsid w:val="00686CFD"/>
    <w:rsid w:val="006906BD"/>
    <w:rsid w:val="00690EA2"/>
    <w:rsid w:val="00691AF2"/>
    <w:rsid w:val="00692B80"/>
    <w:rsid w:val="00692CCD"/>
    <w:rsid w:val="00692D51"/>
    <w:rsid w:val="00693C46"/>
    <w:rsid w:val="00693CBF"/>
    <w:rsid w:val="00694DD7"/>
    <w:rsid w:val="0069636B"/>
    <w:rsid w:val="00696F74"/>
    <w:rsid w:val="006A165C"/>
    <w:rsid w:val="006A1762"/>
    <w:rsid w:val="006A19CE"/>
    <w:rsid w:val="006A1F0B"/>
    <w:rsid w:val="006A277A"/>
    <w:rsid w:val="006A5973"/>
    <w:rsid w:val="006A643E"/>
    <w:rsid w:val="006B04F3"/>
    <w:rsid w:val="006B3AB2"/>
    <w:rsid w:val="006B5E64"/>
    <w:rsid w:val="006B7126"/>
    <w:rsid w:val="006C69BA"/>
    <w:rsid w:val="006C6B86"/>
    <w:rsid w:val="006D3D57"/>
    <w:rsid w:val="006D4553"/>
    <w:rsid w:val="006D4A35"/>
    <w:rsid w:val="006D6B44"/>
    <w:rsid w:val="006E0F71"/>
    <w:rsid w:val="006E27FE"/>
    <w:rsid w:val="006E7394"/>
    <w:rsid w:val="006F05C0"/>
    <w:rsid w:val="006F1082"/>
    <w:rsid w:val="00701110"/>
    <w:rsid w:val="00702E91"/>
    <w:rsid w:val="0070330F"/>
    <w:rsid w:val="00703624"/>
    <w:rsid w:val="007046ED"/>
    <w:rsid w:val="0070541F"/>
    <w:rsid w:val="007072A1"/>
    <w:rsid w:val="0071060C"/>
    <w:rsid w:val="00710BC5"/>
    <w:rsid w:val="007121CA"/>
    <w:rsid w:val="0072003B"/>
    <w:rsid w:val="00721059"/>
    <w:rsid w:val="007211E6"/>
    <w:rsid w:val="00721AE4"/>
    <w:rsid w:val="007220C4"/>
    <w:rsid w:val="007305ED"/>
    <w:rsid w:val="007311B9"/>
    <w:rsid w:val="00732361"/>
    <w:rsid w:val="007357B9"/>
    <w:rsid w:val="00740986"/>
    <w:rsid w:val="00740F07"/>
    <w:rsid w:val="00741AB9"/>
    <w:rsid w:val="00742D03"/>
    <w:rsid w:val="00744216"/>
    <w:rsid w:val="00744F4E"/>
    <w:rsid w:val="007452E8"/>
    <w:rsid w:val="00746359"/>
    <w:rsid w:val="00746990"/>
    <w:rsid w:val="00747093"/>
    <w:rsid w:val="00750D70"/>
    <w:rsid w:val="0075158A"/>
    <w:rsid w:val="00754E6A"/>
    <w:rsid w:val="00755949"/>
    <w:rsid w:val="007575D0"/>
    <w:rsid w:val="007662E0"/>
    <w:rsid w:val="007726DF"/>
    <w:rsid w:val="007769E6"/>
    <w:rsid w:val="00776E9C"/>
    <w:rsid w:val="007816D8"/>
    <w:rsid w:val="00782F7E"/>
    <w:rsid w:val="00784150"/>
    <w:rsid w:val="00786A19"/>
    <w:rsid w:val="00790092"/>
    <w:rsid w:val="00793272"/>
    <w:rsid w:val="0079499A"/>
    <w:rsid w:val="00794B64"/>
    <w:rsid w:val="007967C3"/>
    <w:rsid w:val="00797A13"/>
    <w:rsid w:val="007A0A33"/>
    <w:rsid w:val="007A3AA5"/>
    <w:rsid w:val="007B04DE"/>
    <w:rsid w:val="007B0AE6"/>
    <w:rsid w:val="007B6C16"/>
    <w:rsid w:val="007C0F0B"/>
    <w:rsid w:val="007C23B8"/>
    <w:rsid w:val="007C4061"/>
    <w:rsid w:val="007C57BC"/>
    <w:rsid w:val="007D0108"/>
    <w:rsid w:val="007D04CA"/>
    <w:rsid w:val="007D04D4"/>
    <w:rsid w:val="007D0A2B"/>
    <w:rsid w:val="007D12A1"/>
    <w:rsid w:val="007D3E52"/>
    <w:rsid w:val="007D40E5"/>
    <w:rsid w:val="007D4138"/>
    <w:rsid w:val="007D7EB5"/>
    <w:rsid w:val="007E4178"/>
    <w:rsid w:val="007E6443"/>
    <w:rsid w:val="007F0058"/>
    <w:rsid w:val="007F0A77"/>
    <w:rsid w:val="007F1E37"/>
    <w:rsid w:val="007F50D3"/>
    <w:rsid w:val="007F6B1F"/>
    <w:rsid w:val="007F7814"/>
    <w:rsid w:val="008013F0"/>
    <w:rsid w:val="00803926"/>
    <w:rsid w:val="00804897"/>
    <w:rsid w:val="00810E7B"/>
    <w:rsid w:val="008113A2"/>
    <w:rsid w:val="00814FED"/>
    <w:rsid w:val="0083244C"/>
    <w:rsid w:val="008329DB"/>
    <w:rsid w:val="008353CF"/>
    <w:rsid w:val="008361C5"/>
    <w:rsid w:val="0083628F"/>
    <w:rsid w:val="00837AB9"/>
    <w:rsid w:val="00850637"/>
    <w:rsid w:val="00854D98"/>
    <w:rsid w:val="0085751E"/>
    <w:rsid w:val="00860B29"/>
    <w:rsid w:val="00862138"/>
    <w:rsid w:val="008622E8"/>
    <w:rsid w:val="00862958"/>
    <w:rsid w:val="008645EE"/>
    <w:rsid w:val="00866ECF"/>
    <w:rsid w:val="00870144"/>
    <w:rsid w:val="0087072C"/>
    <w:rsid w:val="00871312"/>
    <w:rsid w:val="00873D7A"/>
    <w:rsid w:val="00877CB3"/>
    <w:rsid w:val="008804CF"/>
    <w:rsid w:val="00882D58"/>
    <w:rsid w:val="00882F19"/>
    <w:rsid w:val="00883D35"/>
    <w:rsid w:val="00884569"/>
    <w:rsid w:val="00886B52"/>
    <w:rsid w:val="00887A51"/>
    <w:rsid w:val="0089038A"/>
    <w:rsid w:val="00890D9B"/>
    <w:rsid w:val="00891C6C"/>
    <w:rsid w:val="00893CCD"/>
    <w:rsid w:val="008964B3"/>
    <w:rsid w:val="00896514"/>
    <w:rsid w:val="008B1CB5"/>
    <w:rsid w:val="008C2D69"/>
    <w:rsid w:val="008C4579"/>
    <w:rsid w:val="008C49C6"/>
    <w:rsid w:val="008C754C"/>
    <w:rsid w:val="008D3EEB"/>
    <w:rsid w:val="008D56C9"/>
    <w:rsid w:val="008D56CA"/>
    <w:rsid w:val="008D6A54"/>
    <w:rsid w:val="008E2585"/>
    <w:rsid w:val="008E2D5F"/>
    <w:rsid w:val="008E2D7A"/>
    <w:rsid w:val="008F3215"/>
    <w:rsid w:val="008F4A62"/>
    <w:rsid w:val="008F7256"/>
    <w:rsid w:val="0090424C"/>
    <w:rsid w:val="0090605E"/>
    <w:rsid w:val="00906C74"/>
    <w:rsid w:val="009108CE"/>
    <w:rsid w:val="00915A9F"/>
    <w:rsid w:val="00917270"/>
    <w:rsid w:val="00930D58"/>
    <w:rsid w:val="00934ED2"/>
    <w:rsid w:val="00935AAA"/>
    <w:rsid w:val="0095031E"/>
    <w:rsid w:val="00954297"/>
    <w:rsid w:val="00955202"/>
    <w:rsid w:val="00960A56"/>
    <w:rsid w:val="00966EF1"/>
    <w:rsid w:val="00967223"/>
    <w:rsid w:val="00974E3F"/>
    <w:rsid w:val="009751F7"/>
    <w:rsid w:val="00975BB0"/>
    <w:rsid w:val="009778C1"/>
    <w:rsid w:val="00980FFF"/>
    <w:rsid w:val="0098168B"/>
    <w:rsid w:val="0098350E"/>
    <w:rsid w:val="009838DF"/>
    <w:rsid w:val="00987381"/>
    <w:rsid w:val="00990C12"/>
    <w:rsid w:val="00991505"/>
    <w:rsid w:val="0099404F"/>
    <w:rsid w:val="00996FA5"/>
    <w:rsid w:val="009A55A3"/>
    <w:rsid w:val="009B354F"/>
    <w:rsid w:val="009B5662"/>
    <w:rsid w:val="009C2211"/>
    <w:rsid w:val="009C40E8"/>
    <w:rsid w:val="009C45C5"/>
    <w:rsid w:val="009D33E1"/>
    <w:rsid w:val="009E6858"/>
    <w:rsid w:val="009E6F8C"/>
    <w:rsid w:val="009F06F0"/>
    <w:rsid w:val="009F405F"/>
    <w:rsid w:val="009F55E4"/>
    <w:rsid w:val="009F737E"/>
    <w:rsid w:val="00A01831"/>
    <w:rsid w:val="00A01C56"/>
    <w:rsid w:val="00A04E03"/>
    <w:rsid w:val="00A13D6C"/>
    <w:rsid w:val="00A14C5F"/>
    <w:rsid w:val="00A222A0"/>
    <w:rsid w:val="00A22F2D"/>
    <w:rsid w:val="00A32C50"/>
    <w:rsid w:val="00A344AF"/>
    <w:rsid w:val="00A358E7"/>
    <w:rsid w:val="00A4026A"/>
    <w:rsid w:val="00A4380B"/>
    <w:rsid w:val="00A51A2D"/>
    <w:rsid w:val="00A5219F"/>
    <w:rsid w:val="00A53766"/>
    <w:rsid w:val="00A54039"/>
    <w:rsid w:val="00A5596B"/>
    <w:rsid w:val="00A56932"/>
    <w:rsid w:val="00A6319A"/>
    <w:rsid w:val="00A63C07"/>
    <w:rsid w:val="00A63D9B"/>
    <w:rsid w:val="00A647A2"/>
    <w:rsid w:val="00A704DC"/>
    <w:rsid w:val="00A805B3"/>
    <w:rsid w:val="00A93DC6"/>
    <w:rsid w:val="00A9411A"/>
    <w:rsid w:val="00A951D0"/>
    <w:rsid w:val="00AA4A4B"/>
    <w:rsid w:val="00AA6682"/>
    <w:rsid w:val="00AB0613"/>
    <w:rsid w:val="00AB1E47"/>
    <w:rsid w:val="00AB7C5C"/>
    <w:rsid w:val="00AB7CBF"/>
    <w:rsid w:val="00AC5442"/>
    <w:rsid w:val="00AD0111"/>
    <w:rsid w:val="00AD0B68"/>
    <w:rsid w:val="00AD1416"/>
    <w:rsid w:val="00AD40C3"/>
    <w:rsid w:val="00AD45FE"/>
    <w:rsid w:val="00AD4C72"/>
    <w:rsid w:val="00AD5451"/>
    <w:rsid w:val="00AE1947"/>
    <w:rsid w:val="00AE33C4"/>
    <w:rsid w:val="00AF1C8B"/>
    <w:rsid w:val="00AF299B"/>
    <w:rsid w:val="00AF3B94"/>
    <w:rsid w:val="00AF7E43"/>
    <w:rsid w:val="00B02AE0"/>
    <w:rsid w:val="00B03F25"/>
    <w:rsid w:val="00B0437A"/>
    <w:rsid w:val="00B05326"/>
    <w:rsid w:val="00B06BF9"/>
    <w:rsid w:val="00B14545"/>
    <w:rsid w:val="00B14E60"/>
    <w:rsid w:val="00B15805"/>
    <w:rsid w:val="00B17BA2"/>
    <w:rsid w:val="00B26DC3"/>
    <w:rsid w:val="00B30B9D"/>
    <w:rsid w:val="00B34E44"/>
    <w:rsid w:val="00B353B2"/>
    <w:rsid w:val="00B43573"/>
    <w:rsid w:val="00B4574D"/>
    <w:rsid w:val="00B468E1"/>
    <w:rsid w:val="00B46BC0"/>
    <w:rsid w:val="00B46DFB"/>
    <w:rsid w:val="00B5141B"/>
    <w:rsid w:val="00B51E75"/>
    <w:rsid w:val="00B54BA4"/>
    <w:rsid w:val="00B55681"/>
    <w:rsid w:val="00B57AAD"/>
    <w:rsid w:val="00B6374E"/>
    <w:rsid w:val="00B63E48"/>
    <w:rsid w:val="00B716B6"/>
    <w:rsid w:val="00B729E1"/>
    <w:rsid w:val="00B72B16"/>
    <w:rsid w:val="00B80408"/>
    <w:rsid w:val="00B81397"/>
    <w:rsid w:val="00B867AC"/>
    <w:rsid w:val="00B87CEB"/>
    <w:rsid w:val="00B925DB"/>
    <w:rsid w:val="00B957DF"/>
    <w:rsid w:val="00B95C5E"/>
    <w:rsid w:val="00B967FF"/>
    <w:rsid w:val="00B974B9"/>
    <w:rsid w:val="00BA3F6D"/>
    <w:rsid w:val="00BA4BE6"/>
    <w:rsid w:val="00BA4FC0"/>
    <w:rsid w:val="00BA61E0"/>
    <w:rsid w:val="00BA657C"/>
    <w:rsid w:val="00BA7F7D"/>
    <w:rsid w:val="00BB1C14"/>
    <w:rsid w:val="00BB6847"/>
    <w:rsid w:val="00BB7F8F"/>
    <w:rsid w:val="00BC716A"/>
    <w:rsid w:val="00BD07DF"/>
    <w:rsid w:val="00BD26F4"/>
    <w:rsid w:val="00BD5DBD"/>
    <w:rsid w:val="00BD5DF6"/>
    <w:rsid w:val="00BE0041"/>
    <w:rsid w:val="00BE640F"/>
    <w:rsid w:val="00BE6D2A"/>
    <w:rsid w:val="00BF2D4C"/>
    <w:rsid w:val="00BF4638"/>
    <w:rsid w:val="00BF5130"/>
    <w:rsid w:val="00C00844"/>
    <w:rsid w:val="00C059D0"/>
    <w:rsid w:val="00C07551"/>
    <w:rsid w:val="00C1109F"/>
    <w:rsid w:val="00C12D65"/>
    <w:rsid w:val="00C133AB"/>
    <w:rsid w:val="00C16FC2"/>
    <w:rsid w:val="00C20B56"/>
    <w:rsid w:val="00C22214"/>
    <w:rsid w:val="00C26F72"/>
    <w:rsid w:val="00C309A7"/>
    <w:rsid w:val="00C309AD"/>
    <w:rsid w:val="00C335AB"/>
    <w:rsid w:val="00C3422F"/>
    <w:rsid w:val="00C407AB"/>
    <w:rsid w:val="00C40C48"/>
    <w:rsid w:val="00C42096"/>
    <w:rsid w:val="00C512D0"/>
    <w:rsid w:val="00C52B7B"/>
    <w:rsid w:val="00C547CD"/>
    <w:rsid w:val="00C54AC3"/>
    <w:rsid w:val="00C570FF"/>
    <w:rsid w:val="00C573A3"/>
    <w:rsid w:val="00C57CEA"/>
    <w:rsid w:val="00C60FEC"/>
    <w:rsid w:val="00C619EC"/>
    <w:rsid w:val="00C62B1C"/>
    <w:rsid w:val="00C63E25"/>
    <w:rsid w:val="00C6410F"/>
    <w:rsid w:val="00C6574E"/>
    <w:rsid w:val="00C663D1"/>
    <w:rsid w:val="00C707FD"/>
    <w:rsid w:val="00C726C4"/>
    <w:rsid w:val="00C76DEB"/>
    <w:rsid w:val="00C77FDE"/>
    <w:rsid w:val="00C811D8"/>
    <w:rsid w:val="00C816C6"/>
    <w:rsid w:val="00C863A7"/>
    <w:rsid w:val="00C912F4"/>
    <w:rsid w:val="00C9156F"/>
    <w:rsid w:val="00C9581A"/>
    <w:rsid w:val="00C96D0D"/>
    <w:rsid w:val="00C97D29"/>
    <w:rsid w:val="00CA0BC2"/>
    <w:rsid w:val="00CB0550"/>
    <w:rsid w:val="00CB1B20"/>
    <w:rsid w:val="00CB6813"/>
    <w:rsid w:val="00CD3C37"/>
    <w:rsid w:val="00CE6305"/>
    <w:rsid w:val="00CF2C7C"/>
    <w:rsid w:val="00CF34FD"/>
    <w:rsid w:val="00CF6A55"/>
    <w:rsid w:val="00CF6DC6"/>
    <w:rsid w:val="00CF6DCF"/>
    <w:rsid w:val="00D016F6"/>
    <w:rsid w:val="00D01DDB"/>
    <w:rsid w:val="00D078BE"/>
    <w:rsid w:val="00D13F8A"/>
    <w:rsid w:val="00D16F60"/>
    <w:rsid w:val="00D22981"/>
    <w:rsid w:val="00D27761"/>
    <w:rsid w:val="00D3349B"/>
    <w:rsid w:val="00D424A8"/>
    <w:rsid w:val="00D51AE5"/>
    <w:rsid w:val="00D6036F"/>
    <w:rsid w:val="00D62877"/>
    <w:rsid w:val="00D6363D"/>
    <w:rsid w:val="00D63760"/>
    <w:rsid w:val="00D6703F"/>
    <w:rsid w:val="00D734EB"/>
    <w:rsid w:val="00D73519"/>
    <w:rsid w:val="00D75673"/>
    <w:rsid w:val="00D76A01"/>
    <w:rsid w:val="00D77ABA"/>
    <w:rsid w:val="00D77E1A"/>
    <w:rsid w:val="00D80B23"/>
    <w:rsid w:val="00D8157E"/>
    <w:rsid w:val="00D82713"/>
    <w:rsid w:val="00D8520B"/>
    <w:rsid w:val="00D86F00"/>
    <w:rsid w:val="00D91503"/>
    <w:rsid w:val="00D918D5"/>
    <w:rsid w:val="00D94C8E"/>
    <w:rsid w:val="00DA463C"/>
    <w:rsid w:val="00DB025F"/>
    <w:rsid w:val="00DB1372"/>
    <w:rsid w:val="00DB192C"/>
    <w:rsid w:val="00DB1CF3"/>
    <w:rsid w:val="00DB5425"/>
    <w:rsid w:val="00DB5F7D"/>
    <w:rsid w:val="00DB72A6"/>
    <w:rsid w:val="00DB735A"/>
    <w:rsid w:val="00DC33AF"/>
    <w:rsid w:val="00DC6611"/>
    <w:rsid w:val="00DC6918"/>
    <w:rsid w:val="00DC6FB6"/>
    <w:rsid w:val="00DD5AFB"/>
    <w:rsid w:val="00DE1344"/>
    <w:rsid w:val="00DE313B"/>
    <w:rsid w:val="00DE5A6F"/>
    <w:rsid w:val="00DF1CFD"/>
    <w:rsid w:val="00DF5BFE"/>
    <w:rsid w:val="00DF66BF"/>
    <w:rsid w:val="00E0523F"/>
    <w:rsid w:val="00E070F2"/>
    <w:rsid w:val="00E13DEB"/>
    <w:rsid w:val="00E148F1"/>
    <w:rsid w:val="00E22141"/>
    <w:rsid w:val="00E23E50"/>
    <w:rsid w:val="00E25DBB"/>
    <w:rsid w:val="00E26213"/>
    <w:rsid w:val="00E274DF"/>
    <w:rsid w:val="00E343B2"/>
    <w:rsid w:val="00E34D66"/>
    <w:rsid w:val="00E35A78"/>
    <w:rsid w:val="00E362C4"/>
    <w:rsid w:val="00E44623"/>
    <w:rsid w:val="00E44A63"/>
    <w:rsid w:val="00E46CC2"/>
    <w:rsid w:val="00E47E0C"/>
    <w:rsid w:val="00E51813"/>
    <w:rsid w:val="00E52C0B"/>
    <w:rsid w:val="00E530DA"/>
    <w:rsid w:val="00E53D3F"/>
    <w:rsid w:val="00E5579B"/>
    <w:rsid w:val="00E57FF4"/>
    <w:rsid w:val="00E61050"/>
    <w:rsid w:val="00E6398E"/>
    <w:rsid w:val="00E63CF3"/>
    <w:rsid w:val="00E662FC"/>
    <w:rsid w:val="00E679D1"/>
    <w:rsid w:val="00E67C1C"/>
    <w:rsid w:val="00E72815"/>
    <w:rsid w:val="00E749D4"/>
    <w:rsid w:val="00E77B7A"/>
    <w:rsid w:val="00E85578"/>
    <w:rsid w:val="00E87D50"/>
    <w:rsid w:val="00E9146F"/>
    <w:rsid w:val="00E91F11"/>
    <w:rsid w:val="00E9706D"/>
    <w:rsid w:val="00EA0B3A"/>
    <w:rsid w:val="00EA3AF4"/>
    <w:rsid w:val="00EB0305"/>
    <w:rsid w:val="00EC1187"/>
    <w:rsid w:val="00EC4863"/>
    <w:rsid w:val="00ED365C"/>
    <w:rsid w:val="00EE4B01"/>
    <w:rsid w:val="00EE7CE7"/>
    <w:rsid w:val="00EF3F0B"/>
    <w:rsid w:val="00EF5583"/>
    <w:rsid w:val="00F01A53"/>
    <w:rsid w:val="00F0289D"/>
    <w:rsid w:val="00F02AEC"/>
    <w:rsid w:val="00F043AD"/>
    <w:rsid w:val="00F0475C"/>
    <w:rsid w:val="00F07572"/>
    <w:rsid w:val="00F157FC"/>
    <w:rsid w:val="00F26759"/>
    <w:rsid w:val="00F2710A"/>
    <w:rsid w:val="00F30AF3"/>
    <w:rsid w:val="00F43CD1"/>
    <w:rsid w:val="00F45AE0"/>
    <w:rsid w:val="00F51B42"/>
    <w:rsid w:val="00F60CF2"/>
    <w:rsid w:val="00F6253D"/>
    <w:rsid w:val="00F657B4"/>
    <w:rsid w:val="00F72725"/>
    <w:rsid w:val="00F75885"/>
    <w:rsid w:val="00F7649F"/>
    <w:rsid w:val="00F8083B"/>
    <w:rsid w:val="00F82D1B"/>
    <w:rsid w:val="00F8568E"/>
    <w:rsid w:val="00F865A7"/>
    <w:rsid w:val="00F905E5"/>
    <w:rsid w:val="00F93859"/>
    <w:rsid w:val="00FA0754"/>
    <w:rsid w:val="00FA1BC9"/>
    <w:rsid w:val="00FA2076"/>
    <w:rsid w:val="00FA2490"/>
    <w:rsid w:val="00FA49C3"/>
    <w:rsid w:val="00FB1AAD"/>
    <w:rsid w:val="00FB236E"/>
    <w:rsid w:val="00FB3F7B"/>
    <w:rsid w:val="00FB4C2A"/>
    <w:rsid w:val="00FC2107"/>
    <w:rsid w:val="00FC249A"/>
    <w:rsid w:val="00FC3885"/>
    <w:rsid w:val="00FC3998"/>
    <w:rsid w:val="00FC48FE"/>
    <w:rsid w:val="00FC6F56"/>
    <w:rsid w:val="00FE087C"/>
    <w:rsid w:val="00FE1CCC"/>
    <w:rsid w:val="00FE5F61"/>
    <w:rsid w:val="00FE79A0"/>
    <w:rsid w:val="00FF0939"/>
  </w:rsids>
  <m:mathPr>
    <m:mathFont m:val="Cambria Math"/>
    <m:brkBin m:val="before"/>
    <m:brkBinSub m:val="--"/>
    <m:smallFrac m:val="0"/>
    <m:dispDef/>
    <m:lMargin m:val="0"/>
    <m:rMargin m:val="0"/>
    <m:defJc m:val="centerGroup"/>
    <m:wrapIndent m:val="1440"/>
    <m:intLim m:val="subSup"/>
    <m:naryLim m:val="undOvr"/>
  </m:mathPr>
  <w:themeFontLang w:val="en-AU"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3B7A0CE6-F5BB-4D40-8ED5-1531A62F0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9C"/>
    <w:rPr>
      <w:rFonts w:ascii="Cambria" w:hAnsi="Cambria"/>
      <w:sz w:val="22"/>
    </w:rPr>
  </w:style>
  <w:style w:type="paragraph" w:styleId="Heading1">
    <w:name w:val="heading 1"/>
    <w:basedOn w:val="Normal"/>
    <w:next w:val="Normal"/>
    <w:link w:val="Heading1Char"/>
    <w:uiPriority w:val="9"/>
    <w:qFormat/>
    <w:rsid w:val="008113A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customStyle="1" w:styleId="UnresolvedMention1">
    <w:name w:val="Unresolved Mention1"/>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AB0613"/>
    <w:pPr>
      <w:keepNext/>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uiPriority w:val="34"/>
    <w:qFormat/>
    <w:rsid w:val="006B7126"/>
    <w:pPr>
      <w:spacing w:after="160"/>
      <w:ind w:left="720"/>
      <w:contextualSpacing/>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6B7126"/>
    <w:rPr>
      <w:rFonts w:ascii="Times New Roman" w:hAnsi="Times New Roman" w:cs="Times New Roman"/>
      <w:sz w:val="24"/>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character" w:customStyle="1" w:styleId="Heading1Char">
    <w:name w:val="Heading 1 Char"/>
    <w:basedOn w:val="DefaultParagraphFont"/>
    <w:link w:val="Heading1"/>
    <w:uiPriority w:val="9"/>
    <w:rsid w:val="008113A2"/>
    <w:rPr>
      <w:rFonts w:asciiTheme="majorHAnsi" w:eastAsiaTheme="majorEastAsia" w:hAnsiTheme="majorHAnsi" w:cstheme="majorBidi"/>
      <w:color w:val="2F5496" w:themeColor="accent1" w:themeShade="BF"/>
      <w:sz w:val="32"/>
      <w:szCs w:val="32"/>
    </w:rPr>
  </w:style>
  <w:style w:type="paragraph" w:customStyle="1" w:styleId="Default">
    <w:name w:val="Default"/>
    <w:rsid w:val="00FB1AAD"/>
    <w:pPr>
      <w:autoSpaceDE w:val="0"/>
      <w:autoSpaceDN w:val="0"/>
      <w:adjustRightInd w:val="0"/>
      <w:spacing w:after="0" w:line="240" w:lineRule="auto"/>
    </w:pPr>
    <w:rPr>
      <w:rFonts w:ascii="Times New Roman" w:hAnsi="Times New Roman" w:cs="Times New Roman"/>
      <w:color w:val="000000"/>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850726522">
      <w:bodyDiv w:val="1"/>
      <w:marLeft w:val="0"/>
      <w:marRight w:val="0"/>
      <w:marTop w:val="0"/>
      <w:marBottom w:val="0"/>
      <w:divBdr>
        <w:top w:val="none" w:sz="0" w:space="0" w:color="auto"/>
        <w:left w:val="none" w:sz="0" w:space="0" w:color="auto"/>
        <w:bottom w:val="none" w:sz="0" w:space="0" w:color="auto"/>
        <w:right w:val="none" w:sz="0" w:space="0" w:color="auto"/>
      </w:divBdr>
    </w:div>
    <w:div w:id="1217741878">
      <w:bodyDiv w:val="1"/>
      <w:marLeft w:val="0"/>
      <w:marRight w:val="0"/>
      <w:marTop w:val="0"/>
      <w:marBottom w:val="0"/>
      <w:divBdr>
        <w:top w:val="none" w:sz="0" w:space="0" w:color="auto"/>
        <w:left w:val="none" w:sz="0" w:space="0" w:color="auto"/>
        <w:bottom w:val="none" w:sz="0" w:space="0" w:color="auto"/>
        <w:right w:val="none" w:sz="0" w:space="0" w:color="auto"/>
      </w:divBdr>
      <w:divsChild>
        <w:div w:id="1025129745">
          <w:marLeft w:val="0"/>
          <w:marRight w:val="0"/>
          <w:marTop w:val="0"/>
          <w:marBottom w:val="0"/>
          <w:divBdr>
            <w:top w:val="none" w:sz="0" w:space="0" w:color="auto"/>
            <w:left w:val="none" w:sz="0" w:space="0" w:color="auto"/>
            <w:bottom w:val="none" w:sz="0" w:space="0" w:color="auto"/>
            <w:right w:val="none" w:sz="0" w:space="0" w:color="auto"/>
          </w:divBdr>
        </w:div>
        <w:div w:id="560949672">
          <w:marLeft w:val="0"/>
          <w:marRight w:val="0"/>
          <w:marTop w:val="0"/>
          <w:marBottom w:val="0"/>
          <w:divBdr>
            <w:top w:val="none" w:sz="0" w:space="0" w:color="auto"/>
            <w:left w:val="none" w:sz="0" w:space="0" w:color="auto"/>
            <w:bottom w:val="none" w:sz="0" w:space="0" w:color="auto"/>
            <w:right w:val="none" w:sz="0" w:space="0" w:color="auto"/>
          </w:divBdr>
          <w:divsChild>
            <w:div w:id="2064325791">
              <w:marLeft w:val="0"/>
              <w:marRight w:val="0"/>
              <w:marTop w:val="0"/>
              <w:marBottom w:val="0"/>
              <w:divBdr>
                <w:top w:val="none" w:sz="0" w:space="0" w:color="auto"/>
                <w:left w:val="none" w:sz="0" w:space="0" w:color="auto"/>
                <w:bottom w:val="none" w:sz="0" w:space="0" w:color="auto"/>
                <w:right w:val="none" w:sz="0" w:space="0" w:color="auto"/>
              </w:divBdr>
              <w:divsChild>
                <w:div w:id="1564752510">
                  <w:marLeft w:val="0"/>
                  <w:marRight w:val="0"/>
                  <w:marTop w:val="0"/>
                  <w:marBottom w:val="0"/>
                  <w:divBdr>
                    <w:top w:val="none" w:sz="0" w:space="0" w:color="auto"/>
                    <w:left w:val="none" w:sz="0" w:space="0" w:color="auto"/>
                    <w:bottom w:val="none" w:sz="0" w:space="0" w:color="auto"/>
                    <w:right w:val="none" w:sz="0" w:space="0" w:color="auto"/>
                  </w:divBdr>
                  <w:divsChild>
                    <w:div w:id="145668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 w:id="1445810354">
      <w:bodyDiv w:val="1"/>
      <w:marLeft w:val="0"/>
      <w:marRight w:val="0"/>
      <w:marTop w:val="0"/>
      <w:marBottom w:val="0"/>
      <w:divBdr>
        <w:top w:val="none" w:sz="0" w:space="0" w:color="auto"/>
        <w:left w:val="none" w:sz="0" w:space="0" w:color="auto"/>
        <w:bottom w:val="none" w:sz="0" w:space="0" w:color="auto"/>
        <w:right w:val="none" w:sz="0" w:space="0" w:color="auto"/>
      </w:divBdr>
    </w:div>
    <w:div w:id="1508791846">
      <w:bodyDiv w:val="1"/>
      <w:marLeft w:val="0"/>
      <w:marRight w:val="0"/>
      <w:marTop w:val="0"/>
      <w:marBottom w:val="0"/>
      <w:divBdr>
        <w:top w:val="none" w:sz="0" w:space="0" w:color="auto"/>
        <w:left w:val="none" w:sz="0" w:space="0" w:color="auto"/>
        <w:bottom w:val="none" w:sz="0" w:space="0" w:color="auto"/>
        <w:right w:val="none" w:sz="0" w:space="0" w:color="auto"/>
      </w:divBdr>
      <w:divsChild>
        <w:div w:id="906845069">
          <w:marLeft w:val="0"/>
          <w:marRight w:val="0"/>
          <w:marTop w:val="0"/>
          <w:marBottom w:val="0"/>
          <w:divBdr>
            <w:top w:val="none" w:sz="0" w:space="0" w:color="auto"/>
            <w:left w:val="none" w:sz="0" w:space="0" w:color="auto"/>
            <w:bottom w:val="none" w:sz="0" w:space="0" w:color="auto"/>
            <w:right w:val="none" w:sz="0" w:space="0" w:color="auto"/>
          </w:divBdr>
          <w:divsChild>
            <w:div w:id="988552729">
              <w:marLeft w:val="0"/>
              <w:marRight w:val="0"/>
              <w:marTop w:val="0"/>
              <w:marBottom w:val="0"/>
              <w:divBdr>
                <w:top w:val="none" w:sz="0" w:space="0" w:color="auto"/>
                <w:left w:val="none" w:sz="0" w:space="0" w:color="auto"/>
                <w:bottom w:val="none" w:sz="0" w:space="0" w:color="auto"/>
                <w:right w:val="none" w:sz="0" w:space="0" w:color="auto"/>
              </w:divBdr>
              <w:divsChild>
                <w:div w:id="107442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18468">
      <w:bodyDiv w:val="1"/>
      <w:marLeft w:val="0"/>
      <w:marRight w:val="0"/>
      <w:marTop w:val="0"/>
      <w:marBottom w:val="0"/>
      <w:divBdr>
        <w:top w:val="none" w:sz="0" w:space="0" w:color="auto"/>
        <w:left w:val="none" w:sz="0" w:space="0" w:color="auto"/>
        <w:bottom w:val="none" w:sz="0" w:space="0" w:color="auto"/>
        <w:right w:val="none" w:sz="0" w:space="0" w:color="auto"/>
      </w:divBdr>
    </w:div>
    <w:div w:id="1890650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tga.gov.au/australian-public-assessment-report-auspar-guidance" TargetMode="External"/><Relationship Id="rId26" Type="http://schemas.openxmlformats.org/officeDocument/2006/relationships/hyperlink" Target="https://www.tga.gov.au/how-we-regulate/supply-therapeutic-good-0/supply-prescription-medicine/application-process/prescription-medicines-registration-process" TargetMode="External"/><Relationship Id="rId39" Type="http://schemas.microsoft.com/office/2007/relationships/hdphoto" Target="media/hdphoto5.wdp"/><Relationship Id="rId21" Type="http://schemas.openxmlformats.org/officeDocument/2006/relationships/hyperlink" Target="https://www.tga.gov.au/resources/artg/407485" TargetMode="External"/><Relationship Id="rId34" Type="http://schemas.microsoft.com/office/2007/relationships/hdphoto" Target="media/hdphoto3.wdp"/><Relationship Id="rId42" Type="http://schemas.openxmlformats.org/officeDocument/2006/relationships/hyperlink" Target="https://www.ebs.tga.gov.au/" TargetMode="External"/><Relationship Id="rId47" Type="http://schemas.openxmlformats.org/officeDocument/2006/relationships/header" Target="header5.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7.png"/><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image" Target="media/image9.png"/><Relationship Id="rId37" Type="http://schemas.openxmlformats.org/officeDocument/2006/relationships/image" Target="media/image12.png"/><Relationship Id="rId40" Type="http://schemas.openxmlformats.org/officeDocument/2006/relationships/hyperlink" Target="https://www.tga.gov.au/resources/resources/forms/certified-product-details-cpd-biological-prescription-medicines" TargetMode="External"/><Relationship Id="rId45" Type="http://schemas.openxmlformats.org/officeDocument/2006/relationships/hyperlink" Target="mailto:info@tga.gov.au"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tga.gov.au/black-triangle-scheme" TargetMode="External"/><Relationship Id="rId28" Type="http://schemas.openxmlformats.org/officeDocument/2006/relationships/image" Target="media/image6.png"/><Relationship Id="rId36" Type="http://schemas.microsoft.com/office/2007/relationships/hdphoto" Target="media/hdphoto4.wdp"/><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tga.copyright@tga.gov.au" TargetMode="External"/><Relationship Id="rId31" Type="http://schemas.openxmlformats.org/officeDocument/2006/relationships/image" Target="media/image8.png"/><Relationship Id="rId44"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tga.gov.au/resources/artg/407486" TargetMode="External"/><Relationship Id="rId27" Type="http://schemas.openxmlformats.org/officeDocument/2006/relationships/image" Target="media/image5.png"/><Relationship Id="rId30" Type="http://schemas.microsoft.com/office/2007/relationships/hdphoto" Target="media/hdphoto2.wdp"/><Relationship Id="rId35" Type="http://schemas.openxmlformats.org/officeDocument/2006/relationships/image" Target="media/image11.png"/><Relationship Id="rId43" Type="http://schemas.openxmlformats.org/officeDocument/2006/relationships/header" Target="header4.xml"/><Relationship Id="rId48" Type="http://schemas.openxmlformats.org/officeDocument/2006/relationships/footer" Target="footer5.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tga.gov.au/" TargetMode="External"/><Relationship Id="rId25" Type="http://schemas.microsoft.com/office/2007/relationships/hdphoto" Target="media/hdphoto1.wdp"/><Relationship Id="rId33" Type="http://schemas.openxmlformats.org/officeDocument/2006/relationships/image" Target="media/image10.png"/><Relationship Id="rId38" Type="http://schemas.openxmlformats.org/officeDocument/2006/relationships/image" Target="media/image13.png"/><Relationship Id="rId46" Type="http://schemas.openxmlformats.org/officeDocument/2006/relationships/hyperlink" Target="https://www.tga.gov.au" TargetMode="External"/><Relationship Id="rId20" Type="http://schemas.openxmlformats.org/officeDocument/2006/relationships/hyperlink" Target="https://www.tga.gov.au/resources/artg/407484" TargetMode="External"/><Relationship Id="rId41" Type="http://schemas.openxmlformats.org/officeDocument/2006/relationships/hyperlink" Target="https://www.tga.gov.au/resources/guidance/submitting-certified-product-details-cpd-biological-prescription-medicines"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www.ema.europa.eu/en/documents/scientific-guideline/guideline-investigation-bioequivalence-rev1_en.pdf" TargetMode="External"/><Relationship Id="rId2" Type="http://schemas.openxmlformats.org/officeDocument/2006/relationships/hyperlink" Target="https://www.ema.europa.eu/en/documents/scientific-guideline/guideline-similar-biological-medicinal-products-containing-biotechnology-derived-proteins-active-substance-non-clinical-and-clinical-issues-revision-1_en.pdf" TargetMode="External"/><Relationship Id="rId1" Type="http://schemas.openxmlformats.org/officeDocument/2006/relationships/hyperlink" Target="https://www.racgp.org.au/getattachment/487c5b92-7bd0-4b1c-86f5-2d86c649f92f/Osteoporosis-management-and-fracture-prevention-in-post-menopausal-women-and-men-50-years-of-age.aspx"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CA9247CEB09F49B71BB726D6472DD6" ma:contentTypeVersion="15" ma:contentTypeDescription="Create a new document." ma:contentTypeScope="" ma:versionID="447f7d177701113f9dd9fda55fef332b">
  <xsd:schema xmlns:xsd="http://www.w3.org/2001/XMLSchema" xmlns:xs="http://www.w3.org/2001/XMLSchema" xmlns:p="http://schemas.microsoft.com/office/2006/metadata/properties" xmlns:ns2="45e920f3-94d1-4567-a049-3f98558edcca" xmlns:ns3="19d641a1-7458-49d9-84b8-c311b6c7e258" targetNamespace="http://schemas.microsoft.com/office/2006/metadata/properties" ma:root="true" ma:fieldsID="ce455e6808ae60e02bcb9e18d6af569d" ns2:_="" ns3:_="">
    <xsd:import namespace="45e920f3-94d1-4567-a049-3f98558edcca"/>
    <xsd:import namespace="19d641a1-7458-49d9-84b8-c311b6c7e25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e920f3-94d1-4567-a049-3f98558edc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ab9485c-35c7-4761-9498-d62814857a44"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9d641a1-7458-49d9-84b8-c311b6c7e25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a5a3a95-9ed7-4716-a12b-c9a9bfc2b576}" ma:internalName="TaxCatchAll" ma:showField="CatchAllData" ma:web="19d641a1-7458-49d9-84b8-c311b6c7e258">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5e920f3-94d1-4567-a049-3f98558edcca">
      <Terms xmlns="http://schemas.microsoft.com/office/infopath/2007/PartnerControls"/>
    </lcf76f155ced4ddcb4097134ff3c332f>
    <TaxCatchAll xmlns="19d641a1-7458-49d9-84b8-c311b6c7e258" xsi:nil="true"/>
  </documentManagement>
</p:properties>
</file>

<file path=customXml/itemProps1.xml><?xml version="1.0" encoding="utf-8"?>
<ds:datastoreItem xmlns:ds="http://schemas.openxmlformats.org/officeDocument/2006/customXml" ds:itemID="{03C49D0B-4BFA-47FA-AC2D-7A64B595D7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e920f3-94d1-4567-a049-3f98558edcca"/>
    <ds:schemaRef ds:uri="19d641a1-7458-49d9-84b8-c311b6c7e2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B2CBEA-0B4A-46B9-845D-338918C79B4B}">
  <ds:schemaRefs>
    <ds:schemaRef ds:uri="http://schemas.openxmlformats.org/officeDocument/2006/bibliography"/>
  </ds:schemaRefs>
</ds:datastoreItem>
</file>

<file path=customXml/itemProps3.xml><?xml version="1.0" encoding="utf-8"?>
<ds:datastoreItem xmlns:ds="http://schemas.openxmlformats.org/officeDocument/2006/customXml" ds:itemID="{A2FE2395-3175-465D-9279-A1CBC13E4546}">
  <ds:schemaRefs>
    <ds:schemaRef ds:uri="http://schemas.microsoft.com/sharepoint/v3/contenttype/forms"/>
  </ds:schemaRefs>
</ds:datastoreItem>
</file>

<file path=customXml/itemProps4.xml><?xml version="1.0" encoding="utf-8"?>
<ds:datastoreItem xmlns:ds="http://schemas.openxmlformats.org/officeDocument/2006/customXml" ds:itemID="{3C88AECC-A1AB-4B17-BC2C-E0451AF837BF}">
  <ds:schemaRefs>
    <ds:schemaRef ds:uri="http://schemas.microsoft.com/office/2006/metadata/properties"/>
    <ds:schemaRef ds:uri="http://schemas.microsoft.com/office/infopath/2007/PartnerControls"/>
    <ds:schemaRef ds:uri="45e920f3-94d1-4567-a049-3f98558edcca"/>
    <ds:schemaRef ds:uri="19d641a1-7458-49d9-84b8-c311b6c7e258"/>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22</Pages>
  <Words>6132</Words>
  <Characters>36983</Characters>
  <Application>Microsoft Office Word</Application>
  <DocSecurity>0</DocSecurity>
  <Lines>734</Lines>
  <Paragraphs>353</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Disability and Ageing</Company>
  <LinksUpToDate>false</LinksUpToDate>
  <CharactersWithSpaces>42845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Sondelbay, Teriparintas and Teriparaccord</dc:title>
  <dc:subject>Prescription medicines</dc:subject>
  <dc:creator>Therapeutic Goods Administration</dc:creator>
  <cp:keywords/>
  <dc:description/>
  <cp:lastModifiedBy>LACK, Janet</cp:lastModifiedBy>
  <cp:revision>4</cp:revision>
  <dcterms:created xsi:type="dcterms:W3CDTF">2026-01-05T21:30:00Z</dcterms:created>
  <dcterms:modified xsi:type="dcterms:W3CDTF">2026-01-05T21:37:00Z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7e30b361,23f6da1c,448df21,3113edbb,44ab9048</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1d6bbde8,5f3c6e39,5465fb10,474cbd28,4d1a1510</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2025-11-10T04:24:04Z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206aef02-82f0-43db-ba9e-088b498aab88</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y fmtid="{D5CDD505-2E9C-101B-9397-08002B2CF9AE}" pid="16" name="ContentTypeId">
    <vt:lpwstr>0x010100ECCA9247CEB09F49B71BB726D6472DD6</vt:lpwstr>
  </property>
  <property fmtid="{D5CDD505-2E9C-101B-9397-08002B2CF9AE}" pid="17" name="MediaServiceImageTags">
    <vt:lpwstr/>
  </property>
</Properties>
</file>