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2750EEAB" w:rsidR="00F02AEC" w:rsidRPr="00215D48" w:rsidRDefault="00346EC2" w:rsidP="007452E8">
            <w:pPr>
              <w:pStyle w:val="Title"/>
            </w:pPr>
            <w:r w:rsidRPr="00346EC2">
              <w:t xml:space="preserve">Australian Public Assessment Report for </w:t>
            </w:r>
            <w:proofErr w:type="spellStart"/>
            <w:r w:rsidR="00CD6D85">
              <w:t>Sephience</w:t>
            </w:r>
            <w:proofErr w:type="spellEnd"/>
          </w:p>
        </w:tc>
      </w:tr>
      <w:tr w:rsidR="00F02AEC" w:rsidRPr="00215D48" w14:paraId="318A40A3" w14:textId="77777777" w:rsidTr="00346EC2">
        <w:trPr>
          <w:trHeight w:val="995"/>
        </w:trPr>
        <w:tc>
          <w:tcPr>
            <w:tcW w:w="8720" w:type="dxa"/>
          </w:tcPr>
          <w:p w14:paraId="1AA7C701" w14:textId="54D18E14" w:rsidR="00F02AEC" w:rsidRPr="00215D48" w:rsidRDefault="00346EC2" w:rsidP="007452E8">
            <w:pPr>
              <w:pStyle w:val="Subtitle"/>
              <w:ind w:left="0"/>
            </w:pPr>
            <w:r w:rsidRPr="00346EC2">
              <w:t xml:space="preserve">Active ingredient: </w:t>
            </w:r>
            <w:proofErr w:type="spellStart"/>
            <w:r w:rsidR="00CD6D85" w:rsidRPr="00CD6D85">
              <w:t>sepiapteri</w:t>
            </w:r>
            <w:r w:rsidR="00CD6D85">
              <w:t>n</w:t>
            </w:r>
            <w:proofErr w:type="spellEnd"/>
          </w:p>
        </w:tc>
      </w:tr>
      <w:tr w:rsidR="00346EC2" w:rsidRPr="00215D48" w14:paraId="362CCAE4" w14:textId="77777777" w:rsidTr="007452E8">
        <w:trPr>
          <w:trHeight w:val="1916"/>
        </w:trPr>
        <w:tc>
          <w:tcPr>
            <w:tcW w:w="8720" w:type="dxa"/>
          </w:tcPr>
          <w:p w14:paraId="709C45C0" w14:textId="66E0DEA6" w:rsidR="00346EC2" w:rsidRPr="00215D48" w:rsidRDefault="00DD1733" w:rsidP="007452E8">
            <w:pPr>
              <w:pStyle w:val="Subtitle"/>
              <w:ind w:left="0"/>
            </w:pPr>
            <w:r>
              <w:t>Sponsor</w:t>
            </w:r>
            <w:r w:rsidR="00346EC2" w:rsidRPr="00346EC2">
              <w:t xml:space="preserve">: </w:t>
            </w:r>
            <w:r w:rsidR="00CD6D85" w:rsidRPr="00CD6D85">
              <w:t>PTC Therapeutics Australia P</w:t>
            </w:r>
            <w:r w:rsidR="00CD6D85">
              <w:t>ty Ltd</w:t>
            </w:r>
          </w:p>
        </w:tc>
      </w:tr>
      <w:tr w:rsidR="00F02AEC" w:rsidRPr="00215D48" w14:paraId="37F2AA1F" w14:textId="77777777" w:rsidTr="007452E8">
        <w:tc>
          <w:tcPr>
            <w:tcW w:w="8720" w:type="dxa"/>
          </w:tcPr>
          <w:p w14:paraId="1FDE8DCD" w14:textId="34542853" w:rsidR="00F02AEC" w:rsidRPr="00215D48" w:rsidRDefault="004540F9" w:rsidP="007452E8">
            <w:pPr>
              <w:pStyle w:val="Date"/>
            </w:pPr>
            <w:r>
              <w:t>November</w:t>
            </w:r>
            <w:r w:rsidR="00CD6D85">
              <w:t xml:space="preserve"> 2025</w:t>
            </w:r>
          </w:p>
        </w:tc>
      </w:tr>
    </w:tbl>
    <w:p w14:paraId="73752706" w14:textId="77777777" w:rsidR="00F02AEC" w:rsidRPr="00215D48" w:rsidRDefault="00F02AEC" w:rsidP="007452E8">
      <w:pPr>
        <w:pStyle w:val="ListBullet"/>
        <w:numPr>
          <w:ilvl w:val="0"/>
          <w:numId w:val="0"/>
        </w:numPr>
        <w:sectPr w:rsidR="00F02AEC" w:rsidRPr="00215D48" w:rsidSect="00CB055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2170A423" w14:textId="19E9736D" w:rsidR="00346EC2" w:rsidRPr="001F6CBA" w:rsidRDefault="00346EC2" w:rsidP="00346EC2">
      <w:pPr>
        <w:pStyle w:val="NonTOCHeading20"/>
      </w:pPr>
      <w:r w:rsidRPr="001F6CBA">
        <w:lastRenderedPageBreak/>
        <w:t>About the Therapeutic Goods Administration (TGA)</w:t>
      </w:r>
    </w:p>
    <w:p w14:paraId="79558AE9" w14:textId="038D0DA4" w:rsidR="00346EC2" w:rsidRPr="00391B0C" w:rsidRDefault="00346EC2" w:rsidP="0056766D">
      <w:pPr>
        <w:pStyle w:val="ListBullet"/>
      </w:pPr>
      <w:r w:rsidRPr="00391B0C">
        <w:t xml:space="preserve">The Therapeutic Goods Administration (TGA) is part of the Australian Government </w:t>
      </w:r>
      <w:r w:rsidRPr="00C22214">
        <w:t>Department of Health</w:t>
      </w:r>
      <w:r w:rsidR="0006693A">
        <w:t>, Disability</w:t>
      </w:r>
      <w:r w:rsidRPr="00C22214">
        <w:t xml:space="preserve"> and Ag</w:t>
      </w:r>
      <w:r w:rsidR="0006693A">
        <w:t>eing</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7" w:history="1">
        <w:r w:rsidRPr="00A63C07">
          <w:rPr>
            <w:rStyle w:val="Hyperlink"/>
          </w:rPr>
          <w:t>TGA website</w:t>
        </w:r>
      </w:hyperlink>
      <w:r w:rsidRPr="003C6D1F">
        <w:t>.</w:t>
      </w:r>
    </w:p>
    <w:p w14:paraId="737B7A99" w14:textId="2BFDE282" w:rsidR="00346EC2" w:rsidRDefault="00346EC2" w:rsidP="00346EC2">
      <w:pPr>
        <w:pStyle w:val="NonTOCHeading20"/>
      </w:pPr>
      <w:r>
        <w:t xml:space="preserve">About </w:t>
      </w:r>
      <w:proofErr w:type="spellStart"/>
      <w:r>
        <w:t>AusPARs</w:t>
      </w:r>
      <w:proofErr w:type="spellEnd"/>
    </w:p>
    <w:p w14:paraId="631B2209" w14:textId="010FE2EE" w:rsidR="00346EC2" w:rsidRPr="003C6D1F" w:rsidRDefault="00346EC2" w:rsidP="00346EC2">
      <w:pPr>
        <w:pStyle w:val="ListBullet"/>
      </w:pPr>
      <w:r>
        <w:t>The</w:t>
      </w:r>
      <w:r w:rsidRPr="003C6D1F">
        <w:t xml:space="preserve"> Australian Public Assessment Report (</w:t>
      </w:r>
      <w:proofErr w:type="spellStart"/>
      <w:r w:rsidRPr="003C6D1F">
        <w:t>AusPAR</w:t>
      </w:r>
      <w:proofErr w:type="spellEnd"/>
      <w:r w:rsidRPr="003C6D1F">
        <w:t>) provides information about the evaluation of a prescription medicine and the considerations that led the TGA to approve or not approve a prescription medicine submission.</w:t>
      </w:r>
      <w:r>
        <w:t xml:space="preserve"> Further information can be found in </w:t>
      </w:r>
      <w:hyperlink r:id="rId18" w:history="1">
        <w:r w:rsidRPr="005A2EB8">
          <w:rPr>
            <w:rStyle w:val="Hyperlink"/>
          </w:rPr>
          <w:t>Australian Public Assessment Report (</w:t>
        </w:r>
        <w:proofErr w:type="spellStart"/>
        <w:r w:rsidRPr="005A2EB8">
          <w:rPr>
            <w:rStyle w:val="Hyperlink"/>
          </w:rPr>
          <w:t>AusPAR</w:t>
        </w:r>
        <w:proofErr w:type="spellEnd"/>
        <w:r w:rsidRPr="005A2EB8">
          <w:rPr>
            <w:rStyle w:val="Hyperlink"/>
          </w:rPr>
          <w:t>) guidance</w:t>
        </w:r>
      </w:hyperlink>
      <w:r>
        <w:t>.</w:t>
      </w:r>
    </w:p>
    <w:p w14:paraId="22F5A730" w14:textId="77777777" w:rsidR="00346EC2" w:rsidRPr="003C6D1F" w:rsidRDefault="00346EC2" w:rsidP="00346EC2">
      <w:pPr>
        <w:pStyle w:val="ListBullet"/>
      </w:pPr>
      <w:proofErr w:type="spellStart"/>
      <w:r w:rsidRPr="003C6D1F">
        <w:t>AusPARs</w:t>
      </w:r>
      <w:proofErr w:type="spellEnd"/>
      <w:r w:rsidRPr="003C6D1F">
        <w:t xml:space="preserve"> are prepared and published by the TGA.</w:t>
      </w:r>
    </w:p>
    <w:p w14:paraId="451B8FD7" w14:textId="77777777" w:rsidR="00346EC2" w:rsidRPr="003C6D1F" w:rsidRDefault="00346EC2" w:rsidP="00346EC2">
      <w:pPr>
        <w:pStyle w:val="ListBullet"/>
      </w:pPr>
      <w:proofErr w:type="spellStart"/>
      <w:r w:rsidRPr="003C6D1F">
        <w:t>AusPAR</w:t>
      </w:r>
      <w:r>
        <w:t>s</w:t>
      </w:r>
      <w:proofErr w:type="spellEnd"/>
      <w:r>
        <w:t xml:space="preserve"> are </w:t>
      </w:r>
      <w:r w:rsidRPr="003C6D1F">
        <w:t>static document</w:t>
      </w:r>
      <w:r>
        <w:t xml:space="preserve">s that </w:t>
      </w:r>
      <w:r w:rsidRPr="003C6D1F">
        <w:t>provide information that relates to a submission at a particular point in time.</w:t>
      </w:r>
      <w:r>
        <w:t xml:space="preserve"> The publication of an </w:t>
      </w:r>
      <w:proofErr w:type="spellStart"/>
      <w:r>
        <w:t>AusPAR</w:t>
      </w:r>
      <w:proofErr w:type="spellEnd"/>
      <w:r>
        <w:t xml:space="preserve"> is an important part of the transparency of the TGA’s decision-making process.</w:t>
      </w:r>
    </w:p>
    <w:p w14:paraId="4D69F5CF" w14:textId="77777777" w:rsidR="00346EC2" w:rsidRPr="003C6D1F" w:rsidRDefault="00346EC2" w:rsidP="00346EC2">
      <w:pPr>
        <w:pStyle w:val="ListBullet"/>
      </w:pPr>
      <w:r w:rsidRPr="003C6D1F">
        <w:t xml:space="preserve">A new </w:t>
      </w:r>
      <w:proofErr w:type="spellStart"/>
      <w:r w:rsidRPr="003C6D1F">
        <w:t>AusPAR</w:t>
      </w:r>
      <w:proofErr w:type="spellEnd"/>
      <w:r w:rsidRPr="003C6D1F">
        <w:t xml:space="preserve"> </w:t>
      </w:r>
      <w:r>
        <w:t xml:space="preserve">may be provided </w:t>
      </w:r>
      <w:r w:rsidRPr="003C6D1F">
        <w:t>to reflect changes to indications or major variations to a prescription medicine subject to evaluation by the TGA.</w:t>
      </w:r>
    </w:p>
    <w:p w14:paraId="7067011F" w14:textId="45E75AC3" w:rsidR="00F02AEC" w:rsidRPr="00E1198B" w:rsidRDefault="00F02AEC" w:rsidP="00FE087C">
      <w:pPr>
        <w:pStyle w:val="LegalSubheading"/>
        <w:spacing w:before="3600"/>
      </w:pPr>
      <w:r w:rsidRPr="00BA0DFC">
        <w:t>Copyright</w:t>
      </w:r>
    </w:p>
    <w:p w14:paraId="170A8A5D" w14:textId="796829F4" w:rsidR="00175CD8" w:rsidRPr="00346EC2" w:rsidRDefault="00F02AEC" w:rsidP="00346EC2">
      <w:pPr>
        <w:pStyle w:val="LegalCopy"/>
        <w:rPr>
          <w:rFonts w:cs="Arial"/>
        </w:rPr>
      </w:pPr>
      <w:r w:rsidRPr="00215D48">
        <w:rPr>
          <w:rFonts w:cs="Arial"/>
        </w:rPr>
        <w:t>© Commonwealth of Australia 20</w:t>
      </w:r>
      <w:r>
        <w:rPr>
          <w:rFonts w:cs="Arial"/>
        </w:rPr>
        <w:t>2</w:t>
      </w:r>
      <w:r w:rsidR="00210F9B">
        <w:rPr>
          <w:rFonts w:cs="Arial"/>
        </w:rPr>
        <w:t>5</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9" w:history="1">
        <w:r w:rsidRPr="00215D48">
          <w:rPr>
            <w:rStyle w:val="Hyperlink"/>
            <w:rFonts w:cs="Arial"/>
          </w:rPr>
          <w:t>tga.copyright@tga.gov.au</w:t>
        </w:r>
      </w:hyperlink>
      <w:r w:rsidRPr="00215D48">
        <w:rPr>
          <w:rFonts w:cs="Arial"/>
        </w:rPr>
        <w:t>&gt;.</w:t>
      </w:r>
    </w:p>
    <w:sdt>
      <w:sdtPr>
        <w:rPr>
          <w:rFonts w:ascii="Cambria" w:eastAsiaTheme="minorEastAsia" w:hAnsi="Cambria" w:cstheme="minorBidi"/>
          <w:b w:val="0"/>
          <w:color w:val="auto"/>
          <w:sz w:val="22"/>
          <w:szCs w:val="22"/>
        </w:rPr>
        <w:id w:val="21514769"/>
        <w:docPartObj>
          <w:docPartGallery w:val="Table of Contents"/>
          <w:docPartUnique/>
        </w:docPartObj>
      </w:sdtPr>
      <w:sdtEndPr/>
      <w:sdtContent>
        <w:p w14:paraId="0A6ADA2B" w14:textId="5791B3E5" w:rsidR="00F02AEC" w:rsidRPr="00215D48" w:rsidRDefault="00F02AEC" w:rsidP="007452E8">
          <w:pPr>
            <w:pStyle w:val="NonTOCheading2"/>
          </w:pPr>
          <w:r w:rsidRPr="00215D48">
            <w:t>Contents</w:t>
          </w:r>
        </w:p>
        <w:p w14:paraId="387F47D4" w14:textId="3DEDE79E" w:rsidR="005D1778"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215749760" w:history="1">
            <w:r w:rsidR="005D1778" w:rsidRPr="0053500A">
              <w:rPr>
                <w:rStyle w:val="Hyperlink"/>
                <w:noProof/>
              </w:rPr>
              <w:t>List of abbreviations</w:t>
            </w:r>
            <w:r w:rsidR="005D1778">
              <w:rPr>
                <w:noProof/>
                <w:webHidden/>
              </w:rPr>
              <w:tab/>
            </w:r>
            <w:r w:rsidR="005D1778">
              <w:rPr>
                <w:noProof/>
                <w:webHidden/>
              </w:rPr>
              <w:fldChar w:fldCharType="begin"/>
            </w:r>
            <w:r w:rsidR="005D1778">
              <w:rPr>
                <w:noProof/>
                <w:webHidden/>
              </w:rPr>
              <w:instrText xml:space="preserve"> PAGEREF _Toc215749760 \h </w:instrText>
            </w:r>
            <w:r w:rsidR="005D1778">
              <w:rPr>
                <w:noProof/>
                <w:webHidden/>
              </w:rPr>
            </w:r>
            <w:r w:rsidR="005D1778">
              <w:rPr>
                <w:noProof/>
                <w:webHidden/>
              </w:rPr>
              <w:fldChar w:fldCharType="separate"/>
            </w:r>
            <w:r w:rsidR="005D1778">
              <w:rPr>
                <w:noProof/>
                <w:webHidden/>
              </w:rPr>
              <w:t>4</w:t>
            </w:r>
            <w:r w:rsidR="005D1778">
              <w:rPr>
                <w:noProof/>
                <w:webHidden/>
              </w:rPr>
              <w:fldChar w:fldCharType="end"/>
            </w:r>
          </w:hyperlink>
        </w:p>
        <w:p w14:paraId="05F37446" w14:textId="7E7E2E0E" w:rsidR="005D1778" w:rsidRDefault="005D177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5749761" w:history="1">
            <w:r w:rsidRPr="0053500A">
              <w:rPr>
                <w:rStyle w:val="Hyperlink"/>
                <w:noProof/>
              </w:rPr>
              <w:t>Product submission</w:t>
            </w:r>
            <w:r>
              <w:rPr>
                <w:noProof/>
                <w:webHidden/>
              </w:rPr>
              <w:tab/>
            </w:r>
            <w:r>
              <w:rPr>
                <w:noProof/>
                <w:webHidden/>
              </w:rPr>
              <w:fldChar w:fldCharType="begin"/>
            </w:r>
            <w:r>
              <w:rPr>
                <w:noProof/>
                <w:webHidden/>
              </w:rPr>
              <w:instrText xml:space="preserve"> PAGEREF _Toc215749761 \h </w:instrText>
            </w:r>
            <w:r>
              <w:rPr>
                <w:noProof/>
                <w:webHidden/>
              </w:rPr>
            </w:r>
            <w:r>
              <w:rPr>
                <w:noProof/>
                <w:webHidden/>
              </w:rPr>
              <w:fldChar w:fldCharType="separate"/>
            </w:r>
            <w:r>
              <w:rPr>
                <w:noProof/>
                <w:webHidden/>
              </w:rPr>
              <w:t>5</w:t>
            </w:r>
            <w:r>
              <w:rPr>
                <w:noProof/>
                <w:webHidden/>
              </w:rPr>
              <w:fldChar w:fldCharType="end"/>
            </w:r>
          </w:hyperlink>
        </w:p>
        <w:p w14:paraId="67C05641" w14:textId="7732A88F" w:rsidR="005D1778" w:rsidRDefault="005D177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749762" w:history="1">
            <w:r w:rsidRPr="0053500A">
              <w:rPr>
                <w:rStyle w:val="Hyperlink"/>
                <w:noProof/>
                <w:lang w:eastAsia="en-AU"/>
              </w:rPr>
              <w:t>Submission details</w:t>
            </w:r>
            <w:r>
              <w:rPr>
                <w:noProof/>
                <w:webHidden/>
              </w:rPr>
              <w:tab/>
            </w:r>
            <w:r>
              <w:rPr>
                <w:noProof/>
                <w:webHidden/>
              </w:rPr>
              <w:fldChar w:fldCharType="begin"/>
            </w:r>
            <w:r>
              <w:rPr>
                <w:noProof/>
                <w:webHidden/>
              </w:rPr>
              <w:instrText xml:space="preserve"> PAGEREF _Toc215749762 \h </w:instrText>
            </w:r>
            <w:r>
              <w:rPr>
                <w:noProof/>
                <w:webHidden/>
              </w:rPr>
            </w:r>
            <w:r>
              <w:rPr>
                <w:noProof/>
                <w:webHidden/>
              </w:rPr>
              <w:fldChar w:fldCharType="separate"/>
            </w:r>
            <w:r>
              <w:rPr>
                <w:noProof/>
                <w:webHidden/>
              </w:rPr>
              <w:t>5</w:t>
            </w:r>
            <w:r>
              <w:rPr>
                <w:noProof/>
                <w:webHidden/>
              </w:rPr>
              <w:fldChar w:fldCharType="end"/>
            </w:r>
          </w:hyperlink>
        </w:p>
        <w:p w14:paraId="58B9D7A0" w14:textId="67352DCF" w:rsidR="005D1778" w:rsidRDefault="005D177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749763" w:history="1">
            <w:r w:rsidRPr="0053500A">
              <w:rPr>
                <w:rStyle w:val="Hyperlink"/>
                <w:noProof/>
              </w:rPr>
              <w:t>Product background</w:t>
            </w:r>
            <w:r>
              <w:rPr>
                <w:noProof/>
                <w:webHidden/>
              </w:rPr>
              <w:tab/>
            </w:r>
            <w:r>
              <w:rPr>
                <w:noProof/>
                <w:webHidden/>
              </w:rPr>
              <w:fldChar w:fldCharType="begin"/>
            </w:r>
            <w:r>
              <w:rPr>
                <w:noProof/>
                <w:webHidden/>
              </w:rPr>
              <w:instrText xml:space="preserve"> PAGEREF _Toc215749763 \h </w:instrText>
            </w:r>
            <w:r>
              <w:rPr>
                <w:noProof/>
                <w:webHidden/>
              </w:rPr>
            </w:r>
            <w:r>
              <w:rPr>
                <w:noProof/>
                <w:webHidden/>
              </w:rPr>
              <w:fldChar w:fldCharType="separate"/>
            </w:r>
            <w:r>
              <w:rPr>
                <w:noProof/>
                <w:webHidden/>
              </w:rPr>
              <w:t>6</w:t>
            </w:r>
            <w:r>
              <w:rPr>
                <w:noProof/>
                <w:webHidden/>
              </w:rPr>
              <w:fldChar w:fldCharType="end"/>
            </w:r>
          </w:hyperlink>
        </w:p>
        <w:p w14:paraId="6C91F10F" w14:textId="5C259CE3" w:rsidR="005D1778" w:rsidRDefault="005D177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749764" w:history="1">
            <w:r w:rsidRPr="0053500A">
              <w:rPr>
                <w:rStyle w:val="Hyperlink"/>
                <w:noProof/>
              </w:rPr>
              <w:t>Disease or condition</w:t>
            </w:r>
            <w:r>
              <w:rPr>
                <w:noProof/>
                <w:webHidden/>
              </w:rPr>
              <w:tab/>
            </w:r>
            <w:r>
              <w:rPr>
                <w:noProof/>
                <w:webHidden/>
              </w:rPr>
              <w:fldChar w:fldCharType="begin"/>
            </w:r>
            <w:r>
              <w:rPr>
                <w:noProof/>
                <w:webHidden/>
              </w:rPr>
              <w:instrText xml:space="preserve"> PAGEREF _Toc215749764 \h </w:instrText>
            </w:r>
            <w:r>
              <w:rPr>
                <w:noProof/>
                <w:webHidden/>
              </w:rPr>
            </w:r>
            <w:r>
              <w:rPr>
                <w:noProof/>
                <w:webHidden/>
              </w:rPr>
              <w:fldChar w:fldCharType="separate"/>
            </w:r>
            <w:r>
              <w:rPr>
                <w:noProof/>
                <w:webHidden/>
              </w:rPr>
              <w:t>6</w:t>
            </w:r>
            <w:r>
              <w:rPr>
                <w:noProof/>
                <w:webHidden/>
              </w:rPr>
              <w:fldChar w:fldCharType="end"/>
            </w:r>
          </w:hyperlink>
        </w:p>
        <w:p w14:paraId="35D9C7C8" w14:textId="75AEF700" w:rsidR="005D1778" w:rsidRDefault="005D177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749765" w:history="1">
            <w:r w:rsidRPr="0053500A">
              <w:rPr>
                <w:rStyle w:val="Hyperlink"/>
                <w:noProof/>
              </w:rPr>
              <w:t>Current treatment options</w:t>
            </w:r>
            <w:r>
              <w:rPr>
                <w:noProof/>
                <w:webHidden/>
              </w:rPr>
              <w:tab/>
            </w:r>
            <w:r>
              <w:rPr>
                <w:noProof/>
                <w:webHidden/>
              </w:rPr>
              <w:fldChar w:fldCharType="begin"/>
            </w:r>
            <w:r>
              <w:rPr>
                <w:noProof/>
                <w:webHidden/>
              </w:rPr>
              <w:instrText xml:space="preserve"> PAGEREF _Toc215749765 \h </w:instrText>
            </w:r>
            <w:r>
              <w:rPr>
                <w:noProof/>
                <w:webHidden/>
              </w:rPr>
            </w:r>
            <w:r>
              <w:rPr>
                <w:noProof/>
                <w:webHidden/>
              </w:rPr>
              <w:fldChar w:fldCharType="separate"/>
            </w:r>
            <w:r>
              <w:rPr>
                <w:noProof/>
                <w:webHidden/>
              </w:rPr>
              <w:t>7</w:t>
            </w:r>
            <w:r>
              <w:rPr>
                <w:noProof/>
                <w:webHidden/>
              </w:rPr>
              <w:fldChar w:fldCharType="end"/>
            </w:r>
          </w:hyperlink>
        </w:p>
        <w:p w14:paraId="7ED21CE4" w14:textId="3643E5C3" w:rsidR="005D1778" w:rsidRDefault="005D177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749766" w:history="1">
            <w:r w:rsidRPr="0053500A">
              <w:rPr>
                <w:rStyle w:val="Hyperlink"/>
                <w:noProof/>
              </w:rPr>
              <w:t>Clinical rationale</w:t>
            </w:r>
            <w:r>
              <w:rPr>
                <w:noProof/>
                <w:webHidden/>
              </w:rPr>
              <w:tab/>
            </w:r>
            <w:r>
              <w:rPr>
                <w:noProof/>
                <w:webHidden/>
              </w:rPr>
              <w:fldChar w:fldCharType="begin"/>
            </w:r>
            <w:r>
              <w:rPr>
                <w:noProof/>
                <w:webHidden/>
              </w:rPr>
              <w:instrText xml:space="preserve"> PAGEREF _Toc215749766 \h </w:instrText>
            </w:r>
            <w:r>
              <w:rPr>
                <w:noProof/>
                <w:webHidden/>
              </w:rPr>
            </w:r>
            <w:r>
              <w:rPr>
                <w:noProof/>
                <w:webHidden/>
              </w:rPr>
              <w:fldChar w:fldCharType="separate"/>
            </w:r>
            <w:r>
              <w:rPr>
                <w:noProof/>
                <w:webHidden/>
              </w:rPr>
              <w:t>8</w:t>
            </w:r>
            <w:r>
              <w:rPr>
                <w:noProof/>
                <w:webHidden/>
              </w:rPr>
              <w:fldChar w:fldCharType="end"/>
            </w:r>
          </w:hyperlink>
        </w:p>
        <w:p w14:paraId="5DAB63D7" w14:textId="4DBAA48C" w:rsidR="005D1778" w:rsidRDefault="005D177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749767" w:history="1">
            <w:r w:rsidRPr="0053500A">
              <w:rPr>
                <w:rStyle w:val="Hyperlink"/>
                <w:noProof/>
              </w:rPr>
              <w:t>Regulatory status</w:t>
            </w:r>
            <w:r>
              <w:rPr>
                <w:noProof/>
                <w:webHidden/>
              </w:rPr>
              <w:tab/>
            </w:r>
            <w:r>
              <w:rPr>
                <w:noProof/>
                <w:webHidden/>
              </w:rPr>
              <w:fldChar w:fldCharType="begin"/>
            </w:r>
            <w:r>
              <w:rPr>
                <w:noProof/>
                <w:webHidden/>
              </w:rPr>
              <w:instrText xml:space="preserve"> PAGEREF _Toc215749767 \h </w:instrText>
            </w:r>
            <w:r>
              <w:rPr>
                <w:noProof/>
                <w:webHidden/>
              </w:rPr>
            </w:r>
            <w:r>
              <w:rPr>
                <w:noProof/>
                <w:webHidden/>
              </w:rPr>
              <w:fldChar w:fldCharType="separate"/>
            </w:r>
            <w:r>
              <w:rPr>
                <w:noProof/>
                <w:webHidden/>
              </w:rPr>
              <w:t>8</w:t>
            </w:r>
            <w:r>
              <w:rPr>
                <w:noProof/>
                <w:webHidden/>
              </w:rPr>
              <w:fldChar w:fldCharType="end"/>
            </w:r>
          </w:hyperlink>
        </w:p>
        <w:p w14:paraId="1322299E" w14:textId="2B99806A" w:rsidR="005D1778" w:rsidRDefault="005D177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749768" w:history="1">
            <w:r w:rsidRPr="0053500A">
              <w:rPr>
                <w:rStyle w:val="Hyperlink"/>
                <w:noProof/>
              </w:rPr>
              <w:t>Australian regulatory status</w:t>
            </w:r>
            <w:r>
              <w:rPr>
                <w:noProof/>
                <w:webHidden/>
              </w:rPr>
              <w:tab/>
            </w:r>
            <w:r>
              <w:rPr>
                <w:noProof/>
                <w:webHidden/>
              </w:rPr>
              <w:fldChar w:fldCharType="begin"/>
            </w:r>
            <w:r>
              <w:rPr>
                <w:noProof/>
                <w:webHidden/>
              </w:rPr>
              <w:instrText xml:space="preserve"> PAGEREF _Toc215749768 \h </w:instrText>
            </w:r>
            <w:r>
              <w:rPr>
                <w:noProof/>
                <w:webHidden/>
              </w:rPr>
            </w:r>
            <w:r>
              <w:rPr>
                <w:noProof/>
                <w:webHidden/>
              </w:rPr>
              <w:fldChar w:fldCharType="separate"/>
            </w:r>
            <w:r>
              <w:rPr>
                <w:noProof/>
                <w:webHidden/>
              </w:rPr>
              <w:t>8</w:t>
            </w:r>
            <w:r>
              <w:rPr>
                <w:noProof/>
                <w:webHidden/>
              </w:rPr>
              <w:fldChar w:fldCharType="end"/>
            </w:r>
          </w:hyperlink>
        </w:p>
        <w:p w14:paraId="20A34534" w14:textId="4638E25C" w:rsidR="005D1778" w:rsidRDefault="005D177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749769" w:history="1">
            <w:r w:rsidRPr="0053500A">
              <w:rPr>
                <w:rStyle w:val="Hyperlink"/>
                <w:noProof/>
              </w:rPr>
              <w:t>International regulatory status</w:t>
            </w:r>
            <w:r>
              <w:rPr>
                <w:noProof/>
                <w:webHidden/>
              </w:rPr>
              <w:tab/>
            </w:r>
            <w:r>
              <w:rPr>
                <w:noProof/>
                <w:webHidden/>
              </w:rPr>
              <w:fldChar w:fldCharType="begin"/>
            </w:r>
            <w:r>
              <w:rPr>
                <w:noProof/>
                <w:webHidden/>
              </w:rPr>
              <w:instrText xml:space="preserve"> PAGEREF _Toc215749769 \h </w:instrText>
            </w:r>
            <w:r>
              <w:rPr>
                <w:noProof/>
                <w:webHidden/>
              </w:rPr>
            </w:r>
            <w:r>
              <w:rPr>
                <w:noProof/>
                <w:webHidden/>
              </w:rPr>
              <w:fldChar w:fldCharType="separate"/>
            </w:r>
            <w:r>
              <w:rPr>
                <w:noProof/>
                <w:webHidden/>
              </w:rPr>
              <w:t>8</w:t>
            </w:r>
            <w:r>
              <w:rPr>
                <w:noProof/>
                <w:webHidden/>
              </w:rPr>
              <w:fldChar w:fldCharType="end"/>
            </w:r>
          </w:hyperlink>
        </w:p>
        <w:p w14:paraId="32A29536" w14:textId="26F82AD5" w:rsidR="005D1778" w:rsidRDefault="005D177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5749770" w:history="1">
            <w:r w:rsidRPr="0053500A">
              <w:rPr>
                <w:rStyle w:val="Hyperlink"/>
                <w:noProof/>
              </w:rPr>
              <w:t>Registration timeline</w:t>
            </w:r>
            <w:r>
              <w:rPr>
                <w:noProof/>
                <w:webHidden/>
              </w:rPr>
              <w:tab/>
            </w:r>
            <w:r>
              <w:rPr>
                <w:noProof/>
                <w:webHidden/>
              </w:rPr>
              <w:fldChar w:fldCharType="begin"/>
            </w:r>
            <w:r>
              <w:rPr>
                <w:noProof/>
                <w:webHidden/>
              </w:rPr>
              <w:instrText xml:space="preserve"> PAGEREF _Toc215749770 \h </w:instrText>
            </w:r>
            <w:r>
              <w:rPr>
                <w:noProof/>
                <w:webHidden/>
              </w:rPr>
            </w:r>
            <w:r>
              <w:rPr>
                <w:noProof/>
                <w:webHidden/>
              </w:rPr>
              <w:fldChar w:fldCharType="separate"/>
            </w:r>
            <w:r>
              <w:rPr>
                <w:noProof/>
                <w:webHidden/>
              </w:rPr>
              <w:t>8</w:t>
            </w:r>
            <w:r>
              <w:rPr>
                <w:noProof/>
                <w:webHidden/>
              </w:rPr>
              <w:fldChar w:fldCharType="end"/>
            </w:r>
          </w:hyperlink>
        </w:p>
        <w:p w14:paraId="224310BC" w14:textId="446C2CC9" w:rsidR="005D1778" w:rsidRDefault="005D177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5749771" w:history="1">
            <w:r w:rsidRPr="0053500A">
              <w:rPr>
                <w:rStyle w:val="Hyperlink"/>
                <w:noProof/>
              </w:rPr>
              <w:t>Assessment overview</w:t>
            </w:r>
            <w:r>
              <w:rPr>
                <w:noProof/>
                <w:webHidden/>
              </w:rPr>
              <w:tab/>
            </w:r>
            <w:r>
              <w:rPr>
                <w:noProof/>
                <w:webHidden/>
              </w:rPr>
              <w:fldChar w:fldCharType="begin"/>
            </w:r>
            <w:r>
              <w:rPr>
                <w:noProof/>
                <w:webHidden/>
              </w:rPr>
              <w:instrText xml:space="preserve"> PAGEREF _Toc215749771 \h </w:instrText>
            </w:r>
            <w:r>
              <w:rPr>
                <w:noProof/>
                <w:webHidden/>
              </w:rPr>
            </w:r>
            <w:r>
              <w:rPr>
                <w:noProof/>
                <w:webHidden/>
              </w:rPr>
              <w:fldChar w:fldCharType="separate"/>
            </w:r>
            <w:r>
              <w:rPr>
                <w:noProof/>
                <w:webHidden/>
              </w:rPr>
              <w:t>9</w:t>
            </w:r>
            <w:r>
              <w:rPr>
                <w:noProof/>
                <w:webHidden/>
              </w:rPr>
              <w:fldChar w:fldCharType="end"/>
            </w:r>
          </w:hyperlink>
        </w:p>
        <w:p w14:paraId="01E5C728" w14:textId="42A89D3E" w:rsidR="005D1778" w:rsidRDefault="005D177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749772" w:history="1">
            <w:r w:rsidRPr="0053500A">
              <w:rPr>
                <w:rStyle w:val="Hyperlink"/>
                <w:noProof/>
              </w:rPr>
              <w:t>Quality evaluation summary</w:t>
            </w:r>
            <w:r>
              <w:rPr>
                <w:noProof/>
                <w:webHidden/>
              </w:rPr>
              <w:tab/>
            </w:r>
            <w:r>
              <w:rPr>
                <w:noProof/>
                <w:webHidden/>
              </w:rPr>
              <w:fldChar w:fldCharType="begin"/>
            </w:r>
            <w:r>
              <w:rPr>
                <w:noProof/>
                <w:webHidden/>
              </w:rPr>
              <w:instrText xml:space="preserve"> PAGEREF _Toc215749772 \h </w:instrText>
            </w:r>
            <w:r>
              <w:rPr>
                <w:noProof/>
                <w:webHidden/>
              </w:rPr>
            </w:r>
            <w:r>
              <w:rPr>
                <w:noProof/>
                <w:webHidden/>
              </w:rPr>
              <w:fldChar w:fldCharType="separate"/>
            </w:r>
            <w:r>
              <w:rPr>
                <w:noProof/>
                <w:webHidden/>
              </w:rPr>
              <w:t>9</w:t>
            </w:r>
            <w:r>
              <w:rPr>
                <w:noProof/>
                <w:webHidden/>
              </w:rPr>
              <w:fldChar w:fldCharType="end"/>
            </w:r>
          </w:hyperlink>
        </w:p>
        <w:p w14:paraId="6715E840" w14:textId="30B5FB5D" w:rsidR="005D1778" w:rsidRDefault="005D177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749773" w:history="1">
            <w:r w:rsidRPr="0053500A">
              <w:rPr>
                <w:rStyle w:val="Hyperlink"/>
                <w:noProof/>
              </w:rPr>
              <w:t>Nonclinical evaluation summary</w:t>
            </w:r>
            <w:r>
              <w:rPr>
                <w:noProof/>
                <w:webHidden/>
              </w:rPr>
              <w:tab/>
            </w:r>
            <w:r>
              <w:rPr>
                <w:noProof/>
                <w:webHidden/>
              </w:rPr>
              <w:fldChar w:fldCharType="begin"/>
            </w:r>
            <w:r>
              <w:rPr>
                <w:noProof/>
                <w:webHidden/>
              </w:rPr>
              <w:instrText xml:space="preserve"> PAGEREF _Toc215749773 \h </w:instrText>
            </w:r>
            <w:r>
              <w:rPr>
                <w:noProof/>
                <w:webHidden/>
              </w:rPr>
            </w:r>
            <w:r>
              <w:rPr>
                <w:noProof/>
                <w:webHidden/>
              </w:rPr>
              <w:fldChar w:fldCharType="separate"/>
            </w:r>
            <w:r>
              <w:rPr>
                <w:noProof/>
                <w:webHidden/>
              </w:rPr>
              <w:t>10</w:t>
            </w:r>
            <w:r>
              <w:rPr>
                <w:noProof/>
                <w:webHidden/>
              </w:rPr>
              <w:fldChar w:fldCharType="end"/>
            </w:r>
          </w:hyperlink>
        </w:p>
        <w:p w14:paraId="4E7BCB39" w14:textId="4A6894FF" w:rsidR="005D1778" w:rsidRDefault="005D177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749774" w:history="1">
            <w:r w:rsidRPr="0053500A">
              <w:rPr>
                <w:rStyle w:val="Hyperlink"/>
                <w:noProof/>
              </w:rPr>
              <w:t>Clinical evaluation summary</w:t>
            </w:r>
            <w:r>
              <w:rPr>
                <w:noProof/>
                <w:webHidden/>
              </w:rPr>
              <w:tab/>
            </w:r>
            <w:r>
              <w:rPr>
                <w:noProof/>
                <w:webHidden/>
              </w:rPr>
              <w:fldChar w:fldCharType="begin"/>
            </w:r>
            <w:r>
              <w:rPr>
                <w:noProof/>
                <w:webHidden/>
              </w:rPr>
              <w:instrText xml:space="preserve"> PAGEREF _Toc215749774 \h </w:instrText>
            </w:r>
            <w:r>
              <w:rPr>
                <w:noProof/>
                <w:webHidden/>
              </w:rPr>
            </w:r>
            <w:r>
              <w:rPr>
                <w:noProof/>
                <w:webHidden/>
              </w:rPr>
              <w:fldChar w:fldCharType="separate"/>
            </w:r>
            <w:r>
              <w:rPr>
                <w:noProof/>
                <w:webHidden/>
              </w:rPr>
              <w:t>11</w:t>
            </w:r>
            <w:r>
              <w:rPr>
                <w:noProof/>
                <w:webHidden/>
              </w:rPr>
              <w:fldChar w:fldCharType="end"/>
            </w:r>
          </w:hyperlink>
        </w:p>
        <w:p w14:paraId="7E3030BB" w14:textId="20016BC2" w:rsidR="005D1778" w:rsidRDefault="005D177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749775" w:history="1">
            <w:r w:rsidRPr="0053500A">
              <w:rPr>
                <w:rStyle w:val="Hyperlink"/>
                <w:noProof/>
              </w:rPr>
              <w:t>Summary of clinical studies</w:t>
            </w:r>
            <w:r>
              <w:rPr>
                <w:noProof/>
                <w:webHidden/>
              </w:rPr>
              <w:tab/>
            </w:r>
            <w:r>
              <w:rPr>
                <w:noProof/>
                <w:webHidden/>
              </w:rPr>
              <w:fldChar w:fldCharType="begin"/>
            </w:r>
            <w:r>
              <w:rPr>
                <w:noProof/>
                <w:webHidden/>
              </w:rPr>
              <w:instrText xml:space="preserve"> PAGEREF _Toc215749775 \h </w:instrText>
            </w:r>
            <w:r>
              <w:rPr>
                <w:noProof/>
                <w:webHidden/>
              </w:rPr>
            </w:r>
            <w:r>
              <w:rPr>
                <w:noProof/>
                <w:webHidden/>
              </w:rPr>
              <w:fldChar w:fldCharType="separate"/>
            </w:r>
            <w:r>
              <w:rPr>
                <w:noProof/>
                <w:webHidden/>
              </w:rPr>
              <w:t>11</w:t>
            </w:r>
            <w:r>
              <w:rPr>
                <w:noProof/>
                <w:webHidden/>
              </w:rPr>
              <w:fldChar w:fldCharType="end"/>
            </w:r>
          </w:hyperlink>
        </w:p>
        <w:p w14:paraId="19CA6CC6" w14:textId="338EDE93" w:rsidR="005D1778" w:rsidRDefault="005D177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749776" w:history="1">
            <w:r w:rsidRPr="0053500A">
              <w:rPr>
                <w:rStyle w:val="Hyperlink"/>
                <w:noProof/>
              </w:rPr>
              <w:t>Pharmacokinetics</w:t>
            </w:r>
            <w:r>
              <w:rPr>
                <w:noProof/>
                <w:webHidden/>
              </w:rPr>
              <w:tab/>
            </w:r>
            <w:r>
              <w:rPr>
                <w:noProof/>
                <w:webHidden/>
              </w:rPr>
              <w:fldChar w:fldCharType="begin"/>
            </w:r>
            <w:r>
              <w:rPr>
                <w:noProof/>
                <w:webHidden/>
              </w:rPr>
              <w:instrText xml:space="preserve"> PAGEREF _Toc215749776 \h </w:instrText>
            </w:r>
            <w:r>
              <w:rPr>
                <w:noProof/>
                <w:webHidden/>
              </w:rPr>
            </w:r>
            <w:r>
              <w:rPr>
                <w:noProof/>
                <w:webHidden/>
              </w:rPr>
              <w:fldChar w:fldCharType="separate"/>
            </w:r>
            <w:r>
              <w:rPr>
                <w:noProof/>
                <w:webHidden/>
              </w:rPr>
              <w:t>11</w:t>
            </w:r>
            <w:r>
              <w:rPr>
                <w:noProof/>
                <w:webHidden/>
              </w:rPr>
              <w:fldChar w:fldCharType="end"/>
            </w:r>
          </w:hyperlink>
        </w:p>
        <w:p w14:paraId="05BB9EB5" w14:textId="3973FBA1" w:rsidR="005D1778" w:rsidRDefault="005D177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749777" w:history="1">
            <w:r w:rsidRPr="0053500A">
              <w:rPr>
                <w:rStyle w:val="Hyperlink"/>
                <w:noProof/>
              </w:rPr>
              <w:t>Pharmacodynamics</w:t>
            </w:r>
            <w:r>
              <w:rPr>
                <w:noProof/>
                <w:webHidden/>
              </w:rPr>
              <w:tab/>
            </w:r>
            <w:r>
              <w:rPr>
                <w:noProof/>
                <w:webHidden/>
              </w:rPr>
              <w:fldChar w:fldCharType="begin"/>
            </w:r>
            <w:r>
              <w:rPr>
                <w:noProof/>
                <w:webHidden/>
              </w:rPr>
              <w:instrText xml:space="preserve"> PAGEREF _Toc215749777 \h </w:instrText>
            </w:r>
            <w:r>
              <w:rPr>
                <w:noProof/>
                <w:webHidden/>
              </w:rPr>
            </w:r>
            <w:r>
              <w:rPr>
                <w:noProof/>
                <w:webHidden/>
              </w:rPr>
              <w:fldChar w:fldCharType="separate"/>
            </w:r>
            <w:r>
              <w:rPr>
                <w:noProof/>
                <w:webHidden/>
              </w:rPr>
              <w:t>12</w:t>
            </w:r>
            <w:r>
              <w:rPr>
                <w:noProof/>
                <w:webHidden/>
              </w:rPr>
              <w:fldChar w:fldCharType="end"/>
            </w:r>
          </w:hyperlink>
        </w:p>
        <w:p w14:paraId="09C430C4" w14:textId="75C9CFC5" w:rsidR="005D1778" w:rsidRDefault="005D177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749778" w:history="1">
            <w:r w:rsidRPr="0053500A">
              <w:rPr>
                <w:rStyle w:val="Hyperlink"/>
                <w:noProof/>
              </w:rPr>
              <w:t>Efficacy</w:t>
            </w:r>
            <w:r>
              <w:rPr>
                <w:noProof/>
                <w:webHidden/>
              </w:rPr>
              <w:tab/>
            </w:r>
            <w:r>
              <w:rPr>
                <w:noProof/>
                <w:webHidden/>
              </w:rPr>
              <w:fldChar w:fldCharType="begin"/>
            </w:r>
            <w:r>
              <w:rPr>
                <w:noProof/>
                <w:webHidden/>
              </w:rPr>
              <w:instrText xml:space="preserve"> PAGEREF _Toc215749778 \h </w:instrText>
            </w:r>
            <w:r>
              <w:rPr>
                <w:noProof/>
                <w:webHidden/>
              </w:rPr>
            </w:r>
            <w:r>
              <w:rPr>
                <w:noProof/>
                <w:webHidden/>
              </w:rPr>
              <w:fldChar w:fldCharType="separate"/>
            </w:r>
            <w:r>
              <w:rPr>
                <w:noProof/>
                <w:webHidden/>
              </w:rPr>
              <w:t>12</w:t>
            </w:r>
            <w:r>
              <w:rPr>
                <w:noProof/>
                <w:webHidden/>
              </w:rPr>
              <w:fldChar w:fldCharType="end"/>
            </w:r>
          </w:hyperlink>
        </w:p>
        <w:p w14:paraId="468F8CB8" w14:textId="346A6643" w:rsidR="005D1778" w:rsidRDefault="005D177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749779" w:history="1">
            <w:r w:rsidRPr="0053500A">
              <w:rPr>
                <w:rStyle w:val="Hyperlink"/>
                <w:noProof/>
                <w:lang w:eastAsia="en-AU"/>
              </w:rPr>
              <w:t>Safety</w:t>
            </w:r>
            <w:r>
              <w:rPr>
                <w:noProof/>
                <w:webHidden/>
              </w:rPr>
              <w:tab/>
            </w:r>
            <w:r>
              <w:rPr>
                <w:noProof/>
                <w:webHidden/>
              </w:rPr>
              <w:fldChar w:fldCharType="begin"/>
            </w:r>
            <w:r>
              <w:rPr>
                <w:noProof/>
                <w:webHidden/>
              </w:rPr>
              <w:instrText xml:space="preserve"> PAGEREF _Toc215749779 \h </w:instrText>
            </w:r>
            <w:r>
              <w:rPr>
                <w:noProof/>
                <w:webHidden/>
              </w:rPr>
            </w:r>
            <w:r>
              <w:rPr>
                <w:noProof/>
                <w:webHidden/>
              </w:rPr>
              <w:fldChar w:fldCharType="separate"/>
            </w:r>
            <w:r>
              <w:rPr>
                <w:noProof/>
                <w:webHidden/>
              </w:rPr>
              <w:t>20</w:t>
            </w:r>
            <w:r>
              <w:rPr>
                <w:noProof/>
                <w:webHidden/>
              </w:rPr>
              <w:fldChar w:fldCharType="end"/>
            </w:r>
          </w:hyperlink>
        </w:p>
        <w:p w14:paraId="0C164D8E" w14:textId="25121789" w:rsidR="005D1778" w:rsidRDefault="005D177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749780" w:history="1">
            <w:r w:rsidRPr="0053500A">
              <w:rPr>
                <w:rStyle w:val="Hyperlink"/>
                <w:noProof/>
                <w:lang w:eastAsia="en-AU"/>
              </w:rPr>
              <w:t xml:space="preserve">Risk management </w:t>
            </w:r>
            <w:r w:rsidRPr="0053500A">
              <w:rPr>
                <w:rStyle w:val="Hyperlink"/>
                <w:noProof/>
              </w:rPr>
              <w:t>plan</w:t>
            </w:r>
            <w:r>
              <w:rPr>
                <w:noProof/>
                <w:webHidden/>
              </w:rPr>
              <w:tab/>
            </w:r>
            <w:r>
              <w:rPr>
                <w:noProof/>
                <w:webHidden/>
              </w:rPr>
              <w:fldChar w:fldCharType="begin"/>
            </w:r>
            <w:r>
              <w:rPr>
                <w:noProof/>
                <w:webHidden/>
              </w:rPr>
              <w:instrText xml:space="preserve"> PAGEREF _Toc215749780 \h </w:instrText>
            </w:r>
            <w:r>
              <w:rPr>
                <w:noProof/>
                <w:webHidden/>
              </w:rPr>
            </w:r>
            <w:r>
              <w:rPr>
                <w:noProof/>
                <w:webHidden/>
              </w:rPr>
              <w:fldChar w:fldCharType="separate"/>
            </w:r>
            <w:r>
              <w:rPr>
                <w:noProof/>
                <w:webHidden/>
              </w:rPr>
              <w:t>21</w:t>
            </w:r>
            <w:r>
              <w:rPr>
                <w:noProof/>
                <w:webHidden/>
              </w:rPr>
              <w:fldChar w:fldCharType="end"/>
            </w:r>
          </w:hyperlink>
        </w:p>
        <w:p w14:paraId="4EAA0AD7" w14:textId="055BB214" w:rsidR="005D1778" w:rsidRDefault="005D177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749781" w:history="1">
            <w:r w:rsidRPr="0053500A">
              <w:rPr>
                <w:rStyle w:val="Hyperlink"/>
                <w:noProof/>
              </w:rPr>
              <w:t>Risk-benefit analysis</w:t>
            </w:r>
            <w:r>
              <w:rPr>
                <w:noProof/>
                <w:webHidden/>
              </w:rPr>
              <w:tab/>
            </w:r>
            <w:r>
              <w:rPr>
                <w:noProof/>
                <w:webHidden/>
              </w:rPr>
              <w:fldChar w:fldCharType="begin"/>
            </w:r>
            <w:r>
              <w:rPr>
                <w:noProof/>
                <w:webHidden/>
              </w:rPr>
              <w:instrText xml:space="preserve"> PAGEREF _Toc215749781 \h </w:instrText>
            </w:r>
            <w:r>
              <w:rPr>
                <w:noProof/>
                <w:webHidden/>
              </w:rPr>
            </w:r>
            <w:r>
              <w:rPr>
                <w:noProof/>
                <w:webHidden/>
              </w:rPr>
              <w:fldChar w:fldCharType="separate"/>
            </w:r>
            <w:r>
              <w:rPr>
                <w:noProof/>
                <w:webHidden/>
              </w:rPr>
              <w:t>22</w:t>
            </w:r>
            <w:r>
              <w:rPr>
                <w:noProof/>
                <w:webHidden/>
              </w:rPr>
              <w:fldChar w:fldCharType="end"/>
            </w:r>
          </w:hyperlink>
        </w:p>
        <w:p w14:paraId="6C6EB42B" w14:textId="7972798A" w:rsidR="005D1778" w:rsidRDefault="005D177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749782" w:history="1">
            <w:r w:rsidRPr="0053500A">
              <w:rPr>
                <w:rStyle w:val="Hyperlink"/>
                <w:noProof/>
              </w:rPr>
              <w:t>Advisory committee considerations</w:t>
            </w:r>
            <w:r>
              <w:rPr>
                <w:noProof/>
                <w:webHidden/>
              </w:rPr>
              <w:tab/>
            </w:r>
            <w:r>
              <w:rPr>
                <w:noProof/>
                <w:webHidden/>
              </w:rPr>
              <w:fldChar w:fldCharType="begin"/>
            </w:r>
            <w:r>
              <w:rPr>
                <w:noProof/>
                <w:webHidden/>
              </w:rPr>
              <w:instrText xml:space="preserve"> PAGEREF _Toc215749782 \h </w:instrText>
            </w:r>
            <w:r>
              <w:rPr>
                <w:noProof/>
                <w:webHidden/>
              </w:rPr>
            </w:r>
            <w:r>
              <w:rPr>
                <w:noProof/>
                <w:webHidden/>
              </w:rPr>
              <w:fldChar w:fldCharType="separate"/>
            </w:r>
            <w:r>
              <w:rPr>
                <w:noProof/>
                <w:webHidden/>
              </w:rPr>
              <w:t>22</w:t>
            </w:r>
            <w:r>
              <w:rPr>
                <w:noProof/>
                <w:webHidden/>
              </w:rPr>
              <w:fldChar w:fldCharType="end"/>
            </w:r>
          </w:hyperlink>
        </w:p>
        <w:p w14:paraId="6E02BC32" w14:textId="17A596EE" w:rsidR="005D1778" w:rsidRDefault="005D177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5749783" w:history="1">
            <w:r w:rsidRPr="0053500A">
              <w:rPr>
                <w:rStyle w:val="Hyperlink"/>
                <w:noProof/>
              </w:rPr>
              <w:t>Assessment outcome</w:t>
            </w:r>
            <w:r>
              <w:rPr>
                <w:noProof/>
                <w:webHidden/>
              </w:rPr>
              <w:tab/>
            </w:r>
            <w:r>
              <w:rPr>
                <w:noProof/>
                <w:webHidden/>
              </w:rPr>
              <w:fldChar w:fldCharType="begin"/>
            </w:r>
            <w:r>
              <w:rPr>
                <w:noProof/>
                <w:webHidden/>
              </w:rPr>
              <w:instrText xml:space="preserve"> PAGEREF _Toc215749783 \h </w:instrText>
            </w:r>
            <w:r>
              <w:rPr>
                <w:noProof/>
                <w:webHidden/>
              </w:rPr>
            </w:r>
            <w:r>
              <w:rPr>
                <w:noProof/>
                <w:webHidden/>
              </w:rPr>
              <w:fldChar w:fldCharType="separate"/>
            </w:r>
            <w:r>
              <w:rPr>
                <w:noProof/>
                <w:webHidden/>
              </w:rPr>
              <w:t>23</w:t>
            </w:r>
            <w:r>
              <w:rPr>
                <w:noProof/>
                <w:webHidden/>
              </w:rPr>
              <w:fldChar w:fldCharType="end"/>
            </w:r>
          </w:hyperlink>
        </w:p>
        <w:p w14:paraId="79FABDA0" w14:textId="635D02DA" w:rsidR="005D1778" w:rsidRDefault="005D177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749784" w:history="1">
            <w:r w:rsidRPr="0053500A">
              <w:rPr>
                <w:rStyle w:val="Hyperlink"/>
                <w:noProof/>
              </w:rPr>
              <w:t>Specific conditions of registration</w:t>
            </w:r>
            <w:r>
              <w:rPr>
                <w:noProof/>
                <w:webHidden/>
              </w:rPr>
              <w:tab/>
            </w:r>
            <w:r>
              <w:rPr>
                <w:noProof/>
                <w:webHidden/>
              </w:rPr>
              <w:fldChar w:fldCharType="begin"/>
            </w:r>
            <w:r>
              <w:rPr>
                <w:noProof/>
                <w:webHidden/>
              </w:rPr>
              <w:instrText xml:space="preserve"> PAGEREF _Toc215749784 \h </w:instrText>
            </w:r>
            <w:r>
              <w:rPr>
                <w:noProof/>
                <w:webHidden/>
              </w:rPr>
            </w:r>
            <w:r>
              <w:rPr>
                <w:noProof/>
                <w:webHidden/>
              </w:rPr>
              <w:fldChar w:fldCharType="separate"/>
            </w:r>
            <w:r>
              <w:rPr>
                <w:noProof/>
                <w:webHidden/>
              </w:rPr>
              <w:t>23</w:t>
            </w:r>
            <w:r>
              <w:rPr>
                <w:noProof/>
                <w:webHidden/>
              </w:rPr>
              <w:fldChar w:fldCharType="end"/>
            </w:r>
          </w:hyperlink>
        </w:p>
        <w:p w14:paraId="23499FE2" w14:textId="6985660D" w:rsidR="005D1778" w:rsidRDefault="005D177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749785" w:history="1">
            <w:r w:rsidRPr="0053500A">
              <w:rPr>
                <w:rStyle w:val="Hyperlink"/>
                <w:noProof/>
              </w:rPr>
              <w:t>Product Information and Consumer Medicine Information</w:t>
            </w:r>
            <w:r>
              <w:rPr>
                <w:noProof/>
                <w:webHidden/>
              </w:rPr>
              <w:tab/>
            </w:r>
            <w:r>
              <w:rPr>
                <w:noProof/>
                <w:webHidden/>
              </w:rPr>
              <w:fldChar w:fldCharType="begin"/>
            </w:r>
            <w:r>
              <w:rPr>
                <w:noProof/>
                <w:webHidden/>
              </w:rPr>
              <w:instrText xml:space="preserve"> PAGEREF _Toc215749785 \h </w:instrText>
            </w:r>
            <w:r>
              <w:rPr>
                <w:noProof/>
                <w:webHidden/>
              </w:rPr>
            </w:r>
            <w:r>
              <w:rPr>
                <w:noProof/>
                <w:webHidden/>
              </w:rPr>
              <w:fldChar w:fldCharType="separate"/>
            </w:r>
            <w:r>
              <w:rPr>
                <w:noProof/>
                <w:webHidden/>
              </w:rPr>
              <w:t>24</w:t>
            </w:r>
            <w:r>
              <w:rPr>
                <w:noProof/>
                <w:webHidden/>
              </w:rPr>
              <w:fldChar w:fldCharType="end"/>
            </w:r>
          </w:hyperlink>
        </w:p>
        <w:p w14:paraId="77659F2D" w14:textId="5A876536" w:rsidR="00F02AEC" w:rsidRPr="00215D48" w:rsidRDefault="00F02AEC" w:rsidP="007452E8">
          <w:r w:rsidRPr="00215D48">
            <w:fldChar w:fldCharType="end"/>
          </w:r>
        </w:p>
      </w:sdtContent>
    </w:sdt>
    <w:p w14:paraId="10987AE2" w14:textId="77777777" w:rsidR="00F02AEC" w:rsidRPr="00215D48" w:rsidRDefault="00F02AEC" w:rsidP="005004FA">
      <w:r w:rsidRPr="00215D48">
        <w:br w:type="page"/>
      </w:r>
    </w:p>
    <w:p w14:paraId="1E73AB93" w14:textId="646B9273" w:rsidR="00324B33" w:rsidRDefault="00324B33" w:rsidP="00324B33">
      <w:pPr>
        <w:pStyle w:val="Heading2"/>
      </w:pPr>
      <w:bookmarkStart w:id="0" w:name="_Toc98931917"/>
      <w:bookmarkStart w:id="1" w:name="_Toc103679287"/>
      <w:bookmarkStart w:id="2" w:name="_Toc215749760"/>
      <w:bookmarkStart w:id="3" w:name="_Toc323739589"/>
      <w:bookmarkStart w:id="4" w:name="_Toc356305216"/>
      <w:r>
        <w:lastRenderedPageBreak/>
        <w:t>List of abbreviations</w:t>
      </w:r>
      <w:bookmarkEnd w:id="0"/>
      <w:bookmarkEnd w:id="1"/>
      <w:bookmarkEnd w:id="2"/>
    </w:p>
    <w:tbl>
      <w:tblPr>
        <w:tblStyle w:val="TableTGAblue2023"/>
        <w:tblW w:w="5000" w:type="pct"/>
        <w:tblLook w:val="04A0" w:firstRow="1" w:lastRow="0" w:firstColumn="1" w:lastColumn="0" w:noHBand="0" w:noVBand="1"/>
      </w:tblPr>
      <w:tblGrid>
        <w:gridCol w:w="2675"/>
        <w:gridCol w:w="6385"/>
      </w:tblGrid>
      <w:tr w:rsidR="00104351" w:rsidRPr="00D7678B" w14:paraId="20229009" w14:textId="77777777" w:rsidTr="00104351">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476" w:type="pct"/>
          </w:tcPr>
          <w:p w14:paraId="76ADE41B" w14:textId="77777777" w:rsidR="00104351" w:rsidRPr="00D7678B" w:rsidRDefault="00104351" w:rsidP="00600D3A">
            <w:pPr>
              <w:rPr>
                <w:szCs w:val="22"/>
              </w:rPr>
            </w:pPr>
            <w:r w:rsidRPr="00D7678B">
              <w:rPr>
                <w:szCs w:val="22"/>
              </w:rPr>
              <w:t>Abbreviation</w:t>
            </w:r>
          </w:p>
        </w:tc>
        <w:tc>
          <w:tcPr>
            <w:tcW w:w="3524" w:type="pct"/>
          </w:tcPr>
          <w:p w14:paraId="0814C6FD" w14:textId="77777777" w:rsidR="00104351" w:rsidRPr="00D7678B" w:rsidRDefault="00104351" w:rsidP="00600D3A">
            <w:pPr>
              <w:cnfStyle w:val="100000000000" w:firstRow="1" w:lastRow="0" w:firstColumn="0" w:lastColumn="0" w:oddVBand="0" w:evenVBand="0" w:oddHBand="0" w:evenHBand="0" w:firstRowFirstColumn="0" w:firstRowLastColumn="0" w:lastRowFirstColumn="0" w:lastRowLastColumn="0"/>
              <w:rPr>
                <w:szCs w:val="22"/>
              </w:rPr>
            </w:pPr>
            <w:r w:rsidRPr="00D7678B">
              <w:rPr>
                <w:szCs w:val="22"/>
              </w:rPr>
              <w:t>Meaning</w:t>
            </w:r>
          </w:p>
        </w:tc>
      </w:tr>
      <w:tr w:rsidR="00104351" w:rsidRPr="00D7678B" w14:paraId="46D3B91B" w14:textId="77777777" w:rsidTr="00104351">
        <w:trPr>
          <w:trHeight w:val="386"/>
        </w:trPr>
        <w:tc>
          <w:tcPr>
            <w:cnfStyle w:val="001000000000" w:firstRow="0" w:lastRow="0" w:firstColumn="1" w:lastColumn="0" w:oddVBand="0" w:evenVBand="0" w:oddHBand="0" w:evenHBand="0" w:firstRowFirstColumn="0" w:firstRowLastColumn="0" w:lastRowFirstColumn="0" w:lastRowLastColumn="0"/>
            <w:tcW w:w="1476" w:type="pct"/>
          </w:tcPr>
          <w:p w14:paraId="68FC5E9E" w14:textId="77777777" w:rsidR="00104351" w:rsidRPr="00D7678B" w:rsidRDefault="00104351" w:rsidP="00600D3A">
            <w:pPr>
              <w:rPr>
                <w:szCs w:val="22"/>
              </w:rPr>
            </w:pPr>
            <w:r w:rsidRPr="00D7678B">
              <w:rPr>
                <w:szCs w:val="22"/>
              </w:rPr>
              <w:t>ACM</w:t>
            </w:r>
          </w:p>
        </w:tc>
        <w:tc>
          <w:tcPr>
            <w:tcW w:w="3524" w:type="pct"/>
          </w:tcPr>
          <w:p w14:paraId="34C6B9D4" w14:textId="77777777" w:rsidR="00104351" w:rsidRPr="00D7678B" w:rsidRDefault="00104351" w:rsidP="00600D3A">
            <w:pPr>
              <w:cnfStyle w:val="000000000000" w:firstRow="0" w:lastRow="0" w:firstColumn="0" w:lastColumn="0" w:oddVBand="0" w:evenVBand="0" w:oddHBand="0" w:evenHBand="0" w:firstRowFirstColumn="0" w:firstRowLastColumn="0" w:lastRowFirstColumn="0" w:lastRowLastColumn="0"/>
              <w:rPr>
                <w:szCs w:val="22"/>
              </w:rPr>
            </w:pPr>
            <w:r w:rsidRPr="00D7678B">
              <w:rPr>
                <w:szCs w:val="22"/>
              </w:rPr>
              <w:t>Advisory Committee on Medicines</w:t>
            </w:r>
          </w:p>
        </w:tc>
      </w:tr>
      <w:tr w:rsidR="00104351" w:rsidRPr="00D7678B" w14:paraId="7DE89E7D" w14:textId="77777777" w:rsidTr="00104351">
        <w:trPr>
          <w:trHeight w:val="386"/>
        </w:trPr>
        <w:tc>
          <w:tcPr>
            <w:cnfStyle w:val="001000000000" w:firstRow="0" w:lastRow="0" w:firstColumn="1" w:lastColumn="0" w:oddVBand="0" w:evenVBand="0" w:oddHBand="0" w:evenHBand="0" w:firstRowFirstColumn="0" w:firstRowLastColumn="0" w:lastRowFirstColumn="0" w:lastRowLastColumn="0"/>
            <w:tcW w:w="1476" w:type="pct"/>
          </w:tcPr>
          <w:p w14:paraId="43711866" w14:textId="77777777" w:rsidR="00104351" w:rsidRPr="00D7678B" w:rsidRDefault="00104351" w:rsidP="00600D3A">
            <w:pPr>
              <w:rPr>
                <w:szCs w:val="22"/>
              </w:rPr>
            </w:pPr>
            <w:proofErr w:type="spellStart"/>
            <w:r w:rsidRPr="00D7678B">
              <w:rPr>
                <w:szCs w:val="22"/>
              </w:rPr>
              <w:t>ARTG</w:t>
            </w:r>
            <w:proofErr w:type="spellEnd"/>
          </w:p>
        </w:tc>
        <w:tc>
          <w:tcPr>
            <w:tcW w:w="3524" w:type="pct"/>
          </w:tcPr>
          <w:p w14:paraId="64C1E7DB" w14:textId="77777777" w:rsidR="00104351" w:rsidRPr="00D7678B" w:rsidRDefault="00104351" w:rsidP="00600D3A">
            <w:pPr>
              <w:cnfStyle w:val="000000000000" w:firstRow="0" w:lastRow="0" w:firstColumn="0" w:lastColumn="0" w:oddVBand="0" w:evenVBand="0" w:oddHBand="0" w:evenHBand="0" w:firstRowFirstColumn="0" w:firstRowLastColumn="0" w:lastRowFirstColumn="0" w:lastRowLastColumn="0"/>
              <w:rPr>
                <w:szCs w:val="22"/>
              </w:rPr>
            </w:pPr>
            <w:r w:rsidRPr="00D7678B">
              <w:rPr>
                <w:szCs w:val="22"/>
              </w:rPr>
              <w:t>Australian Register of Therapeutic Goods</w:t>
            </w:r>
          </w:p>
        </w:tc>
      </w:tr>
      <w:tr w:rsidR="00104351" w:rsidRPr="00D7678B" w14:paraId="2381713C" w14:textId="77777777" w:rsidTr="00104351">
        <w:trPr>
          <w:trHeight w:val="386"/>
        </w:trPr>
        <w:tc>
          <w:tcPr>
            <w:cnfStyle w:val="001000000000" w:firstRow="0" w:lastRow="0" w:firstColumn="1" w:lastColumn="0" w:oddVBand="0" w:evenVBand="0" w:oddHBand="0" w:evenHBand="0" w:firstRowFirstColumn="0" w:firstRowLastColumn="0" w:lastRowFirstColumn="0" w:lastRowLastColumn="0"/>
            <w:tcW w:w="1476" w:type="pct"/>
          </w:tcPr>
          <w:p w14:paraId="60150AC2" w14:textId="0EF01C64" w:rsidR="00104351" w:rsidRPr="00D7678B" w:rsidRDefault="00104351" w:rsidP="00600D3A">
            <w:pPr>
              <w:rPr>
                <w:szCs w:val="22"/>
              </w:rPr>
            </w:pPr>
            <w:proofErr w:type="spellStart"/>
            <w:r w:rsidRPr="005860CC">
              <w:t>BH4</w:t>
            </w:r>
            <w:proofErr w:type="spellEnd"/>
          </w:p>
        </w:tc>
        <w:tc>
          <w:tcPr>
            <w:tcW w:w="3524" w:type="pct"/>
          </w:tcPr>
          <w:p w14:paraId="224A9D4E" w14:textId="3EC2745B" w:rsidR="00104351" w:rsidRPr="00D7678B" w:rsidRDefault="00104351" w:rsidP="00600D3A">
            <w:pPr>
              <w:cnfStyle w:val="000000000000" w:firstRow="0" w:lastRow="0" w:firstColumn="0" w:lastColumn="0" w:oddVBand="0" w:evenVBand="0" w:oddHBand="0" w:evenHBand="0" w:firstRowFirstColumn="0" w:firstRowLastColumn="0" w:lastRowFirstColumn="0" w:lastRowLastColumn="0"/>
              <w:rPr>
                <w:szCs w:val="22"/>
              </w:rPr>
            </w:pPr>
            <w:r>
              <w:t>T</w:t>
            </w:r>
            <w:r w:rsidRPr="005860CC">
              <w:t>etrahydrobiopterin</w:t>
            </w:r>
          </w:p>
        </w:tc>
      </w:tr>
      <w:tr w:rsidR="00104351" w:rsidRPr="00D7678B" w14:paraId="56BD57A0" w14:textId="77777777" w:rsidTr="00104351">
        <w:trPr>
          <w:trHeight w:val="386"/>
        </w:trPr>
        <w:tc>
          <w:tcPr>
            <w:cnfStyle w:val="001000000000" w:firstRow="0" w:lastRow="0" w:firstColumn="1" w:lastColumn="0" w:oddVBand="0" w:evenVBand="0" w:oddHBand="0" w:evenHBand="0" w:firstRowFirstColumn="0" w:firstRowLastColumn="0" w:lastRowFirstColumn="0" w:lastRowLastColumn="0"/>
            <w:tcW w:w="1476" w:type="pct"/>
          </w:tcPr>
          <w:p w14:paraId="37E1D19B" w14:textId="77777777" w:rsidR="00104351" w:rsidRPr="00D7678B" w:rsidRDefault="00104351" w:rsidP="00600D3A">
            <w:pPr>
              <w:rPr>
                <w:szCs w:val="22"/>
              </w:rPr>
            </w:pPr>
            <w:r w:rsidRPr="00D7678B">
              <w:rPr>
                <w:szCs w:val="22"/>
              </w:rPr>
              <w:t>ASA</w:t>
            </w:r>
          </w:p>
        </w:tc>
        <w:tc>
          <w:tcPr>
            <w:tcW w:w="3524" w:type="pct"/>
          </w:tcPr>
          <w:p w14:paraId="6D32F3BC" w14:textId="77777777" w:rsidR="00104351" w:rsidRPr="00D7678B" w:rsidRDefault="00104351" w:rsidP="00600D3A">
            <w:pPr>
              <w:cnfStyle w:val="000000000000" w:firstRow="0" w:lastRow="0" w:firstColumn="0" w:lastColumn="0" w:oddVBand="0" w:evenVBand="0" w:oddHBand="0" w:evenHBand="0" w:firstRowFirstColumn="0" w:firstRowLastColumn="0" w:lastRowFirstColumn="0" w:lastRowLastColumn="0"/>
              <w:rPr>
                <w:szCs w:val="22"/>
              </w:rPr>
            </w:pPr>
            <w:r w:rsidRPr="00D7678B">
              <w:rPr>
                <w:szCs w:val="22"/>
              </w:rPr>
              <w:t>Australia</w:t>
            </w:r>
            <w:r w:rsidRPr="00D7678B">
              <w:rPr>
                <w:szCs w:val="22"/>
              </w:rPr>
              <w:noBreakHyphen/>
              <w:t>specific annex</w:t>
            </w:r>
          </w:p>
        </w:tc>
      </w:tr>
      <w:tr w:rsidR="00104351" w:rsidRPr="00D7678B" w14:paraId="5FFE5B8F" w14:textId="77777777" w:rsidTr="00104351">
        <w:trPr>
          <w:trHeight w:val="386"/>
        </w:trPr>
        <w:tc>
          <w:tcPr>
            <w:cnfStyle w:val="001000000000" w:firstRow="0" w:lastRow="0" w:firstColumn="1" w:lastColumn="0" w:oddVBand="0" w:evenVBand="0" w:oddHBand="0" w:evenHBand="0" w:firstRowFirstColumn="0" w:firstRowLastColumn="0" w:lastRowFirstColumn="0" w:lastRowLastColumn="0"/>
            <w:tcW w:w="1476" w:type="pct"/>
          </w:tcPr>
          <w:p w14:paraId="38D7775B" w14:textId="77777777" w:rsidR="00104351" w:rsidRPr="00D7678B" w:rsidRDefault="00104351" w:rsidP="00600D3A">
            <w:pPr>
              <w:rPr>
                <w:szCs w:val="22"/>
              </w:rPr>
            </w:pPr>
            <w:r w:rsidRPr="00EE1B5F">
              <w:t>AUC</w:t>
            </w:r>
          </w:p>
        </w:tc>
        <w:tc>
          <w:tcPr>
            <w:tcW w:w="3524" w:type="pct"/>
          </w:tcPr>
          <w:p w14:paraId="3D0ABCEB" w14:textId="466B48AD" w:rsidR="00104351" w:rsidRPr="00D7678B" w:rsidRDefault="00104351" w:rsidP="00600D3A">
            <w:pPr>
              <w:cnfStyle w:val="000000000000" w:firstRow="0" w:lastRow="0" w:firstColumn="0" w:lastColumn="0" w:oddVBand="0" w:evenVBand="0" w:oddHBand="0" w:evenHBand="0" w:firstRowFirstColumn="0" w:firstRowLastColumn="0" w:lastRowFirstColumn="0" w:lastRowLastColumn="0"/>
              <w:rPr>
                <w:szCs w:val="22"/>
              </w:rPr>
            </w:pPr>
            <w:r w:rsidRPr="00EE1B5F">
              <w:t>A</w:t>
            </w:r>
            <w:r>
              <w:t>rea under the concentration-time curve</w:t>
            </w:r>
          </w:p>
        </w:tc>
      </w:tr>
      <w:tr w:rsidR="00104351" w:rsidRPr="00D7678B" w14:paraId="01EA5933" w14:textId="77777777" w:rsidTr="00104351">
        <w:trPr>
          <w:trHeight w:val="386"/>
        </w:trPr>
        <w:tc>
          <w:tcPr>
            <w:cnfStyle w:val="001000000000" w:firstRow="0" w:lastRow="0" w:firstColumn="1" w:lastColumn="0" w:oddVBand="0" w:evenVBand="0" w:oddHBand="0" w:evenHBand="0" w:firstRowFirstColumn="0" w:firstRowLastColumn="0" w:lastRowFirstColumn="0" w:lastRowLastColumn="0"/>
            <w:tcW w:w="1476" w:type="pct"/>
          </w:tcPr>
          <w:p w14:paraId="3C0B7522" w14:textId="77777777" w:rsidR="00104351" w:rsidRPr="00D7678B" w:rsidRDefault="00104351" w:rsidP="00600D3A">
            <w:pPr>
              <w:rPr>
                <w:szCs w:val="22"/>
              </w:rPr>
            </w:pPr>
            <w:r w:rsidRPr="00D7678B">
              <w:rPr>
                <w:szCs w:val="22"/>
              </w:rPr>
              <w:t>CMI</w:t>
            </w:r>
          </w:p>
        </w:tc>
        <w:tc>
          <w:tcPr>
            <w:tcW w:w="3524" w:type="pct"/>
          </w:tcPr>
          <w:p w14:paraId="1E9980AE" w14:textId="77777777" w:rsidR="00104351" w:rsidRPr="00D7678B" w:rsidRDefault="00104351" w:rsidP="00600D3A">
            <w:pPr>
              <w:cnfStyle w:val="000000000000" w:firstRow="0" w:lastRow="0" w:firstColumn="0" w:lastColumn="0" w:oddVBand="0" w:evenVBand="0" w:oddHBand="0" w:evenHBand="0" w:firstRowFirstColumn="0" w:firstRowLastColumn="0" w:lastRowFirstColumn="0" w:lastRowLastColumn="0"/>
              <w:rPr>
                <w:szCs w:val="22"/>
              </w:rPr>
            </w:pPr>
            <w:r w:rsidRPr="00D7678B">
              <w:rPr>
                <w:szCs w:val="22"/>
              </w:rPr>
              <w:t>Consumer Medicines Information</w:t>
            </w:r>
          </w:p>
        </w:tc>
      </w:tr>
      <w:tr w:rsidR="00104351" w:rsidRPr="00D7678B" w14:paraId="641C83D5" w14:textId="77777777" w:rsidTr="00104351">
        <w:trPr>
          <w:trHeight w:val="386"/>
        </w:trPr>
        <w:tc>
          <w:tcPr>
            <w:cnfStyle w:val="001000000000" w:firstRow="0" w:lastRow="0" w:firstColumn="1" w:lastColumn="0" w:oddVBand="0" w:evenVBand="0" w:oddHBand="0" w:evenHBand="0" w:firstRowFirstColumn="0" w:firstRowLastColumn="0" w:lastRowFirstColumn="0" w:lastRowLastColumn="0"/>
            <w:tcW w:w="1476" w:type="pct"/>
          </w:tcPr>
          <w:p w14:paraId="09AB18D4" w14:textId="7CA5ED58" w:rsidR="00104351" w:rsidRPr="00D7678B" w:rsidRDefault="00104351" w:rsidP="00600D3A">
            <w:pPr>
              <w:rPr>
                <w:szCs w:val="22"/>
              </w:rPr>
            </w:pPr>
            <w:proofErr w:type="spellStart"/>
            <w:r w:rsidRPr="004B67F9">
              <w:rPr>
                <w:szCs w:val="22"/>
              </w:rPr>
              <w:t>HPA</w:t>
            </w:r>
            <w:proofErr w:type="spellEnd"/>
          </w:p>
        </w:tc>
        <w:tc>
          <w:tcPr>
            <w:tcW w:w="3524" w:type="pct"/>
          </w:tcPr>
          <w:p w14:paraId="03E43045" w14:textId="100E2241" w:rsidR="00104351" w:rsidRPr="00D7678B" w:rsidRDefault="00AD7E3D" w:rsidP="00600D3A">
            <w:pPr>
              <w:cnfStyle w:val="000000000000" w:firstRow="0" w:lastRow="0" w:firstColumn="0" w:lastColumn="0" w:oddVBand="0" w:evenVBand="0" w:oddHBand="0" w:evenHBand="0" w:firstRowFirstColumn="0" w:firstRowLastColumn="0" w:lastRowFirstColumn="0" w:lastRowLastColumn="0"/>
              <w:rPr>
                <w:szCs w:val="22"/>
              </w:rPr>
            </w:pPr>
            <w:proofErr w:type="spellStart"/>
            <w:r>
              <w:rPr>
                <w:szCs w:val="22"/>
              </w:rPr>
              <w:t>H</w:t>
            </w:r>
            <w:r w:rsidR="00104351" w:rsidRPr="004B67F9">
              <w:rPr>
                <w:szCs w:val="22"/>
              </w:rPr>
              <w:t>yperphenylalaninaemia</w:t>
            </w:r>
            <w:proofErr w:type="spellEnd"/>
          </w:p>
        </w:tc>
      </w:tr>
      <w:tr w:rsidR="00104351" w:rsidRPr="00D7678B" w14:paraId="28001176" w14:textId="77777777" w:rsidTr="00104351">
        <w:trPr>
          <w:trHeight w:val="386"/>
        </w:trPr>
        <w:tc>
          <w:tcPr>
            <w:cnfStyle w:val="001000000000" w:firstRow="0" w:lastRow="0" w:firstColumn="1" w:lastColumn="0" w:oddVBand="0" w:evenVBand="0" w:oddHBand="0" w:evenHBand="0" w:firstRowFirstColumn="0" w:firstRowLastColumn="0" w:lastRowFirstColumn="0" w:lastRowLastColumn="0"/>
            <w:tcW w:w="1476" w:type="pct"/>
          </w:tcPr>
          <w:p w14:paraId="34FA6822" w14:textId="74B7E894" w:rsidR="00104351" w:rsidRPr="00D7678B" w:rsidRDefault="00104351" w:rsidP="00600D3A">
            <w:pPr>
              <w:rPr>
                <w:szCs w:val="22"/>
              </w:rPr>
            </w:pPr>
            <w:r w:rsidRPr="005B6969">
              <w:t>PAH</w:t>
            </w:r>
          </w:p>
        </w:tc>
        <w:tc>
          <w:tcPr>
            <w:tcW w:w="3524" w:type="pct"/>
          </w:tcPr>
          <w:p w14:paraId="0579AD75" w14:textId="56B7EFD1" w:rsidR="00104351" w:rsidRPr="00D7678B" w:rsidRDefault="00AD7E3D" w:rsidP="00600D3A">
            <w:pPr>
              <w:cnfStyle w:val="000000000000" w:firstRow="0" w:lastRow="0" w:firstColumn="0" w:lastColumn="0" w:oddVBand="0" w:evenVBand="0" w:oddHBand="0" w:evenHBand="0" w:firstRowFirstColumn="0" w:firstRowLastColumn="0" w:lastRowFirstColumn="0" w:lastRowLastColumn="0"/>
              <w:rPr>
                <w:szCs w:val="22"/>
              </w:rPr>
            </w:pPr>
            <w:r>
              <w:t>P</w:t>
            </w:r>
            <w:r w:rsidR="00104351" w:rsidRPr="005B6969">
              <w:t>henylalanine hydroxylase</w:t>
            </w:r>
          </w:p>
        </w:tc>
      </w:tr>
      <w:tr w:rsidR="00104351" w:rsidRPr="00D7678B" w14:paraId="7678BD7F" w14:textId="77777777" w:rsidTr="00104351">
        <w:trPr>
          <w:trHeight w:val="386"/>
        </w:trPr>
        <w:tc>
          <w:tcPr>
            <w:cnfStyle w:val="001000000000" w:firstRow="0" w:lastRow="0" w:firstColumn="1" w:lastColumn="0" w:oddVBand="0" w:evenVBand="0" w:oddHBand="0" w:evenHBand="0" w:firstRowFirstColumn="0" w:firstRowLastColumn="0" w:lastRowFirstColumn="0" w:lastRowLastColumn="0"/>
            <w:tcW w:w="1476" w:type="pct"/>
          </w:tcPr>
          <w:p w14:paraId="3E2EE246" w14:textId="77777777" w:rsidR="00104351" w:rsidRPr="00D7678B" w:rsidRDefault="00104351" w:rsidP="00600D3A">
            <w:pPr>
              <w:rPr>
                <w:szCs w:val="22"/>
              </w:rPr>
            </w:pPr>
            <w:r w:rsidRPr="00D7678B">
              <w:rPr>
                <w:szCs w:val="22"/>
              </w:rPr>
              <w:t>PI</w:t>
            </w:r>
          </w:p>
        </w:tc>
        <w:tc>
          <w:tcPr>
            <w:tcW w:w="3524" w:type="pct"/>
          </w:tcPr>
          <w:p w14:paraId="27AB6CC6" w14:textId="77777777" w:rsidR="00104351" w:rsidRPr="00D7678B" w:rsidRDefault="00104351" w:rsidP="00600D3A">
            <w:pPr>
              <w:cnfStyle w:val="000000000000" w:firstRow="0" w:lastRow="0" w:firstColumn="0" w:lastColumn="0" w:oddVBand="0" w:evenVBand="0" w:oddHBand="0" w:evenHBand="0" w:firstRowFirstColumn="0" w:firstRowLastColumn="0" w:lastRowFirstColumn="0" w:lastRowLastColumn="0"/>
              <w:rPr>
                <w:szCs w:val="22"/>
              </w:rPr>
            </w:pPr>
            <w:r w:rsidRPr="00D7678B">
              <w:rPr>
                <w:szCs w:val="22"/>
              </w:rPr>
              <w:t>Product Information</w:t>
            </w:r>
          </w:p>
        </w:tc>
      </w:tr>
      <w:tr w:rsidR="00104351" w:rsidRPr="00D7678B" w14:paraId="334EF0C3" w14:textId="77777777" w:rsidTr="00104351">
        <w:trPr>
          <w:trHeight w:val="386"/>
        </w:trPr>
        <w:tc>
          <w:tcPr>
            <w:cnfStyle w:val="001000000000" w:firstRow="0" w:lastRow="0" w:firstColumn="1" w:lastColumn="0" w:oddVBand="0" w:evenVBand="0" w:oddHBand="0" w:evenHBand="0" w:firstRowFirstColumn="0" w:firstRowLastColumn="0" w:lastRowFirstColumn="0" w:lastRowLastColumn="0"/>
            <w:tcW w:w="1476" w:type="pct"/>
          </w:tcPr>
          <w:p w14:paraId="110A9B9D" w14:textId="706695F3" w:rsidR="00104351" w:rsidRPr="00D7678B" w:rsidRDefault="00104351" w:rsidP="00600D3A">
            <w:pPr>
              <w:rPr>
                <w:szCs w:val="22"/>
              </w:rPr>
            </w:pPr>
            <w:r w:rsidRPr="00A00609">
              <w:t>PKU</w:t>
            </w:r>
          </w:p>
        </w:tc>
        <w:tc>
          <w:tcPr>
            <w:tcW w:w="3524" w:type="pct"/>
          </w:tcPr>
          <w:p w14:paraId="5F008DDB" w14:textId="43C96454" w:rsidR="00104351" w:rsidRPr="00D7678B" w:rsidRDefault="00104351" w:rsidP="00600D3A">
            <w:pPr>
              <w:cnfStyle w:val="000000000000" w:firstRow="0" w:lastRow="0" w:firstColumn="0" w:lastColumn="0" w:oddVBand="0" w:evenVBand="0" w:oddHBand="0" w:evenHBand="0" w:firstRowFirstColumn="0" w:firstRowLastColumn="0" w:lastRowFirstColumn="0" w:lastRowLastColumn="0"/>
              <w:rPr>
                <w:szCs w:val="22"/>
              </w:rPr>
            </w:pPr>
            <w:r w:rsidRPr="00A00609">
              <w:t>Phenylketonuria</w:t>
            </w:r>
          </w:p>
        </w:tc>
      </w:tr>
      <w:tr w:rsidR="00104351" w:rsidRPr="00D7678B" w14:paraId="21691333" w14:textId="77777777" w:rsidTr="00104351">
        <w:trPr>
          <w:trHeight w:val="386"/>
        </w:trPr>
        <w:tc>
          <w:tcPr>
            <w:cnfStyle w:val="001000000000" w:firstRow="0" w:lastRow="0" w:firstColumn="1" w:lastColumn="0" w:oddVBand="0" w:evenVBand="0" w:oddHBand="0" w:evenHBand="0" w:firstRowFirstColumn="0" w:firstRowLastColumn="0" w:lastRowFirstColumn="0" w:lastRowLastColumn="0"/>
            <w:tcW w:w="1476" w:type="pct"/>
          </w:tcPr>
          <w:p w14:paraId="76773962" w14:textId="77777777" w:rsidR="00104351" w:rsidRPr="00D7678B" w:rsidRDefault="00104351" w:rsidP="00600D3A">
            <w:pPr>
              <w:rPr>
                <w:szCs w:val="22"/>
              </w:rPr>
            </w:pPr>
            <w:proofErr w:type="spellStart"/>
            <w:r w:rsidRPr="00D7678B">
              <w:rPr>
                <w:szCs w:val="22"/>
              </w:rPr>
              <w:t>PSUR</w:t>
            </w:r>
            <w:proofErr w:type="spellEnd"/>
          </w:p>
        </w:tc>
        <w:tc>
          <w:tcPr>
            <w:tcW w:w="3524" w:type="pct"/>
          </w:tcPr>
          <w:p w14:paraId="56E16EEB" w14:textId="77777777" w:rsidR="00104351" w:rsidRPr="00D7678B" w:rsidRDefault="00104351" w:rsidP="00600D3A">
            <w:pPr>
              <w:cnfStyle w:val="000000000000" w:firstRow="0" w:lastRow="0" w:firstColumn="0" w:lastColumn="0" w:oddVBand="0" w:evenVBand="0" w:oddHBand="0" w:evenHBand="0" w:firstRowFirstColumn="0" w:firstRowLastColumn="0" w:lastRowFirstColumn="0" w:lastRowLastColumn="0"/>
              <w:rPr>
                <w:szCs w:val="22"/>
              </w:rPr>
            </w:pPr>
            <w:r w:rsidRPr="00D7678B">
              <w:rPr>
                <w:szCs w:val="22"/>
              </w:rPr>
              <w:t>Periodic safety update report</w:t>
            </w:r>
          </w:p>
        </w:tc>
      </w:tr>
      <w:tr w:rsidR="00104351" w:rsidRPr="00D7678B" w14:paraId="1410B01A" w14:textId="77777777" w:rsidTr="00104351">
        <w:trPr>
          <w:trHeight w:val="386"/>
        </w:trPr>
        <w:tc>
          <w:tcPr>
            <w:cnfStyle w:val="001000000000" w:firstRow="0" w:lastRow="0" w:firstColumn="1" w:lastColumn="0" w:oddVBand="0" w:evenVBand="0" w:oddHBand="0" w:evenHBand="0" w:firstRowFirstColumn="0" w:firstRowLastColumn="0" w:lastRowFirstColumn="0" w:lastRowLastColumn="0"/>
            <w:tcW w:w="1476" w:type="pct"/>
          </w:tcPr>
          <w:p w14:paraId="57125F99" w14:textId="77777777" w:rsidR="00104351" w:rsidRPr="00D7678B" w:rsidRDefault="00104351" w:rsidP="00600D3A">
            <w:pPr>
              <w:rPr>
                <w:szCs w:val="22"/>
              </w:rPr>
            </w:pPr>
            <w:r w:rsidRPr="00D7678B">
              <w:rPr>
                <w:szCs w:val="22"/>
              </w:rPr>
              <w:t>RMP</w:t>
            </w:r>
          </w:p>
        </w:tc>
        <w:tc>
          <w:tcPr>
            <w:tcW w:w="3524" w:type="pct"/>
          </w:tcPr>
          <w:p w14:paraId="76EA42C6" w14:textId="77777777" w:rsidR="00104351" w:rsidRPr="00D7678B" w:rsidRDefault="00104351" w:rsidP="00600D3A">
            <w:pPr>
              <w:cnfStyle w:val="000000000000" w:firstRow="0" w:lastRow="0" w:firstColumn="0" w:lastColumn="0" w:oddVBand="0" w:evenVBand="0" w:oddHBand="0" w:evenHBand="0" w:firstRowFirstColumn="0" w:firstRowLastColumn="0" w:lastRowFirstColumn="0" w:lastRowLastColumn="0"/>
              <w:rPr>
                <w:szCs w:val="22"/>
              </w:rPr>
            </w:pPr>
            <w:r w:rsidRPr="00D7678B">
              <w:rPr>
                <w:szCs w:val="22"/>
              </w:rPr>
              <w:t>Risk management plan</w:t>
            </w:r>
          </w:p>
        </w:tc>
      </w:tr>
      <w:tr w:rsidR="00104351" w:rsidRPr="00D7678B" w14:paraId="78F6B53B" w14:textId="77777777" w:rsidTr="00104351">
        <w:trPr>
          <w:trHeight w:val="386"/>
        </w:trPr>
        <w:tc>
          <w:tcPr>
            <w:cnfStyle w:val="001000000000" w:firstRow="0" w:lastRow="0" w:firstColumn="1" w:lastColumn="0" w:oddVBand="0" w:evenVBand="0" w:oddHBand="0" w:evenHBand="0" w:firstRowFirstColumn="0" w:firstRowLastColumn="0" w:lastRowFirstColumn="0" w:lastRowLastColumn="0"/>
            <w:tcW w:w="1476" w:type="pct"/>
          </w:tcPr>
          <w:p w14:paraId="5F4086D2" w14:textId="77777777" w:rsidR="00104351" w:rsidRPr="00D7678B" w:rsidRDefault="00104351" w:rsidP="00600D3A">
            <w:pPr>
              <w:rPr>
                <w:szCs w:val="22"/>
              </w:rPr>
            </w:pPr>
            <w:r w:rsidRPr="00EE00FA">
              <w:t>SD</w:t>
            </w:r>
          </w:p>
        </w:tc>
        <w:tc>
          <w:tcPr>
            <w:tcW w:w="3524" w:type="pct"/>
          </w:tcPr>
          <w:p w14:paraId="49811B07" w14:textId="0FB93F3A" w:rsidR="00104351" w:rsidRPr="00D7678B" w:rsidRDefault="00104351" w:rsidP="00600D3A">
            <w:pPr>
              <w:cnfStyle w:val="000000000000" w:firstRow="0" w:lastRow="0" w:firstColumn="0" w:lastColumn="0" w:oddVBand="0" w:evenVBand="0" w:oddHBand="0" w:evenHBand="0" w:firstRowFirstColumn="0" w:firstRowLastColumn="0" w:lastRowFirstColumn="0" w:lastRowLastColumn="0"/>
              <w:rPr>
                <w:szCs w:val="22"/>
              </w:rPr>
            </w:pPr>
            <w:r>
              <w:t>Standard deviation</w:t>
            </w:r>
          </w:p>
        </w:tc>
      </w:tr>
      <w:tr w:rsidR="00104351" w:rsidRPr="00D7678B" w14:paraId="01E0B61D" w14:textId="77777777" w:rsidTr="00104351">
        <w:trPr>
          <w:trHeight w:val="386"/>
        </w:trPr>
        <w:tc>
          <w:tcPr>
            <w:cnfStyle w:val="001000000000" w:firstRow="0" w:lastRow="0" w:firstColumn="1" w:lastColumn="0" w:oddVBand="0" w:evenVBand="0" w:oddHBand="0" w:evenHBand="0" w:firstRowFirstColumn="0" w:firstRowLastColumn="0" w:lastRowFirstColumn="0" w:lastRowLastColumn="0"/>
            <w:tcW w:w="1476" w:type="pct"/>
          </w:tcPr>
          <w:p w14:paraId="2B938289" w14:textId="4567E05D" w:rsidR="00104351" w:rsidRPr="00EE00FA" w:rsidRDefault="00104351" w:rsidP="00600D3A">
            <w:proofErr w:type="spellStart"/>
            <w:r w:rsidRPr="00FB0599">
              <w:t>TEAEs</w:t>
            </w:r>
            <w:proofErr w:type="spellEnd"/>
          </w:p>
        </w:tc>
        <w:tc>
          <w:tcPr>
            <w:tcW w:w="3524" w:type="pct"/>
          </w:tcPr>
          <w:p w14:paraId="55037D09" w14:textId="685520FD" w:rsidR="00104351" w:rsidRPr="00EE00FA" w:rsidRDefault="00104351" w:rsidP="00600D3A">
            <w:pPr>
              <w:cnfStyle w:val="000000000000" w:firstRow="0" w:lastRow="0" w:firstColumn="0" w:lastColumn="0" w:oddVBand="0" w:evenVBand="0" w:oddHBand="0" w:evenHBand="0" w:firstRowFirstColumn="0" w:firstRowLastColumn="0" w:lastRowFirstColumn="0" w:lastRowLastColumn="0"/>
            </w:pPr>
            <w:r>
              <w:t>T</w:t>
            </w:r>
            <w:r w:rsidRPr="00FB0599">
              <w:t>reatment emergent adverse events</w:t>
            </w:r>
          </w:p>
        </w:tc>
      </w:tr>
      <w:tr w:rsidR="00104351" w:rsidRPr="00D7678B" w14:paraId="4D0AF582" w14:textId="77777777" w:rsidTr="00104351">
        <w:trPr>
          <w:trHeight w:val="386"/>
        </w:trPr>
        <w:tc>
          <w:tcPr>
            <w:cnfStyle w:val="001000000000" w:firstRow="0" w:lastRow="0" w:firstColumn="1" w:lastColumn="0" w:oddVBand="0" w:evenVBand="0" w:oddHBand="0" w:evenHBand="0" w:firstRowFirstColumn="0" w:firstRowLastColumn="0" w:lastRowFirstColumn="0" w:lastRowLastColumn="0"/>
            <w:tcW w:w="1476" w:type="pct"/>
          </w:tcPr>
          <w:p w14:paraId="24B722F8" w14:textId="77777777" w:rsidR="00104351" w:rsidRPr="00D7678B" w:rsidRDefault="00104351" w:rsidP="00600D3A">
            <w:pPr>
              <w:rPr>
                <w:szCs w:val="22"/>
              </w:rPr>
            </w:pPr>
            <w:r w:rsidRPr="00D7678B">
              <w:rPr>
                <w:szCs w:val="22"/>
              </w:rPr>
              <w:t>TGA</w:t>
            </w:r>
          </w:p>
        </w:tc>
        <w:tc>
          <w:tcPr>
            <w:tcW w:w="3524" w:type="pct"/>
          </w:tcPr>
          <w:p w14:paraId="20C552EC" w14:textId="77777777" w:rsidR="00104351" w:rsidRPr="00D7678B" w:rsidRDefault="00104351" w:rsidP="00600D3A">
            <w:pPr>
              <w:cnfStyle w:val="000000000000" w:firstRow="0" w:lastRow="0" w:firstColumn="0" w:lastColumn="0" w:oddVBand="0" w:evenVBand="0" w:oddHBand="0" w:evenHBand="0" w:firstRowFirstColumn="0" w:firstRowLastColumn="0" w:lastRowFirstColumn="0" w:lastRowLastColumn="0"/>
              <w:rPr>
                <w:szCs w:val="22"/>
              </w:rPr>
            </w:pPr>
            <w:r w:rsidRPr="00D7678B">
              <w:rPr>
                <w:szCs w:val="22"/>
              </w:rPr>
              <w:t>Therapeutic Goods Administration</w:t>
            </w:r>
          </w:p>
        </w:tc>
      </w:tr>
    </w:tbl>
    <w:p w14:paraId="02FB1F38" w14:textId="77777777" w:rsidR="00324B33" w:rsidRPr="00FD119B" w:rsidRDefault="00324B33" w:rsidP="00F95B12">
      <w:r w:rsidRPr="00FD119B">
        <w:br w:type="page"/>
      </w:r>
    </w:p>
    <w:p w14:paraId="44C2A39C" w14:textId="0BAF35DB" w:rsidR="00324B33" w:rsidRDefault="00324B33" w:rsidP="00324B33">
      <w:pPr>
        <w:pStyle w:val="Heading2"/>
      </w:pPr>
      <w:bookmarkStart w:id="5" w:name="_Toc103679288"/>
      <w:bookmarkStart w:id="6" w:name="_Toc215749761"/>
      <w:r w:rsidRPr="00AC762A">
        <w:lastRenderedPageBreak/>
        <w:t>Product submission</w:t>
      </w:r>
      <w:bookmarkEnd w:id="5"/>
      <w:bookmarkEnd w:id="6"/>
    </w:p>
    <w:p w14:paraId="21D559DF" w14:textId="0B390DB1" w:rsidR="00324B33" w:rsidRDefault="00324B33" w:rsidP="00324B33">
      <w:pPr>
        <w:pStyle w:val="Heading3"/>
        <w:rPr>
          <w:lang w:eastAsia="en-AU"/>
        </w:rPr>
      </w:pPr>
      <w:bookmarkStart w:id="7" w:name="_Toc247691502"/>
      <w:bookmarkStart w:id="8" w:name="_Toc314842483"/>
      <w:bookmarkStart w:id="9" w:name="_Toc103679289"/>
      <w:bookmarkStart w:id="10" w:name="_Toc215749762"/>
      <w:r>
        <w:rPr>
          <w:lang w:eastAsia="en-AU"/>
        </w:rPr>
        <w:t>Submission details</w:t>
      </w:r>
      <w:bookmarkEnd w:id="7"/>
      <w:bookmarkEnd w:id="8"/>
      <w:bookmarkEnd w:id="9"/>
      <w:bookmarkEnd w:id="10"/>
    </w:p>
    <w:tbl>
      <w:tblPr>
        <w:tblW w:w="5000" w:type="pct"/>
        <w:tblLook w:val="01E0" w:firstRow="1" w:lastRow="1" w:firstColumn="1" w:lastColumn="1" w:noHBand="0" w:noVBand="0"/>
      </w:tblPr>
      <w:tblGrid>
        <w:gridCol w:w="2861"/>
        <w:gridCol w:w="6209"/>
      </w:tblGrid>
      <w:tr w:rsidR="00324B33" w:rsidRPr="00BD5DBD" w14:paraId="77D11C95" w14:textId="77777777" w:rsidTr="00F865A7">
        <w:tc>
          <w:tcPr>
            <w:tcW w:w="1577" w:type="pct"/>
          </w:tcPr>
          <w:p w14:paraId="10E57D62" w14:textId="0014EB1E" w:rsidR="00324B33" w:rsidRPr="00BD5DBD" w:rsidRDefault="00324B33" w:rsidP="007452E8">
            <w:pPr>
              <w:rPr>
                <w:i/>
                <w:szCs w:val="22"/>
              </w:rPr>
            </w:pPr>
            <w:r w:rsidRPr="00BD5DBD">
              <w:rPr>
                <w:i/>
                <w:szCs w:val="22"/>
              </w:rPr>
              <w:t>Type</w:t>
            </w:r>
            <w:r w:rsidR="001A1B6C">
              <w:rPr>
                <w:i/>
                <w:szCs w:val="22"/>
              </w:rPr>
              <w:t xml:space="preserve"> </w:t>
            </w:r>
            <w:r w:rsidRPr="00BD5DBD">
              <w:rPr>
                <w:i/>
                <w:szCs w:val="22"/>
              </w:rPr>
              <w:t>of submission:</w:t>
            </w:r>
          </w:p>
        </w:tc>
        <w:tc>
          <w:tcPr>
            <w:tcW w:w="3423" w:type="pct"/>
          </w:tcPr>
          <w:p w14:paraId="4F07C303" w14:textId="26CF0044" w:rsidR="00324B33" w:rsidRPr="00BD5DBD" w:rsidRDefault="00324B33" w:rsidP="007452E8">
            <w:pPr>
              <w:rPr>
                <w:szCs w:val="22"/>
              </w:rPr>
            </w:pPr>
            <w:r w:rsidRPr="00BD5DBD">
              <w:rPr>
                <w:szCs w:val="22"/>
              </w:rPr>
              <w:t>New chemical entity</w:t>
            </w:r>
          </w:p>
        </w:tc>
      </w:tr>
      <w:tr w:rsidR="00324B33" w:rsidRPr="00BD5DBD" w14:paraId="13482B61" w14:textId="77777777" w:rsidTr="00F865A7">
        <w:tc>
          <w:tcPr>
            <w:tcW w:w="1577" w:type="pct"/>
          </w:tcPr>
          <w:p w14:paraId="2C427FCF" w14:textId="3C9E58FC" w:rsidR="00324B33" w:rsidRPr="00BD5DBD" w:rsidRDefault="00324B33" w:rsidP="007452E8">
            <w:pPr>
              <w:rPr>
                <w:i/>
                <w:szCs w:val="22"/>
              </w:rPr>
            </w:pPr>
            <w:r w:rsidRPr="00BD5DBD">
              <w:rPr>
                <w:i/>
                <w:szCs w:val="22"/>
              </w:rPr>
              <w:t>Product name:</w:t>
            </w:r>
          </w:p>
        </w:tc>
        <w:tc>
          <w:tcPr>
            <w:tcW w:w="3423" w:type="pct"/>
          </w:tcPr>
          <w:p w14:paraId="0E2DEF76" w14:textId="507BE8C9" w:rsidR="00324B33" w:rsidRPr="00BD5DBD" w:rsidRDefault="002F75CB" w:rsidP="007452E8">
            <w:pPr>
              <w:rPr>
                <w:szCs w:val="22"/>
              </w:rPr>
            </w:pPr>
            <w:proofErr w:type="spellStart"/>
            <w:r w:rsidRPr="002F75CB">
              <w:rPr>
                <w:szCs w:val="22"/>
              </w:rPr>
              <w:t>Sephience</w:t>
            </w:r>
            <w:proofErr w:type="spellEnd"/>
          </w:p>
        </w:tc>
      </w:tr>
      <w:tr w:rsidR="00324B33" w:rsidRPr="00BD5DBD" w14:paraId="01255B5B" w14:textId="77777777" w:rsidTr="00F865A7">
        <w:tc>
          <w:tcPr>
            <w:tcW w:w="1577" w:type="pct"/>
          </w:tcPr>
          <w:p w14:paraId="52B4F3D7" w14:textId="21C89FF4" w:rsidR="00324B33" w:rsidRPr="00BD5DBD" w:rsidRDefault="00324B33" w:rsidP="007452E8">
            <w:pPr>
              <w:rPr>
                <w:i/>
                <w:szCs w:val="22"/>
              </w:rPr>
            </w:pPr>
            <w:r w:rsidRPr="00BD5DBD">
              <w:rPr>
                <w:i/>
                <w:szCs w:val="22"/>
              </w:rPr>
              <w:t>Active ingredient:</w:t>
            </w:r>
          </w:p>
        </w:tc>
        <w:tc>
          <w:tcPr>
            <w:tcW w:w="3423" w:type="pct"/>
          </w:tcPr>
          <w:p w14:paraId="02FB6383" w14:textId="669F7939" w:rsidR="00324B33" w:rsidRPr="00BD5DBD" w:rsidRDefault="00B35D13" w:rsidP="007452E8">
            <w:pPr>
              <w:rPr>
                <w:szCs w:val="22"/>
              </w:rPr>
            </w:pPr>
            <w:proofErr w:type="spellStart"/>
            <w:r w:rsidRPr="00B35D13">
              <w:rPr>
                <w:szCs w:val="22"/>
              </w:rPr>
              <w:t>sepiapterin</w:t>
            </w:r>
            <w:proofErr w:type="spellEnd"/>
          </w:p>
        </w:tc>
      </w:tr>
      <w:tr w:rsidR="00324B33" w:rsidRPr="00BD5DBD" w14:paraId="219A281B" w14:textId="77777777" w:rsidTr="00F865A7">
        <w:tc>
          <w:tcPr>
            <w:tcW w:w="1577" w:type="pct"/>
          </w:tcPr>
          <w:p w14:paraId="112E5F78" w14:textId="77777777" w:rsidR="00324B33" w:rsidRPr="00BD5DBD" w:rsidRDefault="00324B33" w:rsidP="007452E8">
            <w:pPr>
              <w:rPr>
                <w:i/>
                <w:szCs w:val="22"/>
              </w:rPr>
            </w:pPr>
            <w:r w:rsidRPr="00BD5DBD">
              <w:rPr>
                <w:i/>
                <w:szCs w:val="22"/>
              </w:rPr>
              <w:t>Decision:</w:t>
            </w:r>
          </w:p>
        </w:tc>
        <w:tc>
          <w:tcPr>
            <w:tcW w:w="3423" w:type="pct"/>
          </w:tcPr>
          <w:p w14:paraId="3B114BEA" w14:textId="13414131" w:rsidR="00324B33" w:rsidRPr="00BD5DBD" w:rsidRDefault="00324B33" w:rsidP="007452E8">
            <w:pPr>
              <w:rPr>
                <w:szCs w:val="22"/>
              </w:rPr>
            </w:pPr>
            <w:r w:rsidRPr="00BD5DBD">
              <w:rPr>
                <w:szCs w:val="22"/>
              </w:rPr>
              <w:t>Approved</w:t>
            </w:r>
          </w:p>
        </w:tc>
      </w:tr>
      <w:tr w:rsidR="00AE1947" w:rsidRPr="00BD5DBD" w14:paraId="32B72632" w14:textId="77777777" w:rsidTr="00F865A7">
        <w:tc>
          <w:tcPr>
            <w:tcW w:w="1577" w:type="pct"/>
          </w:tcPr>
          <w:p w14:paraId="332A5CD5" w14:textId="65B1C2DE" w:rsidR="00AE1947" w:rsidRPr="00BD5DBD" w:rsidRDefault="00AE1947" w:rsidP="007F1E37">
            <w:r w:rsidRPr="00BD5DBD">
              <w:rPr>
                <w:i/>
                <w:szCs w:val="22"/>
              </w:rPr>
              <w:t>Date of decision</w:t>
            </w:r>
          </w:p>
        </w:tc>
        <w:tc>
          <w:tcPr>
            <w:tcW w:w="3423" w:type="pct"/>
          </w:tcPr>
          <w:p w14:paraId="7B381CD6" w14:textId="36709310" w:rsidR="00AE1947" w:rsidRPr="00BD5DBD" w:rsidRDefault="00394E28" w:rsidP="00602658">
            <w:pPr>
              <w:rPr>
                <w:szCs w:val="22"/>
              </w:rPr>
            </w:pPr>
            <w:r w:rsidRPr="00394E28">
              <w:rPr>
                <w:szCs w:val="22"/>
              </w:rPr>
              <w:t>14 July 2025</w:t>
            </w:r>
          </w:p>
        </w:tc>
      </w:tr>
      <w:tr w:rsidR="00324B33" w:rsidRPr="00BD5DBD" w14:paraId="547E08D7" w14:textId="77777777" w:rsidTr="00F865A7">
        <w:tc>
          <w:tcPr>
            <w:tcW w:w="1577" w:type="pct"/>
          </w:tcPr>
          <w:p w14:paraId="5030EF30" w14:textId="77777777" w:rsidR="00324B33" w:rsidRPr="00BD5DBD" w:rsidRDefault="00324B33" w:rsidP="007452E8">
            <w:pPr>
              <w:rPr>
                <w:i/>
                <w:szCs w:val="22"/>
              </w:rPr>
            </w:pPr>
            <w:proofErr w:type="spellStart"/>
            <w:r w:rsidRPr="00BD5DBD">
              <w:rPr>
                <w:i/>
                <w:szCs w:val="22"/>
              </w:rPr>
              <w:t>ARTG</w:t>
            </w:r>
            <w:proofErr w:type="spellEnd"/>
            <w:r w:rsidRPr="00BD5DBD">
              <w:rPr>
                <w:i/>
                <w:szCs w:val="22"/>
              </w:rPr>
              <w:t xml:space="preserve"> number(s):</w:t>
            </w:r>
          </w:p>
        </w:tc>
        <w:tc>
          <w:tcPr>
            <w:tcW w:w="3423" w:type="pct"/>
          </w:tcPr>
          <w:p w14:paraId="0054E912" w14:textId="2AC719FA" w:rsidR="00324B33" w:rsidRPr="00BD5DBD" w:rsidRDefault="00ED4D59" w:rsidP="007452E8">
            <w:pPr>
              <w:rPr>
                <w:szCs w:val="22"/>
              </w:rPr>
            </w:pPr>
            <w:r>
              <w:rPr>
                <w:szCs w:val="22"/>
              </w:rPr>
              <w:t xml:space="preserve">453665 </w:t>
            </w:r>
            <w:r w:rsidR="00FE0398">
              <w:rPr>
                <w:szCs w:val="22"/>
              </w:rPr>
              <w:t xml:space="preserve">and </w:t>
            </w:r>
            <w:r>
              <w:rPr>
                <w:szCs w:val="22"/>
              </w:rPr>
              <w:t>453</w:t>
            </w:r>
            <w:r w:rsidR="00FE0398">
              <w:rPr>
                <w:szCs w:val="22"/>
              </w:rPr>
              <w:t>666</w:t>
            </w:r>
          </w:p>
        </w:tc>
      </w:tr>
      <w:tr w:rsidR="00324B33" w:rsidRPr="00BD5DBD" w14:paraId="7618393F" w14:textId="77777777" w:rsidTr="00F865A7">
        <w:tc>
          <w:tcPr>
            <w:tcW w:w="1577" w:type="pct"/>
          </w:tcPr>
          <w:p w14:paraId="02260DE2" w14:textId="69EF99B5" w:rsidR="00324B33" w:rsidRPr="00BD5DBD" w:rsidRDefault="00324B33" w:rsidP="002143AE">
            <w:pPr>
              <w:rPr>
                <w:i/>
                <w:szCs w:val="22"/>
              </w:rPr>
            </w:pPr>
            <w:r w:rsidRPr="00BD5DBD">
              <w:rPr>
                <w:rFonts w:ascii="Wingdings 3" w:hAnsi="Wingdings 3"/>
                <w:szCs w:val="22"/>
                <w:lang w:eastAsia="en-AU"/>
              </w:rPr>
              <w:t></w:t>
            </w:r>
            <w:hyperlink r:id="rId20" w:history="1">
              <w:r w:rsidRPr="00BD5DBD">
                <w:rPr>
                  <w:rStyle w:val="Hyperlink"/>
                  <w:i/>
                  <w:szCs w:val="22"/>
                </w:rPr>
                <w:t>Black Triangle Scheme</w:t>
              </w:r>
            </w:hyperlink>
          </w:p>
        </w:tc>
        <w:tc>
          <w:tcPr>
            <w:tcW w:w="3423" w:type="pct"/>
          </w:tcPr>
          <w:p w14:paraId="6FF3C6A2" w14:textId="719389F0" w:rsidR="00324B33" w:rsidRPr="00BD5DBD" w:rsidRDefault="00324B33" w:rsidP="007452E8">
            <w:pPr>
              <w:rPr>
                <w:szCs w:val="22"/>
              </w:rPr>
            </w:pPr>
            <w:r w:rsidRPr="00BD5DBD">
              <w:rPr>
                <w:szCs w:val="22"/>
              </w:rPr>
              <w:t>Yes</w:t>
            </w:r>
          </w:p>
        </w:tc>
      </w:tr>
      <w:tr w:rsidR="00324B33" w:rsidRPr="00BD5DBD" w14:paraId="179E09FE" w14:textId="77777777" w:rsidTr="00F865A7">
        <w:tc>
          <w:tcPr>
            <w:tcW w:w="1577" w:type="pct"/>
          </w:tcPr>
          <w:p w14:paraId="1A592498" w14:textId="359B6015" w:rsidR="00324B33" w:rsidRPr="00BD5DBD" w:rsidRDefault="00DD1733" w:rsidP="007452E8">
            <w:pPr>
              <w:rPr>
                <w:i/>
                <w:szCs w:val="22"/>
              </w:rPr>
            </w:pPr>
            <w:r>
              <w:rPr>
                <w:i/>
                <w:szCs w:val="22"/>
              </w:rPr>
              <w:t>Sponsor</w:t>
            </w:r>
            <w:r w:rsidR="00324B33" w:rsidRPr="00BD5DBD">
              <w:rPr>
                <w:i/>
                <w:szCs w:val="22"/>
              </w:rPr>
              <w:t>’s name and address:</w:t>
            </w:r>
          </w:p>
        </w:tc>
        <w:tc>
          <w:tcPr>
            <w:tcW w:w="3423" w:type="pct"/>
          </w:tcPr>
          <w:p w14:paraId="68DD94B0" w14:textId="0C6BEE96" w:rsidR="00324B33" w:rsidRPr="00BD5DBD" w:rsidRDefault="00170AA2" w:rsidP="00170AA2">
            <w:pPr>
              <w:rPr>
                <w:szCs w:val="22"/>
              </w:rPr>
            </w:pPr>
            <w:r w:rsidRPr="00170AA2">
              <w:rPr>
                <w:szCs w:val="22"/>
              </w:rPr>
              <w:t>PTC Therapeutics Australia Pty Limited</w:t>
            </w:r>
            <w:r>
              <w:rPr>
                <w:szCs w:val="22"/>
              </w:rPr>
              <w:t xml:space="preserve">, </w:t>
            </w:r>
            <w:r w:rsidRPr="00170AA2">
              <w:rPr>
                <w:szCs w:val="22"/>
              </w:rPr>
              <w:t>Suite 1617 &amp; 1619, Level 16, 1 Denison Street North Sydney NSW 2060</w:t>
            </w:r>
            <w:r>
              <w:rPr>
                <w:szCs w:val="22"/>
              </w:rPr>
              <w:t xml:space="preserve">. </w:t>
            </w:r>
          </w:p>
        </w:tc>
      </w:tr>
      <w:tr w:rsidR="00324B33" w:rsidRPr="00BD5DBD" w14:paraId="5322B989" w14:textId="77777777" w:rsidTr="00F865A7">
        <w:tc>
          <w:tcPr>
            <w:tcW w:w="1577" w:type="pct"/>
          </w:tcPr>
          <w:p w14:paraId="24F217E3" w14:textId="2689E4E4" w:rsidR="00324B33" w:rsidRPr="00BD5DBD" w:rsidRDefault="00324B33" w:rsidP="007452E8">
            <w:pPr>
              <w:rPr>
                <w:i/>
                <w:szCs w:val="22"/>
              </w:rPr>
            </w:pPr>
            <w:r w:rsidRPr="00BD5DBD">
              <w:rPr>
                <w:i/>
                <w:szCs w:val="22"/>
              </w:rPr>
              <w:t>Dose form:</w:t>
            </w:r>
          </w:p>
        </w:tc>
        <w:tc>
          <w:tcPr>
            <w:tcW w:w="3423" w:type="pct"/>
          </w:tcPr>
          <w:p w14:paraId="768B254C" w14:textId="58F68EB9" w:rsidR="00324B33" w:rsidRPr="00BD5DBD" w:rsidRDefault="00CC5818" w:rsidP="007452E8">
            <w:pPr>
              <w:rPr>
                <w:szCs w:val="22"/>
              </w:rPr>
            </w:pPr>
            <w:r w:rsidRPr="00CC5818">
              <w:rPr>
                <w:szCs w:val="22"/>
              </w:rPr>
              <w:t>Oral powder</w:t>
            </w:r>
          </w:p>
        </w:tc>
      </w:tr>
      <w:tr w:rsidR="00324B33" w:rsidRPr="00BD5DBD" w14:paraId="115243E6" w14:textId="77777777" w:rsidTr="00F865A7">
        <w:tc>
          <w:tcPr>
            <w:tcW w:w="1577" w:type="pct"/>
          </w:tcPr>
          <w:p w14:paraId="7634B062" w14:textId="0B2C6226" w:rsidR="00324B33" w:rsidRPr="00BD5DBD" w:rsidRDefault="00324B33" w:rsidP="007452E8">
            <w:pPr>
              <w:rPr>
                <w:i/>
                <w:szCs w:val="22"/>
              </w:rPr>
            </w:pPr>
            <w:r w:rsidRPr="00BD5DBD">
              <w:rPr>
                <w:i/>
                <w:szCs w:val="22"/>
              </w:rPr>
              <w:t>Strengths:</w:t>
            </w:r>
          </w:p>
        </w:tc>
        <w:tc>
          <w:tcPr>
            <w:tcW w:w="3423" w:type="pct"/>
          </w:tcPr>
          <w:p w14:paraId="5E5F83DB" w14:textId="124FF2E9" w:rsidR="00324B33" w:rsidRPr="00BD5DBD" w:rsidRDefault="00623A83" w:rsidP="007452E8">
            <w:pPr>
              <w:rPr>
                <w:szCs w:val="22"/>
              </w:rPr>
            </w:pPr>
            <w:r>
              <w:rPr>
                <w:szCs w:val="22"/>
              </w:rPr>
              <w:t>250</w:t>
            </w:r>
            <w:r w:rsidR="00FB0E93">
              <w:rPr>
                <w:szCs w:val="22"/>
              </w:rPr>
              <w:t xml:space="preserve"> </w:t>
            </w:r>
            <w:r>
              <w:rPr>
                <w:szCs w:val="22"/>
              </w:rPr>
              <w:t>mg, 1000</w:t>
            </w:r>
            <w:r w:rsidR="00FB0E93">
              <w:rPr>
                <w:szCs w:val="22"/>
              </w:rPr>
              <w:t xml:space="preserve"> </w:t>
            </w:r>
            <w:r>
              <w:rPr>
                <w:szCs w:val="22"/>
              </w:rPr>
              <w:t>mg</w:t>
            </w:r>
          </w:p>
        </w:tc>
      </w:tr>
      <w:tr w:rsidR="00324B33" w:rsidRPr="00BD5DBD" w14:paraId="34B07BA6" w14:textId="77777777" w:rsidTr="00F865A7">
        <w:tc>
          <w:tcPr>
            <w:tcW w:w="1577" w:type="pct"/>
          </w:tcPr>
          <w:p w14:paraId="1C039224" w14:textId="5A92AD23" w:rsidR="00324B33" w:rsidRPr="00BD5DBD" w:rsidRDefault="00324B33" w:rsidP="007452E8">
            <w:pPr>
              <w:rPr>
                <w:i/>
                <w:szCs w:val="22"/>
              </w:rPr>
            </w:pPr>
            <w:r w:rsidRPr="00BD5DBD">
              <w:rPr>
                <w:i/>
                <w:szCs w:val="22"/>
              </w:rPr>
              <w:t>Container:</w:t>
            </w:r>
          </w:p>
        </w:tc>
        <w:tc>
          <w:tcPr>
            <w:tcW w:w="3423" w:type="pct"/>
          </w:tcPr>
          <w:p w14:paraId="500A42C6" w14:textId="45C72B78" w:rsidR="00324B33" w:rsidRPr="00BD5DBD" w:rsidRDefault="00A25B31" w:rsidP="007452E8">
            <w:pPr>
              <w:rPr>
                <w:szCs w:val="22"/>
              </w:rPr>
            </w:pPr>
            <w:proofErr w:type="spellStart"/>
            <w:r w:rsidRPr="00A25B31">
              <w:rPr>
                <w:szCs w:val="22"/>
              </w:rPr>
              <w:t>Sephience</w:t>
            </w:r>
            <w:proofErr w:type="spellEnd"/>
            <w:r w:rsidRPr="00A25B31">
              <w:rPr>
                <w:szCs w:val="22"/>
              </w:rPr>
              <w:t xml:space="preserve"> is supplied in individual heat-sealed laminated aluminium foil sachets comprising polyethylene terephthalate, white extruded polyethylene (polyester/foil bond), aluminium foil (moisture barrier) and a heat-seal ionomeric resin (adhesive).</w:t>
            </w:r>
          </w:p>
        </w:tc>
      </w:tr>
      <w:tr w:rsidR="00324B33" w:rsidRPr="00BD5DBD" w14:paraId="176B6773" w14:textId="77777777" w:rsidTr="00F865A7">
        <w:tc>
          <w:tcPr>
            <w:tcW w:w="1577" w:type="pct"/>
          </w:tcPr>
          <w:p w14:paraId="71846159" w14:textId="3FFBE220" w:rsidR="00324B33" w:rsidRPr="00BD5DBD" w:rsidRDefault="00324B33" w:rsidP="007452E8">
            <w:pPr>
              <w:rPr>
                <w:i/>
                <w:szCs w:val="22"/>
              </w:rPr>
            </w:pPr>
            <w:r w:rsidRPr="00BD5DBD">
              <w:rPr>
                <w:i/>
                <w:szCs w:val="22"/>
              </w:rPr>
              <w:t xml:space="preserve">Pack </w:t>
            </w:r>
            <w:r w:rsidR="00C200F1" w:rsidRPr="00BD5DBD">
              <w:rPr>
                <w:i/>
                <w:szCs w:val="22"/>
              </w:rPr>
              <w:t>size</w:t>
            </w:r>
            <w:r w:rsidR="00C200F1">
              <w:rPr>
                <w:i/>
                <w:szCs w:val="22"/>
              </w:rPr>
              <w:t>:</w:t>
            </w:r>
          </w:p>
        </w:tc>
        <w:tc>
          <w:tcPr>
            <w:tcW w:w="3423" w:type="pct"/>
          </w:tcPr>
          <w:p w14:paraId="7E978F8F" w14:textId="0CD95B03" w:rsidR="00324B33" w:rsidRPr="00BD5DBD" w:rsidRDefault="00D740CC" w:rsidP="007452E8">
            <w:pPr>
              <w:rPr>
                <w:szCs w:val="22"/>
              </w:rPr>
            </w:pPr>
            <w:r w:rsidRPr="00D740CC">
              <w:rPr>
                <w:szCs w:val="22"/>
              </w:rPr>
              <w:t>Each carton contains 30 sachets.</w:t>
            </w:r>
          </w:p>
        </w:tc>
      </w:tr>
      <w:tr w:rsidR="00324B33" w:rsidRPr="00BD5DBD" w14:paraId="19A2544A" w14:textId="77777777" w:rsidTr="00F865A7">
        <w:tc>
          <w:tcPr>
            <w:tcW w:w="1577" w:type="pct"/>
          </w:tcPr>
          <w:p w14:paraId="0E6C5C0E" w14:textId="7DB3FC66" w:rsidR="00324B33" w:rsidRPr="00BD5DBD" w:rsidRDefault="00324B33" w:rsidP="007452E8">
            <w:pPr>
              <w:rPr>
                <w:i/>
                <w:szCs w:val="22"/>
              </w:rPr>
            </w:pPr>
            <w:r w:rsidRPr="00BD5DBD">
              <w:rPr>
                <w:i/>
                <w:szCs w:val="22"/>
              </w:rPr>
              <w:t>Approved therapeutic use</w:t>
            </w:r>
            <w:r w:rsidR="00E47E0C" w:rsidRPr="00BD5DBD">
              <w:rPr>
                <w:i/>
                <w:szCs w:val="22"/>
              </w:rPr>
              <w:t xml:space="preserve"> </w:t>
            </w:r>
            <w:r w:rsidR="007B04DE" w:rsidRPr="00BD5DBD">
              <w:rPr>
                <w:i/>
                <w:szCs w:val="22"/>
              </w:rPr>
              <w:t>for the current</w:t>
            </w:r>
            <w:r w:rsidR="00E47E0C" w:rsidRPr="00BD5DBD">
              <w:rPr>
                <w:i/>
                <w:szCs w:val="22"/>
              </w:rPr>
              <w:t xml:space="preserve"> submission</w:t>
            </w:r>
            <w:r w:rsidRPr="00BD5DBD">
              <w:rPr>
                <w:i/>
                <w:szCs w:val="22"/>
              </w:rPr>
              <w:t>:</w:t>
            </w:r>
          </w:p>
        </w:tc>
        <w:tc>
          <w:tcPr>
            <w:tcW w:w="3423" w:type="pct"/>
          </w:tcPr>
          <w:p w14:paraId="6E143E2E" w14:textId="333C64B0" w:rsidR="00324B33" w:rsidRPr="00BD5DBD" w:rsidRDefault="008504ED" w:rsidP="007452E8">
            <w:pPr>
              <w:rPr>
                <w:szCs w:val="22"/>
              </w:rPr>
            </w:pPr>
            <w:proofErr w:type="spellStart"/>
            <w:r w:rsidRPr="008504ED">
              <w:rPr>
                <w:szCs w:val="22"/>
              </w:rPr>
              <w:t>S</w:t>
            </w:r>
            <w:r w:rsidR="003F5E34">
              <w:rPr>
                <w:szCs w:val="22"/>
              </w:rPr>
              <w:t>ephience</w:t>
            </w:r>
            <w:proofErr w:type="spellEnd"/>
            <w:r w:rsidRPr="008504ED">
              <w:rPr>
                <w:szCs w:val="22"/>
              </w:rPr>
              <w:t xml:space="preserve"> is indicated for the treatment of </w:t>
            </w:r>
            <w:proofErr w:type="spellStart"/>
            <w:r w:rsidRPr="008504ED">
              <w:rPr>
                <w:szCs w:val="22"/>
              </w:rPr>
              <w:t>hyperphenylalaninaemia</w:t>
            </w:r>
            <w:proofErr w:type="spellEnd"/>
            <w:r w:rsidRPr="008504ED">
              <w:rPr>
                <w:szCs w:val="22"/>
              </w:rPr>
              <w:t xml:space="preserve"> (</w:t>
            </w:r>
            <w:proofErr w:type="spellStart"/>
            <w:r w:rsidRPr="008504ED">
              <w:rPr>
                <w:szCs w:val="22"/>
              </w:rPr>
              <w:t>HPA</w:t>
            </w:r>
            <w:proofErr w:type="spellEnd"/>
            <w:r w:rsidRPr="008504ED">
              <w:rPr>
                <w:szCs w:val="22"/>
              </w:rPr>
              <w:t>) in adult and paediatric patients with phenylketonuria (PKU).</w:t>
            </w:r>
          </w:p>
        </w:tc>
      </w:tr>
      <w:tr w:rsidR="00324B33" w:rsidRPr="00BD5DBD" w14:paraId="5AFDEED3" w14:textId="77777777" w:rsidTr="00F865A7">
        <w:tc>
          <w:tcPr>
            <w:tcW w:w="1577" w:type="pct"/>
          </w:tcPr>
          <w:p w14:paraId="03884BD1" w14:textId="743AD195" w:rsidR="00324B33" w:rsidRPr="00BD5DBD" w:rsidRDefault="00324B33" w:rsidP="007452E8">
            <w:pPr>
              <w:rPr>
                <w:i/>
                <w:szCs w:val="22"/>
              </w:rPr>
            </w:pPr>
            <w:r w:rsidRPr="00BD5DBD">
              <w:rPr>
                <w:i/>
                <w:szCs w:val="22"/>
              </w:rPr>
              <w:t>Route of administration:</w:t>
            </w:r>
          </w:p>
        </w:tc>
        <w:tc>
          <w:tcPr>
            <w:tcW w:w="3423" w:type="pct"/>
          </w:tcPr>
          <w:p w14:paraId="1ED1357E" w14:textId="171660C0" w:rsidR="00324B33" w:rsidRPr="00BD5DBD" w:rsidRDefault="00A9532A" w:rsidP="007452E8">
            <w:pPr>
              <w:rPr>
                <w:szCs w:val="22"/>
              </w:rPr>
            </w:pPr>
            <w:r>
              <w:rPr>
                <w:szCs w:val="22"/>
              </w:rPr>
              <w:t>Oral</w:t>
            </w:r>
          </w:p>
        </w:tc>
      </w:tr>
      <w:tr w:rsidR="00324B33" w:rsidRPr="00BD5DBD" w14:paraId="70D7E9FA" w14:textId="77777777" w:rsidTr="00F865A7">
        <w:tc>
          <w:tcPr>
            <w:tcW w:w="1577" w:type="pct"/>
          </w:tcPr>
          <w:p w14:paraId="5ABFFC80" w14:textId="77777777" w:rsidR="00324B33" w:rsidRPr="00BD5DBD" w:rsidRDefault="00324B33" w:rsidP="007452E8">
            <w:pPr>
              <w:rPr>
                <w:i/>
                <w:szCs w:val="22"/>
              </w:rPr>
            </w:pPr>
            <w:r w:rsidRPr="00BD5DBD">
              <w:rPr>
                <w:i/>
                <w:szCs w:val="22"/>
              </w:rPr>
              <w:t>Dosage:</w:t>
            </w:r>
          </w:p>
        </w:tc>
        <w:tc>
          <w:tcPr>
            <w:tcW w:w="3423" w:type="pct"/>
          </w:tcPr>
          <w:p w14:paraId="3D0B2D5C" w14:textId="2EEF77C0" w:rsidR="00324B33" w:rsidRPr="00BD5DBD" w:rsidRDefault="00E4259A" w:rsidP="00E4259A">
            <w:pPr>
              <w:rPr>
                <w:szCs w:val="22"/>
              </w:rPr>
            </w:pPr>
            <w:r w:rsidRPr="00E4259A">
              <w:rPr>
                <w:szCs w:val="22"/>
              </w:rPr>
              <w:t xml:space="preserve">The recommended dose of </w:t>
            </w:r>
            <w:proofErr w:type="spellStart"/>
            <w:r w:rsidRPr="00E4259A">
              <w:rPr>
                <w:szCs w:val="22"/>
              </w:rPr>
              <w:t>S</w:t>
            </w:r>
            <w:r w:rsidR="00B03268">
              <w:rPr>
                <w:szCs w:val="22"/>
              </w:rPr>
              <w:t>ephience</w:t>
            </w:r>
            <w:proofErr w:type="spellEnd"/>
            <w:r w:rsidRPr="00E4259A">
              <w:rPr>
                <w:szCs w:val="22"/>
              </w:rPr>
              <w:t>, to be administered orally once daily is based on age and body weight</w:t>
            </w:r>
            <w:r>
              <w:rPr>
                <w:szCs w:val="22"/>
              </w:rPr>
              <w:t xml:space="preserve">. </w:t>
            </w:r>
            <w:r w:rsidR="00324B33" w:rsidRPr="00BD5DBD">
              <w:rPr>
                <w:szCs w:val="22"/>
              </w:rPr>
              <w:t>For further information regarding dosage</w:t>
            </w:r>
            <w:r w:rsidR="006B7126">
              <w:rPr>
                <w:szCs w:val="22"/>
              </w:rPr>
              <w:t xml:space="preserve">, </w:t>
            </w:r>
            <w:r w:rsidR="00324B33" w:rsidRPr="00BD5DBD">
              <w:rPr>
                <w:szCs w:val="22"/>
              </w:rPr>
              <w:t>refer to the Product Information.</w:t>
            </w:r>
          </w:p>
        </w:tc>
      </w:tr>
      <w:tr w:rsidR="0017005C" w:rsidRPr="00BD5DBD" w14:paraId="7B7BB6AE" w14:textId="77777777" w:rsidTr="00F865A7">
        <w:tc>
          <w:tcPr>
            <w:tcW w:w="1577" w:type="pct"/>
          </w:tcPr>
          <w:p w14:paraId="3A76AFF7" w14:textId="6E49F6AF" w:rsidR="006B1E20" w:rsidRPr="00AC762A" w:rsidRDefault="0070330F" w:rsidP="00AC762A">
            <w:pPr>
              <w:rPr>
                <w:i/>
                <w:szCs w:val="22"/>
              </w:rPr>
            </w:pPr>
            <w:r w:rsidRPr="00BD5DBD">
              <w:rPr>
                <w:i/>
                <w:szCs w:val="22"/>
              </w:rPr>
              <w:t>Pregnancy category:</w:t>
            </w:r>
          </w:p>
        </w:tc>
        <w:tc>
          <w:tcPr>
            <w:tcW w:w="3423" w:type="pct"/>
          </w:tcPr>
          <w:p w14:paraId="65033753" w14:textId="77777777" w:rsidR="006B1E20" w:rsidRDefault="006B1E20" w:rsidP="007967C3">
            <w:r w:rsidRPr="006B1E20">
              <w:t xml:space="preserve">Category </w:t>
            </w:r>
            <w:proofErr w:type="spellStart"/>
            <w:r w:rsidRPr="006B1E20">
              <w:t>B1</w:t>
            </w:r>
            <w:proofErr w:type="spellEnd"/>
          </w:p>
          <w:p w14:paraId="6E4ADF92" w14:textId="77777777" w:rsidR="006B1E20" w:rsidRDefault="006B1E20" w:rsidP="007967C3">
            <w:r w:rsidRPr="006B1E20">
              <w:t xml:space="preserve">Drugs which have been taken by only a limited number of pregnant women and women of childbearing age, without an increase in the frequency of malformation or other direct or indirect harmful effects on the human </w:t>
            </w:r>
            <w:proofErr w:type="spellStart"/>
            <w:r w:rsidRPr="006B1E20">
              <w:t>fetus</w:t>
            </w:r>
            <w:proofErr w:type="spellEnd"/>
            <w:r w:rsidRPr="006B1E20">
              <w:t xml:space="preserve"> having been observed.</w:t>
            </w:r>
          </w:p>
          <w:p w14:paraId="5D6E9706" w14:textId="3C4AC58C" w:rsidR="00000E6E" w:rsidRPr="006B1E20" w:rsidRDefault="006B1E20" w:rsidP="00306E72">
            <w:pPr>
              <w:rPr>
                <w:szCs w:val="22"/>
              </w:rPr>
            </w:pPr>
            <w:r w:rsidRPr="006B1E20">
              <w:t xml:space="preserve">Studies in animals have not shown evidence of an increased occurrence of </w:t>
            </w:r>
            <w:proofErr w:type="spellStart"/>
            <w:r w:rsidRPr="006B1E20">
              <w:t>fetal</w:t>
            </w:r>
            <w:proofErr w:type="spellEnd"/>
            <w:r w:rsidRPr="006B1E20">
              <w:t xml:space="preserve"> damage. </w:t>
            </w:r>
          </w:p>
          <w:p w14:paraId="76497789" w14:textId="634DC28C" w:rsidR="0017005C" w:rsidRPr="00BD5DBD" w:rsidRDefault="0070330F" w:rsidP="00306E72">
            <w:pPr>
              <w:rPr>
                <w:szCs w:val="22"/>
              </w:rPr>
            </w:pPr>
            <w:r w:rsidRPr="00BD5DBD">
              <w:rPr>
                <w:szCs w:val="22"/>
              </w:rPr>
              <w:t xml:space="preserve">The use of any medicine during pregnancy requires careful consideration of both risks and benefits by the treating health professional. </w:t>
            </w:r>
            <w:r w:rsidR="00721059">
              <w:rPr>
                <w:szCs w:val="22"/>
              </w:rPr>
              <w:t xml:space="preserve">The </w:t>
            </w:r>
            <w:hyperlink r:id="rId21" w:history="1">
              <w:r w:rsidR="00721059" w:rsidRPr="00065FDF">
                <w:rPr>
                  <w:rStyle w:val="Hyperlink"/>
                  <w:szCs w:val="22"/>
                </w:rPr>
                <w:t>pregnancy database</w:t>
              </w:r>
            </w:hyperlink>
            <w:r w:rsidR="00387984">
              <w:t xml:space="preserve"> </w:t>
            </w:r>
            <w:r w:rsidRPr="00BD5DBD">
              <w:rPr>
                <w:szCs w:val="22"/>
              </w:rPr>
              <w:t xml:space="preserve">must not be used as the sole basis of decision making in the use of medicines during pregnancy. The TGA does not provide advice on the use of medicines in pregnancy for specific cases. More information is </w:t>
            </w:r>
            <w:r w:rsidRPr="00BD5DBD">
              <w:rPr>
                <w:szCs w:val="22"/>
              </w:rPr>
              <w:lastRenderedPageBreak/>
              <w:t xml:space="preserve">available from </w:t>
            </w:r>
            <w:hyperlink r:id="rId22" w:history="1">
              <w:r w:rsidRPr="00C059D0">
                <w:rPr>
                  <w:rStyle w:val="Hyperlink"/>
                  <w:szCs w:val="22"/>
                </w:rPr>
                <w:t>obstetric drug information services</w:t>
              </w:r>
            </w:hyperlink>
            <w:r w:rsidRPr="00BD5DBD">
              <w:rPr>
                <w:szCs w:val="22"/>
              </w:rPr>
              <w:t xml:space="preserve"> in your </w:t>
            </w:r>
            <w:r w:rsidR="00306E72">
              <w:rPr>
                <w:szCs w:val="22"/>
              </w:rPr>
              <w:t>s</w:t>
            </w:r>
            <w:r w:rsidRPr="00BD5DBD">
              <w:rPr>
                <w:szCs w:val="22"/>
              </w:rPr>
              <w:t xml:space="preserve">tate or </w:t>
            </w:r>
            <w:r w:rsidR="00306E72">
              <w:rPr>
                <w:szCs w:val="22"/>
              </w:rPr>
              <w:t>t</w:t>
            </w:r>
            <w:r w:rsidRPr="00BD5DBD">
              <w:rPr>
                <w:szCs w:val="22"/>
              </w:rPr>
              <w:t>erritory.</w:t>
            </w:r>
          </w:p>
        </w:tc>
      </w:tr>
    </w:tbl>
    <w:p w14:paraId="51F2479F" w14:textId="582B4A86" w:rsidR="00324B33" w:rsidRDefault="00324B33" w:rsidP="00324B33">
      <w:pPr>
        <w:pStyle w:val="Heading3"/>
      </w:pPr>
      <w:bookmarkStart w:id="11" w:name="_Toc247691503"/>
      <w:bookmarkStart w:id="12" w:name="_Toc314842484"/>
      <w:bookmarkStart w:id="13" w:name="_Toc103679290"/>
      <w:bookmarkStart w:id="14" w:name="_Toc215749763"/>
      <w:r>
        <w:lastRenderedPageBreak/>
        <w:t>Product background</w:t>
      </w:r>
      <w:bookmarkEnd w:id="11"/>
      <w:bookmarkEnd w:id="12"/>
      <w:bookmarkEnd w:id="13"/>
      <w:bookmarkEnd w:id="14"/>
    </w:p>
    <w:p w14:paraId="59BF31D1" w14:textId="39F4EF4E" w:rsidR="001500A8" w:rsidRDefault="00324B33" w:rsidP="00065839">
      <w:r w:rsidRPr="00065839">
        <w:t xml:space="preserve">This </w:t>
      </w:r>
      <w:proofErr w:type="spellStart"/>
      <w:r w:rsidRPr="00065839">
        <w:t>AusPAR</w:t>
      </w:r>
      <w:proofErr w:type="spellEnd"/>
      <w:r w:rsidRPr="00065839">
        <w:t xml:space="preserve"> describes the submission by </w:t>
      </w:r>
      <w:r w:rsidR="004A5B6E" w:rsidRPr="004A5B6E">
        <w:t>PTC Therapeutics Australia Pty Limited</w:t>
      </w:r>
      <w:r w:rsidRPr="00065839">
        <w:t xml:space="preserve"> (the </w:t>
      </w:r>
      <w:r w:rsidR="00DD1733">
        <w:t>Sponsor</w:t>
      </w:r>
      <w:r w:rsidRPr="00065839">
        <w:t xml:space="preserve">) to register </w:t>
      </w:r>
      <w:proofErr w:type="spellStart"/>
      <w:r w:rsidR="004A5B6E" w:rsidRPr="004A5B6E">
        <w:t>Sephience</w:t>
      </w:r>
      <w:proofErr w:type="spellEnd"/>
      <w:r w:rsidRPr="00065839">
        <w:t xml:space="preserve"> (</w:t>
      </w:r>
      <w:proofErr w:type="spellStart"/>
      <w:r w:rsidR="004A5B6E" w:rsidRPr="004A5B6E">
        <w:t>sepiapterin</w:t>
      </w:r>
      <w:proofErr w:type="spellEnd"/>
      <w:r w:rsidRPr="00065839">
        <w:t>) for the following proposed indication</w:t>
      </w:r>
      <w:r w:rsidR="00D63760" w:rsidRPr="00065839">
        <w:rPr>
          <w:vertAlign w:val="superscript"/>
        </w:rPr>
        <w:footnoteReference w:id="1"/>
      </w:r>
    </w:p>
    <w:p w14:paraId="3FD37176" w14:textId="0909FB80" w:rsidR="00382E31" w:rsidRPr="00AC762A" w:rsidRDefault="00382E31" w:rsidP="00AC762A">
      <w:pPr>
        <w:ind w:left="720"/>
        <w:rPr>
          <w:i/>
          <w:iCs/>
        </w:rPr>
      </w:pPr>
      <w:r w:rsidRPr="00AC762A">
        <w:rPr>
          <w:i/>
          <w:iCs/>
        </w:rPr>
        <w:t xml:space="preserve">Treatment of </w:t>
      </w:r>
      <w:proofErr w:type="spellStart"/>
      <w:r w:rsidRPr="00AC762A">
        <w:rPr>
          <w:i/>
          <w:iCs/>
        </w:rPr>
        <w:t>hyperphenylalaninaemia</w:t>
      </w:r>
      <w:proofErr w:type="spellEnd"/>
      <w:r w:rsidRPr="00AC762A">
        <w:rPr>
          <w:i/>
          <w:iCs/>
        </w:rPr>
        <w:t xml:space="preserve"> in paediatric and adult patients with phenylketonuria</w:t>
      </w:r>
    </w:p>
    <w:p w14:paraId="1E63A2AE" w14:textId="09BF6A3F" w:rsidR="00CB6813" w:rsidRDefault="00005DFC" w:rsidP="00CB6813">
      <w:pPr>
        <w:pStyle w:val="Heading4"/>
      </w:pPr>
      <w:bookmarkStart w:id="15" w:name="_Toc215749764"/>
      <w:bookmarkStart w:id="16" w:name="_Toc314842485"/>
      <w:bookmarkStart w:id="17" w:name="_Toc247691504"/>
      <w:r>
        <w:t>D</w:t>
      </w:r>
      <w:r w:rsidR="00CB6813" w:rsidRPr="00C12D65">
        <w:t>isease</w:t>
      </w:r>
      <w:r w:rsidR="006428C5">
        <w:t xml:space="preserve"> or condition</w:t>
      </w:r>
      <w:bookmarkEnd w:id="15"/>
    </w:p>
    <w:p w14:paraId="6F030FB9" w14:textId="357051C2" w:rsidR="00EE3A8E" w:rsidRDefault="00EE3A8E" w:rsidP="00EE3A8E">
      <w:r>
        <w:t>Phenylketonuria (PKU) is a metabolic disorder resulting from accumulation of phenylalanine. It is an autosomal recessive inherited disorder (i.e. an inborn error of metabolism).</w:t>
      </w:r>
      <w:r w:rsidR="00A76D5E">
        <w:rPr>
          <w:rStyle w:val="FootnoteReference"/>
        </w:rPr>
        <w:footnoteReference w:id="2"/>
      </w:r>
      <w:r>
        <w:t xml:space="preserve"> It is caused by a deficiency in phenylalanine hydroxylase (PAH). Phenylalanine hydroxylase catalyses the hydroxylation of phenylalanine to tyrosine, the rate-limiting step in phenylalanine catabolism. The reaction is dependent on tetrahydrobiopterin (</w:t>
      </w:r>
      <w:proofErr w:type="spellStart"/>
      <w:r>
        <w:t>BH</w:t>
      </w:r>
      <w:r w:rsidRPr="00164ACA">
        <w:t>4</w:t>
      </w:r>
      <w:proofErr w:type="spellEnd"/>
      <w:r>
        <w:t>)</w:t>
      </w:r>
      <w:r w:rsidR="00A22E94">
        <w:t>,</w:t>
      </w:r>
      <w:r>
        <w:t xml:space="preserve"> as a cofactor, molecular oxygen, and iron.</w:t>
      </w:r>
    </w:p>
    <w:p w14:paraId="6B14402D" w14:textId="33D1C2FD" w:rsidR="00EE3A8E" w:rsidRDefault="00EE3A8E" w:rsidP="00EE3A8E">
      <w:r>
        <w:t>The incidence of PKU is 1 in 10,000 live births in Australia</w:t>
      </w:r>
      <w:r w:rsidR="00A03F0A">
        <w:t>.</w:t>
      </w:r>
      <w:r w:rsidR="00A03F0A">
        <w:rPr>
          <w:rStyle w:val="FootnoteReference"/>
        </w:rPr>
        <w:footnoteReference w:id="3"/>
      </w:r>
      <w:r>
        <w:t xml:space="preserve"> A more precise estimate of PKU prevalence in Australia is 1 in 1</w:t>
      </w:r>
      <w:r w:rsidR="00763A28">
        <w:t>,</w:t>
      </w:r>
      <w:r>
        <w:t>1236 individuals and 2,216 patients with PKU.</w:t>
      </w:r>
      <w:r w:rsidR="00CE1896">
        <w:rPr>
          <w:rStyle w:val="FootnoteReference"/>
        </w:rPr>
        <w:footnoteReference w:id="4"/>
      </w:r>
      <w:r>
        <w:t xml:space="preserve"> Around half of patients with PKU are </w:t>
      </w:r>
      <w:proofErr w:type="spellStart"/>
      <w:r>
        <w:t>BH</w:t>
      </w:r>
      <w:r w:rsidRPr="00164ACA">
        <w:t>4</w:t>
      </w:r>
      <w:proofErr w:type="spellEnd"/>
      <w:r>
        <w:t xml:space="preserve"> responsive, defined as a</w:t>
      </w:r>
      <w:r w:rsidR="00CE1896">
        <w:t xml:space="preserve"> </w:t>
      </w:r>
      <w:r>
        <w:t xml:space="preserve">≥30% reduction of blood </w:t>
      </w:r>
      <w:proofErr w:type="spellStart"/>
      <w:r>
        <w:t>Phe</w:t>
      </w:r>
      <w:proofErr w:type="spellEnd"/>
      <w:r>
        <w:t xml:space="preserve"> concentrations within 24</w:t>
      </w:r>
      <w:r w:rsidR="00133F04">
        <w:t>-</w:t>
      </w:r>
      <w:r>
        <w:t xml:space="preserve">48 h after the administration of </w:t>
      </w:r>
      <w:proofErr w:type="spellStart"/>
      <w:r>
        <w:t>BH</w:t>
      </w:r>
      <w:r w:rsidRPr="00164ACA">
        <w:t>4</w:t>
      </w:r>
      <w:proofErr w:type="spellEnd"/>
      <w:r>
        <w:t xml:space="preserve"> (20 mg/kg body weight)</w:t>
      </w:r>
      <w:r w:rsidR="00CE1896">
        <w:rPr>
          <w:rStyle w:val="FootnoteReference"/>
        </w:rPr>
        <w:footnoteReference w:id="5"/>
      </w:r>
      <w:r>
        <w:t>. In Australia</w:t>
      </w:r>
      <w:r w:rsidR="00133F04">
        <w:t>,</w:t>
      </w:r>
      <w:r>
        <w:t xml:space="preserve"> 80% of patients are classic PKU, 14.1% are mild PKU and 5.4% are mild </w:t>
      </w:r>
      <w:proofErr w:type="spellStart"/>
      <w:r>
        <w:t>hyperphenylalanin</w:t>
      </w:r>
      <w:r w:rsidR="00134762">
        <w:t>a</w:t>
      </w:r>
      <w:r>
        <w:t>emia</w:t>
      </w:r>
      <w:proofErr w:type="spellEnd"/>
      <w:r>
        <w:t>.</w:t>
      </w:r>
    </w:p>
    <w:p w14:paraId="02EEE048" w14:textId="11322D45" w:rsidR="00EE3A8E" w:rsidRDefault="00EE3A8E" w:rsidP="00EE3A8E">
      <w:r>
        <w:t xml:space="preserve">Individuals with classic PKU have residual </w:t>
      </w:r>
      <w:r w:rsidR="00134762">
        <w:t xml:space="preserve">PAH </w:t>
      </w:r>
      <w:r>
        <w:t xml:space="preserve">activity &lt;20%, and individuals with activity &gt;20% have mild PKU. Most variation in classical PKU is due to heterogeneity in the mutant alleles with many patients being compound heterozygotes rather than homozygotes for one </w:t>
      </w:r>
      <w:proofErr w:type="gramStart"/>
      <w:r>
        <w:t>particular mutant</w:t>
      </w:r>
      <w:proofErr w:type="gramEnd"/>
      <w:r>
        <w:t xml:space="preserve"> allele.</w:t>
      </w:r>
    </w:p>
    <w:p w14:paraId="3A7F46A0" w14:textId="7B9AC8AD" w:rsidR="00EE3A8E" w:rsidRDefault="00EE3A8E" w:rsidP="00EE3A8E">
      <w:r>
        <w:t xml:space="preserve">Normal mean (SD) blood phenylalanine concentrations are 58 (15) </w:t>
      </w:r>
      <w:proofErr w:type="spellStart"/>
      <w:r>
        <w:t>μmol</w:t>
      </w:r>
      <w:proofErr w:type="spellEnd"/>
      <w:r>
        <w:t>/L in adults, 60</w:t>
      </w:r>
      <w:r w:rsidR="001F7C5C">
        <w:t xml:space="preserve"> </w:t>
      </w:r>
      <w:r>
        <w:t xml:space="preserve">(13) </w:t>
      </w:r>
      <w:proofErr w:type="spellStart"/>
      <w:r>
        <w:t>μmol</w:t>
      </w:r>
      <w:proofErr w:type="spellEnd"/>
      <w:r>
        <w:t xml:space="preserve">/L in teenagers, and 62 (18) </w:t>
      </w:r>
      <w:proofErr w:type="spellStart"/>
      <w:r>
        <w:t>μmol</w:t>
      </w:r>
      <w:proofErr w:type="spellEnd"/>
      <w:r>
        <w:t xml:space="preserve">/L in childhood. In the newborn, the upper limit of normal is 120 </w:t>
      </w:r>
      <w:proofErr w:type="spellStart"/>
      <w:r>
        <w:t>μmol</w:t>
      </w:r>
      <w:proofErr w:type="spellEnd"/>
      <w:r>
        <w:t>/L (2 mg/d</w:t>
      </w:r>
      <w:r w:rsidR="009454D2">
        <w:t>L</w:t>
      </w:r>
      <w:r>
        <w:t>). In untreated classical PKU, blood concentrations as high as 2.4 mM</w:t>
      </w:r>
      <w:r w:rsidR="00513CBE">
        <w:t>/L</w:t>
      </w:r>
      <w:r>
        <w:t xml:space="preserve"> can be measured.</w:t>
      </w:r>
    </w:p>
    <w:p w14:paraId="0A65833F" w14:textId="6E8F7E04" w:rsidR="001F7C5C" w:rsidRDefault="00EE3A8E" w:rsidP="001F7C5C">
      <w:r>
        <w:t>If undiagnosed in infancy, progressive developmental delay is the most common manifestation, and in addition, untreated children in later infancy and childhood may also present with recurrent vomiting, mousy odour, eczema, seizures, severe behavioural disorders. Older children and adults who transition to a normal diet may develop poor</w:t>
      </w:r>
      <w:r w:rsidR="001F7C5C" w:rsidRPr="001F7C5C">
        <w:t xml:space="preserve"> </w:t>
      </w:r>
      <w:r w:rsidR="001F7C5C">
        <w:t xml:space="preserve">focus and deteriorating cognitive skills. These individuals may also have evidence of white matter changes visible on magnetic resonance </w:t>
      </w:r>
      <w:r w:rsidR="00583A7F">
        <w:t>imaging and</w:t>
      </w:r>
      <w:r w:rsidR="001F7C5C">
        <w:t xml:space="preserve"> may experience an intelligence quotient</w:t>
      </w:r>
      <w:r w:rsidR="009A5495">
        <w:t xml:space="preserve"> </w:t>
      </w:r>
      <w:r w:rsidR="001F7C5C">
        <w:t>decline of 10 points or more.</w:t>
      </w:r>
    </w:p>
    <w:p w14:paraId="7368C2DA" w14:textId="496FA4D5" w:rsidR="001F7C5C" w:rsidRDefault="001F7C5C" w:rsidP="001F7C5C">
      <w:r>
        <w:lastRenderedPageBreak/>
        <w:t>In Australia</w:t>
      </w:r>
      <w:r w:rsidR="00610772">
        <w:t>,</w:t>
      </w:r>
      <w:r>
        <w:t xml:space="preserve"> general guidelines include the following </w:t>
      </w:r>
      <w:proofErr w:type="gramStart"/>
      <w:r>
        <w:t>with regard to</w:t>
      </w:r>
      <w:proofErr w:type="gramEnd"/>
      <w:r>
        <w:t xml:space="preserve"> target phenylalanine concentrations:</w:t>
      </w:r>
      <w:r w:rsidR="003276B9">
        <w:rPr>
          <w:rStyle w:val="FootnoteReference"/>
        </w:rPr>
        <w:footnoteReference w:id="6"/>
      </w:r>
    </w:p>
    <w:p w14:paraId="15082387" w14:textId="460FF32D" w:rsidR="001F7C5C" w:rsidRDefault="001F7C5C" w:rsidP="003276B9">
      <w:pPr>
        <w:pStyle w:val="ListBullet"/>
      </w:pPr>
      <w:r>
        <w:t xml:space="preserve">most clinics agree that for children up to 12 years old, </w:t>
      </w:r>
      <w:proofErr w:type="spellStart"/>
      <w:r>
        <w:t>Phe</w:t>
      </w:r>
      <w:proofErr w:type="spellEnd"/>
      <w:r>
        <w:t xml:space="preserve"> concentrations should be 120–360 µmol/L</w:t>
      </w:r>
      <w:r w:rsidR="00504532">
        <w:t>.</w:t>
      </w:r>
    </w:p>
    <w:p w14:paraId="7447AF1B" w14:textId="7C1183BD" w:rsidR="001F7C5C" w:rsidRDefault="001F7C5C" w:rsidP="003276B9">
      <w:pPr>
        <w:pStyle w:val="ListBullet"/>
      </w:pPr>
      <w:r>
        <w:t xml:space="preserve">for children over 12 years old, teenagers and adults, an informed decision to accept </w:t>
      </w:r>
      <w:proofErr w:type="spellStart"/>
      <w:r>
        <w:t>Phe</w:t>
      </w:r>
      <w:proofErr w:type="spellEnd"/>
      <w:r>
        <w:t xml:space="preserve"> levels above 360 </w:t>
      </w:r>
      <w:r w:rsidR="00D77375">
        <w:t>µ</w:t>
      </w:r>
      <w:r>
        <w:t>mol/L may be appropriate in some cases. However, lower levels are preferable</w:t>
      </w:r>
      <w:r w:rsidR="00504532">
        <w:t>.</w:t>
      </w:r>
    </w:p>
    <w:p w14:paraId="7D15A06E" w14:textId="6E08791E" w:rsidR="001F7C5C" w:rsidRDefault="001F7C5C" w:rsidP="003276B9">
      <w:pPr>
        <w:pStyle w:val="ListBullet"/>
      </w:pPr>
      <w:r>
        <w:t xml:space="preserve">women planning a pregnancy or who are pregnant need to have </w:t>
      </w:r>
      <w:proofErr w:type="spellStart"/>
      <w:r>
        <w:t>Phe</w:t>
      </w:r>
      <w:proofErr w:type="spellEnd"/>
      <w:r>
        <w:t xml:space="preserve"> levels between 70 to 250 µmol/L to prevent injury to the foetus</w:t>
      </w:r>
      <w:r w:rsidR="00504532">
        <w:t>.</w:t>
      </w:r>
    </w:p>
    <w:p w14:paraId="7A865629" w14:textId="4ACAA6CB" w:rsidR="001F7C5C" w:rsidRDefault="001F7C5C" w:rsidP="00022213">
      <w:pPr>
        <w:pStyle w:val="Heading4"/>
      </w:pPr>
      <w:bookmarkStart w:id="18" w:name="_Toc215749765"/>
      <w:r>
        <w:t>Current treatment options</w:t>
      </w:r>
      <w:bookmarkEnd w:id="18"/>
    </w:p>
    <w:p w14:paraId="0EA45B75" w14:textId="2896B968" w:rsidR="001F7C5C" w:rsidRDefault="001F7C5C" w:rsidP="00AC762A">
      <w:r>
        <w:t xml:space="preserve">PKU is managed by restricting protein and phenylalanine intake, and with </w:t>
      </w:r>
      <w:proofErr w:type="spellStart"/>
      <w:r w:rsidR="00CE1F7A">
        <w:t>BH</w:t>
      </w:r>
      <w:r w:rsidR="00CE1F7A" w:rsidRPr="00353DB4">
        <w:t>4</w:t>
      </w:r>
      <w:proofErr w:type="spellEnd"/>
      <w:r>
        <w:t xml:space="preserve"> supplementation in those patients who are responsive</w:t>
      </w:r>
      <w:r w:rsidR="006748F8">
        <w:t>.</w:t>
      </w:r>
      <w:r w:rsidR="006748F8">
        <w:rPr>
          <w:rStyle w:val="FootnoteReference"/>
        </w:rPr>
        <w:footnoteReference w:id="7"/>
      </w:r>
      <w:r>
        <w:t xml:space="preserve"> This can be quite restrictive as phenylalanine is found in all proteins.</w:t>
      </w:r>
      <w:r w:rsidR="0067734B">
        <w:rPr>
          <w:rStyle w:val="FootnoteReference"/>
        </w:rPr>
        <w:footnoteReference w:id="8"/>
      </w:r>
      <w:r>
        <w:t xml:space="preserve"> Hence, the PKU diet consists of avoiding meat, dairy, nuts, tofu, and other foods that are high in protein. Infants with PKU need to be fed with a low-protein formula. Affected individuals are often limited to certain fruits and vegetables and foods containing fats and sugars (such as butter, jelly, pasta, and potato chips). The artificial sweeter aspartame, which is found in diet soda and many other low-calorie items, should be avoided as it contains high amounts of phenylalanine. The amount of phenylalanine that is safe to consume is different for each person. The diet should be overseen by a clinical dietitian </w:t>
      </w:r>
      <w:proofErr w:type="gramStart"/>
      <w:r>
        <w:t>in order to</w:t>
      </w:r>
      <w:proofErr w:type="gramEnd"/>
      <w:r>
        <w:t xml:space="preserve"> ensure adequate intake of nutrients including vitamins and minerals.</w:t>
      </w:r>
    </w:p>
    <w:p w14:paraId="52555505" w14:textId="687D3A1C" w:rsidR="001F7C5C" w:rsidRDefault="001F7C5C" w:rsidP="001F7C5C">
      <w:r>
        <w:t>On diagnosis, the diet should be devoid of phenylalanine to enable a washout period. Following the washout period</w:t>
      </w:r>
      <w:r w:rsidR="004A424A">
        <w:t>,</w:t>
      </w:r>
      <w:r>
        <w:t xml:space="preserve"> there should be sufficient phenylalanine in the diet to enable normal protein synthesis, but excess </w:t>
      </w:r>
      <w:proofErr w:type="spellStart"/>
      <w:r>
        <w:t>Phe</w:t>
      </w:r>
      <w:proofErr w:type="spellEnd"/>
      <w:r>
        <w:t xml:space="preserve"> should be avoided. Adherence to diet is usually adequate but non-adherence can result in cognitive impairment.</w:t>
      </w:r>
    </w:p>
    <w:p w14:paraId="2EAB7F87" w14:textId="77777777" w:rsidR="001F7C5C" w:rsidRDefault="001F7C5C" w:rsidP="001F7C5C">
      <w:r>
        <w:t>Other dietary modifications include supplementation with large neutral amino acids (</w:t>
      </w:r>
      <w:proofErr w:type="spellStart"/>
      <w:r>
        <w:t>LNAAs</w:t>
      </w:r>
      <w:proofErr w:type="spellEnd"/>
      <w:r>
        <w:t xml:space="preserve">) like arginine, histidine, isoleucine, lysine, methionine, threonine, tryptophan, tyrosine, and valine, which may compete with </w:t>
      </w:r>
      <w:proofErr w:type="spellStart"/>
      <w:r>
        <w:t>Phe</w:t>
      </w:r>
      <w:proofErr w:type="spellEnd"/>
      <w:r>
        <w:t xml:space="preserve"> for transport across the blood-brain barrier and reduce its influx into the brain.</w:t>
      </w:r>
    </w:p>
    <w:p w14:paraId="0448284D" w14:textId="77777777" w:rsidR="001F7C5C" w:rsidRDefault="001F7C5C" w:rsidP="001F7C5C">
      <w:r>
        <w:t xml:space="preserve">There are two medicines for the treatment of PKU that are approved on the </w:t>
      </w:r>
      <w:proofErr w:type="spellStart"/>
      <w:r>
        <w:t>ARTG</w:t>
      </w:r>
      <w:proofErr w:type="spellEnd"/>
      <w:r>
        <w:t>:</w:t>
      </w:r>
    </w:p>
    <w:p w14:paraId="06323E11" w14:textId="3790ADF2" w:rsidR="001F7C5C" w:rsidRDefault="001F7C5C" w:rsidP="00A5071C">
      <w:pPr>
        <w:pStyle w:val="ListBullet"/>
      </w:pPr>
      <w:proofErr w:type="spellStart"/>
      <w:r>
        <w:t>Sapropterin</w:t>
      </w:r>
      <w:proofErr w:type="spellEnd"/>
      <w:r>
        <w:t xml:space="preserve"> (</w:t>
      </w:r>
      <w:r w:rsidR="004A424A">
        <w:t>Kuvan</w:t>
      </w:r>
      <w:r>
        <w:t xml:space="preserve">): a synthetic formulation of </w:t>
      </w:r>
      <w:proofErr w:type="spellStart"/>
      <w:r>
        <w:t>BH</w:t>
      </w:r>
      <w:r w:rsidRPr="00651ADC">
        <w:t>4</w:t>
      </w:r>
      <w:proofErr w:type="spellEnd"/>
      <w:r>
        <w:t xml:space="preserve"> registered on the </w:t>
      </w:r>
      <w:proofErr w:type="spellStart"/>
      <w:r>
        <w:t>ARTG</w:t>
      </w:r>
      <w:proofErr w:type="spellEnd"/>
      <w:r>
        <w:t xml:space="preserve"> in</w:t>
      </w:r>
      <w:r w:rsidR="00A5071C">
        <w:t xml:space="preserve"> </w:t>
      </w:r>
      <w:r>
        <w:t>2018 for “the treatment of hyperphenylalaninemia (</w:t>
      </w:r>
      <w:proofErr w:type="spellStart"/>
      <w:r>
        <w:t>HPA</w:t>
      </w:r>
      <w:proofErr w:type="spellEnd"/>
      <w:r>
        <w:t xml:space="preserve">) in </w:t>
      </w:r>
      <w:proofErr w:type="spellStart"/>
      <w:r>
        <w:t>sapropterin</w:t>
      </w:r>
      <w:proofErr w:type="spellEnd"/>
      <w:r>
        <w:t xml:space="preserve">-responsive adult and paediatric patients with phenylketonuria (PKU) or </w:t>
      </w:r>
      <w:proofErr w:type="spellStart"/>
      <w:r>
        <w:t>BH4</w:t>
      </w:r>
      <w:proofErr w:type="spellEnd"/>
      <w:r>
        <w:t xml:space="preserve"> deficiency”.</w:t>
      </w:r>
    </w:p>
    <w:p w14:paraId="0DA10C40" w14:textId="349423DF" w:rsidR="00EE3A8E" w:rsidRPr="00EE3A8E" w:rsidRDefault="001F7C5C" w:rsidP="00A5071C">
      <w:pPr>
        <w:pStyle w:val="ListBullet"/>
      </w:pPr>
      <w:proofErr w:type="spellStart"/>
      <w:r>
        <w:t>Pegvaliase</w:t>
      </w:r>
      <w:proofErr w:type="spellEnd"/>
      <w:r>
        <w:t xml:space="preserve"> (P</w:t>
      </w:r>
      <w:r w:rsidR="004A424A">
        <w:t>al</w:t>
      </w:r>
      <w:r w:rsidR="00D762F7">
        <w:t>ynziq</w:t>
      </w:r>
      <w:r>
        <w:t xml:space="preserve">) is a subcutaneous injection of a pegylated recombinant phenylalanine ammonia lyase enzyme that converts phenylalanine to ammonia and cinnamic acid that are primarily eliminated by liver metabolism. </w:t>
      </w:r>
      <w:proofErr w:type="spellStart"/>
      <w:r>
        <w:t>Pegvaliase</w:t>
      </w:r>
      <w:proofErr w:type="spellEnd"/>
      <w:r>
        <w:t xml:space="preserve"> was registered in the </w:t>
      </w:r>
      <w:proofErr w:type="spellStart"/>
      <w:r>
        <w:t>ARTG</w:t>
      </w:r>
      <w:proofErr w:type="spellEnd"/>
      <w:r>
        <w:t xml:space="preserve"> in 2021 with the indication: “for the treatment of patients with phenylketonuria (PKU) aged 16 years and older who have inadequate blood</w:t>
      </w:r>
      <w:r w:rsidR="00A5071C">
        <w:t xml:space="preserve"> </w:t>
      </w:r>
      <w:r>
        <w:t>phenylalanine control despite prior management with available treatment options”.</w:t>
      </w:r>
    </w:p>
    <w:p w14:paraId="37C47E09" w14:textId="6D0400F1" w:rsidR="00CB6813" w:rsidRDefault="00CB6813" w:rsidP="00CB6813">
      <w:pPr>
        <w:pStyle w:val="Heading4"/>
      </w:pPr>
      <w:bookmarkStart w:id="19" w:name="_Toc215749766"/>
      <w:r>
        <w:lastRenderedPageBreak/>
        <w:t>C</w:t>
      </w:r>
      <w:r w:rsidRPr="00DE1344">
        <w:t>linical rational</w:t>
      </w:r>
      <w:r w:rsidR="0025785B">
        <w:t>e</w:t>
      </w:r>
      <w:bookmarkEnd w:id="19"/>
    </w:p>
    <w:p w14:paraId="409FB43D" w14:textId="77F9EBAC" w:rsidR="00E843D6" w:rsidRPr="00E843D6" w:rsidRDefault="00E843D6" w:rsidP="00E843D6">
      <w:proofErr w:type="spellStart"/>
      <w:r w:rsidRPr="00E843D6">
        <w:t>Sepiapterin</w:t>
      </w:r>
      <w:proofErr w:type="spellEnd"/>
      <w:r w:rsidRPr="00E843D6">
        <w:t xml:space="preserve"> acts as a chaperone</w:t>
      </w:r>
      <w:r w:rsidR="003E3791">
        <w:t xml:space="preserve">, </w:t>
      </w:r>
      <w:r w:rsidR="003E3791" w:rsidRPr="003E3791">
        <w:t>stabili</w:t>
      </w:r>
      <w:r w:rsidR="003E3791">
        <w:t>sing</w:t>
      </w:r>
      <w:r w:rsidR="003E3791" w:rsidRPr="003E3791">
        <w:t xml:space="preserve"> the misfolded PAH enzyme</w:t>
      </w:r>
      <w:r w:rsidR="00C71EE7">
        <w:t xml:space="preserve">. </w:t>
      </w:r>
      <w:proofErr w:type="spellStart"/>
      <w:r w:rsidR="00D762F7">
        <w:t>S</w:t>
      </w:r>
      <w:r w:rsidR="00C32EA6" w:rsidRPr="00C32EA6">
        <w:t>epiapterin</w:t>
      </w:r>
      <w:proofErr w:type="spellEnd"/>
      <w:r w:rsidR="00C32EA6" w:rsidRPr="00C32EA6">
        <w:t xml:space="preserve"> is </w:t>
      </w:r>
      <w:r w:rsidR="00D762F7">
        <w:t xml:space="preserve">also </w:t>
      </w:r>
      <w:r w:rsidR="00C32EA6" w:rsidRPr="00C32EA6">
        <w:t xml:space="preserve">a precursor to </w:t>
      </w:r>
      <w:proofErr w:type="spellStart"/>
      <w:r w:rsidR="00C32EA6" w:rsidRPr="00C32EA6">
        <w:t>BH</w:t>
      </w:r>
      <w:r w:rsidR="00C32EA6" w:rsidRPr="00651ADC">
        <w:t>4</w:t>
      </w:r>
      <w:proofErr w:type="spellEnd"/>
      <w:r w:rsidR="00C32EA6" w:rsidRPr="00C32EA6">
        <w:t>, a cofactor crucial for PAH enzyme's function.</w:t>
      </w:r>
      <w:r w:rsidR="00F732DF">
        <w:t xml:space="preserve"> </w:t>
      </w:r>
      <w:r w:rsidR="00A16147" w:rsidRPr="00A16147">
        <w:t xml:space="preserve">It is proposed that </w:t>
      </w:r>
      <w:proofErr w:type="spellStart"/>
      <w:r w:rsidR="00A16147" w:rsidRPr="00A16147">
        <w:t>sepiapterin</w:t>
      </w:r>
      <w:proofErr w:type="spellEnd"/>
      <w:r w:rsidR="00A16147" w:rsidRPr="00A16147">
        <w:t xml:space="preserve"> </w:t>
      </w:r>
      <w:proofErr w:type="gramStart"/>
      <w:r w:rsidR="00A16147" w:rsidRPr="00A16147">
        <w:t>is able to</w:t>
      </w:r>
      <w:proofErr w:type="gramEnd"/>
      <w:r w:rsidR="00A16147" w:rsidRPr="00A16147">
        <w:t xml:space="preserve"> effectively reduce blood </w:t>
      </w:r>
      <w:proofErr w:type="spellStart"/>
      <w:r w:rsidR="00A16147" w:rsidRPr="00A16147">
        <w:t>Phe</w:t>
      </w:r>
      <w:proofErr w:type="spellEnd"/>
      <w:r w:rsidR="00A16147" w:rsidRPr="00A16147">
        <w:t xml:space="preserve"> levels</w:t>
      </w:r>
      <w:r w:rsidR="00A16147">
        <w:t xml:space="preserve"> b</w:t>
      </w:r>
      <w:r w:rsidRPr="00E843D6">
        <w:t xml:space="preserve">y enhancing the conformational stability of misfolded PAH enzyme and increasing the intracellular concentrations of </w:t>
      </w:r>
      <w:proofErr w:type="spellStart"/>
      <w:r w:rsidRPr="00E843D6">
        <w:t>BH</w:t>
      </w:r>
      <w:r w:rsidRPr="00651ADC">
        <w:t>4</w:t>
      </w:r>
      <w:proofErr w:type="spellEnd"/>
      <w:r w:rsidR="00A16147">
        <w:t xml:space="preserve">. </w:t>
      </w:r>
    </w:p>
    <w:p w14:paraId="0D615854" w14:textId="4DA50494" w:rsidR="00324B33" w:rsidRPr="003F31A2" w:rsidRDefault="00324B33" w:rsidP="00324B33">
      <w:pPr>
        <w:pStyle w:val="Heading3"/>
      </w:pPr>
      <w:bookmarkStart w:id="20" w:name="_Toc103679291"/>
      <w:bookmarkStart w:id="21" w:name="_Toc215749767"/>
      <w:r>
        <w:t>Regulatory status</w:t>
      </w:r>
      <w:bookmarkEnd w:id="16"/>
      <w:bookmarkEnd w:id="17"/>
      <w:bookmarkEnd w:id="20"/>
      <w:bookmarkEnd w:id="21"/>
    </w:p>
    <w:p w14:paraId="72C889D6" w14:textId="4EAD7250" w:rsidR="0017005C" w:rsidRPr="00BD5DBD" w:rsidRDefault="0017005C" w:rsidP="00741AB9">
      <w:pPr>
        <w:pStyle w:val="Heading4"/>
      </w:pPr>
      <w:bookmarkStart w:id="22" w:name="_Toc215749768"/>
      <w:r w:rsidRPr="00BD5DBD">
        <w:t>Australian regulatory</w:t>
      </w:r>
      <w:r>
        <w:t xml:space="preserve"> sta</w:t>
      </w:r>
      <w:r w:rsidR="0025785B">
        <w:t>t</w:t>
      </w:r>
      <w:r>
        <w:t>us</w:t>
      </w:r>
      <w:bookmarkEnd w:id="22"/>
    </w:p>
    <w:p w14:paraId="6A8633FA" w14:textId="6F074B04" w:rsidR="00324B33" w:rsidRDefault="00324B33" w:rsidP="00324B33">
      <w:pPr>
        <w:rPr>
          <w:szCs w:val="22"/>
        </w:rPr>
      </w:pPr>
      <w:r w:rsidRPr="00BD5DBD">
        <w:rPr>
          <w:szCs w:val="22"/>
        </w:rPr>
        <w:t>This product is considered a new chemical</w:t>
      </w:r>
      <w:r w:rsidR="008C754C" w:rsidRPr="00BD5DBD">
        <w:rPr>
          <w:szCs w:val="22"/>
        </w:rPr>
        <w:t xml:space="preserve"> entity</w:t>
      </w:r>
      <w:r w:rsidRPr="00BD5DBD">
        <w:rPr>
          <w:szCs w:val="22"/>
        </w:rPr>
        <w:t xml:space="preserve"> for Australian regulatory purposes.</w:t>
      </w:r>
      <w:r w:rsidR="00F732DF">
        <w:rPr>
          <w:szCs w:val="22"/>
        </w:rPr>
        <w:t xml:space="preserve"> </w:t>
      </w:r>
      <w:proofErr w:type="spellStart"/>
      <w:r w:rsidR="00631915">
        <w:rPr>
          <w:szCs w:val="22"/>
        </w:rPr>
        <w:t>Sephience</w:t>
      </w:r>
      <w:proofErr w:type="spellEnd"/>
      <w:r w:rsidR="00631915">
        <w:rPr>
          <w:szCs w:val="22"/>
        </w:rPr>
        <w:t xml:space="preserve"> was granted orphan status on </w:t>
      </w:r>
      <w:r w:rsidR="000947E0">
        <w:rPr>
          <w:szCs w:val="22"/>
        </w:rPr>
        <w:t>28 May 2025.</w:t>
      </w:r>
    </w:p>
    <w:p w14:paraId="546C1031" w14:textId="05D5BE22" w:rsidR="0017005C" w:rsidRDefault="00131B1B" w:rsidP="0017005C">
      <w:pPr>
        <w:pStyle w:val="Heading4"/>
      </w:pPr>
      <w:bookmarkStart w:id="23" w:name="_Toc215749769"/>
      <w:r>
        <w:t xml:space="preserve">International </w:t>
      </w:r>
      <w:r w:rsidR="0017005C" w:rsidRPr="00BD5DBD">
        <w:t>regulatory</w:t>
      </w:r>
      <w:r w:rsidR="0017005C">
        <w:t xml:space="preserve"> status</w:t>
      </w:r>
      <w:bookmarkEnd w:id="23"/>
    </w:p>
    <w:p w14:paraId="19B9E0AC" w14:textId="73EBE48E" w:rsidR="00324B33" w:rsidRDefault="008F4A62" w:rsidP="00762ECE">
      <w:pPr>
        <w:rPr>
          <w:szCs w:val="22"/>
        </w:rPr>
      </w:pPr>
      <w:r w:rsidRPr="00BD5DBD">
        <w:rPr>
          <w:szCs w:val="22"/>
        </w:rPr>
        <w:t xml:space="preserve">At the time the TGA considered this submission, a similar submission had been </w:t>
      </w:r>
      <w:r>
        <w:rPr>
          <w:szCs w:val="22"/>
        </w:rPr>
        <w:t>considered by other regulatory agencies.</w:t>
      </w:r>
    </w:p>
    <w:p w14:paraId="12B7894B" w14:textId="1A9F5D76" w:rsidR="00DF73C2" w:rsidRDefault="00D974CF" w:rsidP="00D974CF">
      <w:r>
        <w:t xml:space="preserve">In April 2025 the European Medicines Agency adopted a positive opinion recommending marketing authorisation of </w:t>
      </w:r>
      <w:proofErr w:type="spellStart"/>
      <w:r>
        <w:t>Sephience</w:t>
      </w:r>
      <w:proofErr w:type="spellEnd"/>
      <w:r>
        <w:t xml:space="preserve"> for the indication of</w:t>
      </w:r>
      <w:r w:rsidR="00DF73C2">
        <w:t>:</w:t>
      </w:r>
    </w:p>
    <w:p w14:paraId="7B5D24D1" w14:textId="03015987" w:rsidR="00D974CF" w:rsidRPr="00AC762A" w:rsidRDefault="00D974CF" w:rsidP="00AC762A">
      <w:pPr>
        <w:ind w:left="720"/>
        <w:rPr>
          <w:i/>
          <w:iCs/>
        </w:rPr>
      </w:pPr>
      <w:proofErr w:type="spellStart"/>
      <w:r w:rsidRPr="00AC762A">
        <w:rPr>
          <w:i/>
          <w:iCs/>
        </w:rPr>
        <w:t>Sephience</w:t>
      </w:r>
      <w:proofErr w:type="spellEnd"/>
      <w:r w:rsidRPr="00AC762A">
        <w:rPr>
          <w:i/>
          <w:iCs/>
        </w:rPr>
        <w:t xml:space="preserve"> is indicated for the treatment of </w:t>
      </w:r>
      <w:proofErr w:type="spellStart"/>
      <w:r w:rsidRPr="00AC762A">
        <w:rPr>
          <w:i/>
          <w:iCs/>
        </w:rPr>
        <w:t>hyperphenylalaninaemia</w:t>
      </w:r>
      <w:proofErr w:type="spellEnd"/>
      <w:r w:rsidRPr="00AC762A">
        <w:rPr>
          <w:i/>
          <w:iCs/>
        </w:rPr>
        <w:t xml:space="preserve"> (</w:t>
      </w:r>
      <w:proofErr w:type="spellStart"/>
      <w:r w:rsidRPr="00AC762A">
        <w:rPr>
          <w:i/>
          <w:iCs/>
        </w:rPr>
        <w:t>HPA</w:t>
      </w:r>
      <w:proofErr w:type="spellEnd"/>
      <w:r w:rsidRPr="00AC762A">
        <w:rPr>
          <w:i/>
          <w:iCs/>
        </w:rPr>
        <w:t>) in adult and paediatric patients with phenylketonuria (PKU).</w:t>
      </w:r>
    </w:p>
    <w:p w14:paraId="3F5A6FA5" w14:textId="3CE92848" w:rsidR="00D974CF" w:rsidRDefault="00D974CF" w:rsidP="00D974CF">
      <w:r>
        <w:t xml:space="preserve">The </w:t>
      </w:r>
      <w:r w:rsidR="00DD1733">
        <w:t>Sponsor</w:t>
      </w:r>
      <w:r>
        <w:t xml:space="preserve"> submitted similar applications in </w:t>
      </w:r>
      <w:r w:rsidR="0043291E">
        <w:t xml:space="preserve">Canada, </w:t>
      </w:r>
      <w:r>
        <w:t>the US</w:t>
      </w:r>
      <w:r w:rsidR="00691250">
        <w:t xml:space="preserve"> </w:t>
      </w:r>
      <w:r>
        <w:t xml:space="preserve">and Switzerland in </w:t>
      </w:r>
      <w:r w:rsidR="0043291E">
        <w:t xml:space="preserve">June and </w:t>
      </w:r>
      <w:r>
        <w:t>July 2024.</w:t>
      </w:r>
    </w:p>
    <w:p w14:paraId="0B79E164" w14:textId="40A53D8E" w:rsidR="00D974CF" w:rsidRDefault="00D974CF" w:rsidP="00D974CF">
      <w:r>
        <w:t xml:space="preserve">The </w:t>
      </w:r>
      <w:r w:rsidR="00DD1733">
        <w:t>Sponsor</w:t>
      </w:r>
      <w:r>
        <w:t xml:space="preserve"> stated that no similar application has been rejected, withdrawn or deferred in any region or country.</w:t>
      </w:r>
    </w:p>
    <w:p w14:paraId="5DC861A3" w14:textId="77777777" w:rsidR="00D974CF" w:rsidRDefault="00D974CF" w:rsidP="00D974CF">
      <w:proofErr w:type="spellStart"/>
      <w:r>
        <w:t>Sepiapterin</w:t>
      </w:r>
      <w:proofErr w:type="spellEnd"/>
      <w:r>
        <w:t xml:space="preserve"> was granted Orphan Drug Designation for the treatment of hyperphenylalaninemia in the US on 4 March 2021, the EU on 20 May 2021, and Switzerland on 15 May 2024.</w:t>
      </w:r>
    </w:p>
    <w:p w14:paraId="5813AE2F" w14:textId="6B569FC6" w:rsidR="00762ECE" w:rsidRDefault="00D974CF" w:rsidP="00D974CF">
      <w:r>
        <w:t>Priority review status was granted in Canada on 2 May 2024 (Priority Evaluation), and Switzerland on 5 June 2024 (Fast Track Authorisation Procedure).</w:t>
      </w:r>
    </w:p>
    <w:p w14:paraId="6D92589C" w14:textId="2B648FCB" w:rsidR="00324B33" w:rsidRDefault="00324B33" w:rsidP="00324B33">
      <w:pPr>
        <w:pStyle w:val="Heading2"/>
      </w:pPr>
      <w:bookmarkStart w:id="24" w:name="_Toc504480011"/>
      <w:bookmarkStart w:id="25" w:name="_Toc103679293"/>
      <w:bookmarkStart w:id="26" w:name="_Toc215749770"/>
      <w:r>
        <w:t>Registration timeline</w:t>
      </w:r>
      <w:bookmarkEnd w:id="24"/>
      <w:bookmarkEnd w:id="25"/>
      <w:bookmarkEnd w:id="26"/>
    </w:p>
    <w:p w14:paraId="225E3D87" w14:textId="33A8A242" w:rsidR="00324B33" w:rsidRPr="00BD5DBD" w:rsidRDefault="00413455" w:rsidP="00324B33">
      <w:pPr>
        <w:rPr>
          <w:szCs w:val="22"/>
        </w:rPr>
      </w:pPr>
      <w:r>
        <w:rPr>
          <w:szCs w:val="22"/>
        </w:rPr>
        <w:t>Table 1</w:t>
      </w:r>
      <w:r w:rsidR="00324B33" w:rsidRPr="00BD5DBD">
        <w:rPr>
          <w:szCs w:val="22"/>
        </w:rPr>
        <w:t xml:space="preserve"> captures the key steps and dates for this submission.</w:t>
      </w:r>
    </w:p>
    <w:p w14:paraId="6BB76942" w14:textId="49C62989" w:rsidR="00477C4E" w:rsidRPr="00BD5DBD" w:rsidRDefault="00477C4E" w:rsidP="00324B33">
      <w:pPr>
        <w:rPr>
          <w:szCs w:val="22"/>
        </w:rPr>
      </w:pPr>
      <w:r w:rsidRPr="00BD5DBD">
        <w:rPr>
          <w:szCs w:val="22"/>
        </w:rPr>
        <w:t xml:space="preserve">This submission was evaluated under the </w:t>
      </w:r>
      <w:hyperlink r:id="rId23" w:history="1">
        <w:r w:rsidRPr="00BD5DBD">
          <w:rPr>
            <w:rStyle w:val="Hyperlink"/>
            <w:szCs w:val="22"/>
          </w:rPr>
          <w:t>standard prescription medicines registration process</w:t>
        </w:r>
      </w:hyperlink>
      <w:r w:rsidRPr="00BD5DBD">
        <w:rPr>
          <w:szCs w:val="22"/>
        </w:rPr>
        <w:t>.</w:t>
      </w:r>
    </w:p>
    <w:p w14:paraId="44628C5F" w14:textId="5452D1B2" w:rsidR="00324B33" w:rsidRDefault="00324B33" w:rsidP="002C1232">
      <w:pPr>
        <w:pStyle w:val="TableTitle"/>
      </w:pPr>
      <w:r w:rsidRPr="002C1232">
        <w:t>Table</w:t>
      </w:r>
      <w:r w:rsidR="00413455">
        <w:t xml:space="preserve"> 1</w:t>
      </w:r>
      <w:r w:rsidRPr="002C1232">
        <w:t xml:space="preserve">: Timeline for </w:t>
      </w:r>
      <w:proofErr w:type="spellStart"/>
      <w:r w:rsidR="00163E3D">
        <w:t>Sephience</w:t>
      </w:r>
      <w:proofErr w:type="spellEnd"/>
      <w:r w:rsidR="00163E3D">
        <w:t>, s</w:t>
      </w:r>
      <w:r w:rsidRPr="002C1232">
        <w:t xml:space="preserve">ubmission </w:t>
      </w:r>
      <w:r w:rsidR="00163E3D" w:rsidRPr="00163E3D">
        <w:t>PM-2024-02536-1-3</w:t>
      </w:r>
      <w:r w:rsidR="00163E3D">
        <w:t xml:space="preserve">. </w:t>
      </w:r>
    </w:p>
    <w:tbl>
      <w:tblPr>
        <w:tblStyle w:val="TableTGAblue2023"/>
        <w:tblW w:w="8642" w:type="dxa"/>
        <w:tblLook w:val="04A0" w:firstRow="1" w:lastRow="0" w:firstColumn="1" w:lastColumn="0" w:noHBand="0" w:noVBand="1"/>
      </w:tblPr>
      <w:tblGrid>
        <w:gridCol w:w="5665"/>
        <w:gridCol w:w="2977"/>
      </w:tblGrid>
      <w:tr w:rsidR="00324B33" w:rsidRPr="00D01DDB" w14:paraId="6C59BE9C" w14:textId="77777777" w:rsidTr="000D7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6D80E78" w14:textId="3EC0CCAF" w:rsidR="00324B33" w:rsidRPr="00D01DDB" w:rsidRDefault="00324B33" w:rsidP="00324B33">
            <w:pPr>
              <w:rPr>
                <w:szCs w:val="22"/>
              </w:rPr>
            </w:pPr>
            <w:r w:rsidRPr="00D01DDB">
              <w:rPr>
                <w:szCs w:val="22"/>
              </w:rPr>
              <w:t>Description</w:t>
            </w:r>
          </w:p>
        </w:tc>
        <w:tc>
          <w:tcPr>
            <w:tcW w:w="2977"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1398460B"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1106CC1E" w14:textId="56269E33" w:rsidR="00324B33" w:rsidRPr="00E679D1" w:rsidRDefault="00324B33" w:rsidP="00E679D1">
            <w:r w:rsidRPr="00E679D1">
              <w:t>Designation (Orphan)</w:t>
            </w:r>
          </w:p>
        </w:tc>
        <w:tc>
          <w:tcPr>
            <w:tcW w:w="2977" w:type="dxa"/>
          </w:tcPr>
          <w:p w14:paraId="4CD143CF" w14:textId="0A10A2A1" w:rsidR="00324B33" w:rsidRPr="00D01DDB" w:rsidRDefault="00802E03" w:rsidP="00324B33">
            <w:pPr>
              <w:cnfStyle w:val="000000000000" w:firstRow="0" w:lastRow="0" w:firstColumn="0" w:lastColumn="0" w:oddVBand="0" w:evenVBand="0" w:oddHBand="0" w:evenHBand="0" w:firstRowFirstColumn="0" w:firstRowLastColumn="0" w:lastRowFirstColumn="0" w:lastRowLastColumn="0"/>
              <w:rPr>
                <w:szCs w:val="22"/>
              </w:rPr>
            </w:pPr>
            <w:r w:rsidRPr="00802E03">
              <w:rPr>
                <w:szCs w:val="22"/>
              </w:rPr>
              <w:t>28 May 2025</w:t>
            </w:r>
          </w:p>
        </w:tc>
      </w:tr>
      <w:tr w:rsidR="00324B33" w:rsidRPr="00D01DDB" w14:paraId="23610C53"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59D2A12" w14:textId="0D705F83" w:rsidR="00324B33" w:rsidRPr="00E679D1" w:rsidRDefault="00324B33" w:rsidP="00E679D1">
            <w:r w:rsidRPr="00E679D1">
              <w:t>Submission dossier accepted and first round evaluation commenced</w:t>
            </w:r>
          </w:p>
        </w:tc>
        <w:tc>
          <w:tcPr>
            <w:tcW w:w="2977" w:type="dxa"/>
          </w:tcPr>
          <w:p w14:paraId="2963D9D8" w14:textId="1831ABAE" w:rsidR="00324B33" w:rsidRPr="00D01DDB" w:rsidRDefault="00683263"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31 July 2024</w:t>
            </w:r>
          </w:p>
        </w:tc>
      </w:tr>
      <w:tr w:rsidR="00803926" w:rsidRPr="00D01DDB" w14:paraId="16D13F79"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6858B45A" w14:textId="615A218B" w:rsidR="00803926" w:rsidRPr="00E679D1" w:rsidDel="00C62B1C" w:rsidRDefault="00803926" w:rsidP="00E679D1">
            <w:r>
              <w:t>Evaluation completed</w:t>
            </w:r>
            <w:r w:rsidR="005775D0">
              <w:t xml:space="preserve"> (End of round </w:t>
            </w:r>
            <w:r w:rsidR="00C00844">
              <w:t>2)</w:t>
            </w:r>
          </w:p>
        </w:tc>
        <w:tc>
          <w:tcPr>
            <w:tcW w:w="2977" w:type="dxa"/>
          </w:tcPr>
          <w:p w14:paraId="2E0BD403" w14:textId="798D12C8" w:rsidR="00803926" w:rsidRPr="00D01DDB" w:rsidRDefault="00683263"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17 April 2025</w:t>
            </w:r>
          </w:p>
        </w:tc>
      </w:tr>
      <w:tr w:rsidR="00324B33" w:rsidRPr="00D01DDB" w14:paraId="5754F7AC"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89DE187" w14:textId="438F4A68" w:rsidR="00324B33" w:rsidRPr="00E679D1" w:rsidRDefault="00324B33" w:rsidP="00E679D1">
            <w:r w:rsidRPr="00E679D1">
              <w:t xml:space="preserve">Advisory </w:t>
            </w:r>
            <w:r w:rsidR="00F8568E">
              <w:t>c</w:t>
            </w:r>
            <w:r w:rsidRPr="00E679D1">
              <w:t>ommittee meeting</w:t>
            </w:r>
          </w:p>
        </w:tc>
        <w:tc>
          <w:tcPr>
            <w:tcW w:w="2977" w:type="dxa"/>
          </w:tcPr>
          <w:p w14:paraId="5BE1EDE7" w14:textId="38A5614B" w:rsidR="00324B33" w:rsidRPr="00D01DDB" w:rsidRDefault="006714F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June 2025</w:t>
            </w:r>
          </w:p>
        </w:tc>
      </w:tr>
      <w:tr w:rsidR="00324B33" w:rsidRPr="00D01DDB" w14:paraId="6E5D32FE"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4E95C44C" w14:textId="7A91C710" w:rsidR="00324B33" w:rsidRPr="00E679D1" w:rsidRDefault="00324B33" w:rsidP="00E679D1">
            <w:r w:rsidRPr="00E679D1">
              <w:t>Registration decision (Outcome)</w:t>
            </w:r>
          </w:p>
        </w:tc>
        <w:tc>
          <w:tcPr>
            <w:tcW w:w="2977" w:type="dxa"/>
          </w:tcPr>
          <w:p w14:paraId="62987ABD" w14:textId="520D39FB" w:rsidR="00324B33" w:rsidRPr="00D01DDB" w:rsidRDefault="006714F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14 July 2025</w:t>
            </w:r>
          </w:p>
        </w:tc>
      </w:tr>
      <w:tr w:rsidR="00324B33" w:rsidRPr="00D01DDB" w14:paraId="6DDCDDA4"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192FD19D" w14:textId="34167599" w:rsidR="00324B33" w:rsidRPr="00E679D1" w:rsidRDefault="0013132F" w:rsidP="007311B9">
            <w:pPr>
              <w:ind w:left="0"/>
            </w:pPr>
            <w:r w:rsidRPr="00E679D1">
              <w:lastRenderedPageBreak/>
              <w:t xml:space="preserve"> </w:t>
            </w:r>
            <w:r w:rsidR="00683263">
              <w:t xml:space="preserve"> </w:t>
            </w:r>
            <w:r w:rsidR="00C00844">
              <w:t>R</w:t>
            </w:r>
            <w:r w:rsidRPr="00E679D1">
              <w:t xml:space="preserve">egistration </w:t>
            </w:r>
            <w:r w:rsidR="005C4B46" w:rsidRPr="00E679D1">
              <w:t xml:space="preserve">in </w:t>
            </w:r>
            <w:r w:rsidRPr="00E679D1">
              <w:t xml:space="preserve">the </w:t>
            </w:r>
            <w:proofErr w:type="spellStart"/>
            <w:r w:rsidRPr="00E679D1">
              <w:t>ARTG</w:t>
            </w:r>
            <w:proofErr w:type="spellEnd"/>
            <w:r w:rsidRPr="00E679D1">
              <w:t xml:space="preserve"> completed</w:t>
            </w:r>
          </w:p>
        </w:tc>
        <w:tc>
          <w:tcPr>
            <w:tcW w:w="2977" w:type="dxa"/>
          </w:tcPr>
          <w:p w14:paraId="5A8923FD" w14:textId="32EEC562" w:rsidR="00324B33" w:rsidRPr="00D01DDB" w:rsidRDefault="006714F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17 July 2025</w:t>
            </w:r>
          </w:p>
        </w:tc>
      </w:tr>
      <w:tr w:rsidR="00324B33" w:rsidRPr="00D01DDB" w14:paraId="56D922E2" w14:textId="77777777" w:rsidTr="000D78EC">
        <w:tc>
          <w:tcPr>
            <w:cnfStyle w:val="001000000000" w:firstRow="0" w:lastRow="0" w:firstColumn="1" w:lastColumn="0" w:oddVBand="0" w:evenVBand="0" w:oddHBand="0" w:evenHBand="0" w:firstRowFirstColumn="0" w:firstRowLastColumn="0" w:lastRowFirstColumn="0" w:lastRowLastColumn="0"/>
            <w:tcW w:w="5665" w:type="dxa"/>
          </w:tcPr>
          <w:p w14:paraId="787FD8DD" w14:textId="0E0CF97F" w:rsidR="00324B33" w:rsidRPr="00E679D1" w:rsidRDefault="00324B33" w:rsidP="00E679D1">
            <w:r w:rsidRPr="00E679D1">
              <w:t>Number of working days from submission dossier acceptance to registration decision*</w:t>
            </w:r>
          </w:p>
        </w:tc>
        <w:tc>
          <w:tcPr>
            <w:tcW w:w="2977" w:type="dxa"/>
          </w:tcPr>
          <w:p w14:paraId="5BAF9FA1" w14:textId="63DFCCD2" w:rsidR="00324B33" w:rsidRPr="00D01DDB" w:rsidRDefault="00394015"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195</w:t>
            </w:r>
          </w:p>
        </w:tc>
      </w:tr>
    </w:tbl>
    <w:p w14:paraId="7B02554C" w14:textId="77777777" w:rsidR="00433318" w:rsidRDefault="00433318" w:rsidP="00433318">
      <w:pPr>
        <w:pStyle w:val="TableDescription"/>
      </w:pPr>
      <w:r>
        <w:t>*</w:t>
      </w:r>
      <w:r w:rsidRPr="00BF3774">
        <w:t xml:space="preserve">Statutory </w:t>
      </w:r>
      <w:r>
        <w:t>timeframe for standard submissions is 255 working days</w:t>
      </w:r>
    </w:p>
    <w:p w14:paraId="220925F1" w14:textId="4BED2B5C" w:rsidR="00C22214" w:rsidRPr="00792A32" w:rsidRDefault="00083763" w:rsidP="00C22214">
      <w:pPr>
        <w:pStyle w:val="Heading2"/>
      </w:pPr>
      <w:bookmarkStart w:id="27" w:name="_Toc196046504"/>
      <w:bookmarkStart w:id="28" w:name="_Toc247691527"/>
      <w:bookmarkStart w:id="29" w:name="_Toc314842510"/>
      <w:bookmarkStart w:id="30" w:name="_Toc103679294"/>
      <w:bookmarkStart w:id="31" w:name="_Toc215749771"/>
      <w:r>
        <w:t xml:space="preserve">Assessment </w:t>
      </w:r>
      <w:r w:rsidR="00C22214" w:rsidRPr="00006FAB">
        <w:t>overview</w:t>
      </w:r>
      <w:bookmarkEnd w:id="27"/>
      <w:bookmarkEnd w:id="28"/>
      <w:bookmarkEnd w:id="29"/>
      <w:bookmarkEnd w:id="30"/>
      <w:bookmarkEnd w:id="31"/>
    </w:p>
    <w:p w14:paraId="37F5A1C0" w14:textId="64A54AFD" w:rsidR="00C22214" w:rsidRDefault="00095C6A" w:rsidP="00C22214">
      <w:pPr>
        <w:pStyle w:val="Heading3"/>
      </w:pPr>
      <w:bookmarkStart w:id="32" w:name="_Toc247691528"/>
      <w:bookmarkStart w:id="33" w:name="_Toc314842511"/>
      <w:bookmarkStart w:id="34" w:name="_Toc103679295"/>
      <w:bookmarkStart w:id="35" w:name="_Toc215749772"/>
      <w:r>
        <w:t>Q</w:t>
      </w:r>
      <w:r w:rsidR="00C22214">
        <w:t>uality</w:t>
      </w:r>
      <w:bookmarkEnd w:id="32"/>
      <w:bookmarkEnd w:id="33"/>
      <w:bookmarkEnd w:id="34"/>
      <w:r w:rsidR="007E6443">
        <w:t xml:space="preserve"> evaluation</w:t>
      </w:r>
      <w:r>
        <w:t xml:space="preserve"> summary</w:t>
      </w:r>
      <w:bookmarkEnd w:id="35"/>
    </w:p>
    <w:p w14:paraId="1C605E48" w14:textId="7AD4CDE2" w:rsidR="00BC3612" w:rsidRDefault="00176403" w:rsidP="00BC3612">
      <w:proofErr w:type="spellStart"/>
      <w:r w:rsidRPr="00176403">
        <w:t>Sepiapterin</w:t>
      </w:r>
      <w:proofErr w:type="spellEnd"/>
      <w:r w:rsidRPr="00176403">
        <w:t xml:space="preserve"> </w:t>
      </w:r>
      <w:r w:rsidR="00BC3612">
        <w:t>is both a natural product and synthetic small molecule of the pterin subclass of the pteridine class. In vivo, it is metabolised to form tetrahydrobiopterin, which is a cofactor required for breakdown to phenylalanine and metabolism of phenylalanine, tyrosine and tryptophan to precursors of dopamine and serotonin.</w:t>
      </w:r>
    </w:p>
    <w:p w14:paraId="6A7BF807" w14:textId="50EB4CF7" w:rsidR="005C6D59" w:rsidRDefault="005C6D59" w:rsidP="005C6D59">
      <w:r>
        <w:t>The drug substance</w:t>
      </w:r>
      <w:r w:rsidR="00176403">
        <w:t xml:space="preserve">, </w:t>
      </w:r>
      <w:proofErr w:type="spellStart"/>
      <w:r w:rsidR="00176403" w:rsidRPr="00176403">
        <w:t>sepiapterin</w:t>
      </w:r>
      <w:proofErr w:type="spellEnd"/>
      <w:r w:rsidR="00176403">
        <w:t xml:space="preserve"> (Figure 1)</w:t>
      </w:r>
      <w:r>
        <w:t xml:space="preserve"> is manufactured by chemical synthesis. The proposed specification was developed in</w:t>
      </w:r>
      <w:r w:rsidR="00583A7F">
        <w:t>-</w:t>
      </w:r>
      <w:r>
        <w:t>house and adequately controls the identity, potency, purity</w:t>
      </w:r>
      <w:r w:rsidR="005735DF">
        <w:t>,</w:t>
      </w:r>
      <w:r>
        <w:t xml:space="preserve"> and chemical and physical properties of the drug substance relevant to the dose form, </w:t>
      </w:r>
      <w:proofErr w:type="gramStart"/>
      <w:r>
        <w:t>with the exception of</w:t>
      </w:r>
      <w:proofErr w:type="gramEnd"/>
      <w:r>
        <w:t xml:space="preserve"> control of particle size distribution which requires further tightening.</w:t>
      </w:r>
    </w:p>
    <w:p w14:paraId="39F864F4" w14:textId="01A734B4" w:rsidR="00AA70A0" w:rsidRDefault="00176403" w:rsidP="00AC762A">
      <w:pPr>
        <w:pStyle w:val="FigureTitle"/>
      </w:pPr>
      <w:r>
        <w:t xml:space="preserve">Figure 1. Chemical structure of </w:t>
      </w:r>
      <w:proofErr w:type="spellStart"/>
      <w:r>
        <w:t>s</w:t>
      </w:r>
      <w:r w:rsidRPr="00176403">
        <w:t>epiapterin</w:t>
      </w:r>
      <w:proofErr w:type="spellEnd"/>
      <w:r w:rsidR="00B02102">
        <w:t>:</w:t>
      </w:r>
    </w:p>
    <w:p w14:paraId="3B295545" w14:textId="069D83FC" w:rsidR="00176403" w:rsidRDefault="00B80EDD" w:rsidP="005C6D59">
      <w:r>
        <w:rPr>
          <w:noProof/>
        </w:rPr>
        <w:drawing>
          <wp:inline distT="0" distB="0" distL="0" distR="0" wp14:anchorId="3E636C21" wp14:editId="791A303D">
            <wp:extent cx="1958819" cy="1009903"/>
            <wp:effectExtent l="0" t="0" r="3810" b="0"/>
            <wp:docPr id="9" name="Image 9" descr="Figure 1. Chemical structure of sepiapterin"/>
            <wp:cNvGraphicFramePr/>
            <a:graphic xmlns:a="http://schemas.openxmlformats.org/drawingml/2006/main">
              <a:graphicData uri="http://schemas.openxmlformats.org/drawingml/2006/picture">
                <pic:pic xmlns:pic="http://schemas.openxmlformats.org/drawingml/2006/picture">
                  <pic:nvPicPr>
                    <pic:cNvPr id="9" name="Image 9" descr="Figure 1. Chemical structure of sepiapterin"/>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58819" cy="1009903"/>
                    </a:xfrm>
                    <a:prstGeom prst="rect">
                      <a:avLst/>
                    </a:prstGeom>
                  </pic:spPr>
                </pic:pic>
              </a:graphicData>
            </a:graphic>
          </wp:inline>
        </w:drawing>
      </w:r>
    </w:p>
    <w:p w14:paraId="30E702F4" w14:textId="03B38117" w:rsidR="005C6D59" w:rsidRDefault="005C6D59" w:rsidP="005C6D59">
      <w:r>
        <w:t xml:space="preserve">The synthetic impurities are controlled to either ICH </w:t>
      </w:r>
      <w:proofErr w:type="spellStart"/>
      <w:r>
        <w:t>Q3A</w:t>
      </w:r>
      <w:proofErr w:type="spellEnd"/>
      <w:r w:rsidR="00E63CA1">
        <w:rPr>
          <w:rStyle w:val="FootnoteReference"/>
        </w:rPr>
        <w:footnoteReference w:id="9"/>
      </w:r>
      <w:r>
        <w:t xml:space="preserve"> or where higher were adequately qualified.</w:t>
      </w:r>
    </w:p>
    <w:p w14:paraId="29691F63" w14:textId="77777777" w:rsidR="005C6D59" w:rsidRDefault="005C6D59" w:rsidP="005C6D59">
      <w:r>
        <w:t>The analytical methods used to analyse the product were adequately described and validated.</w:t>
      </w:r>
    </w:p>
    <w:p w14:paraId="40E5DD26" w14:textId="77777777" w:rsidR="005C6D59" w:rsidRDefault="005C6D59" w:rsidP="005C6D59">
      <w:r>
        <w:t>Risk evaluations on the potential presence of nitrosamines and elemental impurities were performed. No significant risk was identified.</w:t>
      </w:r>
    </w:p>
    <w:p w14:paraId="452A93AB" w14:textId="4D61DFE2" w:rsidR="005C6D59" w:rsidRDefault="005C6D59" w:rsidP="005C6D59">
      <w:r>
        <w:t>The stability data supports a retest period of 24 months when stored at 5 ᵒC.</w:t>
      </w:r>
    </w:p>
    <w:p w14:paraId="1381A24E" w14:textId="60961CEF" w:rsidR="006B6173" w:rsidRDefault="006B6173" w:rsidP="006B6173">
      <w:r>
        <w:t xml:space="preserve">The proposed drug product is a yellow to orange powder sealed in a heat-sealed aluminium sachet. Strengths are differentiated by sachet labelling and by the size of the sachet (50 x 72 mm for 250 mg strength, 60 x 90 mm for 1000 mg strength). The formulation of each strength differs only in the quantity of product filled in each sachet. The formulation includes the drug substance, and </w:t>
      </w:r>
      <w:proofErr w:type="gramStart"/>
      <w:r>
        <w:t>a number of</w:t>
      </w:r>
      <w:proofErr w:type="gramEnd"/>
      <w:r>
        <w:t xml:space="preserve"> excipients commonly used for their described purposes as diluent, disintegrant, suspending agent, sweetener and lubricant respectively. The excipients isomalt, mannitol and sucralose are present in the formulation in quantities which require declaration of their presence on the product labelling as per </w:t>
      </w:r>
      <w:hyperlink r:id="rId25" w:history="1">
        <w:r w:rsidRPr="00E0193E">
          <w:rPr>
            <w:rStyle w:val="Hyperlink"/>
          </w:rPr>
          <w:t>T</w:t>
        </w:r>
        <w:r w:rsidR="00D05DBA" w:rsidRPr="00E0193E">
          <w:rPr>
            <w:rStyle w:val="Hyperlink"/>
          </w:rPr>
          <w:t xml:space="preserve">herapeutic </w:t>
        </w:r>
        <w:r w:rsidRPr="00E0193E">
          <w:rPr>
            <w:rStyle w:val="Hyperlink"/>
          </w:rPr>
          <w:t>G</w:t>
        </w:r>
        <w:r w:rsidR="00D05DBA" w:rsidRPr="00E0193E">
          <w:rPr>
            <w:rStyle w:val="Hyperlink"/>
          </w:rPr>
          <w:t xml:space="preserve">oods </w:t>
        </w:r>
        <w:r w:rsidRPr="00E0193E">
          <w:rPr>
            <w:rStyle w:val="Hyperlink"/>
          </w:rPr>
          <w:t>O</w:t>
        </w:r>
        <w:r w:rsidR="00D05DBA" w:rsidRPr="00E0193E">
          <w:rPr>
            <w:rStyle w:val="Hyperlink"/>
          </w:rPr>
          <w:t>rder</w:t>
        </w:r>
        <w:r w:rsidRPr="00E0193E">
          <w:rPr>
            <w:rStyle w:val="Hyperlink"/>
          </w:rPr>
          <w:t xml:space="preserve"> 91</w:t>
        </w:r>
      </w:hyperlink>
      <w:r>
        <w:t>.</w:t>
      </w:r>
    </w:p>
    <w:p w14:paraId="6F3C4E4B" w14:textId="77777777" w:rsidR="006B6173" w:rsidRDefault="006B6173" w:rsidP="006B6173">
      <w:r>
        <w:t>The manufacturing process is typical for the dosage form and is appropriately developed and controlled.</w:t>
      </w:r>
    </w:p>
    <w:p w14:paraId="779489C8" w14:textId="77777777" w:rsidR="006B6173" w:rsidRDefault="006B6173" w:rsidP="006B6173">
      <w:r>
        <w:lastRenderedPageBreak/>
        <w:t xml:space="preserve">The product can be mixed in water, apple juice or a small </w:t>
      </w:r>
      <w:proofErr w:type="gramStart"/>
      <w:r>
        <w:t>amount</w:t>
      </w:r>
      <w:proofErr w:type="gramEnd"/>
      <w:r>
        <w:t xml:space="preserve"> of soft foods such as apple sauce or jams prior to administration, and the compatibility of the product with these vehicles has been acceptably demonstrated.</w:t>
      </w:r>
    </w:p>
    <w:p w14:paraId="1876A549" w14:textId="77777777" w:rsidR="006B6173" w:rsidRDefault="006B6173" w:rsidP="006B6173">
      <w:r>
        <w:t>The drug product specifications adequately control the quality of the drug product at release and throughout the shelf-life.</w:t>
      </w:r>
    </w:p>
    <w:p w14:paraId="1AAF9D17" w14:textId="02FFE9F4" w:rsidR="006B6173" w:rsidRDefault="006B6173" w:rsidP="006B6173">
      <w:r>
        <w:t xml:space="preserve">The impurities are controlled according to ICH </w:t>
      </w:r>
      <w:proofErr w:type="spellStart"/>
      <w:r>
        <w:t>Q3B</w:t>
      </w:r>
      <w:proofErr w:type="spellEnd"/>
      <w:r w:rsidR="00F23FD8">
        <w:rPr>
          <w:rStyle w:val="FootnoteReference"/>
        </w:rPr>
        <w:footnoteReference w:id="10"/>
      </w:r>
      <w:r>
        <w:t>, or where higher, were adequately qualified.</w:t>
      </w:r>
    </w:p>
    <w:p w14:paraId="5E2A3E57" w14:textId="77777777" w:rsidR="006B6173" w:rsidRDefault="006B6173" w:rsidP="006B6173">
      <w:r>
        <w:t>The analytical methods used to analyse the product were adequately described and validated.</w:t>
      </w:r>
    </w:p>
    <w:p w14:paraId="2E61327B" w14:textId="2AFDE88D" w:rsidR="006B6173" w:rsidRDefault="006B6173" w:rsidP="006B6173">
      <w:r>
        <w:t>Risk evaluations on the potential presence of nitrosamines and elemental impurities were performed. No significant risk was identified.</w:t>
      </w:r>
    </w:p>
    <w:p w14:paraId="475128FC" w14:textId="74AEAE63" w:rsidR="006B6173" w:rsidRDefault="006B6173" w:rsidP="006B6173">
      <w:r>
        <w:t xml:space="preserve">A shelf life of 24 months when stored below 25 </w:t>
      </w:r>
      <w:r w:rsidR="007E5407">
        <w:t>°</w:t>
      </w:r>
      <w:r>
        <w:t>C is supported.</w:t>
      </w:r>
    </w:p>
    <w:p w14:paraId="2793A9DF" w14:textId="5BA6BE44" w:rsidR="00913385" w:rsidRDefault="00913385" w:rsidP="006B6173">
      <w:r>
        <w:t xml:space="preserve">Registration of </w:t>
      </w:r>
      <w:proofErr w:type="spellStart"/>
      <w:r>
        <w:t>Sephience</w:t>
      </w:r>
      <w:proofErr w:type="spellEnd"/>
      <w:r>
        <w:t xml:space="preserve"> is recommended from a quality perspective.</w:t>
      </w:r>
    </w:p>
    <w:p w14:paraId="2BE90AAE" w14:textId="7CB98479" w:rsidR="00C22214" w:rsidRDefault="00C22214" w:rsidP="00C22214">
      <w:pPr>
        <w:pStyle w:val="Heading3"/>
      </w:pPr>
      <w:bookmarkStart w:id="36" w:name="_Toc314842512"/>
      <w:bookmarkStart w:id="37" w:name="_Toc103679296"/>
      <w:bookmarkStart w:id="38" w:name="_Toc215749773"/>
      <w:r>
        <w:t>Nonclinical</w:t>
      </w:r>
      <w:bookmarkEnd w:id="36"/>
      <w:bookmarkEnd w:id="37"/>
      <w:r w:rsidR="007E6443">
        <w:t xml:space="preserve"> evaluation</w:t>
      </w:r>
      <w:r w:rsidR="00095C6A">
        <w:t xml:space="preserve"> summary</w:t>
      </w:r>
      <w:bookmarkEnd w:id="38"/>
    </w:p>
    <w:p w14:paraId="573DA49A" w14:textId="2745028E" w:rsidR="00BB3D9D" w:rsidRDefault="00BB3D9D" w:rsidP="00BB3D9D">
      <w:r>
        <w:t xml:space="preserve">The submitted nonclinical dossier was of high quality, with the package of studies conducted in accordance with ICH </w:t>
      </w:r>
      <w:proofErr w:type="spellStart"/>
      <w:r>
        <w:t>M3</w:t>
      </w:r>
      <w:proofErr w:type="spellEnd"/>
      <w:r>
        <w:t xml:space="preserve"> (</w:t>
      </w:r>
      <w:proofErr w:type="spellStart"/>
      <w:r>
        <w:t>R2</w:t>
      </w:r>
      <w:proofErr w:type="spellEnd"/>
      <w:r>
        <w:t>).</w:t>
      </w:r>
      <w:r w:rsidR="00870890">
        <w:rPr>
          <w:rStyle w:val="FootnoteReference"/>
        </w:rPr>
        <w:footnoteReference w:id="11"/>
      </w:r>
      <w:r>
        <w:t xml:space="preserve"> All pivotal safety-related studies were GLP-compliant.</w:t>
      </w:r>
    </w:p>
    <w:p w14:paraId="72E086CD" w14:textId="34DAC715" w:rsidR="00BB3D9D" w:rsidRDefault="00F75EC8" w:rsidP="00BB3D9D">
      <w:r>
        <w:t>I</w:t>
      </w:r>
      <w:r w:rsidR="00BB3D9D">
        <w:t xml:space="preserve">n vitro, </w:t>
      </w:r>
      <w:proofErr w:type="spellStart"/>
      <w:r w:rsidR="00BB3D9D">
        <w:t>sepiapterin</w:t>
      </w:r>
      <w:proofErr w:type="spellEnd"/>
      <w:r w:rsidR="00BB3D9D">
        <w:t xml:space="preserve"> stabilised and increased activity of recombinant proteins harbouring common clinical PKU mutations at micromolar concentrations. In vivo, </w:t>
      </w:r>
      <w:proofErr w:type="spellStart"/>
      <w:r w:rsidR="00BB3D9D">
        <w:t>sepiapterin</w:t>
      </w:r>
      <w:proofErr w:type="spellEnd"/>
      <w:r w:rsidR="00BB3D9D">
        <w:t xml:space="preserve"> was rapidly converted to </w:t>
      </w:r>
      <w:proofErr w:type="spellStart"/>
      <w:r w:rsidR="00BB3D9D">
        <w:t>BH</w:t>
      </w:r>
      <w:r w:rsidR="00BB3D9D" w:rsidRPr="00651ADC">
        <w:t>4</w:t>
      </w:r>
      <w:proofErr w:type="spellEnd"/>
      <w:r w:rsidR="00BB3D9D">
        <w:t>, the active PAH chaperone, supporting the proposed clinical indication.</w:t>
      </w:r>
    </w:p>
    <w:p w14:paraId="2AA06507" w14:textId="621EED80" w:rsidR="00BB3D9D" w:rsidRDefault="00BB3D9D" w:rsidP="00BB3D9D">
      <w:r>
        <w:t xml:space="preserve">No clinically relevant inhibition was seen on a set of potential off-target sites including receptors, ion channels, enzymes and transporters. No investigation of other proteins known to be activated by </w:t>
      </w:r>
      <w:proofErr w:type="spellStart"/>
      <w:r>
        <w:t>BH</w:t>
      </w:r>
      <w:r w:rsidRPr="00651ADC">
        <w:t>4</w:t>
      </w:r>
      <w:proofErr w:type="spellEnd"/>
      <w:r>
        <w:t xml:space="preserve"> (</w:t>
      </w:r>
      <w:r w:rsidR="00B36719">
        <w:t>e.g.</w:t>
      </w:r>
      <w:r>
        <w:t xml:space="preserve"> nitric oxide synthase) was made. However, toxicity studies did not uncover any unique toxicities or raise specific concerns about off-target effects of </w:t>
      </w:r>
      <w:proofErr w:type="spellStart"/>
      <w:r>
        <w:t>sepiapterin</w:t>
      </w:r>
      <w:proofErr w:type="spellEnd"/>
      <w:r>
        <w:t>.</w:t>
      </w:r>
    </w:p>
    <w:p w14:paraId="3B9BA9FC" w14:textId="1ECD8E12" w:rsidR="00BB3D9D" w:rsidRDefault="00BB3D9D" w:rsidP="00BB3D9D">
      <w:r>
        <w:t xml:space="preserve">Safety pharmacology studies (incorporated into repeat dose toxicity studies) assessed effects on cardiovascular, respiratory, and central nervous systems. No adverse effects were seen on CNS or respiratory function in rats. No significant inhibition of </w:t>
      </w:r>
      <w:proofErr w:type="spellStart"/>
      <w:r>
        <w:t>hERG</w:t>
      </w:r>
      <w:proofErr w:type="spellEnd"/>
      <w:r>
        <w:t xml:space="preserve"> K+ channel tail current was observed at clinically relevant </w:t>
      </w:r>
      <w:proofErr w:type="spellStart"/>
      <w:r>
        <w:t>sepiapterin</w:t>
      </w:r>
      <w:proofErr w:type="spellEnd"/>
      <w:r>
        <w:t xml:space="preserve"> concentrations, however </w:t>
      </w:r>
      <w:proofErr w:type="spellStart"/>
      <w:r>
        <w:t>hERG</w:t>
      </w:r>
      <w:proofErr w:type="spellEnd"/>
      <w:r>
        <w:t xml:space="preserve"> current data for </w:t>
      </w:r>
      <w:proofErr w:type="spellStart"/>
      <w:r>
        <w:t>BH</w:t>
      </w:r>
      <w:r w:rsidRPr="00651ADC">
        <w:t>4</w:t>
      </w:r>
      <w:proofErr w:type="spellEnd"/>
      <w:r>
        <w:t xml:space="preserve"> was unreliable. Since no </w:t>
      </w:r>
      <w:proofErr w:type="spellStart"/>
      <w:r>
        <w:t>sepiapterin</w:t>
      </w:r>
      <w:proofErr w:type="spellEnd"/>
      <w:r>
        <w:t xml:space="preserve">-related cardiovascular effects were observed in repeat-dose toxicity studies in marmosets, </w:t>
      </w:r>
      <w:proofErr w:type="spellStart"/>
      <w:r>
        <w:t>sepiapterin</w:t>
      </w:r>
      <w:proofErr w:type="spellEnd"/>
      <w:r>
        <w:t xml:space="preserve"> is not predicted to prolong the QT interval in patients.</w:t>
      </w:r>
    </w:p>
    <w:p w14:paraId="5DD4EA68" w14:textId="0EE64868" w:rsidR="00BB3D9D" w:rsidRDefault="00BB3D9D" w:rsidP="00BB3D9D">
      <w:r>
        <w:t xml:space="preserve">Overall, the pharmacokinetic profile in animals was qualitatively </w:t>
      </w:r>
      <w:proofErr w:type="gramStart"/>
      <w:r>
        <w:t>similar to</w:t>
      </w:r>
      <w:proofErr w:type="gramEnd"/>
      <w:r>
        <w:t xml:space="preserve"> that of humans. </w:t>
      </w:r>
      <w:proofErr w:type="spellStart"/>
      <w:r>
        <w:t>Sepiapterin</w:t>
      </w:r>
      <w:proofErr w:type="spellEnd"/>
      <w:r>
        <w:t xml:space="preserve"> was rapidly absorbed and converted to </w:t>
      </w:r>
      <w:proofErr w:type="spellStart"/>
      <w:r>
        <w:t>BH</w:t>
      </w:r>
      <w:r w:rsidRPr="00651ADC">
        <w:t>4</w:t>
      </w:r>
      <w:proofErr w:type="spellEnd"/>
      <w:r>
        <w:t xml:space="preserve">, with a similar </w:t>
      </w:r>
      <w:proofErr w:type="spellStart"/>
      <w:r>
        <w:t>T</w:t>
      </w:r>
      <w:r w:rsidRPr="006D5330">
        <w:rPr>
          <w:vertAlign w:val="subscript"/>
        </w:rPr>
        <w:t>max</w:t>
      </w:r>
      <w:proofErr w:type="spellEnd"/>
      <w:r>
        <w:t xml:space="preserve"> in all species. </w:t>
      </w:r>
      <w:proofErr w:type="spellStart"/>
      <w:r>
        <w:t>BH4</w:t>
      </w:r>
      <w:proofErr w:type="spellEnd"/>
      <w:r>
        <w:t xml:space="preserve"> half-life values were similar in rats, dogs, monkeys and humans. Plasma protein binding of </w:t>
      </w:r>
      <w:proofErr w:type="spellStart"/>
      <w:r>
        <w:t>sepiapterin</w:t>
      </w:r>
      <w:proofErr w:type="spellEnd"/>
      <w:r>
        <w:t xml:space="preserve"> and </w:t>
      </w:r>
      <w:proofErr w:type="spellStart"/>
      <w:r>
        <w:t>BH4</w:t>
      </w:r>
      <w:proofErr w:type="spellEnd"/>
      <w:r>
        <w:t xml:space="preserve"> was low in humans but was not determined in any other species. Tissue distribution of </w:t>
      </w:r>
      <w:proofErr w:type="spellStart"/>
      <w:r>
        <w:t>sepiapterin</w:t>
      </w:r>
      <w:proofErr w:type="spellEnd"/>
      <w:r>
        <w:t xml:space="preserve"> was wide but penetration into brain and spinal cord was very limited. </w:t>
      </w:r>
      <w:proofErr w:type="spellStart"/>
      <w:r>
        <w:t>Sepiapterin</w:t>
      </w:r>
      <w:proofErr w:type="spellEnd"/>
      <w:r>
        <w:t xml:space="preserve"> was extensively metabolised, with qualitatively similar profiles in animals and humans. Drug-related material was excreted via faeces and urine, with faeces as the predominant route of excretion in both animals and humans. Biliary excretion was shown in rats.</w:t>
      </w:r>
    </w:p>
    <w:p w14:paraId="4C318B05" w14:textId="3FDDD67F" w:rsidR="00BB3D9D" w:rsidRDefault="00BB3D9D" w:rsidP="00BB3D9D">
      <w:proofErr w:type="spellStart"/>
      <w:r>
        <w:t>Sepiapterin</w:t>
      </w:r>
      <w:proofErr w:type="spellEnd"/>
      <w:r>
        <w:t xml:space="preserve"> is not expected to alter the exposure of co-administered drugs that are </w:t>
      </w:r>
      <w:proofErr w:type="spellStart"/>
      <w:r>
        <w:t>CYP450</w:t>
      </w:r>
      <w:proofErr w:type="spellEnd"/>
      <w:r>
        <w:t xml:space="preserve"> substrates or inhibitors. </w:t>
      </w:r>
      <w:proofErr w:type="spellStart"/>
      <w:r>
        <w:t>Sepiapterin</w:t>
      </w:r>
      <w:proofErr w:type="spellEnd"/>
      <w:r>
        <w:t xml:space="preserve"> and </w:t>
      </w:r>
      <w:proofErr w:type="spellStart"/>
      <w:r>
        <w:t>BH4</w:t>
      </w:r>
      <w:proofErr w:type="spellEnd"/>
      <w:r>
        <w:t xml:space="preserve"> are substrates of </w:t>
      </w:r>
      <w:proofErr w:type="spellStart"/>
      <w:r>
        <w:t>BCRP</w:t>
      </w:r>
      <w:proofErr w:type="spellEnd"/>
      <w:r>
        <w:t xml:space="preserve">, but co-administered </w:t>
      </w:r>
      <w:r>
        <w:lastRenderedPageBreak/>
        <w:t xml:space="preserve">inhibitors/inducers of </w:t>
      </w:r>
      <w:proofErr w:type="spellStart"/>
      <w:r>
        <w:t>BCRP</w:t>
      </w:r>
      <w:proofErr w:type="spellEnd"/>
      <w:r>
        <w:t xml:space="preserve"> are not expected to notably alter exposure to </w:t>
      </w:r>
      <w:proofErr w:type="spellStart"/>
      <w:r>
        <w:t>sepiapterin</w:t>
      </w:r>
      <w:proofErr w:type="spellEnd"/>
      <w:r>
        <w:t xml:space="preserve">. In vitro </w:t>
      </w:r>
      <w:proofErr w:type="spellStart"/>
      <w:r>
        <w:t>sepiapterin</w:t>
      </w:r>
      <w:proofErr w:type="spellEnd"/>
      <w:r>
        <w:t xml:space="preserve"> inhibited </w:t>
      </w:r>
      <w:proofErr w:type="spellStart"/>
      <w:r>
        <w:t>OATP1B3</w:t>
      </w:r>
      <w:proofErr w:type="spellEnd"/>
      <w:r>
        <w:t xml:space="preserve"> and </w:t>
      </w:r>
      <w:proofErr w:type="spellStart"/>
      <w:r>
        <w:t>BH4</w:t>
      </w:r>
      <w:proofErr w:type="spellEnd"/>
      <w:r>
        <w:t xml:space="preserve"> inhibited </w:t>
      </w:r>
      <w:proofErr w:type="spellStart"/>
      <w:r>
        <w:t>OCT1</w:t>
      </w:r>
      <w:proofErr w:type="spellEnd"/>
      <w:r>
        <w:t xml:space="preserve"> at clinically relevant concentrations. Caution may be needed in co-administering drugs that are known to be substrates of these transporters. </w:t>
      </w:r>
      <w:proofErr w:type="spellStart"/>
      <w:r>
        <w:t>Sepiapterin</w:t>
      </w:r>
      <w:proofErr w:type="spellEnd"/>
      <w:r>
        <w:t xml:space="preserve"> is a substrate of efflux transporter </w:t>
      </w:r>
      <w:proofErr w:type="spellStart"/>
      <w:r w:rsidR="000E594A">
        <w:t>BCRP</w:t>
      </w:r>
      <w:proofErr w:type="spellEnd"/>
      <w:r w:rsidR="000E594A">
        <w:t xml:space="preserve"> and </w:t>
      </w:r>
      <w:proofErr w:type="spellStart"/>
      <w:r>
        <w:t>ENT2</w:t>
      </w:r>
      <w:proofErr w:type="spellEnd"/>
      <w:r>
        <w:t xml:space="preserve"> and </w:t>
      </w:r>
      <w:proofErr w:type="spellStart"/>
      <w:r>
        <w:t>BH4</w:t>
      </w:r>
      <w:proofErr w:type="spellEnd"/>
      <w:r>
        <w:t xml:space="preserve"> is a substrate of efflux transporters </w:t>
      </w:r>
      <w:proofErr w:type="spellStart"/>
      <w:r w:rsidR="000E594A">
        <w:t>BCRP</w:t>
      </w:r>
      <w:proofErr w:type="spellEnd"/>
      <w:r w:rsidR="000E594A">
        <w:t xml:space="preserve"> and </w:t>
      </w:r>
      <w:r>
        <w:t>P-</w:t>
      </w:r>
      <w:proofErr w:type="spellStart"/>
      <w:r>
        <w:t>gp</w:t>
      </w:r>
      <w:proofErr w:type="spellEnd"/>
      <w:r>
        <w:t xml:space="preserve"> and renal </w:t>
      </w:r>
      <w:proofErr w:type="spellStart"/>
      <w:r>
        <w:t>transporterMATE2</w:t>
      </w:r>
      <w:proofErr w:type="spellEnd"/>
      <w:r>
        <w:t xml:space="preserve">-K in vitro. </w:t>
      </w:r>
      <w:r w:rsidR="00EB28ED">
        <w:t>However, drug interactions are not expected for these transporters at clinically relevant concentrations.</w:t>
      </w:r>
    </w:p>
    <w:p w14:paraId="23AF2698" w14:textId="5F3DEF18" w:rsidR="00BB3D9D" w:rsidRDefault="00BB3D9D" w:rsidP="00BB3D9D">
      <w:r>
        <w:t>Repeat-dose toxicity studies by the oral route were conducted in mice (4 weeks) rats (up to 6 months), and marmoset monkeys (up to 9 months). Maximum exposures (AUC) were moderate in rats and low to moderate in marmosets. The major target organs for toxicity were the kidney (tubular degeneration, crystal deposit, fibrosis, associated with increased kidney weight, serum urea and creatinine) and GI tract (reversible soft / creamy luminal material in the stomach, duodenum, jejunum, ileum, cecum; no microscopic correlate).</w:t>
      </w:r>
    </w:p>
    <w:p w14:paraId="11685EA7" w14:textId="37769E72" w:rsidR="00BB3D9D" w:rsidRDefault="00BB3D9D" w:rsidP="00BB3D9D">
      <w:proofErr w:type="spellStart"/>
      <w:r>
        <w:t>Sepiapterin</w:t>
      </w:r>
      <w:proofErr w:type="spellEnd"/>
      <w:r>
        <w:t xml:space="preserve"> was not mutagenic in the bacterial mutation assay but was positive in the in vitro chromosomal aberration assay. However, </w:t>
      </w:r>
      <w:proofErr w:type="spellStart"/>
      <w:r>
        <w:t>sepiapterin</w:t>
      </w:r>
      <w:proofErr w:type="spellEnd"/>
      <w:r>
        <w:t xml:space="preserve"> was negative in micronucleus and Comet assays in rats. A weight of evidence approach considering all genotoxicity studies suggests a low risk of genotoxicity for </w:t>
      </w:r>
      <w:proofErr w:type="spellStart"/>
      <w:r>
        <w:t>sepiapterin</w:t>
      </w:r>
      <w:proofErr w:type="spellEnd"/>
      <w:r>
        <w:t>, with the negative results in in vivo studies considered more reliable than the findings in in vitro studies.</w:t>
      </w:r>
    </w:p>
    <w:p w14:paraId="6C03E071" w14:textId="633EDE11" w:rsidR="00BB3D9D" w:rsidRDefault="00BB3D9D" w:rsidP="00BB3D9D">
      <w:r>
        <w:t xml:space="preserve">No carcinogenicity studies were submitted, which is considered acceptable. Using a weight of evidence approach, the carcinogenic potential of </w:t>
      </w:r>
      <w:proofErr w:type="spellStart"/>
      <w:r>
        <w:t>sepiapterin</w:t>
      </w:r>
      <w:proofErr w:type="spellEnd"/>
      <w:r>
        <w:t xml:space="preserve"> is humans is considered low.</w:t>
      </w:r>
    </w:p>
    <w:p w14:paraId="6BC63C98" w14:textId="741C20F2" w:rsidR="00BB3D9D" w:rsidRDefault="00BB3D9D" w:rsidP="00BB3D9D">
      <w:r>
        <w:t xml:space="preserve">Fertility and early embryonic development were unaffected in male and female rats treated with </w:t>
      </w:r>
      <w:proofErr w:type="spellStart"/>
      <w:r>
        <w:t>sepiapterin</w:t>
      </w:r>
      <w:proofErr w:type="spellEnd"/>
      <w:r>
        <w:t xml:space="preserve">. There were no treatment-related effects on embryofetal development </w:t>
      </w:r>
      <w:r w:rsidR="005D2D95">
        <w:t xml:space="preserve">in rats and rabbits </w:t>
      </w:r>
      <w:r>
        <w:t>or pre/postnatal development in rats at moderate exposure levels.</w:t>
      </w:r>
    </w:p>
    <w:p w14:paraId="2F0F82A3" w14:textId="507D964D" w:rsidR="00BB3D9D" w:rsidRDefault="00BB3D9D" w:rsidP="00BB3D9D">
      <w:r>
        <w:t>No adverse effects were observed in repeat-dose toxicity studies in juvenile rats</w:t>
      </w:r>
      <w:r w:rsidR="005D2D95">
        <w:t>.</w:t>
      </w:r>
    </w:p>
    <w:p w14:paraId="011384F4" w14:textId="798EBC5D" w:rsidR="00BB3D9D" w:rsidRDefault="00BB3D9D" w:rsidP="00BB3D9D">
      <w:proofErr w:type="spellStart"/>
      <w:r>
        <w:t>Sepiapterin</w:t>
      </w:r>
      <w:proofErr w:type="spellEnd"/>
      <w:r>
        <w:t xml:space="preserve">, did not show in vitro activity on receptors known to be associated with drug abuse. In addition, </w:t>
      </w:r>
      <w:proofErr w:type="spellStart"/>
      <w:r>
        <w:t>sepiapterin</w:t>
      </w:r>
      <w:proofErr w:type="spellEnd"/>
      <w:r>
        <w:t xml:space="preserve"> did not show any CNS activities that would be indicative of abuse liability.</w:t>
      </w:r>
    </w:p>
    <w:p w14:paraId="64E04108" w14:textId="05D25303" w:rsidR="00BB3D9D" w:rsidRDefault="00BB3D9D" w:rsidP="00BB3D9D">
      <w:r>
        <w:t xml:space="preserve">The proposed limit for eight impurities in the drug substance and product </w:t>
      </w:r>
      <w:proofErr w:type="gramStart"/>
      <w:r>
        <w:t>have</w:t>
      </w:r>
      <w:proofErr w:type="gramEnd"/>
      <w:r>
        <w:t xml:space="preserve"> been adequately qualified by submitted toxicity data.</w:t>
      </w:r>
    </w:p>
    <w:p w14:paraId="602E712F" w14:textId="1F7A009D" w:rsidR="00BB3D9D" w:rsidRPr="00BB3D9D" w:rsidRDefault="00BB3D9D" w:rsidP="00BB3D9D">
      <w:r>
        <w:t xml:space="preserve">There are no nonclinical objections to the registration of </w:t>
      </w:r>
      <w:proofErr w:type="spellStart"/>
      <w:r>
        <w:t>sepiapterin</w:t>
      </w:r>
      <w:proofErr w:type="spellEnd"/>
      <w:r>
        <w:t xml:space="preserve"> for the proposed indication.</w:t>
      </w:r>
    </w:p>
    <w:p w14:paraId="35B580A5" w14:textId="7628E204" w:rsidR="00C22214" w:rsidRDefault="00C22214" w:rsidP="008804CF">
      <w:pPr>
        <w:pStyle w:val="Heading3"/>
      </w:pPr>
      <w:bookmarkStart w:id="39" w:name="_Toc247691530"/>
      <w:bookmarkStart w:id="40" w:name="_Toc314842513"/>
      <w:bookmarkStart w:id="41" w:name="_Toc103679297"/>
      <w:bookmarkStart w:id="42" w:name="_Toc215749774"/>
      <w:r>
        <w:t>Clinical</w:t>
      </w:r>
      <w:bookmarkEnd w:id="39"/>
      <w:bookmarkEnd w:id="40"/>
      <w:bookmarkEnd w:id="41"/>
      <w:r w:rsidR="00095C6A">
        <w:t xml:space="preserve"> evaluation summary</w:t>
      </w:r>
      <w:bookmarkEnd w:id="42"/>
    </w:p>
    <w:p w14:paraId="32B0DEDA" w14:textId="1973A845" w:rsidR="00C22214" w:rsidRDefault="00C22214" w:rsidP="00433318">
      <w:pPr>
        <w:pStyle w:val="Heading4"/>
      </w:pPr>
      <w:bookmarkStart w:id="43" w:name="_Toc98931928"/>
      <w:bookmarkStart w:id="44" w:name="_Toc215749775"/>
      <w:r>
        <w:t>Summary of clinical studies</w:t>
      </w:r>
      <w:bookmarkEnd w:id="43"/>
      <w:bookmarkEnd w:id="44"/>
    </w:p>
    <w:p w14:paraId="1F87685C" w14:textId="7ADFEDD9" w:rsidR="003F7A2A" w:rsidRDefault="00595BD5" w:rsidP="003F7A2A">
      <w:r w:rsidRPr="00595BD5">
        <w:t xml:space="preserve">The clinical efficacy and safety of </w:t>
      </w:r>
      <w:proofErr w:type="spellStart"/>
      <w:r w:rsidRPr="00595BD5">
        <w:t>sepiapterin</w:t>
      </w:r>
      <w:proofErr w:type="spellEnd"/>
      <w:r w:rsidRPr="00595BD5">
        <w:t xml:space="preserve"> for PKU was supported by a pivotal phase 3 study MD-003-PKU, and two supportive studies Study PKU-002 and Study MD-004-PKU. In total 188 subjects with PKU were treated. While this is a relatively small number for an entire clinical program it is acknowledged that PKU is a rare disorder.</w:t>
      </w:r>
    </w:p>
    <w:p w14:paraId="77F3B3FD" w14:textId="050B1971" w:rsidR="00F448FF" w:rsidRDefault="00F448FF" w:rsidP="00F448FF">
      <w:pPr>
        <w:pStyle w:val="Heading4"/>
      </w:pPr>
      <w:bookmarkStart w:id="45" w:name="_Toc215749776"/>
      <w:r>
        <w:t>Pharmacokinetics</w:t>
      </w:r>
      <w:bookmarkEnd w:id="45"/>
    </w:p>
    <w:p w14:paraId="5B4CE01A" w14:textId="516B060D" w:rsidR="00F448FF" w:rsidRDefault="00F448FF" w:rsidP="00F448FF">
      <w:proofErr w:type="spellStart"/>
      <w:r>
        <w:t>Sepiapterin</w:t>
      </w:r>
      <w:proofErr w:type="spellEnd"/>
      <w:r>
        <w:t xml:space="preserve"> is orally absorbed, with a saturable process in the dose range 20 mg/kg to 60 mg/kg. This was demonstrated by dose proportionality between 2.5 mg/kg and 20 mg/kg, but not between 20 mg/kg and 60 mg/kg. </w:t>
      </w:r>
      <w:proofErr w:type="spellStart"/>
      <w:r>
        <w:t>Sepiapterin</w:t>
      </w:r>
      <w:proofErr w:type="spellEnd"/>
      <w:r>
        <w:t xml:space="preserve"> is rapidly metabolised to </w:t>
      </w:r>
      <w:proofErr w:type="spellStart"/>
      <w:r>
        <w:t>BH4</w:t>
      </w:r>
      <w:proofErr w:type="spellEnd"/>
      <w:r>
        <w:t xml:space="preserve"> which is then metabolised and/or recycled by endogenous pathways. Unabsorbed </w:t>
      </w:r>
      <w:proofErr w:type="spellStart"/>
      <w:r>
        <w:t>sepiapterin</w:t>
      </w:r>
      <w:proofErr w:type="spellEnd"/>
      <w:r>
        <w:t xml:space="preserve"> is metabolised by gut microflora.</w:t>
      </w:r>
    </w:p>
    <w:p w14:paraId="2F3E3491" w14:textId="20CAF50A" w:rsidR="00F448FF" w:rsidRPr="004B220E" w:rsidRDefault="00F448FF" w:rsidP="00F448FF">
      <w:r w:rsidRPr="004B220E">
        <w:lastRenderedPageBreak/>
        <w:t xml:space="preserve">The </w:t>
      </w:r>
      <w:proofErr w:type="spellStart"/>
      <w:r w:rsidRPr="004B220E">
        <w:t>T</w:t>
      </w:r>
      <w:r w:rsidRPr="004B220E">
        <w:rPr>
          <w:vertAlign w:val="subscript"/>
        </w:rPr>
        <w:t>max</w:t>
      </w:r>
      <w:proofErr w:type="spellEnd"/>
      <w:r w:rsidRPr="004B220E">
        <w:t xml:space="preserve"> for </w:t>
      </w:r>
      <w:proofErr w:type="spellStart"/>
      <w:r w:rsidRPr="004B220E">
        <w:t>sepiapterin</w:t>
      </w:r>
      <w:proofErr w:type="spellEnd"/>
      <w:r w:rsidRPr="004B220E">
        <w:t xml:space="preserve"> was 1 to 2 hours across the dose range 2.5 mg/kg to 80 mg/kg.</w:t>
      </w:r>
      <w:r w:rsidR="003009E2" w:rsidRPr="004B220E">
        <w:t xml:space="preserve"> </w:t>
      </w:r>
      <w:proofErr w:type="spellStart"/>
      <w:r w:rsidRPr="004B220E">
        <w:t>C</w:t>
      </w:r>
      <w:r w:rsidRPr="004B220E">
        <w:rPr>
          <w:vertAlign w:val="subscript"/>
        </w:rPr>
        <w:t>max</w:t>
      </w:r>
      <w:proofErr w:type="spellEnd"/>
      <w:r w:rsidRPr="004B220E">
        <w:t xml:space="preserve"> increased in a less than dose-proportional manner, but </w:t>
      </w:r>
      <w:proofErr w:type="spellStart"/>
      <w:r w:rsidRPr="004B220E">
        <w:t>AUC</w:t>
      </w:r>
      <w:r w:rsidRPr="004B220E">
        <w:rPr>
          <w:vertAlign w:val="subscript"/>
        </w:rPr>
        <w:t>last</w:t>
      </w:r>
      <w:proofErr w:type="spellEnd"/>
      <w:r w:rsidRPr="004B220E">
        <w:t xml:space="preserve"> was approximately dose-proportional (slope [90% CI] was 1 [0.71 to 1.14]).</w:t>
      </w:r>
    </w:p>
    <w:p w14:paraId="00736078" w14:textId="6DEDC192" w:rsidR="00F448FF" w:rsidRDefault="00F448FF" w:rsidP="00F448FF">
      <w:r>
        <w:t>In Study MD-005</w:t>
      </w:r>
      <w:r w:rsidR="008A6B2C">
        <w:t>,</w:t>
      </w:r>
      <w:r>
        <w:t xml:space="preserve"> bioavailability was increased by a high fat meal for both the 20 mg/kg and 60 mg/kg dose levels. For the 20 mg/kg dose level, the </w:t>
      </w:r>
      <w:r w:rsidR="00D74784">
        <w:t>geometric mean ratio</w:t>
      </w:r>
      <w:r>
        <w:t xml:space="preserve"> (90% CI) Fed/Fasted for </w:t>
      </w:r>
      <w:proofErr w:type="spellStart"/>
      <w:r>
        <w:t>AUC</w:t>
      </w:r>
      <w:r w:rsidRPr="00E37311">
        <w:rPr>
          <w:vertAlign w:val="subscript"/>
        </w:rPr>
        <w:t>0-24h</w:t>
      </w:r>
      <w:proofErr w:type="spellEnd"/>
      <w:r>
        <w:t xml:space="preserve"> was 163.23 (109.51 to 243.32) for </w:t>
      </w:r>
      <w:proofErr w:type="spellStart"/>
      <w:r>
        <w:t>sepiapterin</w:t>
      </w:r>
      <w:proofErr w:type="spellEnd"/>
      <w:r>
        <w:t xml:space="preserve"> and 250.94 (221.42 to 284.40) for </w:t>
      </w:r>
      <w:proofErr w:type="spellStart"/>
      <w:r>
        <w:t>BH4</w:t>
      </w:r>
      <w:proofErr w:type="spellEnd"/>
      <w:r>
        <w:t xml:space="preserve">. For the 60 mg/kg dose level, the </w:t>
      </w:r>
      <w:r w:rsidR="000D2762">
        <w:t>geometric mean ratio</w:t>
      </w:r>
      <w:r w:rsidR="0056066B">
        <w:t xml:space="preserve"> (</w:t>
      </w:r>
      <w:r w:rsidR="00D74784" w:rsidRPr="00D74784">
        <w:t>geometric mean ratio</w:t>
      </w:r>
      <w:r w:rsidR="0056066B">
        <w:t xml:space="preserve">; </w:t>
      </w:r>
      <w:r>
        <w:t xml:space="preserve">90% CI) Fed/Fasted for </w:t>
      </w:r>
      <w:proofErr w:type="spellStart"/>
      <w:r>
        <w:t>AUC</w:t>
      </w:r>
      <w:r w:rsidRPr="0056066B">
        <w:rPr>
          <w:vertAlign w:val="subscript"/>
        </w:rPr>
        <w:t>0-24h</w:t>
      </w:r>
      <w:proofErr w:type="spellEnd"/>
      <w:r>
        <w:t xml:space="preserve"> was 196.62 (124.18 to 311.33) for </w:t>
      </w:r>
      <w:proofErr w:type="spellStart"/>
      <w:r>
        <w:t>sepiapterin</w:t>
      </w:r>
      <w:proofErr w:type="spellEnd"/>
      <w:r>
        <w:t xml:space="preserve"> and 283.84 (251.29 to 320.62) for </w:t>
      </w:r>
      <w:proofErr w:type="spellStart"/>
      <w:r>
        <w:t>BH4</w:t>
      </w:r>
      <w:proofErr w:type="spellEnd"/>
      <w:r>
        <w:t xml:space="preserve">. Hence, a high fat meal increased exposure to </w:t>
      </w:r>
      <w:proofErr w:type="spellStart"/>
      <w:r>
        <w:t>sepiapterin</w:t>
      </w:r>
      <w:proofErr w:type="spellEnd"/>
      <w:r>
        <w:t xml:space="preserve"> by approximately 60% to 100% and to </w:t>
      </w:r>
      <w:proofErr w:type="spellStart"/>
      <w:r>
        <w:t>BH4</w:t>
      </w:r>
      <w:proofErr w:type="spellEnd"/>
      <w:r>
        <w:t xml:space="preserve"> by approximately 150% to 200%. In comparing the results of Part A and Part B, a </w:t>
      </w:r>
      <w:r w:rsidR="00B36719">
        <w:t>low-fat</w:t>
      </w:r>
      <w:r>
        <w:t xml:space="preserve"> meal increased exposure to </w:t>
      </w:r>
      <w:proofErr w:type="spellStart"/>
      <w:r>
        <w:t>sepiapterin</w:t>
      </w:r>
      <w:proofErr w:type="spellEnd"/>
      <w:r>
        <w:t xml:space="preserve"> by approximately 70% to 150% and to </w:t>
      </w:r>
      <w:proofErr w:type="spellStart"/>
      <w:r>
        <w:t>BH4</w:t>
      </w:r>
      <w:proofErr w:type="spellEnd"/>
      <w:r>
        <w:t xml:space="preserve"> by approximately 60% to 70%.</w:t>
      </w:r>
    </w:p>
    <w:p w14:paraId="65487B23" w14:textId="69FB0C3C" w:rsidR="00F448FF" w:rsidRDefault="00F448FF" w:rsidP="00F448FF">
      <w:r>
        <w:t xml:space="preserve">In </w:t>
      </w:r>
      <w:r w:rsidR="00EA7B08">
        <w:t xml:space="preserve">population PK </w:t>
      </w:r>
      <w:r>
        <w:t>analysis 2021-022</w:t>
      </w:r>
      <w:r w:rsidR="00EA7B08">
        <w:t>,</w:t>
      </w:r>
      <w:r>
        <w:t xml:space="preserve"> the typical estimates were 6.36 L for </w:t>
      </w:r>
      <w:r w:rsidR="00A25BAA">
        <w:t>a</w:t>
      </w:r>
      <w:r w:rsidR="00A25BAA" w:rsidRPr="00A25BAA">
        <w:t>pparent central volume of distribution</w:t>
      </w:r>
      <w:r w:rsidR="009E5065">
        <w:t xml:space="preserve"> </w:t>
      </w:r>
      <w:r>
        <w:t xml:space="preserve">and 1.21 L for </w:t>
      </w:r>
      <w:r w:rsidR="009E5065">
        <w:t>a</w:t>
      </w:r>
      <w:r w:rsidR="009E5065" w:rsidRPr="009E5065">
        <w:t>pparent volume of peripheral distribution</w:t>
      </w:r>
      <w:r w:rsidR="009E5065">
        <w:t>.</w:t>
      </w:r>
    </w:p>
    <w:p w14:paraId="58A08D3A" w14:textId="58D0494D" w:rsidR="00F448FF" w:rsidRDefault="00F448FF" w:rsidP="00F448FF">
      <w:proofErr w:type="spellStart"/>
      <w:r>
        <w:t>Sepiapterin</w:t>
      </w:r>
      <w:proofErr w:type="spellEnd"/>
      <w:r>
        <w:t xml:space="preserve"> is metabolised by </w:t>
      </w:r>
      <w:proofErr w:type="spellStart"/>
      <w:r>
        <w:t>sepiapterin</w:t>
      </w:r>
      <w:proofErr w:type="spellEnd"/>
      <w:r>
        <w:t xml:space="preserve"> reductase/carbonyl reductase and dihydrofolate reductase in a 2-step unidirectional process to form pharmacologically active metabolite </w:t>
      </w:r>
      <w:proofErr w:type="spellStart"/>
      <w:r>
        <w:t>BH4</w:t>
      </w:r>
      <w:proofErr w:type="spellEnd"/>
      <w:r>
        <w:t xml:space="preserve">. </w:t>
      </w:r>
      <w:proofErr w:type="spellStart"/>
      <w:r>
        <w:t>BH4</w:t>
      </w:r>
      <w:proofErr w:type="spellEnd"/>
      <w:r>
        <w:t xml:space="preserve"> is further metabolised non-enzymatically or enzymatically mediated by aromatic amino acid hydroxylases, such as PAH, tyrosine hydroxylase</w:t>
      </w:r>
      <w:r w:rsidR="009E5065">
        <w:t xml:space="preserve"> </w:t>
      </w:r>
      <w:r>
        <w:t xml:space="preserve">and tryptophan hydroxylase, and pterin-4α-carbinolamine dehydratase, </w:t>
      </w:r>
      <w:proofErr w:type="spellStart"/>
      <w:r>
        <w:t>dihydropteridine</w:t>
      </w:r>
      <w:proofErr w:type="spellEnd"/>
      <w:r>
        <w:t xml:space="preserve"> reductase, xanthine oxidase and nitric oxide synthase in various tissues.</w:t>
      </w:r>
    </w:p>
    <w:p w14:paraId="2256DB97" w14:textId="6DEEB856" w:rsidR="00F448FF" w:rsidRDefault="00F448FF" w:rsidP="00F448FF">
      <w:r>
        <w:t xml:space="preserve">In </w:t>
      </w:r>
      <w:r w:rsidR="009E5065" w:rsidRPr="009E5065">
        <w:t xml:space="preserve">population </w:t>
      </w:r>
      <w:r>
        <w:t>analysis 2021-022</w:t>
      </w:r>
      <w:r w:rsidR="00FE33B5">
        <w:t>,</w:t>
      </w:r>
      <w:r>
        <w:t xml:space="preserve"> there was linear clearance. The typical estimate for </w:t>
      </w:r>
      <w:r w:rsidR="00385A55">
        <w:t>a</w:t>
      </w:r>
      <w:r w:rsidR="00385A55" w:rsidRPr="00385A55">
        <w:t xml:space="preserve">pparent systemic clearance </w:t>
      </w:r>
      <w:r>
        <w:t>was 1.90 L/h.</w:t>
      </w:r>
    </w:p>
    <w:p w14:paraId="31591944" w14:textId="31F8CE05" w:rsidR="00F448FF" w:rsidRDefault="00F448FF" w:rsidP="00F448FF">
      <w:r w:rsidRPr="008F4C6C">
        <w:t>There are potential pharmacogenetic effects that have not been explored</w:t>
      </w:r>
      <w:r w:rsidR="00FE33B5" w:rsidRPr="008F4C6C">
        <w:t xml:space="preserve">. </w:t>
      </w:r>
      <w:r w:rsidRPr="008F4C6C">
        <w:t>In Study MD-005</w:t>
      </w:r>
      <w:r w:rsidR="00BA6A63" w:rsidRPr="008F4C6C">
        <w:t>,</w:t>
      </w:r>
      <w:r w:rsidRPr="008F4C6C">
        <w:t xml:space="preserve"> bioequivalence was not demonstrated for either the 20 mg/kg or 60 mg/kg dose levels for </w:t>
      </w:r>
      <w:r>
        <w:t>the Phase 1/2 and Phase 3 formulations. However, the pivotal Phase III study was conducted using the formulation intended for marketing. The PK data obtained from the early development formulation are applicable to the marketed formulation</w:t>
      </w:r>
      <w:r w:rsidR="00FE33B5">
        <w:t>.</w:t>
      </w:r>
    </w:p>
    <w:p w14:paraId="422B174D" w14:textId="15DBA446" w:rsidR="00F448FF" w:rsidRDefault="00F448FF" w:rsidP="00F448FF">
      <w:pPr>
        <w:pStyle w:val="Heading4"/>
      </w:pPr>
      <w:bookmarkStart w:id="46" w:name="_Toc215749777"/>
      <w:r>
        <w:t>Pharmacodynamics</w:t>
      </w:r>
      <w:bookmarkEnd w:id="46"/>
    </w:p>
    <w:p w14:paraId="7D6D7009" w14:textId="54D57504" w:rsidR="00F448FF" w:rsidRDefault="00F448FF" w:rsidP="00F448FF">
      <w:proofErr w:type="spellStart"/>
      <w:r>
        <w:t>Sepiapterin</w:t>
      </w:r>
      <w:proofErr w:type="spellEnd"/>
      <w:r>
        <w:t xml:space="preserve"> acts as a dual pharmacological chaperone (</w:t>
      </w:r>
      <w:proofErr w:type="spellStart"/>
      <w:r>
        <w:t>sepiapterin</w:t>
      </w:r>
      <w:proofErr w:type="spellEnd"/>
      <w:r>
        <w:t xml:space="preserve"> and </w:t>
      </w:r>
      <w:proofErr w:type="spellStart"/>
      <w:r>
        <w:t>BH4</w:t>
      </w:r>
      <w:proofErr w:type="spellEnd"/>
      <w:r>
        <w:t xml:space="preserve">) to improve the activity of the defective phenylalanine hydroxylase (PAH) enzyme, achieving a high concentration of </w:t>
      </w:r>
      <w:proofErr w:type="spellStart"/>
      <w:r>
        <w:t>BH4</w:t>
      </w:r>
      <w:proofErr w:type="spellEnd"/>
      <w:r>
        <w:t xml:space="preserve"> intracellularly. </w:t>
      </w:r>
      <w:proofErr w:type="spellStart"/>
      <w:r>
        <w:t>Sepiapterin</w:t>
      </w:r>
      <w:proofErr w:type="spellEnd"/>
      <w:r>
        <w:t xml:space="preserve"> is a natural precursor of the enzymatic cofactor </w:t>
      </w:r>
      <w:proofErr w:type="spellStart"/>
      <w:r>
        <w:t>BH4</w:t>
      </w:r>
      <w:proofErr w:type="spellEnd"/>
      <w:r>
        <w:t xml:space="preserve">, a critical co-factor for PAH. By enhancing the conformational stability of misfolded PAH enzyme and increasing the intracellular concentrations of </w:t>
      </w:r>
      <w:proofErr w:type="spellStart"/>
      <w:r>
        <w:t>BH4</w:t>
      </w:r>
      <w:proofErr w:type="spellEnd"/>
      <w:r>
        <w:t xml:space="preserve">, </w:t>
      </w:r>
      <w:proofErr w:type="spellStart"/>
      <w:r>
        <w:t>sepiapterin</w:t>
      </w:r>
      <w:proofErr w:type="spellEnd"/>
      <w:r>
        <w:t xml:space="preserve"> </w:t>
      </w:r>
      <w:proofErr w:type="gramStart"/>
      <w:r>
        <w:t>is able to</w:t>
      </w:r>
      <w:proofErr w:type="gramEnd"/>
      <w:r>
        <w:t xml:space="preserve"> effectively reduce blood </w:t>
      </w:r>
      <w:proofErr w:type="spellStart"/>
      <w:r>
        <w:t>Phe</w:t>
      </w:r>
      <w:proofErr w:type="spellEnd"/>
      <w:r>
        <w:t xml:space="preserve"> concentrations.</w:t>
      </w:r>
    </w:p>
    <w:p w14:paraId="6A6FFB02" w14:textId="1DA764D0" w:rsidR="00F448FF" w:rsidRDefault="00F448FF" w:rsidP="00F448FF">
      <w:r>
        <w:t xml:space="preserve">The primary outcome of the pivotal study is a PD outcome i.e. blood </w:t>
      </w:r>
      <w:proofErr w:type="spellStart"/>
      <w:r>
        <w:t>Phe</w:t>
      </w:r>
      <w:proofErr w:type="spellEnd"/>
      <w:r>
        <w:t xml:space="preserve"> level. </w:t>
      </w:r>
      <w:r w:rsidR="00B36719">
        <w:t>Therefore,</w:t>
      </w:r>
      <w:r>
        <w:t xml:space="preserve"> the PD effect is overall well characterised.</w:t>
      </w:r>
    </w:p>
    <w:p w14:paraId="152B1C21" w14:textId="2639C8F4" w:rsidR="00595BD5" w:rsidRDefault="00E96E6A" w:rsidP="00D23AD4">
      <w:pPr>
        <w:pStyle w:val="Heading4"/>
      </w:pPr>
      <w:bookmarkStart w:id="47" w:name="_Toc215749778"/>
      <w:r>
        <w:t>Efficacy</w:t>
      </w:r>
      <w:bookmarkEnd w:id="47"/>
    </w:p>
    <w:p w14:paraId="69C21F65" w14:textId="11DF02F9" w:rsidR="00D23AD4" w:rsidRDefault="00D23AD4" w:rsidP="00D23AD4">
      <w:pPr>
        <w:pStyle w:val="Heading5"/>
      </w:pPr>
      <w:r>
        <w:t>Dosage selection for the pivotal stud</w:t>
      </w:r>
      <w:r w:rsidR="00455C6E">
        <w:t>y</w:t>
      </w:r>
    </w:p>
    <w:p w14:paraId="573B666B" w14:textId="38546443" w:rsidR="00D23AD4" w:rsidRDefault="00D23AD4" w:rsidP="00D23AD4">
      <w:r>
        <w:t xml:space="preserve">Study PKU-002 was a phase 2, </w:t>
      </w:r>
      <w:proofErr w:type="gramStart"/>
      <w:r>
        <w:t>randomised ,</w:t>
      </w:r>
      <w:proofErr w:type="gramEnd"/>
      <w:r>
        <w:t xml:space="preserve"> </w:t>
      </w:r>
      <w:proofErr w:type="spellStart"/>
      <w:r>
        <w:t>multicenter</w:t>
      </w:r>
      <w:proofErr w:type="spellEnd"/>
      <w:r>
        <w:t xml:space="preserve">, double-crossover, open label, active-controlled, study in adult subjects with PKU. 24 subjects were randomised in 6 sequence groups of 4 subjects per group. Each sequence group was randomized to receive </w:t>
      </w:r>
      <w:proofErr w:type="spellStart"/>
      <w:r>
        <w:t>sepiapterin</w:t>
      </w:r>
      <w:proofErr w:type="spellEnd"/>
      <w:r>
        <w:t xml:space="preserve"> </w:t>
      </w:r>
      <w:r w:rsidR="00C63000">
        <w:br/>
      </w:r>
      <w:r>
        <w:t xml:space="preserve">60 mg/kg/day, </w:t>
      </w:r>
      <w:proofErr w:type="spellStart"/>
      <w:r>
        <w:t>sepiapterin</w:t>
      </w:r>
      <w:proofErr w:type="spellEnd"/>
      <w:r>
        <w:t xml:space="preserve"> 20 mg/kg/day, and </w:t>
      </w:r>
      <w:proofErr w:type="spellStart"/>
      <w:r>
        <w:t>sapropterin</w:t>
      </w:r>
      <w:proofErr w:type="spellEnd"/>
      <w:r>
        <w:t xml:space="preserve"> 20 mg/kg/day, in random order over a period of 7 days, with a 7-day washout period between each treatment sequence. The </w:t>
      </w:r>
      <w:r>
        <w:lastRenderedPageBreak/>
        <w:t xml:space="preserve">primary objective was to assess preliminary efficacy of </w:t>
      </w:r>
      <w:proofErr w:type="spellStart"/>
      <w:r>
        <w:t>sepiapterin</w:t>
      </w:r>
      <w:proofErr w:type="spellEnd"/>
      <w:r>
        <w:t xml:space="preserve"> in reducing blood </w:t>
      </w:r>
      <w:proofErr w:type="spellStart"/>
      <w:r>
        <w:t>Phe</w:t>
      </w:r>
      <w:proofErr w:type="spellEnd"/>
      <w:r>
        <w:t xml:space="preserve"> levels at Day 3, 5 and 7 versus Day 1 for each period of treatment.</w:t>
      </w:r>
    </w:p>
    <w:p w14:paraId="1CD4F2F6" w14:textId="78E93AD1" w:rsidR="00D23AD4" w:rsidRDefault="00D23AD4" w:rsidP="00D23AD4">
      <w:r>
        <w:t xml:space="preserve">This study was a </w:t>
      </w:r>
      <w:r w:rsidR="00B36719">
        <w:t>proof-of-concept</w:t>
      </w:r>
      <w:r>
        <w:t xml:space="preserve"> study and thus no formal sample size calculation was performed. Study PKU-002 was not powered to show statistically significant differences in blood </w:t>
      </w:r>
      <w:proofErr w:type="spellStart"/>
      <w:r>
        <w:t>Phe</w:t>
      </w:r>
      <w:proofErr w:type="spellEnd"/>
      <w:r>
        <w:t xml:space="preserve"> concentrations between the treatment groups.</w:t>
      </w:r>
    </w:p>
    <w:p w14:paraId="33B56E4B" w14:textId="5AC73376" w:rsidR="00D23AD4" w:rsidRDefault="00D23AD4" w:rsidP="00D23AD4">
      <w:r>
        <w:t xml:space="preserve">The study results showed that treatment with </w:t>
      </w:r>
      <w:proofErr w:type="spellStart"/>
      <w:r>
        <w:t>sepiapterin</w:t>
      </w:r>
      <w:proofErr w:type="spellEnd"/>
      <w:r>
        <w:t xml:space="preserve"> 20 mg/kg and 60 mg/kg/day resulted in a dose-dependent decrease in blood </w:t>
      </w:r>
      <w:proofErr w:type="spellStart"/>
      <w:r>
        <w:t>Phe</w:t>
      </w:r>
      <w:proofErr w:type="spellEnd"/>
      <w:r>
        <w:t xml:space="preserve"> concentration relative to baseline. The LS mean (SE) change in </w:t>
      </w:r>
      <w:proofErr w:type="spellStart"/>
      <w:r>
        <w:t>Phe</w:t>
      </w:r>
      <w:proofErr w:type="spellEnd"/>
      <w:r>
        <w:t xml:space="preserve"> concentration from baseline was -146.88 (41.76) for </w:t>
      </w:r>
      <w:proofErr w:type="spellStart"/>
      <w:r>
        <w:t>sepiapterin</w:t>
      </w:r>
      <w:proofErr w:type="spellEnd"/>
      <w:r>
        <w:t xml:space="preserve"> 20 mg/kg and </w:t>
      </w:r>
      <w:r w:rsidR="00244DBA">
        <w:br/>
      </w:r>
      <w:r>
        <w:t xml:space="preserve">-206.37 (41.77) for </w:t>
      </w:r>
      <w:proofErr w:type="spellStart"/>
      <w:r>
        <w:t>sepiapterin</w:t>
      </w:r>
      <w:proofErr w:type="spellEnd"/>
      <w:r>
        <w:t xml:space="preserve"> 60 mg/kg, thus favouring the 60</w:t>
      </w:r>
      <w:r w:rsidR="00EF5865">
        <w:t xml:space="preserve"> </w:t>
      </w:r>
      <w:r>
        <w:t xml:space="preserve">mg/kg dose. Pairwise comparisons of </w:t>
      </w:r>
      <w:proofErr w:type="spellStart"/>
      <w:r>
        <w:t>LSM</w:t>
      </w:r>
      <w:proofErr w:type="spellEnd"/>
      <w:r>
        <w:t xml:space="preserve"> blood </w:t>
      </w:r>
      <w:proofErr w:type="spellStart"/>
      <w:r>
        <w:t>Phe</w:t>
      </w:r>
      <w:proofErr w:type="spellEnd"/>
      <w:r>
        <w:t xml:space="preserve"> concentration reductions for all treatments favoured </w:t>
      </w:r>
      <w:proofErr w:type="spellStart"/>
      <w:r>
        <w:t>sepiapterin</w:t>
      </w:r>
      <w:proofErr w:type="spellEnd"/>
      <w:r>
        <w:t xml:space="preserve"> 60 mg/kg/day.</w:t>
      </w:r>
    </w:p>
    <w:p w14:paraId="43D17318" w14:textId="4AA4D608" w:rsidR="00A13220" w:rsidRDefault="00A13220" w:rsidP="00A13220">
      <w:pPr>
        <w:pStyle w:val="Heading5"/>
      </w:pPr>
      <w:r>
        <w:t xml:space="preserve">Pivotal Study </w:t>
      </w:r>
      <w:proofErr w:type="spellStart"/>
      <w:r>
        <w:t>PTC923</w:t>
      </w:r>
      <w:proofErr w:type="spellEnd"/>
      <w:r>
        <w:t>-MD-003-PKU (Study MD-003-PKU)</w:t>
      </w:r>
    </w:p>
    <w:p w14:paraId="553944A5" w14:textId="77777777" w:rsidR="00A13220" w:rsidRDefault="00A13220" w:rsidP="00A13220">
      <w:r>
        <w:t xml:space="preserve">Study MD-003-PKU was a Phase 3, double-blind, placebo-controlled, randomised, efficacy study of </w:t>
      </w:r>
      <w:proofErr w:type="spellStart"/>
      <w:r>
        <w:t>sepiapterin</w:t>
      </w:r>
      <w:proofErr w:type="spellEnd"/>
      <w:r>
        <w:t xml:space="preserve"> versus placebo in participants with PKU of all ages. The primary objective was to evaluate the efficacy of </w:t>
      </w:r>
      <w:proofErr w:type="spellStart"/>
      <w:r>
        <w:t>sepiapterin</w:t>
      </w:r>
      <w:proofErr w:type="spellEnd"/>
      <w:r>
        <w:t xml:space="preserve"> in reducing blood phenylalanine (</w:t>
      </w:r>
      <w:proofErr w:type="spellStart"/>
      <w:r>
        <w:t>Phe</w:t>
      </w:r>
      <w:proofErr w:type="spellEnd"/>
      <w:r>
        <w:t xml:space="preserve">) levels in participants with PKU as measured by mean change in blood </w:t>
      </w:r>
      <w:proofErr w:type="spellStart"/>
      <w:r>
        <w:t>Phe</w:t>
      </w:r>
      <w:proofErr w:type="spellEnd"/>
      <w:r>
        <w:t xml:space="preserve"> levels from baseline to Weeks 5 and 6.</w:t>
      </w:r>
    </w:p>
    <w:p w14:paraId="110B617C" w14:textId="77777777" w:rsidR="00A13220" w:rsidRDefault="00A13220" w:rsidP="00A13220">
      <w:r>
        <w:t xml:space="preserve">The study was designed with a responsiveness test (Part 1), followed by randomisation and a double-blind dose escalation phase, followed by an open-label follow-on study (Study </w:t>
      </w:r>
      <w:proofErr w:type="spellStart"/>
      <w:r>
        <w:t>PTC923</w:t>
      </w:r>
      <w:proofErr w:type="spellEnd"/>
      <w:r>
        <w:t>-MD-004-PKU). The study design is summarised in Figure 1.</w:t>
      </w:r>
    </w:p>
    <w:p w14:paraId="7D8051C9" w14:textId="53D5F968" w:rsidR="00F16DBD" w:rsidRDefault="006348A3" w:rsidP="006348A3">
      <w:pPr>
        <w:pStyle w:val="FigureTitle"/>
      </w:pPr>
      <w:r w:rsidRPr="006348A3">
        <w:t>Figure 1</w:t>
      </w:r>
      <w:r>
        <w:t xml:space="preserve">. </w:t>
      </w:r>
      <w:r w:rsidRPr="006348A3">
        <w:t xml:space="preserve">Study </w:t>
      </w:r>
      <w:proofErr w:type="spellStart"/>
      <w:r w:rsidRPr="006348A3">
        <w:t>PTC923</w:t>
      </w:r>
      <w:proofErr w:type="spellEnd"/>
      <w:r w:rsidRPr="006348A3">
        <w:t>-MD-004-PKU Design</w:t>
      </w:r>
    </w:p>
    <w:p w14:paraId="161CAA7D" w14:textId="17C5B5D8" w:rsidR="00F16DBD" w:rsidRDefault="00F16DBD" w:rsidP="00AC762A">
      <w:r>
        <w:rPr>
          <w:noProof/>
        </w:rPr>
        <w:drawing>
          <wp:inline distT="0" distB="0" distL="0" distR="0" wp14:anchorId="094B49BC" wp14:editId="645084C5">
            <wp:extent cx="5827322" cy="1653540"/>
            <wp:effectExtent l="0" t="0" r="2540" b="3810"/>
            <wp:docPr id="227438928" name="Picture 1" descr="Figure 1. Study PTC923-MD-004-PKU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438928" name="Picture 1" descr="Figure 1. Study PTC923-MD-004-PKU Design"/>
                    <pic:cNvPicPr>
                      <a:picLocks noChangeAspect="1" noChangeArrowheads="1"/>
                    </pic:cNvPicPr>
                  </pic:nvPicPr>
                  <pic:blipFill>
                    <a:blip r:embed="rId26">
                      <a:extLst>
                        <a:ext uri="{BEBA8EAE-BF5A-486C-A8C5-ECC9F3942E4B}">
                          <a14:imgProps xmlns:a14="http://schemas.microsoft.com/office/drawing/2010/main">
                            <a14:imgLayer r:embed="rId2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829293" cy="1654099"/>
                    </a:xfrm>
                    <a:prstGeom prst="rect">
                      <a:avLst/>
                    </a:prstGeom>
                    <a:noFill/>
                  </pic:spPr>
                </pic:pic>
              </a:graphicData>
            </a:graphic>
          </wp:inline>
        </w:drawing>
      </w:r>
    </w:p>
    <w:p w14:paraId="28A1424C" w14:textId="0002616C" w:rsidR="00A756E2" w:rsidRDefault="00A756E2" w:rsidP="00B76330">
      <w:pPr>
        <w:pStyle w:val="Heading6"/>
      </w:pPr>
      <w:r>
        <w:t xml:space="preserve">Key </w:t>
      </w:r>
      <w:r w:rsidR="00FA5226">
        <w:t>i</w:t>
      </w:r>
      <w:r>
        <w:t>nclusion criteria</w:t>
      </w:r>
    </w:p>
    <w:p w14:paraId="4D79319A" w14:textId="099B9FE9" w:rsidR="00A756E2" w:rsidRDefault="00A756E2" w:rsidP="00AC762A">
      <w:pPr>
        <w:pStyle w:val="ListBullet"/>
      </w:pPr>
      <w:r>
        <w:t xml:space="preserve">Male or female </w:t>
      </w:r>
      <w:r w:rsidRPr="00AC762A">
        <w:t>subjects</w:t>
      </w:r>
      <w:r>
        <w:t xml:space="preserve"> of any age</w:t>
      </w:r>
    </w:p>
    <w:p w14:paraId="2C49B9B2" w14:textId="53835ED9" w:rsidR="00A756E2" w:rsidRDefault="00A756E2" w:rsidP="00B76330">
      <w:pPr>
        <w:pStyle w:val="ListBullet"/>
      </w:pPr>
      <w:r>
        <w:t xml:space="preserve">Uncontrolled blood </w:t>
      </w:r>
      <w:proofErr w:type="spellStart"/>
      <w:r>
        <w:t>Phe</w:t>
      </w:r>
      <w:proofErr w:type="spellEnd"/>
      <w:r>
        <w:t xml:space="preserve"> level ≥360 </w:t>
      </w:r>
      <w:proofErr w:type="spellStart"/>
      <w:r>
        <w:t>μmol</w:t>
      </w:r>
      <w:proofErr w:type="spellEnd"/>
      <w:r>
        <w:t>/L on current therapy anytime during</w:t>
      </w:r>
      <w:r w:rsidR="0012461A">
        <w:t xml:space="preserve"> </w:t>
      </w:r>
      <w:r w:rsidR="000D22CC">
        <w:t>S</w:t>
      </w:r>
      <w:r>
        <w:t xml:space="preserve">creening and uncontrolled blood </w:t>
      </w:r>
      <w:proofErr w:type="spellStart"/>
      <w:r>
        <w:t>Phe</w:t>
      </w:r>
      <w:proofErr w:type="spellEnd"/>
      <w:r>
        <w:t xml:space="preserve"> level ≥360 </w:t>
      </w:r>
      <w:proofErr w:type="spellStart"/>
      <w:r>
        <w:t>μmol</w:t>
      </w:r>
      <w:proofErr w:type="spellEnd"/>
      <w:r>
        <w:t xml:space="preserve">/L on current therapy when taking the average of the three most recent </w:t>
      </w:r>
      <w:proofErr w:type="spellStart"/>
      <w:r>
        <w:t>Phe</w:t>
      </w:r>
      <w:proofErr w:type="spellEnd"/>
      <w:r>
        <w:t xml:space="preserve"> levels from the subject’s medical history (inclusive of the </w:t>
      </w:r>
      <w:r w:rsidR="000D22CC">
        <w:t>S</w:t>
      </w:r>
      <w:r>
        <w:t>creening value)</w:t>
      </w:r>
    </w:p>
    <w:p w14:paraId="107839CE" w14:textId="174A89D1" w:rsidR="00A756E2" w:rsidRDefault="00A756E2" w:rsidP="00B76330">
      <w:pPr>
        <w:pStyle w:val="ListBullet"/>
      </w:pPr>
      <w:r>
        <w:t xml:space="preserve">Clinical diagnosis of PKU with </w:t>
      </w:r>
      <w:proofErr w:type="spellStart"/>
      <w:r>
        <w:t>HPA</w:t>
      </w:r>
      <w:proofErr w:type="spellEnd"/>
      <w:r>
        <w:t xml:space="preserve"> documented by past medical history of at least</w:t>
      </w:r>
      <w:r w:rsidR="0012461A">
        <w:t xml:space="preserve"> </w:t>
      </w:r>
      <w:r>
        <w:t xml:space="preserve">two blood </w:t>
      </w:r>
      <w:proofErr w:type="spellStart"/>
      <w:r>
        <w:t>Phe</w:t>
      </w:r>
      <w:proofErr w:type="spellEnd"/>
      <w:r>
        <w:t xml:space="preserve"> measurements ≥600 </w:t>
      </w:r>
      <w:proofErr w:type="spellStart"/>
      <w:r>
        <w:t>μmol</w:t>
      </w:r>
      <w:proofErr w:type="spellEnd"/>
      <w:r>
        <w:t>/L</w:t>
      </w:r>
    </w:p>
    <w:p w14:paraId="6F4E5BC4" w14:textId="6051903D" w:rsidR="00A756E2" w:rsidRDefault="00A756E2" w:rsidP="00B76330">
      <w:pPr>
        <w:pStyle w:val="ListBullet"/>
      </w:pPr>
      <w:r>
        <w:t>Women of childbearing potential must have a negative pregnancy test at Screening and agree to abstinence or the use of at least one highly effective form of contraception</w:t>
      </w:r>
    </w:p>
    <w:p w14:paraId="0DE3DC2B" w14:textId="7E45FA17" w:rsidR="0012461A" w:rsidRDefault="00A756E2" w:rsidP="00B76330">
      <w:pPr>
        <w:pStyle w:val="ListBullet"/>
      </w:pPr>
      <w:r>
        <w:t xml:space="preserve">Willing to continue current diet unchanged while participating in the study </w:t>
      </w:r>
    </w:p>
    <w:p w14:paraId="2C23566E" w14:textId="77524F75" w:rsidR="00A756E2" w:rsidRDefault="00A756E2" w:rsidP="00B76330">
      <w:pPr>
        <w:pStyle w:val="Heading6"/>
      </w:pPr>
      <w:r>
        <w:t>Key exclusion criteria</w:t>
      </w:r>
    </w:p>
    <w:p w14:paraId="62B786E9" w14:textId="33DEA70B" w:rsidR="00A756E2" w:rsidRDefault="00A756E2" w:rsidP="00B76330">
      <w:pPr>
        <w:pStyle w:val="ListBullet"/>
      </w:pPr>
      <w:r>
        <w:t>Inability to tolerate oral medication</w:t>
      </w:r>
    </w:p>
    <w:p w14:paraId="35BF8764" w14:textId="46B56FF6" w:rsidR="00A756E2" w:rsidRDefault="00A756E2" w:rsidP="00B76330">
      <w:pPr>
        <w:pStyle w:val="ListBullet"/>
      </w:pPr>
      <w:r>
        <w:lastRenderedPageBreak/>
        <w:t>Gastrointestinal disease (such as irritable bowel syndrome, inflammatory bowel disease, chronic gastritis, and peptic ulcer disease, etc.) that could affect the absorption of study drug</w:t>
      </w:r>
    </w:p>
    <w:p w14:paraId="0FB9CCA4" w14:textId="279E0EF1" w:rsidR="00A756E2" w:rsidRDefault="00A756E2" w:rsidP="00B76330">
      <w:pPr>
        <w:pStyle w:val="ListBullet"/>
      </w:pPr>
      <w:r>
        <w:t>History of gastric surgery, including Roux-en-Y gastric bypass surgery or an antrectomy with vagotomy, or gastrectomy</w:t>
      </w:r>
    </w:p>
    <w:p w14:paraId="65EC63BA" w14:textId="7C6C191A" w:rsidR="00A756E2" w:rsidRDefault="00A756E2" w:rsidP="00B76330">
      <w:pPr>
        <w:pStyle w:val="ListBullet"/>
      </w:pPr>
      <w:r>
        <w:t xml:space="preserve">History of allergies or adverse reactions to synthetic </w:t>
      </w:r>
      <w:proofErr w:type="spellStart"/>
      <w:r>
        <w:t>BH4</w:t>
      </w:r>
      <w:proofErr w:type="spellEnd"/>
      <w:r>
        <w:t xml:space="preserve"> or </w:t>
      </w:r>
      <w:proofErr w:type="spellStart"/>
      <w:r>
        <w:t>sepiapterin</w:t>
      </w:r>
      <w:proofErr w:type="spellEnd"/>
    </w:p>
    <w:p w14:paraId="38BAC098" w14:textId="18C981FC" w:rsidR="00A756E2" w:rsidRDefault="00A756E2" w:rsidP="00B76330">
      <w:pPr>
        <w:pStyle w:val="ListBullet"/>
      </w:pPr>
      <w:r>
        <w:t>Any clinically significant laboratory abnormality as determined by the investigator. In general, each laboratory value from Screening and baseline chemistry and haematology panels should fall within the limits of the normal laboratory reference range, unless deemed not clinically significant by the investigator</w:t>
      </w:r>
    </w:p>
    <w:p w14:paraId="6F7B61E1" w14:textId="76183DF9" w:rsidR="00A756E2" w:rsidRDefault="00A756E2" w:rsidP="00B76330">
      <w:pPr>
        <w:pStyle w:val="ListBullet"/>
      </w:pPr>
      <w:r>
        <w:t>A female who is pregnant or breastfeeding, or considering pregnancy</w:t>
      </w:r>
    </w:p>
    <w:p w14:paraId="2913B08D" w14:textId="471B6CB4" w:rsidR="00B76330" w:rsidRDefault="00A756E2" w:rsidP="00B76330">
      <w:pPr>
        <w:pStyle w:val="ListBullet"/>
      </w:pPr>
      <w:r>
        <w:t xml:space="preserve">Serious neuropsychiatric illness (e.g., major depression) not currently under medical control, that in the opinion of the investigator or </w:t>
      </w:r>
      <w:r w:rsidR="00DD1733">
        <w:t>Sponsor</w:t>
      </w:r>
      <w:r>
        <w:t>, would interfere with the</w:t>
      </w:r>
      <w:r w:rsidR="00B76330" w:rsidRPr="00B76330">
        <w:t xml:space="preserve"> </w:t>
      </w:r>
      <w:r w:rsidR="00B76330">
        <w:t xml:space="preserve">subject’s ability to participate in the study or increase the risk of participation for that subject. </w:t>
      </w:r>
    </w:p>
    <w:p w14:paraId="7368D03C" w14:textId="3B3F8C22" w:rsidR="00B76330" w:rsidRDefault="00B76330" w:rsidP="00B76330">
      <w:pPr>
        <w:pStyle w:val="ListBullet"/>
      </w:pPr>
      <w:r>
        <w:t>Past medical history and/or evidence of renal impairment and/or condition including moderate/severe renal insufficiency (glom</w:t>
      </w:r>
      <w:r w:rsidRPr="008F4C6C">
        <w:t>erular filtration rate [</w:t>
      </w:r>
      <w:proofErr w:type="spellStart"/>
      <w:r w:rsidRPr="008F4C6C">
        <w:t>GFR</w:t>
      </w:r>
      <w:proofErr w:type="spellEnd"/>
      <w:r w:rsidRPr="008F4C6C">
        <w:t>]</w:t>
      </w:r>
      <w:r>
        <w:t xml:space="preserve"> &lt;60 mL/min) and/or under care of a nephrologist</w:t>
      </w:r>
    </w:p>
    <w:p w14:paraId="6337D794" w14:textId="34E10758" w:rsidR="00B76330" w:rsidRDefault="00B76330" w:rsidP="00B76330">
      <w:pPr>
        <w:pStyle w:val="ListBullet"/>
      </w:pPr>
      <w:r>
        <w:t xml:space="preserve">Any abnormal physical examination and/or laboratory findings indicative of signs or symptoms of renal disease, including calculated </w:t>
      </w:r>
      <w:proofErr w:type="spellStart"/>
      <w:r>
        <w:t>GFR</w:t>
      </w:r>
      <w:proofErr w:type="spellEnd"/>
      <w:r>
        <w:t xml:space="preserve"> &lt;60 mL/min/</w:t>
      </w:r>
      <w:proofErr w:type="spellStart"/>
      <w:r>
        <w:t>1.73m</w:t>
      </w:r>
      <w:r w:rsidRPr="004540F9">
        <w:rPr>
          <w:vertAlign w:val="superscript"/>
        </w:rPr>
        <w:t>2</w:t>
      </w:r>
      <w:proofErr w:type="spellEnd"/>
      <w:r>
        <w:t xml:space="preserve">. In subjects ≥18 years of age, the Modification of Diet in Renal Disease Equation should be used to determine </w:t>
      </w:r>
      <w:proofErr w:type="spellStart"/>
      <w:r>
        <w:t>GFR</w:t>
      </w:r>
      <w:proofErr w:type="spellEnd"/>
      <w:r>
        <w:t xml:space="preserve">. In subjects &lt;18 years, the Bedside Schwartz Equation should be used to determine </w:t>
      </w:r>
      <w:proofErr w:type="spellStart"/>
      <w:r>
        <w:t>GFR</w:t>
      </w:r>
      <w:proofErr w:type="spellEnd"/>
    </w:p>
    <w:p w14:paraId="70562A52" w14:textId="31661426" w:rsidR="00B76330" w:rsidRDefault="00B76330" w:rsidP="00B76330">
      <w:pPr>
        <w:pStyle w:val="ListBullet"/>
      </w:pPr>
      <w:r>
        <w:t>Requirement for concomitant treatment with any drug known to inhibit folate synthesis (e.g., methotrexate)</w:t>
      </w:r>
    </w:p>
    <w:p w14:paraId="34A278A9" w14:textId="3FFE2630" w:rsidR="00B76330" w:rsidRDefault="00B76330" w:rsidP="00B76330">
      <w:pPr>
        <w:pStyle w:val="ListBullet"/>
      </w:pPr>
      <w:r>
        <w:t xml:space="preserve">Confirmed diagnosis of a primary </w:t>
      </w:r>
      <w:proofErr w:type="spellStart"/>
      <w:r>
        <w:t>BH4</w:t>
      </w:r>
      <w:proofErr w:type="spellEnd"/>
      <w:r>
        <w:t xml:space="preserve"> deficiency as evidenced by biallelic pathogenic mutations in 6-</w:t>
      </w:r>
      <w:proofErr w:type="spellStart"/>
      <w:r>
        <w:t>pyruvoyltetrahydropterin</w:t>
      </w:r>
      <w:proofErr w:type="spellEnd"/>
      <w:r>
        <w:t xml:space="preserve"> synthase, recessive </w:t>
      </w:r>
      <w:proofErr w:type="spellStart"/>
      <w:r>
        <w:t>GTP</w:t>
      </w:r>
      <w:proofErr w:type="spellEnd"/>
      <w:r>
        <w:t xml:space="preserve"> </w:t>
      </w:r>
      <w:proofErr w:type="spellStart"/>
      <w:r>
        <w:t>cyclohydrolase</w:t>
      </w:r>
      <w:proofErr w:type="spellEnd"/>
      <w:r>
        <w:t xml:space="preserve"> I, </w:t>
      </w:r>
      <w:proofErr w:type="spellStart"/>
      <w:r>
        <w:t>sepiapterin</w:t>
      </w:r>
      <w:proofErr w:type="spellEnd"/>
      <w:r>
        <w:t xml:space="preserve"> reductase, quinoid </w:t>
      </w:r>
      <w:proofErr w:type="spellStart"/>
      <w:r>
        <w:t>dihydropteridine</w:t>
      </w:r>
      <w:proofErr w:type="spellEnd"/>
      <w:r>
        <w:t xml:space="preserve"> reductase, or pterin-4- </w:t>
      </w:r>
      <w:proofErr w:type="spellStart"/>
      <w:r>
        <w:t>alphacarbinolamine</w:t>
      </w:r>
      <w:proofErr w:type="spellEnd"/>
      <w:r>
        <w:t xml:space="preserve"> dehydratase genes</w:t>
      </w:r>
    </w:p>
    <w:p w14:paraId="57FBC263" w14:textId="24CC53C7" w:rsidR="00B76330" w:rsidRDefault="00B76330" w:rsidP="00B76330">
      <w:pPr>
        <w:pStyle w:val="ListBullet"/>
      </w:pPr>
      <w:r>
        <w:t xml:space="preserve">Concomitant treatment with </w:t>
      </w:r>
      <w:proofErr w:type="spellStart"/>
      <w:r>
        <w:t>BH4</w:t>
      </w:r>
      <w:proofErr w:type="spellEnd"/>
      <w:r>
        <w:t xml:space="preserve"> supplementation (e.g., </w:t>
      </w:r>
      <w:proofErr w:type="spellStart"/>
      <w:r>
        <w:t>sapropterin</w:t>
      </w:r>
      <w:proofErr w:type="spellEnd"/>
      <w:r>
        <w:t xml:space="preserve"> dihydrochloride, KUVAN) or </w:t>
      </w:r>
      <w:proofErr w:type="spellStart"/>
      <w:r>
        <w:t>pegvaliase-pqpz</w:t>
      </w:r>
      <w:proofErr w:type="spellEnd"/>
      <w:r>
        <w:t xml:space="preserve"> (PALYNZIQ)</w:t>
      </w:r>
    </w:p>
    <w:p w14:paraId="65E920DE" w14:textId="2BBF3EC8" w:rsidR="00A13220" w:rsidRDefault="00B76330" w:rsidP="00B76330">
      <w:pPr>
        <w:pStyle w:val="ListBullet"/>
      </w:pPr>
      <w:r>
        <w:t xml:space="preserve">Unwillingness to washout from </w:t>
      </w:r>
      <w:proofErr w:type="spellStart"/>
      <w:r>
        <w:t>BH4</w:t>
      </w:r>
      <w:proofErr w:type="spellEnd"/>
      <w:r>
        <w:t xml:space="preserve"> supplementation (e.g., </w:t>
      </w:r>
      <w:proofErr w:type="spellStart"/>
      <w:r>
        <w:t>sapropterin</w:t>
      </w:r>
      <w:proofErr w:type="spellEnd"/>
      <w:r>
        <w:t xml:space="preserve"> dihydrochloride, KUVAN) or </w:t>
      </w:r>
      <w:proofErr w:type="spellStart"/>
      <w:r>
        <w:t>pegvaliase-pqpz</w:t>
      </w:r>
      <w:proofErr w:type="spellEnd"/>
      <w:r>
        <w:t xml:space="preserve"> (PALYNZIQ)</w:t>
      </w:r>
      <w:r w:rsidR="00AC762A">
        <w:t>.</w:t>
      </w:r>
    </w:p>
    <w:p w14:paraId="08CF7ECF" w14:textId="6E19CFB1" w:rsidR="00A963D1" w:rsidRDefault="00A963D1" w:rsidP="00AC762A">
      <w:pPr>
        <w:pStyle w:val="Heading6"/>
      </w:pPr>
      <w:r>
        <w:t xml:space="preserve">Study </w:t>
      </w:r>
      <w:r w:rsidRPr="00AC762A">
        <w:t>treatments</w:t>
      </w:r>
    </w:p>
    <w:p w14:paraId="1B408DE4" w14:textId="77777777" w:rsidR="00A963D1" w:rsidRDefault="00A963D1" w:rsidP="00A963D1">
      <w:r>
        <w:t xml:space="preserve">The intervention period was preceded by an open-label responsiveness test (Part 1), during which participants received </w:t>
      </w:r>
      <w:proofErr w:type="spellStart"/>
      <w:r>
        <w:t>sepiapterin</w:t>
      </w:r>
      <w:proofErr w:type="spellEnd"/>
      <w:r>
        <w:t xml:space="preserve"> (7.5 mg/kg for participants 0 to &lt;6 months of age, 15 mg/kg for participants 6 to &lt;12 months of age, 30 mg/kg for participants 12 months to &lt;2 years of age, and 60 mg/kg for participants ≥2 years of age) for 14 days starting on Day 1. Participants who experienced a ≥15% reduction in blood </w:t>
      </w:r>
      <w:proofErr w:type="spellStart"/>
      <w:r>
        <w:t>Phe</w:t>
      </w:r>
      <w:proofErr w:type="spellEnd"/>
      <w:r>
        <w:t xml:space="preserve"> were classified as responsive and randomised to Part 2.</w:t>
      </w:r>
    </w:p>
    <w:p w14:paraId="169015C5" w14:textId="77777777" w:rsidR="00A963D1" w:rsidRDefault="00A963D1" w:rsidP="00A963D1">
      <w:r>
        <w:t>The treatment arms for Part 2 were:</w:t>
      </w:r>
    </w:p>
    <w:p w14:paraId="02B9F45D" w14:textId="6108E478" w:rsidR="00A963D1" w:rsidRDefault="00A963D1" w:rsidP="00005968">
      <w:pPr>
        <w:pStyle w:val="ListBullet"/>
      </w:pPr>
      <w:proofErr w:type="spellStart"/>
      <w:r>
        <w:t>Sepiapterin</w:t>
      </w:r>
      <w:proofErr w:type="spellEnd"/>
      <w:r>
        <w:t xml:space="preserve"> 20 mg/kg for Weeks 1 and 2, 40 mg/kg for Weeks 3 and 4, and 60</w:t>
      </w:r>
      <w:r w:rsidR="00A732B0">
        <w:t xml:space="preserve"> </w:t>
      </w:r>
      <w:r>
        <w:t>mg/kg for Weeks 5 and 6</w:t>
      </w:r>
    </w:p>
    <w:p w14:paraId="32E033F8" w14:textId="2D66BB0C" w:rsidR="00A963D1" w:rsidRDefault="00A963D1" w:rsidP="00005968">
      <w:pPr>
        <w:pStyle w:val="ListBullet"/>
      </w:pPr>
      <w:r>
        <w:t>Placebo</w:t>
      </w:r>
    </w:p>
    <w:p w14:paraId="5E367850" w14:textId="77777777" w:rsidR="00A963D1" w:rsidRDefault="00A963D1" w:rsidP="00A963D1">
      <w:r>
        <w:t>The total duration of treatment during Part 2 was 6 weeks.</w:t>
      </w:r>
    </w:p>
    <w:p w14:paraId="6AB28BA2" w14:textId="71DA8066" w:rsidR="00A963D1" w:rsidRDefault="00A963D1" w:rsidP="00A963D1">
      <w:r>
        <w:lastRenderedPageBreak/>
        <w:t xml:space="preserve">Participants who were taking </w:t>
      </w:r>
      <w:proofErr w:type="spellStart"/>
      <w:r>
        <w:t>BH4</w:t>
      </w:r>
      <w:proofErr w:type="spellEnd"/>
      <w:r>
        <w:t xml:space="preserve"> supplementation or </w:t>
      </w:r>
      <w:proofErr w:type="spellStart"/>
      <w:r>
        <w:t>pegvaliase-pqpz</w:t>
      </w:r>
      <w:proofErr w:type="spellEnd"/>
      <w:r>
        <w:t xml:space="preserve"> completed a washout period prior to the study. Concomitant use of </w:t>
      </w:r>
      <w:proofErr w:type="spellStart"/>
      <w:r>
        <w:t>BH4</w:t>
      </w:r>
      <w:proofErr w:type="spellEnd"/>
      <w:r>
        <w:t xml:space="preserve"> supplementation, </w:t>
      </w:r>
      <w:proofErr w:type="spellStart"/>
      <w:r>
        <w:t>pegvaliase-pqpz</w:t>
      </w:r>
      <w:proofErr w:type="spellEnd"/>
      <w:r>
        <w:t>, or any drug known to inhibit folate synthesis was not permitted.</w:t>
      </w:r>
    </w:p>
    <w:p w14:paraId="5EA3C407" w14:textId="6F419A8E" w:rsidR="00A963D1" w:rsidRDefault="00A963D1" w:rsidP="007F0B1D">
      <w:pPr>
        <w:pStyle w:val="Heading6"/>
      </w:pPr>
      <w:r>
        <w:t>Endpoints</w:t>
      </w:r>
    </w:p>
    <w:p w14:paraId="4BA43C40" w14:textId="77777777" w:rsidR="00A963D1" w:rsidRDefault="00A963D1" w:rsidP="00A963D1">
      <w:r>
        <w:t xml:space="preserve">The primary efficacy outcome measure was the mean change in blood </w:t>
      </w:r>
      <w:proofErr w:type="spellStart"/>
      <w:r>
        <w:t>Phe</w:t>
      </w:r>
      <w:proofErr w:type="spellEnd"/>
      <w:r>
        <w:t xml:space="preserve"> levels from baseline to Weeks 5 and 6 (average over a 2-week period) in the Part 2 double-blind phase.</w:t>
      </w:r>
    </w:p>
    <w:p w14:paraId="76A838D1" w14:textId="77777777" w:rsidR="00A963D1" w:rsidRDefault="00A963D1" w:rsidP="00A963D1">
      <w:r>
        <w:t>The secondary efficacy outcome measures were:</w:t>
      </w:r>
    </w:p>
    <w:p w14:paraId="232B8F55" w14:textId="372FCBAC" w:rsidR="00A756E2" w:rsidRDefault="00A963D1" w:rsidP="00005968">
      <w:pPr>
        <w:pStyle w:val="ListBullet"/>
      </w:pPr>
      <w:r>
        <w:t xml:space="preserve">Proportion of participants with baseline </w:t>
      </w:r>
      <w:proofErr w:type="spellStart"/>
      <w:r>
        <w:t>Phe</w:t>
      </w:r>
      <w:proofErr w:type="spellEnd"/>
      <w:r>
        <w:t xml:space="preserve"> levels ≥600 </w:t>
      </w:r>
      <w:proofErr w:type="spellStart"/>
      <w:r>
        <w:t>μmol</w:t>
      </w:r>
      <w:proofErr w:type="spellEnd"/>
      <w:r>
        <w:t xml:space="preserve">/L who achieve </w:t>
      </w:r>
      <w:proofErr w:type="spellStart"/>
      <w:r>
        <w:t>Phe</w:t>
      </w:r>
      <w:proofErr w:type="spellEnd"/>
      <w:r>
        <w:t xml:space="preserve"> levels &lt;600 </w:t>
      </w:r>
      <w:proofErr w:type="spellStart"/>
      <w:r>
        <w:t>μmol</w:t>
      </w:r>
      <w:proofErr w:type="spellEnd"/>
      <w:r>
        <w:t>/L at the end of the double-blind treatment period</w:t>
      </w:r>
      <w:bookmarkStart w:id="48" w:name="_Toc314842514"/>
      <w:bookmarkStart w:id="49" w:name="_Toc103679298"/>
    </w:p>
    <w:p w14:paraId="53465CA0" w14:textId="1FC7AFF7" w:rsidR="00005968" w:rsidRDefault="00005968" w:rsidP="00005968">
      <w:pPr>
        <w:pStyle w:val="ListBullet"/>
        <w:rPr>
          <w:lang w:eastAsia="en-AU"/>
        </w:rPr>
      </w:pPr>
      <w:r>
        <w:rPr>
          <w:lang w:eastAsia="en-AU"/>
        </w:rPr>
        <w:t xml:space="preserve">Proportion of participants with baseline </w:t>
      </w:r>
      <w:proofErr w:type="spellStart"/>
      <w:r>
        <w:rPr>
          <w:lang w:eastAsia="en-AU"/>
        </w:rPr>
        <w:t>Phe</w:t>
      </w:r>
      <w:proofErr w:type="spellEnd"/>
      <w:r>
        <w:rPr>
          <w:lang w:eastAsia="en-AU"/>
        </w:rPr>
        <w:t xml:space="preserve"> levels ≥360 </w:t>
      </w:r>
      <w:proofErr w:type="spellStart"/>
      <w:r>
        <w:rPr>
          <w:lang w:eastAsia="en-AU"/>
        </w:rPr>
        <w:t>μmol</w:t>
      </w:r>
      <w:proofErr w:type="spellEnd"/>
      <w:r>
        <w:rPr>
          <w:lang w:eastAsia="en-AU"/>
        </w:rPr>
        <w:t xml:space="preserve">/L who achieve </w:t>
      </w:r>
      <w:proofErr w:type="spellStart"/>
      <w:r>
        <w:rPr>
          <w:lang w:eastAsia="en-AU"/>
        </w:rPr>
        <w:t>Phe</w:t>
      </w:r>
      <w:proofErr w:type="spellEnd"/>
      <w:r>
        <w:rPr>
          <w:lang w:eastAsia="en-AU"/>
        </w:rPr>
        <w:t xml:space="preserve"> levels &lt;360 </w:t>
      </w:r>
      <w:proofErr w:type="spellStart"/>
      <w:r>
        <w:rPr>
          <w:lang w:eastAsia="en-AU"/>
        </w:rPr>
        <w:t>μmol</w:t>
      </w:r>
      <w:proofErr w:type="spellEnd"/>
      <w:r>
        <w:rPr>
          <w:lang w:eastAsia="en-AU"/>
        </w:rPr>
        <w:t>/L at the end of the double-blind treatment period</w:t>
      </w:r>
    </w:p>
    <w:p w14:paraId="42F6CAFA" w14:textId="51E45B69" w:rsidR="00005968" w:rsidRDefault="00005968" w:rsidP="00005968">
      <w:pPr>
        <w:pStyle w:val="ListBullet"/>
        <w:rPr>
          <w:lang w:eastAsia="en-AU"/>
        </w:rPr>
      </w:pPr>
      <w:r>
        <w:rPr>
          <w:lang w:eastAsia="en-AU"/>
        </w:rPr>
        <w:t xml:space="preserve">Mean change and percent change from baseline in blood </w:t>
      </w:r>
      <w:proofErr w:type="spellStart"/>
      <w:r>
        <w:rPr>
          <w:lang w:eastAsia="en-AU"/>
        </w:rPr>
        <w:t>Phe</w:t>
      </w:r>
      <w:proofErr w:type="spellEnd"/>
      <w:r>
        <w:rPr>
          <w:lang w:eastAsia="en-AU"/>
        </w:rPr>
        <w:t xml:space="preserve"> levels at each dose level</w:t>
      </w:r>
    </w:p>
    <w:p w14:paraId="20EAE389" w14:textId="42D33F55" w:rsidR="002B62E9" w:rsidRDefault="002B62E9" w:rsidP="002B62E9">
      <w:pPr>
        <w:pStyle w:val="Heading6"/>
        <w:rPr>
          <w:lang w:eastAsia="en-AU"/>
        </w:rPr>
      </w:pPr>
      <w:r>
        <w:rPr>
          <w:lang w:eastAsia="en-AU"/>
        </w:rPr>
        <w:t>Randomisation, blinding and statistical methods</w:t>
      </w:r>
    </w:p>
    <w:p w14:paraId="08A82481" w14:textId="29DD5874" w:rsidR="002B62E9" w:rsidRDefault="002B62E9" w:rsidP="002B62E9">
      <w:pPr>
        <w:rPr>
          <w:lang w:eastAsia="en-AU"/>
        </w:rPr>
      </w:pPr>
      <w:r>
        <w:rPr>
          <w:lang w:eastAsia="en-AU"/>
        </w:rPr>
        <w:t xml:space="preserve">The study was double-blind. Participants were randomised centrally, and randomisation was stratified by response in Part 1 (mean % reduction in </w:t>
      </w:r>
      <w:proofErr w:type="spellStart"/>
      <w:r>
        <w:rPr>
          <w:lang w:eastAsia="en-AU"/>
        </w:rPr>
        <w:t>Phe</w:t>
      </w:r>
      <w:proofErr w:type="spellEnd"/>
      <w:r>
        <w:rPr>
          <w:lang w:eastAsia="en-AU"/>
        </w:rPr>
        <w:t xml:space="preserve"> of ≥15% to &lt;30% and mean</w:t>
      </w:r>
      <w:r w:rsidR="003423F0">
        <w:rPr>
          <w:lang w:eastAsia="en-AU"/>
        </w:rPr>
        <w:t xml:space="preserve"> </w:t>
      </w:r>
      <w:r>
        <w:rPr>
          <w:lang w:eastAsia="en-AU"/>
        </w:rPr>
        <w:t xml:space="preserve">% reduction ≥30%) and baseline blood </w:t>
      </w:r>
      <w:proofErr w:type="spellStart"/>
      <w:r>
        <w:rPr>
          <w:lang w:eastAsia="en-AU"/>
        </w:rPr>
        <w:t>Phe</w:t>
      </w:r>
      <w:proofErr w:type="spellEnd"/>
      <w:r>
        <w:rPr>
          <w:lang w:eastAsia="en-AU"/>
        </w:rPr>
        <w:t xml:space="preserve"> &lt;600 </w:t>
      </w:r>
      <w:proofErr w:type="spellStart"/>
      <w:r>
        <w:rPr>
          <w:lang w:eastAsia="en-AU"/>
        </w:rPr>
        <w:t>μmol</w:t>
      </w:r>
      <w:proofErr w:type="spellEnd"/>
      <w:r>
        <w:rPr>
          <w:lang w:eastAsia="en-AU"/>
        </w:rPr>
        <w:t xml:space="preserve">/L and ≥600 </w:t>
      </w:r>
      <w:proofErr w:type="spellStart"/>
      <w:r>
        <w:rPr>
          <w:lang w:eastAsia="en-AU"/>
        </w:rPr>
        <w:t>μmol</w:t>
      </w:r>
      <w:proofErr w:type="spellEnd"/>
      <w:r>
        <w:rPr>
          <w:lang w:eastAsia="en-AU"/>
        </w:rPr>
        <w:t>/L.</w:t>
      </w:r>
    </w:p>
    <w:p w14:paraId="358D0E8E" w14:textId="667CB387" w:rsidR="002B62E9" w:rsidRDefault="002B62E9" w:rsidP="002B62E9">
      <w:pPr>
        <w:rPr>
          <w:lang w:eastAsia="en-AU"/>
        </w:rPr>
      </w:pPr>
      <w:r>
        <w:rPr>
          <w:lang w:eastAsia="en-AU"/>
        </w:rPr>
        <w:t xml:space="preserve">For the primary endpoint with a sample size of 80 participants ≥2 years of age for the stratum of participants with mean percent reduction in blood </w:t>
      </w:r>
      <w:proofErr w:type="spellStart"/>
      <w:r>
        <w:rPr>
          <w:lang w:eastAsia="en-AU"/>
        </w:rPr>
        <w:t>Phe</w:t>
      </w:r>
      <w:proofErr w:type="spellEnd"/>
      <w:r>
        <w:rPr>
          <w:lang w:eastAsia="en-AU"/>
        </w:rPr>
        <w:t xml:space="preserve"> levels of ≥30% during Part 1, the power to detect a difference in reduction in blood </w:t>
      </w:r>
      <w:proofErr w:type="spellStart"/>
      <w:r>
        <w:rPr>
          <w:lang w:eastAsia="en-AU"/>
        </w:rPr>
        <w:t>Phe</w:t>
      </w:r>
      <w:proofErr w:type="spellEnd"/>
      <w:r>
        <w:rPr>
          <w:lang w:eastAsia="en-AU"/>
        </w:rPr>
        <w:t xml:space="preserve"> between </w:t>
      </w:r>
      <w:proofErr w:type="spellStart"/>
      <w:r>
        <w:rPr>
          <w:lang w:eastAsia="en-AU"/>
        </w:rPr>
        <w:t>sepiapterin</w:t>
      </w:r>
      <w:proofErr w:type="spellEnd"/>
      <w:r>
        <w:rPr>
          <w:lang w:eastAsia="en-AU"/>
        </w:rPr>
        <w:t xml:space="preserve"> and placebo was &gt;95%, assuming a treatment difference of 250 </w:t>
      </w:r>
      <w:proofErr w:type="spellStart"/>
      <w:r>
        <w:rPr>
          <w:lang w:eastAsia="en-AU"/>
        </w:rPr>
        <w:t>μmol</w:t>
      </w:r>
      <w:proofErr w:type="spellEnd"/>
      <w:r>
        <w:rPr>
          <w:lang w:eastAsia="en-AU"/>
        </w:rPr>
        <w:t xml:space="preserve">/L and a within-treatment-group SD of 250 </w:t>
      </w:r>
      <w:proofErr w:type="spellStart"/>
      <w:r>
        <w:rPr>
          <w:lang w:eastAsia="en-AU"/>
        </w:rPr>
        <w:t>μmol</w:t>
      </w:r>
      <w:proofErr w:type="spellEnd"/>
      <w:r>
        <w:rPr>
          <w:lang w:eastAsia="en-AU"/>
        </w:rPr>
        <w:t>/L, with a 2-sided α of 0.05.</w:t>
      </w:r>
    </w:p>
    <w:p w14:paraId="7F741F12" w14:textId="77777777" w:rsidR="002B62E9" w:rsidRDefault="002B62E9" w:rsidP="002B62E9">
      <w:pPr>
        <w:rPr>
          <w:lang w:eastAsia="en-AU"/>
        </w:rPr>
      </w:pPr>
      <w:r>
        <w:rPr>
          <w:lang w:eastAsia="en-AU"/>
        </w:rPr>
        <w:t xml:space="preserve">For the primary endpoint for all participants in Part 2, the power to detect a difference in reduction in blood </w:t>
      </w:r>
      <w:proofErr w:type="spellStart"/>
      <w:r>
        <w:rPr>
          <w:lang w:eastAsia="en-AU"/>
        </w:rPr>
        <w:t>Phe</w:t>
      </w:r>
      <w:proofErr w:type="spellEnd"/>
      <w:r>
        <w:rPr>
          <w:lang w:eastAsia="en-AU"/>
        </w:rPr>
        <w:t xml:space="preserve"> between </w:t>
      </w:r>
      <w:proofErr w:type="spellStart"/>
      <w:r>
        <w:rPr>
          <w:lang w:eastAsia="en-AU"/>
        </w:rPr>
        <w:t>sepiapterin</w:t>
      </w:r>
      <w:proofErr w:type="spellEnd"/>
      <w:r>
        <w:rPr>
          <w:lang w:eastAsia="en-AU"/>
        </w:rPr>
        <w:t xml:space="preserve"> and placebo was &gt;95%, assuming a treatment difference of 200 </w:t>
      </w:r>
      <w:proofErr w:type="spellStart"/>
      <w:r>
        <w:rPr>
          <w:lang w:eastAsia="en-AU"/>
        </w:rPr>
        <w:t>μmol</w:t>
      </w:r>
      <w:proofErr w:type="spellEnd"/>
      <w:r>
        <w:rPr>
          <w:lang w:eastAsia="en-AU"/>
        </w:rPr>
        <w:t xml:space="preserve">/L, a within-treatment-group SD of 250 </w:t>
      </w:r>
      <w:proofErr w:type="spellStart"/>
      <w:r>
        <w:rPr>
          <w:lang w:eastAsia="en-AU"/>
        </w:rPr>
        <w:t>μmol</w:t>
      </w:r>
      <w:proofErr w:type="spellEnd"/>
      <w:r>
        <w:rPr>
          <w:lang w:eastAsia="en-AU"/>
        </w:rPr>
        <w:t xml:space="preserve">/L, and a total sample size of 106, with a 2-sided α of 0.05. This sample size assumed approximately 60% of participants ≥2 years of age enrolled in Part 1 experienced a ≥15% reduction in </w:t>
      </w:r>
      <w:proofErr w:type="spellStart"/>
      <w:r>
        <w:rPr>
          <w:lang w:eastAsia="en-AU"/>
        </w:rPr>
        <w:t>Phe</w:t>
      </w:r>
      <w:proofErr w:type="spellEnd"/>
      <w:r>
        <w:rPr>
          <w:lang w:eastAsia="en-AU"/>
        </w:rPr>
        <w:t xml:space="preserve"> levels.</w:t>
      </w:r>
    </w:p>
    <w:p w14:paraId="24D8EC4D" w14:textId="4FC23825" w:rsidR="002B62E9" w:rsidRDefault="002B62E9" w:rsidP="002B62E9">
      <w:pPr>
        <w:rPr>
          <w:lang w:eastAsia="en-AU"/>
        </w:rPr>
      </w:pPr>
      <w:r>
        <w:rPr>
          <w:lang w:eastAsia="en-AU"/>
        </w:rPr>
        <w:t xml:space="preserve">The primary efficacy endpoint was first analysed for the population of patients with ≥30% reduction in </w:t>
      </w:r>
      <w:proofErr w:type="spellStart"/>
      <w:r>
        <w:rPr>
          <w:lang w:eastAsia="en-AU"/>
        </w:rPr>
        <w:t>Phe</w:t>
      </w:r>
      <w:proofErr w:type="spellEnd"/>
      <w:r>
        <w:rPr>
          <w:lang w:eastAsia="en-AU"/>
        </w:rPr>
        <w:t xml:space="preserve"> during Part 1, and if significant at the p &lt;0.05 level then the entire population was analysed. A mixed model repeated measures was used for hypothesis testing</w:t>
      </w:r>
      <w:r w:rsidR="00AB4553">
        <w:rPr>
          <w:lang w:eastAsia="en-AU"/>
        </w:rPr>
        <w:t>.</w:t>
      </w:r>
    </w:p>
    <w:p w14:paraId="30EE1C11" w14:textId="3D31828F" w:rsidR="002B62E9" w:rsidRDefault="002B62E9" w:rsidP="002B62E9">
      <w:pPr>
        <w:pStyle w:val="Heading6"/>
        <w:rPr>
          <w:lang w:eastAsia="en-AU"/>
        </w:rPr>
      </w:pPr>
      <w:r>
        <w:rPr>
          <w:lang w:eastAsia="en-AU"/>
        </w:rPr>
        <w:t>Participant flow</w:t>
      </w:r>
    </w:p>
    <w:p w14:paraId="39B786B4" w14:textId="77777777" w:rsidR="002B62E9" w:rsidRDefault="002B62E9" w:rsidP="002B62E9">
      <w:pPr>
        <w:rPr>
          <w:lang w:eastAsia="en-AU"/>
        </w:rPr>
      </w:pPr>
      <w:r>
        <w:rPr>
          <w:lang w:eastAsia="en-AU"/>
        </w:rPr>
        <w:t xml:space="preserve">There were 157 participants included in Part 1 who received </w:t>
      </w:r>
      <w:proofErr w:type="spellStart"/>
      <w:r>
        <w:rPr>
          <w:lang w:eastAsia="en-AU"/>
        </w:rPr>
        <w:t>sepiapterin</w:t>
      </w:r>
      <w:proofErr w:type="spellEnd"/>
      <w:r>
        <w:rPr>
          <w:lang w:eastAsia="en-AU"/>
        </w:rPr>
        <w:t xml:space="preserve">. Of these, 114 (73.1%) were responsive. Two of these participants were &lt;2 years age and continued directly into the long-term safety study. A further three withdrew prior to randomisation. One participant who was a non-responder was included in Part 2. Hence, 110 participants were included in Part 2 (56 randomised to </w:t>
      </w:r>
      <w:proofErr w:type="spellStart"/>
      <w:r>
        <w:rPr>
          <w:lang w:eastAsia="en-AU"/>
        </w:rPr>
        <w:t>sepiapterin</w:t>
      </w:r>
      <w:proofErr w:type="spellEnd"/>
      <w:r>
        <w:rPr>
          <w:lang w:eastAsia="en-AU"/>
        </w:rPr>
        <w:t xml:space="preserve"> and 54 to placebo).</w:t>
      </w:r>
    </w:p>
    <w:p w14:paraId="50B768A7" w14:textId="2F6A8A42" w:rsidR="002B62E9" w:rsidRDefault="002B62E9" w:rsidP="002B62E9">
      <w:pPr>
        <w:pStyle w:val="Heading6"/>
        <w:rPr>
          <w:lang w:eastAsia="en-AU"/>
        </w:rPr>
      </w:pPr>
      <w:r>
        <w:rPr>
          <w:lang w:eastAsia="en-AU"/>
        </w:rPr>
        <w:t>Baseline data</w:t>
      </w:r>
    </w:p>
    <w:p w14:paraId="2736B087" w14:textId="77777777" w:rsidR="002B62E9" w:rsidRDefault="002B62E9" w:rsidP="002B62E9">
      <w:pPr>
        <w:rPr>
          <w:lang w:eastAsia="en-AU"/>
        </w:rPr>
      </w:pPr>
      <w:r>
        <w:rPr>
          <w:lang w:eastAsia="en-AU"/>
        </w:rPr>
        <w:t xml:space="preserve">The median age at baseline was 15.0 years for subjects in Part 1 (range 1 – 61 years). The median age at randomisation and treatment for subjects in Part 2 was 13.0 years for the </w:t>
      </w:r>
      <w:proofErr w:type="spellStart"/>
      <w:r>
        <w:rPr>
          <w:lang w:eastAsia="en-AU"/>
        </w:rPr>
        <w:t>sepiapterin</w:t>
      </w:r>
      <w:proofErr w:type="spellEnd"/>
      <w:r>
        <w:rPr>
          <w:lang w:eastAsia="en-AU"/>
        </w:rPr>
        <w:t xml:space="preserve"> arm and 15.0 years for the placebo arm.</w:t>
      </w:r>
    </w:p>
    <w:p w14:paraId="4F78CCC4" w14:textId="5900203A" w:rsidR="002B62E9" w:rsidRDefault="002B62E9" w:rsidP="002B62E9">
      <w:pPr>
        <w:rPr>
          <w:lang w:eastAsia="en-AU"/>
        </w:rPr>
      </w:pPr>
      <w:r>
        <w:rPr>
          <w:lang w:eastAsia="en-AU"/>
        </w:rPr>
        <w:t xml:space="preserve">The number of subjects ≥1 year to &lt;2 years in Part 1 was 3. In part 2 the number of subjects ≥1 year to &lt;2 years was 0 in the </w:t>
      </w:r>
      <w:proofErr w:type="spellStart"/>
      <w:r>
        <w:rPr>
          <w:lang w:eastAsia="en-AU"/>
        </w:rPr>
        <w:t>sepiapterin</w:t>
      </w:r>
      <w:proofErr w:type="spellEnd"/>
      <w:r>
        <w:rPr>
          <w:lang w:eastAsia="en-AU"/>
        </w:rPr>
        <w:t xml:space="preserve"> arm and 0 in the placebo arm. The number of subjects ≥2 years to &lt;6 years in Part 1 was 5. In part 2 the number of subjects</w:t>
      </w:r>
      <w:r w:rsidR="00455C6E">
        <w:rPr>
          <w:lang w:eastAsia="en-AU"/>
        </w:rPr>
        <w:t xml:space="preserve"> </w:t>
      </w:r>
      <w:r>
        <w:rPr>
          <w:lang w:eastAsia="en-AU"/>
        </w:rPr>
        <w:t xml:space="preserve">≥2 years to &lt;6 years was 7 </w:t>
      </w:r>
      <w:r>
        <w:rPr>
          <w:lang w:eastAsia="en-AU"/>
        </w:rPr>
        <w:lastRenderedPageBreak/>
        <w:t xml:space="preserve">in the </w:t>
      </w:r>
      <w:proofErr w:type="spellStart"/>
      <w:r>
        <w:rPr>
          <w:lang w:eastAsia="en-AU"/>
        </w:rPr>
        <w:t>sepiapterin</w:t>
      </w:r>
      <w:proofErr w:type="spellEnd"/>
      <w:r>
        <w:rPr>
          <w:lang w:eastAsia="en-AU"/>
        </w:rPr>
        <w:t xml:space="preserve"> arm and 3 in the placebo arm. The number of subjects ≥6 year to &lt;12 years in Part 1 was 11. In part 2 the number of subjects ≥6 year to</w:t>
      </w:r>
      <w:r w:rsidR="00455C6E">
        <w:rPr>
          <w:lang w:eastAsia="en-AU"/>
        </w:rPr>
        <w:t xml:space="preserve"> </w:t>
      </w:r>
      <w:r>
        <w:rPr>
          <w:lang w:eastAsia="en-AU"/>
        </w:rPr>
        <w:t xml:space="preserve">&lt;12 years was 17 in the </w:t>
      </w:r>
      <w:proofErr w:type="spellStart"/>
      <w:r>
        <w:rPr>
          <w:lang w:eastAsia="en-AU"/>
        </w:rPr>
        <w:t>sepiapterin</w:t>
      </w:r>
      <w:proofErr w:type="spellEnd"/>
      <w:r>
        <w:rPr>
          <w:lang w:eastAsia="en-AU"/>
        </w:rPr>
        <w:t xml:space="preserve"> arm and 12 in the placebo arm. The number of subjects ≥12 year to &lt;18 years in Part 1 was 10. In part 2 the number of subjects ≥12 year to &lt;18 years was 14 in the </w:t>
      </w:r>
      <w:proofErr w:type="spellStart"/>
      <w:r>
        <w:rPr>
          <w:lang w:eastAsia="en-AU"/>
        </w:rPr>
        <w:t>sepiapterin</w:t>
      </w:r>
      <w:proofErr w:type="spellEnd"/>
      <w:r>
        <w:rPr>
          <w:lang w:eastAsia="en-AU"/>
        </w:rPr>
        <w:t xml:space="preserve"> arm and 19 in the placebo arm. The number of subjects ≥18 years in Part 1 was 18. In part 2 the number of subjects ≥18 years was 18 in the </w:t>
      </w:r>
      <w:proofErr w:type="spellStart"/>
      <w:r>
        <w:rPr>
          <w:lang w:eastAsia="en-AU"/>
        </w:rPr>
        <w:t>sepiapterin</w:t>
      </w:r>
      <w:proofErr w:type="spellEnd"/>
      <w:r>
        <w:rPr>
          <w:lang w:eastAsia="en-AU"/>
        </w:rPr>
        <w:t xml:space="preserve"> arm and 20 in the placebo arm.</w:t>
      </w:r>
    </w:p>
    <w:p w14:paraId="03BD12E0" w14:textId="75E6E592" w:rsidR="00FD0ECD" w:rsidRDefault="00FD0ECD" w:rsidP="00FD0ECD">
      <w:pPr>
        <w:rPr>
          <w:lang w:eastAsia="en-AU"/>
        </w:rPr>
      </w:pPr>
      <w:proofErr w:type="gramStart"/>
      <w:r>
        <w:rPr>
          <w:lang w:eastAsia="en-AU"/>
        </w:rPr>
        <w:t>The majority of</w:t>
      </w:r>
      <w:proofErr w:type="gramEnd"/>
      <w:r>
        <w:rPr>
          <w:lang w:eastAsia="en-AU"/>
        </w:rPr>
        <w:t xml:space="preserve"> patients (76.6% in part 1 and 65.5% in part 2) were diagnosed at birth with PKU. 36.2% of patients in part 1 had classical PKU, and 17.3% of patients in part 2 had classical PKU (14.3% in the </w:t>
      </w:r>
      <w:proofErr w:type="spellStart"/>
      <w:r>
        <w:rPr>
          <w:lang w:eastAsia="en-AU"/>
        </w:rPr>
        <w:t>sepiapterin</w:t>
      </w:r>
      <w:proofErr w:type="spellEnd"/>
      <w:r>
        <w:rPr>
          <w:lang w:eastAsia="en-AU"/>
        </w:rPr>
        <w:t xml:space="preserve"> group versus 20.4% in the placebo group).</w:t>
      </w:r>
    </w:p>
    <w:p w14:paraId="51FA444B" w14:textId="0789DAD8" w:rsidR="00FD0ECD" w:rsidRDefault="00FD0ECD" w:rsidP="00FD0ECD">
      <w:pPr>
        <w:rPr>
          <w:lang w:eastAsia="en-AU"/>
        </w:rPr>
      </w:pPr>
      <w:r>
        <w:rPr>
          <w:lang w:eastAsia="en-AU"/>
        </w:rPr>
        <w:t xml:space="preserve">Disease characteristics for participants who did not progress beyond Part 1 were generally </w:t>
      </w:r>
      <w:proofErr w:type="gramStart"/>
      <w:r>
        <w:rPr>
          <w:lang w:eastAsia="en-AU"/>
        </w:rPr>
        <w:t>similar to</w:t>
      </w:r>
      <w:proofErr w:type="gramEnd"/>
      <w:r>
        <w:rPr>
          <w:lang w:eastAsia="en-AU"/>
        </w:rPr>
        <w:t xml:space="preserve"> those of participants in Part 2.</w:t>
      </w:r>
    </w:p>
    <w:p w14:paraId="17A92C3F" w14:textId="2546C571" w:rsidR="008D6C48" w:rsidRDefault="008D6C48" w:rsidP="008D6C48">
      <w:pPr>
        <w:pStyle w:val="Heading6"/>
        <w:rPr>
          <w:lang w:eastAsia="en-AU"/>
        </w:rPr>
      </w:pPr>
      <w:r>
        <w:rPr>
          <w:lang w:eastAsia="en-AU"/>
        </w:rPr>
        <w:t>Results for the primary efficacy outcome</w:t>
      </w:r>
    </w:p>
    <w:p w14:paraId="0A824DCE" w14:textId="74E13745" w:rsidR="008D6C48" w:rsidRDefault="008D6C48" w:rsidP="008D6C48">
      <w:pPr>
        <w:rPr>
          <w:lang w:eastAsia="en-AU"/>
        </w:rPr>
      </w:pPr>
      <w:r>
        <w:rPr>
          <w:lang w:eastAsia="en-AU"/>
        </w:rPr>
        <w:t xml:space="preserve">For Part 1 of the </w:t>
      </w:r>
      <w:r w:rsidRPr="00CE384D">
        <w:rPr>
          <w:lang w:eastAsia="en-AU"/>
        </w:rPr>
        <w:t xml:space="preserve">full analysis set (FAS) studying </w:t>
      </w:r>
      <w:proofErr w:type="spellStart"/>
      <w:r w:rsidRPr="00CE384D">
        <w:rPr>
          <w:lang w:eastAsia="en-AU"/>
        </w:rPr>
        <w:t>Phe</w:t>
      </w:r>
      <w:proofErr w:type="spellEnd"/>
      <w:r w:rsidRPr="00CE384D">
        <w:rPr>
          <w:lang w:eastAsia="en-AU"/>
        </w:rPr>
        <w:t xml:space="preserve"> reduction from baseline ≥30% over 2 weeks, </w:t>
      </w:r>
      <w:proofErr w:type="spellStart"/>
      <w:r w:rsidRPr="00CE384D">
        <w:rPr>
          <w:lang w:eastAsia="en-AU"/>
        </w:rPr>
        <w:t>sepiapterin</w:t>
      </w:r>
      <w:proofErr w:type="spellEnd"/>
      <w:r w:rsidRPr="00CE384D">
        <w:rPr>
          <w:lang w:eastAsia="en-AU"/>
        </w:rPr>
        <w:t xml:space="preserve"> was superior to placebo. The </w:t>
      </w:r>
      <w:r w:rsidR="00455C6E" w:rsidRPr="00CE384D">
        <w:rPr>
          <w:lang w:eastAsia="en-AU"/>
        </w:rPr>
        <w:t>least squares (LS)</w:t>
      </w:r>
      <w:r w:rsidR="00455C6E">
        <w:rPr>
          <w:lang w:eastAsia="en-AU"/>
        </w:rPr>
        <w:t xml:space="preserve"> </w:t>
      </w:r>
      <w:r>
        <w:rPr>
          <w:lang w:eastAsia="en-AU"/>
        </w:rPr>
        <w:t xml:space="preserve">mean (95% CI) change from baseline to Weeks 5 and 6 in the </w:t>
      </w:r>
      <w:proofErr w:type="spellStart"/>
      <w:r>
        <w:rPr>
          <w:lang w:eastAsia="en-AU"/>
        </w:rPr>
        <w:t>sepiapterin</w:t>
      </w:r>
      <w:proofErr w:type="spellEnd"/>
      <w:r>
        <w:rPr>
          <w:lang w:eastAsia="en-AU"/>
        </w:rPr>
        <w:t xml:space="preserve"> group was -415.75 (-463.52 to -367.97) </w:t>
      </w:r>
      <w:proofErr w:type="spellStart"/>
      <w:r>
        <w:rPr>
          <w:lang w:eastAsia="en-AU"/>
        </w:rPr>
        <w:t>μmol</w:t>
      </w:r>
      <w:proofErr w:type="spellEnd"/>
      <w:r>
        <w:rPr>
          <w:lang w:eastAsia="en-AU"/>
        </w:rPr>
        <w:t xml:space="preserve">/L and in the </w:t>
      </w:r>
      <w:proofErr w:type="gramStart"/>
      <w:r>
        <w:rPr>
          <w:lang w:eastAsia="en-AU"/>
        </w:rPr>
        <w:t>placebo</w:t>
      </w:r>
      <w:proofErr w:type="gramEnd"/>
      <w:r>
        <w:rPr>
          <w:lang w:eastAsia="en-AU"/>
        </w:rPr>
        <w:t xml:space="preserve"> group was -19.88 (-67.97 to 28.21) </w:t>
      </w:r>
      <w:proofErr w:type="spellStart"/>
      <w:r>
        <w:rPr>
          <w:lang w:eastAsia="en-AU"/>
        </w:rPr>
        <w:t>μmol</w:t>
      </w:r>
      <w:proofErr w:type="spellEnd"/>
      <w:r>
        <w:rPr>
          <w:lang w:eastAsia="en-AU"/>
        </w:rPr>
        <w:t xml:space="preserve">/L; difference, </w:t>
      </w:r>
      <w:proofErr w:type="spellStart"/>
      <w:r>
        <w:rPr>
          <w:lang w:eastAsia="en-AU"/>
        </w:rPr>
        <w:t>sepiapterin</w:t>
      </w:r>
      <w:proofErr w:type="spellEnd"/>
      <w:r>
        <w:rPr>
          <w:lang w:eastAsia="en-AU"/>
        </w:rPr>
        <w:t xml:space="preserve"> – placebo, -395.87 (-463.07 to -328.66) </w:t>
      </w:r>
      <w:proofErr w:type="spellStart"/>
      <w:r>
        <w:rPr>
          <w:lang w:eastAsia="en-AU"/>
        </w:rPr>
        <w:t>μmol</w:t>
      </w:r>
      <w:proofErr w:type="spellEnd"/>
      <w:r>
        <w:rPr>
          <w:lang w:eastAsia="en-AU"/>
        </w:rPr>
        <w:t>/L, p &lt;0.0001.</w:t>
      </w:r>
    </w:p>
    <w:p w14:paraId="43EF7E46" w14:textId="77777777" w:rsidR="008D6C48" w:rsidRDefault="008D6C48" w:rsidP="008D6C48">
      <w:pPr>
        <w:rPr>
          <w:lang w:eastAsia="en-AU"/>
        </w:rPr>
      </w:pPr>
      <w:r>
        <w:rPr>
          <w:lang w:eastAsia="en-AU"/>
        </w:rPr>
        <w:t xml:space="preserve">In part 2, </w:t>
      </w:r>
      <w:proofErr w:type="spellStart"/>
      <w:r>
        <w:rPr>
          <w:lang w:eastAsia="en-AU"/>
        </w:rPr>
        <w:t>sepiapterin</w:t>
      </w:r>
      <w:proofErr w:type="spellEnd"/>
      <w:r>
        <w:rPr>
          <w:lang w:eastAsia="en-AU"/>
        </w:rPr>
        <w:t xml:space="preserve"> was superior to placebo (Tables 2 and 3). The LS mean (95% CI) change from baseline to Weeks 5 and 6 in the </w:t>
      </w:r>
      <w:proofErr w:type="spellStart"/>
      <w:r>
        <w:rPr>
          <w:lang w:eastAsia="en-AU"/>
        </w:rPr>
        <w:t>sepiapterin</w:t>
      </w:r>
      <w:proofErr w:type="spellEnd"/>
      <w:r>
        <w:rPr>
          <w:lang w:eastAsia="en-AU"/>
        </w:rPr>
        <w:t xml:space="preserve"> group was -289.59 (-352.00 to - 227.18) </w:t>
      </w:r>
      <w:proofErr w:type="spellStart"/>
      <w:r>
        <w:rPr>
          <w:lang w:eastAsia="en-AU"/>
        </w:rPr>
        <w:t>μmol</w:t>
      </w:r>
      <w:proofErr w:type="spellEnd"/>
      <w:r>
        <w:rPr>
          <w:lang w:eastAsia="en-AU"/>
        </w:rPr>
        <w:t xml:space="preserve">/L and in the </w:t>
      </w:r>
      <w:proofErr w:type="gramStart"/>
      <w:r>
        <w:rPr>
          <w:lang w:eastAsia="en-AU"/>
        </w:rPr>
        <w:t>placebo</w:t>
      </w:r>
      <w:proofErr w:type="gramEnd"/>
      <w:r>
        <w:rPr>
          <w:lang w:eastAsia="en-AU"/>
        </w:rPr>
        <w:t xml:space="preserve"> group was 65.31 (0.07 to 130.54) </w:t>
      </w:r>
      <w:proofErr w:type="spellStart"/>
      <w:r>
        <w:rPr>
          <w:lang w:eastAsia="en-AU"/>
        </w:rPr>
        <w:t>μmol</w:t>
      </w:r>
      <w:proofErr w:type="spellEnd"/>
      <w:r>
        <w:rPr>
          <w:lang w:eastAsia="en-AU"/>
        </w:rPr>
        <w:t xml:space="preserve">/L; difference, </w:t>
      </w:r>
      <w:proofErr w:type="spellStart"/>
      <w:r>
        <w:rPr>
          <w:lang w:eastAsia="en-AU"/>
        </w:rPr>
        <w:t>sepiapterin</w:t>
      </w:r>
      <w:proofErr w:type="spellEnd"/>
      <w:r>
        <w:rPr>
          <w:lang w:eastAsia="en-AU"/>
        </w:rPr>
        <w:t xml:space="preserve"> – placebo, -354.90 (-427.14 to -282.66) </w:t>
      </w:r>
      <w:proofErr w:type="spellStart"/>
      <w:r>
        <w:rPr>
          <w:lang w:eastAsia="en-AU"/>
        </w:rPr>
        <w:t>μmol</w:t>
      </w:r>
      <w:proofErr w:type="spellEnd"/>
      <w:r>
        <w:rPr>
          <w:lang w:eastAsia="en-AU"/>
        </w:rPr>
        <w:t>/L, p &lt;0.0001.</w:t>
      </w:r>
    </w:p>
    <w:p w14:paraId="2BD6B946" w14:textId="33C1CF7F" w:rsidR="008D6C48" w:rsidRDefault="008D6C48" w:rsidP="00AC762A">
      <w:pPr>
        <w:pStyle w:val="TableTitle"/>
        <w:rPr>
          <w:lang w:eastAsia="en-AU"/>
        </w:rPr>
      </w:pPr>
      <w:r>
        <w:rPr>
          <w:lang w:eastAsia="en-AU"/>
        </w:rPr>
        <w:t xml:space="preserve">Table 2. Mean Change in Blood </w:t>
      </w:r>
      <w:proofErr w:type="spellStart"/>
      <w:r>
        <w:rPr>
          <w:lang w:eastAsia="en-AU"/>
        </w:rPr>
        <w:t>Phe</w:t>
      </w:r>
      <w:proofErr w:type="spellEnd"/>
      <w:r>
        <w:rPr>
          <w:lang w:eastAsia="en-AU"/>
        </w:rPr>
        <w:t xml:space="preserve"> Levels (</w:t>
      </w:r>
      <w:proofErr w:type="spellStart"/>
      <w:r>
        <w:rPr>
          <w:lang w:eastAsia="en-AU"/>
        </w:rPr>
        <w:t>μmol</w:t>
      </w:r>
      <w:proofErr w:type="spellEnd"/>
      <w:r>
        <w:rPr>
          <w:lang w:eastAsia="en-AU"/>
        </w:rPr>
        <w:t xml:space="preserve">/L) From </w:t>
      </w:r>
      <w:r w:rsidRPr="00AC762A">
        <w:t>Baseline</w:t>
      </w:r>
      <w:r>
        <w:rPr>
          <w:lang w:eastAsia="en-AU"/>
        </w:rPr>
        <w:t xml:space="preserve"> to Week 5 and Week 6 in Part 2 (Full Analysis Set </w:t>
      </w:r>
      <w:r w:rsidR="000E5E80">
        <w:rPr>
          <w:lang w:eastAsia="en-AU"/>
        </w:rPr>
        <w:t>with</w:t>
      </w:r>
      <w:r>
        <w:rPr>
          <w:lang w:eastAsia="en-AU"/>
        </w:rPr>
        <w:t xml:space="preserve"> </w:t>
      </w:r>
      <w:proofErr w:type="spellStart"/>
      <w:r>
        <w:rPr>
          <w:lang w:eastAsia="en-AU"/>
        </w:rPr>
        <w:t>Phe</w:t>
      </w:r>
      <w:proofErr w:type="spellEnd"/>
      <w:r>
        <w:rPr>
          <w:lang w:eastAsia="en-AU"/>
        </w:rPr>
        <w:t xml:space="preserve"> Reduction </w:t>
      </w:r>
      <w:r w:rsidR="000E5E80">
        <w:rPr>
          <w:lang w:eastAsia="en-AU"/>
        </w:rPr>
        <w:t>from</w:t>
      </w:r>
      <w:r>
        <w:rPr>
          <w:lang w:eastAsia="en-AU"/>
        </w:rPr>
        <w:t xml:space="preserve"> Baseline ≥30% During Part 1)</w:t>
      </w:r>
    </w:p>
    <w:p w14:paraId="4916FAD7" w14:textId="582244EA" w:rsidR="00F743EA" w:rsidRDefault="00F743EA" w:rsidP="00AC762A">
      <w:pPr>
        <w:rPr>
          <w:lang w:eastAsia="en-AU"/>
        </w:rPr>
      </w:pPr>
      <w:r>
        <w:rPr>
          <w:noProof/>
          <w:lang w:eastAsia="en-AU"/>
        </w:rPr>
        <w:drawing>
          <wp:inline distT="0" distB="0" distL="0" distR="0" wp14:anchorId="1454A21F" wp14:editId="1A5E58E9">
            <wp:extent cx="5663565" cy="1714500"/>
            <wp:effectExtent l="0" t="0" r="0" b="0"/>
            <wp:docPr id="1614407288" name="Picture 1" descr="Table 2. Mean Change in Blood Phe Levels (μmol/L) From Baseline to Week 5 and Week 6 in Part 2 (Full Analysis Set with Phe Reduction from Baseline ≥30% During 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407288" name="Picture 1" descr="Table 2. Mean Change in Blood Phe Levels (μmol/L) From Baseline to Week 5 and Week 6 in Part 2 (Full Analysis Set with Phe Reduction from Baseline ≥30% During Part 1)"/>
                    <pic:cNvPicPr>
                      <a:picLocks noChangeAspect="1" noChangeArrowheads="1"/>
                    </pic:cNvPicPr>
                  </pic:nvPicPr>
                  <pic:blipFill rotWithShape="1">
                    <a:blip r:embed="rId28">
                      <a:extLst>
                        <a:ext uri="{BEBA8EAE-BF5A-486C-A8C5-ECC9F3942E4B}">
                          <a14:imgProps xmlns:a14="http://schemas.microsoft.com/office/drawing/2010/main">
                            <a14:imgLayer r:embed="rId29">
                              <a14:imgEffect>
                                <a14:sharpenSoften amount="25000"/>
                              </a14:imgEffect>
                            </a14:imgLayer>
                          </a14:imgProps>
                        </a:ext>
                        <a:ext uri="{28A0092B-C50C-407E-A947-70E740481C1C}">
                          <a14:useLocalDpi xmlns:a14="http://schemas.microsoft.com/office/drawing/2010/main" val="0"/>
                        </a:ext>
                      </a:extLst>
                    </a:blip>
                    <a:srcRect b="29687"/>
                    <a:stretch>
                      <a:fillRect/>
                    </a:stretch>
                  </pic:blipFill>
                  <pic:spPr bwMode="auto">
                    <a:xfrm>
                      <a:off x="0" y="0"/>
                      <a:ext cx="5663565" cy="1714500"/>
                    </a:xfrm>
                    <a:prstGeom prst="rect">
                      <a:avLst/>
                    </a:prstGeom>
                    <a:noFill/>
                    <a:ln>
                      <a:noFill/>
                    </a:ln>
                    <a:extLst>
                      <a:ext uri="{53640926-AAD7-44D8-BBD7-CCE9431645EC}">
                        <a14:shadowObscured xmlns:a14="http://schemas.microsoft.com/office/drawing/2010/main"/>
                      </a:ext>
                    </a:extLst>
                  </pic:spPr>
                </pic:pic>
              </a:graphicData>
            </a:graphic>
          </wp:inline>
        </w:drawing>
      </w:r>
    </w:p>
    <w:p w14:paraId="39B2C735" w14:textId="7849FEBA" w:rsidR="006C486E" w:rsidRDefault="006C486E" w:rsidP="006C486E">
      <w:pPr>
        <w:pStyle w:val="TableDescription"/>
        <w:rPr>
          <w:lang w:eastAsia="en-AU"/>
        </w:rPr>
      </w:pPr>
      <w:r>
        <w:rPr>
          <w:lang w:eastAsia="en-AU"/>
        </w:rPr>
        <w:t xml:space="preserve">Abbreviations: CI, confidence interval; LS, least squares; </w:t>
      </w:r>
      <w:proofErr w:type="spellStart"/>
      <w:r>
        <w:rPr>
          <w:lang w:eastAsia="en-AU"/>
        </w:rPr>
        <w:t>MMRM</w:t>
      </w:r>
      <w:proofErr w:type="spellEnd"/>
      <w:r>
        <w:rPr>
          <w:lang w:eastAsia="en-AU"/>
        </w:rPr>
        <w:t xml:space="preserve">, mixed model for repeated measures; </w:t>
      </w:r>
      <w:proofErr w:type="spellStart"/>
      <w:r w:rsidR="000E5E80">
        <w:rPr>
          <w:lang w:eastAsia="en-AU"/>
        </w:rPr>
        <w:t>Phe</w:t>
      </w:r>
      <w:proofErr w:type="spellEnd"/>
      <w:r w:rsidR="000E5E80">
        <w:rPr>
          <w:lang w:eastAsia="en-AU"/>
        </w:rPr>
        <w:t>, phenylalanine</w:t>
      </w:r>
      <w:r>
        <w:rPr>
          <w:lang w:eastAsia="en-AU"/>
        </w:rPr>
        <w:t>; SD, standard deviation, SE, standard error.</w:t>
      </w:r>
    </w:p>
    <w:p w14:paraId="1A91077C" w14:textId="7B8682D9" w:rsidR="006C486E" w:rsidRDefault="006C486E" w:rsidP="006C486E">
      <w:pPr>
        <w:pStyle w:val="TableDescription"/>
        <w:rPr>
          <w:lang w:eastAsia="en-AU"/>
        </w:rPr>
      </w:pPr>
      <w:r>
        <w:rPr>
          <w:lang w:eastAsia="en-AU"/>
        </w:rPr>
        <w:t xml:space="preserve">Note: Baseline is the average of Day-1 and Day 1 blood </w:t>
      </w:r>
      <w:proofErr w:type="spellStart"/>
      <w:r>
        <w:rPr>
          <w:lang w:eastAsia="en-AU"/>
        </w:rPr>
        <w:t>Phe</w:t>
      </w:r>
      <w:proofErr w:type="spellEnd"/>
      <w:r>
        <w:rPr>
          <w:lang w:eastAsia="en-AU"/>
        </w:rPr>
        <w:t xml:space="preserve"> levels in Part 2.</w:t>
      </w:r>
    </w:p>
    <w:p w14:paraId="753F7BDF" w14:textId="02002FA5" w:rsidR="001E7D5F" w:rsidRDefault="006C486E" w:rsidP="006C486E">
      <w:pPr>
        <w:pStyle w:val="TableDescription"/>
        <w:rPr>
          <w:lang w:eastAsia="en-AU"/>
        </w:rPr>
      </w:pPr>
      <w:r>
        <w:rPr>
          <w:lang w:eastAsia="en-AU"/>
        </w:rPr>
        <w:t xml:space="preserve">LS means, SEs, CIs, and p values are based on the </w:t>
      </w:r>
      <w:proofErr w:type="spellStart"/>
      <w:r>
        <w:rPr>
          <w:lang w:eastAsia="en-AU"/>
        </w:rPr>
        <w:t>MMRM</w:t>
      </w:r>
      <w:proofErr w:type="spellEnd"/>
      <w:r>
        <w:rPr>
          <w:lang w:eastAsia="en-AU"/>
        </w:rPr>
        <w:t xml:space="preserve"> model on change from baseline in blood </w:t>
      </w:r>
      <w:proofErr w:type="spellStart"/>
      <w:r>
        <w:rPr>
          <w:lang w:eastAsia="en-AU"/>
        </w:rPr>
        <w:t>Phe</w:t>
      </w:r>
      <w:proofErr w:type="spellEnd"/>
      <w:r>
        <w:rPr>
          <w:lang w:eastAsia="en-AU"/>
        </w:rPr>
        <w:t xml:space="preserve"> with treatment, baseline </w:t>
      </w:r>
      <w:proofErr w:type="spellStart"/>
      <w:r>
        <w:rPr>
          <w:lang w:eastAsia="en-AU"/>
        </w:rPr>
        <w:t>Phe</w:t>
      </w:r>
      <w:proofErr w:type="spellEnd"/>
      <w:r>
        <w:rPr>
          <w:lang w:eastAsia="en-AU"/>
        </w:rPr>
        <w:t xml:space="preserve"> stratum (&lt;600 or </w:t>
      </w:r>
      <w:r w:rsidR="000C39EA">
        <w:rPr>
          <w:lang w:eastAsia="en-AU"/>
        </w:rPr>
        <w:t>≥</w:t>
      </w:r>
      <w:r>
        <w:rPr>
          <w:lang w:eastAsia="en-AU"/>
        </w:rPr>
        <w:t xml:space="preserve">600 </w:t>
      </w:r>
      <w:r w:rsidR="00400F19">
        <w:rPr>
          <w:lang w:eastAsia="en-AU"/>
        </w:rPr>
        <w:sym w:font="Symbol" w:char="F06D"/>
      </w:r>
      <w:r>
        <w:rPr>
          <w:lang w:eastAsia="en-AU"/>
        </w:rPr>
        <w:t xml:space="preserve">mol/L), visit, and treatment-by-visit interaction; baseline blood </w:t>
      </w:r>
      <w:proofErr w:type="spellStart"/>
      <w:r>
        <w:rPr>
          <w:lang w:eastAsia="en-AU"/>
        </w:rPr>
        <w:t>Phe</w:t>
      </w:r>
      <w:proofErr w:type="spellEnd"/>
      <w:r>
        <w:rPr>
          <w:lang w:eastAsia="en-AU"/>
        </w:rPr>
        <w:t xml:space="preserve"> as fixed effects; and a random participant effect with an unstructured covariance matrix.</w:t>
      </w:r>
    </w:p>
    <w:p w14:paraId="5776C2E0" w14:textId="4C50D3D2" w:rsidR="008A296C" w:rsidRDefault="008A296C" w:rsidP="00AC762A">
      <w:pPr>
        <w:pStyle w:val="TableTitle"/>
        <w:rPr>
          <w:lang w:eastAsia="en-AU"/>
        </w:rPr>
      </w:pPr>
      <w:r w:rsidRPr="008A296C">
        <w:rPr>
          <w:lang w:eastAsia="en-AU"/>
        </w:rPr>
        <w:lastRenderedPageBreak/>
        <w:t>Table 3.</w:t>
      </w:r>
      <w:r>
        <w:rPr>
          <w:lang w:eastAsia="en-AU"/>
        </w:rPr>
        <w:t xml:space="preserve"> </w:t>
      </w:r>
      <w:r w:rsidRPr="008A296C">
        <w:rPr>
          <w:lang w:eastAsia="en-AU"/>
        </w:rPr>
        <w:t xml:space="preserve">Mean Change in Blood </w:t>
      </w:r>
      <w:proofErr w:type="spellStart"/>
      <w:r w:rsidRPr="008A296C">
        <w:rPr>
          <w:lang w:eastAsia="en-AU"/>
        </w:rPr>
        <w:t>Phe</w:t>
      </w:r>
      <w:proofErr w:type="spellEnd"/>
      <w:r w:rsidRPr="008A296C">
        <w:rPr>
          <w:lang w:eastAsia="en-AU"/>
        </w:rPr>
        <w:t xml:space="preserve"> Levels (</w:t>
      </w:r>
      <w:proofErr w:type="spellStart"/>
      <w:r w:rsidRPr="008A296C">
        <w:rPr>
          <w:lang w:eastAsia="en-AU"/>
        </w:rPr>
        <w:t>μmol</w:t>
      </w:r>
      <w:proofErr w:type="spellEnd"/>
      <w:r w:rsidRPr="008A296C">
        <w:rPr>
          <w:lang w:eastAsia="en-AU"/>
        </w:rPr>
        <w:t>/L) From Baseline to Weeks 5 and 6 in Part 2 (Full Analysis Set)</w:t>
      </w:r>
    </w:p>
    <w:p w14:paraId="11E8EDFC" w14:textId="2FFE8708" w:rsidR="00DF6AE7" w:rsidRDefault="00DF6AE7" w:rsidP="00AC762A">
      <w:pPr>
        <w:rPr>
          <w:lang w:eastAsia="en-AU"/>
        </w:rPr>
      </w:pPr>
      <w:r>
        <w:rPr>
          <w:noProof/>
        </w:rPr>
        <w:drawing>
          <wp:inline distT="0" distB="0" distL="0" distR="0" wp14:anchorId="528F175F" wp14:editId="13AF325B">
            <wp:extent cx="5705158" cy="1731434"/>
            <wp:effectExtent l="0" t="0" r="0" b="2540"/>
            <wp:docPr id="15" name="Image 15" descr="Table 3. Mean Change in Blood Phe Levels (μmol/L) From Baseline to Weeks 5 and 6 in Part 2 (Full Analysis S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Table 3. Mean Change in Blood Phe Levels (μmol/L) From Baseline to Weeks 5 and 6 in Part 2 (Full Analysis Set)"/>
                    <pic:cNvPicPr/>
                  </pic:nvPicPr>
                  <pic:blipFill rotWithShape="1">
                    <a:blip r:embed="rId30" cstate="print"/>
                    <a:srcRect b="12326"/>
                    <a:stretch>
                      <a:fillRect/>
                    </a:stretch>
                  </pic:blipFill>
                  <pic:spPr bwMode="auto">
                    <a:xfrm>
                      <a:off x="0" y="0"/>
                      <a:ext cx="5705889" cy="1731656"/>
                    </a:xfrm>
                    <a:prstGeom prst="rect">
                      <a:avLst/>
                    </a:prstGeom>
                    <a:ln>
                      <a:noFill/>
                    </a:ln>
                    <a:extLst>
                      <a:ext uri="{53640926-AAD7-44D8-BBD7-CCE9431645EC}">
                        <a14:shadowObscured xmlns:a14="http://schemas.microsoft.com/office/drawing/2010/main"/>
                      </a:ext>
                    </a:extLst>
                  </pic:spPr>
                </pic:pic>
              </a:graphicData>
            </a:graphic>
          </wp:inline>
        </w:drawing>
      </w:r>
    </w:p>
    <w:p w14:paraId="5DF87550" w14:textId="432B803C" w:rsidR="008A296C" w:rsidRDefault="0049400C" w:rsidP="0049400C">
      <w:pPr>
        <w:pStyle w:val="TableDescription"/>
        <w:rPr>
          <w:lang w:eastAsia="en-AU"/>
        </w:rPr>
      </w:pPr>
      <w:r>
        <w:rPr>
          <w:lang w:eastAsia="en-AU"/>
        </w:rPr>
        <w:t>Abbreviations: C</w:t>
      </w:r>
      <w:r w:rsidR="00D55C91">
        <w:rPr>
          <w:lang w:eastAsia="en-AU"/>
        </w:rPr>
        <w:t>I</w:t>
      </w:r>
      <w:r>
        <w:rPr>
          <w:lang w:eastAsia="en-AU"/>
        </w:rPr>
        <w:t xml:space="preserve">, confidence interval; LS, least squares; </w:t>
      </w:r>
      <w:proofErr w:type="spellStart"/>
      <w:r>
        <w:rPr>
          <w:lang w:eastAsia="en-AU"/>
        </w:rPr>
        <w:t>MMRM</w:t>
      </w:r>
      <w:proofErr w:type="spellEnd"/>
      <w:r>
        <w:rPr>
          <w:lang w:eastAsia="en-AU"/>
        </w:rPr>
        <w:t xml:space="preserve">, mixed model for repeated measures; </w:t>
      </w:r>
      <w:proofErr w:type="spellStart"/>
      <w:r>
        <w:rPr>
          <w:lang w:eastAsia="en-AU"/>
        </w:rPr>
        <w:t>Phe</w:t>
      </w:r>
      <w:proofErr w:type="spellEnd"/>
      <w:r>
        <w:rPr>
          <w:lang w:eastAsia="en-AU"/>
        </w:rPr>
        <w:t>, phenylalanine; SD, standard deviation; SE, standard error.</w:t>
      </w:r>
    </w:p>
    <w:p w14:paraId="1431E56B" w14:textId="53DAF934" w:rsidR="00346857" w:rsidRDefault="00346857" w:rsidP="00346857">
      <w:pPr>
        <w:pStyle w:val="TableDescription"/>
        <w:rPr>
          <w:lang w:eastAsia="en-AU"/>
        </w:rPr>
      </w:pPr>
      <w:r>
        <w:rPr>
          <w:lang w:eastAsia="en-AU"/>
        </w:rPr>
        <w:t xml:space="preserve">Note: Baseline is the average of Day-1 and Day 1 blood </w:t>
      </w:r>
      <w:proofErr w:type="spellStart"/>
      <w:r>
        <w:rPr>
          <w:lang w:eastAsia="en-AU"/>
        </w:rPr>
        <w:t>Phe</w:t>
      </w:r>
      <w:proofErr w:type="spellEnd"/>
      <w:r>
        <w:rPr>
          <w:lang w:eastAsia="en-AU"/>
        </w:rPr>
        <w:t xml:space="preserve"> levels in Part 2.</w:t>
      </w:r>
    </w:p>
    <w:p w14:paraId="52F57288" w14:textId="12971889" w:rsidR="00346857" w:rsidRDefault="00346857" w:rsidP="00346857">
      <w:pPr>
        <w:pStyle w:val="TableDescription"/>
        <w:rPr>
          <w:lang w:eastAsia="en-AU"/>
        </w:rPr>
      </w:pPr>
      <w:r>
        <w:rPr>
          <w:lang w:eastAsia="en-AU"/>
        </w:rPr>
        <w:t>LS means, SEs, C</w:t>
      </w:r>
      <w:r w:rsidR="00D55C91">
        <w:rPr>
          <w:lang w:eastAsia="en-AU"/>
        </w:rPr>
        <w:t>I</w:t>
      </w:r>
      <w:r>
        <w:rPr>
          <w:lang w:eastAsia="en-AU"/>
        </w:rPr>
        <w:t xml:space="preserve">s, and p values are based on the </w:t>
      </w:r>
      <w:proofErr w:type="spellStart"/>
      <w:r>
        <w:rPr>
          <w:lang w:eastAsia="en-AU"/>
        </w:rPr>
        <w:t>MMRM</w:t>
      </w:r>
      <w:proofErr w:type="spellEnd"/>
      <w:r>
        <w:rPr>
          <w:lang w:eastAsia="en-AU"/>
        </w:rPr>
        <w:t xml:space="preserve"> model on change from baseline in blood </w:t>
      </w:r>
      <w:proofErr w:type="spellStart"/>
      <w:r>
        <w:rPr>
          <w:lang w:eastAsia="en-AU"/>
        </w:rPr>
        <w:t>Phe</w:t>
      </w:r>
      <w:proofErr w:type="spellEnd"/>
      <w:r>
        <w:rPr>
          <w:lang w:eastAsia="en-AU"/>
        </w:rPr>
        <w:t xml:space="preserve"> with treatment, baseline </w:t>
      </w:r>
      <w:proofErr w:type="spellStart"/>
      <w:r>
        <w:rPr>
          <w:lang w:eastAsia="en-AU"/>
        </w:rPr>
        <w:t>Phe</w:t>
      </w:r>
      <w:proofErr w:type="spellEnd"/>
      <w:r>
        <w:rPr>
          <w:lang w:eastAsia="en-AU"/>
        </w:rPr>
        <w:t xml:space="preserve"> stratum (&lt;600 or </w:t>
      </w:r>
      <w:r w:rsidR="00D55C91">
        <w:rPr>
          <w:lang w:eastAsia="en-AU"/>
        </w:rPr>
        <w:t>≥</w:t>
      </w:r>
      <w:r>
        <w:rPr>
          <w:lang w:eastAsia="en-AU"/>
        </w:rPr>
        <w:t xml:space="preserve">600 </w:t>
      </w:r>
      <w:r w:rsidR="00C45782">
        <w:rPr>
          <w:lang w:eastAsia="en-AU"/>
        </w:rPr>
        <w:sym w:font="Symbol" w:char="F06D"/>
      </w:r>
      <w:r>
        <w:rPr>
          <w:lang w:eastAsia="en-AU"/>
        </w:rPr>
        <w:t xml:space="preserve">mol/L), </w:t>
      </w:r>
      <w:proofErr w:type="spellStart"/>
      <w:r>
        <w:rPr>
          <w:lang w:eastAsia="en-AU"/>
        </w:rPr>
        <w:t>Phe</w:t>
      </w:r>
      <w:proofErr w:type="spellEnd"/>
      <w:r>
        <w:rPr>
          <w:lang w:eastAsia="en-AU"/>
        </w:rPr>
        <w:t xml:space="preserve"> reduction (&gt;15% to &lt;30% or &gt;30%), visit, and treatment-by-visit interaction; baseline blood </w:t>
      </w:r>
      <w:proofErr w:type="spellStart"/>
      <w:r>
        <w:rPr>
          <w:lang w:eastAsia="en-AU"/>
        </w:rPr>
        <w:t>Phe</w:t>
      </w:r>
      <w:proofErr w:type="spellEnd"/>
      <w:r>
        <w:rPr>
          <w:lang w:eastAsia="en-AU"/>
        </w:rPr>
        <w:t xml:space="preserve"> as fixed effects; and a random participant effect with an unstructured covariance matrix.</w:t>
      </w:r>
    </w:p>
    <w:p w14:paraId="5ED8A26A" w14:textId="462095A9" w:rsidR="00D55C91" w:rsidRPr="004540F9" w:rsidRDefault="004F41B7" w:rsidP="00AC762A">
      <w:pPr>
        <w:rPr>
          <w:lang w:eastAsia="en-AU"/>
        </w:rPr>
      </w:pPr>
      <w:r w:rsidRPr="004540F9">
        <w:rPr>
          <w:lang w:eastAsia="en-AU"/>
        </w:rPr>
        <w:t xml:space="preserve">There were no subgroup effects. In participants who were non-responsive to </w:t>
      </w:r>
      <w:proofErr w:type="spellStart"/>
      <w:r w:rsidRPr="004540F9">
        <w:rPr>
          <w:lang w:eastAsia="en-AU"/>
        </w:rPr>
        <w:t>BH4</w:t>
      </w:r>
      <w:proofErr w:type="spellEnd"/>
      <w:r w:rsidRPr="004540F9">
        <w:rPr>
          <w:lang w:eastAsia="en-AU"/>
        </w:rPr>
        <w:t xml:space="preserve"> therapy, the difference (95% CI), </w:t>
      </w:r>
      <w:proofErr w:type="spellStart"/>
      <w:r w:rsidRPr="004540F9">
        <w:rPr>
          <w:lang w:eastAsia="en-AU"/>
        </w:rPr>
        <w:t>sepiapterin</w:t>
      </w:r>
      <w:proofErr w:type="spellEnd"/>
      <w:r w:rsidRPr="004540F9">
        <w:rPr>
          <w:lang w:eastAsia="en-AU"/>
        </w:rPr>
        <w:t xml:space="preserve"> – placebo, was -185.01 (-345.93 to -24.09) </w:t>
      </w:r>
      <w:proofErr w:type="spellStart"/>
      <w:r w:rsidRPr="004540F9">
        <w:rPr>
          <w:lang w:eastAsia="en-AU"/>
        </w:rPr>
        <w:t>μmol</w:t>
      </w:r>
      <w:proofErr w:type="spellEnd"/>
      <w:r w:rsidRPr="004540F9">
        <w:rPr>
          <w:lang w:eastAsia="en-AU"/>
        </w:rPr>
        <w:t>/L, p= 0.0259.</w:t>
      </w:r>
    </w:p>
    <w:p w14:paraId="7C25DEB8" w14:textId="07813C2D" w:rsidR="00246FF2" w:rsidRDefault="00246FF2" w:rsidP="00AC762A">
      <w:pPr>
        <w:pStyle w:val="Heading6"/>
        <w:rPr>
          <w:lang w:eastAsia="en-AU"/>
        </w:rPr>
      </w:pPr>
      <w:r>
        <w:rPr>
          <w:lang w:eastAsia="en-AU"/>
        </w:rPr>
        <w:t xml:space="preserve">Results for other efficacy </w:t>
      </w:r>
      <w:r w:rsidRPr="00AC762A">
        <w:t>outcomes</w:t>
      </w:r>
    </w:p>
    <w:p w14:paraId="589D8933" w14:textId="5C90E327" w:rsidR="00246FF2" w:rsidRDefault="00246FF2" w:rsidP="00AC762A">
      <w:pPr>
        <w:pStyle w:val="ListBullet"/>
        <w:rPr>
          <w:lang w:eastAsia="en-AU"/>
        </w:rPr>
      </w:pPr>
      <w:r>
        <w:rPr>
          <w:lang w:eastAsia="en-AU"/>
        </w:rPr>
        <w:t xml:space="preserve">The proportion of participants with </w:t>
      </w:r>
      <w:r w:rsidRPr="00AC762A">
        <w:t>baseline</w:t>
      </w:r>
      <w:r>
        <w:rPr>
          <w:lang w:eastAsia="en-AU"/>
        </w:rPr>
        <w:t xml:space="preserve"> </w:t>
      </w:r>
      <w:proofErr w:type="spellStart"/>
      <w:r>
        <w:rPr>
          <w:lang w:eastAsia="en-AU"/>
        </w:rPr>
        <w:t>Phe</w:t>
      </w:r>
      <w:proofErr w:type="spellEnd"/>
      <w:r>
        <w:rPr>
          <w:lang w:eastAsia="en-AU"/>
        </w:rPr>
        <w:t xml:space="preserve"> concentration ≥600 </w:t>
      </w:r>
      <w:proofErr w:type="spellStart"/>
      <w:r>
        <w:rPr>
          <w:lang w:eastAsia="en-AU"/>
        </w:rPr>
        <w:t>μmol</w:t>
      </w:r>
      <w:proofErr w:type="spellEnd"/>
      <w:r>
        <w:rPr>
          <w:lang w:eastAsia="en-AU"/>
        </w:rPr>
        <w:t xml:space="preserve">/L who achieved </w:t>
      </w:r>
      <w:proofErr w:type="spellStart"/>
      <w:r>
        <w:rPr>
          <w:lang w:eastAsia="en-AU"/>
        </w:rPr>
        <w:t>Phe</w:t>
      </w:r>
      <w:proofErr w:type="spellEnd"/>
      <w:r>
        <w:rPr>
          <w:lang w:eastAsia="en-AU"/>
        </w:rPr>
        <w:t xml:space="preserve"> concentration &lt;600 </w:t>
      </w:r>
      <w:proofErr w:type="spellStart"/>
      <w:r>
        <w:rPr>
          <w:lang w:eastAsia="en-AU"/>
        </w:rPr>
        <w:t>μmol</w:t>
      </w:r>
      <w:proofErr w:type="spellEnd"/>
      <w:r>
        <w:rPr>
          <w:lang w:eastAsia="en-AU"/>
        </w:rPr>
        <w:t xml:space="preserve">/L (full analysis set with </w:t>
      </w:r>
      <w:proofErr w:type="spellStart"/>
      <w:r>
        <w:rPr>
          <w:lang w:eastAsia="en-AU"/>
        </w:rPr>
        <w:t>Phe</w:t>
      </w:r>
      <w:proofErr w:type="spellEnd"/>
      <w:r>
        <w:rPr>
          <w:lang w:eastAsia="en-AU"/>
        </w:rPr>
        <w:t xml:space="preserve"> reduction from baseline ≥30% during Part 1) was 26 (92.9%) in the </w:t>
      </w:r>
      <w:proofErr w:type="spellStart"/>
      <w:r>
        <w:rPr>
          <w:lang w:eastAsia="en-AU"/>
        </w:rPr>
        <w:t>sepiapterin</w:t>
      </w:r>
      <w:proofErr w:type="spellEnd"/>
      <w:r>
        <w:rPr>
          <w:lang w:eastAsia="en-AU"/>
        </w:rPr>
        <w:t xml:space="preserve"> group and nine (30.0%) in the placebo, OR (95% CI), </w:t>
      </w:r>
      <w:proofErr w:type="spellStart"/>
      <w:r>
        <w:rPr>
          <w:lang w:eastAsia="en-AU"/>
        </w:rPr>
        <w:t>sepiapterin</w:t>
      </w:r>
      <w:proofErr w:type="spellEnd"/>
      <w:r>
        <w:rPr>
          <w:lang w:eastAsia="en-AU"/>
        </w:rPr>
        <w:t>/placebo, 30.33 (5.30 to 294.24), p&lt;0.0001.</w:t>
      </w:r>
    </w:p>
    <w:p w14:paraId="2EA54FCE" w14:textId="399D0366" w:rsidR="00246FF2" w:rsidRDefault="00246FF2" w:rsidP="00246FF2">
      <w:pPr>
        <w:pStyle w:val="ListBullet"/>
        <w:rPr>
          <w:lang w:eastAsia="en-AU"/>
        </w:rPr>
      </w:pPr>
      <w:r>
        <w:rPr>
          <w:lang w:eastAsia="en-AU"/>
        </w:rPr>
        <w:t xml:space="preserve">The proportion of participants with baseline </w:t>
      </w:r>
      <w:proofErr w:type="spellStart"/>
      <w:r>
        <w:rPr>
          <w:lang w:eastAsia="en-AU"/>
        </w:rPr>
        <w:t>Phe</w:t>
      </w:r>
      <w:proofErr w:type="spellEnd"/>
      <w:r>
        <w:rPr>
          <w:lang w:eastAsia="en-AU"/>
        </w:rPr>
        <w:t xml:space="preserve"> concentration ≥600 </w:t>
      </w:r>
      <w:proofErr w:type="spellStart"/>
      <w:r>
        <w:rPr>
          <w:lang w:eastAsia="en-AU"/>
        </w:rPr>
        <w:t>μmol</w:t>
      </w:r>
      <w:proofErr w:type="spellEnd"/>
      <w:r>
        <w:rPr>
          <w:lang w:eastAsia="en-AU"/>
        </w:rPr>
        <w:t xml:space="preserve">/L who achieved </w:t>
      </w:r>
      <w:proofErr w:type="spellStart"/>
      <w:r>
        <w:rPr>
          <w:lang w:eastAsia="en-AU"/>
        </w:rPr>
        <w:t>Phe</w:t>
      </w:r>
      <w:proofErr w:type="spellEnd"/>
      <w:r>
        <w:rPr>
          <w:lang w:eastAsia="en-AU"/>
        </w:rPr>
        <w:t xml:space="preserve"> concentration &lt;600 </w:t>
      </w:r>
      <w:proofErr w:type="spellStart"/>
      <w:r>
        <w:rPr>
          <w:lang w:eastAsia="en-AU"/>
        </w:rPr>
        <w:t>μmol</w:t>
      </w:r>
      <w:proofErr w:type="spellEnd"/>
      <w:r>
        <w:rPr>
          <w:lang w:eastAsia="en-AU"/>
        </w:rPr>
        <w:t xml:space="preserve">/L (full analysis set) was 26 (81.3%) in the </w:t>
      </w:r>
      <w:proofErr w:type="spellStart"/>
      <w:r>
        <w:rPr>
          <w:lang w:eastAsia="en-AU"/>
        </w:rPr>
        <w:t>sepiapterin</w:t>
      </w:r>
      <w:proofErr w:type="spellEnd"/>
      <w:r>
        <w:rPr>
          <w:lang w:eastAsia="en-AU"/>
        </w:rPr>
        <w:t xml:space="preserve"> group and ten (30.3%) in the placebo, OR (95% CI), </w:t>
      </w:r>
      <w:proofErr w:type="spellStart"/>
      <w:r>
        <w:rPr>
          <w:lang w:eastAsia="en-AU"/>
        </w:rPr>
        <w:t>sepiapterin</w:t>
      </w:r>
      <w:proofErr w:type="spellEnd"/>
      <w:r>
        <w:rPr>
          <w:lang w:eastAsia="en-AU"/>
        </w:rPr>
        <w:t>/placebo, 10.68 (2.76 to 41.27), p &lt;0.0001.</w:t>
      </w:r>
    </w:p>
    <w:p w14:paraId="6DFEFE18" w14:textId="3F1002A8" w:rsidR="00246FF2" w:rsidRDefault="00246FF2" w:rsidP="00246FF2">
      <w:pPr>
        <w:pStyle w:val="ListBullet"/>
        <w:rPr>
          <w:lang w:eastAsia="en-AU"/>
        </w:rPr>
      </w:pPr>
      <w:r>
        <w:rPr>
          <w:lang w:eastAsia="en-AU"/>
        </w:rPr>
        <w:t xml:space="preserve">The proportion of participants with baseline </w:t>
      </w:r>
      <w:proofErr w:type="spellStart"/>
      <w:r>
        <w:rPr>
          <w:lang w:eastAsia="en-AU"/>
        </w:rPr>
        <w:t>Phe</w:t>
      </w:r>
      <w:proofErr w:type="spellEnd"/>
      <w:r>
        <w:rPr>
          <w:lang w:eastAsia="en-AU"/>
        </w:rPr>
        <w:t xml:space="preserve"> concentration ≥360 </w:t>
      </w:r>
      <w:proofErr w:type="spellStart"/>
      <w:r>
        <w:rPr>
          <w:lang w:eastAsia="en-AU"/>
        </w:rPr>
        <w:t>μmol</w:t>
      </w:r>
      <w:proofErr w:type="spellEnd"/>
      <w:r>
        <w:rPr>
          <w:lang w:eastAsia="en-AU"/>
        </w:rPr>
        <w:t xml:space="preserve">/L who achieved </w:t>
      </w:r>
      <w:proofErr w:type="spellStart"/>
      <w:r>
        <w:rPr>
          <w:lang w:eastAsia="en-AU"/>
        </w:rPr>
        <w:t>Phe</w:t>
      </w:r>
      <w:proofErr w:type="spellEnd"/>
      <w:r>
        <w:rPr>
          <w:lang w:eastAsia="en-AU"/>
        </w:rPr>
        <w:t xml:space="preserve"> concentration &lt;360 </w:t>
      </w:r>
      <w:proofErr w:type="spellStart"/>
      <w:r>
        <w:rPr>
          <w:lang w:eastAsia="en-AU"/>
        </w:rPr>
        <w:t>μmol</w:t>
      </w:r>
      <w:proofErr w:type="spellEnd"/>
      <w:r>
        <w:rPr>
          <w:lang w:eastAsia="en-AU"/>
        </w:rPr>
        <w:t xml:space="preserve">/L (full analysis set with </w:t>
      </w:r>
      <w:proofErr w:type="spellStart"/>
      <w:r>
        <w:rPr>
          <w:lang w:eastAsia="en-AU"/>
        </w:rPr>
        <w:t>Phe</w:t>
      </w:r>
      <w:proofErr w:type="spellEnd"/>
      <w:r>
        <w:rPr>
          <w:lang w:eastAsia="en-AU"/>
        </w:rPr>
        <w:t xml:space="preserve"> reduction from baseline ≥30% during Part 1) was 37 (84.1%) in the </w:t>
      </w:r>
      <w:proofErr w:type="spellStart"/>
      <w:r>
        <w:rPr>
          <w:lang w:eastAsia="en-AU"/>
        </w:rPr>
        <w:t>sepiapterin</w:t>
      </w:r>
      <w:proofErr w:type="spellEnd"/>
      <w:r>
        <w:rPr>
          <w:lang w:eastAsia="en-AU"/>
        </w:rPr>
        <w:t xml:space="preserve"> group and four (9.3%) in the placebo, OR (95% CI), </w:t>
      </w:r>
      <w:proofErr w:type="spellStart"/>
      <w:r>
        <w:rPr>
          <w:lang w:eastAsia="en-AU"/>
        </w:rPr>
        <w:t>sepiapterin</w:t>
      </w:r>
      <w:proofErr w:type="spellEnd"/>
      <w:r>
        <w:rPr>
          <w:lang w:eastAsia="en-AU"/>
        </w:rPr>
        <w:t>/placebo, 51.54 (12.28 to 254.34), p&lt;0.0001.</w:t>
      </w:r>
    </w:p>
    <w:p w14:paraId="6A66C7B1" w14:textId="70CB52B9" w:rsidR="00246FF2" w:rsidRDefault="00246FF2" w:rsidP="00246FF2">
      <w:pPr>
        <w:pStyle w:val="ListBullet"/>
        <w:rPr>
          <w:lang w:eastAsia="en-AU"/>
        </w:rPr>
      </w:pPr>
      <w:r>
        <w:rPr>
          <w:lang w:eastAsia="en-AU"/>
        </w:rPr>
        <w:t xml:space="preserve">The proportion of participants with baseline </w:t>
      </w:r>
      <w:proofErr w:type="spellStart"/>
      <w:r>
        <w:rPr>
          <w:lang w:eastAsia="en-AU"/>
        </w:rPr>
        <w:t>Phe</w:t>
      </w:r>
      <w:proofErr w:type="spellEnd"/>
      <w:r>
        <w:rPr>
          <w:lang w:eastAsia="en-AU"/>
        </w:rPr>
        <w:t xml:space="preserve"> concentration ≥360 </w:t>
      </w:r>
      <w:proofErr w:type="spellStart"/>
      <w:r>
        <w:rPr>
          <w:lang w:eastAsia="en-AU"/>
        </w:rPr>
        <w:t>μmol</w:t>
      </w:r>
      <w:proofErr w:type="spellEnd"/>
      <w:r>
        <w:rPr>
          <w:lang w:eastAsia="en-AU"/>
        </w:rPr>
        <w:t xml:space="preserve">/L who achieved </w:t>
      </w:r>
      <w:proofErr w:type="spellStart"/>
      <w:r>
        <w:rPr>
          <w:lang w:eastAsia="en-AU"/>
        </w:rPr>
        <w:t>Phe</w:t>
      </w:r>
      <w:proofErr w:type="spellEnd"/>
      <w:r>
        <w:rPr>
          <w:lang w:eastAsia="en-AU"/>
        </w:rPr>
        <w:t xml:space="preserve"> concentration &lt;360 </w:t>
      </w:r>
      <w:proofErr w:type="spellStart"/>
      <w:r>
        <w:rPr>
          <w:lang w:eastAsia="en-AU"/>
        </w:rPr>
        <w:t>μmol</w:t>
      </w:r>
      <w:proofErr w:type="spellEnd"/>
      <w:r>
        <w:rPr>
          <w:lang w:eastAsia="en-AU"/>
        </w:rPr>
        <w:t xml:space="preserve">/L (full analysis set) was 39 (78.0%) in the </w:t>
      </w:r>
      <w:proofErr w:type="spellStart"/>
      <w:r>
        <w:rPr>
          <w:lang w:eastAsia="en-AU"/>
        </w:rPr>
        <w:t>sepiapterin</w:t>
      </w:r>
      <w:proofErr w:type="spellEnd"/>
      <w:r>
        <w:rPr>
          <w:lang w:eastAsia="en-AU"/>
        </w:rPr>
        <w:t xml:space="preserve"> group and five (10.4%) in the placebo, OR (95% CI), </w:t>
      </w:r>
      <w:proofErr w:type="spellStart"/>
      <w:r>
        <w:rPr>
          <w:lang w:eastAsia="en-AU"/>
        </w:rPr>
        <w:t>sepiapterin</w:t>
      </w:r>
      <w:proofErr w:type="spellEnd"/>
      <w:r>
        <w:rPr>
          <w:lang w:eastAsia="en-AU"/>
        </w:rPr>
        <w:t>/placebo, 25.26 (7.71 to 82.74), p &lt;0.0001.</w:t>
      </w:r>
    </w:p>
    <w:p w14:paraId="0407BD93" w14:textId="5BEA57B8" w:rsidR="00246FF2" w:rsidRDefault="00246FF2" w:rsidP="00246FF2">
      <w:pPr>
        <w:pStyle w:val="ListBullet"/>
        <w:rPr>
          <w:lang w:eastAsia="en-AU"/>
        </w:rPr>
      </w:pPr>
      <w:r>
        <w:rPr>
          <w:lang w:eastAsia="en-AU"/>
        </w:rPr>
        <w:t xml:space="preserve">The proportion of participants with baseline </w:t>
      </w:r>
      <w:proofErr w:type="spellStart"/>
      <w:r>
        <w:rPr>
          <w:lang w:eastAsia="en-AU"/>
        </w:rPr>
        <w:t>Phe</w:t>
      </w:r>
      <w:proofErr w:type="spellEnd"/>
      <w:r>
        <w:rPr>
          <w:lang w:eastAsia="en-AU"/>
        </w:rPr>
        <w:t xml:space="preserve"> concentration ≥120 </w:t>
      </w:r>
      <w:proofErr w:type="spellStart"/>
      <w:r>
        <w:rPr>
          <w:lang w:eastAsia="en-AU"/>
        </w:rPr>
        <w:t>μmol</w:t>
      </w:r>
      <w:proofErr w:type="spellEnd"/>
      <w:r>
        <w:rPr>
          <w:lang w:eastAsia="en-AU"/>
        </w:rPr>
        <w:t xml:space="preserve">/L who achieved </w:t>
      </w:r>
      <w:proofErr w:type="spellStart"/>
      <w:r>
        <w:rPr>
          <w:lang w:eastAsia="en-AU"/>
        </w:rPr>
        <w:t>Phe</w:t>
      </w:r>
      <w:proofErr w:type="spellEnd"/>
      <w:r>
        <w:rPr>
          <w:lang w:eastAsia="en-AU"/>
        </w:rPr>
        <w:t xml:space="preserve"> concentration &lt;120 </w:t>
      </w:r>
      <w:proofErr w:type="spellStart"/>
      <w:r>
        <w:rPr>
          <w:lang w:eastAsia="en-AU"/>
        </w:rPr>
        <w:t>μmol</w:t>
      </w:r>
      <w:proofErr w:type="spellEnd"/>
      <w:r>
        <w:rPr>
          <w:lang w:eastAsia="en-AU"/>
        </w:rPr>
        <w:t xml:space="preserve">/L (full analysis set with </w:t>
      </w:r>
      <w:proofErr w:type="spellStart"/>
      <w:r>
        <w:rPr>
          <w:lang w:eastAsia="en-AU"/>
        </w:rPr>
        <w:t>Phe</w:t>
      </w:r>
      <w:proofErr w:type="spellEnd"/>
      <w:r>
        <w:rPr>
          <w:lang w:eastAsia="en-AU"/>
        </w:rPr>
        <w:t xml:space="preserve"> reduction from baseline ≥30% during Part 1) was 11 (22.4%) in the </w:t>
      </w:r>
      <w:proofErr w:type="spellStart"/>
      <w:r>
        <w:rPr>
          <w:lang w:eastAsia="en-AU"/>
        </w:rPr>
        <w:t>sepiapterin</w:t>
      </w:r>
      <w:proofErr w:type="spellEnd"/>
      <w:r>
        <w:rPr>
          <w:lang w:eastAsia="en-AU"/>
        </w:rPr>
        <w:t xml:space="preserve"> group and none (0%) in the placebo, OR not evaluable, p = 0.0004.</w:t>
      </w:r>
    </w:p>
    <w:p w14:paraId="7376DD1F" w14:textId="4994EEAD" w:rsidR="00246FF2" w:rsidRDefault="00246FF2" w:rsidP="00246FF2">
      <w:pPr>
        <w:pStyle w:val="ListBullet"/>
        <w:rPr>
          <w:lang w:eastAsia="en-AU"/>
        </w:rPr>
      </w:pPr>
      <w:proofErr w:type="spellStart"/>
      <w:r>
        <w:rPr>
          <w:lang w:eastAsia="en-AU"/>
        </w:rPr>
        <w:t>Phe</w:t>
      </w:r>
      <w:proofErr w:type="spellEnd"/>
      <w:r>
        <w:rPr>
          <w:lang w:eastAsia="en-AU"/>
        </w:rPr>
        <w:t xml:space="preserve"> concentrations decreased to Weeks 3 and 4, and then stabilised to Weeks 5 and 6, indicating no increase in effect from the 40 mg/kg dose level to the 60 mg/kg dose level. For the full analysis set with </w:t>
      </w:r>
      <w:proofErr w:type="spellStart"/>
      <w:r>
        <w:rPr>
          <w:lang w:eastAsia="en-AU"/>
        </w:rPr>
        <w:t>Phe</w:t>
      </w:r>
      <w:proofErr w:type="spellEnd"/>
      <w:r>
        <w:rPr>
          <w:lang w:eastAsia="en-AU"/>
        </w:rPr>
        <w:t xml:space="preserve"> reduction from baseline ≥30% during Part 1, the difference (95% CI), </w:t>
      </w:r>
      <w:proofErr w:type="spellStart"/>
      <w:r>
        <w:rPr>
          <w:lang w:eastAsia="en-AU"/>
        </w:rPr>
        <w:t>sepiapterin</w:t>
      </w:r>
      <w:proofErr w:type="spellEnd"/>
      <w:r>
        <w:rPr>
          <w:lang w:eastAsia="en-AU"/>
        </w:rPr>
        <w:t xml:space="preserve"> – placebo, for Weeks 1 and 2 was -289.89 (-356.29 to -223.50) </w:t>
      </w:r>
      <w:proofErr w:type="spellStart"/>
      <w:r>
        <w:rPr>
          <w:lang w:eastAsia="en-AU"/>
        </w:rPr>
        <w:t>μmol</w:t>
      </w:r>
      <w:proofErr w:type="spellEnd"/>
      <w:r>
        <w:rPr>
          <w:lang w:eastAsia="en-AU"/>
        </w:rPr>
        <w:t xml:space="preserve">/L, for Weeks 3 and 4 was -375.47 (-435.88 to -315.06) </w:t>
      </w:r>
      <w:proofErr w:type="spellStart"/>
      <w:r>
        <w:rPr>
          <w:lang w:eastAsia="en-AU"/>
        </w:rPr>
        <w:t>μmol</w:t>
      </w:r>
      <w:proofErr w:type="spellEnd"/>
      <w:r>
        <w:rPr>
          <w:lang w:eastAsia="en-AU"/>
        </w:rPr>
        <w:t xml:space="preserve">/L and for Weeks 5 and 6 was -395.47 (-463.07 to -328.66) </w:t>
      </w:r>
      <w:proofErr w:type="spellStart"/>
      <w:r>
        <w:rPr>
          <w:lang w:eastAsia="en-AU"/>
        </w:rPr>
        <w:t>μmol</w:t>
      </w:r>
      <w:proofErr w:type="spellEnd"/>
      <w:r>
        <w:rPr>
          <w:lang w:eastAsia="en-AU"/>
        </w:rPr>
        <w:t>/L. The findings were similar for the full analysis set.</w:t>
      </w:r>
    </w:p>
    <w:p w14:paraId="479D25E6" w14:textId="2C3A4C82" w:rsidR="00A450EB" w:rsidRDefault="00A450EB" w:rsidP="00A450EB">
      <w:pPr>
        <w:pStyle w:val="Heading5"/>
        <w:rPr>
          <w:lang w:eastAsia="en-AU"/>
        </w:rPr>
      </w:pPr>
      <w:r>
        <w:rPr>
          <w:lang w:eastAsia="en-AU"/>
        </w:rPr>
        <w:lastRenderedPageBreak/>
        <w:t>Other efficacy studies</w:t>
      </w:r>
    </w:p>
    <w:p w14:paraId="5A6195BC" w14:textId="2B3BBE84" w:rsidR="00A450EB" w:rsidRDefault="00A450EB" w:rsidP="00A450EB">
      <w:pPr>
        <w:pStyle w:val="Heading6"/>
        <w:rPr>
          <w:lang w:eastAsia="en-AU"/>
        </w:rPr>
      </w:pPr>
      <w:r>
        <w:rPr>
          <w:lang w:eastAsia="en-AU"/>
        </w:rPr>
        <w:t xml:space="preserve">Study </w:t>
      </w:r>
      <w:proofErr w:type="spellStart"/>
      <w:r>
        <w:rPr>
          <w:lang w:eastAsia="en-AU"/>
        </w:rPr>
        <w:t>PTC923</w:t>
      </w:r>
      <w:proofErr w:type="spellEnd"/>
      <w:r>
        <w:rPr>
          <w:lang w:eastAsia="en-AU"/>
        </w:rPr>
        <w:t>-PKU-002 (Study PKU-002)</w:t>
      </w:r>
    </w:p>
    <w:p w14:paraId="6CBA2B7B" w14:textId="77777777" w:rsidR="00A450EB" w:rsidRDefault="00A450EB" w:rsidP="00AC762A">
      <w:pPr>
        <w:rPr>
          <w:lang w:eastAsia="en-AU"/>
        </w:rPr>
      </w:pPr>
      <w:r>
        <w:rPr>
          <w:lang w:eastAsia="en-AU"/>
        </w:rPr>
        <w:t xml:space="preserve">Study PKU-002 was a Phase 2, open-label. randomised, active controlled proof of concept study in PKU patients. The study included patients ≥18 years and ≤60 years of age with clinical diagnosis of PKU and with </w:t>
      </w:r>
      <w:proofErr w:type="spellStart"/>
      <w:r>
        <w:rPr>
          <w:lang w:eastAsia="en-AU"/>
        </w:rPr>
        <w:t>HPA</w:t>
      </w:r>
      <w:proofErr w:type="spellEnd"/>
      <w:r>
        <w:rPr>
          <w:lang w:eastAsia="en-AU"/>
        </w:rPr>
        <w:t xml:space="preserve"> documented by past medical history of at least one blood </w:t>
      </w:r>
      <w:proofErr w:type="spellStart"/>
      <w:r>
        <w:rPr>
          <w:lang w:eastAsia="en-AU"/>
        </w:rPr>
        <w:t>Phe</w:t>
      </w:r>
      <w:proofErr w:type="spellEnd"/>
      <w:r>
        <w:rPr>
          <w:lang w:eastAsia="en-AU"/>
        </w:rPr>
        <w:t xml:space="preserve"> measurement ≥360 </w:t>
      </w:r>
      <w:proofErr w:type="spellStart"/>
      <w:r>
        <w:rPr>
          <w:lang w:eastAsia="en-AU"/>
        </w:rPr>
        <w:t>μmol</w:t>
      </w:r>
      <w:proofErr w:type="spellEnd"/>
      <w:r>
        <w:rPr>
          <w:lang w:eastAsia="en-AU"/>
        </w:rPr>
        <w:t xml:space="preserve">/L, and with a blood </w:t>
      </w:r>
      <w:proofErr w:type="spellStart"/>
      <w:r>
        <w:rPr>
          <w:lang w:eastAsia="en-AU"/>
        </w:rPr>
        <w:t>Phe</w:t>
      </w:r>
      <w:proofErr w:type="spellEnd"/>
      <w:r>
        <w:rPr>
          <w:lang w:eastAsia="en-AU"/>
        </w:rPr>
        <w:t xml:space="preserve"> concentration ≥450 </w:t>
      </w:r>
      <w:proofErr w:type="spellStart"/>
      <w:r>
        <w:rPr>
          <w:lang w:eastAsia="en-AU"/>
        </w:rPr>
        <w:t>μmol</w:t>
      </w:r>
      <w:proofErr w:type="spellEnd"/>
      <w:r>
        <w:rPr>
          <w:lang w:eastAsia="en-AU"/>
        </w:rPr>
        <w:t xml:space="preserve">/L anytime during screening, or a blood </w:t>
      </w:r>
      <w:proofErr w:type="spellStart"/>
      <w:r>
        <w:rPr>
          <w:lang w:eastAsia="en-AU"/>
        </w:rPr>
        <w:t>Phe</w:t>
      </w:r>
      <w:proofErr w:type="spellEnd"/>
      <w:r>
        <w:rPr>
          <w:lang w:eastAsia="en-AU"/>
        </w:rPr>
        <w:t xml:space="preserve"> concentration ≥450 </w:t>
      </w:r>
      <w:proofErr w:type="spellStart"/>
      <w:r>
        <w:rPr>
          <w:lang w:eastAsia="en-AU"/>
        </w:rPr>
        <w:t>μmol</w:t>
      </w:r>
      <w:proofErr w:type="spellEnd"/>
      <w:r>
        <w:rPr>
          <w:lang w:eastAsia="en-AU"/>
        </w:rPr>
        <w:t xml:space="preserve">/L when averaging the three most recent </w:t>
      </w:r>
      <w:proofErr w:type="spellStart"/>
      <w:r>
        <w:rPr>
          <w:lang w:eastAsia="en-AU"/>
        </w:rPr>
        <w:t>Phe</w:t>
      </w:r>
      <w:proofErr w:type="spellEnd"/>
      <w:r>
        <w:rPr>
          <w:lang w:eastAsia="en-AU"/>
        </w:rPr>
        <w:t xml:space="preserve"> concentrations from the patient’s medical history (inclusive of the screening value).</w:t>
      </w:r>
    </w:p>
    <w:p w14:paraId="1E65187C" w14:textId="0396D103" w:rsidR="00A450EB" w:rsidRDefault="00A450EB" w:rsidP="00A450EB">
      <w:pPr>
        <w:rPr>
          <w:lang w:eastAsia="en-AU"/>
        </w:rPr>
      </w:pPr>
      <w:r>
        <w:rPr>
          <w:lang w:eastAsia="en-AU"/>
        </w:rPr>
        <w:t xml:space="preserve">All PAH mutations were permitted into the study. Genotyping was not required. However, patients with classical PKU (i.e., </w:t>
      </w:r>
      <w:proofErr w:type="spellStart"/>
      <w:r>
        <w:rPr>
          <w:lang w:eastAsia="en-AU"/>
        </w:rPr>
        <w:t>Phe</w:t>
      </w:r>
      <w:proofErr w:type="spellEnd"/>
      <w:r>
        <w:rPr>
          <w:lang w:eastAsia="en-AU"/>
        </w:rPr>
        <w:t xml:space="preserve"> concentrations ≥1200 </w:t>
      </w:r>
      <w:proofErr w:type="spellStart"/>
      <w:r>
        <w:rPr>
          <w:lang w:eastAsia="en-AU"/>
        </w:rPr>
        <w:t>μmol</w:t>
      </w:r>
      <w:proofErr w:type="spellEnd"/>
      <w:r>
        <w:rPr>
          <w:lang w:eastAsia="en-AU"/>
        </w:rPr>
        <w:t xml:space="preserve">/L and or historical evidence of </w:t>
      </w:r>
      <w:proofErr w:type="spellStart"/>
      <w:r>
        <w:rPr>
          <w:lang w:eastAsia="en-AU"/>
        </w:rPr>
        <w:t>Phe</w:t>
      </w:r>
      <w:proofErr w:type="spellEnd"/>
      <w:r>
        <w:rPr>
          <w:lang w:eastAsia="en-AU"/>
        </w:rPr>
        <w:t xml:space="preserve"> concentrations ≥1200 </w:t>
      </w:r>
      <w:proofErr w:type="spellStart"/>
      <w:r>
        <w:rPr>
          <w:lang w:eastAsia="en-AU"/>
        </w:rPr>
        <w:t>μmol</w:t>
      </w:r>
      <w:proofErr w:type="spellEnd"/>
      <w:r>
        <w:rPr>
          <w:lang w:eastAsia="en-AU"/>
        </w:rPr>
        <w:t>/L in their medical history) were capped per protocol at 20% of the total population, assuming 30 patients were enrolled. The study treatments were</w:t>
      </w:r>
    </w:p>
    <w:p w14:paraId="27690FC6" w14:textId="268946C8" w:rsidR="00A450EB" w:rsidRDefault="00A450EB" w:rsidP="00AC762A">
      <w:pPr>
        <w:pStyle w:val="Numberbullet0"/>
        <w:rPr>
          <w:lang w:eastAsia="en-AU"/>
        </w:rPr>
      </w:pPr>
      <w:proofErr w:type="spellStart"/>
      <w:r>
        <w:rPr>
          <w:lang w:eastAsia="en-AU"/>
        </w:rPr>
        <w:t>Sepiapterin</w:t>
      </w:r>
      <w:proofErr w:type="spellEnd"/>
      <w:r>
        <w:rPr>
          <w:lang w:eastAsia="en-AU"/>
        </w:rPr>
        <w:t xml:space="preserve"> 20 mg/kg/day</w:t>
      </w:r>
    </w:p>
    <w:p w14:paraId="048EDC0A" w14:textId="039C864C" w:rsidR="00A450EB" w:rsidRDefault="00A450EB" w:rsidP="00A450EB">
      <w:pPr>
        <w:pStyle w:val="Numberbullet0"/>
        <w:rPr>
          <w:lang w:eastAsia="en-AU"/>
        </w:rPr>
      </w:pPr>
      <w:proofErr w:type="spellStart"/>
      <w:r>
        <w:rPr>
          <w:lang w:eastAsia="en-AU"/>
        </w:rPr>
        <w:t>Sepiapterin</w:t>
      </w:r>
      <w:proofErr w:type="spellEnd"/>
      <w:r>
        <w:rPr>
          <w:lang w:eastAsia="en-AU"/>
        </w:rPr>
        <w:t xml:space="preserve"> 60 mg/kg/day</w:t>
      </w:r>
    </w:p>
    <w:p w14:paraId="779C10D5" w14:textId="48772F04" w:rsidR="00A450EB" w:rsidRDefault="00A450EB" w:rsidP="00A450EB">
      <w:pPr>
        <w:pStyle w:val="Numberbullet0"/>
        <w:rPr>
          <w:lang w:eastAsia="en-AU"/>
        </w:rPr>
      </w:pPr>
      <w:proofErr w:type="spellStart"/>
      <w:r>
        <w:rPr>
          <w:lang w:eastAsia="en-AU"/>
        </w:rPr>
        <w:t>Sapropterin</w:t>
      </w:r>
      <w:proofErr w:type="spellEnd"/>
      <w:r>
        <w:rPr>
          <w:lang w:eastAsia="en-AU"/>
        </w:rPr>
        <w:t xml:space="preserve"> dihydrochloride (Kuvan) 20 mg/kg/day</w:t>
      </w:r>
      <w:r w:rsidR="00AC762A">
        <w:rPr>
          <w:lang w:eastAsia="en-AU"/>
        </w:rPr>
        <w:t>.</w:t>
      </w:r>
    </w:p>
    <w:p w14:paraId="393EAF7B" w14:textId="77777777" w:rsidR="00A450EB" w:rsidRDefault="00A450EB" w:rsidP="00AC762A">
      <w:pPr>
        <w:rPr>
          <w:lang w:eastAsia="en-AU"/>
        </w:rPr>
      </w:pPr>
      <w:r>
        <w:rPr>
          <w:lang w:eastAsia="en-AU"/>
        </w:rPr>
        <w:t xml:space="preserve">The treatments were administered in random order. Each treatment period was 7 days and there was a 7-day washout period between treatments. Patients were instructed to continue their usual diet without modification and to keep a 3-day diet record during each treatment and washout period. A dietician monitored each patient’s diet to calculate </w:t>
      </w:r>
      <w:proofErr w:type="spellStart"/>
      <w:r>
        <w:rPr>
          <w:lang w:eastAsia="en-AU"/>
        </w:rPr>
        <w:t>Phe</w:t>
      </w:r>
      <w:proofErr w:type="spellEnd"/>
      <w:r>
        <w:rPr>
          <w:lang w:eastAsia="en-AU"/>
        </w:rPr>
        <w:t xml:space="preserve"> consumption and had regular contact with patients.</w:t>
      </w:r>
    </w:p>
    <w:p w14:paraId="53166499" w14:textId="01665E66" w:rsidR="00A450EB" w:rsidRDefault="00A450EB" w:rsidP="00A450EB">
      <w:pPr>
        <w:rPr>
          <w:lang w:eastAsia="en-AU"/>
        </w:rPr>
      </w:pPr>
      <w:r>
        <w:rPr>
          <w:lang w:eastAsia="en-AU"/>
        </w:rPr>
        <w:t xml:space="preserve">The outcome measure was blood </w:t>
      </w:r>
      <w:proofErr w:type="spellStart"/>
      <w:r>
        <w:rPr>
          <w:lang w:eastAsia="en-AU"/>
        </w:rPr>
        <w:t>Phe</w:t>
      </w:r>
      <w:proofErr w:type="spellEnd"/>
      <w:r>
        <w:rPr>
          <w:lang w:eastAsia="en-AU"/>
        </w:rPr>
        <w:t xml:space="preserve"> concentrations measured by plasma and by dried blood sampling. Plasma samples were collected on Days -7 and -1 of the pre-study period and Days 1 and 7 of the treatment </w:t>
      </w:r>
      <w:proofErr w:type="gramStart"/>
      <w:r>
        <w:rPr>
          <w:lang w:eastAsia="en-AU"/>
        </w:rPr>
        <w:t>period</w:t>
      </w:r>
      <w:proofErr w:type="gramEnd"/>
      <w:r>
        <w:rPr>
          <w:lang w:eastAsia="en-AU"/>
        </w:rPr>
        <w:t xml:space="preserve">. Dried blood samples were collected on Days -7, -5, -3 and -1 of the pre-study period and Days 1, 3, 5 and 7 of the treatment </w:t>
      </w:r>
      <w:proofErr w:type="gramStart"/>
      <w:r>
        <w:rPr>
          <w:lang w:eastAsia="en-AU"/>
        </w:rPr>
        <w:t>period</w:t>
      </w:r>
      <w:proofErr w:type="gramEnd"/>
      <w:r>
        <w:rPr>
          <w:lang w:eastAsia="en-AU"/>
        </w:rPr>
        <w:t>.</w:t>
      </w:r>
    </w:p>
    <w:p w14:paraId="27CF673E" w14:textId="2CAF8D01" w:rsidR="00A450EB" w:rsidRDefault="00A450EB" w:rsidP="00AC762A">
      <w:pPr>
        <w:pStyle w:val="Heading7"/>
        <w:rPr>
          <w:lang w:eastAsia="en-AU"/>
        </w:rPr>
      </w:pPr>
      <w:r>
        <w:rPr>
          <w:lang w:eastAsia="en-AU"/>
        </w:rPr>
        <w:t xml:space="preserve">Study </w:t>
      </w:r>
      <w:r w:rsidRPr="00AC762A">
        <w:t>participants</w:t>
      </w:r>
    </w:p>
    <w:p w14:paraId="7140E9B5" w14:textId="1D1E2072" w:rsidR="00A450EB" w:rsidRDefault="00A450EB" w:rsidP="00A450EB">
      <w:pPr>
        <w:rPr>
          <w:lang w:eastAsia="en-AU"/>
        </w:rPr>
      </w:pPr>
      <w:r>
        <w:rPr>
          <w:lang w:eastAsia="en-AU"/>
        </w:rPr>
        <w:t>There were 24 patients included in the study. All patients completed the study treatments and the study. There were 16 (66.7%) females and eight (33.3%) males. The median (range) age was 26.5 (18 to 43) years. Median (range) weight was 66.0 (49 to 118) kg.</w:t>
      </w:r>
    </w:p>
    <w:p w14:paraId="6252B059" w14:textId="77777777" w:rsidR="00A450EB" w:rsidRDefault="00A450EB" w:rsidP="00A450EB">
      <w:pPr>
        <w:rPr>
          <w:lang w:eastAsia="en-AU"/>
        </w:rPr>
      </w:pPr>
      <w:r>
        <w:rPr>
          <w:lang w:eastAsia="en-AU"/>
        </w:rPr>
        <w:t>Twenty-two (91.7%) of the 24 patients received at least one concomitant medication, the most common of which pertained to general nutrients (14 [58.3%] patients), including amino acids, carbohydrates, minerals, and vitamins.</w:t>
      </w:r>
    </w:p>
    <w:p w14:paraId="1944403E" w14:textId="188F0717" w:rsidR="00A450EB" w:rsidRDefault="00A450EB" w:rsidP="00AC762A">
      <w:pPr>
        <w:pStyle w:val="Heading7"/>
        <w:rPr>
          <w:lang w:eastAsia="en-AU"/>
        </w:rPr>
      </w:pPr>
      <w:r>
        <w:rPr>
          <w:lang w:eastAsia="en-AU"/>
        </w:rPr>
        <w:t xml:space="preserve">Study </w:t>
      </w:r>
      <w:r w:rsidRPr="00AC762A">
        <w:t>results</w:t>
      </w:r>
    </w:p>
    <w:p w14:paraId="329F54A0" w14:textId="44F265E7" w:rsidR="00A450EB" w:rsidRDefault="00A450EB" w:rsidP="00A450EB">
      <w:pPr>
        <w:rPr>
          <w:lang w:eastAsia="en-AU"/>
        </w:rPr>
      </w:pPr>
      <w:r>
        <w:rPr>
          <w:lang w:eastAsia="en-AU"/>
        </w:rPr>
        <w:t xml:space="preserve">The decrease in dried blood </w:t>
      </w:r>
      <w:proofErr w:type="spellStart"/>
      <w:r>
        <w:rPr>
          <w:lang w:eastAsia="en-AU"/>
        </w:rPr>
        <w:t>Phe</w:t>
      </w:r>
      <w:proofErr w:type="spellEnd"/>
      <w:r>
        <w:rPr>
          <w:lang w:eastAsia="en-AU"/>
        </w:rPr>
        <w:t xml:space="preserve"> concentration was greatest for the </w:t>
      </w:r>
      <w:proofErr w:type="spellStart"/>
      <w:r>
        <w:rPr>
          <w:lang w:eastAsia="en-AU"/>
        </w:rPr>
        <w:t>sepiapterin</w:t>
      </w:r>
      <w:proofErr w:type="spellEnd"/>
      <w:r>
        <w:rPr>
          <w:lang w:eastAsia="en-AU"/>
        </w:rPr>
        <w:t xml:space="preserve"> 60 mg/kg dose level: LS mean (SE) change from baseline -146.88 (41.76) </w:t>
      </w:r>
      <w:proofErr w:type="spellStart"/>
      <w:r>
        <w:rPr>
          <w:lang w:eastAsia="en-AU"/>
        </w:rPr>
        <w:t>μmol</w:t>
      </w:r>
      <w:proofErr w:type="spellEnd"/>
      <w:r>
        <w:rPr>
          <w:lang w:eastAsia="en-AU"/>
        </w:rPr>
        <w:t xml:space="preserve">/L for </w:t>
      </w:r>
      <w:proofErr w:type="spellStart"/>
      <w:r>
        <w:rPr>
          <w:lang w:eastAsia="en-AU"/>
        </w:rPr>
        <w:t>sepiapterin</w:t>
      </w:r>
      <w:proofErr w:type="spellEnd"/>
      <w:r>
        <w:rPr>
          <w:lang w:eastAsia="en-AU"/>
        </w:rPr>
        <w:t xml:space="preserve"> 20 mg/kg, -206.37 (41.77) </w:t>
      </w:r>
      <w:proofErr w:type="spellStart"/>
      <w:r>
        <w:rPr>
          <w:lang w:eastAsia="en-AU"/>
        </w:rPr>
        <w:t>μmol</w:t>
      </w:r>
      <w:proofErr w:type="spellEnd"/>
      <w:r>
        <w:rPr>
          <w:lang w:eastAsia="en-AU"/>
        </w:rPr>
        <w:t xml:space="preserve">/L for </w:t>
      </w:r>
      <w:proofErr w:type="spellStart"/>
      <w:r>
        <w:rPr>
          <w:lang w:eastAsia="en-AU"/>
        </w:rPr>
        <w:t>sepiapterin</w:t>
      </w:r>
      <w:proofErr w:type="spellEnd"/>
      <w:r>
        <w:rPr>
          <w:lang w:eastAsia="en-AU"/>
        </w:rPr>
        <w:t xml:space="preserve"> 60 mg/kg and -91.46 (41.74) </w:t>
      </w:r>
      <w:proofErr w:type="spellStart"/>
      <w:r>
        <w:rPr>
          <w:lang w:eastAsia="en-AU"/>
        </w:rPr>
        <w:t>μmol</w:t>
      </w:r>
      <w:proofErr w:type="spellEnd"/>
      <w:r>
        <w:rPr>
          <w:lang w:eastAsia="en-AU"/>
        </w:rPr>
        <w:t xml:space="preserve">/L for </w:t>
      </w:r>
      <w:proofErr w:type="spellStart"/>
      <w:r>
        <w:rPr>
          <w:lang w:eastAsia="en-AU"/>
        </w:rPr>
        <w:t>sapropterin</w:t>
      </w:r>
      <w:proofErr w:type="spellEnd"/>
      <w:r>
        <w:rPr>
          <w:lang w:eastAsia="en-AU"/>
        </w:rPr>
        <w:t xml:space="preserve"> 20 mg/kg. The difference between </w:t>
      </w:r>
      <w:proofErr w:type="spellStart"/>
      <w:r>
        <w:rPr>
          <w:lang w:eastAsia="en-AU"/>
        </w:rPr>
        <w:t>sepiapterin</w:t>
      </w:r>
      <w:proofErr w:type="spellEnd"/>
      <w:r>
        <w:rPr>
          <w:lang w:eastAsia="en-AU"/>
        </w:rPr>
        <w:t xml:space="preserve"> 60 mg/kg and </w:t>
      </w:r>
      <w:proofErr w:type="spellStart"/>
      <w:r>
        <w:rPr>
          <w:lang w:eastAsia="en-AU"/>
        </w:rPr>
        <w:t>sapropterin</w:t>
      </w:r>
      <w:proofErr w:type="spellEnd"/>
      <w:r>
        <w:rPr>
          <w:lang w:eastAsia="en-AU"/>
        </w:rPr>
        <w:t xml:space="preserve"> 20 mg/kg was statistically significant: LS mean (SE) -114.91 (38.98) </w:t>
      </w:r>
      <w:proofErr w:type="spellStart"/>
      <w:r>
        <w:rPr>
          <w:lang w:eastAsia="en-AU"/>
        </w:rPr>
        <w:t>μmol</w:t>
      </w:r>
      <w:proofErr w:type="spellEnd"/>
      <w:r>
        <w:rPr>
          <w:lang w:eastAsia="en-AU"/>
        </w:rPr>
        <w:t>/L</w:t>
      </w:r>
      <w:r w:rsidR="004D162D">
        <w:rPr>
          <w:lang w:eastAsia="en-AU"/>
        </w:rPr>
        <w:t>,</w:t>
      </w:r>
      <w:r>
        <w:rPr>
          <w:lang w:eastAsia="en-AU"/>
        </w:rPr>
        <w:t xml:space="preserve"> p = 0.0098.</w:t>
      </w:r>
      <w:r w:rsidR="003E1406">
        <w:rPr>
          <w:lang w:eastAsia="en-AU"/>
        </w:rPr>
        <w:t xml:space="preserve"> </w:t>
      </w:r>
      <w:r>
        <w:rPr>
          <w:lang w:eastAsia="en-AU"/>
        </w:rPr>
        <w:t xml:space="preserve">There was no significant difference between </w:t>
      </w:r>
      <w:proofErr w:type="spellStart"/>
      <w:r>
        <w:rPr>
          <w:lang w:eastAsia="en-AU"/>
        </w:rPr>
        <w:t>sepiapterin</w:t>
      </w:r>
      <w:proofErr w:type="spellEnd"/>
      <w:r>
        <w:rPr>
          <w:lang w:eastAsia="en-AU"/>
        </w:rPr>
        <w:t xml:space="preserve"> 20 mg/kg and </w:t>
      </w:r>
      <w:proofErr w:type="spellStart"/>
      <w:r>
        <w:rPr>
          <w:lang w:eastAsia="en-AU"/>
        </w:rPr>
        <w:t>sapropterin</w:t>
      </w:r>
      <w:proofErr w:type="spellEnd"/>
      <w:r>
        <w:rPr>
          <w:lang w:eastAsia="en-AU"/>
        </w:rPr>
        <w:t xml:space="preserve"> 20 mg/kg.</w:t>
      </w:r>
    </w:p>
    <w:p w14:paraId="65D859A2" w14:textId="65C117C8" w:rsidR="006664D1" w:rsidRDefault="00A450EB" w:rsidP="00A450EB">
      <w:pPr>
        <w:rPr>
          <w:lang w:eastAsia="en-AU"/>
        </w:rPr>
      </w:pPr>
      <w:r>
        <w:rPr>
          <w:lang w:eastAsia="en-AU"/>
        </w:rPr>
        <w:t xml:space="preserve">The % change from baseline in plasma </w:t>
      </w:r>
      <w:proofErr w:type="spellStart"/>
      <w:r>
        <w:rPr>
          <w:lang w:eastAsia="en-AU"/>
        </w:rPr>
        <w:t>Phe</w:t>
      </w:r>
      <w:proofErr w:type="spellEnd"/>
      <w:r>
        <w:rPr>
          <w:lang w:eastAsia="en-AU"/>
        </w:rPr>
        <w:t xml:space="preserve"> was greatest in the </w:t>
      </w:r>
      <w:proofErr w:type="spellStart"/>
      <w:r>
        <w:rPr>
          <w:lang w:eastAsia="en-AU"/>
        </w:rPr>
        <w:t>sepiapterin</w:t>
      </w:r>
      <w:proofErr w:type="spellEnd"/>
      <w:r>
        <w:rPr>
          <w:lang w:eastAsia="en-AU"/>
        </w:rPr>
        <w:t xml:space="preserve"> 60 mg/kg group LS mean (SD) % change from baseline 2.0 (105.59) % for </w:t>
      </w:r>
      <w:proofErr w:type="spellStart"/>
      <w:r>
        <w:rPr>
          <w:lang w:eastAsia="en-AU"/>
        </w:rPr>
        <w:t>sepiapterin</w:t>
      </w:r>
      <w:proofErr w:type="spellEnd"/>
      <w:r>
        <w:rPr>
          <w:lang w:eastAsia="en-AU"/>
        </w:rPr>
        <w:t xml:space="preserve"> 20 mg/kg, -33.2 (37.30) % for </w:t>
      </w:r>
      <w:proofErr w:type="spellStart"/>
      <w:r>
        <w:rPr>
          <w:lang w:eastAsia="en-AU"/>
        </w:rPr>
        <w:t>sepiapterin</w:t>
      </w:r>
      <w:proofErr w:type="spellEnd"/>
      <w:r>
        <w:rPr>
          <w:lang w:eastAsia="en-AU"/>
        </w:rPr>
        <w:t xml:space="preserve"> 60 mg/kg and -21.9 (38.37) % for </w:t>
      </w:r>
      <w:proofErr w:type="spellStart"/>
      <w:r>
        <w:rPr>
          <w:lang w:eastAsia="en-AU"/>
        </w:rPr>
        <w:t>sapropterin</w:t>
      </w:r>
      <w:proofErr w:type="spellEnd"/>
      <w:r>
        <w:rPr>
          <w:lang w:eastAsia="en-AU"/>
        </w:rPr>
        <w:t xml:space="preserve"> 20 mg/kg. The difference in plasma concentrations between </w:t>
      </w:r>
      <w:proofErr w:type="spellStart"/>
      <w:r>
        <w:rPr>
          <w:lang w:eastAsia="en-AU"/>
        </w:rPr>
        <w:t>sepiapterin</w:t>
      </w:r>
      <w:proofErr w:type="spellEnd"/>
      <w:r>
        <w:rPr>
          <w:lang w:eastAsia="en-AU"/>
        </w:rPr>
        <w:t xml:space="preserve"> 60 mg/kg and </w:t>
      </w:r>
      <w:proofErr w:type="spellStart"/>
      <w:r>
        <w:rPr>
          <w:lang w:eastAsia="en-AU"/>
        </w:rPr>
        <w:t>sapropterin</w:t>
      </w:r>
      <w:proofErr w:type="spellEnd"/>
      <w:r>
        <w:rPr>
          <w:lang w:eastAsia="en-AU"/>
        </w:rPr>
        <w:t xml:space="preserve"> 20 mg/kg was statistically significant: LS mean (SE) -131.67 (57.22) </w:t>
      </w:r>
      <w:proofErr w:type="spellStart"/>
      <w:r>
        <w:rPr>
          <w:lang w:eastAsia="en-AU"/>
        </w:rPr>
        <w:t>μmol</w:t>
      </w:r>
      <w:proofErr w:type="spellEnd"/>
      <w:r>
        <w:rPr>
          <w:lang w:eastAsia="en-AU"/>
        </w:rPr>
        <w:t>/L</w:t>
      </w:r>
      <w:r w:rsidR="006664D1">
        <w:rPr>
          <w:lang w:eastAsia="en-AU"/>
        </w:rPr>
        <w:t>,</w:t>
      </w:r>
      <w:r>
        <w:rPr>
          <w:lang w:eastAsia="en-AU"/>
        </w:rPr>
        <w:t xml:space="preserve"> p = 0.0484. The difference between </w:t>
      </w:r>
      <w:proofErr w:type="spellStart"/>
      <w:r>
        <w:rPr>
          <w:lang w:eastAsia="en-AU"/>
        </w:rPr>
        <w:t>sepiapterin</w:t>
      </w:r>
      <w:proofErr w:type="spellEnd"/>
      <w:r>
        <w:rPr>
          <w:lang w:eastAsia="en-AU"/>
        </w:rPr>
        <w:t xml:space="preserve"> 60 mg/kg and </w:t>
      </w:r>
      <w:proofErr w:type="spellStart"/>
      <w:r>
        <w:rPr>
          <w:lang w:eastAsia="en-AU"/>
        </w:rPr>
        <w:t>sepiapterin</w:t>
      </w:r>
      <w:proofErr w:type="spellEnd"/>
      <w:r>
        <w:rPr>
          <w:lang w:eastAsia="en-AU"/>
        </w:rPr>
        <w:t xml:space="preserve"> 20 mg/kg was statistically significant: LS mean (SE) </w:t>
      </w:r>
      <w:r>
        <w:rPr>
          <w:lang w:eastAsia="en-AU"/>
        </w:rPr>
        <w:lastRenderedPageBreak/>
        <w:t xml:space="preserve">161.15 (57.22) </w:t>
      </w:r>
      <w:proofErr w:type="spellStart"/>
      <w:r>
        <w:rPr>
          <w:lang w:eastAsia="en-AU"/>
        </w:rPr>
        <w:t>μmol</w:t>
      </w:r>
      <w:proofErr w:type="spellEnd"/>
      <w:r>
        <w:rPr>
          <w:lang w:eastAsia="en-AU"/>
        </w:rPr>
        <w:t>/L</w:t>
      </w:r>
      <w:r w:rsidR="006664D1">
        <w:rPr>
          <w:lang w:eastAsia="en-AU"/>
        </w:rPr>
        <w:t>,</w:t>
      </w:r>
      <w:r>
        <w:rPr>
          <w:lang w:eastAsia="en-AU"/>
        </w:rPr>
        <w:t xml:space="preserve"> p = 0.0073. There was no significant difference between </w:t>
      </w:r>
      <w:proofErr w:type="spellStart"/>
      <w:r>
        <w:rPr>
          <w:lang w:eastAsia="en-AU"/>
        </w:rPr>
        <w:t>sepiapterin</w:t>
      </w:r>
      <w:proofErr w:type="spellEnd"/>
      <w:r>
        <w:rPr>
          <w:lang w:eastAsia="en-AU"/>
        </w:rPr>
        <w:t xml:space="preserve"> 20 mg/kg and </w:t>
      </w:r>
      <w:proofErr w:type="spellStart"/>
      <w:r>
        <w:rPr>
          <w:lang w:eastAsia="en-AU"/>
        </w:rPr>
        <w:t>sapropterin</w:t>
      </w:r>
      <w:proofErr w:type="spellEnd"/>
      <w:r>
        <w:rPr>
          <w:lang w:eastAsia="en-AU"/>
        </w:rPr>
        <w:t xml:space="preserve"> 20 mg/kg.</w:t>
      </w:r>
    </w:p>
    <w:p w14:paraId="0B2B2ECE" w14:textId="750898BC" w:rsidR="00A450EB" w:rsidRDefault="00A450EB" w:rsidP="00A450EB">
      <w:pPr>
        <w:rPr>
          <w:lang w:eastAsia="en-AU"/>
        </w:rPr>
      </w:pPr>
      <w:r>
        <w:rPr>
          <w:lang w:eastAsia="en-AU"/>
        </w:rPr>
        <w:t xml:space="preserve">Dried blood sampling </w:t>
      </w:r>
      <w:proofErr w:type="spellStart"/>
      <w:r>
        <w:rPr>
          <w:lang w:eastAsia="en-AU"/>
        </w:rPr>
        <w:t>Phe</w:t>
      </w:r>
      <w:proofErr w:type="spellEnd"/>
      <w:r>
        <w:rPr>
          <w:lang w:eastAsia="en-AU"/>
        </w:rPr>
        <w:t xml:space="preserve"> concentrations decreased by Day 3 in all treatment groups and remained relatively stable until Day 7. The reduction in blood </w:t>
      </w:r>
      <w:proofErr w:type="spellStart"/>
      <w:r>
        <w:rPr>
          <w:lang w:eastAsia="en-AU"/>
        </w:rPr>
        <w:t>Phe</w:t>
      </w:r>
      <w:proofErr w:type="spellEnd"/>
      <w:r>
        <w:rPr>
          <w:lang w:eastAsia="en-AU"/>
        </w:rPr>
        <w:t xml:space="preserve"> concentrations measured as an absolute mean change from baseline increased with increasing baseline disease severity.</w:t>
      </w:r>
    </w:p>
    <w:p w14:paraId="12AF3FD9" w14:textId="7BD9EC9F" w:rsidR="00A450EB" w:rsidRDefault="00A450EB" w:rsidP="00A450EB">
      <w:pPr>
        <w:rPr>
          <w:lang w:eastAsia="en-AU"/>
        </w:rPr>
      </w:pPr>
      <w:r>
        <w:rPr>
          <w:lang w:eastAsia="en-AU"/>
        </w:rPr>
        <w:t xml:space="preserve">Overall, 66.7%, 58.3%, and 54.2% of patients receiving </w:t>
      </w:r>
      <w:proofErr w:type="spellStart"/>
      <w:r>
        <w:rPr>
          <w:lang w:eastAsia="en-AU"/>
        </w:rPr>
        <w:t>sepiapterin</w:t>
      </w:r>
      <w:proofErr w:type="spellEnd"/>
      <w:r>
        <w:rPr>
          <w:lang w:eastAsia="en-AU"/>
        </w:rPr>
        <w:t xml:space="preserve"> 20 mg/kg/day, </w:t>
      </w:r>
      <w:proofErr w:type="spellStart"/>
      <w:r>
        <w:rPr>
          <w:lang w:eastAsia="en-AU"/>
        </w:rPr>
        <w:t>sepiapterin</w:t>
      </w:r>
      <w:proofErr w:type="spellEnd"/>
      <w:r>
        <w:rPr>
          <w:lang w:eastAsia="en-AU"/>
        </w:rPr>
        <w:t xml:space="preserve"> 60 mg/kg/day, or </w:t>
      </w:r>
      <w:proofErr w:type="spellStart"/>
      <w:r>
        <w:rPr>
          <w:lang w:eastAsia="en-AU"/>
        </w:rPr>
        <w:t>sapropterin</w:t>
      </w:r>
      <w:proofErr w:type="spellEnd"/>
      <w:r>
        <w:rPr>
          <w:lang w:eastAsia="en-AU"/>
        </w:rPr>
        <w:t xml:space="preserve"> 20 mg/kg/day, respectively, had a weekly mean dried blood sample </w:t>
      </w:r>
      <w:proofErr w:type="spellStart"/>
      <w:r>
        <w:rPr>
          <w:lang w:eastAsia="en-AU"/>
        </w:rPr>
        <w:t>Phe</w:t>
      </w:r>
      <w:proofErr w:type="spellEnd"/>
      <w:r>
        <w:rPr>
          <w:lang w:eastAsia="en-AU"/>
        </w:rPr>
        <w:t xml:space="preserve"> reduction of at least 10%. Overall, 50.0% of patients receiving </w:t>
      </w:r>
      <w:proofErr w:type="spellStart"/>
      <w:r>
        <w:rPr>
          <w:lang w:eastAsia="en-AU"/>
        </w:rPr>
        <w:t>sepiapterin</w:t>
      </w:r>
      <w:proofErr w:type="spellEnd"/>
      <w:r>
        <w:rPr>
          <w:lang w:eastAsia="en-AU"/>
        </w:rPr>
        <w:t xml:space="preserve"> 20 mg/kg/day or </w:t>
      </w:r>
      <w:proofErr w:type="spellStart"/>
      <w:r>
        <w:rPr>
          <w:lang w:eastAsia="en-AU"/>
        </w:rPr>
        <w:t>sepiapterin</w:t>
      </w:r>
      <w:proofErr w:type="spellEnd"/>
      <w:r>
        <w:rPr>
          <w:lang w:eastAsia="en-AU"/>
        </w:rPr>
        <w:t xml:space="preserve"> 60 mg/kg/day had a weekly mean dried blood sample </w:t>
      </w:r>
      <w:proofErr w:type="spellStart"/>
      <w:r>
        <w:rPr>
          <w:lang w:eastAsia="en-AU"/>
        </w:rPr>
        <w:t>Phe</w:t>
      </w:r>
      <w:proofErr w:type="spellEnd"/>
      <w:r>
        <w:rPr>
          <w:lang w:eastAsia="en-AU"/>
        </w:rPr>
        <w:t xml:space="preserve"> reduction of at least 20%, compared with 41.7% of patients receiving </w:t>
      </w:r>
      <w:proofErr w:type="spellStart"/>
      <w:r>
        <w:rPr>
          <w:lang w:eastAsia="en-AU"/>
        </w:rPr>
        <w:t>sapropterin</w:t>
      </w:r>
      <w:proofErr w:type="spellEnd"/>
      <w:r>
        <w:rPr>
          <w:lang w:eastAsia="en-AU"/>
        </w:rPr>
        <w:t xml:space="preserve"> 20 mg/kg/day. Overall, 33.3% of patients receiving </w:t>
      </w:r>
      <w:proofErr w:type="spellStart"/>
      <w:r>
        <w:rPr>
          <w:lang w:eastAsia="en-AU"/>
        </w:rPr>
        <w:t>sepiapterin</w:t>
      </w:r>
      <w:proofErr w:type="spellEnd"/>
      <w:r>
        <w:rPr>
          <w:lang w:eastAsia="en-AU"/>
        </w:rPr>
        <w:t xml:space="preserve"> 20 mg/kg/day, 41.7% of patients receiving </w:t>
      </w:r>
      <w:proofErr w:type="spellStart"/>
      <w:r>
        <w:rPr>
          <w:lang w:eastAsia="en-AU"/>
        </w:rPr>
        <w:t>sepiapterin</w:t>
      </w:r>
      <w:proofErr w:type="spellEnd"/>
      <w:r>
        <w:rPr>
          <w:lang w:eastAsia="en-AU"/>
        </w:rPr>
        <w:t xml:space="preserve"> 60 mg/kg/day, and 33.3% of patients receiving </w:t>
      </w:r>
      <w:proofErr w:type="spellStart"/>
      <w:r>
        <w:rPr>
          <w:lang w:eastAsia="en-AU"/>
        </w:rPr>
        <w:t>sapropterin</w:t>
      </w:r>
      <w:proofErr w:type="spellEnd"/>
      <w:r>
        <w:rPr>
          <w:lang w:eastAsia="en-AU"/>
        </w:rPr>
        <w:t xml:space="preserve"> 20 mg/kg/day had a weekly mean dried blood sample </w:t>
      </w:r>
      <w:proofErr w:type="spellStart"/>
      <w:r>
        <w:rPr>
          <w:lang w:eastAsia="en-AU"/>
        </w:rPr>
        <w:t>Phe</w:t>
      </w:r>
      <w:proofErr w:type="spellEnd"/>
      <w:r>
        <w:rPr>
          <w:lang w:eastAsia="en-AU"/>
        </w:rPr>
        <w:t xml:space="preserve"> reduction of at least 30%.</w:t>
      </w:r>
    </w:p>
    <w:p w14:paraId="68312559" w14:textId="77777777" w:rsidR="00A450EB" w:rsidRDefault="00A450EB" w:rsidP="00A450EB">
      <w:pPr>
        <w:rPr>
          <w:lang w:eastAsia="en-AU"/>
        </w:rPr>
      </w:pPr>
      <w:r>
        <w:rPr>
          <w:lang w:eastAsia="en-AU"/>
        </w:rPr>
        <w:t xml:space="preserve">The proportion of patients with either normalised plasma concentrations of </w:t>
      </w:r>
      <w:proofErr w:type="spellStart"/>
      <w:r>
        <w:rPr>
          <w:lang w:eastAsia="en-AU"/>
        </w:rPr>
        <w:t>Phe</w:t>
      </w:r>
      <w:proofErr w:type="spellEnd"/>
      <w:r>
        <w:rPr>
          <w:lang w:eastAsia="en-AU"/>
        </w:rPr>
        <w:t xml:space="preserve"> or concentrations in the acceptable treatment range at Day 7 was 10 (41.7%) for </w:t>
      </w:r>
      <w:proofErr w:type="spellStart"/>
      <w:r>
        <w:rPr>
          <w:lang w:eastAsia="en-AU"/>
        </w:rPr>
        <w:t>sepiapterin</w:t>
      </w:r>
      <w:proofErr w:type="spellEnd"/>
      <w:r>
        <w:rPr>
          <w:lang w:eastAsia="en-AU"/>
        </w:rPr>
        <w:t xml:space="preserve"> 20 mg/kg, 12 (50.0%) for </w:t>
      </w:r>
      <w:proofErr w:type="spellStart"/>
      <w:r>
        <w:rPr>
          <w:lang w:eastAsia="en-AU"/>
        </w:rPr>
        <w:t>sepiapterin</w:t>
      </w:r>
      <w:proofErr w:type="spellEnd"/>
      <w:r>
        <w:rPr>
          <w:lang w:eastAsia="en-AU"/>
        </w:rPr>
        <w:t xml:space="preserve"> 60 mg/kg and 10 (41.7%) for </w:t>
      </w:r>
      <w:proofErr w:type="spellStart"/>
      <w:r>
        <w:rPr>
          <w:lang w:eastAsia="en-AU"/>
        </w:rPr>
        <w:t>sapropterin</w:t>
      </w:r>
      <w:proofErr w:type="spellEnd"/>
      <w:r>
        <w:rPr>
          <w:lang w:eastAsia="en-AU"/>
        </w:rPr>
        <w:t xml:space="preserve"> 20 mg/kg.</w:t>
      </w:r>
    </w:p>
    <w:p w14:paraId="4072A60B" w14:textId="22C33D92" w:rsidR="00A450EB" w:rsidRDefault="00A450EB" w:rsidP="00A450EB">
      <w:pPr>
        <w:rPr>
          <w:lang w:eastAsia="en-AU"/>
        </w:rPr>
      </w:pPr>
      <w:r>
        <w:rPr>
          <w:lang w:eastAsia="en-AU"/>
        </w:rPr>
        <w:t>The</w:t>
      </w:r>
      <w:r w:rsidR="006664D1">
        <w:rPr>
          <w:lang w:eastAsia="en-AU"/>
        </w:rPr>
        <w:t>re</w:t>
      </w:r>
      <w:r>
        <w:rPr>
          <w:lang w:eastAsia="en-AU"/>
        </w:rPr>
        <w:t xml:space="preserve"> was no significant difference between the treatments in the classical PKU subpopulation, but this only included 11 patients.</w:t>
      </w:r>
    </w:p>
    <w:p w14:paraId="63F91EA3" w14:textId="1E8C3F2F" w:rsidR="00A450EB" w:rsidRDefault="00A450EB" w:rsidP="00385A55">
      <w:pPr>
        <w:pStyle w:val="Heading6"/>
        <w:rPr>
          <w:lang w:eastAsia="en-AU"/>
        </w:rPr>
      </w:pPr>
      <w:r>
        <w:rPr>
          <w:lang w:eastAsia="en-AU"/>
        </w:rPr>
        <w:t xml:space="preserve">Study </w:t>
      </w:r>
      <w:proofErr w:type="spellStart"/>
      <w:r w:rsidRPr="00D44DE5">
        <w:rPr>
          <w:lang w:eastAsia="en-AU"/>
        </w:rPr>
        <w:t>PTC923</w:t>
      </w:r>
      <w:proofErr w:type="spellEnd"/>
      <w:r w:rsidRPr="00D44DE5">
        <w:rPr>
          <w:lang w:eastAsia="en-AU"/>
        </w:rPr>
        <w:t>-MD-004-PKU (Study MD-004-PKU)</w:t>
      </w:r>
    </w:p>
    <w:p w14:paraId="6719469A" w14:textId="72577909" w:rsidR="00A450EB" w:rsidRDefault="00A450EB" w:rsidP="00A450EB">
      <w:pPr>
        <w:rPr>
          <w:lang w:eastAsia="en-AU"/>
        </w:rPr>
      </w:pPr>
      <w:r>
        <w:rPr>
          <w:lang w:eastAsia="en-AU"/>
        </w:rPr>
        <w:t>Study MD-004-PKU was an open-label extension study to Study MD-003-PK</w:t>
      </w:r>
      <w:r w:rsidR="006A5FCC">
        <w:rPr>
          <w:lang w:eastAsia="en-AU"/>
        </w:rPr>
        <w:t>U</w:t>
      </w:r>
      <w:r>
        <w:rPr>
          <w:lang w:eastAsia="en-AU"/>
        </w:rPr>
        <w:t xml:space="preserve">. The study is </w:t>
      </w:r>
      <w:proofErr w:type="gramStart"/>
      <w:r>
        <w:rPr>
          <w:lang w:eastAsia="en-AU"/>
        </w:rPr>
        <w:t>ongoing</w:t>
      </w:r>
      <w:proofErr w:type="gramEnd"/>
      <w:r>
        <w:rPr>
          <w:lang w:eastAsia="en-AU"/>
        </w:rPr>
        <w:t xml:space="preserve"> and an interim report was provided. The study commenced on 14th February 2022. The study treatments were </w:t>
      </w:r>
      <w:proofErr w:type="spellStart"/>
      <w:r>
        <w:rPr>
          <w:lang w:eastAsia="en-AU"/>
        </w:rPr>
        <w:t>sepiapterin</w:t>
      </w:r>
      <w:proofErr w:type="spellEnd"/>
      <w:r>
        <w:rPr>
          <w:lang w:eastAsia="en-AU"/>
        </w:rPr>
        <w:t xml:space="preserve"> administered daily with food:</w:t>
      </w:r>
    </w:p>
    <w:p w14:paraId="4FB677A8" w14:textId="4FB1DF4C" w:rsidR="00A450EB" w:rsidRDefault="00A450EB" w:rsidP="0000200D">
      <w:pPr>
        <w:pStyle w:val="ListBullet"/>
        <w:rPr>
          <w:lang w:eastAsia="en-AU"/>
        </w:rPr>
      </w:pPr>
      <w:r>
        <w:rPr>
          <w:lang w:eastAsia="en-AU"/>
        </w:rPr>
        <w:t>0 to &lt;6 months of age: up to 7.5 mg/kg/day</w:t>
      </w:r>
    </w:p>
    <w:p w14:paraId="26194F96" w14:textId="526D6021" w:rsidR="00A450EB" w:rsidRDefault="00A450EB" w:rsidP="0000200D">
      <w:pPr>
        <w:pStyle w:val="ListBullet"/>
        <w:rPr>
          <w:lang w:eastAsia="en-AU"/>
        </w:rPr>
      </w:pPr>
      <w:r>
        <w:rPr>
          <w:lang w:eastAsia="en-AU"/>
        </w:rPr>
        <w:t>6 to &lt;12 months of age: up to 15 mg/kg/day/day</w:t>
      </w:r>
    </w:p>
    <w:p w14:paraId="340EE205" w14:textId="2C187A9A" w:rsidR="00A450EB" w:rsidRDefault="00A450EB" w:rsidP="0000200D">
      <w:pPr>
        <w:pStyle w:val="ListBullet"/>
        <w:rPr>
          <w:lang w:eastAsia="en-AU"/>
        </w:rPr>
      </w:pPr>
      <w:r>
        <w:rPr>
          <w:lang w:eastAsia="en-AU"/>
        </w:rPr>
        <w:t>12 months to &lt;2 years of age: up to 30 mg/kg/day</w:t>
      </w:r>
    </w:p>
    <w:p w14:paraId="3A0199F5" w14:textId="04174F0A" w:rsidR="00A450EB" w:rsidRDefault="00A450EB" w:rsidP="0000200D">
      <w:pPr>
        <w:pStyle w:val="ListBullet"/>
        <w:rPr>
          <w:lang w:eastAsia="en-AU"/>
        </w:rPr>
      </w:pPr>
      <w:r>
        <w:rPr>
          <w:lang w:eastAsia="en-AU"/>
        </w:rPr>
        <w:t>≥2 years of age: up to 60 mg/kg/day</w:t>
      </w:r>
    </w:p>
    <w:p w14:paraId="6A7C120F" w14:textId="77777777" w:rsidR="00A450EB" w:rsidRDefault="00A450EB" w:rsidP="00A450EB">
      <w:pPr>
        <w:rPr>
          <w:lang w:eastAsia="en-AU"/>
        </w:rPr>
      </w:pPr>
      <w:r>
        <w:rPr>
          <w:lang w:eastAsia="en-AU"/>
        </w:rPr>
        <w:t>Treatment was intended to be for at least 12 months.</w:t>
      </w:r>
    </w:p>
    <w:p w14:paraId="54C98855" w14:textId="7438F52D" w:rsidR="00A450EB" w:rsidRDefault="00A450EB" w:rsidP="00AC762A">
      <w:pPr>
        <w:rPr>
          <w:lang w:eastAsia="en-AU"/>
        </w:rPr>
      </w:pPr>
      <w:r>
        <w:rPr>
          <w:lang w:eastAsia="en-AU"/>
        </w:rPr>
        <w:t xml:space="preserve">The primary efficacy outcome measure was the change from baseline in dietary </w:t>
      </w:r>
      <w:proofErr w:type="spellStart"/>
      <w:r>
        <w:rPr>
          <w:lang w:eastAsia="en-AU"/>
        </w:rPr>
        <w:t>Phe</w:t>
      </w:r>
      <w:proofErr w:type="spellEnd"/>
      <w:r>
        <w:rPr>
          <w:lang w:eastAsia="en-AU"/>
        </w:rPr>
        <w:t xml:space="preserve">/protein consumption measured during the Dietary </w:t>
      </w:r>
      <w:proofErr w:type="spellStart"/>
      <w:r>
        <w:rPr>
          <w:lang w:eastAsia="en-AU"/>
        </w:rPr>
        <w:t>Phe</w:t>
      </w:r>
      <w:proofErr w:type="spellEnd"/>
      <w:r>
        <w:rPr>
          <w:lang w:eastAsia="en-AU"/>
        </w:rPr>
        <w:t xml:space="preserve"> Tolerance Assessment period. Dietary </w:t>
      </w:r>
      <w:proofErr w:type="spellStart"/>
      <w:r>
        <w:rPr>
          <w:lang w:eastAsia="en-AU"/>
        </w:rPr>
        <w:t>Phe</w:t>
      </w:r>
      <w:proofErr w:type="spellEnd"/>
      <w:r>
        <w:rPr>
          <w:lang w:eastAsia="en-AU"/>
        </w:rPr>
        <w:t xml:space="preserve"> tolerance is evaluated at Baseline and every 2 weeks over the course of the</w:t>
      </w:r>
      <w:r w:rsidR="00943C33">
        <w:rPr>
          <w:lang w:eastAsia="en-AU"/>
        </w:rPr>
        <w:t xml:space="preserve"> </w:t>
      </w:r>
      <w:r>
        <w:rPr>
          <w:lang w:eastAsia="en-AU"/>
        </w:rPr>
        <w:t xml:space="preserve">26-week assessment period. Maintenance of Blood </w:t>
      </w:r>
      <w:proofErr w:type="spellStart"/>
      <w:r>
        <w:rPr>
          <w:lang w:eastAsia="en-AU"/>
        </w:rPr>
        <w:t>Phe</w:t>
      </w:r>
      <w:proofErr w:type="spellEnd"/>
      <w:r>
        <w:rPr>
          <w:lang w:eastAsia="en-AU"/>
        </w:rPr>
        <w:t xml:space="preserve"> levels was also measured and reported.</w:t>
      </w:r>
    </w:p>
    <w:p w14:paraId="5280034A" w14:textId="77777777" w:rsidR="00A450EB" w:rsidRDefault="00A450EB" w:rsidP="00A450EB">
      <w:pPr>
        <w:rPr>
          <w:lang w:eastAsia="en-AU"/>
        </w:rPr>
      </w:pPr>
      <w:r>
        <w:rPr>
          <w:lang w:eastAsia="en-AU"/>
        </w:rPr>
        <w:t>QOL measures (Phenylketonuria Quality of Life [PKU-QOL] score and EQ-</w:t>
      </w:r>
      <w:proofErr w:type="spellStart"/>
      <w:r>
        <w:rPr>
          <w:lang w:eastAsia="en-AU"/>
        </w:rPr>
        <w:t>5D</w:t>
      </w:r>
      <w:proofErr w:type="spellEnd"/>
      <w:r>
        <w:rPr>
          <w:lang w:eastAsia="en-AU"/>
        </w:rPr>
        <w:t>) were collected but are not reported in the interim report.</w:t>
      </w:r>
    </w:p>
    <w:p w14:paraId="140B02A1" w14:textId="77777777" w:rsidR="00A450EB" w:rsidRDefault="00A450EB" w:rsidP="00A450EB">
      <w:pPr>
        <w:rPr>
          <w:lang w:eastAsia="en-AU"/>
        </w:rPr>
      </w:pPr>
      <w:r>
        <w:rPr>
          <w:lang w:eastAsia="en-AU"/>
        </w:rPr>
        <w:t>The safety outcome measures were AEs, clinical laboratory tests, vital signs, and physical examinations.</w:t>
      </w:r>
    </w:p>
    <w:p w14:paraId="4C841190" w14:textId="20CB300E" w:rsidR="00A450EB" w:rsidRDefault="00A450EB" w:rsidP="00A450EB">
      <w:pPr>
        <w:rPr>
          <w:lang w:eastAsia="en-AU"/>
        </w:rPr>
      </w:pPr>
      <w:r>
        <w:rPr>
          <w:lang w:eastAsia="en-AU"/>
        </w:rPr>
        <w:t xml:space="preserve">The study included subjects who had completed Study </w:t>
      </w:r>
      <w:r w:rsidR="009D6613">
        <w:rPr>
          <w:lang w:eastAsia="en-AU"/>
        </w:rPr>
        <w:t>M</w:t>
      </w:r>
      <w:r>
        <w:rPr>
          <w:lang w:eastAsia="en-AU"/>
        </w:rPr>
        <w:t>D-003-</w:t>
      </w:r>
      <w:r w:rsidR="00C200F1">
        <w:rPr>
          <w:lang w:eastAsia="en-AU"/>
        </w:rPr>
        <w:t>PKU but</w:t>
      </w:r>
      <w:r>
        <w:rPr>
          <w:lang w:eastAsia="en-AU"/>
        </w:rPr>
        <w:t xml:space="preserve"> could include</w:t>
      </w:r>
      <w:r w:rsidR="00943C33">
        <w:rPr>
          <w:lang w:eastAsia="en-AU"/>
        </w:rPr>
        <w:t xml:space="preserve"> </w:t>
      </w:r>
      <w:r>
        <w:rPr>
          <w:lang w:eastAsia="en-AU"/>
        </w:rPr>
        <w:t xml:space="preserve">additional subjects is they had responded with a ≥15% reduction in </w:t>
      </w:r>
      <w:proofErr w:type="spellStart"/>
      <w:r>
        <w:rPr>
          <w:lang w:eastAsia="en-AU"/>
        </w:rPr>
        <w:t>Phe</w:t>
      </w:r>
      <w:proofErr w:type="spellEnd"/>
      <w:r>
        <w:rPr>
          <w:lang w:eastAsia="en-AU"/>
        </w:rPr>
        <w:t xml:space="preserve"> in a </w:t>
      </w:r>
      <w:proofErr w:type="spellStart"/>
      <w:r>
        <w:rPr>
          <w:lang w:eastAsia="en-AU"/>
        </w:rPr>
        <w:t>sepiapterin</w:t>
      </w:r>
      <w:proofErr w:type="spellEnd"/>
      <w:r>
        <w:rPr>
          <w:lang w:eastAsia="en-AU"/>
        </w:rPr>
        <w:t xml:space="preserve"> responsiveness study. Subjects were excluded from the study if they were taking an antifolate drug, </w:t>
      </w:r>
      <w:proofErr w:type="spellStart"/>
      <w:r>
        <w:rPr>
          <w:lang w:eastAsia="en-AU"/>
        </w:rPr>
        <w:t>pegvaliase-pqpz</w:t>
      </w:r>
      <w:proofErr w:type="spellEnd"/>
      <w:r>
        <w:rPr>
          <w:lang w:eastAsia="en-AU"/>
        </w:rPr>
        <w:t xml:space="preserve">, or </w:t>
      </w:r>
      <w:proofErr w:type="spellStart"/>
      <w:r>
        <w:rPr>
          <w:lang w:eastAsia="en-AU"/>
        </w:rPr>
        <w:t>BH4</w:t>
      </w:r>
      <w:proofErr w:type="spellEnd"/>
      <w:r>
        <w:rPr>
          <w:lang w:eastAsia="en-AU"/>
        </w:rPr>
        <w:t xml:space="preserve"> supplementation (i.e., </w:t>
      </w:r>
      <w:proofErr w:type="spellStart"/>
      <w:r>
        <w:rPr>
          <w:lang w:eastAsia="en-AU"/>
        </w:rPr>
        <w:t>sapropterin</w:t>
      </w:r>
      <w:proofErr w:type="spellEnd"/>
      <w:r>
        <w:rPr>
          <w:lang w:eastAsia="en-AU"/>
        </w:rPr>
        <w:t xml:space="preserve"> dihydrochloride).</w:t>
      </w:r>
    </w:p>
    <w:p w14:paraId="01A29C6E" w14:textId="77777777" w:rsidR="00A450EB" w:rsidRDefault="00A450EB" w:rsidP="00A450EB">
      <w:pPr>
        <w:rPr>
          <w:lang w:eastAsia="en-AU"/>
        </w:rPr>
      </w:pPr>
      <w:r>
        <w:rPr>
          <w:lang w:eastAsia="en-AU"/>
        </w:rPr>
        <w:t xml:space="preserve">The study has enrolled 106 subjects, including two non-feeder study subjects who had not been dosed at the time of the data cutoff. Hence 104 subjects are included in the analysis. Median (range) screening </w:t>
      </w:r>
      <w:proofErr w:type="spellStart"/>
      <w:r>
        <w:rPr>
          <w:lang w:eastAsia="en-AU"/>
        </w:rPr>
        <w:t>Phe</w:t>
      </w:r>
      <w:proofErr w:type="spellEnd"/>
      <w:r>
        <w:rPr>
          <w:lang w:eastAsia="en-AU"/>
        </w:rPr>
        <w:t xml:space="preserve"> concentration was 434.50 (44.2 to 1630.0) </w:t>
      </w:r>
      <w:proofErr w:type="spellStart"/>
      <w:r>
        <w:rPr>
          <w:lang w:eastAsia="en-AU"/>
        </w:rPr>
        <w:t>μmol</w:t>
      </w:r>
      <w:proofErr w:type="spellEnd"/>
      <w:r>
        <w:rPr>
          <w:lang w:eastAsia="en-AU"/>
        </w:rPr>
        <w:t xml:space="preserve">/L. There were 18 </w:t>
      </w:r>
      <w:r>
        <w:rPr>
          <w:lang w:eastAsia="en-AU"/>
        </w:rPr>
        <w:lastRenderedPageBreak/>
        <w:t>(17.3%) subjects with classical PKU and 86 (82.7%) without classical PKU. Median (range) prescribed daily protein was 44.35 (1.6 to 122.2) g.</w:t>
      </w:r>
    </w:p>
    <w:p w14:paraId="5657D6A4" w14:textId="585619E0" w:rsidR="00A450EB" w:rsidRDefault="00A450EB" w:rsidP="00385A55">
      <w:pPr>
        <w:pStyle w:val="Heading7"/>
        <w:rPr>
          <w:lang w:eastAsia="en-AU"/>
        </w:rPr>
      </w:pPr>
      <w:r>
        <w:rPr>
          <w:lang w:eastAsia="en-AU"/>
        </w:rPr>
        <w:t>Study result</w:t>
      </w:r>
    </w:p>
    <w:p w14:paraId="54C71A46" w14:textId="07D96404" w:rsidR="00A450EB" w:rsidRDefault="00A450EB" w:rsidP="00AC762A">
      <w:pPr>
        <w:rPr>
          <w:lang w:eastAsia="en-AU"/>
        </w:rPr>
      </w:pPr>
      <w:r>
        <w:rPr>
          <w:lang w:eastAsia="en-AU"/>
        </w:rPr>
        <w:t xml:space="preserve">Daily use of </w:t>
      </w:r>
      <w:proofErr w:type="spellStart"/>
      <w:r>
        <w:rPr>
          <w:lang w:eastAsia="en-AU"/>
        </w:rPr>
        <w:t>sepiapterin</w:t>
      </w:r>
      <w:proofErr w:type="spellEnd"/>
      <w:r>
        <w:rPr>
          <w:lang w:eastAsia="en-AU"/>
        </w:rPr>
        <w:t xml:space="preserve"> permitted an approximately 3.3-fold increase in mean daily </w:t>
      </w:r>
      <w:proofErr w:type="spellStart"/>
      <w:r>
        <w:rPr>
          <w:lang w:eastAsia="en-AU"/>
        </w:rPr>
        <w:t>Phe</w:t>
      </w:r>
      <w:proofErr w:type="spellEnd"/>
      <w:r>
        <w:rPr>
          <w:lang w:eastAsia="en-AU"/>
        </w:rPr>
        <w:t xml:space="preserve"> consumption (24.4 mg/kg/day at baseline versus 79.3 mg/kg/day at Week 26), with an increase in blood </w:t>
      </w:r>
      <w:proofErr w:type="spellStart"/>
      <w:r>
        <w:rPr>
          <w:lang w:eastAsia="en-AU"/>
        </w:rPr>
        <w:t>Phe</w:t>
      </w:r>
      <w:proofErr w:type="spellEnd"/>
      <w:r>
        <w:rPr>
          <w:lang w:eastAsia="en-AU"/>
        </w:rPr>
        <w:t xml:space="preserve"> levels that remained largely within tolerance limits. The LS mean (95% CI) change from baseline to Week 26 was 54.563 (44.223 to 64.903) g. There were no subgroup effects. Plasma concentrations of </w:t>
      </w:r>
      <w:proofErr w:type="spellStart"/>
      <w:r>
        <w:rPr>
          <w:lang w:eastAsia="en-AU"/>
        </w:rPr>
        <w:t>BH4</w:t>
      </w:r>
      <w:proofErr w:type="spellEnd"/>
      <w:r>
        <w:rPr>
          <w:lang w:eastAsia="en-AU"/>
        </w:rPr>
        <w:t xml:space="preserve"> were not influenced by age. Overall, plasma </w:t>
      </w:r>
      <w:proofErr w:type="spellStart"/>
      <w:r>
        <w:rPr>
          <w:lang w:eastAsia="en-AU"/>
        </w:rPr>
        <w:t>Phe</w:t>
      </w:r>
      <w:proofErr w:type="spellEnd"/>
      <w:r>
        <w:rPr>
          <w:lang w:eastAsia="en-AU"/>
        </w:rPr>
        <w:t xml:space="preserve"> concentrations over time were maintained from Study MD-003-PKU. Blood tyrosine concentrations were stable over time.</w:t>
      </w:r>
    </w:p>
    <w:p w14:paraId="5D380DCB" w14:textId="32943937" w:rsidR="00A450EB" w:rsidRDefault="00A450EB" w:rsidP="009D2ABF">
      <w:pPr>
        <w:pStyle w:val="Heading4"/>
        <w:rPr>
          <w:lang w:eastAsia="en-AU"/>
        </w:rPr>
      </w:pPr>
      <w:bookmarkStart w:id="50" w:name="_Toc215749779"/>
      <w:r>
        <w:rPr>
          <w:lang w:eastAsia="en-AU"/>
        </w:rPr>
        <w:t>Safety</w:t>
      </w:r>
      <w:bookmarkEnd w:id="50"/>
    </w:p>
    <w:p w14:paraId="4A760913" w14:textId="2DFF3E36" w:rsidR="00A450EB" w:rsidRDefault="00A450EB" w:rsidP="00AC762A">
      <w:pPr>
        <w:rPr>
          <w:lang w:eastAsia="en-AU"/>
        </w:rPr>
      </w:pPr>
      <w:r>
        <w:rPr>
          <w:lang w:eastAsia="en-AU"/>
        </w:rPr>
        <w:t>There were no pivotal studies that assessed safety as the sole primary outcome. Evaluable safety and tolerability data were derived from several studies: Study MD-005, Study MD- 008-HV, Study MD-007-HV, Study DDI-101-HV and Study PKU-001.</w:t>
      </w:r>
    </w:p>
    <w:p w14:paraId="31CD48D2" w14:textId="2E754301" w:rsidR="00A450EB" w:rsidRDefault="00A450EB" w:rsidP="00AC762A">
      <w:pPr>
        <w:rPr>
          <w:lang w:eastAsia="en-AU"/>
        </w:rPr>
      </w:pPr>
      <w:r>
        <w:rPr>
          <w:lang w:eastAsia="en-AU"/>
        </w:rPr>
        <w:t xml:space="preserve">The safety data is based on 388 subjects, including studies in PKU, volunteer studies and two studies for other indications. In clinical trials, 181 patients with PKU have been treated with </w:t>
      </w:r>
      <w:proofErr w:type="spellStart"/>
      <w:r>
        <w:rPr>
          <w:lang w:eastAsia="en-AU"/>
        </w:rPr>
        <w:t>sepiapterin</w:t>
      </w:r>
      <w:proofErr w:type="spellEnd"/>
      <w:r>
        <w:rPr>
          <w:lang w:eastAsia="en-AU"/>
        </w:rPr>
        <w:t>. There were 102 patients treated for &gt;26 weeks and 16 treated for &gt;52 weeks. Total exposure was 78.94 person-years. There were 93 (51.4%) males</w:t>
      </w:r>
      <w:r w:rsidR="009D2ABF">
        <w:rPr>
          <w:lang w:eastAsia="en-AU"/>
        </w:rPr>
        <w:t xml:space="preserve"> </w:t>
      </w:r>
      <w:r>
        <w:rPr>
          <w:lang w:eastAsia="en-AU"/>
        </w:rPr>
        <w:t>and 88 (48.6%) females. There were 80 (44.20%) patients treated with 20 mg/kg, three</w:t>
      </w:r>
      <w:r w:rsidR="009D2ABF">
        <w:rPr>
          <w:lang w:eastAsia="en-AU"/>
        </w:rPr>
        <w:t xml:space="preserve"> </w:t>
      </w:r>
      <w:r>
        <w:rPr>
          <w:lang w:eastAsia="en-AU"/>
        </w:rPr>
        <w:t>(1.66%) with 30 mg/kg, 56 (30.94%) with 40 mg/kg, and 179 (98.90%) with 60 mg/kg.</w:t>
      </w:r>
      <w:r w:rsidR="009D2ABF">
        <w:rPr>
          <w:lang w:eastAsia="en-AU"/>
        </w:rPr>
        <w:t xml:space="preserve"> </w:t>
      </w:r>
      <w:r>
        <w:rPr>
          <w:lang w:eastAsia="en-AU"/>
        </w:rPr>
        <w:t>There were 166 (91.71%) White patients.</w:t>
      </w:r>
    </w:p>
    <w:p w14:paraId="112272E7" w14:textId="155ABA29" w:rsidR="0041604A" w:rsidRDefault="00A450EB" w:rsidP="00A450EB">
      <w:pPr>
        <w:rPr>
          <w:lang w:eastAsia="en-AU"/>
        </w:rPr>
      </w:pPr>
      <w:r>
        <w:rPr>
          <w:lang w:eastAsia="en-AU"/>
        </w:rPr>
        <w:t>The Integrated Summary of Safety included only the data from Study MD-003-PKU and Study MD-004-PKU.</w:t>
      </w:r>
    </w:p>
    <w:p w14:paraId="6B79DA84" w14:textId="54A466EC" w:rsidR="00A450EB" w:rsidRDefault="00A450EB" w:rsidP="00AC762A">
      <w:pPr>
        <w:pStyle w:val="Heading5"/>
        <w:rPr>
          <w:lang w:eastAsia="en-AU"/>
        </w:rPr>
      </w:pPr>
      <w:r>
        <w:rPr>
          <w:lang w:eastAsia="en-AU"/>
        </w:rPr>
        <w:t xml:space="preserve">Treatment emergent adverse </w:t>
      </w:r>
      <w:r w:rsidRPr="00AC762A">
        <w:t>events</w:t>
      </w:r>
    </w:p>
    <w:p w14:paraId="50021C75" w14:textId="773DA6B4" w:rsidR="00A450EB" w:rsidRDefault="00A450EB" w:rsidP="00A450EB">
      <w:pPr>
        <w:rPr>
          <w:lang w:eastAsia="en-AU"/>
        </w:rPr>
      </w:pPr>
      <w:r>
        <w:rPr>
          <w:lang w:eastAsia="en-AU"/>
        </w:rPr>
        <w:t xml:space="preserve">By age group, there were no treatment related </w:t>
      </w:r>
      <w:r w:rsidR="0041604A">
        <w:rPr>
          <w:lang w:eastAsia="en-AU"/>
        </w:rPr>
        <w:t>t</w:t>
      </w:r>
      <w:r w:rsidR="0041604A" w:rsidRPr="0041604A">
        <w:rPr>
          <w:lang w:eastAsia="en-AU"/>
        </w:rPr>
        <w:t xml:space="preserve">reatment emergent adverse events </w:t>
      </w:r>
      <w:r w:rsidR="0041604A">
        <w:rPr>
          <w:lang w:eastAsia="en-AU"/>
        </w:rPr>
        <w:t>(</w:t>
      </w:r>
      <w:proofErr w:type="spellStart"/>
      <w:r>
        <w:rPr>
          <w:lang w:eastAsia="en-AU"/>
        </w:rPr>
        <w:t>TEAEs</w:t>
      </w:r>
      <w:proofErr w:type="spellEnd"/>
      <w:r w:rsidR="0041604A">
        <w:rPr>
          <w:lang w:eastAsia="en-AU"/>
        </w:rPr>
        <w:t>)</w:t>
      </w:r>
      <w:r>
        <w:rPr>
          <w:lang w:eastAsia="en-AU"/>
        </w:rPr>
        <w:t xml:space="preserve"> in participants aged &lt;2 years, nine in four (26.7%) participants aged 2 to &lt;6 years, 18 in 10 (25.0%) participants aged 6 to</w:t>
      </w:r>
      <w:r w:rsidR="0041604A">
        <w:rPr>
          <w:lang w:eastAsia="en-AU"/>
        </w:rPr>
        <w:t xml:space="preserve"> </w:t>
      </w:r>
      <w:r>
        <w:rPr>
          <w:lang w:eastAsia="en-AU"/>
        </w:rPr>
        <w:t>&lt;12 years, 22 in 11 (25.6%) participants.</w:t>
      </w:r>
    </w:p>
    <w:p w14:paraId="7C0A8679" w14:textId="77777777" w:rsidR="00A450EB" w:rsidRDefault="00A450EB" w:rsidP="00A450EB">
      <w:pPr>
        <w:rPr>
          <w:lang w:eastAsia="en-AU"/>
        </w:rPr>
      </w:pPr>
      <w:r>
        <w:rPr>
          <w:lang w:eastAsia="en-AU"/>
        </w:rPr>
        <w:t xml:space="preserve">In Study MD-003-PKU in Part 1, treatment related </w:t>
      </w:r>
      <w:proofErr w:type="spellStart"/>
      <w:r>
        <w:rPr>
          <w:lang w:eastAsia="en-AU"/>
        </w:rPr>
        <w:t>TEAEs</w:t>
      </w:r>
      <w:proofErr w:type="spellEnd"/>
      <w:r>
        <w:rPr>
          <w:lang w:eastAsia="en-AU"/>
        </w:rPr>
        <w:t xml:space="preserve"> were reported in 28 (17.8%) participants. The most frequently reported treatment related </w:t>
      </w:r>
      <w:proofErr w:type="spellStart"/>
      <w:r>
        <w:rPr>
          <w:lang w:eastAsia="en-AU"/>
        </w:rPr>
        <w:t>TEAEs</w:t>
      </w:r>
      <w:proofErr w:type="spellEnd"/>
      <w:r>
        <w:rPr>
          <w:lang w:eastAsia="en-AU"/>
        </w:rPr>
        <w:t xml:space="preserve"> were diarrhoea in six (3.9%) participants, faeces discoloured in four (2.6%), vomiting in three (1.9%), upper abdominal pain in three (1.9%) and nausea in three (1.9%). In Part 2, treatment related </w:t>
      </w:r>
      <w:proofErr w:type="spellStart"/>
      <w:r>
        <w:rPr>
          <w:lang w:eastAsia="en-AU"/>
        </w:rPr>
        <w:t>TEAEs</w:t>
      </w:r>
      <w:proofErr w:type="spellEnd"/>
      <w:r>
        <w:rPr>
          <w:lang w:eastAsia="en-AU"/>
        </w:rPr>
        <w:t xml:space="preserve"> were reported in six (10.7%) participants in the </w:t>
      </w:r>
      <w:proofErr w:type="spellStart"/>
      <w:r>
        <w:rPr>
          <w:lang w:eastAsia="en-AU"/>
        </w:rPr>
        <w:t>sepiapterin</w:t>
      </w:r>
      <w:proofErr w:type="spellEnd"/>
      <w:r>
        <w:rPr>
          <w:lang w:eastAsia="en-AU"/>
        </w:rPr>
        <w:t xml:space="preserve"> group and six (11.1%) in the placebo. These were predominantly gastrointestinal disorders.</w:t>
      </w:r>
    </w:p>
    <w:p w14:paraId="3AD5C538" w14:textId="77777777" w:rsidR="00A450EB" w:rsidRDefault="00A450EB" w:rsidP="00A450EB">
      <w:pPr>
        <w:rPr>
          <w:lang w:eastAsia="en-AU"/>
        </w:rPr>
      </w:pPr>
      <w:r>
        <w:rPr>
          <w:lang w:eastAsia="en-AU"/>
        </w:rPr>
        <w:t xml:space="preserve">In Study PKU-002 treatment related </w:t>
      </w:r>
      <w:proofErr w:type="spellStart"/>
      <w:r>
        <w:rPr>
          <w:lang w:eastAsia="en-AU"/>
        </w:rPr>
        <w:t>TEAEs</w:t>
      </w:r>
      <w:proofErr w:type="spellEnd"/>
      <w:r>
        <w:rPr>
          <w:lang w:eastAsia="en-AU"/>
        </w:rPr>
        <w:t xml:space="preserve"> were reported in no patients during </w:t>
      </w:r>
      <w:proofErr w:type="spellStart"/>
      <w:r>
        <w:rPr>
          <w:lang w:eastAsia="en-AU"/>
        </w:rPr>
        <w:t>sepiapterin</w:t>
      </w:r>
      <w:proofErr w:type="spellEnd"/>
      <w:r>
        <w:rPr>
          <w:lang w:eastAsia="en-AU"/>
        </w:rPr>
        <w:t xml:space="preserve"> 20 mg/kg/day, three (12.5%) during </w:t>
      </w:r>
      <w:proofErr w:type="spellStart"/>
      <w:r>
        <w:rPr>
          <w:lang w:eastAsia="en-AU"/>
        </w:rPr>
        <w:t>sepiapterin</w:t>
      </w:r>
      <w:proofErr w:type="spellEnd"/>
      <w:r>
        <w:rPr>
          <w:lang w:eastAsia="en-AU"/>
        </w:rPr>
        <w:t xml:space="preserve"> 60 mg/kg/day and none during </w:t>
      </w:r>
      <w:proofErr w:type="spellStart"/>
      <w:r>
        <w:rPr>
          <w:lang w:eastAsia="en-AU"/>
        </w:rPr>
        <w:t>sapropterin</w:t>
      </w:r>
      <w:proofErr w:type="spellEnd"/>
      <w:r>
        <w:rPr>
          <w:lang w:eastAsia="en-AU"/>
        </w:rPr>
        <w:t xml:space="preserve"> 20 mg/kg/day.</w:t>
      </w:r>
    </w:p>
    <w:p w14:paraId="35FBD986" w14:textId="77777777" w:rsidR="00A450EB" w:rsidRDefault="00A450EB" w:rsidP="00A450EB">
      <w:pPr>
        <w:rPr>
          <w:lang w:eastAsia="en-AU"/>
        </w:rPr>
      </w:pPr>
      <w:r>
        <w:rPr>
          <w:lang w:eastAsia="en-AU"/>
        </w:rPr>
        <w:t xml:space="preserve">In Study MD-004-PKU there were 47 </w:t>
      </w:r>
      <w:proofErr w:type="gramStart"/>
      <w:r>
        <w:rPr>
          <w:lang w:eastAsia="en-AU"/>
        </w:rPr>
        <w:t>treatment</w:t>
      </w:r>
      <w:proofErr w:type="gramEnd"/>
      <w:r>
        <w:rPr>
          <w:lang w:eastAsia="en-AU"/>
        </w:rPr>
        <w:t xml:space="preserve"> related </w:t>
      </w:r>
      <w:proofErr w:type="spellStart"/>
      <w:r>
        <w:rPr>
          <w:lang w:eastAsia="en-AU"/>
        </w:rPr>
        <w:t>TEAEs</w:t>
      </w:r>
      <w:proofErr w:type="spellEnd"/>
      <w:r>
        <w:rPr>
          <w:lang w:eastAsia="en-AU"/>
        </w:rPr>
        <w:t xml:space="preserve"> reported in 19 (18.3%) participants. The </w:t>
      </w:r>
      <w:proofErr w:type="gramStart"/>
      <w:r>
        <w:rPr>
          <w:lang w:eastAsia="en-AU"/>
        </w:rPr>
        <w:t>most commonly reported</w:t>
      </w:r>
      <w:proofErr w:type="gramEnd"/>
      <w:r>
        <w:rPr>
          <w:lang w:eastAsia="en-AU"/>
        </w:rPr>
        <w:t xml:space="preserve"> </w:t>
      </w:r>
      <w:proofErr w:type="spellStart"/>
      <w:r>
        <w:rPr>
          <w:lang w:eastAsia="en-AU"/>
        </w:rPr>
        <w:t>TEAEs</w:t>
      </w:r>
      <w:proofErr w:type="spellEnd"/>
      <w:r>
        <w:rPr>
          <w:lang w:eastAsia="en-AU"/>
        </w:rPr>
        <w:t xml:space="preserve"> were headache in six (5.8%), diarrhoea in four (3.8%) and faeces discoloured in three (2.9%).</w:t>
      </w:r>
    </w:p>
    <w:p w14:paraId="118600B1" w14:textId="3F88B4D3" w:rsidR="00A450EB" w:rsidRDefault="00A450EB" w:rsidP="00A450EB">
      <w:pPr>
        <w:rPr>
          <w:lang w:eastAsia="en-AU"/>
        </w:rPr>
      </w:pPr>
      <w:r>
        <w:rPr>
          <w:lang w:eastAsia="en-AU"/>
        </w:rPr>
        <w:t xml:space="preserve">By age group, discontinuation due to </w:t>
      </w:r>
      <w:proofErr w:type="spellStart"/>
      <w:r>
        <w:rPr>
          <w:lang w:eastAsia="en-AU"/>
        </w:rPr>
        <w:t>TEAE</w:t>
      </w:r>
      <w:proofErr w:type="spellEnd"/>
      <w:r>
        <w:rPr>
          <w:lang w:eastAsia="en-AU"/>
        </w:rPr>
        <w:t xml:space="preserve"> was reported in no participants aged &lt;2 years, one (6.7%) participant aged 2 to &lt;6 years, </w:t>
      </w:r>
      <w:proofErr w:type="gramStart"/>
      <w:r>
        <w:rPr>
          <w:lang w:eastAsia="en-AU"/>
        </w:rPr>
        <w:t>none aged</w:t>
      </w:r>
      <w:proofErr w:type="gramEnd"/>
      <w:r>
        <w:rPr>
          <w:lang w:eastAsia="en-AU"/>
        </w:rPr>
        <w:t xml:space="preserve"> 6 to &lt;12 years, </w:t>
      </w:r>
      <w:proofErr w:type="gramStart"/>
      <w:r>
        <w:rPr>
          <w:lang w:eastAsia="en-AU"/>
        </w:rPr>
        <w:t>none aged</w:t>
      </w:r>
      <w:proofErr w:type="gramEnd"/>
      <w:r>
        <w:rPr>
          <w:lang w:eastAsia="en-AU"/>
        </w:rPr>
        <w:t xml:space="preserve"> 12 to &lt;18 years, and none in participants aged ≥18 years</w:t>
      </w:r>
      <w:r w:rsidR="001B2AA7">
        <w:rPr>
          <w:lang w:eastAsia="en-AU"/>
        </w:rPr>
        <w:t>.</w:t>
      </w:r>
    </w:p>
    <w:p w14:paraId="5CD53B80" w14:textId="274D5B4C" w:rsidR="00A450EB" w:rsidRDefault="00A450EB" w:rsidP="001B2AA7">
      <w:pPr>
        <w:pStyle w:val="Heading5"/>
        <w:rPr>
          <w:lang w:eastAsia="en-AU"/>
        </w:rPr>
      </w:pPr>
      <w:r>
        <w:rPr>
          <w:lang w:eastAsia="en-AU"/>
        </w:rPr>
        <w:lastRenderedPageBreak/>
        <w:t>Serious adverse events</w:t>
      </w:r>
    </w:p>
    <w:p w14:paraId="7B5875FD" w14:textId="6D93ADC4" w:rsidR="00A450EB" w:rsidRDefault="00A450EB" w:rsidP="00AC762A">
      <w:pPr>
        <w:rPr>
          <w:lang w:eastAsia="en-AU"/>
        </w:rPr>
      </w:pPr>
      <w:r>
        <w:rPr>
          <w:lang w:eastAsia="en-AU"/>
        </w:rPr>
        <w:t xml:space="preserve">By age group, there were no </w:t>
      </w:r>
      <w:r w:rsidR="00037F14">
        <w:rPr>
          <w:lang w:eastAsia="en-AU"/>
        </w:rPr>
        <w:t>s</w:t>
      </w:r>
      <w:r w:rsidR="00037F14" w:rsidRPr="00037F14">
        <w:rPr>
          <w:lang w:eastAsia="en-AU"/>
        </w:rPr>
        <w:t>erious adverse events</w:t>
      </w:r>
      <w:r w:rsidR="00037F14">
        <w:rPr>
          <w:lang w:eastAsia="en-AU"/>
        </w:rPr>
        <w:t xml:space="preserve"> (</w:t>
      </w:r>
      <w:r>
        <w:rPr>
          <w:lang w:eastAsia="en-AU"/>
        </w:rPr>
        <w:t>SAE</w:t>
      </w:r>
      <w:r w:rsidR="00037F14">
        <w:rPr>
          <w:lang w:eastAsia="en-AU"/>
        </w:rPr>
        <w:t>)</w:t>
      </w:r>
      <w:r>
        <w:rPr>
          <w:lang w:eastAsia="en-AU"/>
        </w:rPr>
        <w:t xml:space="preserve"> in participants aged &lt;2 years, participants aged 2 to &lt;6 years, participants aged 6 to &lt;12 years, or participants aged 12 to &lt;18 years. There was one treatment emergent SAE in a subject aged ≥18 years.</w:t>
      </w:r>
    </w:p>
    <w:p w14:paraId="0BB3589C" w14:textId="77777777" w:rsidR="00A450EB" w:rsidRDefault="00A450EB" w:rsidP="00A450EB">
      <w:pPr>
        <w:rPr>
          <w:lang w:eastAsia="en-AU"/>
        </w:rPr>
      </w:pPr>
      <w:r>
        <w:rPr>
          <w:lang w:eastAsia="en-AU"/>
        </w:rPr>
        <w:t>In Study MD-003-</w:t>
      </w:r>
      <w:proofErr w:type="gramStart"/>
      <w:r>
        <w:rPr>
          <w:lang w:eastAsia="en-AU"/>
        </w:rPr>
        <w:t>PKU, and</w:t>
      </w:r>
      <w:proofErr w:type="gramEnd"/>
      <w:r>
        <w:rPr>
          <w:lang w:eastAsia="en-AU"/>
        </w:rPr>
        <w:t xml:space="preserve"> supporting study and Study PKU-002 there were no deaths. In Study MD-004-PKU there was one SAE reported in one (1.0%) participant (asthmatic crisis).</w:t>
      </w:r>
    </w:p>
    <w:p w14:paraId="117AE4A7" w14:textId="652F9636" w:rsidR="00A450EB" w:rsidRDefault="00A450EB" w:rsidP="009A4EEC">
      <w:pPr>
        <w:pStyle w:val="Heading5"/>
        <w:rPr>
          <w:lang w:eastAsia="en-AU"/>
        </w:rPr>
      </w:pPr>
      <w:r>
        <w:rPr>
          <w:lang w:eastAsia="en-AU"/>
        </w:rPr>
        <w:t>Adverse events of special interest</w:t>
      </w:r>
    </w:p>
    <w:p w14:paraId="32A2993C" w14:textId="396065A1" w:rsidR="00A450EB" w:rsidRDefault="00A450EB" w:rsidP="00A450EB">
      <w:pPr>
        <w:rPr>
          <w:lang w:eastAsia="en-AU"/>
        </w:rPr>
      </w:pPr>
      <w:r>
        <w:rPr>
          <w:lang w:eastAsia="en-AU"/>
        </w:rPr>
        <w:t>Studies were not conducted in special populations. There is insufficient information in children be</w:t>
      </w:r>
      <w:r w:rsidR="00037F14">
        <w:rPr>
          <w:lang w:eastAsia="en-AU"/>
        </w:rPr>
        <w:t>low</w:t>
      </w:r>
      <w:r>
        <w:rPr>
          <w:lang w:eastAsia="en-AU"/>
        </w:rPr>
        <w:t xml:space="preserve"> 2 years, pregnancy and lactation.</w:t>
      </w:r>
    </w:p>
    <w:p w14:paraId="03E0C021" w14:textId="76CF5653" w:rsidR="004F41B7" w:rsidRDefault="00A450EB" w:rsidP="00AC762A">
      <w:pPr>
        <w:rPr>
          <w:lang w:eastAsia="en-AU"/>
        </w:rPr>
      </w:pPr>
      <w:r>
        <w:rPr>
          <w:lang w:eastAsia="en-AU"/>
        </w:rPr>
        <w:t xml:space="preserve">There were three discontinuations due to </w:t>
      </w:r>
      <w:proofErr w:type="spellStart"/>
      <w:r>
        <w:rPr>
          <w:lang w:eastAsia="en-AU"/>
        </w:rPr>
        <w:t>TEAE</w:t>
      </w:r>
      <w:proofErr w:type="spellEnd"/>
      <w:r>
        <w:rPr>
          <w:lang w:eastAsia="en-AU"/>
        </w:rPr>
        <w:t xml:space="preserve"> in the development program. In Study MD-003-PKU in Part 1, discontinuation due to </w:t>
      </w:r>
      <w:proofErr w:type="spellStart"/>
      <w:r>
        <w:rPr>
          <w:lang w:eastAsia="en-AU"/>
        </w:rPr>
        <w:t>TEAEs</w:t>
      </w:r>
      <w:proofErr w:type="spellEnd"/>
      <w:r>
        <w:rPr>
          <w:lang w:eastAsia="en-AU"/>
        </w:rPr>
        <w:t xml:space="preserve"> was reported in two (1.3%) participants (anxiety, vomiting)</w:t>
      </w:r>
      <w:r w:rsidR="00E94713">
        <w:rPr>
          <w:lang w:eastAsia="en-AU"/>
        </w:rPr>
        <w:t xml:space="preserve"> a</w:t>
      </w:r>
      <w:r>
        <w:rPr>
          <w:lang w:eastAsia="en-AU"/>
        </w:rPr>
        <w:t>nd in Study MD-004-PKU discontinuation due to AE was reported for one (1.0%) participant (constipation/flatulence/disturbance in attention/headache). In Study MD-004-PKU</w:t>
      </w:r>
      <w:r w:rsidR="00E94713">
        <w:rPr>
          <w:lang w:eastAsia="en-AU"/>
        </w:rPr>
        <w:t>,</w:t>
      </w:r>
      <w:r>
        <w:rPr>
          <w:lang w:eastAsia="en-AU"/>
        </w:rPr>
        <w:t xml:space="preserve"> one participant had elevations in leukocyte and platelet counts that were not clinically significant. There were no clinically significant abnormalities in clinical laboratory tests. There was no significant increase in QTc with </w:t>
      </w:r>
      <w:proofErr w:type="spellStart"/>
      <w:r>
        <w:rPr>
          <w:lang w:eastAsia="en-AU"/>
        </w:rPr>
        <w:t>sepiapterin</w:t>
      </w:r>
      <w:proofErr w:type="spellEnd"/>
      <w:r>
        <w:rPr>
          <w:lang w:eastAsia="en-AU"/>
        </w:rPr>
        <w:t xml:space="preserve"> treatment.</w:t>
      </w:r>
    </w:p>
    <w:p w14:paraId="2858B006" w14:textId="74A1E26D" w:rsidR="00C22214" w:rsidRDefault="00C22214" w:rsidP="00AC762A">
      <w:pPr>
        <w:pStyle w:val="Heading3"/>
        <w:rPr>
          <w:lang w:eastAsia="en-AU"/>
        </w:rPr>
      </w:pPr>
      <w:bookmarkStart w:id="51" w:name="_Toc215749780"/>
      <w:r>
        <w:rPr>
          <w:lang w:eastAsia="en-AU"/>
        </w:rPr>
        <w:t xml:space="preserve">Risk management </w:t>
      </w:r>
      <w:r w:rsidRPr="00AC762A">
        <w:t>plan</w:t>
      </w:r>
      <w:bookmarkEnd w:id="48"/>
      <w:bookmarkEnd w:id="49"/>
      <w:bookmarkEnd w:id="51"/>
    </w:p>
    <w:p w14:paraId="5CCAB2E2" w14:textId="0B90002D" w:rsidR="00D24E15" w:rsidRDefault="00D24E15" w:rsidP="00E00708">
      <w:pPr>
        <w:rPr>
          <w:lang w:eastAsia="en-AU"/>
        </w:rPr>
      </w:pPr>
      <w:r>
        <w:rPr>
          <w:lang w:eastAsia="en-AU"/>
        </w:rPr>
        <w:t xml:space="preserve">PTC Therapeutics Australia Pty Ltd submitted EU-RMP version 0.1 (dated 13 March 2024; DLP 22 September 2023) and ASA </w:t>
      </w:r>
      <w:r w:rsidR="00274478">
        <w:rPr>
          <w:lang w:eastAsia="en-AU"/>
        </w:rPr>
        <w:t xml:space="preserve">(Australia specific annex) </w:t>
      </w:r>
      <w:r>
        <w:rPr>
          <w:lang w:eastAsia="en-AU"/>
        </w:rPr>
        <w:t xml:space="preserve">version 0.1 (dated 3 June 2024) in support of this application. </w:t>
      </w:r>
      <w:r w:rsidR="00274478">
        <w:rPr>
          <w:lang w:eastAsia="en-AU"/>
        </w:rPr>
        <w:t>T</w:t>
      </w:r>
      <w:r>
        <w:rPr>
          <w:lang w:eastAsia="en-AU"/>
        </w:rPr>
        <w:t xml:space="preserve">he </w:t>
      </w:r>
      <w:r w:rsidR="00DD1733">
        <w:rPr>
          <w:lang w:eastAsia="en-AU"/>
        </w:rPr>
        <w:t>Sponsor</w:t>
      </w:r>
      <w:r>
        <w:rPr>
          <w:lang w:eastAsia="en-AU"/>
        </w:rPr>
        <w:t xml:space="preserve"> </w:t>
      </w:r>
      <w:r w:rsidR="00274478">
        <w:rPr>
          <w:lang w:eastAsia="en-AU"/>
        </w:rPr>
        <w:t xml:space="preserve">also </w:t>
      </w:r>
      <w:r>
        <w:rPr>
          <w:lang w:eastAsia="en-AU"/>
        </w:rPr>
        <w:t>provided an updated EU RMP version 0.2 (dated 11 December 2024; DLP 2 September 2024) and an ASA version 0.2 (dated 5 February 2025).</w:t>
      </w:r>
      <w:r w:rsidR="00E00708">
        <w:rPr>
          <w:lang w:eastAsia="en-AU"/>
        </w:rPr>
        <w:t xml:space="preserve"> The summary of safety concerns in the ASA aligns with the draft EU-RMP. The summary of safety concerns is acceptable from an RMP perspective.</w:t>
      </w:r>
    </w:p>
    <w:p w14:paraId="1B484799" w14:textId="2D9DBCEC" w:rsidR="00D24E15" w:rsidRDefault="00D24E15" w:rsidP="00AC762A">
      <w:pPr>
        <w:rPr>
          <w:lang w:eastAsia="en-AU"/>
        </w:rPr>
      </w:pPr>
      <w:r>
        <w:rPr>
          <w:lang w:eastAsia="en-AU"/>
        </w:rPr>
        <w:t>The proposed summary of safety concerns and their associated risk monitoring and mitigation strategies are summarised in Table 4:</w:t>
      </w:r>
    </w:p>
    <w:p w14:paraId="603E2778" w14:textId="69256EA5" w:rsidR="00274478" w:rsidRDefault="00274478" w:rsidP="00AC762A">
      <w:pPr>
        <w:pStyle w:val="TableTitle"/>
        <w:rPr>
          <w:lang w:eastAsia="en-AU"/>
        </w:rPr>
      </w:pPr>
      <w:r>
        <w:rPr>
          <w:lang w:eastAsia="en-AU"/>
        </w:rPr>
        <w:t xml:space="preserve">Table 4: Summary of safety </w:t>
      </w:r>
      <w:r w:rsidRPr="00AC762A">
        <w:t>concerns</w:t>
      </w:r>
      <w:r>
        <w:rPr>
          <w:lang w:eastAsia="en-AU"/>
        </w:rPr>
        <w:t xml:space="preserve"> for </w:t>
      </w:r>
      <w:proofErr w:type="spellStart"/>
      <w:r>
        <w:rPr>
          <w:lang w:eastAsia="en-AU"/>
        </w:rPr>
        <w:t>Sephience</w:t>
      </w:r>
      <w:proofErr w:type="spellEnd"/>
    </w:p>
    <w:tbl>
      <w:tblPr>
        <w:tblStyle w:val="TableTGAblue2023"/>
        <w:tblW w:w="9469" w:type="dxa"/>
        <w:tblLayout w:type="fixed"/>
        <w:tblLook w:val="04A0" w:firstRow="1" w:lastRow="0" w:firstColumn="1" w:lastColumn="0" w:noHBand="0" w:noVBand="1"/>
      </w:tblPr>
      <w:tblGrid>
        <w:gridCol w:w="1413"/>
        <w:gridCol w:w="2551"/>
        <w:gridCol w:w="1276"/>
        <w:gridCol w:w="1418"/>
        <w:gridCol w:w="1275"/>
        <w:gridCol w:w="1536"/>
      </w:tblGrid>
      <w:tr w:rsidR="00933430" w:rsidRPr="00933430" w14:paraId="4C3D7BDF" w14:textId="77777777" w:rsidTr="005D1778">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3964" w:type="dxa"/>
            <w:gridSpan w:val="2"/>
            <w:vMerge w:val="restart"/>
          </w:tcPr>
          <w:p w14:paraId="43E47402" w14:textId="77777777" w:rsidR="00933430" w:rsidRPr="00933430" w:rsidRDefault="00933430" w:rsidP="005D1778">
            <w:pPr>
              <w:rPr>
                <w:b w:val="0"/>
              </w:rPr>
            </w:pPr>
            <w:r w:rsidRPr="00933430">
              <w:t>Summary of safety concerns</w:t>
            </w:r>
          </w:p>
        </w:tc>
        <w:tc>
          <w:tcPr>
            <w:tcW w:w="2694" w:type="dxa"/>
            <w:gridSpan w:val="2"/>
          </w:tcPr>
          <w:p w14:paraId="2E433E21" w14:textId="77777777" w:rsidR="00933430" w:rsidRPr="00933430" w:rsidRDefault="00933430" w:rsidP="005D1778">
            <w:pPr>
              <w:cnfStyle w:val="100000000000" w:firstRow="1" w:lastRow="0" w:firstColumn="0" w:lastColumn="0" w:oddVBand="0" w:evenVBand="0" w:oddHBand="0" w:evenHBand="0" w:firstRowFirstColumn="0" w:firstRowLastColumn="0" w:lastRowFirstColumn="0" w:lastRowLastColumn="0"/>
              <w:rPr>
                <w:b w:val="0"/>
              </w:rPr>
            </w:pPr>
            <w:r w:rsidRPr="00933430">
              <w:t>Pharmacovigilance</w:t>
            </w:r>
          </w:p>
        </w:tc>
        <w:tc>
          <w:tcPr>
            <w:tcW w:w="2811" w:type="dxa"/>
            <w:gridSpan w:val="2"/>
          </w:tcPr>
          <w:p w14:paraId="64B343D0" w14:textId="77777777" w:rsidR="00933430" w:rsidRPr="00933430" w:rsidRDefault="00933430" w:rsidP="005D1778">
            <w:pPr>
              <w:cnfStyle w:val="100000000000" w:firstRow="1" w:lastRow="0" w:firstColumn="0" w:lastColumn="0" w:oddVBand="0" w:evenVBand="0" w:oddHBand="0" w:evenHBand="0" w:firstRowFirstColumn="0" w:firstRowLastColumn="0" w:lastRowFirstColumn="0" w:lastRowLastColumn="0"/>
              <w:rPr>
                <w:b w:val="0"/>
              </w:rPr>
            </w:pPr>
            <w:r w:rsidRPr="00933430">
              <w:t>Risk Minimisation</w:t>
            </w:r>
          </w:p>
        </w:tc>
      </w:tr>
      <w:tr w:rsidR="00B86871" w:rsidRPr="00933430" w14:paraId="7FBF4F60" w14:textId="77777777" w:rsidTr="005D1778">
        <w:trPr>
          <w:trHeight w:val="150"/>
        </w:trPr>
        <w:tc>
          <w:tcPr>
            <w:cnfStyle w:val="001000000000" w:firstRow="0" w:lastRow="0" w:firstColumn="1" w:lastColumn="0" w:oddVBand="0" w:evenVBand="0" w:oddHBand="0" w:evenHBand="0" w:firstRowFirstColumn="0" w:firstRowLastColumn="0" w:lastRowFirstColumn="0" w:lastRowLastColumn="0"/>
            <w:tcW w:w="3964" w:type="dxa"/>
            <w:gridSpan w:val="2"/>
            <w:vMerge/>
          </w:tcPr>
          <w:p w14:paraId="6DC5F6C5" w14:textId="77777777" w:rsidR="00933430" w:rsidRPr="00933430" w:rsidRDefault="00933430" w:rsidP="005D1778">
            <w:pPr>
              <w:rPr>
                <w:b/>
              </w:rPr>
            </w:pPr>
          </w:p>
        </w:tc>
        <w:tc>
          <w:tcPr>
            <w:tcW w:w="1276" w:type="dxa"/>
          </w:tcPr>
          <w:p w14:paraId="5E98DED2"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t>Routine</w:t>
            </w:r>
          </w:p>
        </w:tc>
        <w:tc>
          <w:tcPr>
            <w:tcW w:w="1418" w:type="dxa"/>
          </w:tcPr>
          <w:p w14:paraId="29A916DA"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t>Additional</w:t>
            </w:r>
          </w:p>
        </w:tc>
        <w:tc>
          <w:tcPr>
            <w:tcW w:w="1275" w:type="dxa"/>
          </w:tcPr>
          <w:p w14:paraId="56DE66A3"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t>Routine</w:t>
            </w:r>
          </w:p>
        </w:tc>
        <w:tc>
          <w:tcPr>
            <w:tcW w:w="1536" w:type="dxa"/>
          </w:tcPr>
          <w:p w14:paraId="2D1452F5"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t>Additional</w:t>
            </w:r>
          </w:p>
        </w:tc>
      </w:tr>
      <w:tr w:rsidR="00B86871" w:rsidRPr="00933430" w14:paraId="06829DE2" w14:textId="77777777" w:rsidTr="005D1778">
        <w:trPr>
          <w:trHeight w:val="137"/>
        </w:trPr>
        <w:tc>
          <w:tcPr>
            <w:cnfStyle w:val="001000000000" w:firstRow="0" w:lastRow="0" w:firstColumn="1" w:lastColumn="0" w:oddVBand="0" w:evenVBand="0" w:oddHBand="0" w:evenHBand="0" w:firstRowFirstColumn="0" w:firstRowLastColumn="0" w:lastRowFirstColumn="0" w:lastRowLastColumn="0"/>
            <w:tcW w:w="1413" w:type="dxa"/>
          </w:tcPr>
          <w:p w14:paraId="695515ED" w14:textId="77777777" w:rsidR="00933430" w:rsidRPr="005D1778" w:rsidRDefault="00933430" w:rsidP="005D1778">
            <w:pPr>
              <w:rPr>
                <w:b/>
                <w:bCs/>
              </w:rPr>
            </w:pPr>
            <w:r w:rsidRPr="005D1778">
              <w:rPr>
                <w:b/>
                <w:bCs/>
              </w:rPr>
              <w:t>Important identified risks</w:t>
            </w:r>
          </w:p>
        </w:tc>
        <w:tc>
          <w:tcPr>
            <w:tcW w:w="2551" w:type="dxa"/>
          </w:tcPr>
          <w:p w14:paraId="00370F46"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t>None</w:t>
            </w:r>
          </w:p>
        </w:tc>
        <w:tc>
          <w:tcPr>
            <w:tcW w:w="1276" w:type="dxa"/>
          </w:tcPr>
          <w:p w14:paraId="5B51B2AA"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t>–</w:t>
            </w:r>
          </w:p>
        </w:tc>
        <w:tc>
          <w:tcPr>
            <w:tcW w:w="1418" w:type="dxa"/>
          </w:tcPr>
          <w:p w14:paraId="6840137A"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t>–</w:t>
            </w:r>
          </w:p>
        </w:tc>
        <w:tc>
          <w:tcPr>
            <w:tcW w:w="1275" w:type="dxa"/>
          </w:tcPr>
          <w:p w14:paraId="7D3810E0"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t>–</w:t>
            </w:r>
          </w:p>
        </w:tc>
        <w:tc>
          <w:tcPr>
            <w:tcW w:w="1536" w:type="dxa"/>
          </w:tcPr>
          <w:p w14:paraId="6AEC4E3E"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t>–</w:t>
            </w:r>
          </w:p>
        </w:tc>
      </w:tr>
      <w:tr w:rsidR="00B86871" w:rsidRPr="00933430" w14:paraId="3004B79D" w14:textId="77777777" w:rsidTr="005D1778">
        <w:trPr>
          <w:trHeight w:val="159"/>
        </w:trPr>
        <w:tc>
          <w:tcPr>
            <w:cnfStyle w:val="001000000000" w:firstRow="0" w:lastRow="0" w:firstColumn="1" w:lastColumn="0" w:oddVBand="0" w:evenVBand="0" w:oddHBand="0" w:evenHBand="0" w:firstRowFirstColumn="0" w:firstRowLastColumn="0" w:lastRowFirstColumn="0" w:lastRowLastColumn="0"/>
            <w:tcW w:w="1413" w:type="dxa"/>
          </w:tcPr>
          <w:p w14:paraId="5BEF963B" w14:textId="77777777" w:rsidR="00933430" w:rsidRPr="005D1778" w:rsidRDefault="00933430" w:rsidP="005D1778">
            <w:pPr>
              <w:rPr>
                <w:b/>
                <w:bCs/>
              </w:rPr>
            </w:pPr>
            <w:r w:rsidRPr="005D1778">
              <w:rPr>
                <w:b/>
                <w:bCs/>
              </w:rPr>
              <w:t>Important potential risks</w:t>
            </w:r>
          </w:p>
        </w:tc>
        <w:tc>
          <w:tcPr>
            <w:tcW w:w="2551" w:type="dxa"/>
          </w:tcPr>
          <w:p w14:paraId="116338F1"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t>None</w:t>
            </w:r>
          </w:p>
        </w:tc>
        <w:tc>
          <w:tcPr>
            <w:tcW w:w="1276" w:type="dxa"/>
          </w:tcPr>
          <w:p w14:paraId="268C316C"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t>–</w:t>
            </w:r>
          </w:p>
        </w:tc>
        <w:tc>
          <w:tcPr>
            <w:tcW w:w="1418" w:type="dxa"/>
          </w:tcPr>
          <w:p w14:paraId="6B50B4BA"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t>–</w:t>
            </w:r>
          </w:p>
        </w:tc>
        <w:tc>
          <w:tcPr>
            <w:tcW w:w="1275" w:type="dxa"/>
          </w:tcPr>
          <w:p w14:paraId="12324221"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t>–</w:t>
            </w:r>
          </w:p>
        </w:tc>
        <w:tc>
          <w:tcPr>
            <w:tcW w:w="1536" w:type="dxa"/>
          </w:tcPr>
          <w:p w14:paraId="2D1F9786"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t>–</w:t>
            </w:r>
          </w:p>
        </w:tc>
      </w:tr>
      <w:tr w:rsidR="00B86871" w:rsidRPr="00933430" w14:paraId="40652FA4" w14:textId="77777777" w:rsidTr="005D1778">
        <w:trPr>
          <w:trHeight w:val="178"/>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4004C3E6" w14:textId="77777777" w:rsidR="00933430" w:rsidRPr="005D1778" w:rsidRDefault="00933430" w:rsidP="005D1778">
            <w:pPr>
              <w:rPr>
                <w:b/>
                <w:bCs/>
              </w:rPr>
            </w:pPr>
            <w:r w:rsidRPr="005D1778">
              <w:rPr>
                <w:b/>
                <w:bCs/>
              </w:rPr>
              <w:t>Missing information</w:t>
            </w:r>
          </w:p>
        </w:tc>
        <w:tc>
          <w:tcPr>
            <w:tcW w:w="2551" w:type="dxa"/>
          </w:tcPr>
          <w:p w14:paraId="11DC1B6F"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t>Long-term use</w:t>
            </w:r>
          </w:p>
        </w:tc>
        <w:tc>
          <w:tcPr>
            <w:tcW w:w="1276" w:type="dxa"/>
          </w:tcPr>
          <w:p w14:paraId="441532BD"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rPr>
                <w:rFonts w:ascii="Wingdings" w:hAnsi="Wingdings"/>
              </w:rPr>
              <w:t>ü</w:t>
            </w:r>
          </w:p>
        </w:tc>
        <w:tc>
          <w:tcPr>
            <w:tcW w:w="1418" w:type="dxa"/>
          </w:tcPr>
          <w:p w14:paraId="7C484616"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rPr>
                <w:rFonts w:ascii="Wingdings" w:hAnsi="Wingdings"/>
              </w:rPr>
              <w:t>ü</w:t>
            </w:r>
            <w:r w:rsidRPr="00933430">
              <w:t>*</w:t>
            </w:r>
          </w:p>
        </w:tc>
        <w:tc>
          <w:tcPr>
            <w:tcW w:w="1275" w:type="dxa"/>
          </w:tcPr>
          <w:p w14:paraId="7BB5BA7E"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rPr>
                <w:rFonts w:ascii="Wingdings" w:hAnsi="Wingdings"/>
              </w:rPr>
              <w:t>ü</w:t>
            </w:r>
          </w:p>
        </w:tc>
        <w:tc>
          <w:tcPr>
            <w:tcW w:w="1536" w:type="dxa"/>
          </w:tcPr>
          <w:p w14:paraId="05C06166"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t>–</w:t>
            </w:r>
          </w:p>
        </w:tc>
      </w:tr>
      <w:tr w:rsidR="00B86871" w:rsidRPr="00933430" w14:paraId="36E9B3B7" w14:textId="77777777" w:rsidTr="005D1778">
        <w:trPr>
          <w:trHeight w:val="178"/>
        </w:trPr>
        <w:tc>
          <w:tcPr>
            <w:cnfStyle w:val="001000000000" w:firstRow="0" w:lastRow="0" w:firstColumn="1" w:lastColumn="0" w:oddVBand="0" w:evenVBand="0" w:oddHBand="0" w:evenHBand="0" w:firstRowFirstColumn="0" w:firstRowLastColumn="0" w:lastRowFirstColumn="0" w:lastRowLastColumn="0"/>
            <w:tcW w:w="1413" w:type="dxa"/>
            <w:vMerge/>
          </w:tcPr>
          <w:p w14:paraId="04E17927" w14:textId="77777777" w:rsidR="00933430" w:rsidRPr="00933430" w:rsidRDefault="00933430" w:rsidP="005D1778"/>
        </w:tc>
        <w:tc>
          <w:tcPr>
            <w:tcW w:w="2551" w:type="dxa"/>
          </w:tcPr>
          <w:p w14:paraId="58F18716"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t>Use during pregnancy and lactation</w:t>
            </w:r>
          </w:p>
        </w:tc>
        <w:tc>
          <w:tcPr>
            <w:tcW w:w="1276" w:type="dxa"/>
          </w:tcPr>
          <w:p w14:paraId="44D8407E"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rPr>
                <w:rFonts w:ascii="Wingdings" w:hAnsi="Wingdings"/>
              </w:rPr>
              <w:t>ü</w:t>
            </w:r>
          </w:p>
        </w:tc>
        <w:tc>
          <w:tcPr>
            <w:tcW w:w="1418" w:type="dxa"/>
          </w:tcPr>
          <w:p w14:paraId="372EF206"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t>–</w:t>
            </w:r>
          </w:p>
        </w:tc>
        <w:tc>
          <w:tcPr>
            <w:tcW w:w="1275" w:type="dxa"/>
          </w:tcPr>
          <w:p w14:paraId="1F079843"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rPr>
                <w:rFonts w:ascii="Wingdings" w:hAnsi="Wingdings"/>
              </w:rPr>
              <w:t>ü</w:t>
            </w:r>
          </w:p>
        </w:tc>
        <w:tc>
          <w:tcPr>
            <w:tcW w:w="1536" w:type="dxa"/>
          </w:tcPr>
          <w:p w14:paraId="01691225" w14:textId="77777777" w:rsidR="00933430" w:rsidRPr="00933430" w:rsidRDefault="00933430" w:rsidP="005D1778">
            <w:pPr>
              <w:cnfStyle w:val="000000000000" w:firstRow="0" w:lastRow="0" w:firstColumn="0" w:lastColumn="0" w:oddVBand="0" w:evenVBand="0" w:oddHBand="0" w:evenHBand="0" w:firstRowFirstColumn="0" w:firstRowLastColumn="0" w:lastRowFirstColumn="0" w:lastRowLastColumn="0"/>
            </w:pPr>
            <w:r w:rsidRPr="00933430">
              <w:t>–</w:t>
            </w:r>
          </w:p>
        </w:tc>
      </w:tr>
    </w:tbl>
    <w:p w14:paraId="77AC0307" w14:textId="6DEEBAC9" w:rsidR="00933430" w:rsidRDefault="000547A5" w:rsidP="000547A5">
      <w:pPr>
        <w:pStyle w:val="TableDescription"/>
        <w:rPr>
          <w:lang w:eastAsia="en-AU"/>
        </w:rPr>
      </w:pPr>
      <w:r w:rsidRPr="000547A5">
        <w:rPr>
          <w:lang w:eastAsia="en-AU"/>
        </w:rPr>
        <w:t xml:space="preserve">*Phase 3 Open Label Study </w:t>
      </w:r>
      <w:proofErr w:type="spellStart"/>
      <w:r w:rsidRPr="000547A5">
        <w:rPr>
          <w:lang w:eastAsia="en-AU"/>
        </w:rPr>
        <w:t>PTC923</w:t>
      </w:r>
      <w:proofErr w:type="spellEnd"/>
      <w:r w:rsidRPr="000547A5">
        <w:rPr>
          <w:lang w:eastAsia="en-AU"/>
        </w:rPr>
        <w:t>-MD-004-PKU</w:t>
      </w:r>
    </w:p>
    <w:p w14:paraId="2C5A4360" w14:textId="5135D8C8" w:rsidR="00FC6EC3" w:rsidRDefault="00FC6EC3" w:rsidP="005D1778">
      <w:pPr>
        <w:rPr>
          <w:lang w:eastAsia="en-AU"/>
        </w:rPr>
      </w:pPr>
      <w:r>
        <w:rPr>
          <w:lang w:eastAsia="en-AU"/>
        </w:rPr>
        <w:t>Routine and additional pharmacovigilance activities are proposed. The additional pharmacovigilance activity is a Phase 3 open label study (</w:t>
      </w:r>
      <w:proofErr w:type="spellStart"/>
      <w:r>
        <w:rPr>
          <w:lang w:eastAsia="en-AU"/>
        </w:rPr>
        <w:t>PTC923</w:t>
      </w:r>
      <w:proofErr w:type="spellEnd"/>
      <w:r>
        <w:rPr>
          <w:lang w:eastAsia="en-AU"/>
        </w:rPr>
        <w:t xml:space="preserve">-MD-004-PKU) which will </w:t>
      </w:r>
      <w:r>
        <w:rPr>
          <w:lang w:eastAsia="en-AU"/>
        </w:rPr>
        <w:lastRenderedPageBreak/>
        <w:t xml:space="preserve">provide information regarding the long-term safety of </w:t>
      </w:r>
      <w:proofErr w:type="spellStart"/>
      <w:r>
        <w:rPr>
          <w:lang w:eastAsia="en-AU"/>
        </w:rPr>
        <w:t>sepiapterin</w:t>
      </w:r>
      <w:proofErr w:type="spellEnd"/>
      <w:r>
        <w:rPr>
          <w:lang w:eastAsia="en-AU"/>
        </w:rPr>
        <w:t>. The pharmacovigilance plan is acceptable from an RMP perspective.</w:t>
      </w:r>
    </w:p>
    <w:p w14:paraId="333C5959" w14:textId="36D6628B" w:rsidR="00FC6EC3" w:rsidRPr="00D24E15" w:rsidRDefault="00FC6EC3" w:rsidP="00FC6EC3">
      <w:pPr>
        <w:rPr>
          <w:lang w:eastAsia="en-AU"/>
        </w:rPr>
      </w:pPr>
      <w:r>
        <w:rPr>
          <w:lang w:eastAsia="en-AU"/>
        </w:rPr>
        <w:t xml:space="preserve">Only routine risk minimisation activities are proposed which is adequate to manage the safety concerns. The </w:t>
      </w:r>
      <w:r w:rsidR="00DD1733">
        <w:rPr>
          <w:lang w:eastAsia="en-AU"/>
        </w:rPr>
        <w:t>Sponsor</w:t>
      </w:r>
      <w:r>
        <w:rPr>
          <w:lang w:eastAsia="en-AU"/>
        </w:rPr>
        <w:t xml:space="preserve"> has confirmed that the Instructions for Use document will be included in the product packaging. The risk minimisation plan is acceptable.</w:t>
      </w:r>
    </w:p>
    <w:p w14:paraId="74A4F87F" w14:textId="0CF617C7" w:rsidR="00C22214" w:rsidRDefault="00C22214" w:rsidP="00C22214">
      <w:pPr>
        <w:pStyle w:val="Heading3"/>
      </w:pPr>
      <w:bookmarkStart w:id="52" w:name="_Toc247691531"/>
      <w:bookmarkStart w:id="53" w:name="_Toc314842515"/>
      <w:bookmarkStart w:id="54" w:name="_Toc103679299"/>
      <w:bookmarkStart w:id="55" w:name="_Toc215749781"/>
      <w:r>
        <w:t>Risk-benefit analysis</w:t>
      </w:r>
      <w:bookmarkEnd w:id="52"/>
      <w:bookmarkEnd w:id="53"/>
      <w:bookmarkEnd w:id="54"/>
      <w:bookmarkEnd w:id="55"/>
    </w:p>
    <w:p w14:paraId="6F0A1BB6" w14:textId="5E03F26B" w:rsidR="00925700" w:rsidRDefault="00925700" w:rsidP="00925700">
      <w:pPr>
        <w:pStyle w:val="Heading5"/>
      </w:pPr>
      <w:r>
        <w:t>Indication</w:t>
      </w:r>
    </w:p>
    <w:p w14:paraId="71D60E46" w14:textId="69D261A2" w:rsidR="00925700" w:rsidRDefault="00925700" w:rsidP="00925700">
      <w:r>
        <w:t xml:space="preserve">The </w:t>
      </w:r>
      <w:r w:rsidR="00DD1733">
        <w:t>Sponsor</w:t>
      </w:r>
      <w:r>
        <w:t xml:space="preserve"> is proposing a broad indication for </w:t>
      </w:r>
      <w:proofErr w:type="spellStart"/>
      <w:r>
        <w:t>sepiapterin</w:t>
      </w:r>
      <w:proofErr w:type="spellEnd"/>
      <w:r>
        <w:t xml:space="preserve"> for the treatment of </w:t>
      </w:r>
      <w:proofErr w:type="spellStart"/>
      <w:r>
        <w:t>hyperphenylalaninaemia</w:t>
      </w:r>
      <w:proofErr w:type="spellEnd"/>
      <w:r>
        <w:t xml:space="preserve"> in paediatric and adult patients with phenylketonuria.</w:t>
      </w:r>
    </w:p>
    <w:p w14:paraId="3BEE88B1" w14:textId="44556626" w:rsidR="00925700" w:rsidRDefault="00925700" w:rsidP="00925700">
      <w:proofErr w:type="spellStart"/>
      <w:r>
        <w:t>Sepiapterin</w:t>
      </w:r>
      <w:proofErr w:type="spellEnd"/>
      <w:r>
        <w:t xml:space="preserve"> offers an alternative to </w:t>
      </w:r>
      <w:proofErr w:type="spellStart"/>
      <w:r>
        <w:t>Pegvaliase</w:t>
      </w:r>
      <w:proofErr w:type="spellEnd"/>
      <w:r>
        <w:t xml:space="preserve"> in patients &lt;16 years of age and in patients who do not respond to </w:t>
      </w:r>
      <w:proofErr w:type="spellStart"/>
      <w:r>
        <w:t>sapropterin</w:t>
      </w:r>
      <w:proofErr w:type="spellEnd"/>
      <w:r>
        <w:t>. The pivotal and supportive studies have attempted to include patients with PKU across all age groups.</w:t>
      </w:r>
    </w:p>
    <w:p w14:paraId="48FED27B" w14:textId="451773F8" w:rsidR="00925700" w:rsidRPr="008F4C6C" w:rsidRDefault="00925700" w:rsidP="00925700">
      <w:r w:rsidRPr="008F4C6C">
        <w:t xml:space="preserve">It is noted that the data on efficacy and safety in subjects less than 2 years of age is deficient, as only a total of three subjects under 2 years old were recruited and none were included in the placebo-controlled arm. Additionally, participants who did not respond to </w:t>
      </w:r>
      <w:proofErr w:type="spellStart"/>
      <w:r w:rsidRPr="008F4C6C">
        <w:t>sepiapterin</w:t>
      </w:r>
      <w:proofErr w:type="spellEnd"/>
      <w:r w:rsidRPr="008F4C6C">
        <w:t xml:space="preserve"> in the responsiveness testing phase were not randomised. This raises potential issues regarding the generalisability of this enriched patient population who were </w:t>
      </w:r>
      <w:proofErr w:type="spellStart"/>
      <w:r w:rsidRPr="008F4C6C">
        <w:t>sepiapterin</w:t>
      </w:r>
      <w:proofErr w:type="spellEnd"/>
      <w:r w:rsidRPr="008F4C6C">
        <w:t xml:space="preserve"> responders. </w:t>
      </w:r>
      <w:r w:rsidR="00C200F1" w:rsidRPr="008F4C6C">
        <w:t>However,</w:t>
      </w:r>
      <w:r w:rsidRPr="008F4C6C">
        <w:t xml:space="preserve"> the </w:t>
      </w:r>
      <w:r w:rsidR="00DD1733">
        <w:t>Sponsor</w:t>
      </w:r>
      <w:r w:rsidR="00274478" w:rsidRPr="008F4C6C">
        <w:t xml:space="preserve"> has noted that </w:t>
      </w:r>
      <w:r w:rsidRPr="008F4C6C">
        <w:t xml:space="preserve">that some non-responders showed reduction in mean blood </w:t>
      </w:r>
      <w:proofErr w:type="spellStart"/>
      <w:r w:rsidRPr="008F4C6C">
        <w:t>Phe</w:t>
      </w:r>
      <w:proofErr w:type="spellEnd"/>
      <w:r w:rsidRPr="008F4C6C">
        <w:t xml:space="preserve"> levels &gt;15% in weeks three to four</w:t>
      </w:r>
      <w:r w:rsidR="00274478" w:rsidRPr="008F4C6C">
        <w:t>,</w:t>
      </w:r>
      <w:r w:rsidRPr="008F4C6C">
        <w:t xml:space="preserve"> so the effect may be delayed.</w:t>
      </w:r>
    </w:p>
    <w:p w14:paraId="38735A0D" w14:textId="5877DE18" w:rsidR="00925700" w:rsidRDefault="00925700" w:rsidP="00925700">
      <w:pPr>
        <w:pStyle w:val="Heading5"/>
      </w:pPr>
      <w:r>
        <w:t>Efficacy</w:t>
      </w:r>
    </w:p>
    <w:p w14:paraId="3C52805C" w14:textId="77777777" w:rsidR="00925700" w:rsidRDefault="00925700" w:rsidP="00925700">
      <w:r>
        <w:t xml:space="preserve">Data from the part 2 of </w:t>
      </w:r>
      <w:proofErr w:type="spellStart"/>
      <w:r>
        <w:t>PTC923</w:t>
      </w:r>
      <w:proofErr w:type="spellEnd"/>
      <w:r>
        <w:t xml:space="preserve">-MD-003-PKU showed a significant reduction in blood </w:t>
      </w:r>
      <w:proofErr w:type="spellStart"/>
      <w:r>
        <w:t>Phe</w:t>
      </w:r>
      <w:proofErr w:type="spellEnd"/>
      <w:r>
        <w:t xml:space="preserve"> levels after 6 weeks versus placebo in subjects aged over 2 years who responded to </w:t>
      </w:r>
      <w:proofErr w:type="spellStart"/>
      <w:r>
        <w:t>sepiapterin</w:t>
      </w:r>
      <w:proofErr w:type="spellEnd"/>
      <w:r>
        <w:t xml:space="preserve"> during the 2-week treatment period of part 1. The efficacy of </w:t>
      </w:r>
      <w:proofErr w:type="spellStart"/>
      <w:r>
        <w:t>sepiapterin</w:t>
      </w:r>
      <w:proofErr w:type="spellEnd"/>
      <w:r>
        <w:t xml:space="preserve"> was evident from the statistically significant differences between the LS mean (95% CI) change from baseline to Weeks 5 and 6 between the </w:t>
      </w:r>
      <w:proofErr w:type="spellStart"/>
      <w:r>
        <w:t>sepiapterin</w:t>
      </w:r>
      <w:proofErr w:type="spellEnd"/>
      <w:r>
        <w:t xml:space="preserve"> and placebo groups in favour of </w:t>
      </w:r>
      <w:proofErr w:type="spellStart"/>
      <w:r>
        <w:t>sepiapterin</w:t>
      </w:r>
      <w:proofErr w:type="spellEnd"/>
      <w:r>
        <w:t>.</w:t>
      </w:r>
    </w:p>
    <w:p w14:paraId="441328E1" w14:textId="77777777" w:rsidR="00925700" w:rsidRDefault="00925700" w:rsidP="00925700">
      <w:r>
        <w:t xml:space="preserve">It is also demonstrated that efficacy did not depend on baseline </w:t>
      </w:r>
      <w:proofErr w:type="spellStart"/>
      <w:r>
        <w:t>Phe</w:t>
      </w:r>
      <w:proofErr w:type="spellEnd"/>
      <w:r>
        <w:t xml:space="preserve"> concentration, and a small phase 2 supportive study demonstrated higher efficacy of </w:t>
      </w:r>
      <w:proofErr w:type="spellStart"/>
      <w:r>
        <w:t>sepiapterin</w:t>
      </w:r>
      <w:proofErr w:type="spellEnd"/>
      <w:r>
        <w:t xml:space="preserve"> over </w:t>
      </w:r>
      <w:proofErr w:type="spellStart"/>
      <w:r>
        <w:t>sapropterin</w:t>
      </w:r>
      <w:proofErr w:type="spellEnd"/>
      <w:r>
        <w:t>.</w:t>
      </w:r>
    </w:p>
    <w:p w14:paraId="5681B947" w14:textId="099015CA" w:rsidR="00925700" w:rsidRDefault="00925700" w:rsidP="00925700">
      <w:pPr>
        <w:pStyle w:val="Heading5"/>
      </w:pPr>
      <w:r>
        <w:t>Safety</w:t>
      </w:r>
    </w:p>
    <w:p w14:paraId="250A009F" w14:textId="49ADC31E" w:rsidR="00925700" w:rsidRPr="00925700" w:rsidRDefault="00925700" w:rsidP="00925700">
      <w:r>
        <w:t xml:space="preserve">The safety profile of </w:t>
      </w:r>
      <w:proofErr w:type="spellStart"/>
      <w:r>
        <w:t>sepiapterin</w:t>
      </w:r>
      <w:proofErr w:type="spellEnd"/>
      <w:r>
        <w:t xml:space="preserve"> is favourable, with no deaths or </w:t>
      </w:r>
      <w:proofErr w:type="spellStart"/>
      <w:r>
        <w:t>TEAEs</w:t>
      </w:r>
      <w:proofErr w:type="spellEnd"/>
      <w:r>
        <w:t xml:space="preserve"> related or possibly related to study treatment reported.</w:t>
      </w:r>
    </w:p>
    <w:p w14:paraId="318CFABC" w14:textId="1102D6E5" w:rsidR="00C22214" w:rsidRPr="00F73346" w:rsidRDefault="00C22214" w:rsidP="00C22214">
      <w:pPr>
        <w:pStyle w:val="Heading4"/>
      </w:pPr>
      <w:bookmarkStart w:id="56" w:name="_Toc98931936"/>
      <w:bookmarkStart w:id="57" w:name="_Toc215749782"/>
      <w:bookmarkStart w:id="58" w:name="_Toc247691532"/>
      <w:bookmarkStart w:id="59" w:name="_Toc314842516"/>
      <w:r w:rsidRPr="00F73346">
        <w:t xml:space="preserve">Advisory </w:t>
      </w:r>
      <w:r w:rsidR="005D1778">
        <w:t>c</w:t>
      </w:r>
      <w:r w:rsidRPr="00F73346">
        <w:t>ommittee considerations</w:t>
      </w:r>
      <w:bookmarkEnd w:id="56"/>
      <w:bookmarkEnd w:id="57"/>
    </w:p>
    <w:p w14:paraId="087BB9CB" w14:textId="42D95E9F" w:rsidR="00C22214" w:rsidRDefault="00C22214" w:rsidP="00C22214">
      <w:pPr>
        <w:rPr>
          <w:bCs/>
          <w:szCs w:val="22"/>
        </w:rPr>
      </w:pPr>
      <w:r w:rsidRPr="00BD5DBD">
        <w:rPr>
          <w:bCs/>
          <w:szCs w:val="22"/>
        </w:rPr>
        <w:t xml:space="preserve">The </w:t>
      </w:r>
      <w:hyperlink r:id="rId31" w:history="1">
        <w:r w:rsidRPr="00BD5DBD">
          <w:rPr>
            <w:rStyle w:val="Hyperlink"/>
            <w:szCs w:val="22"/>
          </w:rPr>
          <w:t>Advisory Committee on Medicines (ACM)</w:t>
        </w:r>
      </w:hyperlink>
      <w:r w:rsidRPr="00BD5DBD">
        <w:rPr>
          <w:szCs w:val="22"/>
        </w:rPr>
        <w:t>,</w:t>
      </w:r>
      <w:r w:rsidRPr="00BD5DBD">
        <w:rPr>
          <w:bCs/>
          <w:szCs w:val="22"/>
        </w:rPr>
        <w:t xml:space="preserve"> having considered the evaluations and the Delegate’s overview, as well as the </w:t>
      </w:r>
      <w:r w:rsidR="00DD1733">
        <w:rPr>
          <w:bCs/>
          <w:szCs w:val="22"/>
        </w:rPr>
        <w:t>Sponsor</w:t>
      </w:r>
      <w:r w:rsidRPr="00BD5DBD">
        <w:rPr>
          <w:bCs/>
          <w:szCs w:val="22"/>
        </w:rPr>
        <w:t xml:space="preserve">’s response to these documents, </w:t>
      </w:r>
      <w:r w:rsidR="002577FA" w:rsidRPr="002577FA">
        <w:rPr>
          <w:bCs/>
          <w:szCs w:val="22"/>
        </w:rPr>
        <w:t>advised the following in response to the Delegate’s specific request for advice</w:t>
      </w:r>
      <w:r w:rsidR="002577FA">
        <w:rPr>
          <w:bCs/>
          <w:szCs w:val="22"/>
        </w:rPr>
        <w:t>:</w:t>
      </w:r>
    </w:p>
    <w:p w14:paraId="6C16D2C0" w14:textId="381D05E7" w:rsidR="0017289B" w:rsidRPr="005D1778" w:rsidRDefault="0017289B" w:rsidP="005D1778">
      <w:pPr>
        <w:pStyle w:val="Numberbullet0"/>
        <w:numPr>
          <w:ilvl w:val="0"/>
          <w:numId w:val="15"/>
        </w:numPr>
        <w:rPr>
          <w:b/>
          <w:bCs/>
          <w:i/>
          <w:iCs/>
        </w:rPr>
      </w:pPr>
      <w:r w:rsidRPr="005D1778">
        <w:rPr>
          <w:b/>
          <w:bCs/>
          <w:i/>
          <w:iCs/>
        </w:rPr>
        <w:t xml:space="preserve">What is the committee’s views on the suitability of including patients under 2 years old for the indication of </w:t>
      </w:r>
      <w:proofErr w:type="spellStart"/>
      <w:r w:rsidRPr="005D1778">
        <w:rPr>
          <w:b/>
          <w:bCs/>
          <w:i/>
          <w:iCs/>
        </w:rPr>
        <w:t>sepiapterin</w:t>
      </w:r>
      <w:proofErr w:type="spellEnd"/>
      <w:r w:rsidRPr="005D1778">
        <w:rPr>
          <w:b/>
          <w:bCs/>
          <w:i/>
          <w:iCs/>
        </w:rPr>
        <w:t>?</w:t>
      </w:r>
    </w:p>
    <w:p w14:paraId="429FFF2C" w14:textId="77777777" w:rsidR="0017289B" w:rsidRPr="0017289B" w:rsidRDefault="0017289B" w:rsidP="005D1778">
      <w:r w:rsidRPr="0017289B">
        <w:t>The ACM recommended limiting the indication to the treatment of hyperphenylalaninemia in paediatric patients aged two years and older, as well as adults with phenylketonuria (PKU). This advice was based on the limited efficacy and safety data available for children under two years, as only two subjects were enrolled in Part I of the pivotal Phase III study (</w:t>
      </w:r>
      <w:proofErr w:type="spellStart"/>
      <w:r w:rsidRPr="0017289B">
        <w:t>PTC923</w:t>
      </w:r>
      <w:proofErr w:type="spellEnd"/>
      <w:r w:rsidRPr="0017289B">
        <w:t>-MD-003-</w:t>
      </w:r>
      <w:r w:rsidRPr="0017289B">
        <w:lastRenderedPageBreak/>
        <w:t xml:space="preserve">PKU). However, patients aged less than 2 years were enrolled in the open label study, </w:t>
      </w:r>
      <w:proofErr w:type="spellStart"/>
      <w:r w:rsidRPr="0017289B">
        <w:t>PTC923MD</w:t>
      </w:r>
      <w:proofErr w:type="spellEnd"/>
      <w:r w:rsidRPr="0017289B">
        <w:t>-004-PKU. The ACM noted that there is usually higher compliance with dietary control for patients under 2 years of age.</w:t>
      </w:r>
    </w:p>
    <w:p w14:paraId="0F0D094A" w14:textId="592E8662" w:rsidR="0017289B" w:rsidRPr="005D1778" w:rsidRDefault="0017289B" w:rsidP="005D1778">
      <w:pPr>
        <w:pStyle w:val="Numberbullet0"/>
        <w:rPr>
          <w:b/>
          <w:bCs/>
          <w:i/>
          <w:iCs/>
        </w:rPr>
      </w:pPr>
      <w:r w:rsidRPr="005D1778">
        <w:rPr>
          <w:b/>
          <w:bCs/>
          <w:i/>
          <w:iCs/>
        </w:rPr>
        <w:t xml:space="preserve">What </w:t>
      </w:r>
      <w:proofErr w:type="gramStart"/>
      <w:r w:rsidRPr="005D1778">
        <w:rPr>
          <w:b/>
          <w:bCs/>
          <w:i/>
          <w:iCs/>
        </w:rPr>
        <w:t>is</w:t>
      </w:r>
      <w:proofErr w:type="gramEnd"/>
      <w:r w:rsidRPr="005D1778">
        <w:rPr>
          <w:b/>
          <w:bCs/>
          <w:i/>
          <w:iCs/>
        </w:rPr>
        <w:t xml:space="preserve"> the ACM’s views regarding the indication inclusive of all patients with PKU, whether known to be responders or non-responders to </w:t>
      </w:r>
      <w:proofErr w:type="spellStart"/>
      <w:r w:rsidRPr="005D1778">
        <w:rPr>
          <w:b/>
          <w:bCs/>
          <w:i/>
          <w:iCs/>
        </w:rPr>
        <w:t>sepiapterin</w:t>
      </w:r>
      <w:proofErr w:type="spellEnd"/>
      <w:r w:rsidRPr="005D1778">
        <w:rPr>
          <w:b/>
          <w:bCs/>
          <w:i/>
          <w:iCs/>
        </w:rPr>
        <w:t>?</w:t>
      </w:r>
    </w:p>
    <w:p w14:paraId="022A083F" w14:textId="77777777" w:rsidR="0017289B" w:rsidRPr="0017289B" w:rsidRDefault="0017289B" w:rsidP="0017289B">
      <w:pPr>
        <w:rPr>
          <w:bCs/>
          <w:szCs w:val="22"/>
        </w:rPr>
      </w:pPr>
      <w:r w:rsidRPr="0017289B">
        <w:rPr>
          <w:bCs/>
          <w:szCs w:val="22"/>
        </w:rPr>
        <w:t>The ACM agreed that patients should undergo responsiveness testing to ensure they receive meaningful clinical benefits.</w:t>
      </w:r>
    </w:p>
    <w:p w14:paraId="218AFA62" w14:textId="77777777" w:rsidR="0017289B" w:rsidRPr="0017289B" w:rsidRDefault="0017289B" w:rsidP="0017289B">
      <w:pPr>
        <w:rPr>
          <w:bCs/>
          <w:szCs w:val="22"/>
        </w:rPr>
      </w:pPr>
      <w:r w:rsidRPr="0017289B">
        <w:rPr>
          <w:bCs/>
          <w:szCs w:val="22"/>
        </w:rPr>
        <w:t xml:space="preserve">The ACM noted that the most severe form is classic PKU while less severe forms include mild and moderate PKU. Approximately 80% of Australian PKU patients have classic PKU. This patient group was a minority (35 of 156 patients) in study </w:t>
      </w:r>
      <w:proofErr w:type="spellStart"/>
      <w:r w:rsidRPr="0017289B">
        <w:rPr>
          <w:bCs/>
          <w:szCs w:val="22"/>
        </w:rPr>
        <w:t>PTC923</w:t>
      </w:r>
      <w:proofErr w:type="spellEnd"/>
      <w:r w:rsidRPr="0017289B">
        <w:rPr>
          <w:bCs/>
          <w:szCs w:val="22"/>
        </w:rPr>
        <w:t>- MD-003-PKU, and only 46% of this cohort demonstrated a &gt;30% response.</w:t>
      </w:r>
    </w:p>
    <w:p w14:paraId="6BB43C7F" w14:textId="77777777" w:rsidR="0017289B" w:rsidRPr="0017289B" w:rsidRDefault="0017289B" w:rsidP="0017289B">
      <w:pPr>
        <w:rPr>
          <w:bCs/>
          <w:szCs w:val="22"/>
        </w:rPr>
      </w:pPr>
      <w:r w:rsidRPr="0017289B">
        <w:rPr>
          <w:bCs/>
          <w:szCs w:val="22"/>
        </w:rPr>
        <w:t>For unresponsive individuals, continued exposure presents unnecessary risks without therapeutic advantage. The ACM acknowledged that PKU is genetically heterogenous with over 1000 genetic variants with varying degrees of residual enzyme activity.</w:t>
      </w:r>
    </w:p>
    <w:p w14:paraId="7C81BC22" w14:textId="77777777" w:rsidR="0017289B" w:rsidRPr="0017289B" w:rsidRDefault="0017289B" w:rsidP="0017289B">
      <w:pPr>
        <w:rPr>
          <w:bCs/>
          <w:szCs w:val="22"/>
        </w:rPr>
      </w:pPr>
      <w:r w:rsidRPr="0017289B">
        <w:rPr>
          <w:bCs/>
          <w:szCs w:val="22"/>
        </w:rPr>
        <w:t>Therefore, this approach aligns with current clinical practice, reinforcing existing treatment protocols.</w:t>
      </w:r>
    </w:p>
    <w:p w14:paraId="181B690D" w14:textId="13A73D3E" w:rsidR="0017289B" w:rsidRPr="005D1778" w:rsidRDefault="0017289B" w:rsidP="005D1778">
      <w:pPr>
        <w:pStyle w:val="Numberbullet0"/>
        <w:rPr>
          <w:b/>
          <w:bCs/>
          <w:i/>
          <w:iCs/>
        </w:rPr>
      </w:pPr>
      <w:r w:rsidRPr="005D1778">
        <w:rPr>
          <w:b/>
          <w:bCs/>
          <w:i/>
          <w:iCs/>
        </w:rPr>
        <w:t>Should the PI include specification of testing for drug responsiveness and discontinuation guidance, or should this be left to the discretion of the treating physician?</w:t>
      </w:r>
    </w:p>
    <w:p w14:paraId="63019ACC" w14:textId="6E99E592" w:rsidR="0017289B" w:rsidRDefault="0017289B" w:rsidP="0017289B">
      <w:pPr>
        <w:rPr>
          <w:bCs/>
          <w:szCs w:val="22"/>
        </w:rPr>
      </w:pPr>
      <w:r w:rsidRPr="0017289B">
        <w:rPr>
          <w:bCs/>
          <w:szCs w:val="22"/>
        </w:rPr>
        <w:t>The ACM agreed that the PI should include specifications for drug responsiveness testing and guidance on treatment discontinuation to standardise the national approach and ensure equitable access for patients across all clinical settings.</w:t>
      </w:r>
    </w:p>
    <w:p w14:paraId="5291EA2A" w14:textId="11E53B4F" w:rsidR="00C22214" w:rsidRDefault="008D56CA" w:rsidP="00C22214">
      <w:pPr>
        <w:pStyle w:val="Heading5"/>
      </w:pPr>
      <w:r>
        <w:t>A</w:t>
      </w:r>
      <w:r w:rsidR="004A45D4">
        <w:t>dvisory committee c</w:t>
      </w:r>
      <w:r w:rsidR="00C22214" w:rsidRPr="00F73346">
        <w:t>onclusion</w:t>
      </w:r>
    </w:p>
    <w:p w14:paraId="5E649C7D" w14:textId="77777777" w:rsidR="00B60FDF" w:rsidRDefault="00B60FDF" w:rsidP="00B60FDF">
      <w:r>
        <w:t>The ACM considered this product to have an overall positive benefit-risk profile with modifications to the wording of the indication:</w:t>
      </w:r>
    </w:p>
    <w:p w14:paraId="3D283967" w14:textId="54D46032" w:rsidR="00B60FDF" w:rsidRPr="005D1778" w:rsidRDefault="00B60FDF" w:rsidP="005D1778">
      <w:pPr>
        <w:ind w:left="720"/>
        <w:rPr>
          <w:i/>
          <w:iCs/>
        </w:rPr>
      </w:pPr>
      <w:proofErr w:type="spellStart"/>
      <w:r w:rsidRPr="005D1778">
        <w:rPr>
          <w:i/>
          <w:iCs/>
        </w:rPr>
        <w:t>SEPHIENCE</w:t>
      </w:r>
      <w:proofErr w:type="spellEnd"/>
      <w:r w:rsidRPr="005D1778">
        <w:rPr>
          <w:i/>
          <w:iCs/>
        </w:rPr>
        <w:t xml:space="preserve"> is indicated for the treatment of </w:t>
      </w:r>
      <w:proofErr w:type="spellStart"/>
      <w:r w:rsidRPr="005D1778">
        <w:rPr>
          <w:i/>
          <w:iCs/>
        </w:rPr>
        <w:t>hyperphenylalaninaemia</w:t>
      </w:r>
      <w:proofErr w:type="spellEnd"/>
      <w:r w:rsidRPr="005D1778">
        <w:rPr>
          <w:i/>
          <w:iCs/>
        </w:rPr>
        <w:t xml:space="preserve"> (</w:t>
      </w:r>
      <w:proofErr w:type="spellStart"/>
      <w:r w:rsidRPr="005D1778">
        <w:rPr>
          <w:i/>
          <w:iCs/>
        </w:rPr>
        <w:t>HPA</w:t>
      </w:r>
      <w:proofErr w:type="spellEnd"/>
      <w:r w:rsidRPr="005D1778">
        <w:rPr>
          <w:i/>
          <w:iCs/>
        </w:rPr>
        <w:t xml:space="preserve">) in paediatric patients 2 years and older and adult patients with phenylketonuria (PKU) who are proven to be responsive to </w:t>
      </w:r>
      <w:proofErr w:type="spellStart"/>
      <w:r w:rsidRPr="005D1778">
        <w:rPr>
          <w:i/>
          <w:iCs/>
        </w:rPr>
        <w:t>SEPHIENCE</w:t>
      </w:r>
      <w:proofErr w:type="spellEnd"/>
      <w:r w:rsidRPr="005D1778">
        <w:rPr>
          <w:i/>
          <w:iCs/>
        </w:rPr>
        <w:t>.</w:t>
      </w:r>
    </w:p>
    <w:p w14:paraId="307F236C" w14:textId="21274EF8" w:rsidR="00C22214" w:rsidRPr="002E238E" w:rsidRDefault="0046285C" w:rsidP="00C22214">
      <w:pPr>
        <w:pStyle w:val="Heading2"/>
      </w:pPr>
      <w:bookmarkStart w:id="60" w:name="_Toc103679300"/>
      <w:bookmarkStart w:id="61" w:name="_Toc215749783"/>
      <w:r>
        <w:t>Assessment</w:t>
      </w:r>
      <w:r w:rsidR="00190853">
        <w:t xml:space="preserve"> </w:t>
      </w:r>
      <w:r>
        <w:t>o</w:t>
      </w:r>
      <w:r w:rsidR="00C22214">
        <w:t>utcome</w:t>
      </w:r>
      <w:bookmarkEnd w:id="58"/>
      <w:bookmarkEnd w:id="59"/>
      <w:bookmarkEnd w:id="60"/>
      <w:bookmarkEnd w:id="61"/>
    </w:p>
    <w:p w14:paraId="4EF22939" w14:textId="427BD049" w:rsidR="00C22214" w:rsidRDefault="00C22214" w:rsidP="0006104E">
      <w:r w:rsidRPr="0017005C">
        <w:t xml:space="preserve">Based on a review of quality, safety, and efficacy, the TGA </w:t>
      </w:r>
      <w:r w:rsidR="00B46DFB">
        <w:t>decided to</w:t>
      </w:r>
      <w:r w:rsidRPr="0017005C">
        <w:t xml:space="preserve"> regist</w:t>
      </w:r>
      <w:r w:rsidR="00B46DFB">
        <w:t>er</w:t>
      </w:r>
      <w:r w:rsidRPr="0017005C">
        <w:t xml:space="preserve"> </w:t>
      </w:r>
      <w:proofErr w:type="spellStart"/>
      <w:r w:rsidR="00AB34B6" w:rsidRPr="00AB34B6">
        <w:t>Sephience</w:t>
      </w:r>
      <w:proofErr w:type="spellEnd"/>
      <w:r w:rsidR="00AB34B6" w:rsidRPr="00AB34B6">
        <w:t xml:space="preserve"> </w:t>
      </w:r>
      <w:r w:rsidR="00AB34B6">
        <w:t>(</w:t>
      </w:r>
      <w:proofErr w:type="spellStart"/>
      <w:r w:rsidR="00AB34B6" w:rsidRPr="00AB34B6">
        <w:t>sepiapterin</w:t>
      </w:r>
      <w:proofErr w:type="spellEnd"/>
      <w:r w:rsidR="00AB34B6">
        <w:t>)</w:t>
      </w:r>
      <w:r w:rsidR="00AB34B6" w:rsidRPr="00AB34B6">
        <w:t xml:space="preserve"> </w:t>
      </w:r>
      <w:r w:rsidRPr="0017005C">
        <w:t xml:space="preserve">for the following </w:t>
      </w:r>
      <w:r w:rsidR="00AB34B6">
        <w:t>i</w:t>
      </w:r>
      <w:r w:rsidRPr="0017005C">
        <w:t>ndication</w:t>
      </w:r>
      <w:r w:rsidR="00AB34B6">
        <w:t>:</w:t>
      </w:r>
    </w:p>
    <w:p w14:paraId="1CD92273" w14:textId="564A36B0" w:rsidR="00B74715" w:rsidRPr="005D1778" w:rsidRDefault="00B74715" w:rsidP="005D1778">
      <w:pPr>
        <w:ind w:left="720"/>
        <w:rPr>
          <w:i/>
          <w:iCs/>
        </w:rPr>
      </w:pPr>
      <w:proofErr w:type="spellStart"/>
      <w:r w:rsidRPr="005D1778">
        <w:rPr>
          <w:i/>
          <w:iCs/>
        </w:rPr>
        <w:t>SEPHIENCE</w:t>
      </w:r>
      <w:proofErr w:type="spellEnd"/>
      <w:r w:rsidRPr="005D1778">
        <w:rPr>
          <w:i/>
          <w:iCs/>
        </w:rPr>
        <w:t xml:space="preserve"> is indicated for the treatment of </w:t>
      </w:r>
      <w:proofErr w:type="spellStart"/>
      <w:r w:rsidRPr="005D1778">
        <w:rPr>
          <w:i/>
          <w:iCs/>
        </w:rPr>
        <w:t>hyperphenylalaninaemia</w:t>
      </w:r>
      <w:proofErr w:type="spellEnd"/>
      <w:r w:rsidRPr="005D1778">
        <w:rPr>
          <w:i/>
          <w:iCs/>
        </w:rPr>
        <w:t xml:space="preserve"> (</w:t>
      </w:r>
      <w:proofErr w:type="spellStart"/>
      <w:r w:rsidRPr="005D1778">
        <w:rPr>
          <w:i/>
          <w:iCs/>
        </w:rPr>
        <w:t>HPA</w:t>
      </w:r>
      <w:proofErr w:type="spellEnd"/>
      <w:r w:rsidRPr="005D1778">
        <w:rPr>
          <w:i/>
          <w:iCs/>
        </w:rPr>
        <w:t>) in adult and paediatric patients with phenylketonuria (PKU).</w:t>
      </w:r>
    </w:p>
    <w:p w14:paraId="0D732DA4" w14:textId="69F06422" w:rsidR="00854D98" w:rsidRDefault="00854D98" w:rsidP="009B6D9A">
      <w:pPr>
        <w:pStyle w:val="Heading4"/>
      </w:pPr>
      <w:bookmarkStart w:id="62" w:name="_Toc103679301"/>
      <w:bookmarkStart w:id="63" w:name="_Toc215749784"/>
      <w:r w:rsidRPr="00D23139">
        <w:t>Specific conditions of registration</w:t>
      </w:r>
      <w:bookmarkEnd w:id="62"/>
      <w:bookmarkEnd w:id="63"/>
    </w:p>
    <w:p w14:paraId="0C961B4E" w14:textId="13DD7E39" w:rsidR="00253E62" w:rsidRDefault="00253E62" w:rsidP="005D1778">
      <w:proofErr w:type="spellStart"/>
      <w:r>
        <w:t>Sephience</w:t>
      </w:r>
      <w:proofErr w:type="spellEnd"/>
      <w:r>
        <w:t xml:space="preserve"> (</w:t>
      </w:r>
      <w:proofErr w:type="spellStart"/>
      <w:r>
        <w:t>sepiapterin</w:t>
      </w:r>
      <w:proofErr w:type="spellEnd"/>
      <w:r>
        <w:t xml:space="preserve">) is to be included in the Black Triangle Scheme. The PI and CMI for </w:t>
      </w:r>
      <w:proofErr w:type="spellStart"/>
      <w:r>
        <w:t>Sephience</w:t>
      </w:r>
      <w:proofErr w:type="spellEnd"/>
      <w:r>
        <w:t xml:space="preserve"> must include the black triangle symbol and mandatory accompanying text for five years, which starts from the date of first supply of the product.</w:t>
      </w:r>
    </w:p>
    <w:p w14:paraId="6BC05902" w14:textId="18BD9ECF" w:rsidR="00253E62" w:rsidRDefault="00253E62" w:rsidP="005D1778">
      <w:r>
        <w:t xml:space="preserve">The </w:t>
      </w:r>
      <w:proofErr w:type="spellStart"/>
      <w:r>
        <w:t>Sephience</w:t>
      </w:r>
      <w:proofErr w:type="spellEnd"/>
      <w:r>
        <w:t xml:space="preserve"> EU-Risk Management Plan (RMP) (version 0.2, dated 11 December 2024; DLP 2 September 2024), with Australia-Specific Annex (ASA) (version 0.2, dated 5 February 2025), included with submission PM-2024-02536-1-3, and any subsequent revisions, as agreed with the TGA will be implemented in Australia.</w:t>
      </w:r>
    </w:p>
    <w:p w14:paraId="4D238229" w14:textId="218F618C" w:rsidR="00253E62" w:rsidRDefault="00253E62" w:rsidP="00253E62">
      <w:r>
        <w:lastRenderedPageBreak/>
        <w:t>An obligatory component of risk management plans is routine pharmacovigilance. Routine pharmacovigilance includes the submission of periodic safety update reports (</w:t>
      </w:r>
      <w:proofErr w:type="spellStart"/>
      <w:r>
        <w:t>PSURs</w:t>
      </w:r>
      <w:proofErr w:type="spellEnd"/>
      <w:r>
        <w:t>).</w:t>
      </w:r>
    </w:p>
    <w:p w14:paraId="7E39DFBF" w14:textId="0069A150" w:rsidR="00253E62" w:rsidRDefault="00253E62" w:rsidP="00253E62">
      <w:r>
        <w:t xml:space="preserve">Unless agreed separately between the supplier who is the recipient of the approval and the TGA, the first report must be submitted to TGA no later than 15 calendar months after the date of this approval letter. The subsequent reports must be submitted no less frequently than annually from the date of the first submitted report until the period covered by such reports is not less than three years from the date of this approval letter. The annual submission may be made up of two </w:t>
      </w:r>
      <w:proofErr w:type="spellStart"/>
      <w:r>
        <w:t>PSURs</w:t>
      </w:r>
      <w:proofErr w:type="spellEnd"/>
      <w:r>
        <w:t xml:space="preserve"> each covering six months. If the </w:t>
      </w:r>
      <w:r w:rsidR="00DD1733">
        <w:t>Sponsor</w:t>
      </w:r>
      <w:r>
        <w:t xml:space="preserve"> wishes, the </w:t>
      </w:r>
      <w:r w:rsidR="00C200F1">
        <w:t>six-monthly</w:t>
      </w:r>
      <w:r>
        <w:t xml:space="preserve"> reports may be submitted separately as they become available.</w:t>
      </w:r>
    </w:p>
    <w:p w14:paraId="0D49AD62" w14:textId="77777777" w:rsidR="00253E62" w:rsidRDefault="00253E62" w:rsidP="00253E62">
      <w:r>
        <w:t>If the product is approved in the EU during the three years period, reports can be provided in line with the published list of EU reference dates no less frequently than annually from the date of the first submitted report until the period covered by such reports is not less than three years from the date of this approval letter.</w:t>
      </w:r>
    </w:p>
    <w:p w14:paraId="62572BC0" w14:textId="5E8D39FA" w:rsidR="009B6D9A" w:rsidRPr="009B6D9A" w:rsidRDefault="00253E62" w:rsidP="00253E62">
      <w:r>
        <w:t xml:space="preserve">The reports are to at least meet the requirements for </w:t>
      </w:r>
      <w:proofErr w:type="spellStart"/>
      <w:r>
        <w:t>PSURs</w:t>
      </w:r>
      <w:proofErr w:type="spellEnd"/>
      <w:r>
        <w:t xml:space="preserve"> as described in the European Medicines Agency’s Guideline on good pharmacovigilance practices (</w:t>
      </w:r>
      <w:proofErr w:type="spellStart"/>
      <w:r>
        <w:t>GVP</w:t>
      </w:r>
      <w:proofErr w:type="spellEnd"/>
      <w:r>
        <w:t xml:space="preserve">) Module VII-periodic safety update report (Rev 1), Part </w:t>
      </w:r>
      <w:proofErr w:type="spellStart"/>
      <w:r>
        <w:t>VII.B</w:t>
      </w:r>
      <w:proofErr w:type="spellEnd"/>
      <w:r>
        <w:t xml:space="preserve"> Structures and processes. Note that submission of a </w:t>
      </w:r>
      <w:proofErr w:type="spellStart"/>
      <w:r>
        <w:t>PSUR</w:t>
      </w:r>
      <w:proofErr w:type="spellEnd"/>
      <w:r>
        <w:t xml:space="preserve"> does not constitute an application to vary the registration. Each report must be submitted within ninety calendar days of the data lock point for that report.</w:t>
      </w:r>
    </w:p>
    <w:p w14:paraId="0F9C1952" w14:textId="5232FAAE" w:rsidR="00BA657C" w:rsidRPr="00BA657C" w:rsidRDefault="00BA657C" w:rsidP="005D1778">
      <w:pPr>
        <w:pStyle w:val="Heading3"/>
      </w:pPr>
      <w:bookmarkStart w:id="64" w:name="_Toc196738290"/>
      <w:bookmarkStart w:id="65" w:name="_Toc215749785"/>
      <w:r w:rsidRPr="00BA657C">
        <w:t>Product Information and Consumer Medicine Information</w:t>
      </w:r>
      <w:bookmarkEnd w:id="64"/>
      <w:bookmarkEnd w:id="65"/>
    </w:p>
    <w:p w14:paraId="11222186" w14:textId="1CA1D642" w:rsidR="004D0933" w:rsidRPr="005D1778" w:rsidRDefault="004D0933" w:rsidP="00675F81">
      <w:bookmarkStart w:id="66" w:name="_Hlk200021736"/>
      <w:r w:rsidRPr="004D0933">
        <w:t xml:space="preserve">For the most recent Product Information (PI) and Consumer Medicine Information (CMI), please refer to the TGA </w:t>
      </w:r>
      <w:hyperlink r:id="rId32" w:history="1">
        <w:r w:rsidRPr="004D0933">
          <w:rPr>
            <w:rStyle w:val="Hyperlink"/>
          </w:rPr>
          <w:t>PI/CMI search facility</w:t>
        </w:r>
        <w:r w:rsidRPr="005D1778">
          <w:t>.</w:t>
        </w:r>
      </w:hyperlink>
      <w:bookmarkEnd w:id="66"/>
    </w:p>
    <w:p w14:paraId="40740B65" w14:textId="5819D664" w:rsidR="00C22214" w:rsidRPr="008B4DA3" w:rsidRDefault="00C22214" w:rsidP="00C22214">
      <w:pPr>
        <w:autoSpaceDE w:val="0"/>
        <w:autoSpaceDN w:val="0"/>
        <w:adjustRightInd w:val="0"/>
        <w:spacing w:after="0"/>
      </w:pPr>
    </w:p>
    <w:p w14:paraId="53357BF3" w14:textId="276457B5" w:rsidR="00C22214" w:rsidRDefault="00C22214" w:rsidP="00C22214">
      <w:pPr>
        <w:rPr>
          <w:lang w:eastAsia="ja-JP"/>
        </w:rPr>
        <w:sectPr w:rsidR="00C22214" w:rsidSect="007452E8">
          <w:headerReference w:type="default" r:id="rId33"/>
          <w:footerReference w:type="default" r:id="rId34"/>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3"/>
          <w:bookmarkEnd w:id="4"/>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53CB9479" w:rsidR="00F02AEC" w:rsidRDefault="00F02AEC">
            <w:pPr>
              <w:pStyle w:val="Address"/>
              <w:jc w:val="center"/>
              <w:rPr>
                <w:sz w:val="22"/>
                <w:szCs w:val="22"/>
              </w:rPr>
            </w:pPr>
            <w:r w:rsidRPr="00215D48">
              <w:t xml:space="preserve">Email: </w:t>
            </w:r>
            <w:hyperlink r:id="rId35"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533D80F" w14:textId="1519D7A3" w:rsidR="00F02AEC" w:rsidRPr="00215D48" w:rsidRDefault="00F02AEC">
            <w:pPr>
              <w:pStyle w:val="Address"/>
              <w:jc w:val="center"/>
              <w:rPr>
                <w:rStyle w:val="Hyperlink"/>
                <w:b/>
                <w:color w:val="auto"/>
                <w:sz w:val="22"/>
              </w:rPr>
            </w:pPr>
            <w:hyperlink r:id="rId36" w:history="1">
              <w:r w:rsidRPr="00C4721A">
                <w:rPr>
                  <w:rStyle w:val="Hyperlink"/>
                  <w:b/>
                </w:rPr>
                <w:t>https://www.tga.gov.au</w:t>
              </w:r>
            </w:hyperlink>
          </w:p>
        </w:tc>
      </w:tr>
    </w:tbl>
    <w:p w14:paraId="788B80FD" w14:textId="77777777" w:rsidR="007452E8" w:rsidRDefault="007452E8"/>
    <w:sectPr w:rsidR="007452E8" w:rsidSect="007452E8">
      <w:headerReference w:type="first" r:id="rId37"/>
      <w:footerReference w:type="first" r:id="rId38"/>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6D1A0" w14:textId="77777777" w:rsidR="0056455D" w:rsidRDefault="0056455D" w:rsidP="00F02AEC">
      <w:pPr>
        <w:spacing w:after="0" w:line="240" w:lineRule="auto"/>
      </w:pPr>
      <w:r>
        <w:separator/>
      </w:r>
    </w:p>
  </w:endnote>
  <w:endnote w:type="continuationSeparator" w:id="0">
    <w:p w14:paraId="6486E51F" w14:textId="77777777" w:rsidR="0056455D" w:rsidRDefault="0056455D"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AE2D" w14:textId="0BDBD3E7" w:rsidR="00CD6D85" w:rsidRDefault="00CD6D85">
    <w:pPr>
      <w:pStyle w:val="Footer"/>
    </w:pPr>
    <w:r>
      <w:rPr>
        <w:noProof/>
      </w:rPr>
      <mc:AlternateContent>
        <mc:Choice Requires="wps">
          <w:drawing>
            <wp:anchor distT="0" distB="0" distL="0" distR="0" simplePos="0" relativeHeight="251658247" behindDoc="0" locked="0" layoutInCell="1" allowOverlap="1" wp14:anchorId="0B5CEC7C" wp14:editId="1BA0C35D">
              <wp:simplePos x="635" y="635"/>
              <wp:positionH relativeFrom="page">
                <wp:align>center</wp:align>
              </wp:positionH>
              <wp:positionV relativeFrom="page">
                <wp:align>bottom</wp:align>
              </wp:positionV>
              <wp:extent cx="551815" cy="391160"/>
              <wp:effectExtent l="0" t="0" r="635" b="0"/>
              <wp:wrapNone/>
              <wp:docPr id="143307455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BE62D56" w14:textId="6865F87B" w:rsidR="00CD6D85" w:rsidRPr="00CD6D85" w:rsidRDefault="00CD6D85" w:rsidP="00CD6D85">
                          <w:pPr>
                            <w:spacing w:after="0"/>
                            <w:rPr>
                              <w:rFonts w:ascii="Calibri" w:eastAsia="Calibri" w:hAnsi="Calibri" w:cs="Calibri"/>
                              <w:noProof/>
                              <w:color w:val="FF0000"/>
                              <w:sz w:val="24"/>
                              <w:szCs w:val="24"/>
                            </w:rPr>
                          </w:pPr>
                          <w:r w:rsidRPr="00CD6D8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5CEC7C" id="_x0000_t202" coordsize="21600,21600" o:spt="202" path="m,l,21600r21600,l21600,xe">
              <v:stroke joinstyle="miter"/>
              <v:path gradientshapeok="t" o:connecttype="rect"/>
            </v:shapetype>
            <v:shape id="Text Box 7" o:spid="_x0000_s1028" type="#_x0000_t202" alt="OFFICIAL" style="position:absolute;margin-left:0;margin-top:0;width:43.45pt;height:30.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1BE62D56" w14:textId="6865F87B" w:rsidR="00CD6D85" w:rsidRPr="00CD6D85" w:rsidRDefault="00CD6D85" w:rsidP="00CD6D85">
                    <w:pPr>
                      <w:spacing w:after="0"/>
                      <w:rPr>
                        <w:rFonts w:ascii="Calibri" w:eastAsia="Calibri" w:hAnsi="Calibri" w:cs="Calibri"/>
                        <w:noProof/>
                        <w:color w:val="FF0000"/>
                        <w:sz w:val="24"/>
                        <w:szCs w:val="24"/>
                      </w:rPr>
                    </w:pPr>
                    <w:r w:rsidRPr="00CD6D8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481D3761" w:rsidR="007452E8" w:rsidRDefault="00CD6D85" w:rsidP="007452E8">
          <w:pPr>
            <w:pStyle w:val="Footer"/>
          </w:pPr>
          <w:r>
            <w:rPr>
              <w:noProof/>
            </w:rPr>
            <mc:AlternateContent>
              <mc:Choice Requires="wps">
                <w:drawing>
                  <wp:anchor distT="0" distB="0" distL="0" distR="0" simplePos="0" relativeHeight="251658248" behindDoc="0" locked="0" layoutInCell="1" allowOverlap="1" wp14:anchorId="23E26559" wp14:editId="29B064FF">
                    <wp:simplePos x="635" y="635"/>
                    <wp:positionH relativeFrom="page">
                      <wp:align>center</wp:align>
                    </wp:positionH>
                    <wp:positionV relativeFrom="page">
                      <wp:align>bottom</wp:align>
                    </wp:positionV>
                    <wp:extent cx="551815" cy="391160"/>
                    <wp:effectExtent l="0" t="0" r="635" b="0"/>
                    <wp:wrapNone/>
                    <wp:docPr id="132795442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5945EEF" w14:textId="280AB2D8" w:rsidR="00CD6D85" w:rsidRPr="00CD6D85" w:rsidRDefault="00CD6D85" w:rsidP="00CD6D85">
                                <w:pPr>
                                  <w:spacing w:after="0"/>
                                  <w:rPr>
                                    <w:rFonts w:ascii="Calibri" w:eastAsia="Calibri" w:hAnsi="Calibri" w:cs="Calibri"/>
                                    <w:noProof/>
                                    <w:color w:val="FF0000"/>
                                    <w:sz w:val="24"/>
                                    <w:szCs w:val="24"/>
                                  </w:rPr>
                                </w:pPr>
                                <w:r w:rsidRPr="00CD6D8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E26559" id="_x0000_t202" coordsize="21600,21600" o:spt="202" path="m,l,21600r21600,l21600,xe">
                    <v:stroke joinstyle="miter"/>
                    <v:path gradientshapeok="t" o:connecttype="rect"/>
                  </v:shapetype>
                  <v:shape id="Text Box 8" o:spid="_x0000_s1029" type="#_x0000_t202" alt="OFFICIAL" style="position:absolute;margin-left:0;margin-top:0;width:43.45pt;height:30.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05945EEF" w14:textId="280AB2D8" w:rsidR="00CD6D85" w:rsidRPr="00CD6D85" w:rsidRDefault="00CD6D85" w:rsidP="00CD6D85">
                          <w:pPr>
                            <w:spacing w:after="0"/>
                            <w:rPr>
                              <w:rFonts w:ascii="Calibri" w:eastAsia="Calibri" w:hAnsi="Calibri" w:cs="Calibri"/>
                              <w:noProof/>
                              <w:color w:val="FF0000"/>
                              <w:sz w:val="24"/>
                              <w:szCs w:val="24"/>
                            </w:rPr>
                          </w:pPr>
                          <w:r w:rsidRPr="00CD6D85">
                            <w:rPr>
                              <w:rFonts w:ascii="Calibri" w:eastAsia="Calibri" w:hAnsi="Calibri" w:cs="Calibri"/>
                              <w:noProof/>
                              <w:color w:val="FF0000"/>
                              <w:sz w:val="24"/>
                              <w:szCs w:val="24"/>
                            </w:rPr>
                            <w:t>OFFICIAL</w:t>
                          </w:r>
                        </w:p>
                      </w:txbxContent>
                    </v:textbox>
                    <w10:wrap anchorx="page" anchory="page"/>
                  </v:shape>
                </w:pict>
              </mc:Fallback>
            </mc:AlternateContent>
          </w: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NUMPAGES</w:instrText>
              </w:r>
              <w:r>
                <w:fldChar w:fldCharType="separate"/>
              </w:r>
              <w:r>
                <w:rPr>
                  <w:noProof/>
                </w:rPr>
                <w:t>2</w:t>
              </w:r>
              <w: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proofErr w:type="spellStart"/>
          <w:r w:rsidRPr="00257138">
            <w:t>V1.0</w:t>
          </w:r>
          <w:proofErr w:type="spellEnd"/>
          <w:r w:rsidRPr="00257138">
            <w:t xml:space="preserve">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29C" w14:textId="7FC95298" w:rsidR="007452E8" w:rsidRDefault="00CD6D85" w:rsidP="007452E8">
    <w:pPr>
      <w:pStyle w:val="Footer"/>
      <w:ind w:left="-1701"/>
    </w:pPr>
    <w:r>
      <w:rPr>
        <w:noProof/>
      </w:rPr>
      <mc:AlternateContent>
        <mc:Choice Requires="wps">
          <w:drawing>
            <wp:anchor distT="0" distB="0" distL="0" distR="0" simplePos="0" relativeHeight="251658246" behindDoc="0" locked="0" layoutInCell="1" allowOverlap="1" wp14:anchorId="6972A068" wp14:editId="3DF7E3FD">
              <wp:simplePos x="914400" y="10114059"/>
              <wp:positionH relativeFrom="page">
                <wp:align>center</wp:align>
              </wp:positionH>
              <wp:positionV relativeFrom="page">
                <wp:align>bottom</wp:align>
              </wp:positionV>
              <wp:extent cx="551815" cy="391160"/>
              <wp:effectExtent l="0" t="0" r="635" b="0"/>
              <wp:wrapNone/>
              <wp:docPr id="9931045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4EF854D" w14:textId="03D9CDB1" w:rsidR="00CD6D85" w:rsidRPr="00CD6D85" w:rsidRDefault="00CD6D85" w:rsidP="00CD6D85">
                          <w:pPr>
                            <w:spacing w:after="0"/>
                            <w:rPr>
                              <w:rFonts w:ascii="Calibri" w:eastAsia="Calibri" w:hAnsi="Calibri" w:cs="Calibri"/>
                              <w:noProof/>
                              <w:color w:val="FF0000"/>
                              <w:sz w:val="24"/>
                              <w:szCs w:val="24"/>
                            </w:rPr>
                          </w:pPr>
                          <w:r w:rsidRPr="00CD6D8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72A068" id="_x0000_t202" coordsize="21600,21600" o:spt="202" path="m,l,21600r21600,l21600,xe">
              <v:stroke joinstyle="miter"/>
              <v:path gradientshapeok="t" o:connecttype="rect"/>
            </v:shapetype>
            <v:shape id="Text Box 6" o:spid="_x0000_s1031" type="#_x0000_t202" alt="OFFICIAL" style="position:absolute;left:0;text-align:left;margin-left:0;margin-top:0;width:43.45pt;height:30.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54EF854D" w14:textId="03D9CDB1" w:rsidR="00CD6D85" w:rsidRPr="00CD6D85" w:rsidRDefault="00CD6D85" w:rsidP="00CD6D85">
                    <w:pPr>
                      <w:spacing w:after="0"/>
                      <w:rPr>
                        <w:rFonts w:ascii="Calibri" w:eastAsia="Calibri" w:hAnsi="Calibri" w:cs="Calibri"/>
                        <w:noProof/>
                        <w:color w:val="FF0000"/>
                        <w:sz w:val="24"/>
                        <w:szCs w:val="24"/>
                      </w:rPr>
                    </w:pPr>
                    <w:r w:rsidRPr="00CD6D85">
                      <w:rPr>
                        <w:rFonts w:ascii="Calibri" w:eastAsia="Calibri" w:hAnsi="Calibri" w:cs="Calibri"/>
                        <w:noProof/>
                        <w:color w:val="FF0000"/>
                        <w:sz w:val="24"/>
                        <w:szCs w:val="24"/>
                      </w:rPr>
                      <w:t>OFFICIAL</w:t>
                    </w:r>
                  </w:p>
                </w:txbxContent>
              </v:textbox>
              <w10:wrap anchorx="page" anchory="page"/>
            </v:shape>
          </w:pict>
        </mc:Fallback>
      </mc:AlternateContent>
    </w:r>
    <w:r w:rsidR="007452E8"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3C421323" w14:textId="672C7ABB" w:rsidR="007452E8" w:rsidRPr="004540F9" w:rsidRDefault="007452E8" w:rsidP="007452E8">
          <w:pPr>
            <w:pStyle w:val="Footer"/>
          </w:pPr>
          <w:proofErr w:type="spellStart"/>
          <w:r w:rsidRPr="004540F9">
            <w:t>AusPAR</w:t>
          </w:r>
          <w:proofErr w:type="spellEnd"/>
          <w:r w:rsidRPr="004540F9">
            <w:t xml:space="preserve"> - </w:t>
          </w:r>
          <w:proofErr w:type="spellStart"/>
          <w:r w:rsidR="006B1E20" w:rsidRPr="004540F9">
            <w:t>Sephience</w:t>
          </w:r>
          <w:proofErr w:type="spellEnd"/>
          <w:r w:rsidR="006B1E20" w:rsidRPr="004540F9">
            <w:t xml:space="preserve"> </w:t>
          </w:r>
          <w:r w:rsidRPr="004540F9">
            <w:t xml:space="preserve">- </w:t>
          </w:r>
          <w:proofErr w:type="spellStart"/>
          <w:r w:rsidR="006B1E20" w:rsidRPr="004540F9">
            <w:t>sepiapterin</w:t>
          </w:r>
          <w:proofErr w:type="spellEnd"/>
          <w:r w:rsidRPr="004540F9">
            <w:t xml:space="preserve"> </w:t>
          </w:r>
          <w:r w:rsidR="008C754C" w:rsidRPr="004540F9">
            <w:t>-</w:t>
          </w:r>
          <w:r w:rsidRPr="004540F9">
            <w:t xml:space="preserve"> </w:t>
          </w:r>
          <w:r w:rsidR="006B1E20" w:rsidRPr="004540F9">
            <w:t xml:space="preserve">PTC Therapeutics Australia Pty Limited </w:t>
          </w:r>
          <w:r w:rsidRPr="004540F9">
            <w:t xml:space="preserve">- </w:t>
          </w:r>
          <w:r w:rsidR="00B50298" w:rsidRPr="004540F9">
            <w:t>PM-2024-02536-1-3</w:t>
          </w:r>
          <w:r w:rsidRPr="004540F9">
            <w:br/>
            <w:t>Date of Finalisation</w:t>
          </w:r>
          <w:r w:rsidR="004540F9" w:rsidRPr="004540F9">
            <w:t>: 19 November 2025</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fldChar w:fldCharType="begin"/>
              </w:r>
              <w:r>
                <w:instrText>NUMPAGES</w:instrText>
              </w:r>
              <w:r>
                <w:fldChar w:fldCharType="separate"/>
              </w:r>
              <w:r w:rsidR="006D6B44">
                <w:rPr>
                  <w:noProof/>
                </w:rPr>
                <w:t>17</w:t>
              </w:r>
              <w: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F70A" w14:textId="165BFF15" w:rsidR="007452E8" w:rsidRPr="008E3C43" w:rsidRDefault="00CD6D85" w:rsidP="007452E8">
    <w:pPr>
      <w:pStyle w:val="Footer"/>
    </w:pPr>
    <w:r>
      <w:rPr>
        <w:noProof/>
      </w:rPr>
      <mc:AlternateContent>
        <mc:Choice Requires="wps">
          <w:drawing>
            <wp:anchor distT="0" distB="0" distL="0" distR="0" simplePos="0" relativeHeight="251658250" behindDoc="0" locked="0" layoutInCell="1" allowOverlap="1" wp14:anchorId="625579C8" wp14:editId="0F65CBE1">
              <wp:simplePos x="635" y="635"/>
              <wp:positionH relativeFrom="page">
                <wp:align>center</wp:align>
              </wp:positionH>
              <wp:positionV relativeFrom="page">
                <wp:align>bottom</wp:align>
              </wp:positionV>
              <wp:extent cx="551815" cy="391160"/>
              <wp:effectExtent l="0" t="0" r="635" b="0"/>
              <wp:wrapNone/>
              <wp:docPr id="23224724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2D109D8" w14:textId="18736961" w:rsidR="00CD6D85" w:rsidRPr="00CD6D85" w:rsidRDefault="00CD6D85" w:rsidP="00CD6D85">
                          <w:pPr>
                            <w:spacing w:after="0"/>
                            <w:rPr>
                              <w:rFonts w:ascii="Calibri" w:eastAsia="Calibri" w:hAnsi="Calibri" w:cs="Calibri"/>
                              <w:noProof/>
                              <w:color w:val="FF0000"/>
                              <w:sz w:val="24"/>
                              <w:szCs w:val="24"/>
                            </w:rPr>
                          </w:pPr>
                          <w:r w:rsidRPr="00CD6D8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5579C8" id="_x0000_t202" coordsize="21600,21600" o:spt="202" path="m,l,21600r21600,l21600,xe">
              <v:stroke joinstyle="miter"/>
              <v:path gradientshapeok="t" o:connecttype="rect"/>
            </v:shapetype>
            <v:shape id="Text Box 10" o:spid="_x0000_s1034" type="#_x0000_t202" alt="OFFICIAL" style="position:absolute;margin-left:0;margin-top:0;width:43.45pt;height:30.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CBGdI4DgIAABwE&#10;AAAOAAAAAAAAAAAAAAAAAC4CAABkcnMvZTJvRG9jLnhtbFBLAQItABQABgAIAAAAIQDLo44Q2gAA&#10;AAMBAAAPAAAAAAAAAAAAAAAAAGgEAABkcnMvZG93bnJldi54bWxQSwUGAAAAAAQABADzAAAAbwUA&#10;AAAA&#10;" filled="f" stroked="f">
              <v:textbox style="mso-fit-shape-to-text:t" inset="0,0,0,15pt">
                <w:txbxContent>
                  <w:p w14:paraId="32D109D8" w14:textId="18736961" w:rsidR="00CD6D85" w:rsidRPr="00CD6D85" w:rsidRDefault="00CD6D85" w:rsidP="00CD6D85">
                    <w:pPr>
                      <w:spacing w:after="0"/>
                      <w:rPr>
                        <w:rFonts w:ascii="Calibri" w:eastAsia="Calibri" w:hAnsi="Calibri" w:cs="Calibri"/>
                        <w:noProof/>
                        <w:color w:val="FF0000"/>
                        <w:sz w:val="24"/>
                        <w:szCs w:val="24"/>
                      </w:rPr>
                    </w:pPr>
                    <w:r w:rsidRPr="00CD6D85">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996A" w14:textId="77777777" w:rsidR="0056455D" w:rsidRDefault="0056455D" w:rsidP="00F02AEC">
      <w:pPr>
        <w:spacing w:after="0" w:line="240" w:lineRule="auto"/>
      </w:pPr>
      <w:r>
        <w:separator/>
      </w:r>
    </w:p>
  </w:footnote>
  <w:footnote w:type="continuationSeparator" w:id="0">
    <w:p w14:paraId="6E375C0B" w14:textId="77777777" w:rsidR="0056455D" w:rsidRDefault="0056455D" w:rsidP="00F02AEC">
      <w:pPr>
        <w:spacing w:after="0" w:line="240" w:lineRule="auto"/>
      </w:pPr>
      <w:r>
        <w:continuationSeparator/>
      </w:r>
    </w:p>
  </w:footnote>
  <w:footnote w:id="1">
    <w:p w14:paraId="68402A9B" w14:textId="0C088D2C" w:rsidR="007452E8" w:rsidRPr="00A93DC6" w:rsidRDefault="007452E8">
      <w:pPr>
        <w:pStyle w:val="FootnoteText"/>
        <w:rPr>
          <w:lang w:val="en-GB"/>
        </w:rPr>
      </w:pPr>
      <w:r>
        <w:rPr>
          <w:rStyle w:val="FootnoteReference"/>
        </w:rPr>
        <w:footnoteRef/>
      </w:r>
      <w:r>
        <w:t xml:space="preserve"> </w:t>
      </w:r>
      <w:r w:rsidR="00FB236E">
        <w:t xml:space="preserve">This is the original indication proposed by the </w:t>
      </w:r>
      <w:r w:rsidR="00DD1733">
        <w:t>Sponsor</w:t>
      </w:r>
      <w:r w:rsidR="00FB236E">
        <w:rPr>
          <w:lang w:val="en-GB"/>
        </w:rPr>
        <w:t xml:space="preserve"> when the TGA commenced the evaluation of this submission. It </w:t>
      </w:r>
      <w:r w:rsidRPr="007452E8">
        <w:rPr>
          <w:lang w:val="en-GB"/>
        </w:rPr>
        <w:t xml:space="preserve">may </w:t>
      </w:r>
      <w:r w:rsidR="00FB236E">
        <w:rPr>
          <w:lang w:val="en-GB"/>
        </w:rPr>
        <w:t>differ</w:t>
      </w:r>
      <w:r w:rsidRPr="007452E8">
        <w:rPr>
          <w:lang w:val="en-GB"/>
        </w:rPr>
        <w:t xml:space="preserve"> to the final indication approved by th</w:t>
      </w:r>
      <w:r w:rsidR="00FB236E">
        <w:rPr>
          <w:lang w:val="en-GB"/>
        </w:rPr>
        <w:t xml:space="preserve">e TGA and registered </w:t>
      </w:r>
      <w:r w:rsidR="005C4B46">
        <w:rPr>
          <w:lang w:val="en-GB"/>
        </w:rPr>
        <w:t xml:space="preserve">in </w:t>
      </w:r>
      <w:r w:rsidR="00FB236E">
        <w:rPr>
          <w:lang w:val="en-GB"/>
        </w:rPr>
        <w:t>the Australian Register of Therapeutic Goods.</w:t>
      </w:r>
    </w:p>
  </w:footnote>
  <w:footnote w:id="2">
    <w:p w14:paraId="14C8872D" w14:textId="0E4EC7B1" w:rsidR="00A76D5E" w:rsidRDefault="00A76D5E">
      <w:pPr>
        <w:pStyle w:val="FootnoteText"/>
      </w:pPr>
      <w:r>
        <w:rPr>
          <w:rStyle w:val="FootnoteReference"/>
        </w:rPr>
        <w:footnoteRef/>
      </w:r>
      <w:r w:rsidRPr="004540F9">
        <w:rPr>
          <w:lang w:val="pt-PT"/>
        </w:rPr>
        <w:t xml:space="preserve"> OMIM. https://www.omim.org/entry/261600?search=phenylketonuria&amp;highlight=phenylketonuria. </w:t>
      </w:r>
      <w:r w:rsidRPr="00A76D5E">
        <w:t>Accessed 20th October 2024.</w:t>
      </w:r>
    </w:p>
  </w:footnote>
  <w:footnote w:id="3">
    <w:p w14:paraId="54CF029E" w14:textId="7ACAAAAB" w:rsidR="00A03F0A" w:rsidRPr="004540F9" w:rsidRDefault="00A03F0A">
      <w:pPr>
        <w:pStyle w:val="FootnoteText"/>
        <w:rPr>
          <w:lang w:val="it-IT"/>
        </w:rPr>
      </w:pPr>
      <w:r>
        <w:rPr>
          <w:rStyle w:val="FootnoteReference"/>
        </w:rPr>
        <w:footnoteRef/>
      </w:r>
      <w:r>
        <w:t xml:space="preserve"> </w:t>
      </w:r>
      <w:r w:rsidRPr="00A03F0A">
        <w:t>Human Genetics Society of Australasia (HGSA).</w:t>
      </w:r>
      <w:r w:rsidR="00E96D0F">
        <w:t xml:space="preserve"> </w:t>
      </w:r>
      <w:r w:rsidR="00E96D0F" w:rsidRPr="00E96D0F">
        <w:t xml:space="preserve">The PKU Handbook. </w:t>
      </w:r>
      <w:r w:rsidR="00E96D0F" w:rsidRPr="004540F9">
        <w:rPr>
          <w:lang w:val="it-IT"/>
        </w:rPr>
        <w:t>2020.</w:t>
      </w:r>
    </w:p>
  </w:footnote>
  <w:footnote w:id="4">
    <w:p w14:paraId="4F8B7B6A" w14:textId="56D65645" w:rsidR="00CE1896" w:rsidRDefault="00CE1896">
      <w:pPr>
        <w:pStyle w:val="FootnoteText"/>
      </w:pPr>
      <w:r>
        <w:rPr>
          <w:rStyle w:val="FootnoteReference"/>
        </w:rPr>
        <w:footnoteRef/>
      </w:r>
      <w:r w:rsidRPr="004540F9">
        <w:rPr>
          <w:lang w:val="it-IT"/>
        </w:rPr>
        <w:t xml:space="preserve"> Hillert A, Anikster Y, Belanger-Quintana A, Burlina A, Burton BK, Carducci C, et al. </w:t>
      </w:r>
      <w:r w:rsidRPr="00CE1896">
        <w:t>The Genetic Landscape and Epidemiology of Phenylketonuria. Am J Hum Genet. 2020 Aug 6;107(2):234-250.</w:t>
      </w:r>
    </w:p>
  </w:footnote>
  <w:footnote w:id="5">
    <w:p w14:paraId="7420374C" w14:textId="0F5BAB63" w:rsidR="00CE1896" w:rsidRDefault="00CE1896">
      <w:pPr>
        <w:pStyle w:val="FootnoteText"/>
      </w:pPr>
      <w:r>
        <w:rPr>
          <w:rStyle w:val="FootnoteReference"/>
        </w:rPr>
        <w:footnoteRef/>
      </w:r>
      <w:r>
        <w:t xml:space="preserve"> </w:t>
      </w:r>
      <w:r w:rsidRPr="00CE1896">
        <w:t>Hillert A</w:t>
      </w:r>
      <w:r w:rsidR="003276B9">
        <w:t>, 2020.</w:t>
      </w:r>
    </w:p>
  </w:footnote>
  <w:footnote w:id="6">
    <w:p w14:paraId="3765C82D" w14:textId="68AF2D91" w:rsidR="003276B9" w:rsidRDefault="003276B9">
      <w:pPr>
        <w:pStyle w:val="FootnoteText"/>
      </w:pPr>
      <w:r>
        <w:rPr>
          <w:rStyle w:val="FootnoteReference"/>
        </w:rPr>
        <w:footnoteRef/>
      </w:r>
      <w:r>
        <w:t xml:space="preserve"> </w:t>
      </w:r>
      <w:r w:rsidRPr="003276B9">
        <w:t>HGSA 2020</w:t>
      </w:r>
    </w:p>
  </w:footnote>
  <w:footnote w:id="7">
    <w:p w14:paraId="6B47FF89" w14:textId="31DCE1F4" w:rsidR="006748F8" w:rsidRDefault="006748F8">
      <w:pPr>
        <w:pStyle w:val="FootnoteText"/>
      </w:pPr>
      <w:r>
        <w:rPr>
          <w:rStyle w:val="FootnoteReference"/>
        </w:rPr>
        <w:footnoteRef/>
      </w:r>
      <w:r>
        <w:t xml:space="preserve"> </w:t>
      </w:r>
      <w:r w:rsidRPr="006748F8">
        <w:t>Talebi S, Eshraghi P. Nutrition in Phenylketonuria. Clin Nutr ESPEN. 2024 Oct 18:S2405- 4577(24)01336-6. doi: 10.1016/j.clnesp.2024.09.032. Epub ahead of print. PMID: 39427751</w:t>
      </w:r>
    </w:p>
  </w:footnote>
  <w:footnote w:id="8">
    <w:p w14:paraId="0C04C3B6" w14:textId="39B4A42C" w:rsidR="0067734B" w:rsidRDefault="0067734B">
      <w:pPr>
        <w:pStyle w:val="FootnoteText"/>
      </w:pPr>
      <w:r>
        <w:rPr>
          <w:rStyle w:val="FootnoteReference"/>
        </w:rPr>
        <w:footnoteRef/>
      </w:r>
      <w:r>
        <w:t xml:space="preserve"> </w:t>
      </w:r>
      <w:r w:rsidR="00EF53B9" w:rsidRPr="00EF53B9">
        <w:t xml:space="preserve">MedlinePlus [Internet]. Bethesda (MD): National Library of Medicine (US); </w:t>
      </w:r>
      <w:r w:rsidR="00A86687" w:rsidRPr="00A86687">
        <w:t>Phenylketonuria</w:t>
      </w:r>
      <w:r w:rsidR="00336455">
        <w:t>;</w:t>
      </w:r>
      <w:r w:rsidR="00EF53B9" w:rsidRPr="00EF53B9">
        <w:t xml:space="preserve"> </w:t>
      </w:r>
      <w:r w:rsidR="00884A91" w:rsidRPr="00884A91">
        <w:t>[</w:t>
      </w:r>
      <w:r w:rsidR="00336455">
        <w:t xml:space="preserve">updated </w:t>
      </w:r>
      <w:r w:rsidR="00A04C5E" w:rsidRPr="00A04C5E">
        <w:t>April 25, 2023</w:t>
      </w:r>
      <w:r w:rsidR="00944280">
        <w:t>.</w:t>
      </w:r>
      <w:r w:rsidR="00884A91" w:rsidRPr="00884A91">
        <w:t xml:space="preserve"> </w:t>
      </w:r>
      <w:r w:rsidR="00EF53B9" w:rsidRPr="00EF53B9">
        <w:t xml:space="preserve">Available from: </w:t>
      </w:r>
      <w:hyperlink r:id="rId1" w:anchor="resources" w:history="1">
        <w:r w:rsidR="00944280" w:rsidRPr="00762707">
          <w:rPr>
            <w:rStyle w:val="Hyperlink"/>
          </w:rPr>
          <w:t>https://medlineplus.gov/genetics/condition/phenylketonuria/#resources</w:t>
        </w:r>
      </w:hyperlink>
      <w:r w:rsidR="00944280">
        <w:t xml:space="preserve">. </w:t>
      </w:r>
    </w:p>
  </w:footnote>
  <w:footnote w:id="9">
    <w:p w14:paraId="186C00BC" w14:textId="6B491198" w:rsidR="00E63CA1" w:rsidRDefault="00E63CA1">
      <w:pPr>
        <w:pStyle w:val="FootnoteText"/>
      </w:pPr>
      <w:r>
        <w:rPr>
          <w:rStyle w:val="FootnoteReference"/>
        </w:rPr>
        <w:footnoteRef/>
      </w:r>
      <w:r>
        <w:t xml:space="preserve"> </w:t>
      </w:r>
      <w:r w:rsidRPr="00E63CA1">
        <w:t>ICH Q3A (R2) Impurities in new drug substances - Scientific guideline</w:t>
      </w:r>
      <w:r>
        <w:t xml:space="preserve">. Available at </w:t>
      </w:r>
      <w:hyperlink r:id="rId2" w:history="1">
        <w:r w:rsidR="00D05DBA" w:rsidRPr="0035311B">
          <w:rPr>
            <w:rStyle w:val="Hyperlink"/>
          </w:rPr>
          <w:t>https://www.ema.europa.eu/en/ich-q3a-r2-impurities-new-drug-substances-scientific-guideline</w:t>
        </w:r>
      </w:hyperlink>
      <w:r w:rsidR="00D05DBA">
        <w:t xml:space="preserve"> </w:t>
      </w:r>
    </w:p>
  </w:footnote>
  <w:footnote w:id="10">
    <w:p w14:paraId="2EBEDB55" w14:textId="5F5DEA14" w:rsidR="00F23FD8" w:rsidRDefault="00F23FD8">
      <w:pPr>
        <w:pStyle w:val="FootnoteText"/>
      </w:pPr>
      <w:r>
        <w:rPr>
          <w:rStyle w:val="FootnoteReference"/>
        </w:rPr>
        <w:footnoteRef/>
      </w:r>
      <w:r>
        <w:t xml:space="preserve"> </w:t>
      </w:r>
      <w:r w:rsidRPr="00F23FD8">
        <w:t>ICH Q3B (R2) Impurities in new drug products - Scientific guideline</w:t>
      </w:r>
      <w:r>
        <w:t xml:space="preserve">. Available at </w:t>
      </w:r>
      <w:hyperlink r:id="rId3" w:history="1">
        <w:r w:rsidR="007E5407" w:rsidRPr="007E5407">
          <w:rPr>
            <w:rStyle w:val="Hyperlink"/>
          </w:rPr>
          <w:t>ICH Q3B (R2) Impurities in new drug products - Scientific guideline | European Medicines Agency (EMA)</w:t>
        </w:r>
      </w:hyperlink>
    </w:p>
  </w:footnote>
  <w:footnote w:id="11">
    <w:p w14:paraId="1D7FD7C2" w14:textId="78A72007" w:rsidR="00870890" w:rsidRDefault="00870890">
      <w:pPr>
        <w:pStyle w:val="FootnoteText"/>
      </w:pPr>
      <w:r>
        <w:rPr>
          <w:rStyle w:val="FootnoteReference"/>
        </w:rPr>
        <w:footnoteRef/>
      </w:r>
      <w:r>
        <w:t xml:space="preserve"> </w:t>
      </w:r>
      <w:r w:rsidRPr="00870890">
        <w:t>ICH M3 (R2) Non-clinical safety studies for the conduct of human clinical trials for pharmaceuticals - Scientific guideline</w:t>
      </w:r>
      <w:r>
        <w:t xml:space="preserve">. Available at </w:t>
      </w:r>
      <w:hyperlink r:id="rId4" w:history="1">
        <w:r w:rsidR="00F75EC8" w:rsidRPr="00762707">
          <w:rPr>
            <w:rStyle w:val="Hyperlink"/>
          </w:rPr>
          <w:t>https://www.ema.europa.eu/en/ich-m3-r2-non-clinical-safety-studies-conduct-human-clinical-trials-pharmaceuticals-scientific-guideline</w:t>
        </w:r>
      </w:hyperlink>
      <w:r w:rsidR="00F75EC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C75E" w14:textId="38AD89A8" w:rsidR="00CD6D85" w:rsidRDefault="00CD6D85">
    <w:pPr>
      <w:pStyle w:val="Header"/>
    </w:pPr>
    <w:r>
      <w:rPr>
        <w:noProof/>
      </w:rPr>
      <mc:AlternateContent>
        <mc:Choice Requires="wps">
          <w:drawing>
            <wp:anchor distT="0" distB="0" distL="0" distR="0" simplePos="0" relativeHeight="251658242" behindDoc="0" locked="0" layoutInCell="1" allowOverlap="1" wp14:anchorId="7486BFBB" wp14:editId="0D6AF03C">
              <wp:simplePos x="635" y="635"/>
              <wp:positionH relativeFrom="page">
                <wp:align>center</wp:align>
              </wp:positionH>
              <wp:positionV relativeFrom="page">
                <wp:align>top</wp:align>
              </wp:positionV>
              <wp:extent cx="551815" cy="391160"/>
              <wp:effectExtent l="0" t="0" r="635" b="8890"/>
              <wp:wrapNone/>
              <wp:docPr id="2120869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297AE2E" w14:textId="20020EDA" w:rsidR="00CD6D85" w:rsidRPr="00CD6D85" w:rsidRDefault="00CD6D85" w:rsidP="00CD6D85">
                          <w:pPr>
                            <w:spacing w:after="0"/>
                            <w:rPr>
                              <w:rFonts w:ascii="Calibri" w:eastAsia="Calibri" w:hAnsi="Calibri" w:cs="Calibri"/>
                              <w:noProof/>
                              <w:color w:val="FF0000"/>
                              <w:sz w:val="24"/>
                              <w:szCs w:val="24"/>
                            </w:rPr>
                          </w:pPr>
                          <w:r w:rsidRPr="00CD6D8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86BFBB"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297AE2E" w14:textId="20020EDA" w:rsidR="00CD6D85" w:rsidRPr="00CD6D85" w:rsidRDefault="00CD6D85" w:rsidP="00CD6D85">
                    <w:pPr>
                      <w:spacing w:after="0"/>
                      <w:rPr>
                        <w:rFonts w:ascii="Calibri" w:eastAsia="Calibri" w:hAnsi="Calibri" w:cs="Calibri"/>
                        <w:noProof/>
                        <w:color w:val="FF0000"/>
                        <w:sz w:val="24"/>
                        <w:szCs w:val="24"/>
                      </w:rPr>
                    </w:pPr>
                    <w:r w:rsidRPr="00CD6D8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517" w14:textId="35009C24" w:rsidR="007452E8" w:rsidRPr="00CB0550" w:rsidRDefault="00CD6D85" w:rsidP="00CB0550">
    <w:pPr>
      <w:pStyle w:val="Header"/>
      <w:jc w:val="left"/>
    </w:pPr>
    <w:r>
      <w:rPr>
        <w:noProof/>
      </w:rPr>
      <mc:AlternateContent>
        <mc:Choice Requires="wps">
          <w:drawing>
            <wp:anchor distT="0" distB="0" distL="0" distR="0" simplePos="0" relativeHeight="251658243" behindDoc="0" locked="0" layoutInCell="1" allowOverlap="1" wp14:anchorId="7372D064" wp14:editId="45F64EFF">
              <wp:simplePos x="635" y="635"/>
              <wp:positionH relativeFrom="page">
                <wp:align>center</wp:align>
              </wp:positionH>
              <wp:positionV relativeFrom="page">
                <wp:align>top</wp:align>
              </wp:positionV>
              <wp:extent cx="551815" cy="391160"/>
              <wp:effectExtent l="0" t="0" r="635" b="8890"/>
              <wp:wrapNone/>
              <wp:docPr id="9929050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31D8268" w14:textId="4E20D4EE" w:rsidR="00CD6D85" w:rsidRPr="00CD6D85" w:rsidRDefault="00CD6D85" w:rsidP="00CD6D85">
                          <w:pPr>
                            <w:spacing w:after="0"/>
                            <w:rPr>
                              <w:rFonts w:ascii="Calibri" w:eastAsia="Calibri" w:hAnsi="Calibri" w:cs="Calibri"/>
                              <w:noProof/>
                              <w:color w:val="FF0000"/>
                              <w:sz w:val="24"/>
                              <w:szCs w:val="24"/>
                            </w:rPr>
                          </w:pPr>
                          <w:r w:rsidRPr="00CD6D8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72D064"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731D8268" w14:textId="4E20D4EE" w:rsidR="00CD6D85" w:rsidRPr="00CD6D85" w:rsidRDefault="00CD6D85" w:rsidP="00CD6D85">
                    <w:pPr>
                      <w:spacing w:after="0"/>
                      <w:rPr>
                        <w:rFonts w:ascii="Calibri" w:eastAsia="Calibri" w:hAnsi="Calibri" w:cs="Calibri"/>
                        <w:noProof/>
                        <w:color w:val="FF0000"/>
                        <w:sz w:val="24"/>
                        <w:szCs w:val="24"/>
                      </w:rPr>
                    </w:pPr>
                    <w:r w:rsidRPr="00CD6D85">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FD7A558" w:rsidR="007452E8" w:rsidRPr="002B29B2" w:rsidRDefault="00CD6D85" w:rsidP="007452E8">
          <w:pPr>
            <w:ind w:left="-57"/>
            <w:rPr>
              <w:noProof/>
            </w:rPr>
          </w:pPr>
          <w:r>
            <w:rPr>
              <w:noProof/>
            </w:rPr>
            <mc:AlternateContent>
              <mc:Choice Requires="wps">
                <w:drawing>
                  <wp:anchor distT="0" distB="0" distL="0" distR="0" simplePos="0" relativeHeight="251658241" behindDoc="0" locked="0" layoutInCell="1" allowOverlap="1" wp14:anchorId="0EEF206D" wp14:editId="3B2EFC4C">
                    <wp:simplePos x="0" y="5120640"/>
                    <wp:positionH relativeFrom="page">
                      <wp:align>center</wp:align>
                    </wp:positionH>
                    <wp:positionV relativeFrom="page">
                      <wp:align>top</wp:align>
                    </wp:positionV>
                    <wp:extent cx="551815" cy="391160"/>
                    <wp:effectExtent l="0" t="0" r="635" b="8890"/>
                    <wp:wrapNone/>
                    <wp:docPr id="47001698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7528953" w14:textId="246AFE22" w:rsidR="00CD6D85" w:rsidRPr="00CD6D85" w:rsidRDefault="00CD6D85" w:rsidP="00CD6D85">
                                <w:pPr>
                                  <w:spacing w:after="0"/>
                                  <w:rPr>
                                    <w:rFonts w:ascii="Calibri" w:eastAsia="Calibri" w:hAnsi="Calibri" w:cs="Calibri"/>
                                    <w:noProof/>
                                    <w:color w:val="FF0000"/>
                                    <w:sz w:val="24"/>
                                    <w:szCs w:val="24"/>
                                  </w:rPr>
                                </w:pPr>
                                <w:r w:rsidRPr="00CD6D8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EF206D"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27528953" w14:textId="246AFE22" w:rsidR="00CD6D85" w:rsidRPr="00CD6D85" w:rsidRDefault="00CD6D85" w:rsidP="00CD6D85">
                          <w:pPr>
                            <w:spacing w:after="0"/>
                            <w:rPr>
                              <w:rFonts w:ascii="Calibri" w:eastAsia="Calibri" w:hAnsi="Calibri" w:cs="Calibri"/>
                              <w:noProof/>
                              <w:color w:val="FF0000"/>
                              <w:sz w:val="24"/>
                              <w:szCs w:val="24"/>
                            </w:rPr>
                          </w:pPr>
                          <w:r w:rsidRPr="00CD6D85">
                            <w:rPr>
                              <w:rFonts w:ascii="Calibri" w:eastAsia="Calibri" w:hAnsi="Calibri" w:cs="Calibri"/>
                              <w:noProof/>
                              <w:color w:val="FF0000"/>
                              <w:sz w:val="24"/>
                              <w:szCs w:val="24"/>
                            </w:rPr>
                            <w:t>OFFICIAL</w:t>
                          </w:r>
                        </w:p>
                      </w:txbxContent>
                    </v:textbox>
                    <w10:wrap anchorx="page" anchory="page"/>
                  </v:shape>
                </w:pict>
              </mc:Fallback>
            </mc:AlternateContent>
          </w: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38802056" w:rsidR="007452E8" w:rsidRDefault="0006693A" w:rsidP="007452E8">
    <w:pPr>
      <w:rPr>
        <w:noProof/>
      </w:rPr>
    </w:pPr>
    <w:r>
      <w:rPr>
        <w:noProof/>
      </w:rPr>
      <w:drawing>
        <wp:inline distT="0" distB="0" distL="0" distR="0" wp14:anchorId="26654E9F" wp14:editId="78E105AB">
          <wp:extent cx="3344545" cy="694055"/>
          <wp:effectExtent l="0" t="0" r="8255" b="0"/>
          <wp:docPr id="159602786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7861" name="Picture 2"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007452E8" w:rsidRPr="002B29B2">
      <w:rPr>
        <w:noProof/>
        <w:lang w:val="en-GB" w:eastAsia="en-GB"/>
      </w:rPr>
      <w:drawing>
        <wp:anchor distT="0" distB="0" distL="114300" distR="114300" simplePos="0" relativeHeight="251658240" behindDoc="0" locked="0" layoutInCell="0" allowOverlap="1" wp14:anchorId="14BBEAC1" wp14:editId="5D9F0498">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632D" w14:textId="08F6C8A4" w:rsidR="007452E8" w:rsidRDefault="00CD6D85" w:rsidP="007452E8">
    <w:pPr>
      <w:pStyle w:val="Header"/>
    </w:pPr>
    <w:r>
      <w:rPr>
        <w:noProof/>
      </w:rPr>
      <mc:AlternateContent>
        <mc:Choice Requires="wps">
          <w:drawing>
            <wp:anchor distT="0" distB="0" distL="0" distR="0" simplePos="0" relativeHeight="251658244" behindDoc="0" locked="0" layoutInCell="1" allowOverlap="1" wp14:anchorId="7E7C0335" wp14:editId="565D04B6">
              <wp:simplePos x="901065" y="364490"/>
              <wp:positionH relativeFrom="page">
                <wp:align>center</wp:align>
              </wp:positionH>
              <wp:positionV relativeFrom="page">
                <wp:align>top</wp:align>
              </wp:positionV>
              <wp:extent cx="551815" cy="391160"/>
              <wp:effectExtent l="0" t="0" r="635" b="8890"/>
              <wp:wrapNone/>
              <wp:docPr id="98822966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918FD5D" w14:textId="5EBCB326" w:rsidR="00CD6D85" w:rsidRPr="00CD6D85" w:rsidRDefault="00CD6D85" w:rsidP="00CD6D85">
                          <w:pPr>
                            <w:spacing w:after="0"/>
                            <w:rPr>
                              <w:rFonts w:ascii="Calibri" w:eastAsia="Calibri" w:hAnsi="Calibri" w:cs="Calibri"/>
                              <w:noProof/>
                              <w:color w:val="FF0000"/>
                              <w:sz w:val="24"/>
                              <w:szCs w:val="24"/>
                            </w:rPr>
                          </w:pPr>
                          <w:r w:rsidRPr="00CD6D8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7C0335" id="_x0000_t202" coordsize="21600,21600" o:spt="202" path="m,l,21600r21600,l21600,xe">
              <v:stroke joinstyle="miter"/>
              <v:path gradientshapeok="t" o:connecttype="rect"/>
            </v:shapetype>
            <v:shape id="Text Box 4" o:spid="_x0000_s1032" type="#_x0000_t202" alt="OFFICIAL" style="position:absolute;left:0;text-align:left;margin-left:0;margin-top:0;width:43.45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FigyDcOAgAAHAQA&#10;AA4AAAAAAAAAAAAAAAAALgIAAGRycy9lMm9Eb2MueG1sUEsBAi0AFAAGAAgAAAAhAChQUq/ZAAAA&#10;AwEAAA8AAAAAAAAAAAAAAAAAaAQAAGRycy9kb3ducmV2LnhtbFBLBQYAAAAABAAEAPMAAABuBQAA&#10;AAA=&#10;" filled="f" stroked="f">
              <v:textbox style="mso-fit-shape-to-text:t" inset="0,15pt,0,0">
                <w:txbxContent>
                  <w:p w14:paraId="4918FD5D" w14:textId="5EBCB326" w:rsidR="00CD6D85" w:rsidRPr="00CD6D85" w:rsidRDefault="00CD6D85" w:rsidP="00CD6D85">
                    <w:pPr>
                      <w:spacing w:after="0"/>
                      <w:rPr>
                        <w:rFonts w:ascii="Calibri" w:eastAsia="Calibri" w:hAnsi="Calibri" w:cs="Calibri"/>
                        <w:noProof/>
                        <w:color w:val="FF0000"/>
                        <w:sz w:val="24"/>
                        <w:szCs w:val="24"/>
                      </w:rPr>
                    </w:pPr>
                    <w:r w:rsidRPr="00CD6D85">
                      <w:rPr>
                        <w:rFonts w:ascii="Calibri" w:eastAsia="Calibri" w:hAnsi="Calibri" w:cs="Calibri"/>
                        <w:noProof/>
                        <w:color w:val="FF0000"/>
                        <w:sz w:val="24"/>
                        <w:szCs w:val="24"/>
                      </w:rPr>
                      <w:t>OFFICIAL</w:t>
                    </w:r>
                  </w:p>
                </w:txbxContent>
              </v:textbox>
              <w10:wrap anchorx="page" anchory="page"/>
            </v:shape>
          </w:pict>
        </mc:Fallback>
      </mc:AlternateContent>
    </w:r>
    <w:r w:rsidR="007452E8" w:rsidRPr="000F5176">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477B" w14:textId="67858B34" w:rsidR="007452E8" w:rsidRPr="00FE501F" w:rsidRDefault="00CD6D85" w:rsidP="007452E8">
    <w:pPr>
      <w:pStyle w:val="Headernoline"/>
    </w:pPr>
    <w:r>
      <w:rPr>
        <w:noProof/>
      </w:rPr>
      <mc:AlternateContent>
        <mc:Choice Requires="wps">
          <w:drawing>
            <wp:anchor distT="0" distB="0" distL="0" distR="0" simplePos="0" relativeHeight="251658245" behindDoc="0" locked="0" layoutInCell="1" allowOverlap="1" wp14:anchorId="093A3E68" wp14:editId="3CD639B9">
              <wp:simplePos x="635" y="635"/>
              <wp:positionH relativeFrom="page">
                <wp:align>center</wp:align>
              </wp:positionH>
              <wp:positionV relativeFrom="page">
                <wp:align>top</wp:align>
              </wp:positionV>
              <wp:extent cx="551815" cy="391160"/>
              <wp:effectExtent l="0" t="0" r="635" b="8890"/>
              <wp:wrapNone/>
              <wp:docPr id="183950208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D7A8E70" w14:textId="21B736BB" w:rsidR="00CD6D85" w:rsidRPr="00CD6D85" w:rsidRDefault="00CD6D85" w:rsidP="00CD6D85">
                          <w:pPr>
                            <w:spacing w:after="0"/>
                            <w:rPr>
                              <w:rFonts w:ascii="Calibri" w:eastAsia="Calibri" w:hAnsi="Calibri" w:cs="Calibri"/>
                              <w:noProof/>
                              <w:color w:val="FF0000"/>
                              <w:sz w:val="24"/>
                              <w:szCs w:val="24"/>
                            </w:rPr>
                          </w:pPr>
                          <w:r w:rsidRPr="00CD6D8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3A3E68" id="_x0000_t202" coordsize="21600,21600" o:spt="202" path="m,l,21600r21600,l21600,xe">
              <v:stroke joinstyle="miter"/>
              <v:path gradientshapeok="t" o:connecttype="rect"/>
            </v:shapetype>
            <v:shape id="Text Box 5" o:spid="_x0000_s1033" type="#_x0000_t202" alt="OFFICIAL" style="position:absolute;left:0;text-align:left;margin-left:0;margin-top:0;width:43.45pt;height:30.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3oKDgIAABwEAAAOAAAAZHJzL2Uyb0RvYy54bWysU01v2zAMvQ/YfxB0X2x3SNc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DUfegoOAgAAHAQA&#10;AA4AAAAAAAAAAAAAAAAALgIAAGRycy9lMm9Eb2MueG1sUEsBAi0AFAAGAAgAAAAhAChQUq/ZAAAA&#10;AwEAAA8AAAAAAAAAAAAAAAAAaAQAAGRycy9kb3ducmV2LnhtbFBLBQYAAAAABAAEAPMAAABuBQAA&#10;AAA=&#10;" filled="f" stroked="f">
              <v:textbox style="mso-fit-shape-to-text:t" inset="0,15pt,0,0">
                <w:txbxContent>
                  <w:p w14:paraId="3D7A8E70" w14:textId="21B736BB" w:rsidR="00CD6D85" w:rsidRPr="00CD6D85" w:rsidRDefault="00CD6D85" w:rsidP="00CD6D85">
                    <w:pPr>
                      <w:spacing w:after="0"/>
                      <w:rPr>
                        <w:rFonts w:ascii="Calibri" w:eastAsia="Calibri" w:hAnsi="Calibri" w:cs="Calibri"/>
                        <w:noProof/>
                        <w:color w:val="FF0000"/>
                        <w:sz w:val="24"/>
                        <w:szCs w:val="24"/>
                      </w:rPr>
                    </w:pPr>
                    <w:r w:rsidRPr="00CD6D85">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2"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5"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6"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11"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1032997172">
    <w:abstractNumId w:val="3"/>
  </w:num>
  <w:num w:numId="2" w16cid:durableId="1856573705">
    <w:abstractNumId w:val="0"/>
  </w:num>
  <w:num w:numId="3" w16cid:durableId="357703499">
    <w:abstractNumId w:val="2"/>
  </w:num>
  <w:num w:numId="4" w16cid:durableId="1869176708">
    <w:abstractNumId w:val="9"/>
  </w:num>
  <w:num w:numId="5" w16cid:durableId="1652950129">
    <w:abstractNumId w:val="5"/>
  </w:num>
  <w:num w:numId="6" w16cid:durableId="1053193207">
    <w:abstractNumId w:val="7"/>
  </w:num>
  <w:num w:numId="7" w16cid:durableId="201135927">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8"/>
  </w:num>
  <w:num w:numId="9" w16cid:durableId="173421270">
    <w:abstractNumId w:val="1"/>
  </w:num>
  <w:num w:numId="10" w16cid:durableId="2108043357">
    <w:abstractNumId w:val="4"/>
  </w:num>
  <w:num w:numId="11" w16cid:durableId="1725904230">
    <w:abstractNumId w:val="6"/>
  </w:num>
  <w:num w:numId="12" w16cid:durableId="141579354">
    <w:abstractNumId w:val="10"/>
  </w:num>
  <w:num w:numId="13" w16cid:durableId="283735081">
    <w:abstractNumId w:val="11"/>
  </w:num>
  <w:num w:numId="14" w16cid:durableId="910188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7910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3e9dab0-5d9c-4c86-8eec-737024d57f14" w:val=" "/>
    <w:docVar w:name="vault_nd_05403c18-ec35-4fca-bda4-0011e21a0a45" w:val=" "/>
    <w:docVar w:name="vault_nd_070ba514-4526-40c1-8043-6aef8115ebb6" w:val=" "/>
    <w:docVar w:name="vault_nd_088c17b6-b8dc-40d1-a86a-8e4d1fd0d206" w:val=" "/>
    <w:docVar w:name="vault_nd_1b79e24b-8738-4d8c-b04e-b9422c567791" w:val=" "/>
    <w:docVar w:name="vault_nd_1d1aa8c1-e85f-4404-8426-10f6e88e77a2" w:val=" "/>
    <w:docVar w:name="vault_nd_1d54e1ad-d225-4e75-9fca-6a91bfa937ef" w:val=" "/>
    <w:docVar w:name="vault_nd_21f23849-cfd8-4940-a1e4-84220456e833" w:val=" "/>
    <w:docVar w:name="vault_nd_300bbceb-8143-46cf-b31e-119e80eabe5a" w:val=" "/>
    <w:docVar w:name="vault_nd_310cc166-69e5-4e72-924a-4bf9c8747a0c" w:val=" "/>
    <w:docVar w:name="vault_nd_32c1f572-8524-468f-adbe-b68d9ed5ff3f" w:val=" "/>
    <w:docVar w:name="vault_nd_34b4bdf2-605f-4a87-963c-af75565d4ff9" w:val=" "/>
    <w:docVar w:name="vault_nd_35ea7b36-c070-4669-a3ab-f9f3651f1555" w:val=" "/>
    <w:docVar w:name="vault_nd_3b587c43-9d20-4091-ae9e-cf5b5d699583" w:val=" "/>
    <w:docVar w:name="vault_nd_4203c1e7-e932-4e9d-bc4e-a27dfda334d0" w:val=" "/>
    <w:docVar w:name="vault_nd_4239518d-343c-4db0-a473-f9cccdf0739f" w:val=" "/>
    <w:docVar w:name="vault_nd_4825862a-4b02-4300-a911-801b4f3425da" w:val=" "/>
    <w:docVar w:name="vault_nd_4b18c872-5bfa-4163-a7a5-b3124c7e92f6" w:val=" "/>
    <w:docVar w:name="vault_nd_4f28e9a9-3f9a-4f08-8172-6527bd6f0b2f" w:val=" "/>
    <w:docVar w:name="vault_nd_5d3b4961-ecdd-4651-8d43-39268454cef9" w:val=" "/>
    <w:docVar w:name="vault_nd_6274b726-3878-45bd-8343-65f18a3e4310" w:val=" "/>
    <w:docVar w:name="vault_nd_64c35517-430a-476f-b00d-f3f59e9a9cf9" w:val=" "/>
    <w:docVar w:name="vault_nd_666e27b9-95df-4f2b-bf4a-f53656cf9de0" w:val=" "/>
    <w:docVar w:name="vault_nd_6e8f0ba4-10de-4cb9-9968-adce0bda6339" w:val=" "/>
    <w:docVar w:name="vault_nd_756c6f44-153b-48ba-ac4d-bd3eeea8adc1" w:val=" "/>
    <w:docVar w:name="vault_nd_7cbca43c-0917-4e3b-b8c6-a58d112d19bc" w:val=" "/>
    <w:docVar w:name="vault_nd_7e04fa04-611e-47f7-a731-75338aae6908" w:val=" "/>
    <w:docVar w:name="vault_nd_7f4eec3b-a6ea-4c65-ae85-2a2a29291ebd" w:val=" "/>
    <w:docVar w:name="vault_nd_810507f7-db8c-4eaa-9130-ada56d03d017" w:val=" "/>
    <w:docVar w:name="vault_nd_856433e7-d0b2-4317-9835-17140e7c170e" w:val=" "/>
    <w:docVar w:name="vault_nd_866bba71-4709-4996-ac2a-5c78d1e022d3" w:val=" "/>
    <w:docVar w:name="vault_nd_8f5d21f7-2734-4169-b2a9-600871d63eb5" w:val=" "/>
    <w:docVar w:name="vault_nd_96ccbdca-1b0f-4100-a9a1-5ab49ad54d0e" w:val=" "/>
    <w:docVar w:name="vault_nd_a635fd64-0024-4363-b0e7-92cacdaac7fd" w:val=" "/>
    <w:docVar w:name="vault_nd_a7b3672f-ab67-403f-932b-e696f3ba6a94" w:val=" "/>
    <w:docVar w:name="vault_nd_a8fbb158-04ab-4600-8bb2-2be9c40aab16" w:val=" "/>
    <w:docVar w:name="vault_nd_abfc6172-aae8-4e57-9629-3cd788eb160e" w:val=" "/>
    <w:docVar w:name="vault_nd_ae4b1e63-dd98-40e2-bc3f-69b3d6858d11" w:val=" "/>
    <w:docVar w:name="vault_nd_b747119e-ca81-4a90-ad32-05a35ccf56c6" w:val=" "/>
    <w:docVar w:name="vault_nd_baf2548b-8ef3-42d8-a398-9c5ba413061c" w:val=" "/>
    <w:docVar w:name="vault_nd_be190a0e-ad59-4bcb-8653-7c62ab188752" w:val=" "/>
    <w:docVar w:name="vault_nd_c0e1593f-434d-407f-8900-a110fd941bd5" w:val=" "/>
    <w:docVar w:name="vault_nd_c10c355a-2245-4cba-a9df-0b4ae0b9876d" w:val=" "/>
    <w:docVar w:name="vault_nd_c1ee04f4-67a1-450d-b06d-493187567083" w:val=" "/>
    <w:docVar w:name="vault_nd_c637b24d-baf1-49cb-8790-ec7f3c041db4" w:val=" "/>
    <w:docVar w:name="vault_nd_d1de4d9c-ba9a-41b2-81db-1e2f04db9cef" w:val=" "/>
    <w:docVar w:name="vault_nd_d27f3729-6a27-4d9d-95f7-cbc51b054685" w:val=" "/>
    <w:docVar w:name="vault_nd_d67ff72e-ea54-4d3c-a357-31acf1f243bf" w:val=" "/>
    <w:docVar w:name="vault_nd_d9e0b148-9a4b-47bd-98f3-34edc84e6c6c" w:val=" "/>
    <w:docVar w:name="vault_nd_df977b9f-acc7-48e6-b3b5-68f18106eb7a" w:val=" "/>
    <w:docVar w:name="vault_nd_e0bff2d4-5aaa-44c0-a1a7-892103d671c0" w:val=" "/>
    <w:docVar w:name="vault_nd_e34caa0d-47f2-4c6b-acf1-42d08290c81e" w:val=" "/>
    <w:docVar w:name="vault_nd_ee08d887-9031-4348-a190-4d27d253413d" w:val=" "/>
    <w:docVar w:name="vault_nd_f52abfb7-daee-46ee-9a8e-7a2142c16929" w:val=" "/>
    <w:docVar w:name="vault_nd_fa540b4d-8a21-43af-9fb6-f71afa4f0156" w:val=" "/>
  </w:docVars>
  <w:rsids>
    <w:rsidRoot w:val="00346EC2"/>
    <w:rsid w:val="00000E6E"/>
    <w:rsid w:val="0000200D"/>
    <w:rsid w:val="00004431"/>
    <w:rsid w:val="00005062"/>
    <w:rsid w:val="00005968"/>
    <w:rsid w:val="00005DFC"/>
    <w:rsid w:val="0000788E"/>
    <w:rsid w:val="0001064C"/>
    <w:rsid w:val="00010B4F"/>
    <w:rsid w:val="0001384A"/>
    <w:rsid w:val="00020CF6"/>
    <w:rsid w:val="00021C13"/>
    <w:rsid w:val="00022213"/>
    <w:rsid w:val="00032A0F"/>
    <w:rsid w:val="00037F14"/>
    <w:rsid w:val="00040D8D"/>
    <w:rsid w:val="00046423"/>
    <w:rsid w:val="000477F5"/>
    <w:rsid w:val="0005067C"/>
    <w:rsid w:val="000547A5"/>
    <w:rsid w:val="00054CBB"/>
    <w:rsid w:val="0006104E"/>
    <w:rsid w:val="000640BD"/>
    <w:rsid w:val="00065839"/>
    <w:rsid w:val="00065FDF"/>
    <w:rsid w:val="0006693A"/>
    <w:rsid w:val="00077844"/>
    <w:rsid w:val="00083763"/>
    <w:rsid w:val="00090510"/>
    <w:rsid w:val="000917AE"/>
    <w:rsid w:val="000947E0"/>
    <w:rsid w:val="00094B81"/>
    <w:rsid w:val="00095C6A"/>
    <w:rsid w:val="000975AA"/>
    <w:rsid w:val="000A3D6F"/>
    <w:rsid w:val="000A44A8"/>
    <w:rsid w:val="000A48D8"/>
    <w:rsid w:val="000B6B15"/>
    <w:rsid w:val="000C25A7"/>
    <w:rsid w:val="000C39EA"/>
    <w:rsid w:val="000D22CC"/>
    <w:rsid w:val="000D2762"/>
    <w:rsid w:val="000D78EC"/>
    <w:rsid w:val="000D7934"/>
    <w:rsid w:val="000E2434"/>
    <w:rsid w:val="000E2597"/>
    <w:rsid w:val="000E504E"/>
    <w:rsid w:val="000E594A"/>
    <w:rsid w:val="000E5E80"/>
    <w:rsid w:val="000E6746"/>
    <w:rsid w:val="000F7B51"/>
    <w:rsid w:val="00101BEE"/>
    <w:rsid w:val="00101CE6"/>
    <w:rsid w:val="00101FB1"/>
    <w:rsid w:val="00104351"/>
    <w:rsid w:val="001048DB"/>
    <w:rsid w:val="0010558A"/>
    <w:rsid w:val="001101FF"/>
    <w:rsid w:val="00111989"/>
    <w:rsid w:val="00113F9F"/>
    <w:rsid w:val="00114025"/>
    <w:rsid w:val="00114C7B"/>
    <w:rsid w:val="00115103"/>
    <w:rsid w:val="0012461A"/>
    <w:rsid w:val="0012473C"/>
    <w:rsid w:val="00127A74"/>
    <w:rsid w:val="0013132F"/>
    <w:rsid w:val="00131B1B"/>
    <w:rsid w:val="0013306D"/>
    <w:rsid w:val="00133F04"/>
    <w:rsid w:val="00134762"/>
    <w:rsid w:val="0013528C"/>
    <w:rsid w:val="00142827"/>
    <w:rsid w:val="001442A2"/>
    <w:rsid w:val="001468CA"/>
    <w:rsid w:val="001500A8"/>
    <w:rsid w:val="001511CC"/>
    <w:rsid w:val="00155D85"/>
    <w:rsid w:val="00163E3D"/>
    <w:rsid w:val="00164ACA"/>
    <w:rsid w:val="00165D28"/>
    <w:rsid w:val="0017005C"/>
    <w:rsid w:val="00170AA2"/>
    <w:rsid w:val="0017289B"/>
    <w:rsid w:val="00174C23"/>
    <w:rsid w:val="00175CD8"/>
    <w:rsid w:val="00176403"/>
    <w:rsid w:val="00182BD8"/>
    <w:rsid w:val="00185F77"/>
    <w:rsid w:val="00190853"/>
    <w:rsid w:val="001A1B6C"/>
    <w:rsid w:val="001A76F9"/>
    <w:rsid w:val="001B06FF"/>
    <w:rsid w:val="001B16F4"/>
    <w:rsid w:val="001B1703"/>
    <w:rsid w:val="001B2AA7"/>
    <w:rsid w:val="001C1C2E"/>
    <w:rsid w:val="001C31A1"/>
    <w:rsid w:val="001C3FA2"/>
    <w:rsid w:val="001C5EE2"/>
    <w:rsid w:val="001D0077"/>
    <w:rsid w:val="001E407B"/>
    <w:rsid w:val="001E7D5F"/>
    <w:rsid w:val="001E7FC6"/>
    <w:rsid w:val="001F2502"/>
    <w:rsid w:val="001F70A5"/>
    <w:rsid w:val="001F7C5C"/>
    <w:rsid w:val="0020235D"/>
    <w:rsid w:val="0020369B"/>
    <w:rsid w:val="00207B4D"/>
    <w:rsid w:val="00210F9B"/>
    <w:rsid w:val="002117B1"/>
    <w:rsid w:val="002143AE"/>
    <w:rsid w:val="00217CCE"/>
    <w:rsid w:val="002203B1"/>
    <w:rsid w:val="00226F39"/>
    <w:rsid w:val="002334AD"/>
    <w:rsid w:val="00241B60"/>
    <w:rsid w:val="00244DBA"/>
    <w:rsid w:val="00246FF2"/>
    <w:rsid w:val="002533FD"/>
    <w:rsid w:val="00253E62"/>
    <w:rsid w:val="002577FA"/>
    <w:rsid w:val="0025785B"/>
    <w:rsid w:val="00257969"/>
    <w:rsid w:val="00265CD1"/>
    <w:rsid w:val="00274478"/>
    <w:rsid w:val="00280048"/>
    <w:rsid w:val="0028489E"/>
    <w:rsid w:val="002848DE"/>
    <w:rsid w:val="0028794E"/>
    <w:rsid w:val="00295158"/>
    <w:rsid w:val="0029733B"/>
    <w:rsid w:val="002A5841"/>
    <w:rsid w:val="002B1EDF"/>
    <w:rsid w:val="002B2061"/>
    <w:rsid w:val="002B33C3"/>
    <w:rsid w:val="002B62E9"/>
    <w:rsid w:val="002C1232"/>
    <w:rsid w:val="002C1E44"/>
    <w:rsid w:val="002C5C92"/>
    <w:rsid w:val="002C5E29"/>
    <w:rsid w:val="002D0478"/>
    <w:rsid w:val="002D7127"/>
    <w:rsid w:val="002F4458"/>
    <w:rsid w:val="002F599E"/>
    <w:rsid w:val="002F75CB"/>
    <w:rsid w:val="003008D8"/>
    <w:rsid w:val="003009E2"/>
    <w:rsid w:val="00301D9A"/>
    <w:rsid w:val="00303959"/>
    <w:rsid w:val="00306E72"/>
    <w:rsid w:val="00312AC3"/>
    <w:rsid w:val="00314430"/>
    <w:rsid w:val="003163BC"/>
    <w:rsid w:val="003212D9"/>
    <w:rsid w:val="0032351A"/>
    <w:rsid w:val="00323D43"/>
    <w:rsid w:val="00324B33"/>
    <w:rsid w:val="00327488"/>
    <w:rsid w:val="003276B9"/>
    <w:rsid w:val="00336455"/>
    <w:rsid w:val="00336FE1"/>
    <w:rsid w:val="00337BD8"/>
    <w:rsid w:val="003423F0"/>
    <w:rsid w:val="00342D56"/>
    <w:rsid w:val="003456E7"/>
    <w:rsid w:val="0034629F"/>
    <w:rsid w:val="00346857"/>
    <w:rsid w:val="00346EC2"/>
    <w:rsid w:val="003477F9"/>
    <w:rsid w:val="00350191"/>
    <w:rsid w:val="00353DB4"/>
    <w:rsid w:val="0035444D"/>
    <w:rsid w:val="00356D62"/>
    <w:rsid w:val="00363EE3"/>
    <w:rsid w:val="003735F3"/>
    <w:rsid w:val="00374729"/>
    <w:rsid w:val="00382E31"/>
    <w:rsid w:val="00385A55"/>
    <w:rsid w:val="00387298"/>
    <w:rsid w:val="00387984"/>
    <w:rsid w:val="00394015"/>
    <w:rsid w:val="00394E28"/>
    <w:rsid w:val="00395140"/>
    <w:rsid w:val="003A2422"/>
    <w:rsid w:val="003B149C"/>
    <w:rsid w:val="003B1F84"/>
    <w:rsid w:val="003B71F9"/>
    <w:rsid w:val="003C0FDB"/>
    <w:rsid w:val="003C1192"/>
    <w:rsid w:val="003C1E27"/>
    <w:rsid w:val="003C38FA"/>
    <w:rsid w:val="003C55E2"/>
    <w:rsid w:val="003C63D5"/>
    <w:rsid w:val="003C7AA8"/>
    <w:rsid w:val="003D71A1"/>
    <w:rsid w:val="003E1406"/>
    <w:rsid w:val="003E1E80"/>
    <w:rsid w:val="003E3791"/>
    <w:rsid w:val="003F5E34"/>
    <w:rsid w:val="003F6D0B"/>
    <w:rsid w:val="003F7A2A"/>
    <w:rsid w:val="00400F19"/>
    <w:rsid w:val="0040313C"/>
    <w:rsid w:val="00413455"/>
    <w:rsid w:val="0041604A"/>
    <w:rsid w:val="0041688F"/>
    <w:rsid w:val="004200C2"/>
    <w:rsid w:val="0042376F"/>
    <w:rsid w:val="004241D1"/>
    <w:rsid w:val="004246B8"/>
    <w:rsid w:val="004248F1"/>
    <w:rsid w:val="0043291E"/>
    <w:rsid w:val="00433318"/>
    <w:rsid w:val="004411D9"/>
    <w:rsid w:val="004421A8"/>
    <w:rsid w:val="00442A56"/>
    <w:rsid w:val="004444B0"/>
    <w:rsid w:val="0045060B"/>
    <w:rsid w:val="0045260B"/>
    <w:rsid w:val="004540F9"/>
    <w:rsid w:val="00454FDF"/>
    <w:rsid w:val="00455C6E"/>
    <w:rsid w:val="00457FAE"/>
    <w:rsid w:val="00461700"/>
    <w:rsid w:val="004626FF"/>
    <w:rsid w:val="0046285C"/>
    <w:rsid w:val="004641EB"/>
    <w:rsid w:val="00470A52"/>
    <w:rsid w:val="00471BD5"/>
    <w:rsid w:val="004749F7"/>
    <w:rsid w:val="00477C4E"/>
    <w:rsid w:val="00477F07"/>
    <w:rsid w:val="00481503"/>
    <w:rsid w:val="00481D12"/>
    <w:rsid w:val="004854A6"/>
    <w:rsid w:val="00491A55"/>
    <w:rsid w:val="0049400C"/>
    <w:rsid w:val="00494C3E"/>
    <w:rsid w:val="00497DF1"/>
    <w:rsid w:val="004A1005"/>
    <w:rsid w:val="004A318E"/>
    <w:rsid w:val="004A424A"/>
    <w:rsid w:val="004A45D4"/>
    <w:rsid w:val="004A57E8"/>
    <w:rsid w:val="004A5B6E"/>
    <w:rsid w:val="004B220E"/>
    <w:rsid w:val="004B3081"/>
    <w:rsid w:val="004B4A09"/>
    <w:rsid w:val="004C41CE"/>
    <w:rsid w:val="004C631B"/>
    <w:rsid w:val="004D0933"/>
    <w:rsid w:val="004D162D"/>
    <w:rsid w:val="004D2F00"/>
    <w:rsid w:val="004D31D8"/>
    <w:rsid w:val="004D35D1"/>
    <w:rsid w:val="004D4AD5"/>
    <w:rsid w:val="004D5388"/>
    <w:rsid w:val="004E7F16"/>
    <w:rsid w:val="004F18EC"/>
    <w:rsid w:val="004F41B7"/>
    <w:rsid w:val="005004FA"/>
    <w:rsid w:val="00500D68"/>
    <w:rsid w:val="00501B90"/>
    <w:rsid w:val="00504532"/>
    <w:rsid w:val="005102ED"/>
    <w:rsid w:val="005124C5"/>
    <w:rsid w:val="00513CBE"/>
    <w:rsid w:val="005320EC"/>
    <w:rsid w:val="0053377D"/>
    <w:rsid w:val="00535DFE"/>
    <w:rsid w:val="005373B5"/>
    <w:rsid w:val="00537AB7"/>
    <w:rsid w:val="00537BB4"/>
    <w:rsid w:val="0054669B"/>
    <w:rsid w:val="00557684"/>
    <w:rsid w:val="0056066B"/>
    <w:rsid w:val="00560EC1"/>
    <w:rsid w:val="005610D1"/>
    <w:rsid w:val="00562F42"/>
    <w:rsid w:val="0056455D"/>
    <w:rsid w:val="00565739"/>
    <w:rsid w:val="00566034"/>
    <w:rsid w:val="0056766D"/>
    <w:rsid w:val="005735DF"/>
    <w:rsid w:val="00575215"/>
    <w:rsid w:val="005775D0"/>
    <w:rsid w:val="00581138"/>
    <w:rsid w:val="00583A7F"/>
    <w:rsid w:val="0058575E"/>
    <w:rsid w:val="0058783C"/>
    <w:rsid w:val="005911AE"/>
    <w:rsid w:val="00591B75"/>
    <w:rsid w:val="00592580"/>
    <w:rsid w:val="005926E2"/>
    <w:rsid w:val="0059313A"/>
    <w:rsid w:val="00595BD5"/>
    <w:rsid w:val="005A1413"/>
    <w:rsid w:val="005A54EA"/>
    <w:rsid w:val="005B023F"/>
    <w:rsid w:val="005B02A2"/>
    <w:rsid w:val="005B1417"/>
    <w:rsid w:val="005B69CF"/>
    <w:rsid w:val="005C3F07"/>
    <w:rsid w:val="005C43A3"/>
    <w:rsid w:val="005C4B46"/>
    <w:rsid w:val="005C5DC5"/>
    <w:rsid w:val="005C6D59"/>
    <w:rsid w:val="005D0E1E"/>
    <w:rsid w:val="005D1778"/>
    <w:rsid w:val="005D2089"/>
    <w:rsid w:val="005D2D95"/>
    <w:rsid w:val="005D7514"/>
    <w:rsid w:val="005E0FC6"/>
    <w:rsid w:val="005E1A7B"/>
    <w:rsid w:val="005E231F"/>
    <w:rsid w:val="005F35EE"/>
    <w:rsid w:val="00602D6E"/>
    <w:rsid w:val="00605C05"/>
    <w:rsid w:val="0060708B"/>
    <w:rsid w:val="00610772"/>
    <w:rsid w:val="00611351"/>
    <w:rsid w:val="0061216F"/>
    <w:rsid w:val="0061217D"/>
    <w:rsid w:val="006129AE"/>
    <w:rsid w:val="00613459"/>
    <w:rsid w:val="00614CC2"/>
    <w:rsid w:val="00623A83"/>
    <w:rsid w:val="00625589"/>
    <w:rsid w:val="006277A1"/>
    <w:rsid w:val="00631915"/>
    <w:rsid w:val="00633BD7"/>
    <w:rsid w:val="00634580"/>
    <w:rsid w:val="00634884"/>
    <w:rsid w:val="006348A3"/>
    <w:rsid w:val="006351D9"/>
    <w:rsid w:val="00637130"/>
    <w:rsid w:val="00637F0E"/>
    <w:rsid w:val="006423F2"/>
    <w:rsid w:val="006428C5"/>
    <w:rsid w:val="00650234"/>
    <w:rsid w:val="00651ADC"/>
    <w:rsid w:val="00657918"/>
    <w:rsid w:val="0066044B"/>
    <w:rsid w:val="006606DF"/>
    <w:rsid w:val="006630AA"/>
    <w:rsid w:val="00663544"/>
    <w:rsid w:val="006664D1"/>
    <w:rsid w:val="00666539"/>
    <w:rsid w:val="00666911"/>
    <w:rsid w:val="006714F4"/>
    <w:rsid w:val="006748F8"/>
    <w:rsid w:val="00675F81"/>
    <w:rsid w:val="0067734B"/>
    <w:rsid w:val="0068143E"/>
    <w:rsid w:val="00683263"/>
    <w:rsid w:val="0068507D"/>
    <w:rsid w:val="00691250"/>
    <w:rsid w:val="00691AF2"/>
    <w:rsid w:val="00692B80"/>
    <w:rsid w:val="00692CCD"/>
    <w:rsid w:val="00692D51"/>
    <w:rsid w:val="00694DD7"/>
    <w:rsid w:val="006953C2"/>
    <w:rsid w:val="0069636B"/>
    <w:rsid w:val="006A1762"/>
    <w:rsid w:val="006A19CE"/>
    <w:rsid w:val="006A1F0B"/>
    <w:rsid w:val="006A277A"/>
    <w:rsid w:val="006A426A"/>
    <w:rsid w:val="006A5973"/>
    <w:rsid w:val="006A5FCC"/>
    <w:rsid w:val="006B04F3"/>
    <w:rsid w:val="006B0AFC"/>
    <w:rsid w:val="006B1E20"/>
    <w:rsid w:val="006B5E64"/>
    <w:rsid w:val="006B6173"/>
    <w:rsid w:val="006B7126"/>
    <w:rsid w:val="006C486E"/>
    <w:rsid w:val="006C6B86"/>
    <w:rsid w:val="006D4553"/>
    <w:rsid w:val="006D4A35"/>
    <w:rsid w:val="006D5330"/>
    <w:rsid w:val="006D6B44"/>
    <w:rsid w:val="006E0F71"/>
    <w:rsid w:val="006E166A"/>
    <w:rsid w:val="006E27FE"/>
    <w:rsid w:val="006E2F10"/>
    <w:rsid w:val="006F3D0B"/>
    <w:rsid w:val="006F72E2"/>
    <w:rsid w:val="00701110"/>
    <w:rsid w:val="00702E91"/>
    <w:rsid w:val="0070330F"/>
    <w:rsid w:val="00703624"/>
    <w:rsid w:val="007046ED"/>
    <w:rsid w:val="0070541F"/>
    <w:rsid w:val="007072A1"/>
    <w:rsid w:val="0071060C"/>
    <w:rsid w:val="00710BC5"/>
    <w:rsid w:val="007121CA"/>
    <w:rsid w:val="0072003B"/>
    <w:rsid w:val="00721059"/>
    <w:rsid w:val="007211E6"/>
    <w:rsid w:val="007220C4"/>
    <w:rsid w:val="007305ED"/>
    <w:rsid w:val="007311B9"/>
    <w:rsid w:val="00732361"/>
    <w:rsid w:val="007357B9"/>
    <w:rsid w:val="00741AB9"/>
    <w:rsid w:val="00742D03"/>
    <w:rsid w:val="00744216"/>
    <w:rsid w:val="007452E8"/>
    <w:rsid w:val="007453BF"/>
    <w:rsid w:val="00746990"/>
    <w:rsid w:val="00747093"/>
    <w:rsid w:val="00750D70"/>
    <w:rsid w:val="007575D0"/>
    <w:rsid w:val="00761BBE"/>
    <w:rsid w:val="00762E60"/>
    <w:rsid w:val="00762ECE"/>
    <w:rsid w:val="00763A28"/>
    <w:rsid w:val="007662E0"/>
    <w:rsid w:val="00776E9C"/>
    <w:rsid w:val="007816D8"/>
    <w:rsid w:val="00784150"/>
    <w:rsid w:val="00793272"/>
    <w:rsid w:val="0079499A"/>
    <w:rsid w:val="00794B64"/>
    <w:rsid w:val="007967C3"/>
    <w:rsid w:val="007A0A33"/>
    <w:rsid w:val="007B04DE"/>
    <w:rsid w:val="007B0AE6"/>
    <w:rsid w:val="007C0F0B"/>
    <w:rsid w:val="007C4558"/>
    <w:rsid w:val="007C4B0F"/>
    <w:rsid w:val="007C57BC"/>
    <w:rsid w:val="007D04CA"/>
    <w:rsid w:val="007D0A2B"/>
    <w:rsid w:val="007D12A1"/>
    <w:rsid w:val="007D40E5"/>
    <w:rsid w:val="007D4138"/>
    <w:rsid w:val="007E22CF"/>
    <w:rsid w:val="007E4178"/>
    <w:rsid w:val="007E5407"/>
    <w:rsid w:val="007E6443"/>
    <w:rsid w:val="007F0A77"/>
    <w:rsid w:val="007F0B1D"/>
    <w:rsid w:val="007F1E37"/>
    <w:rsid w:val="007F3855"/>
    <w:rsid w:val="007F50D3"/>
    <w:rsid w:val="007F6B1F"/>
    <w:rsid w:val="008013F0"/>
    <w:rsid w:val="00802E03"/>
    <w:rsid w:val="00803926"/>
    <w:rsid w:val="00804897"/>
    <w:rsid w:val="00811765"/>
    <w:rsid w:val="008329DB"/>
    <w:rsid w:val="00832CA6"/>
    <w:rsid w:val="0083411C"/>
    <w:rsid w:val="008361C5"/>
    <w:rsid w:val="0083628F"/>
    <w:rsid w:val="00837AB9"/>
    <w:rsid w:val="008504ED"/>
    <w:rsid w:val="00850637"/>
    <w:rsid w:val="00854D98"/>
    <w:rsid w:val="00855F9D"/>
    <w:rsid w:val="00857059"/>
    <w:rsid w:val="0085751E"/>
    <w:rsid w:val="00860B29"/>
    <w:rsid w:val="008622E8"/>
    <w:rsid w:val="008645EE"/>
    <w:rsid w:val="00870144"/>
    <w:rsid w:val="0087072C"/>
    <w:rsid w:val="00870890"/>
    <w:rsid w:val="00871312"/>
    <w:rsid w:val="00873D7A"/>
    <w:rsid w:val="008771BC"/>
    <w:rsid w:val="00877CB3"/>
    <w:rsid w:val="008804CF"/>
    <w:rsid w:val="00882D58"/>
    <w:rsid w:val="00882F19"/>
    <w:rsid w:val="00883D35"/>
    <w:rsid w:val="00884569"/>
    <w:rsid w:val="00884A91"/>
    <w:rsid w:val="008876F5"/>
    <w:rsid w:val="00887A51"/>
    <w:rsid w:val="0089038A"/>
    <w:rsid w:val="00890D9B"/>
    <w:rsid w:val="00891BC1"/>
    <w:rsid w:val="00891C6C"/>
    <w:rsid w:val="00893CCD"/>
    <w:rsid w:val="008964B3"/>
    <w:rsid w:val="008A154D"/>
    <w:rsid w:val="008A296C"/>
    <w:rsid w:val="008A405C"/>
    <w:rsid w:val="008A6B2C"/>
    <w:rsid w:val="008B1CB5"/>
    <w:rsid w:val="008C2D69"/>
    <w:rsid w:val="008C4579"/>
    <w:rsid w:val="008C49C6"/>
    <w:rsid w:val="008C6463"/>
    <w:rsid w:val="008C754C"/>
    <w:rsid w:val="008D56C9"/>
    <w:rsid w:val="008D56CA"/>
    <w:rsid w:val="008D6A54"/>
    <w:rsid w:val="008D6C48"/>
    <w:rsid w:val="008E2585"/>
    <w:rsid w:val="008E2D7A"/>
    <w:rsid w:val="008F3215"/>
    <w:rsid w:val="008F4A62"/>
    <w:rsid w:val="008F4C6C"/>
    <w:rsid w:val="008F7256"/>
    <w:rsid w:val="0090424C"/>
    <w:rsid w:val="0090605E"/>
    <w:rsid w:val="00906C74"/>
    <w:rsid w:val="009108CE"/>
    <w:rsid w:val="00913385"/>
    <w:rsid w:val="00915A9F"/>
    <w:rsid w:val="00917791"/>
    <w:rsid w:val="00924B1E"/>
    <w:rsid w:val="00925700"/>
    <w:rsid w:val="00930D58"/>
    <w:rsid w:val="00933430"/>
    <w:rsid w:val="00935AAA"/>
    <w:rsid w:val="00943C33"/>
    <w:rsid w:val="00944280"/>
    <w:rsid w:val="00944837"/>
    <w:rsid w:val="009454D2"/>
    <w:rsid w:val="0095031E"/>
    <w:rsid w:val="00954297"/>
    <w:rsid w:val="0095699C"/>
    <w:rsid w:val="00960A56"/>
    <w:rsid w:val="00966EF1"/>
    <w:rsid w:val="00966FDA"/>
    <w:rsid w:val="00967223"/>
    <w:rsid w:val="00973EF8"/>
    <w:rsid w:val="009751F7"/>
    <w:rsid w:val="009777E0"/>
    <w:rsid w:val="0098168B"/>
    <w:rsid w:val="0098350E"/>
    <w:rsid w:val="00990664"/>
    <w:rsid w:val="00990C12"/>
    <w:rsid w:val="00993D7F"/>
    <w:rsid w:val="0099404F"/>
    <w:rsid w:val="00996FA5"/>
    <w:rsid w:val="009A4EEC"/>
    <w:rsid w:val="009A5495"/>
    <w:rsid w:val="009A6E72"/>
    <w:rsid w:val="009B5662"/>
    <w:rsid w:val="009B6D9A"/>
    <w:rsid w:val="009C2211"/>
    <w:rsid w:val="009C40E8"/>
    <w:rsid w:val="009C45C5"/>
    <w:rsid w:val="009C7C98"/>
    <w:rsid w:val="009D2ABF"/>
    <w:rsid w:val="009D6613"/>
    <w:rsid w:val="009E2239"/>
    <w:rsid w:val="009E5065"/>
    <w:rsid w:val="009E6858"/>
    <w:rsid w:val="009E6F8C"/>
    <w:rsid w:val="009F405F"/>
    <w:rsid w:val="00A01C56"/>
    <w:rsid w:val="00A03F0A"/>
    <w:rsid w:val="00A04C5E"/>
    <w:rsid w:val="00A13220"/>
    <w:rsid w:val="00A16147"/>
    <w:rsid w:val="00A22E94"/>
    <w:rsid w:val="00A238D2"/>
    <w:rsid w:val="00A25B31"/>
    <w:rsid w:val="00A25BAA"/>
    <w:rsid w:val="00A32C50"/>
    <w:rsid w:val="00A3491B"/>
    <w:rsid w:val="00A358E7"/>
    <w:rsid w:val="00A4380B"/>
    <w:rsid w:val="00A450EB"/>
    <w:rsid w:val="00A5071C"/>
    <w:rsid w:val="00A51A2D"/>
    <w:rsid w:val="00A54410"/>
    <w:rsid w:val="00A54F3F"/>
    <w:rsid w:val="00A5596B"/>
    <w:rsid w:val="00A63C07"/>
    <w:rsid w:val="00A63D9B"/>
    <w:rsid w:val="00A668FA"/>
    <w:rsid w:val="00A704DC"/>
    <w:rsid w:val="00A732B0"/>
    <w:rsid w:val="00A756E2"/>
    <w:rsid w:val="00A76D5E"/>
    <w:rsid w:val="00A83D06"/>
    <w:rsid w:val="00A86687"/>
    <w:rsid w:val="00A913B3"/>
    <w:rsid w:val="00A93DC6"/>
    <w:rsid w:val="00A9411A"/>
    <w:rsid w:val="00A9532A"/>
    <w:rsid w:val="00A95CE9"/>
    <w:rsid w:val="00A963D1"/>
    <w:rsid w:val="00AA4A4B"/>
    <w:rsid w:val="00AA6682"/>
    <w:rsid w:val="00AA70A0"/>
    <w:rsid w:val="00AB0322"/>
    <w:rsid w:val="00AB0613"/>
    <w:rsid w:val="00AB34B6"/>
    <w:rsid w:val="00AB4553"/>
    <w:rsid w:val="00AB7C5C"/>
    <w:rsid w:val="00AB7CBF"/>
    <w:rsid w:val="00AC762A"/>
    <w:rsid w:val="00AD0111"/>
    <w:rsid w:val="00AD0B68"/>
    <w:rsid w:val="00AD40C3"/>
    <w:rsid w:val="00AD4C72"/>
    <w:rsid w:val="00AD5451"/>
    <w:rsid w:val="00AD7E3D"/>
    <w:rsid w:val="00AE1947"/>
    <w:rsid w:val="00AF1C8B"/>
    <w:rsid w:val="00AF299B"/>
    <w:rsid w:val="00AF7E43"/>
    <w:rsid w:val="00B02102"/>
    <w:rsid w:val="00B02AE0"/>
    <w:rsid w:val="00B03268"/>
    <w:rsid w:val="00B03F25"/>
    <w:rsid w:val="00B05326"/>
    <w:rsid w:val="00B14545"/>
    <w:rsid w:val="00B14E60"/>
    <w:rsid w:val="00B17BA2"/>
    <w:rsid w:val="00B26DC3"/>
    <w:rsid w:val="00B30B9D"/>
    <w:rsid w:val="00B35D13"/>
    <w:rsid w:val="00B36719"/>
    <w:rsid w:val="00B4574D"/>
    <w:rsid w:val="00B468E1"/>
    <w:rsid w:val="00B46BC0"/>
    <w:rsid w:val="00B46DFB"/>
    <w:rsid w:val="00B50298"/>
    <w:rsid w:val="00B5141B"/>
    <w:rsid w:val="00B54BA4"/>
    <w:rsid w:val="00B55681"/>
    <w:rsid w:val="00B57AAD"/>
    <w:rsid w:val="00B60FDF"/>
    <w:rsid w:val="00B6374E"/>
    <w:rsid w:val="00B647E0"/>
    <w:rsid w:val="00B65A70"/>
    <w:rsid w:val="00B72B16"/>
    <w:rsid w:val="00B74715"/>
    <w:rsid w:val="00B76330"/>
    <w:rsid w:val="00B80408"/>
    <w:rsid w:val="00B80EDD"/>
    <w:rsid w:val="00B81397"/>
    <w:rsid w:val="00B86871"/>
    <w:rsid w:val="00B925DB"/>
    <w:rsid w:val="00B967FF"/>
    <w:rsid w:val="00B974B9"/>
    <w:rsid w:val="00BA13BA"/>
    <w:rsid w:val="00BA3F6D"/>
    <w:rsid w:val="00BA4BE6"/>
    <w:rsid w:val="00BA4FC0"/>
    <w:rsid w:val="00BA61E0"/>
    <w:rsid w:val="00BA657C"/>
    <w:rsid w:val="00BA6A63"/>
    <w:rsid w:val="00BA7F7D"/>
    <w:rsid w:val="00BB1C14"/>
    <w:rsid w:val="00BB3D9D"/>
    <w:rsid w:val="00BB6847"/>
    <w:rsid w:val="00BB6B22"/>
    <w:rsid w:val="00BB7F8F"/>
    <w:rsid w:val="00BC3612"/>
    <w:rsid w:val="00BC716A"/>
    <w:rsid w:val="00BD07DF"/>
    <w:rsid w:val="00BD26F4"/>
    <w:rsid w:val="00BD5DBD"/>
    <w:rsid w:val="00BD5DF6"/>
    <w:rsid w:val="00BE0041"/>
    <w:rsid w:val="00BE304A"/>
    <w:rsid w:val="00BE3C0A"/>
    <w:rsid w:val="00BE4BD4"/>
    <w:rsid w:val="00BE640F"/>
    <w:rsid w:val="00BE6D2A"/>
    <w:rsid w:val="00BF4638"/>
    <w:rsid w:val="00BF5130"/>
    <w:rsid w:val="00BF6E4D"/>
    <w:rsid w:val="00C00844"/>
    <w:rsid w:val="00C059D0"/>
    <w:rsid w:val="00C061BF"/>
    <w:rsid w:val="00C07551"/>
    <w:rsid w:val="00C1109F"/>
    <w:rsid w:val="00C12D65"/>
    <w:rsid w:val="00C133AB"/>
    <w:rsid w:val="00C200F1"/>
    <w:rsid w:val="00C20B56"/>
    <w:rsid w:val="00C22214"/>
    <w:rsid w:val="00C26F72"/>
    <w:rsid w:val="00C309A7"/>
    <w:rsid w:val="00C318B7"/>
    <w:rsid w:val="00C32EA6"/>
    <w:rsid w:val="00C33476"/>
    <w:rsid w:val="00C335AB"/>
    <w:rsid w:val="00C36FD4"/>
    <w:rsid w:val="00C407AB"/>
    <w:rsid w:val="00C45782"/>
    <w:rsid w:val="00C45A0C"/>
    <w:rsid w:val="00C52B7B"/>
    <w:rsid w:val="00C547CD"/>
    <w:rsid w:val="00C570FF"/>
    <w:rsid w:val="00C57CEA"/>
    <w:rsid w:val="00C60FEC"/>
    <w:rsid w:val="00C62B1C"/>
    <w:rsid w:val="00C63000"/>
    <w:rsid w:val="00C6574E"/>
    <w:rsid w:val="00C663D1"/>
    <w:rsid w:val="00C707FD"/>
    <w:rsid w:val="00C71EE7"/>
    <w:rsid w:val="00C76DEB"/>
    <w:rsid w:val="00C811D8"/>
    <w:rsid w:val="00C813E3"/>
    <w:rsid w:val="00C816C6"/>
    <w:rsid w:val="00C85F22"/>
    <w:rsid w:val="00C863A7"/>
    <w:rsid w:val="00C912F4"/>
    <w:rsid w:val="00C9156F"/>
    <w:rsid w:val="00C9581A"/>
    <w:rsid w:val="00C97D29"/>
    <w:rsid w:val="00CB0550"/>
    <w:rsid w:val="00CB28A8"/>
    <w:rsid w:val="00CB6813"/>
    <w:rsid w:val="00CC28EE"/>
    <w:rsid w:val="00CC5726"/>
    <w:rsid w:val="00CC5818"/>
    <w:rsid w:val="00CD69AA"/>
    <w:rsid w:val="00CD6D85"/>
    <w:rsid w:val="00CE1896"/>
    <w:rsid w:val="00CE1F7A"/>
    <w:rsid w:val="00CE384D"/>
    <w:rsid w:val="00CF6A55"/>
    <w:rsid w:val="00CF6DC6"/>
    <w:rsid w:val="00CF6DCF"/>
    <w:rsid w:val="00D01DDB"/>
    <w:rsid w:val="00D03AAF"/>
    <w:rsid w:val="00D05DBA"/>
    <w:rsid w:val="00D078BE"/>
    <w:rsid w:val="00D13F8A"/>
    <w:rsid w:val="00D16F60"/>
    <w:rsid w:val="00D17415"/>
    <w:rsid w:val="00D22981"/>
    <w:rsid w:val="00D23AD4"/>
    <w:rsid w:val="00D24E15"/>
    <w:rsid w:val="00D3349B"/>
    <w:rsid w:val="00D41C85"/>
    <w:rsid w:val="00D424A8"/>
    <w:rsid w:val="00D43AA7"/>
    <w:rsid w:val="00D44298"/>
    <w:rsid w:val="00D44DE5"/>
    <w:rsid w:val="00D55C91"/>
    <w:rsid w:val="00D60236"/>
    <w:rsid w:val="00D6036F"/>
    <w:rsid w:val="00D60BF8"/>
    <w:rsid w:val="00D61E73"/>
    <w:rsid w:val="00D62877"/>
    <w:rsid w:val="00D63760"/>
    <w:rsid w:val="00D6703F"/>
    <w:rsid w:val="00D734EB"/>
    <w:rsid w:val="00D740CC"/>
    <w:rsid w:val="00D74784"/>
    <w:rsid w:val="00D762F7"/>
    <w:rsid w:val="00D77375"/>
    <w:rsid w:val="00D82713"/>
    <w:rsid w:val="00D86F00"/>
    <w:rsid w:val="00D918D5"/>
    <w:rsid w:val="00D94C8E"/>
    <w:rsid w:val="00D974CF"/>
    <w:rsid w:val="00DB1372"/>
    <w:rsid w:val="00DB192C"/>
    <w:rsid w:val="00DB1CF3"/>
    <w:rsid w:val="00DB5425"/>
    <w:rsid w:val="00DB72A6"/>
    <w:rsid w:val="00DC33AF"/>
    <w:rsid w:val="00DC6611"/>
    <w:rsid w:val="00DD1733"/>
    <w:rsid w:val="00DD5AFB"/>
    <w:rsid w:val="00DE1344"/>
    <w:rsid w:val="00DF18F4"/>
    <w:rsid w:val="00DF1CFD"/>
    <w:rsid w:val="00DF4075"/>
    <w:rsid w:val="00DF5BFE"/>
    <w:rsid w:val="00DF6AE7"/>
    <w:rsid w:val="00DF6BA1"/>
    <w:rsid w:val="00DF73C2"/>
    <w:rsid w:val="00E00708"/>
    <w:rsid w:val="00E0193E"/>
    <w:rsid w:val="00E0523F"/>
    <w:rsid w:val="00E060EA"/>
    <w:rsid w:val="00E23E50"/>
    <w:rsid w:val="00E25E07"/>
    <w:rsid w:val="00E26213"/>
    <w:rsid w:val="00E274DF"/>
    <w:rsid w:val="00E34D66"/>
    <w:rsid w:val="00E362C4"/>
    <w:rsid w:val="00E37311"/>
    <w:rsid w:val="00E4259A"/>
    <w:rsid w:val="00E46CC2"/>
    <w:rsid w:val="00E47E0C"/>
    <w:rsid w:val="00E51813"/>
    <w:rsid w:val="00E52C0B"/>
    <w:rsid w:val="00E53D3F"/>
    <w:rsid w:val="00E54E9D"/>
    <w:rsid w:val="00E5579B"/>
    <w:rsid w:val="00E57FF4"/>
    <w:rsid w:val="00E63CA1"/>
    <w:rsid w:val="00E679D1"/>
    <w:rsid w:val="00E67C1C"/>
    <w:rsid w:val="00E843D6"/>
    <w:rsid w:val="00E91F11"/>
    <w:rsid w:val="00E94713"/>
    <w:rsid w:val="00E96D0F"/>
    <w:rsid w:val="00E96E6A"/>
    <w:rsid w:val="00E9706D"/>
    <w:rsid w:val="00EA3AF4"/>
    <w:rsid w:val="00EA7B08"/>
    <w:rsid w:val="00EB055D"/>
    <w:rsid w:val="00EB28ED"/>
    <w:rsid w:val="00EC2C82"/>
    <w:rsid w:val="00EC7049"/>
    <w:rsid w:val="00ED4D59"/>
    <w:rsid w:val="00EE3055"/>
    <w:rsid w:val="00EE3A8E"/>
    <w:rsid w:val="00EE4B01"/>
    <w:rsid w:val="00EE5F5F"/>
    <w:rsid w:val="00EF3F0B"/>
    <w:rsid w:val="00EF53B9"/>
    <w:rsid w:val="00EF5583"/>
    <w:rsid w:val="00EF5865"/>
    <w:rsid w:val="00F0289D"/>
    <w:rsid w:val="00F02AEC"/>
    <w:rsid w:val="00F07572"/>
    <w:rsid w:val="00F157FC"/>
    <w:rsid w:val="00F16DBD"/>
    <w:rsid w:val="00F23FD8"/>
    <w:rsid w:val="00F30AF3"/>
    <w:rsid w:val="00F34596"/>
    <w:rsid w:val="00F43CD1"/>
    <w:rsid w:val="00F448FF"/>
    <w:rsid w:val="00F45AE0"/>
    <w:rsid w:val="00F531C2"/>
    <w:rsid w:val="00F60CF2"/>
    <w:rsid w:val="00F657B4"/>
    <w:rsid w:val="00F72725"/>
    <w:rsid w:val="00F732DF"/>
    <w:rsid w:val="00F743EA"/>
    <w:rsid w:val="00F75EC8"/>
    <w:rsid w:val="00F7649F"/>
    <w:rsid w:val="00F8083B"/>
    <w:rsid w:val="00F82D1B"/>
    <w:rsid w:val="00F8568E"/>
    <w:rsid w:val="00F865A7"/>
    <w:rsid w:val="00F95B12"/>
    <w:rsid w:val="00F9717A"/>
    <w:rsid w:val="00FA0754"/>
    <w:rsid w:val="00FA1BC9"/>
    <w:rsid w:val="00FA1EBF"/>
    <w:rsid w:val="00FA49C3"/>
    <w:rsid w:val="00FA5226"/>
    <w:rsid w:val="00FB0E93"/>
    <w:rsid w:val="00FB236E"/>
    <w:rsid w:val="00FB36A1"/>
    <w:rsid w:val="00FB379D"/>
    <w:rsid w:val="00FB3F7B"/>
    <w:rsid w:val="00FB4C2A"/>
    <w:rsid w:val="00FC0562"/>
    <w:rsid w:val="00FC2107"/>
    <w:rsid w:val="00FC48FE"/>
    <w:rsid w:val="00FC6EC3"/>
    <w:rsid w:val="00FC6F56"/>
    <w:rsid w:val="00FD0ECD"/>
    <w:rsid w:val="00FE0398"/>
    <w:rsid w:val="00FE087C"/>
    <w:rsid w:val="00FE33B5"/>
    <w:rsid w:val="00FE748A"/>
    <w:rsid w:val="00FE79A0"/>
    <w:rsid w:val="00FF0939"/>
    <w:rsid w:val="00FF1E13"/>
    <w:rsid w:val="2EC59D57"/>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778"/>
    <w:rPr>
      <w:rFonts w:ascii="Cambria" w:hAnsi="Cambria"/>
      <w:sz w:val="22"/>
    </w:rPr>
  </w:style>
  <w:style w:type="paragraph" w:styleId="Heading1">
    <w:name w:val="heading 1"/>
    <w:basedOn w:val="Normal"/>
    <w:next w:val="Normal"/>
    <w:link w:val="Heading1Char"/>
    <w:uiPriority w:val="9"/>
    <w:qFormat/>
    <w:rsid w:val="00A866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unhideWhenUsed/>
    <w:qFormat/>
    <w:rsid w:val="00385A5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AB0613"/>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character" w:customStyle="1" w:styleId="Heading1Char">
    <w:name w:val="Heading 1 Char"/>
    <w:basedOn w:val="DefaultParagraphFont"/>
    <w:link w:val="Heading1"/>
    <w:uiPriority w:val="9"/>
    <w:rsid w:val="00A86687"/>
    <w:rPr>
      <w:rFonts w:asciiTheme="majorHAnsi" w:eastAsiaTheme="majorEastAsia" w:hAnsiTheme="majorHAnsi" w:cstheme="majorBidi"/>
      <w:color w:val="2F5496" w:themeColor="accent1" w:themeShade="BF"/>
      <w:sz w:val="32"/>
      <w:szCs w:val="32"/>
    </w:rPr>
  </w:style>
  <w:style w:type="character" w:customStyle="1" w:styleId="Heading7Char">
    <w:name w:val="Heading 7 Char"/>
    <w:basedOn w:val="DefaultParagraphFont"/>
    <w:link w:val="Heading7"/>
    <w:uiPriority w:val="9"/>
    <w:rsid w:val="00385A55"/>
    <w:rPr>
      <w:rFonts w:asciiTheme="majorHAnsi" w:eastAsiaTheme="majorEastAsia" w:hAnsiTheme="majorHAnsi" w:cstheme="majorBidi"/>
      <w:i/>
      <w:iCs/>
      <w:color w:val="1F3763" w:themeColor="accent1" w:themeShade="7F"/>
      <w:sz w:val="22"/>
    </w:rPr>
  </w:style>
  <w:style w:type="character" w:styleId="Mention">
    <w:name w:val="Mention"/>
    <w:basedOn w:val="DefaultParagraphFont"/>
    <w:uiPriority w:val="99"/>
    <w:unhideWhenUsed/>
    <w:rsid w:val="00BE4B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4837">
      <w:bodyDiv w:val="1"/>
      <w:marLeft w:val="0"/>
      <w:marRight w:val="0"/>
      <w:marTop w:val="0"/>
      <w:marBottom w:val="0"/>
      <w:divBdr>
        <w:top w:val="none" w:sz="0" w:space="0" w:color="auto"/>
        <w:left w:val="none" w:sz="0" w:space="0" w:color="auto"/>
        <w:bottom w:val="none" w:sz="0" w:space="0" w:color="auto"/>
        <w:right w:val="none" w:sz="0" w:space="0" w:color="auto"/>
      </w:divBdr>
    </w:div>
    <w:div w:id="547839764">
      <w:bodyDiv w:val="1"/>
      <w:marLeft w:val="0"/>
      <w:marRight w:val="0"/>
      <w:marTop w:val="0"/>
      <w:marBottom w:val="0"/>
      <w:divBdr>
        <w:top w:val="none" w:sz="0" w:space="0" w:color="auto"/>
        <w:left w:val="none" w:sz="0" w:space="0" w:color="auto"/>
        <w:bottom w:val="none" w:sz="0" w:space="0" w:color="auto"/>
        <w:right w:val="none" w:sz="0" w:space="0" w:color="auto"/>
      </w:divBdr>
    </w:div>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908006293">
      <w:bodyDiv w:val="1"/>
      <w:marLeft w:val="0"/>
      <w:marRight w:val="0"/>
      <w:marTop w:val="0"/>
      <w:marBottom w:val="0"/>
      <w:divBdr>
        <w:top w:val="none" w:sz="0" w:space="0" w:color="auto"/>
        <w:left w:val="none" w:sz="0" w:space="0" w:color="auto"/>
        <w:bottom w:val="none" w:sz="0" w:space="0" w:color="auto"/>
        <w:right w:val="none" w:sz="0" w:space="0" w:color="auto"/>
      </w:divBdr>
      <w:divsChild>
        <w:div w:id="2034500292">
          <w:marLeft w:val="0"/>
          <w:marRight w:val="0"/>
          <w:marTop w:val="0"/>
          <w:marBottom w:val="0"/>
          <w:divBdr>
            <w:top w:val="none" w:sz="0" w:space="0" w:color="auto"/>
            <w:left w:val="none" w:sz="0" w:space="0" w:color="auto"/>
            <w:bottom w:val="none" w:sz="0" w:space="0" w:color="auto"/>
            <w:right w:val="none" w:sz="0" w:space="0" w:color="auto"/>
          </w:divBdr>
        </w:div>
      </w:divsChild>
    </w:div>
    <w:div w:id="1115829455">
      <w:bodyDiv w:val="1"/>
      <w:marLeft w:val="0"/>
      <w:marRight w:val="0"/>
      <w:marTop w:val="0"/>
      <w:marBottom w:val="0"/>
      <w:divBdr>
        <w:top w:val="none" w:sz="0" w:space="0" w:color="auto"/>
        <w:left w:val="none" w:sz="0" w:space="0" w:color="auto"/>
        <w:bottom w:val="none" w:sz="0" w:space="0" w:color="auto"/>
        <w:right w:val="none" w:sz="0" w:space="0" w:color="auto"/>
      </w:divBdr>
      <w:divsChild>
        <w:div w:id="539174673">
          <w:marLeft w:val="0"/>
          <w:marRight w:val="0"/>
          <w:marTop w:val="0"/>
          <w:marBottom w:val="0"/>
          <w:divBdr>
            <w:top w:val="none" w:sz="0" w:space="0" w:color="auto"/>
            <w:left w:val="none" w:sz="0" w:space="0" w:color="auto"/>
            <w:bottom w:val="none" w:sz="0" w:space="0" w:color="auto"/>
            <w:right w:val="none" w:sz="0" w:space="0" w:color="auto"/>
          </w:divBdr>
          <w:divsChild>
            <w:div w:id="1184394262">
              <w:marLeft w:val="0"/>
              <w:marRight w:val="0"/>
              <w:marTop w:val="0"/>
              <w:marBottom w:val="0"/>
              <w:divBdr>
                <w:top w:val="none" w:sz="0" w:space="0" w:color="auto"/>
                <w:left w:val="none" w:sz="0" w:space="0" w:color="auto"/>
                <w:bottom w:val="none" w:sz="0" w:space="0" w:color="auto"/>
                <w:right w:val="none" w:sz="0" w:space="0" w:color="auto"/>
              </w:divBdr>
              <w:divsChild>
                <w:div w:id="85153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083488">
      <w:bodyDiv w:val="1"/>
      <w:marLeft w:val="0"/>
      <w:marRight w:val="0"/>
      <w:marTop w:val="0"/>
      <w:marBottom w:val="0"/>
      <w:divBdr>
        <w:top w:val="none" w:sz="0" w:space="0" w:color="auto"/>
        <w:left w:val="none" w:sz="0" w:space="0" w:color="auto"/>
        <w:bottom w:val="none" w:sz="0" w:space="0" w:color="auto"/>
        <w:right w:val="none" w:sz="0" w:space="0" w:color="auto"/>
      </w:divBdr>
      <w:divsChild>
        <w:div w:id="2062628166">
          <w:marLeft w:val="0"/>
          <w:marRight w:val="0"/>
          <w:marTop w:val="0"/>
          <w:marBottom w:val="0"/>
          <w:divBdr>
            <w:top w:val="none" w:sz="0" w:space="0" w:color="auto"/>
            <w:left w:val="none" w:sz="0" w:space="0" w:color="auto"/>
            <w:bottom w:val="none" w:sz="0" w:space="0" w:color="auto"/>
            <w:right w:val="none" w:sz="0" w:space="0" w:color="auto"/>
          </w:divBdr>
          <w:divsChild>
            <w:div w:id="1201896089">
              <w:marLeft w:val="0"/>
              <w:marRight w:val="0"/>
              <w:marTop w:val="0"/>
              <w:marBottom w:val="0"/>
              <w:divBdr>
                <w:top w:val="none" w:sz="0" w:space="0" w:color="auto"/>
                <w:left w:val="none" w:sz="0" w:space="0" w:color="auto"/>
                <w:bottom w:val="none" w:sz="0" w:space="0" w:color="auto"/>
                <w:right w:val="none" w:sz="0" w:space="0" w:color="auto"/>
              </w:divBdr>
              <w:divsChild>
                <w:div w:id="57324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 w:id="1441148248">
      <w:bodyDiv w:val="1"/>
      <w:marLeft w:val="0"/>
      <w:marRight w:val="0"/>
      <w:marTop w:val="0"/>
      <w:marBottom w:val="0"/>
      <w:divBdr>
        <w:top w:val="none" w:sz="0" w:space="0" w:color="auto"/>
        <w:left w:val="none" w:sz="0" w:space="0" w:color="auto"/>
        <w:bottom w:val="none" w:sz="0" w:space="0" w:color="auto"/>
        <w:right w:val="none" w:sz="0" w:space="0" w:color="auto"/>
      </w:divBdr>
    </w:div>
    <w:div w:id="168382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ga.gov.au/australian-public-assessment-report-auspar-guidance" TargetMode="External"/><Relationship Id="rId26" Type="http://schemas.openxmlformats.org/officeDocument/2006/relationships/image" Target="media/image5.png"/><Relationship Id="rId39" Type="http://schemas.openxmlformats.org/officeDocument/2006/relationships/fontTable" Target="fontTable.xml"/><Relationship Id="rId21" Type="http://schemas.openxmlformats.org/officeDocument/2006/relationships/hyperlink" Target="https://www.tga.gov.au/products/medicines/find-information-about-medicine/prescribing-medicines-pregnancy-database"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tga.gov.au/" TargetMode="External"/><Relationship Id="rId25" Type="http://schemas.openxmlformats.org/officeDocument/2006/relationships/hyperlink" Target="https://www.tga.gov.au/resources/guidance/labelling-medicines-comply-tgo-91-and-tgo-92" TargetMode="External"/><Relationship Id="rId33" Type="http://schemas.openxmlformats.org/officeDocument/2006/relationships/header" Target="header4.xm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tga.gov.au/black-triangle-scheme" TargetMode="External"/><Relationship Id="rId29"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hyperlink" Target="https://www.ebs.tga.gov.au/"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tga.gov.au/how-we-regulate/supply-therapeutic-good-0/supply-prescription-medicine/application-process/prescription-medicines-registration-process" TargetMode="External"/><Relationship Id="rId28" Type="http://schemas.openxmlformats.org/officeDocument/2006/relationships/image" Target="media/image6.png"/><Relationship Id="rId36" Type="http://schemas.openxmlformats.org/officeDocument/2006/relationships/hyperlink" Target="https://www.tga.gov.au" TargetMode="External"/><Relationship Id="rId10" Type="http://schemas.openxmlformats.org/officeDocument/2006/relationships/endnotes" Target="endnotes.xml"/><Relationship Id="rId19" Type="http://schemas.openxmlformats.org/officeDocument/2006/relationships/hyperlink" Target="mailto:tga.copyright@tga.gov.au" TargetMode="External"/><Relationship Id="rId31" Type="http://schemas.openxmlformats.org/officeDocument/2006/relationships/hyperlink" Target="https://www.tga.gov.au/committee/advisory-committee-medicines-ac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ga.gov.au/obstetric-drug-information-services" TargetMode="External"/><Relationship Id="rId27" Type="http://schemas.microsoft.com/office/2007/relationships/hdphoto" Target="media/hdphoto1.wdp"/><Relationship Id="rId30" Type="http://schemas.openxmlformats.org/officeDocument/2006/relationships/image" Target="media/image7.jpeg"/><Relationship Id="rId35" Type="http://schemas.openxmlformats.org/officeDocument/2006/relationships/hyperlink" Target="mailto:info@tga.gov.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ema.europa.eu/en/ich-q3b-r2-impurities-new-drug-products-scientific-guideline" TargetMode="External"/><Relationship Id="rId2" Type="http://schemas.openxmlformats.org/officeDocument/2006/relationships/hyperlink" Target="https://www.ema.europa.eu/en/ich-q3a-r2-impurities-new-drug-substances-scientific-guideline" TargetMode="External"/><Relationship Id="rId1" Type="http://schemas.openxmlformats.org/officeDocument/2006/relationships/hyperlink" Target="https://medlineplus.gov/genetics/condition/phenylketonuria/" TargetMode="External"/><Relationship Id="rId4" Type="http://schemas.openxmlformats.org/officeDocument/2006/relationships/hyperlink" Target="https://www.ema.europa.eu/en/ich-m3-r2-non-clinical-safety-studies-conduct-human-clinical-trials-pharmaceuticals-scientific-guidelin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3C66D60910E4F83D0B9EBBEE2AB89" ma:contentTypeVersion="8" ma:contentTypeDescription="Create a new document." ma:contentTypeScope="" ma:versionID="ed37237c7bd49db794c7ed1194ce799c">
  <xsd:schema xmlns:xsd="http://www.w3.org/2001/XMLSchema" xmlns:xs="http://www.w3.org/2001/XMLSchema" xmlns:p="http://schemas.microsoft.com/office/2006/metadata/properties" xmlns:ns2="e243aae9-0136-4fe1-ba32-43d62363dd53" xmlns:ns3="9476ef31-49e0-402f-89af-269fa92baafc" targetNamespace="http://schemas.microsoft.com/office/2006/metadata/properties" ma:root="true" ma:fieldsID="fedee730587ba7cb4a28513e305488e9" ns2:_="" ns3:_="">
    <xsd:import namespace="e243aae9-0136-4fe1-ba32-43d62363dd53"/>
    <xsd:import namespace="9476ef31-49e0-402f-89af-269fa92baa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3aae9-0136-4fe1-ba32-43d62363dd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76ef31-49e0-402f-89af-269fa92baa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800455-F040-45C3-B188-D4AC6EBB2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3aae9-0136-4fe1-ba32-43d62363dd53"/>
    <ds:schemaRef ds:uri="9476ef31-49e0-402f-89af-269fa92ba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C1386-7EDE-4539-929E-A65CC3020281}">
  <ds:schemaRefs>
    <ds:schemaRef ds:uri="http://schemas.microsoft.com/sharepoint/v3/contenttype/forms"/>
  </ds:schemaRefs>
</ds:datastoreItem>
</file>

<file path=customXml/itemProps3.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customXml/itemProps4.xml><?xml version="1.0" encoding="utf-8"?>
<ds:datastoreItem xmlns:ds="http://schemas.openxmlformats.org/officeDocument/2006/customXml" ds:itemID="{B5267D12-DDBE-48AD-96F3-8DC68DC355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25</Pages>
  <Words>8991</Words>
  <Characters>52615</Characters>
  <Application>Microsoft Office Word</Application>
  <DocSecurity>0</DocSecurity>
  <Lines>974</Lines>
  <Paragraphs>492</Paragraphs>
  <ScaleCrop>false</ScaleCrop>
  <HeadingPairs>
    <vt:vector size="2" baseType="variant">
      <vt:variant>
        <vt:lpstr>Title</vt:lpstr>
      </vt:variant>
      <vt:variant>
        <vt:i4>1</vt:i4>
      </vt:variant>
    </vt:vector>
  </HeadingPairs>
  <TitlesOfParts>
    <vt:vector size="1" baseType="lpstr">
      <vt:lpstr>Australian Public Assessment Report for Sephience</vt:lpstr>
    </vt:vector>
  </TitlesOfParts>
  <Company>Department of Health, Disability and Ageing</Company>
  <LinksUpToDate>false</LinksUpToDate>
  <CharactersWithSpaces>61114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Sephience</dc:title>
  <dc:subject>Prescription medicines</dc:subject>
  <dc:creator>Therapeutic Goods Administration</dc:creator>
  <cp:keywords/>
  <dc:description/>
  <dcterms:created xsi:type="dcterms:W3CDTF">2025-12-01T03:46:00Z</dcterms:created>
  <dcterms:modified xsi:type="dcterms:W3CDTF">2025-12-04T03:32:00Z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1c03e3d7,ca4309d,3b2e874e,3ae73020,6da49309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5eb5b76,556afb7f,4f26f9f7,28050260,dd7cfc9</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2025-10-21T04:16:03Z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98d923be-3838-48c3-b42e-7ff36f0646a0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0x010100EE93C66D60910E4F83D0B9EBBEE2AB89</vt:lpwstr>
  </property>
</Properties>
</file>