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2DD91667" w:rsidR="00F02AEC" w:rsidRPr="00215D48" w:rsidRDefault="00346EC2" w:rsidP="007452E8">
            <w:pPr>
              <w:pStyle w:val="Title"/>
            </w:pPr>
            <w:r w:rsidRPr="00346EC2">
              <w:t>Australian Public Assessment Report for</w:t>
            </w:r>
            <w:r w:rsidR="00885B75">
              <w:t xml:space="preserve"> </w:t>
            </w:r>
            <w:bookmarkStart w:id="0" w:name="_Hlk216180683"/>
            <w:r w:rsidR="000A2194">
              <w:t>Osenvelt</w:t>
            </w:r>
            <w:r w:rsidR="0089531E">
              <w:t>,</w:t>
            </w:r>
            <w:r w:rsidR="008B475F">
              <w:t xml:space="preserve"> Stoboclo</w:t>
            </w:r>
            <w:bookmarkEnd w:id="0"/>
          </w:p>
        </w:tc>
      </w:tr>
      <w:tr w:rsidR="00F02AEC" w:rsidRPr="00215D48" w14:paraId="318A40A3" w14:textId="77777777" w:rsidTr="00346EC2">
        <w:trPr>
          <w:trHeight w:val="995"/>
        </w:trPr>
        <w:tc>
          <w:tcPr>
            <w:tcW w:w="8720" w:type="dxa"/>
          </w:tcPr>
          <w:p w14:paraId="1AA7C701" w14:textId="77036ABD" w:rsidR="00F02AEC" w:rsidRPr="00215D48" w:rsidRDefault="00346EC2" w:rsidP="007452E8">
            <w:pPr>
              <w:pStyle w:val="Subtitle"/>
              <w:ind w:left="0"/>
            </w:pPr>
            <w:r w:rsidRPr="00346EC2">
              <w:t xml:space="preserve">Active ingredient: </w:t>
            </w:r>
            <w:bookmarkStart w:id="1" w:name="_Hlk216180834"/>
            <w:r w:rsidR="005E7AF6">
              <w:t>Denosumab</w:t>
            </w:r>
            <w:bookmarkEnd w:id="1"/>
          </w:p>
        </w:tc>
      </w:tr>
      <w:tr w:rsidR="00346EC2" w:rsidRPr="00215D48" w14:paraId="362CCAE4" w14:textId="77777777" w:rsidTr="007452E8">
        <w:trPr>
          <w:trHeight w:val="1916"/>
        </w:trPr>
        <w:tc>
          <w:tcPr>
            <w:tcW w:w="8720" w:type="dxa"/>
          </w:tcPr>
          <w:p w14:paraId="709C45C0" w14:textId="3F79A7C8" w:rsidR="00346EC2" w:rsidRPr="00215D48" w:rsidRDefault="00346EC2" w:rsidP="007452E8">
            <w:pPr>
              <w:pStyle w:val="Subtitle"/>
              <w:ind w:left="0"/>
            </w:pPr>
            <w:r w:rsidRPr="00346EC2">
              <w:t>Sponsor:</w:t>
            </w:r>
            <w:r w:rsidR="005E7AF6">
              <w:t xml:space="preserve"> </w:t>
            </w:r>
            <w:r w:rsidR="0095262E" w:rsidRPr="0095262E">
              <w:rPr>
                <w:rFonts w:ascii="Cambria" w:eastAsia="Cambria" w:hAnsi="Cambria"/>
                <w:bCs w:val="0"/>
                <w:iCs w:val="0"/>
                <w:color w:val="auto"/>
                <w:sz w:val="22"/>
                <w:szCs w:val="22"/>
                <w:lang w:eastAsia="en-US"/>
              </w:rPr>
              <w:t xml:space="preserve"> </w:t>
            </w:r>
            <w:bookmarkStart w:id="2" w:name="_Hlk216180843"/>
            <w:r w:rsidR="0095262E" w:rsidRPr="0095262E">
              <w:t>Celltrion Health</w:t>
            </w:r>
            <w:r w:rsidR="00EC1C44">
              <w:t>c</w:t>
            </w:r>
            <w:r w:rsidR="0095262E" w:rsidRPr="0095262E">
              <w:t>are Australia Pty Ltd</w:t>
            </w:r>
            <w:bookmarkEnd w:id="2"/>
          </w:p>
        </w:tc>
      </w:tr>
      <w:tr w:rsidR="00F02AEC" w:rsidRPr="00215D48" w14:paraId="37F2AA1F" w14:textId="77777777" w:rsidTr="007452E8">
        <w:tc>
          <w:tcPr>
            <w:tcW w:w="8720" w:type="dxa"/>
          </w:tcPr>
          <w:p w14:paraId="1FDE8DCD" w14:textId="22B2AD36" w:rsidR="00F02AEC" w:rsidRPr="00215D48" w:rsidRDefault="00C624EE" w:rsidP="007452E8">
            <w:pPr>
              <w:pStyle w:val="Date"/>
            </w:pPr>
            <w:r>
              <w:t>December</w:t>
            </w:r>
            <w:r w:rsidR="003B2819">
              <w:t xml:space="preserve"> 2025</w:t>
            </w:r>
          </w:p>
        </w:tc>
      </w:tr>
    </w:tbl>
    <w:p w14:paraId="73752706" w14:textId="77777777" w:rsidR="00F02AEC" w:rsidRPr="00215D48" w:rsidRDefault="00F02AEC" w:rsidP="007452E8">
      <w:pPr>
        <w:pStyle w:val="ListBullet"/>
        <w:numPr>
          <w:ilvl w:val="0"/>
          <w:numId w:val="0"/>
        </w:numPr>
        <w:sectPr w:rsidR="00F02AEC" w:rsidRPr="00215D48" w:rsidSect="00CB055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7"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8"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121AC733" w:rsidR="00175CD8" w:rsidRPr="00346EC2" w:rsidRDefault="00F02AEC" w:rsidP="00346EC2">
      <w:pPr>
        <w:pStyle w:val="LegalCopy"/>
        <w:rPr>
          <w:rFonts w:cs="Arial"/>
        </w:rPr>
      </w:pPr>
      <w:r w:rsidRPr="00215D48">
        <w:rPr>
          <w:rFonts w:cs="Arial"/>
        </w:rPr>
        <w:t>© Commonwealth of Australia 20</w:t>
      </w:r>
      <w:r>
        <w:rPr>
          <w:rFonts w:cs="Arial"/>
        </w:rPr>
        <w:t>2</w:t>
      </w:r>
      <w:r w:rsidR="00210F9B">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r w:rsidR="00250BA6" w:rsidRPr="00215D48">
        <w:rPr>
          <w:rFonts w:cs="Arial"/>
        </w:rPr>
        <w:t>reserved,</w:t>
      </w:r>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9"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rFonts w:eastAsiaTheme="minorEastAsia"/>
          <w:szCs w:val="20"/>
        </w:rPr>
      </w:sdtEndPr>
      <w:sdtContent>
        <w:p w14:paraId="0A6ADA2B" w14:textId="77777777" w:rsidR="00F02AEC" w:rsidRPr="00215D48" w:rsidRDefault="00F02AEC" w:rsidP="007452E8">
          <w:pPr>
            <w:pStyle w:val="NonTOCheading2"/>
          </w:pPr>
          <w:r w:rsidRPr="00215D48">
            <w:t>Contents</w:t>
          </w:r>
        </w:p>
        <w:p w14:paraId="60C9E9DF" w14:textId="419D5BDF" w:rsidR="00C624EE"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15235742" w:history="1">
            <w:r w:rsidR="00C624EE" w:rsidRPr="00E704E8">
              <w:rPr>
                <w:rStyle w:val="Hyperlink"/>
                <w:noProof/>
              </w:rPr>
              <w:t>List of abbreviations</w:t>
            </w:r>
            <w:r w:rsidR="00C624EE">
              <w:rPr>
                <w:noProof/>
                <w:webHidden/>
              </w:rPr>
              <w:tab/>
            </w:r>
            <w:r w:rsidR="00C624EE">
              <w:rPr>
                <w:noProof/>
                <w:webHidden/>
              </w:rPr>
              <w:fldChar w:fldCharType="begin"/>
            </w:r>
            <w:r w:rsidR="00C624EE">
              <w:rPr>
                <w:noProof/>
                <w:webHidden/>
              </w:rPr>
              <w:instrText xml:space="preserve"> PAGEREF _Toc215235742 \h </w:instrText>
            </w:r>
            <w:r w:rsidR="00C624EE">
              <w:rPr>
                <w:noProof/>
                <w:webHidden/>
              </w:rPr>
            </w:r>
            <w:r w:rsidR="00C624EE">
              <w:rPr>
                <w:noProof/>
                <w:webHidden/>
              </w:rPr>
              <w:fldChar w:fldCharType="separate"/>
            </w:r>
            <w:r w:rsidR="00C624EE">
              <w:rPr>
                <w:noProof/>
                <w:webHidden/>
              </w:rPr>
              <w:t>4</w:t>
            </w:r>
            <w:r w:rsidR="00C624EE">
              <w:rPr>
                <w:noProof/>
                <w:webHidden/>
              </w:rPr>
              <w:fldChar w:fldCharType="end"/>
            </w:r>
          </w:hyperlink>
        </w:p>
        <w:p w14:paraId="3D1DF5D7" w14:textId="6C687F8A" w:rsidR="00C624EE" w:rsidRDefault="00C624E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5235743" w:history="1">
            <w:r w:rsidRPr="00E704E8">
              <w:rPr>
                <w:rStyle w:val="Hyperlink"/>
                <w:noProof/>
              </w:rPr>
              <w:t>Product submission</w:t>
            </w:r>
            <w:r>
              <w:rPr>
                <w:noProof/>
                <w:webHidden/>
              </w:rPr>
              <w:tab/>
            </w:r>
            <w:r>
              <w:rPr>
                <w:noProof/>
                <w:webHidden/>
              </w:rPr>
              <w:fldChar w:fldCharType="begin"/>
            </w:r>
            <w:r>
              <w:rPr>
                <w:noProof/>
                <w:webHidden/>
              </w:rPr>
              <w:instrText xml:space="preserve"> PAGEREF _Toc215235743 \h </w:instrText>
            </w:r>
            <w:r>
              <w:rPr>
                <w:noProof/>
                <w:webHidden/>
              </w:rPr>
            </w:r>
            <w:r>
              <w:rPr>
                <w:noProof/>
                <w:webHidden/>
              </w:rPr>
              <w:fldChar w:fldCharType="separate"/>
            </w:r>
            <w:r>
              <w:rPr>
                <w:noProof/>
                <w:webHidden/>
              </w:rPr>
              <w:t>7</w:t>
            </w:r>
            <w:r>
              <w:rPr>
                <w:noProof/>
                <w:webHidden/>
              </w:rPr>
              <w:fldChar w:fldCharType="end"/>
            </w:r>
          </w:hyperlink>
        </w:p>
        <w:p w14:paraId="416D0D2D" w14:textId="7AD6238A" w:rsidR="00C624EE" w:rsidRDefault="00C624E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5235744" w:history="1">
            <w:r w:rsidRPr="00E704E8">
              <w:rPr>
                <w:rStyle w:val="Hyperlink"/>
                <w:noProof/>
                <w:lang w:eastAsia="en-AU"/>
              </w:rPr>
              <w:t>Submission details</w:t>
            </w:r>
            <w:r>
              <w:rPr>
                <w:noProof/>
                <w:webHidden/>
              </w:rPr>
              <w:tab/>
            </w:r>
            <w:r>
              <w:rPr>
                <w:noProof/>
                <w:webHidden/>
              </w:rPr>
              <w:fldChar w:fldCharType="begin"/>
            </w:r>
            <w:r>
              <w:rPr>
                <w:noProof/>
                <w:webHidden/>
              </w:rPr>
              <w:instrText xml:space="preserve"> PAGEREF _Toc215235744 \h </w:instrText>
            </w:r>
            <w:r>
              <w:rPr>
                <w:noProof/>
                <w:webHidden/>
              </w:rPr>
            </w:r>
            <w:r>
              <w:rPr>
                <w:noProof/>
                <w:webHidden/>
              </w:rPr>
              <w:fldChar w:fldCharType="separate"/>
            </w:r>
            <w:r>
              <w:rPr>
                <w:noProof/>
                <w:webHidden/>
              </w:rPr>
              <w:t>7</w:t>
            </w:r>
            <w:r>
              <w:rPr>
                <w:noProof/>
                <w:webHidden/>
              </w:rPr>
              <w:fldChar w:fldCharType="end"/>
            </w:r>
          </w:hyperlink>
        </w:p>
        <w:p w14:paraId="0F9F498C" w14:textId="1A0909AF" w:rsidR="00C624EE" w:rsidRDefault="00C624E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5235745" w:history="1">
            <w:r w:rsidRPr="00E704E8">
              <w:rPr>
                <w:rStyle w:val="Hyperlink"/>
                <w:noProof/>
              </w:rPr>
              <w:t>Product background</w:t>
            </w:r>
            <w:r>
              <w:rPr>
                <w:noProof/>
                <w:webHidden/>
              </w:rPr>
              <w:tab/>
            </w:r>
            <w:r>
              <w:rPr>
                <w:noProof/>
                <w:webHidden/>
              </w:rPr>
              <w:fldChar w:fldCharType="begin"/>
            </w:r>
            <w:r>
              <w:rPr>
                <w:noProof/>
                <w:webHidden/>
              </w:rPr>
              <w:instrText xml:space="preserve"> PAGEREF _Toc215235745 \h </w:instrText>
            </w:r>
            <w:r>
              <w:rPr>
                <w:noProof/>
                <w:webHidden/>
              </w:rPr>
            </w:r>
            <w:r>
              <w:rPr>
                <w:noProof/>
                <w:webHidden/>
              </w:rPr>
              <w:fldChar w:fldCharType="separate"/>
            </w:r>
            <w:r>
              <w:rPr>
                <w:noProof/>
                <w:webHidden/>
              </w:rPr>
              <w:t>9</w:t>
            </w:r>
            <w:r>
              <w:rPr>
                <w:noProof/>
                <w:webHidden/>
              </w:rPr>
              <w:fldChar w:fldCharType="end"/>
            </w:r>
          </w:hyperlink>
        </w:p>
        <w:p w14:paraId="6CD53D4C" w14:textId="17D25836" w:rsidR="00C624EE" w:rsidRDefault="00C624E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5235746" w:history="1">
            <w:r w:rsidRPr="00E704E8">
              <w:rPr>
                <w:rStyle w:val="Hyperlink"/>
                <w:noProof/>
              </w:rPr>
              <w:t>Disease or condition</w:t>
            </w:r>
            <w:r>
              <w:rPr>
                <w:noProof/>
                <w:webHidden/>
              </w:rPr>
              <w:tab/>
            </w:r>
            <w:r>
              <w:rPr>
                <w:noProof/>
                <w:webHidden/>
              </w:rPr>
              <w:fldChar w:fldCharType="begin"/>
            </w:r>
            <w:r>
              <w:rPr>
                <w:noProof/>
                <w:webHidden/>
              </w:rPr>
              <w:instrText xml:space="preserve"> PAGEREF _Toc215235746 \h </w:instrText>
            </w:r>
            <w:r>
              <w:rPr>
                <w:noProof/>
                <w:webHidden/>
              </w:rPr>
            </w:r>
            <w:r>
              <w:rPr>
                <w:noProof/>
                <w:webHidden/>
              </w:rPr>
              <w:fldChar w:fldCharType="separate"/>
            </w:r>
            <w:r>
              <w:rPr>
                <w:noProof/>
                <w:webHidden/>
              </w:rPr>
              <w:t>10</w:t>
            </w:r>
            <w:r>
              <w:rPr>
                <w:noProof/>
                <w:webHidden/>
              </w:rPr>
              <w:fldChar w:fldCharType="end"/>
            </w:r>
          </w:hyperlink>
        </w:p>
        <w:p w14:paraId="4B9D8AB7" w14:textId="2EBFA2D1" w:rsidR="00C624EE" w:rsidRDefault="00C624E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5235747" w:history="1">
            <w:r w:rsidRPr="00E704E8">
              <w:rPr>
                <w:rStyle w:val="Hyperlink"/>
                <w:noProof/>
              </w:rPr>
              <w:t>Current treatment options</w:t>
            </w:r>
            <w:r>
              <w:rPr>
                <w:noProof/>
                <w:webHidden/>
              </w:rPr>
              <w:tab/>
            </w:r>
            <w:r>
              <w:rPr>
                <w:noProof/>
                <w:webHidden/>
              </w:rPr>
              <w:fldChar w:fldCharType="begin"/>
            </w:r>
            <w:r>
              <w:rPr>
                <w:noProof/>
                <w:webHidden/>
              </w:rPr>
              <w:instrText xml:space="preserve"> PAGEREF _Toc215235747 \h </w:instrText>
            </w:r>
            <w:r>
              <w:rPr>
                <w:noProof/>
                <w:webHidden/>
              </w:rPr>
            </w:r>
            <w:r>
              <w:rPr>
                <w:noProof/>
                <w:webHidden/>
              </w:rPr>
              <w:fldChar w:fldCharType="separate"/>
            </w:r>
            <w:r>
              <w:rPr>
                <w:noProof/>
                <w:webHidden/>
              </w:rPr>
              <w:t>11</w:t>
            </w:r>
            <w:r>
              <w:rPr>
                <w:noProof/>
                <w:webHidden/>
              </w:rPr>
              <w:fldChar w:fldCharType="end"/>
            </w:r>
          </w:hyperlink>
        </w:p>
        <w:p w14:paraId="75DF5CED" w14:textId="10E538B6" w:rsidR="00C624EE" w:rsidRDefault="00C624E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5235748" w:history="1">
            <w:r w:rsidRPr="00E704E8">
              <w:rPr>
                <w:rStyle w:val="Hyperlink"/>
                <w:noProof/>
              </w:rPr>
              <w:t>Clinical rationale</w:t>
            </w:r>
            <w:r>
              <w:rPr>
                <w:noProof/>
                <w:webHidden/>
              </w:rPr>
              <w:tab/>
            </w:r>
            <w:r>
              <w:rPr>
                <w:noProof/>
                <w:webHidden/>
              </w:rPr>
              <w:fldChar w:fldCharType="begin"/>
            </w:r>
            <w:r>
              <w:rPr>
                <w:noProof/>
                <w:webHidden/>
              </w:rPr>
              <w:instrText xml:space="preserve"> PAGEREF _Toc215235748 \h </w:instrText>
            </w:r>
            <w:r>
              <w:rPr>
                <w:noProof/>
                <w:webHidden/>
              </w:rPr>
            </w:r>
            <w:r>
              <w:rPr>
                <w:noProof/>
                <w:webHidden/>
              </w:rPr>
              <w:fldChar w:fldCharType="separate"/>
            </w:r>
            <w:r>
              <w:rPr>
                <w:noProof/>
                <w:webHidden/>
              </w:rPr>
              <w:t>11</w:t>
            </w:r>
            <w:r>
              <w:rPr>
                <w:noProof/>
                <w:webHidden/>
              </w:rPr>
              <w:fldChar w:fldCharType="end"/>
            </w:r>
          </w:hyperlink>
        </w:p>
        <w:p w14:paraId="14FCF71F" w14:textId="3103A275" w:rsidR="00C624EE" w:rsidRDefault="00C624E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5235749" w:history="1">
            <w:r w:rsidRPr="00E704E8">
              <w:rPr>
                <w:rStyle w:val="Hyperlink"/>
                <w:noProof/>
              </w:rPr>
              <w:t>Regulatory status</w:t>
            </w:r>
            <w:r>
              <w:rPr>
                <w:noProof/>
                <w:webHidden/>
              </w:rPr>
              <w:tab/>
            </w:r>
            <w:r>
              <w:rPr>
                <w:noProof/>
                <w:webHidden/>
              </w:rPr>
              <w:fldChar w:fldCharType="begin"/>
            </w:r>
            <w:r>
              <w:rPr>
                <w:noProof/>
                <w:webHidden/>
              </w:rPr>
              <w:instrText xml:space="preserve"> PAGEREF _Toc215235749 \h </w:instrText>
            </w:r>
            <w:r>
              <w:rPr>
                <w:noProof/>
                <w:webHidden/>
              </w:rPr>
            </w:r>
            <w:r>
              <w:rPr>
                <w:noProof/>
                <w:webHidden/>
              </w:rPr>
              <w:fldChar w:fldCharType="separate"/>
            </w:r>
            <w:r>
              <w:rPr>
                <w:noProof/>
                <w:webHidden/>
              </w:rPr>
              <w:t>11</w:t>
            </w:r>
            <w:r>
              <w:rPr>
                <w:noProof/>
                <w:webHidden/>
              </w:rPr>
              <w:fldChar w:fldCharType="end"/>
            </w:r>
          </w:hyperlink>
        </w:p>
        <w:p w14:paraId="47A12007" w14:textId="7D946B20" w:rsidR="00C624EE" w:rsidRDefault="00C624E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5235750" w:history="1">
            <w:r w:rsidRPr="00E704E8">
              <w:rPr>
                <w:rStyle w:val="Hyperlink"/>
                <w:noProof/>
              </w:rPr>
              <w:t>Australian regulatory status</w:t>
            </w:r>
            <w:r>
              <w:rPr>
                <w:noProof/>
                <w:webHidden/>
              </w:rPr>
              <w:tab/>
            </w:r>
            <w:r>
              <w:rPr>
                <w:noProof/>
                <w:webHidden/>
              </w:rPr>
              <w:fldChar w:fldCharType="begin"/>
            </w:r>
            <w:r>
              <w:rPr>
                <w:noProof/>
                <w:webHidden/>
              </w:rPr>
              <w:instrText xml:space="preserve"> PAGEREF _Toc215235750 \h </w:instrText>
            </w:r>
            <w:r>
              <w:rPr>
                <w:noProof/>
                <w:webHidden/>
              </w:rPr>
            </w:r>
            <w:r>
              <w:rPr>
                <w:noProof/>
                <w:webHidden/>
              </w:rPr>
              <w:fldChar w:fldCharType="separate"/>
            </w:r>
            <w:r>
              <w:rPr>
                <w:noProof/>
                <w:webHidden/>
              </w:rPr>
              <w:t>11</w:t>
            </w:r>
            <w:r>
              <w:rPr>
                <w:noProof/>
                <w:webHidden/>
              </w:rPr>
              <w:fldChar w:fldCharType="end"/>
            </w:r>
          </w:hyperlink>
        </w:p>
        <w:p w14:paraId="0B567620" w14:textId="13557AE8" w:rsidR="00C624EE" w:rsidRDefault="00C624E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5235751" w:history="1">
            <w:r w:rsidRPr="00E704E8">
              <w:rPr>
                <w:rStyle w:val="Hyperlink"/>
                <w:noProof/>
              </w:rPr>
              <w:t>International regulatory status</w:t>
            </w:r>
            <w:r>
              <w:rPr>
                <w:noProof/>
                <w:webHidden/>
              </w:rPr>
              <w:tab/>
            </w:r>
            <w:r>
              <w:rPr>
                <w:noProof/>
                <w:webHidden/>
              </w:rPr>
              <w:fldChar w:fldCharType="begin"/>
            </w:r>
            <w:r>
              <w:rPr>
                <w:noProof/>
                <w:webHidden/>
              </w:rPr>
              <w:instrText xml:space="preserve"> PAGEREF _Toc215235751 \h </w:instrText>
            </w:r>
            <w:r>
              <w:rPr>
                <w:noProof/>
                <w:webHidden/>
              </w:rPr>
            </w:r>
            <w:r>
              <w:rPr>
                <w:noProof/>
                <w:webHidden/>
              </w:rPr>
              <w:fldChar w:fldCharType="separate"/>
            </w:r>
            <w:r>
              <w:rPr>
                <w:noProof/>
                <w:webHidden/>
              </w:rPr>
              <w:t>12</w:t>
            </w:r>
            <w:r>
              <w:rPr>
                <w:noProof/>
                <w:webHidden/>
              </w:rPr>
              <w:fldChar w:fldCharType="end"/>
            </w:r>
          </w:hyperlink>
        </w:p>
        <w:p w14:paraId="0EFE6B57" w14:textId="594BE61A" w:rsidR="00C624EE" w:rsidRDefault="00C624E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5235752" w:history="1">
            <w:r w:rsidRPr="00E704E8">
              <w:rPr>
                <w:rStyle w:val="Hyperlink"/>
                <w:noProof/>
              </w:rPr>
              <w:t>Registration timeline</w:t>
            </w:r>
            <w:r>
              <w:rPr>
                <w:noProof/>
                <w:webHidden/>
              </w:rPr>
              <w:tab/>
            </w:r>
            <w:r>
              <w:rPr>
                <w:noProof/>
                <w:webHidden/>
              </w:rPr>
              <w:fldChar w:fldCharType="begin"/>
            </w:r>
            <w:r>
              <w:rPr>
                <w:noProof/>
                <w:webHidden/>
              </w:rPr>
              <w:instrText xml:space="preserve"> PAGEREF _Toc215235752 \h </w:instrText>
            </w:r>
            <w:r>
              <w:rPr>
                <w:noProof/>
                <w:webHidden/>
              </w:rPr>
            </w:r>
            <w:r>
              <w:rPr>
                <w:noProof/>
                <w:webHidden/>
              </w:rPr>
              <w:fldChar w:fldCharType="separate"/>
            </w:r>
            <w:r>
              <w:rPr>
                <w:noProof/>
                <w:webHidden/>
              </w:rPr>
              <w:t>14</w:t>
            </w:r>
            <w:r>
              <w:rPr>
                <w:noProof/>
                <w:webHidden/>
              </w:rPr>
              <w:fldChar w:fldCharType="end"/>
            </w:r>
          </w:hyperlink>
        </w:p>
        <w:p w14:paraId="5168A78B" w14:textId="2B37A357" w:rsidR="00C624EE" w:rsidRDefault="00C624E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5235753" w:history="1">
            <w:r w:rsidRPr="00E704E8">
              <w:rPr>
                <w:rStyle w:val="Hyperlink"/>
                <w:noProof/>
              </w:rPr>
              <w:t>Assessment overview</w:t>
            </w:r>
            <w:r>
              <w:rPr>
                <w:noProof/>
                <w:webHidden/>
              </w:rPr>
              <w:tab/>
            </w:r>
            <w:r>
              <w:rPr>
                <w:noProof/>
                <w:webHidden/>
              </w:rPr>
              <w:fldChar w:fldCharType="begin"/>
            </w:r>
            <w:r>
              <w:rPr>
                <w:noProof/>
                <w:webHidden/>
              </w:rPr>
              <w:instrText xml:space="preserve"> PAGEREF _Toc215235753 \h </w:instrText>
            </w:r>
            <w:r>
              <w:rPr>
                <w:noProof/>
                <w:webHidden/>
              </w:rPr>
            </w:r>
            <w:r>
              <w:rPr>
                <w:noProof/>
                <w:webHidden/>
              </w:rPr>
              <w:fldChar w:fldCharType="separate"/>
            </w:r>
            <w:r>
              <w:rPr>
                <w:noProof/>
                <w:webHidden/>
              </w:rPr>
              <w:t>14</w:t>
            </w:r>
            <w:r>
              <w:rPr>
                <w:noProof/>
                <w:webHidden/>
              </w:rPr>
              <w:fldChar w:fldCharType="end"/>
            </w:r>
          </w:hyperlink>
        </w:p>
        <w:p w14:paraId="36F06F84" w14:textId="68D60940" w:rsidR="00C624EE" w:rsidRDefault="00C624E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5235754" w:history="1">
            <w:r w:rsidRPr="00E704E8">
              <w:rPr>
                <w:rStyle w:val="Hyperlink"/>
                <w:noProof/>
              </w:rPr>
              <w:t>Quality evaluation summary</w:t>
            </w:r>
            <w:r>
              <w:rPr>
                <w:noProof/>
                <w:webHidden/>
              </w:rPr>
              <w:tab/>
            </w:r>
            <w:r>
              <w:rPr>
                <w:noProof/>
                <w:webHidden/>
              </w:rPr>
              <w:fldChar w:fldCharType="begin"/>
            </w:r>
            <w:r>
              <w:rPr>
                <w:noProof/>
                <w:webHidden/>
              </w:rPr>
              <w:instrText xml:space="preserve"> PAGEREF _Toc215235754 \h </w:instrText>
            </w:r>
            <w:r>
              <w:rPr>
                <w:noProof/>
                <w:webHidden/>
              </w:rPr>
            </w:r>
            <w:r>
              <w:rPr>
                <w:noProof/>
                <w:webHidden/>
              </w:rPr>
              <w:fldChar w:fldCharType="separate"/>
            </w:r>
            <w:r>
              <w:rPr>
                <w:noProof/>
                <w:webHidden/>
              </w:rPr>
              <w:t>14</w:t>
            </w:r>
            <w:r>
              <w:rPr>
                <w:noProof/>
                <w:webHidden/>
              </w:rPr>
              <w:fldChar w:fldCharType="end"/>
            </w:r>
          </w:hyperlink>
        </w:p>
        <w:p w14:paraId="40F2E3A2" w14:textId="5513A67B" w:rsidR="00C624EE" w:rsidRDefault="00C624E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5235755" w:history="1">
            <w:r w:rsidRPr="00E704E8">
              <w:rPr>
                <w:rStyle w:val="Hyperlink"/>
                <w:noProof/>
              </w:rPr>
              <w:t>Nonclinical evaluation summary</w:t>
            </w:r>
            <w:r>
              <w:rPr>
                <w:noProof/>
                <w:webHidden/>
              </w:rPr>
              <w:tab/>
            </w:r>
            <w:r>
              <w:rPr>
                <w:noProof/>
                <w:webHidden/>
              </w:rPr>
              <w:fldChar w:fldCharType="begin"/>
            </w:r>
            <w:r>
              <w:rPr>
                <w:noProof/>
                <w:webHidden/>
              </w:rPr>
              <w:instrText xml:space="preserve"> PAGEREF _Toc215235755 \h </w:instrText>
            </w:r>
            <w:r>
              <w:rPr>
                <w:noProof/>
                <w:webHidden/>
              </w:rPr>
            </w:r>
            <w:r>
              <w:rPr>
                <w:noProof/>
                <w:webHidden/>
              </w:rPr>
              <w:fldChar w:fldCharType="separate"/>
            </w:r>
            <w:r>
              <w:rPr>
                <w:noProof/>
                <w:webHidden/>
              </w:rPr>
              <w:t>15</w:t>
            </w:r>
            <w:r>
              <w:rPr>
                <w:noProof/>
                <w:webHidden/>
              </w:rPr>
              <w:fldChar w:fldCharType="end"/>
            </w:r>
          </w:hyperlink>
        </w:p>
        <w:p w14:paraId="41139F09" w14:textId="42CA5D1C" w:rsidR="00C624EE" w:rsidRDefault="00C624E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5235756" w:history="1">
            <w:r w:rsidRPr="00E704E8">
              <w:rPr>
                <w:rStyle w:val="Hyperlink"/>
                <w:noProof/>
              </w:rPr>
              <w:t>Clinical evaluation summary</w:t>
            </w:r>
            <w:r>
              <w:rPr>
                <w:noProof/>
                <w:webHidden/>
              </w:rPr>
              <w:tab/>
            </w:r>
            <w:r>
              <w:rPr>
                <w:noProof/>
                <w:webHidden/>
              </w:rPr>
              <w:fldChar w:fldCharType="begin"/>
            </w:r>
            <w:r>
              <w:rPr>
                <w:noProof/>
                <w:webHidden/>
              </w:rPr>
              <w:instrText xml:space="preserve"> PAGEREF _Toc215235756 \h </w:instrText>
            </w:r>
            <w:r>
              <w:rPr>
                <w:noProof/>
                <w:webHidden/>
              </w:rPr>
            </w:r>
            <w:r>
              <w:rPr>
                <w:noProof/>
                <w:webHidden/>
              </w:rPr>
              <w:fldChar w:fldCharType="separate"/>
            </w:r>
            <w:r>
              <w:rPr>
                <w:noProof/>
                <w:webHidden/>
              </w:rPr>
              <w:t>16</w:t>
            </w:r>
            <w:r>
              <w:rPr>
                <w:noProof/>
                <w:webHidden/>
              </w:rPr>
              <w:fldChar w:fldCharType="end"/>
            </w:r>
          </w:hyperlink>
        </w:p>
        <w:p w14:paraId="28C8E64D" w14:textId="32702751" w:rsidR="00C624EE" w:rsidRDefault="00C624E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5235757" w:history="1">
            <w:r w:rsidRPr="00E704E8">
              <w:rPr>
                <w:rStyle w:val="Hyperlink"/>
                <w:noProof/>
              </w:rPr>
              <w:t>Summary of clinical studies</w:t>
            </w:r>
            <w:r>
              <w:rPr>
                <w:noProof/>
                <w:webHidden/>
              </w:rPr>
              <w:tab/>
            </w:r>
            <w:r>
              <w:rPr>
                <w:noProof/>
                <w:webHidden/>
              </w:rPr>
              <w:fldChar w:fldCharType="begin"/>
            </w:r>
            <w:r>
              <w:rPr>
                <w:noProof/>
                <w:webHidden/>
              </w:rPr>
              <w:instrText xml:space="preserve"> PAGEREF _Toc215235757 \h </w:instrText>
            </w:r>
            <w:r>
              <w:rPr>
                <w:noProof/>
                <w:webHidden/>
              </w:rPr>
            </w:r>
            <w:r>
              <w:rPr>
                <w:noProof/>
                <w:webHidden/>
              </w:rPr>
              <w:fldChar w:fldCharType="separate"/>
            </w:r>
            <w:r>
              <w:rPr>
                <w:noProof/>
                <w:webHidden/>
              </w:rPr>
              <w:t>16</w:t>
            </w:r>
            <w:r>
              <w:rPr>
                <w:noProof/>
                <w:webHidden/>
              </w:rPr>
              <w:fldChar w:fldCharType="end"/>
            </w:r>
          </w:hyperlink>
        </w:p>
        <w:p w14:paraId="3E37DD22" w14:textId="246AFA3A" w:rsidR="00C624EE" w:rsidRDefault="00C624E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5235758" w:history="1">
            <w:r w:rsidRPr="00E704E8">
              <w:rPr>
                <w:rStyle w:val="Hyperlink"/>
                <w:noProof/>
              </w:rPr>
              <w:t>Pharmacology</w:t>
            </w:r>
            <w:r>
              <w:rPr>
                <w:noProof/>
                <w:webHidden/>
              </w:rPr>
              <w:tab/>
            </w:r>
            <w:r>
              <w:rPr>
                <w:noProof/>
                <w:webHidden/>
              </w:rPr>
              <w:fldChar w:fldCharType="begin"/>
            </w:r>
            <w:r>
              <w:rPr>
                <w:noProof/>
                <w:webHidden/>
              </w:rPr>
              <w:instrText xml:space="preserve"> PAGEREF _Toc215235758 \h </w:instrText>
            </w:r>
            <w:r>
              <w:rPr>
                <w:noProof/>
                <w:webHidden/>
              </w:rPr>
            </w:r>
            <w:r>
              <w:rPr>
                <w:noProof/>
                <w:webHidden/>
              </w:rPr>
              <w:fldChar w:fldCharType="separate"/>
            </w:r>
            <w:r>
              <w:rPr>
                <w:noProof/>
                <w:webHidden/>
              </w:rPr>
              <w:t>16</w:t>
            </w:r>
            <w:r>
              <w:rPr>
                <w:noProof/>
                <w:webHidden/>
              </w:rPr>
              <w:fldChar w:fldCharType="end"/>
            </w:r>
          </w:hyperlink>
        </w:p>
        <w:p w14:paraId="002B2DEF" w14:textId="3B8839E8" w:rsidR="00C624EE" w:rsidRDefault="00C624E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5235759" w:history="1">
            <w:r w:rsidRPr="00E704E8">
              <w:rPr>
                <w:rStyle w:val="Hyperlink"/>
                <w:noProof/>
              </w:rPr>
              <w:t>Efficacy</w:t>
            </w:r>
            <w:r>
              <w:rPr>
                <w:noProof/>
                <w:webHidden/>
              </w:rPr>
              <w:tab/>
            </w:r>
            <w:r>
              <w:rPr>
                <w:noProof/>
                <w:webHidden/>
              </w:rPr>
              <w:fldChar w:fldCharType="begin"/>
            </w:r>
            <w:r>
              <w:rPr>
                <w:noProof/>
                <w:webHidden/>
              </w:rPr>
              <w:instrText xml:space="preserve"> PAGEREF _Toc215235759 \h </w:instrText>
            </w:r>
            <w:r>
              <w:rPr>
                <w:noProof/>
                <w:webHidden/>
              </w:rPr>
            </w:r>
            <w:r>
              <w:rPr>
                <w:noProof/>
                <w:webHidden/>
              </w:rPr>
              <w:fldChar w:fldCharType="separate"/>
            </w:r>
            <w:r>
              <w:rPr>
                <w:noProof/>
                <w:webHidden/>
              </w:rPr>
              <w:t>21</w:t>
            </w:r>
            <w:r>
              <w:rPr>
                <w:noProof/>
                <w:webHidden/>
              </w:rPr>
              <w:fldChar w:fldCharType="end"/>
            </w:r>
          </w:hyperlink>
        </w:p>
        <w:p w14:paraId="138DCF5E" w14:textId="618B7893" w:rsidR="00C624EE" w:rsidRDefault="00C624E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5235760" w:history="1">
            <w:r w:rsidRPr="00E704E8">
              <w:rPr>
                <w:rStyle w:val="Hyperlink"/>
                <w:noProof/>
              </w:rPr>
              <w:t>Safety</w:t>
            </w:r>
            <w:r>
              <w:rPr>
                <w:noProof/>
                <w:webHidden/>
              </w:rPr>
              <w:tab/>
            </w:r>
            <w:r>
              <w:rPr>
                <w:noProof/>
                <w:webHidden/>
              </w:rPr>
              <w:fldChar w:fldCharType="begin"/>
            </w:r>
            <w:r>
              <w:rPr>
                <w:noProof/>
                <w:webHidden/>
              </w:rPr>
              <w:instrText xml:space="preserve"> PAGEREF _Toc215235760 \h </w:instrText>
            </w:r>
            <w:r>
              <w:rPr>
                <w:noProof/>
                <w:webHidden/>
              </w:rPr>
            </w:r>
            <w:r>
              <w:rPr>
                <w:noProof/>
                <w:webHidden/>
              </w:rPr>
              <w:fldChar w:fldCharType="separate"/>
            </w:r>
            <w:r>
              <w:rPr>
                <w:noProof/>
                <w:webHidden/>
              </w:rPr>
              <w:t>28</w:t>
            </w:r>
            <w:r>
              <w:rPr>
                <w:noProof/>
                <w:webHidden/>
              </w:rPr>
              <w:fldChar w:fldCharType="end"/>
            </w:r>
          </w:hyperlink>
        </w:p>
        <w:p w14:paraId="4258FCB3" w14:textId="3AED8970" w:rsidR="00C624EE" w:rsidRDefault="00C624E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5235761" w:history="1">
            <w:r w:rsidRPr="00E704E8">
              <w:rPr>
                <w:rStyle w:val="Hyperlink"/>
                <w:noProof/>
                <w:lang w:eastAsia="en-AU"/>
              </w:rPr>
              <w:t>Risk management plan</w:t>
            </w:r>
            <w:r>
              <w:rPr>
                <w:noProof/>
                <w:webHidden/>
              </w:rPr>
              <w:tab/>
            </w:r>
            <w:r>
              <w:rPr>
                <w:noProof/>
                <w:webHidden/>
              </w:rPr>
              <w:fldChar w:fldCharType="begin"/>
            </w:r>
            <w:r>
              <w:rPr>
                <w:noProof/>
                <w:webHidden/>
              </w:rPr>
              <w:instrText xml:space="preserve"> PAGEREF _Toc215235761 \h </w:instrText>
            </w:r>
            <w:r>
              <w:rPr>
                <w:noProof/>
                <w:webHidden/>
              </w:rPr>
            </w:r>
            <w:r>
              <w:rPr>
                <w:noProof/>
                <w:webHidden/>
              </w:rPr>
              <w:fldChar w:fldCharType="separate"/>
            </w:r>
            <w:r>
              <w:rPr>
                <w:noProof/>
                <w:webHidden/>
              </w:rPr>
              <w:t>34</w:t>
            </w:r>
            <w:r>
              <w:rPr>
                <w:noProof/>
                <w:webHidden/>
              </w:rPr>
              <w:fldChar w:fldCharType="end"/>
            </w:r>
          </w:hyperlink>
        </w:p>
        <w:p w14:paraId="6AE34608" w14:textId="31F5D5FA" w:rsidR="00C624EE" w:rsidRDefault="00C624E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5235762" w:history="1">
            <w:r w:rsidRPr="00E704E8">
              <w:rPr>
                <w:rStyle w:val="Hyperlink"/>
                <w:noProof/>
              </w:rPr>
              <w:t>Risk-benefit analysis</w:t>
            </w:r>
            <w:r>
              <w:rPr>
                <w:noProof/>
                <w:webHidden/>
              </w:rPr>
              <w:tab/>
            </w:r>
            <w:r>
              <w:rPr>
                <w:noProof/>
                <w:webHidden/>
              </w:rPr>
              <w:fldChar w:fldCharType="begin"/>
            </w:r>
            <w:r>
              <w:rPr>
                <w:noProof/>
                <w:webHidden/>
              </w:rPr>
              <w:instrText xml:space="preserve"> PAGEREF _Toc215235762 \h </w:instrText>
            </w:r>
            <w:r>
              <w:rPr>
                <w:noProof/>
                <w:webHidden/>
              </w:rPr>
            </w:r>
            <w:r>
              <w:rPr>
                <w:noProof/>
                <w:webHidden/>
              </w:rPr>
              <w:fldChar w:fldCharType="separate"/>
            </w:r>
            <w:r>
              <w:rPr>
                <w:noProof/>
                <w:webHidden/>
              </w:rPr>
              <w:t>36</w:t>
            </w:r>
            <w:r>
              <w:rPr>
                <w:noProof/>
                <w:webHidden/>
              </w:rPr>
              <w:fldChar w:fldCharType="end"/>
            </w:r>
          </w:hyperlink>
        </w:p>
        <w:p w14:paraId="2C029F9D" w14:textId="184A69CB" w:rsidR="00C624EE" w:rsidRDefault="00C624E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5235763" w:history="1">
            <w:r w:rsidRPr="00E704E8">
              <w:rPr>
                <w:rStyle w:val="Hyperlink"/>
                <w:noProof/>
              </w:rPr>
              <w:t>Delegate’s considerations</w:t>
            </w:r>
            <w:r>
              <w:rPr>
                <w:noProof/>
                <w:webHidden/>
              </w:rPr>
              <w:tab/>
            </w:r>
            <w:r>
              <w:rPr>
                <w:noProof/>
                <w:webHidden/>
              </w:rPr>
              <w:fldChar w:fldCharType="begin"/>
            </w:r>
            <w:r>
              <w:rPr>
                <w:noProof/>
                <w:webHidden/>
              </w:rPr>
              <w:instrText xml:space="preserve"> PAGEREF _Toc215235763 \h </w:instrText>
            </w:r>
            <w:r>
              <w:rPr>
                <w:noProof/>
                <w:webHidden/>
              </w:rPr>
            </w:r>
            <w:r>
              <w:rPr>
                <w:noProof/>
                <w:webHidden/>
              </w:rPr>
              <w:fldChar w:fldCharType="separate"/>
            </w:r>
            <w:r>
              <w:rPr>
                <w:noProof/>
                <w:webHidden/>
              </w:rPr>
              <w:t>36</w:t>
            </w:r>
            <w:r>
              <w:rPr>
                <w:noProof/>
                <w:webHidden/>
              </w:rPr>
              <w:fldChar w:fldCharType="end"/>
            </w:r>
          </w:hyperlink>
        </w:p>
        <w:p w14:paraId="7BB20380" w14:textId="39F1C8E1" w:rsidR="00C624EE" w:rsidRDefault="00C624E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5235764" w:history="1">
            <w:r w:rsidRPr="00E704E8">
              <w:rPr>
                <w:rStyle w:val="Hyperlink"/>
                <w:noProof/>
              </w:rPr>
              <w:t>Assessment outcome</w:t>
            </w:r>
            <w:r>
              <w:rPr>
                <w:noProof/>
                <w:webHidden/>
              </w:rPr>
              <w:tab/>
            </w:r>
            <w:r>
              <w:rPr>
                <w:noProof/>
                <w:webHidden/>
              </w:rPr>
              <w:fldChar w:fldCharType="begin"/>
            </w:r>
            <w:r>
              <w:rPr>
                <w:noProof/>
                <w:webHidden/>
              </w:rPr>
              <w:instrText xml:space="preserve"> PAGEREF _Toc215235764 \h </w:instrText>
            </w:r>
            <w:r>
              <w:rPr>
                <w:noProof/>
                <w:webHidden/>
              </w:rPr>
            </w:r>
            <w:r>
              <w:rPr>
                <w:noProof/>
                <w:webHidden/>
              </w:rPr>
              <w:fldChar w:fldCharType="separate"/>
            </w:r>
            <w:r>
              <w:rPr>
                <w:noProof/>
                <w:webHidden/>
              </w:rPr>
              <w:t>38</w:t>
            </w:r>
            <w:r>
              <w:rPr>
                <w:noProof/>
                <w:webHidden/>
              </w:rPr>
              <w:fldChar w:fldCharType="end"/>
            </w:r>
          </w:hyperlink>
        </w:p>
        <w:p w14:paraId="773D51EA" w14:textId="1AAD447A" w:rsidR="00C624EE" w:rsidRDefault="00C624E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5235765" w:history="1">
            <w:r w:rsidRPr="00E704E8">
              <w:rPr>
                <w:rStyle w:val="Hyperlink"/>
                <w:noProof/>
              </w:rPr>
              <w:t>Specific conditions of registration</w:t>
            </w:r>
            <w:r>
              <w:rPr>
                <w:noProof/>
                <w:webHidden/>
              </w:rPr>
              <w:tab/>
            </w:r>
            <w:r>
              <w:rPr>
                <w:noProof/>
                <w:webHidden/>
              </w:rPr>
              <w:fldChar w:fldCharType="begin"/>
            </w:r>
            <w:r>
              <w:rPr>
                <w:noProof/>
                <w:webHidden/>
              </w:rPr>
              <w:instrText xml:space="preserve"> PAGEREF _Toc215235765 \h </w:instrText>
            </w:r>
            <w:r>
              <w:rPr>
                <w:noProof/>
                <w:webHidden/>
              </w:rPr>
            </w:r>
            <w:r>
              <w:rPr>
                <w:noProof/>
                <w:webHidden/>
              </w:rPr>
              <w:fldChar w:fldCharType="separate"/>
            </w:r>
            <w:r>
              <w:rPr>
                <w:noProof/>
                <w:webHidden/>
              </w:rPr>
              <w:t>38</w:t>
            </w:r>
            <w:r>
              <w:rPr>
                <w:noProof/>
                <w:webHidden/>
              </w:rPr>
              <w:fldChar w:fldCharType="end"/>
            </w:r>
          </w:hyperlink>
        </w:p>
        <w:p w14:paraId="067C6723" w14:textId="29B32259" w:rsidR="00C624EE" w:rsidRDefault="00C624E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5235766" w:history="1">
            <w:r w:rsidRPr="00E704E8">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_Toc215235766 \h </w:instrText>
            </w:r>
            <w:r>
              <w:rPr>
                <w:noProof/>
                <w:webHidden/>
              </w:rPr>
            </w:r>
            <w:r>
              <w:rPr>
                <w:noProof/>
                <w:webHidden/>
              </w:rPr>
              <w:fldChar w:fldCharType="separate"/>
            </w:r>
            <w:r>
              <w:rPr>
                <w:noProof/>
                <w:webHidden/>
              </w:rPr>
              <w:t>39</w:t>
            </w:r>
            <w:r>
              <w:rPr>
                <w:noProof/>
                <w:webHidden/>
              </w:rPr>
              <w:fldChar w:fldCharType="end"/>
            </w:r>
          </w:hyperlink>
        </w:p>
        <w:p w14:paraId="77659F2D" w14:textId="6D8D5732"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3" w:name="_Toc98931917"/>
      <w:bookmarkStart w:id="4" w:name="_Toc103679287"/>
      <w:bookmarkStart w:id="5" w:name="_Toc215235742"/>
      <w:bookmarkStart w:id="6" w:name="_Toc323739589"/>
      <w:bookmarkStart w:id="7" w:name="_Toc356305216"/>
      <w:r>
        <w:lastRenderedPageBreak/>
        <w:t>List of abbreviations</w:t>
      </w:r>
      <w:bookmarkEnd w:id="3"/>
      <w:bookmarkEnd w:id="4"/>
      <w:bookmarkEnd w:id="5"/>
    </w:p>
    <w:p w14:paraId="58578454" w14:textId="1C99A293" w:rsidR="00324B33" w:rsidRDefault="00324B33" w:rsidP="00324B33">
      <w:pPr>
        <w:rPr>
          <w:i/>
          <w:color w:val="007099"/>
        </w:rPr>
      </w:pPr>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656D5C" w:rsidRPr="00D01DDB" w14:paraId="593CACE2" w14:textId="77777777" w:rsidTr="00BD5DBD">
        <w:trPr>
          <w:trHeight w:val="447"/>
        </w:trPr>
        <w:tc>
          <w:tcPr>
            <w:cnfStyle w:val="001000000000" w:firstRow="0" w:lastRow="0" w:firstColumn="1" w:lastColumn="0" w:oddVBand="0" w:evenVBand="0" w:oddHBand="0" w:evenHBand="0" w:firstRowFirstColumn="0" w:firstRowLastColumn="0" w:lastRowFirstColumn="0" w:lastRowLastColumn="0"/>
            <w:tcW w:w="1200" w:type="pct"/>
          </w:tcPr>
          <w:p w14:paraId="625E8C59" w14:textId="07C12D6D" w:rsidR="00656D5C" w:rsidRPr="00D01DDB" w:rsidRDefault="00656D5C" w:rsidP="00324B33">
            <w:pPr>
              <w:rPr>
                <w:szCs w:val="22"/>
              </w:rPr>
            </w:pPr>
            <w:proofErr w:type="spellStart"/>
            <w:r w:rsidRPr="003B3BD2">
              <w:rPr>
                <w:szCs w:val="22"/>
              </w:rPr>
              <w:t>λ</w:t>
            </w:r>
            <w:r w:rsidRPr="003B3BD2">
              <w:rPr>
                <w:szCs w:val="22"/>
                <w:vertAlign w:val="subscript"/>
              </w:rPr>
              <w:t>z</w:t>
            </w:r>
            <w:proofErr w:type="spellEnd"/>
          </w:p>
        </w:tc>
        <w:tc>
          <w:tcPr>
            <w:tcW w:w="3800" w:type="pct"/>
          </w:tcPr>
          <w:p w14:paraId="603B2D10" w14:textId="11EDBC63" w:rsidR="00656D5C" w:rsidRPr="00D01DDB" w:rsidRDefault="002C048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Elimination</w:t>
            </w:r>
            <w:r w:rsidR="00DC6A85">
              <w:rPr>
                <w:szCs w:val="22"/>
              </w:rPr>
              <w:t xml:space="preserve"> rate constant</w:t>
            </w:r>
          </w:p>
        </w:tc>
      </w:tr>
      <w:tr w:rsidR="003C3409" w:rsidRPr="00D01DDB" w14:paraId="5DC04E62" w14:textId="77777777" w:rsidTr="00BD5DBD">
        <w:trPr>
          <w:trHeight w:val="447"/>
        </w:trPr>
        <w:tc>
          <w:tcPr>
            <w:cnfStyle w:val="001000000000" w:firstRow="0" w:lastRow="0" w:firstColumn="1" w:lastColumn="0" w:oddVBand="0" w:evenVBand="0" w:oddHBand="0" w:evenHBand="0" w:firstRowFirstColumn="0" w:firstRowLastColumn="0" w:lastRowFirstColumn="0" w:lastRowLastColumn="0"/>
            <w:tcW w:w="1200" w:type="pct"/>
          </w:tcPr>
          <w:p w14:paraId="4621ECD7" w14:textId="358BE8A8" w:rsidR="003C3409" w:rsidRPr="003B3BD2" w:rsidRDefault="003C3409" w:rsidP="00324B33">
            <w:pPr>
              <w:rPr>
                <w:szCs w:val="22"/>
              </w:rPr>
            </w:pPr>
            <w:r w:rsidRPr="003B3BD2">
              <w:rPr>
                <w:szCs w:val="22"/>
              </w:rPr>
              <w:t>%</w:t>
            </w:r>
            <w:proofErr w:type="spellStart"/>
            <w:r w:rsidRPr="003B3BD2">
              <w:rPr>
                <w:szCs w:val="22"/>
              </w:rPr>
              <w:t>AUC</w:t>
            </w:r>
            <w:r w:rsidRPr="003B3BD2">
              <w:rPr>
                <w:szCs w:val="22"/>
                <w:vertAlign w:val="subscript"/>
              </w:rPr>
              <w:t>ext</w:t>
            </w:r>
            <w:proofErr w:type="spellEnd"/>
          </w:p>
        </w:tc>
        <w:tc>
          <w:tcPr>
            <w:tcW w:w="3800" w:type="pct"/>
          </w:tcPr>
          <w:p w14:paraId="1E87E09B" w14:textId="5BC5DEE9" w:rsidR="003C3409" w:rsidRPr="00D01DDB" w:rsidRDefault="00535F26" w:rsidP="00535F26">
            <w:pPr>
              <w:cnfStyle w:val="000000000000" w:firstRow="0" w:lastRow="0" w:firstColumn="0" w:lastColumn="0" w:oddVBand="0" w:evenVBand="0" w:oddHBand="0" w:evenHBand="0" w:firstRowFirstColumn="0" w:firstRowLastColumn="0" w:lastRowFirstColumn="0" w:lastRowLastColumn="0"/>
              <w:rPr>
                <w:szCs w:val="22"/>
              </w:rPr>
            </w:pPr>
            <w:r w:rsidRPr="00535F26">
              <w:rPr>
                <w:szCs w:val="22"/>
              </w:rPr>
              <w:t>Percentage of the area extrapolated for calculation of AUC</w:t>
            </w:r>
            <w:r w:rsidRPr="00535F26">
              <w:rPr>
                <w:szCs w:val="22"/>
                <w:vertAlign w:val="subscript"/>
              </w:rPr>
              <w:t xml:space="preserve">0-inf </w:t>
            </w:r>
            <w:r w:rsidRPr="00535F26">
              <w:rPr>
                <w:szCs w:val="22"/>
              </w:rPr>
              <w:t>(area under the concentration time curve from time zero to infinity)</w:t>
            </w:r>
          </w:p>
        </w:tc>
      </w:tr>
      <w:tr w:rsidR="00324B33"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24B33" w:rsidRPr="00D01DDB" w:rsidRDefault="00324B33" w:rsidP="00324B33">
            <w:pPr>
              <w:rPr>
                <w:szCs w:val="22"/>
              </w:rPr>
            </w:pPr>
            <w:r w:rsidRPr="00D01DDB">
              <w:rPr>
                <w:szCs w:val="22"/>
              </w:rPr>
              <w:t>ACM</w:t>
            </w:r>
          </w:p>
        </w:tc>
        <w:tc>
          <w:tcPr>
            <w:tcW w:w="3800" w:type="pct"/>
          </w:tcPr>
          <w:p w14:paraId="4F24A873" w14:textId="0539B5FB"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324B33" w:rsidRPr="00D01DDB" w14:paraId="35340A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B9F80" w14:textId="287DC0CA" w:rsidR="00324B33" w:rsidRPr="00D01DDB" w:rsidRDefault="00324B33" w:rsidP="00324B33">
            <w:pPr>
              <w:rPr>
                <w:szCs w:val="22"/>
              </w:rPr>
            </w:pPr>
            <w:r w:rsidRPr="00D01DDB">
              <w:rPr>
                <w:szCs w:val="22"/>
              </w:rPr>
              <w:t>ACV</w:t>
            </w:r>
          </w:p>
        </w:tc>
        <w:tc>
          <w:tcPr>
            <w:tcW w:w="3800" w:type="pct"/>
          </w:tcPr>
          <w:p w14:paraId="5072E244" w14:textId="7B59D1A8"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Vaccines</w:t>
            </w:r>
          </w:p>
        </w:tc>
      </w:tr>
      <w:tr w:rsidR="00873A65" w:rsidRPr="00D01DDB" w14:paraId="43ABCCA8" w14:textId="77777777" w:rsidTr="00FE0D89">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733052E4" w14:textId="7F76F59F" w:rsidR="00873A65" w:rsidRPr="00D01DDB" w:rsidRDefault="00873A65" w:rsidP="00873A65">
            <w:pPr>
              <w:rPr>
                <w:szCs w:val="22"/>
              </w:rPr>
            </w:pPr>
            <w:r>
              <w:t>ADA</w:t>
            </w:r>
          </w:p>
        </w:tc>
        <w:tc>
          <w:tcPr>
            <w:tcW w:w="3800" w:type="pct"/>
            <w:shd w:val="clear" w:color="auto" w:fill="auto"/>
          </w:tcPr>
          <w:p w14:paraId="1FE8DE7B" w14:textId="11B9D9C3" w:rsidR="00873A65" w:rsidRPr="00D01DDB" w:rsidRDefault="00873A65" w:rsidP="00873A65">
            <w:pPr>
              <w:cnfStyle w:val="000000000000" w:firstRow="0" w:lastRow="0" w:firstColumn="0" w:lastColumn="0" w:oddVBand="0" w:evenVBand="0" w:oddHBand="0" w:evenHBand="0" w:firstRowFirstColumn="0" w:firstRowLastColumn="0" w:lastRowFirstColumn="0" w:lastRowLastColumn="0"/>
              <w:rPr>
                <w:szCs w:val="22"/>
              </w:rPr>
            </w:pPr>
            <w:r>
              <w:t>A</w:t>
            </w:r>
            <w:r w:rsidRPr="003F2921">
              <w:t>nti-drug antibody</w:t>
            </w:r>
          </w:p>
        </w:tc>
      </w:tr>
      <w:tr w:rsidR="0033262E" w:rsidRPr="00D01DDB" w14:paraId="574C7743" w14:textId="77777777" w:rsidTr="00FE0D89">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400716E2" w14:textId="219C6850" w:rsidR="0033262E" w:rsidRDefault="0033262E" w:rsidP="00873A65">
            <w:r>
              <w:t>AE</w:t>
            </w:r>
          </w:p>
        </w:tc>
        <w:tc>
          <w:tcPr>
            <w:tcW w:w="3800" w:type="pct"/>
            <w:shd w:val="clear" w:color="auto" w:fill="auto"/>
          </w:tcPr>
          <w:p w14:paraId="6B05C466" w14:textId="0BC109BF" w:rsidR="0033262E" w:rsidRDefault="002D045F" w:rsidP="00873A65">
            <w:pPr>
              <w:cnfStyle w:val="000000000000" w:firstRow="0" w:lastRow="0" w:firstColumn="0" w:lastColumn="0" w:oddVBand="0" w:evenVBand="0" w:oddHBand="0" w:evenHBand="0" w:firstRowFirstColumn="0" w:firstRowLastColumn="0" w:lastRowFirstColumn="0" w:lastRowLastColumn="0"/>
            </w:pPr>
            <w:r w:rsidRPr="002D045F">
              <w:t>Adverse event</w:t>
            </w:r>
          </w:p>
        </w:tc>
      </w:tr>
      <w:tr w:rsidR="003D06BC" w:rsidRPr="00D01DDB" w14:paraId="240AD630" w14:textId="77777777" w:rsidTr="00FE0D89">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24DE96B7" w14:textId="4EC7B8F1" w:rsidR="003D06BC" w:rsidRDefault="003D06BC" w:rsidP="00873A65">
            <w:r w:rsidRPr="003D06BC">
              <w:t>AESI</w:t>
            </w:r>
          </w:p>
        </w:tc>
        <w:tc>
          <w:tcPr>
            <w:tcW w:w="3800" w:type="pct"/>
            <w:shd w:val="clear" w:color="auto" w:fill="auto"/>
          </w:tcPr>
          <w:p w14:paraId="0A48C06D" w14:textId="72A6C229" w:rsidR="003D06BC" w:rsidRDefault="003D06BC" w:rsidP="005A4C0E">
            <w:pPr>
              <w:cnfStyle w:val="000000000000" w:firstRow="0" w:lastRow="0" w:firstColumn="0" w:lastColumn="0" w:oddVBand="0" w:evenVBand="0" w:oddHBand="0" w:evenHBand="0" w:firstRowFirstColumn="0" w:firstRowLastColumn="0" w:lastRowFirstColumn="0" w:lastRowLastColumn="0"/>
            </w:pPr>
            <w:r w:rsidRPr="003D06BC">
              <w:t>Adverse event of special interest</w:t>
            </w:r>
          </w:p>
        </w:tc>
      </w:tr>
      <w:tr w:rsidR="00873A65" w:rsidRPr="00D01DDB" w14:paraId="40F506A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09F2484" w14:textId="6AE34908" w:rsidR="00873A65" w:rsidRPr="00D01DDB" w:rsidRDefault="00873A65" w:rsidP="00873A65">
            <w:pPr>
              <w:rPr>
                <w:szCs w:val="22"/>
              </w:rPr>
            </w:pPr>
            <w:r>
              <w:rPr>
                <w:szCs w:val="22"/>
              </w:rPr>
              <w:t>ALT</w:t>
            </w:r>
          </w:p>
        </w:tc>
        <w:tc>
          <w:tcPr>
            <w:tcW w:w="3800" w:type="pct"/>
          </w:tcPr>
          <w:p w14:paraId="14489E7E" w14:textId="77716D11" w:rsidR="00873A65" w:rsidRPr="00D01DDB" w:rsidRDefault="00873A65" w:rsidP="00873A65">
            <w:pPr>
              <w:cnfStyle w:val="000000000000" w:firstRow="0" w:lastRow="0" w:firstColumn="0" w:lastColumn="0" w:oddVBand="0" w:evenVBand="0" w:oddHBand="0" w:evenHBand="0" w:firstRowFirstColumn="0" w:firstRowLastColumn="0" w:lastRowFirstColumn="0" w:lastRowLastColumn="0"/>
              <w:rPr>
                <w:szCs w:val="22"/>
              </w:rPr>
            </w:pPr>
            <w:r w:rsidRPr="001F0367">
              <w:rPr>
                <w:szCs w:val="22"/>
              </w:rPr>
              <w:t>Alanine aminotransferase</w:t>
            </w:r>
          </w:p>
        </w:tc>
      </w:tr>
      <w:tr w:rsidR="00873A65" w:rsidRPr="00D01DDB" w14:paraId="0D8ADE9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B0342F9" w14:textId="0C8618D2" w:rsidR="00873A65" w:rsidRPr="00D01DDB" w:rsidRDefault="00873A65" w:rsidP="00873A65">
            <w:pPr>
              <w:rPr>
                <w:szCs w:val="22"/>
              </w:rPr>
            </w:pPr>
            <w:r>
              <w:rPr>
                <w:szCs w:val="22"/>
              </w:rPr>
              <w:t>ALP</w:t>
            </w:r>
          </w:p>
        </w:tc>
        <w:tc>
          <w:tcPr>
            <w:tcW w:w="3800" w:type="pct"/>
          </w:tcPr>
          <w:p w14:paraId="272D3D06" w14:textId="59182C96" w:rsidR="00873A65" w:rsidRPr="00D01DDB" w:rsidRDefault="00873A65" w:rsidP="00873A65">
            <w:pPr>
              <w:cnfStyle w:val="000000000000" w:firstRow="0" w:lastRow="0" w:firstColumn="0" w:lastColumn="0" w:oddVBand="0" w:evenVBand="0" w:oddHBand="0" w:evenHBand="0" w:firstRowFirstColumn="0" w:firstRowLastColumn="0" w:lastRowFirstColumn="0" w:lastRowLastColumn="0"/>
              <w:rPr>
                <w:szCs w:val="22"/>
              </w:rPr>
            </w:pPr>
            <w:r w:rsidRPr="001F0367">
              <w:rPr>
                <w:szCs w:val="22"/>
              </w:rPr>
              <w:t>Alkaline phosphatase</w:t>
            </w:r>
          </w:p>
        </w:tc>
      </w:tr>
      <w:tr w:rsidR="00873A65"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873A65" w:rsidRPr="00D01DDB" w:rsidRDefault="00873A65" w:rsidP="00873A65">
            <w:pPr>
              <w:rPr>
                <w:szCs w:val="22"/>
              </w:rPr>
            </w:pPr>
            <w:r w:rsidRPr="00D01DDB">
              <w:rPr>
                <w:szCs w:val="22"/>
              </w:rPr>
              <w:t>ARTG</w:t>
            </w:r>
          </w:p>
        </w:tc>
        <w:tc>
          <w:tcPr>
            <w:tcW w:w="3800" w:type="pct"/>
          </w:tcPr>
          <w:p w14:paraId="228A203A" w14:textId="47EBCFA3" w:rsidR="00873A65" w:rsidRPr="00D01DDB" w:rsidRDefault="00873A65" w:rsidP="00873A65">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873A65"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873A65" w:rsidRPr="00D01DDB" w:rsidRDefault="00873A65" w:rsidP="00873A65">
            <w:pPr>
              <w:rPr>
                <w:szCs w:val="22"/>
              </w:rPr>
            </w:pPr>
            <w:r w:rsidRPr="00D01DDB">
              <w:rPr>
                <w:szCs w:val="22"/>
              </w:rPr>
              <w:t>ASA</w:t>
            </w:r>
          </w:p>
        </w:tc>
        <w:tc>
          <w:tcPr>
            <w:tcW w:w="3800" w:type="pct"/>
          </w:tcPr>
          <w:p w14:paraId="4E6F5284" w14:textId="21C063B1" w:rsidR="00873A65" w:rsidRPr="00D01DDB" w:rsidRDefault="00873A65" w:rsidP="00873A65">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Pr>
                <w:szCs w:val="22"/>
              </w:rPr>
              <w:noBreakHyphen/>
            </w:r>
            <w:r w:rsidRPr="00D01DDB">
              <w:rPr>
                <w:szCs w:val="22"/>
              </w:rPr>
              <w:t>specific annex</w:t>
            </w:r>
          </w:p>
        </w:tc>
      </w:tr>
      <w:tr w:rsidR="00873A65" w:rsidRPr="00D01DDB" w14:paraId="1E1F396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840332" w14:textId="3C975E33" w:rsidR="00873A65" w:rsidRPr="00D01DDB" w:rsidRDefault="00873A65" w:rsidP="00873A65">
            <w:pPr>
              <w:rPr>
                <w:szCs w:val="22"/>
              </w:rPr>
            </w:pPr>
            <w:r>
              <w:rPr>
                <w:szCs w:val="22"/>
              </w:rPr>
              <w:t>AST</w:t>
            </w:r>
          </w:p>
        </w:tc>
        <w:tc>
          <w:tcPr>
            <w:tcW w:w="3800" w:type="pct"/>
          </w:tcPr>
          <w:p w14:paraId="497B66B0" w14:textId="6ADA0187" w:rsidR="00873A65" w:rsidRPr="00D01DDB" w:rsidRDefault="00873A65" w:rsidP="00873A65">
            <w:pPr>
              <w:cnfStyle w:val="000000000000" w:firstRow="0" w:lastRow="0" w:firstColumn="0" w:lastColumn="0" w:oddVBand="0" w:evenVBand="0" w:oddHBand="0" w:evenHBand="0" w:firstRowFirstColumn="0" w:firstRowLastColumn="0" w:lastRowFirstColumn="0" w:lastRowLastColumn="0"/>
              <w:rPr>
                <w:szCs w:val="22"/>
              </w:rPr>
            </w:pPr>
            <w:r w:rsidRPr="00F0570A">
              <w:rPr>
                <w:szCs w:val="22"/>
              </w:rPr>
              <w:t>Aspartate aminotransferase</w:t>
            </w:r>
          </w:p>
        </w:tc>
      </w:tr>
      <w:tr w:rsidR="00873A65" w:rsidRPr="00D01DDB" w14:paraId="27234B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F624028" w14:textId="4CA03B2E" w:rsidR="00873A65" w:rsidRPr="00D01DDB" w:rsidRDefault="00873A65" w:rsidP="00873A65">
            <w:pPr>
              <w:rPr>
                <w:szCs w:val="22"/>
              </w:rPr>
            </w:pPr>
            <w:r>
              <w:rPr>
                <w:szCs w:val="22"/>
              </w:rPr>
              <w:t>AU</w:t>
            </w:r>
          </w:p>
        </w:tc>
        <w:tc>
          <w:tcPr>
            <w:tcW w:w="3800" w:type="pct"/>
          </w:tcPr>
          <w:p w14:paraId="17440292" w14:textId="5A44E858" w:rsidR="00873A65" w:rsidRPr="00D01DDB" w:rsidRDefault="00873A65" w:rsidP="00873A65">
            <w:pPr>
              <w:cnfStyle w:val="000000000000" w:firstRow="0" w:lastRow="0" w:firstColumn="0" w:lastColumn="0" w:oddVBand="0" w:evenVBand="0" w:oddHBand="0" w:evenHBand="0" w:firstRowFirstColumn="0" w:firstRowLastColumn="0" w:lastRowFirstColumn="0" w:lastRowLastColumn="0"/>
              <w:rPr>
                <w:szCs w:val="22"/>
              </w:rPr>
            </w:pPr>
            <w:r>
              <w:rPr>
                <w:szCs w:val="22"/>
              </w:rPr>
              <w:t>Australian</w:t>
            </w:r>
          </w:p>
        </w:tc>
      </w:tr>
      <w:tr w:rsidR="00873A65" w:rsidRPr="00D01DDB" w14:paraId="6B37E68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BB0394A" w14:textId="5A94C035" w:rsidR="00873A65" w:rsidRDefault="00873A65" w:rsidP="00873A65">
            <w:pPr>
              <w:rPr>
                <w:szCs w:val="22"/>
              </w:rPr>
            </w:pPr>
            <w:r w:rsidRPr="003B3BD2">
              <w:rPr>
                <w:szCs w:val="22"/>
              </w:rPr>
              <w:t>AUC</w:t>
            </w:r>
            <w:r w:rsidRPr="003B3BD2">
              <w:rPr>
                <w:szCs w:val="22"/>
                <w:vertAlign w:val="subscript"/>
              </w:rPr>
              <w:t>0-last</w:t>
            </w:r>
          </w:p>
        </w:tc>
        <w:tc>
          <w:tcPr>
            <w:tcW w:w="3800" w:type="pct"/>
          </w:tcPr>
          <w:p w14:paraId="22928CFF" w14:textId="7A81FF6C" w:rsidR="00873A65" w:rsidRDefault="00873A65" w:rsidP="00873A65">
            <w:pPr>
              <w:cnfStyle w:val="000000000000" w:firstRow="0" w:lastRow="0" w:firstColumn="0" w:lastColumn="0" w:oddVBand="0" w:evenVBand="0" w:oddHBand="0" w:evenHBand="0" w:firstRowFirstColumn="0" w:firstRowLastColumn="0" w:lastRowFirstColumn="0" w:lastRowLastColumn="0"/>
              <w:rPr>
                <w:szCs w:val="22"/>
              </w:rPr>
            </w:pPr>
            <w:r w:rsidRPr="00F17D9A">
              <w:rPr>
                <w:szCs w:val="22"/>
              </w:rPr>
              <w:t>Area under the concentration time curve from time zero to time of last quantifiable serum concentration</w:t>
            </w:r>
          </w:p>
        </w:tc>
      </w:tr>
      <w:tr w:rsidR="00873A65" w:rsidRPr="00D01DDB" w14:paraId="708FB76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ED98FAD" w14:textId="1275248C" w:rsidR="00873A65" w:rsidRDefault="00873A65" w:rsidP="00873A65">
            <w:pPr>
              <w:rPr>
                <w:szCs w:val="22"/>
              </w:rPr>
            </w:pPr>
            <w:r w:rsidRPr="003B3BD2">
              <w:rPr>
                <w:szCs w:val="22"/>
              </w:rPr>
              <w:t>AUC</w:t>
            </w:r>
            <w:r w:rsidRPr="003B3BD2">
              <w:rPr>
                <w:szCs w:val="22"/>
                <w:vertAlign w:val="subscript"/>
              </w:rPr>
              <w:t>0-inf</w:t>
            </w:r>
          </w:p>
        </w:tc>
        <w:tc>
          <w:tcPr>
            <w:tcW w:w="3800" w:type="pct"/>
          </w:tcPr>
          <w:p w14:paraId="0B69AFF3" w14:textId="6832C2FD" w:rsidR="00873A65" w:rsidRDefault="00873A65" w:rsidP="00873A65">
            <w:pPr>
              <w:cnfStyle w:val="000000000000" w:firstRow="0" w:lastRow="0" w:firstColumn="0" w:lastColumn="0" w:oddVBand="0" w:evenVBand="0" w:oddHBand="0" w:evenHBand="0" w:firstRowFirstColumn="0" w:firstRowLastColumn="0" w:lastRowFirstColumn="0" w:lastRowLastColumn="0"/>
              <w:rPr>
                <w:szCs w:val="22"/>
              </w:rPr>
            </w:pPr>
            <w:r w:rsidRPr="00CA5E41">
              <w:rPr>
                <w:szCs w:val="22"/>
              </w:rPr>
              <w:t>Area under the concentration time curve from time zero to infinity</w:t>
            </w:r>
          </w:p>
        </w:tc>
      </w:tr>
      <w:tr w:rsidR="00873A65" w:rsidRPr="00D01DDB" w14:paraId="20D4830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03D6F6" w14:textId="706BED2B" w:rsidR="00873A65" w:rsidRPr="00D01DDB" w:rsidRDefault="00873A65" w:rsidP="00873A65">
            <w:pPr>
              <w:rPr>
                <w:szCs w:val="22"/>
              </w:rPr>
            </w:pPr>
            <w:r>
              <w:rPr>
                <w:szCs w:val="22"/>
              </w:rPr>
              <w:t>BMD</w:t>
            </w:r>
          </w:p>
        </w:tc>
        <w:tc>
          <w:tcPr>
            <w:tcW w:w="3800" w:type="pct"/>
          </w:tcPr>
          <w:p w14:paraId="215A50A5" w14:textId="168DF6DF" w:rsidR="00873A65" w:rsidRPr="00D01DDB" w:rsidRDefault="00873A65" w:rsidP="00873A65">
            <w:pPr>
              <w:cnfStyle w:val="000000000000" w:firstRow="0" w:lastRow="0" w:firstColumn="0" w:lastColumn="0" w:oddVBand="0" w:evenVBand="0" w:oddHBand="0" w:evenHBand="0" w:firstRowFirstColumn="0" w:firstRowLastColumn="0" w:lastRowFirstColumn="0" w:lastRowLastColumn="0"/>
              <w:rPr>
                <w:szCs w:val="22"/>
              </w:rPr>
            </w:pPr>
            <w:r>
              <w:rPr>
                <w:szCs w:val="22"/>
              </w:rPr>
              <w:t>B</w:t>
            </w:r>
            <w:r w:rsidRPr="00250BA6">
              <w:rPr>
                <w:szCs w:val="22"/>
              </w:rPr>
              <w:t xml:space="preserve">one mineral density </w:t>
            </w:r>
          </w:p>
        </w:tc>
      </w:tr>
      <w:tr w:rsidR="00873A65" w:rsidRPr="00D01DDB" w14:paraId="1A61F5C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1236CFC" w14:textId="0E900DE8" w:rsidR="00873A65" w:rsidRDefault="00873A65" w:rsidP="00873A65">
            <w:pPr>
              <w:rPr>
                <w:szCs w:val="22"/>
              </w:rPr>
            </w:pPr>
            <w:r w:rsidRPr="003B3BD2">
              <w:rPr>
                <w:szCs w:val="22"/>
              </w:rPr>
              <w:t>CI</w:t>
            </w:r>
            <w:r>
              <w:rPr>
                <w:szCs w:val="22"/>
              </w:rPr>
              <w:t>(</w:t>
            </w:r>
            <w:r w:rsidRPr="003B3BD2">
              <w:rPr>
                <w:szCs w:val="22"/>
              </w:rPr>
              <w:t>s</w:t>
            </w:r>
            <w:r>
              <w:rPr>
                <w:szCs w:val="22"/>
              </w:rPr>
              <w:t>)</w:t>
            </w:r>
          </w:p>
        </w:tc>
        <w:tc>
          <w:tcPr>
            <w:tcW w:w="3800" w:type="pct"/>
          </w:tcPr>
          <w:p w14:paraId="4718B844" w14:textId="4F9106CF" w:rsidR="00873A65" w:rsidRDefault="00873A65" w:rsidP="00873A65">
            <w:pPr>
              <w:cnfStyle w:val="000000000000" w:firstRow="0" w:lastRow="0" w:firstColumn="0" w:lastColumn="0" w:oddVBand="0" w:evenVBand="0" w:oddHBand="0" w:evenHBand="0" w:firstRowFirstColumn="0" w:firstRowLastColumn="0" w:lastRowFirstColumn="0" w:lastRowLastColumn="0"/>
              <w:rPr>
                <w:szCs w:val="22"/>
              </w:rPr>
            </w:pPr>
            <w:r w:rsidRPr="00597D6E">
              <w:rPr>
                <w:szCs w:val="22"/>
              </w:rPr>
              <w:t>Confidence interval</w:t>
            </w:r>
            <w:r>
              <w:rPr>
                <w:szCs w:val="22"/>
              </w:rPr>
              <w:t>(s)</w:t>
            </w:r>
          </w:p>
        </w:tc>
      </w:tr>
      <w:tr w:rsidR="00873A65" w:rsidRPr="00D01DDB" w14:paraId="421A4F5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B698024" w14:textId="774086F0" w:rsidR="00873A65" w:rsidRPr="00D01DDB" w:rsidRDefault="00873A65" w:rsidP="00873A65">
            <w:pPr>
              <w:rPr>
                <w:szCs w:val="22"/>
              </w:rPr>
            </w:pPr>
            <w:r w:rsidRPr="003B3BD2">
              <w:rPr>
                <w:szCs w:val="22"/>
              </w:rPr>
              <w:t>CL/F</w:t>
            </w:r>
          </w:p>
        </w:tc>
        <w:tc>
          <w:tcPr>
            <w:tcW w:w="3800" w:type="pct"/>
          </w:tcPr>
          <w:p w14:paraId="2965D147" w14:textId="341A13CC" w:rsidR="00873A65" w:rsidRPr="00D01DDB" w:rsidRDefault="00873A65" w:rsidP="00873A65">
            <w:pPr>
              <w:cnfStyle w:val="000000000000" w:firstRow="0" w:lastRow="0" w:firstColumn="0" w:lastColumn="0" w:oddVBand="0" w:evenVBand="0" w:oddHBand="0" w:evenHBand="0" w:firstRowFirstColumn="0" w:firstRowLastColumn="0" w:lastRowFirstColumn="0" w:lastRowLastColumn="0"/>
              <w:rPr>
                <w:szCs w:val="22"/>
              </w:rPr>
            </w:pPr>
            <w:r w:rsidRPr="000C0AE1">
              <w:rPr>
                <w:szCs w:val="22"/>
              </w:rPr>
              <w:t>Apparent clearance</w:t>
            </w:r>
          </w:p>
        </w:tc>
      </w:tr>
      <w:tr w:rsidR="00873A65" w:rsidRPr="00D01DDB" w14:paraId="048C297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9746D26" w14:textId="52C776C7" w:rsidR="00873A65" w:rsidRPr="00D01DDB" w:rsidRDefault="00873A65" w:rsidP="00873A65">
            <w:pPr>
              <w:rPr>
                <w:szCs w:val="22"/>
              </w:rPr>
            </w:pPr>
            <w:r w:rsidRPr="003B3BD2">
              <w:rPr>
                <w:szCs w:val="22"/>
              </w:rPr>
              <w:t>C</w:t>
            </w:r>
            <w:r w:rsidRPr="003B3BD2">
              <w:rPr>
                <w:szCs w:val="22"/>
                <w:vertAlign w:val="subscript"/>
              </w:rPr>
              <w:t>max</w:t>
            </w:r>
          </w:p>
        </w:tc>
        <w:tc>
          <w:tcPr>
            <w:tcW w:w="3800" w:type="pct"/>
          </w:tcPr>
          <w:p w14:paraId="728C1EF2" w14:textId="729AF8F6" w:rsidR="00873A65" w:rsidRPr="00D01DDB" w:rsidRDefault="00873A65" w:rsidP="00873A65">
            <w:pPr>
              <w:cnfStyle w:val="000000000000" w:firstRow="0" w:lastRow="0" w:firstColumn="0" w:lastColumn="0" w:oddVBand="0" w:evenVBand="0" w:oddHBand="0" w:evenHBand="0" w:firstRowFirstColumn="0" w:firstRowLastColumn="0" w:lastRowFirstColumn="0" w:lastRowLastColumn="0"/>
              <w:rPr>
                <w:szCs w:val="22"/>
              </w:rPr>
            </w:pPr>
            <w:r w:rsidRPr="000C0AE1">
              <w:rPr>
                <w:szCs w:val="22"/>
              </w:rPr>
              <w:t>Maximum concentration</w:t>
            </w:r>
          </w:p>
        </w:tc>
      </w:tr>
      <w:tr w:rsidR="00873A65"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873A65" w:rsidRPr="00D01DDB" w:rsidRDefault="00873A65" w:rsidP="00873A65">
            <w:pPr>
              <w:rPr>
                <w:szCs w:val="22"/>
              </w:rPr>
            </w:pPr>
            <w:r w:rsidRPr="00D01DDB">
              <w:rPr>
                <w:szCs w:val="22"/>
              </w:rPr>
              <w:t>CMI</w:t>
            </w:r>
          </w:p>
        </w:tc>
        <w:tc>
          <w:tcPr>
            <w:tcW w:w="3800" w:type="pct"/>
          </w:tcPr>
          <w:p w14:paraId="5D8C9DF5" w14:textId="60C23379" w:rsidR="00873A65" w:rsidRPr="00D01DDB" w:rsidRDefault="00873A65" w:rsidP="00873A65">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873A65" w:rsidRPr="00D01DDB" w14:paraId="4790A24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F9B5749" w14:textId="5B8D1E64" w:rsidR="00873A65" w:rsidRPr="00D01DDB" w:rsidRDefault="00873A65" w:rsidP="00873A65">
            <w:pPr>
              <w:rPr>
                <w:szCs w:val="22"/>
              </w:rPr>
            </w:pPr>
            <w:r w:rsidRPr="00BC2193">
              <w:rPr>
                <w:szCs w:val="22"/>
              </w:rPr>
              <w:t>COVID-19</w:t>
            </w:r>
          </w:p>
        </w:tc>
        <w:tc>
          <w:tcPr>
            <w:tcW w:w="3800" w:type="pct"/>
          </w:tcPr>
          <w:p w14:paraId="05707DA4" w14:textId="4CD5ED55" w:rsidR="00873A65" w:rsidRPr="00D01DDB" w:rsidRDefault="00873A65" w:rsidP="00873A65">
            <w:pPr>
              <w:cnfStyle w:val="000000000000" w:firstRow="0" w:lastRow="0" w:firstColumn="0" w:lastColumn="0" w:oddVBand="0" w:evenVBand="0" w:oddHBand="0" w:evenHBand="0" w:firstRowFirstColumn="0" w:firstRowLastColumn="0" w:lastRowFirstColumn="0" w:lastRowLastColumn="0"/>
              <w:rPr>
                <w:szCs w:val="22"/>
              </w:rPr>
            </w:pPr>
            <w:r>
              <w:rPr>
                <w:szCs w:val="22"/>
              </w:rPr>
              <w:t>C</w:t>
            </w:r>
            <w:r w:rsidRPr="009D2CFA">
              <w:rPr>
                <w:szCs w:val="22"/>
              </w:rPr>
              <w:t>oronavirus disease 2019</w:t>
            </w:r>
            <w:r>
              <w:rPr>
                <w:szCs w:val="22"/>
              </w:rPr>
              <w:t xml:space="preserve">, </w:t>
            </w:r>
            <w:r w:rsidRPr="009874F2">
              <w:rPr>
                <w:szCs w:val="22"/>
              </w:rPr>
              <w:t>SARS-CoV-2</w:t>
            </w:r>
          </w:p>
        </w:tc>
      </w:tr>
      <w:tr w:rsidR="004377A3" w:rsidRPr="00D01DDB" w14:paraId="6F2A647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43FF3DE" w14:textId="10D9FDC7" w:rsidR="004377A3" w:rsidRPr="00BC2193" w:rsidRDefault="004377A3" w:rsidP="00873A65">
            <w:pPr>
              <w:rPr>
                <w:szCs w:val="22"/>
              </w:rPr>
            </w:pPr>
            <w:r w:rsidRPr="004377A3">
              <w:rPr>
                <w:szCs w:val="22"/>
              </w:rPr>
              <w:t>CPD</w:t>
            </w:r>
          </w:p>
        </w:tc>
        <w:tc>
          <w:tcPr>
            <w:tcW w:w="3800" w:type="pct"/>
          </w:tcPr>
          <w:p w14:paraId="647B7452" w14:textId="218BCD6A" w:rsidR="004377A3" w:rsidRDefault="004377A3" w:rsidP="004377A3">
            <w:pPr>
              <w:ind w:left="0"/>
              <w:cnfStyle w:val="000000000000" w:firstRow="0" w:lastRow="0" w:firstColumn="0" w:lastColumn="0" w:oddVBand="0" w:evenVBand="0" w:oddHBand="0" w:evenHBand="0" w:firstRowFirstColumn="0" w:firstRowLastColumn="0" w:lastRowFirstColumn="0" w:lastRowLastColumn="0"/>
              <w:rPr>
                <w:szCs w:val="22"/>
              </w:rPr>
            </w:pPr>
            <w:r>
              <w:rPr>
                <w:szCs w:val="22"/>
              </w:rPr>
              <w:t xml:space="preserve">  </w:t>
            </w:r>
            <w:r w:rsidRPr="004377A3">
              <w:rPr>
                <w:szCs w:val="22"/>
              </w:rPr>
              <w:t>Certified Product Details</w:t>
            </w:r>
          </w:p>
        </w:tc>
      </w:tr>
      <w:tr w:rsidR="006B38BF" w:rsidRPr="00D01DDB" w14:paraId="5C826971" w14:textId="77777777" w:rsidTr="0064421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144AC96C" w14:textId="4384F1EF" w:rsidR="006B38BF" w:rsidRPr="00BC2193" w:rsidRDefault="006B38BF" w:rsidP="006B38BF">
            <w:pPr>
              <w:rPr>
                <w:szCs w:val="22"/>
              </w:rPr>
            </w:pPr>
            <w:r>
              <w:t>CPK</w:t>
            </w:r>
          </w:p>
        </w:tc>
        <w:tc>
          <w:tcPr>
            <w:tcW w:w="3800" w:type="pct"/>
            <w:shd w:val="clear" w:color="auto" w:fill="auto"/>
          </w:tcPr>
          <w:p w14:paraId="141DF666" w14:textId="5E4231E4" w:rsidR="006B38BF" w:rsidRDefault="006B38BF" w:rsidP="006B38BF">
            <w:pPr>
              <w:cnfStyle w:val="000000000000" w:firstRow="0" w:lastRow="0" w:firstColumn="0" w:lastColumn="0" w:oddVBand="0" w:evenVBand="0" w:oddHBand="0" w:evenHBand="0" w:firstRowFirstColumn="0" w:firstRowLastColumn="0" w:lastRowFirstColumn="0" w:lastRowLastColumn="0"/>
              <w:rPr>
                <w:szCs w:val="22"/>
              </w:rPr>
            </w:pPr>
            <w:r w:rsidRPr="00B77549">
              <w:t>Creatine phosphokinase</w:t>
            </w:r>
          </w:p>
        </w:tc>
      </w:tr>
      <w:tr w:rsidR="006B38BF" w:rsidRPr="00D01DDB" w14:paraId="1DA4245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B507619" w14:textId="11609B8F" w:rsidR="006B38BF" w:rsidRPr="00D01DDB" w:rsidRDefault="006B38BF" w:rsidP="006B38BF">
            <w:pPr>
              <w:rPr>
                <w:szCs w:val="22"/>
              </w:rPr>
            </w:pPr>
            <w:proofErr w:type="spellStart"/>
            <w:r w:rsidRPr="00EA4EFC">
              <w:rPr>
                <w:szCs w:val="22"/>
              </w:rPr>
              <w:t>C</w:t>
            </w:r>
            <w:r w:rsidRPr="00EA4EFC">
              <w:rPr>
                <w:szCs w:val="22"/>
                <w:vertAlign w:val="subscript"/>
              </w:rPr>
              <w:t>trough</w:t>
            </w:r>
            <w:proofErr w:type="spellEnd"/>
            <w:r w:rsidRPr="00EA4EFC">
              <w:rPr>
                <w:szCs w:val="22"/>
              </w:rPr>
              <w:tab/>
            </w:r>
          </w:p>
        </w:tc>
        <w:tc>
          <w:tcPr>
            <w:tcW w:w="3800" w:type="pct"/>
          </w:tcPr>
          <w:p w14:paraId="08CF8EC0" w14:textId="5010036F" w:rsidR="006B38BF" w:rsidRPr="00D01DDB" w:rsidRDefault="006B38BF" w:rsidP="006B38BF">
            <w:pPr>
              <w:cnfStyle w:val="000000000000" w:firstRow="0" w:lastRow="0" w:firstColumn="0" w:lastColumn="0" w:oddVBand="0" w:evenVBand="0" w:oddHBand="0" w:evenHBand="0" w:firstRowFirstColumn="0" w:firstRowLastColumn="0" w:lastRowFirstColumn="0" w:lastRowLastColumn="0"/>
              <w:rPr>
                <w:szCs w:val="22"/>
              </w:rPr>
            </w:pPr>
            <w:r w:rsidRPr="00EA4EFC">
              <w:rPr>
                <w:szCs w:val="22"/>
              </w:rPr>
              <w:t>Trough concentration</w:t>
            </w:r>
          </w:p>
        </w:tc>
      </w:tr>
      <w:tr w:rsidR="006B38BF" w:rsidRPr="00D01DDB" w14:paraId="0D09525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B3E545A" w14:textId="668B512D" w:rsidR="006B38BF" w:rsidRPr="00D01DDB" w:rsidRDefault="006B38BF" w:rsidP="006B38BF">
            <w:pPr>
              <w:rPr>
                <w:szCs w:val="22"/>
              </w:rPr>
            </w:pPr>
            <w:r>
              <w:rPr>
                <w:szCs w:val="22"/>
              </w:rPr>
              <w:t>CT-P41</w:t>
            </w:r>
          </w:p>
        </w:tc>
        <w:tc>
          <w:tcPr>
            <w:tcW w:w="3800" w:type="pct"/>
          </w:tcPr>
          <w:p w14:paraId="6136C3FB" w14:textId="45E29E16" w:rsidR="006B38BF" w:rsidRPr="00D01DDB" w:rsidRDefault="006B38BF" w:rsidP="006B38BF">
            <w:pPr>
              <w:ind w:left="0"/>
              <w:cnfStyle w:val="000000000000" w:firstRow="0" w:lastRow="0" w:firstColumn="0" w:lastColumn="0" w:oddVBand="0" w:evenVBand="0" w:oddHBand="0" w:evenHBand="0" w:firstRowFirstColumn="0" w:firstRowLastColumn="0" w:lastRowFirstColumn="0" w:lastRowLastColumn="0"/>
              <w:rPr>
                <w:szCs w:val="22"/>
              </w:rPr>
            </w:pPr>
            <w:r>
              <w:rPr>
                <w:szCs w:val="22"/>
              </w:rPr>
              <w:t xml:space="preserve">  Stoboclo</w:t>
            </w:r>
            <w:r w:rsidRPr="00D2605D">
              <w:rPr>
                <w:rFonts w:eastAsiaTheme="minorHAnsi" w:cstheme="minorBidi"/>
                <w:color w:val="auto"/>
                <w:szCs w:val="22"/>
                <w:lang w:eastAsia="en-US"/>
              </w:rPr>
              <w:t xml:space="preserve"> </w:t>
            </w:r>
            <w:r>
              <w:rPr>
                <w:szCs w:val="22"/>
              </w:rPr>
              <w:t>(d</w:t>
            </w:r>
            <w:r w:rsidRPr="00D2605D">
              <w:rPr>
                <w:szCs w:val="22"/>
              </w:rPr>
              <w:t>enosumab</w:t>
            </w:r>
            <w:r>
              <w:rPr>
                <w:szCs w:val="22"/>
              </w:rPr>
              <w:t>)</w:t>
            </w:r>
          </w:p>
        </w:tc>
      </w:tr>
      <w:tr w:rsidR="006B38BF" w:rsidRPr="00D01DDB"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0D6731AA" w:rsidR="006B38BF" w:rsidRPr="00D01DDB" w:rsidRDefault="006B38BF" w:rsidP="006B38BF">
            <w:pPr>
              <w:rPr>
                <w:szCs w:val="22"/>
              </w:rPr>
            </w:pPr>
            <w:r w:rsidRPr="00D01DDB">
              <w:rPr>
                <w:szCs w:val="22"/>
              </w:rPr>
              <w:t>DLP</w:t>
            </w:r>
          </w:p>
        </w:tc>
        <w:tc>
          <w:tcPr>
            <w:tcW w:w="3800" w:type="pct"/>
          </w:tcPr>
          <w:p w14:paraId="26109D0B" w14:textId="4AE8F60A" w:rsidR="006B38BF" w:rsidRPr="00D01DDB" w:rsidRDefault="006B38BF" w:rsidP="006B38BF">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6B38BF" w:rsidRPr="00D01DDB" w14:paraId="7067C49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8D066B" w14:textId="57EE8C2E" w:rsidR="006B38BF" w:rsidRPr="00D01DDB" w:rsidRDefault="006B38BF" w:rsidP="006B38BF">
            <w:pPr>
              <w:rPr>
                <w:szCs w:val="22"/>
              </w:rPr>
            </w:pPr>
            <w:r w:rsidRPr="00A75B1C">
              <w:rPr>
                <w:szCs w:val="22"/>
              </w:rPr>
              <w:t>DXA scan</w:t>
            </w:r>
          </w:p>
        </w:tc>
        <w:tc>
          <w:tcPr>
            <w:tcW w:w="3800" w:type="pct"/>
          </w:tcPr>
          <w:p w14:paraId="7A3C2516" w14:textId="50E7365A" w:rsidR="006B38BF" w:rsidRPr="00874627" w:rsidRDefault="006B38BF" w:rsidP="006B38BF">
            <w:pPr>
              <w:cnfStyle w:val="000000000000" w:firstRow="0" w:lastRow="0" w:firstColumn="0" w:lastColumn="0" w:oddVBand="0" w:evenVBand="0" w:oddHBand="0" w:evenHBand="0" w:firstRowFirstColumn="0" w:firstRowLastColumn="0" w:lastRowFirstColumn="0" w:lastRowLastColumn="0"/>
              <w:rPr>
                <w:szCs w:val="22"/>
              </w:rPr>
            </w:pPr>
            <w:r>
              <w:rPr>
                <w:szCs w:val="22"/>
              </w:rPr>
              <w:t>D</w:t>
            </w:r>
            <w:r w:rsidRPr="00874627">
              <w:rPr>
                <w:szCs w:val="22"/>
              </w:rPr>
              <w:t>ual-energy X-ray absorptiometry</w:t>
            </w:r>
            <w:r>
              <w:rPr>
                <w:szCs w:val="22"/>
              </w:rPr>
              <w:t xml:space="preserve"> scan</w:t>
            </w:r>
          </w:p>
        </w:tc>
      </w:tr>
      <w:tr w:rsidR="006B38BF" w:rsidRPr="00D01DDB" w14:paraId="12FFE30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1001505" w14:textId="7DB4BB4F" w:rsidR="006B38BF" w:rsidRPr="00A75B1C" w:rsidRDefault="006B38BF" w:rsidP="006B38BF">
            <w:pPr>
              <w:rPr>
                <w:szCs w:val="22"/>
              </w:rPr>
            </w:pPr>
            <w:r w:rsidRPr="0076292F">
              <w:rPr>
                <w:szCs w:val="22"/>
              </w:rPr>
              <w:t>ECG</w:t>
            </w:r>
          </w:p>
        </w:tc>
        <w:tc>
          <w:tcPr>
            <w:tcW w:w="3800" w:type="pct"/>
          </w:tcPr>
          <w:p w14:paraId="1B331D83" w14:textId="555B29B9" w:rsidR="006B38BF" w:rsidRDefault="006B38BF" w:rsidP="006B38BF">
            <w:pPr>
              <w:cnfStyle w:val="000000000000" w:firstRow="0" w:lastRow="0" w:firstColumn="0" w:lastColumn="0" w:oddVBand="0" w:evenVBand="0" w:oddHBand="0" w:evenHBand="0" w:firstRowFirstColumn="0" w:firstRowLastColumn="0" w:lastRowFirstColumn="0" w:lastRowLastColumn="0"/>
              <w:rPr>
                <w:szCs w:val="22"/>
              </w:rPr>
            </w:pPr>
            <w:r w:rsidRPr="003A0958">
              <w:rPr>
                <w:szCs w:val="22"/>
              </w:rPr>
              <w:t>Electrocardiogram</w:t>
            </w:r>
          </w:p>
        </w:tc>
      </w:tr>
      <w:tr w:rsidR="006B38BF" w:rsidRPr="00D01DDB" w14:paraId="131675E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0F0900C" w14:textId="335C708D" w:rsidR="006B38BF" w:rsidRPr="00A75B1C" w:rsidRDefault="006B38BF" w:rsidP="006B38BF">
            <w:pPr>
              <w:rPr>
                <w:szCs w:val="22"/>
              </w:rPr>
            </w:pPr>
            <w:r>
              <w:rPr>
                <w:szCs w:val="22"/>
              </w:rPr>
              <w:t>EOS</w:t>
            </w:r>
          </w:p>
        </w:tc>
        <w:tc>
          <w:tcPr>
            <w:tcW w:w="3800" w:type="pct"/>
          </w:tcPr>
          <w:p w14:paraId="17D2F53A" w14:textId="3F453C6C" w:rsidR="006B38BF" w:rsidRDefault="006B38BF" w:rsidP="006B38BF">
            <w:pPr>
              <w:cnfStyle w:val="000000000000" w:firstRow="0" w:lastRow="0" w:firstColumn="0" w:lastColumn="0" w:oddVBand="0" w:evenVBand="0" w:oddHBand="0" w:evenHBand="0" w:firstRowFirstColumn="0" w:firstRowLastColumn="0" w:lastRowFirstColumn="0" w:lastRowLastColumn="0"/>
              <w:rPr>
                <w:szCs w:val="22"/>
              </w:rPr>
            </w:pPr>
            <w:r w:rsidRPr="00363ED7">
              <w:rPr>
                <w:szCs w:val="22"/>
              </w:rPr>
              <w:t>End of study</w:t>
            </w:r>
          </w:p>
        </w:tc>
      </w:tr>
      <w:tr w:rsidR="006B38BF" w:rsidRPr="00D01DDB" w14:paraId="10541D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A2EAC1" w14:textId="19EE8DBC" w:rsidR="006B38BF" w:rsidRDefault="006B38BF" w:rsidP="006B38BF">
            <w:pPr>
              <w:rPr>
                <w:szCs w:val="22"/>
              </w:rPr>
            </w:pPr>
            <w:r w:rsidRPr="0000358D">
              <w:rPr>
                <w:szCs w:val="22"/>
              </w:rPr>
              <w:lastRenderedPageBreak/>
              <w:t>EQ-5D-5L</w:t>
            </w:r>
            <w:r w:rsidRPr="0000358D">
              <w:rPr>
                <w:szCs w:val="22"/>
              </w:rPr>
              <w:tab/>
            </w:r>
          </w:p>
        </w:tc>
        <w:tc>
          <w:tcPr>
            <w:tcW w:w="3800" w:type="pct"/>
          </w:tcPr>
          <w:p w14:paraId="0114A6EA" w14:textId="6FC024D5" w:rsidR="006B38BF" w:rsidRPr="00363ED7" w:rsidRDefault="006B38BF" w:rsidP="006B38BF">
            <w:pPr>
              <w:cnfStyle w:val="000000000000" w:firstRow="0" w:lastRow="0" w:firstColumn="0" w:lastColumn="0" w:oddVBand="0" w:evenVBand="0" w:oddHBand="0" w:evenHBand="0" w:firstRowFirstColumn="0" w:firstRowLastColumn="0" w:lastRowFirstColumn="0" w:lastRowLastColumn="0"/>
              <w:rPr>
                <w:szCs w:val="22"/>
              </w:rPr>
            </w:pPr>
            <w:r w:rsidRPr="0000358D">
              <w:rPr>
                <w:szCs w:val="22"/>
              </w:rPr>
              <w:t>EuroQoL-5 Dimensions-5 Levels Health Survey</w:t>
            </w:r>
          </w:p>
        </w:tc>
      </w:tr>
      <w:tr w:rsidR="006B38BF" w:rsidRPr="00D01DDB" w14:paraId="6E05FE9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336B24C" w14:textId="1BC62D2F" w:rsidR="006B38BF" w:rsidRPr="00D01DDB" w:rsidRDefault="006B38BF" w:rsidP="006B38BF">
            <w:pPr>
              <w:rPr>
                <w:szCs w:val="22"/>
              </w:rPr>
            </w:pPr>
            <w:r>
              <w:rPr>
                <w:szCs w:val="22"/>
              </w:rPr>
              <w:t>EU</w:t>
            </w:r>
          </w:p>
        </w:tc>
        <w:tc>
          <w:tcPr>
            <w:tcW w:w="3800" w:type="pct"/>
          </w:tcPr>
          <w:p w14:paraId="5462D158" w14:textId="0B8EA932" w:rsidR="006B38BF" w:rsidRPr="00D01DDB" w:rsidRDefault="006B38BF" w:rsidP="006B38BF">
            <w:pPr>
              <w:cnfStyle w:val="000000000000" w:firstRow="0" w:lastRow="0" w:firstColumn="0" w:lastColumn="0" w:oddVBand="0" w:evenVBand="0" w:oddHBand="0" w:evenHBand="0" w:firstRowFirstColumn="0" w:firstRowLastColumn="0" w:lastRowFirstColumn="0" w:lastRowLastColumn="0"/>
              <w:rPr>
                <w:szCs w:val="22"/>
              </w:rPr>
            </w:pPr>
            <w:r>
              <w:rPr>
                <w:szCs w:val="22"/>
              </w:rPr>
              <w:t>European Union</w:t>
            </w:r>
          </w:p>
        </w:tc>
      </w:tr>
      <w:tr w:rsidR="009D0768" w:rsidRPr="00D01DDB" w14:paraId="33EAF272" w14:textId="77777777" w:rsidTr="0084464C">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47B78DAB" w14:textId="26A8EF0D" w:rsidR="009D0768" w:rsidRDefault="009D0768" w:rsidP="009D0768">
            <w:pPr>
              <w:rPr>
                <w:szCs w:val="22"/>
              </w:rPr>
            </w:pPr>
            <w:r>
              <w:t>FAS</w:t>
            </w:r>
          </w:p>
        </w:tc>
        <w:tc>
          <w:tcPr>
            <w:tcW w:w="3800" w:type="pct"/>
            <w:shd w:val="clear" w:color="auto" w:fill="auto"/>
          </w:tcPr>
          <w:p w14:paraId="67C2B6C8" w14:textId="39E78616" w:rsidR="009D0768"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t>Full Analysis Set</w:t>
            </w:r>
          </w:p>
        </w:tc>
      </w:tr>
      <w:tr w:rsidR="009D0768" w:rsidRPr="00D01DDB" w14:paraId="4F135A5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45F6E5C" w14:textId="71A4C48A" w:rsidR="009D0768" w:rsidRPr="00D01DDB" w:rsidRDefault="009D0768" w:rsidP="009D0768">
            <w:pPr>
              <w:rPr>
                <w:szCs w:val="22"/>
              </w:rPr>
            </w:pPr>
            <w:r>
              <w:rPr>
                <w:szCs w:val="22"/>
              </w:rPr>
              <w:t>FDA</w:t>
            </w:r>
          </w:p>
        </w:tc>
        <w:tc>
          <w:tcPr>
            <w:tcW w:w="3800" w:type="pct"/>
          </w:tcPr>
          <w:p w14:paraId="0C19A674" w14:textId="56D7D727" w:rsidR="009D0768" w:rsidRPr="00D01DDB"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rPr>
                <w:szCs w:val="22"/>
              </w:rPr>
              <w:t>Food and Drug Administration</w:t>
            </w:r>
          </w:p>
        </w:tc>
      </w:tr>
      <w:tr w:rsidR="009D0768" w:rsidRPr="00D01DDB" w14:paraId="15006B1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322741B" w14:textId="7B285F2A" w:rsidR="009D0768" w:rsidRDefault="009D0768" w:rsidP="009D0768">
            <w:pPr>
              <w:rPr>
                <w:szCs w:val="22"/>
              </w:rPr>
            </w:pPr>
            <w:r>
              <w:rPr>
                <w:szCs w:val="22"/>
              </w:rPr>
              <w:t>HRT</w:t>
            </w:r>
          </w:p>
        </w:tc>
        <w:tc>
          <w:tcPr>
            <w:tcW w:w="3800" w:type="pct"/>
          </w:tcPr>
          <w:p w14:paraId="4BCD108A" w14:textId="090F25D9" w:rsidR="009D0768"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rPr>
                <w:szCs w:val="22"/>
              </w:rPr>
              <w:t>Hormone replacement therapy</w:t>
            </w:r>
          </w:p>
        </w:tc>
      </w:tr>
      <w:tr w:rsidR="009D0768" w:rsidRPr="00D01DDB" w14:paraId="3B7FADA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3ED31E6" w14:textId="2C359997" w:rsidR="009D0768" w:rsidRPr="00D01DDB" w:rsidRDefault="009D0768" w:rsidP="009D0768">
            <w:pPr>
              <w:rPr>
                <w:szCs w:val="22"/>
              </w:rPr>
            </w:pPr>
            <w:r w:rsidRPr="00EA1733">
              <w:rPr>
                <w:szCs w:val="22"/>
              </w:rPr>
              <w:t>IgG2</w:t>
            </w:r>
          </w:p>
        </w:tc>
        <w:tc>
          <w:tcPr>
            <w:tcW w:w="3800" w:type="pct"/>
          </w:tcPr>
          <w:p w14:paraId="3D9FEE24" w14:textId="7130743E" w:rsidR="009D0768" w:rsidRPr="00D01DDB"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rsidRPr="001D02AF">
              <w:rPr>
                <w:szCs w:val="22"/>
              </w:rPr>
              <w:t>Immunoglobulin G2 antibody</w:t>
            </w:r>
          </w:p>
        </w:tc>
      </w:tr>
      <w:tr w:rsidR="009D0768" w:rsidRPr="00D01DDB" w14:paraId="16D916F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24DC57" w14:textId="215384C2" w:rsidR="009D0768" w:rsidRPr="00EA1733" w:rsidRDefault="009D0768" w:rsidP="009D0768">
            <w:pPr>
              <w:rPr>
                <w:szCs w:val="22"/>
              </w:rPr>
            </w:pPr>
            <w:r w:rsidRPr="003B3BD2">
              <w:rPr>
                <w:szCs w:val="22"/>
              </w:rPr>
              <w:t>LS mean</w:t>
            </w:r>
          </w:p>
        </w:tc>
        <w:tc>
          <w:tcPr>
            <w:tcW w:w="3800" w:type="pct"/>
          </w:tcPr>
          <w:p w14:paraId="0525D13F" w14:textId="2CA8FDBD" w:rsidR="009D0768" w:rsidRPr="001D02AF"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rsidRPr="00A51B4B">
              <w:rPr>
                <w:szCs w:val="22"/>
              </w:rPr>
              <w:t>Least square</w:t>
            </w:r>
            <w:r>
              <w:rPr>
                <w:szCs w:val="22"/>
              </w:rPr>
              <w:t xml:space="preserve"> mean</w:t>
            </w:r>
          </w:p>
        </w:tc>
      </w:tr>
      <w:tr w:rsidR="009D0768" w:rsidRPr="00D01DDB" w14:paraId="4A65763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E0F21D" w14:textId="47F34036" w:rsidR="009D0768" w:rsidRPr="003B3BD2" w:rsidRDefault="009D0768" w:rsidP="009D0768">
            <w:pPr>
              <w:rPr>
                <w:szCs w:val="22"/>
              </w:rPr>
            </w:pPr>
            <w:r>
              <w:rPr>
                <w:szCs w:val="22"/>
              </w:rPr>
              <w:t>MRT</w:t>
            </w:r>
          </w:p>
        </w:tc>
        <w:tc>
          <w:tcPr>
            <w:tcW w:w="3800" w:type="pct"/>
          </w:tcPr>
          <w:p w14:paraId="50B4FD47" w14:textId="00E003E1" w:rsidR="009D0768" w:rsidRPr="001D02AF"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rsidRPr="00BD7179">
              <w:rPr>
                <w:szCs w:val="22"/>
              </w:rPr>
              <w:t>Mean residence time</w:t>
            </w:r>
          </w:p>
        </w:tc>
      </w:tr>
      <w:tr w:rsidR="009D0768" w:rsidRPr="00D01DDB" w14:paraId="56A10C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5001AA8" w14:textId="767AD95A" w:rsidR="009D0768" w:rsidRDefault="009D0768" w:rsidP="009D0768">
            <w:pPr>
              <w:rPr>
                <w:szCs w:val="22"/>
              </w:rPr>
            </w:pPr>
            <w:proofErr w:type="spellStart"/>
            <w:r w:rsidRPr="00522943">
              <w:rPr>
                <w:szCs w:val="22"/>
              </w:rPr>
              <w:t>NAb</w:t>
            </w:r>
            <w:r>
              <w:rPr>
                <w:szCs w:val="22"/>
              </w:rPr>
              <w:t>s</w:t>
            </w:r>
            <w:proofErr w:type="spellEnd"/>
          </w:p>
        </w:tc>
        <w:tc>
          <w:tcPr>
            <w:tcW w:w="3800" w:type="pct"/>
          </w:tcPr>
          <w:p w14:paraId="000B9007" w14:textId="61F156C4" w:rsidR="009D0768" w:rsidRPr="00BD7179"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rPr>
                <w:szCs w:val="22"/>
              </w:rPr>
              <w:t>N</w:t>
            </w:r>
            <w:r w:rsidRPr="00522943">
              <w:rPr>
                <w:szCs w:val="22"/>
              </w:rPr>
              <w:t xml:space="preserve">eutralising antibodies </w:t>
            </w:r>
          </w:p>
        </w:tc>
      </w:tr>
      <w:tr w:rsidR="009D0768" w:rsidRPr="00D01DDB" w14:paraId="2D5C12E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D9C766" w14:textId="6ED92ADE" w:rsidR="009D0768" w:rsidRPr="00522943" w:rsidRDefault="009D0768" w:rsidP="009D0768">
            <w:pPr>
              <w:rPr>
                <w:szCs w:val="22"/>
              </w:rPr>
            </w:pPr>
            <w:r>
              <w:rPr>
                <w:szCs w:val="22"/>
              </w:rPr>
              <w:t>ONJ</w:t>
            </w:r>
          </w:p>
        </w:tc>
        <w:tc>
          <w:tcPr>
            <w:tcW w:w="3800" w:type="pct"/>
          </w:tcPr>
          <w:p w14:paraId="47C3608E" w14:textId="0914B2A3" w:rsidR="009D0768" w:rsidRDefault="0031757F" w:rsidP="009D0768">
            <w:pPr>
              <w:cnfStyle w:val="000000000000" w:firstRow="0" w:lastRow="0" w:firstColumn="0" w:lastColumn="0" w:oddVBand="0" w:evenVBand="0" w:oddHBand="0" w:evenHBand="0" w:firstRowFirstColumn="0" w:firstRowLastColumn="0" w:lastRowFirstColumn="0" w:lastRowLastColumn="0"/>
              <w:rPr>
                <w:szCs w:val="22"/>
              </w:rPr>
            </w:pPr>
            <w:r w:rsidRPr="0031757F">
              <w:rPr>
                <w:szCs w:val="22"/>
              </w:rPr>
              <w:t>osteonecrosis of the jaw</w:t>
            </w:r>
          </w:p>
        </w:tc>
      </w:tr>
      <w:tr w:rsidR="009D0768" w:rsidRPr="00D01DDB" w14:paraId="10925074" w14:textId="77777777" w:rsidTr="00306DF8">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7632A4A3" w14:textId="05139F33" w:rsidR="009D0768" w:rsidRDefault="009D0768" w:rsidP="009D0768">
            <w:pPr>
              <w:rPr>
                <w:szCs w:val="22"/>
              </w:rPr>
            </w:pPr>
            <w:r w:rsidRPr="0092106B">
              <w:rPr>
                <w:lang w:eastAsia="ja-JP"/>
              </w:rPr>
              <w:t>OPAQ-SV</w:t>
            </w:r>
          </w:p>
        </w:tc>
        <w:tc>
          <w:tcPr>
            <w:tcW w:w="3800" w:type="pct"/>
            <w:shd w:val="clear" w:color="auto" w:fill="auto"/>
          </w:tcPr>
          <w:p w14:paraId="0FE2F309" w14:textId="5CCF2531" w:rsidR="009D0768" w:rsidRPr="00BD7179"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rsidRPr="007C11A9">
              <w:rPr>
                <w:lang w:eastAsia="ja-JP"/>
              </w:rPr>
              <w:t>Osteoporosis Assessment Questionnaire-Short Version</w:t>
            </w:r>
          </w:p>
        </w:tc>
      </w:tr>
      <w:tr w:rsidR="009D0768" w:rsidRPr="00D01DDB" w14:paraId="4072B41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529A5" w14:textId="53E8CC66" w:rsidR="009D0768" w:rsidRPr="00D01DDB" w:rsidRDefault="009D0768" w:rsidP="009D0768">
            <w:pPr>
              <w:rPr>
                <w:szCs w:val="22"/>
              </w:rPr>
            </w:pPr>
            <w:r>
              <w:rPr>
                <w:szCs w:val="22"/>
              </w:rPr>
              <w:t>OPG</w:t>
            </w:r>
          </w:p>
        </w:tc>
        <w:tc>
          <w:tcPr>
            <w:tcW w:w="3800" w:type="pct"/>
          </w:tcPr>
          <w:p w14:paraId="5E2B5BEE" w14:textId="307D34D1" w:rsidR="009D0768" w:rsidRPr="00D01DDB" w:rsidRDefault="009D0768" w:rsidP="009D0768">
            <w:pPr>
              <w:cnfStyle w:val="000000000000" w:firstRow="0" w:lastRow="0" w:firstColumn="0" w:lastColumn="0" w:oddVBand="0" w:evenVBand="0" w:oddHBand="0" w:evenHBand="0" w:firstRowFirstColumn="0" w:firstRowLastColumn="0" w:lastRowFirstColumn="0" w:lastRowLastColumn="0"/>
              <w:rPr>
                <w:szCs w:val="22"/>
              </w:rPr>
            </w:pPr>
            <w:proofErr w:type="spellStart"/>
            <w:r w:rsidRPr="00EA1733">
              <w:rPr>
                <w:szCs w:val="22"/>
              </w:rPr>
              <w:t>Osteoprotegerin</w:t>
            </w:r>
            <w:proofErr w:type="spellEnd"/>
          </w:p>
        </w:tc>
      </w:tr>
      <w:tr w:rsidR="009D0768" w:rsidRPr="00D01DDB" w14:paraId="233F0C8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7B76F17" w14:textId="33547E19" w:rsidR="009D0768" w:rsidRDefault="009D0768" w:rsidP="009D0768">
            <w:pPr>
              <w:rPr>
                <w:szCs w:val="22"/>
              </w:rPr>
            </w:pPr>
            <w:r>
              <w:rPr>
                <w:szCs w:val="22"/>
              </w:rPr>
              <w:t>PD</w:t>
            </w:r>
          </w:p>
        </w:tc>
        <w:tc>
          <w:tcPr>
            <w:tcW w:w="3800" w:type="pct"/>
          </w:tcPr>
          <w:p w14:paraId="232D7DC7" w14:textId="6BC6003A" w:rsidR="009D0768" w:rsidRPr="00EA1733"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Pr="00E05046">
              <w:rPr>
                <w:szCs w:val="22"/>
              </w:rPr>
              <w:t xml:space="preserve">harmacodynamics </w:t>
            </w:r>
          </w:p>
        </w:tc>
      </w:tr>
      <w:tr w:rsidR="009D0768" w:rsidRPr="00D01DDB" w14:paraId="5B85DDF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ADF8FE" w14:textId="5C727BAD" w:rsidR="009D0768" w:rsidRDefault="009D0768" w:rsidP="009D0768">
            <w:pPr>
              <w:rPr>
                <w:szCs w:val="22"/>
              </w:rPr>
            </w:pPr>
            <w:r w:rsidRPr="007528E1">
              <w:rPr>
                <w:szCs w:val="22"/>
              </w:rPr>
              <w:t>PFS</w:t>
            </w:r>
          </w:p>
        </w:tc>
        <w:tc>
          <w:tcPr>
            <w:tcW w:w="3800" w:type="pct"/>
          </w:tcPr>
          <w:p w14:paraId="483605B5" w14:textId="078519C6" w:rsidR="009D0768" w:rsidRPr="00EA1733"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rPr>
                <w:szCs w:val="22"/>
              </w:rPr>
              <w:t>Pre-filled syringe</w:t>
            </w:r>
          </w:p>
        </w:tc>
      </w:tr>
      <w:tr w:rsidR="009D0768"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9D0768" w:rsidRPr="00D01DDB" w:rsidRDefault="009D0768" w:rsidP="009D0768">
            <w:pPr>
              <w:rPr>
                <w:szCs w:val="22"/>
              </w:rPr>
            </w:pPr>
            <w:r w:rsidRPr="00D01DDB">
              <w:rPr>
                <w:szCs w:val="22"/>
              </w:rPr>
              <w:t>PI</w:t>
            </w:r>
          </w:p>
        </w:tc>
        <w:tc>
          <w:tcPr>
            <w:tcW w:w="3800" w:type="pct"/>
          </w:tcPr>
          <w:p w14:paraId="354B5DB5" w14:textId="3DAE38C1" w:rsidR="009D0768" w:rsidRPr="00D01DDB"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9D0768" w:rsidRPr="00D01DDB" w14:paraId="266FD4E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9FC602B" w14:textId="624EFA0E" w:rsidR="009D0768" w:rsidRPr="00D01DDB" w:rsidRDefault="009D0768" w:rsidP="009D0768">
            <w:pPr>
              <w:rPr>
                <w:szCs w:val="22"/>
              </w:rPr>
            </w:pPr>
            <w:r>
              <w:rPr>
                <w:szCs w:val="22"/>
              </w:rPr>
              <w:t>PK</w:t>
            </w:r>
          </w:p>
        </w:tc>
        <w:tc>
          <w:tcPr>
            <w:tcW w:w="3800" w:type="pct"/>
          </w:tcPr>
          <w:p w14:paraId="02021F1A" w14:textId="2CC54245" w:rsidR="009D0768" w:rsidRPr="00D01DDB"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Pr="008C1D0D">
              <w:rPr>
                <w:szCs w:val="22"/>
              </w:rPr>
              <w:t xml:space="preserve">harmacokinetic </w:t>
            </w:r>
          </w:p>
        </w:tc>
      </w:tr>
      <w:tr w:rsidR="009D0768" w:rsidRPr="00D01DDB" w14:paraId="1A15407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454F28" w14:textId="080AC89B" w:rsidR="009D0768" w:rsidRPr="00D01DDB" w:rsidRDefault="009D0768" w:rsidP="009D0768">
            <w:pPr>
              <w:rPr>
                <w:szCs w:val="22"/>
              </w:rPr>
            </w:pPr>
            <w:r w:rsidRPr="003B3BD2">
              <w:rPr>
                <w:szCs w:val="22"/>
              </w:rPr>
              <w:t>pAUC</w:t>
            </w:r>
            <w:r w:rsidRPr="003B3BD2">
              <w:rPr>
                <w:szCs w:val="22"/>
                <w:vertAlign w:val="subscript"/>
              </w:rPr>
              <w:t>0-W16</w:t>
            </w:r>
          </w:p>
        </w:tc>
        <w:tc>
          <w:tcPr>
            <w:tcW w:w="3800" w:type="pct"/>
          </w:tcPr>
          <w:p w14:paraId="79FA8034" w14:textId="1E84180D" w:rsidR="009D0768" w:rsidRPr="00D01DDB"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rPr>
                <w:szCs w:val="22"/>
              </w:rPr>
              <w:t>Partial</w:t>
            </w:r>
            <w:r w:rsidRPr="00E07ABC">
              <w:rPr>
                <w:szCs w:val="22"/>
              </w:rPr>
              <w:t xml:space="preserve"> area under the concentration-time curve from 0 to </w:t>
            </w:r>
            <w:r>
              <w:rPr>
                <w:szCs w:val="22"/>
              </w:rPr>
              <w:t>16</w:t>
            </w:r>
            <w:r w:rsidRPr="00E07ABC">
              <w:rPr>
                <w:szCs w:val="22"/>
              </w:rPr>
              <w:t> weeks</w:t>
            </w:r>
          </w:p>
        </w:tc>
      </w:tr>
      <w:tr w:rsidR="009D0768" w:rsidRPr="00D01DDB" w14:paraId="5EB52D2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8D5DC14" w14:textId="1223B44B" w:rsidR="009D0768" w:rsidRPr="003B3BD2" w:rsidRDefault="009D0768" w:rsidP="009D0768">
            <w:pPr>
              <w:rPr>
                <w:szCs w:val="22"/>
              </w:rPr>
            </w:pPr>
            <w:r w:rsidRPr="003B3BD2">
              <w:rPr>
                <w:szCs w:val="22"/>
              </w:rPr>
              <w:t>pAUC</w:t>
            </w:r>
            <w:r w:rsidRPr="003B3BD2">
              <w:rPr>
                <w:szCs w:val="22"/>
                <w:vertAlign w:val="subscript"/>
              </w:rPr>
              <w:t>W16-inf</w:t>
            </w:r>
          </w:p>
        </w:tc>
        <w:tc>
          <w:tcPr>
            <w:tcW w:w="3800" w:type="pct"/>
          </w:tcPr>
          <w:p w14:paraId="2F68B359" w14:textId="59501A9C" w:rsidR="009D0768" w:rsidRPr="00D01DDB"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rsidRPr="005C03CA">
              <w:rPr>
                <w:szCs w:val="22"/>
              </w:rPr>
              <w:t>Partial area under the concentration-time curve from 16 weeks</w:t>
            </w:r>
            <w:r>
              <w:rPr>
                <w:szCs w:val="22"/>
              </w:rPr>
              <w:t xml:space="preserve"> to infinity</w:t>
            </w:r>
          </w:p>
        </w:tc>
      </w:tr>
      <w:tr w:rsidR="007A4C7F" w:rsidRPr="00D01DDB" w14:paraId="3051573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F7E856" w14:textId="3AD6575B" w:rsidR="007A4C7F" w:rsidRPr="003B3BD2" w:rsidRDefault="007A4C7F" w:rsidP="009D0768">
            <w:pPr>
              <w:rPr>
                <w:szCs w:val="22"/>
              </w:rPr>
            </w:pPr>
            <w:r>
              <w:rPr>
                <w:szCs w:val="22"/>
              </w:rPr>
              <w:t>PPS</w:t>
            </w:r>
          </w:p>
        </w:tc>
        <w:tc>
          <w:tcPr>
            <w:tcW w:w="3800" w:type="pct"/>
          </w:tcPr>
          <w:p w14:paraId="2798E9E2" w14:textId="553E3119" w:rsidR="007A4C7F" w:rsidRPr="005C03CA" w:rsidRDefault="00824574" w:rsidP="009D0768">
            <w:pPr>
              <w:cnfStyle w:val="000000000000" w:firstRow="0" w:lastRow="0" w:firstColumn="0" w:lastColumn="0" w:oddVBand="0" w:evenVBand="0" w:oddHBand="0" w:evenHBand="0" w:firstRowFirstColumn="0" w:firstRowLastColumn="0" w:lastRowFirstColumn="0" w:lastRowLastColumn="0"/>
              <w:rPr>
                <w:szCs w:val="22"/>
              </w:rPr>
            </w:pPr>
            <w:r w:rsidRPr="00824574">
              <w:rPr>
                <w:szCs w:val="22"/>
              </w:rPr>
              <w:t>Per Protocol Set</w:t>
            </w:r>
          </w:p>
        </w:tc>
      </w:tr>
      <w:tr w:rsidR="009D0768" w:rsidRPr="00D01DDB" w14:paraId="3D3C70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FC5D65" w14:textId="2915A0B8" w:rsidR="009D0768" w:rsidRPr="00D01DDB" w:rsidRDefault="009D0768" w:rsidP="009D0768">
            <w:pPr>
              <w:rPr>
                <w:szCs w:val="22"/>
              </w:rPr>
            </w:pPr>
            <w:r w:rsidRPr="00D01DDB">
              <w:rPr>
                <w:szCs w:val="22"/>
              </w:rPr>
              <w:t>PSUR</w:t>
            </w:r>
          </w:p>
        </w:tc>
        <w:tc>
          <w:tcPr>
            <w:tcW w:w="3800" w:type="pct"/>
          </w:tcPr>
          <w:p w14:paraId="4A97D112" w14:textId="3DC38D82" w:rsidR="009D0768" w:rsidRPr="00D01DDB"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9D0768" w:rsidRPr="00D01DDB" w14:paraId="7C568402" w14:textId="77777777" w:rsidTr="00AA44F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09CFA60E" w14:textId="03D7EFB8" w:rsidR="009D0768" w:rsidRPr="00D01DDB" w:rsidRDefault="009D0768" w:rsidP="009D0768">
            <w:pPr>
              <w:rPr>
                <w:szCs w:val="22"/>
              </w:rPr>
            </w:pPr>
            <w:r>
              <w:t>PT</w:t>
            </w:r>
          </w:p>
        </w:tc>
        <w:tc>
          <w:tcPr>
            <w:tcW w:w="3800" w:type="pct"/>
            <w:shd w:val="clear" w:color="auto" w:fill="auto"/>
          </w:tcPr>
          <w:p w14:paraId="7E221397" w14:textId="0E140CF6" w:rsidR="009D0768" w:rsidRPr="00D01DDB"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t>Preferred term</w:t>
            </w:r>
          </w:p>
        </w:tc>
      </w:tr>
      <w:tr w:rsidR="009D0768" w:rsidRPr="00D01DDB" w14:paraId="12EFF998" w14:textId="77777777" w:rsidTr="00AA44F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72B6FAB4" w14:textId="3241E5CD" w:rsidR="009D0768" w:rsidRPr="00D01DDB" w:rsidRDefault="009D0768" w:rsidP="009D0768">
            <w:pPr>
              <w:rPr>
                <w:szCs w:val="22"/>
              </w:rPr>
            </w:pPr>
            <w:r>
              <w:t>PTH</w:t>
            </w:r>
          </w:p>
        </w:tc>
        <w:tc>
          <w:tcPr>
            <w:tcW w:w="3800" w:type="pct"/>
            <w:shd w:val="clear" w:color="auto" w:fill="auto"/>
          </w:tcPr>
          <w:p w14:paraId="70BCB81C" w14:textId="2519B84D" w:rsidR="009D0768" w:rsidRPr="00D01DDB"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rPr>
                <w:lang w:eastAsia="ja-JP"/>
              </w:rPr>
              <w:t>Parathyroid hormone</w:t>
            </w:r>
          </w:p>
        </w:tc>
      </w:tr>
      <w:tr w:rsidR="009D0768" w:rsidRPr="00D01DDB" w14:paraId="5394815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2544E9" w14:textId="28DA905E" w:rsidR="009D0768" w:rsidRPr="00D01DDB" w:rsidRDefault="009D0768" w:rsidP="009D0768">
            <w:pPr>
              <w:rPr>
                <w:szCs w:val="22"/>
              </w:rPr>
            </w:pPr>
            <w:r>
              <w:rPr>
                <w:szCs w:val="22"/>
              </w:rPr>
              <w:t>RANK</w:t>
            </w:r>
          </w:p>
        </w:tc>
        <w:tc>
          <w:tcPr>
            <w:tcW w:w="3800" w:type="pct"/>
          </w:tcPr>
          <w:p w14:paraId="7AD1897D" w14:textId="439F330B" w:rsidR="009D0768" w:rsidRPr="00D01DDB"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rsidRPr="00E12F63">
              <w:rPr>
                <w:szCs w:val="22"/>
              </w:rPr>
              <w:t>Receptor activator of nuclear factor kappa-β</w:t>
            </w:r>
          </w:p>
        </w:tc>
      </w:tr>
      <w:tr w:rsidR="009D0768" w:rsidRPr="00D01DDB" w14:paraId="620F24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6E38BF3" w14:textId="651EF54D" w:rsidR="009D0768" w:rsidRPr="00D01DDB" w:rsidRDefault="009D0768" w:rsidP="009D0768">
            <w:pPr>
              <w:rPr>
                <w:szCs w:val="22"/>
              </w:rPr>
            </w:pPr>
            <w:r>
              <w:rPr>
                <w:szCs w:val="22"/>
              </w:rPr>
              <w:t>RANKL</w:t>
            </w:r>
          </w:p>
        </w:tc>
        <w:tc>
          <w:tcPr>
            <w:tcW w:w="3800" w:type="pct"/>
          </w:tcPr>
          <w:p w14:paraId="627C9FE6" w14:textId="6C4EC43A" w:rsidR="009D0768" w:rsidRPr="00D01DDB"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rPr>
                <w:szCs w:val="22"/>
              </w:rPr>
              <w:t>R</w:t>
            </w:r>
            <w:r w:rsidRPr="00EA1733">
              <w:rPr>
                <w:szCs w:val="22"/>
              </w:rPr>
              <w:t>eceptor activator of nuclear factor kappa-</w:t>
            </w:r>
            <w:r w:rsidRPr="00E12F63">
              <w:rPr>
                <w:szCs w:val="22"/>
              </w:rPr>
              <w:t>β</w:t>
            </w:r>
            <w:r w:rsidRPr="00EA1733">
              <w:rPr>
                <w:szCs w:val="22"/>
              </w:rPr>
              <w:t xml:space="preserve"> ligand</w:t>
            </w:r>
          </w:p>
        </w:tc>
      </w:tr>
      <w:tr w:rsidR="009D0768"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9D0768" w:rsidRPr="00D01DDB" w:rsidRDefault="009D0768" w:rsidP="009D0768">
            <w:pPr>
              <w:rPr>
                <w:szCs w:val="22"/>
              </w:rPr>
            </w:pPr>
            <w:r w:rsidRPr="00D01DDB">
              <w:rPr>
                <w:szCs w:val="22"/>
              </w:rPr>
              <w:t>RMP</w:t>
            </w:r>
          </w:p>
        </w:tc>
        <w:tc>
          <w:tcPr>
            <w:tcW w:w="3800" w:type="pct"/>
          </w:tcPr>
          <w:p w14:paraId="2C862F75" w14:textId="2355E842" w:rsidR="009D0768" w:rsidRPr="00D01DDB"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9D0768" w:rsidRPr="00D01DDB" w14:paraId="4F07FE4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AF8EC5A" w14:textId="593E4D6D" w:rsidR="009D0768" w:rsidRPr="00D01DDB" w:rsidRDefault="009D0768" w:rsidP="009D0768">
            <w:pPr>
              <w:rPr>
                <w:szCs w:val="22"/>
              </w:rPr>
            </w:pPr>
            <w:r w:rsidRPr="00C1588B">
              <w:rPr>
                <w:szCs w:val="22"/>
              </w:rPr>
              <w:t>SAE</w:t>
            </w:r>
            <w:r>
              <w:rPr>
                <w:szCs w:val="22"/>
              </w:rPr>
              <w:t>(</w:t>
            </w:r>
            <w:r w:rsidRPr="00C1588B">
              <w:rPr>
                <w:szCs w:val="22"/>
              </w:rPr>
              <w:t>s</w:t>
            </w:r>
            <w:r>
              <w:rPr>
                <w:szCs w:val="22"/>
              </w:rPr>
              <w:t>)</w:t>
            </w:r>
          </w:p>
        </w:tc>
        <w:tc>
          <w:tcPr>
            <w:tcW w:w="3800" w:type="pct"/>
          </w:tcPr>
          <w:p w14:paraId="0A8FF072" w14:textId="0F5ED52C" w:rsidR="009D0768" w:rsidRPr="00D01DDB"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t>Serious adverse event(s)</w:t>
            </w:r>
          </w:p>
        </w:tc>
      </w:tr>
      <w:tr w:rsidR="009D0768" w:rsidRPr="00D01DDB" w14:paraId="6AE7D6B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7AD86F8" w14:textId="40A8F648" w:rsidR="009D0768" w:rsidRPr="00D01DDB" w:rsidRDefault="009D0768" w:rsidP="009D0768">
            <w:pPr>
              <w:rPr>
                <w:szCs w:val="22"/>
              </w:rPr>
            </w:pPr>
            <w:r>
              <w:rPr>
                <w:szCs w:val="22"/>
              </w:rPr>
              <w:t>SC</w:t>
            </w:r>
          </w:p>
        </w:tc>
        <w:tc>
          <w:tcPr>
            <w:tcW w:w="3800" w:type="pct"/>
          </w:tcPr>
          <w:p w14:paraId="071FD2D5" w14:textId="002C8ADB" w:rsidR="009D0768" w:rsidRPr="00D01DDB"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rPr>
                <w:szCs w:val="22"/>
              </w:rPr>
              <w:t>Subcutaneous</w:t>
            </w:r>
          </w:p>
        </w:tc>
      </w:tr>
      <w:tr w:rsidR="009D0768" w:rsidRPr="00D01DDB" w14:paraId="55EF44F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7A425A7" w14:textId="26DD2009" w:rsidR="009D0768" w:rsidRDefault="009D0768" w:rsidP="009D0768">
            <w:pPr>
              <w:rPr>
                <w:szCs w:val="22"/>
              </w:rPr>
            </w:pPr>
            <w:r>
              <w:rPr>
                <w:szCs w:val="22"/>
              </w:rPr>
              <w:t>SD</w:t>
            </w:r>
          </w:p>
        </w:tc>
        <w:tc>
          <w:tcPr>
            <w:tcW w:w="3800" w:type="pct"/>
          </w:tcPr>
          <w:p w14:paraId="6F45703A" w14:textId="4A0974BF" w:rsidR="009D0768"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rPr>
                <w:szCs w:val="22"/>
              </w:rPr>
              <w:t>Standard deviation</w:t>
            </w:r>
          </w:p>
        </w:tc>
      </w:tr>
      <w:tr w:rsidR="009D0768" w:rsidRPr="00D01DDB" w14:paraId="4F37AFA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8ACE38" w14:textId="51EA5ED5" w:rsidR="009D0768" w:rsidRDefault="009D0768" w:rsidP="009D0768">
            <w:pPr>
              <w:rPr>
                <w:szCs w:val="22"/>
              </w:rPr>
            </w:pPr>
            <w:r w:rsidRPr="005500EB">
              <w:rPr>
                <w:szCs w:val="22"/>
              </w:rPr>
              <w:t>SE</w:t>
            </w:r>
            <w:r w:rsidRPr="005500EB">
              <w:rPr>
                <w:szCs w:val="22"/>
              </w:rPr>
              <w:tab/>
            </w:r>
          </w:p>
        </w:tc>
        <w:tc>
          <w:tcPr>
            <w:tcW w:w="3800" w:type="pct"/>
          </w:tcPr>
          <w:p w14:paraId="5C15E67A" w14:textId="2744E1A1" w:rsidR="009D0768"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rsidRPr="005500EB">
              <w:rPr>
                <w:szCs w:val="22"/>
              </w:rPr>
              <w:t>Standard error</w:t>
            </w:r>
          </w:p>
        </w:tc>
      </w:tr>
      <w:tr w:rsidR="009D0768" w:rsidRPr="00D01DDB" w14:paraId="6B3D029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59D1647" w14:textId="2C058292" w:rsidR="009D0768" w:rsidRDefault="009D0768" w:rsidP="009D0768">
            <w:pPr>
              <w:rPr>
                <w:szCs w:val="22"/>
              </w:rPr>
            </w:pPr>
            <w:r w:rsidRPr="00020ED3">
              <w:rPr>
                <w:szCs w:val="22"/>
              </w:rPr>
              <w:t>s-CTX</w:t>
            </w:r>
          </w:p>
        </w:tc>
        <w:tc>
          <w:tcPr>
            <w:tcW w:w="3800" w:type="pct"/>
          </w:tcPr>
          <w:p w14:paraId="666C7E7A" w14:textId="1FE24A80" w:rsidR="009D0768"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rPr>
                <w:szCs w:val="22"/>
              </w:rPr>
              <w:t>Serum c</w:t>
            </w:r>
            <w:r w:rsidRPr="00BF22A6">
              <w:rPr>
                <w:szCs w:val="22"/>
              </w:rPr>
              <w:t>arboxy-terminal collagen crosslinks</w:t>
            </w:r>
          </w:p>
        </w:tc>
      </w:tr>
      <w:tr w:rsidR="009D0768" w:rsidRPr="00D01DDB" w14:paraId="51FD7A2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3D01163" w14:textId="044387C8" w:rsidR="009D0768" w:rsidRDefault="009D0768" w:rsidP="009D0768">
            <w:pPr>
              <w:rPr>
                <w:szCs w:val="22"/>
              </w:rPr>
            </w:pPr>
            <w:r w:rsidRPr="003B3BD2">
              <w:rPr>
                <w:szCs w:val="22"/>
              </w:rPr>
              <w:t>T</w:t>
            </w:r>
            <w:r w:rsidRPr="003B3BD2">
              <w:rPr>
                <w:szCs w:val="22"/>
                <w:vertAlign w:val="subscript"/>
              </w:rPr>
              <w:t>1/2</w:t>
            </w:r>
          </w:p>
        </w:tc>
        <w:tc>
          <w:tcPr>
            <w:tcW w:w="3800" w:type="pct"/>
          </w:tcPr>
          <w:p w14:paraId="6037A68E" w14:textId="6B43470F" w:rsidR="009D0768"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rsidRPr="00C817CE">
              <w:rPr>
                <w:szCs w:val="22"/>
              </w:rPr>
              <w:t>Half life</w:t>
            </w:r>
          </w:p>
        </w:tc>
      </w:tr>
      <w:tr w:rsidR="009D0768" w:rsidRPr="00D01DDB" w14:paraId="56B1513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E3D4B4" w14:textId="23EE78A6" w:rsidR="009D0768" w:rsidRPr="003B3BD2" w:rsidRDefault="009D0768" w:rsidP="009D0768">
            <w:pPr>
              <w:rPr>
                <w:szCs w:val="22"/>
              </w:rPr>
            </w:pPr>
            <w:r w:rsidRPr="00F55423">
              <w:rPr>
                <w:szCs w:val="22"/>
              </w:rPr>
              <w:t>TEAE</w:t>
            </w:r>
            <w:r>
              <w:rPr>
                <w:szCs w:val="22"/>
              </w:rPr>
              <w:t>(</w:t>
            </w:r>
            <w:r w:rsidRPr="00F55423">
              <w:rPr>
                <w:szCs w:val="22"/>
              </w:rPr>
              <w:t>s</w:t>
            </w:r>
            <w:r>
              <w:rPr>
                <w:szCs w:val="22"/>
              </w:rPr>
              <w:t>)</w:t>
            </w:r>
          </w:p>
        </w:tc>
        <w:tc>
          <w:tcPr>
            <w:tcW w:w="3800" w:type="pct"/>
          </w:tcPr>
          <w:p w14:paraId="3563F4C1" w14:textId="0958FA6B" w:rsidR="009D0768" w:rsidRPr="00C817CE"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rsidRPr="00F54526">
              <w:rPr>
                <w:szCs w:val="22"/>
              </w:rPr>
              <w:t>Treatment-emergent adverse event</w:t>
            </w:r>
            <w:r>
              <w:rPr>
                <w:szCs w:val="22"/>
              </w:rPr>
              <w:t>(s)</w:t>
            </w:r>
          </w:p>
        </w:tc>
      </w:tr>
      <w:tr w:rsidR="009D0768" w:rsidRPr="00D01DDB" w14:paraId="63CD6F1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074908C" w14:textId="6AEE7D8F" w:rsidR="009D0768" w:rsidRPr="00F55423" w:rsidRDefault="009D0768" w:rsidP="009D0768">
            <w:pPr>
              <w:rPr>
                <w:szCs w:val="22"/>
              </w:rPr>
            </w:pPr>
            <w:r w:rsidRPr="00C633A0">
              <w:rPr>
                <w:szCs w:val="22"/>
              </w:rPr>
              <w:lastRenderedPageBreak/>
              <w:t>TESAEs</w:t>
            </w:r>
          </w:p>
        </w:tc>
        <w:tc>
          <w:tcPr>
            <w:tcW w:w="3800" w:type="pct"/>
          </w:tcPr>
          <w:p w14:paraId="62DA17BC" w14:textId="1FAA78E9" w:rsidR="009D0768" w:rsidRPr="00F54526"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rsidRPr="00DF0BB4">
              <w:rPr>
                <w:szCs w:val="22"/>
              </w:rPr>
              <w:t>Treatment emergent serious adverse events</w:t>
            </w:r>
          </w:p>
        </w:tc>
      </w:tr>
      <w:tr w:rsidR="009D0768"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9D0768" w:rsidRPr="00D01DDB" w:rsidRDefault="009D0768" w:rsidP="009D0768">
            <w:pPr>
              <w:rPr>
                <w:szCs w:val="22"/>
              </w:rPr>
            </w:pPr>
            <w:r w:rsidRPr="00D01DDB">
              <w:rPr>
                <w:szCs w:val="22"/>
              </w:rPr>
              <w:t>TGA</w:t>
            </w:r>
          </w:p>
        </w:tc>
        <w:tc>
          <w:tcPr>
            <w:tcW w:w="3800" w:type="pct"/>
          </w:tcPr>
          <w:p w14:paraId="29EA6BA3" w14:textId="6F99059F" w:rsidR="009D0768" w:rsidRPr="00D01DDB"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9D0768" w:rsidRPr="00D01DDB" w14:paraId="7756443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E2F52E" w14:textId="438521B8" w:rsidR="009D0768" w:rsidRPr="00D01DDB" w:rsidRDefault="009D0768" w:rsidP="009D0768">
            <w:pPr>
              <w:rPr>
                <w:szCs w:val="22"/>
              </w:rPr>
            </w:pPr>
            <w:proofErr w:type="spellStart"/>
            <w:r w:rsidRPr="003B3BD2">
              <w:rPr>
                <w:szCs w:val="22"/>
              </w:rPr>
              <w:t>T</w:t>
            </w:r>
            <w:r w:rsidRPr="003B3BD2">
              <w:rPr>
                <w:szCs w:val="22"/>
                <w:vertAlign w:val="subscript"/>
              </w:rPr>
              <w:t>max</w:t>
            </w:r>
            <w:proofErr w:type="spellEnd"/>
          </w:p>
        </w:tc>
        <w:tc>
          <w:tcPr>
            <w:tcW w:w="3800" w:type="pct"/>
          </w:tcPr>
          <w:p w14:paraId="0EE4B73C" w14:textId="4AA17028" w:rsidR="009D0768" w:rsidRPr="00D01DDB"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rsidRPr="00C817CE">
              <w:rPr>
                <w:szCs w:val="22"/>
              </w:rPr>
              <w:t>Time after administration of a drug when the maximum plasma concentration is reached</w:t>
            </w:r>
          </w:p>
        </w:tc>
      </w:tr>
      <w:tr w:rsidR="009D0768" w:rsidRPr="00D01DDB" w14:paraId="1EEA9D1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7F296D" w14:textId="7C5B77D2" w:rsidR="009D0768" w:rsidRPr="003B3BD2" w:rsidRDefault="009D0768" w:rsidP="009D0768">
            <w:pPr>
              <w:rPr>
                <w:szCs w:val="22"/>
              </w:rPr>
            </w:pPr>
            <w:r w:rsidRPr="00F0570A">
              <w:rPr>
                <w:szCs w:val="22"/>
              </w:rPr>
              <w:t>ULN</w:t>
            </w:r>
          </w:p>
        </w:tc>
        <w:tc>
          <w:tcPr>
            <w:tcW w:w="3800" w:type="pct"/>
          </w:tcPr>
          <w:p w14:paraId="7665152F" w14:textId="223C0E5B" w:rsidR="009D0768" w:rsidRPr="00C817CE"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rsidRPr="00FB546E">
              <w:rPr>
                <w:szCs w:val="22"/>
              </w:rPr>
              <w:t>Upper limit of normal</w:t>
            </w:r>
          </w:p>
        </w:tc>
      </w:tr>
      <w:tr w:rsidR="009D0768" w:rsidRPr="00D01DDB" w14:paraId="4CFB3A7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92A164" w14:textId="5CFF2493" w:rsidR="009D0768" w:rsidRPr="00F0570A" w:rsidRDefault="009D0768" w:rsidP="009D0768">
            <w:pPr>
              <w:rPr>
                <w:szCs w:val="22"/>
              </w:rPr>
            </w:pPr>
            <w:r w:rsidRPr="005738CD">
              <w:rPr>
                <w:szCs w:val="22"/>
              </w:rPr>
              <w:t>URTI</w:t>
            </w:r>
          </w:p>
        </w:tc>
        <w:tc>
          <w:tcPr>
            <w:tcW w:w="3800" w:type="pct"/>
          </w:tcPr>
          <w:p w14:paraId="7B4624B5" w14:textId="64E67A6E" w:rsidR="009D0768" w:rsidRPr="00FB546E"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rPr>
                <w:szCs w:val="22"/>
              </w:rPr>
              <w:t>Upper respiratory tract infection</w:t>
            </w:r>
          </w:p>
        </w:tc>
      </w:tr>
      <w:tr w:rsidR="009D0768" w:rsidRPr="00D01DDB" w14:paraId="49630AF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E5B091" w14:textId="7974DF4A" w:rsidR="009D0768" w:rsidRPr="00D01DDB" w:rsidRDefault="009D0768" w:rsidP="009D0768">
            <w:pPr>
              <w:rPr>
                <w:szCs w:val="22"/>
              </w:rPr>
            </w:pPr>
            <w:r>
              <w:rPr>
                <w:szCs w:val="22"/>
              </w:rPr>
              <w:t>US(A)</w:t>
            </w:r>
          </w:p>
        </w:tc>
        <w:tc>
          <w:tcPr>
            <w:tcW w:w="3800" w:type="pct"/>
          </w:tcPr>
          <w:p w14:paraId="52B37381" w14:textId="1832B375" w:rsidR="009D0768" w:rsidRPr="00D01DDB"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rPr>
                <w:szCs w:val="22"/>
              </w:rPr>
              <w:t>United States (of America)</w:t>
            </w:r>
          </w:p>
        </w:tc>
      </w:tr>
      <w:tr w:rsidR="009D0768" w:rsidRPr="00D01DDB" w14:paraId="4FC0996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8035332" w14:textId="0954D81C" w:rsidR="009D0768" w:rsidRDefault="009D0768" w:rsidP="009D0768">
            <w:pPr>
              <w:rPr>
                <w:szCs w:val="22"/>
              </w:rPr>
            </w:pPr>
            <w:proofErr w:type="spellStart"/>
            <w:r w:rsidRPr="00C71490">
              <w:t>Vd</w:t>
            </w:r>
            <w:proofErr w:type="spellEnd"/>
          </w:p>
        </w:tc>
        <w:tc>
          <w:tcPr>
            <w:tcW w:w="3800" w:type="pct"/>
          </w:tcPr>
          <w:p w14:paraId="729B6D64" w14:textId="16F35F39" w:rsidR="009D0768"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rsidRPr="00C71490">
              <w:t>Volume of distribution</w:t>
            </w:r>
          </w:p>
        </w:tc>
      </w:tr>
      <w:tr w:rsidR="009D0768" w:rsidRPr="00D01DDB" w14:paraId="03501E8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9A9FF92" w14:textId="12D8A4D8" w:rsidR="009D0768" w:rsidRPr="00D01DDB" w:rsidRDefault="009D0768" w:rsidP="009D0768">
            <w:pPr>
              <w:rPr>
                <w:szCs w:val="22"/>
              </w:rPr>
            </w:pPr>
            <w:proofErr w:type="spellStart"/>
            <w:r w:rsidRPr="003B3BD2">
              <w:rPr>
                <w:szCs w:val="22"/>
              </w:rPr>
              <w:t>V</w:t>
            </w:r>
            <w:r w:rsidRPr="003B3BD2">
              <w:rPr>
                <w:szCs w:val="22"/>
                <w:vertAlign w:val="subscript"/>
              </w:rPr>
              <w:t>z</w:t>
            </w:r>
            <w:proofErr w:type="spellEnd"/>
            <w:r w:rsidRPr="003B3BD2">
              <w:rPr>
                <w:szCs w:val="22"/>
              </w:rPr>
              <w:t>/F</w:t>
            </w:r>
          </w:p>
        </w:tc>
        <w:tc>
          <w:tcPr>
            <w:tcW w:w="3800" w:type="pct"/>
          </w:tcPr>
          <w:p w14:paraId="29BE4454" w14:textId="5FD668DC" w:rsidR="009D0768" w:rsidRPr="00D01DDB" w:rsidRDefault="009D0768" w:rsidP="009D0768">
            <w:pPr>
              <w:cnfStyle w:val="000000000000" w:firstRow="0" w:lastRow="0" w:firstColumn="0" w:lastColumn="0" w:oddVBand="0" w:evenVBand="0" w:oddHBand="0" w:evenHBand="0" w:firstRowFirstColumn="0" w:firstRowLastColumn="0" w:lastRowFirstColumn="0" w:lastRowLastColumn="0"/>
              <w:rPr>
                <w:szCs w:val="22"/>
              </w:rPr>
            </w:pPr>
            <w:r w:rsidRPr="00343394">
              <w:rPr>
                <w:szCs w:val="22"/>
              </w:rPr>
              <w:t>Apparent volume of distribution of peripheral compartment</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8" w:name="_Toc103679288"/>
      <w:bookmarkStart w:id="9" w:name="_Toc215235743"/>
      <w:r>
        <w:lastRenderedPageBreak/>
        <w:t>Product submission</w:t>
      </w:r>
      <w:bookmarkEnd w:id="8"/>
      <w:bookmarkEnd w:id="9"/>
    </w:p>
    <w:p w14:paraId="21D559DF" w14:textId="77777777" w:rsidR="00324B33" w:rsidRDefault="00324B33" w:rsidP="00324B33">
      <w:pPr>
        <w:pStyle w:val="Heading3"/>
        <w:rPr>
          <w:lang w:eastAsia="en-AU"/>
        </w:rPr>
      </w:pPr>
      <w:bookmarkStart w:id="10" w:name="_Toc247691502"/>
      <w:bookmarkStart w:id="11" w:name="_Toc314842483"/>
      <w:bookmarkStart w:id="12" w:name="_Toc103679289"/>
      <w:bookmarkStart w:id="13" w:name="_Toc215235744"/>
      <w:r>
        <w:rPr>
          <w:lang w:eastAsia="en-AU"/>
        </w:rPr>
        <w:t>Submission details</w:t>
      </w:r>
      <w:bookmarkEnd w:id="10"/>
      <w:bookmarkEnd w:id="11"/>
      <w:bookmarkEnd w:id="12"/>
      <w:bookmarkEnd w:id="13"/>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382D1FAA" w:rsidR="00324B33" w:rsidRPr="00BD5DBD" w:rsidRDefault="00324B33" w:rsidP="007452E8">
            <w:pPr>
              <w:rPr>
                <w:i/>
                <w:szCs w:val="22"/>
              </w:rPr>
            </w:pPr>
            <w:r w:rsidRPr="00BD5DBD">
              <w:rPr>
                <w:i/>
                <w:szCs w:val="22"/>
              </w:rPr>
              <w:t>Typ</w:t>
            </w:r>
            <w:r w:rsidR="0095262E">
              <w:rPr>
                <w:i/>
                <w:szCs w:val="22"/>
              </w:rPr>
              <w:t>e</w:t>
            </w:r>
            <w:r w:rsidRPr="00BD5DBD">
              <w:rPr>
                <w:i/>
                <w:szCs w:val="22"/>
              </w:rPr>
              <w:t xml:space="preserve"> of submission:</w:t>
            </w:r>
          </w:p>
        </w:tc>
        <w:tc>
          <w:tcPr>
            <w:tcW w:w="3423" w:type="pct"/>
          </w:tcPr>
          <w:p w14:paraId="4F07C303" w14:textId="58FC39A3" w:rsidR="00324B33" w:rsidRPr="00F77726" w:rsidRDefault="003C0D63" w:rsidP="007452E8">
            <w:pPr>
              <w:rPr>
                <w:bCs/>
                <w:szCs w:val="22"/>
              </w:rPr>
            </w:pPr>
            <w:r>
              <w:rPr>
                <w:bCs/>
                <w:szCs w:val="22"/>
              </w:rPr>
              <w:t>New</w:t>
            </w:r>
            <w:r w:rsidR="00F77726" w:rsidRPr="00F77726">
              <w:rPr>
                <w:bCs/>
                <w:szCs w:val="22"/>
              </w:rPr>
              <w:t xml:space="preserve"> </w:t>
            </w:r>
            <w:r w:rsidR="00A4018B">
              <w:rPr>
                <w:bCs/>
                <w:szCs w:val="22"/>
              </w:rPr>
              <w:t>b</w:t>
            </w:r>
            <w:r w:rsidR="00F77726" w:rsidRPr="00F77726">
              <w:rPr>
                <w:bCs/>
                <w:szCs w:val="22"/>
              </w:rPr>
              <w:t>iosimilar</w:t>
            </w:r>
            <w:r>
              <w:rPr>
                <w:bCs/>
                <w:szCs w:val="22"/>
              </w:rPr>
              <w:t xml:space="preserve"> entity</w:t>
            </w:r>
          </w:p>
        </w:tc>
      </w:tr>
      <w:tr w:rsidR="00324B33" w:rsidRPr="00BD5DBD" w14:paraId="13482B61" w14:textId="77777777" w:rsidTr="00F865A7">
        <w:tc>
          <w:tcPr>
            <w:tcW w:w="1577" w:type="pct"/>
          </w:tcPr>
          <w:p w14:paraId="2C427FCF" w14:textId="750AFD97" w:rsidR="00324B33" w:rsidRPr="00BD5DBD" w:rsidRDefault="00324B33" w:rsidP="007452E8">
            <w:pPr>
              <w:rPr>
                <w:i/>
                <w:szCs w:val="22"/>
              </w:rPr>
            </w:pPr>
            <w:r w:rsidRPr="00BD5DBD">
              <w:rPr>
                <w:i/>
                <w:szCs w:val="22"/>
              </w:rPr>
              <w:t>Product names:</w:t>
            </w:r>
          </w:p>
        </w:tc>
        <w:tc>
          <w:tcPr>
            <w:tcW w:w="3423" w:type="pct"/>
          </w:tcPr>
          <w:p w14:paraId="3C08EE65" w14:textId="5B5BCF92" w:rsidR="004C4525" w:rsidRDefault="004C4525" w:rsidP="00F67998">
            <w:pPr>
              <w:rPr>
                <w:szCs w:val="22"/>
              </w:rPr>
            </w:pPr>
            <w:r w:rsidRPr="004C4525">
              <w:rPr>
                <w:szCs w:val="22"/>
              </w:rPr>
              <w:t>O</w:t>
            </w:r>
            <w:r w:rsidR="00E8457B">
              <w:rPr>
                <w:szCs w:val="22"/>
              </w:rPr>
              <w:t>senvelt</w:t>
            </w:r>
          </w:p>
          <w:p w14:paraId="0E2DEF76" w14:textId="1B7AD500" w:rsidR="00324B33" w:rsidRPr="00BD5DBD" w:rsidRDefault="00F67998" w:rsidP="004C4525">
            <w:pPr>
              <w:rPr>
                <w:szCs w:val="22"/>
              </w:rPr>
            </w:pPr>
            <w:r w:rsidRPr="00F67998">
              <w:rPr>
                <w:szCs w:val="22"/>
              </w:rPr>
              <w:t>S</w:t>
            </w:r>
            <w:r w:rsidR="00E8457B">
              <w:rPr>
                <w:szCs w:val="22"/>
              </w:rPr>
              <w:t>toboclo</w:t>
            </w:r>
            <w:r w:rsidRPr="00F67998">
              <w:rPr>
                <w:szCs w:val="22"/>
              </w:rPr>
              <w:t xml:space="preserve"> (previously: </w:t>
            </w:r>
            <w:proofErr w:type="spellStart"/>
            <w:r w:rsidRPr="00F67998">
              <w:rPr>
                <w:szCs w:val="22"/>
              </w:rPr>
              <w:t>R</w:t>
            </w:r>
            <w:r w:rsidR="00E8457B">
              <w:rPr>
                <w:szCs w:val="22"/>
              </w:rPr>
              <w:t>oldenclo</w:t>
            </w:r>
            <w:proofErr w:type="spellEnd"/>
            <w:r w:rsidRPr="00F67998">
              <w:rPr>
                <w:szCs w:val="22"/>
              </w:rPr>
              <w:t>)</w:t>
            </w:r>
          </w:p>
        </w:tc>
      </w:tr>
      <w:tr w:rsidR="00324B33" w:rsidRPr="00BD5DBD" w14:paraId="01255B5B" w14:textId="77777777" w:rsidTr="00F865A7">
        <w:tc>
          <w:tcPr>
            <w:tcW w:w="1577" w:type="pct"/>
          </w:tcPr>
          <w:p w14:paraId="52B4F3D7" w14:textId="33B8DF70" w:rsidR="00324B33" w:rsidRPr="00BD5DBD" w:rsidRDefault="00324B33" w:rsidP="007452E8">
            <w:pPr>
              <w:rPr>
                <w:i/>
                <w:szCs w:val="22"/>
              </w:rPr>
            </w:pPr>
            <w:r w:rsidRPr="00BD5DBD">
              <w:rPr>
                <w:i/>
                <w:szCs w:val="22"/>
              </w:rPr>
              <w:t>Active ingredien</w:t>
            </w:r>
            <w:r w:rsidR="000D7669">
              <w:rPr>
                <w:i/>
                <w:szCs w:val="22"/>
              </w:rPr>
              <w:t>t</w:t>
            </w:r>
            <w:r w:rsidRPr="00BD5DBD">
              <w:rPr>
                <w:i/>
                <w:szCs w:val="22"/>
              </w:rPr>
              <w:t>:</w:t>
            </w:r>
          </w:p>
        </w:tc>
        <w:tc>
          <w:tcPr>
            <w:tcW w:w="3423" w:type="pct"/>
          </w:tcPr>
          <w:p w14:paraId="02FB6383" w14:textId="3260EEE0" w:rsidR="00324B33" w:rsidRPr="00BD5DBD" w:rsidRDefault="00D2605D" w:rsidP="007452E8">
            <w:pPr>
              <w:rPr>
                <w:szCs w:val="22"/>
              </w:rPr>
            </w:pPr>
            <w:r>
              <w:rPr>
                <w:szCs w:val="22"/>
              </w:rPr>
              <w:t>d</w:t>
            </w:r>
            <w:r w:rsidR="00543EFB">
              <w:rPr>
                <w:szCs w:val="22"/>
              </w:rPr>
              <w:t>enosumab</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4DF4429F" w:rsidR="00324B33" w:rsidRPr="00BD5DBD" w:rsidRDefault="00324B33" w:rsidP="007452E8">
            <w:pPr>
              <w:rPr>
                <w:szCs w:val="22"/>
              </w:rPr>
            </w:pPr>
            <w:r w:rsidRPr="00BD5DBD">
              <w:rPr>
                <w:szCs w:val="22"/>
              </w:rPr>
              <w:t xml:space="preserve">Approved </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08128420" w:rsidR="00AE1947" w:rsidRPr="00BD5DBD" w:rsidRDefault="002565CB" w:rsidP="00972538">
            <w:pPr>
              <w:rPr>
                <w:szCs w:val="22"/>
              </w:rPr>
            </w:pPr>
            <w:r>
              <w:rPr>
                <w:szCs w:val="22"/>
              </w:rPr>
              <w:t xml:space="preserve">28 </w:t>
            </w:r>
            <w:r w:rsidR="004C4525">
              <w:rPr>
                <w:szCs w:val="22"/>
              </w:rPr>
              <w:t>M</w:t>
            </w:r>
            <w:r>
              <w:rPr>
                <w:szCs w:val="22"/>
              </w:rPr>
              <w:t>arch 2025</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130FBF69" w:rsidR="00324B33" w:rsidRPr="00BD5DBD" w:rsidRDefault="00241D94" w:rsidP="007452E8">
            <w:pPr>
              <w:rPr>
                <w:szCs w:val="22"/>
              </w:rPr>
            </w:pPr>
            <w:r>
              <w:rPr>
                <w:szCs w:val="22"/>
              </w:rPr>
              <w:t>4 April 2025</w:t>
            </w:r>
          </w:p>
        </w:tc>
      </w:tr>
      <w:tr w:rsidR="00324B33" w:rsidRPr="00BD5DBD" w14:paraId="547E08D7" w14:textId="77777777" w:rsidTr="00F865A7">
        <w:tc>
          <w:tcPr>
            <w:tcW w:w="1577" w:type="pct"/>
          </w:tcPr>
          <w:p w14:paraId="5030EF30" w14:textId="50AD4C67" w:rsidR="00324B33" w:rsidRPr="00BD5DBD" w:rsidRDefault="00324B33" w:rsidP="007452E8">
            <w:pPr>
              <w:rPr>
                <w:i/>
                <w:szCs w:val="22"/>
              </w:rPr>
            </w:pPr>
            <w:r w:rsidRPr="00BD5DBD">
              <w:rPr>
                <w:i/>
                <w:szCs w:val="22"/>
              </w:rPr>
              <w:t>ARTG numbers:</w:t>
            </w:r>
          </w:p>
        </w:tc>
        <w:tc>
          <w:tcPr>
            <w:tcW w:w="3423" w:type="pct"/>
          </w:tcPr>
          <w:p w14:paraId="0054E912" w14:textId="3CE9FAAD" w:rsidR="00324B33" w:rsidRPr="00BD5DBD" w:rsidRDefault="00B44B57" w:rsidP="007452E8">
            <w:pPr>
              <w:rPr>
                <w:szCs w:val="22"/>
              </w:rPr>
            </w:pPr>
            <w:r w:rsidRPr="00B44B57">
              <w:rPr>
                <w:szCs w:val="22"/>
              </w:rPr>
              <w:t>442990</w:t>
            </w:r>
            <w:r>
              <w:rPr>
                <w:szCs w:val="22"/>
              </w:rPr>
              <w:t xml:space="preserve"> and </w:t>
            </w:r>
            <w:r w:rsidR="007E0104">
              <w:rPr>
                <w:szCs w:val="22"/>
              </w:rPr>
              <w:t>4429</w:t>
            </w:r>
            <w:r w:rsidR="003B7949">
              <w:rPr>
                <w:szCs w:val="22"/>
              </w:rPr>
              <w:t>9</w:t>
            </w:r>
            <w:r w:rsidR="007E0104">
              <w:rPr>
                <w:szCs w:val="22"/>
              </w:rPr>
              <w:t>1</w:t>
            </w:r>
          </w:p>
        </w:tc>
      </w:tr>
      <w:tr w:rsidR="00324B33" w:rsidRPr="00BD5DBD" w14:paraId="7618393F" w14:textId="77777777" w:rsidTr="00F865A7">
        <w:tc>
          <w:tcPr>
            <w:tcW w:w="1577" w:type="pct"/>
          </w:tcPr>
          <w:p w14:paraId="6C24CEB6" w14:textId="6A7FE944" w:rsidR="00E47E0C" w:rsidRPr="00BD5DBD" w:rsidRDefault="00324B33" w:rsidP="007452E8">
            <w:pPr>
              <w:rPr>
                <w:rStyle w:val="Hyperlink"/>
                <w:i/>
                <w:szCs w:val="22"/>
              </w:rPr>
            </w:pPr>
            <w:r w:rsidRPr="00BD5DBD">
              <w:rPr>
                <w:rFonts w:ascii="Wingdings 3" w:hAnsi="Wingdings 3"/>
                <w:szCs w:val="22"/>
                <w:lang w:eastAsia="en-AU"/>
              </w:rPr>
              <w:t></w:t>
            </w:r>
            <w:hyperlink r:id="rId20"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6FF3C6A2" w14:textId="30D6DD73" w:rsidR="00324B33" w:rsidRPr="00BD5DBD" w:rsidRDefault="00324B33" w:rsidP="007452E8">
            <w:pPr>
              <w:rPr>
                <w:szCs w:val="22"/>
              </w:rPr>
            </w:pPr>
            <w:r w:rsidRPr="00250BA6">
              <w:rPr>
                <w:szCs w:val="22"/>
              </w:rPr>
              <w:t>No</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03B29B10" w14:textId="254695D6" w:rsidR="00324B33" w:rsidRDefault="009A6D8A" w:rsidP="007452E8">
            <w:pPr>
              <w:rPr>
                <w:szCs w:val="22"/>
              </w:rPr>
            </w:pPr>
            <w:r w:rsidRPr="009A6D8A">
              <w:rPr>
                <w:szCs w:val="22"/>
              </w:rPr>
              <w:t>Celltrion Health</w:t>
            </w:r>
            <w:r w:rsidR="00B847DC">
              <w:rPr>
                <w:szCs w:val="22"/>
              </w:rPr>
              <w:t>c</w:t>
            </w:r>
            <w:r w:rsidRPr="009A6D8A">
              <w:rPr>
                <w:szCs w:val="22"/>
              </w:rPr>
              <w:t>are Australia Pty Ltd</w:t>
            </w:r>
          </w:p>
          <w:p w14:paraId="7A1E18FB" w14:textId="77777777" w:rsidR="00A06A69" w:rsidRDefault="00A06A69" w:rsidP="007452E8">
            <w:pPr>
              <w:rPr>
                <w:szCs w:val="22"/>
              </w:rPr>
            </w:pPr>
            <w:r w:rsidRPr="00A06A69">
              <w:rPr>
                <w:szCs w:val="22"/>
              </w:rPr>
              <w:t xml:space="preserve">Suite 13-03, 31 Market Street, </w:t>
            </w:r>
          </w:p>
          <w:p w14:paraId="552F6BA6" w14:textId="4A80B764" w:rsidR="00A06A69" w:rsidRDefault="00A06A69" w:rsidP="007452E8">
            <w:pPr>
              <w:rPr>
                <w:szCs w:val="22"/>
              </w:rPr>
            </w:pPr>
            <w:r w:rsidRPr="00A06A69">
              <w:rPr>
                <w:szCs w:val="22"/>
              </w:rPr>
              <w:t xml:space="preserve">Sydney, </w:t>
            </w:r>
            <w:r w:rsidR="00C7528F">
              <w:rPr>
                <w:szCs w:val="22"/>
              </w:rPr>
              <w:t xml:space="preserve">NSW </w:t>
            </w:r>
            <w:r w:rsidRPr="00A06A69">
              <w:rPr>
                <w:szCs w:val="22"/>
              </w:rPr>
              <w:t xml:space="preserve">2000 </w:t>
            </w:r>
          </w:p>
          <w:p w14:paraId="68DD94B0" w14:textId="6A1CC760" w:rsidR="00C7528F" w:rsidRPr="00BD5DBD" w:rsidRDefault="00C7528F" w:rsidP="007452E8">
            <w:pPr>
              <w:rPr>
                <w:szCs w:val="22"/>
              </w:rPr>
            </w:pPr>
            <w:r w:rsidRPr="00C7528F">
              <w:rPr>
                <w:szCs w:val="22"/>
              </w:rPr>
              <w:t>Australia</w:t>
            </w:r>
          </w:p>
        </w:tc>
      </w:tr>
      <w:tr w:rsidR="00324B33" w:rsidRPr="00BD5DBD" w14:paraId="5322B989" w14:textId="77777777" w:rsidTr="00F865A7">
        <w:tc>
          <w:tcPr>
            <w:tcW w:w="1577" w:type="pct"/>
          </w:tcPr>
          <w:p w14:paraId="24F217E3" w14:textId="2309D60A" w:rsidR="00324B33" w:rsidRPr="00BD5DBD" w:rsidRDefault="00324B33" w:rsidP="007452E8">
            <w:pPr>
              <w:rPr>
                <w:i/>
                <w:szCs w:val="22"/>
              </w:rPr>
            </w:pPr>
            <w:r w:rsidRPr="00BD5DBD">
              <w:rPr>
                <w:i/>
                <w:szCs w:val="22"/>
              </w:rPr>
              <w:t>Dose forms:</w:t>
            </w:r>
          </w:p>
        </w:tc>
        <w:tc>
          <w:tcPr>
            <w:tcW w:w="3423" w:type="pct"/>
          </w:tcPr>
          <w:p w14:paraId="17235C3B" w14:textId="22520340" w:rsidR="00BE4974" w:rsidRPr="00BE4974" w:rsidRDefault="00BE4974" w:rsidP="00BE4974">
            <w:pPr>
              <w:rPr>
                <w:szCs w:val="22"/>
              </w:rPr>
            </w:pPr>
            <w:r w:rsidRPr="00BE4974">
              <w:rPr>
                <w:szCs w:val="22"/>
              </w:rPr>
              <w:t xml:space="preserve">442990 </w:t>
            </w:r>
            <w:r w:rsidR="00250BA6">
              <w:rPr>
                <w:szCs w:val="22"/>
              </w:rPr>
              <w:t>–</w:t>
            </w:r>
            <w:r w:rsidRPr="00BE4974">
              <w:rPr>
                <w:szCs w:val="22"/>
              </w:rPr>
              <w:t xml:space="preserve"> </w:t>
            </w:r>
            <w:r w:rsidR="00250BA6">
              <w:rPr>
                <w:szCs w:val="22"/>
              </w:rPr>
              <w:t>Osenvelt -</w:t>
            </w:r>
            <w:r w:rsidRPr="00BE4974">
              <w:rPr>
                <w:szCs w:val="22"/>
              </w:rPr>
              <w:t xml:space="preserve"> denosumab (</w:t>
            </w:r>
            <w:proofErr w:type="spellStart"/>
            <w:r w:rsidRPr="00BE4974">
              <w:rPr>
                <w:szCs w:val="22"/>
              </w:rPr>
              <w:t>rch</w:t>
            </w:r>
            <w:proofErr w:type="spellEnd"/>
            <w:r w:rsidRPr="00BE4974">
              <w:rPr>
                <w:szCs w:val="22"/>
              </w:rPr>
              <w:t>) 70 mg/mL solution for injection vial</w:t>
            </w:r>
          </w:p>
          <w:p w14:paraId="768B254C" w14:textId="1EC9E295" w:rsidR="00324B33" w:rsidRPr="00BD5DBD" w:rsidRDefault="00BE4974" w:rsidP="001C0B06">
            <w:pPr>
              <w:rPr>
                <w:szCs w:val="22"/>
              </w:rPr>
            </w:pPr>
            <w:r w:rsidRPr="00BE4974">
              <w:rPr>
                <w:szCs w:val="22"/>
              </w:rPr>
              <w:t xml:space="preserve">442991 </w:t>
            </w:r>
            <w:r w:rsidR="00250BA6">
              <w:rPr>
                <w:szCs w:val="22"/>
              </w:rPr>
              <w:t>–</w:t>
            </w:r>
            <w:r w:rsidRPr="00BE4974">
              <w:rPr>
                <w:szCs w:val="22"/>
              </w:rPr>
              <w:t xml:space="preserve"> </w:t>
            </w:r>
            <w:r w:rsidR="00250BA6">
              <w:rPr>
                <w:szCs w:val="22"/>
              </w:rPr>
              <w:t>Stoboclo -</w:t>
            </w:r>
            <w:r w:rsidRPr="00BE4974">
              <w:rPr>
                <w:szCs w:val="22"/>
              </w:rPr>
              <w:t xml:space="preserve"> denosumab (</w:t>
            </w:r>
            <w:proofErr w:type="spellStart"/>
            <w:r w:rsidRPr="00BE4974">
              <w:rPr>
                <w:szCs w:val="22"/>
              </w:rPr>
              <w:t>rch</w:t>
            </w:r>
            <w:proofErr w:type="spellEnd"/>
            <w:r w:rsidRPr="00BE4974">
              <w:rPr>
                <w:szCs w:val="22"/>
              </w:rPr>
              <w:t>) 60 mg/mL solution for injection pre-filled syringe</w:t>
            </w:r>
            <w:r w:rsidR="007528E1">
              <w:rPr>
                <w:szCs w:val="22"/>
              </w:rPr>
              <w:t xml:space="preserve"> (</w:t>
            </w:r>
            <w:r w:rsidR="007528E1" w:rsidRPr="007528E1">
              <w:rPr>
                <w:szCs w:val="22"/>
              </w:rPr>
              <w:t>PFS</w:t>
            </w:r>
            <w:r w:rsidR="007528E1">
              <w:rPr>
                <w:szCs w:val="22"/>
              </w:rPr>
              <w:t>)</w:t>
            </w:r>
          </w:p>
        </w:tc>
      </w:tr>
      <w:tr w:rsidR="00324B33" w:rsidRPr="00BD5DBD" w14:paraId="115243E6" w14:textId="77777777" w:rsidTr="00F865A7">
        <w:tc>
          <w:tcPr>
            <w:tcW w:w="1577" w:type="pct"/>
          </w:tcPr>
          <w:p w14:paraId="7634B062" w14:textId="7EF1FDC2" w:rsidR="00324B33" w:rsidRPr="00BD5DBD" w:rsidRDefault="00324B33" w:rsidP="007452E8">
            <w:pPr>
              <w:rPr>
                <w:i/>
                <w:szCs w:val="22"/>
              </w:rPr>
            </w:pPr>
            <w:r w:rsidRPr="00BD5DBD">
              <w:rPr>
                <w:i/>
                <w:szCs w:val="22"/>
              </w:rPr>
              <w:t>Strengths:</w:t>
            </w:r>
          </w:p>
        </w:tc>
        <w:tc>
          <w:tcPr>
            <w:tcW w:w="3423" w:type="pct"/>
          </w:tcPr>
          <w:p w14:paraId="232E086D" w14:textId="77777777" w:rsidR="00BE4974" w:rsidRDefault="00BE4974" w:rsidP="007D7577">
            <w:pPr>
              <w:rPr>
                <w:szCs w:val="22"/>
              </w:rPr>
            </w:pPr>
            <w:r w:rsidRPr="00BE4974">
              <w:rPr>
                <w:szCs w:val="22"/>
              </w:rPr>
              <w:t>Each vial contains a deliverable dose of 120 mg denosumab in 1.7 mL of solution (70 mg/mL).</w:t>
            </w:r>
          </w:p>
          <w:p w14:paraId="5E5F83DB" w14:textId="574FBBC7" w:rsidR="003B7949" w:rsidRPr="00BD5DBD" w:rsidRDefault="003B7949" w:rsidP="003B7949">
            <w:pPr>
              <w:rPr>
                <w:szCs w:val="22"/>
              </w:rPr>
            </w:pPr>
            <w:r w:rsidRPr="003B7949">
              <w:rPr>
                <w:szCs w:val="22"/>
              </w:rPr>
              <w:t>Each 1 mL single-use pre-filled syringe contains 60 mg denosumab.</w:t>
            </w:r>
          </w:p>
        </w:tc>
      </w:tr>
      <w:tr w:rsidR="00324B33" w:rsidRPr="00BD5DBD" w14:paraId="34B07BA6" w14:textId="77777777" w:rsidTr="00F865A7">
        <w:tc>
          <w:tcPr>
            <w:tcW w:w="1577" w:type="pct"/>
          </w:tcPr>
          <w:p w14:paraId="1C039224" w14:textId="4C57913D" w:rsidR="00324B33" w:rsidRPr="00BD5DBD" w:rsidRDefault="00324B33" w:rsidP="007452E8">
            <w:pPr>
              <w:rPr>
                <w:i/>
                <w:szCs w:val="22"/>
              </w:rPr>
            </w:pPr>
            <w:r w:rsidRPr="00BD5DBD">
              <w:rPr>
                <w:i/>
                <w:szCs w:val="22"/>
              </w:rPr>
              <w:t>Containers:</w:t>
            </w:r>
          </w:p>
        </w:tc>
        <w:tc>
          <w:tcPr>
            <w:tcW w:w="3423" w:type="pct"/>
          </w:tcPr>
          <w:p w14:paraId="7B54EF2E" w14:textId="4C5125EC" w:rsidR="00102928" w:rsidRDefault="00AC49F0" w:rsidP="007452E8">
            <w:pPr>
              <w:rPr>
                <w:szCs w:val="22"/>
              </w:rPr>
            </w:pPr>
            <w:r>
              <w:rPr>
                <w:szCs w:val="22"/>
              </w:rPr>
              <w:t>Osenvelt</w:t>
            </w:r>
            <w:r w:rsidR="00E720F9">
              <w:rPr>
                <w:szCs w:val="22"/>
              </w:rPr>
              <w:t xml:space="preserve">: </w:t>
            </w:r>
            <w:r w:rsidR="0016508C" w:rsidRPr="0016508C">
              <w:rPr>
                <w:szCs w:val="22"/>
              </w:rPr>
              <w:t>glass vial.</w:t>
            </w:r>
          </w:p>
          <w:p w14:paraId="500A42C6" w14:textId="25407E86" w:rsidR="00324B33" w:rsidRPr="00BD5DBD" w:rsidRDefault="008720BA" w:rsidP="007452E8">
            <w:pPr>
              <w:rPr>
                <w:szCs w:val="22"/>
              </w:rPr>
            </w:pPr>
            <w:r w:rsidRPr="00102928">
              <w:rPr>
                <w:szCs w:val="22"/>
              </w:rPr>
              <w:t>Stoboclo</w:t>
            </w:r>
            <w:r w:rsidR="00102928" w:rsidRPr="00102928">
              <w:rPr>
                <w:szCs w:val="22"/>
              </w:rPr>
              <w:t xml:space="preserve">: </w:t>
            </w:r>
            <w:r w:rsidR="0016508C">
              <w:rPr>
                <w:szCs w:val="22"/>
              </w:rPr>
              <w:t>p</w:t>
            </w:r>
            <w:r w:rsidR="00102928" w:rsidRPr="00102928">
              <w:rPr>
                <w:szCs w:val="22"/>
              </w:rPr>
              <w:t>re-filled syringe with automatic needle guard</w:t>
            </w:r>
            <w:r w:rsidR="00102928">
              <w:rPr>
                <w:szCs w:val="22"/>
              </w:rPr>
              <w:t>.</w:t>
            </w:r>
          </w:p>
        </w:tc>
      </w:tr>
      <w:tr w:rsidR="00324B33" w:rsidRPr="00BD5DBD" w14:paraId="176B6773" w14:textId="77777777" w:rsidTr="00F865A7">
        <w:tc>
          <w:tcPr>
            <w:tcW w:w="1577" w:type="pct"/>
          </w:tcPr>
          <w:p w14:paraId="71846159" w14:textId="7DB0F7F8" w:rsidR="00324B33" w:rsidRPr="00BD5DBD" w:rsidRDefault="00324B33" w:rsidP="007452E8">
            <w:pPr>
              <w:rPr>
                <w:i/>
                <w:szCs w:val="22"/>
              </w:rPr>
            </w:pPr>
            <w:r w:rsidRPr="00BD5DBD">
              <w:rPr>
                <w:i/>
                <w:szCs w:val="22"/>
              </w:rPr>
              <w:t>Pack sizes:</w:t>
            </w:r>
          </w:p>
        </w:tc>
        <w:tc>
          <w:tcPr>
            <w:tcW w:w="3423" w:type="pct"/>
          </w:tcPr>
          <w:p w14:paraId="7E978F8F" w14:textId="19CE01B9" w:rsidR="00324B33" w:rsidRPr="00BD5DBD" w:rsidRDefault="0022235E" w:rsidP="007452E8">
            <w:pPr>
              <w:rPr>
                <w:szCs w:val="22"/>
              </w:rPr>
            </w:pPr>
            <w:r>
              <w:rPr>
                <w:szCs w:val="22"/>
              </w:rPr>
              <w:t xml:space="preserve">Single vial or </w:t>
            </w:r>
            <w:r w:rsidR="007C3B68" w:rsidRPr="007C3B68">
              <w:rPr>
                <w:szCs w:val="22"/>
              </w:rPr>
              <w:t>one Type 1 glass syringe</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0AAFFD2" w14:textId="01C9B1B8" w:rsidR="00932D2D" w:rsidRPr="00932D2D" w:rsidRDefault="00932D2D" w:rsidP="00932D2D">
            <w:pPr>
              <w:rPr>
                <w:szCs w:val="22"/>
              </w:rPr>
            </w:pPr>
            <w:r w:rsidRPr="00932D2D">
              <w:rPr>
                <w:szCs w:val="22"/>
              </w:rPr>
              <w:t xml:space="preserve">The approved indications for </w:t>
            </w:r>
            <w:r w:rsidR="00250BA6">
              <w:rPr>
                <w:szCs w:val="22"/>
              </w:rPr>
              <w:t>Osenvelt</w:t>
            </w:r>
            <w:r w:rsidRPr="00932D2D">
              <w:rPr>
                <w:szCs w:val="22"/>
              </w:rPr>
              <w:t xml:space="preserve"> are:</w:t>
            </w:r>
          </w:p>
          <w:p w14:paraId="73CB856F" w14:textId="6E1C0D88" w:rsidR="00932D2D" w:rsidRPr="00932D2D" w:rsidRDefault="00932D2D" w:rsidP="0085495F">
            <w:pPr>
              <w:ind w:left="720"/>
              <w:rPr>
                <w:i/>
                <w:iCs/>
                <w:szCs w:val="22"/>
              </w:rPr>
            </w:pPr>
            <w:r w:rsidRPr="00932D2D">
              <w:rPr>
                <w:i/>
                <w:iCs/>
                <w:szCs w:val="22"/>
              </w:rPr>
              <w:t>Prevention of skeletal related events in patients with multiple myeloma and in patients</w:t>
            </w:r>
            <w:r w:rsidR="002B6A7B" w:rsidRPr="00B26F19">
              <w:rPr>
                <w:i/>
                <w:iCs/>
                <w:szCs w:val="22"/>
              </w:rPr>
              <w:t xml:space="preserve"> </w:t>
            </w:r>
            <w:r w:rsidRPr="00932D2D">
              <w:rPr>
                <w:i/>
                <w:iCs/>
                <w:szCs w:val="22"/>
              </w:rPr>
              <w:t>with bone metastases from solid tumours.</w:t>
            </w:r>
          </w:p>
          <w:p w14:paraId="3FD0EC1A" w14:textId="2C5A7709" w:rsidR="00932D2D" w:rsidRPr="00932D2D" w:rsidRDefault="00932D2D" w:rsidP="0085495F">
            <w:pPr>
              <w:ind w:left="720"/>
              <w:rPr>
                <w:i/>
                <w:iCs/>
                <w:szCs w:val="22"/>
              </w:rPr>
            </w:pPr>
            <w:r w:rsidRPr="00932D2D">
              <w:rPr>
                <w:i/>
                <w:iCs/>
                <w:szCs w:val="22"/>
              </w:rPr>
              <w:t>Treatment of giant cell tumour of bone in adults or skeletally mature adolescents that is</w:t>
            </w:r>
            <w:r w:rsidR="002B6A7B" w:rsidRPr="00B26F19">
              <w:rPr>
                <w:i/>
                <w:iCs/>
                <w:szCs w:val="22"/>
              </w:rPr>
              <w:t xml:space="preserve"> </w:t>
            </w:r>
            <w:r w:rsidRPr="00932D2D">
              <w:rPr>
                <w:i/>
                <w:iCs/>
                <w:szCs w:val="22"/>
              </w:rPr>
              <w:t>recurrent, or unresectable, or resectable but associated with severe morbidity.</w:t>
            </w:r>
          </w:p>
          <w:p w14:paraId="5BE5F902" w14:textId="0AE4E005" w:rsidR="00932D2D" w:rsidRPr="00932D2D" w:rsidRDefault="00932D2D" w:rsidP="0085495F">
            <w:pPr>
              <w:ind w:left="720"/>
              <w:rPr>
                <w:i/>
                <w:iCs/>
                <w:szCs w:val="22"/>
              </w:rPr>
            </w:pPr>
            <w:r w:rsidRPr="00932D2D">
              <w:rPr>
                <w:i/>
                <w:iCs/>
                <w:szCs w:val="22"/>
              </w:rPr>
              <w:t>Treatment of hypercalcaemia of malignancy that is refractory to intravenous</w:t>
            </w:r>
            <w:r w:rsidR="00B26F19" w:rsidRPr="00B26F19">
              <w:rPr>
                <w:i/>
                <w:iCs/>
                <w:szCs w:val="22"/>
              </w:rPr>
              <w:t xml:space="preserve"> </w:t>
            </w:r>
            <w:r w:rsidRPr="00932D2D">
              <w:rPr>
                <w:i/>
                <w:iCs/>
                <w:szCs w:val="22"/>
              </w:rPr>
              <w:t>bisphosphonate.</w:t>
            </w:r>
          </w:p>
          <w:p w14:paraId="208E97BF" w14:textId="5A8AADC2" w:rsidR="00932D2D" w:rsidRPr="00932D2D" w:rsidRDefault="00932D2D" w:rsidP="00932D2D">
            <w:pPr>
              <w:rPr>
                <w:szCs w:val="22"/>
              </w:rPr>
            </w:pPr>
            <w:r w:rsidRPr="00932D2D">
              <w:rPr>
                <w:szCs w:val="22"/>
              </w:rPr>
              <w:lastRenderedPageBreak/>
              <w:t xml:space="preserve">The approved indications for </w:t>
            </w:r>
            <w:r w:rsidR="00250BA6">
              <w:rPr>
                <w:szCs w:val="22"/>
              </w:rPr>
              <w:t>Stoboclo</w:t>
            </w:r>
            <w:r w:rsidRPr="00932D2D">
              <w:rPr>
                <w:szCs w:val="22"/>
              </w:rPr>
              <w:t xml:space="preserve"> are:</w:t>
            </w:r>
          </w:p>
          <w:p w14:paraId="1A251C9B" w14:textId="41A27BCF" w:rsidR="00324B33" w:rsidRPr="0085495F" w:rsidRDefault="00932D2D" w:rsidP="0085495F">
            <w:pPr>
              <w:ind w:left="720"/>
              <w:rPr>
                <w:i/>
                <w:iCs/>
                <w:szCs w:val="22"/>
              </w:rPr>
            </w:pPr>
            <w:r w:rsidRPr="00932D2D">
              <w:rPr>
                <w:i/>
                <w:iCs/>
                <w:szCs w:val="22"/>
              </w:rPr>
              <w:t xml:space="preserve">The treatment of osteoporosis in postmenopausal women. </w:t>
            </w:r>
            <w:r w:rsidR="00250BA6">
              <w:rPr>
                <w:i/>
                <w:iCs/>
                <w:szCs w:val="22"/>
              </w:rPr>
              <w:t>Stoboclo</w:t>
            </w:r>
            <w:r w:rsidRPr="00932D2D">
              <w:rPr>
                <w:i/>
                <w:iCs/>
                <w:szCs w:val="22"/>
              </w:rPr>
              <w:t xml:space="preserve"> significantly</w:t>
            </w:r>
            <w:r w:rsidR="00FA3B95" w:rsidRPr="0085495F">
              <w:rPr>
                <w:i/>
                <w:iCs/>
                <w:szCs w:val="22"/>
              </w:rPr>
              <w:t xml:space="preserve"> </w:t>
            </w:r>
            <w:r w:rsidRPr="0085495F">
              <w:rPr>
                <w:i/>
                <w:iCs/>
                <w:szCs w:val="22"/>
              </w:rPr>
              <w:t>reduces the risk of vertebral, non-vertebral and hip fractures.</w:t>
            </w:r>
          </w:p>
          <w:p w14:paraId="1BB7BDC5" w14:textId="0BB6C1AC" w:rsidR="00FA3B95" w:rsidRPr="00FA3B95" w:rsidRDefault="00FA3B95" w:rsidP="0085495F">
            <w:pPr>
              <w:ind w:left="720"/>
              <w:rPr>
                <w:i/>
                <w:iCs/>
                <w:szCs w:val="22"/>
              </w:rPr>
            </w:pPr>
            <w:r w:rsidRPr="00FA3B95">
              <w:rPr>
                <w:i/>
                <w:iCs/>
                <w:szCs w:val="22"/>
              </w:rPr>
              <w:t>Treatment to increase bone mass in men with osteopaenia receiving androgen</w:t>
            </w:r>
            <w:r w:rsidR="004113FB" w:rsidRPr="0085495F">
              <w:rPr>
                <w:i/>
                <w:iCs/>
                <w:szCs w:val="22"/>
              </w:rPr>
              <w:t xml:space="preserve"> </w:t>
            </w:r>
            <w:r w:rsidRPr="00FA3B95">
              <w:rPr>
                <w:i/>
                <w:iCs/>
                <w:szCs w:val="22"/>
              </w:rPr>
              <w:t>deprivation therapy for non-metastatic prostate cancer</w:t>
            </w:r>
            <w:r w:rsidR="00B55B4F">
              <w:rPr>
                <w:i/>
                <w:iCs/>
                <w:szCs w:val="22"/>
              </w:rPr>
              <w:t>.</w:t>
            </w:r>
          </w:p>
          <w:p w14:paraId="72F7F153" w14:textId="77777777" w:rsidR="00FA3B95" w:rsidRPr="00FA3B95" w:rsidRDefault="00FA3B95" w:rsidP="0085495F">
            <w:pPr>
              <w:ind w:left="720"/>
              <w:rPr>
                <w:i/>
                <w:iCs/>
                <w:szCs w:val="22"/>
              </w:rPr>
            </w:pPr>
            <w:r w:rsidRPr="00FA3B95">
              <w:rPr>
                <w:i/>
                <w:iCs/>
                <w:szCs w:val="22"/>
              </w:rPr>
              <w:t>Treatment to increase bone mass in men with osteoporosis at increased risk of fracture.</w:t>
            </w:r>
          </w:p>
          <w:p w14:paraId="6E143E2E" w14:textId="093AEFB9" w:rsidR="00FA3B95" w:rsidRPr="00BD5DBD" w:rsidRDefault="00FA3B95" w:rsidP="0085495F">
            <w:pPr>
              <w:ind w:left="720"/>
              <w:rPr>
                <w:szCs w:val="22"/>
              </w:rPr>
            </w:pPr>
            <w:r w:rsidRPr="00FA3B95">
              <w:rPr>
                <w:i/>
                <w:iCs/>
                <w:szCs w:val="22"/>
              </w:rPr>
              <w:t>Treatment to increase bone mass in women and men at increased risk of fracture due to</w:t>
            </w:r>
            <w:r w:rsidR="0085495F" w:rsidRPr="0085495F">
              <w:rPr>
                <w:i/>
                <w:iCs/>
                <w:szCs w:val="22"/>
              </w:rPr>
              <w:t xml:space="preserve"> </w:t>
            </w:r>
            <w:r w:rsidRPr="0085495F">
              <w:rPr>
                <w:i/>
                <w:iCs/>
                <w:szCs w:val="22"/>
              </w:rPr>
              <w:t>long-term systemic glucocorticoid therapy.</w:t>
            </w:r>
          </w:p>
        </w:tc>
      </w:tr>
      <w:tr w:rsidR="00324B33" w:rsidRPr="00BD5DBD" w14:paraId="5AFDEED3" w14:textId="77777777" w:rsidTr="00F865A7">
        <w:tc>
          <w:tcPr>
            <w:tcW w:w="1577" w:type="pct"/>
          </w:tcPr>
          <w:p w14:paraId="03884BD1" w14:textId="5208992D" w:rsidR="00324B33" w:rsidRPr="00BD5DBD" w:rsidRDefault="00324B33" w:rsidP="007452E8">
            <w:pPr>
              <w:rPr>
                <w:i/>
                <w:szCs w:val="22"/>
              </w:rPr>
            </w:pPr>
            <w:r w:rsidRPr="00BD5DBD">
              <w:rPr>
                <w:i/>
                <w:szCs w:val="22"/>
              </w:rPr>
              <w:lastRenderedPageBreak/>
              <w:t>Route of administration:</w:t>
            </w:r>
          </w:p>
        </w:tc>
        <w:tc>
          <w:tcPr>
            <w:tcW w:w="3423" w:type="pct"/>
          </w:tcPr>
          <w:p w14:paraId="1ED1357E" w14:textId="7E254F50" w:rsidR="00324B33" w:rsidRPr="00BD5DBD" w:rsidRDefault="000D7669" w:rsidP="007452E8">
            <w:pPr>
              <w:rPr>
                <w:szCs w:val="22"/>
              </w:rPr>
            </w:pPr>
            <w:r>
              <w:rPr>
                <w:szCs w:val="22"/>
              </w:rPr>
              <w:t>S</w:t>
            </w:r>
            <w:r w:rsidR="00765327">
              <w:rPr>
                <w:szCs w:val="22"/>
              </w:rPr>
              <w:t>olution for s</w:t>
            </w:r>
            <w:r>
              <w:rPr>
                <w:szCs w:val="22"/>
              </w:rPr>
              <w:t xml:space="preserve">ubcutaneous </w:t>
            </w:r>
            <w:r w:rsidR="00765327">
              <w:rPr>
                <w:szCs w:val="22"/>
              </w:rPr>
              <w:t xml:space="preserve">(SC) </w:t>
            </w:r>
            <w:r>
              <w:rPr>
                <w:szCs w:val="22"/>
              </w:rPr>
              <w:t>injection</w:t>
            </w:r>
            <w:r w:rsidR="00765327">
              <w:rPr>
                <w:szCs w:val="22"/>
              </w:rPr>
              <w:t>.</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3AFBFF26" w14:textId="5B1F56AA" w:rsidR="00AC4F9D" w:rsidRPr="00612533" w:rsidRDefault="00AC4F9D" w:rsidP="00AC4F9D">
            <w:pPr>
              <w:rPr>
                <w:szCs w:val="22"/>
              </w:rPr>
            </w:pPr>
            <w:r w:rsidRPr="00AC4F9D">
              <w:rPr>
                <w:szCs w:val="22"/>
              </w:rPr>
              <w:t xml:space="preserve">The recommended dose </w:t>
            </w:r>
            <w:r w:rsidRPr="00612533">
              <w:rPr>
                <w:szCs w:val="22"/>
              </w:rPr>
              <w:t>of O</w:t>
            </w:r>
            <w:r w:rsidR="003644F5" w:rsidRPr="00612533">
              <w:rPr>
                <w:szCs w:val="22"/>
              </w:rPr>
              <w:t>senvelt</w:t>
            </w:r>
            <w:r w:rsidRPr="00612533">
              <w:rPr>
                <w:szCs w:val="22"/>
              </w:rPr>
              <w:t xml:space="preserve"> for the prevention of skeletal related events is 120 mg administered as a single subcutaneous injection once every 4 weeks into the thigh, abdomen or upper arm. </w:t>
            </w:r>
          </w:p>
          <w:p w14:paraId="475AD4CB" w14:textId="061A3C3F" w:rsidR="00AC4F9D" w:rsidRPr="00AC4F9D" w:rsidRDefault="00AC4F9D" w:rsidP="00AC4F9D">
            <w:pPr>
              <w:rPr>
                <w:szCs w:val="22"/>
              </w:rPr>
            </w:pPr>
            <w:r w:rsidRPr="00612533">
              <w:rPr>
                <w:szCs w:val="22"/>
              </w:rPr>
              <w:t>The recommended dose of O</w:t>
            </w:r>
            <w:r w:rsidR="005340FE" w:rsidRPr="00612533">
              <w:rPr>
                <w:szCs w:val="22"/>
              </w:rPr>
              <w:t>senvelt</w:t>
            </w:r>
            <w:r w:rsidRPr="00612533">
              <w:rPr>
                <w:szCs w:val="22"/>
              </w:rPr>
              <w:t xml:space="preserve"> for</w:t>
            </w:r>
            <w:r w:rsidRPr="00AC4F9D">
              <w:rPr>
                <w:szCs w:val="22"/>
              </w:rPr>
              <w:t xml:space="preserve"> the treatment of giant cell tumour of bone and hypercalcaemia of malignancy is 120 mg administered as a single subcutaneous injection once every 4 weeks into the thigh, abdomen or upper arm with a loading dose of 120 mg on days 8 and 15 of the initial 4-week treatment period. </w:t>
            </w:r>
          </w:p>
          <w:p w14:paraId="4BD4ECF7" w14:textId="7928ACE1" w:rsidR="00666911" w:rsidRDefault="00AC4F9D" w:rsidP="00AC4F9D">
            <w:pPr>
              <w:rPr>
                <w:szCs w:val="22"/>
              </w:rPr>
            </w:pPr>
            <w:r w:rsidRPr="00AC4F9D">
              <w:rPr>
                <w:szCs w:val="22"/>
              </w:rPr>
              <w:t>Daily supplementation with at least 500 mg calcium and 400 IU vitamin D is required in all patients, unless hypercalcaemia is present</w:t>
            </w:r>
            <w:r w:rsidR="00B95875">
              <w:rPr>
                <w:szCs w:val="22"/>
              </w:rPr>
              <w:t>.</w:t>
            </w:r>
          </w:p>
          <w:p w14:paraId="1CF98C8D" w14:textId="3FB45604" w:rsidR="003644F5" w:rsidRPr="003644F5" w:rsidRDefault="003644F5" w:rsidP="003644F5">
            <w:pPr>
              <w:rPr>
                <w:szCs w:val="22"/>
              </w:rPr>
            </w:pPr>
            <w:r w:rsidRPr="003644F5">
              <w:rPr>
                <w:szCs w:val="22"/>
              </w:rPr>
              <w:t xml:space="preserve">The recommended </w:t>
            </w:r>
            <w:r w:rsidRPr="00612533">
              <w:rPr>
                <w:szCs w:val="22"/>
              </w:rPr>
              <w:t>dose of S</w:t>
            </w:r>
            <w:r w:rsidR="00390574" w:rsidRPr="00612533">
              <w:rPr>
                <w:szCs w:val="22"/>
              </w:rPr>
              <w:t>toboclo</w:t>
            </w:r>
            <w:r w:rsidRPr="00612533">
              <w:rPr>
                <w:szCs w:val="22"/>
              </w:rPr>
              <w:t xml:space="preserve"> is a single subcutaneous (SC) injection of 60 mg, once every 6 months. If S</w:t>
            </w:r>
            <w:r w:rsidR="00390574" w:rsidRPr="00612533">
              <w:rPr>
                <w:szCs w:val="22"/>
              </w:rPr>
              <w:t>toboclo</w:t>
            </w:r>
            <w:r w:rsidRPr="003644F5">
              <w:rPr>
                <w:szCs w:val="22"/>
              </w:rPr>
              <w:t xml:space="preserve"> treatment is discontinued, consider transitioning to an alternative antiresorptive therapy. </w:t>
            </w:r>
          </w:p>
          <w:p w14:paraId="6243A155" w14:textId="36B8B8EF" w:rsidR="003644F5" w:rsidRPr="00612533" w:rsidRDefault="003644F5" w:rsidP="003644F5">
            <w:pPr>
              <w:rPr>
                <w:szCs w:val="22"/>
              </w:rPr>
            </w:pPr>
            <w:r w:rsidRPr="003644F5">
              <w:rPr>
                <w:szCs w:val="22"/>
              </w:rPr>
              <w:t xml:space="preserve">To reduce the risk of hypocalcaemia, patients must be adequately supplemented with calcium and vitamin D. In the major </w:t>
            </w:r>
            <w:r w:rsidRPr="00612533">
              <w:rPr>
                <w:szCs w:val="22"/>
              </w:rPr>
              <w:t>clinical trials of denosumab, daily supplementation with 1,000 mg of calcium and at least 400 IU vitamin D was recommended.</w:t>
            </w:r>
          </w:p>
          <w:p w14:paraId="7FD185D1" w14:textId="77777777" w:rsidR="00250BA6" w:rsidRPr="00612533" w:rsidRDefault="00250BA6" w:rsidP="00250BA6">
            <w:pPr>
              <w:rPr>
                <w:szCs w:val="22"/>
              </w:rPr>
            </w:pPr>
            <w:r w:rsidRPr="00612533">
              <w:rPr>
                <w:szCs w:val="22"/>
              </w:rPr>
              <w:t xml:space="preserve">Stoboclo - Administration should be performed by an individual who has been adequately trained in injection techniques. </w:t>
            </w:r>
          </w:p>
          <w:p w14:paraId="3D0B2D5C" w14:textId="6E29920D" w:rsidR="00324B33" w:rsidRPr="00BD5DBD" w:rsidRDefault="00324B33" w:rsidP="007452E8">
            <w:pPr>
              <w:rPr>
                <w:szCs w:val="22"/>
              </w:rPr>
            </w:pPr>
            <w:r w:rsidRPr="00612533">
              <w:rPr>
                <w:szCs w:val="22"/>
              </w:rPr>
              <w:t>For further information</w:t>
            </w:r>
            <w:r w:rsidRPr="00BD5DBD">
              <w:rPr>
                <w:szCs w:val="22"/>
              </w:rPr>
              <w:t xml:space="preserve"> regarding dosage, </w:t>
            </w:r>
            <w:r w:rsidR="006B7126">
              <w:rPr>
                <w:szCs w:val="22"/>
              </w:rPr>
              <w:t xml:space="preserve">such as dosage modifications to manage adverse reactions, </w:t>
            </w:r>
            <w:r w:rsidRPr="00BD5DBD">
              <w:rPr>
                <w:szCs w:val="22"/>
              </w:rPr>
              <w:t>refer to the Product Information.</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t>Pregnancy category:</w:t>
            </w:r>
          </w:p>
        </w:tc>
        <w:tc>
          <w:tcPr>
            <w:tcW w:w="3423" w:type="pct"/>
          </w:tcPr>
          <w:p w14:paraId="4702C51D" w14:textId="4EBB207F" w:rsidR="00D41226" w:rsidRPr="00D41226" w:rsidRDefault="00D41226" w:rsidP="00D41226">
            <w:r w:rsidRPr="00D41226">
              <w:t xml:space="preserve">Pregnancy Category D </w:t>
            </w:r>
          </w:p>
          <w:p w14:paraId="70FD51D0" w14:textId="41388A61" w:rsidR="00E66B43" w:rsidRDefault="00D41226" w:rsidP="00E66B43">
            <w:r w:rsidRPr="00D41226">
              <w:t>There are no adequate and well-controlled studies of denosumab in pregnant women. Denosumab is contraindicated for use during pregnancy and in women trying to get pregnant.</w:t>
            </w:r>
            <w:r w:rsidR="0021689F" w:rsidRPr="0021689F">
              <w:rPr>
                <w:rFonts w:cs="Cambria"/>
                <w:color w:val="000000"/>
                <w:szCs w:val="22"/>
              </w:rPr>
              <w:t xml:space="preserve"> </w:t>
            </w:r>
            <w:r w:rsidR="0021689F" w:rsidRPr="0021689F">
              <w:t xml:space="preserve">Advise females of reproductive potential to use highly effective </w:t>
            </w:r>
            <w:r w:rsidR="0021689F" w:rsidRPr="0021689F">
              <w:lastRenderedPageBreak/>
              <w:t xml:space="preserve">contraception during therapy, and for at least 5 months after the last dose of denosumab. </w:t>
            </w:r>
          </w:p>
          <w:p w14:paraId="76497789" w14:textId="70D686C6" w:rsidR="0017005C" w:rsidRPr="00BD5DBD" w:rsidRDefault="0070330F" w:rsidP="00E66B43">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21"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2"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4" w:name="_Toc247691503"/>
      <w:bookmarkStart w:id="15" w:name="_Toc314842484"/>
      <w:bookmarkStart w:id="16" w:name="_Toc103679290"/>
      <w:bookmarkStart w:id="17" w:name="_Toc215235745"/>
      <w:r>
        <w:lastRenderedPageBreak/>
        <w:t>Product background</w:t>
      </w:r>
      <w:bookmarkEnd w:id="14"/>
      <w:bookmarkEnd w:id="15"/>
      <w:bookmarkEnd w:id="16"/>
      <w:bookmarkEnd w:id="17"/>
    </w:p>
    <w:p w14:paraId="0A0CFB2D" w14:textId="0B42F2C4" w:rsidR="00503C1E" w:rsidRDefault="00324B33" w:rsidP="00503C1E">
      <w:r w:rsidRPr="00065839">
        <w:t>This AusPAR describes the submission by</w:t>
      </w:r>
      <w:r w:rsidR="009B66D0" w:rsidRPr="009B66D0">
        <w:t xml:space="preserve"> Celltrion Health</w:t>
      </w:r>
      <w:r w:rsidR="007D7694">
        <w:t>c</w:t>
      </w:r>
      <w:r w:rsidR="009B66D0" w:rsidRPr="009B66D0">
        <w:t>are Australia Pty Ltd</w:t>
      </w:r>
      <w:r w:rsidRPr="00065839">
        <w:t xml:space="preserve"> to register</w:t>
      </w:r>
      <w:r w:rsidR="00821BDC">
        <w:t xml:space="preserve"> </w:t>
      </w:r>
      <w:r w:rsidR="00503C1E">
        <w:t>–</w:t>
      </w:r>
      <w:r w:rsidRPr="00065839">
        <w:t xml:space="preserve"> </w:t>
      </w:r>
    </w:p>
    <w:p w14:paraId="77961CF4" w14:textId="3EADD07D" w:rsidR="0046260D" w:rsidRDefault="00250BA6" w:rsidP="00D12FBB">
      <w:pPr>
        <w:pStyle w:val="ListBullet"/>
      </w:pPr>
      <w:r>
        <w:t>Stoboclo</w:t>
      </w:r>
      <w:r w:rsidR="0046260D">
        <w:t xml:space="preserve"> </w:t>
      </w:r>
      <w:r w:rsidR="0046260D" w:rsidRPr="0046260D">
        <w:t>(denosumab-</w:t>
      </w:r>
      <w:proofErr w:type="spellStart"/>
      <w:r w:rsidR="0046260D" w:rsidRPr="0046260D">
        <w:t>rch</w:t>
      </w:r>
      <w:proofErr w:type="spellEnd"/>
      <w:r w:rsidR="0046260D" w:rsidRPr="0046260D">
        <w:t>)</w:t>
      </w:r>
      <w:r w:rsidR="00821BDC" w:rsidRPr="00503C1E">
        <w:t>: 60 mg/mL solution for injection single-use pre-filled syringe (PFS) containing 60 mg of denosumab</w:t>
      </w:r>
      <w:r w:rsidR="0046260D">
        <w:t>,</w:t>
      </w:r>
    </w:p>
    <w:p w14:paraId="0836F0B6" w14:textId="52CE0F74" w:rsidR="008704D2" w:rsidRDefault="00250BA6" w:rsidP="00D12FBB">
      <w:pPr>
        <w:pStyle w:val="ListBullet"/>
      </w:pPr>
      <w:r>
        <w:t>Osenvelt</w:t>
      </w:r>
      <w:r w:rsidR="0046260D">
        <w:t xml:space="preserve"> </w:t>
      </w:r>
      <w:r w:rsidR="0046260D" w:rsidRPr="0046260D">
        <w:t>(denosumab-</w:t>
      </w:r>
      <w:proofErr w:type="spellStart"/>
      <w:r w:rsidR="0046260D" w:rsidRPr="0046260D">
        <w:t>rch</w:t>
      </w:r>
      <w:proofErr w:type="spellEnd"/>
      <w:r w:rsidR="0046260D" w:rsidRPr="0046260D">
        <w:t>)</w:t>
      </w:r>
      <w:r w:rsidR="00821BDC">
        <w:t xml:space="preserve">: 70 mg/mL solution for injection vial containing 120 mg of denosumab </w:t>
      </w:r>
    </w:p>
    <w:p w14:paraId="59BF31D1" w14:textId="78119B4E" w:rsidR="001500A8" w:rsidRDefault="00324B33" w:rsidP="008704D2">
      <w:r w:rsidRPr="00065839">
        <w:t>for the following proposed indication</w:t>
      </w:r>
      <w:r w:rsidR="008704D2">
        <w:t>s</w:t>
      </w:r>
      <w:r w:rsidR="00876FA7">
        <w:t xml:space="preserve"> for </w:t>
      </w:r>
      <w:r w:rsidR="003D29C4">
        <w:t>Stoboclo</w:t>
      </w:r>
      <w:r w:rsidR="002424BA">
        <w:t xml:space="preserve"> (</w:t>
      </w:r>
      <w:r w:rsidR="002424BA" w:rsidRPr="002424BA">
        <w:t>biosimilar to P</w:t>
      </w:r>
      <w:r w:rsidR="002424BA">
        <w:t>rolia</w:t>
      </w:r>
      <w:r w:rsidR="00B109BD">
        <w:rPr>
          <w:rStyle w:val="FootnoteReference"/>
        </w:rPr>
        <w:footnoteReference w:id="1"/>
      </w:r>
      <w:r w:rsidR="002424BA">
        <w:t>)</w:t>
      </w:r>
      <w:r w:rsidRPr="00065839">
        <w:t>:</w:t>
      </w:r>
      <w:r w:rsidR="00D63760" w:rsidRPr="00065839">
        <w:rPr>
          <w:vertAlign w:val="superscript"/>
        </w:rPr>
        <w:footnoteReference w:id="2"/>
      </w:r>
    </w:p>
    <w:p w14:paraId="4CEEDFF4" w14:textId="77777777" w:rsidR="00F3547E" w:rsidRPr="00F3547E" w:rsidRDefault="00F3547E" w:rsidP="00F3547E">
      <w:pPr>
        <w:ind w:left="720"/>
        <w:rPr>
          <w:i/>
          <w:iCs/>
        </w:rPr>
      </w:pPr>
      <w:r w:rsidRPr="00F3547E">
        <w:rPr>
          <w:i/>
          <w:iCs/>
        </w:rPr>
        <w:t>The treatment of osteoporosis in postmenopausal women. Stoboclo significantly reduces the risk of vertebral, non-vertebral and hip fractures.</w:t>
      </w:r>
    </w:p>
    <w:p w14:paraId="03125F19" w14:textId="77777777" w:rsidR="00F3547E" w:rsidRPr="00F3547E" w:rsidRDefault="00F3547E" w:rsidP="00F3547E">
      <w:pPr>
        <w:ind w:left="720"/>
        <w:rPr>
          <w:i/>
          <w:iCs/>
        </w:rPr>
      </w:pPr>
      <w:r w:rsidRPr="00F3547E">
        <w:rPr>
          <w:i/>
          <w:iCs/>
        </w:rPr>
        <w:t>Treatment to increase bone mass in men with osteopaenia receiving androgen deprivation therapy for non-metastatic prostate cancer.</w:t>
      </w:r>
    </w:p>
    <w:p w14:paraId="72D6F22F" w14:textId="77777777" w:rsidR="00F3547E" w:rsidRPr="00F3547E" w:rsidRDefault="00F3547E" w:rsidP="00F3547E">
      <w:pPr>
        <w:ind w:left="720"/>
        <w:rPr>
          <w:i/>
          <w:iCs/>
        </w:rPr>
      </w:pPr>
      <w:r w:rsidRPr="00F3547E">
        <w:rPr>
          <w:i/>
          <w:iCs/>
        </w:rPr>
        <w:t>Treatment to increase bone mass in men with osteoporosis at increased risk of fracture.</w:t>
      </w:r>
    </w:p>
    <w:p w14:paraId="3B15E672" w14:textId="77777777" w:rsidR="00F3547E" w:rsidRPr="00F3547E" w:rsidRDefault="00F3547E" w:rsidP="00F3547E">
      <w:pPr>
        <w:ind w:left="720"/>
        <w:rPr>
          <w:i/>
          <w:iCs/>
        </w:rPr>
      </w:pPr>
      <w:r w:rsidRPr="00F3547E">
        <w:rPr>
          <w:i/>
          <w:iCs/>
        </w:rPr>
        <w:t>Treatment to increase bone mass in women and men at increased risk of fracture due to long-term systemic glucocorticoid therapy.</w:t>
      </w:r>
    </w:p>
    <w:p w14:paraId="55AB662A" w14:textId="211EB879" w:rsidR="003D29C4" w:rsidRPr="003D29C4" w:rsidRDefault="003D29C4" w:rsidP="003D29C4">
      <w:r w:rsidRPr="003D29C4">
        <w:t xml:space="preserve">for the following proposed indications for </w:t>
      </w:r>
      <w:r w:rsidR="0059068A">
        <w:t>Osenvelt</w:t>
      </w:r>
      <w:r w:rsidR="00EA793C" w:rsidRPr="00EA793C">
        <w:t xml:space="preserve"> (biosimilar to X</w:t>
      </w:r>
      <w:r w:rsidR="00EA793C">
        <w:t>geva</w:t>
      </w:r>
      <w:r w:rsidR="006564D2">
        <w:rPr>
          <w:rStyle w:val="FootnoteReference"/>
        </w:rPr>
        <w:footnoteReference w:id="3"/>
      </w:r>
      <w:r w:rsidR="00EA793C" w:rsidRPr="00EA793C">
        <w:t>)</w:t>
      </w:r>
      <w:r w:rsidRPr="003D29C4">
        <w:t>:</w:t>
      </w:r>
      <w:r w:rsidRPr="003D29C4">
        <w:rPr>
          <w:vertAlign w:val="superscript"/>
        </w:rPr>
        <w:footnoteReference w:id="4"/>
      </w:r>
    </w:p>
    <w:p w14:paraId="4B245D21" w14:textId="77777777" w:rsidR="001B3E3B" w:rsidRPr="001B3E3B" w:rsidRDefault="001B3E3B" w:rsidP="001B3E3B">
      <w:pPr>
        <w:ind w:left="720"/>
        <w:rPr>
          <w:i/>
          <w:iCs/>
        </w:rPr>
      </w:pPr>
      <w:r w:rsidRPr="001B3E3B">
        <w:rPr>
          <w:i/>
          <w:iCs/>
        </w:rPr>
        <w:t>Prevention of skeletal related events in patients with multiple myeloma and in patients with bone metastases from solid tumours.</w:t>
      </w:r>
    </w:p>
    <w:p w14:paraId="4D159C78" w14:textId="77777777" w:rsidR="001B3E3B" w:rsidRPr="001B3E3B" w:rsidRDefault="001B3E3B" w:rsidP="001B3E3B">
      <w:pPr>
        <w:ind w:left="720"/>
        <w:rPr>
          <w:i/>
          <w:iCs/>
        </w:rPr>
      </w:pPr>
      <w:r w:rsidRPr="001B3E3B">
        <w:rPr>
          <w:i/>
          <w:iCs/>
        </w:rPr>
        <w:t>Treatment of giant cell tumour of bone in adults or skeletally mature adolescents that is recurrent, or unresectable, or resectable but associated with severe morbidity.</w:t>
      </w:r>
    </w:p>
    <w:p w14:paraId="51208D7F" w14:textId="77777777" w:rsidR="001B3E3B" w:rsidRPr="001B3E3B" w:rsidRDefault="001B3E3B" w:rsidP="001B3E3B">
      <w:pPr>
        <w:ind w:left="720"/>
        <w:rPr>
          <w:i/>
          <w:iCs/>
        </w:rPr>
      </w:pPr>
      <w:r w:rsidRPr="001B3E3B">
        <w:rPr>
          <w:i/>
          <w:iCs/>
        </w:rPr>
        <w:t>Treatment of hypercalcaemia of malignancy that is refractory to intravenous bisphosphonate.</w:t>
      </w:r>
    </w:p>
    <w:p w14:paraId="70C0D930" w14:textId="77777777" w:rsidR="00A03A04" w:rsidRDefault="00A03A04">
      <w:pPr>
        <w:rPr>
          <w:rFonts w:ascii="Arial" w:eastAsia="Cambria" w:hAnsi="Arial" w:cs="Times New Roman"/>
          <w:b/>
          <w:bCs/>
          <w:color w:val="001871"/>
          <w:sz w:val="28"/>
          <w:szCs w:val="26"/>
        </w:rPr>
      </w:pPr>
      <w:bookmarkStart w:id="18" w:name="_Toc314842485"/>
      <w:bookmarkStart w:id="19" w:name="_Toc247691504"/>
      <w:r>
        <w:br w:type="page"/>
      </w:r>
    </w:p>
    <w:p w14:paraId="1E63A2AE" w14:textId="7587AB3A" w:rsidR="00CB6813" w:rsidRDefault="00005DFC" w:rsidP="00CB6813">
      <w:pPr>
        <w:pStyle w:val="Heading4"/>
      </w:pPr>
      <w:bookmarkStart w:id="20" w:name="_Toc215235746"/>
      <w:r>
        <w:lastRenderedPageBreak/>
        <w:t>D</w:t>
      </w:r>
      <w:r w:rsidR="00CB6813" w:rsidRPr="00C12D65">
        <w:t>isease</w:t>
      </w:r>
      <w:r w:rsidR="006428C5">
        <w:t xml:space="preserve"> or condition</w:t>
      </w:r>
      <w:bookmarkEnd w:id="20"/>
    </w:p>
    <w:p w14:paraId="2B1B8255" w14:textId="77777777" w:rsidR="00462690" w:rsidRPr="00346FB0" w:rsidRDefault="00462690" w:rsidP="00462690">
      <w:pPr>
        <w:rPr>
          <w:b/>
          <w:bCs/>
        </w:rPr>
      </w:pPr>
      <w:r w:rsidRPr="00346FB0">
        <w:rPr>
          <w:b/>
          <w:bCs/>
        </w:rPr>
        <w:t>Osteoporosis/osteopaenia</w:t>
      </w:r>
    </w:p>
    <w:p w14:paraId="5963BC1D" w14:textId="77777777" w:rsidR="00462690" w:rsidRDefault="00462690" w:rsidP="00352196">
      <w:r>
        <w:t>Osteoporosis/osteopaenia is a disorder of low bone mass, characterised by unfavourable changes in bone mineral density (BMD), bone formation and resorption, bone geometry, and bone microarchitecture. This results in decreased bone strength and an increased fracture risk. Osteopaenia is defined as a BMD t-score between -1.0 and -2.5, and osteoporosis as a BMD t-score of -2.5 or smaller.</w:t>
      </w:r>
    </w:p>
    <w:p w14:paraId="62347814" w14:textId="77777777" w:rsidR="00462690" w:rsidRPr="00346FB0" w:rsidRDefault="00462690" w:rsidP="00346FB0">
      <w:pPr>
        <w:rPr>
          <w:b/>
          <w:bCs/>
        </w:rPr>
      </w:pPr>
      <w:r w:rsidRPr="00346FB0">
        <w:rPr>
          <w:b/>
          <w:bCs/>
        </w:rPr>
        <w:t>Primary osteoporosis</w:t>
      </w:r>
    </w:p>
    <w:p w14:paraId="11EF856A" w14:textId="77777777" w:rsidR="00462690" w:rsidRDefault="00462690" w:rsidP="00352196">
      <w:r>
        <w:t>Bone loss due the physiological changes of aging (including oestrogen or androgen deficiency due to ageing) is typically referred to as primary osteoporosis.</w:t>
      </w:r>
    </w:p>
    <w:p w14:paraId="2CDDE76F" w14:textId="77777777" w:rsidR="00462690" w:rsidRPr="00346FB0" w:rsidRDefault="00462690" w:rsidP="00346FB0">
      <w:pPr>
        <w:rPr>
          <w:b/>
          <w:bCs/>
        </w:rPr>
      </w:pPr>
      <w:r w:rsidRPr="00346FB0">
        <w:rPr>
          <w:b/>
          <w:bCs/>
        </w:rPr>
        <w:t>Secondary osteoporosis</w:t>
      </w:r>
    </w:p>
    <w:p w14:paraId="58046271" w14:textId="77777777" w:rsidR="00462690" w:rsidRDefault="00462690" w:rsidP="00346FB0">
      <w:r>
        <w:t>Bone loss due to other factors (e.g. androgen deprivation or glucocorticoid therapy, or malignancy-related bone loss) is typically referred to as secondary osteoporosis.</w:t>
      </w:r>
    </w:p>
    <w:p w14:paraId="3B417014" w14:textId="77777777" w:rsidR="00462690" w:rsidRPr="00346FB0" w:rsidRDefault="00462690" w:rsidP="00346FB0">
      <w:pPr>
        <w:rPr>
          <w:b/>
          <w:bCs/>
        </w:rPr>
      </w:pPr>
      <w:r w:rsidRPr="00346FB0">
        <w:rPr>
          <w:b/>
          <w:bCs/>
        </w:rPr>
        <w:t>RANK/RANKL/OPG system</w:t>
      </w:r>
    </w:p>
    <w:p w14:paraId="30C66489" w14:textId="58757FBD" w:rsidR="00462690" w:rsidRDefault="00462690" w:rsidP="00352196">
      <w:r>
        <w:t xml:space="preserve">The receptor activator of nuclear factor kappa-B ligand (RANKL) is a type II </w:t>
      </w:r>
      <w:proofErr w:type="spellStart"/>
      <w:r>
        <w:t>homotrimeric</w:t>
      </w:r>
      <w:proofErr w:type="spellEnd"/>
      <w:r>
        <w:t xml:space="preserve"> transmembrane protein, and mainly expressed in osteocytes, osteoblasts, and bone marrow stromal cells. RANKL binds to RANK, expressed in osteoclast progenitor cells and osteoclasts, and induces </w:t>
      </w:r>
      <w:proofErr w:type="spellStart"/>
      <w:r>
        <w:t>osteoclastogenesis</w:t>
      </w:r>
      <w:proofErr w:type="spellEnd"/>
      <w:r>
        <w:t xml:space="preserve">. </w:t>
      </w:r>
      <w:proofErr w:type="spellStart"/>
      <w:r>
        <w:t>Osteoprotegerin</w:t>
      </w:r>
      <w:proofErr w:type="spellEnd"/>
      <w:r>
        <w:t xml:space="preserve"> (OPG) is a decoy receptor for RANKL produced by mature osteoblasts and osteocytes and upon binding RANKL prevents the ligand’s interaction with RANK. Thus, the RANK/RANKL/OPG signalling pathway system and the ratio of its components profoundly affects healthy or pathologic bone remodelling.</w:t>
      </w:r>
    </w:p>
    <w:p w14:paraId="2B3DD06B" w14:textId="1FA61008" w:rsidR="00346FB0" w:rsidRDefault="00346FB0" w:rsidP="00352196">
      <w:r>
        <w:t xml:space="preserve">Oestrogen deficiency induces RANKL expression (by reducing its suppression) and reduces OPG </w:t>
      </w:r>
      <w:r w:rsidR="00D6026D">
        <w:t>expression and</w:t>
      </w:r>
      <w:r>
        <w:t xml:space="preserve"> thus facilitates </w:t>
      </w:r>
      <w:proofErr w:type="spellStart"/>
      <w:r>
        <w:t>osteoclastogenesis</w:t>
      </w:r>
      <w:proofErr w:type="spellEnd"/>
      <w:r>
        <w:t xml:space="preserve">. Concurrent vitamin D deficiency impairs calcium absorption and leads to secondary </w:t>
      </w:r>
      <w:r w:rsidR="00D6026D">
        <w:t>hyperparathyroidism and</w:t>
      </w:r>
      <w:r>
        <w:t xml:space="preserve"> thus may contribute to bone loss.</w:t>
      </w:r>
    </w:p>
    <w:p w14:paraId="5AF0EA5A" w14:textId="7D71527D" w:rsidR="00346FB0" w:rsidRDefault="00346FB0" w:rsidP="00352196">
      <w:r>
        <w:t>Tumour cells may produce cytokines, chemokines, and hormones that can increase RANKL expression and thus induce osteoclastic bone resorption and osteolytic metastasis.</w:t>
      </w:r>
    </w:p>
    <w:p w14:paraId="2B8A7BAE" w14:textId="79FD36D3" w:rsidR="00A66D53" w:rsidRPr="00A66D53" w:rsidRDefault="008219A0" w:rsidP="00352196">
      <w:r w:rsidRPr="008219A0">
        <w:t>Osteoporosis imposes a significant health burden in Australia and worldwide.  The Australian Institute of Health and Welfare (AIHW) estimated that approximately 924,000 Australians (3.8% of the total population) were affected by osteoporosis or osteopenia, although there is</w:t>
      </w:r>
      <w:r w:rsidR="00A66D53" w:rsidRPr="00A66D53">
        <w:rPr>
          <w:rFonts w:eastAsia="Cambria" w:cs="Times New Roman"/>
          <w:szCs w:val="22"/>
          <w:lang w:eastAsia="ja-JP"/>
        </w:rPr>
        <w:t xml:space="preserve"> </w:t>
      </w:r>
      <w:r w:rsidR="00A66D53" w:rsidRPr="00A66D53">
        <w:t>likely to be a significant underestimation due to the silent nature of the diseases.</w:t>
      </w:r>
      <w:r w:rsidR="00A66D53" w:rsidRPr="00A66D53">
        <w:rPr>
          <w:vertAlign w:val="superscript"/>
        </w:rPr>
        <w:footnoteReference w:id="5"/>
      </w:r>
      <w:r w:rsidR="00A66D53" w:rsidRPr="00A66D53">
        <w:t xml:space="preserve">  According to a study that analysed the burden of osteoporosis in Australia between 2012-2022, 66% of those over 50 years of age (approximately 4.74 million people) were thought to be affected by osteoporosis and osteopenia.</w:t>
      </w:r>
      <w:r w:rsidR="00A66D53" w:rsidRPr="00A66D53">
        <w:rPr>
          <w:vertAlign w:val="superscript"/>
        </w:rPr>
        <w:footnoteReference w:id="6"/>
      </w:r>
      <w:r w:rsidR="00A66D53" w:rsidRPr="00A66D53">
        <w:t xml:space="preserve">  Over the 10-year period, it was estimated that approximately 1.6 million cases of fractures were attributable to osteoporosis and osteopenia.  Osteoporotic fractures occur most frequently in the vertebrae, carpals, hips, pelvis and upper arms.</w:t>
      </w:r>
      <w:r w:rsidR="00A66D53" w:rsidRPr="00A66D53">
        <w:rPr>
          <w:vertAlign w:val="superscript"/>
        </w:rPr>
        <w:footnoteReference w:id="7"/>
      </w:r>
      <w:r w:rsidR="00A66D53" w:rsidRPr="00A66D53">
        <w:t xml:space="preserve">  Many patients require long-term nursing home care, which would leave a significant burden on the patient’s family and society.  </w:t>
      </w:r>
    </w:p>
    <w:p w14:paraId="255E083A" w14:textId="77777777" w:rsidR="00CB6813" w:rsidRDefault="00CB6813" w:rsidP="00CB6813">
      <w:pPr>
        <w:pStyle w:val="Heading4"/>
      </w:pPr>
      <w:bookmarkStart w:id="21" w:name="_Toc215235747"/>
      <w:r>
        <w:lastRenderedPageBreak/>
        <w:t>Current treatment options</w:t>
      </w:r>
      <w:bookmarkEnd w:id="21"/>
    </w:p>
    <w:p w14:paraId="67EDCA67" w14:textId="77777777" w:rsidR="00C92180" w:rsidRDefault="0015051C" w:rsidP="00D857A7">
      <w:r w:rsidRPr="0015051C">
        <w:t xml:space="preserve">Treatment for primary and secondary osteoporosis/osteopaenia is typically dependent on disease severity, causative factors, and drug-specific factors (e.g. contraindications). </w:t>
      </w:r>
    </w:p>
    <w:p w14:paraId="4AF3F773" w14:textId="10DF773B" w:rsidR="00D857A7" w:rsidRPr="00D857A7" w:rsidRDefault="00D857A7" w:rsidP="00D857A7">
      <w:r w:rsidRPr="00D857A7">
        <w:t>Management of osteoporosis usually requires multifaceted approach involving pharmacological and non-pharmacological therapies.   Non-pharmacological therapies include lifestyle changes including physical activity and weight bearing exercises, as well as cessation of smoking.  Dietary supplements such as calcium and vitamin D are also commonly recommended.</w:t>
      </w:r>
    </w:p>
    <w:p w14:paraId="03D9EBE9" w14:textId="19DF1762" w:rsidR="0015051C" w:rsidRPr="0015051C" w:rsidRDefault="0015051C" w:rsidP="00A93AB9">
      <w:r w:rsidRPr="0015051C">
        <w:t xml:space="preserve">Management </w:t>
      </w:r>
      <w:r w:rsidR="00C92180">
        <w:t xml:space="preserve">with </w:t>
      </w:r>
      <w:r w:rsidR="00C92180" w:rsidRPr="00C92180">
        <w:t>pharmacological therapies</w:t>
      </w:r>
      <w:r w:rsidRPr="0015051C">
        <w:t xml:space="preserve"> include</w:t>
      </w:r>
      <w:r w:rsidR="00A93AB9">
        <w:t xml:space="preserve"> an</w:t>
      </w:r>
      <w:r w:rsidRPr="0015051C">
        <w:t xml:space="preserve">tiresorptive pharmacotherapy </w:t>
      </w:r>
      <w:r w:rsidR="00A24070">
        <w:t>such as</w:t>
      </w:r>
      <w:r w:rsidRPr="0015051C">
        <w:t>:</w:t>
      </w:r>
    </w:p>
    <w:p w14:paraId="5A3C07FC" w14:textId="7E4A0666" w:rsidR="0015051C" w:rsidRPr="0015051C" w:rsidRDefault="0015051C" w:rsidP="00E96159">
      <w:pPr>
        <w:pStyle w:val="ListBullet"/>
      </w:pPr>
      <w:r w:rsidRPr="0015051C">
        <w:t>Oral bisphosphonates (e.g. alendronate)</w:t>
      </w:r>
    </w:p>
    <w:p w14:paraId="4C0B2D2E" w14:textId="70162CD7" w:rsidR="0015051C" w:rsidRPr="0015051C" w:rsidRDefault="0015051C" w:rsidP="00E96159">
      <w:pPr>
        <w:pStyle w:val="ListBullet"/>
      </w:pPr>
      <w:r w:rsidRPr="0015051C">
        <w:t>Bone-forming anabolic agents (e.g. teriparatide)</w:t>
      </w:r>
    </w:p>
    <w:p w14:paraId="63D1275C" w14:textId="646FCFCE" w:rsidR="0015051C" w:rsidRPr="0015051C" w:rsidRDefault="0015051C" w:rsidP="00E96159">
      <w:pPr>
        <w:pStyle w:val="ListBullet"/>
      </w:pPr>
      <w:r w:rsidRPr="0015051C">
        <w:t>RANKL inhibitors (e.g. denosumab)</w:t>
      </w:r>
    </w:p>
    <w:p w14:paraId="7F667E1E" w14:textId="557E3DC3" w:rsidR="0015051C" w:rsidRPr="0015051C" w:rsidRDefault="0015051C" w:rsidP="00E96159">
      <w:pPr>
        <w:pStyle w:val="ListBullet"/>
      </w:pPr>
      <w:r w:rsidRPr="0015051C">
        <w:t>Other agents (e.g. hormone replacement therapy (HRT), raloxifene, calcitonin)</w:t>
      </w:r>
    </w:p>
    <w:p w14:paraId="37C47E09" w14:textId="14D3762D" w:rsidR="00CB6813" w:rsidRDefault="00CB6813" w:rsidP="00CB6813">
      <w:pPr>
        <w:pStyle w:val="Heading4"/>
      </w:pPr>
      <w:bookmarkStart w:id="22" w:name="_Toc215235748"/>
      <w:r>
        <w:t>C</w:t>
      </w:r>
      <w:r w:rsidRPr="00DE1344">
        <w:t>lini</w:t>
      </w:r>
      <w:r w:rsidRPr="0017323D">
        <w:t>cal rational</w:t>
      </w:r>
      <w:r w:rsidR="0025785B" w:rsidRPr="0017323D">
        <w:t>e</w:t>
      </w:r>
      <w:bookmarkEnd w:id="22"/>
    </w:p>
    <w:p w14:paraId="4295186F" w14:textId="77777777" w:rsidR="0051676C" w:rsidRPr="0051676C" w:rsidRDefault="0051676C" w:rsidP="00352196">
      <w:r w:rsidRPr="0051676C">
        <w:t>Denosumab is an inhibitor of receptor activator of nuclear factor kappa</w:t>
      </w:r>
      <w:bookmarkStart w:id="23" w:name="_Hlk212043495"/>
      <w:r w:rsidRPr="0051676C">
        <w:t>-β</w:t>
      </w:r>
      <w:bookmarkEnd w:id="23"/>
      <w:r w:rsidRPr="0051676C">
        <w:t xml:space="preserve"> ligand (RANKL).  RANKL is a transmembrane or soluble protein essential for the formation, function, and survival of osteoclasts, the cells responsible for bone resorption.  Denosumab binds to RANKL with high affinity and specificity, </w:t>
      </w:r>
      <w:bookmarkStart w:id="24" w:name="_Hlk212043214"/>
      <w:r w:rsidRPr="0051676C">
        <w:t>thereby preventing the activation of its receptor, RANK, on the surface of osteoclast precursors and osteoclasts</w:t>
      </w:r>
      <w:bookmarkEnd w:id="24"/>
      <w:r w:rsidRPr="0051676C">
        <w:t>.  Prevention of the RANKL/RANK interaction inhibits osteoclast formation, function and survival, thereby decreasing bone resorption and increasing bone mass and strength in both cortical and trabecular bone.</w:t>
      </w:r>
    </w:p>
    <w:p w14:paraId="35DD97C9" w14:textId="7121A11C" w:rsidR="009C0A36" w:rsidRDefault="009C0A36" w:rsidP="00352196">
      <w:r w:rsidRPr="009C0A36">
        <w:t xml:space="preserve">Denosumab </w:t>
      </w:r>
      <w:r w:rsidR="00D725C5">
        <w:t>was</w:t>
      </w:r>
      <w:r w:rsidRPr="009C0A36">
        <w:t xml:space="preserve"> the first biologic therapy approved to treat osteoporosis. Unlike bisphosphonates, denosumab can be used in women with compromised renal function.  In a large trial (FREEDOM study), it was shown that the relative risks of fracture in those receiving denosumab vs placebo were 68%, 40%, 20%, and 16% for radiographic vertebral, hip, nonvertebral, and wrist fractures, respectively, along with increased BMD.</w:t>
      </w:r>
      <w:r w:rsidRPr="009C0A36">
        <w:rPr>
          <w:vertAlign w:val="superscript"/>
        </w:rPr>
        <w:footnoteReference w:id="8"/>
      </w:r>
      <w:r w:rsidRPr="009C0A36">
        <w:rPr>
          <w:vertAlign w:val="superscript"/>
        </w:rPr>
        <w:t>,</w:t>
      </w:r>
      <w:r w:rsidRPr="009C0A36">
        <w:rPr>
          <w:vertAlign w:val="superscript"/>
        </w:rPr>
        <w:footnoteReference w:id="9"/>
      </w:r>
      <w:r w:rsidRPr="009C0A36">
        <w:t xml:space="preserve">   As with bisphosphonates, rare cases of atypical femoral fractures and osteonecrosis of the jaw have been observed with denosumab treatment.  </w:t>
      </w:r>
    </w:p>
    <w:p w14:paraId="74F5C176" w14:textId="77777777" w:rsidR="001D02AF" w:rsidRPr="001D02AF" w:rsidRDefault="001D02AF" w:rsidP="00352196">
      <w:r w:rsidRPr="001D02AF">
        <w:t>Management of osteoporosis usually requires multifaceted approach involving pharmacological and non-pharmacological therapies.   Non-pharmacological therapies include lifestyle changes including physical activity and weight bearing exercises, as well as cessation of smoking.  Dietary supplements such as calcium and vitamin D are also commonly recommended.</w:t>
      </w:r>
    </w:p>
    <w:p w14:paraId="0D615854" w14:textId="77777777" w:rsidR="00324B33" w:rsidRPr="003F31A2" w:rsidRDefault="00324B33" w:rsidP="00324B33">
      <w:pPr>
        <w:pStyle w:val="Heading3"/>
      </w:pPr>
      <w:bookmarkStart w:id="25" w:name="_Toc103679291"/>
      <w:bookmarkStart w:id="26" w:name="_Toc215235749"/>
      <w:r>
        <w:t>Regulatory status</w:t>
      </w:r>
      <w:bookmarkEnd w:id="18"/>
      <w:bookmarkEnd w:id="19"/>
      <w:bookmarkEnd w:id="25"/>
      <w:bookmarkEnd w:id="26"/>
    </w:p>
    <w:p w14:paraId="72C889D6" w14:textId="7E200950" w:rsidR="0017005C" w:rsidRPr="00BD5DBD" w:rsidRDefault="0017005C" w:rsidP="00741AB9">
      <w:pPr>
        <w:pStyle w:val="Heading4"/>
      </w:pPr>
      <w:bookmarkStart w:id="27" w:name="_Toc215235750"/>
      <w:r w:rsidRPr="00BD5DBD">
        <w:t>Australian regulatory</w:t>
      </w:r>
      <w:r>
        <w:t xml:space="preserve"> sta</w:t>
      </w:r>
      <w:r w:rsidR="0025785B">
        <w:t>t</w:t>
      </w:r>
      <w:r>
        <w:t>us</w:t>
      </w:r>
      <w:bookmarkEnd w:id="27"/>
    </w:p>
    <w:p w14:paraId="6A8633FA" w14:textId="13110B76" w:rsidR="00324B33" w:rsidRDefault="00324B33" w:rsidP="00324B33">
      <w:pPr>
        <w:rPr>
          <w:szCs w:val="22"/>
        </w:rPr>
      </w:pPr>
      <w:r w:rsidRPr="00BD5DBD">
        <w:rPr>
          <w:szCs w:val="22"/>
        </w:rPr>
        <w:t xml:space="preserve">This product is considered a </w:t>
      </w:r>
      <w:r w:rsidR="008C754C" w:rsidRPr="00BD5DBD">
        <w:rPr>
          <w:szCs w:val="22"/>
        </w:rPr>
        <w:t xml:space="preserve">new </w:t>
      </w:r>
      <w:r w:rsidRPr="00BD5DBD">
        <w:rPr>
          <w:szCs w:val="22"/>
        </w:rPr>
        <w:t>biosimilar medicine for Australian regulatory purposes.</w:t>
      </w:r>
      <w:r w:rsidR="00C6443A" w:rsidRPr="00C6443A">
        <w:rPr>
          <w:rFonts w:cs="Cambria"/>
          <w:color w:val="000000"/>
          <w:szCs w:val="22"/>
        </w:rPr>
        <w:t xml:space="preserve"> </w:t>
      </w:r>
      <w:r w:rsidR="00C6443A" w:rsidRPr="00C6443A">
        <w:rPr>
          <w:szCs w:val="22"/>
        </w:rPr>
        <w:t>P</w:t>
      </w:r>
      <w:r w:rsidR="00B24BAE">
        <w:rPr>
          <w:szCs w:val="22"/>
        </w:rPr>
        <w:t>rolia</w:t>
      </w:r>
      <w:r w:rsidR="00C6443A" w:rsidRPr="00C6443A">
        <w:rPr>
          <w:szCs w:val="22"/>
        </w:rPr>
        <w:t xml:space="preserve"> </w:t>
      </w:r>
      <w:r w:rsidR="001C44D0">
        <w:rPr>
          <w:szCs w:val="22"/>
        </w:rPr>
        <w:t>(</w:t>
      </w:r>
      <w:r w:rsidR="00D6549E">
        <w:rPr>
          <w:szCs w:val="22"/>
        </w:rPr>
        <w:t>innovator</w:t>
      </w:r>
      <w:r w:rsidR="0089548B">
        <w:rPr>
          <w:szCs w:val="22"/>
        </w:rPr>
        <w:t xml:space="preserve"> product for </w:t>
      </w:r>
      <w:r w:rsidR="001C44D0">
        <w:rPr>
          <w:szCs w:val="22"/>
        </w:rPr>
        <w:t>Stoboclo</w:t>
      </w:r>
      <w:r w:rsidR="00A811C3">
        <w:rPr>
          <w:szCs w:val="22"/>
        </w:rPr>
        <w:t xml:space="preserve">) </w:t>
      </w:r>
      <w:r w:rsidR="00C6443A" w:rsidRPr="00C6443A">
        <w:rPr>
          <w:szCs w:val="22"/>
        </w:rPr>
        <w:t>was first registered on the</w:t>
      </w:r>
      <w:r w:rsidR="001A5091" w:rsidRPr="001A5091">
        <w:rPr>
          <w:szCs w:val="22"/>
        </w:rPr>
        <w:t xml:space="preserve"> </w:t>
      </w:r>
      <w:hyperlink r:id="rId23" w:history="1">
        <w:r w:rsidR="001A5091" w:rsidRPr="001A5091">
          <w:rPr>
            <w:rStyle w:val="Hyperlink"/>
            <w:szCs w:val="22"/>
          </w:rPr>
          <w:t xml:space="preserve">Australian Register of Therapeutic </w:t>
        </w:r>
        <w:r w:rsidR="001A5091" w:rsidRPr="001A5091">
          <w:rPr>
            <w:rStyle w:val="Hyperlink"/>
            <w:szCs w:val="22"/>
          </w:rPr>
          <w:lastRenderedPageBreak/>
          <w:t>Goods</w:t>
        </w:r>
      </w:hyperlink>
      <w:r w:rsidR="001A5091" w:rsidRPr="001A5091">
        <w:rPr>
          <w:szCs w:val="22"/>
        </w:rPr>
        <w:t xml:space="preserve"> (</w:t>
      </w:r>
      <w:hyperlink r:id="rId24" w:history="1">
        <w:r w:rsidR="001A5091" w:rsidRPr="001A5091">
          <w:rPr>
            <w:rStyle w:val="Hyperlink"/>
            <w:szCs w:val="22"/>
          </w:rPr>
          <w:t>ARTG</w:t>
        </w:r>
      </w:hyperlink>
      <w:r w:rsidR="001A5091" w:rsidRPr="001A5091">
        <w:rPr>
          <w:szCs w:val="22"/>
        </w:rPr>
        <w:t xml:space="preserve">) </w:t>
      </w:r>
      <w:r w:rsidR="00C6443A" w:rsidRPr="00C6443A">
        <w:rPr>
          <w:szCs w:val="22"/>
        </w:rPr>
        <w:t>in June 2010</w:t>
      </w:r>
      <w:r w:rsidR="00112263">
        <w:rPr>
          <w:szCs w:val="22"/>
        </w:rPr>
        <w:t xml:space="preserve">. </w:t>
      </w:r>
      <w:r w:rsidR="00C6443A" w:rsidRPr="00C6443A">
        <w:rPr>
          <w:szCs w:val="22"/>
        </w:rPr>
        <w:t>X</w:t>
      </w:r>
      <w:r w:rsidR="00B24BAE">
        <w:rPr>
          <w:szCs w:val="22"/>
        </w:rPr>
        <w:t>geva</w:t>
      </w:r>
      <w:r w:rsidR="00A811C3">
        <w:rPr>
          <w:szCs w:val="22"/>
        </w:rPr>
        <w:t xml:space="preserve"> </w:t>
      </w:r>
      <w:r w:rsidR="00535BCF">
        <w:rPr>
          <w:szCs w:val="22"/>
        </w:rPr>
        <w:t>(</w:t>
      </w:r>
      <w:r w:rsidR="00CC0EBA">
        <w:rPr>
          <w:szCs w:val="22"/>
        </w:rPr>
        <w:t>innovator</w:t>
      </w:r>
      <w:r w:rsidR="0089548B" w:rsidRPr="0089548B">
        <w:rPr>
          <w:szCs w:val="22"/>
        </w:rPr>
        <w:t xml:space="preserve"> product for </w:t>
      </w:r>
      <w:r w:rsidR="00535BCF">
        <w:rPr>
          <w:szCs w:val="22"/>
        </w:rPr>
        <w:t>Osenvelt)</w:t>
      </w:r>
      <w:r w:rsidR="00C6443A" w:rsidRPr="00C6443A">
        <w:rPr>
          <w:szCs w:val="22"/>
        </w:rPr>
        <w:t xml:space="preserve"> was first registered on the ARTG in September 2011.</w:t>
      </w:r>
    </w:p>
    <w:p w14:paraId="546C1031" w14:textId="4EF98FA1" w:rsidR="0017005C" w:rsidRDefault="00131B1B" w:rsidP="0017005C">
      <w:pPr>
        <w:pStyle w:val="Heading4"/>
      </w:pPr>
      <w:bookmarkStart w:id="28" w:name="_Toc215235751"/>
      <w:r>
        <w:t xml:space="preserve">International </w:t>
      </w:r>
      <w:r w:rsidR="0017005C" w:rsidRPr="00BD5DBD">
        <w:t>regulatory</w:t>
      </w:r>
      <w:r w:rsidR="0017005C">
        <w:t xml:space="preserve"> status</w:t>
      </w:r>
      <w:bookmarkEnd w:id="28"/>
    </w:p>
    <w:p w14:paraId="7FDF4A0B" w14:textId="53CD6637" w:rsidR="008F4A62" w:rsidRPr="0017005C" w:rsidRDefault="008F4A62" w:rsidP="00352196">
      <w:r w:rsidRPr="00BD5DBD">
        <w:t>At the time the TGA considered this submission, similar submission</w:t>
      </w:r>
      <w:r w:rsidR="00660E84">
        <w:t>s</w:t>
      </w:r>
      <w:r w:rsidRPr="00BD5DBD">
        <w:t xml:space="preserve"> </w:t>
      </w:r>
      <w:r w:rsidR="00660E84">
        <w:t>were being</w:t>
      </w:r>
      <w:r w:rsidRPr="00BD5DBD">
        <w:t xml:space="preserve"> </w:t>
      </w:r>
      <w:r>
        <w:t>considered by other regulatory agencies</w:t>
      </w:r>
      <w:r w:rsidR="00660E84">
        <w:t xml:space="preserve">, including </w:t>
      </w:r>
      <w:r w:rsidR="0051096A" w:rsidRPr="0051096A">
        <w:t xml:space="preserve">the US, Canada, and Republic of Korea.  </w:t>
      </w:r>
      <w:r w:rsidRPr="00BD5DBD">
        <w:t>The following table</w:t>
      </w:r>
      <w:r w:rsidR="00396455">
        <w:t>s</w:t>
      </w:r>
      <w:r w:rsidRPr="00BD5DBD">
        <w:t xml:space="preserve"> summarises these submissions and provides the</w:t>
      </w:r>
      <w:r w:rsidR="00904A36">
        <w:t xml:space="preserve"> proposed</w:t>
      </w:r>
      <w:r w:rsidRPr="00BD5DBD">
        <w:t xml:space="preserve"> indications.</w:t>
      </w:r>
      <w:r>
        <w:t xml:space="preserve"> </w:t>
      </w:r>
    </w:p>
    <w:p w14:paraId="19B9E0AC" w14:textId="18B1947E" w:rsidR="00324B33" w:rsidRPr="00352196" w:rsidRDefault="00324B33" w:rsidP="00352196">
      <w:pPr>
        <w:pStyle w:val="TableTitle"/>
      </w:pPr>
      <w:bookmarkStart w:id="29" w:name="_Ref99705479"/>
      <w:r w:rsidRPr="00352196">
        <w:t xml:space="preserve">Table </w:t>
      </w:r>
      <w:r w:rsidR="008B1CB5">
        <w:fldChar w:fldCharType="begin"/>
      </w:r>
      <w:r w:rsidR="008B1CB5">
        <w:instrText xml:space="preserve"> SEQ Table \* ARABIC </w:instrText>
      </w:r>
      <w:r w:rsidR="008B1CB5">
        <w:fldChar w:fldCharType="separate"/>
      </w:r>
      <w:r w:rsidR="008B1CB5" w:rsidRPr="00352196">
        <w:t>1</w:t>
      </w:r>
      <w:r w:rsidR="008B1CB5">
        <w:fldChar w:fldCharType="end"/>
      </w:r>
      <w:bookmarkEnd w:id="29"/>
      <w:r w:rsidRPr="00352196">
        <w:t>: International regulatory status</w:t>
      </w:r>
      <w:r w:rsidR="00132F0C" w:rsidRPr="00352196">
        <w:t xml:space="preserve"> of Stoboclo </w:t>
      </w:r>
    </w:p>
    <w:tbl>
      <w:tblPr>
        <w:tblStyle w:val="TableTGAblue2023"/>
        <w:tblW w:w="5082" w:type="pct"/>
        <w:tblLook w:val="04A0" w:firstRow="1" w:lastRow="0" w:firstColumn="1" w:lastColumn="0" w:noHBand="0" w:noVBand="1"/>
      </w:tblPr>
      <w:tblGrid>
        <w:gridCol w:w="1186"/>
        <w:gridCol w:w="1661"/>
        <w:gridCol w:w="1625"/>
        <w:gridCol w:w="4737"/>
      </w:tblGrid>
      <w:tr w:rsidR="004E3F4B" w:rsidRPr="00D01DDB" w14:paraId="405E5D78" w14:textId="16839333" w:rsidTr="00F12D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 w:type="pct"/>
          </w:tcPr>
          <w:p w14:paraId="185B099B" w14:textId="7A4C0E6C" w:rsidR="00324B33" w:rsidRPr="00D01DDB" w:rsidRDefault="00324B33" w:rsidP="00324B33">
            <w:pPr>
              <w:rPr>
                <w:szCs w:val="22"/>
              </w:rPr>
            </w:pPr>
            <w:r w:rsidRPr="00D01DDB">
              <w:rPr>
                <w:szCs w:val="22"/>
              </w:rPr>
              <w:t>Region</w:t>
            </w:r>
          </w:p>
        </w:tc>
        <w:tc>
          <w:tcPr>
            <w:tcW w:w="902"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882"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2572"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4E3F4B" w:rsidRPr="00D01DDB" w14:paraId="38D24E86" w14:textId="77777777" w:rsidTr="00F12D6B">
        <w:tc>
          <w:tcPr>
            <w:cnfStyle w:val="001000000000" w:firstRow="0" w:lastRow="0" w:firstColumn="1" w:lastColumn="0" w:oddVBand="0" w:evenVBand="0" w:oddHBand="0" w:evenHBand="0" w:firstRowFirstColumn="0" w:firstRowLastColumn="0" w:lastRowFirstColumn="0" w:lastRowLastColumn="0"/>
            <w:tcW w:w="644" w:type="pct"/>
          </w:tcPr>
          <w:p w14:paraId="4C540DE5" w14:textId="3C30B624" w:rsidR="00324B33" w:rsidRPr="00D01DDB" w:rsidRDefault="0003191D" w:rsidP="00324B33">
            <w:pPr>
              <w:rPr>
                <w:szCs w:val="22"/>
              </w:rPr>
            </w:pPr>
            <w:r>
              <w:rPr>
                <w:szCs w:val="22"/>
              </w:rPr>
              <w:t>USA (FDA)</w:t>
            </w:r>
          </w:p>
        </w:tc>
        <w:tc>
          <w:tcPr>
            <w:tcW w:w="902" w:type="pct"/>
          </w:tcPr>
          <w:p w14:paraId="4FA5DDA9" w14:textId="02997FF7" w:rsidR="00324B33" w:rsidRPr="00D01DDB" w:rsidRDefault="004E3F4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November 2023</w:t>
            </w:r>
          </w:p>
        </w:tc>
        <w:tc>
          <w:tcPr>
            <w:tcW w:w="882" w:type="pct"/>
          </w:tcPr>
          <w:p w14:paraId="29358393" w14:textId="4AE14EA0" w:rsidR="00324B33" w:rsidRPr="00D01DDB" w:rsidRDefault="007412EE" w:rsidP="00324B33">
            <w:pPr>
              <w:cnfStyle w:val="000000000000" w:firstRow="0" w:lastRow="0" w:firstColumn="0" w:lastColumn="0" w:oddVBand="0" w:evenVBand="0" w:oddHBand="0" w:evenHBand="0" w:firstRowFirstColumn="0" w:firstRowLastColumn="0" w:lastRowFirstColumn="0" w:lastRowLastColumn="0"/>
              <w:rPr>
                <w:szCs w:val="22"/>
              </w:rPr>
            </w:pPr>
            <w:r w:rsidRPr="007412EE">
              <w:rPr>
                <w:szCs w:val="22"/>
              </w:rPr>
              <w:t>Under consideration</w:t>
            </w:r>
          </w:p>
        </w:tc>
        <w:tc>
          <w:tcPr>
            <w:tcW w:w="2572" w:type="pct"/>
          </w:tcPr>
          <w:p w14:paraId="65C31D0C" w14:textId="6986D60B" w:rsidR="00324B33" w:rsidRPr="00840603" w:rsidRDefault="008F58E8" w:rsidP="00AD6FB0">
            <w:pPr>
              <w:pStyle w:val="ListBullet"/>
              <w:cnfStyle w:val="000000000000" w:firstRow="0" w:lastRow="0" w:firstColumn="0" w:lastColumn="0" w:oddVBand="0" w:evenVBand="0" w:oddHBand="0" w:evenHBand="0" w:firstRowFirstColumn="0" w:firstRowLastColumn="0" w:lastRowFirstColumn="0" w:lastRowLastColumn="0"/>
              <w:rPr>
                <w:i/>
                <w:iCs/>
              </w:rPr>
            </w:pPr>
            <w:r w:rsidRPr="00840603">
              <w:rPr>
                <w:i/>
                <w:iCs/>
                <w:color w:val="000000"/>
              </w:rPr>
              <w:t xml:space="preserve">Treatment of </w:t>
            </w:r>
            <w:r w:rsidR="00A657CD" w:rsidRPr="00840603">
              <w:rPr>
                <w:i/>
                <w:iCs/>
              </w:rPr>
              <w:t>postmenopausal women with osteoporosis at high ri</w:t>
            </w:r>
            <w:r w:rsidR="00A176A5" w:rsidRPr="00840603">
              <w:rPr>
                <w:i/>
                <w:iCs/>
              </w:rPr>
              <w:t>s</w:t>
            </w:r>
            <w:r w:rsidR="00A657CD" w:rsidRPr="00840603">
              <w:rPr>
                <w:i/>
                <w:iCs/>
              </w:rPr>
              <w:t>k for fracture.</w:t>
            </w:r>
          </w:p>
          <w:p w14:paraId="59EA0173" w14:textId="77777777" w:rsidR="00A657CD" w:rsidRPr="00840603" w:rsidRDefault="00720968" w:rsidP="00AD6FB0">
            <w:pPr>
              <w:pStyle w:val="ListBullet"/>
              <w:cnfStyle w:val="000000000000" w:firstRow="0" w:lastRow="0" w:firstColumn="0" w:lastColumn="0" w:oddVBand="0" w:evenVBand="0" w:oddHBand="0" w:evenHBand="0" w:firstRowFirstColumn="0" w:firstRowLastColumn="0" w:lastRowFirstColumn="0" w:lastRowLastColumn="0"/>
              <w:rPr>
                <w:i/>
                <w:iCs/>
              </w:rPr>
            </w:pPr>
            <w:r w:rsidRPr="00840603">
              <w:rPr>
                <w:i/>
                <w:iCs/>
              </w:rPr>
              <w:t>Treatment to increase bone mass in men with osteoporosis</w:t>
            </w:r>
            <w:r w:rsidR="00922474" w:rsidRPr="00840603">
              <w:rPr>
                <w:i/>
                <w:iCs/>
              </w:rPr>
              <w:t xml:space="preserve"> at high risk of fracture.</w:t>
            </w:r>
          </w:p>
          <w:p w14:paraId="2A605F28" w14:textId="72EFEC10" w:rsidR="00922474" w:rsidRPr="00840603" w:rsidRDefault="00922474" w:rsidP="00AD6FB0">
            <w:pPr>
              <w:pStyle w:val="ListBullet"/>
              <w:cnfStyle w:val="000000000000" w:firstRow="0" w:lastRow="0" w:firstColumn="0" w:lastColumn="0" w:oddVBand="0" w:evenVBand="0" w:oddHBand="0" w:evenHBand="0" w:firstRowFirstColumn="0" w:firstRowLastColumn="0" w:lastRowFirstColumn="0" w:lastRowLastColumn="0"/>
              <w:rPr>
                <w:i/>
                <w:iCs/>
              </w:rPr>
            </w:pPr>
            <w:r w:rsidRPr="00840603">
              <w:rPr>
                <w:i/>
                <w:iCs/>
              </w:rPr>
              <w:t>Treatment for glucocort</w:t>
            </w:r>
            <w:r w:rsidR="00EE7B99" w:rsidRPr="00840603">
              <w:rPr>
                <w:i/>
                <w:iCs/>
              </w:rPr>
              <w:t xml:space="preserve">icoid-induced </w:t>
            </w:r>
            <w:r w:rsidR="007412EE" w:rsidRPr="00840603">
              <w:rPr>
                <w:i/>
                <w:iCs/>
              </w:rPr>
              <w:t>osteoporosis</w:t>
            </w:r>
            <w:r w:rsidR="00EE7B99" w:rsidRPr="00840603">
              <w:rPr>
                <w:i/>
                <w:iCs/>
              </w:rPr>
              <w:t xml:space="preserve"> in men and women</w:t>
            </w:r>
            <w:r w:rsidR="00A176A5" w:rsidRPr="00840603">
              <w:rPr>
                <w:i/>
                <w:iCs/>
              </w:rPr>
              <w:t xml:space="preserve"> </w:t>
            </w:r>
            <w:r w:rsidR="00087701" w:rsidRPr="00840603">
              <w:rPr>
                <w:i/>
                <w:iCs/>
              </w:rPr>
              <w:t xml:space="preserve">at high risk for fracture. </w:t>
            </w:r>
          </w:p>
          <w:p w14:paraId="1691367C" w14:textId="77777777" w:rsidR="00087701" w:rsidRPr="00840603" w:rsidRDefault="00087701" w:rsidP="00AD6FB0">
            <w:pPr>
              <w:pStyle w:val="ListBullet"/>
              <w:cnfStyle w:val="000000000000" w:firstRow="0" w:lastRow="0" w:firstColumn="0" w:lastColumn="0" w:oddVBand="0" w:evenVBand="0" w:oddHBand="0" w:evenHBand="0" w:firstRowFirstColumn="0" w:firstRowLastColumn="0" w:lastRowFirstColumn="0" w:lastRowLastColumn="0"/>
              <w:rPr>
                <w:i/>
                <w:iCs/>
              </w:rPr>
            </w:pPr>
            <w:r w:rsidRPr="00840603">
              <w:rPr>
                <w:i/>
                <w:iCs/>
              </w:rPr>
              <w:t>Treatment to increase bone mass</w:t>
            </w:r>
            <w:r w:rsidR="00A176A5" w:rsidRPr="00840603">
              <w:rPr>
                <w:i/>
                <w:iCs/>
              </w:rPr>
              <w:t xml:space="preserve"> </w:t>
            </w:r>
            <w:r w:rsidR="004D1287" w:rsidRPr="00840603">
              <w:rPr>
                <w:i/>
                <w:iCs/>
              </w:rPr>
              <w:t>in men at high risk for fracture</w:t>
            </w:r>
            <w:r w:rsidR="00A176A5" w:rsidRPr="00840603">
              <w:rPr>
                <w:i/>
                <w:iCs/>
              </w:rPr>
              <w:t xml:space="preserve"> </w:t>
            </w:r>
            <w:r w:rsidR="004D1287" w:rsidRPr="00840603">
              <w:rPr>
                <w:i/>
                <w:iCs/>
              </w:rPr>
              <w:t>receiving androgen</w:t>
            </w:r>
            <w:r w:rsidR="00A176A5" w:rsidRPr="00840603">
              <w:rPr>
                <w:i/>
                <w:iCs/>
              </w:rPr>
              <w:t xml:space="preserve"> </w:t>
            </w:r>
            <w:r w:rsidR="00EA6EA8" w:rsidRPr="00840603">
              <w:rPr>
                <w:i/>
                <w:iCs/>
              </w:rPr>
              <w:t xml:space="preserve">deprivation therapy for nonmetastatic prostate cancer. </w:t>
            </w:r>
          </w:p>
          <w:p w14:paraId="05055674" w14:textId="7B765D5B" w:rsidR="004E2536" w:rsidRPr="008F58E8" w:rsidRDefault="004E2536" w:rsidP="00AD6FB0">
            <w:pPr>
              <w:pStyle w:val="ListBullet"/>
              <w:cnfStyle w:val="000000000000" w:firstRow="0" w:lastRow="0" w:firstColumn="0" w:lastColumn="0" w:oddVBand="0" w:evenVBand="0" w:oddHBand="0" w:evenHBand="0" w:firstRowFirstColumn="0" w:firstRowLastColumn="0" w:lastRowFirstColumn="0" w:lastRowLastColumn="0"/>
              <w:rPr>
                <w:color w:val="000000"/>
              </w:rPr>
            </w:pPr>
            <w:r w:rsidRPr="00840603">
              <w:rPr>
                <w:i/>
                <w:iCs/>
              </w:rPr>
              <w:t xml:space="preserve">Treatment to increase bone mass in women at high risk for </w:t>
            </w:r>
            <w:r w:rsidR="00EF5287" w:rsidRPr="00840603">
              <w:rPr>
                <w:i/>
                <w:iCs/>
              </w:rPr>
              <w:t>fracture receiving adjuvant aromatase inhibitor therapy for breast cancer.</w:t>
            </w:r>
            <w:r w:rsidR="00EF5287">
              <w:t xml:space="preserve"> </w:t>
            </w:r>
          </w:p>
        </w:tc>
      </w:tr>
      <w:tr w:rsidR="004E3F4B" w:rsidRPr="00D01DDB" w14:paraId="18B6E2AA" w14:textId="7783D66F" w:rsidTr="00F12D6B">
        <w:tc>
          <w:tcPr>
            <w:cnfStyle w:val="001000000000" w:firstRow="0" w:lastRow="0" w:firstColumn="1" w:lastColumn="0" w:oddVBand="0" w:evenVBand="0" w:oddHBand="0" w:evenHBand="0" w:firstRowFirstColumn="0" w:firstRowLastColumn="0" w:lastRowFirstColumn="0" w:lastRowLastColumn="0"/>
            <w:tcW w:w="644" w:type="pct"/>
          </w:tcPr>
          <w:p w14:paraId="7F348960" w14:textId="04C04C49" w:rsidR="00324B33" w:rsidRPr="00D01DDB" w:rsidRDefault="00C55DD7" w:rsidP="00324B33">
            <w:pPr>
              <w:rPr>
                <w:szCs w:val="22"/>
              </w:rPr>
            </w:pPr>
            <w:r>
              <w:rPr>
                <w:szCs w:val="22"/>
              </w:rPr>
              <w:t>Republic of Korea</w:t>
            </w:r>
          </w:p>
        </w:tc>
        <w:tc>
          <w:tcPr>
            <w:tcW w:w="902" w:type="pct"/>
          </w:tcPr>
          <w:p w14:paraId="1D871E57" w14:textId="6E484F75" w:rsidR="00324B33" w:rsidRPr="00D01DDB" w:rsidRDefault="00050BD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29 December 2023</w:t>
            </w:r>
          </w:p>
        </w:tc>
        <w:tc>
          <w:tcPr>
            <w:tcW w:w="882" w:type="pct"/>
          </w:tcPr>
          <w:p w14:paraId="63A3A9D3" w14:textId="4280B182" w:rsidR="00324B33" w:rsidRPr="00D01DDB" w:rsidRDefault="00660E84" w:rsidP="00324B33">
            <w:pPr>
              <w:cnfStyle w:val="000000000000" w:firstRow="0" w:lastRow="0" w:firstColumn="0" w:lastColumn="0" w:oddVBand="0" w:evenVBand="0" w:oddHBand="0" w:evenHBand="0" w:firstRowFirstColumn="0" w:firstRowLastColumn="0" w:lastRowFirstColumn="0" w:lastRowLastColumn="0"/>
              <w:rPr>
                <w:szCs w:val="22"/>
              </w:rPr>
            </w:pPr>
            <w:r w:rsidRPr="00660E84">
              <w:rPr>
                <w:szCs w:val="22"/>
              </w:rPr>
              <w:t>Under consideration</w:t>
            </w:r>
          </w:p>
        </w:tc>
        <w:tc>
          <w:tcPr>
            <w:tcW w:w="2572" w:type="pct"/>
          </w:tcPr>
          <w:p w14:paraId="4E0FA0D2" w14:textId="77777777" w:rsidR="00660E84" w:rsidRPr="00E52277" w:rsidRDefault="00660E84" w:rsidP="00AD6FB0">
            <w:pPr>
              <w:pStyle w:val="ListBullet"/>
              <w:cnfStyle w:val="000000000000" w:firstRow="0" w:lastRow="0" w:firstColumn="0" w:lastColumn="0" w:oddVBand="0" w:evenVBand="0" w:oddHBand="0" w:evenHBand="0" w:firstRowFirstColumn="0" w:firstRowLastColumn="0" w:lastRowFirstColumn="0" w:lastRowLastColumn="0"/>
              <w:rPr>
                <w:i/>
                <w:iCs/>
              </w:rPr>
            </w:pPr>
            <w:r w:rsidRPr="00E52277">
              <w:rPr>
                <w:i/>
                <w:iCs/>
              </w:rPr>
              <w:t>Treatment of postmenopausal women with osteoporosis at high risk for fracture.</w:t>
            </w:r>
          </w:p>
          <w:p w14:paraId="489983E3" w14:textId="77777777" w:rsidR="00660E84" w:rsidRPr="00E52277" w:rsidRDefault="00660E84" w:rsidP="00AD6FB0">
            <w:pPr>
              <w:pStyle w:val="ListBullet"/>
              <w:cnfStyle w:val="000000000000" w:firstRow="0" w:lastRow="0" w:firstColumn="0" w:lastColumn="0" w:oddVBand="0" w:evenVBand="0" w:oddHBand="0" w:evenHBand="0" w:firstRowFirstColumn="0" w:firstRowLastColumn="0" w:lastRowFirstColumn="0" w:lastRowLastColumn="0"/>
              <w:rPr>
                <w:i/>
                <w:iCs/>
              </w:rPr>
            </w:pPr>
            <w:r w:rsidRPr="00E52277">
              <w:rPr>
                <w:i/>
                <w:iCs/>
              </w:rPr>
              <w:t>Treatment to increase bone mass in men with osteoporosis at high risk of fracture.</w:t>
            </w:r>
          </w:p>
          <w:p w14:paraId="44658603" w14:textId="59311182" w:rsidR="00660E84" w:rsidRPr="00E52277" w:rsidRDefault="00660E84" w:rsidP="00AD6FB0">
            <w:pPr>
              <w:pStyle w:val="ListBullet"/>
              <w:cnfStyle w:val="000000000000" w:firstRow="0" w:lastRow="0" w:firstColumn="0" w:lastColumn="0" w:oddVBand="0" w:evenVBand="0" w:oddHBand="0" w:evenHBand="0" w:firstRowFirstColumn="0" w:firstRowLastColumn="0" w:lastRowFirstColumn="0" w:lastRowLastColumn="0"/>
              <w:rPr>
                <w:i/>
                <w:iCs/>
              </w:rPr>
            </w:pPr>
            <w:r w:rsidRPr="00E52277">
              <w:rPr>
                <w:i/>
                <w:iCs/>
              </w:rPr>
              <w:t xml:space="preserve">Treatment for glucocorticoid-induced </w:t>
            </w:r>
            <w:r w:rsidR="0011739F" w:rsidRPr="00E52277">
              <w:rPr>
                <w:i/>
                <w:iCs/>
              </w:rPr>
              <w:t>osteoporosis</w:t>
            </w:r>
            <w:r w:rsidRPr="00E52277">
              <w:rPr>
                <w:i/>
                <w:iCs/>
              </w:rPr>
              <w:t xml:space="preserve"> in men and women at high risk for fracture. </w:t>
            </w:r>
          </w:p>
          <w:p w14:paraId="05D3062C" w14:textId="77777777" w:rsidR="00660E84" w:rsidRPr="00E52277" w:rsidRDefault="00660E84" w:rsidP="00AD6FB0">
            <w:pPr>
              <w:pStyle w:val="ListBullet"/>
              <w:cnfStyle w:val="000000000000" w:firstRow="0" w:lastRow="0" w:firstColumn="0" w:lastColumn="0" w:oddVBand="0" w:evenVBand="0" w:oddHBand="0" w:evenHBand="0" w:firstRowFirstColumn="0" w:firstRowLastColumn="0" w:lastRowFirstColumn="0" w:lastRowLastColumn="0"/>
              <w:rPr>
                <w:i/>
                <w:iCs/>
              </w:rPr>
            </w:pPr>
            <w:r w:rsidRPr="00E52277">
              <w:rPr>
                <w:i/>
                <w:iCs/>
              </w:rPr>
              <w:t xml:space="preserve">Treatment to increase bone mass in men at high risk for fracture receiving androgen deprivation therapy for nonmetastatic prostate cancer. </w:t>
            </w:r>
          </w:p>
          <w:p w14:paraId="17C650B8" w14:textId="0BA07ABD" w:rsidR="00324B33" w:rsidRPr="00E52277" w:rsidRDefault="00660E84" w:rsidP="00AD6FB0">
            <w:pPr>
              <w:pStyle w:val="ListBullet"/>
              <w:cnfStyle w:val="000000000000" w:firstRow="0" w:lastRow="0" w:firstColumn="0" w:lastColumn="0" w:oddVBand="0" w:evenVBand="0" w:oddHBand="0" w:evenHBand="0" w:firstRowFirstColumn="0" w:firstRowLastColumn="0" w:lastRowFirstColumn="0" w:lastRowLastColumn="0"/>
              <w:rPr>
                <w:i/>
                <w:iCs/>
              </w:rPr>
            </w:pPr>
            <w:r w:rsidRPr="00E52277">
              <w:rPr>
                <w:i/>
                <w:iCs/>
              </w:rPr>
              <w:t>Treatment to increase bone mass in women at high risk for fracture receiving adjuvant aromatase inhibitor therapy for breast cancer.</w:t>
            </w:r>
          </w:p>
        </w:tc>
      </w:tr>
      <w:tr w:rsidR="006D1BF1" w:rsidRPr="00D01DDB" w14:paraId="1AAE54E1" w14:textId="77777777" w:rsidTr="00F12D6B">
        <w:tc>
          <w:tcPr>
            <w:cnfStyle w:val="001000000000" w:firstRow="0" w:lastRow="0" w:firstColumn="1" w:lastColumn="0" w:oddVBand="0" w:evenVBand="0" w:oddHBand="0" w:evenHBand="0" w:firstRowFirstColumn="0" w:firstRowLastColumn="0" w:lastRowFirstColumn="0" w:lastRowLastColumn="0"/>
            <w:tcW w:w="644" w:type="pct"/>
          </w:tcPr>
          <w:p w14:paraId="35435C51" w14:textId="73EE8F01" w:rsidR="00E70E89" w:rsidRPr="00D01DDB" w:rsidRDefault="00B028D3" w:rsidP="00324B33">
            <w:pPr>
              <w:rPr>
                <w:szCs w:val="22"/>
              </w:rPr>
            </w:pPr>
            <w:r>
              <w:rPr>
                <w:szCs w:val="22"/>
              </w:rPr>
              <w:lastRenderedPageBreak/>
              <w:t>Health Canada</w:t>
            </w:r>
          </w:p>
        </w:tc>
        <w:tc>
          <w:tcPr>
            <w:tcW w:w="902" w:type="pct"/>
          </w:tcPr>
          <w:p w14:paraId="74396D4F" w14:textId="19C89CD6" w:rsidR="00E70E89" w:rsidRPr="00D01DDB" w:rsidRDefault="00050BD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29 December 2023</w:t>
            </w:r>
          </w:p>
        </w:tc>
        <w:tc>
          <w:tcPr>
            <w:tcW w:w="882" w:type="pct"/>
          </w:tcPr>
          <w:p w14:paraId="5A236064" w14:textId="1A30AB08" w:rsidR="00E70E89" w:rsidRPr="00D01DDB" w:rsidRDefault="00B028D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Under</w:t>
            </w:r>
            <w:r w:rsidRPr="00B028D3">
              <w:rPr>
                <w:rFonts w:eastAsiaTheme="minorHAnsi" w:cstheme="minorBidi"/>
                <w:color w:val="auto"/>
                <w:szCs w:val="22"/>
                <w:lang w:eastAsia="en-US"/>
              </w:rPr>
              <w:t xml:space="preserve"> </w:t>
            </w:r>
            <w:r w:rsidRPr="00B028D3">
              <w:rPr>
                <w:szCs w:val="22"/>
              </w:rPr>
              <w:t>consideration</w:t>
            </w:r>
          </w:p>
        </w:tc>
        <w:tc>
          <w:tcPr>
            <w:tcW w:w="2572" w:type="pct"/>
          </w:tcPr>
          <w:p w14:paraId="704CDEEB" w14:textId="77777777" w:rsidR="00854F6D" w:rsidRPr="00E52277" w:rsidRDefault="00854F6D" w:rsidP="0011739F">
            <w:pPr>
              <w:pStyle w:val="ListBullet"/>
              <w:cnfStyle w:val="000000000000" w:firstRow="0" w:lastRow="0" w:firstColumn="0" w:lastColumn="0" w:oddVBand="0" w:evenVBand="0" w:oddHBand="0" w:evenHBand="0" w:firstRowFirstColumn="0" w:firstRowLastColumn="0" w:lastRowFirstColumn="0" w:lastRowLastColumn="0"/>
              <w:rPr>
                <w:i/>
                <w:iCs/>
              </w:rPr>
            </w:pPr>
            <w:r w:rsidRPr="00E52277">
              <w:rPr>
                <w:i/>
                <w:iCs/>
              </w:rPr>
              <w:t>Treatment of postmenopausal women with osteoporosis at high risk for fracture.</w:t>
            </w:r>
          </w:p>
          <w:p w14:paraId="5010D1BC" w14:textId="77777777" w:rsidR="00854F6D" w:rsidRPr="00E52277" w:rsidRDefault="00854F6D" w:rsidP="0011739F">
            <w:pPr>
              <w:pStyle w:val="ListBullet"/>
              <w:cnfStyle w:val="000000000000" w:firstRow="0" w:lastRow="0" w:firstColumn="0" w:lastColumn="0" w:oddVBand="0" w:evenVBand="0" w:oddHBand="0" w:evenHBand="0" w:firstRowFirstColumn="0" w:firstRowLastColumn="0" w:lastRowFirstColumn="0" w:lastRowLastColumn="0"/>
              <w:rPr>
                <w:i/>
                <w:iCs/>
              </w:rPr>
            </w:pPr>
            <w:r w:rsidRPr="00E52277">
              <w:rPr>
                <w:i/>
                <w:iCs/>
              </w:rPr>
              <w:t>Treatment to increase bone mass in men with osteoporosis at high risk of fracture.</w:t>
            </w:r>
          </w:p>
          <w:p w14:paraId="7140D8ED" w14:textId="5914830D" w:rsidR="00854F6D" w:rsidRPr="00E52277" w:rsidRDefault="00C7124B" w:rsidP="0011739F">
            <w:pPr>
              <w:pStyle w:val="ListBullet"/>
              <w:cnfStyle w:val="000000000000" w:firstRow="0" w:lastRow="0" w:firstColumn="0" w:lastColumn="0" w:oddVBand="0" w:evenVBand="0" w:oddHBand="0" w:evenHBand="0" w:firstRowFirstColumn="0" w:firstRowLastColumn="0" w:lastRowFirstColumn="0" w:lastRowLastColumn="0"/>
              <w:rPr>
                <w:i/>
                <w:iCs/>
              </w:rPr>
            </w:pPr>
            <w:r w:rsidRPr="00E52277">
              <w:rPr>
                <w:i/>
                <w:iCs/>
              </w:rPr>
              <w:t>Treatment to increase bone mass in men with nonmet</w:t>
            </w:r>
            <w:r w:rsidR="006E37A6" w:rsidRPr="00E52277">
              <w:rPr>
                <w:i/>
                <w:iCs/>
              </w:rPr>
              <w:t>astatic prostate ca</w:t>
            </w:r>
            <w:r w:rsidR="00EA1733" w:rsidRPr="00E52277">
              <w:rPr>
                <w:i/>
                <w:iCs/>
              </w:rPr>
              <w:t>n</w:t>
            </w:r>
            <w:r w:rsidR="006E37A6" w:rsidRPr="00E52277">
              <w:rPr>
                <w:i/>
                <w:iCs/>
              </w:rPr>
              <w:t>cer receiving androgen deprivation therapy, who are at high risk of fracture</w:t>
            </w:r>
            <w:r w:rsidR="00EF2133" w:rsidRPr="00E52277">
              <w:rPr>
                <w:i/>
                <w:iCs/>
              </w:rPr>
              <w:t>.</w:t>
            </w:r>
          </w:p>
          <w:p w14:paraId="1171E1DF" w14:textId="726D4CEC" w:rsidR="00854F6D" w:rsidRPr="00E52277" w:rsidRDefault="00EF2133" w:rsidP="0011739F">
            <w:pPr>
              <w:pStyle w:val="ListBullet"/>
              <w:cnfStyle w:val="000000000000" w:firstRow="0" w:lastRow="0" w:firstColumn="0" w:lastColumn="0" w:oddVBand="0" w:evenVBand="0" w:oddHBand="0" w:evenHBand="0" w:firstRowFirstColumn="0" w:firstRowLastColumn="0" w:lastRowFirstColumn="0" w:lastRowLastColumn="0"/>
              <w:rPr>
                <w:i/>
                <w:iCs/>
              </w:rPr>
            </w:pPr>
            <w:r w:rsidRPr="00E52277">
              <w:rPr>
                <w:i/>
                <w:iCs/>
              </w:rPr>
              <w:t xml:space="preserve">Treatment to increase bone mass in women receiving adjuvant aromatase inhibitor therapy for </w:t>
            </w:r>
            <w:r w:rsidR="00CC5352" w:rsidRPr="00E52277">
              <w:rPr>
                <w:i/>
                <w:iCs/>
              </w:rPr>
              <w:t xml:space="preserve">nonmetastatic </w:t>
            </w:r>
            <w:r w:rsidRPr="00E52277">
              <w:rPr>
                <w:i/>
                <w:iCs/>
              </w:rPr>
              <w:t>breast cancer.</w:t>
            </w:r>
          </w:p>
          <w:p w14:paraId="1A35BD5D" w14:textId="0C59A187" w:rsidR="00E70E89" w:rsidRPr="00E52277" w:rsidRDefault="0011739F" w:rsidP="00BB5E80">
            <w:pPr>
              <w:pStyle w:val="ListBullet"/>
              <w:cnfStyle w:val="000000000000" w:firstRow="0" w:lastRow="0" w:firstColumn="0" w:lastColumn="0" w:oddVBand="0" w:evenVBand="0" w:oddHBand="0" w:evenHBand="0" w:firstRowFirstColumn="0" w:firstRowLastColumn="0" w:lastRowFirstColumn="0" w:lastRowLastColumn="0"/>
              <w:rPr>
                <w:i/>
                <w:iCs/>
                <w:szCs w:val="22"/>
              </w:rPr>
            </w:pPr>
            <w:r w:rsidRPr="00E52277">
              <w:rPr>
                <w:i/>
                <w:iCs/>
              </w:rPr>
              <w:t>Treatment</w:t>
            </w:r>
            <w:r w:rsidR="00986605" w:rsidRPr="00E52277">
              <w:rPr>
                <w:i/>
                <w:iCs/>
              </w:rPr>
              <w:t xml:space="preserve"> to increase bone mass for the treatment and prevention of </w:t>
            </w:r>
            <w:r w:rsidRPr="00E52277">
              <w:rPr>
                <w:i/>
                <w:iCs/>
              </w:rPr>
              <w:t xml:space="preserve">glucocorticoid-induced </w:t>
            </w:r>
            <w:r w:rsidR="00C55348" w:rsidRPr="00E52277">
              <w:rPr>
                <w:i/>
                <w:iCs/>
              </w:rPr>
              <w:t>osteoporosis</w:t>
            </w:r>
            <w:r w:rsidRPr="00E52277">
              <w:rPr>
                <w:i/>
                <w:iCs/>
              </w:rPr>
              <w:t xml:space="preserve"> in women </w:t>
            </w:r>
            <w:r w:rsidR="00C55348" w:rsidRPr="00E52277">
              <w:rPr>
                <w:i/>
                <w:iCs/>
              </w:rPr>
              <w:t xml:space="preserve">and men </w:t>
            </w:r>
            <w:r w:rsidRPr="00E52277">
              <w:rPr>
                <w:i/>
                <w:iCs/>
              </w:rPr>
              <w:t xml:space="preserve">at high risk for fracture. </w:t>
            </w:r>
          </w:p>
        </w:tc>
      </w:tr>
    </w:tbl>
    <w:p w14:paraId="06A22B1F" w14:textId="2665AC79" w:rsidR="00F12D6B" w:rsidRPr="00352196" w:rsidRDefault="00F12D6B" w:rsidP="00352196">
      <w:pPr>
        <w:pStyle w:val="TableTitle"/>
      </w:pPr>
      <w:bookmarkStart w:id="30" w:name="_Toc504480011"/>
      <w:bookmarkStart w:id="31" w:name="_Toc103679293"/>
      <w:r w:rsidRPr="00352196">
        <w:t xml:space="preserve">Table 2: International regulatory status of </w:t>
      </w:r>
      <w:r w:rsidR="0059587B" w:rsidRPr="00352196">
        <w:t>Osenvelt</w:t>
      </w:r>
    </w:p>
    <w:tbl>
      <w:tblPr>
        <w:tblStyle w:val="TableTGAblue2023"/>
        <w:tblW w:w="5082" w:type="pct"/>
        <w:tblLook w:val="04A0" w:firstRow="1" w:lastRow="0" w:firstColumn="1" w:lastColumn="0" w:noHBand="0" w:noVBand="1"/>
      </w:tblPr>
      <w:tblGrid>
        <w:gridCol w:w="1186"/>
        <w:gridCol w:w="1661"/>
        <w:gridCol w:w="1625"/>
        <w:gridCol w:w="4737"/>
      </w:tblGrid>
      <w:tr w:rsidR="00474D6B" w:rsidRPr="00F12D6B" w14:paraId="537C16E3" w14:textId="77777777" w:rsidTr="00C94E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 w:type="pct"/>
          </w:tcPr>
          <w:p w14:paraId="1AEBF729" w14:textId="77777777" w:rsidR="00474D6B" w:rsidRPr="00F12D6B" w:rsidRDefault="00474D6B" w:rsidP="00373930">
            <w:pPr>
              <w:keepNext w:val="0"/>
              <w:spacing w:before="0" w:after="120" w:line="259" w:lineRule="auto"/>
              <w:ind w:left="0"/>
              <w:rPr>
                <w:rFonts w:eastAsiaTheme="minorHAnsi" w:cstheme="minorBidi"/>
                <w:color w:val="1F3864" w:themeColor="accent1" w:themeShade="80"/>
                <w:szCs w:val="22"/>
                <w:lang w:eastAsia="en-US"/>
              </w:rPr>
            </w:pPr>
            <w:r w:rsidRPr="00F12D6B">
              <w:rPr>
                <w:rFonts w:eastAsiaTheme="minorHAnsi" w:cstheme="minorBidi"/>
                <w:color w:val="1F3864" w:themeColor="accent1" w:themeShade="80"/>
                <w:szCs w:val="22"/>
                <w:lang w:eastAsia="en-US"/>
              </w:rPr>
              <w:t>Region</w:t>
            </w:r>
          </w:p>
        </w:tc>
        <w:tc>
          <w:tcPr>
            <w:tcW w:w="902" w:type="pct"/>
          </w:tcPr>
          <w:p w14:paraId="69759444" w14:textId="77777777" w:rsidR="00474D6B" w:rsidRPr="00F12D6B" w:rsidRDefault="00474D6B" w:rsidP="00373930">
            <w:pPr>
              <w:keepNext w:val="0"/>
              <w:spacing w:before="0" w:after="120" w:line="259" w:lineRule="auto"/>
              <w:ind w:left="0"/>
              <w:cnfStyle w:val="100000000000" w:firstRow="1" w:lastRow="0" w:firstColumn="0" w:lastColumn="0" w:oddVBand="0" w:evenVBand="0" w:oddHBand="0" w:evenHBand="0" w:firstRowFirstColumn="0" w:firstRowLastColumn="0" w:lastRowFirstColumn="0" w:lastRowLastColumn="0"/>
              <w:rPr>
                <w:rFonts w:eastAsiaTheme="minorHAnsi" w:cstheme="minorBidi"/>
                <w:color w:val="1F3864" w:themeColor="accent1" w:themeShade="80"/>
                <w:szCs w:val="22"/>
                <w:lang w:eastAsia="en-US"/>
              </w:rPr>
            </w:pPr>
            <w:r w:rsidRPr="00F12D6B">
              <w:rPr>
                <w:rFonts w:eastAsiaTheme="minorHAnsi" w:cstheme="minorBidi"/>
                <w:color w:val="1F3864" w:themeColor="accent1" w:themeShade="80"/>
                <w:szCs w:val="22"/>
                <w:lang w:eastAsia="en-US"/>
              </w:rPr>
              <w:t>Submission date</w:t>
            </w:r>
          </w:p>
        </w:tc>
        <w:tc>
          <w:tcPr>
            <w:tcW w:w="882" w:type="pct"/>
          </w:tcPr>
          <w:p w14:paraId="5EC5F3A1" w14:textId="77777777" w:rsidR="00474D6B" w:rsidRPr="00F12D6B" w:rsidRDefault="00474D6B" w:rsidP="00373930">
            <w:pPr>
              <w:keepNext w:val="0"/>
              <w:spacing w:before="0" w:after="120" w:line="259" w:lineRule="auto"/>
              <w:ind w:left="0"/>
              <w:cnfStyle w:val="100000000000" w:firstRow="1" w:lastRow="0" w:firstColumn="0" w:lastColumn="0" w:oddVBand="0" w:evenVBand="0" w:oddHBand="0" w:evenHBand="0" w:firstRowFirstColumn="0" w:firstRowLastColumn="0" w:lastRowFirstColumn="0" w:lastRowLastColumn="0"/>
              <w:rPr>
                <w:rFonts w:eastAsiaTheme="minorHAnsi" w:cstheme="minorBidi"/>
                <w:color w:val="1F3864" w:themeColor="accent1" w:themeShade="80"/>
                <w:szCs w:val="22"/>
                <w:lang w:eastAsia="en-US"/>
              </w:rPr>
            </w:pPr>
            <w:r w:rsidRPr="00F12D6B">
              <w:rPr>
                <w:rFonts w:eastAsiaTheme="minorHAnsi" w:cstheme="minorBidi"/>
                <w:color w:val="1F3864" w:themeColor="accent1" w:themeShade="80"/>
                <w:szCs w:val="22"/>
                <w:lang w:eastAsia="en-US"/>
              </w:rPr>
              <w:t>Status</w:t>
            </w:r>
          </w:p>
        </w:tc>
        <w:tc>
          <w:tcPr>
            <w:tcW w:w="2572" w:type="pct"/>
          </w:tcPr>
          <w:p w14:paraId="6B205C26" w14:textId="77777777" w:rsidR="00474D6B" w:rsidRPr="00F12D6B" w:rsidRDefault="00474D6B" w:rsidP="00373930">
            <w:pPr>
              <w:keepNext w:val="0"/>
              <w:spacing w:before="0" w:after="120" w:line="259" w:lineRule="auto"/>
              <w:ind w:left="0"/>
              <w:cnfStyle w:val="100000000000" w:firstRow="1" w:lastRow="0" w:firstColumn="0" w:lastColumn="0" w:oddVBand="0" w:evenVBand="0" w:oddHBand="0" w:evenHBand="0" w:firstRowFirstColumn="0" w:firstRowLastColumn="0" w:lastRowFirstColumn="0" w:lastRowLastColumn="0"/>
              <w:rPr>
                <w:rFonts w:eastAsiaTheme="minorHAnsi" w:cstheme="minorBidi"/>
                <w:color w:val="1F3864" w:themeColor="accent1" w:themeShade="80"/>
                <w:szCs w:val="22"/>
                <w:lang w:eastAsia="en-US"/>
              </w:rPr>
            </w:pPr>
            <w:r w:rsidRPr="00F12D6B">
              <w:rPr>
                <w:rFonts w:eastAsiaTheme="minorHAnsi" w:cstheme="minorBidi"/>
                <w:color w:val="1F3864" w:themeColor="accent1" w:themeShade="80"/>
                <w:szCs w:val="22"/>
                <w:lang w:eastAsia="en-US"/>
              </w:rPr>
              <w:t>Approved indications</w:t>
            </w:r>
          </w:p>
        </w:tc>
      </w:tr>
      <w:tr w:rsidR="00C94EBC" w:rsidRPr="00F12D6B" w14:paraId="128F4A7E" w14:textId="77777777" w:rsidTr="00C94EBC">
        <w:tc>
          <w:tcPr>
            <w:cnfStyle w:val="001000000000" w:firstRow="0" w:lastRow="0" w:firstColumn="1" w:lastColumn="0" w:oddVBand="0" w:evenVBand="0" w:oddHBand="0" w:evenHBand="0" w:firstRowFirstColumn="0" w:firstRowLastColumn="0" w:lastRowFirstColumn="0" w:lastRowLastColumn="0"/>
            <w:tcW w:w="644" w:type="pct"/>
            <w:shd w:val="clear" w:color="auto" w:fill="auto"/>
          </w:tcPr>
          <w:p w14:paraId="5A86F0AF" w14:textId="5E429CB4" w:rsidR="00C94EBC" w:rsidRPr="00F12D6B" w:rsidRDefault="00C94EBC" w:rsidP="00C94EBC">
            <w:pPr>
              <w:rPr>
                <w:rFonts w:eastAsiaTheme="minorHAnsi" w:cstheme="minorBidi"/>
                <w:lang w:eastAsia="en-US"/>
              </w:rPr>
            </w:pPr>
            <w:r w:rsidRPr="00C94EBC">
              <w:t>USA (FDA)</w:t>
            </w:r>
          </w:p>
        </w:tc>
        <w:tc>
          <w:tcPr>
            <w:tcW w:w="902" w:type="pct"/>
            <w:shd w:val="clear" w:color="auto" w:fill="auto"/>
          </w:tcPr>
          <w:p w14:paraId="05CC4AD6" w14:textId="37CFE1DF" w:rsidR="00C94EBC" w:rsidRPr="00F12D6B" w:rsidRDefault="004F786E" w:rsidP="00C94EBC">
            <w:pPr>
              <w:cnfStyle w:val="000000000000" w:firstRow="0" w:lastRow="0" w:firstColumn="0" w:lastColumn="0" w:oddVBand="0" w:evenVBand="0" w:oddHBand="0" w:evenHBand="0" w:firstRowFirstColumn="0" w:firstRowLastColumn="0" w:lastRowFirstColumn="0" w:lastRowLastColumn="0"/>
              <w:rPr>
                <w:rFonts w:eastAsiaTheme="minorHAnsi" w:cstheme="minorBidi"/>
                <w:lang w:eastAsia="en-US"/>
              </w:rPr>
            </w:pPr>
            <w:r>
              <w:t>30 November 2025</w:t>
            </w:r>
          </w:p>
        </w:tc>
        <w:tc>
          <w:tcPr>
            <w:tcW w:w="882" w:type="pct"/>
            <w:shd w:val="clear" w:color="auto" w:fill="auto"/>
          </w:tcPr>
          <w:p w14:paraId="095F9E61" w14:textId="7959FDEF" w:rsidR="00C94EBC" w:rsidRPr="00F12D6B" w:rsidRDefault="00C94EBC" w:rsidP="00C94EBC">
            <w:pPr>
              <w:cnfStyle w:val="000000000000" w:firstRow="0" w:lastRow="0" w:firstColumn="0" w:lastColumn="0" w:oddVBand="0" w:evenVBand="0" w:oddHBand="0" w:evenHBand="0" w:firstRowFirstColumn="0" w:firstRowLastColumn="0" w:lastRowFirstColumn="0" w:lastRowLastColumn="0"/>
              <w:rPr>
                <w:rFonts w:eastAsiaTheme="minorHAnsi" w:cstheme="minorBidi"/>
                <w:lang w:eastAsia="en-US"/>
              </w:rPr>
            </w:pPr>
            <w:r w:rsidRPr="00C94EBC">
              <w:t>Under consideration</w:t>
            </w:r>
          </w:p>
        </w:tc>
        <w:tc>
          <w:tcPr>
            <w:tcW w:w="2572" w:type="pct"/>
            <w:shd w:val="clear" w:color="auto" w:fill="auto"/>
          </w:tcPr>
          <w:p w14:paraId="0C6FAC2B" w14:textId="77777777" w:rsidR="00C94EBC" w:rsidRPr="00E52277" w:rsidRDefault="00C94EBC" w:rsidP="00C94EBC">
            <w:pPr>
              <w:pStyle w:val="ListBullet"/>
              <w:cnfStyle w:val="000000000000" w:firstRow="0" w:lastRow="0" w:firstColumn="0" w:lastColumn="0" w:oddVBand="0" w:evenVBand="0" w:oddHBand="0" w:evenHBand="0" w:firstRowFirstColumn="0" w:firstRowLastColumn="0" w:lastRowFirstColumn="0" w:lastRowLastColumn="0"/>
              <w:rPr>
                <w:i/>
                <w:iCs/>
              </w:rPr>
            </w:pPr>
            <w:r w:rsidRPr="00E52277">
              <w:rPr>
                <w:i/>
                <w:iCs/>
              </w:rPr>
              <w:t>Prevention of skeletal-related events in patients with multiple myeloma and in patients with bone metastases from solid tumours.</w:t>
            </w:r>
          </w:p>
          <w:p w14:paraId="332CA84B" w14:textId="77777777" w:rsidR="00C94EBC" w:rsidRPr="00E52277" w:rsidRDefault="00C94EBC" w:rsidP="00C94EBC">
            <w:pPr>
              <w:pStyle w:val="ListBullet"/>
              <w:cnfStyle w:val="000000000000" w:firstRow="0" w:lastRow="0" w:firstColumn="0" w:lastColumn="0" w:oddVBand="0" w:evenVBand="0" w:oddHBand="0" w:evenHBand="0" w:firstRowFirstColumn="0" w:firstRowLastColumn="0" w:lastRowFirstColumn="0" w:lastRowLastColumn="0"/>
              <w:rPr>
                <w:i/>
                <w:iCs/>
              </w:rPr>
            </w:pPr>
            <w:r w:rsidRPr="00E52277">
              <w:rPr>
                <w:i/>
                <w:iCs/>
              </w:rPr>
              <w:t>Treatment of adults and skeletally mature adolescents with giant cell tumour of bone that is unresectable, or where surgical resection is likely to result in severe morbidity.</w:t>
            </w:r>
          </w:p>
          <w:p w14:paraId="4AA40CE3" w14:textId="53410156" w:rsidR="00F12D6B" w:rsidRPr="00E52277" w:rsidRDefault="00C94EBC" w:rsidP="00C94EBC">
            <w:pPr>
              <w:pStyle w:val="ListBullet"/>
              <w:cnfStyle w:val="000000000000" w:firstRow="0" w:lastRow="0" w:firstColumn="0" w:lastColumn="0" w:oddVBand="0" w:evenVBand="0" w:oddHBand="0" w:evenHBand="0" w:firstRowFirstColumn="0" w:firstRowLastColumn="0" w:lastRowFirstColumn="0" w:lastRowLastColumn="0"/>
              <w:rPr>
                <w:rFonts w:eastAsiaTheme="minorHAnsi" w:cstheme="minorBidi"/>
                <w:i/>
                <w:iCs/>
                <w:lang w:eastAsia="en-US"/>
              </w:rPr>
            </w:pPr>
            <w:r w:rsidRPr="00E52277">
              <w:rPr>
                <w:i/>
                <w:iCs/>
              </w:rPr>
              <w:t>Treatment of hypercalcaemia of malignancy refractory to bisphosphonate therapy.</w:t>
            </w:r>
          </w:p>
        </w:tc>
      </w:tr>
      <w:tr w:rsidR="00C94EBC" w:rsidRPr="00F12D6B" w14:paraId="23FAA374" w14:textId="77777777" w:rsidTr="00C94EBC">
        <w:tc>
          <w:tcPr>
            <w:cnfStyle w:val="001000000000" w:firstRow="0" w:lastRow="0" w:firstColumn="1" w:lastColumn="0" w:oddVBand="0" w:evenVBand="0" w:oddHBand="0" w:evenHBand="0" w:firstRowFirstColumn="0" w:firstRowLastColumn="0" w:lastRowFirstColumn="0" w:lastRowLastColumn="0"/>
            <w:tcW w:w="644" w:type="pct"/>
          </w:tcPr>
          <w:p w14:paraId="1E297813" w14:textId="7FDD3401" w:rsidR="00C94EBC" w:rsidRPr="00F12D6B" w:rsidRDefault="00C94EBC" w:rsidP="00C94EBC">
            <w:pPr>
              <w:spacing w:before="0" w:after="120" w:line="259" w:lineRule="auto"/>
              <w:ind w:left="0"/>
              <w:rPr>
                <w:rFonts w:eastAsiaTheme="minorHAnsi" w:cstheme="minorBidi"/>
                <w:color w:val="auto"/>
                <w:szCs w:val="22"/>
                <w:lang w:eastAsia="en-US"/>
              </w:rPr>
            </w:pPr>
            <w:r w:rsidRPr="00872B84">
              <w:rPr>
                <w:szCs w:val="22"/>
              </w:rPr>
              <w:t>Republic of Korea</w:t>
            </w:r>
          </w:p>
        </w:tc>
        <w:tc>
          <w:tcPr>
            <w:tcW w:w="902" w:type="pct"/>
          </w:tcPr>
          <w:p w14:paraId="37F04280" w14:textId="7BD4E05E" w:rsidR="00C94EBC" w:rsidRPr="00F12D6B" w:rsidRDefault="00396455" w:rsidP="00C94EBC">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2"/>
                <w:lang w:eastAsia="en-US"/>
              </w:rPr>
            </w:pPr>
            <w:r>
              <w:rPr>
                <w:rFonts w:eastAsiaTheme="minorHAnsi" w:cstheme="minorBidi"/>
                <w:color w:val="auto"/>
                <w:szCs w:val="22"/>
                <w:lang w:eastAsia="en-US"/>
              </w:rPr>
              <w:t>29 December 2023</w:t>
            </w:r>
          </w:p>
        </w:tc>
        <w:tc>
          <w:tcPr>
            <w:tcW w:w="882" w:type="pct"/>
          </w:tcPr>
          <w:p w14:paraId="1733FAED" w14:textId="6085A688" w:rsidR="00C94EBC" w:rsidRPr="00F12D6B" w:rsidRDefault="00C94EBC" w:rsidP="00C94EBC">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2"/>
                <w:lang w:eastAsia="en-US"/>
              </w:rPr>
            </w:pPr>
            <w:r w:rsidRPr="00872B84">
              <w:rPr>
                <w:szCs w:val="22"/>
              </w:rPr>
              <w:t>Under consideration</w:t>
            </w:r>
          </w:p>
        </w:tc>
        <w:tc>
          <w:tcPr>
            <w:tcW w:w="2572" w:type="pct"/>
          </w:tcPr>
          <w:p w14:paraId="02528C2C" w14:textId="77777777" w:rsidR="00C94EBC" w:rsidRPr="00E52277" w:rsidRDefault="00C94EBC" w:rsidP="00396455">
            <w:pPr>
              <w:pStyle w:val="ListBullet"/>
              <w:cnfStyle w:val="000000000000" w:firstRow="0" w:lastRow="0" w:firstColumn="0" w:lastColumn="0" w:oddVBand="0" w:evenVBand="0" w:oddHBand="0" w:evenHBand="0" w:firstRowFirstColumn="0" w:firstRowLastColumn="0" w:lastRowFirstColumn="0" w:lastRowLastColumn="0"/>
              <w:rPr>
                <w:i/>
                <w:iCs/>
              </w:rPr>
            </w:pPr>
            <w:r w:rsidRPr="00E52277">
              <w:rPr>
                <w:i/>
                <w:iCs/>
              </w:rPr>
              <w:t>Prevention of skeletal-related events in patients with multiple myeloma and in patients with bone metastases from solid tumours.</w:t>
            </w:r>
          </w:p>
          <w:p w14:paraId="38D023D0" w14:textId="33D82284" w:rsidR="00F12D6B" w:rsidRPr="00E52277" w:rsidRDefault="00C94EBC" w:rsidP="00396455">
            <w:pPr>
              <w:pStyle w:val="ListBullet"/>
              <w:cnfStyle w:val="000000000000" w:firstRow="0" w:lastRow="0" w:firstColumn="0" w:lastColumn="0" w:oddVBand="0" w:evenVBand="0" w:oddHBand="0" w:evenHBand="0" w:firstRowFirstColumn="0" w:firstRowLastColumn="0" w:lastRowFirstColumn="0" w:lastRowLastColumn="0"/>
              <w:rPr>
                <w:rFonts w:eastAsiaTheme="minorHAnsi" w:cstheme="minorBidi"/>
                <w:i/>
                <w:iCs/>
                <w:color w:val="auto"/>
                <w:lang w:eastAsia="en-US"/>
              </w:rPr>
            </w:pPr>
            <w:r w:rsidRPr="00E52277">
              <w:rPr>
                <w:i/>
                <w:iCs/>
              </w:rPr>
              <w:t>Treatment of adults and skeletally mature adolescents with giant cell tumour of bone that is unresectable, or where surgical resection is likely to result in severe morbidity.</w:t>
            </w:r>
          </w:p>
        </w:tc>
      </w:tr>
      <w:tr w:rsidR="00C94EBC" w:rsidRPr="00F12D6B" w14:paraId="4F2D80A8" w14:textId="77777777" w:rsidTr="00C94EBC">
        <w:tc>
          <w:tcPr>
            <w:cnfStyle w:val="001000000000" w:firstRow="0" w:lastRow="0" w:firstColumn="1" w:lastColumn="0" w:oddVBand="0" w:evenVBand="0" w:oddHBand="0" w:evenHBand="0" w:firstRowFirstColumn="0" w:firstRowLastColumn="0" w:lastRowFirstColumn="0" w:lastRowLastColumn="0"/>
            <w:tcW w:w="644" w:type="pct"/>
          </w:tcPr>
          <w:p w14:paraId="615D5827" w14:textId="05B0F415" w:rsidR="00C94EBC" w:rsidRPr="00F12D6B" w:rsidRDefault="00C94EBC" w:rsidP="00C94EBC">
            <w:pPr>
              <w:spacing w:before="0" w:after="120" w:line="259" w:lineRule="auto"/>
              <w:ind w:left="0"/>
              <w:rPr>
                <w:rFonts w:eastAsiaTheme="minorHAnsi" w:cstheme="minorBidi"/>
                <w:color w:val="auto"/>
                <w:szCs w:val="22"/>
                <w:lang w:eastAsia="en-US"/>
              </w:rPr>
            </w:pPr>
            <w:r w:rsidRPr="00872B84">
              <w:rPr>
                <w:szCs w:val="22"/>
              </w:rPr>
              <w:lastRenderedPageBreak/>
              <w:t>Health Canada</w:t>
            </w:r>
          </w:p>
        </w:tc>
        <w:tc>
          <w:tcPr>
            <w:tcW w:w="902" w:type="pct"/>
          </w:tcPr>
          <w:p w14:paraId="550BC727" w14:textId="75F1AED7" w:rsidR="00C94EBC" w:rsidRPr="00F12D6B" w:rsidRDefault="00396455" w:rsidP="00C94EBC">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2"/>
                <w:lang w:eastAsia="en-US"/>
              </w:rPr>
            </w:pPr>
            <w:r>
              <w:rPr>
                <w:szCs w:val="22"/>
              </w:rPr>
              <w:t>29 December 2023</w:t>
            </w:r>
          </w:p>
        </w:tc>
        <w:tc>
          <w:tcPr>
            <w:tcW w:w="882" w:type="pct"/>
          </w:tcPr>
          <w:p w14:paraId="3FE40E17" w14:textId="7041FBD1" w:rsidR="00C94EBC" w:rsidRPr="00F12D6B" w:rsidRDefault="00C94EBC" w:rsidP="00C94EBC">
            <w:pPr>
              <w:spacing w:before="0" w:after="120" w:line="259" w:lineRule="auto"/>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2"/>
                <w:lang w:eastAsia="en-US"/>
              </w:rPr>
            </w:pPr>
            <w:r w:rsidRPr="00872B84">
              <w:rPr>
                <w:szCs w:val="22"/>
              </w:rPr>
              <w:t>Under consideration</w:t>
            </w:r>
          </w:p>
        </w:tc>
        <w:tc>
          <w:tcPr>
            <w:tcW w:w="2572" w:type="pct"/>
          </w:tcPr>
          <w:p w14:paraId="2E667631" w14:textId="77777777" w:rsidR="00C94EBC" w:rsidRPr="00E52277" w:rsidRDefault="00C94EBC" w:rsidP="00396455">
            <w:pPr>
              <w:pStyle w:val="ListBullet"/>
              <w:cnfStyle w:val="000000000000" w:firstRow="0" w:lastRow="0" w:firstColumn="0" w:lastColumn="0" w:oddVBand="0" w:evenVBand="0" w:oddHBand="0" w:evenHBand="0" w:firstRowFirstColumn="0" w:firstRowLastColumn="0" w:lastRowFirstColumn="0" w:lastRowLastColumn="0"/>
              <w:rPr>
                <w:i/>
                <w:iCs/>
              </w:rPr>
            </w:pPr>
            <w:r w:rsidRPr="00E52277">
              <w:rPr>
                <w:i/>
                <w:iCs/>
              </w:rPr>
              <w:t>Reducing the risk of developing skeletal-related events in patients with multiple myeloma and in patients with bone metastases from breast cancer, prostate cancer, non-small cell lung cancer, and other solid tumours.</w:t>
            </w:r>
          </w:p>
          <w:p w14:paraId="2BD0F39E" w14:textId="77777777" w:rsidR="00C94EBC" w:rsidRPr="00E52277" w:rsidRDefault="00C94EBC" w:rsidP="00396455">
            <w:pPr>
              <w:pStyle w:val="ListBullet"/>
              <w:cnfStyle w:val="000000000000" w:firstRow="0" w:lastRow="0" w:firstColumn="0" w:lastColumn="0" w:oddVBand="0" w:evenVBand="0" w:oddHBand="0" w:evenHBand="0" w:firstRowFirstColumn="0" w:firstRowLastColumn="0" w:lastRowFirstColumn="0" w:lastRowLastColumn="0"/>
              <w:rPr>
                <w:i/>
                <w:iCs/>
              </w:rPr>
            </w:pPr>
            <w:r w:rsidRPr="00E52277">
              <w:rPr>
                <w:i/>
                <w:iCs/>
              </w:rPr>
              <w:t>Treatment of adults and skeletally mature adolescents with giant cell tumour of bone that is unresectable, or where surgical resection is likely to result in severe morbidity.</w:t>
            </w:r>
          </w:p>
          <w:p w14:paraId="65AA3E86" w14:textId="13183BE9" w:rsidR="00C94EBC" w:rsidRPr="00E52277" w:rsidRDefault="00C94EBC" w:rsidP="00A16276">
            <w:pPr>
              <w:pStyle w:val="ListBullet"/>
              <w:cnfStyle w:val="000000000000" w:firstRow="0" w:lastRow="0" w:firstColumn="0" w:lastColumn="0" w:oddVBand="0" w:evenVBand="0" w:oddHBand="0" w:evenHBand="0" w:firstRowFirstColumn="0" w:firstRowLastColumn="0" w:lastRowFirstColumn="0" w:lastRowLastColumn="0"/>
              <w:rPr>
                <w:rFonts w:eastAsiaTheme="minorHAnsi" w:cstheme="minorBidi"/>
                <w:i/>
                <w:iCs/>
                <w:color w:val="auto"/>
                <w:szCs w:val="22"/>
                <w:lang w:eastAsia="en-US"/>
              </w:rPr>
            </w:pPr>
            <w:r w:rsidRPr="00E52277">
              <w:rPr>
                <w:i/>
                <w:iCs/>
              </w:rPr>
              <w:t>Treatment of hypercalcaemia of malignancy that is refractory to intravenous bisphosphonate.</w:t>
            </w:r>
          </w:p>
        </w:tc>
      </w:tr>
    </w:tbl>
    <w:p w14:paraId="6D92589C" w14:textId="4A0FAE9C" w:rsidR="00324B33" w:rsidRDefault="00324B33" w:rsidP="00324B33">
      <w:pPr>
        <w:pStyle w:val="Heading2"/>
      </w:pPr>
      <w:bookmarkStart w:id="32" w:name="_Toc215235752"/>
      <w:r>
        <w:t>Registration timeline</w:t>
      </w:r>
      <w:bookmarkEnd w:id="30"/>
      <w:bookmarkEnd w:id="31"/>
      <w:bookmarkEnd w:id="32"/>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25" w:history="1">
        <w:r w:rsidRPr="00BD5DBD">
          <w:rPr>
            <w:rStyle w:val="Hyperlink"/>
            <w:szCs w:val="22"/>
          </w:rPr>
          <w:t>standard prescription medicines registration process</w:t>
        </w:r>
      </w:hyperlink>
      <w:r w:rsidRPr="00BD5DBD">
        <w:rPr>
          <w:szCs w:val="22"/>
        </w:rPr>
        <w:t>.</w:t>
      </w:r>
    </w:p>
    <w:p w14:paraId="44628C5F" w14:textId="0EBB1B73" w:rsidR="00324B33" w:rsidRPr="00352196" w:rsidRDefault="00324B33" w:rsidP="00352196">
      <w:pPr>
        <w:pStyle w:val="TableTitle"/>
      </w:pPr>
      <w:r w:rsidRPr="00352196">
        <w:t xml:space="preserve">Table </w:t>
      </w:r>
      <w:r w:rsidR="00352196" w:rsidRPr="00352196">
        <w:t>3</w:t>
      </w:r>
      <w:r w:rsidRPr="00352196">
        <w:t>: Timeline for Submission PM-202</w:t>
      </w:r>
      <w:r w:rsidR="00D635E7" w:rsidRPr="00352196">
        <w:t>4</w:t>
      </w:r>
      <w:r w:rsidRPr="00352196">
        <w:t>-</w:t>
      </w:r>
      <w:r w:rsidR="00D635E7" w:rsidRPr="00352196">
        <w:t>00632-1</w:t>
      </w:r>
      <w:r w:rsidR="00DB7733" w:rsidRPr="00352196">
        <w:t>-5</w:t>
      </w:r>
    </w:p>
    <w:tbl>
      <w:tblPr>
        <w:tblStyle w:val="TableTGAblue2023"/>
        <w:tblW w:w="8642" w:type="dxa"/>
        <w:tblLook w:val="04A0" w:firstRow="1" w:lastRow="0" w:firstColumn="1" w:lastColumn="0" w:noHBand="0" w:noVBand="1"/>
      </w:tblPr>
      <w:tblGrid>
        <w:gridCol w:w="6374"/>
        <w:gridCol w:w="2268"/>
      </w:tblGrid>
      <w:tr w:rsidR="00324B33" w:rsidRPr="00D01DDB" w14:paraId="6C59BE9C" w14:textId="77777777" w:rsidTr="00E96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6D80E78" w14:textId="3EC0CCAF" w:rsidR="00324B33" w:rsidRPr="00D01DDB" w:rsidRDefault="00324B33" w:rsidP="00324B33">
            <w:pPr>
              <w:rPr>
                <w:szCs w:val="22"/>
              </w:rPr>
            </w:pPr>
            <w:r w:rsidRPr="00D01DDB">
              <w:rPr>
                <w:szCs w:val="22"/>
              </w:rPr>
              <w:t>Description</w:t>
            </w:r>
          </w:p>
        </w:tc>
        <w:tc>
          <w:tcPr>
            <w:tcW w:w="2268"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E96159">
        <w:tc>
          <w:tcPr>
            <w:cnfStyle w:val="001000000000" w:firstRow="0" w:lastRow="0" w:firstColumn="1" w:lastColumn="0" w:oddVBand="0" w:evenVBand="0" w:oddHBand="0" w:evenHBand="0" w:firstRowFirstColumn="0" w:firstRowLastColumn="0" w:lastRowFirstColumn="0" w:lastRowLastColumn="0"/>
            <w:tcW w:w="6374" w:type="dxa"/>
          </w:tcPr>
          <w:p w14:paraId="759D2A12" w14:textId="0D705F83" w:rsidR="00324B33" w:rsidRPr="00E679D1" w:rsidRDefault="00324B33" w:rsidP="00E679D1">
            <w:r w:rsidRPr="00E679D1">
              <w:t>Submission dossier accepted and first round evaluation commenced</w:t>
            </w:r>
          </w:p>
        </w:tc>
        <w:tc>
          <w:tcPr>
            <w:tcW w:w="2268" w:type="dxa"/>
          </w:tcPr>
          <w:p w14:paraId="2963D9D8" w14:textId="363F8C29" w:rsidR="00324B33" w:rsidRPr="00D01DDB" w:rsidRDefault="00050CB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 April 2024</w:t>
            </w:r>
          </w:p>
        </w:tc>
      </w:tr>
      <w:tr w:rsidR="00803926" w:rsidRPr="00D01DDB" w14:paraId="16D13F79" w14:textId="77777777" w:rsidTr="00E96159">
        <w:tc>
          <w:tcPr>
            <w:cnfStyle w:val="001000000000" w:firstRow="0" w:lastRow="0" w:firstColumn="1" w:lastColumn="0" w:oddVBand="0" w:evenVBand="0" w:oddHBand="0" w:evenHBand="0" w:firstRowFirstColumn="0" w:firstRowLastColumn="0" w:lastRowFirstColumn="0" w:lastRowLastColumn="0"/>
            <w:tcW w:w="6374" w:type="dxa"/>
          </w:tcPr>
          <w:p w14:paraId="6858B45A" w14:textId="615A218B" w:rsidR="00803926" w:rsidRPr="00E679D1" w:rsidDel="00C62B1C" w:rsidRDefault="00803926" w:rsidP="00E679D1">
            <w:r>
              <w:t>Evaluation completed</w:t>
            </w:r>
            <w:r w:rsidR="005775D0">
              <w:t xml:space="preserve"> (End of round </w:t>
            </w:r>
            <w:r w:rsidR="00C00844">
              <w:t>2)</w:t>
            </w:r>
          </w:p>
        </w:tc>
        <w:tc>
          <w:tcPr>
            <w:tcW w:w="2268" w:type="dxa"/>
          </w:tcPr>
          <w:p w14:paraId="2E0BD403" w14:textId="70EEB0BC" w:rsidR="00803926" w:rsidRPr="00D01DDB" w:rsidRDefault="00DE2C7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w:t>
            </w:r>
            <w:r w:rsidR="008360CE">
              <w:rPr>
                <w:szCs w:val="22"/>
              </w:rPr>
              <w:t xml:space="preserve"> December 2024</w:t>
            </w:r>
          </w:p>
        </w:tc>
      </w:tr>
      <w:tr w:rsidR="00324B33" w:rsidRPr="00D01DDB" w14:paraId="6E5D32FE" w14:textId="77777777" w:rsidTr="00E96159">
        <w:tc>
          <w:tcPr>
            <w:cnfStyle w:val="001000000000" w:firstRow="0" w:lastRow="0" w:firstColumn="1" w:lastColumn="0" w:oddVBand="0" w:evenVBand="0" w:oddHBand="0" w:evenHBand="0" w:firstRowFirstColumn="0" w:firstRowLastColumn="0" w:lastRowFirstColumn="0" w:lastRowLastColumn="0"/>
            <w:tcW w:w="6374" w:type="dxa"/>
          </w:tcPr>
          <w:p w14:paraId="4E95C44C" w14:textId="7A91C710" w:rsidR="00324B33" w:rsidRPr="00E679D1" w:rsidRDefault="00324B33" w:rsidP="00E679D1">
            <w:r w:rsidRPr="00E679D1">
              <w:t>Registration decision (Outcome)</w:t>
            </w:r>
          </w:p>
        </w:tc>
        <w:tc>
          <w:tcPr>
            <w:tcW w:w="2268" w:type="dxa"/>
          </w:tcPr>
          <w:p w14:paraId="62987ABD" w14:textId="0E4D0CC6" w:rsidR="00324B33" w:rsidRPr="00D01DDB" w:rsidRDefault="00551B3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28 March 2025</w:t>
            </w:r>
          </w:p>
        </w:tc>
      </w:tr>
      <w:tr w:rsidR="00324B33" w:rsidRPr="00D01DDB" w14:paraId="6DDCDDA4" w14:textId="77777777" w:rsidTr="00E96159">
        <w:tc>
          <w:tcPr>
            <w:cnfStyle w:val="001000000000" w:firstRow="0" w:lastRow="0" w:firstColumn="1" w:lastColumn="0" w:oddVBand="0" w:evenVBand="0" w:oddHBand="0" w:evenHBand="0" w:firstRowFirstColumn="0" w:firstRowLastColumn="0" w:lastRowFirstColumn="0" w:lastRowLastColumn="0"/>
            <w:tcW w:w="6374" w:type="dxa"/>
          </w:tcPr>
          <w:p w14:paraId="192FD19D" w14:textId="3FD1C3D6" w:rsidR="00324B33" w:rsidRPr="00E679D1" w:rsidRDefault="0013132F" w:rsidP="007311B9">
            <w:pPr>
              <w:ind w:left="0"/>
            </w:pPr>
            <w:r w:rsidRPr="00E679D1">
              <w:t xml:space="preserve"> </w:t>
            </w:r>
            <w:r w:rsidR="00C00844">
              <w:t>R</w:t>
            </w:r>
            <w:r w:rsidRPr="00E679D1">
              <w:t xml:space="preserve">egistration </w:t>
            </w:r>
            <w:r w:rsidR="005C4B46" w:rsidRPr="00E679D1">
              <w:t xml:space="preserve">in </w:t>
            </w:r>
            <w:r w:rsidRPr="00E679D1">
              <w:t>the ARTG completed</w:t>
            </w:r>
          </w:p>
        </w:tc>
        <w:tc>
          <w:tcPr>
            <w:tcW w:w="2268" w:type="dxa"/>
          </w:tcPr>
          <w:p w14:paraId="5A8923FD" w14:textId="428D47EF" w:rsidR="00324B33" w:rsidRPr="00D01DDB" w:rsidRDefault="00A1627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4 April 2025</w:t>
            </w:r>
          </w:p>
        </w:tc>
      </w:tr>
      <w:tr w:rsidR="00324B33" w:rsidRPr="00D01DDB" w14:paraId="56D922E2" w14:textId="77777777" w:rsidTr="00E96159">
        <w:tc>
          <w:tcPr>
            <w:cnfStyle w:val="001000000000" w:firstRow="0" w:lastRow="0" w:firstColumn="1" w:lastColumn="0" w:oddVBand="0" w:evenVBand="0" w:oddHBand="0" w:evenHBand="0" w:firstRowFirstColumn="0" w:firstRowLastColumn="0" w:lastRowFirstColumn="0" w:lastRowLastColumn="0"/>
            <w:tcW w:w="6374" w:type="dxa"/>
          </w:tcPr>
          <w:p w14:paraId="787FD8DD" w14:textId="0E0CF97F" w:rsidR="00324B33" w:rsidRPr="00E679D1" w:rsidRDefault="00324B33" w:rsidP="00E679D1">
            <w:r w:rsidRPr="00E679D1">
              <w:t>Number of working days from submission dossier acceptance to registration decision*</w:t>
            </w:r>
          </w:p>
        </w:tc>
        <w:tc>
          <w:tcPr>
            <w:tcW w:w="2268" w:type="dxa"/>
          </w:tcPr>
          <w:p w14:paraId="5BAF9FA1" w14:textId="0B59CE68" w:rsidR="00324B33" w:rsidRPr="00D01DDB" w:rsidRDefault="00551B3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203</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5C7430A" w:rsidR="00C22214" w:rsidRPr="00792A32" w:rsidRDefault="00083763" w:rsidP="00C22214">
      <w:pPr>
        <w:pStyle w:val="Heading2"/>
      </w:pPr>
      <w:bookmarkStart w:id="33" w:name="_Toc215235753"/>
      <w:bookmarkStart w:id="34" w:name="_Toc196046504"/>
      <w:bookmarkStart w:id="35" w:name="_Toc247691527"/>
      <w:bookmarkStart w:id="36" w:name="_Toc314842510"/>
      <w:bookmarkStart w:id="37" w:name="_Toc103679294"/>
      <w:r>
        <w:t xml:space="preserve">Assessment </w:t>
      </w:r>
      <w:r w:rsidR="00C22214" w:rsidRPr="00006FAB">
        <w:t>overview</w:t>
      </w:r>
      <w:bookmarkEnd w:id="33"/>
      <w:r w:rsidR="00C22214" w:rsidRPr="00006FAB">
        <w:t xml:space="preserve"> </w:t>
      </w:r>
      <w:bookmarkEnd w:id="34"/>
      <w:bookmarkEnd w:id="35"/>
      <w:bookmarkEnd w:id="36"/>
      <w:bookmarkEnd w:id="37"/>
    </w:p>
    <w:p w14:paraId="540151FC" w14:textId="77777777" w:rsidR="00C22214" w:rsidRPr="00BD5DBD" w:rsidRDefault="00C22214" w:rsidP="00BD5DBD">
      <w:pPr>
        <w:rPr>
          <w:szCs w:val="22"/>
        </w:rPr>
      </w:pPr>
      <w:bookmarkStart w:id="38" w:name="_Toc247691528"/>
      <w:bookmarkStart w:id="39" w:name="_Toc314842511"/>
      <w:r w:rsidRPr="00BD5DBD">
        <w:rPr>
          <w:szCs w:val="22"/>
        </w:rPr>
        <w:t>A summary of the TGA’s assessment for this submission is provided below.</w:t>
      </w:r>
    </w:p>
    <w:p w14:paraId="37F5A1C0" w14:textId="5D3D5FE0" w:rsidR="00C22214" w:rsidRDefault="00095C6A" w:rsidP="00C22214">
      <w:pPr>
        <w:pStyle w:val="Heading3"/>
      </w:pPr>
      <w:bookmarkStart w:id="40" w:name="_Toc103679295"/>
      <w:bookmarkStart w:id="41" w:name="_Toc215235754"/>
      <w:r>
        <w:t>Q</w:t>
      </w:r>
      <w:r w:rsidR="00C22214">
        <w:t>uality</w:t>
      </w:r>
      <w:bookmarkEnd w:id="38"/>
      <w:bookmarkEnd w:id="39"/>
      <w:bookmarkEnd w:id="40"/>
      <w:r w:rsidR="007E6443">
        <w:t xml:space="preserve"> </w:t>
      </w:r>
      <w:r w:rsidR="007E6443" w:rsidRPr="003C3409">
        <w:t>evaluation</w:t>
      </w:r>
      <w:r w:rsidRPr="003C3409">
        <w:t xml:space="preserve"> summary</w:t>
      </w:r>
      <w:bookmarkEnd w:id="41"/>
    </w:p>
    <w:p w14:paraId="282AE9DE" w14:textId="5B3D088D" w:rsidR="00C14A03" w:rsidRPr="00C14A03" w:rsidRDefault="00CC3B7C" w:rsidP="00AD3CBB">
      <w:r w:rsidRPr="00CC3B7C">
        <w:t>Denosumab</w:t>
      </w:r>
      <w:r w:rsidR="00C14A03" w:rsidRPr="00C14A03">
        <w:t xml:space="preserve"> is a human monoclonal IgG2 antibody, </w:t>
      </w:r>
      <w:r w:rsidR="00C14A03" w:rsidRPr="00C14A03">
        <w:rPr>
          <w:lang w:val="en-GB"/>
        </w:rPr>
        <w:t>that targets and binds with high affinity and specificity to RANKL, a transmembrane or soluble protein essential for the formation, function, and survival of osteoclasts, the cells responsible for bone resorption.</w:t>
      </w:r>
    </w:p>
    <w:p w14:paraId="5F6A7B49" w14:textId="6096DB61" w:rsidR="006A327B" w:rsidRPr="006A327B" w:rsidRDefault="006A327B" w:rsidP="00AD3CBB">
      <w:r w:rsidRPr="006A327B">
        <w:lastRenderedPageBreak/>
        <w:t xml:space="preserve">During the development of </w:t>
      </w:r>
      <w:r w:rsidR="00250BA6">
        <w:t>Stoboclo</w:t>
      </w:r>
      <w:r w:rsidRPr="006A327B">
        <w:t>, US P</w:t>
      </w:r>
      <w:r w:rsidR="00A21ABB">
        <w:t>rolia</w:t>
      </w:r>
      <w:r w:rsidRPr="006A327B">
        <w:t xml:space="preserve"> was used as the main reference product to demonstrate </w:t>
      </w:r>
      <w:r w:rsidR="00A21ABB" w:rsidRPr="006A327B">
        <w:t>bio</w:t>
      </w:r>
      <w:r w:rsidR="00A21ABB">
        <w:t>-</w:t>
      </w:r>
      <w:r w:rsidR="00A21ABB" w:rsidRPr="006A327B">
        <w:t>similarity</w:t>
      </w:r>
      <w:r w:rsidRPr="006A327B">
        <w:t xml:space="preserve"> in terms of quality and non-clinical comparability exercise. An additional bridging comparability study was performed between the US and AU P</w:t>
      </w:r>
      <w:r w:rsidR="00A21ABB">
        <w:t>rolia</w:t>
      </w:r>
      <w:r w:rsidRPr="006A327B">
        <w:t xml:space="preserve"> to present US P</w:t>
      </w:r>
      <w:r w:rsidR="00A21ABB">
        <w:t>rolia</w:t>
      </w:r>
      <w:r w:rsidRPr="006A327B">
        <w:t xml:space="preserve"> as representative of the Australian registered product (AU P</w:t>
      </w:r>
      <w:r w:rsidR="00A21ABB">
        <w:t>rolia</w:t>
      </w:r>
      <w:r w:rsidRPr="006A327B">
        <w:t xml:space="preserve">). </w:t>
      </w:r>
    </w:p>
    <w:p w14:paraId="130897A2" w14:textId="7A7E5C51" w:rsidR="006A327B" w:rsidRPr="006A327B" w:rsidRDefault="006A327B" w:rsidP="00AD3CBB">
      <w:r w:rsidRPr="006A327B">
        <w:t xml:space="preserve">During the development of </w:t>
      </w:r>
      <w:r w:rsidR="00250BA6">
        <w:t>Osenvelt</w:t>
      </w:r>
      <w:r w:rsidRPr="006A327B">
        <w:t>, US X</w:t>
      </w:r>
      <w:r w:rsidR="00A21ABB">
        <w:t>geva</w:t>
      </w:r>
      <w:r w:rsidRPr="006A327B">
        <w:t xml:space="preserve"> was used as the main reference product to demonstrate bio</w:t>
      </w:r>
      <w:r w:rsidR="00A21ABB">
        <w:t>-</w:t>
      </w:r>
      <w:r w:rsidRPr="006A327B">
        <w:t>similarity in terms of quality and non-clinical comparability exercise. An additional bridging comparability study was performed between the US and AU X</w:t>
      </w:r>
      <w:r w:rsidR="00407E5A">
        <w:t>geva</w:t>
      </w:r>
      <w:r w:rsidRPr="006A327B">
        <w:t xml:space="preserve"> to present US X</w:t>
      </w:r>
      <w:r w:rsidR="00407E5A">
        <w:t>geva</w:t>
      </w:r>
      <w:r w:rsidRPr="006A327B">
        <w:t xml:space="preserve"> as representative of the Australian registered product (AU X</w:t>
      </w:r>
      <w:r w:rsidR="00386DB7">
        <w:t>geva</w:t>
      </w:r>
      <w:r w:rsidRPr="006A327B">
        <w:t xml:space="preserve">). </w:t>
      </w:r>
    </w:p>
    <w:p w14:paraId="4BADDBD8" w14:textId="5FF36BCF" w:rsidR="006A327B" w:rsidRPr="006A327B" w:rsidRDefault="006A327B" w:rsidP="00AD3CBB">
      <w:r w:rsidRPr="006A327B">
        <w:t xml:space="preserve">Extensive characterisation studies involving comparison of primary, secondary and tertiary structures, physicochemical properties and biological activities showed that </w:t>
      </w:r>
      <w:r w:rsidR="00250BA6">
        <w:t>Stoboclo</w:t>
      </w:r>
      <w:r w:rsidRPr="006A327B">
        <w:t>/</w:t>
      </w:r>
      <w:r w:rsidR="00250BA6">
        <w:t>Osenvelt</w:t>
      </w:r>
      <w:r w:rsidRPr="006A327B">
        <w:t xml:space="preserve"> and US P</w:t>
      </w:r>
      <w:r w:rsidR="00386DB7">
        <w:t>rolia</w:t>
      </w:r>
      <w:r w:rsidRPr="006A327B">
        <w:t>/X</w:t>
      </w:r>
      <w:r w:rsidR="00386DB7">
        <w:t>geva</w:t>
      </w:r>
      <w:r w:rsidRPr="006A327B">
        <w:t xml:space="preserve"> are generally similar. </w:t>
      </w:r>
    </w:p>
    <w:p w14:paraId="67D7DDEF" w14:textId="3FB74394" w:rsidR="006A327B" w:rsidRDefault="006A327B" w:rsidP="00AD3CBB">
      <w:r w:rsidRPr="006A327B">
        <w:t xml:space="preserve">Overall, the Sponsor has demonstrated that </w:t>
      </w:r>
      <w:r w:rsidR="00250BA6">
        <w:t>Stoboclo</w:t>
      </w:r>
      <w:r w:rsidRPr="006A327B">
        <w:t>/</w:t>
      </w:r>
      <w:r w:rsidR="00250BA6">
        <w:t>Osenvelt</w:t>
      </w:r>
      <w:r w:rsidRPr="006A327B">
        <w:t xml:space="preserve"> is comparable to P</w:t>
      </w:r>
      <w:r w:rsidR="00386DB7">
        <w:t>rolia</w:t>
      </w:r>
      <w:r w:rsidRPr="006A327B">
        <w:t xml:space="preserve"> /X</w:t>
      </w:r>
      <w:r w:rsidR="00386DB7">
        <w:t>geva</w:t>
      </w:r>
      <w:r w:rsidRPr="006A327B">
        <w:t xml:space="preserve"> in terms of structure, species, function and degradation profile (i.e. </w:t>
      </w:r>
      <w:proofErr w:type="spellStart"/>
      <w:r w:rsidRPr="006A327B">
        <w:t>physicochemically</w:t>
      </w:r>
      <w:proofErr w:type="spellEnd"/>
      <w:r w:rsidRPr="006A327B">
        <w:t xml:space="preserve"> and biologically). </w:t>
      </w:r>
    </w:p>
    <w:p w14:paraId="7718D5F3" w14:textId="77777777" w:rsidR="005A68EE" w:rsidRPr="005A68EE" w:rsidRDefault="005A68EE" w:rsidP="00AD3CBB">
      <w:r w:rsidRPr="005A68EE">
        <w:t xml:space="preserve">Stability data have been generated under stressed and real time conditions to characterise the stability profile of the product.  Following evaluation, the recommended storage conditions are  </w:t>
      </w:r>
    </w:p>
    <w:p w14:paraId="0ED4C663" w14:textId="77777777" w:rsidR="005A68EE" w:rsidRPr="00352196" w:rsidRDefault="005A68EE" w:rsidP="00352196">
      <w:pPr>
        <w:pStyle w:val="ListBullet"/>
      </w:pPr>
      <w:r w:rsidRPr="00352196">
        <w:t>48 months when stored at 5 ± 3 °C for 60mg PFS</w:t>
      </w:r>
    </w:p>
    <w:p w14:paraId="13CB883A" w14:textId="77777777" w:rsidR="005A68EE" w:rsidRPr="005A68EE" w:rsidRDefault="005A68EE" w:rsidP="009056C3">
      <w:pPr>
        <w:pStyle w:val="ListBullet2"/>
      </w:pPr>
      <w:r w:rsidRPr="005A68EE">
        <w:t>The product may be stored at temperatures up to a maximum of 25 °C (77 °F) for a period of up to 30 days. The product must be discarded if not used within the 1-month period.</w:t>
      </w:r>
    </w:p>
    <w:p w14:paraId="67AF691A" w14:textId="5EA4E21D" w:rsidR="005A68EE" w:rsidRPr="005A68EE" w:rsidRDefault="005A68EE" w:rsidP="009056C3">
      <w:pPr>
        <w:pStyle w:val="ListBullet"/>
      </w:pPr>
      <w:r w:rsidRPr="005A68EE">
        <w:rPr>
          <w:lang w:val="en-GB"/>
        </w:rPr>
        <w:t>36 months when stored at 5 ± 3 °C for 120</w:t>
      </w:r>
      <w:r w:rsidR="004B58C9">
        <w:rPr>
          <w:lang w:val="en-GB"/>
        </w:rPr>
        <w:t xml:space="preserve"> </w:t>
      </w:r>
      <w:r w:rsidRPr="005A68EE">
        <w:rPr>
          <w:lang w:val="en-GB"/>
        </w:rPr>
        <w:t>mg vial.</w:t>
      </w:r>
    </w:p>
    <w:p w14:paraId="4F60063B" w14:textId="77777777" w:rsidR="005A68EE" w:rsidRPr="005A68EE" w:rsidRDefault="005A68EE" w:rsidP="009056C3">
      <w:pPr>
        <w:pStyle w:val="ListBullet2"/>
      </w:pPr>
      <w:r w:rsidRPr="005A68EE">
        <w:t>The product may be stored at 25 °C for a maximum single period of up to 30 days in the carton.</w:t>
      </w:r>
    </w:p>
    <w:p w14:paraId="538D5B81" w14:textId="1225F618" w:rsidR="00406B14" w:rsidRPr="005A68EE" w:rsidRDefault="005A68EE" w:rsidP="005A68EE">
      <w:pPr>
        <w:rPr>
          <w:iCs/>
        </w:rPr>
      </w:pPr>
      <w:r w:rsidRPr="005A68EE">
        <w:rPr>
          <w:iCs/>
        </w:rPr>
        <w:t>The product is not photostable</w:t>
      </w:r>
      <w:r w:rsidR="005910DA">
        <w:rPr>
          <w:iCs/>
        </w:rPr>
        <w:t xml:space="preserve">, therefore should be protected from </w:t>
      </w:r>
      <w:r w:rsidR="00203FFC">
        <w:rPr>
          <w:iCs/>
        </w:rPr>
        <w:t xml:space="preserve">direct </w:t>
      </w:r>
      <w:r w:rsidR="005910DA">
        <w:rPr>
          <w:iCs/>
        </w:rPr>
        <w:t xml:space="preserve">light. </w:t>
      </w:r>
      <w:r w:rsidR="00406B14">
        <w:rPr>
          <w:iCs/>
        </w:rPr>
        <w:t xml:space="preserve">Additional </w:t>
      </w:r>
      <w:r w:rsidR="002C694B">
        <w:rPr>
          <w:iCs/>
        </w:rPr>
        <w:t>precautions</w:t>
      </w:r>
      <w:r w:rsidR="00872686">
        <w:rPr>
          <w:iCs/>
        </w:rPr>
        <w:t xml:space="preserve"> </w:t>
      </w:r>
      <w:r w:rsidR="002C694B">
        <w:rPr>
          <w:iCs/>
        </w:rPr>
        <w:t xml:space="preserve">state </w:t>
      </w:r>
      <w:r w:rsidR="006A10D7">
        <w:rPr>
          <w:iCs/>
        </w:rPr>
        <w:t xml:space="preserve">the products </w:t>
      </w:r>
      <w:r w:rsidR="00D103D9">
        <w:rPr>
          <w:iCs/>
        </w:rPr>
        <w:t xml:space="preserve">should not be </w:t>
      </w:r>
      <w:r w:rsidR="005910DA">
        <w:rPr>
          <w:iCs/>
        </w:rPr>
        <w:t>frozen</w:t>
      </w:r>
      <w:r w:rsidR="00CF1E06">
        <w:rPr>
          <w:iCs/>
        </w:rPr>
        <w:t xml:space="preserve"> or</w:t>
      </w:r>
      <w:r w:rsidR="00D103D9">
        <w:rPr>
          <w:iCs/>
        </w:rPr>
        <w:t xml:space="preserve"> </w:t>
      </w:r>
      <w:r w:rsidR="005910DA">
        <w:rPr>
          <w:iCs/>
        </w:rPr>
        <w:t xml:space="preserve">vigorously </w:t>
      </w:r>
      <w:r w:rsidR="00A40C35">
        <w:rPr>
          <w:iCs/>
        </w:rPr>
        <w:t>shaken and</w:t>
      </w:r>
      <w:r w:rsidR="00622E57">
        <w:rPr>
          <w:iCs/>
        </w:rPr>
        <w:t xml:space="preserve"> stored </w:t>
      </w:r>
      <w:r w:rsidR="00622E57" w:rsidRPr="00622E57">
        <w:rPr>
          <w:iCs/>
        </w:rPr>
        <w:t xml:space="preserve">in </w:t>
      </w:r>
      <w:r w:rsidR="007F45D0">
        <w:rPr>
          <w:iCs/>
        </w:rPr>
        <w:t xml:space="preserve">its </w:t>
      </w:r>
      <w:r w:rsidR="00622E57" w:rsidRPr="00622E57">
        <w:rPr>
          <w:iCs/>
        </w:rPr>
        <w:t>original container</w:t>
      </w:r>
      <w:r w:rsidR="00622E57">
        <w:rPr>
          <w:iCs/>
        </w:rPr>
        <w:t>.</w:t>
      </w:r>
    </w:p>
    <w:p w14:paraId="5F6A0C50" w14:textId="57D979C1" w:rsidR="006A327B" w:rsidRPr="006A327B" w:rsidRDefault="00C65EFB" w:rsidP="006A327B">
      <w:r w:rsidRPr="00C65EFB">
        <w:t xml:space="preserve">The quality of this product </w:t>
      </w:r>
      <w:proofErr w:type="gramStart"/>
      <w:r w:rsidRPr="00C65EFB">
        <w:t>is considered to be</w:t>
      </w:r>
      <w:proofErr w:type="gramEnd"/>
      <w:r w:rsidRPr="00C65EFB">
        <w:t xml:space="preserve"> acceptable</w:t>
      </w:r>
      <w:r>
        <w:t>. I</w:t>
      </w:r>
      <w:r w:rsidRPr="00C65EFB">
        <w:t>nformation on development, manufacture and control of the active substance and finished product ha</w:t>
      </w:r>
      <w:r w:rsidR="00E473F9">
        <w:t>ve</w:t>
      </w:r>
      <w:r w:rsidRPr="00C65EFB">
        <w:t xml:space="preserve"> been presented in a satisfactory manner. The results of tests carried out indicate consistency and uniformity of important product quality characteristics, and these in turn lead to the conclusion that the product should have a satisfactory and uniform performance in clinical use. </w:t>
      </w:r>
      <w:r w:rsidR="006A327B" w:rsidRPr="006A327B">
        <w:t xml:space="preserve">There are no objections on quality grounds to the approval of: </w:t>
      </w:r>
    </w:p>
    <w:p w14:paraId="026747E3" w14:textId="454074E3" w:rsidR="006A327B" w:rsidRPr="006A327B" w:rsidRDefault="00250BA6" w:rsidP="00352196">
      <w:pPr>
        <w:pStyle w:val="ListBullet2"/>
      </w:pPr>
      <w:r>
        <w:t>Stoboclo</w:t>
      </w:r>
      <w:r w:rsidR="006A327B" w:rsidRPr="006A327B">
        <w:t xml:space="preserve"> </w:t>
      </w:r>
      <w:r w:rsidR="003A776B">
        <w:t>(</w:t>
      </w:r>
      <w:r w:rsidR="006A327B" w:rsidRPr="006A327B">
        <w:t>denosumab</w:t>
      </w:r>
      <w:r w:rsidR="003A776B">
        <w:t>)</w:t>
      </w:r>
      <w:r w:rsidR="006A327B" w:rsidRPr="006A327B">
        <w:t xml:space="preserve"> 60 mg/mL solution for injection pre-filled syringe</w:t>
      </w:r>
      <w:r w:rsidR="003A776B">
        <w:t>.</w:t>
      </w:r>
      <w:r w:rsidR="006A327B" w:rsidRPr="006A327B">
        <w:t xml:space="preserve"> </w:t>
      </w:r>
    </w:p>
    <w:p w14:paraId="4F3D7561" w14:textId="54D10081" w:rsidR="006A327B" w:rsidRPr="006A327B" w:rsidRDefault="00250BA6" w:rsidP="00352196">
      <w:pPr>
        <w:pStyle w:val="ListBullet2"/>
      </w:pPr>
      <w:r>
        <w:t>Osenvelt</w:t>
      </w:r>
      <w:r w:rsidR="006A327B" w:rsidRPr="006A327B">
        <w:t xml:space="preserve"> </w:t>
      </w:r>
      <w:r w:rsidR="003A776B">
        <w:t>(</w:t>
      </w:r>
      <w:r w:rsidR="006A327B" w:rsidRPr="006A327B">
        <w:t>denosumab</w:t>
      </w:r>
      <w:r w:rsidR="003A776B">
        <w:t>)</w:t>
      </w:r>
      <w:r w:rsidR="006A327B" w:rsidRPr="006A327B">
        <w:t xml:space="preserve"> 70 mg/mL solution for injection vial</w:t>
      </w:r>
      <w:r w:rsidR="003A776B">
        <w:t>.</w:t>
      </w:r>
      <w:r w:rsidR="006A327B" w:rsidRPr="006A327B">
        <w:t xml:space="preserve"> </w:t>
      </w:r>
    </w:p>
    <w:p w14:paraId="2BE90AAE" w14:textId="35796FD3" w:rsidR="00C22214" w:rsidRDefault="00C22214" w:rsidP="00C22214">
      <w:pPr>
        <w:pStyle w:val="Heading3"/>
      </w:pPr>
      <w:bookmarkStart w:id="42" w:name="_Toc314842512"/>
      <w:bookmarkStart w:id="43" w:name="_Toc103679296"/>
      <w:bookmarkStart w:id="44" w:name="_Toc215235755"/>
      <w:r>
        <w:t>Nonclinical</w:t>
      </w:r>
      <w:bookmarkEnd w:id="42"/>
      <w:bookmarkEnd w:id="43"/>
      <w:r w:rsidR="007E6443">
        <w:t xml:space="preserve"> evaluation</w:t>
      </w:r>
      <w:r w:rsidR="00095C6A">
        <w:t xml:space="preserve"> summary</w:t>
      </w:r>
      <w:bookmarkEnd w:id="44"/>
    </w:p>
    <w:p w14:paraId="3686D10D" w14:textId="6D8CE7E3" w:rsidR="000D3F1F" w:rsidRDefault="000D3F1F" w:rsidP="00AD3CBB">
      <w:bookmarkStart w:id="45" w:name="_Toc247691530"/>
      <w:bookmarkStart w:id="46" w:name="_Toc314842513"/>
      <w:bookmarkStart w:id="47" w:name="_Toc103679297"/>
      <w:r>
        <w:t xml:space="preserve">The scope of the nonclinical program is adequate under the relevant EU guideline. The pharmacological assessments performed across Module 3 with </w:t>
      </w:r>
      <w:r w:rsidR="00250BA6">
        <w:t>Stoboclo</w:t>
      </w:r>
      <w:r>
        <w:rPr>
          <w:sz w:val="18"/>
          <w:szCs w:val="18"/>
        </w:rPr>
        <w:t xml:space="preserve"> </w:t>
      </w:r>
      <w:r>
        <w:t>and US-sourced P</w:t>
      </w:r>
      <w:r w:rsidR="00172AAD">
        <w:t>rolia</w:t>
      </w:r>
      <w:r>
        <w:rPr>
          <w:sz w:val="18"/>
          <w:szCs w:val="18"/>
        </w:rPr>
        <w:t xml:space="preserve"> </w:t>
      </w:r>
      <w:r>
        <w:t>are considered adequate to cover the mechanism of action of denosumab for all indications. No data were provided in Module 4 to verify the comparability of the US-sourced and Australian-sourced P</w:t>
      </w:r>
      <w:r w:rsidR="001C302F">
        <w:t>rolia</w:t>
      </w:r>
      <w:r>
        <w:t xml:space="preserve">. </w:t>
      </w:r>
    </w:p>
    <w:p w14:paraId="6D0EB297" w14:textId="0DCDA25F" w:rsidR="000D3F1F" w:rsidRDefault="000D3F1F" w:rsidP="00AD3CBB">
      <w:r>
        <w:t xml:space="preserve">The formulation of </w:t>
      </w:r>
      <w:r w:rsidR="00250BA6">
        <w:t>Stoboclo</w:t>
      </w:r>
      <w:r>
        <w:t>/</w:t>
      </w:r>
      <w:r w:rsidR="00250BA6">
        <w:t>Osenvelt</w:t>
      </w:r>
      <w:r>
        <w:rPr>
          <w:sz w:val="18"/>
          <w:szCs w:val="18"/>
        </w:rPr>
        <w:t xml:space="preserve"> </w:t>
      </w:r>
      <w:r>
        <w:t>differs slightly from that of P</w:t>
      </w:r>
      <w:r w:rsidR="001C302F">
        <w:t>rolia/Xgeva</w:t>
      </w:r>
      <w:r>
        <w:t xml:space="preserve">. </w:t>
      </w:r>
      <w:r w:rsidR="00250BA6">
        <w:t>Stoboclo</w:t>
      </w:r>
      <w:r>
        <w:t>/</w:t>
      </w:r>
      <w:r w:rsidR="00250BA6">
        <w:t>Osenvelt</w:t>
      </w:r>
      <w:r>
        <w:rPr>
          <w:sz w:val="18"/>
          <w:szCs w:val="18"/>
        </w:rPr>
        <w:t xml:space="preserve"> </w:t>
      </w:r>
      <w:r>
        <w:t xml:space="preserve">in the levels of acetate/acetic acid. </w:t>
      </w:r>
    </w:p>
    <w:p w14:paraId="083F172F" w14:textId="20E8651E" w:rsidR="000D3F1F" w:rsidRDefault="000D3F1F" w:rsidP="00AD3CBB">
      <w:pPr>
        <w:rPr>
          <w:sz w:val="17"/>
          <w:szCs w:val="17"/>
        </w:rPr>
      </w:pPr>
      <w:r>
        <w:lastRenderedPageBreak/>
        <w:t xml:space="preserve">No meaningful differences between </w:t>
      </w:r>
      <w:r w:rsidR="00250BA6">
        <w:t>Stoboclo</w:t>
      </w:r>
      <w:r>
        <w:rPr>
          <w:sz w:val="18"/>
          <w:szCs w:val="18"/>
        </w:rPr>
        <w:t xml:space="preserve"> </w:t>
      </w:r>
      <w:r>
        <w:t>and US-sourced P</w:t>
      </w:r>
      <w:r w:rsidR="001C302F">
        <w:t>rolia</w:t>
      </w:r>
      <w:r>
        <w:rPr>
          <w:sz w:val="18"/>
          <w:szCs w:val="18"/>
        </w:rPr>
        <w:t xml:space="preserve"> </w:t>
      </w:r>
      <w:r>
        <w:t>were observed in a comparative pharmacokinetic and toxicity study in cynomolgus monkeys. However, the study is not considered sensitive enough to be relied upon to detect differences between the biosimilar and the reference product. Therefore, adequate comparability and determination of bio</w:t>
      </w:r>
      <w:r w:rsidR="00352196">
        <w:t>-</w:t>
      </w:r>
      <w:r>
        <w:t xml:space="preserve">similarity will need to rely upon Modules 3 and 5 evaluations. </w:t>
      </w:r>
    </w:p>
    <w:p w14:paraId="7769186C" w14:textId="72A8BE6F" w:rsidR="000D3F1F" w:rsidRDefault="000D3F1F" w:rsidP="00AD3CBB">
      <w:pPr>
        <w:rPr>
          <w:szCs w:val="22"/>
        </w:rPr>
      </w:pPr>
      <w:r>
        <w:rPr>
          <w:szCs w:val="22"/>
        </w:rPr>
        <w:t xml:space="preserve">No comparative study was conducted between </w:t>
      </w:r>
      <w:r w:rsidR="00250BA6">
        <w:rPr>
          <w:szCs w:val="22"/>
        </w:rPr>
        <w:t>Osenvelt</w:t>
      </w:r>
      <w:r>
        <w:rPr>
          <w:sz w:val="18"/>
          <w:szCs w:val="18"/>
        </w:rPr>
        <w:t xml:space="preserve"> </w:t>
      </w:r>
      <w:r>
        <w:rPr>
          <w:szCs w:val="22"/>
        </w:rPr>
        <w:t>and X</w:t>
      </w:r>
      <w:r w:rsidR="00250ABB">
        <w:rPr>
          <w:szCs w:val="22"/>
        </w:rPr>
        <w:t>geva</w:t>
      </w:r>
      <w:r>
        <w:rPr>
          <w:szCs w:val="22"/>
        </w:rPr>
        <w:t xml:space="preserve">, which is considered acceptable as the same active ingredients were used to formulate </w:t>
      </w:r>
      <w:r w:rsidR="00250BA6">
        <w:rPr>
          <w:szCs w:val="22"/>
        </w:rPr>
        <w:t>Stoboclo</w:t>
      </w:r>
      <w:r>
        <w:rPr>
          <w:sz w:val="18"/>
          <w:szCs w:val="18"/>
        </w:rPr>
        <w:t xml:space="preserve"> </w:t>
      </w:r>
      <w:r>
        <w:rPr>
          <w:szCs w:val="22"/>
        </w:rPr>
        <w:t>and P</w:t>
      </w:r>
      <w:r w:rsidR="00250ABB">
        <w:rPr>
          <w:szCs w:val="22"/>
        </w:rPr>
        <w:t>rolia</w:t>
      </w:r>
      <w:r>
        <w:rPr>
          <w:szCs w:val="22"/>
        </w:rPr>
        <w:t xml:space="preserve">, respectively. </w:t>
      </w:r>
    </w:p>
    <w:p w14:paraId="15DAE9D6" w14:textId="24B997A6" w:rsidR="000D3F1F" w:rsidRDefault="000D3F1F" w:rsidP="00AD3CBB">
      <w:pPr>
        <w:rPr>
          <w:szCs w:val="22"/>
        </w:rPr>
      </w:pPr>
      <w:r>
        <w:rPr>
          <w:b/>
          <w:bCs/>
          <w:szCs w:val="22"/>
        </w:rPr>
        <w:t xml:space="preserve">Conclusions and recommendations </w:t>
      </w:r>
    </w:p>
    <w:p w14:paraId="0A49814D" w14:textId="1E35EC5E" w:rsidR="000D3F1F" w:rsidRDefault="000D3F1F" w:rsidP="00AD3CBB">
      <w:pPr>
        <w:rPr>
          <w:szCs w:val="22"/>
        </w:rPr>
      </w:pPr>
      <w:r>
        <w:rPr>
          <w:szCs w:val="22"/>
        </w:rPr>
        <w:t xml:space="preserve">Minor changes to the draft Product Information documents are recommended. </w:t>
      </w:r>
    </w:p>
    <w:p w14:paraId="40F2102F" w14:textId="77777777" w:rsidR="000D3F1F" w:rsidRDefault="000D3F1F" w:rsidP="0000342A">
      <w:pPr>
        <w:pStyle w:val="ListBullet"/>
      </w:pPr>
      <w:r>
        <w:t xml:space="preserve">Pregnancy category </w:t>
      </w:r>
    </w:p>
    <w:p w14:paraId="2163B12B" w14:textId="0640AB16" w:rsidR="000D3F1F" w:rsidRDefault="000D3F1F" w:rsidP="0000342A">
      <w:pPr>
        <w:pStyle w:val="ListBullet2"/>
      </w:pPr>
      <w:r>
        <w:t xml:space="preserve">Statements in </w:t>
      </w:r>
      <w:r w:rsidR="00250BA6">
        <w:t>Stoboclo</w:t>
      </w:r>
      <w:r>
        <w:rPr>
          <w:sz w:val="18"/>
          <w:szCs w:val="18"/>
        </w:rPr>
        <w:t xml:space="preserve"> </w:t>
      </w:r>
      <w:r>
        <w:t xml:space="preserve">and </w:t>
      </w:r>
      <w:r w:rsidR="00250BA6">
        <w:t>Osenvelt</w:t>
      </w:r>
      <w:r>
        <w:rPr>
          <w:sz w:val="18"/>
          <w:szCs w:val="18"/>
        </w:rPr>
        <w:t xml:space="preserve"> </w:t>
      </w:r>
      <w:r>
        <w:t>dealing with nonclinical matters and the Pregnancy Category (D) are consistent with the approved Australian PI for P</w:t>
      </w:r>
      <w:r w:rsidR="0000342A">
        <w:t>rolia</w:t>
      </w:r>
      <w:r>
        <w:rPr>
          <w:sz w:val="18"/>
          <w:szCs w:val="18"/>
        </w:rPr>
        <w:t xml:space="preserve"> </w:t>
      </w:r>
      <w:r>
        <w:t>and X</w:t>
      </w:r>
      <w:r w:rsidR="0000342A">
        <w:t>geva</w:t>
      </w:r>
      <w:r>
        <w:t xml:space="preserve">, respectively. </w:t>
      </w:r>
    </w:p>
    <w:p w14:paraId="35B580A5" w14:textId="40B226DC" w:rsidR="00C22214" w:rsidRDefault="00C22214" w:rsidP="008804CF">
      <w:pPr>
        <w:pStyle w:val="Heading3"/>
      </w:pPr>
      <w:bookmarkStart w:id="48" w:name="_Toc215235756"/>
      <w:r>
        <w:t>Clinical</w:t>
      </w:r>
      <w:bookmarkEnd w:id="45"/>
      <w:bookmarkEnd w:id="46"/>
      <w:bookmarkEnd w:id="47"/>
      <w:r w:rsidR="00095C6A">
        <w:t xml:space="preserve"> evaluation summary</w:t>
      </w:r>
      <w:bookmarkEnd w:id="48"/>
    </w:p>
    <w:p w14:paraId="32B0DEDA" w14:textId="77777777" w:rsidR="00C22214" w:rsidRPr="00433318" w:rsidRDefault="00C22214" w:rsidP="00433318">
      <w:pPr>
        <w:pStyle w:val="Heading4"/>
      </w:pPr>
      <w:bookmarkStart w:id="49" w:name="_Toc98931928"/>
      <w:bookmarkStart w:id="50" w:name="_Toc215235757"/>
      <w:r>
        <w:t>Summary of clinical studies</w:t>
      </w:r>
      <w:bookmarkEnd w:id="49"/>
      <w:bookmarkEnd w:id="50"/>
    </w:p>
    <w:p w14:paraId="0ADE470E" w14:textId="1DC20F3C" w:rsidR="003B3BD2" w:rsidRPr="003B3BD2" w:rsidRDefault="003B3BD2" w:rsidP="00FF3366">
      <w:r w:rsidRPr="003B3BD2">
        <w:t>The clinical trial program consisted of two phase I studies</w:t>
      </w:r>
      <w:r w:rsidR="00FF3366">
        <w:t xml:space="preserve"> (</w:t>
      </w:r>
      <w:r w:rsidRPr="003B3BD2">
        <w:t>Study CT-P41 1.1 and Study CT-P41 1.2</w:t>
      </w:r>
      <w:r w:rsidR="00FF3366">
        <w:t xml:space="preserve">), </w:t>
      </w:r>
      <w:r w:rsidRPr="003B3BD2">
        <w:t>and one phase III study</w:t>
      </w:r>
      <w:r w:rsidR="00692D54">
        <w:t xml:space="preserve"> (</w:t>
      </w:r>
      <w:r w:rsidRPr="003B3BD2">
        <w:t>Study CT-P41 3.1.</w:t>
      </w:r>
      <w:r w:rsidR="00692D54">
        <w:t xml:space="preserve">). </w:t>
      </w:r>
    </w:p>
    <w:p w14:paraId="0C58AC18" w14:textId="77777777" w:rsidR="003B3BD2" w:rsidRPr="00692D54" w:rsidRDefault="003B3BD2" w:rsidP="00692D54">
      <w:pPr>
        <w:pStyle w:val="ListBullet"/>
      </w:pPr>
      <w:r w:rsidRPr="00692D54">
        <w:t xml:space="preserve">Pharmacology data (pharmacokinetic and pharmacodynamic) were obtained from: </w:t>
      </w:r>
    </w:p>
    <w:p w14:paraId="40CEDD8D" w14:textId="5872F92D" w:rsidR="003B3BD2" w:rsidRPr="003B3BD2" w:rsidRDefault="003B3BD2" w:rsidP="00692D54">
      <w:pPr>
        <w:pStyle w:val="ListBullet2"/>
      </w:pPr>
      <w:r w:rsidRPr="00E96159">
        <w:rPr>
          <w:b/>
          <w:bCs/>
        </w:rPr>
        <w:t>Study CT-P41 1.1</w:t>
      </w:r>
      <w:r w:rsidRPr="003B3BD2">
        <w:t xml:space="preserve"> which assessed the </w:t>
      </w:r>
      <w:r w:rsidR="008C1D0D" w:rsidRPr="008C1D0D">
        <w:t>pharmacokinetic (</w:t>
      </w:r>
      <w:r w:rsidR="008C1D0D" w:rsidRPr="003B3BD2">
        <w:t>PK</w:t>
      </w:r>
      <w:r w:rsidR="008C1D0D" w:rsidRPr="008C1D0D">
        <w:t>)</w:t>
      </w:r>
      <w:r w:rsidR="008C1D0D" w:rsidRPr="003B3BD2">
        <w:t xml:space="preserve"> </w:t>
      </w:r>
      <w:r w:rsidRPr="003B3BD2">
        <w:t xml:space="preserve">of CT-P41 </w:t>
      </w:r>
      <w:r w:rsidR="005D2CD7">
        <w:t xml:space="preserve">(Stoboclo) </w:t>
      </w:r>
      <w:r w:rsidRPr="003B3BD2">
        <w:t>and EU-sourced Prolia (as a comparator)</w:t>
      </w:r>
    </w:p>
    <w:p w14:paraId="5B1632FA" w14:textId="708E14B5" w:rsidR="003B3BD2" w:rsidRPr="00647D11" w:rsidRDefault="003B3BD2" w:rsidP="00692D54">
      <w:pPr>
        <w:pStyle w:val="ListBullet2"/>
      </w:pPr>
      <w:r w:rsidRPr="00E96159">
        <w:rPr>
          <w:b/>
          <w:bCs/>
        </w:rPr>
        <w:t>Study CT-P41 1.2</w:t>
      </w:r>
      <w:r w:rsidRPr="003B3BD2">
        <w:t xml:space="preserve"> and </w:t>
      </w:r>
      <w:r w:rsidRPr="00E96159">
        <w:rPr>
          <w:b/>
          <w:bCs/>
        </w:rPr>
        <w:t>Study CT-P41 3.1</w:t>
      </w:r>
      <w:r w:rsidRPr="003B3BD2">
        <w:t xml:space="preserve"> which compared the </w:t>
      </w:r>
      <w:r w:rsidR="00EB28E3" w:rsidRPr="00EB28E3">
        <w:t>pharmacokinetic (</w:t>
      </w:r>
      <w:r w:rsidR="00EB28E3" w:rsidRPr="003B3BD2">
        <w:t>PK</w:t>
      </w:r>
      <w:r w:rsidR="00EB28E3" w:rsidRPr="00EB28E3">
        <w:t>)</w:t>
      </w:r>
      <w:r w:rsidR="00647D11">
        <w:rPr>
          <w:rFonts w:ascii="Malgun Gothic" w:eastAsia="Malgun Gothic" w:hAnsi="Malgun Gothic" w:cs="Malgun Gothic" w:hint="eastAsia"/>
          <w:lang w:eastAsia="ko-KR"/>
        </w:rPr>
        <w:t xml:space="preserve"> </w:t>
      </w:r>
      <w:r w:rsidR="00647D11" w:rsidRPr="00B13687">
        <w:rPr>
          <w:rFonts w:eastAsia="Malgun Gothic" w:cs="Malgun Gothic"/>
          <w:lang w:eastAsia="ko-KR"/>
        </w:rPr>
        <w:t>and pharmacodynamic</w:t>
      </w:r>
      <w:r w:rsidR="00EB28E3" w:rsidRPr="00647D11">
        <w:t xml:space="preserve"> </w:t>
      </w:r>
      <w:r w:rsidRPr="00647D11">
        <w:t>of CT-P41</w:t>
      </w:r>
      <w:r w:rsidR="005D2CD7" w:rsidRPr="00647D11">
        <w:t xml:space="preserve">(Stoboclo) </w:t>
      </w:r>
      <w:r w:rsidRPr="00647D11">
        <w:t>with US-sourced Prolia (as a comparator).</w:t>
      </w:r>
    </w:p>
    <w:p w14:paraId="7DAE88F8" w14:textId="77777777" w:rsidR="003B3BD2" w:rsidRPr="005F2DA1" w:rsidRDefault="003B3BD2" w:rsidP="00692D54">
      <w:pPr>
        <w:pStyle w:val="ListBullet"/>
      </w:pPr>
      <w:r w:rsidRPr="005F2DA1">
        <w:t xml:space="preserve">Clinical efficacy data were provided in the pivotal </w:t>
      </w:r>
      <w:r w:rsidRPr="00E96159">
        <w:rPr>
          <w:b/>
          <w:bCs/>
        </w:rPr>
        <w:t>CT-P41 3.1</w:t>
      </w:r>
      <w:r w:rsidRPr="005F2DA1">
        <w:t xml:space="preserve"> study.</w:t>
      </w:r>
    </w:p>
    <w:p w14:paraId="2BC97E5E" w14:textId="77777777" w:rsidR="003B3BD2" w:rsidRDefault="003B3BD2" w:rsidP="005F2DA1">
      <w:pPr>
        <w:pStyle w:val="ListBullet"/>
      </w:pPr>
      <w:r w:rsidRPr="005F2DA1">
        <w:t>Safety data were obtained from all three studies (CT-P41 1.1, CT-P41 1.2, and Study CT-P41 3.1).</w:t>
      </w:r>
    </w:p>
    <w:p w14:paraId="6C01A1C1" w14:textId="77777777" w:rsidR="003B3BD2" w:rsidRPr="003B3BD2" w:rsidRDefault="003B3BD2" w:rsidP="003A776B">
      <w:pPr>
        <w:pStyle w:val="Heading4"/>
      </w:pPr>
      <w:bookmarkStart w:id="51" w:name="_Toc215235758"/>
      <w:r w:rsidRPr="003B3BD2">
        <w:t>Pharmacology</w:t>
      </w:r>
      <w:bookmarkEnd w:id="51"/>
    </w:p>
    <w:p w14:paraId="15A75F81" w14:textId="7437AEB8" w:rsidR="003B3BD2" w:rsidRPr="003B3BD2" w:rsidRDefault="003B3BD2" w:rsidP="003B3BD2">
      <w:pPr>
        <w:rPr>
          <w:lang w:eastAsia="ko-KR"/>
        </w:rPr>
      </w:pPr>
      <w:r w:rsidRPr="003B3BD2">
        <w:t xml:space="preserve">The main purpose of the </w:t>
      </w:r>
      <w:r w:rsidR="008C1D0D">
        <w:t>p</w:t>
      </w:r>
      <w:r w:rsidR="008C1D0D" w:rsidRPr="008C1D0D">
        <w:t xml:space="preserve">harmacokinetic </w:t>
      </w:r>
      <w:r w:rsidR="008C1D0D">
        <w:t>(</w:t>
      </w:r>
      <w:r w:rsidRPr="003B3BD2">
        <w:t>PK</w:t>
      </w:r>
      <w:r w:rsidR="008C1D0D">
        <w:t>)</w:t>
      </w:r>
      <w:r w:rsidRPr="003B3BD2">
        <w:t xml:space="preserve"> studies was to demonstrate the PK similarities of CT-P41 </w:t>
      </w:r>
      <w:r w:rsidR="0004773E" w:rsidRPr="0004773E">
        <w:t xml:space="preserve">(Stoboclo) </w:t>
      </w:r>
      <w:r w:rsidRPr="003B3BD2">
        <w:t>with that of Prolia.</w:t>
      </w:r>
      <w:r w:rsidR="005B308E" w:rsidRPr="005B308E">
        <w:rPr>
          <w:rFonts w:ascii="Segoe UI" w:hAnsi="Segoe UI" w:cs="Segoe UI"/>
          <w:sz w:val="18"/>
          <w:szCs w:val="18"/>
        </w:rPr>
        <w:t xml:space="preserve"> </w:t>
      </w:r>
      <w:r w:rsidR="005B308E" w:rsidRPr="005B308E">
        <w:t xml:space="preserve">In Study CT-P41 3.1, the PD similarity between the CT-P41 and </w:t>
      </w:r>
      <w:r w:rsidR="0055679F">
        <w:t xml:space="preserve">US-licensed </w:t>
      </w:r>
      <w:r w:rsidR="005B308E" w:rsidRPr="005B308E">
        <w:t>Prolia was demonstrated</w:t>
      </w:r>
      <w:r w:rsidR="005B308E">
        <w:rPr>
          <w:rFonts w:hint="eastAsia"/>
          <w:lang w:eastAsia="ko-KR"/>
        </w:rPr>
        <w:t>.</w:t>
      </w:r>
    </w:p>
    <w:p w14:paraId="51078B0A" w14:textId="77777777" w:rsidR="003B3BD2" w:rsidRPr="003B3BD2" w:rsidRDefault="003B3BD2" w:rsidP="00EB28E3">
      <w:pPr>
        <w:pStyle w:val="Heading5"/>
      </w:pPr>
      <w:r w:rsidRPr="003B3BD2">
        <w:t>Phase 1 PK Study CT-P41 1.1</w:t>
      </w:r>
    </w:p>
    <w:p w14:paraId="34102C45" w14:textId="6EA936EB" w:rsidR="007C6C64" w:rsidRDefault="00D7733C" w:rsidP="003B3BD2">
      <w:r w:rsidRPr="00D7733C">
        <w:t xml:space="preserve">This study was a pilot phase 1, randomised, double-blind, two-arm, parallel group, single-dose study, which was designed to evaluate the safety, immunogenicity, PK and </w:t>
      </w:r>
      <w:r w:rsidR="00D422ED">
        <w:t>pharmacodynamics</w:t>
      </w:r>
      <w:r w:rsidR="00E05046">
        <w:t xml:space="preserve"> (</w:t>
      </w:r>
      <w:r w:rsidRPr="00D7733C">
        <w:t>PD</w:t>
      </w:r>
      <w:r w:rsidR="00E05046">
        <w:t>)</w:t>
      </w:r>
      <w:r w:rsidRPr="00D7733C">
        <w:t xml:space="preserve"> of CT-P41 and EU-approved Prolia in healthy male subjects.</w:t>
      </w:r>
      <w:r>
        <w:t xml:space="preserve"> </w:t>
      </w:r>
    </w:p>
    <w:p w14:paraId="296DDACC" w14:textId="0C235ABD" w:rsidR="003B3BD2" w:rsidRPr="003B3BD2" w:rsidRDefault="007C6C64" w:rsidP="003B3BD2">
      <w:r w:rsidRPr="007C6C64">
        <w:t xml:space="preserve">A study drug (CT-P41 or EU-approved Prolia) was administered subcutaneously via pre-filled syringe on Day </w:t>
      </w:r>
      <w:proofErr w:type="gramStart"/>
      <w:r w:rsidRPr="007C6C64">
        <w:t>1</w:t>
      </w:r>
      <w:proofErr w:type="gramEnd"/>
      <w:r w:rsidRPr="007C6C64">
        <w:t xml:space="preserve"> and subjects were followed up for 134 days for safety, immunogenicity, PK and PD assessments.  Subjects were stratified by body weight (&lt; 80 kg versus ≥ 80 kg) measured on Day -1 as a part of the randomisation for balanced distribution.</w:t>
      </w:r>
      <w:r>
        <w:t xml:space="preserve"> </w:t>
      </w:r>
      <w:r w:rsidR="003B3BD2" w:rsidRPr="003B3BD2">
        <w:t xml:space="preserve">Serum concentration of </w:t>
      </w:r>
      <w:r w:rsidR="003B3BD2" w:rsidRPr="003B3BD2">
        <w:lastRenderedPageBreak/>
        <w:t>denosumab in 3</w:t>
      </w:r>
      <w:r w:rsidR="005B308E">
        <w:rPr>
          <w:rFonts w:hint="eastAsia"/>
          <w:lang w:eastAsia="ko-KR"/>
        </w:rPr>
        <w:t>0</w:t>
      </w:r>
      <w:r w:rsidR="003B3BD2" w:rsidRPr="003B3BD2">
        <w:t xml:space="preserve"> healthy male participants between the two groups over the study period (134 days) were comparable until the end of the study.</w:t>
      </w:r>
    </w:p>
    <w:p w14:paraId="1372C3AB" w14:textId="753EDEF7" w:rsidR="00892EB7" w:rsidRPr="00892EB7" w:rsidRDefault="00892EB7" w:rsidP="00892EB7">
      <w:r w:rsidRPr="00892EB7">
        <w:t>Following administration of CT-P41 or EU-approved Prolia, mean (CV%) of peak (C</w:t>
      </w:r>
      <w:r w:rsidRPr="00892EB7">
        <w:rPr>
          <w:vertAlign w:val="subscript"/>
        </w:rPr>
        <w:t>max</w:t>
      </w:r>
      <w:r w:rsidRPr="00892EB7">
        <w:t xml:space="preserve">) was comparable across both treatment groups (4.723 [20.1321] and 5.277 [16.2263] </w:t>
      </w:r>
      <w:proofErr w:type="spellStart"/>
      <w:r w:rsidRPr="00892EB7">
        <w:t>μg</w:t>
      </w:r>
      <w:proofErr w:type="spellEnd"/>
      <w:r w:rsidRPr="00892EB7">
        <w:t>/mL in the CT-P41 and EU-approved Prolia treatment groups, respectively).  Mean (CV%) of AUC</w:t>
      </w:r>
      <w:r w:rsidRPr="00892EB7">
        <w:rPr>
          <w:vertAlign w:val="subscript"/>
        </w:rPr>
        <w:t>0-last</w:t>
      </w:r>
      <w:r w:rsidRPr="00892EB7">
        <w:t xml:space="preserve"> was 227.371 (43.5795) and 284.503 (19.2917) </w:t>
      </w:r>
      <w:proofErr w:type="spellStart"/>
      <w:r w:rsidRPr="00892EB7">
        <w:t>day•μg</w:t>
      </w:r>
      <w:proofErr w:type="spellEnd"/>
      <w:r w:rsidRPr="00892EB7">
        <w:t>/mL for CT-P41 and EU-approved Prolia treatment groups, respectively</w:t>
      </w:r>
      <w:r w:rsidR="00861B7F">
        <w:t xml:space="preserve"> (Table 4)</w:t>
      </w:r>
      <w:r w:rsidRPr="00892EB7">
        <w:t>.  Mean (CV%) of AUC</w:t>
      </w:r>
      <w:r w:rsidRPr="00892EB7">
        <w:rPr>
          <w:vertAlign w:val="subscript"/>
        </w:rPr>
        <w:t>0-inf</w:t>
      </w:r>
      <w:r w:rsidRPr="00892EB7">
        <w:t xml:space="preserve"> was comparable between the 2 treatment groups (271.111 [22.8570] and 293.450 [20.6457] </w:t>
      </w:r>
      <w:proofErr w:type="spellStart"/>
      <w:r w:rsidRPr="00892EB7">
        <w:t>day•μg</w:t>
      </w:r>
      <w:proofErr w:type="spellEnd"/>
      <w:r w:rsidRPr="00892EB7">
        <w:t xml:space="preserve">/mL for CT-P41 and EU-approved Prolia treatment groups, respectively).  Median </w:t>
      </w:r>
      <w:proofErr w:type="spellStart"/>
      <w:r w:rsidRPr="00892EB7">
        <w:t>T</w:t>
      </w:r>
      <w:r w:rsidRPr="00892EB7">
        <w:rPr>
          <w:vertAlign w:val="subscript"/>
        </w:rPr>
        <w:t>max</w:t>
      </w:r>
      <w:proofErr w:type="spellEnd"/>
      <w:r w:rsidRPr="00892EB7">
        <w:t xml:space="preserve"> occurred at 13.9993 days for the CT-P41 treatment group and at 9.9757 days for the EU-approved Prolia treatment group, within a range for both treatments of 3.208 to 20.999 days (minimum to maximum).  Mean T</w:t>
      </w:r>
      <w:r w:rsidRPr="00892EB7">
        <w:rPr>
          <w:vertAlign w:val="subscript"/>
        </w:rPr>
        <w:t>1/2</w:t>
      </w:r>
      <w:r w:rsidRPr="00892EB7">
        <w:t xml:space="preserve"> was 22.249 and 21.261 days for the CT-P41 and EU-approved Prolia treatment groups, respectively, with CV% values of 32.1951% and 31.9997%, respectively.  Mean </w:t>
      </w:r>
      <w:proofErr w:type="spellStart"/>
      <w:r w:rsidRPr="00892EB7">
        <w:t>λ</w:t>
      </w:r>
      <w:r w:rsidRPr="00892EB7">
        <w:rPr>
          <w:vertAlign w:val="subscript"/>
        </w:rPr>
        <w:t>z</w:t>
      </w:r>
      <w:proofErr w:type="spellEnd"/>
      <w:r w:rsidRPr="00892EB7">
        <w:t xml:space="preserve">, CL/F, </w:t>
      </w:r>
      <w:proofErr w:type="spellStart"/>
      <w:r w:rsidRPr="00892EB7">
        <w:t>V</w:t>
      </w:r>
      <w:r w:rsidRPr="00892EB7">
        <w:rPr>
          <w:vertAlign w:val="subscript"/>
        </w:rPr>
        <w:t>z</w:t>
      </w:r>
      <w:proofErr w:type="spellEnd"/>
      <w:r w:rsidRPr="00892EB7">
        <w:t>/F, and %</w:t>
      </w:r>
      <w:proofErr w:type="spellStart"/>
      <w:r w:rsidRPr="00892EB7">
        <w:t>AUC</w:t>
      </w:r>
      <w:r w:rsidRPr="00892EB7">
        <w:rPr>
          <w:vertAlign w:val="subscript"/>
        </w:rPr>
        <w:t>ext</w:t>
      </w:r>
      <w:proofErr w:type="spellEnd"/>
      <w:r w:rsidRPr="00892EB7">
        <w:t xml:space="preserve"> were comparable across both treatments</w:t>
      </w:r>
      <w:r w:rsidR="009648A3">
        <w:t xml:space="preserve"> (Table 4)</w:t>
      </w:r>
      <w:r w:rsidRPr="00892EB7">
        <w:t>.</w:t>
      </w:r>
    </w:p>
    <w:p w14:paraId="17739D54" w14:textId="0BBC6D11" w:rsidR="00D2405C" w:rsidRDefault="003E6438" w:rsidP="00E96159">
      <w:pPr>
        <w:pStyle w:val="TableTitle"/>
      </w:pPr>
      <w:bookmarkStart w:id="52" w:name="_Ref169004253"/>
      <w:bookmarkStart w:id="53" w:name="_Toc175845988"/>
      <w:r w:rsidRPr="003E6438">
        <w:t xml:space="preserve">Table </w:t>
      </w:r>
      <w:r w:rsidRPr="003E6438">
        <w:fldChar w:fldCharType="begin"/>
      </w:r>
      <w:r w:rsidRPr="003E6438">
        <w:instrText xml:space="preserve"> SEQ Table \* ARABIC </w:instrText>
      </w:r>
      <w:r w:rsidRPr="003E6438">
        <w:fldChar w:fldCharType="separate"/>
      </w:r>
      <w:r w:rsidRPr="003E6438">
        <w:t>4</w:t>
      </w:r>
      <w:r w:rsidRPr="003E6438">
        <w:fldChar w:fldCharType="end"/>
      </w:r>
      <w:bookmarkEnd w:id="52"/>
      <w:r w:rsidRPr="003E6438">
        <w:t xml:space="preserve">.  Serum Pharmacokinetic Parameters of Denosumab by Treatment Group </w:t>
      </w:r>
      <w:bookmarkEnd w:id="53"/>
      <w:r w:rsidR="00D2405C" w:rsidRPr="00D2405C">
        <w:t>(PK Population)</w:t>
      </w:r>
    </w:p>
    <w:p w14:paraId="72D29388" w14:textId="4462A57E" w:rsidR="00892EB7" w:rsidRDefault="00802E1F" w:rsidP="003B3BD2">
      <w:r w:rsidRPr="00802E1F">
        <w:rPr>
          <w:noProof/>
        </w:rPr>
        <w:drawing>
          <wp:inline distT="0" distB="0" distL="0" distR="0" wp14:anchorId="7844BB26" wp14:editId="4FA885BD">
            <wp:extent cx="4106427" cy="5838825"/>
            <wp:effectExtent l="0" t="0" r="8890" b="0"/>
            <wp:docPr id="189020234" name="Picture 1" descr="Table 4.  Serum Pharmacokinetic Parameters of Denosumab by Treatment Group (PK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0234" name="Picture 1" descr="Table 4.  Serum Pharmacokinetic Parameters of Denosumab by Treatment Group (PK Population)."/>
                    <pic:cNvPicPr/>
                  </pic:nvPicPr>
                  <pic:blipFill>
                    <a:blip r:embed="rId26"/>
                    <a:stretch>
                      <a:fillRect/>
                    </a:stretch>
                  </pic:blipFill>
                  <pic:spPr>
                    <a:xfrm>
                      <a:off x="0" y="0"/>
                      <a:ext cx="4130384" cy="5872889"/>
                    </a:xfrm>
                    <a:prstGeom prst="rect">
                      <a:avLst/>
                    </a:prstGeom>
                  </pic:spPr>
                </pic:pic>
              </a:graphicData>
            </a:graphic>
          </wp:inline>
        </w:drawing>
      </w:r>
    </w:p>
    <w:p w14:paraId="2FB2AB7D" w14:textId="77777777" w:rsidR="003B3BD2" w:rsidRPr="003B3BD2" w:rsidRDefault="003B3BD2" w:rsidP="00656D5C">
      <w:pPr>
        <w:pStyle w:val="Heading5"/>
      </w:pPr>
      <w:r w:rsidRPr="003B3BD2">
        <w:lastRenderedPageBreak/>
        <w:t>Phase 1 PK Study CT-P41 1.2</w:t>
      </w:r>
    </w:p>
    <w:p w14:paraId="7469B43F" w14:textId="4A0DDFAE" w:rsidR="003B3BD2" w:rsidRPr="003B3BD2" w:rsidRDefault="00CD6CDC" w:rsidP="003B3BD2">
      <w:r w:rsidRPr="00CD6CDC">
        <w:t>This study compared PK, PD, safety, and immunogenicity between CT-P41 and US-licensed Prolia in healthy male subjects.</w:t>
      </w:r>
      <w:r w:rsidR="00D062BC" w:rsidRPr="00D062BC">
        <w:rPr>
          <w:rFonts w:eastAsia="Cambria" w:cs="Times New Roman"/>
          <w:szCs w:val="22"/>
          <w:lang w:eastAsia="ja-JP"/>
        </w:rPr>
        <w:t xml:space="preserve"> </w:t>
      </w:r>
      <w:r w:rsidR="00D46DE9" w:rsidRPr="00D46DE9">
        <w:t xml:space="preserve">A study drug (CT-P41 or US-licensed Prolia) was administered SC via PFS on Day </w:t>
      </w:r>
      <w:proofErr w:type="gramStart"/>
      <w:r w:rsidR="00D46DE9" w:rsidRPr="00D46DE9">
        <w:t>1</w:t>
      </w:r>
      <w:proofErr w:type="gramEnd"/>
      <w:r w:rsidR="00D46DE9" w:rsidRPr="00D46DE9">
        <w:t xml:space="preserve"> and subjects were followed up for 253 days or until early withdrawal visit for PK, PD, safety, and immunogenicity assessments.  </w:t>
      </w:r>
      <w:r w:rsidR="000D0212" w:rsidRPr="000D0212">
        <w:t xml:space="preserve">A total of 154 healthy male volunteers were included. </w:t>
      </w:r>
      <w:r w:rsidR="003B3BD2" w:rsidRPr="003B3BD2">
        <w:t>As with Study CT-P41 1.1, the serum concentrations of denosumab were similar between the two study groups.</w:t>
      </w:r>
    </w:p>
    <w:p w14:paraId="1634CCED" w14:textId="46B26939" w:rsidR="003B3BD2" w:rsidRPr="003B3BD2" w:rsidRDefault="003B3BD2" w:rsidP="003B3BD2">
      <w:r w:rsidRPr="003B3BD2">
        <w:t>The primary PK endpoints were similar between the CT-P41 and US-</w:t>
      </w:r>
      <w:r w:rsidR="00647D11" w:rsidRPr="00647D11">
        <w:t>licensed</w:t>
      </w:r>
      <w:r w:rsidR="00194044">
        <w:t xml:space="preserve"> </w:t>
      </w:r>
      <w:r w:rsidRPr="003B3BD2">
        <w:t>Prolia groups, with a geometric LS mean AUC</w:t>
      </w:r>
      <w:r w:rsidRPr="003B3BD2">
        <w:rPr>
          <w:vertAlign w:val="subscript"/>
        </w:rPr>
        <w:t>0-inf</w:t>
      </w:r>
      <w:r w:rsidRPr="003B3BD2">
        <w:t xml:space="preserve"> of 319.4 and 297.7 </w:t>
      </w:r>
      <w:proofErr w:type="spellStart"/>
      <w:r w:rsidRPr="003B3BD2">
        <w:t>day•μg</w:t>
      </w:r>
      <w:proofErr w:type="spellEnd"/>
      <w:r w:rsidRPr="003B3BD2">
        <w:t>/mL; AUC</w:t>
      </w:r>
      <w:r w:rsidRPr="003B3BD2">
        <w:rPr>
          <w:vertAlign w:val="subscript"/>
        </w:rPr>
        <w:t>0-last</w:t>
      </w:r>
      <w:r w:rsidRPr="003B3BD2">
        <w:t xml:space="preserve"> of 313.8 and 293.</w:t>
      </w:r>
      <w:r w:rsidR="00647D11">
        <w:rPr>
          <w:rFonts w:hint="eastAsia"/>
          <w:lang w:eastAsia="ko-KR"/>
        </w:rPr>
        <w:t>7</w:t>
      </w:r>
      <w:r w:rsidR="00647D11" w:rsidRPr="003B3BD2">
        <w:t xml:space="preserve"> </w:t>
      </w:r>
      <w:proofErr w:type="spellStart"/>
      <w:r w:rsidRPr="003B3BD2">
        <w:t>day•μg</w:t>
      </w:r>
      <w:proofErr w:type="spellEnd"/>
      <w:r w:rsidRPr="003B3BD2">
        <w:t xml:space="preserve">/mL; </w:t>
      </w:r>
      <w:proofErr w:type="spellStart"/>
      <w:r w:rsidRPr="003B3BD2">
        <w:t>C</w:t>
      </w:r>
      <w:r w:rsidRPr="003B3BD2">
        <w:rPr>
          <w:vertAlign w:val="subscript"/>
        </w:rPr>
        <w:t>max</w:t>
      </w:r>
      <w:proofErr w:type="spellEnd"/>
      <w:r w:rsidRPr="003B3BD2">
        <w:t xml:space="preserve"> of 5.52 and 5.46 </w:t>
      </w:r>
      <w:proofErr w:type="spellStart"/>
      <w:r w:rsidRPr="003B3BD2">
        <w:t>μg</w:t>
      </w:r>
      <w:proofErr w:type="spellEnd"/>
      <w:r w:rsidRPr="003B3BD2">
        <w:t>/mL, respectively. The ratio of geometric LS means and 90% CIs for all primary endpoints were within the equivalence margin of 80% to 125% (</w:t>
      </w:r>
      <w:r w:rsidRPr="00551530">
        <w:fldChar w:fldCharType="begin"/>
      </w:r>
      <w:r w:rsidRPr="00551530">
        <w:instrText xml:space="preserve"> REF _Ref209884835 \h </w:instrText>
      </w:r>
      <w:r w:rsidR="009C2E07" w:rsidRPr="00551530">
        <w:instrText xml:space="preserve"> \* MERGEFORMAT </w:instrText>
      </w:r>
      <w:r w:rsidRPr="00551530">
        <w:fldChar w:fldCharType="separate"/>
      </w:r>
      <w:r w:rsidRPr="00551530">
        <w:t xml:space="preserve">Table </w:t>
      </w:r>
      <w:r w:rsidRPr="00551530">
        <w:fldChar w:fldCharType="end"/>
      </w:r>
      <w:r w:rsidR="00551530" w:rsidRPr="00551530">
        <w:t>5</w:t>
      </w:r>
      <w:r w:rsidRPr="00551530">
        <w:t>).</w:t>
      </w:r>
    </w:p>
    <w:p w14:paraId="528D881B" w14:textId="7268E34D" w:rsidR="003B3BD2" w:rsidRDefault="003B3BD2" w:rsidP="00E96159">
      <w:pPr>
        <w:pStyle w:val="TableTitle"/>
      </w:pPr>
      <w:bookmarkStart w:id="54" w:name="_Ref209884835"/>
      <w:r w:rsidRPr="008446A7">
        <w:t xml:space="preserve">Table </w:t>
      </w:r>
      <w:bookmarkEnd w:id="54"/>
      <w:r w:rsidR="00551530" w:rsidRPr="008446A7">
        <w:t>5</w:t>
      </w:r>
      <w:r w:rsidRPr="008446A7">
        <w:t>. Study CT</w:t>
      </w:r>
      <w:r w:rsidRPr="003B3BD2">
        <w:t>-P41 1.2. Statistical Analysis of Primary PK Parameters (ANCOVA) (PK Set).</w:t>
      </w:r>
    </w:p>
    <w:p w14:paraId="44714881" w14:textId="4B8193A6" w:rsidR="0089126F" w:rsidRPr="003B3BD2" w:rsidRDefault="00270515" w:rsidP="003B3BD2">
      <w:pPr>
        <w:rPr>
          <w:b/>
        </w:rPr>
      </w:pPr>
      <w:r w:rsidRPr="00270515">
        <w:rPr>
          <w:b/>
          <w:noProof/>
        </w:rPr>
        <w:drawing>
          <wp:inline distT="0" distB="0" distL="0" distR="0" wp14:anchorId="450A2D6F" wp14:editId="2D565747">
            <wp:extent cx="5661025" cy="4933950"/>
            <wp:effectExtent l="0" t="0" r="0" b="0"/>
            <wp:docPr id="439922963" name="Picture 1" descr="Table 5. Study CT-P41 1.2. Statistical Analysis of Primary PK Parameters (ANCOVA) (PK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22963" name="Picture 1" descr="Table 5. Study CT-P41 1.2. Statistical Analysis of Primary PK Parameters (ANCOVA) (PK Set)."/>
                    <pic:cNvPicPr/>
                  </pic:nvPicPr>
                  <pic:blipFill>
                    <a:blip r:embed="rId27"/>
                    <a:stretch>
                      <a:fillRect/>
                    </a:stretch>
                  </pic:blipFill>
                  <pic:spPr>
                    <a:xfrm>
                      <a:off x="0" y="0"/>
                      <a:ext cx="5671707" cy="4943260"/>
                    </a:xfrm>
                    <a:prstGeom prst="rect">
                      <a:avLst/>
                    </a:prstGeom>
                  </pic:spPr>
                </pic:pic>
              </a:graphicData>
            </a:graphic>
          </wp:inline>
        </w:drawing>
      </w:r>
    </w:p>
    <w:p w14:paraId="3DE5624D" w14:textId="3E95E2F6" w:rsidR="00551530" w:rsidRPr="00551530" w:rsidRDefault="00551530" w:rsidP="00551530">
      <w:r w:rsidRPr="00551530">
        <w:t>The secondary PK endpoints were similar between the groups, with the following mean values (</w:t>
      </w:r>
      <w:r w:rsidRPr="00551530">
        <w:fldChar w:fldCharType="begin"/>
      </w:r>
      <w:r w:rsidRPr="00551530">
        <w:instrText xml:space="preserve"> REF _Ref209949648 \h  \* MERGEFORMAT </w:instrText>
      </w:r>
      <w:r w:rsidRPr="00551530">
        <w:fldChar w:fldCharType="separate"/>
      </w:r>
      <w:r w:rsidRPr="00551530">
        <w:t xml:space="preserve">Table </w:t>
      </w:r>
      <w:r w:rsidRPr="00551530">
        <w:fldChar w:fldCharType="end"/>
      </w:r>
      <w:r w:rsidR="008446A7">
        <w:t>6</w:t>
      </w:r>
      <w:r w:rsidRPr="00551530">
        <w:t>): pAUC</w:t>
      </w:r>
      <w:r w:rsidRPr="00551530">
        <w:rPr>
          <w:vertAlign w:val="subscript"/>
        </w:rPr>
        <w:t>0-W16</w:t>
      </w:r>
      <w:r w:rsidRPr="00551530">
        <w:t xml:space="preserve"> of 320.1 and 294.4 </w:t>
      </w:r>
      <w:proofErr w:type="spellStart"/>
      <w:r w:rsidRPr="00551530">
        <w:t>day•μg</w:t>
      </w:r>
      <w:proofErr w:type="spellEnd"/>
      <w:r w:rsidRPr="00551530">
        <w:t>/mL, pAUC</w:t>
      </w:r>
      <w:r w:rsidRPr="00551530">
        <w:rPr>
          <w:vertAlign w:val="subscript"/>
        </w:rPr>
        <w:t>W16-inf</w:t>
      </w:r>
      <w:r w:rsidRPr="00551530">
        <w:t xml:space="preserve"> of 16.6 and 14.7 </w:t>
      </w:r>
      <w:proofErr w:type="spellStart"/>
      <w:r w:rsidRPr="00551530">
        <w:t>day•μg</w:t>
      </w:r>
      <w:proofErr w:type="spellEnd"/>
      <w:r w:rsidRPr="00551530">
        <w:t xml:space="preserve">/mL, </w:t>
      </w:r>
      <w:proofErr w:type="spellStart"/>
      <w:r w:rsidRPr="00551530">
        <w:t>T</w:t>
      </w:r>
      <w:r w:rsidRPr="00551530">
        <w:rPr>
          <w:vertAlign w:val="subscript"/>
        </w:rPr>
        <w:t>max</w:t>
      </w:r>
      <w:proofErr w:type="spellEnd"/>
      <w:r w:rsidRPr="00551530">
        <w:t xml:space="preserve"> 12.2 and 10.9 days, T</w:t>
      </w:r>
      <w:r w:rsidRPr="00551530">
        <w:rPr>
          <w:vertAlign w:val="subscript"/>
        </w:rPr>
        <w:t>1/2</w:t>
      </w:r>
      <w:r w:rsidRPr="00551530">
        <w:t xml:space="preserve"> of 16.8 and 16.2 days, %</w:t>
      </w:r>
      <w:proofErr w:type="spellStart"/>
      <w:r w:rsidRPr="00551530">
        <w:t>AUC</w:t>
      </w:r>
      <w:r w:rsidRPr="00551530">
        <w:rPr>
          <w:vertAlign w:val="subscript"/>
        </w:rPr>
        <w:t>ext</w:t>
      </w:r>
      <w:proofErr w:type="spellEnd"/>
      <w:r w:rsidRPr="00551530">
        <w:t xml:space="preserve"> of 1.08 and 0.83, </w:t>
      </w:r>
      <w:proofErr w:type="spellStart"/>
      <w:r w:rsidRPr="00551530">
        <w:t>λ</w:t>
      </w:r>
      <w:r w:rsidRPr="00551530">
        <w:rPr>
          <w:vertAlign w:val="subscript"/>
        </w:rPr>
        <w:t>z</w:t>
      </w:r>
      <w:proofErr w:type="spellEnd"/>
      <w:r w:rsidRPr="00551530">
        <w:t xml:space="preserve"> of 0.044 and 0.047, CL/F of 0.19 and 0.22 L/day, </w:t>
      </w:r>
      <w:proofErr w:type="spellStart"/>
      <w:r w:rsidRPr="00551530">
        <w:t>V</w:t>
      </w:r>
      <w:r w:rsidRPr="00551530">
        <w:rPr>
          <w:vertAlign w:val="subscript"/>
        </w:rPr>
        <w:t>z</w:t>
      </w:r>
      <w:proofErr w:type="spellEnd"/>
      <w:r w:rsidRPr="00551530">
        <w:t>/F of 4.42 and 4.75L, and MRT of 43.2 and 41.6 days, respectively.</w:t>
      </w:r>
    </w:p>
    <w:p w14:paraId="20B3CDEA" w14:textId="28A59150" w:rsidR="009B094A" w:rsidRDefault="009B094A" w:rsidP="00E96159">
      <w:pPr>
        <w:pStyle w:val="TableTitle"/>
      </w:pPr>
      <w:bookmarkStart w:id="55" w:name="_Ref169547158"/>
      <w:bookmarkStart w:id="56" w:name="_Toc175845992"/>
      <w:r w:rsidRPr="009B094A">
        <w:lastRenderedPageBreak/>
        <w:t xml:space="preserve">Table </w:t>
      </w:r>
      <w:bookmarkEnd w:id="55"/>
      <w:r>
        <w:t>6</w:t>
      </w:r>
      <w:r w:rsidRPr="009B094A">
        <w:t>.  Secondary Pharmacokinetic Parameters of Denosumab by Treatment Group: PK Set</w:t>
      </w:r>
      <w:bookmarkEnd w:id="56"/>
      <w:r w:rsidR="002E5736">
        <w:t>.</w:t>
      </w:r>
    </w:p>
    <w:p w14:paraId="7F76A7C8" w14:textId="4319B8CB" w:rsidR="002457E4" w:rsidRPr="009B094A" w:rsidRDefault="002457E4" w:rsidP="009B094A">
      <w:pPr>
        <w:rPr>
          <w:b/>
        </w:rPr>
      </w:pPr>
      <w:r w:rsidRPr="002457E4">
        <w:rPr>
          <w:b/>
          <w:noProof/>
        </w:rPr>
        <w:drawing>
          <wp:inline distT="0" distB="0" distL="0" distR="0" wp14:anchorId="4CD3217B" wp14:editId="08B1D0D8">
            <wp:extent cx="4198620" cy="8273448"/>
            <wp:effectExtent l="0" t="0" r="0" b="0"/>
            <wp:docPr id="42479113" name="Picture 1" descr="Table 6.  Secondary Pharmacokinetic Parameters of Denosumab by Treatment Group: PK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9113" name="Picture 1" descr="Table 6.  Secondary Pharmacokinetic Parameters of Denosumab by Treatment Group: PK Set."/>
                    <pic:cNvPicPr/>
                  </pic:nvPicPr>
                  <pic:blipFill>
                    <a:blip r:embed="rId28"/>
                    <a:stretch>
                      <a:fillRect/>
                    </a:stretch>
                  </pic:blipFill>
                  <pic:spPr>
                    <a:xfrm>
                      <a:off x="0" y="0"/>
                      <a:ext cx="4199479" cy="8275140"/>
                    </a:xfrm>
                    <a:prstGeom prst="rect">
                      <a:avLst/>
                    </a:prstGeom>
                  </pic:spPr>
                </pic:pic>
              </a:graphicData>
            </a:graphic>
          </wp:inline>
        </w:drawing>
      </w:r>
    </w:p>
    <w:p w14:paraId="111A13FB" w14:textId="3CE506F3" w:rsidR="003B3BD2" w:rsidRDefault="003B3BD2" w:rsidP="003B3BD2"/>
    <w:p w14:paraId="519D9129" w14:textId="77777777" w:rsidR="003B3BD2" w:rsidRPr="003B3BD2" w:rsidRDefault="003B3BD2" w:rsidP="00447245">
      <w:pPr>
        <w:pStyle w:val="Heading5"/>
      </w:pPr>
      <w:r w:rsidRPr="003B3BD2">
        <w:lastRenderedPageBreak/>
        <w:t>Phase 3 Study CT-P41 3.1</w:t>
      </w:r>
    </w:p>
    <w:p w14:paraId="648B8920" w14:textId="7597FE42" w:rsidR="00BF0D75" w:rsidRPr="00BF0D75" w:rsidRDefault="000C7A7B" w:rsidP="00BF0D75">
      <w:r w:rsidRPr="000C7A7B">
        <w:t xml:space="preserve">This was a double-blind, randomised, active-controlled, Phase 3 study to evaluate the efficacy, PK, PD, and safety including immunogenicity of CT-P41 compared with US-licensed Prolia in postmenopausal women with osteoporosis.  </w:t>
      </w:r>
      <w:r w:rsidR="003B3BD2" w:rsidRPr="003B3BD2">
        <w:t>477 women aged 50 to 80 years with osteoporosis (based on the BMD T-score ≤− 2.5 and ≥− 4.0 at the lumbar spine from DXA scan at screening) received study treatment.</w:t>
      </w:r>
      <w:r w:rsidR="00BF0D75" w:rsidRPr="00BF0D75">
        <w:rPr>
          <w:rFonts w:eastAsia="Cambria" w:cs="Times New Roman"/>
          <w:szCs w:val="22"/>
          <w:lang w:eastAsia="ja-JP"/>
        </w:rPr>
        <w:t xml:space="preserve"> </w:t>
      </w:r>
      <w:r w:rsidR="00BF0D75" w:rsidRPr="00BF0D75">
        <w:t>All patients were to also receive daily supplementation containing at least 1,000 mg of elemental calcium and at least 400 IU vitamin D from randomisation to EOS visit and the data are collected via patient’s diary.</w:t>
      </w:r>
    </w:p>
    <w:p w14:paraId="5DE5762B" w14:textId="77777777" w:rsidR="003B3BD2" w:rsidRPr="003B3BD2" w:rsidRDefault="003B3BD2" w:rsidP="003B3BD2">
      <w:r w:rsidRPr="003B3BD2">
        <w:t>The study was divided into two periods:</w:t>
      </w:r>
    </w:p>
    <w:p w14:paraId="46F346AF" w14:textId="77777777" w:rsidR="003B3BD2" w:rsidRPr="003B3BD2" w:rsidRDefault="003B3BD2" w:rsidP="00E96159">
      <w:pPr>
        <w:pStyle w:val="ListBullet"/>
      </w:pPr>
      <w:r w:rsidRPr="003B3BD2">
        <w:t>In Treatment Period I (up to Week 52), the participants were randomised 1:1 to receive either CT-P41 or Prolia.</w:t>
      </w:r>
    </w:p>
    <w:p w14:paraId="7DEB7319" w14:textId="0B937071" w:rsidR="003B3BD2" w:rsidRPr="003B3BD2" w:rsidRDefault="003B3BD2" w:rsidP="00E96159">
      <w:pPr>
        <w:pStyle w:val="ListBullet"/>
      </w:pPr>
      <w:r w:rsidRPr="003B3BD2">
        <w:t xml:space="preserve">In Treatment Period II (from Week 52 to Week 78), approximately half of those who received Prolia in Period I were </w:t>
      </w:r>
      <w:r w:rsidR="00455007">
        <w:t>S</w:t>
      </w:r>
      <w:r w:rsidRPr="003B3BD2">
        <w:t>witched to receive CT-P41.</w:t>
      </w:r>
    </w:p>
    <w:p w14:paraId="4CAB89E1" w14:textId="59F10766" w:rsidR="003B3BD2" w:rsidRPr="003B3BD2" w:rsidRDefault="003B3BD2" w:rsidP="003B3BD2">
      <w:r w:rsidRPr="003B3BD2">
        <w:t xml:space="preserve">The serum concentrations of denosumab were comparable between the two groups in Treatment Period I, and comparable between the CT-P41 maintenance, Prolia maintenance, and </w:t>
      </w:r>
      <w:proofErr w:type="gramStart"/>
      <w:r w:rsidR="00455007">
        <w:t>Switched</w:t>
      </w:r>
      <w:proofErr w:type="gramEnd"/>
      <w:r w:rsidRPr="003B3BD2">
        <w:t xml:space="preserve"> to CT-P41 groups in Treatment Period II. </w:t>
      </w:r>
    </w:p>
    <w:p w14:paraId="6BD56A0E" w14:textId="77777777" w:rsidR="003B3BD2" w:rsidRPr="003B3BD2" w:rsidRDefault="003B3BD2" w:rsidP="003B3BD2">
      <w:r w:rsidRPr="003B3BD2">
        <w:t xml:space="preserve">In Treatment Period I, the following PK parameters (mean) were assessed up to Week 26 for the CT-P41 and US-licensed Prolia groups: </w:t>
      </w:r>
      <w:proofErr w:type="spellStart"/>
      <w:r w:rsidRPr="003B3BD2">
        <w:t>C</w:t>
      </w:r>
      <w:r w:rsidRPr="003B3BD2">
        <w:rPr>
          <w:vertAlign w:val="subscript"/>
        </w:rPr>
        <w:t>trough</w:t>
      </w:r>
      <w:proofErr w:type="spellEnd"/>
      <w:r w:rsidRPr="003B3BD2">
        <w:t xml:space="preserve"> (46.8 and 31.7 ng/mL at Day 1; 75.6 and 64.0 ng/mL at Week 26), C</w:t>
      </w:r>
      <w:r w:rsidRPr="003B3BD2">
        <w:rPr>
          <w:vertAlign w:val="subscript"/>
        </w:rPr>
        <w:t>max</w:t>
      </w:r>
      <w:r w:rsidRPr="003B3BD2">
        <w:t xml:space="preserve"> (6158.9 and 5767.2 ng/mL), AUC</w:t>
      </w:r>
      <w:r w:rsidRPr="003B3BD2">
        <w:rPr>
          <w:vertAlign w:val="subscript"/>
        </w:rPr>
        <w:t>0-t</w:t>
      </w:r>
      <w:r w:rsidRPr="003B3BD2">
        <w:t xml:space="preserve"> (386032.7 and 357072.0 </w:t>
      </w:r>
      <w:proofErr w:type="spellStart"/>
      <w:r w:rsidRPr="003B3BD2">
        <w:t>day•μg</w:t>
      </w:r>
      <w:proofErr w:type="spellEnd"/>
      <w:r w:rsidRPr="003B3BD2">
        <w:t xml:space="preserve">/mL), </w:t>
      </w:r>
      <w:proofErr w:type="spellStart"/>
      <w:r w:rsidRPr="003B3BD2">
        <w:t>T</w:t>
      </w:r>
      <w:r w:rsidRPr="003B3BD2">
        <w:rPr>
          <w:vertAlign w:val="subscript"/>
        </w:rPr>
        <w:t>max</w:t>
      </w:r>
      <w:proofErr w:type="spellEnd"/>
      <w:r w:rsidRPr="003B3BD2">
        <w:t xml:space="preserve"> (13.2 and 12.3 days), </w:t>
      </w:r>
      <w:proofErr w:type="spellStart"/>
      <w:r w:rsidRPr="003B3BD2">
        <w:t>V</w:t>
      </w:r>
      <w:r w:rsidRPr="003B3BD2">
        <w:rPr>
          <w:vertAlign w:val="subscript"/>
        </w:rPr>
        <w:t>d</w:t>
      </w:r>
      <w:proofErr w:type="spellEnd"/>
      <w:r w:rsidRPr="003B3BD2">
        <w:t xml:space="preserve"> (7.0 and 7.7L), and T</w:t>
      </w:r>
      <w:r w:rsidRPr="003B3BD2">
        <w:rPr>
          <w:vertAlign w:val="subscript"/>
        </w:rPr>
        <w:t>1/2</w:t>
      </w:r>
      <w:r w:rsidRPr="003B3BD2">
        <w:t xml:space="preserve"> (28.3 and 28.6 days).</w:t>
      </w:r>
    </w:p>
    <w:p w14:paraId="75529BCF" w14:textId="2CF45921" w:rsidR="003B3BD2" w:rsidRPr="003B3BD2" w:rsidRDefault="003B3BD2" w:rsidP="003B3BD2">
      <w:r w:rsidRPr="003B3BD2">
        <w:t xml:space="preserve">In Treatment Period II, </w:t>
      </w:r>
      <w:proofErr w:type="spellStart"/>
      <w:r w:rsidRPr="003B3BD2">
        <w:t>C</w:t>
      </w:r>
      <w:r w:rsidRPr="003B3BD2">
        <w:rPr>
          <w:vertAlign w:val="subscript"/>
        </w:rPr>
        <w:t>trough</w:t>
      </w:r>
      <w:proofErr w:type="spellEnd"/>
      <w:r w:rsidRPr="003B3BD2">
        <w:t xml:space="preserve"> at Week 52 were assessed in all three groups.  The mean </w:t>
      </w:r>
      <w:proofErr w:type="spellStart"/>
      <w:r w:rsidRPr="003B3BD2">
        <w:t>C</w:t>
      </w:r>
      <w:r w:rsidRPr="003B3BD2">
        <w:rPr>
          <w:vertAlign w:val="subscript"/>
        </w:rPr>
        <w:t>trough</w:t>
      </w:r>
      <w:proofErr w:type="spellEnd"/>
      <w:r w:rsidRPr="003B3BD2">
        <w:t xml:space="preserve"> values were 73.5, 61.6, and 129.9 ng/mL respectively, with the median </w:t>
      </w:r>
      <w:proofErr w:type="spellStart"/>
      <w:r w:rsidRPr="003B3BD2">
        <w:t>C</w:t>
      </w:r>
      <w:r w:rsidRPr="003B3BD2">
        <w:rPr>
          <w:vertAlign w:val="subscript"/>
        </w:rPr>
        <w:t>trough</w:t>
      </w:r>
      <w:proofErr w:type="spellEnd"/>
      <w:r w:rsidRPr="003B3BD2">
        <w:t xml:space="preserve"> of 0 ng/mL in all three groups.  The high </w:t>
      </w:r>
      <w:proofErr w:type="spellStart"/>
      <w:r w:rsidRPr="003B3BD2">
        <w:t>C</w:t>
      </w:r>
      <w:r w:rsidRPr="003B3BD2">
        <w:rPr>
          <w:vertAlign w:val="subscript"/>
        </w:rPr>
        <w:t>trough</w:t>
      </w:r>
      <w:proofErr w:type="spellEnd"/>
      <w:r w:rsidRPr="003B3BD2">
        <w:t xml:space="preserve"> in the Switched to CT-P41 group is thought to be due one of the subjects having a very high reading at Week 52.</w:t>
      </w:r>
    </w:p>
    <w:p w14:paraId="7D3056CC" w14:textId="77777777" w:rsidR="003B3BD2" w:rsidRPr="003B3BD2" w:rsidRDefault="003B3BD2" w:rsidP="003B3BD2">
      <w:r w:rsidRPr="003B3BD2">
        <w:t>Overall, based on the PK data provided, the serum denosumab concentrations and PK parameters appeared to be generally consistent between those who received CT-P41 and US-licensed Prolia.</w:t>
      </w:r>
    </w:p>
    <w:p w14:paraId="427EC107" w14:textId="77777777" w:rsidR="003B3BD2" w:rsidRPr="003B3BD2" w:rsidRDefault="003B3BD2" w:rsidP="003B3BD2">
      <w:r w:rsidRPr="003B3BD2">
        <w:t xml:space="preserve">Additionally, the pharmacodynamic results provided evidence that the effects of CT-P41 and Prolia were generally equivalent </w:t>
      </w:r>
      <w:proofErr w:type="gramStart"/>
      <w:r w:rsidRPr="003B3BD2">
        <w:t xml:space="preserve">with </w:t>
      </w:r>
      <w:r w:rsidRPr="004635D7">
        <w:t>regard to</w:t>
      </w:r>
      <w:proofErr w:type="gramEnd"/>
      <w:r w:rsidRPr="004635D7">
        <w:t xml:space="preserve"> s-</w:t>
      </w:r>
      <w:r w:rsidRPr="00B16E77">
        <w:t>CTX and P1NP reduction.</w:t>
      </w:r>
    </w:p>
    <w:p w14:paraId="13BFF932" w14:textId="77777777" w:rsidR="003B3BD2" w:rsidRPr="003B3BD2" w:rsidRDefault="003B3BD2" w:rsidP="00447245">
      <w:pPr>
        <w:pStyle w:val="Heading4"/>
      </w:pPr>
      <w:bookmarkStart w:id="57" w:name="_Toc215235759"/>
      <w:r w:rsidRPr="003B3BD2">
        <w:t>Efficacy</w:t>
      </w:r>
      <w:bookmarkEnd w:id="57"/>
    </w:p>
    <w:p w14:paraId="46C7A9DD" w14:textId="77777777" w:rsidR="003B3BD2" w:rsidRPr="003B3BD2" w:rsidRDefault="003B3BD2" w:rsidP="00447245">
      <w:pPr>
        <w:pStyle w:val="Heading5"/>
      </w:pPr>
      <w:r w:rsidRPr="003B3BD2">
        <w:t>Pivotal phase 3 Study CT-P41 3.1</w:t>
      </w:r>
    </w:p>
    <w:p w14:paraId="74CC4DB0" w14:textId="77777777" w:rsidR="003B3BD2" w:rsidRPr="00FF2E43" w:rsidRDefault="003B3BD2" w:rsidP="00E96159">
      <w:pPr>
        <w:pStyle w:val="Heading6"/>
      </w:pPr>
      <w:r w:rsidRPr="00FF2E43">
        <w:t>Design</w:t>
      </w:r>
    </w:p>
    <w:p w14:paraId="5CCD40F0" w14:textId="77777777" w:rsidR="003B3BD2" w:rsidRPr="003B3BD2" w:rsidRDefault="003B3BD2" w:rsidP="003B3BD2">
      <w:r w:rsidRPr="003B3BD2">
        <w:t>Phase 3, double-blind, randomised, active-controlled, parallel-group (1:1) clinical equivalence study to evaluate the efficacy, PK, PD, and safety including immunogenicity of CT-P41 compared with US-licensed Prolia in 479 postmenopausal women with osteoporosis.</w:t>
      </w:r>
    </w:p>
    <w:p w14:paraId="49411586" w14:textId="77777777" w:rsidR="003B3BD2" w:rsidRPr="003B3BD2" w:rsidRDefault="003B3BD2" w:rsidP="003B3BD2">
      <w:r w:rsidRPr="003B3BD2">
        <w:t>All patients were to also receive daily supplementation containing at least 1,000 mg of elemental calcium and at least 400 IU vitamin D from randomisation to EOS visit.</w:t>
      </w:r>
    </w:p>
    <w:p w14:paraId="60E38374" w14:textId="77777777" w:rsidR="003B3BD2" w:rsidRDefault="003B3BD2" w:rsidP="003B3BD2">
      <w:r w:rsidRPr="00E96159">
        <w:rPr>
          <w:b/>
          <w:bCs/>
        </w:rPr>
        <w:t>Primary efficacy objective</w:t>
      </w:r>
      <w:r w:rsidRPr="003B3BD2">
        <w:t>: To demonstrate the equivalence of CT-P41 to US-licensed Prolia in terms of efficacy in postmenopausal women with osteoporosis as determined by percent change from baseline in BMD for lumbar spine (L1 to L4) at Week 52.</w:t>
      </w:r>
    </w:p>
    <w:p w14:paraId="6D99BCE2" w14:textId="69E57737" w:rsidR="003B3BD2" w:rsidRPr="003B3BD2" w:rsidRDefault="003B3BD2" w:rsidP="00E96159">
      <w:pPr>
        <w:pStyle w:val="FigureTitle"/>
      </w:pPr>
      <w:bookmarkStart w:id="58" w:name="_Ref134618246"/>
      <w:r w:rsidRPr="003B3BD2">
        <w:lastRenderedPageBreak/>
        <w:t xml:space="preserve">Figure </w:t>
      </w:r>
      <w:r w:rsidRPr="003B3BD2">
        <w:fldChar w:fldCharType="begin"/>
      </w:r>
      <w:r w:rsidRPr="003B3BD2">
        <w:instrText xml:space="preserve"> SEQ Figure \* ARABIC </w:instrText>
      </w:r>
      <w:r w:rsidRPr="003B3BD2">
        <w:fldChar w:fldCharType="separate"/>
      </w:r>
      <w:r w:rsidRPr="003B3BD2">
        <w:t>1</w:t>
      </w:r>
      <w:r w:rsidRPr="003B3BD2">
        <w:fldChar w:fldCharType="end"/>
      </w:r>
      <w:r w:rsidRPr="003B3BD2">
        <w:t>. Study CT-P41 3.1. Study design schema.</w:t>
      </w:r>
      <w:bookmarkEnd w:id="58"/>
    </w:p>
    <w:p w14:paraId="51CF7D68" w14:textId="35D4938B" w:rsidR="003B3BD2" w:rsidRDefault="003B3BD2" w:rsidP="003B3BD2">
      <w:r w:rsidRPr="00240299">
        <w:rPr>
          <w:noProof/>
          <w:lang w:eastAsia="ja-JP"/>
        </w:rPr>
        <w:drawing>
          <wp:inline distT="0" distB="0" distL="0" distR="0" wp14:anchorId="372D1689" wp14:editId="681BC0CA">
            <wp:extent cx="5981700" cy="3739060"/>
            <wp:effectExtent l="0" t="0" r="0" b="0"/>
            <wp:docPr id="37" name="Picture 37" descr="Figure 1. Study CT-P41 3.1. Study design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1. Study CT-P41 3.1. Study design schema."/>
                    <pic:cNvPicPr/>
                  </pic:nvPicPr>
                  <pic:blipFill>
                    <a:blip r:embed="rId29"/>
                    <a:stretch>
                      <a:fillRect/>
                    </a:stretch>
                  </pic:blipFill>
                  <pic:spPr>
                    <a:xfrm>
                      <a:off x="0" y="0"/>
                      <a:ext cx="5985132" cy="3741205"/>
                    </a:xfrm>
                    <a:prstGeom prst="rect">
                      <a:avLst/>
                    </a:prstGeom>
                  </pic:spPr>
                </pic:pic>
              </a:graphicData>
            </a:graphic>
          </wp:inline>
        </w:drawing>
      </w:r>
    </w:p>
    <w:p w14:paraId="0118AD7B" w14:textId="77777777" w:rsidR="003B3BD2" w:rsidRPr="003B3BD2" w:rsidRDefault="003B3BD2" w:rsidP="003B3BD2">
      <w:r w:rsidRPr="003B3BD2">
        <w:t xml:space="preserve">Key </w:t>
      </w:r>
      <w:r w:rsidRPr="00E96159">
        <w:t>inclusion criteria</w:t>
      </w:r>
      <w:r w:rsidRPr="003B3BD2">
        <w:t xml:space="preserve"> included:</w:t>
      </w:r>
    </w:p>
    <w:p w14:paraId="2AC3F877" w14:textId="77777777" w:rsidR="003B3BD2" w:rsidRPr="003B3BD2" w:rsidRDefault="003B3BD2" w:rsidP="00A15F99">
      <w:pPr>
        <w:pStyle w:val="ListBullet"/>
      </w:pPr>
      <w:r w:rsidRPr="003B3BD2">
        <w:t>Women aged 50 to 80 years.</w:t>
      </w:r>
    </w:p>
    <w:p w14:paraId="3B1FAA39" w14:textId="77777777" w:rsidR="003B3BD2" w:rsidRPr="003B3BD2" w:rsidRDefault="003B3BD2" w:rsidP="00A15F99">
      <w:pPr>
        <w:pStyle w:val="ListBullet"/>
      </w:pPr>
      <w:r w:rsidRPr="003B3BD2">
        <w:t>Body weight between 40.0 and 99.9 kg.</w:t>
      </w:r>
    </w:p>
    <w:p w14:paraId="48D22C81" w14:textId="77777777" w:rsidR="003B3BD2" w:rsidRPr="003B3BD2" w:rsidRDefault="003B3BD2" w:rsidP="00A15F99">
      <w:pPr>
        <w:pStyle w:val="ListBullet"/>
      </w:pPr>
      <w:r w:rsidRPr="003B3BD2">
        <w:t>Postmenopausal, either by natural or surgical means.</w:t>
      </w:r>
    </w:p>
    <w:p w14:paraId="4202204A" w14:textId="77777777" w:rsidR="003B3BD2" w:rsidRPr="003B3BD2" w:rsidRDefault="003B3BD2" w:rsidP="00A15F99">
      <w:pPr>
        <w:pStyle w:val="ListBullet"/>
      </w:pPr>
      <w:r w:rsidRPr="003B3BD2">
        <w:t>Bone mineral density T-score ≤− 2.5 and ≥− 4.0 at the lumbar spine (L1 to L4) as assessed by the central imaging vendor based on DXA scan at Screening.</w:t>
      </w:r>
    </w:p>
    <w:p w14:paraId="669D7F09" w14:textId="77777777" w:rsidR="003B3BD2" w:rsidRPr="003B3BD2" w:rsidRDefault="003B3BD2" w:rsidP="00A15F99">
      <w:pPr>
        <w:pStyle w:val="ListBullet"/>
      </w:pPr>
      <w:r w:rsidRPr="003B3BD2">
        <w:t>At least 3 vertebrae (L1-L4) and at least 1 hip evaluable by DXA scan at Screening.</w:t>
      </w:r>
    </w:p>
    <w:p w14:paraId="431F7966" w14:textId="77777777" w:rsidR="003B3BD2" w:rsidRPr="003B3BD2" w:rsidRDefault="003B3BD2" w:rsidP="00A15F99">
      <w:pPr>
        <w:pStyle w:val="ListBullet"/>
      </w:pPr>
      <w:r w:rsidRPr="003B3BD2">
        <w:t>Patient with albumin-adjusted total serum calcium ≥8.5 mg/dL (≥2.125 mmol/L) at Screening.</w:t>
      </w:r>
    </w:p>
    <w:p w14:paraId="298124EF" w14:textId="77777777" w:rsidR="003B3BD2" w:rsidRPr="003B3BD2" w:rsidRDefault="003B3BD2" w:rsidP="00A15F99">
      <w:pPr>
        <w:pStyle w:val="ListBullet"/>
      </w:pPr>
      <w:r w:rsidRPr="003B3BD2">
        <w:t>Patient had adequate hepatic function at Screening (AST, ALT ≤ 3 x ULN, ALP and total bilirubin ≤ 2 x ULN).</w:t>
      </w:r>
    </w:p>
    <w:p w14:paraId="5A72A75C" w14:textId="77777777" w:rsidR="003B3BD2" w:rsidRPr="003B3BD2" w:rsidRDefault="003B3BD2" w:rsidP="00A15F99">
      <w:pPr>
        <w:pStyle w:val="ListBullet"/>
      </w:pPr>
      <w:r w:rsidRPr="003B3BD2">
        <w:t>In good general health as determined by medical history, physical examination, and laboratory tests and able to walk without assistance.</w:t>
      </w:r>
    </w:p>
    <w:p w14:paraId="7B8B59A6" w14:textId="77777777" w:rsidR="003B3BD2" w:rsidRPr="003B3BD2" w:rsidRDefault="003B3BD2" w:rsidP="003B3BD2">
      <w:r w:rsidRPr="003B3BD2">
        <w:t xml:space="preserve">Key </w:t>
      </w:r>
      <w:r w:rsidRPr="00E96159">
        <w:t>exclusion criteria</w:t>
      </w:r>
      <w:r w:rsidRPr="003B3BD2">
        <w:t xml:space="preserve"> included:</w:t>
      </w:r>
    </w:p>
    <w:p w14:paraId="2BFB1E5B" w14:textId="77777777" w:rsidR="003B3BD2" w:rsidRPr="003B3BD2" w:rsidRDefault="003B3BD2" w:rsidP="00A15F99">
      <w:pPr>
        <w:pStyle w:val="ListBullet"/>
      </w:pPr>
      <w:r w:rsidRPr="003B3BD2">
        <w:t>Patients previously received denosumab, any other monoclonal antibodies, or biologic agents for osteoporosis.</w:t>
      </w:r>
    </w:p>
    <w:p w14:paraId="5BC85602" w14:textId="77777777" w:rsidR="003B3BD2" w:rsidRPr="003B3BD2" w:rsidRDefault="003B3BD2" w:rsidP="00A15F99">
      <w:pPr>
        <w:pStyle w:val="ListBullet"/>
      </w:pPr>
      <w:r w:rsidRPr="003B3BD2">
        <w:t>Patients with the following medical histories:</w:t>
      </w:r>
    </w:p>
    <w:p w14:paraId="2F987979" w14:textId="77777777" w:rsidR="003B3BD2" w:rsidRPr="003B3BD2" w:rsidRDefault="003B3BD2" w:rsidP="00A15F99">
      <w:pPr>
        <w:pStyle w:val="ListBullet2"/>
      </w:pPr>
      <w:r w:rsidRPr="003B3BD2">
        <w:t>One severe or &gt;2 moderate vertebral fractures (severe fracture is defined as &gt;40% vertebral height loss and moderate fracture was defined as 25% to 40% vertebral height loss</w:t>
      </w:r>
    </w:p>
    <w:p w14:paraId="0778DC45" w14:textId="77777777" w:rsidR="003B3BD2" w:rsidRPr="003B3BD2" w:rsidRDefault="003B3BD2" w:rsidP="00A15F99">
      <w:pPr>
        <w:pStyle w:val="ListBullet2"/>
      </w:pPr>
      <w:r w:rsidRPr="003B3BD2">
        <w:t>Hip fracture</w:t>
      </w:r>
    </w:p>
    <w:p w14:paraId="42A6F737" w14:textId="77777777" w:rsidR="003B3BD2" w:rsidRPr="003B3BD2" w:rsidRDefault="003B3BD2" w:rsidP="00A15F99">
      <w:pPr>
        <w:pStyle w:val="ListBullet2"/>
      </w:pPr>
      <w:r w:rsidRPr="003B3BD2">
        <w:lastRenderedPageBreak/>
        <w:t xml:space="preserve">Hyper/hypoparathyroidism </w:t>
      </w:r>
    </w:p>
    <w:p w14:paraId="1A66E302" w14:textId="77777777" w:rsidR="003B3BD2" w:rsidRPr="003B3BD2" w:rsidRDefault="003B3BD2" w:rsidP="00A15F99">
      <w:pPr>
        <w:pStyle w:val="ListBullet2"/>
      </w:pPr>
      <w:r w:rsidRPr="003B3BD2">
        <w:t>Current hyper/hypothyroidism</w:t>
      </w:r>
    </w:p>
    <w:p w14:paraId="781F7806" w14:textId="77777777" w:rsidR="003B3BD2" w:rsidRPr="003B3BD2" w:rsidRDefault="003B3BD2" w:rsidP="00A15F99">
      <w:pPr>
        <w:pStyle w:val="ListBullet2"/>
      </w:pPr>
      <w:r w:rsidRPr="003B3BD2">
        <w:t>Bone disease and metabolic disease (except for osteoporosis) that might interfere with the interpretation of the results including osteomalacia, osteogenesis imperfecta, Paget’s disease, rheumatoid arthritis, ankylosing spondylitis, osteopetrosis, fibrous dysplasia, an elevation of ALP at the investigator’s discretion, Cushing’s disease, hyperprolactinemia, malabsorption syndrome, advanced scoliosis or extensive lumbar fusion</w:t>
      </w:r>
    </w:p>
    <w:p w14:paraId="6A4C7623" w14:textId="77777777" w:rsidR="003B3BD2" w:rsidRPr="003B3BD2" w:rsidRDefault="003B3BD2" w:rsidP="00A15F99">
      <w:pPr>
        <w:pStyle w:val="ListBullet2"/>
      </w:pPr>
      <w:r w:rsidRPr="003B3BD2">
        <w:t>History and/or current oral or dental conditions including osteomyelitis or ONJ, or requirement for dental surgery</w:t>
      </w:r>
    </w:p>
    <w:p w14:paraId="125D1594" w14:textId="77777777" w:rsidR="003B3BD2" w:rsidRPr="003B3BD2" w:rsidRDefault="003B3BD2" w:rsidP="00A15F99">
      <w:pPr>
        <w:pStyle w:val="ListBullet2"/>
      </w:pPr>
      <w:r w:rsidRPr="003B3BD2">
        <w:t>History of any malignancy within 5 years</w:t>
      </w:r>
    </w:p>
    <w:p w14:paraId="181181B8" w14:textId="77777777" w:rsidR="003B3BD2" w:rsidRPr="003B3BD2" w:rsidRDefault="003B3BD2" w:rsidP="00A15F99">
      <w:pPr>
        <w:pStyle w:val="ListBullet2"/>
      </w:pPr>
      <w:r w:rsidRPr="003B3BD2">
        <w:t>New York Heart Association (NYHA) Class III or IV chronic heart failure, any unstable cardiovascular disease, pulmonary disease, autoimmune disease, or ECG abnormalities which could be judged as clinically significant at the investigator’s discretion</w:t>
      </w:r>
    </w:p>
    <w:p w14:paraId="72AA3719" w14:textId="77777777" w:rsidR="003B3BD2" w:rsidRPr="003B3BD2" w:rsidRDefault="003B3BD2" w:rsidP="00A15F99">
      <w:pPr>
        <w:pStyle w:val="ListBullet"/>
      </w:pPr>
      <w:r w:rsidRPr="003B3BD2">
        <w:t>Patients with the following laboratory results</w:t>
      </w:r>
    </w:p>
    <w:p w14:paraId="0710B053" w14:textId="77777777" w:rsidR="003B3BD2" w:rsidRPr="003B3BD2" w:rsidRDefault="003B3BD2" w:rsidP="00A15F99">
      <w:pPr>
        <w:pStyle w:val="ListBullet2"/>
      </w:pPr>
      <w:r w:rsidRPr="003B3BD2">
        <w:t>Serum 25-</w:t>
      </w:r>
      <w:proofErr w:type="gramStart"/>
      <w:r w:rsidRPr="003B3BD2">
        <w:t>OH</w:t>
      </w:r>
      <w:proofErr w:type="gramEnd"/>
      <w:r w:rsidRPr="003B3BD2">
        <w:t xml:space="preserve"> vitamin D &lt;20 ng/mL</w:t>
      </w:r>
    </w:p>
    <w:p w14:paraId="2649058B" w14:textId="77777777" w:rsidR="003B3BD2" w:rsidRPr="003B3BD2" w:rsidRDefault="003B3BD2" w:rsidP="00A15F99">
      <w:pPr>
        <w:pStyle w:val="ListBullet2"/>
      </w:pPr>
      <w:r w:rsidRPr="003B3BD2">
        <w:t>Estimated glomerular filtration rate &lt;30 mL/min/1.73 m</w:t>
      </w:r>
      <w:r w:rsidRPr="003B3BD2">
        <w:rPr>
          <w:vertAlign w:val="superscript"/>
        </w:rPr>
        <w:t>2</w:t>
      </w:r>
    </w:p>
    <w:p w14:paraId="5A667179" w14:textId="77777777" w:rsidR="003B3BD2" w:rsidRPr="003B3BD2" w:rsidRDefault="003B3BD2" w:rsidP="00A15F99">
      <w:pPr>
        <w:pStyle w:val="ListBullet2"/>
      </w:pPr>
      <w:r w:rsidRPr="003B3BD2">
        <w:t>Haemoglobin &lt;10 g/dL</w:t>
      </w:r>
    </w:p>
    <w:p w14:paraId="271C0FD7" w14:textId="77777777" w:rsidR="003B3BD2" w:rsidRPr="003B3BD2" w:rsidRDefault="003B3BD2" w:rsidP="00A15F99">
      <w:pPr>
        <w:pStyle w:val="ListBullet"/>
      </w:pPr>
      <w:r w:rsidRPr="003B3BD2">
        <w:t>Patient who had a history of and/or concurrent use of medications including any of the following:</w:t>
      </w:r>
    </w:p>
    <w:p w14:paraId="7A987F9F" w14:textId="77777777" w:rsidR="003B3BD2" w:rsidRPr="003B3BD2" w:rsidRDefault="003B3BD2" w:rsidP="00A15F99">
      <w:pPr>
        <w:pStyle w:val="ListBullet2"/>
      </w:pPr>
      <w:r w:rsidRPr="003B3BD2">
        <w:t>Receipt of intravenous bisphosphonates, fluoride, and strontium for osteoporosis within the last 5 years</w:t>
      </w:r>
    </w:p>
    <w:p w14:paraId="4764F2C5" w14:textId="77777777" w:rsidR="003B3BD2" w:rsidRPr="003B3BD2" w:rsidRDefault="003B3BD2" w:rsidP="00A15F99">
      <w:pPr>
        <w:pStyle w:val="ListBullet2"/>
      </w:pPr>
      <w:r w:rsidRPr="003B3BD2">
        <w:t>Receipt of oral bisphosphonates ≥3 years cumulatively or any dose of oral bisphosphonates within 12 months prior to Screening</w:t>
      </w:r>
    </w:p>
    <w:p w14:paraId="06C23AB9" w14:textId="77777777" w:rsidR="003B3BD2" w:rsidRPr="003B3BD2" w:rsidRDefault="003B3BD2" w:rsidP="00A15F99">
      <w:pPr>
        <w:pStyle w:val="ListBullet2"/>
      </w:pPr>
      <w:r w:rsidRPr="003B3BD2">
        <w:t>Use of parathyroid hormone (PTH) or its derivatives, systemic hormone-replacement therapy (estrogen with or without progestogen), selective estrogen-receptor modulator, tibolone, calcitonin, or calcitriol within 12 months</w:t>
      </w:r>
    </w:p>
    <w:p w14:paraId="645385CD" w14:textId="77777777" w:rsidR="003B3BD2" w:rsidRPr="003B3BD2" w:rsidRDefault="003B3BD2" w:rsidP="00A15F99">
      <w:pPr>
        <w:pStyle w:val="ListBullet2"/>
      </w:pPr>
      <w:r w:rsidRPr="003B3BD2">
        <w:t xml:space="preserve">Use of other bone active drugs including heparin, </w:t>
      </w:r>
      <w:proofErr w:type="spellStart"/>
      <w:r w:rsidRPr="003B3BD2">
        <w:t>anticonvulsives</w:t>
      </w:r>
      <w:proofErr w:type="spellEnd"/>
      <w:r w:rsidRPr="003B3BD2">
        <w:t xml:space="preserve"> (except benzodiazepines), systemic ketoconazole, anabolic steroids, testosterone, androgens, adrenocorticotropic hormone, cinacalcet, aluminium, lithium, protease inhibitors, methotrexate, or gonadotropin-releasing hormone agonists within 3 months</w:t>
      </w:r>
    </w:p>
    <w:p w14:paraId="7340E4F5" w14:textId="77777777" w:rsidR="003B3BD2" w:rsidRPr="003B3BD2" w:rsidRDefault="003B3BD2" w:rsidP="00A15F99">
      <w:pPr>
        <w:pStyle w:val="ListBullet2"/>
      </w:pPr>
      <w:r w:rsidRPr="003B3BD2">
        <w:t xml:space="preserve">Use of oral or parenteral </w:t>
      </w:r>
      <w:proofErr w:type="spellStart"/>
      <w:r w:rsidRPr="003B3BD2">
        <w:t>glucocorticosteroids</w:t>
      </w:r>
      <w:proofErr w:type="spellEnd"/>
      <w:r w:rsidRPr="003B3BD2">
        <w:t xml:space="preserve"> (&gt;5 mg/prednisone daily or equivalent for &gt;10 days) within 3 months</w:t>
      </w:r>
    </w:p>
    <w:p w14:paraId="1B9C82E4" w14:textId="59BE24BE" w:rsidR="003B3BD2" w:rsidRPr="00A75A21" w:rsidRDefault="003B3BD2" w:rsidP="00A75A21">
      <w:pPr>
        <w:rPr>
          <w:b/>
          <w:bCs/>
        </w:rPr>
      </w:pPr>
      <w:r w:rsidRPr="00A75A21">
        <w:rPr>
          <w:b/>
          <w:bCs/>
        </w:rPr>
        <w:t>Treatments</w:t>
      </w:r>
    </w:p>
    <w:p w14:paraId="5E563048" w14:textId="77777777" w:rsidR="003B3BD2" w:rsidRPr="003B3BD2" w:rsidRDefault="003B3BD2" w:rsidP="00E726E7">
      <w:pPr>
        <w:pStyle w:val="ListBullet"/>
      </w:pPr>
      <w:r w:rsidRPr="00E96159">
        <w:t>Treatment Period I</w:t>
      </w:r>
      <w:r w:rsidRPr="003B3BD2">
        <w:t>: patients received 60 mg SC of either CT-P41 or US-licensed Prolia on Week 0 (Day 1) and Week 26, as per the first randomisation.</w:t>
      </w:r>
    </w:p>
    <w:p w14:paraId="2B8710A0" w14:textId="77777777" w:rsidR="003B3BD2" w:rsidRPr="003B3BD2" w:rsidRDefault="003B3BD2" w:rsidP="00E726E7">
      <w:pPr>
        <w:pStyle w:val="ListBullet"/>
      </w:pPr>
      <w:r w:rsidRPr="00E96159">
        <w:t>Treatment Period II</w:t>
      </w:r>
      <w:r w:rsidRPr="003B3BD2">
        <w:t>: patients received 60 mg SC of either CT-P41 or US-licensed Prolia at Week 52 as per the second randomisation.</w:t>
      </w:r>
    </w:p>
    <w:p w14:paraId="77959520" w14:textId="77777777" w:rsidR="003B3BD2" w:rsidRPr="003B3BD2" w:rsidRDefault="003B3BD2" w:rsidP="003B3BD2">
      <w:r w:rsidRPr="003B3BD2">
        <w:t>Calcium and vitamin D were co-administered to prevent low serum calcium level while taking study drugs.</w:t>
      </w:r>
    </w:p>
    <w:p w14:paraId="4086E602" w14:textId="77777777" w:rsidR="003B3BD2" w:rsidRPr="003B3BD2" w:rsidRDefault="003B3BD2" w:rsidP="003B3BD2">
      <w:r w:rsidRPr="00906181">
        <w:rPr>
          <w:b/>
          <w:bCs/>
        </w:rPr>
        <w:lastRenderedPageBreak/>
        <w:t>Randomisation</w:t>
      </w:r>
      <w:r w:rsidRPr="003B3BD2">
        <w:t>: An interactive web response system (IWRS) was used for the randomisation. The randomisation was balanced by using permuted blocks.</w:t>
      </w:r>
    </w:p>
    <w:p w14:paraId="1232BE76" w14:textId="77777777" w:rsidR="003B3BD2" w:rsidRPr="003B3BD2" w:rsidRDefault="003B3BD2" w:rsidP="00DD3732">
      <w:pPr>
        <w:pStyle w:val="ListBullet"/>
      </w:pPr>
      <w:r w:rsidRPr="00E96159">
        <w:t>Treatment Period I</w:t>
      </w:r>
      <w:r w:rsidRPr="003B3BD2">
        <w:t xml:space="preserve">: 1:1 ratio to receive 60 mg of either CT-P41 or US-licensed Prolia; stratified by age (&lt;65 years vs </w:t>
      </w:r>
      <w:r w:rsidRPr="003B3BD2">
        <w:rPr>
          <w:rFonts w:hint="eastAsia"/>
        </w:rPr>
        <w:t>≥</w:t>
      </w:r>
      <w:r w:rsidRPr="003B3BD2">
        <w:t>65 years), baseline BMD T-score at the lumbar spine (</w:t>
      </w:r>
      <w:r w:rsidRPr="003B3BD2">
        <w:rPr>
          <w:rFonts w:hint="eastAsia"/>
        </w:rPr>
        <w:t>≤</w:t>
      </w:r>
      <w:r w:rsidRPr="003B3BD2">
        <w:t xml:space="preserve"> </w:t>
      </w:r>
      <w:r w:rsidRPr="003B3BD2">
        <w:rPr>
          <w:rFonts w:hint="eastAsia"/>
        </w:rPr>
        <w:t>−</w:t>
      </w:r>
      <w:r w:rsidRPr="003B3BD2">
        <w:t xml:space="preserve"> 3.0 vs. &gt; </w:t>
      </w:r>
      <w:r w:rsidRPr="003B3BD2">
        <w:rPr>
          <w:rFonts w:hint="eastAsia"/>
        </w:rPr>
        <w:t>−</w:t>
      </w:r>
      <w:r w:rsidRPr="003B3BD2">
        <w:t xml:space="preserve"> 3.0), and prior bisphosphonates therapy (Yes vs. No)</w:t>
      </w:r>
    </w:p>
    <w:p w14:paraId="3FC15F47" w14:textId="77777777" w:rsidR="003B3BD2" w:rsidRPr="003B3BD2" w:rsidRDefault="003B3BD2" w:rsidP="00DD3732">
      <w:pPr>
        <w:pStyle w:val="ListBullet"/>
      </w:pPr>
      <w:r w:rsidRPr="00E96159">
        <w:t>Treatment Period II</w:t>
      </w:r>
      <w:r w:rsidRPr="003B3BD2">
        <w:t>: Prior to dosing at Week 52, patients in the US-licensed Prolia group were randomly assigned again in a ratio of 1:1 to either undergo transition to CT-P41 (switching arm) or continue US-licensed Prolia (non-switching arm). All patients who were initially randomly assigned to CT-P41 on Day 1 (Week 0) continued their treatment with CT-P41 on Week 52. The second randomisation process was conducted in all groups to maintain the study blind. The second randomisation to treatment assignment was stratified by change from baseline in BMD for lumbar spine at Week 52 (</w:t>
      </w:r>
      <w:r w:rsidRPr="003B3BD2">
        <w:rPr>
          <w:rFonts w:hint="eastAsia"/>
        </w:rPr>
        <w:t>≥</w:t>
      </w:r>
      <w:r w:rsidRPr="003B3BD2">
        <w:t>3% vs &lt;3%).</w:t>
      </w:r>
    </w:p>
    <w:p w14:paraId="7870F949" w14:textId="77777777" w:rsidR="003B3BD2" w:rsidRPr="003B3BD2" w:rsidRDefault="003B3BD2" w:rsidP="003B3BD2">
      <w:r w:rsidRPr="00906181">
        <w:rPr>
          <w:b/>
          <w:bCs/>
        </w:rPr>
        <w:t>Baseline characteristics</w:t>
      </w:r>
      <w:r w:rsidRPr="003B3BD2">
        <w:t>: In both studies, demographics and baseline characteristics were reasonably balanced between groups (CT-P41 vs. US-licensed Prolia):</w:t>
      </w:r>
    </w:p>
    <w:p w14:paraId="21186533" w14:textId="5B301798" w:rsidR="003B3BD2" w:rsidRDefault="003B3BD2" w:rsidP="00DD3732">
      <w:pPr>
        <w:pStyle w:val="ListBullet"/>
      </w:pPr>
      <w:r w:rsidRPr="00E96159">
        <w:t>Patient demographics</w:t>
      </w:r>
      <w:r w:rsidRPr="003B3BD2">
        <w:t xml:space="preserve"> (</w:t>
      </w:r>
      <w:r w:rsidR="00460765">
        <w:t>Table 7</w:t>
      </w:r>
      <w:r w:rsidRPr="003B3BD2">
        <w:t>): In total, the mean (SD) age of patients was 65.7 (6.42) years. All patients were White. The mean (SD) screening BMI of patients was 25.08 (4.277) kg/m</w:t>
      </w:r>
      <w:r w:rsidRPr="003B3BD2">
        <w:rPr>
          <w:vertAlign w:val="superscript"/>
        </w:rPr>
        <w:t>2</w:t>
      </w:r>
      <w:r w:rsidRPr="003B3BD2">
        <w:t xml:space="preserve">. 277 (57.8%) were ≥65 years. The baseline BMD T-score at the lumbar spine was &gt;-3.0 for 239 (49.9%) patients (120 [50.0%] patients and 119 [49.8%] patients in the CT-P41 and US-licensed Prolia groups, respectively). 60 (12.5%) patients (32 [13.3%] vs. 28 [11.7%] patients) had used bisphosphonates therapy prior to the first administration of the study drug. The two groups were well balanced within each level of all stratification factors including age, baseline BMD T-score at the lumbar spine and prior bisphosphonates therapy. </w:t>
      </w:r>
    </w:p>
    <w:p w14:paraId="1238B22E" w14:textId="0BBFF0FC" w:rsidR="00964058" w:rsidRDefault="00460765" w:rsidP="00141B58">
      <w:pPr>
        <w:pStyle w:val="TableTitle"/>
      </w:pPr>
      <w:r w:rsidRPr="00460765">
        <w:t xml:space="preserve">Table </w:t>
      </w:r>
      <w:r>
        <w:t>7</w:t>
      </w:r>
      <w:r w:rsidRPr="00460765">
        <w:t>.  Demographics and Stratification Details at Screening: ITT Set</w:t>
      </w:r>
      <w:r w:rsidR="002E5736">
        <w:t>.</w:t>
      </w:r>
    </w:p>
    <w:p w14:paraId="6B042410" w14:textId="18E86749" w:rsidR="005E5FE2" w:rsidRDefault="005E5FE2" w:rsidP="00E96159">
      <w:r>
        <w:rPr>
          <w:noProof/>
        </w:rPr>
        <w:drawing>
          <wp:inline distT="0" distB="0" distL="0" distR="0" wp14:anchorId="26CF1D89" wp14:editId="3E00B5A5">
            <wp:extent cx="3580986" cy="4333875"/>
            <wp:effectExtent l="0" t="0" r="635" b="0"/>
            <wp:docPr id="45" name="Picture 45" descr="Table 7.  Demographics and Stratification Details at Screening: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 7.  Demographics and Stratification Details at Screening: ITT Se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2843" cy="4348225"/>
                    </a:xfrm>
                    <a:prstGeom prst="rect">
                      <a:avLst/>
                    </a:prstGeom>
                    <a:noFill/>
                    <a:ln>
                      <a:noFill/>
                    </a:ln>
                  </pic:spPr>
                </pic:pic>
              </a:graphicData>
            </a:graphic>
          </wp:inline>
        </w:drawing>
      </w:r>
    </w:p>
    <w:p w14:paraId="3FEF1CC9" w14:textId="48F1206B" w:rsidR="003B3BD2" w:rsidRDefault="003B3BD2" w:rsidP="00DD3732">
      <w:pPr>
        <w:pStyle w:val="ListBullet"/>
      </w:pPr>
      <w:r w:rsidRPr="00E96159">
        <w:lastRenderedPageBreak/>
        <w:t>Disease characteristics</w:t>
      </w:r>
      <w:r w:rsidRPr="00264950">
        <w:t xml:space="preserve"> (</w:t>
      </w:r>
      <w:r w:rsidR="00264950" w:rsidRPr="00264950">
        <w:t>Table</w:t>
      </w:r>
      <w:r w:rsidR="00264950">
        <w:t xml:space="preserve"> 8</w:t>
      </w:r>
      <w:r w:rsidRPr="003B3BD2">
        <w:t xml:space="preserve">): 109 (22.8%) </w:t>
      </w:r>
      <w:r w:rsidR="00A7653C">
        <w:t>p</w:t>
      </w:r>
      <w:r w:rsidRPr="003B3BD2">
        <w:t xml:space="preserve">atients (59 [24.6%] vs. 50 [20.9%] patients) had at least 1 vertebral fracture confirmed by lateral spine X-ray at baseline. 168 (35.1%) patients (75 [31.3%] vs. 93 [38.9%]) reported previous nonvertebral fracture history or had at least 1 nonvertebral fracture at baseline. For semi-quantitative grade at baseline, </w:t>
      </w:r>
      <w:proofErr w:type="gramStart"/>
      <w:r w:rsidRPr="003B3BD2">
        <w:t>the majority of</w:t>
      </w:r>
      <w:proofErr w:type="gramEnd"/>
      <w:r w:rsidRPr="003B3BD2">
        <w:t xml:space="preserve"> vertebral fracture was Grade 0 from T4 to L4. The majority of nonvertebral fractures had low-level trauma as trauma severity. Four patients reported a hip bone fracture</w:t>
      </w:r>
      <w:r w:rsidR="000E743A">
        <w:t>,</w:t>
      </w:r>
      <w:r w:rsidR="00156760" w:rsidRPr="00156760">
        <w:rPr>
          <w:rFonts w:ascii="Segoe UI" w:eastAsiaTheme="minorEastAsia" w:hAnsi="Segoe UI" w:cs="Segoe UI"/>
          <w:color w:val="auto"/>
          <w:sz w:val="18"/>
          <w:szCs w:val="18"/>
        </w:rPr>
        <w:t xml:space="preserve"> </w:t>
      </w:r>
      <w:r w:rsidR="00156760" w:rsidRPr="00156760">
        <w:t>and it was confirmed by the investigator that the site of fracture was specifically pelvis</w:t>
      </w:r>
      <w:r w:rsidRPr="003B3BD2">
        <w:t>. For nonvertebral fractures, 27 cases of surgery were reported. There were no patients who reported pathologic fracture. The mean (SD) baseline BMD T-scores in total were -3.075 (0.3864), -1.696 (0.6809), and -1.981 (0.6076) for lumbar spine, total hip, and femoral neck, respectively.</w:t>
      </w:r>
    </w:p>
    <w:p w14:paraId="1A82D125" w14:textId="4C80D4E0" w:rsidR="00264950" w:rsidRDefault="00264950" w:rsidP="00264950">
      <w:pPr>
        <w:pStyle w:val="TableTitle"/>
      </w:pPr>
      <w:r w:rsidRPr="00264950">
        <w:t xml:space="preserve">Table </w:t>
      </w:r>
      <w:r>
        <w:t>8</w:t>
      </w:r>
      <w:r w:rsidRPr="00264950">
        <w:t>.  Baseline Disease Characteristics: ITT Set</w:t>
      </w:r>
      <w:r w:rsidR="002E5736">
        <w:t>.</w:t>
      </w:r>
    </w:p>
    <w:p w14:paraId="12CF66C1" w14:textId="7D5393AF" w:rsidR="000C30A2" w:rsidRDefault="000C30A2" w:rsidP="00E96159">
      <w:r>
        <w:rPr>
          <w:noProof/>
        </w:rPr>
        <w:drawing>
          <wp:inline distT="0" distB="0" distL="0" distR="0" wp14:anchorId="0A559D09" wp14:editId="1F98EC8F">
            <wp:extent cx="5596228" cy="6334125"/>
            <wp:effectExtent l="0" t="0" r="5080" b="0"/>
            <wp:docPr id="46" name="Picture 46" descr="Table 8.  Baseline Disease Characteristics: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 8.  Baseline Disease Characteristics: ITT Se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4812" cy="6343841"/>
                    </a:xfrm>
                    <a:prstGeom prst="rect">
                      <a:avLst/>
                    </a:prstGeom>
                    <a:noFill/>
                    <a:ln>
                      <a:noFill/>
                    </a:ln>
                  </pic:spPr>
                </pic:pic>
              </a:graphicData>
            </a:graphic>
          </wp:inline>
        </w:drawing>
      </w:r>
    </w:p>
    <w:p w14:paraId="77848ECA" w14:textId="77777777" w:rsidR="003B3BD2" w:rsidRPr="00197914" w:rsidRDefault="003B3BD2" w:rsidP="00955DD1">
      <w:pPr>
        <w:pStyle w:val="Heading7"/>
        <w:rPr>
          <w:rFonts w:ascii="Cambria" w:hAnsi="Cambria"/>
          <w:b/>
          <w:bCs/>
          <w:i w:val="0"/>
          <w:iCs w:val="0"/>
          <w:color w:val="auto"/>
        </w:rPr>
      </w:pPr>
      <w:r w:rsidRPr="00197914">
        <w:rPr>
          <w:rFonts w:ascii="Cambria" w:hAnsi="Cambria"/>
          <w:b/>
          <w:bCs/>
          <w:i w:val="0"/>
          <w:iCs w:val="0"/>
          <w:color w:val="auto"/>
        </w:rPr>
        <w:t>Magnitude of the treatment effect and its clinical significance</w:t>
      </w:r>
    </w:p>
    <w:p w14:paraId="48C986A9" w14:textId="23BED68D" w:rsidR="00BD438A" w:rsidRPr="00E96159" w:rsidRDefault="00BD438A" w:rsidP="003B3BD2">
      <w:r w:rsidRPr="00E96159">
        <w:t>Primary efficacy endpoint:</w:t>
      </w:r>
    </w:p>
    <w:p w14:paraId="3366E627" w14:textId="6D5AA06E" w:rsidR="003B3BD2" w:rsidRPr="003B3BD2" w:rsidRDefault="003B3BD2" w:rsidP="003B3BD2">
      <w:r w:rsidRPr="003B3BD2">
        <w:lastRenderedPageBreak/>
        <w:t xml:space="preserve">The primary efficacy endpoint was the percent change from baseline in BMD for lumbar spine (L1 to L4) by dual-energy X-ray absorptiometry (DXA) at Week 52. </w:t>
      </w:r>
    </w:p>
    <w:p w14:paraId="0D9828EF" w14:textId="0681B5C0" w:rsidR="003B3BD2" w:rsidRPr="003B3BD2" w:rsidRDefault="003B3BD2" w:rsidP="003B3BD2">
      <w:r w:rsidRPr="003B3BD2">
        <w:t>In the FAS analysis, the LS mean (SE) of percent change from baseline in BMD for lumbar spine by DXA at Week 52 was 4.9317 (0.31508) and 5.0706 (0.32714) in the CT-P41 and US-licensed Prolia groups, respectively</w:t>
      </w:r>
      <w:r w:rsidR="00A86363">
        <w:t xml:space="preserve"> (Table 9)</w:t>
      </w:r>
      <w:r w:rsidRPr="003B3BD2">
        <w:t>. Hence, the treatment difference (95% CI) was -0.139 (-0.826, 0.548) (FAS) with the CI within the pre-specified equivalence margin of ±1.503%.</w:t>
      </w:r>
    </w:p>
    <w:p w14:paraId="2167063C" w14:textId="327FA390" w:rsidR="003B3BD2" w:rsidRPr="003B3BD2" w:rsidRDefault="003B3BD2" w:rsidP="003B3BD2">
      <w:r w:rsidRPr="003B3BD2">
        <w:t xml:space="preserve">This result is supported by the per-protocol </w:t>
      </w:r>
      <w:r w:rsidR="00034F7E">
        <w:rPr>
          <w:rFonts w:hint="eastAsia"/>
          <w:lang w:eastAsia="ko-KR"/>
        </w:rPr>
        <w:t>set (</w:t>
      </w:r>
      <w:r w:rsidRPr="003B3BD2">
        <w:t>PPS</w:t>
      </w:r>
      <w:r w:rsidR="00034F7E">
        <w:rPr>
          <w:rFonts w:hint="eastAsia"/>
          <w:lang w:eastAsia="ko-KR"/>
        </w:rPr>
        <w:t>)</w:t>
      </w:r>
      <w:r w:rsidRPr="003B3BD2">
        <w:t xml:space="preserve"> analysis with a treatment difference (95% CI) of -0.280 (-0.973, 0.414) (PPS).</w:t>
      </w:r>
    </w:p>
    <w:p w14:paraId="0866E220" w14:textId="77777777" w:rsidR="003B3BD2" w:rsidRPr="00E96159" w:rsidRDefault="003B3BD2" w:rsidP="003B3BD2">
      <w:r w:rsidRPr="00E96159">
        <w:t>Secondary efficacy endpoints:</w:t>
      </w:r>
    </w:p>
    <w:p w14:paraId="6DFD8D2F" w14:textId="77777777" w:rsidR="003B3BD2" w:rsidRPr="003B3BD2" w:rsidRDefault="003B3BD2" w:rsidP="003B3BD2">
      <w:pPr>
        <w:numPr>
          <w:ilvl w:val="0"/>
          <w:numId w:val="23"/>
        </w:numPr>
      </w:pPr>
      <w:r w:rsidRPr="003B3BD2">
        <w:t xml:space="preserve">Percent change from baseline in BMD for lumbar spine (L1 to L4), total hip, and femoral neck by DXA at Weeks 26, 52, and 78: </w:t>
      </w:r>
    </w:p>
    <w:p w14:paraId="331E40AE" w14:textId="72087ADB" w:rsidR="003B3BD2" w:rsidRPr="003B3BD2" w:rsidRDefault="003B3BD2" w:rsidP="00543FC6">
      <w:pPr>
        <w:pStyle w:val="ListBullet2"/>
      </w:pPr>
      <w:r w:rsidRPr="00E96159">
        <w:t>Treatment Period I</w:t>
      </w:r>
      <w:r w:rsidR="00E2404A" w:rsidRPr="00E96159">
        <w:t xml:space="preserve"> a</w:t>
      </w:r>
      <w:r w:rsidRPr="00E96159">
        <w:t>t Week 26</w:t>
      </w:r>
      <w:r w:rsidRPr="003B3BD2">
        <w:t xml:space="preserve">, the mean percent changes from baseline for the CT-P41 and Prolia groups were 3.79 and 3.48 for lumbar spine, 1.79 and 1.29 for total hip, and 1.57 and 1.23 for femoral neck, respectively. At </w:t>
      </w:r>
      <w:r w:rsidRPr="003B3BD2">
        <w:rPr>
          <w:u w:val="single"/>
        </w:rPr>
        <w:t>Week 52</w:t>
      </w:r>
      <w:r w:rsidRPr="003B3BD2">
        <w:t xml:space="preserve">, the mean percent changes were 5.49 and 5.66 for lumbar spine, 2.79 and 2.43 for total hip, and 2.23 and 1.95 for femoral neck.  </w:t>
      </w:r>
    </w:p>
    <w:p w14:paraId="2AA42FC0" w14:textId="4AE771F1" w:rsidR="003B3BD2" w:rsidRPr="003B3BD2" w:rsidRDefault="003B3BD2" w:rsidP="00543FC6">
      <w:pPr>
        <w:pStyle w:val="ListBullet2"/>
      </w:pPr>
      <w:r w:rsidRPr="00E96159">
        <w:t>Treatment Period II at Week 78</w:t>
      </w:r>
      <w:r w:rsidRPr="003B3BD2">
        <w:t xml:space="preserve">: </w:t>
      </w:r>
      <w:r w:rsidR="004358B1" w:rsidRPr="004358B1">
        <w:t xml:space="preserve">The mean percent changes from baseline for the CT-P41 maintenance, Prolia maintenance, and </w:t>
      </w:r>
      <w:proofErr w:type="gramStart"/>
      <w:r w:rsidR="0099416B">
        <w:t>S</w:t>
      </w:r>
      <w:r w:rsidR="004358B1" w:rsidRPr="004358B1">
        <w:t>witched</w:t>
      </w:r>
      <w:proofErr w:type="gramEnd"/>
      <w:r w:rsidR="004358B1" w:rsidRPr="004358B1">
        <w:t xml:space="preserve"> to CT-P41 groups were </w:t>
      </w:r>
      <w:r w:rsidRPr="003B3BD2">
        <w:t>6.79, 6.60, and 7.05 for lumbar spine; 3.41, 2.70, and 3.43 for total hip; and 2.97, 2.47, and 2</w:t>
      </w:r>
      <w:r w:rsidR="00034F7E">
        <w:rPr>
          <w:rFonts w:hint="eastAsia"/>
          <w:lang w:eastAsia="ko-KR"/>
        </w:rPr>
        <w:t>.</w:t>
      </w:r>
      <w:r w:rsidRPr="003B3BD2">
        <w:t>89 for femoral neck, respectively.</w:t>
      </w:r>
    </w:p>
    <w:p w14:paraId="77C898BC" w14:textId="77777777" w:rsidR="003B3BD2" w:rsidRPr="003B3BD2" w:rsidRDefault="003B3BD2" w:rsidP="003B3BD2">
      <w:pPr>
        <w:numPr>
          <w:ilvl w:val="0"/>
          <w:numId w:val="23"/>
        </w:numPr>
      </w:pPr>
      <w:r w:rsidRPr="003B3BD2">
        <w:t>Incidences of new vertebral, nonvertebral, and hip fractures during the study:</w:t>
      </w:r>
    </w:p>
    <w:p w14:paraId="65986925" w14:textId="77777777" w:rsidR="003B3BD2" w:rsidRPr="003B3BD2" w:rsidRDefault="003B3BD2" w:rsidP="00543FC6">
      <w:pPr>
        <w:pStyle w:val="ListBullet2"/>
      </w:pPr>
      <w:r w:rsidRPr="00E96159">
        <w:t>Treatment Period I</w:t>
      </w:r>
      <w:r w:rsidRPr="003B3BD2">
        <w:t>: two confirmed vertebral fractures (one each in the CT-P41 and Prolia groups). Nonvertebral fracture was reported in 2 (0.8%) vs. 4 (1.7%) patients. There was no hip fracture reported.</w:t>
      </w:r>
    </w:p>
    <w:p w14:paraId="23068C3B" w14:textId="77777777" w:rsidR="003B3BD2" w:rsidRPr="003B3BD2" w:rsidRDefault="003B3BD2" w:rsidP="00543FC6">
      <w:pPr>
        <w:pStyle w:val="ListBullet2"/>
      </w:pPr>
      <w:r w:rsidRPr="00E96159">
        <w:t>Treatment Period II</w:t>
      </w:r>
      <w:r w:rsidRPr="003B3BD2">
        <w:t>: no new vertebral fracture reported, and non-vertebral fractures were reported in 2 patients in the CT-P41 maintenance group only.</w:t>
      </w:r>
    </w:p>
    <w:p w14:paraId="4D3E7A77" w14:textId="77777777" w:rsidR="003B3BD2" w:rsidRPr="003B3BD2" w:rsidRDefault="003B3BD2" w:rsidP="003B3BD2">
      <w:pPr>
        <w:numPr>
          <w:ilvl w:val="0"/>
          <w:numId w:val="23"/>
        </w:numPr>
      </w:pPr>
      <w:r w:rsidRPr="003B3BD2">
        <w:t xml:space="preserve">Change from baseline in health-related quality of life at Weeks 26, 52, and 78: The mean changes from baseline in the physical function, emotional status, and back pain OPAQ-SV scores were small in the CT-P41 and US-licensed Prolia groups, and generally similar between the two groups. The mean changes from baseline in the EQ-5D-5L index value and EQ VAS score were small and generally comparable between the treatment groups. </w:t>
      </w:r>
    </w:p>
    <w:p w14:paraId="026BE9AF" w14:textId="57177F19" w:rsidR="003B3BD2" w:rsidRDefault="003B3BD2" w:rsidP="00612257">
      <w:pPr>
        <w:pStyle w:val="TableTitle"/>
      </w:pPr>
      <w:r w:rsidRPr="003B3BD2">
        <w:lastRenderedPageBreak/>
        <w:t xml:space="preserve">Table </w:t>
      </w:r>
      <w:r w:rsidR="00932CCC">
        <w:t>9</w:t>
      </w:r>
      <w:r w:rsidRPr="003B3BD2">
        <w:t>. Study CT-P41 3.1. Primary endpoint: Percent Change from Baseline in BMD for Lumbar Spine by DXA at Week 52 (ANCOVA) (FAS and PPS).</w:t>
      </w:r>
    </w:p>
    <w:p w14:paraId="78E88960" w14:textId="4279C445" w:rsidR="003B3BD2" w:rsidRDefault="003B3BD2" w:rsidP="00612257">
      <w:r>
        <w:rPr>
          <w:noProof/>
        </w:rPr>
        <w:drawing>
          <wp:inline distT="0" distB="0" distL="0" distR="0" wp14:anchorId="546B71DE" wp14:editId="7E4FD012">
            <wp:extent cx="5963731" cy="3343275"/>
            <wp:effectExtent l="0" t="0" r="0" b="0"/>
            <wp:docPr id="60" name="Picture 60" descr="Table 9. Study CT-P41 3.1. Primary endpoint: Percent Change from Baseline in BMD for Lumbar Spine by DXA at Week 52 (ANCOVA) (FAS and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able 9. Study CT-P41 3.1. Primary endpoint: Percent Change from Baseline in BMD for Lumbar Spine by DXA at Week 52 (ANCOVA) (FAS and PP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3357" cy="3354278"/>
                    </a:xfrm>
                    <a:prstGeom prst="rect">
                      <a:avLst/>
                    </a:prstGeom>
                    <a:noFill/>
                    <a:ln>
                      <a:noFill/>
                    </a:ln>
                  </pic:spPr>
                </pic:pic>
              </a:graphicData>
            </a:graphic>
          </wp:inline>
        </w:drawing>
      </w:r>
    </w:p>
    <w:p w14:paraId="31B24BBA" w14:textId="7D2CD617" w:rsidR="003B3BD2" w:rsidRPr="003B3BD2" w:rsidRDefault="003B3BD2" w:rsidP="0069608C">
      <w:pPr>
        <w:pStyle w:val="Heading4"/>
      </w:pPr>
      <w:bookmarkStart w:id="59" w:name="_Toc215235760"/>
      <w:r w:rsidRPr="003B3BD2">
        <w:t>Safety</w:t>
      </w:r>
      <w:bookmarkEnd w:id="59"/>
    </w:p>
    <w:p w14:paraId="200FE228" w14:textId="5DEDB2D5" w:rsidR="003B3BD2" w:rsidRPr="003B3BD2" w:rsidRDefault="003B3BD2" w:rsidP="003B3BD2">
      <w:r w:rsidRPr="003B3BD2">
        <w:t>All three studies included in the submission provided safety data.  The two phase I studies (Studies CT-P41 1.1 and CT-P41 1.2) provided safety in healthy male volunteers, while the most relevant safety data was obtained in the pivotal study CT-P41 3.1. Subjects were analysed based on the treatment received in each treatment period.</w:t>
      </w:r>
    </w:p>
    <w:p w14:paraId="2C44C3CC" w14:textId="77777777" w:rsidR="003B3BD2" w:rsidRPr="00451D80" w:rsidRDefault="003B3BD2" w:rsidP="006705D9">
      <w:pPr>
        <w:pStyle w:val="Heading5"/>
      </w:pPr>
      <w:r w:rsidRPr="00451D80">
        <w:t>Exposure</w:t>
      </w:r>
    </w:p>
    <w:p w14:paraId="65182D71" w14:textId="58724596" w:rsidR="003B3BD2" w:rsidRPr="003B3BD2" w:rsidRDefault="003B3BD2" w:rsidP="003B3BD2">
      <w:r w:rsidRPr="003B3BD2">
        <w:t>The Safety Set was defined as all subjects who received at least one dose (full or partial) of either of the study drugs (CT-P41 or Prolia) and includes data from 658 subjects in 3 clinical studies (</w:t>
      </w:r>
      <w:r w:rsidR="00264270">
        <w:t>Table 10</w:t>
      </w:r>
      <w:r w:rsidRPr="003B3BD2">
        <w:t>).</w:t>
      </w:r>
    </w:p>
    <w:p w14:paraId="6B943B10" w14:textId="71922065" w:rsidR="003B3BD2" w:rsidRDefault="003B3BD2" w:rsidP="003B3BD2">
      <w:r w:rsidRPr="003B3BD2">
        <w:t xml:space="preserve">This overview focusses on the overall period for the Safety Set of Study CT-P41 3.1 in the target population. </w:t>
      </w:r>
    </w:p>
    <w:p w14:paraId="69169915" w14:textId="77777777" w:rsidR="00264270" w:rsidRPr="00264270" w:rsidRDefault="00264270" w:rsidP="00612257">
      <w:pPr>
        <w:pStyle w:val="TableTitle"/>
      </w:pPr>
      <w:bookmarkStart w:id="60" w:name="_Ref187064459"/>
      <w:r w:rsidRPr="00264270">
        <w:lastRenderedPageBreak/>
        <w:t>Table</w:t>
      </w:r>
      <w:bookmarkEnd w:id="60"/>
      <w:r w:rsidRPr="00264270">
        <w:t>10. Clinical Studies. Number of Subjects Who Received at Least 1 Dose of Study Drug (CT-P41 or Prolia) in the CT-P41 (Safety Set).</w:t>
      </w:r>
    </w:p>
    <w:p w14:paraId="30989847" w14:textId="65D448E1" w:rsidR="00264270" w:rsidRPr="003B3BD2" w:rsidRDefault="00264270" w:rsidP="003B3BD2">
      <w:r w:rsidRPr="003B3BD2">
        <w:rPr>
          <w:noProof/>
        </w:rPr>
        <w:drawing>
          <wp:inline distT="0" distB="0" distL="0" distR="0" wp14:anchorId="0785B5FF" wp14:editId="7D549B3C">
            <wp:extent cx="5933881" cy="1737360"/>
            <wp:effectExtent l="0" t="0" r="0" b="0"/>
            <wp:docPr id="865159716" name="Picture 1" descr="Table10. Clinical Studies. Number of Subjects Who Received at Least 1 Dose of Study Drug (CT-P41 or Prolia) in the CT-P41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159716" name="Picture 1" descr="Table10. Clinical Studies. Number of Subjects Who Received at Least 1 Dose of Study Drug (CT-P41 or Prolia) in the CT-P41 (Safety Set)."/>
                    <pic:cNvPicPr/>
                  </pic:nvPicPr>
                  <pic:blipFill>
                    <a:blip r:embed="rId33"/>
                    <a:stretch>
                      <a:fillRect/>
                    </a:stretch>
                  </pic:blipFill>
                  <pic:spPr>
                    <a:xfrm>
                      <a:off x="0" y="0"/>
                      <a:ext cx="5941263" cy="1739521"/>
                    </a:xfrm>
                    <a:prstGeom prst="rect">
                      <a:avLst/>
                    </a:prstGeom>
                  </pic:spPr>
                </pic:pic>
              </a:graphicData>
            </a:graphic>
          </wp:inline>
        </w:drawing>
      </w:r>
      <w:r w:rsidRPr="003B3BD2">
        <w:rPr>
          <w:noProof/>
        </w:rPr>
        <w:drawing>
          <wp:inline distT="0" distB="0" distL="0" distR="0" wp14:anchorId="134D357B" wp14:editId="1621DE9D">
            <wp:extent cx="5471160" cy="819469"/>
            <wp:effectExtent l="0" t="0" r="0" b="0"/>
            <wp:docPr id="495596509" name="Picture 1" descr="A close up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96509" name="Picture 1" descr="A close up of text&#10;&#10;AI-generated content may be incorrect."/>
                    <pic:cNvPicPr/>
                  </pic:nvPicPr>
                  <pic:blipFill>
                    <a:blip r:embed="rId34"/>
                    <a:stretch>
                      <a:fillRect/>
                    </a:stretch>
                  </pic:blipFill>
                  <pic:spPr>
                    <a:xfrm>
                      <a:off x="0" y="0"/>
                      <a:ext cx="5490249" cy="822328"/>
                    </a:xfrm>
                    <a:prstGeom prst="rect">
                      <a:avLst/>
                    </a:prstGeom>
                  </pic:spPr>
                </pic:pic>
              </a:graphicData>
            </a:graphic>
          </wp:inline>
        </w:drawing>
      </w:r>
    </w:p>
    <w:p w14:paraId="30AACE0C" w14:textId="77777777" w:rsidR="003B3BD2" w:rsidRPr="00451D80" w:rsidRDefault="003B3BD2" w:rsidP="006705D9">
      <w:pPr>
        <w:pStyle w:val="Heading5"/>
      </w:pPr>
      <w:r w:rsidRPr="00451D80">
        <w:t>Adverse event overview</w:t>
      </w:r>
    </w:p>
    <w:p w14:paraId="1584FFB2" w14:textId="75D20C07" w:rsidR="001D0724" w:rsidRPr="00612257" w:rsidRDefault="003B3BD2" w:rsidP="003B3BD2">
      <w:r w:rsidRPr="00612257">
        <w:t>Study CT-P41 3.1, Treatment Period</w:t>
      </w:r>
      <w:r w:rsidR="002E3058" w:rsidRPr="00612257">
        <w:t xml:space="preserve"> </w:t>
      </w:r>
      <w:r w:rsidR="00555320" w:rsidRPr="00612257">
        <w:t>I</w:t>
      </w:r>
      <w:r w:rsidRPr="00612257">
        <w:t xml:space="preserve"> </w:t>
      </w:r>
    </w:p>
    <w:p w14:paraId="23AF784E" w14:textId="12ED8F1B" w:rsidR="003B3BD2" w:rsidRPr="003B3BD2" w:rsidRDefault="001D0724" w:rsidP="003B3BD2">
      <w:r>
        <w:t>A</w:t>
      </w:r>
      <w:r w:rsidR="003B3BD2" w:rsidRPr="003B3BD2">
        <w:t xml:space="preserve"> similar proportion of participants experienced </w:t>
      </w:r>
      <w:r>
        <w:t>t</w:t>
      </w:r>
      <w:r w:rsidRPr="001D0724">
        <w:t>reatment-emergent adverse events</w:t>
      </w:r>
      <w:r>
        <w:t xml:space="preserve"> (</w:t>
      </w:r>
      <w:r w:rsidR="003B3BD2" w:rsidRPr="003B3BD2">
        <w:t>TEAEs</w:t>
      </w:r>
      <w:r>
        <w:t>)</w:t>
      </w:r>
      <w:r w:rsidR="003B3BD2" w:rsidRPr="003B3BD2">
        <w:t xml:space="preserve"> in the CT-P41 vs</w:t>
      </w:r>
      <w:r w:rsidR="003B3BD2" w:rsidRPr="00BA5899">
        <w:t xml:space="preserve">. </w:t>
      </w:r>
      <w:r w:rsidR="006B6D31">
        <w:t xml:space="preserve">US-licenced </w:t>
      </w:r>
      <w:r w:rsidR="003B3BD2" w:rsidRPr="00BA5899">
        <w:t>Prolia</w:t>
      </w:r>
      <w:r w:rsidR="003B3BD2" w:rsidRPr="003B3BD2">
        <w:t xml:space="preserve"> groups (75.7% vs. 70.2</w:t>
      </w:r>
      <w:r w:rsidR="003B3BD2" w:rsidRPr="009C401B">
        <w:t>%). The most frequently reported TEAEs were COVID-19 (11.7% vs. 10.9%),</w:t>
      </w:r>
      <w:r w:rsidR="00D57CE3" w:rsidRPr="009C401B">
        <w:t xml:space="preserve"> upper respiratory tract infection</w:t>
      </w:r>
      <w:r w:rsidR="003B3BD2" w:rsidRPr="009C401B">
        <w:t xml:space="preserve"> (10.5% vs. 8.4%), and arthralgia (10.0% vs. 8.8</w:t>
      </w:r>
      <w:r w:rsidR="003B3BD2" w:rsidRPr="003D67D2">
        <w:t>%)</w:t>
      </w:r>
      <w:r w:rsidR="003D67D2" w:rsidRPr="003D67D2">
        <w:rPr>
          <w:rFonts w:eastAsia="Cambria" w:cs="Times New Roman"/>
          <w:szCs w:val="22"/>
          <w:lang w:eastAsia="ja-JP"/>
        </w:rPr>
        <w:t xml:space="preserve"> </w:t>
      </w:r>
      <w:r w:rsidR="003D67D2" w:rsidRPr="003D67D2">
        <w:t>in the CT-P41 and US-licensed Prolia groups, respectively</w:t>
      </w:r>
      <w:r w:rsidR="003B3BD2" w:rsidRPr="003D67D2">
        <w:t>.</w:t>
      </w:r>
      <w:r w:rsidR="003B3BD2" w:rsidRPr="00FB10E0">
        <w:t xml:space="preserve"> The majority of</w:t>
      </w:r>
      <w:r w:rsidR="003B3BD2" w:rsidRPr="003B3BD2">
        <w:t xml:space="preserve"> the TEAEs were Grade 1 or Grade 2 in </w:t>
      </w:r>
      <w:r w:rsidR="003B3BD2" w:rsidRPr="00AA2C71">
        <w:t xml:space="preserve">intensity. </w:t>
      </w:r>
      <w:r w:rsidR="003B3BD2" w:rsidRPr="00B60327">
        <w:t>Grade 3 TEAEs occurred in 2.5% vs. 5.9%.</w:t>
      </w:r>
      <w:r w:rsidR="003B3BD2" w:rsidRPr="00AA2C71">
        <w:t xml:space="preserve"> </w:t>
      </w:r>
      <w:r w:rsidR="003B3BD2" w:rsidRPr="00B60327">
        <w:t>There was one (0.4%) case of Grade 4</w:t>
      </w:r>
      <w:r w:rsidR="00A4523E" w:rsidRPr="00B60327">
        <w:t xml:space="preserve"> </w:t>
      </w:r>
      <w:r w:rsidR="003B3BD2" w:rsidRPr="00B60327">
        <w:t xml:space="preserve">ischaemic stroke in the Prolia group, and </w:t>
      </w:r>
      <w:r w:rsidR="003B3BD2" w:rsidRPr="00AA2C71">
        <w:t>one</w:t>
      </w:r>
      <w:r w:rsidR="003B3BD2" w:rsidRPr="00707001">
        <w:t xml:space="preserve"> (0.4%) case of Grade 5 coronary artery disease </w:t>
      </w:r>
      <w:r w:rsidR="00034F7E" w:rsidRPr="00707001">
        <w:t>in the CT-P41 group</w:t>
      </w:r>
      <w:r w:rsidR="00034F7E" w:rsidRPr="00707001">
        <w:rPr>
          <w:rFonts w:hint="eastAsia"/>
          <w:lang w:eastAsia="ko-KR"/>
        </w:rPr>
        <w:t xml:space="preserve"> </w:t>
      </w:r>
      <w:r w:rsidR="003B3BD2" w:rsidRPr="00707001">
        <w:t xml:space="preserve">which resulted in </w:t>
      </w:r>
      <w:r w:rsidR="001D15D6" w:rsidRPr="00707001">
        <w:t>death but</w:t>
      </w:r>
      <w:r w:rsidR="003B3BD2" w:rsidRPr="00707001">
        <w:t xml:space="preserve"> considered unrelated to study treatment.</w:t>
      </w:r>
      <w:r w:rsidR="003B3BD2" w:rsidRPr="003B3BD2">
        <w:t xml:space="preserve"> </w:t>
      </w:r>
    </w:p>
    <w:p w14:paraId="1DA708ED" w14:textId="26758F69" w:rsidR="003B3BD2" w:rsidRPr="003B3BD2" w:rsidRDefault="003B3BD2" w:rsidP="003B3BD2">
      <w:r w:rsidRPr="003B3BD2">
        <w:t>Incidence of injection site reactions was 2.1% vs. 1.3%</w:t>
      </w:r>
      <w:r w:rsidR="00B506DB" w:rsidRPr="00B506DB">
        <w:rPr>
          <w:rFonts w:eastAsia="Cambria" w:cs="Times New Roman"/>
          <w:szCs w:val="22"/>
          <w:lang w:eastAsia="ja-JP"/>
        </w:rPr>
        <w:t xml:space="preserve"> </w:t>
      </w:r>
      <w:r w:rsidR="00B506DB" w:rsidRPr="00B506DB">
        <w:t>in the CT-P41 and US-licensed Prolia groups, respectively</w:t>
      </w:r>
      <w:r w:rsidRPr="003B3BD2">
        <w:t xml:space="preserve">. </w:t>
      </w:r>
      <w:r w:rsidR="00D061B2" w:rsidRPr="00D061B2">
        <w:t xml:space="preserve">Drug-related </w:t>
      </w:r>
      <w:r w:rsidR="00D061B2">
        <w:rPr>
          <w:rFonts w:hint="eastAsia"/>
          <w:lang w:eastAsia="ko-KR"/>
        </w:rPr>
        <w:t>h</w:t>
      </w:r>
      <w:r w:rsidRPr="003B3BD2">
        <w:t xml:space="preserve">ypersensitivity/allergic reactions occurred in the </w:t>
      </w:r>
      <w:r w:rsidR="00A77B03" w:rsidRPr="003B3BD2">
        <w:t xml:space="preserve">US-licensed </w:t>
      </w:r>
      <w:r w:rsidRPr="003B3BD2">
        <w:t xml:space="preserve">Prolia group only (0.8%). </w:t>
      </w:r>
      <w:r w:rsidR="00D061B2" w:rsidRPr="00D061B2">
        <w:t xml:space="preserve">Incidence of </w:t>
      </w:r>
      <w:r w:rsidR="000A25BB">
        <w:t>i</w:t>
      </w:r>
      <w:r w:rsidR="00D061B2" w:rsidRPr="00D061B2">
        <w:t>nfections was 37.7% vs. 28.2%</w:t>
      </w:r>
      <w:r w:rsidR="00D74DC5">
        <w:t xml:space="preserve"> in the CT-P41 and US-licenced </w:t>
      </w:r>
      <w:r w:rsidR="00D74DC5" w:rsidRPr="00A75225">
        <w:t xml:space="preserve">Prolia groups </w:t>
      </w:r>
      <w:r w:rsidR="00902092" w:rsidRPr="00A75225">
        <w:t>respectively</w:t>
      </w:r>
      <w:r w:rsidR="00D061B2" w:rsidRPr="00A75225">
        <w:t xml:space="preserve">. Only 1 case of COVID-19 in the </w:t>
      </w:r>
      <w:r w:rsidR="00A77B03" w:rsidRPr="00A75225">
        <w:t xml:space="preserve">US-licensed </w:t>
      </w:r>
      <w:r w:rsidR="00D061B2" w:rsidRPr="00A75225">
        <w:t xml:space="preserve">Prolia group was reported as </w:t>
      </w:r>
      <w:r w:rsidR="002D3699" w:rsidRPr="00A75225">
        <w:t xml:space="preserve">a </w:t>
      </w:r>
      <w:r w:rsidR="00D061B2" w:rsidRPr="00A75225">
        <w:t>serious case.</w:t>
      </w:r>
      <w:r w:rsidR="00D061B2" w:rsidRPr="00A75225">
        <w:rPr>
          <w:rFonts w:hint="eastAsia"/>
          <w:lang w:eastAsia="ko-KR"/>
        </w:rPr>
        <w:t xml:space="preserve"> </w:t>
      </w:r>
      <w:r w:rsidRPr="00A75225">
        <w:t>Hypocalcaemia occurred in 2.5% of the CT-P41 group and 2.9% of the Prolia group, all Grade 1 in intensity</w:t>
      </w:r>
      <w:r w:rsidRPr="003B3BD2">
        <w:t xml:space="preserve">. </w:t>
      </w:r>
      <w:r w:rsidR="005B308E" w:rsidRPr="005B308E">
        <w:t xml:space="preserve">Osteonecrosis of the jaw occurred in the </w:t>
      </w:r>
      <w:r w:rsidR="00A77B03" w:rsidRPr="003B3BD2">
        <w:t xml:space="preserve">US-licensed </w:t>
      </w:r>
      <w:r w:rsidR="005B308E" w:rsidRPr="005B308E">
        <w:t xml:space="preserve">Prolia group </w:t>
      </w:r>
      <w:r w:rsidR="00CB60DC">
        <w:t>in 1 patient</w:t>
      </w:r>
      <w:r w:rsidR="00B00A1A">
        <w:t xml:space="preserve"> </w:t>
      </w:r>
      <w:r w:rsidR="005B308E" w:rsidRPr="005B308E">
        <w:t>(0.4%)</w:t>
      </w:r>
      <w:r w:rsidR="00D54B4B">
        <w:t>. N</w:t>
      </w:r>
      <w:r w:rsidR="005B308E" w:rsidRPr="005B308E">
        <w:t>o</w:t>
      </w:r>
      <w:r w:rsidR="000C3C9D" w:rsidRPr="000C3C9D">
        <w:t xml:space="preserve"> TEAEs classified as </w:t>
      </w:r>
      <w:r w:rsidR="005B308E" w:rsidRPr="005B308E">
        <w:t>atypical femoral fracture w</w:t>
      </w:r>
      <w:r w:rsidR="000C3C9D">
        <w:t>ere</w:t>
      </w:r>
      <w:r w:rsidR="005B308E" w:rsidRPr="005B308E">
        <w:t xml:space="preserve"> reported</w:t>
      </w:r>
      <w:r w:rsidR="00711538">
        <w:t xml:space="preserve"> during </w:t>
      </w:r>
      <w:r w:rsidR="00AE04D6">
        <w:t>T</w:t>
      </w:r>
      <w:r w:rsidR="00711538">
        <w:t xml:space="preserve">reatment </w:t>
      </w:r>
      <w:r w:rsidR="00AE04D6">
        <w:t>P</w:t>
      </w:r>
      <w:r w:rsidR="00711538">
        <w:t>eriod I</w:t>
      </w:r>
      <w:r w:rsidR="00990EA4">
        <w:t>.</w:t>
      </w:r>
      <w:r w:rsidR="001C67EC">
        <w:t xml:space="preserve"> </w:t>
      </w:r>
      <w:r w:rsidR="005B308E" w:rsidRPr="005B308E">
        <w:t>Incidence of dermatologic reactions was 5.4% and 4.2</w:t>
      </w:r>
      <w:r w:rsidR="005B308E" w:rsidRPr="00FD041F">
        <w:t>%</w:t>
      </w:r>
      <w:r w:rsidR="00D74DC5" w:rsidRPr="00FD041F">
        <w:t xml:space="preserve"> in the CT-P41 and US-licenced Prolia groups, respectively</w:t>
      </w:r>
      <w:r w:rsidR="005B308E" w:rsidRPr="00FD041F">
        <w:rPr>
          <w:rFonts w:hint="eastAsia"/>
          <w:lang w:eastAsia="ko-KR"/>
        </w:rPr>
        <w:t>.</w:t>
      </w:r>
      <w:r w:rsidR="005B308E" w:rsidRPr="00FD041F">
        <w:t xml:space="preserve"> </w:t>
      </w:r>
      <w:proofErr w:type="gramStart"/>
      <w:r w:rsidRPr="00FD041F">
        <w:t>The majority of</w:t>
      </w:r>
      <w:proofErr w:type="gramEnd"/>
      <w:r w:rsidRPr="00FD041F">
        <w:t xml:space="preserve"> laboratory abnormalities for both groups were Grade 1 or</w:t>
      </w:r>
      <w:r w:rsidRPr="003B3BD2">
        <w:t xml:space="preserve"> Grade 2, with the </w:t>
      </w:r>
      <w:proofErr w:type="gramStart"/>
      <w:r w:rsidRPr="003B3BD2">
        <w:t>most commonly reported</w:t>
      </w:r>
      <w:proofErr w:type="gramEnd"/>
      <w:r w:rsidRPr="003B3BD2">
        <w:t xml:space="preserve"> Grade 3 being neutrophil count decreased (0.8% vs. 1.7%); no Grade 4 laboratory abnormality was reported.</w:t>
      </w:r>
    </w:p>
    <w:p w14:paraId="71D02E8E" w14:textId="77777777" w:rsidR="001C777B" w:rsidRPr="00612257" w:rsidRDefault="003B3BD2" w:rsidP="003B3BD2">
      <w:r w:rsidRPr="00612257">
        <w:t>Study CT-P41 3.1, Treatment Period II</w:t>
      </w:r>
    </w:p>
    <w:p w14:paraId="2562F7B4" w14:textId="5BFB7E62" w:rsidR="00FB1A7F" w:rsidRDefault="001C777B" w:rsidP="003B3BD2">
      <w:r>
        <w:t>T</w:t>
      </w:r>
      <w:r w:rsidR="003B3BD2" w:rsidRPr="003B3BD2">
        <w:t xml:space="preserve">he incidence of TEAEs in the three groups (CT-P41 maintenance, </w:t>
      </w:r>
      <w:r w:rsidR="00A77B03" w:rsidRPr="003B3BD2">
        <w:t xml:space="preserve">US-licensed </w:t>
      </w:r>
      <w:r w:rsidR="003B3BD2" w:rsidRPr="003B3BD2">
        <w:t xml:space="preserve">Prolia maintenance, and </w:t>
      </w:r>
      <w:proofErr w:type="gramStart"/>
      <w:r w:rsidR="00455007">
        <w:t>Switched</w:t>
      </w:r>
      <w:proofErr w:type="gramEnd"/>
      <w:r w:rsidR="003B3BD2" w:rsidRPr="003B3BD2">
        <w:t xml:space="preserve"> to CT-P41 groups) was 48.6%, 41.0%, and 53.5%, respectively. The most frequently reported TEAE was URTI (5.9%, 4.0% and 10.9%), followed by COVID-19 (3.6%, 3.0% and 5.9%). The most frequently reported Grade 3 TEAE was blood CPK increased (1.0%, 1.0%, and 0%).  Two Grade 4 TEAEs (angina unstable and gastrointestinal perforation) were reported in</w:t>
      </w:r>
      <w:r w:rsidR="00D04679" w:rsidRPr="00D04679">
        <w:rPr>
          <w:rFonts w:ascii="Segoe UI" w:hAnsi="Segoe UI" w:cs="Segoe UI"/>
          <w:sz w:val="18"/>
          <w:szCs w:val="18"/>
        </w:rPr>
        <w:t xml:space="preserve"> </w:t>
      </w:r>
      <w:r w:rsidR="00D04679" w:rsidRPr="00D04679">
        <w:t>1 patient each</w:t>
      </w:r>
      <w:r w:rsidR="003B3BD2" w:rsidRPr="003B3BD2">
        <w:t xml:space="preserve"> from CT-P41 maintenance group, considered to be unrelated to CT-P41. There was one Grade 5 genital neoplasm malignant female in CT-P41 maintenance group which resulted in death but was not considered to be related to the study treatment. </w:t>
      </w:r>
      <w:r w:rsidR="003B3BD2" w:rsidRPr="003B3BD2">
        <w:lastRenderedPageBreak/>
        <w:t xml:space="preserve">There were 12 TESAEs reported (3.6%, 2.0%, and 0%), all of which </w:t>
      </w:r>
      <w:proofErr w:type="gramStart"/>
      <w:r w:rsidR="003B3BD2" w:rsidRPr="003B3BD2">
        <w:t>were considered to be</w:t>
      </w:r>
      <w:proofErr w:type="gramEnd"/>
      <w:r w:rsidR="003B3BD2" w:rsidRPr="003B3BD2">
        <w:t xml:space="preserve"> unrelated to the study treatment. </w:t>
      </w:r>
    </w:p>
    <w:p w14:paraId="3373F990" w14:textId="7E2530CF" w:rsidR="00F71AEA" w:rsidRDefault="00D04679" w:rsidP="003B3BD2">
      <w:r w:rsidRPr="00D04679">
        <w:t xml:space="preserve">Injection site reactions occurred in 4 (1.0%) patients in the CT-P41 maintenance (3 [1.4%]) and the switched to CT-P41 (1 [1.0%]) groups, which were all Grade 1 in severity and non-serious. </w:t>
      </w:r>
      <w:r w:rsidR="003B3BD2" w:rsidRPr="003B3BD2">
        <w:t xml:space="preserve">Drug-related hypersensitivity/allergic reactions occurred in one (0.5%) </w:t>
      </w:r>
      <w:r w:rsidRPr="00D04679">
        <w:t>patient</w:t>
      </w:r>
      <w:r>
        <w:rPr>
          <w:rFonts w:hint="eastAsia"/>
          <w:lang w:eastAsia="ko-KR"/>
        </w:rPr>
        <w:t xml:space="preserve"> </w:t>
      </w:r>
      <w:r w:rsidR="003B3BD2" w:rsidRPr="003B3BD2">
        <w:t>in the CT-P41 maintenance group (pruritus and rash erythematous), which was Grade 2 in severity and non-serious.</w:t>
      </w:r>
      <w:r w:rsidRPr="00D04679">
        <w:rPr>
          <w:rFonts w:ascii="Segoe UI" w:hAnsi="Segoe UI" w:cs="Segoe UI"/>
          <w:sz w:val="18"/>
          <w:szCs w:val="18"/>
        </w:rPr>
        <w:t xml:space="preserve"> </w:t>
      </w:r>
      <w:r w:rsidRPr="00D04679">
        <w:t>The incidence of infections was 18.6%, 18.0%, and 25.7%</w:t>
      </w:r>
      <w:r w:rsidR="00D74DC5">
        <w:t xml:space="preserve"> </w:t>
      </w:r>
      <w:r w:rsidR="00D74DC5" w:rsidRPr="00D74DC5">
        <w:t xml:space="preserve">in the CT-P41 maintenance, US-licensed Prolia maintenance, and </w:t>
      </w:r>
      <w:r w:rsidR="00D74DC5">
        <w:t>s</w:t>
      </w:r>
      <w:r w:rsidR="00D74DC5" w:rsidRPr="00D74DC5">
        <w:t>witched to CT-P41 groups, respectively</w:t>
      </w:r>
      <w:r w:rsidRPr="00D04679">
        <w:t>. The slightly higher proportion of infections in the switched to CT-P41 group was mainly due to the higher proportion of patients reported with</w:t>
      </w:r>
      <w:r w:rsidR="00D74DC5">
        <w:t xml:space="preserve"> </w:t>
      </w:r>
      <w:r w:rsidR="00D74DC5" w:rsidRPr="00D74DC5">
        <w:t>upper respiratory tract infection</w:t>
      </w:r>
      <w:r w:rsidRPr="00D04679">
        <w:t xml:space="preserve"> (11 [10.9%] patients), COVID</w:t>
      </w:r>
      <w:r w:rsidRPr="00D04679">
        <w:noBreakHyphen/>
        <w:t xml:space="preserve">19 (6 [5.9%] patients) and viral upper respiratory tract infection (3 [3.0%] patients). However, these events were all non-serious, Grade 1 or 2 in severity and considered unrelated to the study drug. </w:t>
      </w:r>
      <w:r w:rsidR="003B3BD2" w:rsidRPr="003B3BD2">
        <w:t xml:space="preserve"> </w:t>
      </w:r>
    </w:p>
    <w:p w14:paraId="2C0E359B" w14:textId="56B96BEA" w:rsidR="003B3BD2" w:rsidRPr="003B3BD2" w:rsidRDefault="003B3BD2" w:rsidP="003B3BD2">
      <w:r w:rsidRPr="003B3BD2">
        <w:t xml:space="preserve">Hypocalcaemia occurred in 1.8% of the participants in the CT-P41 maintenance group, which were Grade 1 and 2 in severity and non-serious. </w:t>
      </w:r>
      <w:r w:rsidR="00D04679" w:rsidRPr="00D04679">
        <w:rPr>
          <w:rFonts w:ascii="Segoe UI" w:hAnsi="Segoe UI" w:cs="Segoe UI"/>
          <w:sz w:val="18"/>
          <w:szCs w:val="18"/>
        </w:rPr>
        <w:t xml:space="preserve"> </w:t>
      </w:r>
      <w:r w:rsidR="00D04679" w:rsidRPr="00D04679">
        <w:t>Osteonecrosis of the jaw and atypical femoral fracture w</w:t>
      </w:r>
      <w:r w:rsidR="009235F1">
        <w:t>ere</w:t>
      </w:r>
      <w:r w:rsidR="00D04679" w:rsidRPr="00D04679">
        <w:t xml:space="preserve"> not reported. Dermatologic reactions occurred in 2 (2.0%) patients in the </w:t>
      </w:r>
      <w:r w:rsidR="00A77B03" w:rsidRPr="003B3BD2">
        <w:t>US-licensed</w:t>
      </w:r>
      <w:r w:rsidR="00A77B03" w:rsidRPr="00D04679">
        <w:t xml:space="preserve"> </w:t>
      </w:r>
      <w:r w:rsidR="00D04679" w:rsidRPr="00D04679">
        <w:t>Prolia maintenance group and 2 (2.0%) patients in the switched to CT-P41 group</w:t>
      </w:r>
      <w:r w:rsidR="00864477">
        <w:t>.</w:t>
      </w:r>
      <w:r w:rsidR="00D04679" w:rsidRPr="00D04679">
        <w:t xml:space="preserve"> </w:t>
      </w:r>
      <w:r w:rsidR="00167E60" w:rsidRPr="00167E60">
        <w:t>No serious TEAEs were reported</w:t>
      </w:r>
      <w:r w:rsidR="00701909">
        <w:t>,</w:t>
      </w:r>
      <w:r w:rsidR="00167E60" w:rsidRPr="00167E60">
        <w:t xml:space="preserve"> and </w:t>
      </w:r>
      <w:r w:rsidR="00C60316" w:rsidRPr="00C60316">
        <w:t xml:space="preserve">all cases were considered to be unrelated by the investigator.  </w:t>
      </w:r>
      <w:r w:rsidRPr="003B3BD2">
        <w:t>Most of the laboratory abnormalities were Grade 1 or Grade 2 in severity; Grade 3 abnormalities included two (0.91%) participants in the CT-P41 maintenance group (CPK increased and hypertriglyceridaemia) and two (2.0%) participants from the</w:t>
      </w:r>
      <w:r w:rsidR="00A77B03" w:rsidRPr="00A77B03">
        <w:t xml:space="preserve"> </w:t>
      </w:r>
      <w:r w:rsidR="00A77B03" w:rsidRPr="003B3BD2">
        <w:t>US-licensed</w:t>
      </w:r>
      <w:r w:rsidRPr="003B3BD2">
        <w:t xml:space="preserve"> Prolia maintenance group (CPK increased and neutrophil count decreased).</w:t>
      </w:r>
    </w:p>
    <w:p w14:paraId="1D082D28" w14:textId="04DC542E" w:rsidR="00BF7233" w:rsidRDefault="003B3BD2" w:rsidP="003B3BD2">
      <w:r w:rsidRPr="00612257">
        <w:t>Study CT-P41 3.1, Overall Period</w:t>
      </w:r>
      <w:r w:rsidRPr="003B3BD2">
        <w:t xml:space="preserve"> (</w:t>
      </w:r>
      <w:r w:rsidRPr="003B3BD2">
        <w:fldChar w:fldCharType="begin"/>
      </w:r>
      <w:r w:rsidRPr="003B3BD2">
        <w:instrText xml:space="preserve"> REF _Ref187074583 \h  \* MERGEFORMAT </w:instrText>
      </w:r>
      <w:r w:rsidRPr="003B3BD2">
        <w:fldChar w:fldCharType="separate"/>
      </w:r>
      <w:r w:rsidRPr="003B3BD2">
        <w:t xml:space="preserve">Table </w:t>
      </w:r>
      <w:r w:rsidRPr="003B3BD2">
        <w:fldChar w:fldCharType="end"/>
      </w:r>
      <w:r w:rsidR="00D440BC">
        <w:t>11</w:t>
      </w:r>
      <w:r w:rsidRPr="003B3BD2">
        <w:t xml:space="preserve">) </w:t>
      </w:r>
    </w:p>
    <w:p w14:paraId="382B360E" w14:textId="0F85D9FB" w:rsidR="003B3BD2" w:rsidRPr="003B3BD2" w:rsidRDefault="003B3BD2" w:rsidP="003B3BD2">
      <w:r w:rsidRPr="003B3BD2">
        <w:t xml:space="preserve">Overall, 376 (78.8%) patients experienced at least 1 TEAE and the proportions were similar among groups (193 [80.8%] vs. 183 [76.9%]); and 177 [80.5%], 75 [75.0%], and 82 [81.2%] patients in the CT-P41 maintenance, US-licensed Prolia maintenance, and </w:t>
      </w:r>
      <w:proofErr w:type="gramStart"/>
      <w:r w:rsidR="00455007">
        <w:t>Switched</w:t>
      </w:r>
      <w:proofErr w:type="gramEnd"/>
      <w:r w:rsidRPr="003B3BD2">
        <w:t xml:space="preserve"> to CT-P41 groups, respectively. </w:t>
      </w:r>
    </w:p>
    <w:p w14:paraId="6CC57A25" w14:textId="77777777" w:rsidR="003B3BD2" w:rsidRPr="003B3BD2" w:rsidRDefault="003B3BD2" w:rsidP="003B3BD2">
      <w:r w:rsidRPr="003B3BD2">
        <w:t>The most frequently reported TEAEs for patients in total were COVID-19 (71 [14.9%] patients in total; 36 [15.1%] and 35 [14.7%] patients in the CT-P41 and US-licensed Prolia group, respectively; and 33 [15.0%], 18 [18.0%], and 17 [16.8%] patients in the CT-P41 maintenance, US-licensed Prolia maintenance, and Switched to CT-P41 groups, respectively) followed by URTI (68 [14.3%] patients in total; 36 [15.1%] and 32 [13.4%] patients in the CT-P41 and US-licensed Prolia group, respectively; and 35 [15.9%], 11 [11.0%], and 17 [16.8%] patients in the CT-P41 maintenance, US-licensed Prolia maintenance, and Switched to CT-P41 groups, respectively).</w:t>
      </w:r>
    </w:p>
    <w:p w14:paraId="5D011126" w14:textId="333596FD" w:rsidR="003B3BD2" w:rsidRPr="003B3BD2" w:rsidRDefault="003B3BD2" w:rsidP="00612257">
      <w:pPr>
        <w:pStyle w:val="TableTitle"/>
      </w:pPr>
      <w:bookmarkStart w:id="61" w:name="_Ref187074583"/>
      <w:r w:rsidRPr="003B3BD2">
        <w:lastRenderedPageBreak/>
        <w:t xml:space="preserve">Table </w:t>
      </w:r>
      <w:bookmarkEnd w:id="61"/>
      <w:r w:rsidR="00D440BC">
        <w:t>11</w:t>
      </w:r>
      <w:r w:rsidRPr="003B3BD2">
        <w:t>. Study CT-P41 3.1. TEAEs in ≥3% of patients using PT by SOC and PT (Overall Period) (Safety Set).</w:t>
      </w:r>
    </w:p>
    <w:p w14:paraId="6EEBCD15" w14:textId="79F01C45" w:rsidR="003B3BD2" w:rsidRPr="003B3BD2" w:rsidRDefault="003B3BD2" w:rsidP="003B3BD2">
      <w:r>
        <w:rPr>
          <w:noProof/>
        </w:rPr>
        <w:drawing>
          <wp:inline distT="0" distB="0" distL="0" distR="0" wp14:anchorId="0B79831F" wp14:editId="3BD7E8F9">
            <wp:extent cx="5929726" cy="8244840"/>
            <wp:effectExtent l="0" t="0" r="0" b="3810"/>
            <wp:docPr id="76" name="Picture 76" descr="Table 11. Study CT-P41 3.1. TEAEs in ≥3% of patients using PT by SOC and PT (Overall Perio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able 11. Study CT-P41 3.1. TEAEs in ≥3% of patients using PT by SOC and PT (Overall Period) (Safety Se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3206" cy="8249679"/>
                    </a:xfrm>
                    <a:prstGeom prst="rect">
                      <a:avLst/>
                    </a:prstGeom>
                    <a:noFill/>
                    <a:ln>
                      <a:noFill/>
                    </a:ln>
                  </pic:spPr>
                </pic:pic>
              </a:graphicData>
            </a:graphic>
          </wp:inline>
        </w:drawing>
      </w:r>
    </w:p>
    <w:p w14:paraId="71C594B4" w14:textId="77777777" w:rsidR="003B3BD2" w:rsidRDefault="003B3BD2" w:rsidP="003B3BD2"/>
    <w:p w14:paraId="69342A5D" w14:textId="77777777" w:rsidR="003B3BD2" w:rsidRPr="002F2AAF" w:rsidRDefault="003B3BD2" w:rsidP="009A24C5">
      <w:pPr>
        <w:pStyle w:val="Heading5"/>
      </w:pPr>
      <w:r w:rsidRPr="002F2AAF">
        <w:lastRenderedPageBreak/>
        <w:t>Treatment related adverse event (adverse drug reaction) overview</w:t>
      </w:r>
    </w:p>
    <w:p w14:paraId="720235FA" w14:textId="19B79AEE" w:rsidR="004D45D3" w:rsidRPr="00612257" w:rsidRDefault="003B3BD2" w:rsidP="003B3BD2">
      <w:r w:rsidRPr="00612257">
        <w:t xml:space="preserve">Study CT-P41 3.1, Overall Period </w:t>
      </w:r>
    </w:p>
    <w:p w14:paraId="114A22DB" w14:textId="60A34105" w:rsidR="003B3BD2" w:rsidRPr="003B3BD2" w:rsidRDefault="003B3BD2" w:rsidP="003B3BD2">
      <w:r w:rsidRPr="003B3BD2">
        <w:t>The proportions of patients who experienced at least 1 TEAE considered by the investigator to be related to the study drug was 103 (21.6%) patients in total (54 [22.6%] and 49 [20.6%] patients in the CT-P41 and US-licensed Prolia groups, respectively; and 49 [22.3%], 19 [19.0%], and 20 [19.8%] patients in the CT-P41 maintenance, US-licensed Prolia maintenance, and Switched to CT-P41 groups, respectively).</w:t>
      </w:r>
    </w:p>
    <w:p w14:paraId="6427EE2B" w14:textId="77777777" w:rsidR="003B3BD2" w:rsidRPr="003B3BD2" w:rsidRDefault="003B3BD2" w:rsidP="003B3BD2">
      <w:r w:rsidRPr="003B3BD2">
        <w:t>Based on PT, the most frequently reported TEAEs considered by the investigator to be related to the study drug were blood PTH increased in 14 (2.9%) patients (5 [2.1%] and 9 [3.8%] patients in the CT-P41 and US-licensed Prolia groups, respectively; and 5 [2.3%], 6 [6.0%], and 2 [2.0%] patients in the CT-P41 maintenance, US-licensed Prolia maintenance, and Switched to CT-P41 groups, respectively), followed by injection site reaction in 12 (2.5%) patients (8 [3.3%] and 4 [1.7%] patients in the CT-P41 and US-licensed Prolia groups, respectively; and 8 [3.6%], and 2 [2.0%] patients in the CT-P41 maintenance and Switched to CT-P41 groups, respectively).</w:t>
      </w:r>
    </w:p>
    <w:p w14:paraId="6AE8D3D1" w14:textId="77777777" w:rsidR="003B3BD2" w:rsidRPr="00B649BE" w:rsidRDefault="003B3BD2" w:rsidP="006705D9">
      <w:pPr>
        <w:pStyle w:val="Heading5"/>
      </w:pPr>
      <w:r w:rsidRPr="00B649BE">
        <w:t>Deaths</w:t>
      </w:r>
    </w:p>
    <w:p w14:paraId="0112DDDC" w14:textId="77777777" w:rsidR="003B3BD2" w:rsidRPr="003B3BD2" w:rsidRDefault="003B3BD2" w:rsidP="003B3BD2">
      <w:r w:rsidRPr="003B3BD2">
        <w:t xml:space="preserve">A total of 2 deaths were reported with one occurring in each Treatment Period (I and II), in the CT-P41 group, and the CT-P41 maintenance group, respectively. Both were considered unrelated to the study drug.   </w:t>
      </w:r>
    </w:p>
    <w:p w14:paraId="4BD5E7CF" w14:textId="77777777" w:rsidR="003B3BD2" w:rsidRPr="00B649BE" w:rsidRDefault="003B3BD2" w:rsidP="006705D9">
      <w:pPr>
        <w:pStyle w:val="Heading5"/>
      </w:pPr>
      <w:r w:rsidRPr="00B649BE">
        <w:t>Serious adverse events</w:t>
      </w:r>
    </w:p>
    <w:p w14:paraId="682AD474" w14:textId="5B05FA00" w:rsidR="003B3BD2" w:rsidRDefault="003B3BD2" w:rsidP="003B3BD2">
      <w:r w:rsidRPr="00612257">
        <w:t>Study CT-P41 3.1, Overall Period</w:t>
      </w:r>
      <w:r w:rsidRPr="003B3BD2">
        <w:t xml:space="preserve">: All TESAEs are summarised in </w:t>
      </w:r>
      <w:r w:rsidR="00AB5602">
        <w:t xml:space="preserve">Table </w:t>
      </w:r>
      <w:r w:rsidR="005E4469">
        <w:t>12</w:t>
      </w:r>
      <w:r w:rsidRPr="003B3BD2">
        <w:t>.</w:t>
      </w:r>
    </w:p>
    <w:p w14:paraId="7AEE66E8" w14:textId="77777777" w:rsidR="005E4469" w:rsidRDefault="005E4469">
      <w:pPr>
        <w:rPr>
          <w:b/>
        </w:rPr>
      </w:pPr>
      <w:bookmarkStart w:id="62" w:name="_Ref187075441"/>
      <w:r>
        <w:rPr>
          <w:b/>
        </w:rPr>
        <w:br w:type="page"/>
      </w:r>
    </w:p>
    <w:p w14:paraId="6AEB6330" w14:textId="70223D1C" w:rsidR="001B26B1" w:rsidRPr="001B26B1" w:rsidRDefault="001B26B1" w:rsidP="00612257">
      <w:pPr>
        <w:pStyle w:val="TableTitle"/>
      </w:pPr>
      <w:r w:rsidRPr="001B26B1">
        <w:lastRenderedPageBreak/>
        <w:t>Table</w:t>
      </w:r>
      <w:r w:rsidR="005E4469">
        <w:t xml:space="preserve"> </w:t>
      </w:r>
      <w:bookmarkEnd w:id="62"/>
      <w:r w:rsidR="005E4469">
        <w:t>12</w:t>
      </w:r>
      <w:r w:rsidRPr="001B26B1">
        <w:t>. Study CT-P41 3.1. Treatment-Emergent Serious Adverse Events (TESAEs) using PT by SOC and PT (Overall Period) (Safety Set).</w:t>
      </w:r>
    </w:p>
    <w:p w14:paraId="7C88E048" w14:textId="507B5FAE" w:rsidR="001B26B1" w:rsidRDefault="00B649BE" w:rsidP="003B3BD2">
      <w:r>
        <w:rPr>
          <w:noProof/>
          <w:lang w:eastAsia="ja-JP"/>
        </w:rPr>
        <w:drawing>
          <wp:inline distT="0" distB="0" distL="0" distR="0" wp14:anchorId="28127A51" wp14:editId="73C3DBE6">
            <wp:extent cx="6048375" cy="8206590"/>
            <wp:effectExtent l="0" t="0" r="0" b="4445"/>
            <wp:docPr id="79" name="Picture 79" descr="Table 12. Study CT-P41 3.1. Treatment-Emergent Serious Adverse Events (TESAEs) using PT by SOC and PT (Overall Perio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able 12. Study CT-P41 3.1. Treatment-Emergent Serious Adverse Events (TESAEs) using PT by SOC and PT (Overall Period) (Safety S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60217" cy="8222657"/>
                    </a:xfrm>
                    <a:prstGeom prst="rect">
                      <a:avLst/>
                    </a:prstGeom>
                    <a:noFill/>
                    <a:ln>
                      <a:noFill/>
                    </a:ln>
                  </pic:spPr>
                </pic:pic>
              </a:graphicData>
            </a:graphic>
          </wp:inline>
        </w:drawing>
      </w:r>
    </w:p>
    <w:p w14:paraId="6E006F46" w14:textId="77777777" w:rsidR="001B26B1" w:rsidRPr="003B3BD2" w:rsidRDefault="001B26B1" w:rsidP="003B3BD2"/>
    <w:p w14:paraId="4E254CCB" w14:textId="77777777" w:rsidR="003B3BD2" w:rsidRPr="005E4469" w:rsidRDefault="003B3BD2" w:rsidP="00513F02">
      <w:pPr>
        <w:pStyle w:val="Heading5"/>
      </w:pPr>
      <w:r w:rsidRPr="005E4469">
        <w:lastRenderedPageBreak/>
        <w:t>Discontinuations</w:t>
      </w:r>
    </w:p>
    <w:p w14:paraId="07FFDBBF" w14:textId="76980E62" w:rsidR="003B3BD2" w:rsidRPr="003B3BD2" w:rsidRDefault="003B3BD2" w:rsidP="003B3BD2">
      <w:r w:rsidRPr="00612257">
        <w:t>Study CT-P41 3.1</w:t>
      </w:r>
      <w:r w:rsidR="00646757" w:rsidRPr="00646757">
        <w:t xml:space="preserve">: </w:t>
      </w:r>
      <w:r w:rsidRPr="003B3BD2">
        <w:t xml:space="preserve">All discontinuations occurred in Treatment Period I. Overall, 10 (2.1%) patients experienced at least 1 TEAE leading to study drug discontinuation and the proportions of patients were same between the 2 groups (5 [2.1%] patients each in the CT-P41 and US-licensed Prolia groups). All TEAEs leading to study drug discontinuation were reported for 1 patient in either group. Only the </w:t>
      </w:r>
      <w:r w:rsidRPr="00286776">
        <w:t>TEAEs of ONJ and cataract, which were both reported from the US-licensed Prolia group, were considered related to</w:t>
      </w:r>
      <w:r w:rsidRPr="003B3BD2">
        <w:t xml:space="preserve"> study drug by the investigator, which led to study drug discontinuation.</w:t>
      </w:r>
    </w:p>
    <w:p w14:paraId="7D9DD33F" w14:textId="77777777" w:rsidR="003B3BD2" w:rsidRPr="005E4469" w:rsidRDefault="003B3BD2" w:rsidP="00513F02">
      <w:pPr>
        <w:pStyle w:val="Heading5"/>
      </w:pPr>
      <w:r w:rsidRPr="005E4469">
        <w:t>Immunogenicity</w:t>
      </w:r>
    </w:p>
    <w:p w14:paraId="2ABE262D" w14:textId="77777777" w:rsidR="003B3BD2" w:rsidRPr="003B3BD2" w:rsidRDefault="003B3BD2" w:rsidP="003B3BD2">
      <w:r w:rsidRPr="003B3BD2">
        <w:t>In all three studi</w:t>
      </w:r>
      <w:r w:rsidRPr="008D7B57">
        <w:t>es, the rate of ADA was high in all groups, which is likely secondary to the high sensitivity of the test. No PMO patients</w:t>
      </w:r>
      <w:r w:rsidRPr="003B3BD2">
        <w:t xml:space="preserve"> had neutralising antibodies (</w:t>
      </w:r>
      <w:proofErr w:type="spellStart"/>
      <w:r w:rsidRPr="003B3BD2">
        <w:t>NAbs</w:t>
      </w:r>
      <w:proofErr w:type="spellEnd"/>
      <w:r w:rsidRPr="003B3BD2">
        <w:t xml:space="preserve">). No impact by ADAs or </w:t>
      </w:r>
      <w:proofErr w:type="spellStart"/>
      <w:r w:rsidRPr="003B3BD2">
        <w:t>NAbs</w:t>
      </w:r>
      <w:proofErr w:type="spellEnd"/>
      <w:r w:rsidRPr="003B3BD2">
        <w:t xml:space="preserve"> was apparent.</w:t>
      </w:r>
    </w:p>
    <w:p w14:paraId="5BCB63CA" w14:textId="77777777" w:rsidR="003B3BD2" w:rsidRPr="005E4469" w:rsidRDefault="003B3BD2" w:rsidP="00513F02">
      <w:pPr>
        <w:pStyle w:val="Heading5"/>
      </w:pPr>
      <w:r w:rsidRPr="005E4469">
        <w:t>Pharmacology studies</w:t>
      </w:r>
    </w:p>
    <w:p w14:paraId="24C01540" w14:textId="146E44A6" w:rsidR="003B3BD2" w:rsidRPr="003B3BD2" w:rsidRDefault="003B3BD2" w:rsidP="003B3BD2">
      <w:r w:rsidRPr="003B3BD2">
        <w:t xml:space="preserve">In </w:t>
      </w:r>
      <w:r w:rsidRPr="00612257">
        <w:t>Study CT-P41 1.1</w:t>
      </w:r>
      <w:r w:rsidRPr="003B3BD2">
        <w:t xml:space="preserve">, 40% of the participants in the CT-P41 group had TEAEs while 80% of the participants in the </w:t>
      </w:r>
      <w:r w:rsidR="00A77B03" w:rsidRPr="003B3BD2">
        <w:t xml:space="preserve">US-licensed </w:t>
      </w:r>
      <w:r w:rsidRPr="003B3BD2">
        <w:t>Prolia group had TEAEs.  This may be due to the low number of participants.  All TEAEs were Grade 1 or Grade 2 in intensity.  There was one AESI of Grade 1 hypocalcaemia in the Prolia group.  There were no SAEs.</w:t>
      </w:r>
    </w:p>
    <w:p w14:paraId="77FBFC0F" w14:textId="46BC841C" w:rsidR="003B3BD2" w:rsidRPr="003B3BD2" w:rsidRDefault="003B3BD2" w:rsidP="003B3BD2">
      <w:r w:rsidRPr="003B3BD2">
        <w:t xml:space="preserve">In </w:t>
      </w:r>
      <w:r w:rsidRPr="00612257">
        <w:t>Study CT-P41 1.2</w:t>
      </w:r>
      <w:r w:rsidRPr="003B3BD2">
        <w:t xml:space="preserve">, the overall rate of TEAEs were similar between the CT-P41 and Prolia groups (74.3% and 76.6%, respectively).  The most common AEs were blood calcium decreased (37.8% vs. 45.5%), COVID-19 (10.8% vs. 9.1%) and nasopharyngitis (8.1% vs. 10.4%). There were some Grade 3 (2.7% vs. 0%) and Grade 4 AEs (2.7% and 1.3%).  There were no hypersensitivity/allergic reactions. There were no SAEs or </w:t>
      </w:r>
      <w:r w:rsidRPr="00286776">
        <w:t>reports of ONJ.  Injection</w:t>
      </w:r>
      <w:r w:rsidRPr="003B3BD2">
        <w:t xml:space="preserve"> site reactions occurred </w:t>
      </w:r>
      <w:r w:rsidR="00D04679" w:rsidRPr="00D04679">
        <w:t>in 2.7% in CT-P41 group, 0% in US-Prolia group, and 1.3% in total.</w:t>
      </w:r>
    </w:p>
    <w:p w14:paraId="1901B40D" w14:textId="77777777" w:rsidR="003B3BD2" w:rsidRPr="00627F0C" w:rsidRDefault="003B3BD2" w:rsidP="00513F02">
      <w:pPr>
        <w:pStyle w:val="Heading6"/>
      </w:pPr>
      <w:r w:rsidRPr="00627F0C">
        <w:t>Adverse events of special interest</w:t>
      </w:r>
    </w:p>
    <w:p w14:paraId="71652013" w14:textId="77777777" w:rsidR="003B3BD2" w:rsidRPr="003B3BD2" w:rsidRDefault="003B3BD2" w:rsidP="003B3BD2">
      <w:r w:rsidRPr="003B3BD2">
        <w:t>AESIs in Study CT-P41 3.1 (overall period shown):</w:t>
      </w:r>
    </w:p>
    <w:p w14:paraId="4F8C726F" w14:textId="77777777" w:rsidR="003B3BD2" w:rsidRPr="003B3BD2" w:rsidRDefault="003B3BD2" w:rsidP="003B3BD2">
      <w:r w:rsidRPr="00612257">
        <w:t>Injection Site Reaction</w:t>
      </w:r>
      <w:r w:rsidRPr="003B3BD2">
        <w:t>: reported for 8 (3.3%) patients in the CT-P41 group, 4 (1.7%) patients in the US-Prolia group, no patients in the US-Prolia Maintenance group and 2 (2.0%) patients in the Switched to CT-P41 group. All patients recovered.</w:t>
      </w:r>
    </w:p>
    <w:p w14:paraId="5A0EFE24" w14:textId="77777777" w:rsidR="003B3BD2" w:rsidRPr="003B3BD2" w:rsidRDefault="003B3BD2" w:rsidP="003B3BD2">
      <w:r w:rsidRPr="00612257">
        <w:t>Drug-related Hypersensitivity/Allergic Reactions</w:t>
      </w:r>
      <w:r w:rsidRPr="003B3BD2">
        <w:t>: reported for 1 (0.4%) patient in the CT-P41 group, 2 (0.8%) patients in the US-Prolia group, 1 (1.0%) patient in the US-Prolia Maintenance group and 1 (1.0%) patient in the Switched to CT-P41 group. All patients recovered.</w:t>
      </w:r>
    </w:p>
    <w:p w14:paraId="0C38818D" w14:textId="0CEC0D30" w:rsidR="003B3BD2" w:rsidRPr="003B3BD2" w:rsidRDefault="003B3BD2" w:rsidP="003B3BD2">
      <w:r w:rsidRPr="00612257">
        <w:t>Infections</w:t>
      </w:r>
      <w:r w:rsidRPr="003B3BD2">
        <w:t xml:space="preserve">: reported for 111 (46.4%) patients in the CT-P41 group, 90 (37.8%) patients in the US-Prolia group, 36 (36.0%) patients in the US-Prolia Maintenance group and 47 (46.5%) patients in the Switched to CT-P41 group. In 5 (2.1%) patients, 1 (0.4%) patient, 0 patient and 1 (1.0%) patient in the CT-P41 group, US-Prolia group, US-Prolia Maintenance group and </w:t>
      </w:r>
      <w:proofErr w:type="gramStart"/>
      <w:r w:rsidRPr="003B3BD2">
        <w:t>Switched</w:t>
      </w:r>
      <w:proofErr w:type="gramEnd"/>
      <w:r w:rsidRPr="003B3BD2">
        <w:t xml:space="preserve"> to CT-P41 group, respectively, were reported with infections that were considered related to the study drug. All TEAEs of infections were Grade 1 or 2 in intensity, with only one exception of a COVID-19 case in the US-</w:t>
      </w:r>
      <w:r w:rsidR="00A77B03" w:rsidRPr="003B3BD2">
        <w:t xml:space="preserve">licensed </w:t>
      </w:r>
      <w:r w:rsidRPr="003B3BD2">
        <w:t>Prolia group during TP1, which was serious and Grade 3.</w:t>
      </w:r>
    </w:p>
    <w:p w14:paraId="6ECEA2DC" w14:textId="358241F5" w:rsidR="003B3BD2" w:rsidRPr="003B3BD2" w:rsidRDefault="003B3BD2" w:rsidP="003B3BD2">
      <w:r w:rsidRPr="00612257">
        <w:t>Hypocalcaemia</w:t>
      </w:r>
      <w:r w:rsidRPr="003B3BD2">
        <w:t>: reported for 8 (3.3%) patients in the CT-P41 group, 7 (2.9%) patients in the US-Prolia group, 3 (3.0%) patients in the US-</w:t>
      </w:r>
      <w:r w:rsidR="00A77B03" w:rsidRPr="003B3BD2">
        <w:t xml:space="preserve">licensed </w:t>
      </w:r>
      <w:r w:rsidRPr="003B3BD2">
        <w:t xml:space="preserve">Prolia Maintenance group and 3 (3.0%) patients in the Switched to CT-P41 group. All were Grade 1 or 2 in intensity. </w:t>
      </w:r>
    </w:p>
    <w:p w14:paraId="084ACB4F" w14:textId="32629987" w:rsidR="003B3BD2" w:rsidRPr="003B3BD2" w:rsidRDefault="003B3BD2" w:rsidP="003B3BD2">
      <w:r w:rsidRPr="00612257">
        <w:t>Osteonecrosis of Jaw</w:t>
      </w:r>
      <w:r w:rsidRPr="003B3BD2">
        <w:t xml:space="preserve"> (ONJ): one patient in the US-</w:t>
      </w:r>
      <w:r w:rsidR="00A77B03" w:rsidRPr="003B3BD2">
        <w:t xml:space="preserve">licensed </w:t>
      </w:r>
      <w:r w:rsidRPr="003B3BD2">
        <w:t>Prolia group reported ONJ considered as related to the study drug by the investigator and was non-serious Grade 2 in intensity.</w:t>
      </w:r>
    </w:p>
    <w:p w14:paraId="38665311" w14:textId="77777777" w:rsidR="003B3BD2" w:rsidRPr="003B3BD2" w:rsidRDefault="003B3BD2" w:rsidP="003B3BD2">
      <w:r w:rsidRPr="00612257">
        <w:t>Atypical Femoral Fracture</w:t>
      </w:r>
      <w:r w:rsidRPr="003B3BD2">
        <w:t>: none.</w:t>
      </w:r>
    </w:p>
    <w:p w14:paraId="488D83F3" w14:textId="77777777" w:rsidR="003B3BD2" w:rsidRPr="003B3BD2" w:rsidRDefault="003B3BD2" w:rsidP="003B3BD2">
      <w:r w:rsidRPr="00612257">
        <w:lastRenderedPageBreak/>
        <w:t>Dermatologic Reactions</w:t>
      </w:r>
      <w:r w:rsidRPr="003B3BD2">
        <w:t>: reported for 13 (5.4%) patients in the CT-P41 group, 13 (5.5%) patients in the US-Prolia group, 8 (8.0%) patients in the US-Prolia Maintenance group and 4 (4.0%) patients in the Switched to CT-P41 group. All events were all non-serious and Grade 1 or 2 in intensity.</w:t>
      </w:r>
    </w:p>
    <w:p w14:paraId="780BD3C5" w14:textId="77777777" w:rsidR="003B3BD2" w:rsidRPr="00627F0C" w:rsidRDefault="003B3BD2" w:rsidP="00513F02">
      <w:pPr>
        <w:pStyle w:val="Heading6"/>
      </w:pPr>
      <w:r w:rsidRPr="00627F0C">
        <w:t>Post-market experience</w:t>
      </w:r>
    </w:p>
    <w:p w14:paraId="78C82C3E" w14:textId="77777777" w:rsidR="003B3BD2" w:rsidRPr="003B3BD2" w:rsidRDefault="003B3BD2" w:rsidP="003B3BD2">
      <w:r w:rsidRPr="003B3BD2">
        <w:t>No data available for CT-P41.</w:t>
      </w:r>
    </w:p>
    <w:p w14:paraId="2858B006" w14:textId="77777777" w:rsidR="00C22214" w:rsidRDefault="00C22214" w:rsidP="00C22214">
      <w:pPr>
        <w:pStyle w:val="Heading3"/>
        <w:rPr>
          <w:lang w:eastAsia="en-AU"/>
        </w:rPr>
      </w:pPr>
      <w:bookmarkStart w:id="63" w:name="_Toc314842514"/>
      <w:bookmarkStart w:id="64" w:name="_Toc103679298"/>
      <w:bookmarkStart w:id="65" w:name="_Toc215235761"/>
      <w:r>
        <w:rPr>
          <w:lang w:eastAsia="en-AU"/>
        </w:rPr>
        <w:t>Risk management plan</w:t>
      </w:r>
      <w:bookmarkEnd w:id="63"/>
      <w:bookmarkEnd w:id="64"/>
      <w:bookmarkEnd w:id="65"/>
    </w:p>
    <w:p w14:paraId="54AD2E94" w14:textId="7385780E" w:rsidR="003F2E54" w:rsidRPr="003F2E54" w:rsidRDefault="003F2E54" w:rsidP="003F2E54">
      <w:pPr>
        <w:rPr>
          <w:szCs w:val="22"/>
        </w:rPr>
      </w:pPr>
      <w:bookmarkStart w:id="66" w:name="_Toc247691531"/>
      <w:bookmarkStart w:id="67" w:name="_Toc314842515"/>
      <w:r>
        <w:rPr>
          <w:szCs w:val="22"/>
        </w:rPr>
        <w:t>The sponsor</w:t>
      </w:r>
      <w:r w:rsidR="00A704D3">
        <w:rPr>
          <w:szCs w:val="22"/>
        </w:rPr>
        <w:t xml:space="preserve">, </w:t>
      </w:r>
      <w:r w:rsidR="00A704D3" w:rsidRPr="00A704D3">
        <w:rPr>
          <w:szCs w:val="22"/>
        </w:rPr>
        <w:t>Celltrion Healthcare Australia</w:t>
      </w:r>
      <w:r w:rsidR="00A704D3">
        <w:rPr>
          <w:szCs w:val="22"/>
        </w:rPr>
        <w:t>,</w:t>
      </w:r>
      <w:r>
        <w:rPr>
          <w:szCs w:val="22"/>
        </w:rPr>
        <w:t xml:space="preserve"> has </w:t>
      </w:r>
      <w:r w:rsidR="00143D46">
        <w:rPr>
          <w:szCs w:val="22"/>
        </w:rPr>
        <w:t xml:space="preserve">proposed </w:t>
      </w:r>
      <w:r w:rsidR="00143D46" w:rsidRPr="001A0168">
        <w:rPr>
          <w:szCs w:val="22"/>
        </w:rPr>
        <w:t>s</w:t>
      </w:r>
      <w:r w:rsidRPr="001A0168">
        <w:rPr>
          <w:szCs w:val="22"/>
        </w:rPr>
        <w:t xml:space="preserve">eparate </w:t>
      </w:r>
      <w:r w:rsidR="001A0168">
        <w:rPr>
          <w:szCs w:val="22"/>
        </w:rPr>
        <w:t>r</w:t>
      </w:r>
      <w:r w:rsidR="001A0168" w:rsidRPr="001A0168">
        <w:rPr>
          <w:szCs w:val="22"/>
        </w:rPr>
        <w:t>isk management plan</w:t>
      </w:r>
      <w:r w:rsidR="001A0168">
        <w:rPr>
          <w:szCs w:val="22"/>
        </w:rPr>
        <w:t>s (</w:t>
      </w:r>
      <w:r w:rsidRPr="003F2E54">
        <w:rPr>
          <w:szCs w:val="22"/>
        </w:rPr>
        <w:t>RMPs</w:t>
      </w:r>
      <w:r w:rsidR="001A0168">
        <w:rPr>
          <w:szCs w:val="22"/>
        </w:rPr>
        <w:t>)</w:t>
      </w:r>
      <w:r w:rsidR="00143D46">
        <w:rPr>
          <w:szCs w:val="22"/>
        </w:rPr>
        <w:t xml:space="preserve"> for </w:t>
      </w:r>
      <w:r w:rsidR="00780DF3">
        <w:rPr>
          <w:szCs w:val="22"/>
        </w:rPr>
        <w:t>Osenvelt and Stoboclo.</w:t>
      </w:r>
      <w:r w:rsidRPr="003F2E54">
        <w:rPr>
          <w:szCs w:val="22"/>
        </w:rPr>
        <w:t xml:space="preserve"> In </w:t>
      </w:r>
      <w:r w:rsidR="00780DF3">
        <w:rPr>
          <w:szCs w:val="22"/>
        </w:rPr>
        <w:t>the</w:t>
      </w:r>
      <w:r w:rsidRPr="003F2E54">
        <w:rPr>
          <w:szCs w:val="22"/>
        </w:rPr>
        <w:t xml:space="preserve"> </w:t>
      </w:r>
      <w:r w:rsidR="00780DF3">
        <w:rPr>
          <w:szCs w:val="22"/>
        </w:rPr>
        <w:t>S</w:t>
      </w:r>
      <w:r w:rsidRPr="003F2E54">
        <w:rPr>
          <w:szCs w:val="22"/>
        </w:rPr>
        <w:t>ection 31 response, the sponsor has submitted Osenvelt EU-RMP version 0.2 (dated 4 September 2024, DLP 12 January 2024) and ASA version 1.1 (dated 22 October 2024); and Stoboclo EU-RMP version 0.2 (dated 4 September 2024 and DLP 12 January 2024) and ASA version 1.1 (Dated 22 October 2024).</w:t>
      </w:r>
    </w:p>
    <w:p w14:paraId="39F3CD1D" w14:textId="124A3CE4" w:rsidR="0072003B" w:rsidRDefault="00C22214" w:rsidP="00C22214">
      <w:pPr>
        <w:rPr>
          <w:szCs w:val="22"/>
        </w:rPr>
      </w:pPr>
      <w:r w:rsidRPr="00BD5DBD">
        <w:rPr>
          <w:szCs w:val="22"/>
        </w:rPr>
        <w:t>The summary of safety concerns and their associated risk monitoring and mitigation strategies are summarised in</w:t>
      </w:r>
      <w:r w:rsidR="003B149C">
        <w:rPr>
          <w:szCs w:val="22"/>
        </w:rPr>
        <w:t xml:space="preserve"> </w:t>
      </w:r>
      <w:r w:rsidR="003B149C" w:rsidRPr="003B149C">
        <w:rPr>
          <w:szCs w:val="22"/>
        </w:rPr>
        <w:fldChar w:fldCharType="begin"/>
      </w:r>
      <w:r w:rsidR="003B149C" w:rsidRPr="003B149C">
        <w:rPr>
          <w:szCs w:val="22"/>
        </w:rPr>
        <w:instrText xml:space="preserve"> REF _Ref97629131 \h </w:instrText>
      </w:r>
      <w:r w:rsidR="003B149C">
        <w:rPr>
          <w:szCs w:val="22"/>
        </w:rPr>
        <w:instrText xml:space="preserve"> \* MERGEFORMAT </w:instrText>
      </w:r>
      <w:r w:rsidR="003B149C" w:rsidRPr="003B149C">
        <w:rPr>
          <w:szCs w:val="22"/>
        </w:rPr>
      </w:r>
      <w:r w:rsidR="003B149C" w:rsidRPr="003B149C">
        <w:rPr>
          <w:szCs w:val="22"/>
        </w:rPr>
        <w:fldChar w:fldCharType="separate"/>
      </w:r>
      <w:r w:rsidR="008B1CB5" w:rsidRPr="008B1CB5">
        <w:rPr>
          <w:szCs w:val="22"/>
        </w:rPr>
        <w:t xml:space="preserve">Table </w:t>
      </w:r>
      <w:r w:rsidR="00B3775F">
        <w:rPr>
          <w:szCs w:val="22"/>
        </w:rPr>
        <w:t>1</w:t>
      </w:r>
      <w:r w:rsidR="008B1CB5" w:rsidRPr="008B1CB5">
        <w:rPr>
          <w:noProof/>
          <w:szCs w:val="22"/>
        </w:rPr>
        <w:t>3</w:t>
      </w:r>
      <w:r w:rsidR="003B149C" w:rsidRPr="003B149C">
        <w:rPr>
          <w:szCs w:val="22"/>
        </w:rPr>
        <w:fldChar w:fldCharType="end"/>
      </w:r>
      <w:r w:rsidR="0088397B">
        <w:rPr>
          <w:szCs w:val="22"/>
        </w:rPr>
        <w:t xml:space="preserve"> (</w:t>
      </w:r>
      <w:r w:rsidR="008F704A">
        <w:rPr>
          <w:szCs w:val="22"/>
        </w:rPr>
        <w:t>Stoboclo</w:t>
      </w:r>
      <w:r w:rsidR="0088397B">
        <w:rPr>
          <w:szCs w:val="22"/>
        </w:rPr>
        <w:t>)</w:t>
      </w:r>
      <w:r w:rsidR="008F704A">
        <w:rPr>
          <w:szCs w:val="22"/>
        </w:rPr>
        <w:t>, and Table 1</w:t>
      </w:r>
      <w:r w:rsidR="00F64E6F">
        <w:rPr>
          <w:szCs w:val="22"/>
        </w:rPr>
        <w:t>4</w:t>
      </w:r>
      <w:r w:rsidR="0088397B">
        <w:rPr>
          <w:szCs w:val="22"/>
        </w:rPr>
        <w:t xml:space="preserve"> (</w:t>
      </w:r>
      <w:r w:rsidR="00F64E6F">
        <w:rPr>
          <w:szCs w:val="22"/>
        </w:rPr>
        <w:t>Osenvelt</w:t>
      </w:r>
      <w:r w:rsidR="0088397B">
        <w:rPr>
          <w:szCs w:val="22"/>
        </w:rPr>
        <w:t>) below</w:t>
      </w:r>
      <w:r w:rsidR="00F64E6F">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w:t>
      </w:r>
      <w:r w:rsidR="00F64E6F" w:rsidRPr="00BD5DBD">
        <w:rPr>
          <w:szCs w:val="22"/>
        </w:rPr>
        <w:t>life cycle</w:t>
      </w:r>
      <w:r w:rsidR="0072003B" w:rsidRPr="00BD5DBD">
        <w:rPr>
          <w:szCs w:val="22"/>
        </w:rPr>
        <w:t>, during both the pre-approval and post-approval phases.</w:t>
      </w:r>
    </w:p>
    <w:p w14:paraId="0E7D3ADC" w14:textId="544B2852" w:rsidR="00127A74" w:rsidRDefault="00C22214" w:rsidP="00976715">
      <w:pPr>
        <w:pStyle w:val="TableTitle"/>
      </w:pPr>
      <w:bookmarkStart w:id="68" w:name="_Ref97629131"/>
      <w:r>
        <w:t xml:space="preserve">Table </w:t>
      </w:r>
      <w:r w:rsidR="00B3775F">
        <w:t>1</w:t>
      </w:r>
      <w:r w:rsidR="008B1CB5">
        <w:fldChar w:fldCharType="begin"/>
      </w:r>
      <w:r w:rsidR="008B1CB5">
        <w:instrText xml:space="preserve"> SEQ Table \* ARABIC </w:instrText>
      </w:r>
      <w:r w:rsidR="008B1CB5">
        <w:fldChar w:fldCharType="separate"/>
      </w:r>
      <w:r w:rsidR="008B1CB5">
        <w:rPr>
          <w:noProof/>
        </w:rPr>
        <w:t>3</w:t>
      </w:r>
      <w:r w:rsidR="008B1CB5">
        <w:rPr>
          <w:noProof/>
        </w:rPr>
        <w:fldChar w:fldCharType="end"/>
      </w:r>
      <w:bookmarkEnd w:id="68"/>
      <w:r>
        <w:t>: Summary of safety concerns</w:t>
      </w:r>
      <w:r w:rsidR="00A86DBC">
        <w:t>: Stoboclo</w:t>
      </w:r>
    </w:p>
    <w:tbl>
      <w:tblPr>
        <w:tblStyle w:val="TableTGAblue2023"/>
        <w:tblW w:w="9469" w:type="dxa"/>
        <w:tblLayout w:type="fixed"/>
        <w:tblLook w:val="04A0" w:firstRow="1" w:lastRow="0" w:firstColumn="1" w:lastColumn="0" w:noHBand="0" w:noVBand="1"/>
      </w:tblPr>
      <w:tblGrid>
        <w:gridCol w:w="1327"/>
        <w:gridCol w:w="3346"/>
        <w:gridCol w:w="1276"/>
        <w:gridCol w:w="1134"/>
        <w:gridCol w:w="1134"/>
        <w:gridCol w:w="1252"/>
      </w:tblGrid>
      <w:tr w:rsidR="00A86DBC" w:rsidRPr="00FD7AF8" w14:paraId="059320BC" w14:textId="77777777" w:rsidTr="00A86DBC">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673" w:type="dxa"/>
            <w:gridSpan w:val="2"/>
            <w:vMerge w:val="restart"/>
          </w:tcPr>
          <w:p w14:paraId="67A37B97" w14:textId="77777777" w:rsidR="00A86DBC" w:rsidRPr="00FD7AF8" w:rsidRDefault="00A86DBC" w:rsidP="00612257">
            <w:pPr>
              <w:rPr>
                <w:b w:val="0"/>
              </w:rPr>
            </w:pPr>
            <w:r w:rsidRPr="00FD7AF8">
              <w:t>Summary of safety concerns</w:t>
            </w:r>
          </w:p>
        </w:tc>
        <w:tc>
          <w:tcPr>
            <w:tcW w:w="2410" w:type="dxa"/>
            <w:gridSpan w:val="2"/>
          </w:tcPr>
          <w:p w14:paraId="05C941CC" w14:textId="77777777" w:rsidR="00A86DBC" w:rsidRPr="00FD7AF8" w:rsidRDefault="00A86DBC" w:rsidP="00612257">
            <w:pPr>
              <w:cnfStyle w:val="100000000000" w:firstRow="1" w:lastRow="0" w:firstColumn="0" w:lastColumn="0" w:oddVBand="0" w:evenVBand="0" w:oddHBand="0" w:evenHBand="0" w:firstRowFirstColumn="0" w:firstRowLastColumn="0" w:lastRowFirstColumn="0" w:lastRowLastColumn="0"/>
              <w:rPr>
                <w:b w:val="0"/>
              </w:rPr>
            </w:pPr>
            <w:r w:rsidRPr="00FD7AF8">
              <w:t>Pharmacovigilance</w:t>
            </w:r>
          </w:p>
        </w:tc>
        <w:tc>
          <w:tcPr>
            <w:tcW w:w="2386" w:type="dxa"/>
            <w:gridSpan w:val="2"/>
          </w:tcPr>
          <w:p w14:paraId="14EDE5BC" w14:textId="77777777" w:rsidR="00A86DBC" w:rsidRPr="00FD7AF8" w:rsidRDefault="00A86DBC" w:rsidP="00612257">
            <w:pPr>
              <w:cnfStyle w:val="100000000000" w:firstRow="1" w:lastRow="0" w:firstColumn="0" w:lastColumn="0" w:oddVBand="0" w:evenVBand="0" w:oddHBand="0" w:evenHBand="0" w:firstRowFirstColumn="0" w:firstRowLastColumn="0" w:lastRowFirstColumn="0" w:lastRowLastColumn="0"/>
              <w:rPr>
                <w:b w:val="0"/>
              </w:rPr>
            </w:pPr>
            <w:r w:rsidRPr="00FD7AF8">
              <w:t>Risk Minimisation</w:t>
            </w:r>
          </w:p>
        </w:tc>
      </w:tr>
      <w:tr w:rsidR="00A86DBC" w:rsidRPr="00FD7AF8" w14:paraId="10D176C8" w14:textId="77777777" w:rsidTr="00A86DBC">
        <w:trPr>
          <w:trHeight w:val="150"/>
        </w:trPr>
        <w:tc>
          <w:tcPr>
            <w:cnfStyle w:val="001000000000" w:firstRow="0" w:lastRow="0" w:firstColumn="1" w:lastColumn="0" w:oddVBand="0" w:evenVBand="0" w:oddHBand="0" w:evenHBand="0" w:firstRowFirstColumn="0" w:firstRowLastColumn="0" w:lastRowFirstColumn="0" w:lastRowLastColumn="0"/>
            <w:tcW w:w="4673" w:type="dxa"/>
            <w:gridSpan w:val="2"/>
            <w:vMerge/>
          </w:tcPr>
          <w:p w14:paraId="785B920D" w14:textId="77777777" w:rsidR="00A86DBC" w:rsidRPr="00FD7AF8" w:rsidRDefault="00A86DBC" w:rsidP="00612257"/>
        </w:tc>
        <w:tc>
          <w:tcPr>
            <w:tcW w:w="1276" w:type="dxa"/>
          </w:tcPr>
          <w:p w14:paraId="6BFF010B"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Routine</w:t>
            </w:r>
          </w:p>
        </w:tc>
        <w:tc>
          <w:tcPr>
            <w:tcW w:w="1134" w:type="dxa"/>
          </w:tcPr>
          <w:p w14:paraId="30D7FACF"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Additional</w:t>
            </w:r>
          </w:p>
        </w:tc>
        <w:tc>
          <w:tcPr>
            <w:tcW w:w="1134" w:type="dxa"/>
          </w:tcPr>
          <w:p w14:paraId="68BD9BC2"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Routine</w:t>
            </w:r>
          </w:p>
        </w:tc>
        <w:tc>
          <w:tcPr>
            <w:tcW w:w="1252" w:type="dxa"/>
          </w:tcPr>
          <w:p w14:paraId="4D0D4308"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Additional</w:t>
            </w:r>
          </w:p>
        </w:tc>
      </w:tr>
      <w:tr w:rsidR="00A86DBC" w:rsidRPr="00FD7AF8" w14:paraId="48F2DF8B" w14:textId="77777777" w:rsidTr="00A86DBC">
        <w:trPr>
          <w:trHeight w:val="137"/>
        </w:trPr>
        <w:tc>
          <w:tcPr>
            <w:cnfStyle w:val="001000000000" w:firstRow="0" w:lastRow="0" w:firstColumn="1" w:lastColumn="0" w:oddVBand="0" w:evenVBand="0" w:oddHBand="0" w:evenHBand="0" w:firstRowFirstColumn="0" w:firstRowLastColumn="0" w:lastRowFirstColumn="0" w:lastRowLastColumn="0"/>
            <w:tcW w:w="1327" w:type="dxa"/>
            <w:vMerge w:val="restart"/>
          </w:tcPr>
          <w:p w14:paraId="4EC68736" w14:textId="77777777" w:rsidR="00A86DBC" w:rsidRPr="00FD7AF8" w:rsidRDefault="00A86DBC" w:rsidP="00612257">
            <w:r w:rsidRPr="00FD7AF8">
              <w:t>Important identified risks</w:t>
            </w:r>
          </w:p>
        </w:tc>
        <w:tc>
          <w:tcPr>
            <w:tcW w:w="3346" w:type="dxa"/>
          </w:tcPr>
          <w:p w14:paraId="313DF111"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Hypocalcaemia</w:t>
            </w:r>
          </w:p>
        </w:tc>
        <w:tc>
          <w:tcPr>
            <w:tcW w:w="1276" w:type="dxa"/>
          </w:tcPr>
          <w:p w14:paraId="3055F9D6"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sym w:font="Wingdings" w:char="F0FC"/>
            </w:r>
            <w:r w:rsidRPr="00FD7AF8">
              <w:t>*</w:t>
            </w:r>
          </w:p>
        </w:tc>
        <w:tc>
          <w:tcPr>
            <w:tcW w:w="1134" w:type="dxa"/>
          </w:tcPr>
          <w:p w14:paraId="6D5E465B"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w:t>
            </w:r>
          </w:p>
        </w:tc>
        <w:tc>
          <w:tcPr>
            <w:tcW w:w="1134" w:type="dxa"/>
          </w:tcPr>
          <w:p w14:paraId="54BDF310"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sym w:font="Wingdings" w:char="F0FC"/>
            </w:r>
          </w:p>
        </w:tc>
        <w:tc>
          <w:tcPr>
            <w:tcW w:w="1252" w:type="dxa"/>
          </w:tcPr>
          <w:p w14:paraId="16229D22"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w:t>
            </w:r>
          </w:p>
        </w:tc>
      </w:tr>
      <w:tr w:rsidR="00A86DBC" w:rsidRPr="00FD7AF8" w14:paraId="149CB6BF" w14:textId="77777777" w:rsidTr="00A86DBC">
        <w:trPr>
          <w:trHeight w:val="94"/>
        </w:trPr>
        <w:tc>
          <w:tcPr>
            <w:cnfStyle w:val="001000000000" w:firstRow="0" w:lastRow="0" w:firstColumn="1" w:lastColumn="0" w:oddVBand="0" w:evenVBand="0" w:oddHBand="0" w:evenHBand="0" w:firstRowFirstColumn="0" w:firstRowLastColumn="0" w:lastRowFirstColumn="0" w:lastRowLastColumn="0"/>
            <w:tcW w:w="1327" w:type="dxa"/>
            <w:vMerge/>
          </w:tcPr>
          <w:p w14:paraId="2876A832" w14:textId="77777777" w:rsidR="00A86DBC" w:rsidRPr="00FD7AF8" w:rsidRDefault="00A86DBC" w:rsidP="00612257"/>
        </w:tc>
        <w:tc>
          <w:tcPr>
            <w:tcW w:w="3346" w:type="dxa"/>
          </w:tcPr>
          <w:p w14:paraId="6B1F51B1"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Skin infection leading to hospitalisation</w:t>
            </w:r>
          </w:p>
        </w:tc>
        <w:tc>
          <w:tcPr>
            <w:tcW w:w="1276" w:type="dxa"/>
          </w:tcPr>
          <w:p w14:paraId="2B8DD0BD"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sym w:font="Wingdings" w:char="F0FC"/>
            </w:r>
            <w:r w:rsidRPr="00FD7AF8">
              <w:t>*</w:t>
            </w:r>
          </w:p>
        </w:tc>
        <w:tc>
          <w:tcPr>
            <w:tcW w:w="1134" w:type="dxa"/>
          </w:tcPr>
          <w:p w14:paraId="7A8DA99D"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w:t>
            </w:r>
          </w:p>
        </w:tc>
        <w:tc>
          <w:tcPr>
            <w:tcW w:w="1134" w:type="dxa"/>
          </w:tcPr>
          <w:p w14:paraId="27B0ECC4"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sym w:font="Wingdings" w:char="F0FC"/>
            </w:r>
          </w:p>
        </w:tc>
        <w:tc>
          <w:tcPr>
            <w:tcW w:w="1252" w:type="dxa"/>
          </w:tcPr>
          <w:p w14:paraId="4977D114"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w:t>
            </w:r>
          </w:p>
        </w:tc>
      </w:tr>
      <w:tr w:rsidR="00A86DBC" w:rsidRPr="00FD7AF8" w14:paraId="30E14963" w14:textId="77777777" w:rsidTr="00A86DBC">
        <w:trPr>
          <w:trHeight w:val="94"/>
        </w:trPr>
        <w:tc>
          <w:tcPr>
            <w:cnfStyle w:val="001000000000" w:firstRow="0" w:lastRow="0" w:firstColumn="1" w:lastColumn="0" w:oddVBand="0" w:evenVBand="0" w:oddHBand="0" w:evenHBand="0" w:firstRowFirstColumn="0" w:firstRowLastColumn="0" w:lastRowFirstColumn="0" w:lastRowLastColumn="0"/>
            <w:tcW w:w="1327" w:type="dxa"/>
            <w:vMerge/>
          </w:tcPr>
          <w:p w14:paraId="5B1B85FE" w14:textId="77777777" w:rsidR="00A86DBC" w:rsidRPr="00FD7AF8" w:rsidRDefault="00A86DBC" w:rsidP="00612257"/>
        </w:tc>
        <w:tc>
          <w:tcPr>
            <w:tcW w:w="3346" w:type="dxa"/>
          </w:tcPr>
          <w:p w14:paraId="49F03B7D"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Osteonecrosis of the jaw</w:t>
            </w:r>
          </w:p>
        </w:tc>
        <w:tc>
          <w:tcPr>
            <w:tcW w:w="1276" w:type="dxa"/>
          </w:tcPr>
          <w:p w14:paraId="2026F890"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sym w:font="Wingdings" w:char="F0FC"/>
            </w:r>
            <w:r w:rsidRPr="00FD7AF8">
              <w:t>*</w:t>
            </w:r>
          </w:p>
        </w:tc>
        <w:tc>
          <w:tcPr>
            <w:tcW w:w="1134" w:type="dxa"/>
          </w:tcPr>
          <w:p w14:paraId="121A711A"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w:t>
            </w:r>
          </w:p>
        </w:tc>
        <w:tc>
          <w:tcPr>
            <w:tcW w:w="1134" w:type="dxa"/>
          </w:tcPr>
          <w:p w14:paraId="1B719C2F"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sym w:font="Wingdings" w:char="F0FC"/>
            </w:r>
          </w:p>
        </w:tc>
        <w:tc>
          <w:tcPr>
            <w:tcW w:w="1252" w:type="dxa"/>
          </w:tcPr>
          <w:p w14:paraId="70817137"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w:t>
            </w:r>
          </w:p>
        </w:tc>
      </w:tr>
      <w:tr w:rsidR="00A86DBC" w:rsidRPr="00FD7AF8" w14:paraId="72BE4321" w14:textId="77777777" w:rsidTr="00A86DBC">
        <w:trPr>
          <w:trHeight w:val="94"/>
        </w:trPr>
        <w:tc>
          <w:tcPr>
            <w:cnfStyle w:val="001000000000" w:firstRow="0" w:lastRow="0" w:firstColumn="1" w:lastColumn="0" w:oddVBand="0" w:evenVBand="0" w:oddHBand="0" w:evenHBand="0" w:firstRowFirstColumn="0" w:firstRowLastColumn="0" w:lastRowFirstColumn="0" w:lastRowLastColumn="0"/>
            <w:tcW w:w="1327" w:type="dxa"/>
            <w:vMerge/>
          </w:tcPr>
          <w:p w14:paraId="4DC91EED" w14:textId="77777777" w:rsidR="00A86DBC" w:rsidRPr="00FD7AF8" w:rsidRDefault="00A86DBC" w:rsidP="00612257"/>
        </w:tc>
        <w:tc>
          <w:tcPr>
            <w:tcW w:w="3346" w:type="dxa"/>
          </w:tcPr>
          <w:p w14:paraId="37B43A46"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Hypersensitivity reactions</w:t>
            </w:r>
          </w:p>
        </w:tc>
        <w:tc>
          <w:tcPr>
            <w:tcW w:w="1276" w:type="dxa"/>
          </w:tcPr>
          <w:p w14:paraId="182C508C"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sym w:font="Wingdings" w:char="F0FC"/>
            </w:r>
            <w:r w:rsidRPr="00FD7AF8">
              <w:t>*</w:t>
            </w:r>
          </w:p>
        </w:tc>
        <w:tc>
          <w:tcPr>
            <w:tcW w:w="1134" w:type="dxa"/>
          </w:tcPr>
          <w:p w14:paraId="771AB86A"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w:t>
            </w:r>
          </w:p>
        </w:tc>
        <w:tc>
          <w:tcPr>
            <w:tcW w:w="1134" w:type="dxa"/>
          </w:tcPr>
          <w:p w14:paraId="5721A521"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sym w:font="Wingdings" w:char="F0FC"/>
            </w:r>
          </w:p>
        </w:tc>
        <w:tc>
          <w:tcPr>
            <w:tcW w:w="1252" w:type="dxa"/>
          </w:tcPr>
          <w:p w14:paraId="40C8CF1C"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w:t>
            </w:r>
          </w:p>
        </w:tc>
      </w:tr>
      <w:tr w:rsidR="00A86DBC" w:rsidRPr="00FD7AF8" w14:paraId="4C88195E" w14:textId="77777777" w:rsidTr="00A86DBC">
        <w:trPr>
          <w:trHeight w:val="94"/>
        </w:trPr>
        <w:tc>
          <w:tcPr>
            <w:cnfStyle w:val="001000000000" w:firstRow="0" w:lastRow="0" w:firstColumn="1" w:lastColumn="0" w:oddVBand="0" w:evenVBand="0" w:oddHBand="0" w:evenHBand="0" w:firstRowFirstColumn="0" w:firstRowLastColumn="0" w:lastRowFirstColumn="0" w:lastRowLastColumn="0"/>
            <w:tcW w:w="1327" w:type="dxa"/>
            <w:vMerge/>
          </w:tcPr>
          <w:p w14:paraId="082240A7" w14:textId="77777777" w:rsidR="00A86DBC" w:rsidRPr="00FD7AF8" w:rsidRDefault="00A86DBC" w:rsidP="00612257"/>
        </w:tc>
        <w:tc>
          <w:tcPr>
            <w:tcW w:w="3346" w:type="dxa"/>
          </w:tcPr>
          <w:p w14:paraId="2516FD4B"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Atypical femoral fracture</w:t>
            </w:r>
          </w:p>
        </w:tc>
        <w:tc>
          <w:tcPr>
            <w:tcW w:w="1276" w:type="dxa"/>
          </w:tcPr>
          <w:p w14:paraId="7DFFE9AE"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sym w:font="Wingdings" w:char="F0FC"/>
            </w:r>
            <w:r w:rsidRPr="00FD7AF8">
              <w:t>*</w:t>
            </w:r>
          </w:p>
        </w:tc>
        <w:tc>
          <w:tcPr>
            <w:tcW w:w="1134" w:type="dxa"/>
          </w:tcPr>
          <w:p w14:paraId="5DB4A455"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w:t>
            </w:r>
          </w:p>
        </w:tc>
        <w:tc>
          <w:tcPr>
            <w:tcW w:w="1134" w:type="dxa"/>
          </w:tcPr>
          <w:p w14:paraId="76112EE9"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sym w:font="Wingdings" w:char="F0FC"/>
            </w:r>
          </w:p>
        </w:tc>
        <w:tc>
          <w:tcPr>
            <w:tcW w:w="1252" w:type="dxa"/>
          </w:tcPr>
          <w:p w14:paraId="0C419F47"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w:t>
            </w:r>
          </w:p>
        </w:tc>
      </w:tr>
      <w:tr w:rsidR="00A86DBC" w:rsidRPr="00FD7AF8" w14:paraId="4BFF44BB" w14:textId="77777777" w:rsidTr="00A86DBC">
        <w:trPr>
          <w:trHeight w:val="187"/>
        </w:trPr>
        <w:tc>
          <w:tcPr>
            <w:cnfStyle w:val="001000000000" w:firstRow="0" w:lastRow="0" w:firstColumn="1" w:lastColumn="0" w:oddVBand="0" w:evenVBand="0" w:oddHBand="0" w:evenHBand="0" w:firstRowFirstColumn="0" w:firstRowLastColumn="0" w:lastRowFirstColumn="0" w:lastRowLastColumn="0"/>
            <w:tcW w:w="1327" w:type="dxa"/>
            <w:vMerge/>
          </w:tcPr>
          <w:p w14:paraId="1C421C4B" w14:textId="77777777" w:rsidR="00A86DBC" w:rsidRPr="00FD7AF8" w:rsidRDefault="00A86DBC" w:rsidP="00612257"/>
        </w:tc>
        <w:tc>
          <w:tcPr>
            <w:tcW w:w="3346" w:type="dxa"/>
          </w:tcPr>
          <w:p w14:paraId="2F44275D"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Hypercalcaemia in paediatric patients receiving denosumab and after treatment discontinuation</w:t>
            </w:r>
          </w:p>
        </w:tc>
        <w:tc>
          <w:tcPr>
            <w:tcW w:w="1276" w:type="dxa"/>
          </w:tcPr>
          <w:p w14:paraId="64A6E483"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sym w:font="Wingdings" w:char="F0FC"/>
            </w:r>
          </w:p>
        </w:tc>
        <w:tc>
          <w:tcPr>
            <w:tcW w:w="1134" w:type="dxa"/>
          </w:tcPr>
          <w:p w14:paraId="71996B99"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w:t>
            </w:r>
          </w:p>
        </w:tc>
        <w:tc>
          <w:tcPr>
            <w:tcW w:w="1134" w:type="dxa"/>
          </w:tcPr>
          <w:p w14:paraId="25C1D002"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sym w:font="Wingdings" w:char="F0FC"/>
            </w:r>
          </w:p>
        </w:tc>
        <w:tc>
          <w:tcPr>
            <w:tcW w:w="1252" w:type="dxa"/>
          </w:tcPr>
          <w:p w14:paraId="1755A748"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w:t>
            </w:r>
          </w:p>
        </w:tc>
      </w:tr>
      <w:tr w:rsidR="00A86DBC" w:rsidRPr="00FD7AF8" w14:paraId="0A5ECEDD" w14:textId="77777777" w:rsidTr="00A86DBC">
        <w:trPr>
          <w:trHeight w:val="159"/>
        </w:trPr>
        <w:tc>
          <w:tcPr>
            <w:cnfStyle w:val="001000000000" w:firstRow="0" w:lastRow="0" w:firstColumn="1" w:lastColumn="0" w:oddVBand="0" w:evenVBand="0" w:oddHBand="0" w:evenHBand="0" w:firstRowFirstColumn="0" w:firstRowLastColumn="0" w:lastRowFirstColumn="0" w:lastRowLastColumn="0"/>
            <w:tcW w:w="1327" w:type="dxa"/>
            <w:vMerge w:val="restart"/>
          </w:tcPr>
          <w:p w14:paraId="1AFC9007" w14:textId="77777777" w:rsidR="00A86DBC" w:rsidRPr="00FD7AF8" w:rsidRDefault="00A86DBC" w:rsidP="00612257">
            <w:r w:rsidRPr="00FD7AF8">
              <w:t>Important potential risks</w:t>
            </w:r>
          </w:p>
        </w:tc>
        <w:tc>
          <w:tcPr>
            <w:tcW w:w="3346" w:type="dxa"/>
          </w:tcPr>
          <w:p w14:paraId="662E2B11"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Fracture healing complications</w:t>
            </w:r>
          </w:p>
        </w:tc>
        <w:tc>
          <w:tcPr>
            <w:tcW w:w="1276" w:type="dxa"/>
          </w:tcPr>
          <w:p w14:paraId="143712CE"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sym w:font="Wingdings" w:char="F0FC"/>
            </w:r>
            <w:r w:rsidRPr="00FD7AF8">
              <w:t>*</w:t>
            </w:r>
          </w:p>
        </w:tc>
        <w:tc>
          <w:tcPr>
            <w:tcW w:w="1134" w:type="dxa"/>
          </w:tcPr>
          <w:p w14:paraId="1FD92455"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w:t>
            </w:r>
          </w:p>
        </w:tc>
        <w:tc>
          <w:tcPr>
            <w:tcW w:w="1134" w:type="dxa"/>
          </w:tcPr>
          <w:p w14:paraId="68538CE5"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w:t>
            </w:r>
          </w:p>
        </w:tc>
        <w:tc>
          <w:tcPr>
            <w:tcW w:w="1252" w:type="dxa"/>
          </w:tcPr>
          <w:p w14:paraId="685119FC"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w:t>
            </w:r>
          </w:p>
        </w:tc>
      </w:tr>
      <w:tr w:rsidR="00A86DBC" w:rsidRPr="00FD7AF8" w14:paraId="6B26E2AC" w14:textId="77777777" w:rsidTr="00A86DBC">
        <w:trPr>
          <w:trHeight w:val="122"/>
        </w:trPr>
        <w:tc>
          <w:tcPr>
            <w:cnfStyle w:val="001000000000" w:firstRow="0" w:lastRow="0" w:firstColumn="1" w:lastColumn="0" w:oddVBand="0" w:evenVBand="0" w:oddHBand="0" w:evenHBand="0" w:firstRowFirstColumn="0" w:firstRowLastColumn="0" w:lastRowFirstColumn="0" w:lastRowLastColumn="0"/>
            <w:tcW w:w="1327" w:type="dxa"/>
            <w:vMerge/>
          </w:tcPr>
          <w:p w14:paraId="7232A07D" w14:textId="77777777" w:rsidR="00A86DBC" w:rsidRPr="00FD7AF8" w:rsidRDefault="00A86DBC" w:rsidP="00612257"/>
        </w:tc>
        <w:tc>
          <w:tcPr>
            <w:tcW w:w="3346" w:type="dxa"/>
          </w:tcPr>
          <w:p w14:paraId="1B43E20F"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Infection</w:t>
            </w:r>
          </w:p>
        </w:tc>
        <w:tc>
          <w:tcPr>
            <w:tcW w:w="1276" w:type="dxa"/>
          </w:tcPr>
          <w:p w14:paraId="16441CAA"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sym w:font="Wingdings" w:char="F0FC"/>
            </w:r>
            <w:r w:rsidRPr="00FD7AF8">
              <w:t>*</w:t>
            </w:r>
          </w:p>
        </w:tc>
        <w:tc>
          <w:tcPr>
            <w:tcW w:w="1134" w:type="dxa"/>
          </w:tcPr>
          <w:p w14:paraId="4E0C569C"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w:t>
            </w:r>
          </w:p>
        </w:tc>
        <w:tc>
          <w:tcPr>
            <w:tcW w:w="1134" w:type="dxa"/>
          </w:tcPr>
          <w:p w14:paraId="4A6388FF"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sym w:font="Wingdings" w:char="F0FC"/>
            </w:r>
          </w:p>
        </w:tc>
        <w:tc>
          <w:tcPr>
            <w:tcW w:w="1252" w:type="dxa"/>
          </w:tcPr>
          <w:p w14:paraId="678B6ECF"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w:t>
            </w:r>
          </w:p>
        </w:tc>
      </w:tr>
      <w:tr w:rsidR="00A86DBC" w:rsidRPr="00FD7AF8" w14:paraId="1C02AD3C" w14:textId="77777777" w:rsidTr="00A86DBC">
        <w:trPr>
          <w:trHeight w:val="122"/>
        </w:trPr>
        <w:tc>
          <w:tcPr>
            <w:cnfStyle w:val="001000000000" w:firstRow="0" w:lastRow="0" w:firstColumn="1" w:lastColumn="0" w:oddVBand="0" w:evenVBand="0" w:oddHBand="0" w:evenHBand="0" w:firstRowFirstColumn="0" w:firstRowLastColumn="0" w:lastRowFirstColumn="0" w:lastRowLastColumn="0"/>
            <w:tcW w:w="1327" w:type="dxa"/>
            <w:vMerge/>
          </w:tcPr>
          <w:p w14:paraId="4DD2DAC4" w14:textId="77777777" w:rsidR="00A86DBC" w:rsidRPr="00FD7AF8" w:rsidRDefault="00A86DBC" w:rsidP="00612257"/>
        </w:tc>
        <w:tc>
          <w:tcPr>
            <w:tcW w:w="3346" w:type="dxa"/>
          </w:tcPr>
          <w:p w14:paraId="2D1F7BD4"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 xml:space="preserve">Cardiovascular events </w:t>
            </w:r>
          </w:p>
        </w:tc>
        <w:tc>
          <w:tcPr>
            <w:tcW w:w="1276" w:type="dxa"/>
          </w:tcPr>
          <w:p w14:paraId="2BDE39B3"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sym w:font="Wingdings" w:char="F0FC"/>
            </w:r>
          </w:p>
        </w:tc>
        <w:tc>
          <w:tcPr>
            <w:tcW w:w="1134" w:type="dxa"/>
          </w:tcPr>
          <w:p w14:paraId="07585F06"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w:t>
            </w:r>
          </w:p>
        </w:tc>
        <w:tc>
          <w:tcPr>
            <w:tcW w:w="1134" w:type="dxa"/>
          </w:tcPr>
          <w:p w14:paraId="6442183C"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w:t>
            </w:r>
          </w:p>
        </w:tc>
        <w:tc>
          <w:tcPr>
            <w:tcW w:w="1252" w:type="dxa"/>
          </w:tcPr>
          <w:p w14:paraId="56A89255"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p>
        </w:tc>
      </w:tr>
      <w:tr w:rsidR="00A86DBC" w:rsidRPr="00FD7AF8" w14:paraId="40F9F2A8" w14:textId="77777777" w:rsidTr="00A86DBC">
        <w:trPr>
          <w:trHeight w:val="112"/>
        </w:trPr>
        <w:tc>
          <w:tcPr>
            <w:cnfStyle w:val="001000000000" w:firstRow="0" w:lastRow="0" w:firstColumn="1" w:lastColumn="0" w:oddVBand="0" w:evenVBand="0" w:oddHBand="0" w:evenHBand="0" w:firstRowFirstColumn="0" w:firstRowLastColumn="0" w:lastRowFirstColumn="0" w:lastRowLastColumn="0"/>
            <w:tcW w:w="1327" w:type="dxa"/>
            <w:vMerge/>
          </w:tcPr>
          <w:p w14:paraId="2DBC8EEB" w14:textId="77777777" w:rsidR="00A86DBC" w:rsidRPr="00FD7AF8" w:rsidRDefault="00A86DBC" w:rsidP="00612257"/>
        </w:tc>
        <w:tc>
          <w:tcPr>
            <w:tcW w:w="3346" w:type="dxa"/>
          </w:tcPr>
          <w:p w14:paraId="35C3A916"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Malignancy</w:t>
            </w:r>
          </w:p>
        </w:tc>
        <w:tc>
          <w:tcPr>
            <w:tcW w:w="1276" w:type="dxa"/>
          </w:tcPr>
          <w:p w14:paraId="2E3A710F"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sym w:font="Wingdings" w:char="F0FC"/>
            </w:r>
            <w:r w:rsidRPr="00FD7AF8">
              <w:t>*</w:t>
            </w:r>
          </w:p>
        </w:tc>
        <w:tc>
          <w:tcPr>
            <w:tcW w:w="1134" w:type="dxa"/>
          </w:tcPr>
          <w:p w14:paraId="13100B8B"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w:t>
            </w:r>
          </w:p>
        </w:tc>
        <w:tc>
          <w:tcPr>
            <w:tcW w:w="1134" w:type="dxa"/>
          </w:tcPr>
          <w:p w14:paraId="699784B9" w14:textId="75F83C4E" w:rsidR="00A86DBC" w:rsidRPr="00FD7AF8" w:rsidRDefault="00D868DD" w:rsidP="00612257">
            <w:pPr>
              <w:cnfStyle w:val="000000000000" w:firstRow="0" w:lastRow="0" w:firstColumn="0" w:lastColumn="0" w:oddVBand="0" w:evenVBand="0" w:oddHBand="0" w:evenHBand="0" w:firstRowFirstColumn="0" w:firstRowLastColumn="0" w:lastRowFirstColumn="0" w:lastRowLastColumn="0"/>
            </w:pPr>
            <w:r w:rsidRPr="00FD7AF8">
              <w:sym w:font="Wingdings" w:char="F0FC"/>
            </w:r>
          </w:p>
        </w:tc>
        <w:tc>
          <w:tcPr>
            <w:tcW w:w="1252" w:type="dxa"/>
          </w:tcPr>
          <w:p w14:paraId="74CB9401"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w:t>
            </w:r>
          </w:p>
        </w:tc>
      </w:tr>
      <w:tr w:rsidR="00A86DBC" w:rsidRPr="00FD7AF8" w14:paraId="7504DE26" w14:textId="77777777" w:rsidTr="00A86DBC">
        <w:trPr>
          <w:trHeight w:val="178"/>
        </w:trPr>
        <w:tc>
          <w:tcPr>
            <w:cnfStyle w:val="001000000000" w:firstRow="0" w:lastRow="0" w:firstColumn="1" w:lastColumn="0" w:oddVBand="0" w:evenVBand="0" w:oddHBand="0" w:evenHBand="0" w:firstRowFirstColumn="0" w:firstRowLastColumn="0" w:lastRowFirstColumn="0" w:lastRowLastColumn="0"/>
            <w:tcW w:w="1327" w:type="dxa"/>
          </w:tcPr>
          <w:p w14:paraId="4FDF0074" w14:textId="77777777" w:rsidR="00A86DBC" w:rsidRPr="00FD7AF8" w:rsidRDefault="00A86DBC" w:rsidP="00612257">
            <w:r w:rsidRPr="00FD7AF8">
              <w:t>Missing information</w:t>
            </w:r>
          </w:p>
        </w:tc>
        <w:tc>
          <w:tcPr>
            <w:tcW w:w="3346" w:type="dxa"/>
          </w:tcPr>
          <w:p w14:paraId="392151C9"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r w:rsidRPr="00FD7AF8">
              <w:t>None</w:t>
            </w:r>
          </w:p>
        </w:tc>
        <w:tc>
          <w:tcPr>
            <w:tcW w:w="1276" w:type="dxa"/>
          </w:tcPr>
          <w:p w14:paraId="4E4B5839"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p>
        </w:tc>
        <w:tc>
          <w:tcPr>
            <w:tcW w:w="1134" w:type="dxa"/>
          </w:tcPr>
          <w:p w14:paraId="3B845222"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p>
        </w:tc>
        <w:tc>
          <w:tcPr>
            <w:tcW w:w="1134" w:type="dxa"/>
          </w:tcPr>
          <w:p w14:paraId="5E4FAA82"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p>
        </w:tc>
        <w:tc>
          <w:tcPr>
            <w:tcW w:w="1252" w:type="dxa"/>
          </w:tcPr>
          <w:p w14:paraId="314D13FF" w14:textId="77777777" w:rsidR="00A86DBC" w:rsidRPr="00FD7AF8" w:rsidRDefault="00A86DBC" w:rsidP="00612257">
            <w:pPr>
              <w:cnfStyle w:val="000000000000" w:firstRow="0" w:lastRow="0" w:firstColumn="0" w:lastColumn="0" w:oddVBand="0" w:evenVBand="0" w:oddHBand="0" w:evenHBand="0" w:firstRowFirstColumn="0" w:firstRowLastColumn="0" w:lastRowFirstColumn="0" w:lastRowLastColumn="0"/>
            </w:pPr>
          </w:p>
        </w:tc>
      </w:tr>
    </w:tbl>
    <w:p w14:paraId="56CB40B4" w14:textId="77777777" w:rsidR="00A86DBC" w:rsidRPr="00FD7AF8" w:rsidRDefault="00A86DBC" w:rsidP="00A86DBC">
      <w:pPr>
        <w:pStyle w:val="Standard"/>
        <w:spacing w:after="0" w:line="240" w:lineRule="auto"/>
        <w:rPr>
          <w:rFonts w:ascii="Arial Narrow" w:hAnsi="Arial Narrow"/>
          <w:kern w:val="0"/>
          <w:sz w:val="20"/>
          <w:szCs w:val="20"/>
        </w:rPr>
      </w:pPr>
      <w:r w:rsidRPr="00FD7AF8">
        <w:rPr>
          <w:rFonts w:ascii="Arial Narrow" w:hAnsi="Arial Narrow"/>
          <w:kern w:val="0"/>
          <w:sz w:val="20"/>
          <w:szCs w:val="20"/>
        </w:rPr>
        <w:t>*Targeted follow up forms</w:t>
      </w:r>
    </w:p>
    <w:p w14:paraId="4E7E1E9E" w14:textId="77777777" w:rsidR="00A86DBC" w:rsidRPr="00FD7AF8" w:rsidRDefault="00A86DBC" w:rsidP="00A86DBC">
      <w:pPr>
        <w:pStyle w:val="Standard"/>
        <w:spacing w:after="0" w:line="240" w:lineRule="auto"/>
        <w:rPr>
          <w:rFonts w:ascii="Arial Narrow" w:hAnsi="Arial Narrow"/>
          <w:kern w:val="0"/>
          <w:sz w:val="20"/>
          <w:szCs w:val="20"/>
        </w:rPr>
      </w:pPr>
    </w:p>
    <w:p w14:paraId="1344AF9E" w14:textId="4267BD45" w:rsidR="008F704A" w:rsidRPr="00A86DBC" w:rsidRDefault="008F704A" w:rsidP="0097119F">
      <w:pPr>
        <w:pStyle w:val="TableTitle"/>
      </w:pPr>
      <w:r w:rsidRPr="008F704A">
        <w:lastRenderedPageBreak/>
        <w:t>Table 1</w:t>
      </w:r>
      <w:r>
        <w:t>4</w:t>
      </w:r>
      <w:r w:rsidRPr="008F704A">
        <w:t xml:space="preserve">: Summary of safety concerns: </w:t>
      </w:r>
      <w:r>
        <w:t>Osenvelt</w:t>
      </w:r>
    </w:p>
    <w:tbl>
      <w:tblPr>
        <w:tblStyle w:val="TableTGAblue2023"/>
        <w:tblW w:w="9469" w:type="dxa"/>
        <w:tblLayout w:type="fixed"/>
        <w:tblLook w:val="04A0" w:firstRow="1" w:lastRow="0" w:firstColumn="1" w:lastColumn="0" w:noHBand="0" w:noVBand="1"/>
      </w:tblPr>
      <w:tblGrid>
        <w:gridCol w:w="1327"/>
        <w:gridCol w:w="3913"/>
        <w:gridCol w:w="992"/>
        <w:gridCol w:w="1134"/>
        <w:gridCol w:w="993"/>
        <w:gridCol w:w="1110"/>
      </w:tblGrid>
      <w:tr w:rsidR="00A86DBC" w:rsidRPr="00FD7AF8" w14:paraId="313A2318" w14:textId="77777777" w:rsidTr="00F2118D">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5240" w:type="dxa"/>
            <w:gridSpan w:val="2"/>
            <w:vMerge w:val="restart"/>
          </w:tcPr>
          <w:p w14:paraId="3DFF710F" w14:textId="77777777" w:rsidR="00A86DBC" w:rsidRPr="00FD7AF8" w:rsidRDefault="00A86DBC" w:rsidP="00612257">
            <w:pPr>
              <w:rPr>
                <w:b w:val="0"/>
              </w:rPr>
            </w:pPr>
            <w:r w:rsidRPr="00FD7AF8">
              <w:t>Summary of safety concerns</w:t>
            </w:r>
          </w:p>
        </w:tc>
        <w:tc>
          <w:tcPr>
            <w:tcW w:w="2126" w:type="dxa"/>
            <w:gridSpan w:val="2"/>
          </w:tcPr>
          <w:p w14:paraId="0BA11881" w14:textId="77777777" w:rsidR="00A86DBC" w:rsidRPr="00FD7AF8" w:rsidRDefault="00A86DBC" w:rsidP="00612257">
            <w:pPr>
              <w:cnfStyle w:val="100000000000" w:firstRow="1" w:lastRow="0" w:firstColumn="0" w:lastColumn="0" w:oddVBand="0" w:evenVBand="0" w:oddHBand="0" w:evenHBand="0" w:firstRowFirstColumn="0" w:firstRowLastColumn="0" w:lastRowFirstColumn="0" w:lastRowLastColumn="0"/>
              <w:rPr>
                <w:b w:val="0"/>
              </w:rPr>
            </w:pPr>
            <w:r w:rsidRPr="00FD7AF8">
              <w:t>Pharmacovigilance</w:t>
            </w:r>
          </w:p>
        </w:tc>
        <w:tc>
          <w:tcPr>
            <w:tcW w:w="2103" w:type="dxa"/>
            <w:gridSpan w:val="2"/>
          </w:tcPr>
          <w:p w14:paraId="3E35CE5A" w14:textId="77777777" w:rsidR="00A86DBC" w:rsidRPr="00FD7AF8" w:rsidRDefault="00A86DBC" w:rsidP="00612257">
            <w:pPr>
              <w:cnfStyle w:val="100000000000" w:firstRow="1" w:lastRow="0" w:firstColumn="0" w:lastColumn="0" w:oddVBand="0" w:evenVBand="0" w:oddHBand="0" w:evenHBand="0" w:firstRowFirstColumn="0" w:firstRowLastColumn="0" w:lastRowFirstColumn="0" w:lastRowLastColumn="0"/>
              <w:rPr>
                <w:b w:val="0"/>
              </w:rPr>
            </w:pPr>
            <w:r w:rsidRPr="00FD7AF8">
              <w:t>Risk Minimisation</w:t>
            </w:r>
          </w:p>
        </w:tc>
      </w:tr>
      <w:tr w:rsidR="00A86DBC" w:rsidRPr="00FD7AF8" w14:paraId="79A71E29" w14:textId="77777777" w:rsidTr="00F2118D">
        <w:trPr>
          <w:trHeight w:val="150"/>
        </w:trPr>
        <w:tc>
          <w:tcPr>
            <w:cnfStyle w:val="001000000000" w:firstRow="0" w:lastRow="0" w:firstColumn="1" w:lastColumn="0" w:oddVBand="0" w:evenVBand="0" w:oddHBand="0" w:evenHBand="0" w:firstRowFirstColumn="0" w:firstRowLastColumn="0" w:lastRowFirstColumn="0" w:lastRowLastColumn="0"/>
            <w:tcW w:w="5240" w:type="dxa"/>
            <w:gridSpan w:val="2"/>
            <w:vMerge/>
          </w:tcPr>
          <w:p w14:paraId="1E6125BD" w14:textId="77777777" w:rsidR="00A86DBC" w:rsidRPr="00FD7AF8" w:rsidRDefault="00A86DBC" w:rsidP="00856837">
            <w:pPr>
              <w:pStyle w:val="Tabletext0"/>
              <w:spacing w:before="60" w:after="60" w:line="240" w:lineRule="auto"/>
              <w:rPr>
                <w:rFonts w:ascii="Arial Narrow" w:hAnsi="Arial Narrow"/>
                <w:b/>
                <w:sz w:val="20"/>
                <w:szCs w:val="20"/>
              </w:rPr>
            </w:pPr>
          </w:p>
        </w:tc>
        <w:tc>
          <w:tcPr>
            <w:tcW w:w="992" w:type="dxa"/>
          </w:tcPr>
          <w:p w14:paraId="0FF18B38" w14:textId="77777777" w:rsidR="00A86DBC" w:rsidRPr="00FD7AF8" w:rsidRDefault="00A86DBC" w:rsidP="00856837">
            <w:pPr>
              <w:pStyle w:val="Tabletext0"/>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Routine</w:t>
            </w:r>
          </w:p>
        </w:tc>
        <w:tc>
          <w:tcPr>
            <w:tcW w:w="1134" w:type="dxa"/>
          </w:tcPr>
          <w:p w14:paraId="4076A8BA" w14:textId="77777777" w:rsidR="00A86DBC" w:rsidRPr="00FD7AF8" w:rsidRDefault="00A86DBC" w:rsidP="00856837">
            <w:pPr>
              <w:pStyle w:val="Tabletext0"/>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Additional</w:t>
            </w:r>
          </w:p>
        </w:tc>
        <w:tc>
          <w:tcPr>
            <w:tcW w:w="993" w:type="dxa"/>
          </w:tcPr>
          <w:p w14:paraId="2333C90E" w14:textId="77777777" w:rsidR="00A86DBC" w:rsidRPr="00FD7AF8" w:rsidRDefault="00A86DBC" w:rsidP="00856837">
            <w:pPr>
              <w:pStyle w:val="Tabletext0"/>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Routine</w:t>
            </w:r>
          </w:p>
        </w:tc>
        <w:tc>
          <w:tcPr>
            <w:tcW w:w="1110" w:type="dxa"/>
          </w:tcPr>
          <w:p w14:paraId="14B4DDA1" w14:textId="77777777" w:rsidR="00A86DBC" w:rsidRPr="00FD7AF8" w:rsidRDefault="00A86DBC" w:rsidP="00856837">
            <w:pPr>
              <w:pStyle w:val="Tabletext0"/>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Additional</w:t>
            </w:r>
          </w:p>
        </w:tc>
      </w:tr>
      <w:tr w:rsidR="00A86DBC" w:rsidRPr="00FD7AF8" w14:paraId="21238525" w14:textId="77777777" w:rsidTr="00F2118D">
        <w:trPr>
          <w:trHeight w:val="137"/>
        </w:trPr>
        <w:tc>
          <w:tcPr>
            <w:cnfStyle w:val="001000000000" w:firstRow="0" w:lastRow="0" w:firstColumn="1" w:lastColumn="0" w:oddVBand="0" w:evenVBand="0" w:oddHBand="0" w:evenHBand="0" w:firstRowFirstColumn="0" w:firstRowLastColumn="0" w:lastRowFirstColumn="0" w:lastRowLastColumn="0"/>
            <w:tcW w:w="1327" w:type="dxa"/>
            <w:vMerge w:val="restart"/>
          </w:tcPr>
          <w:p w14:paraId="1B3CFF56" w14:textId="77777777" w:rsidR="00A86DBC" w:rsidRPr="00FD7AF8" w:rsidRDefault="00A86DBC" w:rsidP="00856837">
            <w:pPr>
              <w:pStyle w:val="Tabletext0"/>
              <w:spacing w:before="60" w:after="60" w:line="240" w:lineRule="auto"/>
              <w:rPr>
                <w:rFonts w:ascii="Arial Narrow" w:hAnsi="Arial Narrow"/>
                <w:b/>
                <w:sz w:val="20"/>
                <w:szCs w:val="20"/>
              </w:rPr>
            </w:pPr>
            <w:r w:rsidRPr="00FD7AF8">
              <w:rPr>
                <w:rFonts w:ascii="Arial Narrow" w:hAnsi="Arial Narrow"/>
                <w:b/>
                <w:sz w:val="20"/>
                <w:szCs w:val="20"/>
              </w:rPr>
              <w:t>Important identified risks</w:t>
            </w:r>
          </w:p>
        </w:tc>
        <w:tc>
          <w:tcPr>
            <w:tcW w:w="3913" w:type="dxa"/>
          </w:tcPr>
          <w:p w14:paraId="0E1C4436" w14:textId="77777777" w:rsidR="00A86DBC" w:rsidRPr="00FD7AF8" w:rsidRDefault="00A86DBC" w:rsidP="00856837">
            <w:pPr>
              <w:pStyle w:val="Tabletext0"/>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Osteonecrosis of the jaw</w:t>
            </w:r>
          </w:p>
        </w:tc>
        <w:tc>
          <w:tcPr>
            <w:tcW w:w="992" w:type="dxa"/>
          </w:tcPr>
          <w:p w14:paraId="6D718768"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sym w:font="Wingdings" w:char="F0FC"/>
            </w:r>
            <w:r w:rsidRPr="00FD7AF8">
              <w:rPr>
                <w:rFonts w:ascii="Arial Narrow" w:hAnsi="Arial Narrow"/>
                <w:sz w:val="20"/>
                <w:szCs w:val="20"/>
              </w:rPr>
              <w:t>*</w:t>
            </w:r>
          </w:p>
        </w:tc>
        <w:tc>
          <w:tcPr>
            <w:tcW w:w="1134" w:type="dxa"/>
          </w:tcPr>
          <w:p w14:paraId="37649F09"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w:t>
            </w:r>
          </w:p>
        </w:tc>
        <w:tc>
          <w:tcPr>
            <w:tcW w:w="993" w:type="dxa"/>
          </w:tcPr>
          <w:p w14:paraId="2A35F8A8"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sym w:font="Wingdings" w:char="F0FC"/>
            </w:r>
          </w:p>
        </w:tc>
        <w:tc>
          <w:tcPr>
            <w:tcW w:w="1110" w:type="dxa"/>
          </w:tcPr>
          <w:p w14:paraId="73911D72"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w:t>
            </w:r>
          </w:p>
        </w:tc>
      </w:tr>
      <w:tr w:rsidR="00A86DBC" w:rsidRPr="00FD7AF8" w14:paraId="78CB44D0" w14:textId="77777777" w:rsidTr="00F2118D">
        <w:trPr>
          <w:trHeight w:val="94"/>
        </w:trPr>
        <w:tc>
          <w:tcPr>
            <w:cnfStyle w:val="001000000000" w:firstRow="0" w:lastRow="0" w:firstColumn="1" w:lastColumn="0" w:oddVBand="0" w:evenVBand="0" w:oddHBand="0" w:evenHBand="0" w:firstRowFirstColumn="0" w:firstRowLastColumn="0" w:lastRowFirstColumn="0" w:lastRowLastColumn="0"/>
            <w:tcW w:w="1327" w:type="dxa"/>
            <w:vMerge/>
          </w:tcPr>
          <w:p w14:paraId="6AB7911D" w14:textId="77777777" w:rsidR="00A86DBC" w:rsidRPr="00FD7AF8" w:rsidRDefault="00A86DBC" w:rsidP="00856837">
            <w:pPr>
              <w:pStyle w:val="Tabletext0"/>
              <w:spacing w:before="60" w:after="60" w:line="240" w:lineRule="auto"/>
              <w:rPr>
                <w:rFonts w:ascii="Arial Narrow" w:hAnsi="Arial Narrow"/>
                <w:b/>
                <w:sz w:val="20"/>
                <w:szCs w:val="20"/>
              </w:rPr>
            </w:pPr>
          </w:p>
        </w:tc>
        <w:tc>
          <w:tcPr>
            <w:tcW w:w="3913" w:type="dxa"/>
          </w:tcPr>
          <w:p w14:paraId="1F46F9FA" w14:textId="77777777" w:rsidR="00A86DBC" w:rsidRPr="00FD7AF8" w:rsidRDefault="00A86DBC" w:rsidP="00856837">
            <w:pPr>
              <w:pStyle w:val="Tabletext0"/>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Atypical femoral fracture</w:t>
            </w:r>
          </w:p>
        </w:tc>
        <w:tc>
          <w:tcPr>
            <w:tcW w:w="992" w:type="dxa"/>
          </w:tcPr>
          <w:p w14:paraId="00F0A9A4"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sym w:font="Wingdings" w:char="F0FC"/>
            </w:r>
            <w:r w:rsidRPr="00FD7AF8">
              <w:rPr>
                <w:rFonts w:ascii="Arial Narrow" w:hAnsi="Arial Narrow"/>
                <w:sz w:val="20"/>
                <w:szCs w:val="20"/>
              </w:rPr>
              <w:t>*</w:t>
            </w:r>
          </w:p>
        </w:tc>
        <w:tc>
          <w:tcPr>
            <w:tcW w:w="1134" w:type="dxa"/>
          </w:tcPr>
          <w:p w14:paraId="2BA8A670"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w:t>
            </w:r>
          </w:p>
        </w:tc>
        <w:tc>
          <w:tcPr>
            <w:tcW w:w="993" w:type="dxa"/>
          </w:tcPr>
          <w:p w14:paraId="0005D076"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sym w:font="Wingdings" w:char="F0FC"/>
            </w:r>
          </w:p>
        </w:tc>
        <w:tc>
          <w:tcPr>
            <w:tcW w:w="1110" w:type="dxa"/>
          </w:tcPr>
          <w:p w14:paraId="7A1AFF91"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w:t>
            </w:r>
          </w:p>
        </w:tc>
      </w:tr>
      <w:tr w:rsidR="00A86DBC" w:rsidRPr="00FD7AF8" w14:paraId="220B5CA5" w14:textId="77777777" w:rsidTr="00F2118D">
        <w:trPr>
          <w:trHeight w:val="94"/>
        </w:trPr>
        <w:tc>
          <w:tcPr>
            <w:cnfStyle w:val="001000000000" w:firstRow="0" w:lastRow="0" w:firstColumn="1" w:lastColumn="0" w:oddVBand="0" w:evenVBand="0" w:oddHBand="0" w:evenHBand="0" w:firstRowFirstColumn="0" w:firstRowLastColumn="0" w:lastRowFirstColumn="0" w:lastRowLastColumn="0"/>
            <w:tcW w:w="1327" w:type="dxa"/>
            <w:vMerge/>
          </w:tcPr>
          <w:p w14:paraId="291BDB92" w14:textId="77777777" w:rsidR="00A86DBC" w:rsidRPr="00FD7AF8" w:rsidRDefault="00A86DBC" w:rsidP="00856837">
            <w:pPr>
              <w:pStyle w:val="Tabletext0"/>
              <w:spacing w:before="60" w:after="60" w:line="240" w:lineRule="auto"/>
              <w:rPr>
                <w:rFonts w:ascii="Arial Narrow" w:hAnsi="Arial Narrow"/>
                <w:b/>
                <w:sz w:val="20"/>
                <w:szCs w:val="20"/>
              </w:rPr>
            </w:pPr>
          </w:p>
        </w:tc>
        <w:tc>
          <w:tcPr>
            <w:tcW w:w="3913" w:type="dxa"/>
          </w:tcPr>
          <w:p w14:paraId="2CC33B32" w14:textId="77777777" w:rsidR="00A86DBC" w:rsidRPr="00FD7AF8" w:rsidRDefault="00A86DBC" w:rsidP="00856837">
            <w:pPr>
              <w:pStyle w:val="Tabletext0"/>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Hypercalcaemia several months after the last dose in patients with giant cell tumour of bone and in patients with growing skeletons</w:t>
            </w:r>
          </w:p>
        </w:tc>
        <w:tc>
          <w:tcPr>
            <w:tcW w:w="992" w:type="dxa"/>
          </w:tcPr>
          <w:p w14:paraId="58C2A7C2"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sym w:font="Wingdings" w:char="F0FC"/>
            </w:r>
          </w:p>
        </w:tc>
        <w:tc>
          <w:tcPr>
            <w:tcW w:w="1134" w:type="dxa"/>
          </w:tcPr>
          <w:p w14:paraId="3EAA98F7"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w:t>
            </w:r>
          </w:p>
        </w:tc>
        <w:tc>
          <w:tcPr>
            <w:tcW w:w="993" w:type="dxa"/>
          </w:tcPr>
          <w:p w14:paraId="31BB0D41"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sym w:font="Wingdings" w:char="F0FC"/>
            </w:r>
          </w:p>
        </w:tc>
        <w:tc>
          <w:tcPr>
            <w:tcW w:w="1110" w:type="dxa"/>
          </w:tcPr>
          <w:p w14:paraId="6FF84210"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w:t>
            </w:r>
          </w:p>
        </w:tc>
      </w:tr>
      <w:tr w:rsidR="00A86DBC" w:rsidRPr="00FD7AF8" w14:paraId="11E86482" w14:textId="77777777" w:rsidTr="00F2118D">
        <w:trPr>
          <w:trHeight w:val="159"/>
        </w:trPr>
        <w:tc>
          <w:tcPr>
            <w:cnfStyle w:val="001000000000" w:firstRow="0" w:lastRow="0" w:firstColumn="1" w:lastColumn="0" w:oddVBand="0" w:evenVBand="0" w:oddHBand="0" w:evenHBand="0" w:firstRowFirstColumn="0" w:firstRowLastColumn="0" w:lastRowFirstColumn="0" w:lastRowLastColumn="0"/>
            <w:tcW w:w="1327" w:type="dxa"/>
            <w:vMerge w:val="restart"/>
          </w:tcPr>
          <w:p w14:paraId="28EDF119" w14:textId="77777777" w:rsidR="00A86DBC" w:rsidRPr="00FD7AF8" w:rsidRDefault="00A86DBC" w:rsidP="00856837">
            <w:pPr>
              <w:pStyle w:val="Tabletext0"/>
              <w:spacing w:before="60" w:after="60" w:line="240" w:lineRule="auto"/>
              <w:rPr>
                <w:rFonts w:ascii="Arial Narrow" w:hAnsi="Arial Narrow"/>
                <w:b/>
                <w:sz w:val="20"/>
                <w:szCs w:val="20"/>
              </w:rPr>
            </w:pPr>
            <w:r w:rsidRPr="00FD7AF8">
              <w:rPr>
                <w:rFonts w:ascii="Arial Narrow" w:hAnsi="Arial Narrow"/>
                <w:b/>
                <w:sz w:val="20"/>
                <w:szCs w:val="20"/>
              </w:rPr>
              <w:t>Important potential risks</w:t>
            </w:r>
          </w:p>
        </w:tc>
        <w:tc>
          <w:tcPr>
            <w:tcW w:w="3913" w:type="dxa"/>
          </w:tcPr>
          <w:p w14:paraId="4B4706AD" w14:textId="77777777" w:rsidR="00A86DBC" w:rsidRPr="00FD7AF8" w:rsidRDefault="00A86DBC" w:rsidP="00856837">
            <w:pPr>
              <w:pStyle w:val="Tabletext0"/>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Cardiovascular events</w:t>
            </w:r>
          </w:p>
        </w:tc>
        <w:tc>
          <w:tcPr>
            <w:tcW w:w="992" w:type="dxa"/>
          </w:tcPr>
          <w:p w14:paraId="7ED7F655"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sym w:font="Wingdings" w:char="F0FC"/>
            </w:r>
          </w:p>
        </w:tc>
        <w:tc>
          <w:tcPr>
            <w:tcW w:w="1134" w:type="dxa"/>
          </w:tcPr>
          <w:p w14:paraId="3E1212C4"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w:t>
            </w:r>
          </w:p>
        </w:tc>
        <w:tc>
          <w:tcPr>
            <w:tcW w:w="993" w:type="dxa"/>
          </w:tcPr>
          <w:p w14:paraId="5666B4A8"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w:t>
            </w:r>
          </w:p>
        </w:tc>
        <w:tc>
          <w:tcPr>
            <w:tcW w:w="1110" w:type="dxa"/>
          </w:tcPr>
          <w:p w14:paraId="3D2D6780"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w:t>
            </w:r>
          </w:p>
        </w:tc>
      </w:tr>
      <w:tr w:rsidR="00A86DBC" w:rsidRPr="00FD7AF8" w14:paraId="20925E2D" w14:textId="77777777" w:rsidTr="00F2118D">
        <w:trPr>
          <w:trHeight w:val="122"/>
        </w:trPr>
        <w:tc>
          <w:tcPr>
            <w:cnfStyle w:val="001000000000" w:firstRow="0" w:lastRow="0" w:firstColumn="1" w:lastColumn="0" w:oddVBand="0" w:evenVBand="0" w:oddHBand="0" w:evenHBand="0" w:firstRowFirstColumn="0" w:firstRowLastColumn="0" w:lastRowFirstColumn="0" w:lastRowLastColumn="0"/>
            <w:tcW w:w="1327" w:type="dxa"/>
            <w:vMerge/>
          </w:tcPr>
          <w:p w14:paraId="1B647BE3" w14:textId="77777777" w:rsidR="00A86DBC" w:rsidRPr="00FD7AF8" w:rsidRDefault="00A86DBC" w:rsidP="00856837">
            <w:pPr>
              <w:pStyle w:val="Tabletext0"/>
              <w:spacing w:before="60" w:after="60" w:line="240" w:lineRule="auto"/>
              <w:rPr>
                <w:rFonts w:ascii="Arial Narrow" w:hAnsi="Arial Narrow"/>
                <w:b/>
                <w:sz w:val="20"/>
                <w:szCs w:val="20"/>
              </w:rPr>
            </w:pPr>
          </w:p>
        </w:tc>
        <w:tc>
          <w:tcPr>
            <w:tcW w:w="3913" w:type="dxa"/>
          </w:tcPr>
          <w:p w14:paraId="78F170D4" w14:textId="77777777" w:rsidR="00A86DBC" w:rsidRPr="00FD7AF8" w:rsidRDefault="00A86DBC" w:rsidP="00856837">
            <w:pPr>
              <w:pStyle w:val="Tabletext0"/>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Malignancy</w:t>
            </w:r>
          </w:p>
        </w:tc>
        <w:tc>
          <w:tcPr>
            <w:tcW w:w="992" w:type="dxa"/>
          </w:tcPr>
          <w:p w14:paraId="61826C26"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sym w:font="Wingdings" w:char="F0FC"/>
            </w:r>
          </w:p>
        </w:tc>
        <w:tc>
          <w:tcPr>
            <w:tcW w:w="1134" w:type="dxa"/>
          </w:tcPr>
          <w:p w14:paraId="637BE6D0"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w:t>
            </w:r>
          </w:p>
        </w:tc>
        <w:tc>
          <w:tcPr>
            <w:tcW w:w="993" w:type="dxa"/>
          </w:tcPr>
          <w:p w14:paraId="2352A0D1" w14:textId="7F5D5655" w:rsidR="00A86DBC" w:rsidRPr="00FD7AF8" w:rsidRDefault="00D868DD"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sym w:font="Wingdings" w:char="F0FC"/>
            </w:r>
          </w:p>
        </w:tc>
        <w:tc>
          <w:tcPr>
            <w:tcW w:w="1110" w:type="dxa"/>
          </w:tcPr>
          <w:p w14:paraId="33F030F1"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w:t>
            </w:r>
          </w:p>
        </w:tc>
      </w:tr>
      <w:tr w:rsidR="00A86DBC" w:rsidRPr="00FD7AF8" w14:paraId="59554EF0" w14:textId="77777777" w:rsidTr="00F2118D">
        <w:trPr>
          <w:trHeight w:val="122"/>
        </w:trPr>
        <w:tc>
          <w:tcPr>
            <w:cnfStyle w:val="001000000000" w:firstRow="0" w:lastRow="0" w:firstColumn="1" w:lastColumn="0" w:oddVBand="0" w:evenVBand="0" w:oddHBand="0" w:evenHBand="0" w:firstRowFirstColumn="0" w:firstRowLastColumn="0" w:lastRowFirstColumn="0" w:lastRowLastColumn="0"/>
            <w:tcW w:w="1327" w:type="dxa"/>
            <w:vMerge/>
          </w:tcPr>
          <w:p w14:paraId="2A33A8E9" w14:textId="77777777" w:rsidR="00A86DBC" w:rsidRPr="00FD7AF8" w:rsidRDefault="00A86DBC" w:rsidP="00856837">
            <w:pPr>
              <w:pStyle w:val="Tabletext0"/>
              <w:spacing w:before="60" w:after="60" w:line="240" w:lineRule="auto"/>
              <w:rPr>
                <w:rFonts w:ascii="Arial Narrow" w:hAnsi="Arial Narrow"/>
                <w:b/>
                <w:sz w:val="20"/>
                <w:szCs w:val="20"/>
              </w:rPr>
            </w:pPr>
          </w:p>
        </w:tc>
        <w:tc>
          <w:tcPr>
            <w:tcW w:w="3913" w:type="dxa"/>
          </w:tcPr>
          <w:p w14:paraId="1AE3ADD7" w14:textId="77777777" w:rsidR="00A86DBC" w:rsidRPr="00FD7AF8" w:rsidRDefault="00A86DBC" w:rsidP="00856837">
            <w:pPr>
              <w:pStyle w:val="Tabletext0"/>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Delay in diagnosis of primary malignancy in giant cell tumour of bone</w:t>
            </w:r>
          </w:p>
        </w:tc>
        <w:tc>
          <w:tcPr>
            <w:tcW w:w="992" w:type="dxa"/>
          </w:tcPr>
          <w:p w14:paraId="2B90D79D"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sym w:font="Wingdings" w:char="F0FC"/>
            </w:r>
          </w:p>
        </w:tc>
        <w:tc>
          <w:tcPr>
            <w:tcW w:w="1134" w:type="dxa"/>
          </w:tcPr>
          <w:p w14:paraId="6EAC78F3"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w:t>
            </w:r>
          </w:p>
        </w:tc>
        <w:tc>
          <w:tcPr>
            <w:tcW w:w="993" w:type="dxa"/>
          </w:tcPr>
          <w:p w14:paraId="69A8F717"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w:t>
            </w:r>
          </w:p>
        </w:tc>
        <w:tc>
          <w:tcPr>
            <w:tcW w:w="1110" w:type="dxa"/>
          </w:tcPr>
          <w:p w14:paraId="121C0E17"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w:t>
            </w:r>
          </w:p>
        </w:tc>
      </w:tr>
      <w:tr w:rsidR="00A86DBC" w:rsidRPr="00FD7AF8" w14:paraId="47821045" w14:textId="77777777" w:rsidTr="00F2118D">
        <w:trPr>
          <w:trHeight w:val="112"/>
        </w:trPr>
        <w:tc>
          <w:tcPr>
            <w:cnfStyle w:val="001000000000" w:firstRow="0" w:lastRow="0" w:firstColumn="1" w:lastColumn="0" w:oddVBand="0" w:evenVBand="0" w:oddHBand="0" w:evenHBand="0" w:firstRowFirstColumn="0" w:firstRowLastColumn="0" w:lastRowFirstColumn="0" w:lastRowLastColumn="0"/>
            <w:tcW w:w="1327" w:type="dxa"/>
            <w:vMerge/>
          </w:tcPr>
          <w:p w14:paraId="38C22B13" w14:textId="77777777" w:rsidR="00A86DBC" w:rsidRPr="00FD7AF8" w:rsidRDefault="00A86DBC" w:rsidP="00856837">
            <w:pPr>
              <w:pStyle w:val="Tabletext0"/>
              <w:spacing w:before="60" w:after="60" w:line="240" w:lineRule="auto"/>
              <w:rPr>
                <w:rFonts w:ascii="Arial Narrow" w:hAnsi="Arial Narrow"/>
                <w:b/>
                <w:sz w:val="20"/>
                <w:szCs w:val="20"/>
              </w:rPr>
            </w:pPr>
          </w:p>
        </w:tc>
        <w:tc>
          <w:tcPr>
            <w:tcW w:w="3913" w:type="dxa"/>
          </w:tcPr>
          <w:p w14:paraId="0BFB423C" w14:textId="77777777" w:rsidR="00A86DBC" w:rsidRPr="00FD7AF8" w:rsidRDefault="00A86DBC" w:rsidP="00856837">
            <w:pPr>
              <w:pStyle w:val="Tabletext0"/>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Hypercalcaemia several months after the last dose in patients other than those with giant cell tumour of bone or growing skeletons</w:t>
            </w:r>
          </w:p>
        </w:tc>
        <w:tc>
          <w:tcPr>
            <w:tcW w:w="992" w:type="dxa"/>
          </w:tcPr>
          <w:p w14:paraId="4128B277"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sym w:font="Wingdings" w:char="F0FC"/>
            </w:r>
          </w:p>
        </w:tc>
        <w:tc>
          <w:tcPr>
            <w:tcW w:w="1134" w:type="dxa"/>
          </w:tcPr>
          <w:p w14:paraId="515361AF"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w:t>
            </w:r>
          </w:p>
        </w:tc>
        <w:tc>
          <w:tcPr>
            <w:tcW w:w="993" w:type="dxa"/>
          </w:tcPr>
          <w:p w14:paraId="06D76A58"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w:t>
            </w:r>
          </w:p>
        </w:tc>
        <w:tc>
          <w:tcPr>
            <w:tcW w:w="1110" w:type="dxa"/>
          </w:tcPr>
          <w:p w14:paraId="11175770"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w:t>
            </w:r>
          </w:p>
        </w:tc>
      </w:tr>
      <w:tr w:rsidR="00A86DBC" w:rsidRPr="00FD7AF8" w14:paraId="321FE500" w14:textId="77777777" w:rsidTr="00F2118D">
        <w:trPr>
          <w:trHeight w:val="178"/>
        </w:trPr>
        <w:tc>
          <w:tcPr>
            <w:cnfStyle w:val="001000000000" w:firstRow="0" w:lastRow="0" w:firstColumn="1" w:lastColumn="0" w:oddVBand="0" w:evenVBand="0" w:oddHBand="0" w:evenHBand="0" w:firstRowFirstColumn="0" w:firstRowLastColumn="0" w:lastRowFirstColumn="0" w:lastRowLastColumn="0"/>
            <w:tcW w:w="1327" w:type="dxa"/>
            <w:vMerge w:val="restart"/>
          </w:tcPr>
          <w:p w14:paraId="63B703D3" w14:textId="77777777" w:rsidR="00A86DBC" w:rsidRPr="00FD7AF8" w:rsidRDefault="00A86DBC" w:rsidP="00856837">
            <w:pPr>
              <w:pStyle w:val="Tabletext0"/>
              <w:spacing w:before="60" w:after="60" w:line="240" w:lineRule="auto"/>
              <w:rPr>
                <w:rFonts w:ascii="Arial Narrow" w:hAnsi="Arial Narrow"/>
                <w:b/>
                <w:sz w:val="20"/>
                <w:szCs w:val="20"/>
              </w:rPr>
            </w:pPr>
            <w:r w:rsidRPr="00FD7AF8">
              <w:rPr>
                <w:rFonts w:ascii="Arial Narrow" w:hAnsi="Arial Narrow"/>
                <w:b/>
                <w:sz w:val="20"/>
                <w:szCs w:val="20"/>
              </w:rPr>
              <w:t>Missing information</w:t>
            </w:r>
          </w:p>
        </w:tc>
        <w:tc>
          <w:tcPr>
            <w:tcW w:w="3913" w:type="dxa"/>
          </w:tcPr>
          <w:p w14:paraId="7F1AB0E8" w14:textId="77777777" w:rsidR="00A86DBC" w:rsidRPr="00FD7AF8" w:rsidRDefault="00A86DBC" w:rsidP="00856837">
            <w:pPr>
              <w:pStyle w:val="Tabletext0"/>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Patients with prior intravenous bisphosphonate treatment</w:t>
            </w:r>
          </w:p>
        </w:tc>
        <w:tc>
          <w:tcPr>
            <w:tcW w:w="992" w:type="dxa"/>
          </w:tcPr>
          <w:p w14:paraId="3E01ACC4"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sym w:font="Wingdings" w:char="F0FC"/>
            </w:r>
          </w:p>
        </w:tc>
        <w:tc>
          <w:tcPr>
            <w:tcW w:w="1134" w:type="dxa"/>
          </w:tcPr>
          <w:p w14:paraId="614DB80A"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w:t>
            </w:r>
          </w:p>
        </w:tc>
        <w:tc>
          <w:tcPr>
            <w:tcW w:w="993" w:type="dxa"/>
          </w:tcPr>
          <w:p w14:paraId="7D9A337E" w14:textId="147E8A5E" w:rsidR="00A86DBC" w:rsidRPr="00FD7AF8" w:rsidRDefault="00D868DD"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sym w:font="Wingdings" w:char="F0FC"/>
            </w:r>
          </w:p>
        </w:tc>
        <w:tc>
          <w:tcPr>
            <w:tcW w:w="1110" w:type="dxa"/>
          </w:tcPr>
          <w:p w14:paraId="1FB65D24"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w:t>
            </w:r>
          </w:p>
        </w:tc>
      </w:tr>
      <w:tr w:rsidR="00A86DBC" w:rsidRPr="00FD7AF8" w14:paraId="4EF99284" w14:textId="77777777" w:rsidTr="00F2118D">
        <w:trPr>
          <w:trHeight w:val="178"/>
        </w:trPr>
        <w:tc>
          <w:tcPr>
            <w:cnfStyle w:val="001000000000" w:firstRow="0" w:lastRow="0" w:firstColumn="1" w:lastColumn="0" w:oddVBand="0" w:evenVBand="0" w:oddHBand="0" w:evenHBand="0" w:firstRowFirstColumn="0" w:firstRowLastColumn="0" w:lastRowFirstColumn="0" w:lastRowLastColumn="0"/>
            <w:tcW w:w="1327" w:type="dxa"/>
            <w:vMerge/>
          </w:tcPr>
          <w:p w14:paraId="0CA11050" w14:textId="77777777" w:rsidR="00A86DBC" w:rsidRPr="00FD7AF8" w:rsidRDefault="00A86DBC" w:rsidP="00856837">
            <w:pPr>
              <w:pStyle w:val="Tabletext0"/>
              <w:spacing w:before="60" w:after="60" w:line="240" w:lineRule="auto"/>
              <w:rPr>
                <w:rFonts w:ascii="Arial Narrow" w:hAnsi="Arial Narrow"/>
                <w:b/>
                <w:sz w:val="20"/>
                <w:szCs w:val="20"/>
              </w:rPr>
            </w:pPr>
          </w:p>
        </w:tc>
        <w:tc>
          <w:tcPr>
            <w:tcW w:w="3913" w:type="dxa"/>
          </w:tcPr>
          <w:p w14:paraId="19FB8257" w14:textId="77777777" w:rsidR="00A86DBC" w:rsidRPr="00FD7AF8" w:rsidRDefault="00A86DBC" w:rsidP="00856837">
            <w:pPr>
              <w:pStyle w:val="Tabletext0"/>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Safety with long-term treatment and with long-term follow up after treatment in adults and skeletally mature adolescents with giant cell tumour of bone</w:t>
            </w:r>
          </w:p>
        </w:tc>
        <w:tc>
          <w:tcPr>
            <w:tcW w:w="992" w:type="dxa"/>
          </w:tcPr>
          <w:p w14:paraId="60C3FCB3"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sym w:font="Wingdings" w:char="F0FC"/>
            </w:r>
          </w:p>
        </w:tc>
        <w:tc>
          <w:tcPr>
            <w:tcW w:w="1134" w:type="dxa"/>
          </w:tcPr>
          <w:p w14:paraId="59C2489A"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w:t>
            </w:r>
          </w:p>
        </w:tc>
        <w:tc>
          <w:tcPr>
            <w:tcW w:w="993" w:type="dxa"/>
          </w:tcPr>
          <w:p w14:paraId="0D68132A"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w:t>
            </w:r>
          </w:p>
        </w:tc>
        <w:tc>
          <w:tcPr>
            <w:tcW w:w="1110" w:type="dxa"/>
          </w:tcPr>
          <w:p w14:paraId="6CB3F637"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w:t>
            </w:r>
          </w:p>
        </w:tc>
      </w:tr>
      <w:tr w:rsidR="00A86DBC" w:rsidRPr="00FD7AF8" w14:paraId="35B4D90D" w14:textId="77777777" w:rsidTr="00F2118D">
        <w:trPr>
          <w:trHeight w:val="178"/>
        </w:trPr>
        <w:tc>
          <w:tcPr>
            <w:cnfStyle w:val="001000000000" w:firstRow="0" w:lastRow="0" w:firstColumn="1" w:lastColumn="0" w:oddVBand="0" w:evenVBand="0" w:oddHBand="0" w:evenHBand="0" w:firstRowFirstColumn="0" w:firstRowLastColumn="0" w:lastRowFirstColumn="0" w:lastRowLastColumn="0"/>
            <w:tcW w:w="1327" w:type="dxa"/>
            <w:vMerge/>
          </w:tcPr>
          <w:p w14:paraId="5776B994" w14:textId="77777777" w:rsidR="00A86DBC" w:rsidRPr="00FD7AF8" w:rsidRDefault="00A86DBC" w:rsidP="00856837">
            <w:pPr>
              <w:pStyle w:val="Tabletext0"/>
              <w:spacing w:before="60" w:after="60" w:line="240" w:lineRule="auto"/>
              <w:rPr>
                <w:rFonts w:ascii="Arial Narrow" w:hAnsi="Arial Narrow"/>
                <w:b/>
                <w:sz w:val="20"/>
                <w:szCs w:val="20"/>
              </w:rPr>
            </w:pPr>
          </w:p>
        </w:tc>
        <w:tc>
          <w:tcPr>
            <w:tcW w:w="3913" w:type="dxa"/>
          </w:tcPr>
          <w:p w14:paraId="00BA44A0" w14:textId="77777777" w:rsidR="00A86DBC" w:rsidRPr="00FD7AF8" w:rsidRDefault="00A86DBC" w:rsidP="00856837">
            <w:pPr>
              <w:pStyle w:val="Tabletext0"/>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Off-label use in patients with giant cell tumour of bone that is resectable where resection is unlikely to result in severe morbidity</w:t>
            </w:r>
          </w:p>
        </w:tc>
        <w:tc>
          <w:tcPr>
            <w:tcW w:w="992" w:type="dxa"/>
          </w:tcPr>
          <w:p w14:paraId="04E76A26"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sym w:font="Wingdings" w:char="F0FC"/>
            </w:r>
          </w:p>
        </w:tc>
        <w:tc>
          <w:tcPr>
            <w:tcW w:w="1134" w:type="dxa"/>
          </w:tcPr>
          <w:p w14:paraId="3CDFD3E0"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w:t>
            </w:r>
          </w:p>
        </w:tc>
        <w:tc>
          <w:tcPr>
            <w:tcW w:w="993" w:type="dxa"/>
          </w:tcPr>
          <w:p w14:paraId="71D013D1"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w:t>
            </w:r>
          </w:p>
        </w:tc>
        <w:tc>
          <w:tcPr>
            <w:tcW w:w="1110" w:type="dxa"/>
          </w:tcPr>
          <w:p w14:paraId="569538E7" w14:textId="77777777" w:rsidR="00A86DBC" w:rsidRPr="00FD7AF8" w:rsidRDefault="00A86DBC" w:rsidP="00856837">
            <w:pPr>
              <w:pStyle w:val="Tabletext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FD7AF8">
              <w:rPr>
                <w:rFonts w:ascii="Arial Narrow" w:hAnsi="Arial Narrow"/>
                <w:sz w:val="20"/>
                <w:szCs w:val="20"/>
              </w:rPr>
              <w:t>–</w:t>
            </w:r>
          </w:p>
        </w:tc>
      </w:tr>
    </w:tbl>
    <w:p w14:paraId="75F7871C" w14:textId="77777777" w:rsidR="00A86DBC" w:rsidRPr="00FD7AF8" w:rsidRDefault="00A86DBC" w:rsidP="00612257">
      <w:pPr>
        <w:pStyle w:val="TableDescription"/>
      </w:pPr>
      <w:r w:rsidRPr="00FD7AF8">
        <w:t>*Targeted follow up forms</w:t>
      </w:r>
    </w:p>
    <w:p w14:paraId="1938A98E" w14:textId="77777777" w:rsidR="00A86DBC" w:rsidRPr="00A86DBC" w:rsidRDefault="00A86DBC" w:rsidP="00D75D04">
      <w:r w:rsidRPr="00A86DBC">
        <w:t>The safety concerns in the Stoboclo and Osenvelt ASAs align with the safety concerns in its associated EU RMP and with the RMP for the innovator products. The summary of safety concerns for Stoboclo and Osenvelt are acceptable from an RMP perspective.</w:t>
      </w:r>
    </w:p>
    <w:p w14:paraId="2DCD630F" w14:textId="77777777" w:rsidR="00A86DBC" w:rsidRPr="0099374F" w:rsidRDefault="00A86DBC" w:rsidP="00D75D04">
      <w:pPr>
        <w:pStyle w:val="Standard"/>
        <w:rPr>
          <w:b/>
          <w:bCs/>
        </w:rPr>
      </w:pPr>
      <w:r w:rsidRPr="0099374F">
        <w:rPr>
          <w:b/>
          <w:bCs/>
        </w:rPr>
        <w:t>Pharmacovigilance plan</w:t>
      </w:r>
    </w:p>
    <w:p w14:paraId="3B5E1250" w14:textId="77777777" w:rsidR="00A86DBC" w:rsidRPr="00A86DBC" w:rsidRDefault="00A86DBC" w:rsidP="00D75D04">
      <w:r w:rsidRPr="00A86DBC">
        <w:t xml:space="preserve">The sponsor has proposed routine pharmacovigilance for all safety concerns including targeted questionnaires for specific safety concerns in each ASA. No additional pharmacovigilance activities have been proposed (see tables above). The pharmacovigilance plan in the Stoboclo and Osenvelt ASAs align with the pharmacovigilance plan in the associated EU RMPs for Stoboclo and Osenvelt and with the innovator RMP and are acceptable from an RMP perspective. </w:t>
      </w:r>
    </w:p>
    <w:p w14:paraId="22F15511" w14:textId="77777777" w:rsidR="00A86DBC" w:rsidRPr="0099374F" w:rsidRDefault="00A86DBC" w:rsidP="00D75D04">
      <w:pPr>
        <w:pStyle w:val="Standard"/>
        <w:rPr>
          <w:b/>
          <w:bCs/>
        </w:rPr>
      </w:pPr>
      <w:r w:rsidRPr="0099374F">
        <w:rPr>
          <w:b/>
          <w:bCs/>
        </w:rPr>
        <w:t>Risk minimisation plan</w:t>
      </w:r>
    </w:p>
    <w:p w14:paraId="1F592407" w14:textId="77777777" w:rsidR="00A86DBC" w:rsidRPr="00A86DBC" w:rsidRDefault="00A86DBC" w:rsidP="00D75D04">
      <w:r w:rsidRPr="00A86DBC">
        <w:t xml:space="preserve">The sponsor has proposed routine risk minimisation only for some safety concerns and no additional risk minimisation activities (see tables above). Differences between the Osenvelt ASA and the innovator ASA </w:t>
      </w:r>
      <w:proofErr w:type="gramStart"/>
      <w:r w:rsidRPr="00A86DBC">
        <w:t>in regard to</w:t>
      </w:r>
      <w:proofErr w:type="gramEnd"/>
      <w:r w:rsidRPr="00A86DBC">
        <w:t xml:space="preserve"> the routine risk minimisation for safety concerns ‘malignancy’ and ‘patients with prior intravenous bisphosphonate treatment’ have been satisfactorily addressed by the sponsor and the PI for Osenvelt is now consistent with the PI for the innovator with regards to ‘malignancy’. </w:t>
      </w:r>
    </w:p>
    <w:p w14:paraId="39C7D285" w14:textId="77777777" w:rsidR="00A86DBC" w:rsidRPr="0099374F" w:rsidRDefault="00A86DBC" w:rsidP="00D75D04">
      <w:pPr>
        <w:pStyle w:val="Standard"/>
        <w:rPr>
          <w:b/>
          <w:bCs/>
        </w:rPr>
      </w:pPr>
      <w:r w:rsidRPr="0099374F">
        <w:rPr>
          <w:b/>
          <w:bCs/>
        </w:rPr>
        <w:t>Summary</w:t>
      </w:r>
    </w:p>
    <w:p w14:paraId="41E41813" w14:textId="1D7F9455" w:rsidR="00A86DBC" w:rsidRPr="00A86DBC" w:rsidRDefault="00A86DBC" w:rsidP="00D75D04">
      <w:r w:rsidRPr="00A86DBC">
        <w:t xml:space="preserve">At round 2, the sponsor has amended the PI, CMI and ASA as requested. The risk minimisation plans for both Stoboclo and Osenvelt are acceptable from an RMP perspective. </w:t>
      </w:r>
    </w:p>
    <w:p w14:paraId="456C7934" w14:textId="0E9D8C4A" w:rsidR="00FA1BC9" w:rsidRDefault="00FA1BC9" w:rsidP="00D75D04">
      <w:pPr>
        <w:rPr>
          <w:szCs w:val="22"/>
        </w:rPr>
      </w:pPr>
      <w:bookmarkStart w:id="69" w:name="_Toc103679299"/>
      <w:r w:rsidRPr="00BD5DBD">
        <w:rPr>
          <w:szCs w:val="22"/>
        </w:rPr>
        <w:lastRenderedPageBreak/>
        <w:t xml:space="preserve">Further information regarding the TGA’s risk management approach can be found in </w:t>
      </w:r>
      <w:hyperlink r:id="rId37" w:history="1">
        <w:r w:rsidRPr="00BD5DBD">
          <w:rPr>
            <w:rStyle w:val="Hyperlink"/>
            <w:szCs w:val="22"/>
          </w:rPr>
          <w:t>risk management plans for medicines and biologicals</w:t>
        </w:r>
      </w:hyperlink>
      <w:r w:rsidRPr="00BD5DBD">
        <w:rPr>
          <w:szCs w:val="22"/>
        </w:rPr>
        <w:t xml:space="preserve"> and </w:t>
      </w:r>
      <w:hyperlink r:id="rId38" w:history="1">
        <w:r w:rsidRPr="00BD5DBD">
          <w:rPr>
            <w:rStyle w:val="Hyperlink"/>
            <w:szCs w:val="22"/>
          </w:rPr>
          <w:t>the TGA's risk management approach</w:t>
        </w:r>
      </w:hyperlink>
      <w:r w:rsidRPr="00BD5DBD">
        <w:rPr>
          <w:szCs w:val="22"/>
        </w:rPr>
        <w:t xml:space="preserve">. Information on the </w:t>
      </w:r>
      <w:hyperlink r:id="rId39" w:history="1">
        <w:r w:rsidRPr="00BD5DBD">
          <w:rPr>
            <w:rStyle w:val="Hyperlink"/>
            <w:szCs w:val="22"/>
          </w:rPr>
          <w:t>Australia</w:t>
        </w:r>
        <w:r w:rsidR="00C57CEA">
          <w:rPr>
            <w:rStyle w:val="Hyperlink"/>
            <w:szCs w:val="22"/>
          </w:rPr>
          <w:t>-</w:t>
        </w:r>
        <w:r w:rsidRPr="00BD5DBD">
          <w:rPr>
            <w:rStyle w:val="Hyperlink"/>
            <w:szCs w:val="22"/>
          </w:rPr>
          <w:t>specific annex</w:t>
        </w:r>
      </w:hyperlink>
      <w:r w:rsidRPr="00BD5DBD">
        <w:rPr>
          <w:szCs w:val="22"/>
        </w:rPr>
        <w:t xml:space="preserve"> (</w:t>
      </w:r>
      <w:hyperlink r:id="rId40" w:history="1">
        <w:r w:rsidRPr="00BD5DBD">
          <w:rPr>
            <w:rStyle w:val="Hyperlink"/>
            <w:szCs w:val="22"/>
          </w:rPr>
          <w:t>ASA</w:t>
        </w:r>
      </w:hyperlink>
      <w:r w:rsidRPr="00BD5DBD">
        <w:rPr>
          <w:szCs w:val="22"/>
        </w:rPr>
        <w:t>) can be found on the TGA website.</w:t>
      </w:r>
    </w:p>
    <w:p w14:paraId="74A4F87F" w14:textId="27A11BA9" w:rsidR="00C22214" w:rsidRDefault="00C22214" w:rsidP="00C22214">
      <w:pPr>
        <w:pStyle w:val="Heading3"/>
      </w:pPr>
      <w:bookmarkStart w:id="70" w:name="_Toc215235762"/>
      <w:r>
        <w:t>Risk-benefit analysis</w:t>
      </w:r>
      <w:bookmarkEnd w:id="66"/>
      <w:bookmarkEnd w:id="67"/>
      <w:bookmarkEnd w:id="69"/>
      <w:bookmarkEnd w:id="70"/>
    </w:p>
    <w:p w14:paraId="77DE2655" w14:textId="77777777" w:rsidR="00C22214" w:rsidRDefault="00C22214" w:rsidP="00C22214">
      <w:pPr>
        <w:pStyle w:val="Heading4"/>
      </w:pPr>
      <w:bookmarkStart w:id="71" w:name="_Toc98931932"/>
      <w:bookmarkStart w:id="72" w:name="_Toc215235763"/>
      <w:r>
        <w:t>Delegate’s considerations</w:t>
      </w:r>
      <w:bookmarkEnd w:id="71"/>
      <w:bookmarkEnd w:id="72"/>
    </w:p>
    <w:p w14:paraId="39426588" w14:textId="77777777" w:rsidR="00A86DBC" w:rsidRPr="000512DB" w:rsidRDefault="00A86DBC" w:rsidP="004B427F">
      <w:pPr>
        <w:pStyle w:val="Heading5"/>
      </w:pPr>
      <w:r w:rsidRPr="000512DB">
        <w:t>Clinical trial program</w:t>
      </w:r>
    </w:p>
    <w:p w14:paraId="433DEC78" w14:textId="15360862" w:rsidR="00A86DBC" w:rsidRPr="00A86DBC" w:rsidRDefault="00A86DBC" w:rsidP="00A86DBC">
      <w:r w:rsidRPr="00A86DBC">
        <w:t xml:space="preserve">The clinical trial program consisted of two phase I studies (Study CT-P41 1.1 and Study CT-P41 1.2) and one phase III study (Study CT-P41 3.1). Pharmacology and clinical safety data (pharmacokinetic and pharmacodynamic) were obtained from all three studies, with Study CT-P41 1.2 providing evidence for PK </w:t>
      </w:r>
      <w:r w:rsidR="002C2793" w:rsidRPr="00A86DBC">
        <w:t>bio</w:t>
      </w:r>
      <w:r w:rsidR="002C2793">
        <w:t>-</w:t>
      </w:r>
      <w:r w:rsidR="002C2793" w:rsidRPr="00A86DBC">
        <w:t>similarity</w:t>
      </w:r>
      <w:r w:rsidRPr="00A86DBC">
        <w:t>. Clinical efficacy data were obtained from the pivotal CT-P41 3.1 study in patient with osteoporosis that provided evidence for clinical equivalence.</w:t>
      </w:r>
    </w:p>
    <w:p w14:paraId="39A59E2C" w14:textId="77777777" w:rsidR="00A86DBC" w:rsidRPr="00DF1958" w:rsidRDefault="00A86DBC" w:rsidP="00A402CF">
      <w:pPr>
        <w:pStyle w:val="Heading6"/>
      </w:pPr>
      <w:r w:rsidRPr="00DF1958">
        <w:t>Quality and bridging</w:t>
      </w:r>
    </w:p>
    <w:p w14:paraId="21B1CB03" w14:textId="77777777" w:rsidR="00A86DBC" w:rsidRPr="00A86DBC" w:rsidRDefault="00A86DBC" w:rsidP="00A86DBC">
      <w:r w:rsidRPr="00A86DBC">
        <w:t>The clinical trial program used US-licensed and EU-licensed Prolia (rather than AU-licenced Prolia or Xgeva).</w:t>
      </w:r>
    </w:p>
    <w:p w14:paraId="3CC60170" w14:textId="4CD157E1" w:rsidR="00A86DBC" w:rsidRPr="00A86DBC" w:rsidRDefault="00A86DBC" w:rsidP="00A86DBC">
      <w:r w:rsidRPr="00A86DBC">
        <w:t>For Stoboclo, US-licensed Prolia was used as the main reference product to demonstrate bio</w:t>
      </w:r>
      <w:r w:rsidR="00DF1958">
        <w:t>-</w:t>
      </w:r>
      <w:r w:rsidRPr="00A86DBC">
        <w:t>similarity in terms of quality and non-clinical comparability exercise. An additional bridging comparability study was performed between the US and AU Prolia to present US Prolia as representative of the Australian registered product.</w:t>
      </w:r>
    </w:p>
    <w:p w14:paraId="13320D3E" w14:textId="16252AB5" w:rsidR="00A86DBC" w:rsidRPr="00A86DBC" w:rsidRDefault="00A86DBC" w:rsidP="00A86DBC">
      <w:r w:rsidRPr="00A86DBC">
        <w:t>For Osenvelt, US-licensed Xgeva was used as the main reference product to demonstrate bio</w:t>
      </w:r>
      <w:r w:rsidR="00DF1958">
        <w:t>-</w:t>
      </w:r>
      <w:r w:rsidRPr="00A86DBC">
        <w:t>similarity in terms of quality and non-clinical comparability exercise. An additional bridging comparability study was performed between the US and AU Xgeva to present US Xgeva as representative of the Australian registered product.</w:t>
      </w:r>
    </w:p>
    <w:p w14:paraId="0232B80D" w14:textId="25102387" w:rsidR="00A86DBC" w:rsidRPr="00A86DBC" w:rsidRDefault="00A86DBC" w:rsidP="00A86DBC">
      <w:r w:rsidRPr="00A86DBC">
        <w:t xml:space="preserve">Extensive characterisation studies involving comparison of primary, secondary and tertiary structures, physicochemical properties and biological activities showed that </w:t>
      </w:r>
      <w:r w:rsidR="00250BA6">
        <w:t>Stoboclo</w:t>
      </w:r>
      <w:r w:rsidRPr="00A86DBC">
        <w:t>/</w:t>
      </w:r>
      <w:r w:rsidR="00250BA6">
        <w:t>Osenvelt</w:t>
      </w:r>
      <w:r w:rsidRPr="00A86DBC">
        <w:t xml:space="preserve"> and US </w:t>
      </w:r>
      <w:r w:rsidR="00D9679A">
        <w:t>Prolia</w:t>
      </w:r>
      <w:r w:rsidRPr="00A86DBC">
        <w:t>/X</w:t>
      </w:r>
      <w:r w:rsidR="00D9679A">
        <w:t>geva</w:t>
      </w:r>
      <w:r w:rsidRPr="00A86DBC">
        <w:t xml:space="preserve"> are generally similar.</w:t>
      </w:r>
    </w:p>
    <w:p w14:paraId="6ECB8ADC" w14:textId="77777777" w:rsidR="00A86DBC" w:rsidRPr="00A86DBC" w:rsidRDefault="00A86DBC" w:rsidP="00A86DBC">
      <w:r w:rsidRPr="00A86DBC">
        <w:t>There were no objections from a quality perspective to the approval of this application.</w:t>
      </w:r>
    </w:p>
    <w:p w14:paraId="119B0659" w14:textId="77777777" w:rsidR="00A86DBC" w:rsidRPr="007A217F" w:rsidRDefault="00A86DBC" w:rsidP="007A217F">
      <w:pPr>
        <w:pStyle w:val="Heading5"/>
      </w:pPr>
      <w:r w:rsidRPr="007A217F">
        <w:t>Pharmacology</w:t>
      </w:r>
    </w:p>
    <w:p w14:paraId="034F4872" w14:textId="0283AEC9" w:rsidR="00A86DBC" w:rsidRPr="00A86DBC" w:rsidRDefault="00A86DBC" w:rsidP="00A86DBC">
      <w:r w:rsidRPr="00A86DBC">
        <w:t>Based on the PK data provided, the serum denosumab concentrations and PK parameters were generally consistent between those who received CT-P41 and US-licensed Prolia. In Study CT-P41 1.2 PK bio</w:t>
      </w:r>
      <w:r w:rsidR="00D9679A">
        <w:t>-</w:t>
      </w:r>
      <w:r w:rsidRPr="00A86DBC">
        <w:t>similarity was establish</w:t>
      </w:r>
      <w:r w:rsidRPr="002435B2">
        <w:t>ed.</w:t>
      </w:r>
      <w:r w:rsidR="002435B2" w:rsidRPr="00C315A8">
        <w:rPr>
          <w:rFonts w:cs="Segoe UI"/>
          <w:sz w:val="18"/>
          <w:szCs w:val="18"/>
        </w:rPr>
        <w:t xml:space="preserve"> </w:t>
      </w:r>
      <w:r w:rsidR="002435B2" w:rsidRPr="002435B2">
        <w:rPr>
          <w:szCs w:val="22"/>
        </w:rPr>
        <w:t>In Study CT-P41 3.1, the PD similarity of CT-P41 versus US-licensed Prolia was demonstrated by AUEC of s-CTX over the initial 6 months</w:t>
      </w:r>
    </w:p>
    <w:p w14:paraId="139AF52A" w14:textId="77777777" w:rsidR="00A86DBC" w:rsidRPr="007A217F" w:rsidRDefault="00A86DBC" w:rsidP="007A217F">
      <w:pPr>
        <w:pStyle w:val="Heading5"/>
      </w:pPr>
      <w:r w:rsidRPr="007A217F">
        <w:t>Efficacy</w:t>
      </w:r>
    </w:p>
    <w:p w14:paraId="3ABC0522" w14:textId="77777777" w:rsidR="00A86DBC" w:rsidRPr="00D366F0" w:rsidRDefault="00A86DBC" w:rsidP="00D366F0">
      <w:pPr>
        <w:rPr>
          <w:b/>
          <w:bCs/>
          <w:sz w:val="24"/>
          <w:szCs w:val="24"/>
        </w:rPr>
      </w:pPr>
      <w:r w:rsidRPr="00D366F0">
        <w:rPr>
          <w:b/>
          <w:bCs/>
          <w:sz w:val="24"/>
          <w:szCs w:val="24"/>
        </w:rPr>
        <w:t>Study design and primary endpoint</w:t>
      </w:r>
    </w:p>
    <w:p w14:paraId="5A1DAEA9" w14:textId="77777777" w:rsidR="00A86DBC" w:rsidRPr="00A86DBC" w:rsidRDefault="00A86DBC" w:rsidP="00A86DBC">
      <w:r w:rsidRPr="00A86DBC">
        <w:t>There are no objections to the study design. In Study CT-P41 3.1, the primary efficacy endpoint was the percent change from baseline in BMD for lumbar spine (L1 to L4) by dual-energy X-ray absorptiometry (DXA) at Week 52. That chosen variable differed from the primary efficacy variable in the pivotal trial for the reference product Prolia, which was the incidence of new vertebral fractures.</w:t>
      </w:r>
    </w:p>
    <w:p w14:paraId="3FC263E9" w14:textId="5F7438F9" w:rsidR="00A86DBC" w:rsidRPr="00A86DBC" w:rsidRDefault="00A86DBC" w:rsidP="00A86DBC">
      <w:r w:rsidRPr="00A86DBC">
        <w:lastRenderedPageBreak/>
        <w:t>For the initial registration of an agent targeting osteoporosis, the use of the incidence of new vertebral fractures as an endpoint variable is still preferred, but for bio</w:t>
      </w:r>
      <w:r w:rsidR="00DC142C">
        <w:t>-</w:t>
      </w:r>
      <w:r w:rsidRPr="00A86DBC">
        <w:t>similarity assessments, an appropriately designed BMD endpoint was considered suitable. Additionally, incidences of new vertebral, nonvertebral, and hip fractures were included as secondary endpoints.</w:t>
      </w:r>
    </w:p>
    <w:p w14:paraId="1F7FA54F" w14:textId="77777777" w:rsidR="00A86DBC" w:rsidRPr="00D366F0" w:rsidRDefault="00A86DBC" w:rsidP="00D366F0">
      <w:pPr>
        <w:rPr>
          <w:b/>
          <w:bCs/>
          <w:sz w:val="24"/>
          <w:szCs w:val="24"/>
        </w:rPr>
      </w:pPr>
      <w:bookmarkStart w:id="73" w:name="_Hlk209958114"/>
      <w:r w:rsidRPr="00D366F0">
        <w:rPr>
          <w:b/>
          <w:bCs/>
          <w:sz w:val="24"/>
          <w:szCs w:val="24"/>
        </w:rPr>
        <w:t>Equivalence margin</w:t>
      </w:r>
    </w:p>
    <w:bookmarkEnd w:id="73"/>
    <w:p w14:paraId="7EF57BFF" w14:textId="77777777" w:rsidR="00A86DBC" w:rsidRPr="00A86DBC" w:rsidRDefault="00A86DBC" w:rsidP="00A86DBC">
      <w:r w:rsidRPr="00A86DBC">
        <w:t>Therapeutic equivalence was based on whether the primary efficacy endpoint (percent change from baseline in BMD for lumbar spine (L1 to L4) by dual-energy X-ray absorptiometry (DXA) at Week 52) 2-sided 95% confidence interval (CI) of least squares means for the treatment difference between Stoboclo and Prolia falls within the predefined equivalence margin of (-1.503%, 1.503%).</w:t>
      </w:r>
    </w:p>
    <w:p w14:paraId="2AA2DD99" w14:textId="15CF0AD4" w:rsidR="00A86DBC" w:rsidRPr="00A86DBC" w:rsidRDefault="00A86DBC" w:rsidP="00A86DBC">
      <w:r w:rsidRPr="00A86DBC">
        <w:t xml:space="preserve">The applicant has justified the equivalence margin based on a variety of items including: the lumbar spine BMD changes at 1 year with of other bone modifying agents; a correlation of lumbar BMD improvement with risk of fracture reduction; previously agreed equivalence/non-inferiority margins for similar agents. It is noted that for </w:t>
      </w:r>
      <w:proofErr w:type="spellStart"/>
      <w:r w:rsidRPr="00A86DBC">
        <w:t>J</w:t>
      </w:r>
      <w:r w:rsidR="00D3118D">
        <w:t>ubbonti</w:t>
      </w:r>
      <w:proofErr w:type="spellEnd"/>
      <w:r w:rsidRPr="00A86DBC">
        <w:t>/</w:t>
      </w:r>
      <w:proofErr w:type="spellStart"/>
      <w:r w:rsidRPr="00A86DBC">
        <w:t>W</w:t>
      </w:r>
      <w:r w:rsidR="00D3118D">
        <w:t>yost</w:t>
      </w:r>
      <w:proofErr w:type="spellEnd"/>
      <w:r w:rsidRPr="00A86DBC">
        <w:t xml:space="preserve"> (PM-2023-03741-1-5), an equivalence margin of (-1.45%, 1.45%) had been accepted. A margin tighter than (-1.503%, 1.503%) could have been advantageous, but the chosen margin is overall acceptable.</w:t>
      </w:r>
    </w:p>
    <w:p w14:paraId="451C0914" w14:textId="77777777" w:rsidR="00A86DBC" w:rsidRPr="00D366F0" w:rsidRDefault="00A86DBC" w:rsidP="00D366F0">
      <w:pPr>
        <w:rPr>
          <w:b/>
          <w:bCs/>
          <w:sz w:val="24"/>
          <w:szCs w:val="24"/>
        </w:rPr>
      </w:pPr>
      <w:r w:rsidRPr="00D366F0">
        <w:rPr>
          <w:b/>
          <w:bCs/>
          <w:sz w:val="24"/>
          <w:szCs w:val="24"/>
        </w:rPr>
        <w:t>Efficacy results</w:t>
      </w:r>
    </w:p>
    <w:p w14:paraId="5F951D94" w14:textId="78124345" w:rsidR="00A86DBC" w:rsidRPr="00A86DBC" w:rsidRDefault="00A86DBC" w:rsidP="00A86DBC">
      <w:r w:rsidRPr="00A86DBC">
        <w:t>In Study CT-P41 3.1, in the FAS analysis, the LS mean (SE) of percent change from baseline in BMD for lumbar spine by DXA at Week 52 was 4.9317 (0.31508) and 5.0706 (0.32714) in the CT-P41 and US-licensed Prolia groups, respectively. Hence, the treatment difference (95% CI) was -0.139 (-0.826, 0.548) (FAS) with the CI within the pre-specified equivalence margin of ±1.503%. This result is supported by the PPS analysis and by the secondary endpoints.</w:t>
      </w:r>
    </w:p>
    <w:p w14:paraId="769CA462" w14:textId="77777777" w:rsidR="00A86DBC" w:rsidRPr="00A86DBC" w:rsidRDefault="00A86DBC" w:rsidP="00A86DBC">
      <w:r w:rsidRPr="00A86DBC">
        <w:t>It is noted that the number of fractures (vertebral and non-vertebral) in the two groups were low, which may be, at least in part, due to the beneficial effect of denosumab. The study was not powered for assess differences in incidences of fractures.</w:t>
      </w:r>
    </w:p>
    <w:p w14:paraId="725B39D6" w14:textId="77777777" w:rsidR="00A86DBC" w:rsidRPr="00D366F0" w:rsidRDefault="00A86DBC" w:rsidP="00D366F0">
      <w:pPr>
        <w:pStyle w:val="Heading5"/>
      </w:pPr>
      <w:r w:rsidRPr="00D366F0">
        <w:t>Safety</w:t>
      </w:r>
    </w:p>
    <w:p w14:paraId="30C6B8DC" w14:textId="77777777" w:rsidR="00A86DBC" w:rsidRPr="00A86DBC" w:rsidRDefault="00A86DBC" w:rsidP="00A86DBC">
      <w:r w:rsidRPr="00A86DBC">
        <w:t>The safety profile of the reference product Prolia and Xgeva is well characterised.</w:t>
      </w:r>
    </w:p>
    <w:p w14:paraId="52AE9BF9" w14:textId="77777777" w:rsidR="00A86DBC" w:rsidRPr="00E27328" w:rsidRDefault="00A86DBC" w:rsidP="00E27328">
      <w:pPr>
        <w:rPr>
          <w:b/>
          <w:bCs/>
        </w:rPr>
      </w:pPr>
      <w:r w:rsidRPr="00E27328">
        <w:rPr>
          <w:b/>
          <w:bCs/>
        </w:rPr>
        <w:t>Safety profile</w:t>
      </w:r>
    </w:p>
    <w:p w14:paraId="0FA28750" w14:textId="77777777" w:rsidR="00A86DBC" w:rsidRPr="00A86DBC" w:rsidRDefault="00A86DBC" w:rsidP="00A86DBC">
      <w:r w:rsidRPr="00A86DBC">
        <w:t xml:space="preserve">Overall, the safety profiles of the CT-P41, Prolia, and Switched to CT-P41 groups </w:t>
      </w:r>
      <w:proofErr w:type="gramStart"/>
      <w:r w:rsidRPr="00A86DBC">
        <w:t>are considered to be</w:t>
      </w:r>
      <w:proofErr w:type="gramEnd"/>
      <w:r w:rsidRPr="00A86DBC">
        <w:t xml:space="preserve"> similar. However, the sample size was not large enough to detect rare adverse events including ONJ or atypical femoral fracture. Furthermore, the study did not assess long-term safety. There are no post-market data available.</w:t>
      </w:r>
    </w:p>
    <w:p w14:paraId="692DB218" w14:textId="77777777" w:rsidR="00A86DBC" w:rsidRPr="00A86DBC" w:rsidRDefault="00A86DBC" w:rsidP="00A86DBC">
      <w:r w:rsidRPr="00A86DBC">
        <w:t>No PMO patients had neutralising antibodies (</w:t>
      </w:r>
      <w:proofErr w:type="spellStart"/>
      <w:r w:rsidRPr="00A86DBC">
        <w:t>NAbs</w:t>
      </w:r>
      <w:proofErr w:type="spellEnd"/>
      <w:r w:rsidRPr="00A86DBC">
        <w:t xml:space="preserve">) and no impact by ADAs or </w:t>
      </w:r>
      <w:proofErr w:type="spellStart"/>
      <w:r w:rsidRPr="00A86DBC">
        <w:t>NAbs</w:t>
      </w:r>
      <w:proofErr w:type="spellEnd"/>
      <w:r w:rsidRPr="00A86DBC">
        <w:t xml:space="preserve"> was apparent.</w:t>
      </w:r>
    </w:p>
    <w:p w14:paraId="19163F1A" w14:textId="77777777" w:rsidR="00A86DBC" w:rsidRPr="00A86DBC" w:rsidRDefault="00A86DBC" w:rsidP="00BB257F">
      <w:pPr>
        <w:pStyle w:val="Heading5"/>
      </w:pPr>
      <w:r w:rsidRPr="00A86DBC">
        <w:t>Regulatory considerations and translation to clinical practice</w:t>
      </w:r>
    </w:p>
    <w:p w14:paraId="057F9001" w14:textId="77777777" w:rsidR="00A86DBC" w:rsidRPr="00E27328" w:rsidRDefault="00A86DBC" w:rsidP="00E27328">
      <w:pPr>
        <w:rPr>
          <w:b/>
          <w:bCs/>
        </w:rPr>
      </w:pPr>
      <w:r w:rsidRPr="00E27328">
        <w:rPr>
          <w:b/>
          <w:bCs/>
        </w:rPr>
        <w:t>Extrapolation to other indications</w:t>
      </w:r>
    </w:p>
    <w:p w14:paraId="09C43BC0" w14:textId="77777777" w:rsidR="00A86DBC" w:rsidRPr="00A86DBC" w:rsidRDefault="00A86DBC" w:rsidP="00A86DBC">
      <w:r w:rsidRPr="00A86DBC">
        <w:t xml:space="preserve">In the clinical trial program, similarity between Stoboclo and Prolia was demonstrated for the treatment of osteoporosis. </w:t>
      </w:r>
    </w:p>
    <w:p w14:paraId="4834EFDE" w14:textId="0566A452" w:rsidR="00A86DBC" w:rsidRPr="00A86DBC" w:rsidRDefault="00A86DBC" w:rsidP="00A86DBC">
      <w:r w:rsidRPr="00A86DBC">
        <w:t xml:space="preserve">The sponsor has provided a justification for extrapolation to these indications, mainly </w:t>
      </w:r>
      <w:proofErr w:type="gramStart"/>
      <w:r w:rsidRPr="00A86DBC">
        <w:t>with regard to</w:t>
      </w:r>
      <w:proofErr w:type="gramEnd"/>
      <w:r w:rsidRPr="00A86DBC">
        <w:t xml:space="preserve"> the common receptor target (RANKL) and active site indicating a shared mechanism of action in the different indications. The same extrapolation of indication had been previously accepted for </w:t>
      </w:r>
      <w:proofErr w:type="spellStart"/>
      <w:r w:rsidRPr="00A86DBC">
        <w:t>J</w:t>
      </w:r>
      <w:r w:rsidR="007F4653">
        <w:t>ubbonti</w:t>
      </w:r>
      <w:proofErr w:type="spellEnd"/>
      <w:r w:rsidRPr="00A86DBC">
        <w:t>/</w:t>
      </w:r>
      <w:proofErr w:type="spellStart"/>
      <w:r w:rsidRPr="00A86DBC">
        <w:t>W</w:t>
      </w:r>
      <w:r w:rsidR="007F4653">
        <w:t>yost</w:t>
      </w:r>
      <w:proofErr w:type="spellEnd"/>
      <w:r w:rsidRPr="00A86DBC">
        <w:t xml:space="preserve"> (PM-2023-03741-1-5).</w:t>
      </w:r>
    </w:p>
    <w:p w14:paraId="31E2FD8D" w14:textId="77777777" w:rsidR="00A86DBC" w:rsidRPr="00A86DBC" w:rsidRDefault="00A86DBC" w:rsidP="00A86DBC">
      <w:r w:rsidRPr="00A86DBC">
        <w:lastRenderedPageBreak/>
        <w:t>An unfavourable impact on clinical efficacy and safety in the extrapolated indications is not expected for the biosimilar.</w:t>
      </w:r>
    </w:p>
    <w:p w14:paraId="6C25E542" w14:textId="77777777" w:rsidR="00A86DBC" w:rsidRPr="00A86DBC" w:rsidRDefault="00A86DBC" w:rsidP="004B427F">
      <w:pPr>
        <w:pStyle w:val="Heading5"/>
      </w:pPr>
      <w:r w:rsidRPr="00A86DBC">
        <w:t>Approval indications</w:t>
      </w:r>
    </w:p>
    <w:p w14:paraId="04D9096B" w14:textId="77777777" w:rsidR="00A86DBC" w:rsidRPr="00A86DBC" w:rsidRDefault="00A86DBC" w:rsidP="00A86DBC">
      <w:r w:rsidRPr="00A86DBC">
        <w:t>Overall, the extrapolation from the comparative data generated in post-menstrual women with osteoporosis to all approved indications of Prolia and Xgeva was considered acceptable.</w:t>
      </w:r>
    </w:p>
    <w:p w14:paraId="154B0BD7" w14:textId="77777777" w:rsidR="00A86DBC" w:rsidRPr="005454DA" w:rsidRDefault="00A86DBC" w:rsidP="000F773A">
      <w:pPr>
        <w:pStyle w:val="Heading6"/>
      </w:pPr>
      <w:r w:rsidRPr="005454DA">
        <w:t>Outstanding issues and conclusion</w:t>
      </w:r>
    </w:p>
    <w:p w14:paraId="7B11F2E5" w14:textId="0448B6CC" w:rsidR="00A86DBC" w:rsidRPr="00A86DBC" w:rsidRDefault="00A86DBC" w:rsidP="00A86DBC">
      <w:r w:rsidRPr="00A86DBC">
        <w:t xml:space="preserve">There were no outstanding issues, and the applicant agreed to the TGA-requested PI changes. The application was not referred to the ACM, </w:t>
      </w:r>
      <w:proofErr w:type="gramStart"/>
      <w:r w:rsidRPr="00A86DBC">
        <w:t>in particular given</w:t>
      </w:r>
      <w:proofErr w:type="gramEnd"/>
      <w:r w:rsidRPr="00A86DBC">
        <w:t xml:space="preserve"> the regulatory precedent with </w:t>
      </w:r>
      <w:proofErr w:type="spellStart"/>
      <w:r w:rsidRPr="00A86DBC">
        <w:t>J</w:t>
      </w:r>
      <w:r w:rsidR="005454DA">
        <w:t>ubbonti</w:t>
      </w:r>
      <w:proofErr w:type="spellEnd"/>
      <w:r w:rsidRPr="00A86DBC">
        <w:t>/</w:t>
      </w:r>
      <w:proofErr w:type="spellStart"/>
      <w:r w:rsidRPr="00A86DBC">
        <w:t>W</w:t>
      </w:r>
      <w:r w:rsidR="00126048">
        <w:t>yost</w:t>
      </w:r>
      <w:proofErr w:type="spellEnd"/>
      <w:r w:rsidRPr="00A86DBC">
        <w:t xml:space="preserve"> (PM-2023-03741-1-5).</w:t>
      </w:r>
    </w:p>
    <w:p w14:paraId="307F236C" w14:textId="7FD19BD3" w:rsidR="00C22214" w:rsidRPr="002E238E" w:rsidRDefault="0046285C" w:rsidP="00C22214">
      <w:pPr>
        <w:pStyle w:val="Heading2"/>
      </w:pPr>
      <w:bookmarkStart w:id="74" w:name="_Toc247691532"/>
      <w:bookmarkStart w:id="75" w:name="_Toc314842516"/>
      <w:bookmarkStart w:id="76" w:name="_Toc103679300"/>
      <w:bookmarkStart w:id="77" w:name="_Toc215235764"/>
      <w:r>
        <w:t>Assessment</w:t>
      </w:r>
      <w:r w:rsidR="00190853">
        <w:t xml:space="preserve"> </w:t>
      </w:r>
      <w:r>
        <w:t>o</w:t>
      </w:r>
      <w:r w:rsidR="00C22214">
        <w:t>utcome</w:t>
      </w:r>
      <w:bookmarkEnd w:id="74"/>
      <w:bookmarkEnd w:id="75"/>
      <w:bookmarkEnd w:id="76"/>
      <w:bookmarkEnd w:id="77"/>
    </w:p>
    <w:p w14:paraId="4EF22939" w14:textId="3BECC923" w:rsidR="00C22214" w:rsidRDefault="00C22214" w:rsidP="0006104E">
      <w:r w:rsidRPr="0017005C">
        <w:t xml:space="preserve">Based on a review of quality, safety, and efficacy, the TGA </w:t>
      </w:r>
      <w:r w:rsidR="00B46DFB">
        <w:t>decided to</w:t>
      </w:r>
      <w:r w:rsidRPr="0017005C">
        <w:t xml:space="preserve"> regist</w:t>
      </w:r>
      <w:r w:rsidR="00B46DFB">
        <w:t>er</w:t>
      </w:r>
      <w:r w:rsidR="00A3263A">
        <w:t>:</w:t>
      </w:r>
    </w:p>
    <w:p w14:paraId="731480B2" w14:textId="001C14F8" w:rsidR="00D251C3" w:rsidRPr="00D251C3" w:rsidRDefault="00250BA6" w:rsidP="00A3263A">
      <w:pPr>
        <w:ind w:left="720"/>
      </w:pPr>
      <w:r>
        <w:t>Osenvelt</w:t>
      </w:r>
      <w:r w:rsidR="00D251C3" w:rsidRPr="00D251C3">
        <w:t xml:space="preserve"> denosumab (</w:t>
      </w:r>
      <w:proofErr w:type="spellStart"/>
      <w:r w:rsidR="00D251C3" w:rsidRPr="00D251C3">
        <w:t>rch</w:t>
      </w:r>
      <w:proofErr w:type="spellEnd"/>
      <w:r w:rsidR="00D251C3" w:rsidRPr="00D251C3">
        <w:t>) 70 mg/mL solution for injection vial</w:t>
      </w:r>
      <w:r w:rsidR="00A3263A">
        <w:t xml:space="preserve"> (442990)</w:t>
      </w:r>
    </w:p>
    <w:p w14:paraId="12EBCD7E" w14:textId="66F4DA10" w:rsidR="00D251C3" w:rsidRDefault="00250BA6" w:rsidP="00A3263A">
      <w:pPr>
        <w:ind w:left="720"/>
      </w:pPr>
      <w:r>
        <w:t>Stoboclo</w:t>
      </w:r>
      <w:r w:rsidR="00D251C3" w:rsidRPr="00D251C3">
        <w:t xml:space="preserve"> denosumab (</w:t>
      </w:r>
      <w:proofErr w:type="spellStart"/>
      <w:r w:rsidR="00D251C3" w:rsidRPr="00D251C3">
        <w:t>rch</w:t>
      </w:r>
      <w:proofErr w:type="spellEnd"/>
      <w:r w:rsidR="00D251C3" w:rsidRPr="00D251C3">
        <w:t>) 60 mg/mL solution for injection pre-filled</w:t>
      </w:r>
      <w:r w:rsidR="00A3263A">
        <w:t xml:space="preserve"> syringe (442991)</w:t>
      </w:r>
    </w:p>
    <w:p w14:paraId="768306D8" w14:textId="6D965DFF" w:rsidR="00D251C3" w:rsidRPr="00D251C3" w:rsidRDefault="00D251C3" w:rsidP="00D251C3">
      <w:r w:rsidRPr="00D251C3">
        <w:t xml:space="preserve">The approved indications </w:t>
      </w:r>
      <w:r w:rsidRPr="0018658F">
        <w:t xml:space="preserve">for </w:t>
      </w:r>
      <w:r w:rsidR="00250BA6" w:rsidRPr="0018658F">
        <w:t>Osenvelt</w:t>
      </w:r>
      <w:r w:rsidRPr="0018658F">
        <w:t xml:space="preserve"> are</w:t>
      </w:r>
      <w:r w:rsidRPr="00D251C3">
        <w:t>:</w:t>
      </w:r>
    </w:p>
    <w:p w14:paraId="77F4DEE3" w14:textId="483685F2" w:rsidR="00D251C3" w:rsidRPr="005D3D73" w:rsidRDefault="00D251C3" w:rsidP="005D3D73">
      <w:pPr>
        <w:ind w:left="720"/>
        <w:rPr>
          <w:i/>
          <w:iCs/>
        </w:rPr>
      </w:pPr>
      <w:r w:rsidRPr="005D3D73">
        <w:rPr>
          <w:i/>
          <w:iCs/>
        </w:rPr>
        <w:t>Prevention of skeletal related events in patients with multiple myeloma and in patients</w:t>
      </w:r>
      <w:r w:rsidR="00A3263A" w:rsidRPr="005D3D73">
        <w:rPr>
          <w:i/>
          <w:iCs/>
        </w:rPr>
        <w:t xml:space="preserve"> </w:t>
      </w:r>
      <w:r w:rsidRPr="005D3D73">
        <w:rPr>
          <w:i/>
          <w:iCs/>
        </w:rPr>
        <w:t>with bone metastases from solid tumours.</w:t>
      </w:r>
    </w:p>
    <w:p w14:paraId="0E6E5A48" w14:textId="00837AD6" w:rsidR="00D251C3" w:rsidRPr="005D3D73" w:rsidRDefault="00D251C3" w:rsidP="005D3D73">
      <w:pPr>
        <w:ind w:left="720"/>
        <w:rPr>
          <w:i/>
          <w:iCs/>
        </w:rPr>
      </w:pPr>
      <w:r w:rsidRPr="005D3D73">
        <w:rPr>
          <w:i/>
          <w:iCs/>
        </w:rPr>
        <w:t>Treatment of giant cell tumour of bone in adults or skeletally mature adolescents that is</w:t>
      </w:r>
      <w:r w:rsidR="00A3263A" w:rsidRPr="005D3D73">
        <w:rPr>
          <w:i/>
          <w:iCs/>
        </w:rPr>
        <w:t xml:space="preserve"> </w:t>
      </w:r>
      <w:r w:rsidRPr="005D3D73">
        <w:rPr>
          <w:i/>
          <w:iCs/>
        </w:rPr>
        <w:t>recurrent, or unresectable, or resectable but associated with severe morbidity.</w:t>
      </w:r>
    </w:p>
    <w:p w14:paraId="65DBA2C9" w14:textId="5F73CA8D" w:rsidR="00D251C3" w:rsidRPr="005D3D73" w:rsidRDefault="00D251C3" w:rsidP="005D3D73">
      <w:pPr>
        <w:ind w:left="720"/>
        <w:rPr>
          <w:i/>
          <w:iCs/>
        </w:rPr>
      </w:pPr>
      <w:r w:rsidRPr="005D3D73">
        <w:rPr>
          <w:i/>
          <w:iCs/>
        </w:rPr>
        <w:t>Treatment of hypercalcaemia of malignancy that is refractory to intravenous</w:t>
      </w:r>
      <w:r w:rsidR="00A3263A" w:rsidRPr="005D3D73">
        <w:rPr>
          <w:i/>
          <w:iCs/>
        </w:rPr>
        <w:t xml:space="preserve"> </w:t>
      </w:r>
      <w:r w:rsidRPr="005D3D73">
        <w:rPr>
          <w:i/>
          <w:iCs/>
        </w:rPr>
        <w:t>bisphosphonate.</w:t>
      </w:r>
    </w:p>
    <w:p w14:paraId="3600D8A1" w14:textId="5880741A" w:rsidR="00D251C3" w:rsidRPr="00D251C3" w:rsidRDefault="00D251C3" w:rsidP="00D251C3">
      <w:r w:rsidRPr="00D251C3">
        <w:t xml:space="preserve">The approved indications </w:t>
      </w:r>
      <w:r w:rsidRPr="0018658F">
        <w:t xml:space="preserve">for </w:t>
      </w:r>
      <w:r w:rsidR="00250BA6" w:rsidRPr="0018658F">
        <w:t>Stoboclo</w:t>
      </w:r>
      <w:r w:rsidRPr="00D251C3">
        <w:t xml:space="preserve"> are:</w:t>
      </w:r>
    </w:p>
    <w:p w14:paraId="21786131" w14:textId="5C85E85A" w:rsidR="00D251C3" w:rsidRPr="00294E02" w:rsidRDefault="00D251C3" w:rsidP="00294E02">
      <w:pPr>
        <w:ind w:left="720"/>
        <w:rPr>
          <w:i/>
          <w:iCs/>
        </w:rPr>
      </w:pPr>
      <w:r w:rsidRPr="00294E02">
        <w:rPr>
          <w:i/>
          <w:iCs/>
        </w:rPr>
        <w:t xml:space="preserve">The treatment of osteoporosis in postmenopausal women. </w:t>
      </w:r>
      <w:r w:rsidR="00250BA6" w:rsidRPr="00294E02">
        <w:rPr>
          <w:i/>
          <w:iCs/>
        </w:rPr>
        <w:t>Stoboclo</w:t>
      </w:r>
      <w:r w:rsidRPr="00294E02">
        <w:rPr>
          <w:i/>
          <w:iCs/>
        </w:rPr>
        <w:t xml:space="preserve"> significantly</w:t>
      </w:r>
      <w:r w:rsidR="00A3263A" w:rsidRPr="00294E02">
        <w:rPr>
          <w:i/>
          <w:iCs/>
        </w:rPr>
        <w:t xml:space="preserve"> </w:t>
      </w:r>
      <w:r w:rsidRPr="00294E02">
        <w:rPr>
          <w:i/>
          <w:iCs/>
        </w:rPr>
        <w:t>reduces the risk of vertebral, non-vertebral and hip fractures.</w:t>
      </w:r>
    </w:p>
    <w:p w14:paraId="6B42DA78" w14:textId="74C8FA30" w:rsidR="00D251C3" w:rsidRPr="00294E02" w:rsidRDefault="00D251C3" w:rsidP="00294E02">
      <w:pPr>
        <w:ind w:left="720"/>
        <w:rPr>
          <w:i/>
          <w:iCs/>
        </w:rPr>
      </w:pPr>
      <w:r w:rsidRPr="00294E02">
        <w:rPr>
          <w:i/>
          <w:iCs/>
        </w:rPr>
        <w:t>Treatment to increase bone mass in men with osteopaenia receiving androgen</w:t>
      </w:r>
      <w:r w:rsidR="00A3263A" w:rsidRPr="00294E02">
        <w:rPr>
          <w:i/>
          <w:iCs/>
        </w:rPr>
        <w:t xml:space="preserve"> </w:t>
      </w:r>
      <w:r w:rsidRPr="00294E02">
        <w:rPr>
          <w:i/>
          <w:iCs/>
        </w:rPr>
        <w:t>deprivation therapy for non-metastatic prostate cancer .</w:t>
      </w:r>
    </w:p>
    <w:p w14:paraId="7EC42BB2" w14:textId="77777777" w:rsidR="00D251C3" w:rsidRPr="00294E02" w:rsidRDefault="00D251C3" w:rsidP="00294E02">
      <w:pPr>
        <w:ind w:left="720"/>
        <w:rPr>
          <w:i/>
          <w:iCs/>
        </w:rPr>
      </w:pPr>
      <w:r w:rsidRPr="00294E02">
        <w:rPr>
          <w:i/>
          <w:iCs/>
        </w:rPr>
        <w:t>Treatment to increase bone mass in men with osteoporosis at increased risk of fracture.</w:t>
      </w:r>
    </w:p>
    <w:p w14:paraId="13BDCFED" w14:textId="5A7DBA64" w:rsidR="00D251C3" w:rsidRPr="00294E02" w:rsidRDefault="00D251C3" w:rsidP="00294E02">
      <w:pPr>
        <w:ind w:left="720"/>
        <w:rPr>
          <w:i/>
          <w:iCs/>
        </w:rPr>
      </w:pPr>
      <w:r w:rsidRPr="00294E02">
        <w:rPr>
          <w:i/>
          <w:iCs/>
        </w:rPr>
        <w:t>Treatment to increase bone mass in women and men at increased risk of fracture due to</w:t>
      </w:r>
      <w:r w:rsidR="00880ACB" w:rsidRPr="00294E02">
        <w:rPr>
          <w:i/>
          <w:iCs/>
        </w:rPr>
        <w:t xml:space="preserve"> </w:t>
      </w:r>
      <w:r w:rsidRPr="00294E02">
        <w:rPr>
          <w:i/>
          <w:iCs/>
        </w:rPr>
        <w:t>long-term systemic glucocorticoid therapy.</w:t>
      </w:r>
    </w:p>
    <w:p w14:paraId="0D732DA4" w14:textId="74882685" w:rsidR="00854D98" w:rsidRPr="00D23139" w:rsidRDefault="00854D98" w:rsidP="00906C74">
      <w:pPr>
        <w:pStyle w:val="Heading2"/>
      </w:pPr>
      <w:bookmarkStart w:id="78" w:name="_Toc215235765"/>
      <w:bookmarkStart w:id="79" w:name="_Toc103679301"/>
      <w:r w:rsidRPr="00D23139">
        <w:t>Specific conditions of registration</w:t>
      </w:r>
      <w:bookmarkEnd w:id="78"/>
      <w:r w:rsidRPr="00D23139">
        <w:t xml:space="preserve"> </w:t>
      </w:r>
      <w:bookmarkEnd w:id="79"/>
    </w:p>
    <w:p w14:paraId="6B51CC23" w14:textId="1F0579FF" w:rsidR="00D251C3" w:rsidRDefault="00D251C3" w:rsidP="002E108B">
      <w:pPr>
        <w:pStyle w:val="ListBullet"/>
      </w:pPr>
      <w:r>
        <w:t xml:space="preserve">The Osenvelt EU-Risk Management Plan (RMP) version 0.2 </w:t>
      </w:r>
      <w:r w:rsidR="00880ACB">
        <w:t>(</w:t>
      </w:r>
      <w:r>
        <w:t>dated 4 September 2024,</w:t>
      </w:r>
      <w:r w:rsidR="002E108B">
        <w:t xml:space="preserve"> </w:t>
      </w:r>
      <w:r>
        <w:t>data lock point 12 January 2024), with Australian Specific Annex version 1.1</w:t>
      </w:r>
      <w:r w:rsidR="00880ACB">
        <w:t xml:space="preserve"> (</w:t>
      </w:r>
      <w:r>
        <w:t>dated 22</w:t>
      </w:r>
      <w:r w:rsidR="002E108B">
        <w:t xml:space="preserve"> </w:t>
      </w:r>
      <w:r>
        <w:t xml:space="preserve">October 2024), and Stoboclo EU-Risk Management Plan (RMP) version 0.2 </w:t>
      </w:r>
      <w:r w:rsidR="00880ACB">
        <w:t>(</w:t>
      </w:r>
      <w:r>
        <w:t>dated 4</w:t>
      </w:r>
      <w:r w:rsidR="002E108B">
        <w:t xml:space="preserve"> </w:t>
      </w:r>
      <w:r>
        <w:t>September 2024, data lock point 12 January 2024), with Australian Specific Annex</w:t>
      </w:r>
      <w:r w:rsidR="002E108B">
        <w:t xml:space="preserve"> </w:t>
      </w:r>
      <w:r>
        <w:t xml:space="preserve">version 1.1 </w:t>
      </w:r>
      <w:r w:rsidR="00880ACB">
        <w:t>(</w:t>
      </w:r>
      <w:r>
        <w:t>dated 22 October 2024), included with submission PM-2024-00632-1-5,</w:t>
      </w:r>
      <w:r w:rsidR="002E108B">
        <w:t xml:space="preserve"> </w:t>
      </w:r>
      <w:r>
        <w:t>and any subsequent revisions, as agreed with the TGA will be implemented in Australia.</w:t>
      </w:r>
    </w:p>
    <w:p w14:paraId="3EE93980" w14:textId="222C668A" w:rsidR="00D251C3" w:rsidRDefault="00D251C3" w:rsidP="00041F37">
      <w:pPr>
        <w:pStyle w:val="ListBullet"/>
      </w:pPr>
      <w:r>
        <w:t>This approval does not impose any requirement for the submission of Periodic Safety</w:t>
      </w:r>
      <w:r w:rsidR="002E108B">
        <w:t xml:space="preserve"> </w:t>
      </w:r>
      <w:r>
        <w:t>Update reports. You are reminded that sections 29A and 29AA of the Therapeutic</w:t>
      </w:r>
      <w:r w:rsidR="00041F37">
        <w:t xml:space="preserve"> </w:t>
      </w:r>
      <w:r>
        <w:t xml:space="preserve">Goods Act 1989 </w:t>
      </w:r>
      <w:r>
        <w:lastRenderedPageBreak/>
        <w:t>provide for penalties where there has been failure to inform the</w:t>
      </w:r>
      <w:r w:rsidR="00041F37">
        <w:t xml:space="preserve"> </w:t>
      </w:r>
      <w:r>
        <w:t>Secretary in writing, as soon as a person has become aware, of:</w:t>
      </w:r>
    </w:p>
    <w:p w14:paraId="51A9A994" w14:textId="0D1DAFD0" w:rsidR="00D251C3" w:rsidRPr="00AC3BB0" w:rsidRDefault="00D251C3" w:rsidP="003F7BB9">
      <w:pPr>
        <w:pStyle w:val="Numberbullet2"/>
      </w:pPr>
      <w:r w:rsidRPr="00AC3BB0">
        <w:t>information that contradicts information already given by the person under this</w:t>
      </w:r>
      <w:r w:rsidR="00065181" w:rsidRPr="00AC3BB0">
        <w:t xml:space="preserve"> </w:t>
      </w:r>
      <w:proofErr w:type="gramStart"/>
      <w:r w:rsidRPr="00AC3BB0">
        <w:t>Act;</w:t>
      </w:r>
      <w:proofErr w:type="gramEnd"/>
    </w:p>
    <w:p w14:paraId="23240DFD" w14:textId="390E14DC" w:rsidR="00D251C3" w:rsidRPr="00AC3BB0" w:rsidRDefault="00D251C3" w:rsidP="003F7BB9">
      <w:pPr>
        <w:pStyle w:val="Numberbullet2"/>
      </w:pPr>
      <w:r w:rsidRPr="00AC3BB0">
        <w:t>information that indicates that the use of the goods in accordance with the</w:t>
      </w:r>
      <w:r w:rsidR="00FA1483" w:rsidRPr="00AC3BB0">
        <w:t xml:space="preserve"> </w:t>
      </w:r>
      <w:r w:rsidRPr="00AC3BB0">
        <w:t xml:space="preserve">recommendations for their use may have an unintended harmful </w:t>
      </w:r>
      <w:proofErr w:type="gramStart"/>
      <w:r w:rsidRPr="00AC3BB0">
        <w:t>effect;</w:t>
      </w:r>
      <w:proofErr w:type="gramEnd"/>
    </w:p>
    <w:p w14:paraId="38322CE6" w14:textId="4AA3084F" w:rsidR="00D251C3" w:rsidRPr="00AC3BB0" w:rsidRDefault="00D251C3" w:rsidP="003F7BB9">
      <w:pPr>
        <w:pStyle w:val="Numberbullet2"/>
        <w:rPr>
          <w:rFonts w:cs="CIDFont+F3"/>
          <w:color w:val="000000"/>
          <w:szCs w:val="22"/>
        </w:rPr>
      </w:pPr>
      <w:r w:rsidRPr="00AC3BB0">
        <w:t>information that indicates that the goods, when used in accordance with the</w:t>
      </w:r>
      <w:r w:rsidR="00FA1483" w:rsidRPr="00AC3BB0">
        <w:t xml:space="preserve"> </w:t>
      </w:r>
      <w:r w:rsidRPr="00AC3BB0">
        <w:t>recommendations for their use, may not be as effective as the application for</w:t>
      </w:r>
      <w:r w:rsidR="00FA1483" w:rsidRPr="00AC3BB0">
        <w:t xml:space="preserve"> </w:t>
      </w:r>
      <w:r w:rsidRPr="00AC3BB0">
        <w:t>registration or listing of the goods or information already given by the person</w:t>
      </w:r>
      <w:r w:rsidR="00FA1483" w:rsidRPr="00AC3BB0">
        <w:t xml:space="preserve"> </w:t>
      </w:r>
      <w:r w:rsidRPr="00AC3BB0">
        <w:t xml:space="preserve">under this Act </w:t>
      </w:r>
      <w:proofErr w:type="gramStart"/>
      <w:r w:rsidRPr="00AC3BB0">
        <w:t>suggests</w:t>
      </w:r>
      <w:r w:rsidRPr="00AC3BB0">
        <w:rPr>
          <w:rFonts w:cs="CIDFont+F3"/>
          <w:color w:val="000000"/>
          <w:szCs w:val="22"/>
        </w:rPr>
        <w:t>;</w:t>
      </w:r>
      <w:proofErr w:type="gramEnd"/>
    </w:p>
    <w:p w14:paraId="7EA8F391" w14:textId="3A497683" w:rsidR="00D251C3" w:rsidRPr="00AC3BB0" w:rsidRDefault="00D251C3" w:rsidP="003F7BB9">
      <w:pPr>
        <w:pStyle w:val="Numberbullet2"/>
      </w:pPr>
      <w:r w:rsidRPr="00AC3BB0">
        <w:t>information that indicates that the quality, safety or efficacy of the goods is</w:t>
      </w:r>
      <w:r w:rsidR="00FA1483" w:rsidRPr="00AC3BB0">
        <w:t xml:space="preserve"> </w:t>
      </w:r>
      <w:r w:rsidRPr="00AC3BB0">
        <w:t>unacceptable.</w:t>
      </w:r>
    </w:p>
    <w:p w14:paraId="1F689EA3" w14:textId="0BEC4EF3" w:rsidR="00D251C3" w:rsidRPr="003F7BB9" w:rsidRDefault="00D251C3" w:rsidP="003F7BB9">
      <w:pPr>
        <w:pStyle w:val="ListBullet"/>
      </w:pPr>
      <w:r w:rsidRPr="003F7BB9">
        <w:t>It is a specific condition of registration for biosimilar medicines that the Product</w:t>
      </w:r>
      <w:r w:rsidR="00367D10" w:rsidRPr="003F7BB9">
        <w:t xml:space="preserve"> </w:t>
      </w:r>
      <w:r w:rsidRPr="003F7BB9">
        <w:t>Information and Consumer Medicine Information documents be updated within ONE</w:t>
      </w:r>
      <w:r w:rsidR="00367D10" w:rsidRPr="003F7BB9">
        <w:t xml:space="preserve"> </w:t>
      </w:r>
      <w:r w:rsidRPr="003F7BB9">
        <w:t>month of safety-related changes made by the reference product. It is your</w:t>
      </w:r>
      <w:r w:rsidR="00367D10" w:rsidRPr="003F7BB9">
        <w:t xml:space="preserve"> </w:t>
      </w:r>
      <w:r w:rsidRPr="003F7BB9">
        <w:t xml:space="preserve">responsibility to routinely check the TGA website at </w:t>
      </w:r>
      <w:hyperlink r:id="rId41" w:history="1">
        <w:r w:rsidR="0062442F" w:rsidRPr="003F7BB9">
          <w:t>www.ebs.tga.gov.au</w:t>
        </w:r>
      </w:hyperlink>
      <w:r w:rsidR="0062442F" w:rsidRPr="003F7BB9">
        <w:t xml:space="preserve"> </w:t>
      </w:r>
      <w:r w:rsidRPr="003F7BB9">
        <w:t xml:space="preserve"> for any</w:t>
      </w:r>
      <w:r w:rsidR="00367D10" w:rsidRPr="003F7BB9">
        <w:t xml:space="preserve"> </w:t>
      </w:r>
      <w:r w:rsidRPr="003F7BB9">
        <w:t xml:space="preserve">updates to the innovator Product </w:t>
      </w:r>
      <w:r w:rsidR="0076401B" w:rsidRPr="003F7BB9">
        <w:t>I</w:t>
      </w:r>
      <w:r w:rsidRPr="003F7BB9">
        <w:t>nformation.</w:t>
      </w:r>
    </w:p>
    <w:p w14:paraId="0B9AA291" w14:textId="4498F87A" w:rsidR="00D251C3" w:rsidRDefault="00D251C3" w:rsidP="00041F37">
      <w:pPr>
        <w:pStyle w:val="ListBullet"/>
        <w:rPr>
          <w:rFonts w:ascii="CIDFont+F2" w:hAnsi="CIDFont+F2" w:cs="CIDFont+F2"/>
          <w:color w:val="000000"/>
          <w:sz w:val="24"/>
          <w:szCs w:val="24"/>
        </w:rPr>
      </w:pPr>
      <w:r w:rsidRPr="00367D10">
        <w:t>Laboratory testing &amp; compliance with Certified Product Details (CPD</w:t>
      </w:r>
      <w:r>
        <w:rPr>
          <w:rFonts w:ascii="CIDFont+F2" w:hAnsi="CIDFont+F2" w:cs="CIDFont+F2"/>
          <w:color w:val="000000"/>
          <w:sz w:val="24"/>
          <w:szCs w:val="24"/>
        </w:rPr>
        <w:t>)</w:t>
      </w:r>
    </w:p>
    <w:p w14:paraId="214C1B73" w14:textId="77777777" w:rsidR="003D6253" w:rsidRDefault="00D251C3" w:rsidP="00496B6C">
      <w:pPr>
        <w:pStyle w:val="ListBullet2"/>
      </w:pPr>
      <w:r w:rsidRPr="00367D10">
        <w:t>All batches of</w:t>
      </w:r>
      <w:r w:rsidR="00367D10" w:rsidRPr="00367D10">
        <w:t xml:space="preserve"> </w:t>
      </w:r>
    </w:p>
    <w:p w14:paraId="78CBB8DA" w14:textId="77777777" w:rsidR="00496B6C" w:rsidRDefault="00250BA6" w:rsidP="00496B6C">
      <w:pPr>
        <w:pStyle w:val="ListBullet3"/>
      </w:pPr>
      <w:r w:rsidRPr="00367D10">
        <w:t>Stoboclo</w:t>
      </w:r>
      <w:r w:rsidR="00D251C3" w:rsidRPr="00367D10">
        <w:t xml:space="preserve"> denosumab 60 mg/mL solution for injection pre-filled syringe</w:t>
      </w:r>
      <w:r w:rsidR="00367D10" w:rsidRPr="00367D10">
        <w:t xml:space="preserve"> </w:t>
      </w:r>
    </w:p>
    <w:p w14:paraId="3FA7F14F" w14:textId="77777777" w:rsidR="00A61A9B" w:rsidRDefault="00250BA6" w:rsidP="00496B6C">
      <w:pPr>
        <w:pStyle w:val="ListBullet3"/>
      </w:pPr>
      <w:r w:rsidRPr="00367D10">
        <w:t>Osenvelt</w:t>
      </w:r>
      <w:r w:rsidR="00D251C3" w:rsidRPr="00367D10">
        <w:t xml:space="preserve"> denosumab 70 mg/mL solution for injection vial</w:t>
      </w:r>
      <w:r w:rsidR="00367D10" w:rsidRPr="00367D10">
        <w:t xml:space="preserve"> </w:t>
      </w:r>
    </w:p>
    <w:p w14:paraId="483BDC10" w14:textId="566A1B58" w:rsidR="00D251C3" w:rsidRPr="00367D10" w:rsidRDefault="00D251C3" w:rsidP="00A61A9B">
      <w:pPr>
        <w:pStyle w:val="ListBullet3"/>
        <w:numPr>
          <w:ilvl w:val="0"/>
          <w:numId w:val="0"/>
        </w:numPr>
        <w:ind w:left="851"/>
      </w:pPr>
      <w:r w:rsidRPr="00367D10">
        <w:t>supplied in Australia must comply with the product details and specifications</w:t>
      </w:r>
      <w:r w:rsidR="00367D10" w:rsidRPr="00367D10">
        <w:t xml:space="preserve"> </w:t>
      </w:r>
      <w:r w:rsidRPr="00367D10">
        <w:t>approved during evaluation and detailed in the Certified Product Details (CPD).</w:t>
      </w:r>
    </w:p>
    <w:p w14:paraId="1B6D8809" w14:textId="009FC118" w:rsidR="00D251C3" w:rsidRPr="00367D10" w:rsidRDefault="00D251C3" w:rsidP="00367D10">
      <w:pPr>
        <w:pStyle w:val="ListBullet2"/>
      </w:pPr>
      <w:r w:rsidRPr="00367D10">
        <w:t>When requested by the TGA, the Sponsor should be prepared to provide product</w:t>
      </w:r>
      <w:r w:rsidR="00367D10" w:rsidRPr="00367D10">
        <w:t xml:space="preserve"> </w:t>
      </w:r>
      <w:r w:rsidRPr="00367D10">
        <w:t>samples, specified reference materials and documentary evidence to enable the TGA</w:t>
      </w:r>
      <w:r w:rsidR="00367D10" w:rsidRPr="00367D10">
        <w:t xml:space="preserve"> </w:t>
      </w:r>
      <w:r w:rsidRPr="00367D10">
        <w:t>to conduct laboratory testing on the Product. Outcomes of laboratory testing are</w:t>
      </w:r>
      <w:r w:rsidR="00367D10" w:rsidRPr="00367D10">
        <w:t xml:space="preserve"> </w:t>
      </w:r>
      <w:r w:rsidRPr="00367D10">
        <w:t>published biannually in the TGA Database of Laboratory Testing Results</w:t>
      </w:r>
      <w:r w:rsidR="00367D10" w:rsidRPr="00367D10">
        <w:t xml:space="preserve">. </w:t>
      </w:r>
      <w:hyperlink r:id="rId42" w:history="1">
        <w:r w:rsidR="003A5136" w:rsidRPr="00D80750">
          <w:rPr>
            <w:rStyle w:val="Hyperlink"/>
          </w:rPr>
          <w:t>http://www.tga.gov.au/ws-labs-index</w:t>
        </w:r>
      </w:hyperlink>
      <w:r w:rsidR="003A5136">
        <w:t xml:space="preserve"> </w:t>
      </w:r>
      <w:r w:rsidRPr="00367D10">
        <w:t>and periodically in testing reports on the TGA</w:t>
      </w:r>
      <w:r w:rsidR="00367D10" w:rsidRPr="00367D10">
        <w:t xml:space="preserve"> </w:t>
      </w:r>
      <w:r w:rsidRPr="00367D10">
        <w:t>website.</w:t>
      </w:r>
    </w:p>
    <w:p w14:paraId="540876EB" w14:textId="59BBE194" w:rsidR="00D251C3" w:rsidRPr="00EF7329" w:rsidRDefault="00D251C3" w:rsidP="00EF7329">
      <w:pPr>
        <w:pStyle w:val="ListBullet"/>
      </w:pPr>
      <w:r w:rsidRPr="00EF7329">
        <w:t>Certified Product Details</w:t>
      </w:r>
    </w:p>
    <w:p w14:paraId="0C166361" w14:textId="48AD7C6B" w:rsidR="00D251C3" w:rsidRDefault="00D251C3" w:rsidP="003A5136">
      <w:pPr>
        <w:ind w:left="360"/>
      </w:pPr>
      <w:r>
        <w:t>The Certified Product Details (CPD), as described in Guidance 7: Certified Product</w:t>
      </w:r>
      <w:r w:rsidR="00367D10">
        <w:t xml:space="preserve"> </w:t>
      </w:r>
      <w:r>
        <w:t>Details of the Australian Regulatory Guidelines for Prescription Medicines (ARGPM),</w:t>
      </w:r>
      <w:r w:rsidR="00367D10">
        <w:t xml:space="preserve"> </w:t>
      </w:r>
      <w:r>
        <w:t>in PDF format, for the above products should be provided upon registration of these</w:t>
      </w:r>
      <w:r w:rsidR="00367D10">
        <w:t xml:space="preserve"> </w:t>
      </w:r>
      <w:r>
        <w:t>therapeutic goods. In addition, an updated CPD should be provided when changes to</w:t>
      </w:r>
      <w:r w:rsidR="00367D10">
        <w:t xml:space="preserve"> </w:t>
      </w:r>
      <w:r>
        <w:t>finished product specifications and test methods are approved in a Category 3</w:t>
      </w:r>
      <w:r w:rsidR="00367D10">
        <w:t xml:space="preserve"> </w:t>
      </w:r>
      <w:r>
        <w:t>application or notified through a self-assessable change.</w:t>
      </w:r>
    </w:p>
    <w:p w14:paraId="054C32C8" w14:textId="0CEC7D6F" w:rsidR="00D251C3" w:rsidRPr="00F73346" w:rsidRDefault="00D251C3" w:rsidP="009E5233">
      <w:pPr>
        <w:ind w:left="360"/>
      </w:pPr>
      <w:r>
        <w:rPr>
          <w:color w:val="000000"/>
        </w:rPr>
        <w:t>A template for preparation of CPD for biological prescription medicines can be</w:t>
      </w:r>
      <w:r w:rsidR="00367D10">
        <w:rPr>
          <w:color w:val="000000"/>
        </w:rPr>
        <w:t xml:space="preserve"> </w:t>
      </w:r>
      <w:r>
        <w:rPr>
          <w:color w:val="000000"/>
        </w:rPr>
        <w:t>obtained from the TGA website</w:t>
      </w:r>
      <w:r w:rsidR="00367D10">
        <w:rPr>
          <w:color w:val="000000"/>
        </w:rPr>
        <w:t xml:space="preserve"> </w:t>
      </w:r>
      <w:r>
        <w:rPr>
          <w:color w:val="000000"/>
        </w:rPr>
        <w:t>[for the form]</w:t>
      </w:r>
      <w:r w:rsidR="009E5233">
        <w:rPr>
          <w:color w:val="000000"/>
        </w:rPr>
        <w:t xml:space="preserve"> </w:t>
      </w:r>
      <w:hyperlink r:id="rId43" w:history="1">
        <w:r w:rsidR="009E5233" w:rsidRPr="00D80750">
          <w:rPr>
            <w:rStyle w:val="Hyperlink"/>
          </w:rPr>
          <w:t>https://www.tga.gov.au/form/certified-product-details-cpd-biologicalprescription-medicines</w:t>
        </w:r>
      </w:hyperlink>
      <w:r w:rsidR="000E626B">
        <w:rPr>
          <w:color w:val="000000"/>
        </w:rPr>
        <w:t xml:space="preserve"> and </w:t>
      </w:r>
      <w:r>
        <w:rPr>
          <w:color w:val="000000"/>
        </w:rPr>
        <w:t xml:space="preserve">[for the CPD guidance] </w:t>
      </w:r>
      <w:hyperlink r:id="rId44" w:history="1">
        <w:r w:rsidR="000E626B" w:rsidRPr="00D80750">
          <w:rPr>
            <w:rStyle w:val="Hyperlink"/>
          </w:rPr>
          <w:t>https://www.tga.gov.au/guidance-7-certified-product-details</w:t>
        </w:r>
      </w:hyperlink>
      <w:r w:rsidR="000E626B">
        <w:t xml:space="preserve"> </w:t>
      </w:r>
    </w:p>
    <w:p w14:paraId="0F9C1952" w14:textId="46BD475E" w:rsidR="00BA657C" w:rsidRPr="00BA657C" w:rsidRDefault="00BA657C" w:rsidP="00E74D4F">
      <w:pPr>
        <w:pStyle w:val="Heading3"/>
      </w:pPr>
      <w:bookmarkStart w:id="80" w:name="_Toc215235766"/>
      <w:bookmarkStart w:id="81" w:name="_Toc196738290"/>
      <w:r w:rsidRPr="00BA657C">
        <w:t>Product Information and Consumer Medicine Information</w:t>
      </w:r>
      <w:bookmarkEnd w:id="80"/>
      <w:r w:rsidRPr="00BA657C">
        <w:t xml:space="preserve"> </w:t>
      </w:r>
      <w:bookmarkEnd w:id="81"/>
    </w:p>
    <w:p w14:paraId="5F276616" w14:textId="6667B73D" w:rsidR="004D0933" w:rsidRPr="004D0933" w:rsidRDefault="004D0933" w:rsidP="004D0933">
      <w:bookmarkStart w:id="82" w:name="_Hlk200021736"/>
      <w:r w:rsidRPr="004D0933">
        <w:t xml:space="preserve">For the most recent Product Information (PI) and Consumer Medicine Information (CMI), please refer to the TGA </w:t>
      </w:r>
      <w:hyperlink r:id="rId45" w:history="1">
        <w:r w:rsidRPr="004D0933">
          <w:rPr>
            <w:rStyle w:val="Hyperlink"/>
          </w:rPr>
          <w:t>PI/CMI search facility.</w:t>
        </w:r>
      </w:hyperlink>
    </w:p>
    <w:bookmarkEnd w:id="82"/>
    <w:p w14:paraId="53357BF3" w14:textId="276457B5" w:rsidR="00C22214" w:rsidRDefault="00C22214" w:rsidP="00C22214">
      <w:pPr>
        <w:rPr>
          <w:lang w:eastAsia="ja-JP"/>
        </w:rPr>
        <w:sectPr w:rsidR="00C22214" w:rsidSect="007452E8">
          <w:headerReference w:type="default" r:id="rId46"/>
          <w:footerReference w:type="default" r:id="rId47"/>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6"/>
          <w:bookmarkEnd w:id="7"/>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48" w:history="1">
              <w:r w:rsidRPr="00215D48">
                <w:rPr>
                  <w:rStyle w:val="Hyperlink"/>
                </w:rPr>
                <w:t>info@tga.gov.au</w:t>
              </w:r>
            </w:hyperlink>
            <w:r w:rsidRPr="00215D48">
              <w:t xml:space="preserve">  Phone: 1800 020 653  Fax: </w:t>
            </w:r>
            <w:r w:rsidRPr="00BA0DFC">
              <w:t>02 6203 1605</w:t>
            </w:r>
          </w:p>
          <w:p w14:paraId="4533D80F" w14:textId="1519D7A3" w:rsidR="00F02AEC" w:rsidRPr="00215D48" w:rsidRDefault="00F02AEC">
            <w:pPr>
              <w:pStyle w:val="Address"/>
              <w:jc w:val="center"/>
              <w:rPr>
                <w:rStyle w:val="Hyperlink"/>
                <w:b/>
                <w:color w:val="auto"/>
                <w:sz w:val="22"/>
              </w:rPr>
            </w:pPr>
            <w:hyperlink r:id="rId49" w:history="1">
              <w:r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50"/>
      <w:footerReference w:type="first" r:id="rId51"/>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96DFB" w14:textId="77777777" w:rsidR="00D401B9" w:rsidRDefault="00D401B9" w:rsidP="00F02AEC">
      <w:pPr>
        <w:spacing w:after="0" w:line="240" w:lineRule="auto"/>
      </w:pPr>
      <w:r>
        <w:separator/>
      </w:r>
    </w:p>
  </w:endnote>
  <w:endnote w:type="continuationSeparator" w:id="0">
    <w:p w14:paraId="1057F288" w14:textId="77777777" w:rsidR="00D401B9" w:rsidRDefault="00D401B9"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IDFont+F3">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D62CD" w14:textId="1452B786" w:rsidR="00C5055C" w:rsidRDefault="00C5055C">
    <w:pPr>
      <w:pStyle w:val="Footer"/>
    </w:pPr>
    <w:r>
      <w:rPr>
        <w:noProof/>
      </w:rPr>
      <mc:AlternateContent>
        <mc:Choice Requires="wps">
          <w:drawing>
            <wp:anchor distT="0" distB="0" distL="0" distR="0" simplePos="0" relativeHeight="251667456" behindDoc="0" locked="0" layoutInCell="1" allowOverlap="1" wp14:anchorId="445748A0" wp14:editId="5173761F">
              <wp:simplePos x="635" y="635"/>
              <wp:positionH relativeFrom="page">
                <wp:align>center</wp:align>
              </wp:positionH>
              <wp:positionV relativeFrom="page">
                <wp:align>bottom</wp:align>
              </wp:positionV>
              <wp:extent cx="551815" cy="391160"/>
              <wp:effectExtent l="0" t="0" r="635" b="0"/>
              <wp:wrapNone/>
              <wp:docPr id="104832474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313AA30" w14:textId="2474A44B" w:rsidR="00C5055C" w:rsidRPr="00C5055C" w:rsidRDefault="00C5055C" w:rsidP="00C5055C">
                          <w:pPr>
                            <w:spacing w:after="0"/>
                            <w:rPr>
                              <w:rFonts w:ascii="Calibri" w:eastAsia="Calibri" w:hAnsi="Calibri" w:cs="Calibri"/>
                              <w:noProof/>
                              <w:color w:val="FF0000"/>
                              <w:sz w:val="24"/>
                              <w:szCs w:val="24"/>
                            </w:rPr>
                          </w:pPr>
                          <w:r w:rsidRPr="00C5055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5748A0" id="_x0000_t202" coordsize="21600,21600" o:spt="202" path="m,l,21600r21600,l21600,xe">
              <v:stroke joinstyle="miter"/>
              <v:path gradientshapeok="t" o:connecttype="rect"/>
            </v:shapetype>
            <v:shape id="Text Box 7" o:spid="_x0000_s1028" type="#_x0000_t202" alt="OFFICIAL" style="position:absolute;margin-left:0;margin-top:0;width:43.45pt;height:30.8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0313AA30" w14:textId="2474A44B" w:rsidR="00C5055C" w:rsidRPr="00C5055C" w:rsidRDefault="00C5055C" w:rsidP="00C5055C">
                    <w:pPr>
                      <w:spacing w:after="0"/>
                      <w:rPr>
                        <w:rFonts w:ascii="Calibri" w:eastAsia="Calibri" w:hAnsi="Calibri" w:cs="Calibri"/>
                        <w:noProof/>
                        <w:color w:val="FF0000"/>
                        <w:sz w:val="24"/>
                        <w:szCs w:val="24"/>
                      </w:rPr>
                    </w:pPr>
                    <w:r w:rsidRPr="00C5055C">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475305DD" w:rsidR="007452E8" w:rsidRDefault="00C5055C" w:rsidP="007452E8">
          <w:pPr>
            <w:pStyle w:val="Footer"/>
          </w:pPr>
          <w:r>
            <w:rPr>
              <w:noProof/>
            </w:rPr>
            <mc:AlternateContent>
              <mc:Choice Requires="wps">
                <w:drawing>
                  <wp:anchor distT="0" distB="0" distL="0" distR="0" simplePos="0" relativeHeight="251668480" behindDoc="0" locked="0" layoutInCell="1" allowOverlap="1" wp14:anchorId="5714D017" wp14:editId="57BA7E88">
                    <wp:simplePos x="635" y="635"/>
                    <wp:positionH relativeFrom="page">
                      <wp:align>center</wp:align>
                    </wp:positionH>
                    <wp:positionV relativeFrom="page">
                      <wp:align>bottom</wp:align>
                    </wp:positionV>
                    <wp:extent cx="551815" cy="391160"/>
                    <wp:effectExtent l="0" t="0" r="635" b="0"/>
                    <wp:wrapNone/>
                    <wp:docPr id="148376421"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ECF4C15" w14:textId="31A69F24" w:rsidR="00C5055C" w:rsidRPr="00C5055C" w:rsidRDefault="00C5055C" w:rsidP="00C5055C">
                                <w:pPr>
                                  <w:spacing w:after="0"/>
                                  <w:rPr>
                                    <w:rFonts w:ascii="Calibri" w:eastAsia="Calibri" w:hAnsi="Calibri" w:cs="Calibri"/>
                                    <w:noProof/>
                                    <w:color w:val="FF0000"/>
                                    <w:sz w:val="24"/>
                                    <w:szCs w:val="24"/>
                                  </w:rPr>
                                </w:pPr>
                                <w:r w:rsidRPr="00C5055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14D017" id="_x0000_t202" coordsize="21600,21600" o:spt="202" path="m,l,21600r21600,l21600,xe">
                    <v:stroke joinstyle="miter"/>
                    <v:path gradientshapeok="t" o:connecttype="rect"/>
                  </v:shapetype>
                  <v:shape id="Text Box 8" o:spid="_x0000_s1029" type="#_x0000_t202" alt="OFFICIAL" style="position:absolute;margin-left:0;margin-top:0;width:43.45pt;height:30.8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FI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1HycfgP1gZZCOPLtnVy21HolfHgRSATTHiTa&#10;8EyHNtBXHE4WZw3gz3/5Yz7hTlHOehJMxS0pmjPz3RIfUVujgaOxSUZxm09zittd9wAkw4JehJPJ&#10;JC8GM5oaoXsjOS9iIwoJK6ldxTej+RCOyqXnINVikZJIRk6ElV07GUtHuCKWr8ObQHcCPBBTTzCq&#10;SZTvcD/mxpveLXaB0E+kRGiPQJ4QJwkmrk7PJWr89/+UdXnU81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fJeFIDgIAABwE&#10;AAAOAAAAAAAAAAAAAAAAAC4CAABkcnMvZTJvRG9jLnhtbFBLAQItABQABgAIAAAAIQDLo44Q2gAA&#10;AAMBAAAPAAAAAAAAAAAAAAAAAGgEAABkcnMvZG93bnJldi54bWxQSwUGAAAAAAQABADzAAAAbwUA&#10;AAAA&#10;" filled="f" stroked="f">
                    <v:textbox style="mso-fit-shape-to-text:t" inset="0,0,0,15pt">
                      <w:txbxContent>
                        <w:p w14:paraId="3ECF4C15" w14:textId="31A69F24" w:rsidR="00C5055C" w:rsidRPr="00C5055C" w:rsidRDefault="00C5055C" w:rsidP="00C5055C">
                          <w:pPr>
                            <w:spacing w:after="0"/>
                            <w:rPr>
                              <w:rFonts w:ascii="Calibri" w:eastAsia="Calibri" w:hAnsi="Calibri" w:cs="Calibri"/>
                              <w:noProof/>
                              <w:color w:val="FF0000"/>
                              <w:sz w:val="24"/>
                              <w:szCs w:val="24"/>
                            </w:rPr>
                          </w:pPr>
                          <w:r w:rsidRPr="00C5055C">
                            <w:rPr>
                              <w:rFonts w:ascii="Calibri" w:eastAsia="Calibri" w:hAnsi="Calibri" w:cs="Calibri"/>
                              <w:noProof/>
                              <w:color w:val="FF0000"/>
                              <w:sz w:val="24"/>
                              <w:szCs w:val="24"/>
                            </w:rPr>
                            <w:t>OFFICIAL</w:t>
                          </w:r>
                        </w:p>
                      </w:txbxContent>
                    </v:textbox>
                    <w10:wrap anchorx="page" anchory="page"/>
                  </v:shape>
                </w:pict>
              </mc:Fallback>
            </mc:AlternateContent>
          </w: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9AA5AB6" w:rsidR="007452E8" w:rsidRDefault="00C5055C" w:rsidP="007452E8">
    <w:pPr>
      <w:pStyle w:val="Footer"/>
      <w:ind w:left="-1701"/>
    </w:pPr>
    <w:r>
      <w:rPr>
        <w:noProof/>
      </w:rPr>
      <mc:AlternateContent>
        <mc:Choice Requires="wps">
          <w:drawing>
            <wp:anchor distT="0" distB="0" distL="0" distR="0" simplePos="0" relativeHeight="251666432" behindDoc="0" locked="0" layoutInCell="1" allowOverlap="1" wp14:anchorId="1766F241" wp14:editId="295E414B">
              <wp:simplePos x="635" y="635"/>
              <wp:positionH relativeFrom="page">
                <wp:align>center</wp:align>
              </wp:positionH>
              <wp:positionV relativeFrom="page">
                <wp:align>bottom</wp:align>
              </wp:positionV>
              <wp:extent cx="551815" cy="391160"/>
              <wp:effectExtent l="0" t="0" r="635" b="0"/>
              <wp:wrapNone/>
              <wp:docPr id="10794494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22D9890" w14:textId="7A428328" w:rsidR="00C5055C" w:rsidRPr="00C5055C" w:rsidRDefault="00C5055C" w:rsidP="00C5055C">
                          <w:pPr>
                            <w:spacing w:after="0"/>
                            <w:rPr>
                              <w:rFonts w:ascii="Calibri" w:eastAsia="Calibri" w:hAnsi="Calibri" w:cs="Calibri"/>
                              <w:noProof/>
                              <w:color w:val="FF0000"/>
                              <w:sz w:val="24"/>
                              <w:szCs w:val="24"/>
                            </w:rPr>
                          </w:pPr>
                          <w:r w:rsidRPr="00C5055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66F241" id="_x0000_t202" coordsize="21600,21600" o:spt="202" path="m,l,21600r21600,l21600,xe">
              <v:stroke joinstyle="miter"/>
              <v:path gradientshapeok="t" o:connecttype="rect"/>
            </v:shapetype>
            <v:shape id="Text Box 6" o:spid="_x0000_s1031" type="#_x0000_t202" alt="OFFICIAL" style="position:absolute;left:0;text-align:left;margin-left:0;margin-top:0;width:43.45pt;height:30.8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7F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NMg4/QbqAy2FcOTbO7lsqfVK+PAikAimPUi0&#10;4ZkObaCvOJwszhrAn//yx3zCnaKc9SSYiltSNGfmuyU+orZGA0djk4ziNp/mFLe77gFIhgW9CCeT&#10;SV4MZjQ1QvdGcl7ERhQSVlK7im9G8yEclUvPQarFIiWRjJwIK7t2MpaOcEUsX4c3ge4EeCCmnmBU&#10;kyjf4X7MjTe9W+wCoZ9IidAegTwhThJMXJ2eS9T47/8p6/Ko57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xpk7FDgIAABwE&#10;AAAOAAAAAAAAAAAAAAAAAC4CAABkcnMvZTJvRG9jLnhtbFBLAQItABQABgAIAAAAIQDLo44Q2gAA&#10;AAMBAAAPAAAAAAAAAAAAAAAAAGgEAABkcnMvZG93bnJldi54bWxQSwUGAAAAAAQABADzAAAAbwUA&#10;AAAA&#10;" filled="f" stroked="f">
              <v:textbox style="mso-fit-shape-to-text:t" inset="0,0,0,15pt">
                <w:txbxContent>
                  <w:p w14:paraId="122D9890" w14:textId="7A428328" w:rsidR="00C5055C" w:rsidRPr="00C5055C" w:rsidRDefault="00C5055C" w:rsidP="00C5055C">
                    <w:pPr>
                      <w:spacing w:after="0"/>
                      <w:rPr>
                        <w:rFonts w:ascii="Calibri" w:eastAsia="Calibri" w:hAnsi="Calibri" w:cs="Calibri"/>
                        <w:noProof/>
                        <w:color w:val="FF0000"/>
                        <w:sz w:val="24"/>
                        <w:szCs w:val="24"/>
                      </w:rPr>
                    </w:pPr>
                    <w:r w:rsidRPr="00C5055C">
                      <w:rPr>
                        <w:rFonts w:ascii="Calibri" w:eastAsia="Calibri" w:hAnsi="Calibri" w:cs="Calibri"/>
                        <w:noProof/>
                        <w:color w:val="FF0000"/>
                        <w:sz w:val="24"/>
                        <w:szCs w:val="24"/>
                      </w:rPr>
                      <w:t>OFFICIAL</w:t>
                    </w:r>
                  </w:p>
                </w:txbxContent>
              </v:textbox>
              <w10:wrap anchorx="page" anchory="page"/>
            </v:shape>
          </w:pict>
        </mc:Fallback>
      </mc:AlternateContent>
    </w:r>
    <w:r w:rsidR="007452E8"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27986C3C" w:rsidR="007452E8" w:rsidRPr="004A3084" w:rsidRDefault="007452E8" w:rsidP="007452E8">
          <w:pPr>
            <w:pStyle w:val="Footer"/>
          </w:pPr>
          <w:r w:rsidRPr="00487162">
            <w:t>AusPA</w:t>
          </w:r>
          <w:r>
            <w:t xml:space="preserve">R </w:t>
          </w:r>
          <w:r w:rsidR="00960876">
            <w:t>–</w:t>
          </w:r>
          <w:r>
            <w:t xml:space="preserve"> </w:t>
          </w:r>
          <w:r w:rsidR="00960876">
            <w:t>Osenvelt, Stoboclo (denosumab)</w:t>
          </w:r>
          <w:r w:rsidRPr="00460036">
            <w:t xml:space="preserve"> </w:t>
          </w:r>
          <w:r w:rsidR="00A44E89">
            <w:t>– Celltrion Health</w:t>
          </w:r>
          <w:r w:rsidR="00834F3A">
            <w:t>C</w:t>
          </w:r>
          <w:r w:rsidR="00A44E89">
            <w:t>are Australia Pty Ltd</w:t>
          </w:r>
          <w:r>
            <w:t xml:space="preserve"> Sponsor - PM-202</w:t>
          </w:r>
          <w:r w:rsidR="00834F3A">
            <w:t>4</w:t>
          </w:r>
          <w:r w:rsidRPr="00487162">
            <w:t>-</w:t>
          </w:r>
          <w:r w:rsidR="00834F3A">
            <w:t>00632-1-5</w:t>
          </w:r>
          <w:r w:rsidR="00322B26">
            <w:t xml:space="preserve"> </w:t>
          </w:r>
          <w:r w:rsidR="00BF437B">
            <w:t xml:space="preserve">Final </w:t>
          </w:r>
          <w:r w:rsidR="004B0D40">
            <w:t>1 December 2025</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6D6B44">
                <w:fldChar w:fldCharType="begin"/>
              </w:r>
              <w:r w:rsidR="006D6B44">
                <w:instrText xml:space="preserve"> NUMPAGES  </w:instrText>
              </w:r>
              <w:r w:rsidR="006D6B44">
                <w:fldChar w:fldCharType="separate"/>
              </w:r>
              <w:r w:rsidR="006D6B44">
                <w:rPr>
                  <w:noProof/>
                </w:rPr>
                <w:t>17</w:t>
              </w:r>
              <w:r w:rsidR="006D6B44">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01FC140C" w:rsidR="007452E8" w:rsidRPr="008E3C43" w:rsidRDefault="00C5055C" w:rsidP="007452E8">
    <w:pPr>
      <w:pStyle w:val="Footer"/>
    </w:pPr>
    <w:r>
      <w:rPr>
        <w:noProof/>
      </w:rPr>
      <mc:AlternateContent>
        <mc:Choice Requires="wps">
          <w:drawing>
            <wp:anchor distT="0" distB="0" distL="0" distR="0" simplePos="0" relativeHeight="251670528" behindDoc="0" locked="0" layoutInCell="1" allowOverlap="1" wp14:anchorId="3E99BE97" wp14:editId="45A9B45A">
              <wp:simplePos x="635" y="635"/>
              <wp:positionH relativeFrom="page">
                <wp:align>center</wp:align>
              </wp:positionH>
              <wp:positionV relativeFrom="page">
                <wp:align>bottom</wp:align>
              </wp:positionV>
              <wp:extent cx="551815" cy="391160"/>
              <wp:effectExtent l="0" t="0" r="635" b="0"/>
              <wp:wrapNone/>
              <wp:docPr id="57382644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E23C8E2" w14:textId="7DDE6302" w:rsidR="00C5055C" w:rsidRPr="00C5055C" w:rsidRDefault="00C5055C" w:rsidP="00C5055C">
                          <w:pPr>
                            <w:spacing w:after="0"/>
                            <w:rPr>
                              <w:rFonts w:ascii="Calibri" w:eastAsia="Calibri" w:hAnsi="Calibri" w:cs="Calibri"/>
                              <w:noProof/>
                              <w:color w:val="FF0000"/>
                              <w:sz w:val="24"/>
                              <w:szCs w:val="24"/>
                            </w:rPr>
                          </w:pPr>
                          <w:r w:rsidRPr="00C5055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99BE97" id="_x0000_t202" coordsize="21600,21600" o:spt="202" path="m,l,21600r21600,l21600,xe">
              <v:stroke joinstyle="miter"/>
              <v:path gradientshapeok="t" o:connecttype="rect"/>
            </v:shapetype>
            <v:shape id="Text Box 10" o:spid="_x0000_s1034" type="#_x0000_t202" alt="OFFICIAL" style="position:absolute;margin-left:0;margin-top:0;width:43.45pt;height:30.8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CBGdI4DgIAABwE&#10;AAAOAAAAAAAAAAAAAAAAAC4CAABkcnMvZTJvRG9jLnhtbFBLAQItABQABgAIAAAAIQDLo44Q2gAA&#10;AAMBAAAPAAAAAAAAAAAAAAAAAGgEAABkcnMvZG93bnJldi54bWxQSwUGAAAAAAQABADzAAAAbwUA&#10;AAAA&#10;" filled="f" stroked="f">
              <v:textbox style="mso-fit-shape-to-text:t" inset="0,0,0,15pt">
                <w:txbxContent>
                  <w:p w14:paraId="3E23C8E2" w14:textId="7DDE6302" w:rsidR="00C5055C" w:rsidRPr="00C5055C" w:rsidRDefault="00C5055C" w:rsidP="00C5055C">
                    <w:pPr>
                      <w:spacing w:after="0"/>
                      <w:rPr>
                        <w:rFonts w:ascii="Calibri" w:eastAsia="Calibri" w:hAnsi="Calibri" w:cs="Calibri"/>
                        <w:noProof/>
                        <w:color w:val="FF0000"/>
                        <w:sz w:val="24"/>
                        <w:szCs w:val="24"/>
                      </w:rPr>
                    </w:pPr>
                    <w:r w:rsidRPr="00C5055C">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C4AC6" w14:textId="77777777" w:rsidR="00D401B9" w:rsidRDefault="00D401B9" w:rsidP="00F02AEC">
      <w:pPr>
        <w:spacing w:after="0" w:line="240" w:lineRule="auto"/>
      </w:pPr>
      <w:r>
        <w:separator/>
      </w:r>
    </w:p>
  </w:footnote>
  <w:footnote w:type="continuationSeparator" w:id="0">
    <w:p w14:paraId="305395F0" w14:textId="77777777" w:rsidR="00D401B9" w:rsidRDefault="00D401B9" w:rsidP="00F02AEC">
      <w:pPr>
        <w:spacing w:after="0" w:line="240" w:lineRule="auto"/>
      </w:pPr>
      <w:r>
        <w:continuationSeparator/>
      </w:r>
    </w:p>
  </w:footnote>
  <w:footnote w:id="1">
    <w:p w14:paraId="567FFF9D" w14:textId="641B131B" w:rsidR="00B109BD" w:rsidRPr="00B109BD" w:rsidRDefault="00B109BD">
      <w:pPr>
        <w:pStyle w:val="FootnoteText"/>
        <w:rPr>
          <w:iCs/>
        </w:rPr>
      </w:pPr>
      <w:r>
        <w:rPr>
          <w:rStyle w:val="FootnoteReference"/>
        </w:rPr>
        <w:footnoteRef/>
      </w:r>
      <w:r>
        <w:t xml:space="preserve"> </w:t>
      </w:r>
      <w:r w:rsidRPr="00B109BD">
        <w:rPr>
          <w:iCs/>
        </w:rPr>
        <w:t xml:space="preserve">Prolia </w:t>
      </w:r>
      <w:r w:rsidR="00842A0B">
        <w:rPr>
          <w:iCs/>
        </w:rPr>
        <w:t>(</w:t>
      </w:r>
      <w:r w:rsidR="00842A0B" w:rsidRPr="00842A0B">
        <w:rPr>
          <w:b/>
          <w:bCs/>
          <w:iCs/>
        </w:rPr>
        <w:t>ARTG ID 159322</w:t>
      </w:r>
      <w:r w:rsidR="00842A0B">
        <w:rPr>
          <w:b/>
          <w:bCs/>
          <w:iCs/>
        </w:rPr>
        <w:t xml:space="preserve">) </w:t>
      </w:r>
      <w:r w:rsidRPr="00B109BD">
        <w:rPr>
          <w:iCs/>
        </w:rPr>
        <w:t xml:space="preserve">was first registered in Australia on </w:t>
      </w:r>
      <w:r w:rsidR="00842A0B" w:rsidRPr="00842A0B">
        <w:rPr>
          <w:iCs/>
        </w:rPr>
        <w:t>22 June 2010</w:t>
      </w:r>
      <w:r w:rsidR="004A3D2D">
        <w:rPr>
          <w:iCs/>
        </w:rPr>
        <w:t>.</w:t>
      </w:r>
      <w:r w:rsidR="00842A0B" w:rsidRPr="00842A0B">
        <w:rPr>
          <w:iCs/>
        </w:rPr>
        <w:t xml:space="preserve"> </w:t>
      </w:r>
    </w:p>
  </w:footnote>
  <w:footnote w:id="2">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3">
    <w:p w14:paraId="3297CC28" w14:textId="7D05294B" w:rsidR="006564D2" w:rsidRDefault="006564D2">
      <w:pPr>
        <w:pStyle w:val="FootnoteText"/>
      </w:pPr>
      <w:r>
        <w:rPr>
          <w:rStyle w:val="FootnoteReference"/>
        </w:rPr>
        <w:footnoteRef/>
      </w:r>
      <w:r>
        <w:t xml:space="preserve"> </w:t>
      </w:r>
      <w:r w:rsidR="00D4203B">
        <w:t>Xgeva (</w:t>
      </w:r>
      <w:r w:rsidR="00D4203B" w:rsidRPr="00D4203B">
        <w:rPr>
          <w:b/>
          <w:bCs/>
        </w:rPr>
        <w:t>ARTG ID 175041</w:t>
      </w:r>
      <w:r w:rsidR="00D4203B">
        <w:rPr>
          <w:b/>
          <w:bCs/>
        </w:rPr>
        <w:t xml:space="preserve">) </w:t>
      </w:r>
      <w:r w:rsidR="00D4203B">
        <w:t xml:space="preserve"> </w:t>
      </w:r>
      <w:r w:rsidRPr="006564D2">
        <w:rPr>
          <w:iCs/>
        </w:rPr>
        <w:t>was first registered in Australia on</w:t>
      </w:r>
      <w:r w:rsidR="005A3223">
        <w:rPr>
          <w:iCs/>
        </w:rPr>
        <w:t xml:space="preserve"> </w:t>
      </w:r>
      <w:r w:rsidR="005A3223" w:rsidRPr="005A3223">
        <w:rPr>
          <w:iCs/>
        </w:rPr>
        <w:t>8 September 2011</w:t>
      </w:r>
      <w:r w:rsidR="005A3223">
        <w:rPr>
          <w:iCs/>
        </w:rPr>
        <w:t>.</w:t>
      </w:r>
    </w:p>
  </w:footnote>
  <w:footnote w:id="4">
    <w:p w14:paraId="300E4E4D" w14:textId="77777777" w:rsidR="003D29C4" w:rsidRPr="00A93DC6" w:rsidRDefault="003D29C4" w:rsidP="003D29C4">
      <w:pPr>
        <w:pStyle w:val="FootnoteText"/>
        <w:rPr>
          <w:lang w:val="en-GB"/>
        </w:rPr>
      </w:pPr>
      <w:r>
        <w:rPr>
          <w:rStyle w:val="FootnoteReference"/>
        </w:rPr>
        <w:footnoteRef/>
      </w:r>
      <w:r>
        <w:t xml:space="preserve"> This is the original indication proposed by the sponsor</w:t>
      </w:r>
      <w:r>
        <w:rPr>
          <w:lang w:val="en-GB"/>
        </w:rPr>
        <w:t xml:space="preserve"> when the TGA commenced the evaluation of this submission. It </w:t>
      </w:r>
      <w:r w:rsidRPr="007452E8">
        <w:rPr>
          <w:lang w:val="en-GB"/>
        </w:rPr>
        <w:t xml:space="preserve">may </w:t>
      </w:r>
      <w:r>
        <w:rPr>
          <w:lang w:val="en-GB"/>
        </w:rPr>
        <w:t>differ</w:t>
      </w:r>
      <w:r w:rsidRPr="007452E8">
        <w:rPr>
          <w:lang w:val="en-GB"/>
        </w:rPr>
        <w:t xml:space="preserve"> to the final indication approved by th</w:t>
      </w:r>
      <w:r>
        <w:rPr>
          <w:lang w:val="en-GB"/>
        </w:rPr>
        <w:t>e TGA and registered in the Australian Register of Therapeutic Goods.</w:t>
      </w:r>
    </w:p>
  </w:footnote>
  <w:footnote w:id="5">
    <w:p w14:paraId="6F58027F" w14:textId="4E601263" w:rsidR="00A66D53" w:rsidRDefault="00A66D53" w:rsidP="00A66D53">
      <w:pPr>
        <w:pStyle w:val="FootnoteText"/>
      </w:pPr>
      <w:r>
        <w:rPr>
          <w:rStyle w:val="FootnoteReference"/>
        </w:rPr>
        <w:footnoteRef/>
      </w:r>
      <w:r>
        <w:t xml:space="preserve"> </w:t>
      </w:r>
      <w:hyperlink r:id="rId1" w:history="1">
        <w:r>
          <w:rPr>
            <w:rStyle w:val="Hyperlink"/>
          </w:rPr>
          <w:t>Chronic musculoskeletal conditions: Osteoporosis and minimal trauma fractures - Australian Institute of Health and Welfare (aihw.gov.au)</w:t>
        </w:r>
      </w:hyperlink>
      <w:r>
        <w:t xml:space="preserve"> </w:t>
      </w:r>
    </w:p>
  </w:footnote>
  <w:footnote w:id="6">
    <w:p w14:paraId="1E64C38A" w14:textId="77777777" w:rsidR="00A66D53" w:rsidRDefault="00A66D53" w:rsidP="00A66D53">
      <w:pPr>
        <w:pStyle w:val="FootnoteText"/>
      </w:pPr>
      <w:r>
        <w:rPr>
          <w:rStyle w:val="FootnoteReference"/>
        </w:rPr>
        <w:footnoteRef/>
      </w:r>
      <w:r>
        <w:t xml:space="preserve"> </w:t>
      </w:r>
      <w:r w:rsidRPr="002A3B45">
        <w:t>Watts JJ, Abimanyi-Ochom J, Sanders KM. Osteoporosis costing all Australians. A new burden of disease analysis – 2012 to 2022. Osteoporosis Australia. (https://healthybonesaustralia.org.au/wp-content/uploads/2022/09/burden-of-disease-analysis-2012-2022.pdf)</w:t>
      </w:r>
    </w:p>
  </w:footnote>
  <w:footnote w:id="7">
    <w:p w14:paraId="1AAE5349" w14:textId="77777777" w:rsidR="00A66D53" w:rsidRDefault="00A66D53" w:rsidP="00A66D53">
      <w:pPr>
        <w:pStyle w:val="FootnoteText"/>
      </w:pPr>
      <w:r>
        <w:rPr>
          <w:rStyle w:val="FootnoteReference"/>
        </w:rPr>
        <w:footnoteRef/>
      </w:r>
      <w:r>
        <w:t xml:space="preserve"> </w:t>
      </w:r>
      <w:r>
        <w:rPr>
          <w:lang w:eastAsia="ja-JP"/>
        </w:rPr>
        <w:t>Warriner A H, Patkar N M, Curtis J R, Delzell E, Gary L, Kilgore M, et al. Which fractures are most attributable to osteoporosis? J. Clin. Epidemiol. 2011; 64: 46–53.</w:t>
      </w:r>
    </w:p>
  </w:footnote>
  <w:footnote w:id="8">
    <w:p w14:paraId="1114DA75" w14:textId="77777777" w:rsidR="009C0A36" w:rsidRDefault="009C0A36" w:rsidP="009C0A36">
      <w:pPr>
        <w:pStyle w:val="FootnoteText"/>
      </w:pPr>
      <w:r>
        <w:rPr>
          <w:rStyle w:val="FootnoteReference"/>
        </w:rPr>
        <w:footnoteRef/>
      </w:r>
      <w:r>
        <w:t xml:space="preserve"> </w:t>
      </w:r>
      <w:r w:rsidRPr="00174C83">
        <w:t>Cummings SR, San Martin J, McClung MR, et al. Denosumab for prevention of fractures in postmenopausal women with osteoporosis. N Engl J Med. 2009;361:756–765.</w:t>
      </w:r>
    </w:p>
  </w:footnote>
  <w:footnote w:id="9">
    <w:p w14:paraId="680D6536" w14:textId="77777777" w:rsidR="009C0A36" w:rsidRDefault="009C0A36" w:rsidP="009C0A36">
      <w:pPr>
        <w:pStyle w:val="FootnoteText"/>
      </w:pPr>
      <w:r>
        <w:rPr>
          <w:rStyle w:val="FootnoteReference"/>
        </w:rPr>
        <w:footnoteRef/>
      </w:r>
      <w:r>
        <w:t xml:space="preserve"> </w:t>
      </w:r>
      <w:r w:rsidRPr="003F29E8">
        <w:t>Simon JA, Recknor C, Moffett AH, et al. Impact of denosumab on the peripheral skeleton of postmenopausal women with osteoporosis: bone density, mass, and strength of the radius, and wrist fracture. Menopause. 2013;20:130–137.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97D58" w14:textId="59578ABF" w:rsidR="00C5055C" w:rsidRDefault="00C5055C">
    <w:pPr>
      <w:pStyle w:val="Header"/>
    </w:pPr>
    <w:r>
      <w:rPr>
        <w:noProof/>
      </w:rPr>
      <mc:AlternateContent>
        <mc:Choice Requires="wps">
          <w:drawing>
            <wp:anchor distT="0" distB="0" distL="0" distR="0" simplePos="0" relativeHeight="251662336" behindDoc="0" locked="0" layoutInCell="1" allowOverlap="1" wp14:anchorId="0E72B8AD" wp14:editId="64B2C35C">
              <wp:simplePos x="635" y="635"/>
              <wp:positionH relativeFrom="page">
                <wp:align>center</wp:align>
              </wp:positionH>
              <wp:positionV relativeFrom="page">
                <wp:align>top</wp:align>
              </wp:positionV>
              <wp:extent cx="551815" cy="391160"/>
              <wp:effectExtent l="0" t="0" r="635" b="8890"/>
              <wp:wrapNone/>
              <wp:docPr id="156608825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0A4B36B" w14:textId="2983FF11" w:rsidR="00C5055C" w:rsidRPr="00C5055C" w:rsidRDefault="00C5055C" w:rsidP="00C5055C">
                          <w:pPr>
                            <w:spacing w:after="0"/>
                            <w:rPr>
                              <w:rFonts w:ascii="Calibri" w:eastAsia="Calibri" w:hAnsi="Calibri" w:cs="Calibri"/>
                              <w:noProof/>
                              <w:color w:val="FF0000"/>
                              <w:sz w:val="24"/>
                              <w:szCs w:val="24"/>
                            </w:rPr>
                          </w:pPr>
                          <w:r w:rsidRPr="00C5055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72B8AD"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0.8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60A4B36B" w14:textId="2983FF11" w:rsidR="00C5055C" w:rsidRPr="00C5055C" w:rsidRDefault="00C5055C" w:rsidP="00C5055C">
                    <w:pPr>
                      <w:spacing w:after="0"/>
                      <w:rPr>
                        <w:rFonts w:ascii="Calibri" w:eastAsia="Calibri" w:hAnsi="Calibri" w:cs="Calibri"/>
                        <w:noProof/>
                        <w:color w:val="FF0000"/>
                        <w:sz w:val="24"/>
                        <w:szCs w:val="24"/>
                      </w:rPr>
                    </w:pPr>
                    <w:r w:rsidRPr="00C5055C">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2C625CA" w:rsidR="007452E8" w:rsidRPr="00CB0550" w:rsidRDefault="00C5055C" w:rsidP="00CB0550">
    <w:pPr>
      <w:pStyle w:val="Header"/>
      <w:jc w:val="left"/>
    </w:pPr>
    <w:r>
      <w:rPr>
        <w:noProof/>
      </w:rPr>
      <mc:AlternateContent>
        <mc:Choice Requires="wps">
          <w:drawing>
            <wp:anchor distT="0" distB="0" distL="0" distR="0" simplePos="0" relativeHeight="251663360" behindDoc="0" locked="0" layoutInCell="1" allowOverlap="1" wp14:anchorId="36A4A67A" wp14:editId="5672D01D">
              <wp:simplePos x="635" y="635"/>
              <wp:positionH relativeFrom="page">
                <wp:align>center</wp:align>
              </wp:positionH>
              <wp:positionV relativeFrom="page">
                <wp:align>top</wp:align>
              </wp:positionV>
              <wp:extent cx="551815" cy="391160"/>
              <wp:effectExtent l="0" t="0" r="635" b="8890"/>
              <wp:wrapNone/>
              <wp:docPr id="114378140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694A0EF" w14:textId="1EEED8D4" w:rsidR="00C5055C" w:rsidRPr="00C5055C" w:rsidRDefault="00C5055C" w:rsidP="00C5055C">
                          <w:pPr>
                            <w:spacing w:after="0"/>
                            <w:rPr>
                              <w:rFonts w:ascii="Calibri" w:eastAsia="Calibri" w:hAnsi="Calibri" w:cs="Calibri"/>
                              <w:noProof/>
                              <w:color w:val="FF0000"/>
                              <w:sz w:val="24"/>
                              <w:szCs w:val="24"/>
                            </w:rPr>
                          </w:pPr>
                          <w:r w:rsidRPr="00C5055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A4A67A" id="_x0000_t202" coordsize="21600,21600" o:spt="202" path="m,l,21600r21600,l21600,xe">
              <v:stroke joinstyle="miter"/>
              <v:path gradientshapeok="t" o:connecttype="rect"/>
            </v:shapetype>
            <v:shape id="Text Box 3" o:spid="_x0000_s1027" type="#_x0000_t202" alt="OFFICIAL" style="position:absolute;margin-left:0;margin-top:0;width:43.45pt;height:30.8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5694A0EF" w14:textId="1EEED8D4" w:rsidR="00C5055C" w:rsidRPr="00C5055C" w:rsidRDefault="00C5055C" w:rsidP="00C5055C">
                    <w:pPr>
                      <w:spacing w:after="0"/>
                      <w:rPr>
                        <w:rFonts w:ascii="Calibri" w:eastAsia="Calibri" w:hAnsi="Calibri" w:cs="Calibri"/>
                        <w:noProof/>
                        <w:color w:val="FF0000"/>
                        <w:sz w:val="24"/>
                        <w:szCs w:val="24"/>
                      </w:rPr>
                    </w:pPr>
                    <w:r w:rsidRPr="00C5055C">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301815F0" w:rsidR="007452E8" w:rsidRPr="002B29B2" w:rsidRDefault="00C5055C" w:rsidP="007452E8">
          <w:pPr>
            <w:ind w:left="-57"/>
            <w:rPr>
              <w:noProof/>
            </w:rPr>
          </w:pPr>
          <w:r>
            <w:rPr>
              <w:noProof/>
            </w:rPr>
            <mc:AlternateContent>
              <mc:Choice Requires="wps">
                <w:drawing>
                  <wp:anchor distT="0" distB="0" distL="0" distR="0" simplePos="0" relativeHeight="251661312" behindDoc="0" locked="0" layoutInCell="1" allowOverlap="1" wp14:anchorId="270E5FBF" wp14:editId="41B46380">
                    <wp:simplePos x="635" y="635"/>
                    <wp:positionH relativeFrom="page">
                      <wp:align>center</wp:align>
                    </wp:positionH>
                    <wp:positionV relativeFrom="page">
                      <wp:align>top</wp:align>
                    </wp:positionV>
                    <wp:extent cx="551815" cy="391160"/>
                    <wp:effectExtent l="0" t="0" r="635" b="8890"/>
                    <wp:wrapNone/>
                    <wp:docPr id="44311769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D937C57" w14:textId="6E15D13F" w:rsidR="00C5055C" w:rsidRPr="00C5055C" w:rsidRDefault="00C5055C" w:rsidP="00C5055C">
                                <w:pPr>
                                  <w:spacing w:after="0"/>
                                  <w:rPr>
                                    <w:rFonts w:ascii="Calibri" w:eastAsia="Calibri" w:hAnsi="Calibri" w:cs="Calibri"/>
                                    <w:noProof/>
                                    <w:color w:val="FF0000"/>
                                    <w:sz w:val="24"/>
                                    <w:szCs w:val="24"/>
                                  </w:rPr>
                                </w:pPr>
                                <w:r w:rsidRPr="00C5055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0E5FBF" id="_x0000_t202" coordsize="21600,21600" o:spt="202" path="m,l,21600r21600,l21600,xe">
                    <v:stroke joinstyle="miter"/>
                    <v:path gradientshapeok="t" o:connecttype="rect"/>
                  </v:shapetype>
                  <v:shape id="Text Box 1" o:spid="_x0000_s1030" type="#_x0000_t202" alt="OFFICIAL" style="position:absolute;left:0;text-align:left;margin-left:0;margin-top:0;width:43.45pt;height:30.8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1MDgIAABwEAAAOAAAAZHJzL2Uyb0RvYy54bWysU01v2zAMvQ/YfxB0X2x3S9E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ILerUwOAgAAHAQA&#10;AA4AAAAAAAAAAAAAAAAALgIAAGRycy9lMm9Eb2MueG1sUEsBAi0AFAAGAAgAAAAhAChQUq/ZAAAA&#10;AwEAAA8AAAAAAAAAAAAAAAAAaAQAAGRycy9kb3ducmV2LnhtbFBLBQYAAAAABAAEAPMAAABuBQAA&#10;AAA=&#10;" filled="f" stroked="f">
                    <v:textbox style="mso-fit-shape-to-text:t" inset="0,15pt,0,0">
                      <w:txbxContent>
                        <w:p w14:paraId="0D937C57" w14:textId="6E15D13F" w:rsidR="00C5055C" w:rsidRPr="00C5055C" w:rsidRDefault="00C5055C" w:rsidP="00C5055C">
                          <w:pPr>
                            <w:spacing w:after="0"/>
                            <w:rPr>
                              <w:rFonts w:ascii="Calibri" w:eastAsia="Calibri" w:hAnsi="Calibri" w:cs="Calibri"/>
                              <w:noProof/>
                              <w:color w:val="FF0000"/>
                              <w:sz w:val="24"/>
                              <w:szCs w:val="24"/>
                            </w:rPr>
                          </w:pPr>
                          <w:r w:rsidRPr="00C5055C">
                            <w:rPr>
                              <w:rFonts w:ascii="Calibri" w:eastAsia="Calibri" w:hAnsi="Calibri" w:cs="Calibri"/>
                              <w:noProof/>
                              <w:color w:val="FF0000"/>
                              <w:sz w:val="24"/>
                              <w:szCs w:val="24"/>
                            </w:rPr>
                            <w:t>OFFICIAL</w:t>
                          </w:r>
                        </w:p>
                      </w:txbxContent>
                    </v:textbox>
                    <w10:wrap anchorx="page" anchory="page"/>
                  </v:shape>
                </w:pict>
              </mc:Fallback>
            </mc:AlternateContent>
          </w: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60288"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532DBB05" w:rsidR="007452E8" w:rsidRDefault="00C5055C" w:rsidP="007452E8">
    <w:pPr>
      <w:pStyle w:val="Header"/>
    </w:pPr>
    <w:r>
      <w:rPr>
        <w:noProof/>
      </w:rPr>
      <mc:AlternateContent>
        <mc:Choice Requires="wps">
          <w:drawing>
            <wp:anchor distT="0" distB="0" distL="0" distR="0" simplePos="0" relativeHeight="251658240" behindDoc="0" locked="0" layoutInCell="1" allowOverlap="1" wp14:anchorId="1C6C7FBE" wp14:editId="0DC07004">
              <wp:simplePos x="904875" y="361950"/>
              <wp:positionH relativeFrom="page">
                <wp:align>center</wp:align>
              </wp:positionH>
              <wp:positionV relativeFrom="page">
                <wp:align>top</wp:align>
              </wp:positionV>
              <wp:extent cx="551815" cy="391160"/>
              <wp:effectExtent l="0" t="0" r="635" b="8890"/>
              <wp:wrapNone/>
              <wp:docPr id="151377771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90DDEC1" w14:textId="14275AF2" w:rsidR="00C5055C" w:rsidRPr="00C5055C" w:rsidRDefault="00C5055C" w:rsidP="00C5055C">
                          <w:pPr>
                            <w:spacing w:after="0"/>
                            <w:rPr>
                              <w:rFonts w:ascii="Calibri" w:eastAsia="Calibri" w:hAnsi="Calibri" w:cs="Calibri"/>
                              <w:noProof/>
                              <w:color w:val="FF0000"/>
                              <w:sz w:val="24"/>
                              <w:szCs w:val="24"/>
                            </w:rPr>
                          </w:pPr>
                          <w:r w:rsidRPr="00C5055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6C7FBE" id="_x0000_t202" coordsize="21600,21600" o:spt="202" path="m,l,21600r21600,l21600,xe">
              <v:stroke joinstyle="miter"/>
              <v:path gradientshapeok="t" o:connecttype="rect"/>
            </v:shapetype>
            <v:shape id="Text Box 4" o:spid="_x0000_s1032" type="#_x0000_t202" alt="OFFICIAL" style="position:absolute;left:0;text-align:left;margin-left:0;margin-top:0;width:43.45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FigyDcOAgAAHAQA&#10;AA4AAAAAAAAAAAAAAAAALgIAAGRycy9lMm9Eb2MueG1sUEsBAi0AFAAGAAgAAAAhAChQUq/ZAAAA&#10;AwEAAA8AAAAAAAAAAAAAAAAAaAQAAGRycy9kb3ducmV2LnhtbFBLBQYAAAAABAAEAPMAAABuBQAA&#10;AAA=&#10;" filled="f" stroked="f">
              <v:textbox style="mso-fit-shape-to-text:t" inset="0,15pt,0,0">
                <w:txbxContent>
                  <w:p w14:paraId="290DDEC1" w14:textId="14275AF2" w:rsidR="00C5055C" w:rsidRPr="00C5055C" w:rsidRDefault="00C5055C" w:rsidP="00C5055C">
                    <w:pPr>
                      <w:spacing w:after="0"/>
                      <w:rPr>
                        <w:rFonts w:ascii="Calibri" w:eastAsia="Calibri" w:hAnsi="Calibri" w:cs="Calibri"/>
                        <w:noProof/>
                        <w:color w:val="FF0000"/>
                        <w:sz w:val="24"/>
                        <w:szCs w:val="24"/>
                      </w:rPr>
                    </w:pPr>
                    <w:r w:rsidRPr="00C5055C">
                      <w:rPr>
                        <w:rFonts w:ascii="Calibri" w:eastAsia="Calibri" w:hAnsi="Calibri" w:cs="Calibri"/>
                        <w:noProof/>
                        <w:color w:val="FF0000"/>
                        <w:sz w:val="24"/>
                        <w:szCs w:val="24"/>
                      </w:rPr>
                      <w:t>OFFICIAL</w:t>
                    </w:r>
                  </w:p>
                </w:txbxContent>
              </v:textbox>
              <w10:wrap anchorx="page" anchory="page"/>
            </v:shape>
          </w:pict>
        </mc:Fallback>
      </mc:AlternateContent>
    </w:r>
    <w:r w:rsidR="007452E8"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575FC4C5" w:rsidR="007452E8" w:rsidRPr="00FE501F" w:rsidRDefault="00C5055C" w:rsidP="007452E8">
    <w:pPr>
      <w:pStyle w:val="Headernoline"/>
    </w:pPr>
    <w:r>
      <w:rPr>
        <w:noProof/>
      </w:rPr>
      <mc:AlternateContent>
        <mc:Choice Requires="wps">
          <w:drawing>
            <wp:anchor distT="0" distB="0" distL="0" distR="0" simplePos="0" relativeHeight="251665408" behindDoc="0" locked="0" layoutInCell="1" allowOverlap="1" wp14:anchorId="100C9AE7" wp14:editId="0F863D43">
              <wp:simplePos x="635" y="635"/>
              <wp:positionH relativeFrom="page">
                <wp:align>center</wp:align>
              </wp:positionH>
              <wp:positionV relativeFrom="page">
                <wp:align>top</wp:align>
              </wp:positionV>
              <wp:extent cx="551815" cy="391160"/>
              <wp:effectExtent l="0" t="0" r="635" b="8890"/>
              <wp:wrapNone/>
              <wp:docPr id="86956691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21CB0E9" w14:textId="41BB9F81" w:rsidR="00C5055C" w:rsidRPr="00C5055C" w:rsidRDefault="00C5055C" w:rsidP="00C5055C">
                          <w:pPr>
                            <w:spacing w:after="0"/>
                            <w:rPr>
                              <w:rFonts w:ascii="Calibri" w:eastAsia="Calibri" w:hAnsi="Calibri" w:cs="Calibri"/>
                              <w:noProof/>
                              <w:color w:val="FF0000"/>
                              <w:sz w:val="24"/>
                              <w:szCs w:val="24"/>
                            </w:rPr>
                          </w:pPr>
                          <w:r w:rsidRPr="00C5055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0C9AE7" id="_x0000_t202" coordsize="21600,21600" o:spt="202" path="m,l,21600r21600,l21600,xe">
              <v:stroke joinstyle="miter"/>
              <v:path gradientshapeok="t" o:connecttype="rect"/>
            </v:shapetype>
            <v:shape id="Text Box 5" o:spid="_x0000_s1033" type="#_x0000_t202" alt="OFFICIAL" style="position:absolute;left:0;text-align:left;margin-left:0;margin-top:0;width:43.45pt;height:30.8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3oKDgIAABwEAAAOAAAAZHJzL2Uyb0RvYy54bWysU01v2zAMvQ/YfxB0X2x3SNc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DUfegoOAgAAHAQA&#10;AA4AAAAAAAAAAAAAAAAALgIAAGRycy9lMm9Eb2MueG1sUEsBAi0AFAAGAAgAAAAhAChQUq/ZAAAA&#10;AwEAAA8AAAAAAAAAAAAAAAAAaAQAAGRycy9kb3ducmV2LnhtbFBLBQYAAAAABAAEAPMAAABuBQAA&#10;AAA=&#10;" filled="f" stroked="f">
              <v:textbox style="mso-fit-shape-to-text:t" inset="0,15pt,0,0">
                <w:txbxContent>
                  <w:p w14:paraId="221CB0E9" w14:textId="41BB9F81" w:rsidR="00C5055C" w:rsidRPr="00C5055C" w:rsidRDefault="00C5055C" w:rsidP="00C5055C">
                    <w:pPr>
                      <w:spacing w:after="0"/>
                      <w:rPr>
                        <w:rFonts w:ascii="Calibri" w:eastAsia="Calibri" w:hAnsi="Calibri" w:cs="Calibri"/>
                        <w:noProof/>
                        <w:color w:val="FF0000"/>
                        <w:sz w:val="24"/>
                        <w:szCs w:val="24"/>
                      </w:rPr>
                    </w:pPr>
                    <w:r w:rsidRPr="00C5055C">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2A32744F"/>
    <w:multiLevelType w:val="hybridMultilevel"/>
    <w:tmpl w:val="98AEC38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330912DA"/>
    <w:multiLevelType w:val="hybridMultilevel"/>
    <w:tmpl w:val="3FE81E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C81014"/>
    <w:multiLevelType w:val="hybridMultilevel"/>
    <w:tmpl w:val="D38650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6714552"/>
    <w:multiLevelType w:val="hybridMultilevel"/>
    <w:tmpl w:val="7FF2E9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F35E69"/>
    <w:multiLevelType w:val="hybridMultilevel"/>
    <w:tmpl w:val="364EC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2" w15:restartNumberingAfterBreak="0">
    <w:nsid w:val="48D711ED"/>
    <w:multiLevelType w:val="hybridMultilevel"/>
    <w:tmpl w:val="A40A98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AD17626"/>
    <w:multiLevelType w:val="hybridMultilevel"/>
    <w:tmpl w:val="CF441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5"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6"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8" w15:restartNumberingAfterBreak="0">
    <w:nsid w:val="5F691769"/>
    <w:multiLevelType w:val="hybridMultilevel"/>
    <w:tmpl w:val="95E4DC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A4F741E"/>
    <w:multiLevelType w:val="hybridMultilevel"/>
    <w:tmpl w:val="0390F7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21" w15:restartNumberingAfterBreak="0">
    <w:nsid w:val="7A653A49"/>
    <w:multiLevelType w:val="hybridMultilevel"/>
    <w:tmpl w:val="A3905D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032997172">
    <w:abstractNumId w:val="3"/>
  </w:num>
  <w:num w:numId="2" w16cid:durableId="1856573705">
    <w:abstractNumId w:val="0"/>
  </w:num>
  <w:num w:numId="3" w16cid:durableId="357703499">
    <w:abstractNumId w:val="2"/>
  </w:num>
  <w:num w:numId="4" w16cid:durableId="1869176708">
    <w:abstractNumId w:val="16"/>
  </w:num>
  <w:num w:numId="5" w16cid:durableId="1652950129">
    <w:abstractNumId w:val="5"/>
  </w:num>
  <w:num w:numId="6" w16cid:durableId="1053193207">
    <w:abstractNumId w:val="14"/>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5"/>
  </w:num>
  <w:num w:numId="9" w16cid:durableId="173421270">
    <w:abstractNumId w:val="1"/>
  </w:num>
  <w:num w:numId="10" w16cid:durableId="2108043357">
    <w:abstractNumId w:val="4"/>
  </w:num>
  <w:num w:numId="11" w16cid:durableId="1725904230">
    <w:abstractNumId w:val="11"/>
  </w:num>
  <w:num w:numId="12" w16cid:durableId="141579354">
    <w:abstractNumId w:val="17"/>
  </w:num>
  <w:num w:numId="13" w16cid:durableId="283735081">
    <w:abstractNumId w:val="20"/>
  </w:num>
  <w:num w:numId="14" w16cid:durableId="1744184164">
    <w:abstractNumId w:val="19"/>
  </w:num>
  <w:num w:numId="15" w16cid:durableId="2087998260">
    <w:abstractNumId w:val="13"/>
  </w:num>
  <w:num w:numId="16" w16cid:durableId="1345548557">
    <w:abstractNumId w:val="18"/>
  </w:num>
  <w:num w:numId="17" w16cid:durableId="225921109">
    <w:abstractNumId w:val="10"/>
  </w:num>
  <w:num w:numId="18" w16cid:durableId="1742868515">
    <w:abstractNumId w:val="7"/>
  </w:num>
  <w:num w:numId="19" w16cid:durableId="244657813">
    <w:abstractNumId w:val="9"/>
  </w:num>
  <w:num w:numId="20" w16cid:durableId="686059468">
    <w:abstractNumId w:val="6"/>
  </w:num>
  <w:num w:numId="21" w16cid:durableId="762147166">
    <w:abstractNumId w:val="21"/>
  </w:num>
  <w:num w:numId="22" w16cid:durableId="1046762062">
    <w:abstractNumId w:val="12"/>
  </w:num>
  <w:num w:numId="23" w16cid:durableId="116067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342A"/>
    <w:rsid w:val="0000358D"/>
    <w:rsid w:val="00003F0F"/>
    <w:rsid w:val="00004431"/>
    <w:rsid w:val="00005062"/>
    <w:rsid w:val="00005DFC"/>
    <w:rsid w:val="0001064C"/>
    <w:rsid w:val="00012F03"/>
    <w:rsid w:val="0001384A"/>
    <w:rsid w:val="00013897"/>
    <w:rsid w:val="000145EC"/>
    <w:rsid w:val="00020ED3"/>
    <w:rsid w:val="00021C13"/>
    <w:rsid w:val="0003191D"/>
    <w:rsid w:val="00032A0F"/>
    <w:rsid w:val="00034F7E"/>
    <w:rsid w:val="000368F9"/>
    <w:rsid w:val="00040D8D"/>
    <w:rsid w:val="00041DB6"/>
    <w:rsid w:val="00041F37"/>
    <w:rsid w:val="00046423"/>
    <w:rsid w:val="0004773E"/>
    <w:rsid w:val="000477F5"/>
    <w:rsid w:val="00050BD0"/>
    <w:rsid w:val="00050CB5"/>
    <w:rsid w:val="000512DB"/>
    <w:rsid w:val="00052569"/>
    <w:rsid w:val="000538EB"/>
    <w:rsid w:val="000549D5"/>
    <w:rsid w:val="0006104E"/>
    <w:rsid w:val="000640BD"/>
    <w:rsid w:val="00065181"/>
    <w:rsid w:val="00065839"/>
    <w:rsid w:val="00065FDF"/>
    <w:rsid w:val="0006693A"/>
    <w:rsid w:val="00075A9C"/>
    <w:rsid w:val="00077844"/>
    <w:rsid w:val="000814BF"/>
    <w:rsid w:val="00083763"/>
    <w:rsid w:val="00087701"/>
    <w:rsid w:val="00090510"/>
    <w:rsid w:val="000917AE"/>
    <w:rsid w:val="00094B81"/>
    <w:rsid w:val="00095C6A"/>
    <w:rsid w:val="000975AA"/>
    <w:rsid w:val="000A2194"/>
    <w:rsid w:val="000A25BB"/>
    <w:rsid w:val="000B6B15"/>
    <w:rsid w:val="000C0AE1"/>
    <w:rsid w:val="000C25A7"/>
    <w:rsid w:val="000C30A2"/>
    <w:rsid w:val="000C3C9D"/>
    <w:rsid w:val="000C7A7B"/>
    <w:rsid w:val="000D0212"/>
    <w:rsid w:val="000D1B60"/>
    <w:rsid w:val="000D3F1F"/>
    <w:rsid w:val="000D55DC"/>
    <w:rsid w:val="000D7669"/>
    <w:rsid w:val="000D78EC"/>
    <w:rsid w:val="000D7934"/>
    <w:rsid w:val="000E2434"/>
    <w:rsid w:val="000E2597"/>
    <w:rsid w:val="000E504E"/>
    <w:rsid w:val="000E626B"/>
    <w:rsid w:val="000E6746"/>
    <w:rsid w:val="000E743A"/>
    <w:rsid w:val="000E78FB"/>
    <w:rsid w:val="000F1DB7"/>
    <w:rsid w:val="000F3C2F"/>
    <w:rsid w:val="000F56EA"/>
    <w:rsid w:val="000F773A"/>
    <w:rsid w:val="000F7B51"/>
    <w:rsid w:val="00101BEE"/>
    <w:rsid w:val="00101CE6"/>
    <w:rsid w:val="00101FB1"/>
    <w:rsid w:val="001022C8"/>
    <w:rsid w:val="00102928"/>
    <w:rsid w:val="0010558A"/>
    <w:rsid w:val="001076F5"/>
    <w:rsid w:val="001101FF"/>
    <w:rsid w:val="00111989"/>
    <w:rsid w:val="00112263"/>
    <w:rsid w:val="00113F9F"/>
    <w:rsid w:val="00114025"/>
    <w:rsid w:val="0011474E"/>
    <w:rsid w:val="00116A23"/>
    <w:rsid w:val="0011739F"/>
    <w:rsid w:val="0012473C"/>
    <w:rsid w:val="00126048"/>
    <w:rsid w:val="00127A74"/>
    <w:rsid w:val="0013132F"/>
    <w:rsid w:val="00131B1B"/>
    <w:rsid w:val="00132F0C"/>
    <w:rsid w:val="0013306D"/>
    <w:rsid w:val="0013528C"/>
    <w:rsid w:val="00140338"/>
    <w:rsid w:val="001403A7"/>
    <w:rsid w:val="00141B58"/>
    <w:rsid w:val="00143D46"/>
    <w:rsid w:val="001442A2"/>
    <w:rsid w:val="0014514E"/>
    <w:rsid w:val="001468CA"/>
    <w:rsid w:val="001500A8"/>
    <w:rsid w:val="0015051C"/>
    <w:rsid w:val="00153052"/>
    <w:rsid w:val="00154E33"/>
    <w:rsid w:val="0015537F"/>
    <w:rsid w:val="00155D85"/>
    <w:rsid w:val="00156760"/>
    <w:rsid w:val="00160D0D"/>
    <w:rsid w:val="0016508C"/>
    <w:rsid w:val="00165D28"/>
    <w:rsid w:val="00167E60"/>
    <w:rsid w:val="0017005C"/>
    <w:rsid w:val="001719E8"/>
    <w:rsid w:val="00172AAD"/>
    <w:rsid w:val="0017323D"/>
    <w:rsid w:val="001753A3"/>
    <w:rsid w:val="00175CD8"/>
    <w:rsid w:val="00177F6A"/>
    <w:rsid w:val="00182BD8"/>
    <w:rsid w:val="001843F1"/>
    <w:rsid w:val="0018658F"/>
    <w:rsid w:val="00190853"/>
    <w:rsid w:val="00194044"/>
    <w:rsid w:val="00194C0A"/>
    <w:rsid w:val="00197914"/>
    <w:rsid w:val="001A0168"/>
    <w:rsid w:val="001A3949"/>
    <w:rsid w:val="001A5091"/>
    <w:rsid w:val="001A74F4"/>
    <w:rsid w:val="001A76F9"/>
    <w:rsid w:val="001B06FF"/>
    <w:rsid w:val="001B1703"/>
    <w:rsid w:val="001B26B1"/>
    <w:rsid w:val="001B3E3B"/>
    <w:rsid w:val="001C097B"/>
    <w:rsid w:val="001C0B06"/>
    <w:rsid w:val="001C1C2E"/>
    <w:rsid w:val="001C302F"/>
    <w:rsid w:val="001C31A1"/>
    <w:rsid w:val="001C3FA2"/>
    <w:rsid w:val="001C44D0"/>
    <w:rsid w:val="001C5174"/>
    <w:rsid w:val="001C5EE2"/>
    <w:rsid w:val="001C67EC"/>
    <w:rsid w:val="001C777B"/>
    <w:rsid w:val="001D0077"/>
    <w:rsid w:val="001D02AF"/>
    <w:rsid w:val="001D0724"/>
    <w:rsid w:val="001D15D6"/>
    <w:rsid w:val="001D249C"/>
    <w:rsid w:val="001E407B"/>
    <w:rsid w:val="001E7FC6"/>
    <w:rsid w:val="001F0367"/>
    <w:rsid w:val="001F119B"/>
    <w:rsid w:val="001F2502"/>
    <w:rsid w:val="001F70A5"/>
    <w:rsid w:val="00201FB7"/>
    <w:rsid w:val="0020235D"/>
    <w:rsid w:val="0020369B"/>
    <w:rsid w:val="00203FFC"/>
    <w:rsid w:val="002062B6"/>
    <w:rsid w:val="00207B4D"/>
    <w:rsid w:val="00210F9B"/>
    <w:rsid w:val="002117B1"/>
    <w:rsid w:val="0021689F"/>
    <w:rsid w:val="00217CCE"/>
    <w:rsid w:val="002203B1"/>
    <w:rsid w:val="0022156B"/>
    <w:rsid w:val="0022235E"/>
    <w:rsid w:val="0022658E"/>
    <w:rsid w:val="00226F39"/>
    <w:rsid w:val="002334AD"/>
    <w:rsid w:val="00241B60"/>
    <w:rsid w:val="00241D94"/>
    <w:rsid w:val="002420B5"/>
    <w:rsid w:val="002424BA"/>
    <w:rsid w:val="002435B2"/>
    <w:rsid w:val="002457E4"/>
    <w:rsid w:val="00250ABB"/>
    <w:rsid w:val="00250BA6"/>
    <w:rsid w:val="002512B2"/>
    <w:rsid w:val="00251F46"/>
    <w:rsid w:val="002565CB"/>
    <w:rsid w:val="0025785B"/>
    <w:rsid w:val="00257969"/>
    <w:rsid w:val="0026067D"/>
    <w:rsid w:val="00264270"/>
    <w:rsid w:val="00264668"/>
    <w:rsid w:val="00264950"/>
    <w:rsid w:val="00265CD1"/>
    <w:rsid w:val="00267CD6"/>
    <w:rsid w:val="00270515"/>
    <w:rsid w:val="002755BB"/>
    <w:rsid w:val="00280048"/>
    <w:rsid w:val="002801BC"/>
    <w:rsid w:val="0028489E"/>
    <w:rsid w:val="002848DE"/>
    <w:rsid w:val="00285865"/>
    <w:rsid w:val="00286776"/>
    <w:rsid w:val="0028794E"/>
    <w:rsid w:val="00294E02"/>
    <w:rsid w:val="0029733B"/>
    <w:rsid w:val="002A003B"/>
    <w:rsid w:val="002A4B80"/>
    <w:rsid w:val="002A5841"/>
    <w:rsid w:val="002B1EDF"/>
    <w:rsid w:val="002B2061"/>
    <w:rsid w:val="002B33C3"/>
    <w:rsid w:val="002B5EEA"/>
    <w:rsid w:val="002B6A7B"/>
    <w:rsid w:val="002C0481"/>
    <w:rsid w:val="002C1232"/>
    <w:rsid w:val="002C1E44"/>
    <w:rsid w:val="002C2793"/>
    <w:rsid w:val="002C3634"/>
    <w:rsid w:val="002C4310"/>
    <w:rsid w:val="002C5C92"/>
    <w:rsid w:val="002C5E29"/>
    <w:rsid w:val="002C694B"/>
    <w:rsid w:val="002D045F"/>
    <w:rsid w:val="002D0478"/>
    <w:rsid w:val="002D3699"/>
    <w:rsid w:val="002D7127"/>
    <w:rsid w:val="002E0D50"/>
    <w:rsid w:val="002E0DAF"/>
    <w:rsid w:val="002E108B"/>
    <w:rsid w:val="002E3058"/>
    <w:rsid w:val="002E555A"/>
    <w:rsid w:val="002E5736"/>
    <w:rsid w:val="002F2987"/>
    <w:rsid w:val="002F2AAF"/>
    <w:rsid w:val="002F599E"/>
    <w:rsid w:val="002F68D0"/>
    <w:rsid w:val="003008D8"/>
    <w:rsid w:val="00300DB1"/>
    <w:rsid w:val="00301D9A"/>
    <w:rsid w:val="00302429"/>
    <w:rsid w:val="00303959"/>
    <w:rsid w:val="00306E72"/>
    <w:rsid w:val="00307F5F"/>
    <w:rsid w:val="00311A07"/>
    <w:rsid w:val="00312AC3"/>
    <w:rsid w:val="00314430"/>
    <w:rsid w:val="0031495C"/>
    <w:rsid w:val="003152DF"/>
    <w:rsid w:val="003163BC"/>
    <w:rsid w:val="0031757F"/>
    <w:rsid w:val="003212D9"/>
    <w:rsid w:val="00321628"/>
    <w:rsid w:val="00322B26"/>
    <w:rsid w:val="0032351A"/>
    <w:rsid w:val="00324B33"/>
    <w:rsid w:val="0032548E"/>
    <w:rsid w:val="00325697"/>
    <w:rsid w:val="00327488"/>
    <w:rsid w:val="00332564"/>
    <w:rsid w:val="0033262E"/>
    <w:rsid w:val="003338DF"/>
    <w:rsid w:val="00336FE1"/>
    <w:rsid w:val="00337372"/>
    <w:rsid w:val="00337BD8"/>
    <w:rsid w:val="00342D56"/>
    <w:rsid w:val="00343394"/>
    <w:rsid w:val="003456E7"/>
    <w:rsid w:val="00346EC2"/>
    <w:rsid w:val="00346FB0"/>
    <w:rsid w:val="003472F5"/>
    <w:rsid w:val="003474FF"/>
    <w:rsid w:val="003477F9"/>
    <w:rsid w:val="003519F5"/>
    <w:rsid w:val="00352196"/>
    <w:rsid w:val="0035444D"/>
    <w:rsid w:val="00356D62"/>
    <w:rsid w:val="00363ED7"/>
    <w:rsid w:val="00363EE3"/>
    <w:rsid w:val="003644F5"/>
    <w:rsid w:val="003661A8"/>
    <w:rsid w:val="00367D10"/>
    <w:rsid w:val="0037075A"/>
    <w:rsid w:val="003735F3"/>
    <w:rsid w:val="00374729"/>
    <w:rsid w:val="00386437"/>
    <w:rsid w:val="00386DB7"/>
    <w:rsid w:val="00387298"/>
    <w:rsid w:val="00387984"/>
    <w:rsid w:val="00390574"/>
    <w:rsid w:val="00395140"/>
    <w:rsid w:val="00396455"/>
    <w:rsid w:val="003A0958"/>
    <w:rsid w:val="003A2422"/>
    <w:rsid w:val="003A3A04"/>
    <w:rsid w:val="003A5136"/>
    <w:rsid w:val="003A776B"/>
    <w:rsid w:val="003B149C"/>
    <w:rsid w:val="003B2819"/>
    <w:rsid w:val="003B3BD2"/>
    <w:rsid w:val="003B7949"/>
    <w:rsid w:val="003C0D63"/>
    <w:rsid w:val="003C0FDB"/>
    <w:rsid w:val="003C1192"/>
    <w:rsid w:val="003C3409"/>
    <w:rsid w:val="003C55E2"/>
    <w:rsid w:val="003C63D5"/>
    <w:rsid w:val="003C7513"/>
    <w:rsid w:val="003C7AA8"/>
    <w:rsid w:val="003D06BC"/>
    <w:rsid w:val="003D29C4"/>
    <w:rsid w:val="003D6253"/>
    <w:rsid w:val="003D67D2"/>
    <w:rsid w:val="003D71A1"/>
    <w:rsid w:val="003E09A4"/>
    <w:rsid w:val="003E0D8E"/>
    <w:rsid w:val="003E0F1C"/>
    <w:rsid w:val="003E6438"/>
    <w:rsid w:val="003F2E54"/>
    <w:rsid w:val="003F60DD"/>
    <w:rsid w:val="003F6785"/>
    <w:rsid w:val="003F7BB9"/>
    <w:rsid w:val="0040099C"/>
    <w:rsid w:val="00406B14"/>
    <w:rsid w:val="00407E5A"/>
    <w:rsid w:val="004113FB"/>
    <w:rsid w:val="00412CB6"/>
    <w:rsid w:val="0041688F"/>
    <w:rsid w:val="0042376F"/>
    <w:rsid w:val="004246B8"/>
    <w:rsid w:val="004248F1"/>
    <w:rsid w:val="0043248D"/>
    <w:rsid w:val="00433318"/>
    <w:rsid w:val="00433A32"/>
    <w:rsid w:val="004358B1"/>
    <w:rsid w:val="004377A3"/>
    <w:rsid w:val="004411D9"/>
    <w:rsid w:val="00442A56"/>
    <w:rsid w:val="004444B0"/>
    <w:rsid w:val="00447245"/>
    <w:rsid w:val="0045060B"/>
    <w:rsid w:val="00451D80"/>
    <w:rsid w:val="004537EF"/>
    <w:rsid w:val="00455007"/>
    <w:rsid w:val="00460765"/>
    <w:rsid w:val="0046260D"/>
    <w:rsid w:val="00462690"/>
    <w:rsid w:val="004626FF"/>
    <w:rsid w:val="0046285C"/>
    <w:rsid w:val="004635D7"/>
    <w:rsid w:val="00470A52"/>
    <w:rsid w:val="00471BD5"/>
    <w:rsid w:val="00472406"/>
    <w:rsid w:val="00474D6B"/>
    <w:rsid w:val="0047744C"/>
    <w:rsid w:val="00477C4E"/>
    <w:rsid w:val="00477F07"/>
    <w:rsid w:val="00481503"/>
    <w:rsid w:val="00481D12"/>
    <w:rsid w:val="004854A6"/>
    <w:rsid w:val="00486E84"/>
    <w:rsid w:val="00491A55"/>
    <w:rsid w:val="00494C3E"/>
    <w:rsid w:val="00496B6C"/>
    <w:rsid w:val="00497DF1"/>
    <w:rsid w:val="004A2D4D"/>
    <w:rsid w:val="004A318E"/>
    <w:rsid w:val="004A3D2D"/>
    <w:rsid w:val="004A45D4"/>
    <w:rsid w:val="004A4F05"/>
    <w:rsid w:val="004A4F15"/>
    <w:rsid w:val="004A54D2"/>
    <w:rsid w:val="004A57E8"/>
    <w:rsid w:val="004B0D40"/>
    <w:rsid w:val="004B3081"/>
    <w:rsid w:val="004B338A"/>
    <w:rsid w:val="004B427F"/>
    <w:rsid w:val="004B4A09"/>
    <w:rsid w:val="004B58C9"/>
    <w:rsid w:val="004C41CE"/>
    <w:rsid w:val="004C4525"/>
    <w:rsid w:val="004C631B"/>
    <w:rsid w:val="004D0933"/>
    <w:rsid w:val="004D1287"/>
    <w:rsid w:val="004D2F00"/>
    <w:rsid w:val="004D31D8"/>
    <w:rsid w:val="004D35D1"/>
    <w:rsid w:val="004D45D3"/>
    <w:rsid w:val="004D4AD5"/>
    <w:rsid w:val="004D5388"/>
    <w:rsid w:val="004D7EE4"/>
    <w:rsid w:val="004E2536"/>
    <w:rsid w:val="004E35E8"/>
    <w:rsid w:val="004E3F4B"/>
    <w:rsid w:val="004E7F16"/>
    <w:rsid w:val="004E7FA9"/>
    <w:rsid w:val="004F18EC"/>
    <w:rsid w:val="004F7593"/>
    <w:rsid w:val="004F786E"/>
    <w:rsid w:val="00500D68"/>
    <w:rsid w:val="005018AC"/>
    <w:rsid w:val="00503C1E"/>
    <w:rsid w:val="00507A1F"/>
    <w:rsid w:val="0051096A"/>
    <w:rsid w:val="00512AC0"/>
    <w:rsid w:val="00513F02"/>
    <w:rsid w:val="005143DE"/>
    <w:rsid w:val="0051676C"/>
    <w:rsid w:val="00517F60"/>
    <w:rsid w:val="00521892"/>
    <w:rsid w:val="0052214B"/>
    <w:rsid w:val="00522943"/>
    <w:rsid w:val="0052648D"/>
    <w:rsid w:val="00532BE9"/>
    <w:rsid w:val="0053377D"/>
    <w:rsid w:val="00533C12"/>
    <w:rsid w:val="005340FE"/>
    <w:rsid w:val="00535BCF"/>
    <w:rsid w:val="00535DFE"/>
    <w:rsid w:val="00535F26"/>
    <w:rsid w:val="005373B5"/>
    <w:rsid w:val="00537470"/>
    <w:rsid w:val="00537AB7"/>
    <w:rsid w:val="00543A6B"/>
    <w:rsid w:val="00543EFB"/>
    <w:rsid w:val="00543FC6"/>
    <w:rsid w:val="005454DA"/>
    <w:rsid w:val="0054669B"/>
    <w:rsid w:val="005500EB"/>
    <w:rsid w:val="00551530"/>
    <w:rsid w:val="00551B32"/>
    <w:rsid w:val="00554DFA"/>
    <w:rsid w:val="00555320"/>
    <w:rsid w:val="0055679F"/>
    <w:rsid w:val="00557684"/>
    <w:rsid w:val="00560714"/>
    <w:rsid w:val="00560EC1"/>
    <w:rsid w:val="005610D1"/>
    <w:rsid w:val="00562F42"/>
    <w:rsid w:val="00565739"/>
    <w:rsid w:val="0056766D"/>
    <w:rsid w:val="005738CD"/>
    <w:rsid w:val="0057448A"/>
    <w:rsid w:val="00574A86"/>
    <w:rsid w:val="00575215"/>
    <w:rsid w:val="005775D0"/>
    <w:rsid w:val="00581138"/>
    <w:rsid w:val="0058575E"/>
    <w:rsid w:val="0058783C"/>
    <w:rsid w:val="0059068A"/>
    <w:rsid w:val="005910DA"/>
    <w:rsid w:val="005911AE"/>
    <w:rsid w:val="005926E2"/>
    <w:rsid w:val="0059313A"/>
    <w:rsid w:val="0059587B"/>
    <w:rsid w:val="00597635"/>
    <w:rsid w:val="00597D6E"/>
    <w:rsid w:val="005A3223"/>
    <w:rsid w:val="005A339C"/>
    <w:rsid w:val="005A4C0E"/>
    <w:rsid w:val="005A5402"/>
    <w:rsid w:val="005A54EA"/>
    <w:rsid w:val="005A68EE"/>
    <w:rsid w:val="005B023F"/>
    <w:rsid w:val="005B02A2"/>
    <w:rsid w:val="005B1417"/>
    <w:rsid w:val="005B308E"/>
    <w:rsid w:val="005B5D43"/>
    <w:rsid w:val="005B69CF"/>
    <w:rsid w:val="005C03CA"/>
    <w:rsid w:val="005C3F07"/>
    <w:rsid w:val="005C4B46"/>
    <w:rsid w:val="005C5DC5"/>
    <w:rsid w:val="005D0E1E"/>
    <w:rsid w:val="005D2089"/>
    <w:rsid w:val="005D20C1"/>
    <w:rsid w:val="005D2CD7"/>
    <w:rsid w:val="005D3D73"/>
    <w:rsid w:val="005D7514"/>
    <w:rsid w:val="005D7E89"/>
    <w:rsid w:val="005E0C12"/>
    <w:rsid w:val="005E0FC6"/>
    <w:rsid w:val="005E1A7B"/>
    <w:rsid w:val="005E231F"/>
    <w:rsid w:val="005E3037"/>
    <w:rsid w:val="005E3D20"/>
    <w:rsid w:val="005E4469"/>
    <w:rsid w:val="005E4C53"/>
    <w:rsid w:val="005E5FE2"/>
    <w:rsid w:val="005E7AF6"/>
    <w:rsid w:val="005F173B"/>
    <w:rsid w:val="005F2231"/>
    <w:rsid w:val="005F2DA1"/>
    <w:rsid w:val="005F37AE"/>
    <w:rsid w:val="00600DD1"/>
    <w:rsid w:val="00602D6E"/>
    <w:rsid w:val="00605C05"/>
    <w:rsid w:val="00611351"/>
    <w:rsid w:val="0061217D"/>
    <w:rsid w:val="00612257"/>
    <w:rsid w:val="00612533"/>
    <w:rsid w:val="006129AE"/>
    <w:rsid w:val="00613C6A"/>
    <w:rsid w:val="00621658"/>
    <w:rsid w:val="0062284F"/>
    <w:rsid w:val="00622E57"/>
    <w:rsid w:val="0062442F"/>
    <w:rsid w:val="006277A1"/>
    <w:rsid w:val="00627F0C"/>
    <w:rsid w:val="00633BD7"/>
    <w:rsid w:val="00634580"/>
    <w:rsid w:val="00634884"/>
    <w:rsid w:val="006351D9"/>
    <w:rsid w:val="00637130"/>
    <w:rsid w:val="00637F0E"/>
    <w:rsid w:val="006423F2"/>
    <w:rsid w:val="0064284C"/>
    <w:rsid w:val="006428C5"/>
    <w:rsid w:val="00644E8F"/>
    <w:rsid w:val="00646757"/>
    <w:rsid w:val="00646C0A"/>
    <w:rsid w:val="00647D11"/>
    <w:rsid w:val="00647EC2"/>
    <w:rsid w:val="00650234"/>
    <w:rsid w:val="006518A4"/>
    <w:rsid w:val="006564D2"/>
    <w:rsid w:val="00656D5C"/>
    <w:rsid w:val="006571C3"/>
    <w:rsid w:val="0066044B"/>
    <w:rsid w:val="00660E84"/>
    <w:rsid w:val="00662658"/>
    <w:rsid w:val="006630AA"/>
    <w:rsid w:val="00663544"/>
    <w:rsid w:val="00666539"/>
    <w:rsid w:val="00666911"/>
    <w:rsid w:val="006705D9"/>
    <w:rsid w:val="00675F81"/>
    <w:rsid w:val="00676AED"/>
    <w:rsid w:val="0068143E"/>
    <w:rsid w:val="0068507D"/>
    <w:rsid w:val="00690386"/>
    <w:rsid w:val="0069118E"/>
    <w:rsid w:val="00691ADB"/>
    <w:rsid w:val="00691AF2"/>
    <w:rsid w:val="00692B80"/>
    <w:rsid w:val="00692CCD"/>
    <w:rsid w:val="00692D51"/>
    <w:rsid w:val="00692D54"/>
    <w:rsid w:val="00694DD7"/>
    <w:rsid w:val="0069608C"/>
    <w:rsid w:val="0069636B"/>
    <w:rsid w:val="006A10D7"/>
    <w:rsid w:val="006A1762"/>
    <w:rsid w:val="006A1954"/>
    <w:rsid w:val="006A19CE"/>
    <w:rsid w:val="006A1F0B"/>
    <w:rsid w:val="006A277A"/>
    <w:rsid w:val="006A327B"/>
    <w:rsid w:val="006A381E"/>
    <w:rsid w:val="006A4158"/>
    <w:rsid w:val="006A5973"/>
    <w:rsid w:val="006B04F3"/>
    <w:rsid w:val="006B38BF"/>
    <w:rsid w:val="006B5E64"/>
    <w:rsid w:val="006B6D31"/>
    <w:rsid w:val="006B7126"/>
    <w:rsid w:val="006C6B86"/>
    <w:rsid w:val="006D1BF1"/>
    <w:rsid w:val="006D4553"/>
    <w:rsid w:val="006D4A35"/>
    <w:rsid w:val="006D6B44"/>
    <w:rsid w:val="006E0F71"/>
    <w:rsid w:val="006E27FE"/>
    <w:rsid w:val="006E37A6"/>
    <w:rsid w:val="006E3AB5"/>
    <w:rsid w:val="006F15C1"/>
    <w:rsid w:val="00700663"/>
    <w:rsid w:val="00701110"/>
    <w:rsid w:val="00701909"/>
    <w:rsid w:val="00702E91"/>
    <w:rsid w:val="0070330F"/>
    <w:rsid w:val="00703624"/>
    <w:rsid w:val="007046ED"/>
    <w:rsid w:val="0070541F"/>
    <w:rsid w:val="00707001"/>
    <w:rsid w:val="007072A1"/>
    <w:rsid w:val="0071060C"/>
    <w:rsid w:val="00710BC5"/>
    <w:rsid w:val="00711538"/>
    <w:rsid w:val="007121CA"/>
    <w:rsid w:val="00712A24"/>
    <w:rsid w:val="007142CF"/>
    <w:rsid w:val="007167B9"/>
    <w:rsid w:val="0072003B"/>
    <w:rsid w:val="00720968"/>
    <w:rsid w:val="00721059"/>
    <w:rsid w:val="007211E6"/>
    <w:rsid w:val="007220C4"/>
    <w:rsid w:val="00723156"/>
    <w:rsid w:val="00725BEB"/>
    <w:rsid w:val="007305ED"/>
    <w:rsid w:val="007311B9"/>
    <w:rsid w:val="00732361"/>
    <w:rsid w:val="007357B9"/>
    <w:rsid w:val="007379DA"/>
    <w:rsid w:val="007412EE"/>
    <w:rsid w:val="00741AB9"/>
    <w:rsid w:val="00742D03"/>
    <w:rsid w:val="00744216"/>
    <w:rsid w:val="007452E8"/>
    <w:rsid w:val="00746990"/>
    <w:rsid w:val="00747093"/>
    <w:rsid w:val="00750CF7"/>
    <w:rsid w:val="00750D70"/>
    <w:rsid w:val="007528E1"/>
    <w:rsid w:val="007575D0"/>
    <w:rsid w:val="00761CAB"/>
    <w:rsid w:val="00762803"/>
    <w:rsid w:val="0076292F"/>
    <w:rsid w:val="0076401B"/>
    <w:rsid w:val="00764485"/>
    <w:rsid w:val="00765327"/>
    <w:rsid w:val="007662E0"/>
    <w:rsid w:val="007677A1"/>
    <w:rsid w:val="00767899"/>
    <w:rsid w:val="0077499D"/>
    <w:rsid w:val="00776E9C"/>
    <w:rsid w:val="007803B3"/>
    <w:rsid w:val="00780975"/>
    <w:rsid w:val="00780DF3"/>
    <w:rsid w:val="007816D8"/>
    <w:rsid w:val="00784150"/>
    <w:rsid w:val="00793272"/>
    <w:rsid w:val="0079499A"/>
    <w:rsid w:val="00794B64"/>
    <w:rsid w:val="007967C3"/>
    <w:rsid w:val="007A0A33"/>
    <w:rsid w:val="007A217F"/>
    <w:rsid w:val="007A4C7F"/>
    <w:rsid w:val="007B04DE"/>
    <w:rsid w:val="007B0AE6"/>
    <w:rsid w:val="007C0F0B"/>
    <w:rsid w:val="007C1B20"/>
    <w:rsid w:val="007C3B68"/>
    <w:rsid w:val="007C3F36"/>
    <w:rsid w:val="007C57BC"/>
    <w:rsid w:val="007C6C64"/>
    <w:rsid w:val="007D04CA"/>
    <w:rsid w:val="007D0A2B"/>
    <w:rsid w:val="007D12A1"/>
    <w:rsid w:val="007D40E5"/>
    <w:rsid w:val="007D4138"/>
    <w:rsid w:val="007D6246"/>
    <w:rsid w:val="007D6CEC"/>
    <w:rsid w:val="007D7577"/>
    <w:rsid w:val="007D7694"/>
    <w:rsid w:val="007E0104"/>
    <w:rsid w:val="007E3571"/>
    <w:rsid w:val="007E4178"/>
    <w:rsid w:val="007E6443"/>
    <w:rsid w:val="007F0A77"/>
    <w:rsid w:val="007F1E37"/>
    <w:rsid w:val="007F45D0"/>
    <w:rsid w:val="007F4653"/>
    <w:rsid w:val="007F4B45"/>
    <w:rsid w:val="007F50D3"/>
    <w:rsid w:val="007F6B1F"/>
    <w:rsid w:val="0080103B"/>
    <w:rsid w:val="008013F0"/>
    <w:rsid w:val="00802E1F"/>
    <w:rsid w:val="00803926"/>
    <w:rsid w:val="00804897"/>
    <w:rsid w:val="008219A0"/>
    <w:rsid w:val="00821BDC"/>
    <w:rsid w:val="00824574"/>
    <w:rsid w:val="008271EE"/>
    <w:rsid w:val="0083251A"/>
    <w:rsid w:val="008329DB"/>
    <w:rsid w:val="00834F3A"/>
    <w:rsid w:val="008360CE"/>
    <w:rsid w:val="008361C5"/>
    <w:rsid w:val="0083628F"/>
    <w:rsid w:val="00836E09"/>
    <w:rsid w:val="00837AB9"/>
    <w:rsid w:val="00840603"/>
    <w:rsid w:val="00842A0B"/>
    <w:rsid w:val="00843260"/>
    <w:rsid w:val="008446A7"/>
    <w:rsid w:val="00850039"/>
    <w:rsid w:val="00850637"/>
    <w:rsid w:val="0085495F"/>
    <w:rsid w:val="00854D98"/>
    <w:rsid w:val="00854F6D"/>
    <w:rsid w:val="00856DC1"/>
    <w:rsid w:val="0085751E"/>
    <w:rsid w:val="00860B29"/>
    <w:rsid w:val="00861B7F"/>
    <w:rsid w:val="008622E8"/>
    <w:rsid w:val="00863765"/>
    <w:rsid w:val="00864477"/>
    <w:rsid w:val="008645EE"/>
    <w:rsid w:val="0086555C"/>
    <w:rsid w:val="00870144"/>
    <w:rsid w:val="008704D2"/>
    <w:rsid w:val="0087072C"/>
    <w:rsid w:val="00871312"/>
    <w:rsid w:val="008720BA"/>
    <w:rsid w:val="00872686"/>
    <w:rsid w:val="00872B84"/>
    <w:rsid w:val="00873A65"/>
    <w:rsid w:val="00873D7A"/>
    <w:rsid w:val="00874627"/>
    <w:rsid w:val="00876FA7"/>
    <w:rsid w:val="00877820"/>
    <w:rsid w:val="00877CB3"/>
    <w:rsid w:val="008804CF"/>
    <w:rsid w:val="00880ACB"/>
    <w:rsid w:val="00882D58"/>
    <w:rsid w:val="00882F19"/>
    <w:rsid w:val="0088397B"/>
    <w:rsid w:val="00883D35"/>
    <w:rsid w:val="00884569"/>
    <w:rsid w:val="00885B75"/>
    <w:rsid w:val="00887A51"/>
    <w:rsid w:val="0089038A"/>
    <w:rsid w:val="00890A44"/>
    <w:rsid w:val="00890CF0"/>
    <w:rsid w:val="00890D9B"/>
    <w:rsid w:val="0089126F"/>
    <w:rsid w:val="00891C6C"/>
    <w:rsid w:val="00892EB7"/>
    <w:rsid w:val="00893CCD"/>
    <w:rsid w:val="0089531E"/>
    <w:rsid w:val="0089548B"/>
    <w:rsid w:val="008964B3"/>
    <w:rsid w:val="008A0BEC"/>
    <w:rsid w:val="008B1CB5"/>
    <w:rsid w:val="008B27FB"/>
    <w:rsid w:val="008B475F"/>
    <w:rsid w:val="008C1D0D"/>
    <w:rsid w:val="008C2D69"/>
    <w:rsid w:val="008C49C6"/>
    <w:rsid w:val="008C754C"/>
    <w:rsid w:val="008C7CFC"/>
    <w:rsid w:val="008D0A1A"/>
    <w:rsid w:val="008D1201"/>
    <w:rsid w:val="008D56C9"/>
    <w:rsid w:val="008D56CA"/>
    <w:rsid w:val="008D6A54"/>
    <w:rsid w:val="008D7B57"/>
    <w:rsid w:val="008E2585"/>
    <w:rsid w:val="008E2D7A"/>
    <w:rsid w:val="008F0912"/>
    <w:rsid w:val="008F3215"/>
    <w:rsid w:val="008F4A62"/>
    <w:rsid w:val="008F58E8"/>
    <w:rsid w:val="008F704A"/>
    <w:rsid w:val="008F7256"/>
    <w:rsid w:val="00901033"/>
    <w:rsid w:val="00902092"/>
    <w:rsid w:val="009028E1"/>
    <w:rsid w:val="0090424C"/>
    <w:rsid w:val="00904A36"/>
    <w:rsid w:val="009056C3"/>
    <w:rsid w:val="0090605E"/>
    <w:rsid w:val="00906181"/>
    <w:rsid w:val="00906C74"/>
    <w:rsid w:val="009108CE"/>
    <w:rsid w:val="00915A9F"/>
    <w:rsid w:val="00922474"/>
    <w:rsid w:val="009235F1"/>
    <w:rsid w:val="00930D58"/>
    <w:rsid w:val="00930E36"/>
    <w:rsid w:val="00932CCC"/>
    <w:rsid w:val="00932D2D"/>
    <w:rsid w:val="00935AAA"/>
    <w:rsid w:val="0095031E"/>
    <w:rsid w:val="0095262E"/>
    <w:rsid w:val="00954297"/>
    <w:rsid w:val="00955DD1"/>
    <w:rsid w:val="00960876"/>
    <w:rsid w:val="00960A56"/>
    <w:rsid w:val="00961149"/>
    <w:rsid w:val="00963C75"/>
    <w:rsid w:val="00964058"/>
    <w:rsid w:val="009648A3"/>
    <w:rsid w:val="0096547E"/>
    <w:rsid w:val="00965BE6"/>
    <w:rsid w:val="00966EF1"/>
    <w:rsid w:val="00967223"/>
    <w:rsid w:val="0097119F"/>
    <w:rsid w:val="00972538"/>
    <w:rsid w:val="009751BD"/>
    <w:rsid w:val="009751F7"/>
    <w:rsid w:val="00976715"/>
    <w:rsid w:val="009808D0"/>
    <w:rsid w:val="0098168B"/>
    <w:rsid w:val="00981F1D"/>
    <w:rsid w:val="0098350E"/>
    <w:rsid w:val="00985ACE"/>
    <w:rsid w:val="00986605"/>
    <w:rsid w:val="009874F2"/>
    <w:rsid w:val="00990C12"/>
    <w:rsid w:val="00990EA4"/>
    <w:rsid w:val="0099374F"/>
    <w:rsid w:val="0099404F"/>
    <w:rsid w:val="0099416B"/>
    <w:rsid w:val="00996B9C"/>
    <w:rsid w:val="00996FA5"/>
    <w:rsid w:val="009A24C5"/>
    <w:rsid w:val="009A29B9"/>
    <w:rsid w:val="009A6D8A"/>
    <w:rsid w:val="009B094A"/>
    <w:rsid w:val="009B3118"/>
    <w:rsid w:val="009B5662"/>
    <w:rsid w:val="009B645A"/>
    <w:rsid w:val="009B66D0"/>
    <w:rsid w:val="009C0A36"/>
    <w:rsid w:val="009C2211"/>
    <w:rsid w:val="009C2E07"/>
    <w:rsid w:val="009C401B"/>
    <w:rsid w:val="009C4093"/>
    <w:rsid w:val="009C40E8"/>
    <w:rsid w:val="009C45C5"/>
    <w:rsid w:val="009D0768"/>
    <w:rsid w:val="009D2CFA"/>
    <w:rsid w:val="009D7F76"/>
    <w:rsid w:val="009E0EDB"/>
    <w:rsid w:val="009E5233"/>
    <w:rsid w:val="009E6858"/>
    <w:rsid w:val="009E6F8C"/>
    <w:rsid w:val="009F1FB1"/>
    <w:rsid w:val="009F405F"/>
    <w:rsid w:val="00A01C56"/>
    <w:rsid w:val="00A03A04"/>
    <w:rsid w:val="00A06A69"/>
    <w:rsid w:val="00A15F99"/>
    <w:rsid w:val="00A16276"/>
    <w:rsid w:val="00A16649"/>
    <w:rsid w:val="00A16B99"/>
    <w:rsid w:val="00A17607"/>
    <w:rsid w:val="00A176A5"/>
    <w:rsid w:val="00A21ABB"/>
    <w:rsid w:val="00A24070"/>
    <w:rsid w:val="00A3263A"/>
    <w:rsid w:val="00A32C50"/>
    <w:rsid w:val="00A358E7"/>
    <w:rsid w:val="00A4018B"/>
    <w:rsid w:val="00A402CF"/>
    <w:rsid w:val="00A40C35"/>
    <w:rsid w:val="00A4380B"/>
    <w:rsid w:val="00A44E89"/>
    <w:rsid w:val="00A4523E"/>
    <w:rsid w:val="00A46891"/>
    <w:rsid w:val="00A46C41"/>
    <w:rsid w:val="00A51A2D"/>
    <w:rsid w:val="00A51B4B"/>
    <w:rsid w:val="00A5596B"/>
    <w:rsid w:val="00A61A9B"/>
    <w:rsid w:val="00A63C07"/>
    <w:rsid w:val="00A63D9B"/>
    <w:rsid w:val="00A657CD"/>
    <w:rsid w:val="00A66D53"/>
    <w:rsid w:val="00A704D3"/>
    <w:rsid w:val="00A704DC"/>
    <w:rsid w:val="00A75225"/>
    <w:rsid w:val="00A75A21"/>
    <w:rsid w:val="00A75B1C"/>
    <w:rsid w:val="00A7653C"/>
    <w:rsid w:val="00A77B03"/>
    <w:rsid w:val="00A811C3"/>
    <w:rsid w:val="00A85032"/>
    <w:rsid w:val="00A86363"/>
    <w:rsid w:val="00A86DBC"/>
    <w:rsid w:val="00A90BF1"/>
    <w:rsid w:val="00A91583"/>
    <w:rsid w:val="00A93AB9"/>
    <w:rsid w:val="00A93DC6"/>
    <w:rsid w:val="00A9411A"/>
    <w:rsid w:val="00A95631"/>
    <w:rsid w:val="00AA2C71"/>
    <w:rsid w:val="00AA4A4B"/>
    <w:rsid w:val="00AA6682"/>
    <w:rsid w:val="00AA72E1"/>
    <w:rsid w:val="00AB0613"/>
    <w:rsid w:val="00AB5602"/>
    <w:rsid w:val="00AB5800"/>
    <w:rsid w:val="00AB7C5C"/>
    <w:rsid w:val="00AB7CBF"/>
    <w:rsid w:val="00AC3BB0"/>
    <w:rsid w:val="00AC49F0"/>
    <w:rsid w:val="00AC4F9D"/>
    <w:rsid w:val="00AD0111"/>
    <w:rsid w:val="00AD0936"/>
    <w:rsid w:val="00AD0B68"/>
    <w:rsid w:val="00AD32D8"/>
    <w:rsid w:val="00AD3CBB"/>
    <w:rsid w:val="00AD40C3"/>
    <w:rsid w:val="00AD4C72"/>
    <w:rsid w:val="00AD5451"/>
    <w:rsid w:val="00AD6FB0"/>
    <w:rsid w:val="00AE04D6"/>
    <w:rsid w:val="00AE1947"/>
    <w:rsid w:val="00AE25F2"/>
    <w:rsid w:val="00AE4EFB"/>
    <w:rsid w:val="00AE52DD"/>
    <w:rsid w:val="00AF1C8B"/>
    <w:rsid w:val="00AF299B"/>
    <w:rsid w:val="00AF59C9"/>
    <w:rsid w:val="00AF7E43"/>
    <w:rsid w:val="00B00147"/>
    <w:rsid w:val="00B00A1A"/>
    <w:rsid w:val="00B0213B"/>
    <w:rsid w:val="00B027A2"/>
    <w:rsid w:val="00B028D3"/>
    <w:rsid w:val="00B02AE0"/>
    <w:rsid w:val="00B03F25"/>
    <w:rsid w:val="00B05326"/>
    <w:rsid w:val="00B109BD"/>
    <w:rsid w:val="00B13687"/>
    <w:rsid w:val="00B13806"/>
    <w:rsid w:val="00B14545"/>
    <w:rsid w:val="00B14E60"/>
    <w:rsid w:val="00B16E77"/>
    <w:rsid w:val="00B17BA2"/>
    <w:rsid w:val="00B24BAE"/>
    <w:rsid w:val="00B26DC3"/>
    <w:rsid w:val="00B26F19"/>
    <w:rsid w:val="00B27B60"/>
    <w:rsid w:val="00B30B9D"/>
    <w:rsid w:val="00B3775F"/>
    <w:rsid w:val="00B40BE3"/>
    <w:rsid w:val="00B40DAB"/>
    <w:rsid w:val="00B44B57"/>
    <w:rsid w:val="00B4574D"/>
    <w:rsid w:val="00B468E1"/>
    <w:rsid w:val="00B46BC0"/>
    <w:rsid w:val="00B46DFB"/>
    <w:rsid w:val="00B47496"/>
    <w:rsid w:val="00B506DB"/>
    <w:rsid w:val="00B5141B"/>
    <w:rsid w:val="00B55681"/>
    <w:rsid w:val="00B55B4F"/>
    <w:rsid w:val="00B57AAD"/>
    <w:rsid w:val="00B57B57"/>
    <w:rsid w:val="00B60327"/>
    <w:rsid w:val="00B61018"/>
    <w:rsid w:val="00B61A23"/>
    <w:rsid w:val="00B6374E"/>
    <w:rsid w:val="00B649BE"/>
    <w:rsid w:val="00B657A2"/>
    <w:rsid w:val="00B72B16"/>
    <w:rsid w:val="00B76BD3"/>
    <w:rsid w:val="00B80408"/>
    <w:rsid w:val="00B81397"/>
    <w:rsid w:val="00B847DC"/>
    <w:rsid w:val="00B925DB"/>
    <w:rsid w:val="00B95875"/>
    <w:rsid w:val="00B967FF"/>
    <w:rsid w:val="00B974B9"/>
    <w:rsid w:val="00B97CE9"/>
    <w:rsid w:val="00BA3696"/>
    <w:rsid w:val="00BA3F6D"/>
    <w:rsid w:val="00BA4BE6"/>
    <w:rsid w:val="00BA4FC0"/>
    <w:rsid w:val="00BA5899"/>
    <w:rsid w:val="00BA61E0"/>
    <w:rsid w:val="00BA657C"/>
    <w:rsid w:val="00BA7F7D"/>
    <w:rsid w:val="00BB1C14"/>
    <w:rsid w:val="00BB257F"/>
    <w:rsid w:val="00BB5E80"/>
    <w:rsid w:val="00BB6847"/>
    <w:rsid w:val="00BB6D1F"/>
    <w:rsid w:val="00BB76A8"/>
    <w:rsid w:val="00BB7F8F"/>
    <w:rsid w:val="00BC04A2"/>
    <w:rsid w:val="00BC2193"/>
    <w:rsid w:val="00BC45B1"/>
    <w:rsid w:val="00BC5850"/>
    <w:rsid w:val="00BC716A"/>
    <w:rsid w:val="00BD019F"/>
    <w:rsid w:val="00BD07DF"/>
    <w:rsid w:val="00BD26F4"/>
    <w:rsid w:val="00BD2C7F"/>
    <w:rsid w:val="00BD438A"/>
    <w:rsid w:val="00BD5DBD"/>
    <w:rsid w:val="00BD5DF6"/>
    <w:rsid w:val="00BD7179"/>
    <w:rsid w:val="00BE0041"/>
    <w:rsid w:val="00BE4974"/>
    <w:rsid w:val="00BE61FF"/>
    <w:rsid w:val="00BE640F"/>
    <w:rsid w:val="00BE6D2A"/>
    <w:rsid w:val="00BF0D75"/>
    <w:rsid w:val="00BF22A6"/>
    <w:rsid w:val="00BF2C12"/>
    <w:rsid w:val="00BF2C6E"/>
    <w:rsid w:val="00BF2F04"/>
    <w:rsid w:val="00BF437B"/>
    <w:rsid w:val="00BF4638"/>
    <w:rsid w:val="00BF5130"/>
    <w:rsid w:val="00BF7233"/>
    <w:rsid w:val="00C00844"/>
    <w:rsid w:val="00C059D0"/>
    <w:rsid w:val="00C07551"/>
    <w:rsid w:val="00C07C4D"/>
    <w:rsid w:val="00C1109F"/>
    <w:rsid w:val="00C12D65"/>
    <w:rsid w:val="00C133AB"/>
    <w:rsid w:val="00C14A03"/>
    <w:rsid w:val="00C1588B"/>
    <w:rsid w:val="00C20B56"/>
    <w:rsid w:val="00C22214"/>
    <w:rsid w:val="00C2477A"/>
    <w:rsid w:val="00C24CE9"/>
    <w:rsid w:val="00C26F72"/>
    <w:rsid w:val="00C27C4C"/>
    <w:rsid w:val="00C309A7"/>
    <w:rsid w:val="00C315A8"/>
    <w:rsid w:val="00C335AB"/>
    <w:rsid w:val="00C3648C"/>
    <w:rsid w:val="00C407AB"/>
    <w:rsid w:val="00C40F92"/>
    <w:rsid w:val="00C5055C"/>
    <w:rsid w:val="00C51A6C"/>
    <w:rsid w:val="00C52B7B"/>
    <w:rsid w:val="00C547CD"/>
    <w:rsid w:val="00C551A8"/>
    <w:rsid w:val="00C55348"/>
    <w:rsid w:val="00C55DD7"/>
    <w:rsid w:val="00C570FF"/>
    <w:rsid w:val="00C57CEA"/>
    <w:rsid w:val="00C60316"/>
    <w:rsid w:val="00C60FEC"/>
    <w:rsid w:val="00C624EE"/>
    <w:rsid w:val="00C62B1C"/>
    <w:rsid w:val="00C633A0"/>
    <w:rsid w:val="00C6443A"/>
    <w:rsid w:val="00C6574E"/>
    <w:rsid w:val="00C65EFB"/>
    <w:rsid w:val="00C663D1"/>
    <w:rsid w:val="00C70263"/>
    <w:rsid w:val="00C707FD"/>
    <w:rsid w:val="00C7124B"/>
    <w:rsid w:val="00C7528F"/>
    <w:rsid w:val="00C7628B"/>
    <w:rsid w:val="00C76DEB"/>
    <w:rsid w:val="00C80966"/>
    <w:rsid w:val="00C811D8"/>
    <w:rsid w:val="00C816C6"/>
    <w:rsid w:val="00C817CE"/>
    <w:rsid w:val="00C863A7"/>
    <w:rsid w:val="00C912F4"/>
    <w:rsid w:val="00C9156F"/>
    <w:rsid w:val="00C92180"/>
    <w:rsid w:val="00C9253B"/>
    <w:rsid w:val="00C94EBC"/>
    <w:rsid w:val="00C9581A"/>
    <w:rsid w:val="00C95E4B"/>
    <w:rsid w:val="00C97D29"/>
    <w:rsid w:val="00CA1933"/>
    <w:rsid w:val="00CA44B5"/>
    <w:rsid w:val="00CA5E41"/>
    <w:rsid w:val="00CB0550"/>
    <w:rsid w:val="00CB0583"/>
    <w:rsid w:val="00CB4517"/>
    <w:rsid w:val="00CB60DC"/>
    <w:rsid w:val="00CB6210"/>
    <w:rsid w:val="00CB64E6"/>
    <w:rsid w:val="00CB6813"/>
    <w:rsid w:val="00CC0C04"/>
    <w:rsid w:val="00CC0EBA"/>
    <w:rsid w:val="00CC1B05"/>
    <w:rsid w:val="00CC3945"/>
    <w:rsid w:val="00CC3B7C"/>
    <w:rsid w:val="00CC5352"/>
    <w:rsid w:val="00CD6CDC"/>
    <w:rsid w:val="00CE1CDA"/>
    <w:rsid w:val="00CF1E06"/>
    <w:rsid w:val="00CF6A55"/>
    <w:rsid w:val="00CF6DC6"/>
    <w:rsid w:val="00CF6DCF"/>
    <w:rsid w:val="00D01DDB"/>
    <w:rsid w:val="00D038BD"/>
    <w:rsid w:val="00D04679"/>
    <w:rsid w:val="00D061B2"/>
    <w:rsid w:val="00D062BC"/>
    <w:rsid w:val="00D078BE"/>
    <w:rsid w:val="00D103D9"/>
    <w:rsid w:val="00D13882"/>
    <w:rsid w:val="00D13F8A"/>
    <w:rsid w:val="00D16F60"/>
    <w:rsid w:val="00D22981"/>
    <w:rsid w:val="00D2405C"/>
    <w:rsid w:val="00D251C3"/>
    <w:rsid w:val="00D2605D"/>
    <w:rsid w:val="00D2797A"/>
    <w:rsid w:val="00D3118D"/>
    <w:rsid w:val="00D31CDF"/>
    <w:rsid w:val="00D331E9"/>
    <w:rsid w:val="00D3349B"/>
    <w:rsid w:val="00D3444F"/>
    <w:rsid w:val="00D3580A"/>
    <w:rsid w:val="00D366F0"/>
    <w:rsid w:val="00D401B9"/>
    <w:rsid w:val="00D41226"/>
    <w:rsid w:val="00D4203B"/>
    <w:rsid w:val="00D422ED"/>
    <w:rsid w:val="00D424A8"/>
    <w:rsid w:val="00D440BC"/>
    <w:rsid w:val="00D44C76"/>
    <w:rsid w:val="00D46DE9"/>
    <w:rsid w:val="00D54B4B"/>
    <w:rsid w:val="00D55791"/>
    <w:rsid w:val="00D55F0D"/>
    <w:rsid w:val="00D57CE3"/>
    <w:rsid w:val="00D6026D"/>
    <w:rsid w:val="00D6036F"/>
    <w:rsid w:val="00D62877"/>
    <w:rsid w:val="00D635E7"/>
    <w:rsid w:val="00D63760"/>
    <w:rsid w:val="00D6469A"/>
    <w:rsid w:val="00D6549E"/>
    <w:rsid w:val="00D6703F"/>
    <w:rsid w:val="00D725C5"/>
    <w:rsid w:val="00D734EB"/>
    <w:rsid w:val="00D74DC5"/>
    <w:rsid w:val="00D75D04"/>
    <w:rsid w:val="00D770DC"/>
    <w:rsid w:val="00D7733C"/>
    <w:rsid w:val="00D817A9"/>
    <w:rsid w:val="00D82713"/>
    <w:rsid w:val="00D857A7"/>
    <w:rsid w:val="00D868DD"/>
    <w:rsid w:val="00D86F00"/>
    <w:rsid w:val="00D918D5"/>
    <w:rsid w:val="00D94704"/>
    <w:rsid w:val="00D94C8E"/>
    <w:rsid w:val="00D9679A"/>
    <w:rsid w:val="00DA23CE"/>
    <w:rsid w:val="00DB1372"/>
    <w:rsid w:val="00DB192C"/>
    <w:rsid w:val="00DB1CF3"/>
    <w:rsid w:val="00DB5425"/>
    <w:rsid w:val="00DB72A6"/>
    <w:rsid w:val="00DB7733"/>
    <w:rsid w:val="00DB7D08"/>
    <w:rsid w:val="00DC142C"/>
    <w:rsid w:val="00DC33AF"/>
    <w:rsid w:val="00DC4487"/>
    <w:rsid w:val="00DC6611"/>
    <w:rsid w:val="00DC6A85"/>
    <w:rsid w:val="00DD0CC1"/>
    <w:rsid w:val="00DD3732"/>
    <w:rsid w:val="00DD5AFB"/>
    <w:rsid w:val="00DD6F33"/>
    <w:rsid w:val="00DE1344"/>
    <w:rsid w:val="00DE25DA"/>
    <w:rsid w:val="00DE2C7E"/>
    <w:rsid w:val="00DF0BB4"/>
    <w:rsid w:val="00DF1958"/>
    <w:rsid w:val="00DF1CFD"/>
    <w:rsid w:val="00DF5BFE"/>
    <w:rsid w:val="00DF60B0"/>
    <w:rsid w:val="00E01360"/>
    <w:rsid w:val="00E02970"/>
    <w:rsid w:val="00E05046"/>
    <w:rsid w:val="00E0523F"/>
    <w:rsid w:val="00E07ABC"/>
    <w:rsid w:val="00E12F63"/>
    <w:rsid w:val="00E23E50"/>
    <w:rsid w:val="00E2404A"/>
    <w:rsid w:val="00E26213"/>
    <w:rsid w:val="00E27328"/>
    <w:rsid w:val="00E274DF"/>
    <w:rsid w:val="00E34D66"/>
    <w:rsid w:val="00E362C4"/>
    <w:rsid w:val="00E46CC2"/>
    <w:rsid w:val="00E47071"/>
    <w:rsid w:val="00E473F9"/>
    <w:rsid w:val="00E47E0C"/>
    <w:rsid w:val="00E51813"/>
    <w:rsid w:val="00E52277"/>
    <w:rsid w:val="00E52C0B"/>
    <w:rsid w:val="00E53D3F"/>
    <w:rsid w:val="00E5579B"/>
    <w:rsid w:val="00E56CBA"/>
    <w:rsid w:val="00E57FF4"/>
    <w:rsid w:val="00E65E86"/>
    <w:rsid w:val="00E66B43"/>
    <w:rsid w:val="00E679D1"/>
    <w:rsid w:val="00E67C1C"/>
    <w:rsid w:val="00E70E89"/>
    <w:rsid w:val="00E71ED8"/>
    <w:rsid w:val="00E720F9"/>
    <w:rsid w:val="00E726E7"/>
    <w:rsid w:val="00E74D4F"/>
    <w:rsid w:val="00E8457B"/>
    <w:rsid w:val="00E917C2"/>
    <w:rsid w:val="00E91F11"/>
    <w:rsid w:val="00E93A7B"/>
    <w:rsid w:val="00E948D5"/>
    <w:rsid w:val="00E95702"/>
    <w:rsid w:val="00E96159"/>
    <w:rsid w:val="00E9706D"/>
    <w:rsid w:val="00EA1733"/>
    <w:rsid w:val="00EA3AF4"/>
    <w:rsid w:val="00EA4EFC"/>
    <w:rsid w:val="00EA6EA8"/>
    <w:rsid w:val="00EA793C"/>
    <w:rsid w:val="00EB0F3F"/>
    <w:rsid w:val="00EB28E3"/>
    <w:rsid w:val="00EB6E08"/>
    <w:rsid w:val="00EC1607"/>
    <w:rsid w:val="00EC1C44"/>
    <w:rsid w:val="00EC1D03"/>
    <w:rsid w:val="00EC31A2"/>
    <w:rsid w:val="00EC4DAF"/>
    <w:rsid w:val="00EC4FED"/>
    <w:rsid w:val="00ED760D"/>
    <w:rsid w:val="00EE4B01"/>
    <w:rsid w:val="00EE7B99"/>
    <w:rsid w:val="00EF2133"/>
    <w:rsid w:val="00EF3F0B"/>
    <w:rsid w:val="00EF5287"/>
    <w:rsid w:val="00EF5459"/>
    <w:rsid w:val="00EF5583"/>
    <w:rsid w:val="00EF5DAE"/>
    <w:rsid w:val="00EF7329"/>
    <w:rsid w:val="00F0289D"/>
    <w:rsid w:val="00F02AEC"/>
    <w:rsid w:val="00F05170"/>
    <w:rsid w:val="00F0570A"/>
    <w:rsid w:val="00F07572"/>
    <w:rsid w:val="00F10033"/>
    <w:rsid w:val="00F12D6B"/>
    <w:rsid w:val="00F157FC"/>
    <w:rsid w:val="00F17D9A"/>
    <w:rsid w:val="00F2118D"/>
    <w:rsid w:val="00F30AF3"/>
    <w:rsid w:val="00F30B44"/>
    <w:rsid w:val="00F3547E"/>
    <w:rsid w:val="00F43CD1"/>
    <w:rsid w:val="00F4538D"/>
    <w:rsid w:val="00F45AE0"/>
    <w:rsid w:val="00F54526"/>
    <w:rsid w:val="00F55423"/>
    <w:rsid w:val="00F57834"/>
    <w:rsid w:val="00F57EDD"/>
    <w:rsid w:val="00F60CF2"/>
    <w:rsid w:val="00F64E6F"/>
    <w:rsid w:val="00F657B4"/>
    <w:rsid w:val="00F67998"/>
    <w:rsid w:val="00F7009F"/>
    <w:rsid w:val="00F70248"/>
    <w:rsid w:val="00F71AEA"/>
    <w:rsid w:val="00F72725"/>
    <w:rsid w:val="00F7649F"/>
    <w:rsid w:val="00F77726"/>
    <w:rsid w:val="00F8083B"/>
    <w:rsid w:val="00F82D1B"/>
    <w:rsid w:val="00F848ED"/>
    <w:rsid w:val="00F8568E"/>
    <w:rsid w:val="00F865A7"/>
    <w:rsid w:val="00F86B6F"/>
    <w:rsid w:val="00F86C31"/>
    <w:rsid w:val="00FA0754"/>
    <w:rsid w:val="00FA1483"/>
    <w:rsid w:val="00FA1BC9"/>
    <w:rsid w:val="00FA2277"/>
    <w:rsid w:val="00FA36E8"/>
    <w:rsid w:val="00FA3B95"/>
    <w:rsid w:val="00FA49C3"/>
    <w:rsid w:val="00FB10E0"/>
    <w:rsid w:val="00FB1A7F"/>
    <w:rsid w:val="00FB236E"/>
    <w:rsid w:val="00FB3F7B"/>
    <w:rsid w:val="00FB4C2A"/>
    <w:rsid w:val="00FB546E"/>
    <w:rsid w:val="00FC2107"/>
    <w:rsid w:val="00FC367D"/>
    <w:rsid w:val="00FC48FE"/>
    <w:rsid w:val="00FC6AC6"/>
    <w:rsid w:val="00FC6F56"/>
    <w:rsid w:val="00FD041F"/>
    <w:rsid w:val="00FE087C"/>
    <w:rsid w:val="00FE79A0"/>
    <w:rsid w:val="00FF0939"/>
    <w:rsid w:val="00FF2E43"/>
    <w:rsid w:val="00FF3366"/>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4D7D90E6-702E-4294-9998-8879834FE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447245"/>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Default">
    <w:name w:val="Default"/>
    <w:rsid w:val="000D3F1F"/>
    <w:pPr>
      <w:autoSpaceDE w:val="0"/>
      <w:autoSpaceDN w:val="0"/>
      <w:adjustRightInd w:val="0"/>
      <w:spacing w:after="0" w:line="240" w:lineRule="auto"/>
    </w:pPr>
    <w:rPr>
      <w:rFonts w:ascii="Cambria" w:hAnsi="Cambria" w:cs="Cambria"/>
      <w:color w:val="000000"/>
      <w:sz w:val="24"/>
      <w:szCs w:val="24"/>
    </w:rPr>
  </w:style>
  <w:style w:type="paragraph" w:customStyle="1" w:styleId="Tabletext0">
    <w:name w:val="Table text"/>
    <w:basedOn w:val="Normal"/>
    <w:link w:val="TabletextChar"/>
    <w:qFormat/>
    <w:rsid w:val="00A86DBC"/>
    <w:pPr>
      <w:spacing w:before="120" w:line="240" w:lineRule="atLeast"/>
    </w:pPr>
    <w:rPr>
      <w:rFonts w:eastAsia="Cambria" w:cs="Times New Roman"/>
      <w:kern w:val="16"/>
      <w:sz w:val="19"/>
      <w:szCs w:val="24"/>
    </w:rPr>
  </w:style>
  <w:style w:type="paragraph" w:customStyle="1" w:styleId="Standard">
    <w:name w:val="Standard"/>
    <w:basedOn w:val="Normal"/>
    <w:link w:val="StandardChar"/>
    <w:qFormat/>
    <w:rsid w:val="00A86DBC"/>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A86DBC"/>
    <w:rPr>
      <w:rFonts w:ascii="Cambria" w:eastAsia="Times New Roman" w:hAnsi="Cambria" w:cs="Times New Roman"/>
      <w:snapToGrid w:val="0"/>
      <w:kern w:val="16"/>
      <w:sz w:val="23"/>
      <w:szCs w:val="24"/>
    </w:rPr>
  </w:style>
  <w:style w:type="character" w:customStyle="1" w:styleId="TabletextChar">
    <w:name w:val="Table text Char"/>
    <w:basedOn w:val="StandardChar"/>
    <w:link w:val="Tabletext0"/>
    <w:rsid w:val="00A86DBC"/>
    <w:rPr>
      <w:rFonts w:ascii="Cambria" w:eastAsia="Cambria" w:hAnsi="Cambria" w:cs="Times New Roman"/>
      <w:snapToGrid/>
      <w:kern w:val="16"/>
      <w:sz w:val="19"/>
      <w:szCs w:val="24"/>
    </w:rPr>
  </w:style>
  <w:style w:type="character" w:customStyle="1" w:styleId="Heading7Char">
    <w:name w:val="Heading 7 Char"/>
    <w:basedOn w:val="DefaultParagraphFont"/>
    <w:link w:val="Heading7"/>
    <w:uiPriority w:val="9"/>
    <w:rsid w:val="00447245"/>
    <w:rPr>
      <w:rFonts w:asciiTheme="majorHAnsi" w:eastAsiaTheme="majorEastAsia" w:hAnsiTheme="majorHAnsi" w:cstheme="majorBidi"/>
      <w:i/>
      <w:iCs/>
      <w:color w:val="1F3763"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2021">
      <w:bodyDiv w:val="1"/>
      <w:marLeft w:val="0"/>
      <w:marRight w:val="0"/>
      <w:marTop w:val="0"/>
      <w:marBottom w:val="0"/>
      <w:divBdr>
        <w:top w:val="none" w:sz="0" w:space="0" w:color="auto"/>
        <w:left w:val="none" w:sz="0" w:space="0" w:color="auto"/>
        <w:bottom w:val="none" w:sz="0" w:space="0" w:color="auto"/>
        <w:right w:val="none" w:sz="0" w:space="0" w:color="auto"/>
      </w:divBdr>
    </w:div>
    <w:div w:id="338654990">
      <w:bodyDiv w:val="1"/>
      <w:marLeft w:val="0"/>
      <w:marRight w:val="0"/>
      <w:marTop w:val="0"/>
      <w:marBottom w:val="0"/>
      <w:divBdr>
        <w:top w:val="none" w:sz="0" w:space="0" w:color="auto"/>
        <w:left w:val="none" w:sz="0" w:space="0" w:color="auto"/>
        <w:bottom w:val="none" w:sz="0" w:space="0" w:color="auto"/>
        <w:right w:val="none" w:sz="0" w:space="0" w:color="auto"/>
      </w:divBdr>
    </w:div>
    <w:div w:id="486478083">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42658834">
      <w:bodyDiv w:val="1"/>
      <w:marLeft w:val="0"/>
      <w:marRight w:val="0"/>
      <w:marTop w:val="0"/>
      <w:marBottom w:val="0"/>
      <w:divBdr>
        <w:top w:val="none" w:sz="0" w:space="0" w:color="auto"/>
        <w:left w:val="none" w:sz="0" w:space="0" w:color="auto"/>
        <w:bottom w:val="none" w:sz="0" w:space="0" w:color="auto"/>
        <w:right w:val="none" w:sz="0" w:space="0" w:color="auto"/>
      </w:divBdr>
    </w:div>
    <w:div w:id="656500680">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778372124">
      <w:bodyDiv w:val="1"/>
      <w:marLeft w:val="0"/>
      <w:marRight w:val="0"/>
      <w:marTop w:val="0"/>
      <w:marBottom w:val="0"/>
      <w:divBdr>
        <w:top w:val="none" w:sz="0" w:space="0" w:color="auto"/>
        <w:left w:val="none" w:sz="0" w:space="0" w:color="auto"/>
        <w:bottom w:val="none" w:sz="0" w:space="0" w:color="auto"/>
        <w:right w:val="none" w:sz="0" w:space="0" w:color="auto"/>
      </w:divBdr>
    </w:div>
    <w:div w:id="905340652">
      <w:bodyDiv w:val="1"/>
      <w:marLeft w:val="0"/>
      <w:marRight w:val="0"/>
      <w:marTop w:val="0"/>
      <w:marBottom w:val="0"/>
      <w:divBdr>
        <w:top w:val="none" w:sz="0" w:space="0" w:color="auto"/>
        <w:left w:val="none" w:sz="0" w:space="0" w:color="auto"/>
        <w:bottom w:val="none" w:sz="0" w:space="0" w:color="auto"/>
        <w:right w:val="none" w:sz="0" w:space="0" w:color="auto"/>
      </w:divBdr>
    </w:div>
    <w:div w:id="1100833296">
      <w:bodyDiv w:val="1"/>
      <w:marLeft w:val="0"/>
      <w:marRight w:val="0"/>
      <w:marTop w:val="0"/>
      <w:marBottom w:val="0"/>
      <w:divBdr>
        <w:top w:val="none" w:sz="0" w:space="0" w:color="auto"/>
        <w:left w:val="none" w:sz="0" w:space="0" w:color="auto"/>
        <w:bottom w:val="none" w:sz="0" w:space="0" w:color="auto"/>
        <w:right w:val="none" w:sz="0" w:space="0" w:color="auto"/>
      </w:divBdr>
    </w:div>
    <w:div w:id="122633055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371028448">
      <w:bodyDiv w:val="1"/>
      <w:marLeft w:val="0"/>
      <w:marRight w:val="0"/>
      <w:marTop w:val="0"/>
      <w:marBottom w:val="0"/>
      <w:divBdr>
        <w:top w:val="none" w:sz="0" w:space="0" w:color="auto"/>
        <w:left w:val="none" w:sz="0" w:space="0" w:color="auto"/>
        <w:bottom w:val="none" w:sz="0" w:space="0" w:color="auto"/>
        <w:right w:val="none" w:sz="0" w:space="0" w:color="auto"/>
      </w:divBdr>
    </w:div>
    <w:div w:id="1448550621">
      <w:bodyDiv w:val="1"/>
      <w:marLeft w:val="0"/>
      <w:marRight w:val="0"/>
      <w:marTop w:val="0"/>
      <w:marBottom w:val="0"/>
      <w:divBdr>
        <w:top w:val="none" w:sz="0" w:space="0" w:color="auto"/>
        <w:left w:val="none" w:sz="0" w:space="0" w:color="auto"/>
        <w:bottom w:val="none" w:sz="0" w:space="0" w:color="auto"/>
        <w:right w:val="none" w:sz="0" w:space="0" w:color="auto"/>
      </w:divBdr>
    </w:div>
    <w:div w:id="1508062316">
      <w:bodyDiv w:val="1"/>
      <w:marLeft w:val="0"/>
      <w:marRight w:val="0"/>
      <w:marTop w:val="0"/>
      <w:marBottom w:val="0"/>
      <w:divBdr>
        <w:top w:val="none" w:sz="0" w:space="0" w:color="auto"/>
        <w:left w:val="none" w:sz="0" w:space="0" w:color="auto"/>
        <w:bottom w:val="none" w:sz="0" w:space="0" w:color="auto"/>
        <w:right w:val="none" w:sz="0" w:space="0" w:color="auto"/>
      </w:divBdr>
    </w:div>
    <w:div w:id="1623918200">
      <w:bodyDiv w:val="1"/>
      <w:marLeft w:val="0"/>
      <w:marRight w:val="0"/>
      <w:marTop w:val="0"/>
      <w:marBottom w:val="0"/>
      <w:divBdr>
        <w:top w:val="none" w:sz="0" w:space="0" w:color="auto"/>
        <w:left w:val="none" w:sz="0" w:space="0" w:color="auto"/>
        <w:bottom w:val="none" w:sz="0" w:space="0" w:color="auto"/>
        <w:right w:val="none" w:sz="0" w:space="0" w:color="auto"/>
      </w:divBdr>
    </w:div>
    <w:div w:id="1657761957">
      <w:bodyDiv w:val="1"/>
      <w:marLeft w:val="0"/>
      <w:marRight w:val="0"/>
      <w:marTop w:val="0"/>
      <w:marBottom w:val="0"/>
      <w:divBdr>
        <w:top w:val="none" w:sz="0" w:space="0" w:color="auto"/>
        <w:left w:val="none" w:sz="0" w:space="0" w:color="auto"/>
        <w:bottom w:val="none" w:sz="0" w:space="0" w:color="auto"/>
        <w:right w:val="none" w:sz="0" w:space="0" w:color="auto"/>
      </w:divBdr>
    </w:div>
    <w:div w:id="1678776287">
      <w:bodyDiv w:val="1"/>
      <w:marLeft w:val="0"/>
      <w:marRight w:val="0"/>
      <w:marTop w:val="0"/>
      <w:marBottom w:val="0"/>
      <w:divBdr>
        <w:top w:val="none" w:sz="0" w:space="0" w:color="auto"/>
        <w:left w:val="none" w:sz="0" w:space="0" w:color="auto"/>
        <w:bottom w:val="none" w:sz="0" w:space="0" w:color="auto"/>
        <w:right w:val="none" w:sz="0" w:space="0" w:color="auto"/>
      </w:divBdr>
    </w:div>
    <w:div w:id="1964605040">
      <w:bodyDiv w:val="1"/>
      <w:marLeft w:val="0"/>
      <w:marRight w:val="0"/>
      <w:marTop w:val="0"/>
      <w:marBottom w:val="0"/>
      <w:divBdr>
        <w:top w:val="none" w:sz="0" w:space="0" w:color="auto"/>
        <w:left w:val="none" w:sz="0" w:space="0" w:color="auto"/>
        <w:bottom w:val="none" w:sz="0" w:space="0" w:color="auto"/>
        <w:right w:val="none" w:sz="0" w:space="0" w:color="auto"/>
      </w:divBdr>
    </w:div>
    <w:div w:id="2015261079">
      <w:bodyDiv w:val="1"/>
      <w:marLeft w:val="0"/>
      <w:marRight w:val="0"/>
      <w:marTop w:val="0"/>
      <w:marBottom w:val="0"/>
      <w:divBdr>
        <w:top w:val="none" w:sz="0" w:space="0" w:color="auto"/>
        <w:left w:val="none" w:sz="0" w:space="0" w:color="auto"/>
        <w:bottom w:val="none" w:sz="0" w:space="0" w:color="auto"/>
        <w:right w:val="none" w:sz="0" w:space="0" w:color="auto"/>
      </w:divBdr>
    </w:div>
    <w:div w:id="2061591900">
      <w:bodyDiv w:val="1"/>
      <w:marLeft w:val="0"/>
      <w:marRight w:val="0"/>
      <w:marTop w:val="0"/>
      <w:marBottom w:val="0"/>
      <w:divBdr>
        <w:top w:val="none" w:sz="0" w:space="0" w:color="auto"/>
        <w:left w:val="none" w:sz="0" w:space="0" w:color="auto"/>
        <w:bottom w:val="none" w:sz="0" w:space="0" w:color="auto"/>
        <w:right w:val="none" w:sz="0" w:space="0" w:color="auto"/>
      </w:divBdr>
    </w:div>
    <w:div w:id="2081057606">
      <w:bodyDiv w:val="1"/>
      <w:marLeft w:val="0"/>
      <w:marRight w:val="0"/>
      <w:marTop w:val="0"/>
      <w:marBottom w:val="0"/>
      <w:divBdr>
        <w:top w:val="none" w:sz="0" w:space="0" w:color="auto"/>
        <w:left w:val="none" w:sz="0" w:space="0" w:color="auto"/>
        <w:bottom w:val="none" w:sz="0" w:space="0" w:color="auto"/>
        <w:right w:val="none" w:sz="0" w:space="0" w:color="auto"/>
      </w:divBdr>
    </w:div>
    <w:div w:id="2093693891">
      <w:bodyDiv w:val="1"/>
      <w:marLeft w:val="0"/>
      <w:marRight w:val="0"/>
      <w:marTop w:val="0"/>
      <w:marBottom w:val="0"/>
      <w:divBdr>
        <w:top w:val="none" w:sz="0" w:space="0" w:color="auto"/>
        <w:left w:val="none" w:sz="0" w:space="0" w:color="auto"/>
        <w:bottom w:val="none" w:sz="0" w:space="0" w:color="auto"/>
        <w:right w:val="none" w:sz="0" w:space="0" w:color="auto"/>
      </w:divBdr>
    </w:div>
    <w:div w:id="2094744244">
      <w:bodyDiv w:val="1"/>
      <w:marLeft w:val="0"/>
      <w:marRight w:val="0"/>
      <w:marTop w:val="0"/>
      <w:marBottom w:val="0"/>
      <w:divBdr>
        <w:top w:val="none" w:sz="0" w:space="0" w:color="auto"/>
        <w:left w:val="none" w:sz="0" w:space="0" w:color="auto"/>
        <w:bottom w:val="none" w:sz="0" w:space="0" w:color="auto"/>
        <w:right w:val="none" w:sz="0" w:space="0" w:color="auto"/>
      </w:divBdr>
    </w:div>
    <w:div w:id="2139106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tga.gov.au/australian-public-assessment-report-auspar-guidance" TargetMode="External"/><Relationship Id="rId26" Type="http://schemas.openxmlformats.org/officeDocument/2006/relationships/image" Target="media/image4.png"/><Relationship Id="rId39" Type="http://schemas.openxmlformats.org/officeDocument/2006/relationships/hyperlink" Target="https://www.tga.gov.au/resources/resource/guidance/risk-management-plans-medicines-and-biologicals/australia-specific-annex-eu-rmp" TargetMode="External"/><Relationship Id="rId21" Type="http://schemas.openxmlformats.org/officeDocument/2006/relationships/hyperlink" Target="https://www.tga.gov.au/products/medicines/find-information-about-medicine/prescribing-medicines-pregnancy-database" TargetMode="External"/><Relationship Id="rId34" Type="http://schemas.openxmlformats.org/officeDocument/2006/relationships/image" Target="media/image12.png"/><Relationship Id="rId42" Type="http://schemas.openxmlformats.org/officeDocument/2006/relationships/hyperlink" Target="http://www.tga.gov.au/ws-labs-index" TargetMode="External"/><Relationship Id="rId47" Type="http://schemas.openxmlformats.org/officeDocument/2006/relationships/footer" Target="footer4.xml"/><Relationship Id="rId50"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hyperlink" Target="https://www.tga.gov.au/products/australian-register-therapeutic-goods-artg" TargetMode="External"/><Relationship Id="rId32" Type="http://schemas.openxmlformats.org/officeDocument/2006/relationships/image" Target="media/image10.png"/><Relationship Id="rId37" Type="http://schemas.openxmlformats.org/officeDocument/2006/relationships/hyperlink" Target="https://www.tga.gov.au/publication/risk-management-plans-medicines-and-biologicals" TargetMode="External"/><Relationship Id="rId40" Type="http://schemas.openxmlformats.org/officeDocument/2006/relationships/hyperlink" Target="https://www.tga.gov.au/resources/resource/guidance/risk-management-plans-medicines-and-biologicals/australia-specific-annex-eu-rmp" TargetMode="External"/><Relationship Id="rId45" Type="http://schemas.openxmlformats.org/officeDocument/2006/relationships/hyperlink" Target="https://www.ebs.tga.gov.au/"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tga.copyright@tga.gov.au" TargetMode="External"/><Relationship Id="rId31" Type="http://schemas.openxmlformats.org/officeDocument/2006/relationships/image" Target="media/image9.png"/><Relationship Id="rId44" Type="http://schemas.openxmlformats.org/officeDocument/2006/relationships/hyperlink" Target="https://www.tga.gov.au/guidance-7-certified-product-details"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obstetric-drug-information-services"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www.tga.gov.au/form/certified-product-details-cpd-biologicalprescription-medicines" TargetMode="External"/><Relationship Id="rId48" Type="http://schemas.openxmlformats.org/officeDocument/2006/relationships/hyperlink" Target="mailto:info@tga.gov.au" TargetMode="External"/><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tga.gov.au/" TargetMode="External"/><Relationship Id="rId25" Type="http://schemas.openxmlformats.org/officeDocument/2006/relationships/hyperlink" Target="https://www.tga.gov.au/how-we-regulate/supply-therapeutic-good-0/supply-prescription-medicine/application-process/prescription-medicines-registration-process" TargetMode="External"/><Relationship Id="rId33" Type="http://schemas.openxmlformats.org/officeDocument/2006/relationships/image" Target="media/image11.png"/><Relationship Id="rId38" Type="http://schemas.openxmlformats.org/officeDocument/2006/relationships/hyperlink" Target="https://www.tga.gov.au/tgas-risk-management-approach" TargetMode="External"/><Relationship Id="rId46" Type="http://schemas.openxmlformats.org/officeDocument/2006/relationships/header" Target="header4.xml"/><Relationship Id="rId20" Type="http://schemas.openxmlformats.org/officeDocument/2006/relationships/hyperlink" Target="https://www.tga.gov.au/black-triangle-scheme" TargetMode="External"/><Relationship Id="rId41" Type="http://schemas.openxmlformats.org/officeDocument/2006/relationships/hyperlink" Target="http://www.ebs.tga.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tga.gov.au/products/australian-register-therapeutic-goods-artg"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s://www.tga.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ihw.gov.au/reports/chronic-musculoskeletal-conditions/osteoporosis"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문서" ma:contentTypeID="0x01010050B0282E67EBAD44BA33978F3DE838CD" ma:contentTypeVersion="22" ma:contentTypeDescription="새 문서를 만듭니다." ma:contentTypeScope="" ma:versionID="1d3c81fef556b4e6befbd158e36f45fe">
  <xsd:schema xmlns:xsd="http://www.w3.org/2001/XMLSchema" xmlns:xs="http://www.w3.org/2001/XMLSchema" xmlns:p="http://schemas.microsoft.com/office/2006/metadata/properties" xmlns:ns2="a68ea309-2971-43a8-9842-98147bb11bfd" xmlns:ns3="83901066-ea94-4f10-a339-f99c2cb3eec1" targetNamespace="http://schemas.microsoft.com/office/2006/metadata/properties" ma:root="true" ma:fieldsID="29503cace5b07065aab7fe5603eca450" ns2:_="" ns3:_="">
    <xsd:import namespace="a68ea309-2971-43a8-9842-98147bb11bfd"/>
    <xsd:import namespace="83901066-ea94-4f10-a339-f99c2cb3ee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3:TaxCatchAll" minOccurs="0"/>
                <xsd:element ref="ns2:lcf76f155ced4ddcb4097134ff3c332f" minOccurs="0"/>
                <xsd:element ref="ns2:_xc21c__xc11c_" minOccurs="0"/>
                <xsd:element ref="ns2:MediaServiceObjectDetectorVersions" minOccurs="0"/>
                <xsd:element ref="ns2:MediaServiceSearchProperties" minOccurs="0"/>
                <xsd:element ref="ns2:MediaServiceLoca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8ea309-2971-43a8-9842-98147bb11b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이미지 태그" ma:readOnly="false" ma:fieldId="{5cf76f15-5ced-4ddc-b409-7134ff3c332f}" ma:taxonomyMulti="true" ma:sspId="7732bab0-4bae-4f82-b313-259cd88cb718" ma:termSetId="09814cd3-568e-fe90-9814-8d621ff8fb84" ma:anchorId="fba54fb3-c3e1-fe81-a776-ca4b69148c4d" ma:open="true" ma:isKeyword="false">
      <xsd:complexType>
        <xsd:sequence>
          <xsd:element ref="pc:Terms" minOccurs="0" maxOccurs="1"/>
        </xsd:sequence>
      </xsd:complexType>
    </xsd:element>
    <xsd:element name="_xc21c__xc11c_" ma:index="23" nillable="true" ma:displayName="순서" ma:decimals="0" ma:format="Dropdown" ma:internalName="_xc21c__xc11c_" ma:percentage="FALSE">
      <xsd:simpleType>
        <xsd:restriction base="dms:Number"/>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Location" ma:index="26" nillable="true" ma:displayName="Location" ma:description="" ma:indexed="true" ma:internalName="MediaServiceLocation" ma:readOnly="true">
      <xsd:simpleType>
        <xsd:restriction base="dms:Text"/>
      </xsd:simpleType>
    </xsd:element>
    <xsd:element name="_Flow_SignoffStatus" ma:index="27" nillable="true" ma:displayName="사인 오프 상태" ma:internalName="_xc0ac__xc778__x0020__xc624__xd504__x0020__xc0c1__xd0dc_">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901066-ea94-4f10-a339-f99c2cb3eec1" elementFormDefault="qualified">
    <xsd:import namespace="http://schemas.microsoft.com/office/2006/documentManagement/types"/>
    <xsd:import namespace="http://schemas.microsoft.com/office/infopath/2007/PartnerControls"/>
    <xsd:element name="SharedWithUsers" ma:index="18"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세부 정보 공유" ma:internalName="SharedWithDetails" ma:readOnly="true">
      <xsd:simpleType>
        <xsd:restriction base="dms:Note">
          <xsd:maxLength value="255"/>
        </xsd:restriction>
      </xsd:simpleType>
    </xsd:element>
    <xsd:element name="TaxCatchAll" ma:index="20" nillable="true" ma:displayName="Taxonomy Catch All Column" ma:hidden="true" ma:list="{ab5631cb-0b52-4761-af16-434db647b9a9}" ma:internalName="TaxCatchAll" ma:showField="CatchAllData" ma:web="83901066-ea94-4f10-a339-f99c2cb3ee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68ea309-2971-43a8-9842-98147bb11bfd">
      <Terms xmlns="http://schemas.microsoft.com/office/infopath/2007/PartnerControls"/>
    </lcf76f155ced4ddcb4097134ff3c332f>
    <_xc21c__xc11c_ xmlns="a68ea309-2971-43a8-9842-98147bb11bfd" xsi:nil="true"/>
    <TaxCatchAll xmlns="83901066-ea94-4f10-a339-f99c2cb3eec1" xsi:nil="true"/>
    <_Flow_SignoffStatus xmlns="a68ea309-2971-43a8-9842-98147bb11bfd" xsi:nil="true"/>
  </documentManagement>
</p:properties>
</file>

<file path=customXml/itemProps1.xml><?xml version="1.0" encoding="utf-8"?>
<ds:datastoreItem xmlns:ds="http://schemas.openxmlformats.org/officeDocument/2006/customXml" ds:itemID="{D81DFA1F-EA2B-46BE-AA4E-8FC662A99082}">
  <ds:schemaRefs>
    <ds:schemaRef ds:uri="http://schemas.microsoft.com/sharepoint/v3/contenttype/forms"/>
  </ds:schemaRefs>
</ds:datastoreItem>
</file>

<file path=customXml/itemProps2.xml><?xml version="1.0" encoding="utf-8"?>
<ds:datastoreItem xmlns:ds="http://schemas.openxmlformats.org/officeDocument/2006/customXml" ds:itemID="{B1C8D593-F537-4DE4-9E25-F75C421D4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8ea309-2971-43a8-9842-98147bb11bfd"/>
    <ds:schemaRef ds:uri="83901066-ea94-4f10-a339-f99c2cb3e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4.xml><?xml version="1.0" encoding="utf-8"?>
<ds:datastoreItem xmlns:ds="http://schemas.openxmlformats.org/officeDocument/2006/customXml" ds:itemID="{896ECE22-D68E-44AA-AE91-9C104CF40A65}">
  <ds:schemaRefs>
    <ds:schemaRef ds:uri="http://schemas.microsoft.com/office/2006/metadata/properties"/>
    <ds:schemaRef ds:uri="http://schemas.microsoft.com/office/infopath/2007/PartnerControls"/>
    <ds:schemaRef ds:uri="a68ea309-2971-43a8-9842-98147bb11bfd"/>
    <ds:schemaRef ds:uri="83901066-ea94-4f10-a339-f99c2cb3eec1"/>
  </ds:schemaRefs>
</ds:datastoreItem>
</file>

<file path=docMetadata/LabelInfo.xml><?xml version="1.0" encoding="utf-8"?>
<clbl:labelList xmlns:clbl="http://schemas.microsoft.com/office/2020/mipLabelMetadata">
  <clbl:label id="{7be1eb94-ead6-48ed-93e6-674231313976}" enabled="0" method="" siteId="{7be1eb94-ead6-48ed-93e6-674231313976}" removed="1"/>
</clbl:labelList>
</file>

<file path=docProps/app.xml><?xml version="1.0" encoding="utf-8"?>
<Properties xmlns="http://schemas.openxmlformats.org/officeDocument/2006/extended-properties" xmlns:vt="http://schemas.openxmlformats.org/officeDocument/2006/docPropsVTypes">
  <Template>Normal.dotm</Template>
  <TotalTime>120</TotalTime>
  <Pages>39</Pages>
  <Words>10255</Words>
  <Characters>58899</Characters>
  <Application>Microsoft Office Word</Application>
  <DocSecurity>0</DocSecurity>
  <Lines>1407</Lines>
  <Paragraphs>681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Australian public assessment report for Osenvelt, Stoboclo</vt:lpstr>
      <vt:lpstr>Australian public assessment report for</vt:lpstr>
    </vt:vector>
  </TitlesOfParts>
  <Company>Department of Health, Disability and Ageing</Company>
  <LinksUpToDate>false</LinksUpToDate>
  <CharactersWithSpaces>68698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Osenvelt, Stoboclo</dc:title>
  <dc:subject>Prescription medicines</dc:subject>
  <dc:creator>Therapeutic Goods Administration</dc:creator>
  <cp:keywords/>
  <dc:description/>
  <cp:lastModifiedBy>LACK, Janet</cp:lastModifiedBy>
  <cp:revision>4</cp:revision>
  <dcterms:created xsi:type="dcterms:W3CDTF">2025-12-09T03:25:00Z</dcterms:created>
  <dcterms:modified xsi:type="dcterms:W3CDTF">2025-12-09T05:25:00Z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1a69707a,5d589c3f,442cb81e,5a3a6a34,33d489c1</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66f1bed,3e7c2a8a,8d80b65,73a86cb5,2233e589</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2025-10-10T04:18:04Z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5e7e5cff-1d84-4a95-b46c-426e309b5c86</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0x01010050B0282E67EBAD44BA33978F3DE838CD</vt:lpwstr>
  </property>
  <property fmtid="{D5CDD505-2E9C-101B-9397-08002B2CF9AE}" pid="17" name="MediaServiceImageTags">
    <vt:lpwstr/>
  </property>
</Properties>
</file>