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1B12600" w:rsidR="00F02AEC" w:rsidRPr="00215D48" w:rsidRDefault="00346EC2" w:rsidP="007452E8">
            <w:pPr>
              <w:pStyle w:val="Title"/>
            </w:pPr>
            <w:r w:rsidRPr="00346EC2">
              <w:t xml:space="preserve">Australian Public Assessment Report for </w:t>
            </w:r>
            <w:r w:rsidR="006C4752">
              <w:t>Opuviz</w:t>
            </w:r>
          </w:p>
        </w:tc>
      </w:tr>
      <w:tr w:rsidR="00F02AEC" w:rsidRPr="00215D48" w14:paraId="318A40A3" w14:textId="77777777" w:rsidTr="00346EC2">
        <w:trPr>
          <w:trHeight w:val="995"/>
        </w:trPr>
        <w:tc>
          <w:tcPr>
            <w:tcW w:w="8720" w:type="dxa"/>
          </w:tcPr>
          <w:p w14:paraId="1AA7C701" w14:textId="562435C3" w:rsidR="00F02AEC" w:rsidRPr="00215D48" w:rsidRDefault="00346EC2" w:rsidP="007452E8">
            <w:pPr>
              <w:pStyle w:val="Subtitle"/>
              <w:ind w:left="0"/>
            </w:pPr>
            <w:r w:rsidRPr="00346EC2">
              <w:t>Active ingredient:</w:t>
            </w:r>
            <w:r w:rsidR="00D755AF">
              <w:t xml:space="preserve"> </w:t>
            </w:r>
            <w:bookmarkStart w:id="0" w:name="_Hlk217367404"/>
            <w:r w:rsidR="007E58A3">
              <w:t>A</w:t>
            </w:r>
            <w:r w:rsidR="00D755AF" w:rsidRPr="00D755AF">
              <w:t>flibercept</w:t>
            </w:r>
            <w:bookmarkEnd w:id="0"/>
          </w:p>
        </w:tc>
      </w:tr>
      <w:tr w:rsidR="00346EC2" w:rsidRPr="00453224" w14:paraId="362CCAE4" w14:textId="77777777" w:rsidTr="007452E8">
        <w:trPr>
          <w:trHeight w:val="1916"/>
        </w:trPr>
        <w:tc>
          <w:tcPr>
            <w:tcW w:w="8720" w:type="dxa"/>
          </w:tcPr>
          <w:p w14:paraId="709C45C0" w14:textId="0B05B978" w:rsidR="00346EC2" w:rsidRPr="00453224" w:rsidRDefault="004215E2" w:rsidP="007452E8">
            <w:pPr>
              <w:pStyle w:val="Subtitle"/>
              <w:ind w:left="0"/>
              <w:rPr>
                <w:lang w:val="de-DE"/>
              </w:rPr>
            </w:pPr>
            <w:r w:rsidRPr="00453224">
              <w:rPr>
                <w:lang w:val="de-DE"/>
              </w:rPr>
              <w:t>Sponsor</w:t>
            </w:r>
            <w:r w:rsidR="00346EC2" w:rsidRPr="00453224">
              <w:rPr>
                <w:lang w:val="de-DE"/>
              </w:rPr>
              <w:t>:</w:t>
            </w:r>
            <w:r w:rsidR="00D755AF" w:rsidRPr="00453224">
              <w:rPr>
                <w:lang w:val="de-DE"/>
              </w:rPr>
              <w:t xml:space="preserve"> </w:t>
            </w:r>
            <w:bookmarkStart w:id="1" w:name="_Hlk217367431"/>
            <w:r w:rsidR="00D755AF" w:rsidRPr="00453224">
              <w:rPr>
                <w:lang w:val="de-DE"/>
              </w:rPr>
              <w:t>Samsung Bioepis AU Pty Ltd</w:t>
            </w:r>
            <w:bookmarkEnd w:id="1"/>
          </w:p>
        </w:tc>
      </w:tr>
      <w:tr w:rsidR="00F02AEC" w:rsidRPr="00215D48" w14:paraId="37F2AA1F" w14:textId="77777777" w:rsidTr="007452E8">
        <w:tc>
          <w:tcPr>
            <w:tcW w:w="8720" w:type="dxa"/>
          </w:tcPr>
          <w:p w14:paraId="1FDE8DCD" w14:textId="30EC2ECB" w:rsidR="00F02AEC" w:rsidRPr="00215D48" w:rsidRDefault="007118A6" w:rsidP="007452E8">
            <w:pPr>
              <w:pStyle w:val="Date"/>
            </w:pPr>
            <w:r>
              <w:t>December</w:t>
            </w:r>
            <w:r w:rsidR="00D755AF">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1FAA52AB"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w:t>
      </w:r>
      <w:r w:rsidR="00456432" w:rsidRPr="00456432">
        <w:t xml:space="preserve"> Opuviz</w:t>
      </w:r>
      <w:r w:rsidRPr="00391B0C">
        <w:t>,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Batang"/>
          <w:szCs w:val="20"/>
        </w:rPr>
      </w:sdtEndPr>
      <w:sdtContent>
        <w:p w14:paraId="0A6ADA2B" w14:textId="77777777" w:rsidR="00F02AEC" w:rsidRPr="00215D48" w:rsidRDefault="00F02AEC" w:rsidP="007452E8">
          <w:pPr>
            <w:pStyle w:val="NonTOCheading2"/>
          </w:pPr>
          <w:r w:rsidRPr="00215D48">
            <w:t>Contents</w:t>
          </w:r>
        </w:p>
        <w:p w14:paraId="2A52B427" w14:textId="1232F668" w:rsidR="005F4691"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5222551" w:history="1">
            <w:r w:rsidR="005F4691" w:rsidRPr="00576C53">
              <w:rPr>
                <w:rStyle w:val="Hyperlink"/>
                <w:noProof/>
              </w:rPr>
              <w:t>List of abbreviations</w:t>
            </w:r>
            <w:r w:rsidR="005F4691">
              <w:rPr>
                <w:noProof/>
                <w:webHidden/>
              </w:rPr>
              <w:tab/>
            </w:r>
            <w:r w:rsidR="005F4691">
              <w:rPr>
                <w:noProof/>
                <w:webHidden/>
              </w:rPr>
              <w:fldChar w:fldCharType="begin"/>
            </w:r>
            <w:r w:rsidR="005F4691">
              <w:rPr>
                <w:noProof/>
                <w:webHidden/>
              </w:rPr>
              <w:instrText xml:space="preserve"> PAGEREF _Toc215222551 \h </w:instrText>
            </w:r>
            <w:r w:rsidR="005F4691">
              <w:rPr>
                <w:noProof/>
                <w:webHidden/>
              </w:rPr>
            </w:r>
            <w:r w:rsidR="005F4691">
              <w:rPr>
                <w:noProof/>
                <w:webHidden/>
              </w:rPr>
              <w:fldChar w:fldCharType="separate"/>
            </w:r>
            <w:r w:rsidR="005F4691">
              <w:rPr>
                <w:noProof/>
                <w:webHidden/>
              </w:rPr>
              <w:t>4</w:t>
            </w:r>
            <w:r w:rsidR="005F4691">
              <w:rPr>
                <w:noProof/>
                <w:webHidden/>
              </w:rPr>
              <w:fldChar w:fldCharType="end"/>
            </w:r>
          </w:hyperlink>
        </w:p>
        <w:p w14:paraId="41D5FDA8" w14:textId="1A308806" w:rsidR="005F4691" w:rsidRDefault="005F469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22552" w:history="1">
            <w:r w:rsidRPr="00576C53">
              <w:rPr>
                <w:rStyle w:val="Hyperlink"/>
                <w:noProof/>
              </w:rPr>
              <w:t>Product submission</w:t>
            </w:r>
            <w:r>
              <w:rPr>
                <w:noProof/>
                <w:webHidden/>
              </w:rPr>
              <w:tab/>
            </w:r>
            <w:r>
              <w:rPr>
                <w:noProof/>
                <w:webHidden/>
              </w:rPr>
              <w:fldChar w:fldCharType="begin"/>
            </w:r>
            <w:r>
              <w:rPr>
                <w:noProof/>
                <w:webHidden/>
              </w:rPr>
              <w:instrText xml:space="preserve"> PAGEREF _Toc215222552 \h </w:instrText>
            </w:r>
            <w:r>
              <w:rPr>
                <w:noProof/>
                <w:webHidden/>
              </w:rPr>
            </w:r>
            <w:r>
              <w:rPr>
                <w:noProof/>
                <w:webHidden/>
              </w:rPr>
              <w:fldChar w:fldCharType="separate"/>
            </w:r>
            <w:r>
              <w:rPr>
                <w:noProof/>
                <w:webHidden/>
              </w:rPr>
              <w:t>5</w:t>
            </w:r>
            <w:r>
              <w:rPr>
                <w:noProof/>
                <w:webHidden/>
              </w:rPr>
              <w:fldChar w:fldCharType="end"/>
            </w:r>
          </w:hyperlink>
        </w:p>
        <w:p w14:paraId="4970E66E" w14:textId="50F33455"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53" w:history="1">
            <w:r w:rsidRPr="00576C53">
              <w:rPr>
                <w:rStyle w:val="Hyperlink"/>
                <w:noProof/>
                <w:lang w:eastAsia="en-AU"/>
              </w:rPr>
              <w:t>Submission details</w:t>
            </w:r>
            <w:r>
              <w:rPr>
                <w:noProof/>
                <w:webHidden/>
              </w:rPr>
              <w:tab/>
            </w:r>
            <w:r>
              <w:rPr>
                <w:noProof/>
                <w:webHidden/>
              </w:rPr>
              <w:fldChar w:fldCharType="begin"/>
            </w:r>
            <w:r>
              <w:rPr>
                <w:noProof/>
                <w:webHidden/>
              </w:rPr>
              <w:instrText xml:space="preserve"> PAGEREF _Toc215222553 \h </w:instrText>
            </w:r>
            <w:r>
              <w:rPr>
                <w:noProof/>
                <w:webHidden/>
              </w:rPr>
            </w:r>
            <w:r>
              <w:rPr>
                <w:noProof/>
                <w:webHidden/>
              </w:rPr>
              <w:fldChar w:fldCharType="separate"/>
            </w:r>
            <w:r>
              <w:rPr>
                <w:noProof/>
                <w:webHidden/>
              </w:rPr>
              <w:t>5</w:t>
            </w:r>
            <w:r>
              <w:rPr>
                <w:noProof/>
                <w:webHidden/>
              </w:rPr>
              <w:fldChar w:fldCharType="end"/>
            </w:r>
          </w:hyperlink>
        </w:p>
        <w:p w14:paraId="0B44DFFB" w14:textId="27495F71"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54" w:history="1">
            <w:r w:rsidRPr="00576C53">
              <w:rPr>
                <w:rStyle w:val="Hyperlink"/>
                <w:noProof/>
              </w:rPr>
              <w:t>Product background</w:t>
            </w:r>
            <w:r>
              <w:rPr>
                <w:noProof/>
                <w:webHidden/>
              </w:rPr>
              <w:tab/>
            </w:r>
            <w:r>
              <w:rPr>
                <w:noProof/>
                <w:webHidden/>
              </w:rPr>
              <w:fldChar w:fldCharType="begin"/>
            </w:r>
            <w:r>
              <w:rPr>
                <w:noProof/>
                <w:webHidden/>
              </w:rPr>
              <w:instrText xml:space="preserve"> PAGEREF _Toc215222554 \h </w:instrText>
            </w:r>
            <w:r>
              <w:rPr>
                <w:noProof/>
                <w:webHidden/>
              </w:rPr>
            </w:r>
            <w:r>
              <w:rPr>
                <w:noProof/>
                <w:webHidden/>
              </w:rPr>
              <w:fldChar w:fldCharType="separate"/>
            </w:r>
            <w:r>
              <w:rPr>
                <w:noProof/>
                <w:webHidden/>
              </w:rPr>
              <w:t>6</w:t>
            </w:r>
            <w:r>
              <w:rPr>
                <w:noProof/>
                <w:webHidden/>
              </w:rPr>
              <w:fldChar w:fldCharType="end"/>
            </w:r>
          </w:hyperlink>
        </w:p>
        <w:p w14:paraId="6C5167BD" w14:textId="41FCC334"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55" w:history="1">
            <w:r w:rsidRPr="00576C53">
              <w:rPr>
                <w:rStyle w:val="Hyperlink"/>
                <w:noProof/>
              </w:rPr>
              <w:t>Disease or condition</w:t>
            </w:r>
            <w:r>
              <w:rPr>
                <w:noProof/>
                <w:webHidden/>
              </w:rPr>
              <w:tab/>
            </w:r>
            <w:r>
              <w:rPr>
                <w:noProof/>
                <w:webHidden/>
              </w:rPr>
              <w:fldChar w:fldCharType="begin"/>
            </w:r>
            <w:r>
              <w:rPr>
                <w:noProof/>
                <w:webHidden/>
              </w:rPr>
              <w:instrText xml:space="preserve"> PAGEREF _Toc215222555 \h </w:instrText>
            </w:r>
            <w:r>
              <w:rPr>
                <w:noProof/>
                <w:webHidden/>
              </w:rPr>
            </w:r>
            <w:r>
              <w:rPr>
                <w:noProof/>
                <w:webHidden/>
              </w:rPr>
              <w:fldChar w:fldCharType="separate"/>
            </w:r>
            <w:r>
              <w:rPr>
                <w:noProof/>
                <w:webHidden/>
              </w:rPr>
              <w:t>6</w:t>
            </w:r>
            <w:r>
              <w:rPr>
                <w:noProof/>
                <w:webHidden/>
              </w:rPr>
              <w:fldChar w:fldCharType="end"/>
            </w:r>
          </w:hyperlink>
        </w:p>
        <w:p w14:paraId="0A05A969" w14:textId="6A3BA8CD"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56" w:history="1">
            <w:r w:rsidRPr="00576C53">
              <w:rPr>
                <w:rStyle w:val="Hyperlink"/>
                <w:noProof/>
              </w:rPr>
              <w:t>Current treatment options</w:t>
            </w:r>
            <w:r>
              <w:rPr>
                <w:noProof/>
                <w:webHidden/>
              </w:rPr>
              <w:tab/>
            </w:r>
            <w:r>
              <w:rPr>
                <w:noProof/>
                <w:webHidden/>
              </w:rPr>
              <w:fldChar w:fldCharType="begin"/>
            </w:r>
            <w:r>
              <w:rPr>
                <w:noProof/>
                <w:webHidden/>
              </w:rPr>
              <w:instrText xml:space="preserve"> PAGEREF _Toc215222556 \h </w:instrText>
            </w:r>
            <w:r>
              <w:rPr>
                <w:noProof/>
                <w:webHidden/>
              </w:rPr>
            </w:r>
            <w:r>
              <w:rPr>
                <w:noProof/>
                <w:webHidden/>
              </w:rPr>
              <w:fldChar w:fldCharType="separate"/>
            </w:r>
            <w:r>
              <w:rPr>
                <w:noProof/>
                <w:webHidden/>
              </w:rPr>
              <w:t>7</w:t>
            </w:r>
            <w:r>
              <w:rPr>
                <w:noProof/>
                <w:webHidden/>
              </w:rPr>
              <w:fldChar w:fldCharType="end"/>
            </w:r>
          </w:hyperlink>
        </w:p>
        <w:p w14:paraId="1640DC6A" w14:textId="42266ACE"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57" w:history="1">
            <w:r w:rsidRPr="00576C53">
              <w:rPr>
                <w:rStyle w:val="Hyperlink"/>
                <w:noProof/>
              </w:rPr>
              <w:t>Regulatory status</w:t>
            </w:r>
            <w:r>
              <w:rPr>
                <w:noProof/>
                <w:webHidden/>
              </w:rPr>
              <w:tab/>
            </w:r>
            <w:r>
              <w:rPr>
                <w:noProof/>
                <w:webHidden/>
              </w:rPr>
              <w:fldChar w:fldCharType="begin"/>
            </w:r>
            <w:r>
              <w:rPr>
                <w:noProof/>
                <w:webHidden/>
              </w:rPr>
              <w:instrText xml:space="preserve"> PAGEREF _Toc215222557 \h </w:instrText>
            </w:r>
            <w:r>
              <w:rPr>
                <w:noProof/>
                <w:webHidden/>
              </w:rPr>
            </w:r>
            <w:r>
              <w:rPr>
                <w:noProof/>
                <w:webHidden/>
              </w:rPr>
              <w:fldChar w:fldCharType="separate"/>
            </w:r>
            <w:r>
              <w:rPr>
                <w:noProof/>
                <w:webHidden/>
              </w:rPr>
              <w:t>8</w:t>
            </w:r>
            <w:r>
              <w:rPr>
                <w:noProof/>
                <w:webHidden/>
              </w:rPr>
              <w:fldChar w:fldCharType="end"/>
            </w:r>
          </w:hyperlink>
        </w:p>
        <w:p w14:paraId="51549BFC" w14:textId="5AE063B7"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58" w:history="1">
            <w:r w:rsidRPr="00576C53">
              <w:rPr>
                <w:rStyle w:val="Hyperlink"/>
                <w:noProof/>
              </w:rPr>
              <w:t>Australian regulatory status</w:t>
            </w:r>
            <w:r>
              <w:rPr>
                <w:noProof/>
                <w:webHidden/>
              </w:rPr>
              <w:tab/>
            </w:r>
            <w:r>
              <w:rPr>
                <w:noProof/>
                <w:webHidden/>
              </w:rPr>
              <w:fldChar w:fldCharType="begin"/>
            </w:r>
            <w:r>
              <w:rPr>
                <w:noProof/>
                <w:webHidden/>
              </w:rPr>
              <w:instrText xml:space="preserve"> PAGEREF _Toc215222558 \h </w:instrText>
            </w:r>
            <w:r>
              <w:rPr>
                <w:noProof/>
                <w:webHidden/>
              </w:rPr>
            </w:r>
            <w:r>
              <w:rPr>
                <w:noProof/>
                <w:webHidden/>
              </w:rPr>
              <w:fldChar w:fldCharType="separate"/>
            </w:r>
            <w:r>
              <w:rPr>
                <w:noProof/>
                <w:webHidden/>
              </w:rPr>
              <w:t>8</w:t>
            </w:r>
            <w:r>
              <w:rPr>
                <w:noProof/>
                <w:webHidden/>
              </w:rPr>
              <w:fldChar w:fldCharType="end"/>
            </w:r>
          </w:hyperlink>
        </w:p>
        <w:p w14:paraId="35F0E558" w14:textId="556B8D0D"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59" w:history="1">
            <w:r w:rsidRPr="00576C53">
              <w:rPr>
                <w:rStyle w:val="Hyperlink"/>
                <w:noProof/>
              </w:rPr>
              <w:t>International regulatory status</w:t>
            </w:r>
            <w:r>
              <w:rPr>
                <w:noProof/>
                <w:webHidden/>
              </w:rPr>
              <w:tab/>
            </w:r>
            <w:r>
              <w:rPr>
                <w:noProof/>
                <w:webHidden/>
              </w:rPr>
              <w:fldChar w:fldCharType="begin"/>
            </w:r>
            <w:r>
              <w:rPr>
                <w:noProof/>
                <w:webHidden/>
              </w:rPr>
              <w:instrText xml:space="preserve"> PAGEREF _Toc215222559 \h </w:instrText>
            </w:r>
            <w:r>
              <w:rPr>
                <w:noProof/>
                <w:webHidden/>
              </w:rPr>
            </w:r>
            <w:r>
              <w:rPr>
                <w:noProof/>
                <w:webHidden/>
              </w:rPr>
              <w:fldChar w:fldCharType="separate"/>
            </w:r>
            <w:r>
              <w:rPr>
                <w:noProof/>
                <w:webHidden/>
              </w:rPr>
              <w:t>8</w:t>
            </w:r>
            <w:r>
              <w:rPr>
                <w:noProof/>
                <w:webHidden/>
              </w:rPr>
              <w:fldChar w:fldCharType="end"/>
            </w:r>
          </w:hyperlink>
        </w:p>
        <w:p w14:paraId="759B2FCA" w14:textId="507A12C6" w:rsidR="005F4691" w:rsidRDefault="005F469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22560" w:history="1">
            <w:r w:rsidRPr="00576C53">
              <w:rPr>
                <w:rStyle w:val="Hyperlink"/>
                <w:noProof/>
              </w:rPr>
              <w:t>Registration timeline</w:t>
            </w:r>
            <w:r>
              <w:rPr>
                <w:noProof/>
                <w:webHidden/>
              </w:rPr>
              <w:tab/>
            </w:r>
            <w:r>
              <w:rPr>
                <w:noProof/>
                <w:webHidden/>
              </w:rPr>
              <w:fldChar w:fldCharType="begin"/>
            </w:r>
            <w:r>
              <w:rPr>
                <w:noProof/>
                <w:webHidden/>
              </w:rPr>
              <w:instrText xml:space="preserve"> PAGEREF _Toc215222560 \h </w:instrText>
            </w:r>
            <w:r>
              <w:rPr>
                <w:noProof/>
                <w:webHidden/>
              </w:rPr>
            </w:r>
            <w:r>
              <w:rPr>
                <w:noProof/>
                <w:webHidden/>
              </w:rPr>
              <w:fldChar w:fldCharType="separate"/>
            </w:r>
            <w:r>
              <w:rPr>
                <w:noProof/>
                <w:webHidden/>
              </w:rPr>
              <w:t>8</w:t>
            </w:r>
            <w:r>
              <w:rPr>
                <w:noProof/>
                <w:webHidden/>
              </w:rPr>
              <w:fldChar w:fldCharType="end"/>
            </w:r>
          </w:hyperlink>
        </w:p>
        <w:p w14:paraId="5D855BE1" w14:textId="05F89031" w:rsidR="005F4691" w:rsidRDefault="005F469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22561" w:history="1">
            <w:r w:rsidRPr="00576C53">
              <w:rPr>
                <w:rStyle w:val="Hyperlink"/>
                <w:noProof/>
              </w:rPr>
              <w:t>Assessment overview</w:t>
            </w:r>
            <w:r>
              <w:rPr>
                <w:noProof/>
                <w:webHidden/>
              </w:rPr>
              <w:tab/>
            </w:r>
            <w:r>
              <w:rPr>
                <w:noProof/>
                <w:webHidden/>
              </w:rPr>
              <w:fldChar w:fldCharType="begin"/>
            </w:r>
            <w:r>
              <w:rPr>
                <w:noProof/>
                <w:webHidden/>
              </w:rPr>
              <w:instrText xml:space="preserve"> PAGEREF _Toc215222561 \h </w:instrText>
            </w:r>
            <w:r>
              <w:rPr>
                <w:noProof/>
                <w:webHidden/>
              </w:rPr>
            </w:r>
            <w:r>
              <w:rPr>
                <w:noProof/>
                <w:webHidden/>
              </w:rPr>
              <w:fldChar w:fldCharType="separate"/>
            </w:r>
            <w:r>
              <w:rPr>
                <w:noProof/>
                <w:webHidden/>
              </w:rPr>
              <w:t>9</w:t>
            </w:r>
            <w:r>
              <w:rPr>
                <w:noProof/>
                <w:webHidden/>
              </w:rPr>
              <w:fldChar w:fldCharType="end"/>
            </w:r>
          </w:hyperlink>
        </w:p>
        <w:p w14:paraId="6022BE8C" w14:textId="0D130920"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62" w:history="1">
            <w:r w:rsidRPr="00576C53">
              <w:rPr>
                <w:rStyle w:val="Hyperlink"/>
                <w:noProof/>
              </w:rPr>
              <w:t>Quality evaluation summary</w:t>
            </w:r>
            <w:r>
              <w:rPr>
                <w:noProof/>
                <w:webHidden/>
              </w:rPr>
              <w:tab/>
            </w:r>
            <w:r>
              <w:rPr>
                <w:noProof/>
                <w:webHidden/>
              </w:rPr>
              <w:fldChar w:fldCharType="begin"/>
            </w:r>
            <w:r>
              <w:rPr>
                <w:noProof/>
                <w:webHidden/>
              </w:rPr>
              <w:instrText xml:space="preserve"> PAGEREF _Toc215222562 \h </w:instrText>
            </w:r>
            <w:r>
              <w:rPr>
                <w:noProof/>
                <w:webHidden/>
              </w:rPr>
            </w:r>
            <w:r>
              <w:rPr>
                <w:noProof/>
                <w:webHidden/>
              </w:rPr>
              <w:fldChar w:fldCharType="separate"/>
            </w:r>
            <w:r>
              <w:rPr>
                <w:noProof/>
                <w:webHidden/>
              </w:rPr>
              <w:t>9</w:t>
            </w:r>
            <w:r>
              <w:rPr>
                <w:noProof/>
                <w:webHidden/>
              </w:rPr>
              <w:fldChar w:fldCharType="end"/>
            </w:r>
          </w:hyperlink>
        </w:p>
        <w:p w14:paraId="2FF4EBB5" w14:textId="110834B1"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63" w:history="1">
            <w:r w:rsidRPr="00576C53">
              <w:rPr>
                <w:rStyle w:val="Hyperlink"/>
                <w:noProof/>
              </w:rPr>
              <w:t>Nonclinical evaluation summary</w:t>
            </w:r>
            <w:r>
              <w:rPr>
                <w:noProof/>
                <w:webHidden/>
              </w:rPr>
              <w:tab/>
            </w:r>
            <w:r>
              <w:rPr>
                <w:noProof/>
                <w:webHidden/>
              </w:rPr>
              <w:fldChar w:fldCharType="begin"/>
            </w:r>
            <w:r>
              <w:rPr>
                <w:noProof/>
                <w:webHidden/>
              </w:rPr>
              <w:instrText xml:space="preserve"> PAGEREF _Toc215222563 \h </w:instrText>
            </w:r>
            <w:r>
              <w:rPr>
                <w:noProof/>
                <w:webHidden/>
              </w:rPr>
            </w:r>
            <w:r>
              <w:rPr>
                <w:noProof/>
                <w:webHidden/>
              </w:rPr>
              <w:fldChar w:fldCharType="separate"/>
            </w:r>
            <w:r>
              <w:rPr>
                <w:noProof/>
                <w:webHidden/>
              </w:rPr>
              <w:t>9</w:t>
            </w:r>
            <w:r>
              <w:rPr>
                <w:noProof/>
                <w:webHidden/>
              </w:rPr>
              <w:fldChar w:fldCharType="end"/>
            </w:r>
          </w:hyperlink>
        </w:p>
        <w:p w14:paraId="62035957" w14:textId="0459311B"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64" w:history="1">
            <w:r w:rsidRPr="00576C53">
              <w:rPr>
                <w:rStyle w:val="Hyperlink"/>
                <w:noProof/>
              </w:rPr>
              <w:t>Clinical evaluation summary</w:t>
            </w:r>
            <w:r>
              <w:rPr>
                <w:noProof/>
                <w:webHidden/>
              </w:rPr>
              <w:tab/>
            </w:r>
            <w:r>
              <w:rPr>
                <w:noProof/>
                <w:webHidden/>
              </w:rPr>
              <w:fldChar w:fldCharType="begin"/>
            </w:r>
            <w:r>
              <w:rPr>
                <w:noProof/>
                <w:webHidden/>
              </w:rPr>
              <w:instrText xml:space="preserve"> PAGEREF _Toc215222564 \h </w:instrText>
            </w:r>
            <w:r>
              <w:rPr>
                <w:noProof/>
                <w:webHidden/>
              </w:rPr>
            </w:r>
            <w:r>
              <w:rPr>
                <w:noProof/>
                <w:webHidden/>
              </w:rPr>
              <w:fldChar w:fldCharType="separate"/>
            </w:r>
            <w:r>
              <w:rPr>
                <w:noProof/>
                <w:webHidden/>
              </w:rPr>
              <w:t>9</w:t>
            </w:r>
            <w:r>
              <w:rPr>
                <w:noProof/>
                <w:webHidden/>
              </w:rPr>
              <w:fldChar w:fldCharType="end"/>
            </w:r>
          </w:hyperlink>
        </w:p>
        <w:p w14:paraId="35874F99" w14:textId="412E58FE"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65" w:history="1">
            <w:r w:rsidRPr="00576C53">
              <w:rPr>
                <w:rStyle w:val="Hyperlink"/>
                <w:noProof/>
              </w:rPr>
              <w:t>Efficacy</w:t>
            </w:r>
            <w:r>
              <w:rPr>
                <w:noProof/>
                <w:webHidden/>
              </w:rPr>
              <w:tab/>
            </w:r>
            <w:r>
              <w:rPr>
                <w:noProof/>
                <w:webHidden/>
              </w:rPr>
              <w:fldChar w:fldCharType="begin"/>
            </w:r>
            <w:r>
              <w:rPr>
                <w:noProof/>
                <w:webHidden/>
              </w:rPr>
              <w:instrText xml:space="preserve"> PAGEREF _Toc215222565 \h </w:instrText>
            </w:r>
            <w:r>
              <w:rPr>
                <w:noProof/>
                <w:webHidden/>
              </w:rPr>
            </w:r>
            <w:r>
              <w:rPr>
                <w:noProof/>
                <w:webHidden/>
              </w:rPr>
              <w:fldChar w:fldCharType="separate"/>
            </w:r>
            <w:r>
              <w:rPr>
                <w:noProof/>
                <w:webHidden/>
              </w:rPr>
              <w:t>10</w:t>
            </w:r>
            <w:r>
              <w:rPr>
                <w:noProof/>
                <w:webHidden/>
              </w:rPr>
              <w:fldChar w:fldCharType="end"/>
            </w:r>
          </w:hyperlink>
        </w:p>
        <w:p w14:paraId="23057720" w14:textId="174B4859"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66" w:history="1">
            <w:r w:rsidRPr="00576C53">
              <w:rPr>
                <w:rStyle w:val="Hyperlink"/>
                <w:noProof/>
              </w:rPr>
              <w:t>Safety</w:t>
            </w:r>
            <w:r>
              <w:rPr>
                <w:noProof/>
                <w:webHidden/>
              </w:rPr>
              <w:tab/>
            </w:r>
            <w:r>
              <w:rPr>
                <w:noProof/>
                <w:webHidden/>
              </w:rPr>
              <w:fldChar w:fldCharType="begin"/>
            </w:r>
            <w:r>
              <w:rPr>
                <w:noProof/>
                <w:webHidden/>
              </w:rPr>
              <w:instrText xml:space="preserve"> PAGEREF _Toc215222566 \h </w:instrText>
            </w:r>
            <w:r>
              <w:rPr>
                <w:noProof/>
                <w:webHidden/>
              </w:rPr>
            </w:r>
            <w:r>
              <w:rPr>
                <w:noProof/>
                <w:webHidden/>
              </w:rPr>
              <w:fldChar w:fldCharType="separate"/>
            </w:r>
            <w:r>
              <w:rPr>
                <w:noProof/>
                <w:webHidden/>
              </w:rPr>
              <w:t>15</w:t>
            </w:r>
            <w:r>
              <w:rPr>
                <w:noProof/>
                <w:webHidden/>
              </w:rPr>
              <w:fldChar w:fldCharType="end"/>
            </w:r>
          </w:hyperlink>
        </w:p>
        <w:p w14:paraId="23B7D899" w14:textId="69AD47AD"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67" w:history="1">
            <w:r w:rsidRPr="00576C53">
              <w:rPr>
                <w:rStyle w:val="Hyperlink"/>
                <w:noProof/>
                <w:lang w:eastAsia="en-AU"/>
              </w:rPr>
              <w:t>Risk management plan</w:t>
            </w:r>
            <w:r>
              <w:rPr>
                <w:noProof/>
                <w:webHidden/>
              </w:rPr>
              <w:tab/>
            </w:r>
            <w:r>
              <w:rPr>
                <w:noProof/>
                <w:webHidden/>
              </w:rPr>
              <w:fldChar w:fldCharType="begin"/>
            </w:r>
            <w:r>
              <w:rPr>
                <w:noProof/>
                <w:webHidden/>
              </w:rPr>
              <w:instrText xml:space="preserve"> PAGEREF _Toc215222567 \h </w:instrText>
            </w:r>
            <w:r>
              <w:rPr>
                <w:noProof/>
                <w:webHidden/>
              </w:rPr>
            </w:r>
            <w:r>
              <w:rPr>
                <w:noProof/>
                <w:webHidden/>
              </w:rPr>
              <w:fldChar w:fldCharType="separate"/>
            </w:r>
            <w:r>
              <w:rPr>
                <w:noProof/>
                <w:webHidden/>
              </w:rPr>
              <w:t>26</w:t>
            </w:r>
            <w:r>
              <w:rPr>
                <w:noProof/>
                <w:webHidden/>
              </w:rPr>
              <w:fldChar w:fldCharType="end"/>
            </w:r>
          </w:hyperlink>
        </w:p>
        <w:p w14:paraId="5EFD347B" w14:textId="1C6038D9" w:rsidR="005F4691" w:rsidRDefault="005F469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22568" w:history="1">
            <w:r w:rsidRPr="00576C53">
              <w:rPr>
                <w:rStyle w:val="Hyperlink"/>
                <w:noProof/>
              </w:rPr>
              <w:t>Risk-benefit analysis</w:t>
            </w:r>
            <w:r>
              <w:rPr>
                <w:noProof/>
                <w:webHidden/>
              </w:rPr>
              <w:tab/>
            </w:r>
            <w:r>
              <w:rPr>
                <w:noProof/>
                <w:webHidden/>
              </w:rPr>
              <w:fldChar w:fldCharType="begin"/>
            </w:r>
            <w:r>
              <w:rPr>
                <w:noProof/>
                <w:webHidden/>
              </w:rPr>
              <w:instrText xml:space="preserve"> PAGEREF _Toc215222568 \h </w:instrText>
            </w:r>
            <w:r>
              <w:rPr>
                <w:noProof/>
                <w:webHidden/>
              </w:rPr>
            </w:r>
            <w:r>
              <w:rPr>
                <w:noProof/>
                <w:webHidden/>
              </w:rPr>
              <w:fldChar w:fldCharType="separate"/>
            </w:r>
            <w:r>
              <w:rPr>
                <w:noProof/>
                <w:webHidden/>
              </w:rPr>
              <w:t>26</w:t>
            </w:r>
            <w:r>
              <w:rPr>
                <w:noProof/>
                <w:webHidden/>
              </w:rPr>
              <w:fldChar w:fldCharType="end"/>
            </w:r>
          </w:hyperlink>
        </w:p>
        <w:p w14:paraId="32D336CA" w14:textId="4D4C0F3F" w:rsidR="005F4691" w:rsidRDefault="005F469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22569" w:history="1">
            <w:r w:rsidRPr="00576C53">
              <w:rPr>
                <w:rStyle w:val="Hyperlink"/>
                <w:noProof/>
              </w:rPr>
              <w:t>Assessment outcome</w:t>
            </w:r>
            <w:r>
              <w:rPr>
                <w:noProof/>
                <w:webHidden/>
              </w:rPr>
              <w:tab/>
            </w:r>
            <w:r>
              <w:rPr>
                <w:noProof/>
                <w:webHidden/>
              </w:rPr>
              <w:fldChar w:fldCharType="begin"/>
            </w:r>
            <w:r>
              <w:rPr>
                <w:noProof/>
                <w:webHidden/>
              </w:rPr>
              <w:instrText xml:space="preserve"> PAGEREF _Toc215222569 \h </w:instrText>
            </w:r>
            <w:r>
              <w:rPr>
                <w:noProof/>
                <w:webHidden/>
              </w:rPr>
            </w:r>
            <w:r>
              <w:rPr>
                <w:noProof/>
                <w:webHidden/>
              </w:rPr>
              <w:fldChar w:fldCharType="separate"/>
            </w:r>
            <w:r>
              <w:rPr>
                <w:noProof/>
                <w:webHidden/>
              </w:rPr>
              <w:t>27</w:t>
            </w:r>
            <w:r>
              <w:rPr>
                <w:noProof/>
                <w:webHidden/>
              </w:rPr>
              <w:fldChar w:fldCharType="end"/>
            </w:r>
          </w:hyperlink>
        </w:p>
        <w:p w14:paraId="6BE9B0A2" w14:textId="490B659F"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70" w:history="1">
            <w:r w:rsidRPr="00576C53">
              <w:rPr>
                <w:rStyle w:val="Hyperlink"/>
                <w:noProof/>
              </w:rPr>
              <w:t>Specific conditions of registration</w:t>
            </w:r>
            <w:r>
              <w:rPr>
                <w:noProof/>
                <w:webHidden/>
              </w:rPr>
              <w:tab/>
            </w:r>
            <w:r>
              <w:rPr>
                <w:noProof/>
                <w:webHidden/>
              </w:rPr>
              <w:fldChar w:fldCharType="begin"/>
            </w:r>
            <w:r>
              <w:rPr>
                <w:noProof/>
                <w:webHidden/>
              </w:rPr>
              <w:instrText xml:space="preserve"> PAGEREF _Toc215222570 \h </w:instrText>
            </w:r>
            <w:r>
              <w:rPr>
                <w:noProof/>
                <w:webHidden/>
              </w:rPr>
            </w:r>
            <w:r>
              <w:rPr>
                <w:noProof/>
                <w:webHidden/>
              </w:rPr>
              <w:fldChar w:fldCharType="separate"/>
            </w:r>
            <w:r>
              <w:rPr>
                <w:noProof/>
                <w:webHidden/>
              </w:rPr>
              <w:t>27</w:t>
            </w:r>
            <w:r>
              <w:rPr>
                <w:noProof/>
                <w:webHidden/>
              </w:rPr>
              <w:fldChar w:fldCharType="end"/>
            </w:r>
          </w:hyperlink>
        </w:p>
        <w:p w14:paraId="7F2A1B1A" w14:textId="0A376E22" w:rsidR="005F4691" w:rsidRDefault="005F469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22571" w:history="1">
            <w:r w:rsidRPr="00576C53">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_Toc215222571 \h </w:instrText>
            </w:r>
            <w:r>
              <w:rPr>
                <w:noProof/>
                <w:webHidden/>
              </w:rPr>
            </w:r>
            <w:r>
              <w:rPr>
                <w:noProof/>
                <w:webHidden/>
              </w:rPr>
              <w:fldChar w:fldCharType="separate"/>
            </w:r>
            <w:r>
              <w:rPr>
                <w:noProof/>
                <w:webHidden/>
              </w:rPr>
              <w:t>28</w:t>
            </w:r>
            <w:r>
              <w:rPr>
                <w:noProof/>
                <w:webHidden/>
              </w:rPr>
              <w:fldChar w:fldCharType="end"/>
            </w:r>
          </w:hyperlink>
        </w:p>
        <w:p w14:paraId="77659F2D" w14:textId="0D5EB626"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215222551"/>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437410" w:rsidRPr="00A604F2" w14:paraId="015AC475" w14:textId="77777777" w:rsidTr="004C79C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DE014CA" w14:textId="77777777" w:rsidR="00437410" w:rsidRPr="00A604F2" w:rsidRDefault="00437410" w:rsidP="004C79C9">
            <w:pPr>
              <w:rPr>
                <w:szCs w:val="22"/>
              </w:rPr>
            </w:pPr>
            <w:r w:rsidRPr="00A604F2">
              <w:rPr>
                <w:szCs w:val="22"/>
              </w:rPr>
              <w:t>Abbreviation</w:t>
            </w:r>
          </w:p>
        </w:tc>
        <w:tc>
          <w:tcPr>
            <w:tcW w:w="3800" w:type="pct"/>
          </w:tcPr>
          <w:p w14:paraId="488A6BEA" w14:textId="77777777" w:rsidR="00437410" w:rsidRPr="00A604F2" w:rsidRDefault="00437410" w:rsidP="004C79C9">
            <w:pPr>
              <w:cnfStyle w:val="100000000000" w:firstRow="1" w:lastRow="0" w:firstColumn="0" w:lastColumn="0" w:oddVBand="0" w:evenVBand="0" w:oddHBand="0" w:evenHBand="0" w:firstRowFirstColumn="0" w:firstRowLastColumn="0" w:lastRowFirstColumn="0" w:lastRowLastColumn="0"/>
              <w:rPr>
                <w:szCs w:val="22"/>
              </w:rPr>
            </w:pPr>
            <w:r w:rsidRPr="00A604F2">
              <w:rPr>
                <w:szCs w:val="22"/>
              </w:rPr>
              <w:t>Meaning</w:t>
            </w:r>
          </w:p>
        </w:tc>
      </w:tr>
      <w:tr w:rsidR="00437410" w:rsidRPr="00F115E3" w14:paraId="670931BD"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2F64D2" w14:textId="77777777" w:rsidR="00437410" w:rsidRPr="00F115E3" w:rsidRDefault="00437410" w:rsidP="004C79C9">
            <w:pPr>
              <w:rPr>
                <w:szCs w:val="22"/>
              </w:rPr>
            </w:pPr>
            <w:r w:rsidRPr="00F115E3">
              <w:rPr>
                <w:szCs w:val="22"/>
              </w:rPr>
              <w:t xml:space="preserve">ADA </w:t>
            </w:r>
          </w:p>
        </w:tc>
        <w:tc>
          <w:tcPr>
            <w:tcW w:w="3800" w:type="pct"/>
          </w:tcPr>
          <w:p w14:paraId="3F3B7520"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Anti-drug antibody</w:t>
            </w:r>
          </w:p>
        </w:tc>
      </w:tr>
      <w:tr w:rsidR="00437410" w:rsidRPr="00F115E3" w14:paraId="40B6E57F"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C61166" w14:textId="77777777" w:rsidR="00437410" w:rsidRPr="00F115E3" w:rsidRDefault="00437410" w:rsidP="004C79C9">
            <w:pPr>
              <w:rPr>
                <w:szCs w:val="22"/>
              </w:rPr>
            </w:pPr>
            <w:r w:rsidRPr="00F115E3">
              <w:rPr>
                <w:szCs w:val="22"/>
              </w:rPr>
              <w:t>AMD</w:t>
            </w:r>
          </w:p>
        </w:tc>
        <w:tc>
          <w:tcPr>
            <w:tcW w:w="3800" w:type="pct"/>
          </w:tcPr>
          <w:p w14:paraId="57966BEA"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Age-related macular degeneration</w:t>
            </w:r>
          </w:p>
        </w:tc>
      </w:tr>
      <w:tr w:rsidR="00437410" w:rsidRPr="00A604F2" w14:paraId="324B4FA9"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8F0BC8" w14:textId="77777777" w:rsidR="00437410" w:rsidRPr="00A604F2" w:rsidRDefault="00437410" w:rsidP="004C79C9">
            <w:pPr>
              <w:rPr>
                <w:szCs w:val="22"/>
              </w:rPr>
            </w:pPr>
            <w:r w:rsidRPr="00A604F2">
              <w:rPr>
                <w:szCs w:val="22"/>
              </w:rPr>
              <w:t>ARTG</w:t>
            </w:r>
          </w:p>
        </w:tc>
        <w:tc>
          <w:tcPr>
            <w:tcW w:w="3800" w:type="pct"/>
          </w:tcPr>
          <w:p w14:paraId="61C3DEE8" w14:textId="77777777" w:rsidR="00437410" w:rsidRPr="00A604F2"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A604F2">
              <w:rPr>
                <w:szCs w:val="22"/>
              </w:rPr>
              <w:t>Australian Register of Therapeutic Goods</w:t>
            </w:r>
          </w:p>
        </w:tc>
      </w:tr>
      <w:tr w:rsidR="00437410" w:rsidRPr="00F115E3" w14:paraId="3453076F"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3BD705" w14:textId="77777777" w:rsidR="00437410" w:rsidRPr="00F115E3" w:rsidRDefault="00437410" w:rsidP="004C79C9">
            <w:pPr>
              <w:rPr>
                <w:szCs w:val="22"/>
              </w:rPr>
            </w:pPr>
            <w:r w:rsidRPr="00F115E3">
              <w:rPr>
                <w:szCs w:val="22"/>
              </w:rPr>
              <w:t>BCVA</w:t>
            </w:r>
          </w:p>
        </w:tc>
        <w:tc>
          <w:tcPr>
            <w:tcW w:w="3800" w:type="pct"/>
          </w:tcPr>
          <w:p w14:paraId="28B49F61" w14:textId="77777777" w:rsidR="00437410" w:rsidRPr="00F115E3" w:rsidRDefault="00437410" w:rsidP="004C79C9">
            <w:pPr>
              <w:tabs>
                <w:tab w:val="left" w:pos="4592"/>
              </w:tabs>
              <w:cnfStyle w:val="000000000000" w:firstRow="0" w:lastRow="0" w:firstColumn="0" w:lastColumn="0" w:oddVBand="0" w:evenVBand="0" w:oddHBand="0" w:evenHBand="0" w:firstRowFirstColumn="0" w:firstRowLastColumn="0" w:lastRowFirstColumn="0" w:lastRowLastColumn="0"/>
              <w:rPr>
                <w:szCs w:val="22"/>
              </w:rPr>
            </w:pPr>
            <w:r w:rsidRPr="00F115E3">
              <w:rPr>
                <w:szCs w:val="22"/>
              </w:rPr>
              <w:t>Best corrected visual acuity</w:t>
            </w:r>
          </w:p>
        </w:tc>
      </w:tr>
      <w:tr w:rsidR="00437410" w:rsidRPr="00F115E3" w14:paraId="5F1C770F"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50F3D4" w14:textId="77777777" w:rsidR="00437410" w:rsidRPr="00F115E3" w:rsidRDefault="00437410" w:rsidP="004C79C9">
            <w:pPr>
              <w:rPr>
                <w:szCs w:val="22"/>
              </w:rPr>
            </w:pPr>
            <w:r w:rsidRPr="00F115E3">
              <w:rPr>
                <w:szCs w:val="22"/>
              </w:rPr>
              <w:t>BRVO</w:t>
            </w:r>
          </w:p>
        </w:tc>
        <w:tc>
          <w:tcPr>
            <w:tcW w:w="3800" w:type="pct"/>
          </w:tcPr>
          <w:p w14:paraId="6CA7094B" w14:textId="77777777" w:rsidR="00437410" w:rsidRPr="00F115E3" w:rsidRDefault="00437410" w:rsidP="004C79C9">
            <w:pPr>
              <w:tabs>
                <w:tab w:val="left" w:pos="4592"/>
              </w:tabs>
              <w:cnfStyle w:val="000000000000" w:firstRow="0" w:lastRow="0" w:firstColumn="0" w:lastColumn="0" w:oddVBand="0" w:evenVBand="0" w:oddHBand="0" w:evenHBand="0" w:firstRowFirstColumn="0" w:firstRowLastColumn="0" w:lastRowFirstColumn="0" w:lastRowLastColumn="0"/>
              <w:rPr>
                <w:szCs w:val="22"/>
              </w:rPr>
            </w:pPr>
            <w:r w:rsidRPr="00F115E3">
              <w:rPr>
                <w:szCs w:val="22"/>
              </w:rPr>
              <w:t>Branch retinal vein occlusion</w:t>
            </w:r>
          </w:p>
        </w:tc>
      </w:tr>
      <w:tr w:rsidR="00437410" w:rsidRPr="00A604F2" w14:paraId="59656AEA"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105B2E" w14:textId="77777777" w:rsidR="00437410" w:rsidRPr="00A604F2" w:rsidRDefault="00437410" w:rsidP="004C79C9">
            <w:pPr>
              <w:rPr>
                <w:szCs w:val="22"/>
              </w:rPr>
            </w:pPr>
            <w:r w:rsidRPr="00A604F2">
              <w:rPr>
                <w:szCs w:val="22"/>
              </w:rPr>
              <w:t>CMI</w:t>
            </w:r>
          </w:p>
        </w:tc>
        <w:tc>
          <w:tcPr>
            <w:tcW w:w="3800" w:type="pct"/>
          </w:tcPr>
          <w:p w14:paraId="2886E0A9" w14:textId="77777777" w:rsidR="00437410" w:rsidRPr="00A604F2"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rPr>
            </w:pPr>
            <w:r w:rsidRPr="00A604F2">
              <w:rPr>
                <w:szCs w:val="22"/>
              </w:rPr>
              <w:t>Consumer Medicines Information</w:t>
            </w:r>
            <w:r w:rsidRPr="00F115E3">
              <w:rPr>
                <w:szCs w:val="22"/>
              </w:rPr>
              <w:tab/>
            </w:r>
          </w:p>
        </w:tc>
      </w:tr>
      <w:tr w:rsidR="00437410" w:rsidRPr="00F115E3" w14:paraId="3D6C60E8"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C383B4" w14:textId="77777777" w:rsidR="00437410" w:rsidRPr="00F115E3" w:rsidRDefault="00437410" w:rsidP="004C79C9">
            <w:pPr>
              <w:rPr>
                <w:szCs w:val="22"/>
              </w:rPr>
            </w:pPr>
            <w:r w:rsidRPr="00F115E3">
              <w:rPr>
                <w:szCs w:val="22"/>
              </w:rPr>
              <w:t>CNV</w:t>
            </w:r>
          </w:p>
        </w:tc>
        <w:tc>
          <w:tcPr>
            <w:tcW w:w="3800" w:type="pct"/>
          </w:tcPr>
          <w:p w14:paraId="41A04B0F" w14:textId="77777777" w:rsidR="00437410" w:rsidRPr="00F115E3" w:rsidRDefault="00437410" w:rsidP="004C79C9">
            <w:pPr>
              <w:tabs>
                <w:tab w:val="center" w:pos="3374"/>
                <w:tab w:val="left" w:pos="3763"/>
              </w:tabs>
              <w:cnfStyle w:val="000000000000" w:firstRow="0" w:lastRow="0" w:firstColumn="0" w:lastColumn="0" w:oddVBand="0" w:evenVBand="0" w:oddHBand="0" w:evenHBand="0" w:firstRowFirstColumn="0" w:firstRowLastColumn="0" w:lastRowFirstColumn="0" w:lastRowLastColumn="0"/>
              <w:rPr>
                <w:szCs w:val="22"/>
              </w:rPr>
            </w:pPr>
            <w:r w:rsidRPr="00F115E3">
              <w:rPr>
                <w:szCs w:val="22"/>
              </w:rPr>
              <w:t>Choroidal neovascularisation</w:t>
            </w:r>
            <w:r w:rsidRPr="00F115E3">
              <w:rPr>
                <w:szCs w:val="22"/>
              </w:rPr>
              <w:tab/>
            </w:r>
            <w:r w:rsidRPr="00F115E3">
              <w:rPr>
                <w:szCs w:val="22"/>
              </w:rPr>
              <w:tab/>
            </w:r>
          </w:p>
        </w:tc>
      </w:tr>
      <w:tr w:rsidR="00437410" w:rsidRPr="00F115E3" w14:paraId="668ACC5D"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CE71B0" w14:textId="77777777" w:rsidR="00437410" w:rsidRPr="00F115E3" w:rsidRDefault="00437410" w:rsidP="004C79C9">
            <w:pPr>
              <w:rPr>
                <w:szCs w:val="22"/>
                <w:lang w:val="it-IT"/>
              </w:rPr>
            </w:pPr>
            <w:r w:rsidRPr="00F115E3">
              <w:rPr>
                <w:szCs w:val="22"/>
                <w:lang w:val="it-IT"/>
              </w:rPr>
              <w:t>CRVO</w:t>
            </w:r>
          </w:p>
        </w:tc>
        <w:tc>
          <w:tcPr>
            <w:tcW w:w="3800" w:type="pct"/>
          </w:tcPr>
          <w:p w14:paraId="67EC1266" w14:textId="77777777" w:rsidR="00437410" w:rsidRPr="00F115E3"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lang w:val="it-IT"/>
              </w:rPr>
            </w:pPr>
            <w:r w:rsidRPr="00F115E3">
              <w:rPr>
                <w:szCs w:val="22"/>
                <w:lang w:val="it-IT"/>
              </w:rPr>
              <w:t>Central retinal vein occlusion</w:t>
            </w:r>
          </w:p>
        </w:tc>
      </w:tr>
      <w:tr w:rsidR="00437410" w:rsidRPr="00F115E3" w14:paraId="125915AC"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CEFF8C" w14:textId="77777777" w:rsidR="00437410" w:rsidRPr="00F115E3" w:rsidRDefault="00437410" w:rsidP="004C79C9">
            <w:pPr>
              <w:rPr>
                <w:szCs w:val="22"/>
                <w:lang w:val="it-IT"/>
              </w:rPr>
            </w:pPr>
            <w:r w:rsidRPr="00F115E3">
              <w:rPr>
                <w:szCs w:val="22"/>
              </w:rPr>
              <w:t>CST</w:t>
            </w:r>
          </w:p>
        </w:tc>
        <w:tc>
          <w:tcPr>
            <w:tcW w:w="3800" w:type="pct"/>
          </w:tcPr>
          <w:p w14:paraId="212E900D" w14:textId="77777777" w:rsidR="00437410" w:rsidRPr="00F115E3"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lang w:val="it-IT"/>
              </w:rPr>
            </w:pPr>
            <w:r w:rsidRPr="00F115E3">
              <w:rPr>
                <w:szCs w:val="22"/>
              </w:rPr>
              <w:t>Central subfield thickness</w:t>
            </w:r>
          </w:p>
        </w:tc>
      </w:tr>
      <w:tr w:rsidR="00437410" w:rsidRPr="00F115E3" w14:paraId="6B7E77D5"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A11DE1" w14:textId="77777777" w:rsidR="00437410" w:rsidRPr="00F115E3" w:rsidRDefault="00437410" w:rsidP="004C79C9">
            <w:pPr>
              <w:rPr>
                <w:szCs w:val="22"/>
                <w:lang w:val="it-IT"/>
              </w:rPr>
            </w:pPr>
            <w:r w:rsidRPr="00F115E3">
              <w:rPr>
                <w:szCs w:val="22"/>
              </w:rPr>
              <w:t>DME</w:t>
            </w:r>
          </w:p>
        </w:tc>
        <w:tc>
          <w:tcPr>
            <w:tcW w:w="3800" w:type="pct"/>
          </w:tcPr>
          <w:p w14:paraId="06043C00" w14:textId="77777777" w:rsidR="00437410" w:rsidRPr="00F115E3"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lang w:val="it-IT"/>
              </w:rPr>
            </w:pPr>
            <w:r w:rsidRPr="00F115E3">
              <w:rPr>
                <w:szCs w:val="22"/>
              </w:rPr>
              <w:t>Diabetic macular oedema</w:t>
            </w:r>
          </w:p>
        </w:tc>
      </w:tr>
      <w:tr w:rsidR="00437410" w:rsidRPr="00F115E3" w14:paraId="3C631460"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C80A2E" w14:textId="77777777" w:rsidR="00437410" w:rsidRPr="00F115E3" w:rsidRDefault="00437410" w:rsidP="004C79C9">
            <w:pPr>
              <w:rPr>
                <w:szCs w:val="22"/>
              </w:rPr>
            </w:pPr>
            <w:r w:rsidRPr="00F115E3">
              <w:rPr>
                <w:szCs w:val="22"/>
              </w:rPr>
              <w:t xml:space="preserve">ETDRS </w:t>
            </w:r>
          </w:p>
        </w:tc>
        <w:tc>
          <w:tcPr>
            <w:tcW w:w="3800" w:type="pct"/>
          </w:tcPr>
          <w:p w14:paraId="2E3B84D1" w14:textId="77777777" w:rsidR="00437410" w:rsidRPr="00F115E3"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rPr>
            </w:pPr>
            <w:r w:rsidRPr="00F115E3">
              <w:rPr>
                <w:szCs w:val="22"/>
              </w:rPr>
              <w:t>Early Treatment Diabetic Retinopathy Study</w:t>
            </w:r>
          </w:p>
        </w:tc>
      </w:tr>
      <w:tr w:rsidR="00437410" w:rsidRPr="00F115E3" w14:paraId="5E2A5B9B"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118788" w14:textId="77777777" w:rsidR="00437410" w:rsidRPr="00F115E3" w:rsidRDefault="00437410" w:rsidP="004C79C9">
            <w:pPr>
              <w:rPr>
                <w:szCs w:val="22"/>
              </w:rPr>
            </w:pPr>
            <w:r w:rsidRPr="00F115E3">
              <w:rPr>
                <w:szCs w:val="22"/>
              </w:rPr>
              <w:t>IVT</w:t>
            </w:r>
          </w:p>
        </w:tc>
        <w:tc>
          <w:tcPr>
            <w:tcW w:w="3800" w:type="pct"/>
          </w:tcPr>
          <w:p w14:paraId="7B895261" w14:textId="77777777" w:rsidR="00437410" w:rsidRPr="00F115E3" w:rsidRDefault="00437410" w:rsidP="004C79C9">
            <w:pPr>
              <w:tabs>
                <w:tab w:val="left" w:pos="4008"/>
              </w:tabs>
              <w:cnfStyle w:val="000000000000" w:firstRow="0" w:lastRow="0" w:firstColumn="0" w:lastColumn="0" w:oddVBand="0" w:evenVBand="0" w:oddHBand="0" w:evenHBand="0" w:firstRowFirstColumn="0" w:firstRowLastColumn="0" w:lastRowFirstColumn="0" w:lastRowLastColumn="0"/>
              <w:rPr>
                <w:szCs w:val="22"/>
              </w:rPr>
            </w:pPr>
            <w:r w:rsidRPr="00F115E3">
              <w:rPr>
                <w:szCs w:val="22"/>
              </w:rPr>
              <w:t>Intravitreal</w:t>
            </w:r>
          </w:p>
        </w:tc>
      </w:tr>
      <w:tr w:rsidR="00437410" w:rsidRPr="00A604F2" w14:paraId="37D24AE9"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0939A1" w14:textId="77777777" w:rsidR="00437410" w:rsidRPr="00A604F2" w:rsidRDefault="00437410" w:rsidP="004C79C9">
            <w:pPr>
              <w:rPr>
                <w:szCs w:val="22"/>
              </w:rPr>
            </w:pPr>
            <w:r w:rsidRPr="00A604F2">
              <w:rPr>
                <w:szCs w:val="22"/>
              </w:rPr>
              <w:t>PI</w:t>
            </w:r>
          </w:p>
        </w:tc>
        <w:tc>
          <w:tcPr>
            <w:tcW w:w="3800" w:type="pct"/>
          </w:tcPr>
          <w:p w14:paraId="6EF493AD" w14:textId="77777777" w:rsidR="00437410" w:rsidRPr="00A604F2"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A604F2">
              <w:rPr>
                <w:szCs w:val="22"/>
              </w:rPr>
              <w:t>Product Information</w:t>
            </w:r>
          </w:p>
        </w:tc>
      </w:tr>
      <w:tr w:rsidR="00437410" w:rsidRPr="00F115E3" w14:paraId="7D923901"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909840" w14:textId="77777777" w:rsidR="00437410" w:rsidRPr="00F115E3" w:rsidRDefault="00437410" w:rsidP="004C79C9">
            <w:pPr>
              <w:rPr>
                <w:szCs w:val="22"/>
              </w:rPr>
            </w:pPr>
            <w:r w:rsidRPr="00F115E3">
              <w:rPr>
                <w:szCs w:val="22"/>
              </w:rPr>
              <w:t>PK</w:t>
            </w:r>
          </w:p>
        </w:tc>
        <w:tc>
          <w:tcPr>
            <w:tcW w:w="3800" w:type="pct"/>
          </w:tcPr>
          <w:p w14:paraId="5B2D8D4A"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437410" w:rsidRPr="00F115E3" w14:paraId="2AF13D65"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A1D57E" w14:textId="77777777" w:rsidR="00437410" w:rsidRPr="00F115E3" w:rsidRDefault="00437410" w:rsidP="004C79C9">
            <w:pPr>
              <w:rPr>
                <w:szCs w:val="22"/>
              </w:rPr>
            </w:pPr>
            <w:r w:rsidRPr="00F115E3">
              <w:rPr>
                <w:szCs w:val="22"/>
              </w:rPr>
              <w:t>PPS</w:t>
            </w:r>
          </w:p>
        </w:tc>
        <w:tc>
          <w:tcPr>
            <w:tcW w:w="3800" w:type="pct"/>
          </w:tcPr>
          <w:p w14:paraId="748845F8"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Per-Protocol Set</w:t>
            </w:r>
          </w:p>
        </w:tc>
      </w:tr>
      <w:tr w:rsidR="00437410" w:rsidRPr="00A604F2" w14:paraId="5D79F3A7"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CD20BD" w14:textId="77777777" w:rsidR="00437410" w:rsidRPr="00A604F2" w:rsidRDefault="00437410" w:rsidP="004C79C9">
            <w:pPr>
              <w:rPr>
                <w:szCs w:val="22"/>
              </w:rPr>
            </w:pPr>
            <w:r w:rsidRPr="00A604F2">
              <w:rPr>
                <w:szCs w:val="22"/>
              </w:rPr>
              <w:t>PSUR</w:t>
            </w:r>
          </w:p>
        </w:tc>
        <w:tc>
          <w:tcPr>
            <w:tcW w:w="3800" w:type="pct"/>
          </w:tcPr>
          <w:p w14:paraId="6F6DAC5A" w14:textId="77777777" w:rsidR="00437410" w:rsidRPr="00A604F2"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A604F2">
              <w:rPr>
                <w:szCs w:val="22"/>
              </w:rPr>
              <w:t>Periodic safety update report</w:t>
            </w:r>
          </w:p>
        </w:tc>
      </w:tr>
      <w:tr w:rsidR="00437410" w:rsidRPr="00A604F2" w14:paraId="68FD43CA"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852A5B" w14:textId="77777777" w:rsidR="00437410" w:rsidRPr="00A604F2" w:rsidRDefault="00437410" w:rsidP="004C79C9">
            <w:pPr>
              <w:rPr>
                <w:szCs w:val="22"/>
              </w:rPr>
            </w:pPr>
            <w:r w:rsidRPr="00A604F2">
              <w:rPr>
                <w:szCs w:val="22"/>
              </w:rPr>
              <w:t>RMP</w:t>
            </w:r>
          </w:p>
        </w:tc>
        <w:tc>
          <w:tcPr>
            <w:tcW w:w="3800" w:type="pct"/>
          </w:tcPr>
          <w:p w14:paraId="51B6B2FC" w14:textId="77777777" w:rsidR="00437410" w:rsidRPr="00A604F2"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A604F2">
              <w:rPr>
                <w:szCs w:val="22"/>
              </w:rPr>
              <w:t>Risk management plan</w:t>
            </w:r>
          </w:p>
        </w:tc>
      </w:tr>
      <w:tr w:rsidR="00437410" w:rsidRPr="00F115E3" w14:paraId="1F2EEECE"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1E78D8" w14:textId="77777777" w:rsidR="00437410" w:rsidRPr="00F115E3" w:rsidRDefault="00437410" w:rsidP="004C79C9">
            <w:pPr>
              <w:rPr>
                <w:szCs w:val="22"/>
              </w:rPr>
            </w:pPr>
            <w:r w:rsidRPr="00F115E3">
              <w:rPr>
                <w:szCs w:val="22"/>
              </w:rPr>
              <w:t>SB15</w:t>
            </w:r>
          </w:p>
        </w:tc>
        <w:tc>
          <w:tcPr>
            <w:tcW w:w="3800" w:type="pct"/>
          </w:tcPr>
          <w:p w14:paraId="470ED5DA"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Opuviz</w:t>
            </w:r>
          </w:p>
        </w:tc>
      </w:tr>
      <w:tr w:rsidR="00437410" w:rsidRPr="00F115E3" w14:paraId="1D1A6981"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8C09CF" w14:textId="77777777" w:rsidR="00437410" w:rsidRPr="00F115E3" w:rsidRDefault="00437410" w:rsidP="004C79C9">
            <w:pPr>
              <w:rPr>
                <w:szCs w:val="22"/>
              </w:rPr>
            </w:pPr>
            <w:r w:rsidRPr="00F115E3">
              <w:rPr>
                <w:szCs w:val="22"/>
              </w:rPr>
              <w:t>TEAEs</w:t>
            </w:r>
          </w:p>
        </w:tc>
        <w:tc>
          <w:tcPr>
            <w:tcW w:w="3800" w:type="pct"/>
          </w:tcPr>
          <w:p w14:paraId="25613426"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Treatment emergent adverse events</w:t>
            </w:r>
          </w:p>
        </w:tc>
      </w:tr>
      <w:tr w:rsidR="00437410" w:rsidRPr="00A604F2" w14:paraId="4177A132"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4E2938" w14:textId="77777777" w:rsidR="00437410" w:rsidRPr="00A604F2" w:rsidRDefault="00437410" w:rsidP="004C79C9">
            <w:pPr>
              <w:rPr>
                <w:szCs w:val="22"/>
              </w:rPr>
            </w:pPr>
            <w:r w:rsidRPr="00A604F2">
              <w:rPr>
                <w:szCs w:val="22"/>
              </w:rPr>
              <w:t>TGA</w:t>
            </w:r>
          </w:p>
        </w:tc>
        <w:tc>
          <w:tcPr>
            <w:tcW w:w="3800" w:type="pct"/>
          </w:tcPr>
          <w:p w14:paraId="66901B63" w14:textId="77777777" w:rsidR="00437410" w:rsidRPr="00A604F2"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A604F2">
              <w:rPr>
                <w:szCs w:val="22"/>
              </w:rPr>
              <w:t>Therapeutic Goods Administration</w:t>
            </w:r>
          </w:p>
        </w:tc>
      </w:tr>
      <w:tr w:rsidR="00437410" w:rsidRPr="00F115E3" w14:paraId="0E3172B2" w14:textId="77777777" w:rsidTr="004C79C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6FDB26" w14:textId="77777777" w:rsidR="00437410" w:rsidRPr="00F115E3" w:rsidRDefault="00437410" w:rsidP="004C79C9">
            <w:pPr>
              <w:rPr>
                <w:szCs w:val="22"/>
              </w:rPr>
            </w:pPr>
            <w:r w:rsidRPr="00F115E3">
              <w:rPr>
                <w:szCs w:val="22"/>
              </w:rPr>
              <w:t>VEGF</w:t>
            </w:r>
          </w:p>
        </w:tc>
        <w:tc>
          <w:tcPr>
            <w:tcW w:w="3800" w:type="pct"/>
          </w:tcPr>
          <w:p w14:paraId="4F370E6E" w14:textId="77777777" w:rsidR="00437410" w:rsidRPr="00F115E3" w:rsidRDefault="00437410" w:rsidP="004C79C9">
            <w:pPr>
              <w:cnfStyle w:val="000000000000" w:firstRow="0" w:lastRow="0" w:firstColumn="0" w:lastColumn="0" w:oddVBand="0" w:evenVBand="0" w:oddHBand="0" w:evenHBand="0" w:firstRowFirstColumn="0" w:firstRowLastColumn="0" w:lastRowFirstColumn="0" w:lastRowLastColumn="0"/>
              <w:rPr>
                <w:szCs w:val="22"/>
              </w:rPr>
            </w:pPr>
            <w:r w:rsidRPr="00F115E3">
              <w:rPr>
                <w:szCs w:val="22"/>
              </w:rPr>
              <w:t>Vascular endothelial growth factor</w:t>
            </w:r>
          </w:p>
        </w:tc>
      </w:tr>
    </w:tbl>
    <w:p w14:paraId="6C36C96C" w14:textId="77777777" w:rsidR="00437410" w:rsidRPr="00437410" w:rsidRDefault="00437410" w:rsidP="00437410"/>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215222552"/>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15222553"/>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0B762FE4" w:rsidR="00324B33" w:rsidRPr="00BD5DBD" w:rsidRDefault="00324B33" w:rsidP="007452E8">
            <w:pPr>
              <w:rPr>
                <w:i/>
                <w:szCs w:val="22"/>
              </w:rPr>
            </w:pPr>
            <w:r w:rsidRPr="00BD5DBD">
              <w:rPr>
                <w:i/>
                <w:szCs w:val="22"/>
              </w:rPr>
              <w:t>Type of submission:</w:t>
            </w:r>
          </w:p>
        </w:tc>
        <w:tc>
          <w:tcPr>
            <w:tcW w:w="3423" w:type="pct"/>
          </w:tcPr>
          <w:p w14:paraId="4F07C303" w14:textId="060D6E74" w:rsidR="00324B33" w:rsidRPr="00BD5DBD" w:rsidRDefault="00FD0B0C" w:rsidP="007452E8">
            <w:pPr>
              <w:rPr>
                <w:szCs w:val="22"/>
              </w:rPr>
            </w:pPr>
            <w:r>
              <w:rPr>
                <w:szCs w:val="22"/>
              </w:rPr>
              <w:t>New Biosimilar</w:t>
            </w:r>
          </w:p>
        </w:tc>
      </w:tr>
      <w:tr w:rsidR="00324B33" w:rsidRPr="00BD5DBD" w14:paraId="13482B61" w14:textId="77777777" w:rsidTr="00F865A7">
        <w:tc>
          <w:tcPr>
            <w:tcW w:w="1577" w:type="pct"/>
          </w:tcPr>
          <w:p w14:paraId="2C427FCF" w14:textId="677C236C" w:rsidR="00324B33" w:rsidRPr="00BD5DBD" w:rsidRDefault="00324B33" w:rsidP="007452E8">
            <w:pPr>
              <w:rPr>
                <w:i/>
                <w:szCs w:val="22"/>
              </w:rPr>
            </w:pPr>
            <w:r w:rsidRPr="00BD5DBD">
              <w:rPr>
                <w:i/>
                <w:szCs w:val="22"/>
              </w:rPr>
              <w:t>Product name:</w:t>
            </w:r>
          </w:p>
        </w:tc>
        <w:tc>
          <w:tcPr>
            <w:tcW w:w="3423" w:type="pct"/>
          </w:tcPr>
          <w:p w14:paraId="0E2DEF76" w14:textId="69AEC15B" w:rsidR="00324B33" w:rsidRPr="00BD5DBD" w:rsidRDefault="006C4752" w:rsidP="007452E8">
            <w:pPr>
              <w:rPr>
                <w:szCs w:val="22"/>
              </w:rPr>
            </w:pPr>
            <w:r>
              <w:rPr>
                <w:szCs w:val="22"/>
              </w:rPr>
              <w:t>Opuviz</w:t>
            </w:r>
          </w:p>
        </w:tc>
      </w:tr>
      <w:tr w:rsidR="00324B33" w:rsidRPr="00BD5DBD" w14:paraId="01255B5B" w14:textId="77777777" w:rsidTr="00F865A7">
        <w:tc>
          <w:tcPr>
            <w:tcW w:w="1577" w:type="pct"/>
          </w:tcPr>
          <w:p w14:paraId="52B4F3D7" w14:textId="25337818" w:rsidR="00324B33" w:rsidRPr="00BD5DBD" w:rsidRDefault="00324B33" w:rsidP="007452E8">
            <w:pPr>
              <w:rPr>
                <w:i/>
                <w:szCs w:val="22"/>
              </w:rPr>
            </w:pPr>
            <w:r w:rsidRPr="00BD5DBD">
              <w:rPr>
                <w:i/>
                <w:szCs w:val="22"/>
              </w:rPr>
              <w:t>Active ingredient:</w:t>
            </w:r>
          </w:p>
        </w:tc>
        <w:tc>
          <w:tcPr>
            <w:tcW w:w="3423" w:type="pct"/>
          </w:tcPr>
          <w:p w14:paraId="02FB6383" w14:textId="38D68F6A" w:rsidR="00324B33" w:rsidRPr="00BD5DBD" w:rsidRDefault="00006BF9" w:rsidP="007452E8">
            <w:pPr>
              <w:rPr>
                <w:szCs w:val="22"/>
              </w:rPr>
            </w:pPr>
            <w:r w:rsidRPr="00006BF9">
              <w:rPr>
                <w:szCs w:val="22"/>
              </w:rPr>
              <w:t>aflibercept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292F7AD"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2CCC58FB" w:rsidR="00AE1947" w:rsidRPr="00BD5DBD" w:rsidRDefault="00DC10F1" w:rsidP="004C79C9">
            <w:pPr>
              <w:rPr>
                <w:szCs w:val="22"/>
              </w:rPr>
            </w:pPr>
            <w:r w:rsidRPr="00DC10F1">
              <w:rPr>
                <w:szCs w:val="22"/>
              </w:rPr>
              <w:t>10 September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87C7CA9" w:rsidR="00324B33" w:rsidRPr="00BD5DBD" w:rsidRDefault="007F1BBD" w:rsidP="007452E8">
            <w:pPr>
              <w:rPr>
                <w:szCs w:val="22"/>
              </w:rPr>
            </w:pPr>
            <w:r w:rsidRPr="007F1BBD">
              <w:rPr>
                <w:szCs w:val="22"/>
              </w:rPr>
              <w:t>18 September 2025</w:t>
            </w:r>
          </w:p>
        </w:tc>
      </w:tr>
      <w:tr w:rsidR="00324B33" w:rsidRPr="00BD5DBD" w14:paraId="547E08D7" w14:textId="77777777" w:rsidTr="00F865A7">
        <w:tc>
          <w:tcPr>
            <w:tcW w:w="1577" w:type="pct"/>
          </w:tcPr>
          <w:p w14:paraId="5030EF30" w14:textId="6A5CCF14" w:rsidR="00324B33" w:rsidRPr="00BD5DBD" w:rsidRDefault="00324B33" w:rsidP="007452E8">
            <w:pPr>
              <w:rPr>
                <w:i/>
                <w:szCs w:val="22"/>
              </w:rPr>
            </w:pPr>
            <w:r w:rsidRPr="00BD5DBD">
              <w:rPr>
                <w:i/>
                <w:szCs w:val="22"/>
              </w:rPr>
              <w:t>ARTG numbe</w:t>
            </w:r>
            <w:r w:rsidR="00A05091">
              <w:rPr>
                <w:i/>
                <w:szCs w:val="22"/>
              </w:rPr>
              <w:t>r</w:t>
            </w:r>
            <w:r w:rsidRPr="00BD5DBD">
              <w:rPr>
                <w:i/>
                <w:szCs w:val="22"/>
              </w:rPr>
              <w:t>s:</w:t>
            </w:r>
          </w:p>
        </w:tc>
        <w:tc>
          <w:tcPr>
            <w:tcW w:w="3423" w:type="pct"/>
          </w:tcPr>
          <w:p w14:paraId="0054E912" w14:textId="17A218DD" w:rsidR="00324B33" w:rsidRPr="00BD5DBD" w:rsidRDefault="00A05091" w:rsidP="007452E8">
            <w:pPr>
              <w:rPr>
                <w:szCs w:val="22"/>
              </w:rPr>
            </w:pPr>
            <w:hyperlink r:id="rId20" w:history="1">
              <w:r w:rsidRPr="00FB0007">
                <w:rPr>
                  <w:rStyle w:val="Hyperlink"/>
                  <w:szCs w:val="22"/>
                </w:rPr>
                <w:t>456527</w:t>
              </w:r>
            </w:hyperlink>
            <w:r>
              <w:rPr>
                <w:szCs w:val="22"/>
              </w:rPr>
              <w:t xml:space="preserve">, </w:t>
            </w:r>
            <w:hyperlink r:id="rId21" w:history="1">
              <w:r w:rsidR="00FB0007" w:rsidRPr="00FB0007">
                <w:rPr>
                  <w:rStyle w:val="Hyperlink"/>
                  <w:szCs w:val="22"/>
                </w:rPr>
                <w:t>456528</w:t>
              </w:r>
            </w:hyperlink>
          </w:p>
        </w:tc>
      </w:tr>
      <w:tr w:rsidR="00324B33" w:rsidRPr="00BD5DBD" w14:paraId="7618393F" w14:textId="77777777" w:rsidTr="00F865A7">
        <w:tc>
          <w:tcPr>
            <w:tcW w:w="1577" w:type="pct"/>
          </w:tcPr>
          <w:p w14:paraId="02260DE2" w14:textId="63CD7F63" w:rsidR="00324B33" w:rsidRPr="00BD5DBD" w:rsidRDefault="00324B33" w:rsidP="00DC10F1">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r w:rsidRPr="00BD5DBD">
              <w:rPr>
                <w:i/>
                <w:szCs w:val="22"/>
              </w:rPr>
              <w:t>:</w:t>
            </w:r>
          </w:p>
        </w:tc>
        <w:tc>
          <w:tcPr>
            <w:tcW w:w="3423" w:type="pct"/>
          </w:tcPr>
          <w:p w14:paraId="6FF3C6A2" w14:textId="6507F23B"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69BB69CC" w:rsidR="00324B33" w:rsidRPr="00BD5DBD" w:rsidRDefault="004215E2" w:rsidP="007452E8">
            <w:pPr>
              <w:rPr>
                <w:i/>
                <w:szCs w:val="22"/>
              </w:rPr>
            </w:pPr>
            <w:r>
              <w:rPr>
                <w:i/>
                <w:szCs w:val="22"/>
              </w:rPr>
              <w:t>Sponsor</w:t>
            </w:r>
            <w:r w:rsidR="00324B33" w:rsidRPr="00BD5DBD">
              <w:rPr>
                <w:i/>
                <w:szCs w:val="22"/>
              </w:rPr>
              <w:t>’s name and address:</w:t>
            </w:r>
          </w:p>
        </w:tc>
        <w:tc>
          <w:tcPr>
            <w:tcW w:w="3423" w:type="pct"/>
          </w:tcPr>
          <w:p w14:paraId="68DD94B0" w14:textId="54D279A5" w:rsidR="00324B33" w:rsidRPr="00BD5DBD" w:rsidRDefault="009823E2" w:rsidP="009823E2">
            <w:pPr>
              <w:rPr>
                <w:szCs w:val="22"/>
              </w:rPr>
            </w:pPr>
            <w:r w:rsidRPr="009823E2">
              <w:rPr>
                <w:szCs w:val="22"/>
              </w:rPr>
              <w:t xml:space="preserve">Samsung </w:t>
            </w:r>
            <w:proofErr w:type="spellStart"/>
            <w:r w:rsidRPr="009823E2">
              <w:rPr>
                <w:szCs w:val="22"/>
              </w:rPr>
              <w:t>Bioepis</w:t>
            </w:r>
            <w:proofErr w:type="spellEnd"/>
            <w:r w:rsidRPr="009823E2">
              <w:rPr>
                <w:szCs w:val="22"/>
              </w:rPr>
              <w:t xml:space="preserve"> AU PTY LTD Suite 1, Level 11,</w:t>
            </w:r>
            <w:r>
              <w:rPr>
                <w:szCs w:val="22"/>
              </w:rPr>
              <w:t xml:space="preserve"> </w:t>
            </w:r>
            <w:r w:rsidRPr="009823E2">
              <w:rPr>
                <w:szCs w:val="22"/>
              </w:rPr>
              <w:t>66 Goulburn Street,</w:t>
            </w:r>
            <w:r>
              <w:rPr>
                <w:szCs w:val="22"/>
              </w:rPr>
              <w:t xml:space="preserve"> </w:t>
            </w:r>
            <w:r w:rsidRPr="009823E2">
              <w:rPr>
                <w:szCs w:val="22"/>
              </w:rPr>
              <w:t>Sydney NSW 2000</w:t>
            </w:r>
          </w:p>
        </w:tc>
      </w:tr>
      <w:tr w:rsidR="00324B33" w:rsidRPr="00BD5DBD" w14:paraId="5322B989" w14:textId="77777777" w:rsidTr="00F865A7">
        <w:tc>
          <w:tcPr>
            <w:tcW w:w="1577" w:type="pct"/>
          </w:tcPr>
          <w:p w14:paraId="24F217E3" w14:textId="0EFDB375" w:rsidR="00324B33" w:rsidRPr="00BD5DBD" w:rsidRDefault="00324B33" w:rsidP="007452E8">
            <w:pPr>
              <w:rPr>
                <w:i/>
                <w:szCs w:val="22"/>
              </w:rPr>
            </w:pPr>
            <w:r w:rsidRPr="00BD5DBD">
              <w:rPr>
                <w:i/>
                <w:szCs w:val="22"/>
              </w:rPr>
              <w:t>Dose form:</w:t>
            </w:r>
          </w:p>
        </w:tc>
        <w:tc>
          <w:tcPr>
            <w:tcW w:w="3423" w:type="pct"/>
          </w:tcPr>
          <w:p w14:paraId="768B254C" w14:textId="76332A07" w:rsidR="00324B33" w:rsidRPr="00BD5DBD" w:rsidRDefault="005B4877" w:rsidP="007452E8">
            <w:pPr>
              <w:rPr>
                <w:szCs w:val="22"/>
              </w:rPr>
            </w:pPr>
            <w:r>
              <w:rPr>
                <w:szCs w:val="22"/>
              </w:rPr>
              <w:t>Solution</w:t>
            </w:r>
          </w:p>
        </w:tc>
      </w:tr>
      <w:tr w:rsidR="00324B33" w:rsidRPr="00BD5DBD" w14:paraId="115243E6" w14:textId="77777777" w:rsidTr="00F865A7">
        <w:tc>
          <w:tcPr>
            <w:tcW w:w="1577" w:type="pct"/>
          </w:tcPr>
          <w:p w14:paraId="7634B062" w14:textId="0690812E" w:rsidR="00324B33" w:rsidRPr="00BD5DBD" w:rsidRDefault="00324B33" w:rsidP="007452E8">
            <w:pPr>
              <w:rPr>
                <w:i/>
                <w:szCs w:val="22"/>
              </w:rPr>
            </w:pPr>
            <w:r w:rsidRPr="00BD5DBD">
              <w:rPr>
                <w:i/>
                <w:szCs w:val="22"/>
              </w:rPr>
              <w:t>Strength:</w:t>
            </w:r>
          </w:p>
        </w:tc>
        <w:tc>
          <w:tcPr>
            <w:tcW w:w="3423" w:type="pct"/>
          </w:tcPr>
          <w:p w14:paraId="5E5F83DB" w14:textId="199A3192" w:rsidR="00324B33" w:rsidRPr="00BD5DBD" w:rsidRDefault="00207250" w:rsidP="007452E8">
            <w:pPr>
              <w:rPr>
                <w:szCs w:val="22"/>
              </w:rPr>
            </w:pPr>
            <w:r w:rsidRPr="00207250">
              <w:rPr>
                <w:szCs w:val="22"/>
              </w:rPr>
              <w:t>40 mg/mL</w:t>
            </w:r>
          </w:p>
        </w:tc>
      </w:tr>
      <w:tr w:rsidR="00324B33" w:rsidRPr="00BD5DBD" w14:paraId="34B07BA6" w14:textId="77777777" w:rsidTr="00F865A7">
        <w:tc>
          <w:tcPr>
            <w:tcW w:w="1577" w:type="pct"/>
          </w:tcPr>
          <w:p w14:paraId="1C039224" w14:textId="2906792E" w:rsidR="00324B33" w:rsidRPr="00BD5DBD" w:rsidRDefault="00324B33" w:rsidP="007452E8">
            <w:pPr>
              <w:rPr>
                <w:i/>
                <w:szCs w:val="22"/>
              </w:rPr>
            </w:pPr>
            <w:r w:rsidRPr="00BD5DBD">
              <w:rPr>
                <w:i/>
                <w:szCs w:val="22"/>
              </w:rPr>
              <w:t>Containers:</w:t>
            </w:r>
          </w:p>
        </w:tc>
        <w:tc>
          <w:tcPr>
            <w:tcW w:w="3423" w:type="pct"/>
          </w:tcPr>
          <w:p w14:paraId="3AEC5EF6" w14:textId="77777777" w:rsidR="008A6408" w:rsidRPr="008A6408" w:rsidRDefault="008A6408" w:rsidP="008A6408">
            <w:pPr>
              <w:rPr>
                <w:b/>
                <w:bCs/>
                <w:szCs w:val="22"/>
              </w:rPr>
            </w:pPr>
            <w:r w:rsidRPr="008A6408">
              <w:rPr>
                <w:b/>
                <w:bCs/>
                <w:szCs w:val="22"/>
              </w:rPr>
              <w:t>Vial-only pack</w:t>
            </w:r>
          </w:p>
          <w:p w14:paraId="41F426D3" w14:textId="01F5766C" w:rsidR="008A6408" w:rsidRPr="008A6408" w:rsidRDefault="008A6408" w:rsidP="008A6408">
            <w:pPr>
              <w:rPr>
                <w:szCs w:val="22"/>
              </w:rPr>
            </w:pPr>
            <w:r w:rsidRPr="008A6408">
              <w:rPr>
                <w:szCs w:val="22"/>
              </w:rPr>
              <w:t>Each carton includes a glass vial containing approximately 100 µL of extractable volume, with an elastomeric rubber stopper. Pack size of 1 vial.</w:t>
            </w:r>
          </w:p>
          <w:p w14:paraId="4E82533B" w14:textId="77777777" w:rsidR="008A6408" w:rsidRPr="008A6408" w:rsidRDefault="008A6408" w:rsidP="008A6408">
            <w:pPr>
              <w:rPr>
                <w:b/>
                <w:bCs/>
                <w:szCs w:val="22"/>
              </w:rPr>
            </w:pPr>
            <w:r w:rsidRPr="008A6408">
              <w:rPr>
                <w:b/>
                <w:bCs/>
                <w:szCs w:val="22"/>
              </w:rPr>
              <w:t>Vial + filter needle pack</w:t>
            </w:r>
          </w:p>
          <w:p w14:paraId="500A42C6" w14:textId="78BFCB75" w:rsidR="00324B33" w:rsidRPr="00BD5DBD" w:rsidRDefault="008A6408" w:rsidP="008A6408">
            <w:pPr>
              <w:rPr>
                <w:szCs w:val="22"/>
              </w:rPr>
            </w:pPr>
            <w:r w:rsidRPr="008A6408">
              <w:rPr>
                <w:szCs w:val="22"/>
              </w:rPr>
              <w:t>Each carton includes a glass vial containing approximately 100 µL of extractable volume, with an elastomeric rubber stopper, and an 18 G filter needle. Pack size of 1 vial + 1 filter needle.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7612ECA8" w14:textId="0BB8DAF7" w:rsidR="007847AC" w:rsidRPr="007847AC" w:rsidRDefault="006C4752" w:rsidP="007847AC">
            <w:pPr>
              <w:rPr>
                <w:szCs w:val="22"/>
              </w:rPr>
            </w:pPr>
            <w:r>
              <w:rPr>
                <w:szCs w:val="22"/>
              </w:rPr>
              <w:t>Opuviz</w:t>
            </w:r>
            <w:r w:rsidR="007847AC" w:rsidRPr="007847AC">
              <w:rPr>
                <w:szCs w:val="22"/>
              </w:rPr>
              <w:t xml:space="preserve"> 2 mg (aflibercept) is indicated in adults for the treatment of:</w:t>
            </w:r>
          </w:p>
          <w:p w14:paraId="77B4ECFC" w14:textId="30937C90" w:rsidR="007847AC" w:rsidRDefault="007847AC" w:rsidP="00501529">
            <w:pPr>
              <w:pStyle w:val="ListBullet"/>
            </w:pPr>
            <w:r w:rsidRPr="007847AC">
              <w:t>neovascular (wet) age-related macular degeneration (wet AMD)</w:t>
            </w:r>
          </w:p>
          <w:p w14:paraId="02CD97C8" w14:textId="19785E6E" w:rsidR="007847AC" w:rsidRPr="007847AC" w:rsidRDefault="007847AC" w:rsidP="00501529">
            <w:pPr>
              <w:pStyle w:val="ListBullet"/>
            </w:pPr>
            <w:r w:rsidRPr="007847AC">
              <w:t>visual impairment due to macular oedema secondary to central retinal vein occlusion (CRVO)</w:t>
            </w:r>
          </w:p>
          <w:p w14:paraId="74A7AD86" w14:textId="48547E77" w:rsidR="007847AC" w:rsidRPr="007847AC" w:rsidRDefault="007847AC" w:rsidP="00501529">
            <w:pPr>
              <w:pStyle w:val="ListBullet"/>
            </w:pPr>
            <w:r w:rsidRPr="007847AC">
              <w:t>visual impairment due to macular oedema secondary to branch retinal vein occlusion (BRVO)</w:t>
            </w:r>
          </w:p>
          <w:p w14:paraId="74566107" w14:textId="77777777" w:rsidR="00324B33" w:rsidRDefault="007847AC" w:rsidP="00501529">
            <w:pPr>
              <w:pStyle w:val="ListBullet"/>
            </w:pPr>
            <w:r w:rsidRPr="007847AC">
              <w:t>diabetic macular oedema (DME)</w:t>
            </w:r>
          </w:p>
          <w:p w14:paraId="6E143E2E" w14:textId="59A471E0" w:rsidR="007847AC" w:rsidRPr="00BD5DBD" w:rsidRDefault="00501529" w:rsidP="00436A1A">
            <w:pPr>
              <w:pStyle w:val="ListBullet"/>
              <w:rPr>
                <w:szCs w:val="22"/>
              </w:rPr>
            </w:pPr>
            <w:r w:rsidRPr="00501529">
              <w:t>visual impairment due to myopic choroidal neovascularisation (myopic CNV).</w:t>
            </w:r>
          </w:p>
        </w:tc>
      </w:tr>
      <w:tr w:rsidR="00324B33" w:rsidRPr="00BD5DBD" w14:paraId="5AFDEED3" w14:textId="77777777" w:rsidTr="00F865A7">
        <w:tc>
          <w:tcPr>
            <w:tcW w:w="1577" w:type="pct"/>
          </w:tcPr>
          <w:p w14:paraId="03884BD1" w14:textId="79FB6984" w:rsidR="00324B33" w:rsidRPr="00BD5DBD" w:rsidRDefault="00324B33" w:rsidP="007452E8">
            <w:pPr>
              <w:rPr>
                <w:i/>
                <w:szCs w:val="22"/>
              </w:rPr>
            </w:pPr>
            <w:r w:rsidRPr="00BD5DBD">
              <w:rPr>
                <w:i/>
                <w:szCs w:val="22"/>
              </w:rPr>
              <w:t>Routes of administration:</w:t>
            </w:r>
          </w:p>
        </w:tc>
        <w:tc>
          <w:tcPr>
            <w:tcW w:w="3423" w:type="pct"/>
          </w:tcPr>
          <w:p w14:paraId="1ED1357E" w14:textId="046B93B1" w:rsidR="00324B33" w:rsidRPr="00BD5DBD" w:rsidRDefault="00436A1A" w:rsidP="007452E8">
            <w:pPr>
              <w:rPr>
                <w:szCs w:val="22"/>
              </w:rPr>
            </w:pPr>
            <w:r>
              <w:rPr>
                <w:szCs w:val="22"/>
              </w:rPr>
              <w:t>Intravitreal injection</w:t>
            </w:r>
          </w:p>
        </w:tc>
      </w:tr>
      <w:tr w:rsidR="00324B33" w:rsidRPr="00BD5DBD" w14:paraId="70D7E9FA" w14:textId="77777777" w:rsidTr="00F865A7">
        <w:tc>
          <w:tcPr>
            <w:tcW w:w="1577" w:type="pct"/>
          </w:tcPr>
          <w:p w14:paraId="5ABFFC80" w14:textId="198CB2DF" w:rsidR="000F3C2E" w:rsidRPr="000F3C2E" w:rsidRDefault="00324B33" w:rsidP="007E58A3">
            <w:pPr>
              <w:rPr>
                <w:szCs w:val="22"/>
              </w:rPr>
            </w:pPr>
            <w:r w:rsidRPr="00BD5DBD">
              <w:rPr>
                <w:i/>
                <w:szCs w:val="22"/>
              </w:rPr>
              <w:t>Dosage:</w:t>
            </w:r>
          </w:p>
        </w:tc>
        <w:tc>
          <w:tcPr>
            <w:tcW w:w="3423" w:type="pct"/>
          </w:tcPr>
          <w:p w14:paraId="3D0B2D5C" w14:textId="138BEEAD" w:rsidR="00324B33" w:rsidRPr="00BD5DBD" w:rsidRDefault="001B1C4D" w:rsidP="007E58A3">
            <w:pPr>
              <w:rPr>
                <w:szCs w:val="22"/>
              </w:rPr>
            </w:pPr>
            <w:r w:rsidRPr="001B1C4D">
              <w:rPr>
                <w:szCs w:val="22"/>
              </w:rPr>
              <w:t xml:space="preserve">The recommended dose for </w:t>
            </w:r>
            <w:r w:rsidR="006C4752">
              <w:rPr>
                <w:szCs w:val="22"/>
              </w:rPr>
              <w:t>Opuviz</w:t>
            </w:r>
            <w:r w:rsidRPr="001B1C4D">
              <w:rPr>
                <w:szCs w:val="22"/>
              </w:rPr>
              <w:t xml:space="preserve"> 40 mg/mL is 2 mg aflibercept, equivalent to an injection volume of 50 µL</w:t>
            </w:r>
            <w:r w:rsidR="007E58A3">
              <w:rPr>
                <w:szCs w:val="22"/>
              </w:rPr>
              <w:t xml:space="preserve"> </w:t>
            </w:r>
            <w:proofErr w:type="gramStart"/>
            <w:r w:rsidR="00324B33" w:rsidRPr="00BD5DBD">
              <w:rPr>
                <w:szCs w:val="22"/>
              </w:rPr>
              <w:t>For</w:t>
            </w:r>
            <w:proofErr w:type="gramEnd"/>
            <w:r w:rsidR="00324B33" w:rsidRPr="00BD5DBD">
              <w:rPr>
                <w:szCs w:val="22"/>
              </w:rPr>
              <w:t xml:space="preserve"> further information regarding dosage</w:t>
            </w:r>
            <w:r w:rsidR="006B7126">
              <w:rPr>
                <w:szCs w:val="22"/>
              </w:rPr>
              <w:t xml:space="preserve"> </w:t>
            </w:r>
            <w:proofErr w:type="gramStart"/>
            <w:r w:rsidR="00324B33" w:rsidRPr="00BD5DBD">
              <w:rPr>
                <w:szCs w:val="22"/>
              </w:rPr>
              <w:t>refer</w:t>
            </w:r>
            <w:proofErr w:type="gramEnd"/>
            <w:r w:rsidR="00324B33" w:rsidRPr="00BD5DBD">
              <w:rPr>
                <w:szCs w:val="22"/>
              </w:rPr>
              <w:t xml:space="preserve"> to the </w:t>
            </w:r>
            <w:hyperlink r:id="rId23" w:history="1">
              <w:r w:rsidR="00324B33" w:rsidRPr="009E0A3C">
                <w:rPr>
                  <w:rStyle w:val="Hyperlink"/>
                  <w:szCs w:val="22"/>
                </w:rPr>
                <w:t>Product Information</w:t>
              </w:r>
            </w:hyperlink>
            <w:r w:rsidR="00324B33"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43409638" w14:textId="77777777" w:rsidR="003A382F" w:rsidRDefault="003A382F" w:rsidP="003A382F">
            <w:pPr>
              <w:rPr>
                <w:szCs w:val="22"/>
              </w:rPr>
            </w:pPr>
            <w:r w:rsidRPr="003A382F">
              <w:rPr>
                <w:szCs w:val="22"/>
              </w:rPr>
              <w:t>Category D</w:t>
            </w:r>
          </w:p>
          <w:p w14:paraId="39D1098D" w14:textId="77777777" w:rsidR="003A382F" w:rsidRDefault="003A382F" w:rsidP="003A382F">
            <w:pPr>
              <w:rPr>
                <w:szCs w:val="22"/>
              </w:rPr>
            </w:pPr>
            <w:r w:rsidRPr="003A382F">
              <w:rPr>
                <w:szCs w:val="22"/>
              </w:rPr>
              <w:t xml:space="preserve">Drugs which have caused, are suspected to have caused or may be expected to cause, an increased incidence of human fetal malformations or irreversible damage. These drugs may also have adverse pharmacological effects. </w:t>
            </w:r>
          </w:p>
          <w:p w14:paraId="76497789" w14:textId="5908988C" w:rsidR="0017005C" w:rsidRPr="00BD5DBD" w:rsidRDefault="0070330F" w:rsidP="003A382F">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4"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5"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215222554"/>
      <w:r>
        <w:t>Product background</w:t>
      </w:r>
      <w:bookmarkEnd w:id="13"/>
      <w:bookmarkEnd w:id="14"/>
      <w:bookmarkEnd w:id="15"/>
      <w:bookmarkEnd w:id="16"/>
    </w:p>
    <w:p w14:paraId="59BF31D1" w14:textId="26F8E41E" w:rsidR="001500A8" w:rsidRDefault="00324B33" w:rsidP="007E7AEC">
      <w:r w:rsidRPr="00065839">
        <w:t xml:space="preserve">This AusPAR describes the submission by </w:t>
      </w:r>
      <w:r w:rsidR="000F3C2E" w:rsidRPr="000F3C2E">
        <w:t xml:space="preserve">Samsung </w:t>
      </w:r>
      <w:proofErr w:type="spellStart"/>
      <w:r w:rsidR="000F3C2E" w:rsidRPr="000F3C2E">
        <w:t>Bioepis</w:t>
      </w:r>
      <w:proofErr w:type="spellEnd"/>
      <w:r w:rsidR="000F3C2E" w:rsidRPr="000F3C2E">
        <w:t xml:space="preserve"> Pty Ltd</w:t>
      </w:r>
      <w:r w:rsidRPr="00065839">
        <w:t xml:space="preserve"> (the </w:t>
      </w:r>
      <w:r w:rsidR="004215E2">
        <w:t>Sponsor</w:t>
      </w:r>
      <w:r w:rsidRPr="00065839">
        <w:t xml:space="preserve">) to </w:t>
      </w:r>
      <w:r w:rsidR="001E18BB">
        <w:t xml:space="preserve">register </w:t>
      </w:r>
      <w:r w:rsidR="006C4752">
        <w:t>Opuviz</w:t>
      </w:r>
      <w:r w:rsidR="000F3C2E" w:rsidRPr="000F3C2E">
        <w:t xml:space="preserve"> </w:t>
      </w:r>
      <w:r w:rsidR="000F3C2E">
        <w:t>(</w:t>
      </w:r>
      <w:r w:rsidR="000F3C2E" w:rsidRPr="000F3C2E">
        <w:t>aflibercept</w:t>
      </w:r>
      <w:r w:rsidR="000F3C2E">
        <w:t>)</w:t>
      </w:r>
      <w:r w:rsidR="007E7AEC">
        <w:t xml:space="preserve">, a biosimilar to the reference product </w:t>
      </w:r>
      <w:r w:rsidR="000C0296">
        <w:t>Eylea</w:t>
      </w:r>
      <w:r w:rsidR="007E7AEC">
        <w:t xml:space="preserve">, for the same indications that are currently approved in Australia for </w:t>
      </w:r>
      <w:r w:rsidR="000C0296">
        <w:t>Eylea</w:t>
      </w:r>
      <w:r w:rsidR="007E7AEC">
        <w:t xml:space="preserve"> as follows:</w:t>
      </w:r>
    </w:p>
    <w:p w14:paraId="00316831" w14:textId="7128217C" w:rsidR="00104147" w:rsidRDefault="00962F79" w:rsidP="002338A9">
      <w:pPr>
        <w:pStyle w:val="Indication"/>
      </w:pPr>
      <w:r>
        <w:t>-</w:t>
      </w:r>
      <w:r w:rsidR="00104147">
        <w:t>Treatment of neovascular (wet) age-related macular degeneration (wet AMD)</w:t>
      </w:r>
    </w:p>
    <w:p w14:paraId="21103970" w14:textId="2B997FAB" w:rsidR="00104147" w:rsidRDefault="00962F79" w:rsidP="002338A9">
      <w:pPr>
        <w:pStyle w:val="Indication"/>
      </w:pPr>
      <w:r>
        <w:t>-</w:t>
      </w:r>
      <w:r w:rsidR="00104147">
        <w:t>Treatment of visual impairment due to macular oedema secondary to central retinal</w:t>
      </w:r>
      <w:r w:rsidR="002338A9">
        <w:t xml:space="preserve"> </w:t>
      </w:r>
      <w:r w:rsidR="00104147">
        <w:t>vein occlusion (CRVO)</w:t>
      </w:r>
    </w:p>
    <w:p w14:paraId="7ADE9B02" w14:textId="3AC39312" w:rsidR="00104147" w:rsidRDefault="00962F79" w:rsidP="002338A9">
      <w:pPr>
        <w:pStyle w:val="Indication"/>
      </w:pPr>
      <w:r>
        <w:t>-</w:t>
      </w:r>
      <w:r w:rsidR="00104147">
        <w:t>Treatment of visual impairment due to macular oedema secondary to branch retinal</w:t>
      </w:r>
      <w:r w:rsidR="002338A9">
        <w:t xml:space="preserve"> </w:t>
      </w:r>
      <w:r w:rsidR="00104147">
        <w:t>vein occlusion (BRVO)</w:t>
      </w:r>
    </w:p>
    <w:p w14:paraId="66B82B77" w14:textId="7BEDEC1B" w:rsidR="002338A9" w:rsidRDefault="00962F79" w:rsidP="002338A9">
      <w:pPr>
        <w:pStyle w:val="Indication"/>
      </w:pPr>
      <w:r>
        <w:t>-</w:t>
      </w:r>
      <w:r w:rsidR="002338A9">
        <w:t>Treatment of diabetic macular oedema (DME)</w:t>
      </w:r>
    </w:p>
    <w:p w14:paraId="42686C31" w14:textId="7187CE74" w:rsidR="002338A9" w:rsidRDefault="00962F79" w:rsidP="002338A9">
      <w:pPr>
        <w:pStyle w:val="Indication"/>
      </w:pPr>
      <w:r>
        <w:t>-</w:t>
      </w:r>
      <w:r w:rsidR="002338A9">
        <w:t>Treatment of visual impairment due to myopic choroidal neovascularization (myopic</w:t>
      </w:r>
    </w:p>
    <w:p w14:paraId="5C7B4008" w14:textId="3B0B6639" w:rsidR="007E7AEC" w:rsidRPr="00065839" w:rsidRDefault="002338A9" w:rsidP="002338A9">
      <w:pPr>
        <w:pStyle w:val="Indication"/>
      </w:pPr>
      <w:r>
        <w:t>CNV)</w:t>
      </w:r>
    </w:p>
    <w:p w14:paraId="1E63A2AE" w14:textId="5FCD6C6F" w:rsidR="00CB6813" w:rsidRDefault="00005DFC" w:rsidP="00CB6813">
      <w:pPr>
        <w:pStyle w:val="Heading4"/>
      </w:pPr>
      <w:bookmarkStart w:id="17" w:name="_Toc215222555"/>
      <w:bookmarkStart w:id="18" w:name="_Toc314842485"/>
      <w:bookmarkStart w:id="19" w:name="_Toc247691504"/>
      <w:r>
        <w:t>D</w:t>
      </w:r>
      <w:r w:rsidR="00CB6813" w:rsidRPr="00C12D65">
        <w:t>isease</w:t>
      </w:r>
      <w:r w:rsidR="006428C5">
        <w:t xml:space="preserve"> or condition</w:t>
      </w:r>
      <w:bookmarkEnd w:id="17"/>
    </w:p>
    <w:p w14:paraId="52052FA8" w14:textId="5DEFE935" w:rsidR="000A3C79" w:rsidRDefault="000A3C79" w:rsidP="000A3C79">
      <w:r w:rsidRPr="000A3C79">
        <w:t xml:space="preserve">Only neovascular (wet) AMD is discussed here as this was the disease studied for biosimilarity in the current submission.  The </w:t>
      </w:r>
      <w:r w:rsidR="004215E2">
        <w:t>Sponsor</w:t>
      </w:r>
      <w:r w:rsidRPr="000A3C79">
        <w:t xml:space="preserve">’s justification for extrapolation to other proposed indications is addressed in the Discussion section of this </w:t>
      </w:r>
      <w:r w:rsidR="00362B9A">
        <w:t>document</w:t>
      </w:r>
      <w:r w:rsidRPr="000A3C79">
        <w:t>.</w:t>
      </w:r>
    </w:p>
    <w:p w14:paraId="22A6546E" w14:textId="77777777" w:rsidR="00362B9A" w:rsidRDefault="00362B9A" w:rsidP="00362B9A">
      <w:pPr>
        <w:pStyle w:val="Heading5"/>
      </w:pPr>
      <w:r>
        <w:t>Neovascular (wet) age-related macular degeneration</w:t>
      </w:r>
    </w:p>
    <w:p w14:paraId="6201B4DC" w14:textId="2E8DCE1D" w:rsidR="00362B9A" w:rsidRDefault="00362B9A" w:rsidP="00362B9A">
      <w:r>
        <w:t>Age-related macular degeneration (AMD) is the most common cause of blindness in developed countries.</w:t>
      </w:r>
      <w:r w:rsidR="00797C22">
        <w:rPr>
          <w:rStyle w:val="FootnoteReference"/>
        </w:rPr>
        <w:footnoteReference w:id="1"/>
      </w:r>
      <w:r w:rsidR="00DD061B">
        <w:t xml:space="preserve"> </w:t>
      </w:r>
      <w:r>
        <w:t xml:space="preserve">In Australia, macular degeneration is </w:t>
      </w:r>
      <w:r w:rsidR="008B09C7">
        <w:t xml:space="preserve">the </w:t>
      </w:r>
      <w:r>
        <w:t>most common cause of blindness in people aged over 65 years; in 2017-18, the prevalence of self-reported macular degeneration in this age group was 4.5%.</w:t>
      </w:r>
      <w:r w:rsidR="003A001A">
        <w:rPr>
          <w:rStyle w:val="FootnoteReference"/>
        </w:rPr>
        <w:footnoteReference w:id="2"/>
      </w:r>
      <w:r w:rsidR="003A001A">
        <w:t xml:space="preserve"> </w:t>
      </w:r>
      <w:r>
        <w:t>A characteristic finding in early AMD, which precedes the visual loss in late AMD, is the deposition of drusen (extracellular material) in and around Bruch’s membrane in the macula.</w:t>
      </w:r>
      <w:r w:rsidR="008D77F6">
        <w:rPr>
          <w:rStyle w:val="FootnoteReference"/>
        </w:rPr>
        <w:footnoteReference w:id="3"/>
      </w:r>
      <w:r>
        <w:t xml:space="preserve">    </w:t>
      </w:r>
    </w:p>
    <w:p w14:paraId="59B9CE6C" w14:textId="10711F5D" w:rsidR="00362B9A" w:rsidRPr="000A3C79" w:rsidRDefault="00362B9A" w:rsidP="00362B9A">
      <w:r>
        <w:lastRenderedPageBreak/>
        <w:t>At any stage of AMD, new vessels can invade the outer retina, subretinal or sub retinal pigment epithelium space, resulting in macular neovascularization, which is the hallmark of neovascular AMD or wet AMD.</w:t>
      </w:r>
      <w:r w:rsidR="00D70994">
        <w:rPr>
          <w:rStyle w:val="FootnoteReference"/>
        </w:rPr>
        <w:footnoteReference w:id="4"/>
      </w:r>
      <w:r w:rsidR="00D70994">
        <w:t xml:space="preserve"> </w:t>
      </w:r>
      <w:r>
        <w:t>The exudative stage of wet AMD becomes apparent when these new vessels leak or rupture, resulting in fluid accumulation and/or haemorrhages, and distortion and deterioration in vision. Without treatment, wet AMD typically results in extensive fibrosis with severe central vision loss.</w:t>
      </w:r>
      <w:r w:rsidR="00D70994">
        <w:rPr>
          <w:rStyle w:val="FootnoteReference"/>
        </w:rPr>
        <w:footnoteReference w:id="5"/>
      </w:r>
    </w:p>
    <w:p w14:paraId="255E083A" w14:textId="77777777" w:rsidR="00CB6813" w:rsidRDefault="00CB6813" w:rsidP="00CB6813">
      <w:pPr>
        <w:pStyle w:val="Heading4"/>
      </w:pPr>
      <w:bookmarkStart w:id="20" w:name="_Toc215222556"/>
      <w:r>
        <w:t>Current treatment options</w:t>
      </w:r>
      <w:bookmarkEnd w:id="20"/>
    </w:p>
    <w:p w14:paraId="78B566CC" w14:textId="77777777" w:rsidR="004215E2" w:rsidRDefault="00940201" w:rsidP="00940201">
      <w:r>
        <w:t xml:space="preserve">Counselling patients about the importance of a healthy lifestyle, including smoking cessation, adherence to a healthy diet and promoting physical exercise, is an important part of the management of AMD. </w:t>
      </w:r>
    </w:p>
    <w:p w14:paraId="544393D9" w14:textId="355428FE" w:rsidR="00940201" w:rsidRDefault="00940201" w:rsidP="00940201">
      <w:r>
        <w:t>Intravitreal anti-</w:t>
      </w:r>
      <w:r w:rsidR="00DB0AF7">
        <w:t>v</w:t>
      </w:r>
      <w:r w:rsidR="00DB0AF7" w:rsidRPr="00DB0AF7">
        <w:t xml:space="preserve">ascular endothelial growth factor </w:t>
      </w:r>
      <w:r w:rsidR="00DB0AF7">
        <w:t>(</w:t>
      </w:r>
      <w:r>
        <w:t>VEGF</w:t>
      </w:r>
      <w:r w:rsidR="00DB0AF7">
        <w:t>)</w:t>
      </w:r>
      <w:r>
        <w:t xml:space="preserve"> injections constitute the </w:t>
      </w:r>
      <w:proofErr w:type="gramStart"/>
      <w:r>
        <w:t>first-line</w:t>
      </w:r>
      <w:proofErr w:type="gramEnd"/>
      <w:r>
        <w:t xml:space="preserve"> of treatment for wet AMD.  </w:t>
      </w:r>
    </w:p>
    <w:p w14:paraId="3F8BC4D9" w14:textId="09494C59" w:rsidR="00940201" w:rsidRDefault="00940201" w:rsidP="00940201">
      <w:r>
        <w:t xml:space="preserve">Anti-VEGF agents currently approved for use in Australia for the same indications proposed for </w:t>
      </w:r>
      <w:r w:rsidR="006C4752">
        <w:t>Opuviz</w:t>
      </w:r>
      <w:r>
        <w:t xml:space="preserve"> include:</w:t>
      </w:r>
    </w:p>
    <w:p w14:paraId="700B8A94" w14:textId="2A86083C" w:rsidR="00940201" w:rsidRDefault="00940201" w:rsidP="00144620">
      <w:pPr>
        <w:pStyle w:val="ListBullet"/>
      </w:pPr>
      <w:r>
        <w:t>aflibercept (E</w:t>
      </w:r>
      <w:r w:rsidR="00144620">
        <w:t>ylea</w:t>
      </w:r>
      <w:r>
        <w:t xml:space="preserve">), approved for: </w:t>
      </w:r>
    </w:p>
    <w:p w14:paraId="05D03021" w14:textId="3CEA8A2B" w:rsidR="00940201" w:rsidRDefault="00940201" w:rsidP="00144620">
      <w:pPr>
        <w:pStyle w:val="ListBullet2"/>
      </w:pPr>
      <w:r>
        <w:t>neovascular AMD</w:t>
      </w:r>
    </w:p>
    <w:p w14:paraId="1ED305E2" w14:textId="1318C188" w:rsidR="00940201" w:rsidRDefault="00940201" w:rsidP="00144620">
      <w:pPr>
        <w:pStyle w:val="ListBullet2"/>
      </w:pPr>
      <w:r>
        <w:t xml:space="preserve">macular oedema secondary to </w:t>
      </w:r>
      <w:r w:rsidR="00B2272E" w:rsidRPr="00B2272E">
        <w:t xml:space="preserve">branch retinal vein occlusion </w:t>
      </w:r>
      <w:r w:rsidR="00B2272E">
        <w:t>(</w:t>
      </w:r>
      <w:r>
        <w:t>BRVO</w:t>
      </w:r>
      <w:r w:rsidR="00B2272E">
        <w:t>)</w:t>
      </w:r>
      <w:r>
        <w:t xml:space="preserve"> or</w:t>
      </w:r>
      <w:r w:rsidR="008D6409">
        <w:t xml:space="preserve"> </w:t>
      </w:r>
      <w:r w:rsidR="008D6409" w:rsidRPr="008D6409">
        <w:t>central retinal vein occlusion</w:t>
      </w:r>
      <w:r>
        <w:t xml:space="preserve"> </w:t>
      </w:r>
      <w:r w:rsidR="008D6409">
        <w:t>(</w:t>
      </w:r>
      <w:r>
        <w:t>CRVO</w:t>
      </w:r>
      <w:r w:rsidR="008D6409">
        <w:t>)</w:t>
      </w:r>
    </w:p>
    <w:p w14:paraId="209562CE" w14:textId="3C1F9C77" w:rsidR="00940201" w:rsidRDefault="002A3CB0" w:rsidP="00144620">
      <w:pPr>
        <w:pStyle w:val="ListBullet2"/>
      </w:pPr>
      <w:r w:rsidRPr="002A3CB0">
        <w:t>diabetic macular oedema</w:t>
      </w:r>
      <w:r>
        <w:t xml:space="preserve"> (</w:t>
      </w:r>
      <w:r w:rsidR="00940201">
        <w:t>DMO</w:t>
      </w:r>
      <w:r>
        <w:t>)</w:t>
      </w:r>
    </w:p>
    <w:p w14:paraId="1DFC390D" w14:textId="2B0C3519" w:rsidR="00940201" w:rsidRDefault="00940201" w:rsidP="00144620">
      <w:pPr>
        <w:pStyle w:val="ListBullet2"/>
      </w:pPr>
      <w:r>
        <w:t>myopic choroidal neovascularisation</w:t>
      </w:r>
    </w:p>
    <w:p w14:paraId="702574BF" w14:textId="38B37021" w:rsidR="00940201" w:rsidRDefault="00940201" w:rsidP="00144620">
      <w:pPr>
        <w:pStyle w:val="ListBullet"/>
      </w:pPr>
      <w:r>
        <w:t>ranibizumab (L</w:t>
      </w:r>
      <w:r w:rsidR="00144620">
        <w:t>ucentis</w:t>
      </w:r>
      <w:r>
        <w:t>), approved for:</w:t>
      </w:r>
    </w:p>
    <w:p w14:paraId="67FCB919" w14:textId="57E4110B" w:rsidR="00940201" w:rsidRDefault="00940201" w:rsidP="00144620">
      <w:pPr>
        <w:pStyle w:val="ListBullet2"/>
      </w:pPr>
      <w:r>
        <w:t>neovascular AMD</w:t>
      </w:r>
    </w:p>
    <w:p w14:paraId="6555DBB5" w14:textId="28B8561B" w:rsidR="00940201" w:rsidRDefault="00940201" w:rsidP="00144620">
      <w:pPr>
        <w:pStyle w:val="ListBullet2"/>
      </w:pPr>
      <w:r>
        <w:t>DMO</w:t>
      </w:r>
    </w:p>
    <w:p w14:paraId="29DA909D" w14:textId="28365A61" w:rsidR="00940201" w:rsidRDefault="00940201" w:rsidP="00144620">
      <w:pPr>
        <w:pStyle w:val="ListBullet2"/>
      </w:pPr>
      <w:r>
        <w:t>choroidal neovascularisation secondary to pathologic myopia</w:t>
      </w:r>
    </w:p>
    <w:p w14:paraId="360B83A6" w14:textId="2B364966" w:rsidR="00D4072C" w:rsidRDefault="00940201" w:rsidP="00144620">
      <w:pPr>
        <w:pStyle w:val="ListBullet2"/>
      </w:pPr>
      <w:r>
        <w:t xml:space="preserve">macular oedema secondary to </w:t>
      </w:r>
      <w:r w:rsidR="00E8137E" w:rsidRPr="00E8137E">
        <w:t xml:space="preserve">retinal vein occlusion </w:t>
      </w:r>
      <w:r w:rsidR="00E8137E">
        <w:t>(</w:t>
      </w:r>
      <w:r>
        <w:t>RVO</w:t>
      </w:r>
      <w:r w:rsidR="00E8137E">
        <w:t>)</w:t>
      </w:r>
    </w:p>
    <w:p w14:paraId="13F5C1CB" w14:textId="1185CD52" w:rsidR="0037777A" w:rsidRDefault="0037777A" w:rsidP="00144620">
      <w:pPr>
        <w:pStyle w:val="ListBullet"/>
      </w:pPr>
      <w:proofErr w:type="spellStart"/>
      <w:r>
        <w:t>faricimab</w:t>
      </w:r>
      <w:proofErr w:type="spellEnd"/>
      <w:r>
        <w:t xml:space="preserve"> (</w:t>
      </w:r>
      <w:proofErr w:type="spellStart"/>
      <w:r>
        <w:t>V</w:t>
      </w:r>
      <w:r w:rsidR="00144620">
        <w:t>abysmo</w:t>
      </w:r>
      <w:proofErr w:type="spellEnd"/>
      <w:r>
        <w:t>)</w:t>
      </w:r>
    </w:p>
    <w:p w14:paraId="56183554" w14:textId="18EBC577" w:rsidR="0037777A" w:rsidRDefault="0037777A" w:rsidP="00144620">
      <w:pPr>
        <w:pStyle w:val="ListBullet2"/>
      </w:pPr>
      <w:r>
        <w:t>neovascular AMD</w:t>
      </w:r>
    </w:p>
    <w:p w14:paraId="79C2B446" w14:textId="3B7593B0" w:rsidR="0037777A" w:rsidRDefault="0037777A" w:rsidP="00144620">
      <w:pPr>
        <w:pStyle w:val="ListBullet2"/>
      </w:pPr>
      <w:r>
        <w:t>DMO</w:t>
      </w:r>
    </w:p>
    <w:p w14:paraId="3D8ADCB0" w14:textId="15143B25" w:rsidR="0037777A" w:rsidRDefault="0037777A" w:rsidP="00144620">
      <w:pPr>
        <w:pStyle w:val="ListBullet"/>
      </w:pPr>
      <w:r>
        <w:t>brolucizumab (</w:t>
      </w:r>
      <w:proofErr w:type="spellStart"/>
      <w:r>
        <w:t>B</w:t>
      </w:r>
      <w:r w:rsidR="00144620">
        <w:t>eovu</w:t>
      </w:r>
      <w:proofErr w:type="spellEnd"/>
      <w:r>
        <w:t>)</w:t>
      </w:r>
    </w:p>
    <w:p w14:paraId="13411E23" w14:textId="47896C6A" w:rsidR="0037777A" w:rsidRDefault="0037777A" w:rsidP="00144620">
      <w:pPr>
        <w:pStyle w:val="ListBullet2"/>
      </w:pPr>
      <w:r>
        <w:t>neovascular AMD</w:t>
      </w:r>
    </w:p>
    <w:p w14:paraId="634ACE7F" w14:textId="6A7092E2" w:rsidR="0037777A" w:rsidRPr="00D4072C" w:rsidRDefault="0037777A" w:rsidP="00144620">
      <w:pPr>
        <w:pStyle w:val="ListBullet2"/>
      </w:pPr>
      <w:r>
        <w:t>DMO</w:t>
      </w:r>
    </w:p>
    <w:p w14:paraId="0D615854" w14:textId="77777777" w:rsidR="00324B33" w:rsidRPr="003F31A2" w:rsidRDefault="00324B33" w:rsidP="00324B33">
      <w:pPr>
        <w:pStyle w:val="Heading3"/>
      </w:pPr>
      <w:bookmarkStart w:id="21" w:name="_Toc103679291"/>
      <w:bookmarkStart w:id="22" w:name="_Toc215222557"/>
      <w:r>
        <w:lastRenderedPageBreak/>
        <w:t>Regulatory status</w:t>
      </w:r>
      <w:bookmarkEnd w:id="18"/>
      <w:bookmarkEnd w:id="19"/>
      <w:bookmarkEnd w:id="21"/>
      <w:bookmarkEnd w:id="22"/>
    </w:p>
    <w:p w14:paraId="72C889D6" w14:textId="7E200950" w:rsidR="0017005C" w:rsidRDefault="0017005C" w:rsidP="00741AB9">
      <w:pPr>
        <w:pStyle w:val="Heading4"/>
      </w:pPr>
      <w:bookmarkStart w:id="23" w:name="_Toc215222558"/>
      <w:r w:rsidRPr="00BD5DBD">
        <w:t>Australian regulatory</w:t>
      </w:r>
      <w:r>
        <w:t xml:space="preserve"> sta</w:t>
      </w:r>
      <w:r w:rsidR="0025785B">
        <w:t>t</w:t>
      </w:r>
      <w:r>
        <w:t>us</w:t>
      </w:r>
      <w:bookmarkEnd w:id="23"/>
    </w:p>
    <w:p w14:paraId="0AC5B585" w14:textId="15020FB0" w:rsidR="00514D1C" w:rsidRPr="00514D1C" w:rsidRDefault="00514D1C" w:rsidP="00514D1C">
      <w:r w:rsidRPr="00514D1C">
        <w:t xml:space="preserve">This application is the initial submission for </w:t>
      </w:r>
      <w:r w:rsidR="006C4752">
        <w:t>Opuviz</w:t>
      </w:r>
      <w:r w:rsidRPr="00514D1C">
        <w:t xml:space="preserve"> in Australia. The reference </w:t>
      </w:r>
      <w:r w:rsidR="000B180F">
        <w:t xml:space="preserve">product, </w:t>
      </w:r>
      <w:r w:rsidR="000C0296">
        <w:t>Eylea</w:t>
      </w:r>
      <w:r w:rsidRPr="00514D1C">
        <w:t xml:space="preserve"> aflibercept (rch) 40 mg/mL solution for intravitreal injection</w:t>
      </w:r>
      <w:r w:rsidR="000B180F">
        <w:t>,</w:t>
      </w:r>
      <w:r w:rsidRPr="00514D1C">
        <w:t xml:space="preserve"> was first registered on the ARTG on 7 March 2012</w:t>
      </w:r>
      <w:r w:rsidR="000B180F">
        <w:t>.</w:t>
      </w:r>
    </w:p>
    <w:p w14:paraId="546C1031" w14:textId="4EF98FA1" w:rsidR="0017005C" w:rsidRDefault="00131B1B" w:rsidP="0017005C">
      <w:pPr>
        <w:pStyle w:val="Heading4"/>
      </w:pPr>
      <w:bookmarkStart w:id="24" w:name="_Toc215222559"/>
      <w:r>
        <w:t xml:space="preserve">International </w:t>
      </w:r>
      <w:r w:rsidR="0017005C" w:rsidRPr="00BD5DBD">
        <w:t>regulatory</w:t>
      </w:r>
      <w:r w:rsidR="0017005C">
        <w:t xml:space="preserve"> status</w:t>
      </w:r>
      <w:bookmarkEnd w:id="24"/>
    </w:p>
    <w:p w14:paraId="112A2BB4" w14:textId="77777777" w:rsidR="00A74552" w:rsidRDefault="008F4A62" w:rsidP="008F4A62">
      <w:pPr>
        <w:rPr>
          <w:szCs w:val="22"/>
        </w:rPr>
      </w:pPr>
      <w:r w:rsidRPr="00BD5DBD">
        <w:rPr>
          <w:szCs w:val="22"/>
        </w:rPr>
        <w:t xml:space="preserve">At the time the TGA considered this submission, a similar submission had been </w:t>
      </w:r>
      <w:r>
        <w:rPr>
          <w:szCs w:val="22"/>
        </w:rPr>
        <w:t xml:space="preserve">considered by other regulatory agencies. </w:t>
      </w:r>
    </w:p>
    <w:p w14:paraId="0A276D25" w14:textId="5A43329C" w:rsidR="00A74552" w:rsidRPr="00A74552" w:rsidRDefault="00A74552" w:rsidP="00A74552">
      <w:pPr>
        <w:rPr>
          <w:szCs w:val="22"/>
        </w:rPr>
      </w:pPr>
      <w:r w:rsidRPr="00A74552">
        <w:rPr>
          <w:szCs w:val="22"/>
        </w:rPr>
        <w:t xml:space="preserve">The </w:t>
      </w:r>
      <w:r w:rsidR="006C4752">
        <w:rPr>
          <w:szCs w:val="22"/>
        </w:rPr>
        <w:t>Opuviz</w:t>
      </w:r>
      <w:r w:rsidRPr="00A74552">
        <w:rPr>
          <w:szCs w:val="22"/>
        </w:rPr>
        <w:t xml:space="preserve"> vial was approved in the US in May 2024 for the following indications:  </w:t>
      </w:r>
    </w:p>
    <w:p w14:paraId="2592CF74" w14:textId="1FCE500F" w:rsidR="00A74552" w:rsidRPr="00A74552" w:rsidRDefault="006C4752" w:rsidP="00A74552">
      <w:pPr>
        <w:pStyle w:val="Indication"/>
      </w:pPr>
      <w:r>
        <w:t>Opuviz</w:t>
      </w:r>
      <w:r w:rsidR="00A74552" w:rsidRPr="00A74552">
        <w:t xml:space="preserve"> is a vascular endothelial growth factor (VEGF) inhibitor indicated for the treatment of patients with:</w:t>
      </w:r>
    </w:p>
    <w:p w14:paraId="0C2D52A9" w14:textId="237DA23C" w:rsidR="00A74552" w:rsidRPr="00A74552" w:rsidRDefault="008002B7" w:rsidP="00A74552">
      <w:pPr>
        <w:pStyle w:val="Indication"/>
      </w:pPr>
      <w:r>
        <w:t>-</w:t>
      </w:r>
      <w:r w:rsidR="00DF70C3">
        <w:t>n</w:t>
      </w:r>
      <w:r w:rsidR="00A74552" w:rsidRPr="00A74552">
        <w:t xml:space="preserve">eovascular (Wet) Age-Related Macular Degeneration (AMD) </w:t>
      </w:r>
    </w:p>
    <w:p w14:paraId="41C8D5BE" w14:textId="483F57DA" w:rsidR="00A74552" w:rsidRPr="00A74552" w:rsidRDefault="008002B7" w:rsidP="00A74552">
      <w:pPr>
        <w:pStyle w:val="Indication"/>
      </w:pPr>
      <w:r>
        <w:t>-</w:t>
      </w:r>
      <w:r w:rsidR="00A74552" w:rsidRPr="00A74552">
        <w:t xml:space="preserve"> </w:t>
      </w:r>
      <w:r w:rsidR="00DF70C3">
        <w:t>m</w:t>
      </w:r>
      <w:r w:rsidR="00A74552" w:rsidRPr="00A74552">
        <w:t xml:space="preserve">acular </w:t>
      </w:r>
      <w:r w:rsidR="00DF70C3">
        <w:t>e</w:t>
      </w:r>
      <w:r w:rsidR="00A74552" w:rsidRPr="00A74552">
        <w:t xml:space="preserve">dema </w:t>
      </w:r>
      <w:r w:rsidR="00DF70C3">
        <w:t>f</w:t>
      </w:r>
      <w:r w:rsidR="00A74552" w:rsidRPr="00A74552">
        <w:t xml:space="preserve">ollowing Retinal Vein Occlusion (RVO) </w:t>
      </w:r>
    </w:p>
    <w:p w14:paraId="50BCA447" w14:textId="6C926CFF" w:rsidR="00A74552" w:rsidRPr="00453224" w:rsidRDefault="008002B7" w:rsidP="00A74552">
      <w:pPr>
        <w:pStyle w:val="Indication"/>
        <w:rPr>
          <w:lang w:val="pt-PT"/>
        </w:rPr>
      </w:pPr>
      <w:r w:rsidRPr="00453224">
        <w:rPr>
          <w:lang w:val="pt-PT"/>
        </w:rPr>
        <w:t>-</w:t>
      </w:r>
      <w:r w:rsidR="00A74552" w:rsidRPr="00453224">
        <w:rPr>
          <w:lang w:val="pt-PT"/>
        </w:rPr>
        <w:t xml:space="preserve"> Diabetic Macular Edema (DME) </w:t>
      </w:r>
    </w:p>
    <w:p w14:paraId="6FF711DB" w14:textId="014B0D34" w:rsidR="00A74552" w:rsidRPr="00453224" w:rsidRDefault="008002B7" w:rsidP="00A74552">
      <w:pPr>
        <w:pStyle w:val="Indication"/>
        <w:rPr>
          <w:lang w:val="pt-PT"/>
        </w:rPr>
      </w:pPr>
      <w:r w:rsidRPr="00453224">
        <w:rPr>
          <w:lang w:val="pt-PT"/>
        </w:rPr>
        <w:t>-</w:t>
      </w:r>
      <w:r w:rsidR="00A74552" w:rsidRPr="00453224">
        <w:rPr>
          <w:lang w:val="pt-PT"/>
        </w:rPr>
        <w:t xml:space="preserve"> Diabetic Retinopathy (DR)</w:t>
      </w:r>
    </w:p>
    <w:p w14:paraId="7474E522" w14:textId="23463C5F" w:rsidR="00A74552" w:rsidRPr="00A74552" w:rsidRDefault="00A74552" w:rsidP="00A74552">
      <w:pPr>
        <w:rPr>
          <w:szCs w:val="22"/>
        </w:rPr>
      </w:pPr>
      <w:r w:rsidRPr="00A74552">
        <w:rPr>
          <w:szCs w:val="22"/>
        </w:rPr>
        <w:t xml:space="preserve">The </w:t>
      </w:r>
      <w:r w:rsidR="006C4752">
        <w:rPr>
          <w:szCs w:val="22"/>
        </w:rPr>
        <w:t>Opuviz</w:t>
      </w:r>
      <w:r w:rsidRPr="00A74552">
        <w:rPr>
          <w:szCs w:val="22"/>
        </w:rPr>
        <w:t xml:space="preserve"> vial has also been approved by the EMA.  </w:t>
      </w:r>
    </w:p>
    <w:p w14:paraId="43873CD1" w14:textId="45F5431A" w:rsidR="00A74552" w:rsidRPr="00A74552" w:rsidRDefault="006C4752" w:rsidP="005E317B">
      <w:pPr>
        <w:pStyle w:val="Indication"/>
      </w:pPr>
      <w:r>
        <w:t>Opuviz</w:t>
      </w:r>
      <w:r w:rsidR="00A74552" w:rsidRPr="00A74552">
        <w:t xml:space="preserve"> is indicated for adults for the treatment of: </w:t>
      </w:r>
    </w:p>
    <w:p w14:paraId="3634F452" w14:textId="419A0892" w:rsidR="00A74552" w:rsidRPr="00A74552" w:rsidRDefault="008002B7" w:rsidP="005E317B">
      <w:pPr>
        <w:pStyle w:val="Indication"/>
      </w:pPr>
      <w:r>
        <w:t>-</w:t>
      </w:r>
      <w:r w:rsidR="00A74552" w:rsidRPr="00A74552">
        <w:t xml:space="preserve">neovascular (wet) age-related macular degeneration (AMD), </w:t>
      </w:r>
    </w:p>
    <w:p w14:paraId="288DB1D3" w14:textId="18763C4B" w:rsidR="00A74552" w:rsidRPr="00A74552" w:rsidRDefault="008002B7" w:rsidP="005E317B">
      <w:pPr>
        <w:pStyle w:val="Indication"/>
      </w:pPr>
      <w:r>
        <w:t>-</w:t>
      </w:r>
      <w:r w:rsidR="00A74552" w:rsidRPr="00A74552">
        <w:t xml:space="preserve">visual impairment due to macular oedema secondary to retinal vein occlusion (branch RVO or central RVO), </w:t>
      </w:r>
    </w:p>
    <w:p w14:paraId="5EEBC2CB" w14:textId="4B00ACC0" w:rsidR="00A74552" w:rsidRPr="00A74552" w:rsidRDefault="00DF70C3" w:rsidP="005E317B">
      <w:pPr>
        <w:pStyle w:val="Indication"/>
      </w:pPr>
      <w:r>
        <w:t>-</w:t>
      </w:r>
      <w:r w:rsidR="00A74552" w:rsidRPr="00A74552">
        <w:t xml:space="preserve">visual impairment due to diabetic macular oedema (DME), </w:t>
      </w:r>
    </w:p>
    <w:p w14:paraId="159CC91B" w14:textId="7A210B56" w:rsidR="00A74552" w:rsidRPr="00A74552" w:rsidRDefault="00DF70C3" w:rsidP="005E317B">
      <w:pPr>
        <w:pStyle w:val="Indication"/>
      </w:pPr>
      <w:r>
        <w:t>-</w:t>
      </w:r>
      <w:r w:rsidR="00A74552" w:rsidRPr="00A74552">
        <w:t>visual impairment due to myopic choroidal neovascularisation (myopic CNV).</w:t>
      </w:r>
    </w:p>
    <w:p w14:paraId="173D9E13" w14:textId="3BA3AB75" w:rsidR="00A74552" w:rsidRDefault="006C4752" w:rsidP="00A74552">
      <w:pPr>
        <w:rPr>
          <w:szCs w:val="22"/>
        </w:rPr>
      </w:pPr>
      <w:r>
        <w:rPr>
          <w:szCs w:val="22"/>
        </w:rPr>
        <w:t>Opuviz</w:t>
      </w:r>
      <w:r w:rsidR="00A74552" w:rsidRPr="00A74552">
        <w:rPr>
          <w:szCs w:val="22"/>
        </w:rPr>
        <w:t xml:space="preserve"> was approved in Korea by the Ministry of Food and Drug Safety (MFDS) in Feb</w:t>
      </w:r>
      <w:r w:rsidR="00B4181E">
        <w:rPr>
          <w:szCs w:val="22"/>
        </w:rPr>
        <w:t>ruary</w:t>
      </w:r>
      <w:r w:rsidR="00A74552" w:rsidRPr="00A74552">
        <w:rPr>
          <w:szCs w:val="22"/>
        </w:rPr>
        <w:t xml:space="preserve"> 2024 and in Japan by the Pharmaceuticals and Medical Devices Agency (PMDA) in Jun</w:t>
      </w:r>
      <w:r w:rsidR="00360609">
        <w:rPr>
          <w:szCs w:val="22"/>
        </w:rPr>
        <w:t>e</w:t>
      </w:r>
      <w:r w:rsidR="00A74552" w:rsidRPr="00A74552">
        <w:rPr>
          <w:szCs w:val="22"/>
        </w:rPr>
        <w:t xml:space="preserve"> 2024.</w:t>
      </w:r>
    </w:p>
    <w:p w14:paraId="6D92589C" w14:textId="09786CEF" w:rsidR="00324B33" w:rsidRDefault="00324B33" w:rsidP="00324B33">
      <w:pPr>
        <w:pStyle w:val="Heading2"/>
      </w:pPr>
      <w:bookmarkStart w:id="25" w:name="_Toc504480011"/>
      <w:bookmarkStart w:id="26" w:name="_Toc103679293"/>
      <w:bookmarkStart w:id="27" w:name="_Toc215222560"/>
      <w:r>
        <w:t>Registration timeline</w:t>
      </w:r>
      <w:bookmarkEnd w:id="25"/>
      <w:bookmarkEnd w:id="26"/>
      <w:bookmarkEnd w:id="27"/>
    </w:p>
    <w:p w14:paraId="225E3D87" w14:textId="3ED69CE0" w:rsidR="00324B33" w:rsidRPr="00BD5DBD" w:rsidRDefault="00062588" w:rsidP="00324B33">
      <w:pPr>
        <w:rPr>
          <w:szCs w:val="22"/>
        </w:rPr>
      </w:pPr>
      <w:r>
        <w:rPr>
          <w:szCs w:val="22"/>
        </w:rPr>
        <w:t>Table 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16C46C7D" w:rsidR="00324B33" w:rsidRDefault="00324B33" w:rsidP="00062588">
      <w:pPr>
        <w:pStyle w:val="TableTitle"/>
      </w:pPr>
      <w:r w:rsidRPr="002C1232">
        <w:t>Table</w:t>
      </w:r>
      <w:r w:rsidR="00062588">
        <w:t xml:space="preserve"> 1</w:t>
      </w:r>
      <w:r w:rsidRPr="002C1232">
        <w:t xml:space="preserve">: Timeline for </w:t>
      </w:r>
      <w:r w:rsidR="006C4752">
        <w:t>Opuviz</w:t>
      </w:r>
      <w:r w:rsidR="00BA58E4" w:rsidRPr="00BA58E4">
        <w:t xml:space="preserve"> </w:t>
      </w:r>
      <w:r w:rsidR="00BA58E4">
        <w:t>(</w:t>
      </w:r>
      <w:r w:rsidR="00BA58E4" w:rsidRPr="00BA58E4">
        <w:t>aflibercept</w:t>
      </w:r>
      <w:r w:rsidR="00BA58E4">
        <w:t xml:space="preserve">), </w:t>
      </w:r>
      <w:r w:rsidRPr="002C1232">
        <w:t xml:space="preserve">Submission </w:t>
      </w:r>
      <w:r w:rsidR="00BA58E4" w:rsidRPr="00BA58E4">
        <w:t>PM-2024-03080-1-5</w:t>
      </w:r>
    </w:p>
    <w:tbl>
      <w:tblPr>
        <w:tblStyle w:val="TableTGAblue2023"/>
        <w:tblW w:w="8642" w:type="dxa"/>
        <w:tblLook w:val="04A0" w:firstRow="1" w:lastRow="0" w:firstColumn="1" w:lastColumn="0" w:noHBand="0" w:noVBand="1"/>
        <w:tblCaption w:val="Timeline for Opuviz (aflibercept), Submission PM-2024-03080-1-5"/>
        <w:tblDescription w:val="Timeline for Opuviz (aflibercept), Submission PM-2024-03080-1-5"/>
      </w:tblPr>
      <w:tblGrid>
        <w:gridCol w:w="6091"/>
        <w:gridCol w:w="2551"/>
      </w:tblGrid>
      <w:tr w:rsidR="00324B33" w:rsidRPr="00D01DDB" w14:paraId="6C59BE9C" w14:textId="77777777" w:rsidTr="007E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7E58A3">
        <w:tc>
          <w:tcPr>
            <w:cnfStyle w:val="001000000000" w:firstRow="0" w:lastRow="0" w:firstColumn="1" w:lastColumn="0" w:oddVBand="0" w:evenVBand="0" w:oddHBand="0" w:evenHBand="0" w:firstRowFirstColumn="0" w:firstRowLastColumn="0" w:lastRowFirstColumn="0" w:lastRowLastColumn="0"/>
            <w:tcW w:w="6091" w:type="dxa"/>
          </w:tcPr>
          <w:p w14:paraId="759D2A12" w14:textId="0B0FEE1B" w:rsidR="00324B33" w:rsidRPr="00E679D1" w:rsidRDefault="00324B33" w:rsidP="00E679D1">
            <w:r w:rsidRPr="00E679D1">
              <w:t>Submission dossier accepted and first round evaluation commence</w:t>
            </w:r>
          </w:p>
        </w:tc>
        <w:tc>
          <w:tcPr>
            <w:tcW w:w="2551" w:type="dxa"/>
          </w:tcPr>
          <w:p w14:paraId="2963D9D8" w14:textId="4392D812" w:rsidR="00324B33" w:rsidRPr="00D01DDB" w:rsidRDefault="00C322E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September 2024</w:t>
            </w:r>
          </w:p>
        </w:tc>
      </w:tr>
      <w:tr w:rsidR="00803926" w:rsidRPr="00D01DDB" w14:paraId="16D13F79" w14:textId="77777777" w:rsidTr="007E58A3">
        <w:tc>
          <w:tcPr>
            <w:cnfStyle w:val="001000000000" w:firstRow="0" w:lastRow="0" w:firstColumn="1" w:lastColumn="0" w:oddVBand="0" w:evenVBand="0" w:oddHBand="0" w:evenHBand="0" w:firstRowFirstColumn="0" w:firstRowLastColumn="0" w:lastRowFirstColumn="0" w:lastRowLastColumn="0"/>
            <w:tcW w:w="6091" w:type="dxa"/>
          </w:tcPr>
          <w:p w14:paraId="6858B45A" w14:textId="6467E8B0" w:rsidR="00803926" w:rsidRPr="00E679D1" w:rsidDel="00C62B1C" w:rsidRDefault="00803926" w:rsidP="00E679D1">
            <w:r>
              <w:t>Evaluation completed</w:t>
            </w:r>
          </w:p>
        </w:tc>
        <w:tc>
          <w:tcPr>
            <w:tcW w:w="2551" w:type="dxa"/>
          </w:tcPr>
          <w:p w14:paraId="2E0BD403" w14:textId="2D691424" w:rsidR="00803926" w:rsidRPr="00D01DDB" w:rsidRDefault="00C322E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2025</w:t>
            </w:r>
          </w:p>
        </w:tc>
      </w:tr>
      <w:tr w:rsidR="00324B33" w:rsidRPr="00D01DDB" w14:paraId="6E5D32FE" w14:textId="77777777" w:rsidTr="007E58A3">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3A19A285" w:rsidR="00324B33" w:rsidRPr="00D01DDB" w:rsidRDefault="00B45967" w:rsidP="00324B33">
            <w:pPr>
              <w:cnfStyle w:val="000000000000" w:firstRow="0" w:lastRow="0" w:firstColumn="0" w:lastColumn="0" w:oddVBand="0" w:evenVBand="0" w:oddHBand="0" w:evenHBand="0" w:firstRowFirstColumn="0" w:firstRowLastColumn="0" w:lastRowFirstColumn="0" w:lastRowLastColumn="0"/>
              <w:rPr>
                <w:szCs w:val="22"/>
              </w:rPr>
            </w:pPr>
            <w:r w:rsidRPr="00B45967">
              <w:rPr>
                <w:szCs w:val="22"/>
              </w:rPr>
              <w:t>10 September 2025</w:t>
            </w:r>
          </w:p>
        </w:tc>
      </w:tr>
      <w:tr w:rsidR="00324B33" w:rsidRPr="00D01DDB" w14:paraId="6DDCDDA4" w14:textId="77777777" w:rsidTr="007E58A3">
        <w:tc>
          <w:tcPr>
            <w:cnfStyle w:val="001000000000" w:firstRow="0" w:lastRow="0" w:firstColumn="1" w:lastColumn="0" w:oddVBand="0" w:evenVBand="0" w:oddHBand="0" w:evenHBand="0" w:firstRowFirstColumn="0" w:firstRowLastColumn="0" w:lastRowFirstColumn="0" w:lastRowLastColumn="0"/>
            <w:tcW w:w="6091" w:type="dxa"/>
          </w:tcPr>
          <w:p w14:paraId="192FD19D" w14:textId="123AFE92" w:rsidR="00324B33" w:rsidRPr="00E679D1" w:rsidRDefault="0013132F" w:rsidP="007311B9">
            <w:pPr>
              <w:ind w:left="0"/>
            </w:pPr>
            <w:r w:rsidRPr="00E679D1">
              <w:t xml:space="preserve"> </w:t>
            </w:r>
            <w:r w:rsidR="00C322EF">
              <w:t xml:space="preserve"> </w:t>
            </w:r>
            <w:r w:rsidR="00C00844">
              <w:t>R</w:t>
            </w:r>
            <w:r w:rsidRPr="00E679D1">
              <w:t xml:space="preserve">egistration </w:t>
            </w:r>
            <w:r w:rsidR="005C4B46" w:rsidRPr="00E679D1">
              <w:t xml:space="preserve">in </w:t>
            </w:r>
            <w:r w:rsidRPr="00E679D1">
              <w:t>the ARTG completed</w:t>
            </w:r>
          </w:p>
        </w:tc>
        <w:tc>
          <w:tcPr>
            <w:tcW w:w="2551" w:type="dxa"/>
          </w:tcPr>
          <w:p w14:paraId="5A8923FD" w14:textId="2682F092" w:rsidR="00324B33" w:rsidRPr="00D01DDB" w:rsidRDefault="00B45967" w:rsidP="00324B33">
            <w:pPr>
              <w:cnfStyle w:val="000000000000" w:firstRow="0" w:lastRow="0" w:firstColumn="0" w:lastColumn="0" w:oddVBand="0" w:evenVBand="0" w:oddHBand="0" w:evenHBand="0" w:firstRowFirstColumn="0" w:firstRowLastColumn="0" w:lastRowFirstColumn="0" w:lastRowLastColumn="0"/>
              <w:rPr>
                <w:szCs w:val="22"/>
              </w:rPr>
            </w:pPr>
            <w:r w:rsidRPr="00B45967">
              <w:rPr>
                <w:szCs w:val="22"/>
              </w:rPr>
              <w:t>18 September 2025</w:t>
            </w:r>
          </w:p>
        </w:tc>
      </w:tr>
      <w:tr w:rsidR="00324B33" w:rsidRPr="00D01DDB" w14:paraId="56D922E2" w14:textId="77777777" w:rsidTr="007E58A3">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4096508E" w:rsidR="00324B33" w:rsidRPr="00D01DDB" w:rsidRDefault="002D17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213</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8" w:name="_Toc215222561"/>
      <w:bookmarkStart w:id="29" w:name="_Toc196046504"/>
      <w:bookmarkStart w:id="30" w:name="_Toc247691527"/>
      <w:bookmarkStart w:id="31" w:name="_Toc314842510"/>
      <w:bookmarkStart w:id="32" w:name="_Toc103679294"/>
      <w:r>
        <w:lastRenderedPageBreak/>
        <w:t xml:space="preserve">Assessment </w:t>
      </w:r>
      <w:r w:rsidR="00C22214" w:rsidRPr="00006FAB">
        <w:t>overview</w:t>
      </w:r>
      <w:bookmarkEnd w:id="28"/>
      <w:r w:rsidR="00C22214" w:rsidRPr="00006FAB">
        <w:t xml:space="preserve"> </w:t>
      </w:r>
      <w:bookmarkEnd w:id="29"/>
      <w:bookmarkEnd w:id="30"/>
      <w:bookmarkEnd w:id="31"/>
      <w:bookmarkEnd w:id="32"/>
    </w:p>
    <w:p w14:paraId="37F5A1C0" w14:textId="5D3D5FE0" w:rsidR="00C22214" w:rsidRDefault="00095C6A" w:rsidP="00C22214">
      <w:pPr>
        <w:pStyle w:val="Heading3"/>
      </w:pPr>
      <w:bookmarkStart w:id="33" w:name="_Toc247691528"/>
      <w:bookmarkStart w:id="34" w:name="_Toc314842511"/>
      <w:bookmarkStart w:id="35" w:name="_Toc103679295"/>
      <w:bookmarkStart w:id="36" w:name="_Toc215222562"/>
      <w:r>
        <w:t>Q</w:t>
      </w:r>
      <w:r w:rsidR="00C22214">
        <w:t>uality</w:t>
      </w:r>
      <w:bookmarkEnd w:id="33"/>
      <w:bookmarkEnd w:id="34"/>
      <w:bookmarkEnd w:id="35"/>
      <w:r w:rsidR="007E6443">
        <w:t xml:space="preserve"> evaluation</w:t>
      </w:r>
      <w:r>
        <w:t xml:space="preserve"> summary</w:t>
      </w:r>
      <w:bookmarkEnd w:id="36"/>
    </w:p>
    <w:p w14:paraId="39C67D27" w14:textId="0440D4CA" w:rsidR="007642DA" w:rsidRDefault="007642DA" w:rsidP="007642DA">
      <w:r>
        <w:t xml:space="preserve">During the development of </w:t>
      </w:r>
      <w:r w:rsidR="006C4752">
        <w:t>Opuviz</w:t>
      </w:r>
      <w:r w:rsidR="00295BC7">
        <w:t xml:space="preserve"> (referred to frequently as SB15</w:t>
      </w:r>
      <w:r w:rsidR="000D1184">
        <w:t xml:space="preserve"> in this report)</w:t>
      </w:r>
      <w:r>
        <w:t xml:space="preserve">, US-licenced </w:t>
      </w:r>
      <w:r w:rsidR="000C0296">
        <w:t>Eylea</w:t>
      </w:r>
      <w:r>
        <w:t xml:space="preserve"> was used as the main reference product to demonstrate biosimilarity in terms of quality and non-clinical comparability exercise. An additional bridging comparability study was performed between the US and Australian </w:t>
      </w:r>
      <w:r w:rsidR="000C0296">
        <w:t>Eylea</w:t>
      </w:r>
      <w:r>
        <w:t xml:space="preserve"> to demonstrate US </w:t>
      </w:r>
      <w:r w:rsidR="000C0296">
        <w:t>Eylea</w:t>
      </w:r>
      <w:r>
        <w:t xml:space="preserve"> was representative of the Australian registered product (</w:t>
      </w:r>
      <w:r w:rsidR="000C0296">
        <w:t>Eylea</w:t>
      </w:r>
      <w:r>
        <w:t>).</w:t>
      </w:r>
    </w:p>
    <w:p w14:paraId="0EBC0E59" w14:textId="123B9799" w:rsidR="007642DA" w:rsidRDefault="007642DA" w:rsidP="007642DA">
      <w:r>
        <w:t xml:space="preserve">Extensive characterisation studies involving comparison of primary, secondary and tertiary structures, physicochemical properties and biological activities showed that </w:t>
      </w:r>
      <w:r w:rsidR="006C4752">
        <w:t>Opuviz</w:t>
      </w:r>
      <w:r>
        <w:t xml:space="preserve"> and US </w:t>
      </w:r>
      <w:r w:rsidR="000C0296">
        <w:t>Eylea</w:t>
      </w:r>
      <w:r>
        <w:t xml:space="preserve"> are generally similar. </w:t>
      </w:r>
    </w:p>
    <w:p w14:paraId="5F7F2341" w14:textId="3B5FF4C8" w:rsidR="007642DA" w:rsidRDefault="007642DA" w:rsidP="007642DA">
      <w:r>
        <w:t>There were minor differences noted which were considered highly unlikely to impact clinical safety or efficacy, therefore biosimilarity was adequately demonstrated.</w:t>
      </w:r>
    </w:p>
    <w:p w14:paraId="2B7853EC" w14:textId="5F2DFC03" w:rsidR="007642DA" w:rsidRDefault="007642DA" w:rsidP="007642DA">
      <w:r>
        <w:t xml:space="preserve">Overall, the </w:t>
      </w:r>
      <w:r w:rsidR="004215E2">
        <w:t>Sponsor</w:t>
      </w:r>
      <w:r>
        <w:t xml:space="preserve"> has demonstrated that </w:t>
      </w:r>
      <w:r w:rsidR="006C4752">
        <w:t>Opuviz</w:t>
      </w:r>
      <w:r>
        <w:t xml:space="preserve"> is comparable to </w:t>
      </w:r>
      <w:r w:rsidR="000C0296">
        <w:t>Eylea</w:t>
      </w:r>
      <w:r>
        <w:t xml:space="preserve"> in terms of structure, species, function and degradation profile (i.e. physicochemically and biologically).</w:t>
      </w:r>
    </w:p>
    <w:p w14:paraId="3ED07178" w14:textId="03AD165E" w:rsidR="007642DA" w:rsidRPr="007642DA" w:rsidRDefault="007642DA" w:rsidP="007642DA">
      <w:r>
        <w:t xml:space="preserve">There are no objections on quality grounds to the approval of </w:t>
      </w:r>
      <w:r w:rsidR="006C4752">
        <w:t>Opuviz</w:t>
      </w:r>
      <w:r>
        <w:t xml:space="preserve"> aflibercept 40 mg/mL solution for intravitreal injection.</w:t>
      </w:r>
    </w:p>
    <w:p w14:paraId="2BE90AAE" w14:textId="35796FD3" w:rsidR="00C22214" w:rsidRDefault="00C22214" w:rsidP="00C22214">
      <w:pPr>
        <w:pStyle w:val="Heading3"/>
      </w:pPr>
      <w:bookmarkStart w:id="37" w:name="_Toc314842512"/>
      <w:bookmarkStart w:id="38" w:name="_Toc103679296"/>
      <w:bookmarkStart w:id="39" w:name="_Toc215222563"/>
      <w:r>
        <w:t>Nonclinical</w:t>
      </w:r>
      <w:bookmarkEnd w:id="37"/>
      <w:bookmarkEnd w:id="38"/>
      <w:r w:rsidR="007E6443">
        <w:t xml:space="preserve"> evaluation</w:t>
      </w:r>
      <w:r w:rsidR="00095C6A">
        <w:t xml:space="preserve"> summary</w:t>
      </w:r>
      <w:bookmarkEnd w:id="39"/>
    </w:p>
    <w:p w14:paraId="4A9FF1AC" w14:textId="378B58B6" w:rsidR="0089020E" w:rsidRDefault="0089020E" w:rsidP="0089020E">
      <w:r>
        <w:t xml:space="preserve">The nonclinical dossier contained a comparative repeat-dose toxicity study following </w:t>
      </w:r>
      <w:r w:rsidR="000D1184">
        <w:t>intravitreal (</w:t>
      </w:r>
      <w:r>
        <w:t>IVT</w:t>
      </w:r>
      <w:r w:rsidR="000D1184">
        <w:t>)</w:t>
      </w:r>
      <w:r>
        <w:t xml:space="preserve"> dosing. The scope of the nonclinical program is adequate under the relevant EU guideline.</w:t>
      </w:r>
      <w:r w:rsidR="00B2402E">
        <w:rPr>
          <w:rStyle w:val="FootnoteReference"/>
        </w:rPr>
        <w:footnoteReference w:id="6"/>
      </w:r>
      <w:r>
        <w:t xml:space="preserve"> The repeat-dose study was conducted using US-sourced </w:t>
      </w:r>
      <w:r w:rsidR="000C0296">
        <w:t>Eylea</w:t>
      </w:r>
      <w:r>
        <w:t xml:space="preserve"> 2 mg as the reference product. No data were provided in </w:t>
      </w:r>
      <w:r w:rsidR="000B0FEF">
        <w:t>the nonclinical dossier</w:t>
      </w:r>
      <w:r>
        <w:t xml:space="preserve"> to verify the comparability of the US-sourced and Australian-sourced </w:t>
      </w:r>
      <w:r w:rsidR="000C0296">
        <w:t>Eylea</w:t>
      </w:r>
      <w:r>
        <w:t>.</w:t>
      </w:r>
    </w:p>
    <w:p w14:paraId="750742FA" w14:textId="7A9EFDE3" w:rsidR="0089020E" w:rsidRDefault="0089020E" w:rsidP="0089020E">
      <w:r>
        <w:t xml:space="preserve">No significant differences between toxicity profiles of </w:t>
      </w:r>
      <w:r w:rsidR="006C4752">
        <w:t>Opuviz</w:t>
      </w:r>
      <w:r>
        <w:t xml:space="preserve"> and </w:t>
      </w:r>
      <w:r w:rsidR="000C0296">
        <w:t>Eylea</w:t>
      </w:r>
      <w:r>
        <w:t xml:space="preserve"> were observed in the comparative repeat-dose toxicity study in monkeys. </w:t>
      </w:r>
      <w:r w:rsidR="000552A0">
        <w:t>However, the power of the study to discern any differences is considered low.</w:t>
      </w:r>
    </w:p>
    <w:p w14:paraId="073FEFAD" w14:textId="124491B4" w:rsidR="0089020E" w:rsidRPr="0089020E" w:rsidRDefault="0089020E" w:rsidP="0089020E">
      <w:r>
        <w:t xml:space="preserve">The ability of the nonclinical studies to support comparability to Australian </w:t>
      </w:r>
      <w:r w:rsidR="000C0296">
        <w:t>Eylea</w:t>
      </w:r>
      <w:r>
        <w:t xml:space="preserve"> depend</w:t>
      </w:r>
      <w:r w:rsidR="00151C40">
        <w:t>ed</w:t>
      </w:r>
      <w:r>
        <w:t xml:space="preserve"> on the conclusion of the </w:t>
      </w:r>
      <w:r w:rsidR="00151C40">
        <w:t>quality evaluator</w:t>
      </w:r>
      <w:r>
        <w:t xml:space="preserve"> regarding the identity of </w:t>
      </w:r>
      <w:r w:rsidR="000C0296">
        <w:t>Eylea</w:t>
      </w:r>
      <w:r>
        <w:t xml:space="preserve"> products across jurisdictions. </w:t>
      </w:r>
      <w:r w:rsidR="00151C40">
        <w:t>Given</w:t>
      </w:r>
      <w:r>
        <w:t xml:space="preserve"> that US-sourced </w:t>
      </w:r>
      <w:r w:rsidR="000C0296">
        <w:t>Eylea</w:t>
      </w:r>
      <w:r>
        <w:t xml:space="preserve"> </w:t>
      </w:r>
      <w:r w:rsidR="00151C40">
        <w:t>was demonstrated</w:t>
      </w:r>
      <w:r>
        <w:t xml:space="preserve"> to be identical or highly comparable to the Australian product, there </w:t>
      </w:r>
      <w:r w:rsidR="00151C40">
        <w:t>were</w:t>
      </w:r>
      <w:r>
        <w:t xml:space="preserve"> no nonclinical objections to the registration of </w:t>
      </w:r>
      <w:r w:rsidR="006C4752">
        <w:t>Opuviz</w:t>
      </w:r>
      <w:r>
        <w:t>.</w:t>
      </w:r>
    </w:p>
    <w:p w14:paraId="35B580A5" w14:textId="40B226DC" w:rsidR="00C22214" w:rsidRDefault="00C22214" w:rsidP="008804CF">
      <w:pPr>
        <w:pStyle w:val="Heading3"/>
      </w:pPr>
      <w:bookmarkStart w:id="40" w:name="_Toc247691530"/>
      <w:bookmarkStart w:id="41" w:name="_Toc314842513"/>
      <w:bookmarkStart w:id="42" w:name="_Toc103679297"/>
      <w:bookmarkStart w:id="43" w:name="_Toc215222564"/>
      <w:r>
        <w:t>Clinical</w:t>
      </w:r>
      <w:bookmarkEnd w:id="40"/>
      <w:bookmarkEnd w:id="41"/>
      <w:bookmarkEnd w:id="42"/>
      <w:r w:rsidR="00095C6A">
        <w:t xml:space="preserve"> evaluation summary</w:t>
      </w:r>
      <w:bookmarkEnd w:id="43"/>
    </w:p>
    <w:p w14:paraId="6857AC15" w14:textId="2A62AB19" w:rsidR="00CA4AD0" w:rsidRDefault="001373F8" w:rsidP="00CA4AD0">
      <w:r>
        <w:t>S</w:t>
      </w:r>
      <w:r w:rsidR="00CA4AD0" w:rsidRPr="00CA4AD0">
        <w:t>tudy SB15-3001 was submitted to support this biosimilar application.</w:t>
      </w:r>
    </w:p>
    <w:p w14:paraId="6ED3E04A" w14:textId="7791ABA0" w:rsidR="00F90C49" w:rsidRDefault="00F90C49" w:rsidP="00F90C49">
      <w:pPr>
        <w:pStyle w:val="Heading4"/>
      </w:pPr>
      <w:bookmarkStart w:id="44" w:name="_Toc215222565"/>
      <w:r>
        <w:lastRenderedPageBreak/>
        <w:t>Efficacy</w:t>
      </w:r>
      <w:bookmarkEnd w:id="44"/>
    </w:p>
    <w:p w14:paraId="2DC12567" w14:textId="77777777" w:rsidR="00611B70" w:rsidRDefault="00611B70" w:rsidP="00F90C49">
      <w:pPr>
        <w:pStyle w:val="Heading5"/>
      </w:pPr>
      <w:r>
        <w:t>Study SB15-3001</w:t>
      </w:r>
    </w:p>
    <w:p w14:paraId="65C4ADF7" w14:textId="77777777" w:rsidR="00611B70" w:rsidRDefault="00611B70" w:rsidP="00611B70">
      <w:r>
        <w:t xml:space="preserve">Study SB15-3001 is a Phase III randomised, double-masked, parallel group, multicentre study. The study duration was 56 weeks, with re-randomisation of the Eylea arm at Week 32. </w:t>
      </w:r>
    </w:p>
    <w:p w14:paraId="7FF6C7D0" w14:textId="77777777" w:rsidR="001D6B69" w:rsidRDefault="00611B70" w:rsidP="00F90C49">
      <w:pPr>
        <w:pStyle w:val="Heading6"/>
      </w:pPr>
      <w:r>
        <w:t>Primary objective</w:t>
      </w:r>
    </w:p>
    <w:p w14:paraId="4552DCDC" w14:textId="4F0E9104" w:rsidR="00611B70" w:rsidRDefault="001D6B69" w:rsidP="00611B70">
      <w:r>
        <w:t>T</w:t>
      </w:r>
      <w:r w:rsidR="00611B70">
        <w:t xml:space="preserve">o demonstrate the equivalence in efficacy of </w:t>
      </w:r>
      <w:r w:rsidR="006C4752">
        <w:t>Opuviz</w:t>
      </w:r>
      <w:r w:rsidR="00611B70">
        <w:t xml:space="preserve"> compared to Eylea in subjects with neovascular AMD.</w:t>
      </w:r>
    </w:p>
    <w:p w14:paraId="16EFAEA1" w14:textId="6E3CCB4D" w:rsidR="00611B70" w:rsidRDefault="00611B70" w:rsidP="00F90C49">
      <w:pPr>
        <w:pStyle w:val="Heading6"/>
      </w:pPr>
      <w:r>
        <w:t>Secondary objectives</w:t>
      </w:r>
    </w:p>
    <w:p w14:paraId="040B0DA4" w14:textId="6CD6336A" w:rsidR="00611B70" w:rsidRDefault="00611B70" w:rsidP="00553B80">
      <w:pPr>
        <w:pStyle w:val="ListBullet"/>
      </w:pPr>
      <w:r>
        <w:t xml:space="preserve">To evaluate the safety of </w:t>
      </w:r>
      <w:r w:rsidR="006C4752">
        <w:t>Opuviz</w:t>
      </w:r>
      <w:r w:rsidR="0075192B" w:rsidRPr="0075192B">
        <w:t xml:space="preserve"> </w:t>
      </w:r>
      <w:r>
        <w:t>compared to Eylea</w:t>
      </w:r>
    </w:p>
    <w:p w14:paraId="3716F411" w14:textId="125A3E8C" w:rsidR="00611B70" w:rsidRDefault="00611B70" w:rsidP="00553B80">
      <w:pPr>
        <w:pStyle w:val="ListBullet"/>
      </w:pPr>
      <w:r>
        <w:t xml:space="preserve">To evaluate the systemic exposure of </w:t>
      </w:r>
      <w:r w:rsidR="006C4752">
        <w:t>Opuviz</w:t>
      </w:r>
      <w:r w:rsidR="0075192B" w:rsidRPr="0075192B">
        <w:t xml:space="preserve"> </w:t>
      </w:r>
      <w:r>
        <w:t xml:space="preserve">compared to Eylea in subjects participating in </w:t>
      </w:r>
      <w:r w:rsidR="002C2B49">
        <w:t>pharmacokinetics (</w:t>
      </w:r>
      <w:r>
        <w:t>PK</w:t>
      </w:r>
      <w:r w:rsidR="002C2B49">
        <w:t>)</w:t>
      </w:r>
      <w:r>
        <w:t xml:space="preserve"> evaluation</w:t>
      </w:r>
    </w:p>
    <w:p w14:paraId="069DFF74" w14:textId="2AE2373F" w:rsidR="00611B70" w:rsidRDefault="00611B70" w:rsidP="00553B80">
      <w:pPr>
        <w:pStyle w:val="ListBullet"/>
      </w:pPr>
      <w:r>
        <w:t xml:space="preserve">To evaluate the immunogenicity of </w:t>
      </w:r>
      <w:r w:rsidR="006C4752">
        <w:t>Opuviz</w:t>
      </w:r>
      <w:r w:rsidR="0075192B" w:rsidRPr="0075192B">
        <w:t xml:space="preserve"> </w:t>
      </w:r>
      <w:r>
        <w:t>compared to Eylea</w:t>
      </w:r>
    </w:p>
    <w:p w14:paraId="765DBF5B" w14:textId="2C55DBEB" w:rsidR="00611B70" w:rsidRDefault="00246533" w:rsidP="00611B70">
      <w:r>
        <w:t xml:space="preserve">The study was conducted at </w:t>
      </w:r>
      <w:r w:rsidR="00611B70">
        <w:t>56 investigational sites across 10 countries (Croatia, Czech Republic, Estonia, Hungary, Japan, Latvia, Poland, Republic of Korea, Russia, and United States [US]).</w:t>
      </w:r>
    </w:p>
    <w:p w14:paraId="0F5A6117" w14:textId="77777777" w:rsidR="00611B70" w:rsidRDefault="00611B70" w:rsidP="00F90C49">
      <w:pPr>
        <w:pStyle w:val="Heading6"/>
      </w:pPr>
      <w:r>
        <w:t>Study treatments</w:t>
      </w:r>
    </w:p>
    <w:p w14:paraId="194B78F0" w14:textId="73963A5E" w:rsidR="00611B70" w:rsidRDefault="00611B70" w:rsidP="00611B70">
      <w:r>
        <w:t xml:space="preserve">Only one eye was designated as the study eye. Subjects were administered 2 mg SB15 </w:t>
      </w:r>
      <w:r w:rsidR="00491C71">
        <w:t>(</w:t>
      </w:r>
      <w:r w:rsidR="006C4752">
        <w:t>Opuviz</w:t>
      </w:r>
      <w:r w:rsidR="00491C71">
        <w:t xml:space="preserve">) </w:t>
      </w:r>
      <w:r>
        <w:t>or 2 mg US sourced Eylea IVT into the study eye every 4 weeks for the first 3 months (i.e., at Weeks 0, 4, and 8), followed by once every 8 weeks up to Week 48 (a total of 8 doses of IP) unless they were discontinued early from the IP.</w:t>
      </w:r>
    </w:p>
    <w:p w14:paraId="7F6B50E5" w14:textId="77777777" w:rsidR="00611B70" w:rsidRDefault="00611B70" w:rsidP="00611B70">
      <w:r>
        <w:t>Dosing visits were allowed within ± 7 days of the scheduled dosing date (except Week 0 [Day 1], visit window not allowed).</w:t>
      </w:r>
    </w:p>
    <w:p w14:paraId="530B6CDB" w14:textId="77777777" w:rsidR="00611B70" w:rsidRDefault="00611B70" w:rsidP="00F90C49">
      <w:pPr>
        <w:pStyle w:val="Heading6"/>
      </w:pPr>
      <w:r>
        <w:t>Efficacy variables and outcomes</w:t>
      </w:r>
    </w:p>
    <w:p w14:paraId="785BFD93" w14:textId="52825D68" w:rsidR="00611B70" w:rsidRDefault="00611B70" w:rsidP="00611B70">
      <w:r>
        <w:t>The primary efficacy endpoint was the change from baseline in</w:t>
      </w:r>
      <w:r w:rsidR="00CB416A">
        <w:t xml:space="preserve"> </w:t>
      </w:r>
      <w:r w:rsidR="00CB416A" w:rsidRPr="00CB416A">
        <w:t xml:space="preserve">best corrected visual acuity </w:t>
      </w:r>
      <w:r w:rsidR="00CB416A">
        <w:t>(</w:t>
      </w:r>
      <w:r>
        <w:t>BCVA</w:t>
      </w:r>
      <w:r w:rsidR="00CB416A">
        <w:t>)</w:t>
      </w:r>
      <w:r>
        <w:t xml:space="preserve"> at Week 8.</w:t>
      </w:r>
    </w:p>
    <w:p w14:paraId="7C1BDF71" w14:textId="5CFFB75B" w:rsidR="00611B70" w:rsidRDefault="00611B70" w:rsidP="00611B70">
      <w:r>
        <w:t xml:space="preserve">Visual acuity was assessed using original series ETDRS </w:t>
      </w:r>
      <w:r w:rsidR="00246533" w:rsidRPr="00246533">
        <w:t xml:space="preserve">(Early Treatment Diabetic Retinopathy Study) </w:t>
      </w:r>
      <w:r>
        <w:t xml:space="preserve">charts or 2702 series Number charts at a starting distance of 4 meters, and then continue at </w:t>
      </w:r>
      <w:proofErr w:type="gramStart"/>
      <w:r>
        <w:t>a distance of 1</w:t>
      </w:r>
      <w:proofErr w:type="gramEnd"/>
      <w:r>
        <w:t xml:space="preserve"> meter, if required by ETDRS protocol. Subject</w:t>
      </w:r>
      <w:r w:rsidR="000E6F21">
        <w:t>s</w:t>
      </w:r>
      <w:r>
        <w:t xml:space="preserve"> had to use the same type of chart consistently from Screening to Week 56 (</w:t>
      </w:r>
      <w:r w:rsidR="00E66AA2">
        <w:t>end of study vis</w:t>
      </w:r>
      <w:r w:rsidR="00913A09">
        <w:t>i</w:t>
      </w:r>
      <w:r w:rsidR="00E66AA2">
        <w:t>t</w:t>
      </w:r>
      <w:r>
        <w:t xml:space="preserve">) or </w:t>
      </w:r>
      <w:r w:rsidR="00913A09">
        <w:t>at an early termination</w:t>
      </w:r>
      <w:r>
        <w:t xml:space="preserve"> visit.</w:t>
      </w:r>
    </w:p>
    <w:p w14:paraId="0EEB5771" w14:textId="5960B8F2" w:rsidR="00611B70" w:rsidRDefault="00611B70" w:rsidP="00611B70">
      <w:r>
        <w:t>The average retinal thickness in the central 1-mm area in the ETDRS grid (central subfield thickness [CST] and total retinal thickness [TRT]), the presence of intra- or sub-retinal fluid and sub-</w:t>
      </w:r>
      <w:r w:rsidR="007E7310" w:rsidRPr="007E7310">
        <w:t xml:space="preserve"> </w:t>
      </w:r>
      <w:r w:rsidR="007E7310">
        <w:t>r</w:t>
      </w:r>
      <w:r w:rsidR="007E7310" w:rsidRPr="007E7310">
        <w:t>etinal pigment epithelium</w:t>
      </w:r>
      <w:r>
        <w:t xml:space="preserve"> fluid was evaluated using </w:t>
      </w:r>
      <w:r w:rsidR="00A62F5E" w:rsidRPr="00A62F5E">
        <w:t>optical coherence tomography</w:t>
      </w:r>
      <w:r>
        <w:t xml:space="preserve">. The </w:t>
      </w:r>
      <w:r w:rsidR="000E6F21">
        <w:t>c</w:t>
      </w:r>
      <w:r w:rsidR="000E6F21" w:rsidRPr="000E6F21">
        <w:t xml:space="preserve">horoidal neovascularisation </w:t>
      </w:r>
      <w:r w:rsidR="000E6F21">
        <w:t>(</w:t>
      </w:r>
      <w:r>
        <w:t>CNV</w:t>
      </w:r>
      <w:r w:rsidR="000E6F21">
        <w:t>)</w:t>
      </w:r>
      <w:r>
        <w:t xml:space="preserve"> area and the presence of CNV leakage were also evaluated using </w:t>
      </w:r>
      <w:r w:rsidR="00287F31">
        <w:t>f</w:t>
      </w:r>
      <w:r w:rsidR="00E3748E" w:rsidRPr="00E3748E">
        <w:t>undus photography</w:t>
      </w:r>
      <w:r w:rsidR="00287F31">
        <w:t>/f</w:t>
      </w:r>
      <w:r w:rsidR="00287F31" w:rsidRPr="00287F31">
        <w:t>luorescein angiography</w:t>
      </w:r>
      <w:r w:rsidR="00E3748E" w:rsidRPr="00E3748E">
        <w:t xml:space="preserve"> </w:t>
      </w:r>
      <w:r w:rsidR="00287F31">
        <w:t>(</w:t>
      </w:r>
      <w:r>
        <w:t>FP/FA</w:t>
      </w:r>
      <w:r w:rsidR="00287F31">
        <w:t>)</w:t>
      </w:r>
      <w:r>
        <w:t>.</w:t>
      </w:r>
    </w:p>
    <w:p w14:paraId="3626707C" w14:textId="2474CA22" w:rsidR="00B849C2" w:rsidRDefault="00B849C2" w:rsidP="00580CD8">
      <w:pPr>
        <w:pStyle w:val="FigureTitle"/>
      </w:pPr>
      <w:r>
        <w:lastRenderedPageBreak/>
        <w:t xml:space="preserve">Figure 1. </w:t>
      </w:r>
      <w:r w:rsidR="00CD3E52">
        <w:t>S</w:t>
      </w:r>
      <w:r w:rsidRPr="00B849C2">
        <w:t>chematic representation of the study design</w:t>
      </w:r>
      <w:r w:rsidR="00580CD8">
        <w:t xml:space="preserve"> for </w:t>
      </w:r>
      <w:r w:rsidR="00580CD8" w:rsidRPr="00580CD8">
        <w:t>Study SB15-3001</w:t>
      </w:r>
    </w:p>
    <w:p w14:paraId="21AAF985" w14:textId="40818C28" w:rsidR="00883033" w:rsidRDefault="006112E6" w:rsidP="00611B70">
      <w:r w:rsidRPr="006112E6">
        <w:rPr>
          <w:noProof/>
        </w:rPr>
        <w:drawing>
          <wp:inline distT="0" distB="0" distL="0" distR="0" wp14:anchorId="44EAA72F" wp14:editId="41E6B9DA">
            <wp:extent cx="5759450" cy="3592830"/>
            <wp:effectExtent l="0" t="0" r="0" b="7620"/>
            <wp:docPr id="914267651" name="Picture 1" descr="Figure 1. Schematic representation of the study design for Study SB1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67651" name="Picture 1" descr="Figure 1. Schematic representation of the study design for Study SB15-300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59450" cy="3592830"/>
                    </a:xfrm>
                    <a:prstGeom prst="rect">
                      <a:avLst/>
                    </a:prstGeom>
                  </pic:spPr>
                </pic:pic>
              </a:graphicData>
            </a:graphic>
          </wp:inline>
        </w:drawing>
      </w:r>
    </w:p>
    <w:p w14:paraId="010B7E3B" w14:textId="66BBF04E" w:rsidR="0090070C" w:rsidRDefault="0090070C" w:rsidP="00027A97">
      <w:pPr>
        <w:pStyle w:val="FigureDescription"/>
      </w:pPr>
      <w:r>
        <w:t xml:space="preserve">BCVA = best corrected visual acuity; hr = hour; ICF = informed consent form; IVT = intravitreal; OCT = optical coherence tomography; PK = pharmacokinetics; R = randomisation, SB15 = </w:t>
      </w:r>
      <w:r w:rsidR="006C4752">
        <w:t>Opuviz</w:t>
      </w:r>
      <w:r>
        <w:t>; W = week</w:t>
      </w:r>
      <w:r w:rsidR="00F2308B">
        <w:t>.</w:t>
      </w:r>
    </w:p>
    <w:p w14:paraId="6C422A14" w14:textId="77777777" w:rsidR="00F2308B" w:rsidRDefault="00F2308B" w:rsidP="00F90C49">
      <w:pPr>
        <w:pStyle w:val="Heading6"/>
      </w:pPr>
      <w:r>
        <w:t>Results for the primary efficacy outcome</w:t>
      </w:r>
    </w:p>
    <w:p w14:paraId="191F5E30" w14:textId="0A6CDB9F" w:rsidR="00F2308B" w:rsidRDefault="00F2308B" w:rsidP="00AE43DE">
      <w:pPr>
        <w:pStyle w:val="TableTitle"/>
      </w:pPr>
      <w:r>
        <w:t>Table</w:t>
      </w:r>
      <w:r w:rsidR="00062588">
        <w:t xml:space="preserve"> 2</w:t>
      </w:r>
      <w:r>
        <w:t>. Sensitivity Analysis of Change from Baseline in BCVA Based on Available Case at Week 8 (Per-Protocol Set)</w:t>
      </w:r>
    </w:p>
    <w:p w14:paraId="0EB8D401" w14:textId="711EC97B" w:rsidR="00782A90" w:rsidRDefault="00782A90" w:rsidP="00F2308B">
      <w:r w:rsidRPr="00BE13BF">
        <w:rPr>
          <w:noProof/>
        </w:rPr>
        <w:drawing>
          <wp:inline distT="0" distB="0" distL="0" distR="0" wp14:anchorId="452475C2" wp14:editId="65DBEABD">
            <wp:extent cx="5731510" cy="854529"/>
            <wp:effectExtent l="0" t="0" r="2540" b="3175"/>
            <wp:docPr id="630417684" name="Picture 1" descr="Table 2. Sensitivity Analysis of Change from Baseline in BCVA Based on Available Case at Week 8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7684" name="Picture 1" descr="Table 2. Sensitivity Analysis of Change from Baseline in BCVA Based on Available Case at Week 8 (Per-Protocol Set)"/>
                    <pic:cNvPicPr/>
                  </pic:nvPicPr>
                  <pic:blipFill rotWithShape="1">
                    <a:blip r:embed="rId29"/>
                    <a:srcRect b="39300"/>
                    <a:stretch>
                      <a:fillRect/>
                    </a:stretch>
                  </pic:blipFill>
                  <pic:spPr bwMode="auto">
                    <a:xfrm>
                      <a:off x="0" y="0"/>
                      <a:ext cx="5731510" cy="854529"/>
                    </a:xfrm>
                    <a:prstGeom prst="rect">
                      <a:avLst/>
                    </a:prstGeom>
                    <a:ln>
                      <a:noFill/>
                    </a:ln>
                    <a:extLst>
                      <a:ext uri="{53640926-AAD7-44D8-BBD7-CCE9431645EC}">
                        <a14:shadowObscured xmlns:a14="http://schemas.microsoft.com/office/drawing/2010/main"/>
                      </a:ext>
                    </a:extLst>
                  </pic:spPr>
                </pic:pic>
              </a:graphicData>
            </a:graphic>
          </wp:inline>
        </w:drawing>
      </w:r>
    </w:p>
    <w:p w14:paraId="3FE2FC5A" w14:textId="3A95288D" w:rsidR="002A6F26" w:rsidRDefault="002A6F26" w:rsidP="002A6F26">
      <w:pPr>
        <w:pStyle w:val="TableDescription"/>
      </w:pPr>
      <w:r>
        <w:t>BCVA = best corrected visual acuity (total letter score); CI = confidence interval; LSM = least square mean; N = number of subjects in the Per-Protocol Set; n = total number of subjects with available data at Week 8; SE = standard error</w:t>
      </w:r>
    </w:p>
    <w:p w14:paraId="65E33AB6" w14:textId="62361B79" w:rsidR="00F2308B" w:rsidRDefault="002A6F26" w:rsidP="002A6F26">
      <w:pPr>
        <w:pStyle w:val="TableDescription"/>
      </w:pPr>
      <w:r>
        <w:t>Inferential statistics were based on analysis of covariance model with the baseline BCVA as a covariate and country and treatment as fixed factors.</w:t>
      </w:r>
    </w:p>
    <w:p w14:paraId="59D680BE" w14:textId="561E8D3C" w:rsidR="008150ED" w:rsidRDefault="0035660B" w:rsidP="0035660B">
      <w:pPr>
        <w:pStyle w:val="TableTitle"/>
      </w:pPr>
      <w:r>
        <w:t>Table</w:t>
      </w:r>
      <w:r w:rsidR="00062588">
        <w:t xml:space="preserve"> 3</w:t>
      </w:r>
      <w:r>
        <w:t xml:space="preserve">. </w:t>
      </w:r>
      <w:r w:rsidRPr="0035660B">
        <w:t>Primary Analysis of Change from Baseline in BCVA at Week 8 (Full Analysis Set)</w:t>
      </w:r>
    </w:p>
    <w:p w14:paraId="0E15A6E4" w14:textId="643A2FD0" w:rsidR="0010553B" w:rsidRDefault="0010553B" w:rsidP="00027A97">
      <w:r w:rsidRPr="007001DF">
        <w:rPr>
          <w:noProof/>
        </w:rPr>
        <w:drawing>
          <wp:inline distT="0" distB="0" distL="0" distR="0" wp14:anchorId="274931E1" wp14:editId="272064EA">
            <wp:extent cx="5731510" cy="832757"/>
            <wp:effectExtent l="0" t="0" r="2540" b="5715"/>
            <wp:docPr id="284470191" name="Picture 1" descr="Table 3. Primary Analysis of Change from Baseline in BCVA at Week 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0191" name="Picture 1" descr="Table 3. Primary Analysis of Change from Baseline in BCVA at Week 8 (Full Analysis Set)"/>
                    <pic:cNvPicPr/>
                  </pic:nvPicPr>
                  <pic:blipFill rotWithShape="1">
                    <a:blip r:embed="rId30"/>
                    <a:srcRect b="57531"/>
                    <a:stretch>
                      <a:fillRect/>
                    </a:stretch>
                  </pic:blipFill>
                  <pic:spPr bwMode="auto">
                    <a:xfrm>
                      <a:off x="0" y="0"/>
                      <a:ext cx="5731510" cy="832757"/>
                    </a:xfrm>
                    <a:prstGeom prst="rect">
                      <a:avLst/>
                    </a:prstGeom>
                    <a:ln>
                      <a:noFill/>
                    </a:ln>
                    <a:extLst>
                      <a:ext uri="{53640926-AAD7-44D8-BBD7-CCE9431645EC}">
                        <a14:shadowObscured xmlns:a14="http://schemas.microsoft.com/office/drawing/2010/main"/>
                      </a:ext>
                    </a:extLst>
                  </pic:spPr>
                </pic:pic>
              </a:graphicData>
            </a:graphic>
          </wp:inline>
        </w:drawing>
      </w:r>
    </w:p>
    <w:p w14:paraId="5C61838D" w14:textId="4273F567" w:rsidR="00BA76B8" w:rsidRDefault="00BA76B8" w:rsidP="0012162C">
      <w:pPr>
        <w:pStyle w:val="TableDescription"/>
      </w:pPr>
      <w:r>
        <w:t>BCVA = best corrected visual acuity (total letter score); CI = confidence interval; LSM = least square mean; MAR = Missing-at-Random; MI = multiple imputation, N = number of subjects in the Full Analysis Set; n = total number of subjects with available data at Week 8; SE = standard error</w:t>
      </w:r>
    </w:p>
    <w:p w14:paraId="478E035A" w14:textId="332F51D7" w:rsidR="00BA76B8" w:rsidRDefault="00BA76B8" w:rsidP="0012162C">
      <w:pPr>
        <w:pStyle w:val="TableDescription"/>
      </w:pPr>
      <w:r>
        <w:t>Inferential statistics were based on analysis of covariance model with the baseline BCVA as a covariate and country and treatment as fixed factors.</w:t>
      </w:r>
    </w:p>
    <w:p w14:paraId="715C07D3" w14:textId="0778E436" w:rsidR="00BA76B8" w:rsidRDefault="00BA76B8" w:rsidP="0012162C">
      <w:pPr>
        <w:pStyle w:val="TableDescription"/>
      </w:pPr>
      <w:r>
        <w:t>BCVA letter scores at 4 meter and 1 meter were imputed by MI method with the assumption of monotone missing patte</w:t>
      </w:r>
      <w:r w:rsidR="0012162C">
        <w:t>rn</w:t>
      </w:r>
      <w:r>
        <w:t xml:space="preserve"> and regression method under the MAR.</w:t>
      </w:r>
    </w:p>
    <w:p w14:paraId="02F0FFAB" w14:textId="4E1FCE50" w:rsidR="0086262C" w:rsidRDefault="002F03A3" w:rsidP="00F90C49">
      <w:pPr>
        <w:pStyle w:val="Heading6"/>
      </w:pPr>
      <w:r>
        <w:lastRenderedPageBreak/>
        <w:t>S</w:t>
      </w:r>
      <w:r w:rsidRPr="002F03A3">
        <w:t>tudy SB15-3001</w:t>
      </w:r>
      <w:r>
        <w:t xml:space="preserve"> - e</w:t>
      </w:r>
      <w:r w:rsidR="0086262C">
        <w:t>fficacy in wet AMD</w:t>
      </w:r>
    </w:p>
    <w:p w14:paraId="728CE9A2" w14:textId="0B0FE02A" w:rsidR="0086262C" w:rsidRDefault="0086262C" w:rsidP="00DC0E17">
      <w:r>
        <w:t xml:space="preserve">Study SB15-3001 was a Phase III randomised, double-masked, parallel group, multicentre study with a duration of 56 weeks. A switching design was incorporated, with the Eylea arm being re-randomised into the Eylea+SB15 arm and the Eylea+Eylea arm at Week 32. </w:t>
      </w:r>
      <w:r w:rsidR="002F03A3">
        <w:t>P</w:t>
      </w:r>
      <w:r>
        <w:t xml:space="preserve">rimary efficacy was assessed at Week 8. </w:t>
      </w:r>
    </w:p>
    <w:p w14:paraId="22EBD3A2" w14:textId="77777777" w:rsidR="0086262C" w:rsidRDefault="0086262C" w:rsidP="00DC0E17">
      <w:r>
        <w:t xml:space="preserve">The inclusion and exclusion criteria appear broadly appropriate for the study objective of demonstrating comparable efficacy. Patients aged ≥ 50 years with anti-VEGF treatment naïve, active subfoveal CNV lesions secondary to AMD were eligible. Broadly speaking, patients meeting criteria which may impact the interpretation of efficacy or increase </w:t>
      </w:r>
      <w:proofErr w:type="gramStart"/>
      <w:r>
        <w:t>particular safety</w:t>
      </w:r>
      <w:proofErr w:type="gramEnd"/>
      <w:r>
        <w:t xml:space="preserve"> risks were excluded. A list of 39 exclusion criteria was provided by the CSR with no summary. </w:t>
      </w:r>
    </w:p>
    <w:p w14:paraId="4C22A7EC" w14:textId="77777777" w:rsidR="0086262C" w:rsidRDefault="0086262C" w:rsidP="00DC0E17">
      <w:r>
        <w:t>Dosing of aflibercept was appropriately concordant with the approved schedule for Eylea in treating wet AMD. Assessing the primary efficacy endpoint at Week 8 is appropriate as this is expected to be a sensitive timepoint in detecting between-group differences, given the treatment effect plateaus from 12-weeks onward, as seen in the pivotal studies for Eylea. The use of ETDRS charts to assess BCVA is appropriate.</w:t>
      </w:r>
    </w:p>
    <w:p w14:paraId="6890D9CE" w14:textId="16D83435" w:rsidR="0086262C" w:rsidRDefault="0086262C" w:rsidP="00DC0E17">
      <w:r>
        <w:t xml:space="preserve">Randomisations were done centrally, and the study was double blinded. The use of ANCOVA to adjust for baseline BCVA is appropriate. The predefined 90%/95% CI equivalence margin of ± 3 letters </w:t>
      </w:r>
      <w:proofErr w:type="gramStart"/>
      <w:r>
        <w:t>is</w:t>
      </w:r>
      <w:proofErr w:type="gramEnd"/>
      <w:r>
        <w:t xml:space="preserve"> acceptable and stated to be concordant with preferences of the </w:t>
      </w:r>
      <w:r w:rsidR="00D82F6D">
        <w:t>Food and Drug Administration</w:t>
      </w:r>
      <w:r>
        <w:t xml:space="preserve"> and </w:t>
      </w:r>
      <w:r w:rsidR="00D82F6D">
        <w:t xml:space="preserve">European </w:t>
      </w:r>
      <w:r w:rsidR="006F0378">
        <w:t>Medicines Agency</w:t>
      </w:r>
    </w:p>
    <w:p w14:paraId="1800A235" w14:textId="77777777" w:rsidR="0086262C" w:rsidRDefault="0086262C" w:rsidP="00DC0E17">
      <w:r>
        <w:t xml:space="preserve">Risks of bias from loss to follow-up and treatment discontinuation are low. Up to Week 56, 22/449 (5%) patients discontinued study treatment, and ~24 patients discontinued from the study. The per-protocol set at Week 8 included 429/449 (95.5%) of randomised patients. </w:t>
      </w:r>
    </w:p>
    <w:p w14:paraId="6B5B9415" w14:textId="235F7B75" w:rsidR="0086262C" w:rsidRDefault="00614C5D" w:rsidP="00DC0E17">
      <w:r>
        <w:t>M</w:t>
      </w:r>
      <w:r w:rsidRPr="00614C5D">
        <w:t>ajor protocol deviations</w:t>
      </w:r>
      <w:r>
        <w:t xml:space="preserve"> were experienced </w:t>
      </w:r>
      <w:proofErr w:type="gramStart"/>
      <w:r>
        <w:t xml:space="preserve">by </w:t>
      </w:r>
      <w:r w:rsidRPr="00614C5D">
        <w:t xml:space="preserve"> </w:t>
      </w:r>
      <w:r w:rsidR="0086262C">
        <w:t>21</w:t>
      </w:r>
      <w:proofErr w:type="gramEnd"/>
      <w:r w:rsidR="0086262C">
        <w:t>% of subjects and 33% experienced minor protocol deviations. This primarily impacts the interpretability of secondary endpoints and efficacy endpoints beyond Week 8. While the per-protocol set, by definition, should not be impacted by protocol deviations, some of the definitions appear somewhat lenient e.g., allowing dosing visits within ± 7 days instead of a tighter timeframe.</w:t>
      </w:r>
    </w:p>
    <w:p w14:paraId="334CD8C0" w14:textId="70C9BB05" w:rsidR="0086262C" w:rsidRDefault="0086262C" w:rsidP="00DC0E17">
      <w:r>
        <w:t xml:space="preserve">Baseline demographics and disease characteristics were provided for the randomised set but not the </w:t>
      </w:r>
      <w:r w:rsidR="004F755C" w:rsidRPr="004F755C">
        <w:t>Per-Protocol Set</w:t>
      </w:r>
      <w:r w:rsidR="004F755C">
        <w:t xml:space="preserve"> (</w:t>
      </w:r>
      <w:r>
        <w:t>PPS</w:t>
      </w:r>
      <w:r w:rsidR="004F755C">
        <w:t>)</w:t>
      </w:r>
      <w:r>
        <w:t xml:space="preserve">. The evaluator expects these sets to be similar given the latter comprises 95.5% of the former. The SB15 arm and the pre-transition Eylea arm were broadly balanced, with </w:t>
      </w:r>
      <w:r w:rsidR="004F755C">
        <w:t>the n</w:t>
      </w:r>
      <w:r>
        <w:t>otable exceptions of:</w:t>
      </w:r>
    </w:p>
    <w:p w14:paraId="2623FF9D" w14:textId="3C08C38A" w:rsidR="0086262C" w:rsidRDefault="0086262C" w:rsidP="00DC0E17">
      <w:pPr>
        <w:pStyle w:val="ListBullet"/>
      </w:pPr>
      <w:r>
        <w:t>Gender: 52.7% vs. 58.7% females</w:t>
      </w:r>
    </w:p>
    <w:p w14:paraId="4E11F6E9" w14:textId="0667FD79" w:rsidR="0086262C" w:rsidRDefault="0086262C" w:rsidP="00DC0E17">
      <w:pPr>
        <w:pStyle w:val="ListBullet"/>
      </w:pPr>
      <w:r>
        <w:t>Mean central subfield thickness: 353 μm vs. 382 μm</w:t>
      </w:r>
    </w:p>
    <w:p w14:paraId="223A306C" w14:textId="17B6ED02" w:rsidR="0086262C" w:rsidRDefault="0086262C" w:rsidP="00DC0E17">
      <w:pPr>
        <w:pStyle w:val="ListBullet"/>
      </w:pPr>
      <w:r>
        <w:t>Presence of intra-retinal fluid: 47.8% vs. 60.4%</w:t>
      </w:r>
    </w:p>
    <w:p w14:paraId="2D6068AA" w14:textId="5FE19DF6" w:rsidR="0086262C" w:rsidRDefault="0086262C" w:rsidP="00DC0E17">
      <w:pPr>
        <w:pStyle w:val="ListBullet"/>
      </w:pPr>
      <w:r>
        <w:t>Lesion type: 61.6% vs. 52% with occult lesion type</w:t>
      </w:r>
    </w:p>
    <w:p w14:paraId="669C1BE5" w14:textId="77777777" w:rsidR="0086262C" w:rsidRDefault="0086262C" w:rsidP="00DC0E17">
      <w:r>
        <w:t xml:space="preserve">The clinical significance of the gender imbalance is unknown. Clinical relevance of the other identified imbalances is discussed further below. </w:t>
      </w:r>
    </w:p>
    <w:p w14:paraId="0DE70DBD" w14:textId="77777777" w:rsidR="0086262C" w:rsidRDefault="0086262C" w:rsidP="00DC0E17">
      <w:r>
        <w:t xml:space="preserve">The study’s choice of primary endpoint, change in BCVA from baseline to Week 8 based on the FAS with missing values imputed assuming missing-at-random, is suboptimal for the purpose of establishing bio-similarity. Protocol deviations can lead to outcomes from two groups appearing more similar than they really are, and the validity of the missing-at-random assumption is unclear. </w:t>
      </w:r>
    </w:p>
    <w:p w14:paraId="7406D490" w14:textId="77777777" w:rsidR="0086262C" w:rsidRDefault="0086262C" w:rsidP="00DC0E17">
      <w:r>
        <w:t xml:space="preserve">The analysis based on the PPS and available case should therefore be used instead as the primary indicator of efficacy. Based on the PPS, comparable efficacy to Eylea was demonstrated in terms of change in BCVA from baseline to week 8, with a between-group least-squares mean </w:t>
      </w:r>
      <w:r>
        <w:lastRenderedPageBreak/>
        <w:t xml:space="preserve">difference of -0.2 and 95% CI of -1.6 to 1.2, which is confined within the pre-specified interval of –3 to 3. </w:t>
      </w:r>
    </w:p>
    <w:p w14:paraId="45158E66" w14:textId="617B2DC4" w:rsidR="0086262C" w:rsidRDefault="0086262C" w:rsidP="00DC0E17">
      <w:r>
        <w:t xml:space="preserve">The </w:t>
      </w:r>
      <w:proofErr w:type="gramStart"/>
      <w:r>
        <w:t>aforementioned imbalances</w:t>
      </w:r>
      <w:proofErr w:type="gramEnd"/>
      <w:r>
        <w:t xml:space="preserve"> in baseline disease characteristics may negatively impact the validity of the primary outcome. According to one narrative literature review, the presence of intra-retinal fluid may be associated with poorer visual acuity</w:t>
      </w:r>
      <w:r w:rsidR="00244565">
        <w:rPr>
          <w:rStyle w:val="FootnoteReference"/>
        </w:rPr>
        <w:footnoteReference w:id="7"/>
      </w:r>
      <w:r>
        <w:t>, and according to another, occult lesions may respond faster to anti-VEGF therapy than classic lesions.</w:t>
      </w:r>
      <w:r w:rsidR="002C2B49">
        <w:rPr>
          <w:rStyle w:val="FootnoteReference"/>
        </w:rPr>
        <w:footnoteReference w:id="8"/>
      </w:r>
      <w:r>
        <w:t xml:space="preserve"> Imbalances in both these characteristics at baseline favour the SB15 arm (less with intra-retinal fluid and more with occult lesion type), raising concerns that the efficacy of SB15 may have been overestimated in study SB15-3001. </w:t>
      </w:r>
    </w:p>
    <w:p w14:paraId="6704C315" w14:textId="77777777" w:rsidR="0086262C" w:rsidRDefault="0086262C" w:rsidP="00DC0E17">
      <w:r>
        <w:t>Subgroup analysis based on lesion type provides some reassurance, noting that the analysis is based on the FAS. Subgroup analyses of Week 8 change in BCVA by baseline central subfield thickness or presence of intra-retinal fluid are unavailable. A Clinical Question was posed and the submitted ad-hoc analysis adjusted for baseline CST and presence of intra-retinal fluid, along with the previous subgroup analysis based on lesion type has provided some level of reassurance.</w:t>
      </w:r>
    </w:p>
    <w:p w14:paraId="3CBCE947" w14:textId="77777777" w:rsidR="0086262C" w:rsidRDefault="0086262C" w:rsidP="00DC0E17">
      <w:r>
        <w:t>BCVA results beyond week 8 appear comparable between SB15 vs. Eylea+Eylea. Anatomical outcomes, including change in CST, proportion of patients with intra- or sub-retinal fluid, change in CNV area, and proportion of patients with active CNV leakage also appear broadly comparable between SB15 and Eylea+Eylea. Results are descriptive and interpretability is limited by protocol deviations, missing data, and imbalances in baseline demographics and disease characteristics between SB15 vs. Eylea+Eylea.</w:t>
      </w:r>
    </w:p>
    <w:p w14:paraId="364E0ACE" w14:textId="77777777" w:rsidR="0086262C" w:rsidRDefault="0086262C" w:rsidP="00DC0E17">
      <w:r>
        <w:t>The Eylea arm was re-randomised at Week 32 to receive either SB15 or Eylea up to week 48 (3 doses). BCVA outcomes at Week 56 appear comparable between the Eylea+SB15 and Eylea+Eylea arms. Results for the anatomical outcomes appear more mixed. Overall, the relevance of results is unclear. In switching studies of bio-similar products, PK and PD endpoints are generally considered more sensitive than clinical endpoints in detecting changes that may arise from switching. Efficacy results with baseline values as the reference e.g., BCVA, are of unclear interpretive value when re-randomisation occurred at Week 32. It’s also unclear whether there is much room for clinical efficacy to differ between switched and unswitched arms after having already received 5 doses of treatment. These uncertainties are in addition to limitations described in the previous paragraph, which also apply to the comparison between Eylea+SB15 vs. Eylea+Eylea.</w:t>
      </w:r>
    </w:p>
    <w:p w14:paraId="6B015BA6" w14:textId="1ABEB0C6" w:rsidR="0086262C" w:rsidRDefault="0086262C" w:rsidP="00DC0E17">
      <w:r>
        <w:t xml:space="preserve">In summary, comparability between SB15 and Eylea in terms of change in BCVA score from baseline to Week 8 has been established using the per-protocol set. Imbalances in baseline central subfield thickness, presence of intra-retinal fluid and lesion type may have negatively impacted the validity of the primary endpoint, and the </w:t>
      </w:r>
      <w:r w:rsidR="004215E2">
        <w:t>Sponsor</w:t>
      </w:r>
      <w:r>
        <w:t xml:space="preserve"> was asked to respond to this concern. BCVA results beyond Week 8, anatomical outcomes and results from the switching component of the study are descriptive only. </w:t>
      </w:r>
    </w:p>
    <w:p w14:paraId="2E25CED7" w14:textId="77777777" w:rsidR="0086262C" w:rsidRDefault="0086262C" w:rsidP="007056A1">
      <w:pPr>
        <w:pStyle w:val="Heading6"/>
      </w:pPr>
      <w:r>
        <w:t>Extrapolation of dosing</w:t>
      </w:r>
    </w:p>
    <w:p w14:paraId="7B7CD85B" w14:textId="77777777" w:rsidR="0086262C" w:rsidRDefault="0086262C" w:rsidP="00DC0E17">
      <w:r>
        <w:t>The current PI of Eylea describes a treat-and-extend regime, and data on up to 16-week intervals are available for Eylea. No efficacy data using the treat-and-extend regime is available for SB15, nor any human intravitreal PK data. Approval of the treat-and-extend regime for SB15 therefore relies on indirect extrapolation from the standard dosing.</w:t>
      </w:r>
    </w:p>
    <w:p w14:paraId="7F851B7B" w14:textId="77777777" w:rsidR="0086262C" w:rsidRDefault="0086262C" w:rsidP="007056A1">
      <w:pPr>
        <w:pStyle w:val="Heading6"/>
      </w:pPr>
      <w:r>
        <w:lastRenderedPageBreak/>
        <w:t>Extrapolation of indications</w:t>
      </w:r>
    </w:p>
    <w:p w14:paraId="307C4AC6" w14:textId="5C62A486" w:rsidR="0086262C" w:rsidRDefault="0086262C" w:rsidP="00DC0E17">
      <w:r>
        <w:t xml:space="preserve">The </w:t>
      </w:r>
      <w:r w:rsidR="004215E2">
        <w:t>Sponsor</w:t>
      </w:r>
      <w:r>
        <w:t xml:space="preserve"> seeks to extrapolate the comparable efficacy to the following approved indications of Eylea:</w:t>
      </w:r>
    </w:p>
    <w:p w14:paraId="2B4D68F8" w14:textId="47FAAD69" w:rsidR="0086262C" w:rsidRDefault="0086262C" w:rsidP="007056A1">
      <w:pPr>
        <w:pStyle w:val="ListBullet"/>
      </w:pPr>
      <w:r>
        <w:t>visual impairment due to macular oedema secondary to central retinal vein occlusion (CRVO)</w:t>
      </w:r>
    </w:p>
    <w:p w14:paraId="53C0C02B" w14:textId="5C0C81E8" w:rsidR="0086262C" w:rsidRDefault="0086262C" w:rsidP="007056A1">
      <w:pPr>
        <w:pStyle w:val="ListBullet"/>
      </w:pPr>
      <w:r>
        <w:t>visual impairment due to macular oedema secondary to branch retinal vein occlusion (BRVO)</w:t>
      </w:r>
    </w:p>
    <w:p w14:paraId="249915CD" w14:textId="4E5B94DD" w:rsidR="0086262C" w:rsidRDefault="0086262C" w:rsidP="007056A1">
      <w:pPr>
        <w:pStyle w:val="ListBullet"/>
      </w:pPr>
      <w:r>
        <w:t>diabetic macular oedema (DME)</w:t>
      </w:r>
    </w:p>
    <w:p w14:paraId="1FE62DB2" w14:textId="5AA635F8" w:rsidR="0086262C" w:rsidRDefault="0086262C" w:rsidP="007056A1">
      <w:pPr>
        <w:pStyle w:val="ListBullet"/>
      </w:pPr>
      <w:r>
        <w:t>visual impairment due to myopic choroidal neovascularisation (myopic CNV).</w:t>
      </w:r>
    </w:p>
    <w:p w14:paraId="5C73BF6F" w14:textId="12005958" w:rsidR="0086262C" w:rsidRDefault="0086262C" w:rsidP="00DC0E17">
      <w:r>
        <w:t xml:space="preserve">A document titled “Extrapolation of Indications” was submitted by the </w:t>
      </w:r>
      <w:r w:rsidR="004215E2">
        <w:t>Sponsor</w:t>
      </w:r>
      <w:r>
        <w:t>. In brief, the following scientific justifications are provided:</w:t>
      </w:r>
    </w:p>
    <w:p w14:paraId="5F83E0E3" w14:textId="2FB57AEC" w:rsidR="0086262C" w:rsidRDefault="0086262C" w:rsidP="007056A1">
      <w:pPr>
        <w:pStyle w:val="ListBullet"/>
      </w:pPr>
      <w:r>
        <w:t xml:space="preserve">Mechanism of action: Overexpression of VEGF and its role in retinal disease underlies the common pathway for pathogenesis of AMD, visual impairment due to macular oedema secondary to CRVO and BRVO, DME, and myopic CNV. </w:t>
      </w:r>
    </w:p>
    <w:p w14:paraId="61573CF4" w14:textId="19A1E69D" w:rsidR="0086262C" w:rsidRDefault="0086262C" w:rsidP="007056A1">
      <w:pPr>
        <w:pStyle w:val="ListBullet"/>
      </w:pPr>
      <w:r>
        <w:t xml:space="preserve">Quality attributes: physicochemical and biological methods were performed to demonstrate the analytical similarity between SB15 and Eylea. Minor differences observed between SB15 and Eylea were investigated and were not considered to have impacts on efficacy and safety. </w:t>
      </w:r>
    </w:p>
    <w:p w14:paraId="6ACA4A55" w14:textId="19441617" w:rsidR="0086262C" w:rsidRDefault="0086262C" w:rsidP="007056A1">
      <w:pPr>
        <w:pStyle w:val="ListBullet"/>
      </w:pPr>
      <w:r>
        <w:t xml:space="preserve">Representativeness of patient population: </w:t>
      </w:r>
    </w:p>
    <w:p w14:paraId="6D929C15" w14:textId="5E3AC602" w:rsidR="0086262C" w:rsidRDefault="0086262C" w:rsidP="007056A1">
      <w:pPr>
        <w:pStyle w:val="ListBullet2"/>
      </w:pPr>
      <w:r>
        <w:t xml:space="preserve">Neovascular AMD is known for its homogeneous disease progressions with fewer confounding factors than DME or RVO. </w:t>
      </w:r>
    </w:p>
    <w:p w14:paraId="2C7ABF8D" w14:textId="012ADEF3" w:rsidR="0086262C" w:rsidRDefault="0086262C" w:rsidP="007056A1">
      <w:pPr>
        <w:pStyle w:val="ListBullet2"/>
      </w:pPr>
      <w:r>
        <w:t>According to the efficacy outcomes reported for the other anti-VEGF agent, ranibizumab, the overall difference in BCVA changes between the ranibizumab and the control groups was largest in AMD patients among all other indications, i.e. RVO, and DME.</w:t>
      </w:r>
    </w:p>
    <w:p w14:paraId="7C1349AE" w14:textId="753A6C97" w:rsidR="0086262C" w:rsidRDefault="0086262C" w:rsidP="007056A1">
      <w:pPr>
        <w:pStyle w:val="ListBullet2"/>
      </w:pPr>
      <w:r>
        <w:t xml:space="preserve">Based on the above justifications, the evaluator considers it acceptable to extrapolate the comparable efficacy to Eylea, as demonstrated in study SB15-3001, to other indications. </w:t>
      </w:r>
    </w:p>
    <w:p w14:paraId="2986FD26" w14:textId="6D43ADF6" w:rsidR="0086262C" w:rsidRDefault="0086262C" w:rsidP="007056A1">
      <w:r>
        <w:t xml:space="preserve">The </w:t>
      </w:r>
      <w:r w:rsidR="004215E2">
        <w:t>Sponsor</w:t>
      </w:r>
      <w:r>
        <w:t xml:space="preserve"> also cited </w:t>
      </w:r>
      <w:r w:rsidR="007056A1">
        <w:t xml:space="preserve">a </w:t>
      </w:r>
      <w:r>
        <w:t>comparable systemic PK in study SB15-3001. This should not be considered evidence supportive of extrapolation, given the large variability of PK data in study SB15-3001 and that systemic exposure has no bearing on efficacy.</w:t>
      </w:r>
    </w:p>
    <w:p w14:paraId="2EB14510" w14:textId="44E3527E" w:rsidR="00F47EDE" w:rsidRDefault="00F47EDE" w:rsidP="00F47EDE">
      <w:pPr>
        <w:pStyle w:val="Heading4"/>
      </w:pPr>
      <w:bookmarkStart w:id="45" w:name="_Toc215222566"/>
      <w:r>
        <w:lastRenderedPageBreak/>
        <w:t>Safety</w:t>
      </w:r>
      <w:bookmarkEnd w:id="45"/>
    </w:p>
    <w:p w14:paraId="61B33AB2" w14:textId="77777777" w:rsidR="00F47EDE" w:rsidRDefault="00F47EDE" w:rsidP="00F47EDE">
      <w:pPr>
        <w:pStyle w:val="Heading5"/>
      </w:pPr>
      <w:r>
        <w:t>Patient exposure</w:t>
      </w:r>
    </w:p>
    <w:p w14:paraId="0496E340" w14:textId="44E2761F" w:rsidR="00F47EDE" w:rsidRDefault="00F47EDE" w:rsidP="00F47EDE">
      <w:pPr>
        <w:pStyle w:val="TableTitle"/>
      </w:pPr>
      <w:r>
        <w:t xml:space="preserve">Table </w:t>
      </w:r>
      <w:r w:rsidR="00062588">
        <w:t>4</w:t>
      </w:r>
      <w:r>
        <w:t>. Summary of Exposure to Investigational Product (Safety Set 1)</w:t>
      </w:r>
    </w:p>
    <w:p w14:paraId="6234FDBB" w14:textId="64892B41" w:rsidR="006311FD" w:rsidRDefault="003647F9" w:rsidP="00027A97">
      <w:r w:rsidRPr="00182679">
        <w:rPr>
          <w:noProof/>
          <w:lang w:eastAsia="ja-JP"/>
        </w:rPr>
        <w:drawing>
          <wp:inline distT="0" distB="0" distL="0" distR="0" wp14:anchorId="7B0EB287" wp14:editId="664B48C2">
            <wp:extent cx="5731510" cy="4120243"/>
            <wp:effectExtent l="0" t="0" r="2540" b="0"/>
            <wp:docPr id="19683800" name="Picture 1" descr="Table 4. Summary of Exposure to Investigational Product (Safety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800" name="Picture 1" descr="Table 4. Summary of Exposure to Investigational Product (Safety Set 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b="620"/>
                    <a:stretch>
                      <a:fillRect/>
                    </a:stretch>
                  </pic:blipFill>
                  <pic:spPr bwMode="auto">
                    <a:xfrm>
                      <a:off x="0" y="0"/>
                      <a:ext cx="5731510" cy="4120243"/>
                    </a:xfrm>
                    <a:prstGeom prst="rect">
                      <a:avLst/>
                    </a:prstGeom>
                    <a:ln>
                      <a:noFill/>
                    </a:ln>
                    <a:extLst>
                      <a:ext uri="{53640926-AAD7-44D8-BBD7-CCE9431645EC}">
                        <a14:shadowObscured xmlns:a14="http://schemas.microsoft.com/office/drawing/2010/main"/>
                      </a:ext>
                    </a:extLst>
                  </pic:spPr>
                </pic:pic>
              </a:graphicData>
            </a:graphic>
          </wp:inline>
        </w:drawing>
      </w:r>
      <w:r w:rsidR="006311FD" w:rsidRPr="00182679">
        <w:rPr>
          <w:noProof/>
          <w:lang w:eastAsia="ja-JP"/>
        </w:rPr>
        <w:drawing>
          <wp:inline distT="0" distB="0" distL="0" distR="0" wp14:anchorId="5ECB2F09" wp14:editId="28A21349">
            <wp:extent cx="5730240" cy="1181100"/>
            <wp:effectExtent l="0" t="0" r="3810" b="0"/>
            <wp:docPr id="1189021387"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21387" name="Picture 1" descr="A screenshot of a table&#10;&#10;Description automatically generated"/>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t="32542" b="825"/>
                    <a:stretch>
                      <a:fillRect/>
                    </a:stretch>
                  </pic:blipFill>
                  <pic:spPr bwMode="auto">
                    <a:xfrm>
                      <a:off x="0" y="0"/>
                      <a:ext cx="5731510" cy="1181362"/>
                    </a:xfrm>
                    <a:prstGeom prst="rect">
                      <a:avLst/>
                    </a:prstGeom>
                    <a:ln>
                      <a:noFill/>
                    </a:ln>
                    <a:extLst>
                      <a:ext uri="{53640926-AAD7-44D8-BBD7-CCE9431645EC}">
                        <a14:shadowObscured xmlns:a14="http://schemas.microsoft.com/office/drawing/2010/main"/>
                      </a:ext>
                    </a:extLst>
                  </pic:spPr>
                </pic:pic>
              </a:graphicData>
            </a:graphic>
          </wp:inline>
        </w:drawing>
      </w:r>
    </w:p>
    <w:p w14:paraId="1850CFB3" w14:textId="71B79BCB" w:rsidR="004A5BD2" w:rsidRDefault="004A5BD2" w:rsidP="004A5BD2">
      <w:pPr>
        <w:pStyle w:val="TableDescription"/>
      </w:pPr>
      <w:r>
        <w:t>IP = investigational product; N = number of subjects in the Safety Set 1; n = number of subjects</w:t>
      </w:r>
    </w:p>
    <w:p w14:paraId="09A50485" w14:textId="319EB336" w:rsidR="004A5BD2" w:rsidRDefault="004A5BD2" w:rsidP="004A5BD2">
      <w:pPr>
        <w:pStyle w:val="TableDescription"/>
      </w:pPr>
      <w:r>
        <w:t>a. Based on subjects in Safety Set 2, Eylea+SB15 and Ey</w:t>
      </w:r>
      <w:r w:rsidR="007A7058">
        <w:t>l</w:t>
      </w:r>
      <w:r>
        <w:t>ea+Eylea may not add up to Eylea Overall.</w:t>
      </w:r>
    </w:p>
    <w:p w14:paraId="040067B3" w14:textId="3B6E213E" w:rsidR="004A5BD2" w:rsidRDefault="004A5BD2" w:rsidP="004A5BD2">
      <w:pPr>
        <w:pStyle w:val="TableDescription"/>
      </w:pPr>
      <w:r>
        <w:t>Percentages were based on the number of subjects in the Safety Set 1.</w:t>
      </w:r>
    </w:p>
    <w:p w14:paraId="1E96F2C7" w14:textId="77777777" w:rsidR="004A5BD2" w:rsidRDefault="004A5BD2" w:rsidP="004A5BD2">
      <w:pPr>
        <w:pStyle w:val="TableDescription"/>
      </w:pPr>
      <w:r>
        <w:t>Exposure duration (days) up to Week 32/Week 56 were calculated as follows:</w:t>
      </w:r>
    </w:p>
    <w:p w14:paraId="4E08AD49" w14:textId="5013DFDF" w:rsidR="004A5BD2" w:rsidRDefault="004A5BD2" w:rsidP="004A5BD2">
      <w:pPr>
        <w:pStyle w:val="TableDescription"/>
      </w:pPr>
      <w:r>
        <w:t>If IP is completed or discontinued on or after Week 8, exposure duration up to Week 32 = Last IVT injection date before</w:t>
      </w:r>
      <w:r w:rsidR="007A7058">
        <w:t xml:space="preserve"> </w:t>
      </w:r>
      <w:r>
        <w:t xml:space="preserve">Week 32 — first IVT injection date + 56 </w:t>
      </w:r>
      <w:proofErr w:type="gramStart"/>
      <w:r>
        <w:t>days;</w:t>
      </w:r>
      <w:proofErr w:type="gramEnd"/>
      <w:r>
        <w:t xml:space="preserve"> exposure duration up to Week 56 = Last IVT injection date — first IVT injection</w:t>
      </w:r>
      <w:r w:rsidR="007A7058">
        <w:t xml:space="preserve"> </w:t>
      </w:r>
      <w:r>
        <w:t>date + 56 days.</w:t>
      </w:r>
    </w:p>
    <w:p w14:paraId="1764507B" w14:textId="2A7CC376" w:rsidR="00065213" w:rsidRDefault="004A5BD2" w:rsidP="004A5BD2">
      <w:pPr>
        <w:pStyle w:val="TableDescription"/>
      </w:pPr>
      <w:r>
        <w:t>If IP</w:t>
      </w:r>
      <w:r w:rsidR="007A7058">
        <w:t xml:space="preserve"> </w:t>
      </w:r>
      <w:r>
        <w:t>is discontinued before Week 8, exposure duration up to Week 32/Week 56 = Last IVT injection date + 28 days — first IVT</w:t>
      </w:r>
      <w:r w:rsidR="007A7058">
        <w:t xml:space="preserve"> </w:t>
      </w:r>
      <w:r>
        <w:t>injection date.</w:t>
      </w:r>
    </w:p>
    <w:p w14:paraId="7D6BA910" w14:textId="77777777" w:rsidR="007143B0" w:rsidRDefault="007143B0" w:rsidP="007143B0">
      <w:pPr>
        <w:pStyle w:val="Heading5"/>
      </w:pPr>
      <w:r>
        <w:t>Adverse events</w:t>
      </w:r>
    </w:p>
    <w:p w14:paraId="42084D60" w14:textId="77777777" w:rsidR="007143B0" w:rsidRDefault="007143B0" w:rsidP="007143B0">
      <w:r>
        <w:t>The are three pairs of randomised comparisons relevant to safety evaluation:</w:t>
      </w:r>
    </w:p>
    <w:p w14:paraId="538D44A0" w14:textId="63276226" w:rsidR="007143B0" w:rsidRDefault="007143B0" w:rsidP="007143B0">
      <w:pPr>
        <w:pStyle w:val="Numberbullet0"/>
      </w:pPr>
      <w:r>
        <w:t>SB15 vs. Eylea+Eylea over 56 weeks (Overall period; N ~328)</w:t>
      </w:r>
    </w:p>
    <w:p w14:paraId="6D8E856A" w14:textId="42BF9D57" w:rsidR="007143B0" w:rsidRDefault="007143B0" w:rsidP="007143B0">
      <w:pPr>
        <w:pStyle w:val="Numberbullet0"/>
      </w:pPr>
      <w:r>
        <w:t xml:space="preserve">SB15 vs. Eylea over 32 weeks, before re-randomisation (Main period; N ~ 448) </w:t>
      </w:r>
    </w:p>
    <w:p w14:paraId="0FA124CD" w14:textId="26DC82C0" w:rsidR="007143B0" w:rsidRDefault="007143B0" w:rsidP="007143B0">
      <w:pPr>
        <w:pStyle w:val="Numberbullet0"/>
      </w:pPr>
      <w:r>
        <w:lastRenderedPageBreak/>
        <w:t>Eylea+SB15 vs. Eylea+Eylea, ~Week 32 until Week 56 (Transition period; N ~ 215)</w:t>
      </w:r>
    </w:p>
    <w:p w14:paraId="340D9887" w14:textId="525598EF" w:rsidR="007143B0" w:rsidRDefault="007143B0" w:rsidP="007143B0">
      <w:proofErr w:type="gramStart"/>
      <w:r>
        <w:t>The first comparison (Overall Period),</w:t>
      </w:r>
      <w:proofErr w:type="gramEnd"/>
      <w:r>
        <w:t xml:space="preserve"> provides safety information on SB15 vs. Eylea without switching. Although this comparison has fewer patient numbers than the second comparison, it has a longer exposure and follow-up period. </w:t>
      </w:r>
    </w:p>
    <w:p w14:paraId="08A13489" w14:textId="77777777" w:rsidR="007143B0" w:rsidRDefault="007143B0" w:rsidP="007143B0">
      <w:r>
        <w:t xml:space="preserve">The third comparison, which is the most suitable for evaluating the effect of switching, will also be reviewed. Results from the second comparison were briefly reviewed for safety signals. </w:t>
      </w:r>
    </w:p>
    <w:p w14:paraId="0F4759CE" w14:textId="35E4F0B5" w:rsidR="007143B0" w:rsidRDefault="007143B0" w:rsidP="007143B0">
      <w:r>
        <w:t xml:space="preserve">The safety summaries provided by the </w:t>
      </w:r>
      <w:r w:rsidR="004215E2">
        <w:t>Sponsor</w:t>
      </w:r>
      <w:r>
        <w:t xml:space="preserve"> present the number and proportion of patients experiencing </w:t>
      </w:r>
      <w:r w:rsidR="00027A0F">
        <w:t>treatment emergent adverse</w:t>
      </w:r>
      <w:r w:rsidR="00E95D4A">
        <w:t xml:space="preserve"> events (</w:t>
      </w:r>
      <w:r>
        <w:t>TEAEs</w:t>
      </w:r>
      <w:r w:rsidR="00E95D4A">
        <w:t>)</w:t>
      </w:r>
      <w:r>
        <w:t xml:space="preserve"> in each arm i.e., n (%), as well as the frequency of events themselves, E. The evaluation of safety is based on the former, n (%).</w:t>
      </w:r>
    </w:p>
    <w:p w14:paraId="7837AD90" w14:textId="77777777" w:rsidR="001F4271" w:rsidRDefault="001F4271" w:rsidP="001F4271">
      <w:pPr>
        <w:pStyle w:val="Heading6"/>
      </w:pPr>
      <w:r>
        <w:t>Overview of adverse events</w:t>
      </w:r>
    </w:p>
    <w:p w14:paraId="64985F02" w14:textId="5932ABA0" w:rsidR="00D41C55" w:rsidRPr="00D41C55" w:rsidRDefault="00D41C55" w:rsidP="00823FAF">
      <w:pPr>
        <w:pStyle w:val="TableTitle"/>
      </w:pPr>
      <w:r>
        <w:t>Table</w:t>
      </w:r>
      <w:r w:rsidR="00062588">
        <w:t xml:space="preserve"> 5</w:t>
      </w:r>
      <w:r>
        <w:t>. O</w:t>
      </w:r>
      <w:r w:rsidRPr="00D41C55">
        <w:t>verview of TEAEs</w:t>
      </w:r>
    </w:p>
    <w:tbl>
      <w:tblPr>
        <w:tblStyle w:val="PlainTable2"/>
        <w:tblW w:w="9095"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Caption w:val="Table 5. Overview of TEAEs"/>
      </w:tblPr>
      <w:tblGrid>
        <w:gridCol w:w="2180"/>
        <w:gridCol w:w="1725"/>
        <w:gridCol w:w="1736"/>
        <w:gridCol w:w="1726"/>
        <w:gridCol w:w="1728"/>
      </w:tblGrid>
      <w:tr w:rsidR="009F3F4B" w:rsidRPr="0036613A" w14:paraId="05C0D188" w14:textId="77777777" w:rsidTr="00027A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0" w:type="dxa"/>
            <w:tcBorders>
              <w:bottom w:val="none" w:sz="0" w:space="0" w:color="auto"/>
            </w:tcBorders>
            <w:shd w:val="clear" w:color="auto" w:fill="DEEAF6"/>
          </w:tcPr>
          <w:p w14:paraId="6A45EB36" w14:textId="77777777" w:rsidR="009F3F4B" w:rsidRPr="00AB63BF" w:rsidRDefault="009F3F4B" w:rsidP="004C79C9">
            <w:pPr>
              <w:jc w:val="center"/>
              <w:rPr>
                <w:b w:val="0"/>
                <w:bCs w:val="0"/>
                <w:color w:val="263287"/>
                <w:sz w:val="21"/>
                <w:szCs w:val="21"/>
                <w:lang w:eastAsia="ja-JP"/>
              </w:rPr>
            </w:pPr>
          </w:p>
        </w:tc>
        <w:tc>
          <w:tcPr>
            <w:tcW w:w="1725" w:type="dxa"/>
            <w:tcBorders>
              <w:bottom w:val="none" w:sz="0" w:space="0" w:color="auto"/>
            </w:tcBorders>
            <w:shd w:val="clear" w:color="auto" w:fill="DEEAF6"/>
          </w:tcPr>
          <w:p w14:paraId="175D63CA" w14:textId="77777777" w:rsidR="009F3F4B" w:rsidRPr="00AB63BF" w:rsidRDefault="009F3F4B" w:rsidP="004C79C9">
            <w:pPr>
              <w:jc w:val="center"/>
              <w:cnfStyle w:val="100000000000" w:firstRow="1" w:lastRow="0" w:firstColumn="0" w:lastColumn="0" w:oddVBand="0" w:evenVBand="0" w:oddHBand="0" w:evenHBand="0" w:firstRowFirstColumn="0" w:firstRowLastColumn="0" w:lastRowFirstColumn="0" w:lastRowLastColumn="0"/>
              <w:rPr>
                <w:color w:val="263287"/>
                <w:sz w:val="21"/>
                <w:szCs w:val="21"/>
                <w:lang w:eastAsia="ja-JP"/>
              </w:rPr>
            </w:pPr>
            <w:r w:rsidRPr="00AB63BF">
              <w:rPr>
                <w:color w:val="263287"/>
                <w:sz w:val="21"/>
                <w:szCs w:val="21"/>
                <w:lang w:eastAsia="ja-JP"/>
              </w:rPr>
              <w:t>SB15</w:t>
            </w:r>
          </w:p>
        </w:tc>
        <w:tc>
          <w:tcPr>
            <w:tcW w:w="5190" w:type="dxa"/>
            <w:gridSpan w:val="3"/>
            <w:tcBorders>
              <w:bottom w:val="none" w:sz="0" w:space="0" w:color="auto"/>
            </w:tcBorders>
            <w:shd w:val="clear" w:color="auto" w:fill="DEEAF6"/>
          </w:tcPr>
          <w:p w14:paraId="74CA08CF" w14:textId="77777777" w:rsidR="009F3F4B" w:rsidRPr="00AB63BF" w:rsidRDefault="009F3F4B" w:rsidP="004C79C9">
            <w:pPr>
              <w:jc w:val="center"/>
              <w:cnfStyle w:val="100000000000" w:firstRow="1" w:lastRow="0" w:firstColumn="0" w:lastColumn="0" w:oddVBand="0" w:evenVBand="0" w:oddHBand="0" w:evenHBand="0" w:firstRowFirstColumn="0" w:firstRowLastColumn="0" w:lastRowFirstColumn="0" w:lastRowLastColumn="0"/>
              <w:rPr>
                <w:color w:val="263287"/>
                <w:sz w:val="21"/>
                <w:szCs w:val="21"/>
                <w:lang w:eastAsia="ja-JP"/>
              </w:rPr>
            </w:pPr>
            <w:r w:rsidRPr="00AB63BF">
              <w:rPr>
                <w:color w:val="263287"/>
                <w:sz w:val="21"/>
                <w:szCs w:val="21"/>
                <w:lang w:eastAsia="ja-JP"/>
              </w:rPr>
              <w:t>Eylea</w:t>
            </w:r>
          </w:p>
        </w:tc>
      </w:tr>
      <w:tr w:rsidR="009F3F4B" w:rsidRPr="0036613A" w14:paraId="21B2B195"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shd w:val="clear" w:color="auto" w:fill="DEEAF6"/>
          </w:tcPr>
          <w:p w14:paraId="51330A46" w14:textId="77777777" w:rsidR="009F3F4B" w:rsidRPr="00AB63BF" w:rsidRDefault="009F3F4B" w:rsidP="004C79C9">
            <w:pPr>
              <w:rPr>
                <w:b w:val="0"/>
                <w:bCs w:val="0"/>
                <w:color w:val="263287"/>
                <w:sz w:val="21"/>
                <w:szCs w:val="21"/>
                <w:lang w:eastAsia="ja-JP"/>
              </w:rPr>
            </w:pPr>
          </w:p>
        </w:tc>
        <w:tc>
          <w:tcPr>
            <w:tcW w:w="1725" w:type="dxa"/>
            <w:tcBorders>
              <w:top w:val="none" w:sz="0" w:space="0" w:color="auto"/>
              <w:bottom w:val="none" w:sz="0" w:space="0" w:color="auto"/>
            </w:tcBorders>
            <w:shd w:val="clear" w:color="auto" w:fill="DEEAF6"/>
          </w:tcPr>
          <w:p w14:paraId="2E1DFE4A"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N=224</w:t>
            </w:r>
          </w:p>
          <w:p w14:paraId="4FB13513"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 (%) E</w:t>
            </w:r>
          </w:p>
        </w:tc>
        <w:tc>
          <w:tcPr>
            <w:tcW w:w="1736" w:type="dxa"/>
            <w:tcBorders>
              <w:top w:val="none" w:sz="0" w:space="0" w:color="auto"/>
              <w:bottom w:val="none" w:sz="0" w:space="0" w:color="auto"/>
            </w:tcBorders>
            <w:shd w:val="clear" w:color="auto" w:fill="DEEAF6"/>
          </w:tcPr>
          <w:p w14:paraId="5C4DEBB9"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Overall</w:t>
            </w:r>
          </w:p>
          <w:p w14:paraId="3458FF89"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N=224</w:t>
            </w:r>
          </w:p>
          <w:p w14:paraId="554FF0C0"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color w:val="263287"/>
                <w:sz w:val="21"/>
                <w:szCs w:val="21"/>
                <w:lang w:eastAsia="ja-JP"/>
              </w:rPr>
            </w:pPr>
            <w:r w:rsidRPr="00AB63BF">
              <w:rPr>
                <w:b/>
                <w:bCs/>
                <w:color w:val="263287"/>
                <w:sz w:val="21"/>
                <w:szCs w:val="21"/>
                <w:lang w:eastAsia="ja-JP"/>
              </w:rPr>
              <w:t>n (%) E</w:t>
            </w:r>
          </w:p>
        </w:tc>
        <w:tc>
          <w:tcPr>
            <w:tcW w:w="1726" w:type="dxa"/>
            <w:tcBorders>
              <w:top w:val="none" w:sz="0" w:space="0" w:color="auto"/>
              <w:bottom w:val="none" w:sz="0" w:space="0" w:color="auto"/>
            </w:tcBorders>
            <w:shd w:val="clear" w:color="auto" w:fill="DEEAF6"/>
          </w:tcPr>
          <w:p w14:paraId="76D3E89D"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SB15</w:t>
            </w:r>
          </w:p>
          <w:p w14:paraId="3A8FBA55"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N=111</w:t>
            </w:r>
          </w:p>
          <w:p w14:paraId="36EC2CEA"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color w:val="263287"/>
                <w:sz w:val="21"/>
                <w:szCs w:val="21"/>
                <w:lang w:eastAsia="ja-JP"/>
              </w:rPr>
            </w:pPr>
            <w:r w:rsidRPr="00AB63BF">
              <w:rPr>
                <w:b/>
                <w:bCs/>
                <w:color w:val="263287"/>
                <w:sz w:val="21"/>
                <w:szCs w:val="21"/>
                <w:lang w:eastAsia="ja-JP"/>
              </w:rPr>
              <w:t>n (%) E</w:t>
            </w:r>
          </w:p>
        </w:tc>
        <w:tc>
          <w:tcPr>
            <w:tcW w:w="1728" w:type="dxa"/>
            <w:tcBorders>
              <w:top w:val="none" w:sz="0" w:space="0" w:color="auto"/>
              <w:bottom w:val="none" w:sz="0" w:space="0" w:color="auto"/>
            </w:tcBorders>
            <w:shd w:val="clear" w:color="auto" w:fill="DEEAF6"/>
          </w:tcPr>
          <w:p w14:paraId="1D83E547"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Eylea</w:t>
            </w:r>
          </w:p>
          <w:p w14:paraId="67FF8738"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N=104</w:t>
            </w:r>
          </w:p>
          <w:p w14:paraId="50F3528C" w14:textId="77777777" w:rsidR="009F3F4B" w:rsidRPr="00AB63BF" w:rsidRDefault="009F3F4B" w:rsidP="004C79C9">
            <w:pPr>
              <w:jc w:val="center"/>
              <w:cnfStyle w:val="000000100000" w:firstRow="0" w:lastRow="0" w:firstColumn="0" w:lastColumn="0" w:oddVBand="0" w:evenVBand="0" w:oddHBand="1" w:evenHBand="0" w:firstRowFirstColumn="0" w:firstRowLastColumn="0" w:lastRowFirstColumn="0" w:lastRowLastColumn="0"/>
              <w:rPr>
                <w:color w:val="263287"/>
                <w:sz w:val="21"/>
                <w:szCs w:val="21"/>
                <w:lang w:eastAsia="ja-JP"/>
              </w:rPr>
            </w:pPr>
            <w:r w:rsidRPr="00AB63BF">
              <w:rPr>
                <w:b/>
                <w:bCs/>
                <w:color w:val="263287"/>
                <w:sz w:val="21"/>
                <w:szCs w:val="21"/>
                <w:lang w:eastAsia="ja-JP"/>
              </w:rPr>
              <w:t>n (%) E</w:t>
            </w:r>
          </w:p>
        </w:tc>
      </w:tr>
      <w:tr w:rsidR="009F3F4B" w:rsidRPr="00A73312" w14:paraId="1E1A8ADE" w14:textId="77777777" w:rsidTr="00EF6B9A">
        <w:tc>
          <w:tcPr>
            <w:cnfStyle w:val="001000000000" w:firstRow="0" w:lastRow="0" w:firstColumn="1" w:lastColumn="0" w:oddVBand="0" w:evenVBand="0" w:oddHBand="0" w:evenHBand="0" w:firstRowFirstColumn="0" w:firstRowLastColumn="0" w:lastRowFirstColumn="0" w:lastRowLastColumn="0"/>
            <w:tcW w:w="9095" w:type="dxa"/>
            <w:gridSpan w:val="5"/>
            <w:shd w:val="clear" w:color="auto" w:fill="DEEAF6"/>
          </w:tcPr>
          <w:p w14:paraId="5F536A1C" w14:textId="77777777" w:rsidR="009F3F4B" w:rsidRPr="00AB63BF" w:rsidRDefault="009F3F4B" w:rsidP="004C79C9">
            <w:pPr>
              <w:rPr>
                <w:color w:val="263287"/>
                <w:sz w:val="21"/>
                <w:szCs w:val="21"/>
                <w:lang w:eastAsia="ja-JP"/>
              </w:rPr>
            </w:pPr>
            <w:r w:rsidRPr="00AB63BF">
              <w:rPr>
                <w:color w:val="263287"/>
                <w:sz w:val="21"/>
                <w:szCs w:val="21"/>
                <w:lang w:eastAsia="ja-JP"/>
              </w:rPr>
              <w:t>Overall period (Safety Set 1)</w:t>
            </w:r>
          </w:p>
        </w:tc>
      </w:tr>
      <w:tr w:rsidR="009F3F4B" w:rsidRPr="0036613A" w14:paraId="1B878A26" w14:textId="77777777" w:rsidTr="007A7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il"/>
            </w:tcBorders>
          </w:tcPr>
          <w:p w14:paraId="7B4E2031" w14:textId="77777777" w:rsidR="009F3F4B" w:rsidRPr="00A73312" w:rsidRDefault="009F3F4B" w:rsidP="004C79C9">
            <w:pPr>
              <w:rPr>
                <w:b w:val="0"/>
                <w:bCs w:val="0"/>
                <w:sz w:val="21"/>
                <w:szCs w:val="21"/>
                <w:lang w:eastAsia="ja-JP"/>
              </w:rPr>
            </w:pPr>
            <w:r w:rsidRPr="00A73312">
              <w:rPr>
                <w:b w:val="0"/>
                <w:bCs w:val="0"/>
                <w:sz w:val="21"/>
                <w:szCs w:val="21"/>
                <w:lang w:eastAsia="ja-JP"/>
              </w:rPr>
              <w:t>TEAEs</w:t>
            </w:r>
          </w:p>
        </w:tc>
        <w:tc>
          <w:tcPr>
            <w:tcW w:w="1725" w:type="dxa"/>
            <w:tcBorders>
              <w:top w:val="none" w:sz="0" w:space="0" w:color="auto"/>
              <w:bottom w:val="nil"/>
            </w:tcBorders>
          </w:tcPr>
          <w:p w14:paraId="7F35E4D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144 (64.3) 315</w:t>
            </w:r>
          </w:p>
        </w:tc>
        <w:tc>
          <w:tcPr>
            <w:tcW w:w="1736" w:type="dxa"/>
            <w:tcBorders>
              <w:top w:val="none" w:sz="0" w:space="0" w:color="auto"/>
              <w:bottom w:val="nil"/>
            </w:tcBorders>
          </w:tcPr>
          <w:p w14:paraId="5198313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one" w:sz="0" w:space="0" w:color="auto"/>
              <w:bottom w:val="nil"/>
            </w:tcBorders>
          </w:tcPr>
          <w:p w14:paraId="56A4FE98"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il"/>
            </w:tcBorders>
          </w:tcPr>
          <w:p w14:paraId="12C7F17A"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64 (61.5) 149</w:t>
            </w:r>
          </w:p>
        </w:tc>
      </w:tr>
      <w:tr w:rsidR="009F3F4B" w:rsidRPr="0036613A" w14:paraId="44A6A6F3" w14:textId="77777777" w:rsidTr="007A7E1E">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39CB8974"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Severe</w:t>
            </w:r>
          </w:p>
        </w:tc>
        <w:tc>
          <w:tcPr>
            <w:tcW w:w="1725" w:type="dxa"/>
            <w:tcBorders>
              <w:top w:val="nil"/>
            </w:tcBorders>
          </w:tcPr>
          <w:p w14:paraId="50650314"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13 (5.8) 18</w:t>
            </w:r>
          </w:p>
        </w:tc>
        <w:tc>
          <w:tcPr>
            <w:tcW w:w="1736" w:type="dxa"/>
            <w:tcBorders>
              <w:top w:val="nil"/>
            </w:tcBorders>
          </w:tcPr>
          <w:p w14:paraId="4E33EB3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tcBorders>
          </w:tcPr>
          <w:p w14:paraId="38D435E3"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tcBorders>
          </w:tcPr>
          <w:p w14:paraId="40241E2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7 (6.7) 7</w:t>
            </w:r>
          </w:p>
        </w:tc>
      </w:tr>
      <w:tr w:rsidR="009F3F4B" w:rsidRPr="0036613A" w14:paraId="01A4AEF6" w14:textId="77777777" w:rsidTr="007A7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il"/>
            </w:tcBorders>
          </w:tcPr>
          <w:p w14:paraId="485F82C2" w14:textId="77777777" w:rsidR="009F3F4B" w:rsidRPr="00A73312" w:rsidRDefault="009F3F4B" w:rsidP="004C79C9">
            <w:pPr>
              <w:rPr>
                <w:b w:val="0"/>
                <w:bCs w:val="0"/>
                <w:sz w:val="21"/>
                <w:szCs w:val="21"/>
                <w:lang w:eastAsia="ja-JP"/>
              </w:rPr>
            </w:pPr>
            <w:r w:rsidRPr="00A73312">
              <w:rPr>
                <w:b w:val="0"/>
                <w:bCs w:val="0"/>
                <w:sz w:val="21"/>
                <w:szCs w:val="21"/>
                <w:lang w:eastAsia="ja-JP"/>
              </w:rPr>
              <w:t>Ocular TEAEs in the study eye</w:t>
            </w:r>
          </w:p>
        </w:tc>
        <w:tc>
          <w:tcPr>
            <w:tcW w:w="1725" w:type="dxa"/>
            <w:tcBorders>
              <w:top w:val="none" w:sz="0" w:space="0" w:color="auto"/>
              <w:bottom w:val="nil"/>
            </w:tcBorders>
          </w:tcPr>
          <w:p w14:paraId="13281516"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55 (24.6) 68</w:t>
            </w:r>
          </w:p>
        </w:tc>
        <w:tc>
          <w:tcPr>
            <w:tcW w:w="1736" w:type="dxa"/>
            <w:tcBorders>
              <w:top w:val="none" w:sz="0" w:space="0" w:color="auto"/>
              <w:bottom w:val="nil"/>
            </w:tcBorders>
          </w:tcPr>
          <w:p w14:paraId="03BDA0D9"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one" w:sz="0" w:space="0" w:color="auto"/>
              <w:bottom w:val="nil"/>
            </w:tcBorders>
          </w:tcPr>
          <w:p w14:paraId="1CD04C9F"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il"/>
            </w:tcBorders>
          </w:tcPr>
          <w:p w14:paraId="7E18348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15 (14.4) 21</w:t>
            </w:r>
          </w:p>
        </w:tc>
      </w:tr>
      <w:tr w:rsidR="009F3F4B" w:rsidRPr="0036613A" w14:paraId="4619B79D" w14:textId="77777777" w:rsidTr="007A7E1E">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25D8CD97" w14:textId="77777777" w:rsidR="009F3F4B" w:rsidRPr="00B57D43" w:rsidRDefault="009F3F4B" w:rsidP="004C79C9">
            <w:pPr>
              <w:ind w:left="720"/>
              <w:rPr>
                <w:b w:val="0"/>
                <w:bCs w:val="0"/>
                <w:sz w:val="21"/>
                <w:szCs w:val="21"/>
                <w:lang w:eastAsia="ja-JP"/>
              </w:rPr>
            </w:pPr>
            <w:r w:rsidRPr="00B57D43">
              <w:rPr>
                <w:b w:val="0"/>
                <w:bCs w:val="0"/>
                <w:sz w:val="21"/>
                <w:szCs w:val="21"/>
                <w:lang w:eastAsia="ja-JP"/>
              </w:rPr>
              <w:t>Severe</w:t>
            </w:r>
          </w:p>
        </w:tc>
        <w:tc>
          <w:tcPr>
            <w:tcW w:w="1725" w:type="dxa"/>
            <w:tcBorders>
              <w:top w:val="nil"/>
            </w:tcBorders>
          </w:tcPr>
          <w:p w14:paraId="0953D282"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BD70FE">
              <w:rPr>
                <w:sz w:val="21"/>
                <w:szCs w:val="21"/>
                <w:lang w:eastAsia="ja-JP"/>
              </w:rPr>
              <w:t>2 (0.9) 2</w:t>
            </w:r>
          </w:p>
        </w:tc>
        <w:tc>
          <w:tcPr>
            <w:tcW w:w="1736" w:type="dxa"/>
            <w:tcBorders>
              <w:top w:val="nil"/>
            </w:tcBorders>
          </w:tcPr>
          <w:p w14:paraId="6FBF6A20"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tcBorders>
          </w:tcPr>
          <w:p w14:paraId="1D574C3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tcBorders>
          </w:tcPr>
          <w:p w14:paraId="3913C282"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BD70FE">
              <w:rPr>
                <w:sz w:val="21"/>
                <w:szCs w:val="21"/>
                <w:lang w:eastAsia="ja-JP"/>
              </w:rPr>
              <w:t>1 (1.0) 1</w:t>
            </w:r>
          </w:p>
        </w:tc>
      </w:tr>
      <w:tr w:rsidR="009F3F4B" w:rsidRPr="0036613A" w14:paraId="6E9DF46C"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tcPr>
          <w:p w14:paraId="63A5D953" w14:textId="77777777" w:rsidR="009F3F4B" w:rsidRDefault="009F3F4B" w:rsidP="004C79C9">
            <w:pPr>
              <w:rPr>
                <w:sz w:val="21"/>
                <w:szCs w:val="21"/>
                <w:lang w:eastAsia="ja-JP"/>
              </w:rPr>
            </w:pPr>
            <w:r w:rsidRPr="00A73312">
              <w:rPr>
                <w:b w:val="0"/>
                <w:bCs w:val="0"/>
                <w:sz w:val="21"/>
                <w:szCs w:val="21"/>
                <w:lang w:eastAsia="ja-JP"/>
              </w:rPr>
              <w:t>Non-ocular TEAEs</w:t>
            </w:r>
          </w:p>
          <w:p w14:paraId="6C8F3671" w14:textId="77777777" w:rsidR="009F3F4B" w:rsidRPr="00A73312" w:rsidRDefault="009F3F4B" w:rsidP="004C79C9">
            <w:pPr>
              <w:ind w:left="720"/>
              <w:rPr>
                <w:b w:val="0"/>
                <w:bCs w:val="0"/>
                <w:sz w:val="21"/>
                <w:szCs w:val="21"/>
                <w:lang w:eastAsia="ja-JP"/>
              </w:rPr>
            </w:pPr>
            <w:r w:rsidRPr="00B57D43">
              <w:rPr>
                <w:b w:val="0"/>
                <w:bCs w:val="0"/>
                <w:sz w:val="21"/>
                <w:szCs w:val="21"/>
                <w:lang w:eastAsia="ja-JP"/>
              </w:rPr>
              <w:t>Severe</w:t>
            </w:r>
          </w:p>
        </w:tc>
        <w:tc>
          <w:tcPr>
            <w:tcW w:w="1725" w:type="dxa"/>
            <w:tcBorders>
              <w:top w:val="none" w:sz="0" w:space="0" w:color="auto"/>
              <w:bottom w:val="none" w:sz="0" w:space="0" w:color="auto"/>
            </w:tcBorders>
          </w:tcPr>
          <w:p w14:paraId="4D287F77" w14:textId="77777777" w:rsidR="009F3F4B"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104 (46.4) 205</w:t>
            </w:r>
          </w:p>
          <w:p w14:paraId="25AEE028"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886E57">
              <w:rPr>
                <w:sz w:val="21"/>
                <w:szCs w:val="21"/>
                <w:lang w:eastAsia="ja-JP"/>
              </w:rPr>
              <w:t>11 (4.9) 16</w:t>
            </w:r>
          </w:p>
        </w:tc>
        <w:tc>
          <w:tcPr>
            <w:tcW w:w="1736" w:type="dxa"/>
            <w:tcBorders>
              <w:top w:val="none" w:sz="0" w:space="0" w:color="auto"/>
              <w:bottom w:val="none" w:sz="0" w:space="0" w:color="auto"/>
            </w:tcBorders>
          </w:tcPr>
          <w:p w14:paraId="40DA35E6" w14:textId="77777777" w:rsidR="009F3F4B"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p w14:paraId="0E528A7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Pr>
                <w:sz w:val="21"/>
                <w:szCs w:val="21"/>
                <w:lang w:eastAsia="ja-JP"/>
              </w:rPr>
              <w:t>-</w:t>
            </w:r>
          </w:p>
        </w:tc>
        <w:tc>
          <w:tcPr>
            <w:tcW w:w="1726" w:type="dxa"/>
            <w:tcBorders>
              <w:top w:val="none" w:sz="0" w:space="0" w:color="auto"/>
              <w:bottom w:val="none" w:sz="0" w:space="0" w:color="auto"/>
            </w:tcBorders>
          </w:tcPr>
          <w:p w14:paraId="0F964C13" w14:textId="77777777" w:rsidR="009F3F4B"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p w14:paraId="13F136C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Pr>
                <w:sz w:val="21"/>
                <w:szCs w:val="21"/>
                <w:lang w:eastAsia="ja-JP"/>
              </w:rPr>
              <w:t>-</w:t>
            </w:r>
          </w:p>
        </w:tc>
        <w:tc>
          <w:tcPr>
            <w:tcW w:w="1728" w:type="dxa"/>
            <w:tcBorders>
              <w:top w:val="none" w:sz="0" w:space="0" w:color="auto"/>
              <w:bottom w:val="none" w:sz="0" w:space="0" w:color="auto"/>
            </w:tcBorders>
          </w:tcPr>
          <w:p w14:paraId="27CECA15" w14:textId="77777777" w:rsidR="009F3F4B"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49 (47.1) 109</w:t>
            </w:r>
          </w:p>
          <w:p w14:paraId="432B490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886E57">
              <w:rPr>
                <w:sz w:val="21"/>
                <w:szCs w:val="21"/>
                <w:lang w:eastAsia="ja-JP"/>
              </w:rPr>
              <w:t>6 (5.8) 6</w:t>
            </w:r>
          </w:p>
        </w:tc>
      </w:tr>
      <w:tr w:rsidR="009F3F4B" w:rsidRPr="0036613A" w14:paraId="243DD6B0"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3CB6D3BD" w14:textId="77777777" w:rsidR="009F3F4B" w:rsidRPr="00A73312" w:rsidRDefault="009F3F4B" w:rsidP="004C79C9">
            <w:pPr>
              <w:rPr>
                <w:b w:val="0"/>
                <w:bCs w:val="0"/>
                <w:sz w:val="21"/>
                <w:szCs w:val="21"/>
                <w:lang w:eastAsia="ja-JP"/>
              </w:rPr>
            </w:pPr>
            <w:r w:rsidRPr="00A73312">
              <w:rPr>
                <w:b w:val="0"/>
                <w:bCs w:val="0"/>
                <w:sz w:val="21"/>
                <w:szCs w:val="21"/>
                <w:lang w:eastAsia="ja-JP"/>
              </w:rPr>
              <w:t>AESI</w:t>
            </w:r>
          </w:p>
        </w:tc>
        <w:tc>
          <w:tcPr>
            <w:tcW w:w="1725" w:type="dxa"/>
          </w:tcPr>
          <w:p w14:paraId="4CE5C0EB"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15 (6.7) 16</w:t>
            </w:r>
          </w:p>
        </w:tc>
        <w:tc>
          <w:tcPr>
            <w:tcW w:w="1736" w:type="dxa"/>
          </w:tcPr>
          <w:p w14:paraId="2526C73F"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5BB6877D"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Pr>
          <w:p w14:paraId="0478AAD1"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5 (4.8) 5</w:t>
            </w:r>
          </w:p>
        </w:tc>
      </w:tr>
      <w:tr w:rsidR="009F3F4B" w:rsidRPr="0036613A" w14:paraId="2C37A105"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tcPr>
          <w:p w14:paraId="7361F1B4" w14:textId="77777777" w:rsidR="009F3F4B" w:rsidRPr="00A73312" w:rsidRDefault="009F3F4B" w:rsidP="004C79C9">
            <w:pPr>
              <w:rPr>
                <w:b w:val="0"/>
                <w:bCs w:val="0"/>
                <w:sz w:val="21"/>
                <w:szCs w:val="21"/>
                <w:lang w:eastAsia="ja-JP"/>
              </w:rPr>
            </w:pPr>
            <w:r w:rsidRPr="00A73312">
              <w:rPr>
                <w:b w:val="0"/>
                <w:bCs w:val="0"/>
                <w:sz w:val="21"/>
                <w:szCs w:val="21"/>
                <w:lang w:eastAsia="ja-JP"/>
              </w:rPr>
              <w:t>Intraocular Inflammation TEAEs</w:t>
            </w:r>
            <w:r>
              <w:rPr>
                <w:b w:val="0"/>
                <w:bCs w:val="0"/>
                <w:sz w:val="21"/>
                <w:szCs w:val="21"/>
                <w:lang w:eastAsia="ja-JP"/>
              </w:rPr>
              <w:t xml:space="preserve"> (study eye)</w:t>
            </w:r>
          </w:p>
        </w:tc>
        <w:tc>
          <w:tcPr>
            <w:tcW w:w="1725" w:type="dxa"/>
            <w:tcBorders>
              <w:top w:val="none" w:sz="0" w:space="0" w:color="auto"/>
              <w:bottom w:val="none" w:sz="0" w:space="0" w:color="auto"/>
            </w:tcBorders>
          </w:tcPr>
          <w:p w14:paraId="0F82897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36" w:type="dxa"/>
            <w:tcBorders>
              <w:top w:val="none" w:sz="0" w:space="0" w:color="auto"/>
              <w:bottom w:val="none" w:sz="0" w:space="0" w:color="auto"/>
            </w:tcBorders>
          </w:tcPr>
          <w:p w14:paraId="1DDF820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one" w:sz="0" w:space="0" w:color="auto"/>
              <w:bottom w:val="none" w:sz="0" w:space="0" w:color="auto"/>
            </w:tcBorders>
          </w:tcPr>
          <w:p w14:paraId="228D09F0"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one" w:sz="0" w:space="0" w:color="auto"/>
            </w:tcBorders>
          </w:tcPr>
          <w:p w14:paraId="17C2EE2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r>
      <w:tr w:rsidR="009F3F4B" w:rsidRPr="0036613A" w14:paraId="26A9C9F7"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6D28F589"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IP discontinuation</w:t>
            </w:r>
          </w:p>
        </w:tc>
        <w:tc>
          <w:tcPr>
            <w:tcW w:w="1725" w:type="dxa"/>
          </w:tcPr>
          <w:p w14:paraId="576075DD"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3 (1.3) 6</w:t>
            </w:r>
          </w:p>
        </w:tc>
        <w:tc>
          <w:tcPr>
            <w:tcW w:w="1736" w:type="dxa"/>
          </w:tcPr>
          <w:p w14:paraId="2A968B1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6C637342"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Pr>
          <w:p w14:paraId="3E498CC2"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0 (0.0) 0</w:t>
            </w:r>
          </w:p>
        </w:tc>
      </w:tr>
      <w:tr w:rsidR="009F3F4B" w:rsidRPr="0036613A" w14:paraId="1709CB6D" w14:textId="77777777" w:rsidTr="007A7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il"/>
            </w:tcBorders>
          </w:tcPr>
          <w:p w14:paraId="5AB5DA40" w14:textId="77777777" w:rsidR="009F3F4B" w:rsidRPr="00A73312" w:rsidRDefault="009F3F4B" w:rsidP="004C79C9">
            <w:pPr>
              <w:rPr>
                <w:b w:val="0"/>
                <w:bCs w:val="0"/>
                <w:sz w:val="21"/>
                <w:szCs w:val="21"/>
                <w:lang w:eastAsia="ja-JP"/>
              </w:rPr>
            </w:pPr>
            <w:r w:rsidRPr="00A73312">
              <w:rPr>
                <w:b w:val="0"/>
                <w:bCs w:val="0"/>
                <w:sz w:val="21"/>
                <w:szCs w:val="21"/>
                <w:lang w:eastAsia="ja-JP"/>
              </w:rPr>
              <w:t>Serious TEAEs</w:t>
            </w:r>
          </w:p>
        </w:tc>
        <w:tc>
          <w:tcPr>
            <w:tcW w:w="1725" w:type="dxa"/>
            <w:tcBorders>
              <w:top w:val="none" w:sz="0" w:space="0" w:color="auto"/>
              <w:bottom w:val="nil"/>
            </w:tcBorders>
          </w:tcPr>
          <w:p w14:paraId="0D82BB1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22 (9.8) 27</w:t>
            </w:r>
          </w:p>
        </w:tc>
        <w:tc>
          <w:tcPr>
            <w:tcW w:w="1736" w:type="dxa"/>
            <w:tcBorders>
              <w:top w:val="none" w:sz="0" w:space="0" w:color="auto"/>
              <w:bottom w:val="nil"/>
            </w:tcBorders>
          </w:tcPr>
          <w:p w14:paraId="6B4F51A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one" w:sz="0" w:space="0" w:color="auto"/>
              <w:bottom w:val="nil"/>
            </w:tcBorders>
          </w:tcPr>
          <w:p w14:paraId="5CFBF1F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il"/>
            </w:tcBorders>
          </w:tcPr>
          <w:p w14:paraId="487DA40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13 (12.5) 13</w:t>
            </w:r>
          </w:p>
        </w:tc>
      </w:tr>
      <w:tr w:rsidR="009F3F4B" w:rsidRPr="0036613A" w14:paraId="00869391" w14:textId="77777777" w:rsidTr="007A7E1E">
        <w:tc>
          <w:tcPr>
            <w:cnfStyle w:val="001000000000" w:firstRow="0" w:lastRow="0" w:firstColumn="1" w:lastColumn="0" w:oddVBand="0" w:evenVBand="0" w:oddHBand="0" w:evenHBand="0" w:firstRowFirstColumn="0" w:firstRowLastColumn="0" w:lastRowFirstColumn="0" w:lastRowLastColumn="0"/>
            <w:tcW w:w="2180" w:type="dxa"/>
            <w:tcBorders>
              <w:top w:val="nil"/>
              <w:bottom w:val="nil"/>
            </w:tcBorders>
          </w:tcPr>
          <w:p w14:paraId="6DCDE13F"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Ocular (study eye)</w:t>
            </w:r>
          </w:p>
        </w:tc>
        <w:tc>
          <w:tcPr>
            <w:tcW w:w="1725" w:type="dxa"/>
            <w:tcBorders>
              <w:top w:val="nil"/>
              <w:bottom w:val="nil"/>
            </w:tcBorders>
          </w:tcPr>
          <w:p w14:paraId="0E472720"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4 (1.8) 4</w:t>
            </w:r>
          </w:p>
        </w:tc>
        <w:tc>
          <w:tcPr>
            <w:tcW w:w="1736" w:type="dxa"/>
            <w:tcBorders>
              <w:top w:val="nil"/>
              <w:bottom w:val="nil"/>
            </w:tcBorders>
          </w:tcPr>
          <w:p w14:paraId="5AB4A634"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bottom w:val="nil"/>
            </w:tcBorders>
          </w:tcPr>
          <w:p w14:paraId="5F58FFD7"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bottom w:val="nil"/>
            </w:tcBorders>
          </w:tcPr>
          <w:p w14:paraId="745BCAF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2 (1.9) 2</w:t>
            </w:r>
          </w:p>
        </w:tc>
      </w:tr>
      <w:tr w:rsidR="009F3F4B" w:rsidRPr="0036613A" w14:paraId="19E939AD" w14:textId="77777777" w:rsidTr="007A7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bottom w:val="none" w:sz="0" w:space="0" w:color="auto"/>
            </w:tcBorders>
          </w:tcPr>
          <w:p w14:paraId="45D7E4BD"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Non-ocular</w:t>
            </w:r>
          </w:p>
        </w:tc>
        <w:tc>
          <w:tcPr>
            <w:tcW w:w="1725" w:type="dxa"/>
            <w:tcBorders>
              <w:top w:val="nil"/>
              <w:bottom w:val="none" w:sz="0" w:space="0" w:color="auto"/>
            </w:tcBorders>
          </w:tcPr>
          <w:p w14:paraId="066EEFF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16 (7.1) 21</w:t>
            </w:r>
          </w:p>
        </w:tc>
        <w:tc>
          <w:tcPr>
            <w:tcW w:w="1736" w:type="dxa"/>
            <w:tcBorders>
              <w:top w:val="nil"/>
              <w:bottom w:val="none" w:sz="0" w:space="0" w:color="auto"/>
            </w:tcBorders>
          </w:tcPr>
          <w:p w14:paraId="68F7C83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bottom w:val="none" w:sz="0" w:space="0" w:color="auto"/>
            </w:tcBorders>
          </w:tcPr>
          <w:p w14:paraId="04C8D3C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bottom w:val="none" w:sz="0" w:space="0" w:color="auto"/>
            </w:tcBorders>
          </w:tcPr>
          <w:p w14:paraId="27704A90"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11 (10.6) 11</w:t>
            </w:r>
          </w:p>
        </w:tc>
      </w:tr>
      <w:tr w:rsidR="009F3F4B" w:rsidRPr="0036613A" w14:paraId="40AD5DB8"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235660A4"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death</w:t>
            </w:r>
          </w:p>
        </w:tc>
        <w:tc>
          <w:tcPr>
            <w:tcW w:w="1725" w:type="dxa"/>
          </w:tcPr>
          <w:p w14:paraId="43C62F4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 (0.4) 1</w:t>
            </w:r>
          </w:p>
        </w:tc>
        <w:tc>
          <w:tcPr>
            <w:tcW w:w="1736" w:type="dxa"/>
          </w:tcPr>
          <w:p w14:paraId="25114789"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22F20CD7"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Pr>
          <w:p w14:paraId="3AE3652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 (1.0) 1</w:t>
            </w:r>
          </w:p>
        </w:tc>
      </w:tr>
      <w:tr w:rsidR="009F3F4B" w:rsidRPr="00A73312" w14:paraId="1F18C99B"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5" w:type="dxa"/>
            <w:gridSpan w:val="5"/>
            <w:tcBorders>
              <w:top w:val="none" w:sz="0" w:space="0" w:color="auto"/>
              <w:bottom w:val="none" w:sz="0" w:space="0" w:color="auto"/>
            </w:tcBorders>
          </w:tcPr>
          <w:p w14:paraId="55F124AC" w14:textId="77777777" w:rsidR="009F3F4B" w:rsidRPr="00A73312" w:rsidRDefault="009F3F4B" w:rsidP="004C79C9">
            <w:pPr>
              <w:ind w:left="720" w:hanging="720"/>
              <w:rPr>
                <w:sz w:val="21"/>
                <w:szCs w:val="21"/>
                <w:lang w:eastAsia="ja-JP"/>
              </w:rPr>
            </w:pPr>
            <w:r w:rsidRPr="00A73312">
              <w:rPr>
                <w:sz w:val="21"/>
                <w:szCs w:val="21"/>
                <w:lang w:eastAsia="ja-JP"/>
              </w:rPr>
              <w:t>Screening and Main period (Safety Set 1)</w:t>
            </w:r>
          </w:p>
        </w:tc>
      </w:tr>
      <w:tr w:rsidR="009F3F4B" w:rsidRPr="0036613A" w14:paraId="25E72017" w14:textId="77777777" w:rsidTr="007A7E1E">
        <w:tc>
          <w:tcPr>
            <w:cnfStyle w:val="001000000000" w:firstRow="0" w:lastRow="0" w:firstColumn="1" w:lastColumn="0" w:oddVBand="0" w:evenVBand="0" w:oddHBand="0" w:evenHBand="0" w:firstRowFirstColumn="0" w:firstRowLastColumn="0" w:lastRowFirstColumn="0" w:lastRowLastColumn="0"/>
            <w:tcW w:w="2180" w:type="dxa"/>
            <w:tcBorders>
              <w:bottom w:val="nil"/>
            </w:tcBorders>
          </w:tcPr>
          <w:p w14:paraId="14FB0119" w14:textId="77777777" w:rsidR="009F3F4B" w:rsidRPr="00A73312" w:rsidRDefault="009F3F4B" w:rsidP="004C79C9">
            <w:pPr>
              <w:rPr>
                <w:b w:val="0"/>
                <w:bCs w:val="0"/>
                <w:sz w:val="21"/>
                <w:szCs w:val="21"/>
                <w:lang w:eastAsia="ja-JP"/>
              </w:rPr>
            </w:pPr>
            <w:r w:rsidRPr="00A73312">
              <w:rPr>
                <w:b w:val="0"/>
                <w:bCs w:val="0"/>
                <w:sz w:val="21"/>
                <w:szCs w:val="21"/>
                <w:lang w:eastAsia="ja-JP"/>
              </w:rPr>
              <w:t>TEAEs</w:t>
            </w:r>
          </w:p>
        </w:tc>
        <w:tc>
          <w:tcPr>
            <w:tcW w:w="1725" w:type="dxa"/>
            <w:tcBorders>
              <w:bottom w:val="nil"/>
            </w:tcBorders>
          </w:tcPr>
          <w:p w14:paraId="7C65E1FD"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108 (48.2) 175</w:t>
            </w:r>
          </w:p>
        </w:tc>
        <w:tc>
          <w:tcPr>
            <w:tcW w:w="1736" w:type="dxa"/>
            <w:tcBorders>
              <w:bottom w:val="nil"/>
            </w:tcBorders>
          </w:tcPr>
          <w:p w14:paraId="6B9B92C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99 (44.2) 193</w:t>
            </w:r>
          </w:p>
        </w:tc>
        <w:tc>
          <w:tcPr>
            <w:tcW w:w="1726" w:type="dxa"/>
            <w:tcBorders>
              <w:bottom w:val="nil"/>
            </w:tcBorders>
          </w:tcPr>
          <w:p w14:paraId="4A5BD841"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bottom w:val="nil"/>
            </w:tcBorders>
          </w:tcPr>
          <w:p w14:paraId="40841359"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72B95DEC" w14:textId="77777777" w:rsidTr="007A7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bottom w:val="none" w:sz="0" w:space="0" w:color="auto"/>
            </w:tcBorders>
          </w:tcPr>
          <w:p w14:paraId="2EC6D545"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Severe</w:t>
            </w:r>
          </w:p>
        </w:tc>
        <w:tc>
          <w:tcPr>
            <w:tcW w:w="1725" w:type="dxa"/>
            <w:tcBorders>
              <w:top w:val="nil"/>
              <w:bottom w:val="none" w:sz="0" w:space="0" w:color="auto"/>
            </w:tcBorders>
          </w:tcPr>
          <w:p w14:paraId="1CF07369"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9 (4.0) 12</w:t>
            </w:r>
          </w:p>
        </w:tc>
        <w:tc>
          <w:tcPr>
            <w:tcW w:w="1736" w:type="dxa"/>
            <w:tcBorders>
              <w:top w:val="nil"/>
              <w:bottom w:val="none" w:sz="0" w:space="0" w:color="auto"/>
            </w:tcBorders>
          </w:tcPr>
          <w:p w14:paraId="4F88579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7 (3.1) 9</w:t>
            </w:r>
          </w:p>
        </w:tc>
        <w:tc>
          <w:tcPr>
            <w:tcW w:w="1726" w:type="dxa"/>
            <w:tcBorders>
              <w:top w:val="nil"/>
              <w:bottom w:val="none" w:sz="0" w:space="0" w:color="auto"/>
            </w:tcBorders>
          </w:tcPr>
          <w:p w14:paraId="3C950A88"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bottom w:val="none" w:sz="0" w:space="0" w:color="auto"/>
            </w:tcBorders>
          </w:tcPr>
          <w:p w14:paraId="3CC1D29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201984A5"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4C5509DD" w14:textId="77777777" w:rsidR="009F3F4B" w:rsidRPr="00A73312" w:rsidRDefault="009F3F4B" w:rsidP="004C79C9">
            <w:pPr>
              <w:rPr>
                <w:b w:val="0"/>
                <w:bCs w:val="0"/>
                <w:sz w:val="21"/>
                <w:szCs w:val="21"/>
                <w:lang w:eastAsia="ja-JP"/>
              </w:rPr>
            </w:pPr>
            <w:r w:rsidRPr="00A73312">
              <w:rPr>
                <w:b w:val="0"/>
                <w:bCs w:val="0"/>
                <w:sz w:val="21"/>
                <w:szCs w:val="21"/>
                <w:lang w:eastAsia="ja-JP"/>
              </w:rPr>
              <w:t>Ocular TEAEs in the study eye</w:t>
            </w:r>
          </w:p>
        </w:tc>
        <w:tc>
          <w:tcPr>
            <w:tcW w:w="1725" w:type="dxa"/>
          </w:tcPr>
          <w:p w14:paraId="7568491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41 (18.3) 46</w:t>
            </w:r>
          </w:p>
        </w:tc>
        <w:tc>
          <w:tcPr>
            <w:tcW w:w="1736" w:type="dxa"/>
          </w:tcPr>
          <w:p w14:paraId="3CC9B19B"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28 (12.5) 33</w:t>
            </w:r>
          </w:p>
        </w:tc>
        <w:tc>
          <w:tcPr>
            <w:tcW w:w="1726" w:type="dxa"/>
          </w:tcPr>
          <w:p w14:paraId="20AF59A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b/>
                <w:bCs/>
                <w:sz w:val="21"/>
                <w:szCs w:val="21"/>
                <w:lang w:eastAsia="ja-JP"/>
              </w:rPr>
            </w:pPr>
            <w:r w:rsidRPr="0036613A">
              <w:rPr>
                <w:sz w:val="21"/>
                <w:szCs w:val="21"/>
                <w:lang w:eastAsia="ja-JP"/>
              </w:rPr>
              <w:t>-</w:t>
            </w:r>
          </w:p>
        </w:tc>
        <w:tc>
          <w:tcPr>
            <w:tcW w:w="1728" w:type="dxa"/>
          </w:tcPr>
          <w:p w14:paraId="020F4D6A"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b/>
                <w:bCs/>
                <w:sz w:val="21"/>
                <w:szCs w:val="21"/>
                <w:lang w:eastAsia="ja-JP"/>
              </w:rPr>
            </w:pPr>
            <w:r w:rsidRPr="0036613A">
              <w:rPr>
                <w:sz w:val="21"/>
                <w:szCs w:val="21"/>
                <w:lang w:eastAsia="ja-JP"/>
              </w:rPr>
              <w:t>-</w:t>
            </w:r>
          </w:p>
        </w:tc>
      </w:tr>
      <w:tr w:rsidR="009F3F4B" w:rsidRPr="0036613A" w14:paraId="451D6FD2"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tcPr>
          <w:p w14:paraId="0E027D12" w14:textId="77777777" w:rsidR="009F3F4B" w:rsidRPr="00F511E5" w:rsidRDefault="009F3F4B" w:rsidP="004C79C9">
            <w:pPr>
              <w:ind w:left="720"/>
              <w:rPr>
                <w:b w:val="0"/>
                <w:bCs w:val="0"/>
                <w:sz w:val="21"/>
                <w:szCs w:val="21"/>
                <w:lang w:eastAsia="ja-JP"/>
              </w:rPr>
            </w:pPr>
            <w:r w:rsidRPr="00F511E5">
              <w:rPr>
                <w:b w:val="0"/>
                <w:bCs w:val="0"/>
                <w:sz w:val="21"/>
                <w:szCs w:val="21"/>
                <w:lang w:eastAsia="ja-JP"/>
              </w:rPr>
              <w:t>Severe</w:t>
            </w:r>
          </w:p>
        </w:tc>
        <w:tc>
          <w:tcPr>
            <w:tcW w:w="1725" w:type="dxa"/>
            <w:tcBorders>
              <w:top w:val="none" w:sz="0" w:space="0" w:color="auto"/>
              <w:bottom w:val="none" w:sz="0" w:space="0" w:color="auto"/>
            </w:tcBorders>
          </w:tcPr>
          <w:p w14:paraId="1084DED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F756A5">
              <w:rPr>
                <w:sz w:val="21"/>
                <w:szCs w:val="21"/>
                <w:lang w:eastAsia="ja-JP"/>
              </w:rPr>
              <w:t>1 (0.4) 1</w:t>
            </w:r>
          </w:p>
        </w:tc>
        <w:tc>
          <w:tcPr>
            <w:tcW w:w="1736" w:type="dxa"/>
            <w:tcBorders>
              <w:top w:val="none" w:sz="0" w:space="0" w:color="auto"/>
              <w:bottom w:val="none" w:sz="0" w:space="0" w:color="auto"/>
            </w:tcBorders>
          </w:tcPr>
          <w:p w14:paraId="546522D6"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F756A5">
              <w:rPr>
                <w:sz w:val="21"/>
                <w:szCs w:val="21"/>
                <w:lang w:eastAsia="ja-JP"/>
              </w:rPr>
              <w:t>0 (0.0) 0</w:t>
            </w:r>
          </w:p>
        </w:tc>
        <w:tc>
          <w:tcPr>
            <w:tcW w:w="1726" w:type="dxa"/>
            <w:tcBorders>
              <w:top w:val="none" w:sz="0" w:space="0" w:color="auto"/>
              <w:bottom w:val="none" w:sz="0" w:space="0" w:color="auto"/>
            </w:tcBorders>
          </w:tcPr>
          <w:p w14:paraId="46F651F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one" w:sz="0" w:space="0" w:color="auto"/>
            </w:tcBorders>
          </w:tcPr>
          <w:p w14:paraId="72B28176"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28B0A627"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1557B11F" w14:textId="77777777" w:rsidR="009F3F4B" w:rsidRDefault="009F3F4B" w:rsidP="004C79C9">
            <w:pPr>
              <w:rPr>
                <w:sz w:val="21"/>
                <w:szCs w:val="21"/>
                <w:lang w:eastAsia="ja-JP"/>
              </w:rPr>
            </w:pPr>
            <w:r w:rsidRPr="00A73312">
              <w:rPr>
                <w:b w:val="0"/>
                <w:bCs w:val="0"/>
                <w:sz w:val="21"/>
                <w:szCs w:val="21"/>
                <w:lang w:eastAsia="ja-JP"/>
              </w:rPr>
              <w:t>Non-ocular TEAEs</w:t>
            </w:r>
          </w:p>
          <w:p w14:paraId="60329FF7" w14:textId="77777777" w:rsidR="009F3F4B" w:rsidRPr="00A73312" w:rsidRDefault="009F3F4B" w:rsidP="004C79C9">
            <w:pPr>
              <w:ind w:left="720"/>
              <w:rPr>
                <w:b w:val="0"/>
                <w:bCs w:val="0"/>
                <w:sz w:val="21"/>
                <w:szCs w:val="21"/>
                <w:lang w:eastAsia="ja-JP"/>
              </w:rPr>
            </w:pPr>
            <w:r>
              <w:rPr>
                <w:b w:val="0"/>
                <w:bCs w:val="0"/>
                <w:sz w:val="21"/>
                <w:szCs w:val="21"/>
                <w:lang w:eastAsia="ja-JP"/>
              </w:rPr>
              <w:t>Severe</w:t>
            </w:r>
          </w:p>
        </w:tc>
        <w:tc>
          <w:tcPr>
            <w:tcW w:w="1725" w:type="dxa"/>
          </w:tcPr>
          <w:p w14:paraId="112FBF4B"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74 (33.0) 110</w:t>
            </w:r>
          </w:p>
          <w:p w14:paraId="6FCA5DAF"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972A12">
              <w:rPr>
                <w:sz w:val="21"/>
                <w:szCs w:val="21"/>
                <w:lang w:eastAsia="ja-JP"/>
              </w:rPr>
              <w:t>8 (3.6) 11</w:t>
            </w:r>
          </w:p>
        </w:tc>
        <w:tc>
          <w:tcPr>
            <w:tcW w:w="1736" w:type="dxa"/>
          </w:tcPr>
          <w:p w14:paraId="417900AE"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68 (30.4) 137</w:t>
            </w:r>
          </w:p>
          <w:p w14:paraId="5A1BE1A9"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972A12">
              <w:rPr>
                <w:sz w:val="21"/>
                <w:szCs w:val="21"/>
                <w:lang w:eastAsia="ja-JP"/>
              </w:rPr>
              <w:t>7 (3.1) 9</w:t>
            </w:r>
          </w:p>
        </w:tc>
        <w:tc>
          <w:tcPr>
            <w:tcW w:w="1726" w:type="dxa"/>
          </w:tcPr>
          <w:p w14:paraId="7AACF10C"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p w14:paraId="57A865B3"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Pr>
                <w:sz w:val="21"/>
                <w:szCs w:val="21"/>
                <w:lang w:eastAsia="ja-JP"/>
              </w:rPr>
              <w:t>-</w:t>
            </w:r>
          </w:p>
        </w:tc>
        <w:tc>
          <w:tcPr>
            <w:tcW w:w="1728" w:type="dxa"/>
          </w:tcPr>
          <w:p w14:paraId="7252661B"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p w14:paraId="5E24111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Pr>
                <w:sz w:val="21"/>
                <w:szCs w:val="21"/>
                <w:lang w:eastAsia="ja-JP"/>
              </w:rPr>
              <w:t>-</w:t>
            </w:r>
          </w:p>
        </w:tc>
      </w:tr>
      <w:tr w:rsidR="009F3F4B" w:rsidRPr="0036613A" w14:paraId="4F26BAAC"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tcPr>
          <w:p w14:paraId="1BE2F73E" w14:textId="77777777" w:rsidR="009F3F4B" w:rsidRPr="00A73312" w:rsidRDefault="009F3F4B" w:rsidP="004C79C9">
            <w:pPr>
              <w:rPr>
                <w:b w:val="0"/>
                <w:bCs w:val="0"/>
                <w:sz w:val="21"/>
                <w:szCs w:val="21"/>
                <w:lang w:eastAsia="ja-JP"/>
              </w:rPr>
            </w:pPr>
            <w:r w:rsidRPr="00A73312">
              <w:rPr>
                <w:b w:val="0"/>
                <w:bCs w:val="0"/>
                <w:sz w:val="21"/>
                <w:szCs w:val="21"/>
                <w:lang w:eastAsia="ja-JP"/>
              </w:rPr>
              <w:t>AESI</w:t>
            </w:r>
          </w:p>
        </w:tc>
        <w:tc>
          <w:tcPr>
            <w:tcW w:w="1725" w:type="dxa"/>
            <w:tcBorders>
              <w:top w:val="none" w:sz="0" w:space="0" w:color="auto"/>
              <w:bottom w:val="none" w:sz="0" w:space="0" w:color="auto"/>
            </w:tcBorders>
          </w:tcPr>
          <w:p w14:paraId="6D33CD8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11 (4.9) 11</w:t>
            </w:r>
          </w:p>
        </w:tc>
        <w:tc>
          <w:tcPr>
            <w:tcW w:w="1736" w:type="dxa"/>
            <w:tcBorders>
              <w:top w:val="none" w:sz="0" w:space="0" w:color="auto"/>
              <w:bottom w:val="none" w:sz="0" w:space="0" w:color="auto"/>
            </w:tcBorders>
          </w:tcPr>
          <w:p w14:paraId="7760A33C"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6 (2.7) 6</w:t>
            </w:r>
          </w:p>
        </w:tc>
        <w:tc>
          <w:tcPr>
            <w:tcW w:w="1726" w:type="dxa"/>
            <w:tcBorders>
              <w:top w:val="none" w:sz="0" w:space="0" w:color="auto"/>
              <w:bottom w:val="none" w:sz="0" w:space="0" w:color="auto"/>
            </w:tcBorders>
          </w:tcPr>
          <w:p w14:paraId="516323EA"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one" w:sz="0" w:space="0" w:color="auto"/>
            </w:tcBorders>
          </w:tcPr>
          <w:p w14:paraId="6365B03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577A1C84"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1BD44043" w14:textId="77777777" w:rsidR="009F3F4B" w:rsidRPr="00A73312" w:rsidRDefault="009F3F4B" w:rsidP="004C79C9">
            <w:pPr>
              <w:rPr>
                <w:b w:val="0"/>
                <w:bCs w:val="0"/>
                <w:sz w:val="21"/>
                <w:szCs w:val="21"/>
                <w:lang w:eastAsia="ja-JP"/>
              </w:rPr>
            </w:pPr>
            <w:r w:rsidRPr="00A73312">
              <w:rPr>
                <w:b w:val="0"/>
                <w:bCs w:val="0"/>
                <w:sz w:val="21"/>
                <w:szCs w:val="21"/>
                <w:lang w:eastAsia="ja-JP"/>
              </w:rPr>
              <w:t>Intraocular Inflammation TEAEs</w:t>
            </w:r>
            <w:r>
              <w:rPr>
                <w:b w:val="0"/>
                <w:bCs w:val="0"/>
                <w:sz w:val="21"/>
                <w:szCs w:val="21"/>
                <w:lang w:eastAsia="ja-JP"/>
              </w:rPr>
              <w:t xml:space="preserve"> (study eye)</w:t>
            </w:r>
          </w:p>
        </w:tc>
        <w:tc>
          <w:tcPr>
            <w:tcW w:w="1725" w:type="dxa"/>
          </w:tcPr>
          <w:p w14:paraId="38B213C5"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0 (0.0) 0</w:t>
            </w:r>
          </w:p>
        </w:tc>
        <w:tc>
          <w:tcPr>
            <w:tcW w:w="1736" w:type="dxa"/>
          </w:tcPr>
          <w:p w14:paraId="22AD46B5"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 (0.4) 1</w:t>
            </w:r>
          </w:p>
        </w:tc>
        <w:tc>
          <w:tcPr>
            <w:tcW w:w="1726" w:type="dxa"/>
          </w:tcPr>
          <w:p w14:paraId="6C7E54EF"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Pr>
          <w:p w14:paraId="458D441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362A82C3"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one" w:sz="0" w:space="0" w:color="auto"/>
              <w:bottom w:val="none" w:sz="0" w:space="0" w:color="auto"/>
            </w:tcBorders>
          </w:tcPr>
          <w:p w14:paraId="02A4DEF4"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IP discontinuation</w:t>
            </w:r>
          </w:p>
        </w:tc>
        <w:tc>
          <w:tcPr>
            <w:tcW w:w="1725" w:type="dxa"/>
            <w:tcBorders>
              <w:top w:val="none" w:sz="0" w:space="0" w:color="auto"/>
              <w:bottom w:val="none" w:sz="0" w:space="0" w:color="auto"/>
            </w:tcBorders>
          </w:tcPr>
          <w:p w14:paraId="0A09F8C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36" w:type="dxa"/>
            <w:tcBorders>
              <w:top w:val="none" w:sz="0" w:space="0" w:color="auto"/>
              <w:bottom w:val="none" w:sz="0" w:space="0" w:color="auto"/>
            </w:tcBorders>
          </w:tcPr>
          <w:p w14:paraId="3B9AB93A"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 (0.4) 1</w:t>
            </w:r>
          </w:p>
        </w:tc>
        <w:tc>
          <w:tcPr>
            <w:tcW w:w="1726" w:type="dxa"/>
            <w:tcBorders>
              <w:top w:val="none" w:sz="0" w:space="0" w:color="auto"/>
              <w:bottom w:val="none" w:sz="0" w:space="0" w:color="auto"/>
            </w:tcBorders>
          </w:tcPr>
          <w:p w14:paraId="39C0ADF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one" w:sz="0" w:space="0" w:color="auto"/>
              <w:bottom w:val="none" w:sz="0" w:space="0" w:color="auto"/>
            </w:tcBorders>
          </w:tcPr>
          <w:p w14:paraId="2FDFC23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034506B6" w14:textId="77777777" w:rsidTr="00B63A5D">
        <w:tc>
          <w:tcPr>
            <w:cnfStyle w:val="001000000000" w:firstRow="0" w:lastRow="0" w:firstColumn="1" w:lastColumn="0" w:oddVBand="0" w:evenVBand="0" w:oddHBand="0" w:evenHBand="0" w:firstRowFirstColumn="0" w:firstRowLastColumn="0" w:lastRowFirstColumn="0" w:lastRowLastColumn="0"/>
            <w:tcW w:w="2180" w:type="dxa"/>
            <w:tcBorders>
              <w:bottom w:val="nil"/>
            </w:tcBorders>
          </w:tcPr>
          <w:p w14:paraId="17E730F5" w14:textId="77777777" w:rsidR="009F3F4B" w:rsidRPr="00A73312" w:rsidRDefault="009F3F4B" w:rsidP="004C79C9">
            <w:pPr>
              <w:rPr>
                <w:b w:val="0"/>
                <w:bCs w:val="0"/>
                <w:sz w:val="21"/>
                <w:szCs w:val="21"/>
                <w:lang w:eastAsia="ja-JP"/>
              </w:rPr>
            </w:pPr>
            <w:r w:rsidRPr="00A73312">
              <w:rPr>
                <w:b w:val="0"/>
                <w:bCs w:val="0"/>
                <w:sz w:val="21"/>
                <w:szCs w:val="21"/>
                <w:lang w:eastAsia="ja-JP"/>
              </w:rPr>
              <w:t>Serious TEAEs</w:t>
            </w:r>
          </w:p>
        </w:tc>
        <w:tc>
          <w:tcPr>
            <w:tcW w:w="1725" w:type="dxa"/>
            <w:tcBorders>
              <w:bottom w:val="nil"/>
            </w:tcBorders>
          </w:tcPr>
          <w:p w14:paraId="1B4DF0B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12 (5.4) 15</w:t>
            </w:r>
          </w:p>
        </w:tc>
        <w:tc>
          <w:tcPr>
            <w:tcW w:w="1736" w:type="dxa"/>
            <w:tcBorders>
              <w:bottom w:val="nil"/>
            </w:tcBorders>
          </w:tcPr>
          <w:p w14:paraId="18192BF3"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15 (6.7) 17</w:t>
            </w:r>
          </w:p>
        </w:tc>
        <w:tc>
          <w:tcPr>
            <w:tcW w:w="1726" w:type="dxa"/>
            <w:tcBorders>
              <w:bottom w:val="nil"/>
            </w:tcBorders>
          </w:tcPr>
          <w:p w14:paraId="18B7BFFA"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bottom w:val="nil"/>
            </w:tcBorders>
          </w:tcPr>
          <w:p w14:paraId="5C4CA439"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114F27C7" w14:textId="77777777" w:rsidTr="00B6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bottom w:val="nil"/>
            </w:tcBorders>
          </w:tcPr>
          <w:p w14:paraId="0A1F2C18"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Ocular (study eye)</w:t>
            </w:r>
          </w:p>
        </w:tc>
        <w:tc>
          <w:tcPr>
            <w:tcW w:w="1725" w:type="dxa"/>
            <w:tcBorders>
              <w:top w:val="nil"/>
              <w:bottom w:val="nil"/>
            </w:tcBorders>
          </w:tcPr>
          <w:p w14:paraId="68EB3C2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3 (1.3) 3</w:t>
            </w:r>
          </w:p>
        </w:tc>
        <w:tc>
          <w:tcPr>
            <w:tcW w:w="1736" w:type="dxa"/>
            <w:tcBorders>
              <w:top w:val="nil"/>
              <w:bottom w:val="nil"/>
            </w:tcBorders>
          </w:tcPr>
          <w:p w14:paraId="236EC3A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 (0.4) 1</w:t>
            </w:r>
          </w:p>
        </w:tc>
        <w:tc>
          <w:tcPr>
            <w:tcW w:w="1726" w:type="dxa"/>
            <w:tcBorders>
              <w:top w:val="nil"/>
              <w:bottom w:val="nil"/>
            </w:tcBorders>
          </w:tcPr>
          <w:p w14:paraId="6B54AA05"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bottom w:val="nil"/>
            </w:tcBorders>
          </w:tcPr>
          <w:p w14:paraId="2A0B5F2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027A97" w:rsidRPr="0036613A" w14:paraId="57F32F6F" w14:textId="77777777" w:rsidTr="00027A97">
        <w:tc>
          <w:tcPr>
            <w:cnfStyle w:val="001000000000" w:firstRow="0" w:lastRow="0" w:firstColumn="1" w:lastColumn="0" w:oddVBand="0" w:evenVBand="0" w:oddHBand="0" w:evenHBand="0" w:firstRowFirstColumn="0" w:firstRowLastColumn="0" w:lastRowFirstColumn="0" w:lastRowLastColumn="0"/>
            <w:tcW w:w="2180" w:type="dxa"/>
            <w:tcBorders>
              <w:top w:val="nil"/>
            </w:tcBorders>
            <w:shd w:val="clear" w:color="auto" w:fill="DEEAF6"/>
          </w:tcPr>
          <w:p w14:paraId="63A28D6C" w14:textId="77777777" w:rsidR="00027A97" w:rsidRPr="00A73312" w:rsidRDefault="00027A97" w:rsidP="00027A97">
            <w:pPr>
              <w:ind w:left="720"/>
              <w:rPr>
                <w:sz w:val="21"/>
                <w:szCs w:val="21"/>
                <w:lang w:eastAsia="ja-JP"/>
              </w:rPr>
            </w:pPr>
          </w:p>
        </w:tc>
        <w:tc>
          <w:tcPr>
            <w:tcW w:w="1725" w:type="dxa"/>
            <w:tcBorders>
              <w:top w:val="nil"/>
            </w:tcBorders>
            <w:shd w:val="clear" w:color="auto" w:fill="DEEAF6"/>
          </w:tcPr>
          <w:p w14:paraId="0B5F6771"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N=224</w:t>
            </w:r>
          </w:p>
          <w:p w14:paraId="6E18522E" w14:textId="661013BE" w:rsidR="00027A97" w:rsidRPr="0036613A" w:rsidRDefault="00027A97" w:rsidP="00027A97">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AB63BF">
              <w:rPr>
                <w:b/>
                <w:bCs/>
                <w:color w:val="263287"/>
                <w:sz w:val="21"/>
                <w:szCs w:val="21"/>
                <w:lang w:eastAsia="ja-JP"/>
              </w:rPr>
              <w:t>n (%) E</w:t>
            </w:r>
          </w:p>
        </w:tc>
        <w:tc>
          <w:tcPr>
            <w:tcW w:w="1736" w:type="dxa"/>
            <w:tcBorders>
              <w:top w:val="nil"/>
            </w:tcBorders>
            <w:shd w:val="clear" w:color="auto" w:fill="DEEAF6"/>
          </w:tcPr>
          <w:p w14:paraId="11D25AFC"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Overall</w:t>
            </w:r>
          </w:p>
          <w:p w14:paraId="4DF92BCB"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N=224</w:t>
            </w:r>
          </w:p>
          <w:p w14:paraId="3615A8C5" w14:textId="6B11F810" w:rsidR="00027A97" w:rsidRPr="0036613A" w:rsidRDefault="00027A97" w:rsidP="00027A97">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AB63BF">
              <w:rPr>
                <w:b/>
                <w:bCs/>
                <w:color w:val="263287"/>
                <w:sz w:val="21"/>
                <w:szCs w:val="21"/>
                <w:lang w:eastAsia="ja-JP"/>
              </w:rPr>
              <w:t>n (%) E</w:t>
            </w:r>
          </w:p>
        </w:tc>
        <w:tc>
          <w:tcPr>
            <w:tcW w:w="1726" w:type="dxa"/>
            <w:tcBorders>
              <w:top w:val="nil"/>
            </w:tcBorders>
            <w:shd w:val="clear" w:color="auto" w:fill="DEEAF6"/>
          </w:tcPr>
          <w:p w14:paraId="2B667E8A"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SB15</w:t>
            </w:r>
          </w:p>
          <w:p w14:paraId="1611505F"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N=111</w:t>
            </w:r>
          </w:p>
          <w:p w14:paraId="77F8635B" w14:textId="314516FE" w:rsidR="00027A97" w:rsidRPr="0036613A" w:rsidRDefault="00027A97" w:rsidP="00027A97">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AB63BF">
              <w:rPr>
                <w:b/>
                <w:bCs/>
                <w:color w:val="263287"/>
                <w:sz w:val="21"/>
                <w:szCs w:val="21"/>
                <w:lang w:eastAsia="ja-JP"/>
              </w:rPr>
              <w:t>n (%) E</w:t>
            </w:r>
          </w:p>
        </w:tc>
        <w:tc>
          <w:tcPr>
            <w:tcW w:w="1728" w:type="dxa"/>
            <w:tcBorders>
              <w:top w:val="nil"/>
            </w:tcBorders>
            <w:shd w:val="clear" w:color="auto" w:fill="DEEAF6"/>
          </w:tcPr>
          <w:p w14:paraId="428FD6E1"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Eylea</w:t>
            </w:r>
          </w:p>
          <w:p w14:paraId="23334FF4" w14:textId="77777777" w:rsidR="00027A97" w:rsidRPr="00AB63BF" w:rsidRDefault="00027A97" w:rsidP="00027A97">
            <w:pPr>
              <w:jc w:val="center"/>
              <w:cnfStyle w:val="000000000000" w:firstRow="0" w:lastRow="0" w:firstColumn="0" w:lastColumn="0" w:oddVBand="0" w:evenVBand="0" w:oddHBand="0" w:evenHBand="0" w:firstRowFirstColumn="0" w:firstRowLastColumn="0" w:lastRowFirstColumn="0" w:lastRowLastColumn="0"/>
              <w:rPr>
                <w:b/>
                <w:bCs/>
                <w:color w:val="263287"/>
                <w:sz w:val="21"/>
                <w:szCs w:val="21"/>
                <w:lang w:eastAsia="ja-JP"/>
              </w:rPr>
            </w:pPr>
            <w:r w:rsidRPr="00AB63BF">
              <w:rPr>
                <w:b/>
                <w:bCs/>
                <w:color w:val="263287"/>
                <w:sz w:val="21"/>
                <w:szCs w:val="21"/>
                <w:lang w:eastAsia="ja-JP"/>
              </w:rPr>
              <w:t>N=104</w:t>
            </w:r>
          </w:p>
          <w:p w14:paraId="0F089971" w14:textId="028F11CB" w:rsidR="00027A97" w:rsidRPr="0036613A" w:rsidRDefault="00027A97" w:rsidP="00027A97">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AB63BF">
              <w:rPr>
                <w:b/>
                <w:bCs/>
                <w:color w:val="263287"/>
                <w:sz w:val="21"/>
                <w:szCs w:val="21"/>
                <w:lang w:eastAsia="ja-JP"/>
              </w:rPr>
              <w:t>n (%) E</w:t>
            </w:r>
          </w:p>
        </w:tc>
      </w:tr>
      <w:tr w:rsidR="009F3F4B" w:rsidRPr="0036613A" w14:paraId="4831CA08" w14:textId="77777777" w:rsidTr="00B6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24B5BC62"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Non-ocular</w:t>
            </w:r>
          </w:p>
        </w:tc>
        <w:tc>
          <w:tcPr>
            <w:tcW w:w="1725" w:type="dxa"/>
            <w:tcBorders>
              <w:top w:val="nil"/>
            </w:tcBorders>
          </w:tcPr>
          <w:p w14:paraId="6B08D33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8 (3.6) 11</w:t>
            </w:r>
          </w:p>
        </w:tc>
        <w:tc>
          <w:tcPr>
            <w:tcW w:w="1736" w:type="dxa"/>
            <w:tcBorders>
              <w:top w:val="nil"/>
            </w:tcBorders>
          </w:tcPr>
          <w:p w14:paraId="4C9AE59A"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14 (6.3) 16</w:t>
            </w:r>
          </w:p>
        </w:tc>
        <w:tc>
          <w:tcPr>
            <w:tcW w:w="1726" w:type="dxa"/>
            <w:tcBorders>
              <w:top w:val="nil"/>
            </w:tcBorders>
          </w:tcPr>
          <w:p w14:paraId="6D6726E0"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8" w:type="dxa"/>
            <w:tcBorders>
              <w:top w:val="nil"/>
            </w:tcBorders>
          </w:tcPr>
          <w:p w14:paraId="294B48BA"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r>
      <w:tr w:rsidR="009F3F4B" w:rsidRPr="0036613A" w14:paraId="061A2B50"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3920732B"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death</w:t>
            </w:r>
          </w:p>
        </w:tc>
        <w:tc>
          <w:tcPr>
            <w:tcW w:w="1725" w:type="dxa"/>
          </w:tcPr>
          <w:p w14:paraId="2CEEFF6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0 (0.0) 0</w:t>
            </w:r>
          </w:p>
        </w:tc>
        <w:tc>
          <w:tcPr>
            <w:tcW w:w="1736" w:type="dxa"/>
          </w:tcPr>
          <w:p w14:paraId="67C9EB63"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1 (0.4) 1</w:t>
            </w:r>
          </w:p>
        </w:tc>
        <w:tc>
          <w:tcPr>
            <w:tcW w:w="1726" w:type="dxa"/>
          </w:tcPr>
          <w:p w14:paraId="4858194B"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8" w:type="dxa"/>
          </w:tcPr>
          <w:p w14:paraId="76CF3466"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r>
      <w:tr w:rsidR="009F3F4B" w:rsidRPr="00A73312" w14:paraId="4EE5EE68"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5" w:type="dxa"/>
            <w:gridSpan w:val="5"/>
          </w:tcPr>
          <w:p w14:paraId="34FC5216" w14:textId="77777777" w:rsidR="009F3F4B" w:rsidRPr="00A73312" w:rsidRDefault="009F3F4B" w:rsidP="004C79C9">
            <w:pPr>
              <w:rPr>
                <w:sz w:val="21"/>
                <w:szCs w:val="21"/>
                <w:lang w:eastAsia="ja-JP"/>
              </w:rPr>
            </w:pPr>
            <w:r w:rsidRPr="00A73312">
              <w:rPr>
                <w:sz w:val="21"/>
                <w:szCs w:val="21"/>
                <w:lang w:eastAsia="ja-JP"/>
              </w:rPr>
              <w:t>Transition period (Safety Set 2)</w:t>
            </w:r>
          </w:p>
        </w:tc>
      </w:tr>
      <w:tr w:rsidR="009F3F4B" w:rsidRPr="0036613A" w14:paraId="548C8AF2" w14:textId="77777777" w:rsidTr="00F77ECF">
        <w:tc>
          <w:tcPr>
            <w:cnfStyle w:val="001000000000" w:firstRow="0" w:lastRow="0" w:firstColumn="1" w:lastColumn="0" w:oddVBand="0" w:evenVBand="0" w:oddHBand="0" w:evenHBand="0" w:firstRowFirstColumn="0" w:firstRowLastColumn="0" w:lastRowFirstColumn="0" w:lastRowLastColumn="0"/>
            <w:tcW w:w="2180" w:type="dxa"/>
            <w:tcBorders>
              <w:bottom w:val="nil"/>
            </w:tcBorders>
          </w:tcPr>
          <w:p w14:paraId="65F7F282" w14:textId="77777777" w:rsidR="009F3F4B" w:rsidRPr="00A73312" w:rsidRDefault="009F3F4B" w:rsidP="004C79C9">
            <w:pPr>
              <w:rPr>
                <w:b w:val="0"/>
                <w:bCs w:val="0"/>
                <w:sz w:val="21"/>
                <w:szCs w:val="21"/>
                <w:lang w:eastAsia="ja-JP"/>
              </w:rPr>
            </w:pPr>
            <w:r w:rsidRPr="00A73312">
              <w:rPr>
                <w:b w:val="0"/>
                <w:bCs w:val="0"/>
                <w:sz w:val="21"/>
                <w:szCs w:val="21"/>
                <w:lang w:eastAsia="ja-JP"/>
              </w:rPr>
              <w:t>TEAEs</w:t>
            </w:r>
          </w:p>
        </w:tc>
        <w:tc>
          <w:tcPr>
            <w:tcW w:w="1725" w:type="dxa"/>
            <w:tcBorders>
              <w:bottom w:val="nil"/>
            </w:tcBorders>
          </w:tcPr>
          <w:p w14:paraId="741F4030"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36" w:type="dxa"/>
            <w:tcBorders>
              <w:bottom w:val="nil"/>
            </w:tcBorders>
          </w:tcPr>
          <w:p w14:paraId="6DEE5EE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bottom w:val="nil"/>
            </w:tcBorders>
          </w:tcPr>
          <w:p w14:paraId="6CBBD2A7"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39 (35.1) 94</w:t>
            </w:r>
          </w:p>
        </w:tc>
        <w:tc>
          <w:tcPr>
            <w:tcW w:w="1728" w:type="dxa"/>
            <w:tcBorders>
              <w:bottom w:val="nil"/>
            </w:tcBorders>
          </w:tcPr>
          <w:p w14:paraId="7C8D51EA"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31 (29.8) 48</w:t>
            </w:r>
          </w:p>
        </w:tc>
      </w:tr>
      <w:tr w:rsidR="009F3F4B" w:rsidRPr="0036613A" w14:paraId="3258D86D" w14:textId="77777777" w:rsidTr="00F7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2EBB5961"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Severe</w:t>
            </w:r>
          </w:p>
        </w:tc>
        <w:tc>
          <w:tcPr>
            <w:tcW w:w="1725" w:type="dxa"/>
            <w:tcBorders>
              <w:top w:val="nil"/>
            </w:tcBorders>
          </w:tcPr>
          <w:p w14:paraId="6460B48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36" w:type="dxa"/>
            <w:tcBorders>
              <w:top w:val="nil"/>
            </w:tcBorders>
          </w:tcPr>
          <w:p w14:paraId="6CFB8F03"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tcBorders>
          </w:tcPr>
          <w:p w14:paraId="09AA67B8"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4 (3.6) 7</w:t>
            </w:r>
          </w:p>
        </w:tc>
        <w:tc>
          <w:tcPr>
            <w:tcW w:w="1728" w:type="dxa"/>
            <w:tcBorders>
              <w:top w:val="nil"/>
            </w:tcBorders>
          </w:tcPr>
          <w:p w14:paraId="6959BA9C"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5 (4.8) 5</w:t>
            </w:r>
          </w:p>
        </w:tc>
      </w:tr>
      <w:tr w:rsidR="009F3F4B" w:rsidRPr="0036613A" w14:paraId="52A18956" w14:textId="77777777" w:rsidTr="00F77ECF">
        <w:tc>
          <w:tcPr>
            <w:cnfStyle w:val="001000000000" w:firstRow="0" w:lastRow="0" w:firstColumn="1" w:lastColumn="0" w:oddVBand="0" w:evenVBand="0" w:oddHBand="0" w:evenHBand="0" w:firstRowFirstColumn="0" w:firstRowLastColumn="0" w:lastRowFirstColumn="0" w:lastRowLastColumn="0"/>
            <w:tcW w:w="2180" w:type="dxa"/>
            <w:tcBorders>
              <w:bottom w:val="nil"/>
            </w:tcBorders>
          </w:tcPr>
          <w:p w14:paraId="15739AB4" w14:textId="77777777" w:rsidR="009F3F4B" w:rsidRPr="00A73312" w:rsidRDefault="009F3F4B" w:rsidP="004C79C9">
            <w:pPr>
              <w:rPr>
                <w:b w:val="0"/>
                <w:bCs w:val="0"/>
                <w:sz w:val="21"/>
                <w:szCs w:val="21"/>
                <w:lang w:eastAsia="ja-JP"/>
              </w:rPr>
            </w:pPr>
            <w:r w:rsidRPr="00A73312">
              <w:rPr>
                <w:b w:val="0"/>
                <w:bCs w:val="0"/>
                <w:sz w:val="21"/>
                <w:szCs w:val="21"/>
                <w:lang w:eastAsia="ja-JP"/>
              </w:rPr>
              <w:t>Ocular TEAEs in the study eye</w:t>
            </w:r>
          </w:p>
        </w:tc>
        <w:tc>
          <w:tcPr>
            <w:tcW w:w="1725" w:type="dxa"/>
            <w:tcBorders>
              <w:bottom w:val="nil"/>
            </w:tcBorders>
          </w:tcPr>
          <w:p w14:paraId="0F029B59"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36" w:type="dxa"/>
            <w:tcBorders>
              <w:bottom w:val="nil"/>
            </w:tcBorders>
          </w:tcPr>
          <w:p w14:paraId="720E6265"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bottom w:val="nil"/>
            </w:tcBorders>
          </w:tcPr>
          <w:p w14:paraId="2CE1BE52" w14:textId="77777777" w:rsidR="009F3F4B" w:rsidRPr="00053630"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053630">
              <w:rPr>
                <w:sz w:val="21"/>
                <w:szCs w:val="21"/>
                <w:lang w:eastAsia="ja-JP"/>
              </w:rPr>
              <w:t>12 (10.8) 14</w:t>
            </w:r>
          </w:p>
        </w:tc>
        <w:tc>
          <w:tcPr>
            <w:tcW w:w="1728" w:type="dxa"/>
            <w:tcBorders>
              <w:bottom w:val="nil"/>
            </w:tcBorders>
          </w:tcPr>
          <w:p w14:paraId="6B4F0C8E" w14:textId="77777777" w:rsidR="009F3F4B" w:rsidRPr="00053630"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053630">
              <w:rPr>
                <w:sz w:val="21"/>
                <w:szCs w:val="21"/>
                <w:lang w:eastAsia="ja-JP"/>
              </w:rPr>
              <w:t>3 (2.9) 5</w:t>
            </w:r>
          </w:p>
        </w:tc>
      </w:tr>
      <w:tr w:rsidR="009F3F4B" w:rsidRPr="0036613A" w14:paraId="7BD1CD43" w14:textId="77777777" w:rsidTr="00F7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1A1E9BDC" w14:textId="77777777" w:rsidR="009F3F4B" w:rsidRPr="00D02B95" w:rsidRDefault="009F3F4B" w:rsidP="004C79C9">
            <w:pPr>
              <w:ind w:left="720"/>
              <w:rPr>
                <w:b w:val="0"/>
                <w:bCs w:val="0"/>
                <w:sz w:val="21"/>
                <w:szCs w:val="21"/>
                <w:lang w:eastAsia="ja-JP"/>
              </w:rPr>
            </w:pPr>
            <w:r w:rsidRPr="00D02B95">
              <w:rPr>
                <w:b w:val="0"/>
                <w:bCs w:val="0"/>
                <w:sz w:val="21"/>
                <w:szCs w:val="21"/>
                <w:lang w:eastAsia="ja-JP"/>
              </w:rPr>
              <w:t>Severe</w:t>
            </w:r>
          </w:p>
        </w:tc>
        <w:tc>
          <w:tcPr>
            <w:tcW w:w="1725" w:type="dxa"/>
            <w:tcBorders>
              <w:top w:val="nil"/>
            </w:tcBorders>
          </w:tcPr>
          <w:p w14:paraId="234E04D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Pr>
                <w:sz w:val="21"/>
                <w:szCs w:val="21"/>
                <w:lang w:eastAsia="ja-JP"/>
              </w:rPr>
              <w:t>-</w:t>
            </w:r>
          </w:p>
        </w:tc>
        <w:tc>
          <w:tcPr>
            <w:tcW w:w="1736" w:type="dxa"/>
            <w:tcBorders>
              <w:top w:val="nil"/>
            </w:tcBorders>
          </w:tcPr>
          <w:p w14:paraId="031B7AC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Pr>
                <w:sz w:val="21"/>
                <w:szCs w:val="21"/>
                <w:lang w:eastAsia="ja-JP"/>
              </w:rPr>
              <w:t>-</w:t>
            </w:r>
          </w:p>
        </w:tc>
        <w:tc>
          <w:tcPr>
            <w:tcW w:w="1726" w:type="dxa"/>
            <w:tcBorders>
              <w:top w:val="nil"/>
            </w:tcBorders>
          </w:tcPr>
          <w:p w14:paraId="5040F3C3"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2924B4">
              <w:rPr>
                <w:sz w:val="21"/>
                <w:szCs w:val="21"/>
                <w:lang w:eastAsia="ja-JP"/>
              </w:rPr>
              <w:t>0 (0.0) 0</w:t>
            </w:r>
          </w:p>
        </w:tc>
        <w:tc>
          <w:tcPr>
            <w:tcW w:w="1728" w:type="dxa"/>
            <w:tcBorders>
              <w:top w:val="nil"/>
            </w:tcBorders>
          </w:tcPr>
          <w:p w14:paraId="66D45BC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2924B4">
              <w:rPr>
                <w:sz w:val="21"/>
                <w:szCs w:val="21"/>
                <w:lang w:eastAsia="ja-JP"/>
              </w:rPr>
              <w:t>1 (1.0) 1</w:t>
            </w:r>
          </w:p>
        </w:tc>
      </w:tr>
      <w:tr w:rsidR="009F3F4B" w:rsidRPr="0036613A" w14:paraId="5615442C"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3ABC79BA" w14:textId="77777777" w:rsidR="009F3F4B" w:rsidRDefault="009F3F4B" w:rsidP="004C79C9">
            <w:pPr>
              <w:rPr>
                <w:sz w:val="21"/>
                <w:szCs w:val="21"/>
                <w:lang w:eastAsia="ja-JP"/>
              </w:rPr>
            </w:pPr>
            <w:r w:rsidRPr="00A73312">
              <w:rPr>
                <w:b w:val="0"/>
                <w:bCs w:val="0"/>
                <w:sz w:val="21"/>
                <w:szCs w:val="21"/>
                <w:lang w:eastAsia="ja-JP"/>
              </w:rPr>
              <w:t>Non-ocular TEAEs</w:t>
            </w:r>
          </w:p>
          <w:p w14:paraId="6B96AE1B" w14:textId="77777777" w:rsidR="009F3F4B" w:rsidRPr="00A73312" w:rsidRDefault="009F3F4B" w:rsidP="004C79C9">
            <w:pPr>
              <w:ind w:left="720"/>
              <w:rPr>
                <w:b w:val="0"/>
                <w:bCs w:val="0"/>
                <w:sz w:val="21"/>
                <w:szCs w:val="21"/>
                <w:lang w:eastAsia="ja-JP"/>
              </w:rPr>
            </w:pPr>
            <w:r>
              <w:rPr>
                <w:b w:val="0"/>
                <w:bCs w:val="0"/>
                <w:sz w:val="21"/>
                <w:szCs w:val="21"/>
                <w:lang w:eastAsia="ja-JP"/>
              </w:rPr>
              <w:t>Severe</w:t>
            </w:r>
          </w:p>
        </w:tc>
        <w:tc>
          <w:tcPr>
            <w:tcW w:w="1725" w:type="dxa"/>
          </w:tcPr>
          <w:p w14:paraId="0EA24456"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p w14:paraId="02245AE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Pr>
                <w:sz w:val="21"/>
                <w:szCs w:val="21"/>
                <w:lang w:eastAsia="ja-JP"/>
              </w:rPr>
              <w:t>-</w:t>
            </w:r>
          </w:p>
        </w:tc>
        <w:tc>
          <w:tcPr>
            <w:tcW w:w="1736" w:type="dxa"/>
          </w:tcPr>
          <w:p w14:paraId="47C02A95"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p w14:paraId="322E67BB"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Pr>
                <w:sz w:val="21"/>
                <w:szCs w:val="21"/>
                <w:lang w:eastAsia="ja-JP"/>
              </w:rPr>
              <w:t>-</w:t>
            </w:r>
          </w:p>
        </w:tc>
        <w:tc>
          <w:tcPr>
            <w:tcW w:w="1726" w:type="dxa"/>
          </w:tcPr>
          <w:p w14:paraId="394E33FF"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25 (22.5) 62</w:t>
            </w:r>
          </w:p>
          <w:p w14:paraId="082D86E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6800C0">
              <w:rPr>
                <w:sz w:val="21"/>
                <w:szCs w:val="21"/>
                <w:lang w:eastAsia="ja-JP"/>
              </w:rPr>
              <w:t>3 (2.7) 6</w:t>
            </w:r>
          </w:p>
        </w:tc>
        <w:tc>
          <w:tcPr>
            <w:tcW w:w="1728" w:type="dxa"/>
          </w:tcPr>
          <w:p w14:paraId="559DB192" w14:textId="77777777" w:rsidR="009F3F4B"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24 (23.1) 39</w:t>
            </w:r>
          </w:p>
          <w:p w14:paraId="1DB223D4"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6800C0">
              <w:rPr>
                <w:sz w:val="21"/>
                <w:szCs w:val="21"/>
                <w:lang w:eastAsia="ja-JP"/>
              </w:rPr>
              <w:t>4 (3.8) 4</w:t>
            </w:r>
          </w:p>
        </w:tc>
      </w:tr>
      <w:tr w:rsidR="009F3F4B" w:rsidRPr="0036613A" w14:paraId="1150362F"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08E522C1" w14:textId="77777777" w:rsidR="009F3F4B" w:rsidRPr="00A73312" w:rsidRDefault="009F3F4B" w:rsidP="004C79C9">
            <w:pPr>
              <w:rPr>
                <w:b w:val="0"/>
                <w:bCs w:val="0"/>
                <w:sz w:val="21"/>
                <w:szCs w:val="21"/>
                <w:lang w:eastAsia="ja-JP"/>
              </w:rPr>
            </w:pPr>
            <w:r w:rsidRPr="00A73312">
              <w:rPr>
                <w:b w:val="0"/>
                <w:bCs w:val="0"/>
                <w:sz w:val="21"/>
                <w:szCs w:val="21"/>
                <w:lang w:eastAsia="ja-JP"/>
              </w:rPr>
              <w:t>AESI</w:t>
            </w:r>
          </w:p>
        </w:tc>
        <w:tc>
          <w:tcPr>
            <w:tcW w:w="1725" w:type="dxa"/>
          </w:tcPr>
          <w:p w14:paraId="597306A0"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36" w:type="dxa"/>
          </w:tcPr>
          <w:p w14:paraId="2CD2110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11E3F869"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28" w:type="dxa"/>
          </w:tcPr>
          <w:p w14:paraId="71BD96D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3 (2.9) 3</w:t>
            </w:r>
          </w:p>
        </w:tc>
      </w:tr>
      <w:tr w:rsidR="009F3F4B" w:rsidRPr="0036613A" w14:paraId="2DF12AA3"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4D3B6398" w14:textId="77777777" w:rsidR="009F3F4B" w:rsidRPr="00A73312" w:rsidRDefault="009F3F4B" w:rsidP="004C79C9">
            <w:pPr>
              <w:rPr>
                <w:b w:val="0"/>
                <w:bCs w:val="0"/>
                <w:sz w:val="21"/>
                <w:szCs w:val="21"/>
                <w:lang w:eastAsia="ja-JP"/>
              </w:rPr>
            </w:pPr>
            <w:r w:rsidRPr="00A73312">
              <w:rPr>
                <w:b w:val="0"/>
                <w:bCs w:val="0"/>
                <w:sz w:val="21"/>
                <w:szCs w:val="21"/>
                <w:lang w:eastAsia="ja-JP"/>
              </w:rPr>
              <w:t>Intraocular Inflammation TEAEs</w:t>
            </w:r>
            <w:r>
              <w:rPr>
                <w:b w:val="0"/>
                <w:bCs w:val="0"/>
                <w:sz w:val="21"/>
                <w:szCs w:val="21"/>
                <w:lang w:eastAsia="ja-JP"/>
              </w:rPr>
              <w:t xml:space="preserve"> (study eye)</w:t>
            </w:r>
          </w:p>
        </w:tc>
        <w:tc>
          <w:tcPr>
            <w:tcW w:w="1725" w:type="dxa"/>
          </w:tcPr>
          <w:p w14:paraId="7A6892B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36" w:type="dxa"/>
          </w:tcPr>
          <w:p w14:paraId="18D2324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52E0A57D"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0 (0.0) 0</w:t>
            </w:r>
          </w:p>
        </w:tc>
        <w:tc>
          <w:tcPr>
            <w:tcW w:w="1728" w:type="dxa"/>
          </w:tcPr>
          <w:p w14:paraId="0F398D5F"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 xml:space="preserve"> (0.0) 0</w:t>
            </w:r>
          </w:p>
        </w:tc>
      </w:tr>
      <w:tr w:rsidR="009F3F4B" w:rsidRPr="0036613A" w14:paraId="7173F021"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17FD80BD"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IP discontinuation</w:t>
            </w:r>
          </w:p>
        </w:tc>
        <w:tc>
          <w:tcPr>
            <w:tcW w:w="1725" w:type="dxa"/>
          </w:tcPr>
          <w:p w14:paraId="73409E1C"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36" w:type="dxa"/>
          </w:tcPr>
          <w:p w14:paraId="10FE950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11A71285"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28" w:type="dxa"/>
          </w:tcPr>
          <w:p w14:paraId="517E32E9"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r>
      <w:tr w:rsidR="009F3F4B" w:rsidRPr="0036613A" w14:paraId="3C1E95C1" w14:textId="77777777" w:rsidTr="00EF6B9A">
        <w:tc>
          <w:tcPr>
            <w:cnfStyle w:val="001000000000" w:firstRow="0" w:lastRow="0" w:firstColumn="1" w:lastColumn="0" w:oddVBand="0" w:evenVBand="0" w:oddHBand="0" w:evenHBand="0" w:firstRowFirstColumn="0" w:firstRowLastColumn="0" w:lastRowFirstColumn="0" w:lastRowLastColumn="0"/>
            <w:tcW w:w="2180" w:type="dxa"/>
          </w:tcPr>
          <w:p w14:paraId="07D019E1" w14:textId="77777777" w:rsidR="009F3F4B" w:rsidRPr="00A73312" w:rsidRDefault="009F3F4B" w:rsidP="004C79C9">
            <w:pPr>
              <w:rPr>
                <w:b w:val="0"/>
                <w:bCs w:val="0"/>
                <w:sz w:val="21"/>
                <w:szCs w:val="21"/>
                <w:lang w:eastAsia="ja-JP"/>
              </w:rPr>
            </w:pPr>
            <w:r w:rsidRPr="00A73312">
              <w:rPr>
                <w:b w:val="0"/>
                <w:bCs w:val="0"/>
                <w:sz w:val="21"/>
                <w:szCs w:val="21"/>
                <w:lang w:eastAsia="ja-JP"/>
              </w:rPr>
              <w:t>Serious TEAEs</w:t>
            </w:r>
          </w:p>
        </w:tc>
        <w:tc>
          <w:tcPr>
            <w:tcW w:w="1725" w:type="dxa"/>
          </w:tcPr>
          <w:p w14:paraId="557D71D4"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36" w:type="dxa"/>
          </w:tcPr>
          <w:p w14:paraId="4884A87C"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2440680D"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6 (5.4) 10</w:t>
            </w:r>
          </w:p>
        </w:tc>
        <w:tc>
          <w:tcPr>
            <w:tcW w:w="1728" w:type="dxa"/>
          </w:tcPr>
          <w:p w14:paraId="55E48DBE"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6 (5.8) 6</w:t>
            </w:r>
          </w:p>
        </w:tc>
      </w:tr>
      <w:tr w:rsidR="009F3F4B" w:rsidRPr="0036613A" w14:paraId="1C42A56C" w14:textId="77777777" w:rsidTr="0068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bottom w:val="nil"/>
            </w:tcBorders>
          </w:tcPr>
          <w:p w14:paraId="7C63DDE2"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Ocular (study eye)</w:t>
            </w:r>
          </w:p>
        </w:tc>
        <w:tc>
          <w:tcPr>
            <w:tcW w:w="1725" w:type="dxa"/>
            <w:tcBorders>
              <w:bottom w:val="nil"/>
            </w:tcBorders>
          </w:tcPr>
          <w:p w14:paraId="1E441FF7"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36" w:type="dxa"/>
            <w:tcBorders>
              <w:bottom w:val="nil"/>
            </w:tcBorders>
          </w:tcPr>
          <w:p w14:paraId="368AF9C2"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bottom w:val="nil"/>
            </w:tcBorders>
          </w:tcPr>
          <w:p w14:paraId="0C9C55B5"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28" w:type="dxa"/>
            <w:tcBorders>
              <w:bottom w:val="nil"/>
            </w:tcBorders>
          </w:tcPr>
          <w:p w14:paraId="6490A624"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 (1.0) 1</w:t>
            </w:r>
          </w:p>
        </w:tc>
      </w:tr>
      <w:tr w:rsidR="009F3F4B" w:rsidRPr="0036613A" w14:paraId="326A2DB4" w14:textId="77777777" w:rsidTr="00686AEB">
        <w:tc>
          <w:tcPr>
            <w:cnfStyle w:val="001000000000" w:firstRow="0" w:lastRow="0" w:firstColumn="1" w:lastColumn="0" w:oddVBand="0" w:evenVBand="0" w:oddHBand="0" w:evenHBand="0" w:firstRowFirstColumn="0" w:firstRowLastColumn="0" w:lastRowFirstColumn="0" w:lastRowLastColumn="0"/>
            <w:tcW w:w="2180" w:type="dxa"/>
            <w:tcBorders>
              <w:top w:val="nil"/>
            </w:tcBorders>
          </w:tcPr>
          <w:p w14:paraId="43D0DAC1" w14:textId="77777777" w:rsidR="009F3F4B" w:rsidRPr="00A73312" w:rsidRDefault="009F3F4B" w:rsidP="004C79C9">
            <w:pPr>
              <w:ind w:left="720"/>
              <w:rPr>
                <w:b w:val="0"/>
                <w:bCs w:val="0"/>
                <w:sz w:val="21"/>
                <w:szCs w:val="21"/>
                <w:lang w:eastAsia="ja-JP"/>
              </w:rPr>
            </w:pPr>
            <w:r w:rsidRPr="00A73312">
              <w:rPr>
                <w:b w:val="0"/>
                <w:bCs w:val="0"/>
                <w:sz w:val="21"/>
                <w:szCs w:val="21"/>
                <w:lang w:eastAsia="ja-JP"/>
              </w:rPr>
              <w:t>Non-ocular</w:t>
            </w:r>
          </w:p>
        </w:tc>
        <w:tc>
          <w:tcPr>
            <w:tcW w:w="1725" w:type="dxa"/>
            <w:tcBorders>
              <w:top w:val="nil"/>
            </w:tcBorders>
          </w:tcPr>
          <w:p w14:paraId="3E64F2A2"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36" w:type="dxa"/>
            <w:tcBorders>
              <w:top w:val="nil"/>
            </w:tcBorders>
          </w:tcPr>
          <w:p w14:paraId="41BD067F"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w:t>
            </w:r>
          </w:p>
        </w:tc>
        <w:tc>
          <w:tcPr>
            <w:tcW w:w="1726" w:type="dxa"/>
            <w:tcBorders>
              <w:top w:val="nil"/>
            </w:tcBorders>
          </w:tcPr>
          <w:p w14:paraId="0BAF013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6 (5.4) 9</w:t>
            </w:r>
          </w:p>
        </w:tc>
        <w:tc>
          <w:tcPr>
            <w:tcW w:w="1728" w:type="dxa"/>
            <w:tcBorders>
              <w:top w:val="nil"/>
            </w:tcBorders>
          </w:tcPr>
          <w:p w14:paraId="53CE74F8" w14:textId="77777777" w:rsidR="009F3F4B" w:rsidRPr="0036613A" w:rsidRDefault="009F3F4B" w:rsidP="004C79C9">
            <w:pPr>
              <w:jc w:val="center"/>
              <w:cnfStyle w:val="000000000000" w:firstRow="0" w:lastRow="0" w:firstColumn="0" w:lastColumn="0" w:oddVBand="0" w:evenVBand="0" w:oddHBand="0" w:evenHBand="0" w:firstRowFirstColumn="0" w:firstRowLastColumn="0" w:lastRowFirstColumn="0" w:lastRowLastColumn="0"/>
              <w:rPr>
                <w:sz w:val="21"/>
                <w:szCs w:val="21"/>
                <w:lang w:eastAsia="ja-JP"/>
              </w:rPr>
            </w:pPr>
            <w:r w:rsidRPr="0036613A">
              <w:rPr>
                <w:sz w:val="21"/>
                <w:szCs w:val="21"/>
                <w:lang w:eastAsia="ja-JP"/>
              </w:rPr>
              <w:t>5 (4.8) 5</w:t>
            </w:r>
          </w:p>
        </w:tc>
      </w:tr>
      <w:tr w:rsidR="009F3F4B" w:rsidRPr="0036613A" w14:paraId="7F52545E" w14:textId="77777777" w:rsidTr="00EF6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2E68238A" w14:textId="77777777" w:rsidR="009F3F4B" w:rsidRPr="00A73312" w:rsidRDefault="009F3F4B" w:rsidP="004C79C9">
            <w:pPr>
              <w:rPr>
                <w:b w:val="0"/>
                <w:bCs w:val="0"/>
                <w:sz w:val="21"/>
                <w:szCs w:val="21"/>
                <w:lang w:eastAsia="ja-JP"/>
              </w:rPr>
            </w:pPr>
            <w:r w:rsidRPr="00A73312">
              <w:rPr>
                <w:b w:val="0"/>
                <w:bCs w:val="0"/>
                <w:sz w:val="21"/>
                <w:szCs w:val="21"/>
                <w:lang w:eastAsia="ja-JP"/>
              </w:rPr>
              <w:t>TEAEs leading to death</w:t>
            </w:r>
          </w:p>
        </w:tc>
        <w:tc>
          <w:tcPr>
            <w:tcW w:w="1725" w:type="dxa"/>
          </w:tcPr>
          <w:p w14:paraId="6C28341B"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36" w:type="dxa"/>
          </w:tcPr>
          <w:p w14:paraId="5D63DAE1"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w:t>
            </w:r>
          </w:p>
        </w:tc>
        <w:tc>
          <w:tcPr>
            <w:tcW w:w="1726" w:type="dxa"/>
          </w:tcPr>
          <w:p w14:paraId="5AD0D94E"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0 (0.0) 0</w:t>
            </w:r>
          </w:p>
        </w:tc>
        <w:tc>
          <w:tcPr>
            <w:tcW w:w="1728" w:type="dxa"/>
          </w:tcPr>
          <w:p w14:paraId="192D70F0" w14:textId="77777777" w:rsidR="009F3F4B" w:rsidRPr="0036613A" w:rsidRDefault="009F3F4B" w:rsidP="004C79C9">
            <w:pPr>
              <w:jc w:val="center"/>
              <w:cnfStyle w:val="000000100000" w:firstRow="0" w:lastRow="0" w:firstColumn="0" w:lastColumn="0" w:oddVBand="0" w:evenVBand="0" w:oddHBand="1" w:evenHBand="0" w:firstRowFirstColumn="0" w:firstRowLastColumn="0" w:lastRowFirstColumn="0" w:lastRowLastColumn="0"/>
              <w:rPr>
                <w:sz w:val="21"/>
                <w:szCs w:val="21"/>
                <w:lang w:eastAsia="ja-JP"/>
              </w:rPr>
            </w:pPr>
            <w:r w:rsidRPr="0036613A">
              <w:rPr>
                <w:sz w:val="21"/>
                <w:szCs w:val="21"/>
                <w:lang w:eastAsia="ja-JP"/>
              </w:rPr>
              <w:t>1 (1.0) 1</w:t>
            </w:r>
          </w:p>
        </w:tc>
      </w:tr>
    </w:tbl>
    <w:p w14:paraId="396DC3BE" w14:textId="65B66206" w:rsidR="001F4271" w:rsidRDefault="007E659A" w:rsidP="00823FAF">
      <w:pPr>
        <w:pStyle w:val="TableDescription"/>
      </w:pPr>
      <w:r w:rsidRPr="007E659A">
        <w:t>Main period = W0 until before re-randomisation at Week 32; Transition period = Re-randomisation at Week 32 until Week 56; Overall period = screening period + main period + transition period; n = number of subjects with event; E = frequency of events</w:t>
      </w:r>
      <w:r>
        <w:t>.</w:t>
      </w:r>
    </w:p>
    <w:p w14:paraId="4C49EDAE" w14:textId="77777777" w:rsidR="009F6C85" w:rsidRDefault="009F6C85" w:rsidP="00027A97">
      <w:pPr>
        <w:pStyle w:val="Heading6"/>
        <w:keepNext w:val="0"/>
        <w:keepLines w:val="0"/>
        <w:pageBreakBefore/>
      </w:pPr>
      <w:r>
        <w:lastRenderedPageBreak/>
        <w:t>All adverse events (irrespective of relationship to study treatment)</w:t>
      </w:r>
    </w:p>
    <w:p w14:paraId="4B30132A" w14:textId="77777777" w:rsidR="009F6C85" w:rsidRDefault="009F6C85" w:rsidP="00027A97">
      <w:pPr>
        <w:pStyle w:val="Heading7"/>
        <w:keepNext w:val="0"/>
        <w:keepLines w:val="0"/>
      </w:pPr>
      <w:r>
        <w:t>Ocular adverse events in study SB15-3001</w:t>
      </w:r>
    </w:p>
    <w:p w14:paraId="1AA05D6A" w14:textId="78137B0F" w:rsidR="007E659A" w:rsidRDefault="009F6C85" w:rsidP="00027A97">
      <w:pPr>
        <w:pStyle w:val="TableTitle"/>
        <w:keepNext w:val="0"/>
      </w:pPr>
      <w:r>
        <w:t>Table</w:t>
      </w:r>
      <w:r w:rsidR="00062588">
        <w:t xml:space="preserve"> 6</w:t>
      </w:r>
      <w:r>
        <w:t>. Ocular Treatment-Emergent Adverse Events in the Study Eye by Preferred Term (&gt; 1% in Any Treatment Group) with System Organ Class in the Overall Period (Safety Set 1)</w:t>
      </w:r>
    </w:p>
    <w:p w14:paraId="52A2F8FC" w14:textId="1B5F9608" w:rsidR="008453B0" w:rsidRDefault="008453B0" w:rsidP="00027A97">
      <w:r w:rsidRPr="009B28AA">
        <w:rPr>
          <w:noProof/>
          <w:lang w:eastAsia="ja-JP"/>
        </w:rPr>
        <w:drawing>
          <wp:inline distT="0" distB="0" distL="0" distR="0" wp14:anchorId="2C59A087" wp14:editId="3C18C52A">
            <wp:extent cx="5492804" cy="2570671"/>
            <wp:effectExtent l="0" t="0" r="0" b="1270"/>
            <wp:docPr id="732348311" name="Picture 1" descr="Table 6. Ocular Treatment-Emergent Adverse Events in the Study Eye by Preferred Term (&gt; 1% in Any Treatment Group) with System Organ Class in the Overall Period (Safety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48311" name="Picture 1" descr="Table 6. Ocular Treatment-Emergent Adverse Events in the Study Eye by Preferred Term (&gt; 1% in Any Treatment Group) with System Organ Class in the Overall Period (Safety Set 1)"/>
                    <pic:cNvPicPr/>
                  </pic:nvPicPr>
                  <pic:blipFill rotWithShape="1">
                    <a:blip r:embed="rId35"/>
                    <a:srcRect l="266"/>
                    <a:stretch>
                      <a:fillRect/>
                    </a:stretch>
                  </pic:blipFill>
                  <pic:spPr bwMode="auto">
                    <a:xfrm>
                      <a:off x="0" y="0"/>
                      <a:ext cx="5514220" cy="2580694"/>
                    </a:xfrm>
                    <a:prstGeom prst="rect">
                      <a:avLst/>
                    </a:prstGeom>
                    <a:ln>
                      <a:noFill/>
                    </a:ln>
                    <a:extLst>
                      <a:ext uri="{53640926-AAD7-44D8-BBD7-CCE9431645EC}">
                        <a14:shadowObscured xmlns:a14="http://schemas.microsoft.com/office/drawing/2010/main"/>
                      </a:ext>
                    </a:extLst>
                  </pic:spPr>
                </pic:pic>
              </a:graphicData>
            </a:graphic>
          </wp:inline>
        </w:drawing>
      </w:r>
      <w:r w:rsidR="00141843" w:rsidRPr="009B28AA">
        <w:rPr>
          <w:noProof/>
          <w:lang w:eastAsia="ja-JP"/>
        </w:rPr>
        <w:drawing>
          <wp:inline distT="0" distB="0" distL="0" distR="0" wp14:anchorId="3D0B807B" wp14:editId="6D69E34C">
            <wp:extent cx="5477774" cy="2014518"/>
            <wp:effectExtent l="0" t="0" r="8890" b="5080"/>
            <wp:docPr id="155547121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71212" name="Picture 1" descr="A table with numbers and text&#10;&#10;Description automatically generated"/>
                    <pic:cNvPicPr/>
                  </pic:nvPicPr>
                  <pic:blipFill rotWithShape="1">
                    <a:blip r:embed="rId36"/>
                    <a:srcRect l="886" t="25934" b="1"/>
                    <a:stretch>
                      <a:fillRect/>
                    </a:stretch>
                  </pic:blipFill>
                  <pic:spPr bwMode="auto">
                    <a:xfrm>
                      <a:off x="0" y="0"/>
                      <a:ext cx="5504899" cy="2024493"/>
                    </a:xfrm>
                    <a:prstGeom prst="rect">
                      <a:avLst/>
                    </a:prstGeom>
                    <a:ln>
                      <a:noFill/>
                    </a:ln>
                    <a:extLst>
                      <a:ext uri="{53640926-AAD7-44D8-BBD7-CCE9431645EC}">
                        <a14:shadowObscured xmlns:a14="http://schemas.microsoft.com/office/drawing/2010/main"/>
                      </a:ext>
                    </a:extLst>
                  </pic:spPr>
                </pic:pic>
              </a:graphicData>
            </a:graphic>
          </wp:inline>
        </w:drawing>
      </w:r>
    </w:p>
    <w:p w14:paraId="59221480" w14:textId="23CB68B4" w:rsidR="00A55124" w:rsidRDefault="00A55124" w:rsidP="00A55124">
      <w:pPr>
        <w:pStyle w:val="TableDescription"/>
      </w:pPr>
      <w:r>
        <w:t>E = frequency of events; N=number of subjects in the Safety Set 1; n = number of subjects with event; TEAE = treatment-emergent adverse event</w:t>
      </w:r>
    </w:p>
    <w:p w14:paraId="47A914D2" w14:textId="2FB0192C" w:rsidR="00A55124" w:rsidRDefault="00A55124" w:rsidP="00A55124">
      <w:pPr>
        <w:pStyle w:val="TableDescription"/>
      </w:pPr>
      <w:r>
        <w:t>a Based on subjects in Safety Set 2, Eylea+SB15 and Eylea+Eylea may not add up to Eylea Overall.</w:t>
      </w:r>
    </w:p>
    <w:p w14:paraId="3C90941B" w14:textId="77777777" w:rsidR="00A55124" w:rsidRDefault="00A55124" w:rsidP="00A55124">
      <w:pPr>
        <w:pStyle w:val="TableDescription"/>
      </w:pPr>
      <w:r>
        <w:t>Adverse events were coded to system organ class and preferred term using MedDRA coding dictionary version 23.0.</w:t>
      </w:r>
    </w:p>
    <w:p w14:paraId="118EA528" w14:textId="77777777" w:rsidR="00A55124" w:rsidRDefault="00A55124" w:rsidP="00A55124">
      <w:pPr>
        <w:pStyle w:val="TableDescription"/>
      </w:pPr>
      <w:r>
        <w:t>Percentages were based on the number of subjects in the Safety Set 1.</w:t>
      </w:r>
    </w:p>
    <w:p w14:paraId="475D98CB" w14:textId="53A5DF0F" w:rsidR="00A55124" w:rsidRDefault="00A55124" w:rsidP="00A55124">
      <w:pPr>
        <w:pStyle w:val="TableDescription"/>
      </w:pPr>
      <w:r>
        <w:t>System organ classes were presented alphabetically; preferred terms were sorted within each system organ class in descending order of subject frequency of Total treatment group. If the frequency of the preferred terms were tied, the preferred terms were ordered alphabetically.</w:t>
      </w:r>
    </w:p>
    <w:p w14:paraId="1D429431" w14:textId="6CBAE695" w:rsidR="00E11160" w:rsidRDefault="00E11160" w:rsidP="00027A97">
      <w:pPr>
        <w:pStyle w:val="Heading7"/>
        <w:pageBreakBefore/>
      </w:pPr>
      <w:r w:rsidRPr="00E11160">
        <w:lastRenderedPageBreak/>
        <w:t>Treatment related adverse events (adverse drug reactions)</w:t>
      </w:r>
    </w:p>
    <w:p w14:paraId="5D0E6FC6" w14:textId="2001FB8E" w:rsidR="009A01A9" w:rsidRDefault="009A01A9" w:rsidP="009A01A9">
      <w:pPr>
        <w:pStyle w:val="TableTitle"/>
      </w:pPr>
      <w:r>
        <w:t>Table</w:t>
      </w:r>
      <w:r w:rsidR="00062588">
        <w:t xml:space="preserve"> 7</w:t>
      </w:r>
      <w:r>
        <w:t>. O</w:t>
      </w:r>
      <w:r w:rsidRPr="009A01A9">
        <w:t>verview of treatment related adverse events</w:t>
      </w:r>
    </w:p>
    <w:tbl>
      <w:tblPr>
        <w:tblStyle w:val="PlainTable2"/>
        <w:tblW w:w="9100" w:type="dxa"/>
        <w:tblInd w:w="-5"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Caption w:val="Table 7. Overview of treatment related adverse events"/>
      </w:tblPr>
      <w:tblGrid>
        <w:gridCol w:w="2077"/>
        <w:gridCol w:w="103"/>
        <w:gridCol w:w="1622"/>
        <w:gridCol w:w="103"/>
        <w:gridCol w:w="1633"/>
        <w:gridCol w:w="103"/>
        <w:gridCol w:w="1623"/>
        <w:gridCol w:w="103"/>
        <w:gridCol w:w="1733"/>
      </w:tblGrid>
      <w:tr w:rsidR="006F4CE9" w:rsidRPr="006F4CE9" w14:paraId="53221F69" w14:textId="77777777" w:rsidTr="00986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gridSpan w:val="2"/>
            <w:tcBorders>
              <w:bottom w:val="none" w:sz="0" w:space="0" w:color="auto"/>
            </w:tcBorders>
            <w:shd w:val="clear" w:color="auto" w:fill="DEEAF6"/>
          </w:tcPr>
          <w:p w14:paraId="30E96A35" w14:textId="77777777" w:rsidR="006F4CE9" w:rsidRPr="006F4CE9" w:rsidRDefault="006F4CE9" w:rsidP="00027A97"/>
        </w:tc>
        <w:tc>
          <w:tcPr>
            <w:tcW w:w="1725" w:type="dxa"/>
            <w:gridSpan w:val="2"/>
            <w:tcBorders>
              <w:bottom w:val="none" w:sz="0" w:space="0" w:color="auto"/>
            </w:tcBorders>
            <w:shd w:val="clear" w:color="auto" w:fill="DEEAF6"/>
          </w:tcPr>
          <w:p w14:paraId="059C36B1" w14:textId="77777777" w:rsidR="006F4CE9" w:rsidRPr="006F4CE9" w:rsidRDefault="006F4CE9" w:rsidP="00027A97">
            <w:pPr>
              <w:cnfStyle w:val="100000000000" w:firstRow="1" w:lastRow="0" w:firstColumn="0" w:lastColumn="0" w:oddVBand="0" w:evenVBand="0" w:oddHBand="0" w:evenHBand="0" w:firstRowFirstColumn="0" w:firstRowLastColumn="0" w:lastRowFirstColumn="0" w:lastRowLastColumn="0"/>
            </w:pPr>
            <w:r w:rsidRPr="006F4CE9">
              <w:t>SB15</w:t>
            </w:r>
          </w:p>
        </w:tc>
        <w:tc>
          <w:tcPr>
            <w:tcW w:w="5195" w:type="dxa"/>
            <w:gridSpan w:val="5"/>
            <w:tcBorders>
              <w:bottom w:val="none" w:sz="0" w:space="0" w:color="auto"/>
            </w:tcBorders>
            <w:shd w:val="clear" w:color="auto" w:fill="DEEAF6"/>
          </w:tcPr>
          <w:p w14:paraId="54EAEA0F" w14:textId="77777777" w:rsidR="006F4CE9" w:rsidRPr="006F4CE9" w:rsidRDefault="006F4CE9" w:rsidP="00027A97">
            <w:pPr>
              <w:cnfStyle w:val="100000000000" w:firstRow="1" w:lastRow="0" w:firstColumn="0" w:lastColumn="0" w:oddVBand="0" w:evenVBand="0" w:oddHBand="0" w:evenHBand="0" w:firstRowFirstColumn="0" w:firstRowLastColumn="0" w:lastRowFirstColumn="0" w:lastRowLastColumn="0"/>
            </w:pPr>
            <w:r w:rsidRPr="006F4CE9">
              <w:t>Eylea</w:t>
            </w:r>
          </w:p>
        </w:tc>
      </w:tr>
      <w:tr w:rsidR="006F4CE9" w:rsidRPr="006F4CE9" w14:paraId="5F0E9E4F" w14:textId="77777777" w:rsidTr="00986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gridSpan w:val="2"/>
            <w:tcBorders>
              <w:top w:val="none" w:sz="0" w:space="0" w:color="auto"/>
              <w:bottom w:val="none" w:sz="0" w:space="0" w:color="auto"/>
            </w:tcBorders>
            <w:shd w:val="clear" w:color="auto" w:fill="DEEAF6"/>
          </w:tcPr>
          <w:p w14:paraId="5F1BD071" w14:textId="77777777" w:rsidR="006F4CE9" w:rsidRPr="006F4CE9" w:rsidRDefault="006F4CE9" w:rsidP="00027A97"/>
        </w:tc>
        <w:tc>
          <w:tcPr>
            <w:tcW w:w="1725" w:type="dxa"/>
            <w:gridSpan w:val="2"/>
            <w:tcBorders>
              <w:top w:val="none" w:sz="0" w:space="0" w:color="auto"/>
              <w:bottom w:val="none" w:sz="0" w:space="0" w:color="auto"/>
            </w:tcBorders>
            <w:shd w:val="clear" w:color="auto" w:fill="DEEAF6"/>
          </w:tcPr>
          <w:p w14:paraId="49185BF6"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N=224</w:t>
            </w:r>
          </w:p>
          <w:p w14:paraId="468CCF33"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 (%) E</w:t>
            </w:r>
          </w:p>
        </w:tc>
        <w:tc>
          <w:tcPr>
            <w:tcW w:w="1736" w:type="dxa"/>
            <w:gridSpan w:val="2"/>
            <w:tcBorders>
              <w:top w:val="none" w:sz="0" w:space="0" w:color="auto"/>
              <w:bottom w:val="none" w:sz="0" w:space="0" w:color="auto"/>
            </w:tcBorders>
            <w:shd w:val="clear" w:color="auto" w:fill="DEEAF6"/>
          </w:tcPr>
          <w:p w14:paraId="22F5A169"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Overall</w:t>
            </w:r>
          </w:p>
          <w:p w14:paraId="443DF05E"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N=224</w:t>
            </w:r>
          </w:p>
          <w:p w14:paraId="173B1AF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 (%) E</w:t>
            </w:r>
          </w:p>
        </w:tc>
        <w:tc>
          <w:tcPr>
            <w:tcW w:w="1726" w:type="dxa"/>
            <w:gridSpan w:val="2"/>
            <w:tcBorders>
              <w:top w:val="none" w:sz="0" w:space="0" w:color="auto"/>
              <w:bottom w:val="none" w:sz="0" w:space="0" w:color="auto"/>
            </w:tcBorders>
            <w:shd w:val="clear" w:color="auto" w:fill="DEEAF6"/>
          </w:tcPr>
          <w:p w14:paraId="5186673F"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SB15</w:t>
            </w:r>
          </w:p>
          <w:p w14:paraId="2C33BCD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N=111</w:t>
            </w:r>
          </w:p>
          <w:p w14:paraId="57E085F4"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 (%) E</w:t>
            </w:r>
          </w:p>
        </w:tc>
        <w:tc>
          <w:tcPr>
            <w:tcW w:w="1733" w:type="dxa"/>
            <w:tcBorders>
              <w:top w:val="none" w:sz="0" w:space="0" w:color="auto"/>
              <w:bottom w:val="none" w:sz="0" w:space="0" w:color="auto"/>
            </w:tcBorders>
            <w:shd w:val="clear" w:color="auto" w:fill="DEEAF6"/>
          </w:tcPr>
          <w:p w14:paraId="5B7FD986"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Eylea</w:t>
            </w:r>
          </w:p>
          <w:p w14:paraId="52C8DB7F"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N=104</w:t>
            </w:r>
          </w:p>
          <w:p w14:paraId="7E996D9A"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pPr>
            <w:r w:rsidRPr="006F4CE9">
              <w:t>n (%) E</w:t>
            </w:r>
          </w:p>
        </w:tc>
      </w:tr>
      <w:tr w:rsidR="006F4CE9" w:rsidRPr="006F4CE9" w14:paraId="7116873A" w14:textId="77777777" w:rsidTr="0098606C">
        <w:tc>
          <w:tcPr>
            <w:cnfStyle w:val="001000000000" w:firstRow="0" w:lastRow="0" w:firstColumn="1" w:lastColumn="0" w:oddVBand="0" w:evenVBand="0" w:oddHBand="0" w:evenHBand="0" w:firstRowFirstColumn="0" w:firstRowLastColumn="0" w:lastRowFirstColumn="0" w:lastRowLastColumn="0"/>
            <w:tcW w:w="9100" w:type="dxa"/>
            <w:gridSpan w:val="9"/>
          </w:tcPr>
          <w:p w14:paraId="4EDC3628" w14:textId="77777777" w:rsidR="006F4CE9" w:rsidRPr="006F4CE9" w:rsidRDefault="006F4CE9" w:rsidP="00027A97">
            <w:r w:rsidRPr="006F4CE9">
              <w:t>Overall period (Safety Set 1)</w:t>
            </w:r>
          </w:p>
        </w:tc>
      </w:tr>
      <w:tr w:rsidR="006F4CE9" w:rsidRPr="006F4CE9" w14:paraId="4D9FB1F0" w14:textId="77777777" w:rsidTr="00986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9"/>
            <w:tcBorders>
              <w:top w:val="none" w:sz="0" w:space="0" w:color="auto"/>
              <w:bottom w:val="none" w:sz="0" w:space="0" w:color="auto"/>
            </w:tcBorders>
          </w:tcPr>
          <w:p w14:paraId="084EAF17" w14:textId="77777777" w:rsidR="006F4CE9" w:rsidRPr="006F4CE9" w:rsidRDefault="006F4CE9" w:rsidP="00027A97">
            <w:pPr>
              <w:rPr>
                <w:bCs w:val="0"/>
              </w:rPr>
            </w:pPr>
            <w:r w:rsidRPr="006F4CE9">
              <w:rPr>
                <w:bCs w:val="0"/>
              </w:rPr>
              <w:t xml:space="preserve">Ocular TEAEs (study eye) </w:t>
            </w:r>
          </w:p>
        </w:tc>
      </w:tr>
      <w:tr w:rsidR="006F4CE9" w:rsidRPr="006F4CE9" w14:paraId="4C3E1345" w14:textId="77777777" w:rsidTr="0098606C">
        <w:tc>
          <w:tcPr>
            <w:cnfStyle w:val="001000000000" w:firstRow="0" w:lastRow="0" w:firstColumn="1" w:lastColumn="0" w:oddVBand="0" w:evenVBand="0" w:oddHBand="0" w:evenHBand="0" w:firstRowFirstColumn="0" w:firstRowLastColumn="0" w:lastRowFirstColumn="0" w:lastRowLastColumn="0"/>
            <w:tcW w:w="2180" w:type="dxa"/>
            <w:gridSpan w:val="2"/>
          </w:tcPr>
          <w:p w14:paraId="027A20F4" w14:textId="77777777" w:rsidR="006F4CE9" w:rsidRPr="006F4CE9" w:rsidRDefault="006F4CE9" w:rsidP="00027A97">
            <w:pPr>
              <w:rPr>
                <w:bCs w:val="0"/>
              </w:rPr>
            </w:pPr>
            <w:r w:rsidRPr="006F4CE9">
              <w:rPr>
                <w:bCs w:val="0"/>
              </w:rPr>
              <w:t>Related to drug</w:t>
            </w:r>
          </w:p>
        </w:tc>
        <w:tc>
          <w:tcPr>
            <w:tcW w:w="1725" w:type="dxa"/>
            <w:gridSpan w:val="2"/>
          </w:tcPr>
          <w:p w14:paraId="224EDF2C"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5 (2.2) 5</w:t>
            </w:r>
          </w:p>
        </w:tc>
        <w:tc>
          <w:tcPr>
            <w:tcW w:w="1736" w:type="dxa"/>
            <w:gridSpan w:val="2"/>
          </w:tcPr>
          <w:p w14:paraId="46D46D1C"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26" w:type="dxa"/>
            <w:gridSpan w:val="2"/>
          </w:tcPr>
          <w:p w14:paraId="5E6A98A5"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33" w:type="dxa"/>
          </w:tcPr>
          <w:p w14:paraId="3A6EEB1A"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r>
      <w:tr w:rsidR="006F4CE9" w:rsidRPr="006F4CE9" w14:paraId="5181F6AB" w14:textId="77777777" w:rsidTr="00986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gridSpan w:val="2"/>
            <w:tcBorders>
              <w:top w:val="none" w:sz="0" w:space="0" w:color="auto"/>
              <w:bottom w:val="none" w:sz="0" w:space="0" w:color="auto"/>
            </w:tcBorders>
          </w:tcPr>
          <w:p w14:paraId="04761B35" w14:textId="77777777" w:rsidR="006F4CE9" w:rsidRPr="006F4CE9" w:rsidRDefault="006F4CE9" w:rsidP="00027A97">
            <w:pPr>
              <w:rPr>
                <w:bCs w:val="0"/>
              </w:rPr>
            </w:pPr>
            <w:r w:rsidRPr="006F4CE9">
              <w:rPr>
                <w:bCs w:val="0"/>
              </w:rPr>
              <w:t>Related to IVT injection</w:t>
            </w:r>
          </w:p>
        </w:tc>
        <w:tc>
          <w:tcPr>
            <w:tcW w:w="1725" w:type="dxa"/>
            <w:gridSpan w:val="2"/>
            <w:tcBorders>
              <w:top w:val="none" w:sz="0" w:space="0" w:color="auto"/>
              <w:bottom w:val="none" w:sz="0" w:space="0" w:color="auto"/>
            </w:tcBorders>
          </w:tcPr>
          <w:p w14:paraId="41FE6B43"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11 (4.9) 11</w:t>
            </w:r>
          </w:p>
        </w:tc>
        <w:tc>
          <w:tcPr>
            <w:tcW w:w="1736" w:type="dxa"/>
            <w:gridSpan w:val="2"/>
            <w:tcBorders>
              <w:top w:val="none" w:sz="0" w:space="0" w:color="auto"/>
              <w:bottom w:val="none" w:sz="0" w:space="0" w:color="auto"/>
            </w:tcBorders>
          </w:tcPr>
          <w:p w14:paraId="5865CD3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26" w:type="dxa"/>
            <w:gridSpan w:val="2"/>
            <w:tcBorders>
              <w:top w:val="none" w:sz="0" w:space="0" w:color="auto"/>
              <w:bottom w:val="none" w:sz="0" w:space="0" w:color="auto"/>
            </w:tcBorders>
          </w:tcPr>
          <w:p w14:paraId="547EBC0D"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33" w:type="dxa"/>
            <w:tcBorders>
              <w:top w:val="none" w:sz="0" w:space="0" w:color="auto"/>
              <w:bottom w:val="none" w:sz="0" w:space="0" w:color="auto"/>
            </w:tcBorders>
          </w:tcPr>
          <w:p w14:paraId="1D012F5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2 (1.9) 2</w:t>
            </w:r>
          </w:p>
        </w:tc>
      </w:tr>
      <w:tr w:rsidR="006F4CE9" w:rsidRPr="006F4CE9" w14:paraId="2BB2740E" w14:textId="77777777" w:rsidTr="0098606C">
        <w:tc>
          <w:tcPr>
            <w:cnfStyle w:val="001000000000" w:firstRow="0" w:lastRow="0" w:firstColumn="1" w:lastColumn="0" w:oddVBand="0" w:evenVBand="0" w:oddHBand="0" w:evenHBand="0" w:firstRowFirstColumn="0" w:firstRowLastColumn="0" w:lastRowFirstColumn="0" w:lastRowLastColumn="0"/>
            <w:tcW w:w="9100" w:type="dxa"/>
            <w:gridSpan w:val="9"/>
          </w:tcPr>
          <w:p w14:paraId="01E0E4B4" w14:textId="77777777" w:rsidR="006F4CE9" w:rsidRPr="006F4CE9" w:rsidRDefault="006F4CE9" w:rsidP="00027A97">
            <w:pPr>
              <w:rPr>
                <w:bCs w:val="0"/>
              </w:rPr>
            </w:pPr>
            <w:r w:rsidRPr="006F4CE9">
              <w:rPr>
                <w:bCs w:val="0"/>
              </w:rPr>
              <w:t>Non-ocular TEAEs</w:t>
            </w:r>
          </w:p>
        </w:tc>
      </w:tr>
      <w:tr w:rsidR="006F4CE9" w:rsidRPr="006F4CE9" w14:paraId="139E3A00" w14:textId="77777777" w:rsidTr="00986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gridSpan w:val="2"/>
            <w:tcBorders>
              <w:top w:val="none" w:sz="0" w:space="0" w:color="auto"/>
              <w:bottom w:val="none" w:sz="0" w:space="0" w:color="auto"/>
            </w:tcBorders>
          </w:tcPr>
          <w:p w14:paraId="781B0C6F" w14:textId="77777777" w:rsidR="006F4CE9" w:rsidRPr="006F4CE9" w:rsidRDefault="006F4CE9" w:rsidP="00027A97">
            <w:pPr>
              <w:rPr>
                <w:bCs w:val="0"/>
              </w:rPr>
            </w:pPr>
            <w:r w:rsidRPr="006F4CE9">
              <w:rPr>
                <w:bCs w:val="0"/>
              </w:rPr>
              <w:t>Related to drug</w:t>
            </w:r>
          </w:p>
        </w:tc>
        <w:tc>
          <w:tcPr>
            <w:tcW w:w="1725" w:type="dxa"/>
            <w:gridSpan w:val="2"/>
            <w:tcBorders>
              <w:top w:val="none" w:sz="0" w:space="0" w:color="auto"/>
              <w:bottom w:val="none" w:sz="0" w:space="0" w:color="auto"/>
            </w:tcBorders>
          </w:tcPr>
          <w:p w14:paraId="40B8FCE1"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c>
          <w:tcPr>
            <w:tcW w:w="1736" w:type="dxa"/>
            <w:gridSpan w:val="2"/>
            <w:tcBorders>
              <w:top w:val="none" w:sz="0" w:space="0" w:color="auto"/>
              <w:bottom w:val="none" w:sz="0" w:space="0" w:color="auto"/>
            </w:tcBorders>
          </w:tcPr>
          <w:p w14:paraId="13CA15A3"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26" w:type="dxa"/>
            <w:gridSpan w:val="2"/>
            <w:tcBorders>
              <w:top w:val="none" w:sz="0" w:space="0" w:color="auto"/>
              <w:bottom w:val="none" w:sz="0" w:space="0" w:color="auto"/>
            </w:tcBorders>
          </w:tcPr>
          <w:p w14:paraId="4AACD625"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33" w:type="dxa"/>
            <w:tcBorders>
              <w:top w:val="none" w:sz="0" w:space="0" w:color="auto"/>
              <w:bottom w:val="none" w:sz="0" w:space="0" w:color="auto"/>
            </w:tcBorders>
          </w:tcPr>
          <w:p w14:paraId="63A031AA"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r>
      <w:tr w:rsidR="006F4CE9" w:rsidRPr="006F4CE9" w14:paraId="68B7FB8C" w14:textId="77777777" w:rsidTr="0098606C">
        <w:tc>
          <w:tcPr>
            <w:cnfStyle w:val="001000000000" w:firstRow="0" w:lastRow="0" w:firstColumn="1" w:lastColumn="0" w:oddVBand="0" w:evenVBand="0" w:oddHBand="0" w:evenHBand="0" w:firstRowFirstColumn="0" w:firstRowLastColumn="0" w:lastRowFirstColumn="0" w:lastRowLastColumn="0"/>
            <w:tcW w:w="2180" w:type="dxa"/>
            <w:gridSpan w:val="2"/>
          </w:tcPr>
          <w:p w14:paraId="3823D36A" w14:textId="77777777" w:rsidR="006F4CE9" w:rsidRPr="006F4CE9" w:rsidRDefault="006F4CE9" w:rsidP="00027A97">
            <w:pPr>
              <w:rPr>
                <w:bCs w:val="0"/>
              </w:rPr>
            </w:pPr>
            <w:r w:rsidRPr="006F4CE9">
              <w:rPr>
                <w:bCs w:val="0"/>
              </w:rPr>
              <w:t>Related to IVT injection</w:t>
            </w:r>
          </w:p>
        </w:tc>
        <w:tc>
          <w:tcPr>
            <w:tcW w:w="1725" w:type="dxa"/>
            <w:gridSpan w:val="2"/>
          </w:tcPr>
          <w:p w14:paraId="517252F0"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1 (0.4) 1</w:t>
            </w:r>
          </w:p>
        </w:tc>
        <w:tc>
          <w:tcPr>
            <w:tcW w:w="1736" w:type="dxa"/>
            <w:gridSpan w:val="2"/>
          </w:tcPr>
          <w:p w14:paraId="29E49B54"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26" w:type="dxa"/>
            <w:gridSpan w:val="2"/>
          </w:tcPr>
          <w:p w14:paraId="4227ACB3"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33" w:type="dxa"/>
          </w:tcPr>
          <w:p w14:paraId="071917F0"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r>
      <w:tr w:rsidR="006F4CE9" w:rsidRPr="006F4CE9" w14:paraId="4F33AA1C"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9"/>
            <w:tcBorders>
              <w:top w:val="none" w:sz="0" w:space="0" w:color="auto"/>
              <w:bottom w:val="none" w:sz="0" w:space="0" w:color="auto"/>
            </w:tcBorders>
          </w:tcPr>
          <w:p w14:paraId="753A0DE3" w14:textId="77777777" w:rsidR="006F4CE9" w:rsidRPr="006F4CE9" w:rsidRDefault="006F4CE9" w:rsidP="00027A97">
            <w:r w:rsidRPr="006F4CE9">
              <w:t>Screening and Main Period (Safety Set 1)</w:t>
            </w:r>
          </w:p>
        </w:tc>
      </w:tr>
      <w:tr w:rsidR="006F4CE9" w:rsidRPr="006F4CE9" w14:paraId="244C816A" w14:textId="77777777" w:rsidTr="00855FB0">
        <w:tc>
          <w:tcPr>
            <w:cnfStyle w:val="001000000000" w:firstRow="0" w:lastRow="0" w:firstColumn="1" w:lastColumn="0" w:oddVBand="0" w:evenVBand="0" w:oddHBand="0" w:evenHBand="0" w:firstRowFirstColumn="0" w:firstRowLastColumn="0" w:lastRowFirstColumn="0" w:lastRowLastColumn="0"/>
            <w:tcW w:w="9100" w:type="dxa"/>
            <w:gridSpan w:val="9"/>
          </w:tcPr>
          <w:p w14:paraId="0C11DCB3" w14:textId="77777777" w:rsidR="006F4CE9" w:rsidRPr="006F4CE9" w:rsidRDefault="006F4CE9" w:rsidP="00027A97">
            <w:pPr>
              <w:rPr>
                <w:bCs w:val="0"/>
              </w:rPr>
            </w:pPr>
            <w:r w:rsidRPr="006F4CE9">
              <w:rPr>
                <w:bCs w:val="0"/>
              </w:rPr>
              <w:t xml:space="preserve">Ocular TEAEs (study eye) </w:t>
            </w:r>
          </w:p>
        </w:tc>
      </w:tr>
      <w:tr w:rsidR="006F4CE9" w:rsidRPr="006F4CE9" w14:paraId="38BFCF79"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bottom w:val="none" w:sz="0" w:space="0" w:color="auto"/>
            </w:tcBorders>
          </w:tcPr>
          <w:p w14:paraId="260D96CD" w14:textId="77777777" w:rsidR="006F4CE9" w:rsidRPr="006F4CE9" w:rsidRDefault="006F4CE9" w:rsidP="00027A97">
            <w:pPr>
              <w:rPr>
                <w:bCs w:val="0"/>
              </w:rPr>
            </w:pPr>
            <w:r w:rsidRPr="006F4CE9">
              <w:rPr>
                <w:bCs w:val="0"/>
              </w:rPr>
              <w:t>Related to drug</w:t>
            </w:r>
          </w:p>
        </w:tc>
        <w:tc>
          <w:tcPr>
            <w:tcW w:w="1725" w:type="dxa"/>
            <w:gridSpan w:val="2"/>
            <w:tcBorders>
              <w:top w:val="none" w:sz="0" w:space="0" w:color="auto"/>
              <w:bottom w:val="none" w:sz="0" w:space="0" w:color="auto"/>
            </w:tcBorders>
          </w:tcPr>
          <w:p w14:paraId="725F0166"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3 (1.3) 3</w:t>
            </w:r>
          </w:p>
        </w:tc>
        <w:tc>
          <w:tcPr>
            <w:tcW w:w="1736" w:type="dxa"/>
            <w:gridSpan w:val="2"/>
            <w:tcBorders>
              <w:top w:val="none" w:sz="0" w:space="0" w:color="auto"/>
              <w:bottom w:val="none" w:sz="0" w:space="0" w:color="auto"/>
            </w:tcBorders>
          </w:tcPr>
          <w:p w14:paraId="41C5987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1 (0.4) 1</w:t>
            </w:r>
          </w:p>
        </w:tc>
        <w:tc>
          <w:tcPr>
            <w:tcW w:w="1726" w:type="dxa"/>
            <w:gridSpan w:val="2"/>
            <w:tcBorders>
              <w:top w:val="none" w:sz="0" w:space="0" w:color="auto"/>
              <w:bottom w:val="none" w:sz="0" w:space="0" w:color="auto"/>
            </w:tcBorders>
          </w:tcPr>
          <w:p w14:paraId="54771B85"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836" w:type="dxa"/>
            <w:gridSpan w:val="2"/>
            <w:tcBorders>
              <w:top w:val="none" w:sz="0" w:space="0" w:color="auto"/>
              <w:bottom w:val="none" w:sz="0" w:space="0" w:color="auto"/>
            </w:tcBorders>
          </w:tcPr>
          <w:p w14:paraId="786794AE"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r>
      <w:tr w:rsidR="006F4CE9" w:rsidRPr="006F4CE9" w14:paraId="4975E435" w14:textId="77777777" w:rsidTr="00855FB0">
        <w:tc>
          <w:tcPr>
            <w:cnfStyle w:val="001000000000" w:firstRow="0" w:lastRow="0" w:firstColumn="1" w:lastColumn="0" w:oddVBand="0" w:evenVBand="0" w:oddHBand="0" w:evenHBand="0" w:firstRowFirstColumn="0" w:firstRowLastColumn="0" w:lastRowFirstColumn="0" w:lastRowLastColumn="0"/>
            <w:tcW w:w="2077" w:type="dxa"/>
          </w:tcPr>
          <w:p w14:paraId="31871CF7" w14:textId="77777777" w:rsidR="006F4CE9" w:rsidRPr="006F4CE9" w:rsidRDefault="006F4CE9" w:rsidP="00027A97">
            <w:pPr>
              <w:rPr>
                <w:bCs w:val="0"/>
              </w:rPr>
            </w:pPr>
            <w:r w:rsidRPr="006F4CE9">
              <w:rPr>
                <w:bCs w:val="0"/>
              </w:rPr>
              <w:t>Related to IVT injection</w:t>
            </w:r>
          </w:p>
        </w:tc>
        <w:tc>
          <w:tcPr>
            <w:tcW w:w="1725" w:type="dxa"/>
            <w:gridSpan w:val="2"/>
          </w:tcPr>
          <w:p w14:paraId="276EF890"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11 (4.9) 11</w:t>
            </w:r>
          </w:p>
        </w:tc>
        <w:tc>
          <w:tcPr>
            <w:tcW w:w="1736" w:type="dxa"/>
            <w:gridSpan w:val="2"/>
          </w:tcPr>
          <w:p w14:paraId="67427511"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3 (1.3) 3</w:t>
            </w:r>
          </w:p>
        </w:tc>
        <w:tc>
          <w:tcPr>
            <w:tcW w:w="1726" w:type="dxa"/>
            <w:gridSpan w:val="2"/>
          </w:tcPr>
          <w:p w14:paraId="7B91F553"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836" w:type="dxa"/>
            <w:gridSpan w:val="2"/>
          </w:tcPr>
          <w:p w14:paraId="297D5D6D"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r>
      <w:tr w:rsidR="006F4CE9" w:rsidRPr="006F4CE9" w14:paraId="592B9E55"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9"/>
            <w:tcBorders>
              <w:top w:val="none" w:sz="0" w:space="0" w:color="auto"/>
              <w:bottom w:val="none" w:sz="0" w:space="0" w:color="auto"/>
            </w:tcBorders>
          </w:tcPr>
          <w:p w14:paraId="4AC09547" w14:textId="77777777" w:rsidR="006F4CE9" w:rsidRPr="006F4CE9" w:rsidRDefault="006F4CE9" w:rsidP="00027A97">
            <w:pPr>
              <w:rPr>
                <w:bCs w:val="0"/>
              </w:rPr>
            </w:pPr>
            <w:r w:rsidRPr="006F4CE9">
              <w:rPr>
                <w:bCs w:val="0"/>
              </w:rPr>
              <w:t>Non-ocular TEAEs</w:t>
            </w:r>
          </w:p>
        </w:tc>
      </w:tr>
      <w:tr w:rsidR="006F4CE9" w:rsidRPr="006F4CE9" w14:paraId="6B1C75A6" w14:textId="77777777" w:rsidTr="00855FB0">
        <w:tc>
          <w:tcPr>
            <w:cnfStyle w:val="001000000000" w:firstRow="0" w:lastRow="0" w:firstColumn="1" w:lastColumn="0" w:oddVBand="0" w:evenVBand="0" w:oddHBand="0" w:evenHBand="0" w:firstRowFirstColumn="0" w:firstRowLastColumn="0" w:lastRowFirstColumn="0" w:lastRowLastColumn="0"/>
            <w:tcW w:w="2077" w:type="dxa"/>
          </w:tcPr>
          <w:p w14:paraId="7965FF0A" w14:textId="77777777" w:rsidR="006F4CE9" w:rsidRPr="006F4CE9" w:rsidRDefault="006F4CE9" w:rsidP="00027A97">
            <w:pPr>
              <w:rPr>
                <w:bCs w:val="0"/>
              </w:rPr>
            </w:pPr>
            <w:r w:rsidRPr="006F4CE9">
              <w:rPr>
                <w:bCs w:val="0"/>
              </w:rPr>
              <w:t>Related to drug</w:t>
            </w:r>
          </w:p>
        </w:tc>
        <w:tc>
          <w:tcPr>
            <w:tcW w:w="1725" w:type="dxa"/>
            <w:gridSpan w:val="2"/>
          </w:tcPr>
          <w:p w14:paraId="58F60C81"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c>
          <w:tcPr>
            <w:tcW w:w="1736" w:type="dxa"/>
            <w:gridSpan w:val="2"/>
          </w:tcPr>
          <w:p w14:paraId="724AA406"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1 (0.4) 1</w:t>
            </w:r>
          </w:p>
        </w:tc>
        <w:tc>
          <w:tcPr>
            <w:tcW w:w="1726" w:type="dxa"/>
            <w:gridSpan w:val="2"/>
          </w:tcPr>
          <w:p w14:paraId="3483815A"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836" w:type="dxa"/>
            <w:gridSpan w:val="2"/>
          </w:tcPr>
          <w:p w14:paraId="3406273F"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r>
      <w:tr w:rsidR="006F4CE9" w:rsidRPr="006F4CE9" w14:paraId="2E6FBEC7"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bottom w:val="none" w:sz="0" w:space="0" w:color="auto"/>
            </w:tcBorders>
          </w:tcPr>
          <w:p w14:paraId="3DDA525F" w14:textId="77777777" w:rsidR="006F4CE9" w:rsidRPr="006F4CE9" w:rsidRDefault="006F4CE9" w:rsidP="00027A97">
            <w:pPr>
              <w:rPr>
                <w:bCs w:val="0"/>
              </w:rPr>
            </w:pPr>
            <w:r w:rsidRPr="006F4CE9">
              <w:rPr>
                <w:bCs w:val="0"/>
              </w:rPr>
              <w:t>Related to IVT injection</w:t>
            </w:r>
          </w:p>
        </w:tc>
        <w:tc>
          <w:tcPr>
            <w:tcW w:w="1725" w:type="dxa"/>
            <w:gridSpan w:val="2"/>
            <w:tcBorders>
              <w:top w:val="none" w:sz="0" w:space="0" w:color="auto"/>
              <w:bottom w:val="none" w:sz="0" w:space="0" w:color="auto"/>
            </w:tcBorders>
          </w:tcPr>
          <w:p w14:paraId="7B96E41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1 (0.4) 1</w:t>
            </w:r>
          </w:p>
        </w:tc>
        <w:tc>
          <w:tcPr>
            <w:tcW w:w="1736" w:type="dxa"/>
            <w:gridSpan w:val="2"/>
            <w:tcBorders>
              <w:top w:val="none" w:sz="0" w:space="0" w:color="auto"/>
              <w:bottom w:val="none" w:sz="0" w:space="0" w:color="auto"/>
            </w:tcBorders>
          </w:tcPr>
          <w:p w14:paraId="66B967E6"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c>
          <w:tcPr>
            <w:tcW w:w="1726" w:type="dxa"/>
            <w:gridSpan w:val="2"/>
            <w:tcBorders>
              <w:top w:val="none" w:sz="0" w:space="0" w:color="auto"/>
              <w:bottom w:val="none" w:sz="0" w:space="0" w:color="auto"/>
            </w:tcBorders>
          </w:tcPr>
          <w:p w14:paraId="71D3D411"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836" w:type="dxa"/>
            <w:gridSpan w:val="2"/>
            <w:tcBorders>
              <w:top w:val="none" w:sz="0" w:space="0" w:color="auto"/>
              <w:bottom w:val="none" w:sz="0" w:space="0" w:color="auto"/>
            </w:tcBorders>
          </w:tcPr>
          <w:p w14:paraId="667B977F"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r>
      <w:tr w:rsidR="006F4CE9" w:rsidRPr="006F4CE9" w14:paraId="01346C8B" w14:textId="77777777" w:rsidTr="00855FB0">
        <w:tc>
          <w:tcPr>
            <w:cnfStyle w:val="001000000000" w:firstRow="0" w:lastRow="0" w:firstColumn="1" w:lastColumn="0" w:oddVBand="0" w:evenVBand="0" w:oddHBand="0" w:evenHBand="0" w:firstRowFirstColumn="0" w:firstRowLastColumn="0" w:lastRowFirstColumn="0" w:lastRowLastColumn="0"/>
            <w:tcW w:w="9100" w:type="dxa"/>
            <w:gridSpan w:val="9"/>
          </w:tcPr>
          <w:p w14:paraId="0FF69164" w14:textId="77777777" w:rsidR="006F4CE9" w:rsidRPr="006F4CE9" w:rsidRDefault="006F4CE9" w:rsidP="00027A97">
            <w:r w:rsidRPr="006F4CE9">
              <w:t>Transition period (Safety Set 2)</w:t>
            </w:r>
          </w:p>
        </w:tc>
      </w:tr>
      <w:tr w:rsidR="006F4CE9" w:rsidRPr="006F4CE9" w14:paraId="29EA5DA8"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9"/>
            <w:tcBorders>
              <w:top w:val="none" w:sz="0" w:space="0" w:color="auto"/>
              <w:bottom w:val="none" w:sz="0" w:space="0" w:color="auto"/>
            </w:tcBorders>
          </w:tcPr>
          <w:p w14:paraId="5334C159" w14:textId="77777777" w:rsidR="006F4CE9" w:rsidRPr="006F4CE9" w:rsidRDefault="006F4CE9" w:rsidP="00027A97">
            <w:pPr>
              <w:rPr>
                <w:bCs w:val="0"/>
              </w:rPr>
            </w:pPr>
            <w:r w:rsidRPr="006F4CE9">
              <w:rPr>
                <w:bCs w:val="0"/>
              </w:rPr>
              <w:t xml:space="preserve">Ocular TEAEs (study eye) </w:t>
            </w:r>
          </w:p>
        </w:tc>
      </w:tr>
      <w:tr w:rsidR="006F4CE9" w:rsidRPr="006F4CE9" w14:paraId="437DDA19" w14:textId="77777777" w:rsidTr="00855FB0">
        <w:tc>
          <w:tcPr>
            <w:cnfStyle w:val="001000000000" w:firstRow="0" w:lastRow="0" w:firstColumn="1" w:lastColumn="0" w:oddVBand="0" w:evenVBand="0" w:oddHBand="0" w:evenHBand="0" w:firstRowFirstColumn="0" w:firstRowLastColumn="0" w:lastRowFirstColumn="0" w:lastRowLastColumn="0"/>
            <w:tcW w:w="2077" w:type="dxa"/>
          </w:tcPr>
          <w:p w14:paraId="1F17D1AC" w14:textId="77777777" w:rsidR="006F4CE9" w:rsidRPr="006F4CE9" w:rsidRDefault="006F4CE9" w:rsidP="00027A97">
            <w:pPr>
              <w:rPr>
                <w:bCs w:val="0"/>
              </w:rPr>
            </w:pPr>
            <w:r w:rsidRPr="006F4CE9">
              <w:rPr>
                <w:bCs w:val="0"/>
              </w:rPr>
              <w:t>Related to drug</w:t>
            </w:r>
          </w:p>
        </w:tc>
        <w:tc>
          <w:tcPr>
            <w:tcW w:w="1725" w:type="dxa"/>
            <w:gridSpan w:val="2"/>
          </w:tcPr>
          <w:p w14:paraId="6FD36C94"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36" w:type="dxa"/>
            <w:gridSpan w:val="2"/>
          </w:tcPr>
          <w:p w14:paraId="1CF95358"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26" w:type="dxa"/>
            <w:gridSpan w:val="2"/>
          </w:tcPr>
          <w:p w14:paraId="23FF07E6"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1 (0.9) 1</w:t>
            </w:r>
          </w:p>
        </w:tc>
        <w:tc>
          <w:tcPr>
            <w:tcW w:w="1836" w:type="dxa"/>
            <w:gridSpan w:val="2"/>
          </w:tcPr>
          <w:p w14:paraId="09DECD7D"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r>
      <w:tr w:rsidR="006F4CE9" w:rsidRPr="006F4CE9" w14:paraId="758C00FE"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bottom w:val="none" w:sz="0" w:space="0" w:color="auto"/>
            </w:tcBorders>
          </w:tcPr>
          <w:p w14:paraId="4E24D8EF" w14:textId="77777777" w:rsidR="006F4CE9" w:rsidRPr="006F4CE9" w:rsidRDefault="006F4CE9" w:rsidP="00027A97">
            <w:pPr>
              <w:rPr>
                <w:bCs w:val="0"/>
              </w:rPr>
            </w:pPr>
            <w:r w:rsidRPr="006F4CE9">
              <w:rPr>
                <w:bCs w:val="0"/>
              </w:rPr>
              <w:t>Related to IVT injection</w:t>
            </w:r>
          </w:p>
        </w:tc>
        <w:tc>
          <w:tcPr>
            <w:tcW w:w="1725" w:type="dxa"/>
            <w:gridSpan w:val="2"/>
            <w:tcBorders>
              <w:top w:val="none" w:sz="0" w:space="0" w:color="auto"/>
              <w:bottom w:val="none" w:sz="0" w:space="0" w:color="auto"/>
            </w:tcBorders>
          </w:tcPr>
          <w:p w14:paraId="76A31938"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36" w:type="dxa"/>
            <w:gridSpan w:val="2"/>
            <w:tcBorders>
              <w:top w:val="none" w:sz="0" w:space="0" w:color="auto"/>
              <w:bottom w:val="none" w:sz="0" w:space="0" w:color="auto"/>
            </w:tcBorders>
          </w:tcPr>
          <w:p w14:paraId="6A0B75B9"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26" w:type="dxa"/>
            <w:gridSpan w:val="2"/>
            <w:tcBorders>
              <w:top w:val="none" w:sz="0" w:space="0" w:color="auto"/>
              <w:bottom w:val="none" w:sz="0" w:space="0" w:color="auto"/>
            </w:tcBorders>
          </w:tcPr>
          <w:p w14:paraId="54B02820"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1 (0.9) 1</w:t>
            </w:r>
          </w:p>
        </w:tc>
        <w:tc>
          <w:tcPr>
            <w:tcW w:w="1836" w:type="dxa"/>
            <w:gridSpan w:val="2"/>
            <w:tcBorders>
              <w:top w:val="none" w:sz="0" w:space="0" w:color="auto"/>
              <w:bottom w:val="none" w:sz="0" w:space="0" w:color="auto"/>
            </w:tcBorders>
          </w:tcPr>
          <w:p w14:paraId="05003F60"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r>
      <w:tr w:rsidR="006F4CE9" w:rsidRPr="006F4CE9" w14:paraId="3406F763" w14:textId="77777777" w:rsidTr="00855FB0">
        <w:tc>
          <w:tcPr>
            <w:cnfStyle w:val="001000000000" w:firstRow="0" w:lastRow="0" w:firstColumn="1" w:lastColumn="0" w:oddVBand="0" w:evenVBand="0" w:oddHBand="0" w:evenHBand="0" w:firstRowFirstColumn="0" w:firstRowLastColumn="0" w:lastRowFirstColumn="0" w:lastRowLastColumn="0"/>
            <w:tcW w:w="9100" w:type="dxa"/>
            <w:gridSpan w:val="9"/>
          </w:tcPr>
          <w:p w14:paraId="170EF62E" w14:textId="77777777" w:rsidR="006F4CE9" w:rsidRPr="006F4CE9" w:rsidRDefault="006F4CE9" w:rsidP="00027A97">
            <w:pPr>
              <w:rPr>
                <w:bCs w:val="0"/>
              </w:rPr>
            </w:pPr>
            <w:r w:rsidRPr="006F4CE9">
              <w:rPr>
                <w:bCs w:val="0"/>
              </w:rPr>
              <w:t>Non-ocular TEAEs</w:t>
            </w:r>
          </w:p>
        </w:tc>
      </w:tr>
      <w:tr w:rsidR="006F4CE9" w:rsidRPr="006F4CE9" w14:paraId="40C41568" w14:textId="77777777" w:rsidTr="0085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bottom w:val="none" w:sz="0" w:space="0" w:color="auto"/>
            </w:tcBorders>
          </w:tcPr>
          <w:p w14:paraId="0A4D5F0B" w14:textId="77777777" w:rsidR="006F4CE9" w:rsidRPr="006F4CE9" w:rsidRDefault="006F4CE9" w:rsidP="00027A97">
            <w:pPr>
              <w:rPr>
                <w:bCs w:val="0"/>
              </w:rPr>
            </w:pPr>
            <w:r w:rsidRPr="006F4CE9">
              <w:rPr>
                <w:bCs w:val="0"/>
              </w:rPr>
              <w:t>Related to drug</w:t>
            </w:r>
          </w:p>
        </w:tc>
        <w:tc>
          <w:tcPr>
            <w:tcW w:w="1725" w:type="dxa"/>
            <w:gridSpan w:val="2"/>
            <w:tcBorders>
              <w:top w:val="none" w:sz="0" w:space="0" w:color="auto"/>
              <w:bottom w:val="none" w:sz="0" w:space="0" w:color="auto"/>
            </w:tcBorders>
          </w:tcPr>
          <w:p w14:paraId="5543E6D0"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36" w:type="dxa"/>
            <w:gridSpan w:val="2"/>
            <w:tcBorders>
              <w:top w:val="none" w:sz="0" w:space="0" w:color="auto"/>
              <w:bottom w:val="none" w:sz="0" w:space="0" w:color="auto"/>
            </w:tcBorders>
          </w:tcPr>
          <w:p w14:paraId="28FA8DC9"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w:t>
            </w:r>
          </w:p>
        </w:tc>
        <w:tc>
          <w:tcPr>
            <w:tcW w:w="1726" w:type="dxa"/>
            <w:gridSpan w:val="2"/>
            <w:tcBorders>
              <w:top w:val="none" w:sz="0" w:space="0" w:color="auto"/>
              <w:bottom w:val="none" w:sz="0" w:space="0" w:color="auto"/>
            </w:tcBorders>
          </w:tcPr>
          <w:p w14:paraId="2F1E11CA"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c>
          <w:tcPr>
            <w:tcW w:w="1836" w:type="dxa"/>
            <w:gridSpan w:val="2"/>
            <w:tcBorders>
              <w:top w:val="none" w:sz="0" w:space="0" w:color="auto"/>
              <w:bottom w:val="none" w:sz="0" w:space="0" w:color="auto"/>
            </w:tcBorders>
          </w:tcPr>
          <w:p w14:paraId="2F9D4DF2" w14:textId="77777777" w:rsidR="006F4CE9" w:rsidRPr="006F4CE9" w:rsidRDefault="006F4CE9" w:rsidP="00027A97">
            <w:pPr>
              <w:cnfStyle w:val="000000100000" w:firstRow="0" w:lastRow="0" w:firstColumn="0" w:lastColumn="0" w:oddVBand="0" w:evenVBand="0" w:oddHBand="1" w:evenHBand="0" w:firstRowFirstColumn="0" w:firstRowLastColumn="0" w:lastRowFirstColumn="0" w:lastRowLastColumn="0"/>
              <w:rPr>
                <w:b/>
              </w:rPr>
            </w:pPr>
            <w:r w:rsidRPr="006F4CE9">
              <w:t>0 (0.0) 0</w:t>
            </w:r>
          </w:p>
        </w:tc>
      </w:tr>
      <w:tr w:rsidR="006F4CE9" w:rsidRPr="006F4CE9" w14:paraId="24D26219" w14:textId="77777777" w:rsidTr="00855FB0">
        <w:tc>
          <w:tcPr>
            <w:cnfStyle w:val="001000000000" w:firstRow="0" w:lastRow="0" w:firstColumn="1" w:lastColumn="0" w:oddVBand="0" w:evenVBand="0" w:oddHBand="0" w:evenHBand="0" w:firstRowFirstColumn="0" w:firstRowLastColumn="0" w:lastRowFirstColumn="0" w:lastRowLastColumn="0"/>
            <w:tcW w:w="2077" w:type="dxa"/>
          </w:tcPr>
          <w:p w14:paraId="3D75FE1D" w14:textId="77777777" w:rsidR="006F4CE9" w:rsidRPr="006F4CE9" w:rsidRDefault="006F4CE9" w:rsidP="00027A97">
            <w:pPr>
              <w:rPr>
                <w:bCs w:val="0"/>
              </w:rPr>
            </w:pPr>
            <w:r w:rsidRPr="006F4CE9">
              <w:rPr>
                <w:bCs w:val="0"/>
              </w:rPr>
              <w:t>Related to IVT injection</w:t>
            </w:r>
          </w:p>
        </w:tc>
        <w:tc>
          <w:tcPr>
            <w:tcW w:w="1725" w:type="dxa"/>
            <w:gridSpan w:val="2"/>
          </w:tcPr>
          <w:p w14:paraId="72A27560"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36" w:type="dxa"/>
            <w:gridSpan w:val="2"/>
          </w:tcPr>
          <w:p w14:paraId="5D7DD1B8"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w:t>
            </w:r>
          </w:p>
        </w:tc>
        <w:tc>
          <w:tcPr>
            <w:tcW w:w="1726" w:type="dxa"/>
            <w:gridSpan w:val="2"/>
          </w:tcPr>
          <w:p w14:paraId="3EE364C6"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c>
          <w:tcPr>
            <w:tcW w:w="1836" w:type="dxa"/>
            <w:gridSpan w:val="2"/>
          </w:tcPr>
          <w:p w14:paraId="349DCD1B" w14:textId="77777777" w:rsidR="006F4CE9" w:rsidRPr="006F4CE9" w:rsidRDefault="006F4CE9" w:rsidP="00027A97">
            <w:pPr>
              <w:cnfStyle w:val="000000000000" w:firstRow="0" w:lastRow="0" w:firstColumn="0" w:lastColumn="0" w:oddVBand="0" w:evenVBand="0" w:oddHBand="0" w:evenHBand="0" w:firstRowFirstColumn="0" w:firstRowLastColumn="0" w:lastRowFirstColumn="0" w:lastRowLastColumn="0"/>
              <w:rPr>
                <w:b/>
              </w:rPr>
            </w:pPr>
            <w:r w:rsidRPr="006F4CE9">
              <w:t>0 (0.0) 0</w:t>
            </w:r>
          </w:p>
        </w:tc>
      </w:tr>
    </w:tbl>
    <w:p w14:paraId="79686263" w14:textId="77777777" w:rsidR="0098606C" w:rsidRDefault="0098606C" w:rsidP="00E84848">
      <w:pPr>
        <w:pStyle w:val="Heading7"/>
      </w:pPr>
      <w:r>
        <w:t>Deaths</w:t>
      </w:r>
    </w:p>
    <w:p w14:paraId="349371D1" w14:textId="77777777" w:rsidR="0098606C" w:rsidRDefault="0098606C" w:rsidP="0098606C">
      <w:r>
        <w:t>In total, 3 (0.7%) subjects died in the main and transition periods: 1 (0.4%) subject in the Eylea treatment group with primary cause of death reported as circulatory collapse in the main period, 1 (0.5%) subject in the SB15+SB15 treatment group with unknown cause of death, and 1 (1.0%) subject in the Eylea+Eylea treatment group due to cerebrovascular accident (which was a non-ocular AESI) in the transition period. None of these events were considered related to the IP.</w:t>
      </w:r>
    </w:p>
    <w:p w14:paraId="17823087" w14:textId="77777777" w:rsidR="0098606C" w:rsidRDefault="0098606C" w:rsidP="00E84848">
      <w:pPr>
        <w:pStyle w:val="Heading7"/>
      </w:pPr>
      <w:r>
        <w:lastRenderedPageBreak/>
        <w:t>Ocular serious TEAEs</w:t>
      </w:r>
    </w:p>
    <w:p w14:paraId="31417CCF" w14:textId="5FAE8C2A" w:rsidR="009A01A9" w:rsidRDefault="0098606C" w:rsidP="009A01A9">
      <w:pPr>
        <w:pStyle w:val="TableTitle"/>
      </w:pPr>
      <w:r>
        <w:t>Table</w:t>
      </w:r>
      <w:r w:rsidR="00062588">
        <w:t xml:space="preserve"> 8</w:t>
      </w:r>
      <w:r>
        <w:t>. Ocular Serious Treatment-Emergent Adverse Events in the Study Eye by System Organ Class and Preferred Term in the Overall Period (Safety Set 1)</w:t>
      </w:r>
    </w:p>
    <w:p w14:paraId="52E24168" w14:textId="27735AAA" w:rsidR="00521884" w:rsidRDefault="00B5487E" w:rsidP="00027A97">
      <w:r w:rsidRPr="007F3BCF">
        <w:rPr>
          <w:noProof/>
          <w:lang w:eastAsia="ja-JP"/>
        </w:rPr>
        <w:drawing>
          <wp:inline distT="0" distB="0" distL="0" distR="0" wp14:anchorId="524B5247" wp14:editId="3F3FD2BA">
            <wp:extent cx="5700490" cy="1579880"/>
            <wp:effectExtent l="0" t="0" r="0" b="1270"/>
            <wp:docPr id="1480796890" name="Picture 1" descr="Table 8. Ocular Serious Treatment-Emergent Adverse Events in the Study Eye by System Organ Class and Preferred Term in the Overall Period (Safety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6890" name="Picture 1" descr="Table 8. Ocular Serious Treatment-Emergent Adverse Events in the Study Eye by System Organ Class and Preferred Term in the Overall Period (Safety Set 1)"/>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Lst>
                    </a:blip>
                    <a:srcRect b="693"/>
                    <a:stretch>
                      <a:fillRect/>
                    </a:stretch>
                  </pic:blipFill>
                  <pic:spPr bwMode="auto">
                    <a:xfrm>
                      <a:off x="0" y="0"/>
                      <a:ext cx="5704770" cy="1581066"/>
                    </a:xfrm>
                    <a:prstGeom prst="rect">
                      <a:avLst/>
                    </a:prstGeom>
                    <a:ln>
                      <a:noFill/>
                    </a:ln>
                    <a:extLst>
                      <a:ext uri="{53640926-AAD7-44D8-BBD7-CCE9431645EC}">
                        <a14:shadowObscured xmlns:a14="http://schemas.microsoft.com/office/drawing/2010/main"/>
                      </a:ext>
                    </a:extLst>
                  </pic:spPr>
                </pic:pic>
              </a:graphicData>
            </a:graphic>
          </wp:inline>
        </w:drawing>
      </w:r>
      <w:r w:rsidR="00521884" w:rsidRPr="007F3BCF">
        <w:rPr>
          <w:noProof/>
          <w:lang w:eastAsia="ja-JP"/>
        </w:rPr>
        <w:drawing>
          <wp:inline distT="0" distB="0" distL="0" distR="0" wp14:anchorId="48F75FE1" wp14:editId="4753953F">
            <wp:extent cx="5713730" cy="1078462"/>
            <wp:effectExtent l="0" t="0" r="1270" b="7620"/>
            <wp:docPr id="1414201695" name="Picture 1" descr="A table of text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1695" name="Picture 1" descr="A table of text with numbers and letters&#10;&#10;Description automatically generated with medium confidenc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511" t="23723" b="39606"/>
                    <a:stretch>
                      <a:fillRect/>
                    </a:stretch>
                  </pic:blipFill>
                  <pic:spPr bwMode="auto">
                    <a:xfrm>
                      <a:off x="0" y="0"/>
                      <a:ext cx="5719543" cy="1079559"/>
                    </a:xfrm>
                    <a:prstGeom prst="rect">
                      <a:avLst/>
                    </a:prstGeom>
                    <a:ln>
                      <a:noFill/>
                    </a:ln>
                    <a:extLst>
                      <a:ext uri="{53640926-AAD7-44D8-BBD7-CCE9431645EC}">
                        <a14:shadowObscured xmlns:a14="http://schemas.microsoft.com/office/drawing/2010/main"/>
                      </a:ext>
                    </a:extLst>
                  </pic:spPr>
                </pic:pic>
              </a:graphicData>
            </a:graphic>
          </wp:inline>
        </w:drawing>
      </w:r>
    </w:p>
    <w:p w14:paraId="60719570" w14:textId="3E180B3F" w:rsidR="00C305EE" w:rsidRDefault="00C305EE" w:rsidP="00C305EE">
      <w:pPr>
        <w:pStyle w:val="TableDescription"/>
      </w:pPr>
      <w:r>
        <w:t>E = frequency of events; N = number of subjects in the Safety Set 1; n = number of subjects with event; [EAE = treatment-emergent adverse event</w:t>
      </w:r>
    </w:p>
    <w:p w14:paraId="1ED44D88" w14:textId="77777777" w:rsidR="00C305EE" w:rsidRDefault="00C305EE" w:rsidP="00C305EE">
      <w:pPr>
        <w:pStyle w:val="TableDescription"/>
      </w:pPr>
      <w:r>
        <w:t>Adverse events were coded to system organ class and preferred term using MedDRA coding dictionary version 23.0.</w:t>
      </w:r>
    </w:p>
    <w:p w14:paraId="4394D5B3" w14:textId="1C1869F7" w:rsidR="00C305EE" w:rsidRDefault="00C305EE" w:rsidP="00C305EE">
      <w:pPr>
        <w:pStyle w:val="TableDescription"/>
      </w:pPr>
      <w:r>
        <w:t>a Based on subjects in Safety Set 2, Eylea+SB15 and Eylea+Eylea may not add up to Eylea Overall.</w:t>
      </w:r>
    </w:p>
    <w:p w14:paraId="35A98CF0" w14:textId="77777777" w:rsidR="00C305EE" w:rsidRDefault="00C305EE" w:rsidP="00C305EE">
      <w:pPr>
        <w:pStyle w:val="TableDescription"/>
      </w:pPr>
      <w:r>
        <w:t>Percentages were based on the number of subjects in the Safety Set 1.</w:t>
      </w:r>
    </w:p>
    <w:p w14:paraId="609143D1" w14:textId="6453E61F" w:rsidR="00C305EE" w:rsidRDefault="00C305EE" w:rsidP="00C305EE">
      <w:pPr>
        <w:pStyle w:val="TableDescription"/>
      </w:pPr>
      <w:r>
        <w:t>System organ classes were presented alphabetically; preferred terms were sorted within each system organ class in descending order of subject frequency of Total treatment group. If the frequency of the preferred terms were tied, the preferred terms were ordered alphabetically.</w:t>
      </w:r>
    </w:p>
    <w:p w14:paraId="1AFFBBCC" w14:textId="37F5BCC5" w:rsidR="00817E39" w:rsidRDefault="00817E39" w:rsidP="00817E39">
      <w:pPr>
        <w:pStyle w:val="TableTitle"/>
      </w:pPr>
      <w:r>
        <w:t>Table</w:t>
      </w:r>
      <w:r w:rsidR="00062588">
        <w:t xml:space="preserve"> 9.</w:t>
      </w:r>
      <w:r>
        <w:t xml:space="preserve"> </w:t>
      </w:r>
      <w:r w:rsidRPr="00817E39">
        <w:t>Ocular Serious Treatment-Emergent Adverse Events in the Study Eye by System Organ Class and Preferred Term in Transition Period (Safety Set 2)</w:t>
      </w:r>
    </w:p>
    <w:p w14:paraId="423F741C" w14:textId="15363A75" w:rsidR="00F216AC" w:rsidRDefault="00F216AC" w:rsidP="00027A97">
      <w:r w:rsidRPr="00856E55">
        <w:rPr>
          <w:noProof/>
        </w:rPr>
        <w:drawing>
          <wp:inline distT="0" distB="0" distL="0" distR="0" wp14:anchorId="5C6D65CE" wp14:editId="74F20BD7">
            <wp:extent cx="5731510" cy="1529080"/>
            <wp:effectExtent l="0" t="0" r="2540" b="0"/>
            <wp:docPr id="711810082" name="Picture 1" descr="Table 9. Ocular Serious Treatment-Emergent Adverse Events in the Study Eye by System Organ Class and Preferred Term in Transition Period (Safety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10082" name="Picture 1" descr="Table 9. Ocular Serious Treatment-Emergent Adverse Events in the Study Eye by System Organ Class and Preferred Term in Transition Period (Safety Set 2)"/>
                    <pic:cNvPicPr/>
                  </pic:nvPicPr>
                  <pic:blipFill rotWithShape="1">
                    <a:blip r:embed="rId41"/>
                    <a:srcRect b="38256"/>
                    <a:stretch>
                      <a:fillRect/>
                    </a:stretch>
                  </pic:blipFill>
                  <pic:spPr bwMode="auto">
                    <a:xfrm>
                      <a:off x="0" y="0"/>
                      <a:ext cx="5731510" cy="1529080"/>
                    </a:xfrm>
                    <a:prstGeom prst="rect">
                      <a:avLst/>
                    </a:prstGeom>
                    <a:ln>
                      <a:noFill/>
                    </a:ln>
                    <a:extLst>
                      <a:ext uri="{53640926-AAD7-44D8-BBD7-CCE9431645EC}">
                        <a14:shadowObscured xmlns:a14="http://schemas.microsoft.com/office/drawing/2010/main"/>
                      </a:ext>
                    </a:extLst>
                  </pic:spPr>
                </pic:pic>
              </a:graphicData>
            </a:graphic>
          </wp:inline>
        </w:drawing>
      </w:r>
    </w:p>
    <w:p w14:paraId="20DCF5A2" w14:textId="74AE76E6" w:rsidR="000A1253" w:rsidRDefault="000A1253" w:rsidP="000A1253">
      <w:pPr>
        <w:pStyle w:val="TableDescription"/>
      </w:pPr>
      <w:r>
        <w:t>E = frequency of events; N = number of subjects in the Safety Set 2; n = number of subjects with event; TEAE = treatment-emergent adverse event.</w:t>
      </w:r>
    </w:p>
    <w:p w14:paraId="31C76BBC" w14:textId="77777777" w:rsidR="000A1253" w:rsidRDefault="000A1253" w:rsidP="000A1253">
      <w:pPr>
        <w:pStyle w:val="TableDescription"/>
      </w:pPr>
      <w:r>
        <w:t>Adverse events were coded to system organ class and preferred term using MedDRA coding dictionary version 23.0.</w:t>
      </w:r>
    </w:p>
    <w:p w14:paraId="33D4085F" w14:textId="654F1DB5" w:rsidR="000A1253" w:rsidRDefault="000A1253" w:rsidP="000A1253">
      <w:pPr>
        <w:pStyle w:val="TableDescription"/>
      </w:pPr>
      <w:r>
        <w:t>Percentages were based on the number of subjects in the Safety Set 2.</w:t>
      </w:r>
    </w:p>
    <w:p w14:paraId="64D22B04" w14:textId="21666C24" w:rsidR="00817E39" w:rsidRDefault="000A1253" w:rsidP="000A1253">
      <w:pPr>
        <w:pStyle w:val="TableDescription"/>
      </w:pPr>
      <w:r>
        <w:t>System organ classes were presented alphabetically; preferred terms were sorted within each system organ class in descending order of subject frequency of Total treatment group. If the frequency of the preferred terms were tied, the preferred terms were ordered alphabetically.</w:t>
      </w:r>
    </w:p>
    <w:p w14:paraId="42DD9679" w14:textId="4685A367" w:rsidR="00243C77" w:rsidRDefault="00243C77" w:rsidP="004676D9">
      <w:pPr>
        <w:pStyle w:val="Heading6"/>
      </w:pPr>
      <w:r>
        <w:t>C</w:t>
      </w:r>
      <w:r w:rsidRPr="00243C77">
        <w:t>omments on adverse events in study SB15-3001</w:t>
      </w:r>
    </w:p>
    <w:p w14:paraId="2F1D1CC7" w14:textId="77777777" w:rsidR="00D0658F" w:rsidRDefault="00D0658F" w:rsidP="00D0658F">
      <w:r>
        <w:t>The pivotal study SB15-3001 provided randomised comparisons of adverse events in patients with wet AMD over 56 weeks. Exposure was comparable across treatment groups. Limitations of the safety data include:</w:t>
      </w:r>
    </w:p>
    <w:p w14:paraId="0AE5D331" w14:textId="7AF9AF11" w:rsidR="00D0658F" w:rsidRDefault="00D0658F" w:rsidP="00A53C0A">
      <w:pPr>
        <w:pStyle w:val="ListBullet"/>
      </w:pPr>
      <w:r>
        <w:lastRenderedPageBreak/>
        <w:t xml:space="preserve">91/449 (20%) patients had a diagnosis of wet AMD in the fellow eye at </w:t>
      </w:r>
      <w:proofErr w:type="gramStart"/>
      <w:r>
        <w:t>baseline, and</w:t>
      </w:r>
      <w:proofErr w:type="gramEnd"/>
      <w:r>
        <w:t xml:space="preserve"> more would have been diagnosed throughout the study. The use of Eylea in the fellow eye in these patients may reduce the study’s sensitivity in detecting non-ocular safety signals.</w:t>
      </w:r>
    </w:p>
    <w:p w14:paraId="2DE3AA8F" w14:textId="311D5CB6" w:rsidR="00D0658F" w:rsidRDefault="00D0658F" w:rsidP="00A53C0A">
      <w:pPr>
        <w:pStyle w:val="ListBullet"/>
      </w:pPr>
      <w:r>
        <w:t xml:space="preserve">The sample size does not allow for the detection of uncommon safety signals, and extensive exclusion of patients with comorbidities, while helpful in removing potential confounders, may reduce the study’s sensitivity in detecting signals that would have been more apparent if underlying risk factors were present. </w:t>
      </w:r>
    </w:p>
    <w:p w14:paraId="12130CCA" w14:textId="4D413438" w:rsidR="00D0658F" w:rsidRDefault="00D0658F" w:rsidP="00A53C0A">
      <w:pPr>
        <w:pStyle w:val="ListBullet"/>
      </w:pPr>
      <w:r>
        <w:t xml:space="preserve">Protocol deviations, the somewhat asymmetrical loss to follow-up, and differences in baseline characteristics (e.g., gender and lens status) between SB15 vs. Eylea+Eylea and Eylea+SB15 vs. Eylea+Eylea may also affect result validity.  </w:t>
      </w:r>
    </w:p>
    <w:p w14:paraId="7FDE56E1" w14:textId="32EDFBB8" w:rsidR="00D0658F" w:rsidRDefault="00D0658F" w:rsidP="00A53C0A">
      <w:pPr>
        <w:pStyle w:val="ListBullet"/>
      </w:pPr>
      <w:r>
        <w:t>Interpretation of safety data on switching (Eylea+SB15 vs. Eylea+Eylea) is limited by the smaller sample size and short duration of exposure to switched treatment (3 doses).</w:t>
      </w:r>
    </w:p>
    <w:p w14:paraId="0FB7EA1B" w14:textId="77777777" w:rsidR="00D0658F" w:rsidRDefault="00D0658F" w:rsidP="004676D9">
      <w:pPr>
        <w:pStyle w:val="Heading6"/>
      </w:pPr>
      <w:r>
        <w:t>SB15 vs. Eylea+</w:t>
      </w:r>
      <w:r w:rsidRPr="004676D9">
        <w:t>Eylea</w:t>
      </w:r>
      <w:r>
        <w:t xml:space="preserve"> over 56 weeks</w:t>
      </w:r>
    </w:p>
    <w:p w14:paraId="1D9CC4BC" w14:textId="77777777" w:rsidR="00D0658F" w:rsidRDefault="00D0658F" w:rsidP="00D0658F">
      <w:r>
        <w:t xml:space="preserve">The key comparison pair was SB15 vs. Eylea+Eylea over 56 weeks (Overall period, N ~328). Compared to Eylea, a higher proportion of patients treated with SB15 experienced ocular TEAEs in the study eye (24.6% vs. 14.4%), partially driven by the PTs of “visual acuity reduced” and “conjunctival haemorrhage”. There was also a small difference in related ocular TEAEs, higher in the SB15 arm. Proportions of patients with severe or serious ocular TEAEs were comparable, which is reassuring. </w:t>
      </w:r>
    </w:p>
    <w:p w14:paraId="2234193F" w14:textId="77777777" w:rsidR="00D0658F" w:rsidRDefault="00D0658F" w:rsidP="00D0658F">
      <w:r>
        <w:t xml:space="preserve">Proportions of patients experiencing non-ocular TEAEs, including severe and serious non-ocular TEAEs, were comparable. TEAEs leading to discontinuation were reported in 1.3% and 0% of the SB15 and Eylea+Eylea arms, respectively. </w:t>
      </w:r>
    </w:p>
    <w:p w14:paraId="43B93B29" w14:textId="77777777" w:rsidR="00D0658F" w:rsidRDefault="00D0658F" w:rsidP="00D0658F">
      <w:pPr>
        <w:pStyle w:val="Heading6"/>
      </w:pPr>
      <w:r>
        <w:t>SB15 vs. Eylea over 32 weeks</w:t>
      </w:r>
    </w:p>
    <w:p w14:paraId="341F735B" w14:textId="77777777" w:rsidR="00D0658F" w:rsidRDefault="00D0658F" w:rsidP="00D0658F">
      <w:r>
        <w:t xml:space="preserve">Examining SB15 vs. Eylea over 32 weeks (Main period, N ~448) also allows for the comparison of SB15 alone vs. Eylea alone without switching. Other than summaries, results were not replicated the in CER given the expected overlap with the comparison of SB15 vs. Eylea+Eylea over 56 weeks. Results presented in the body of the CSR were briefly reviewed. </w:t>
      </w:r>
    </w:p>
    <w:p w14:paraId="35992D45" w14:textId="77777777" w:rsidR="00D0658F" w:rsidRDefault="00D0658F" w:rsidP="00D0658F">
      <w:r>
        <w:t xml:space="preserve">There was an increase in the proportion of patients experiencing ocular TEAEs in the study eye (18.3% vs. 12.5%) with SB15 compared to Eylea. The small difference in related ocular TEAEs were again seen. There were no or small differences in severe or serious ocular TEAEs. There was a small difference in non-ocular TEAEs (33% vs. 30.4%), with no difference in severe or serious non-ocular TEAEs. Overall, acknowledging some differences to the comparison of SB15 vs. Eylea+Eylea over 56 weeks, no additional safety signals was identified by the evaluator. </w:t>
      </w:r>
    </w:p>
    <w:p w14:paraId="506A8748" w14:textId="77777777" w:rsidR="00D0658F" w:rsidRDefault="00D0658F" w:rsidP="00243C77">
      <w:pPr>
        <w:pStyle w:val="Heading6"/>
      </w:pPr>
      <w:r>
        <w:t>Eylea+SB15 vs. Eylea+Eylea</w:t>
      </w:r>
    </w:p>
    <w:p w14:paraId="21D4BF7B" w14:textId="77777777" w:rsidR="00D0658F" w:rsidRDefault="00D0658F" w:rsidP="00D0658F">
      <w:r>
        <w:t xml:space="preserve">The effect of switching from Eylea to SB15 can be examined by comparing Eylea+SB15 vs. Eylea+Eylea over weeks ~32 to 56 (Transition Period, N~215). A higher proportion of patients who switched to SB15 experienced ocular TEAEs (10.8% vs. 2.9%) in the study eye compared to no switching, partially driven by the PTs of “posterior capsule opacification” and “xeropthalmia”. There was no increase in severe or serious ocular TEAEs. Proportions of patients with non-ocular TEAEs, including severe and serious non-ocular TEAEs, were comparable. </w:t>
      </w:r>
    </w:p>
    <w:p w14:paraId="79C2A1DB" w14:textId="77777777" w:rsidR="00D0658F" w:rsidRDefault="00D0658F" w:rsidP="004676D9">
      <w:pPr>
        <w:pStyle w:val="Heading6"/>
      </w:pPr>
      <w:r>
        <w:t>Deaths</w:t>
      </w:r>
    </w:p>
    <w:p w14:paraId="3AC83609" w14:textId="77777777" w:rsidR="00D0658F" w:rsidRDefault="00D0658F" w:rsidP="00D0658F">
      <w:r>
        <w:t>There were three deaths:</w:t>
      </w:r>
    </w:p>
    <w:p w14:paraId="2DCDCB44" w14:textId="34323015" w:rsidR="00D0658F" w:rsidRDefault="00D0658F" w:rsidP="00243C77">
      <w:pPr>
        <w:pStyle w:val="ListBullet"/>
      </w:pPr>
      <w:r>
        <w:t>1 in the SB15 arm (unknown cause)</w:t>
      </w:r>
    </w:p>
    <w:p w14:paraId="4AFBBAEE" w14:textId="29947546" w:rsidR="00D0658F" w:rsidRDefault="00D0658F" w:rsidP="00243C77">
      <w:pPr>
        <w:pStyle w:val="ListBullet"/>
      </w:pPr>
      <w:r>
        <w:lastRenderedPageBreak/>
        <w:t>1 in the Eylea arm (circulatory collapse)</w:t>
      </w:r>
    </w:p>
    <w:p w14:paraId="363F2463" w14:textId="739ACA2D" w:rsidR="00D0658F" w:rsidRDefault="00D0658F" w:rsidP="00243C77">
      <w:pPr>
        <w:pStyle w:val="ListBullet"/>
      </w:pPr>
      <w:r>
        <w:t>1 in the Eylea+Eylea arm (cerebrovascular event)</w:t>
      </w:r>
    </w:p>
    <w:p w14:paraId="2F63C155" w14:textId="4C1E3818" w:rsidR="00D0658F" w:rsidRDefault="00D0658F" w:rsidP="00D0658F">
      <w:r>
        <w:t xml:space="preserve">For </w:t>
      </w:r>
      <w:r w:rsidR="008657A5">
        <w:t xml:space="preserve">one </w:t>
      </w:r>
      <w:r>
        <w:t xml:space="preserve">subject in the SB15 arm, although the cause of death was stated as unknown, the narrative suggests it was possibly related to cardiac failure, with the subject only discharged 2 weeks prior to death from an admission for newly diagnosed cardiac failure. Autopsy also lists atherosclerotic heart disease and unspecified heart failure among the findings. The significance of this death in the SB15 arm is unclear. Concerning aspects include the relatively young age and that the shortness of breath, a typical symptom of heart failure, started roughly 7 months into SB15 treatment. On the other hand, the subject had a long-standing history of hypertension. </w:t>
      </w:r>
    </w:p>
    <w:p w14:paraId="20FCABC7" w14:textId="77777777" w:rsidR="00D0658F" w:rsidRDefault="00D0658F" w:rsidP="004676D9">
      <w:pPr>
        <w:pStyle w:val="Heading6"/>
      </w:pPr>
      <w:r>
        <w:t>Concluding comment on adverse events in study SB15-3001</w:t>
      </w:r>
    </w:p>
    <w:p w14:paraId="1856B93A" w14:textId="3E5AC4B7" w:rsidR="00D0658F" w:rsidRDefault="00D0658F" w:rsidP="00D0658F">
      <w:r>
        <w:t xml:space="preserve">In summary, over 56 weeks, higher incidences of ocular TEAEs and related ocular TEAEs were seen with SB15 compared to Eylea. Severe and serious ocular TEAEs were reassuringly comparable. No additional safety signals were identified by examining SB15 vs. Eylea over 32 weeks. Switching from Eylea to SB15 appear to be associated with a higher frequency of ocular TEAEs compared to no switching, again with no increase in severe or serious ocular TEAEs. One death was reported in the SB15 arm, probably related to heart failure. Various limitations to the interpretation of safety data are noted. </w:t>
      </w:r>
    </w:p>
    <w:p w14:paraId="520CA7EE" w14:textId="77777777" w:rsidR="00D0658F" w:rsidRDefault="00D0658F" w:rsidP="004676D9">
      <w:pPr>
        <w:pStyle w:val="Heading6"/>
      </w:pPr>
      <w:r>
        <w:t>Ocular adverse events of special interest</w:t>
      </w:r>
    </w:p>
    <w:p w14:paraId="281A88BE" w14:textId="072F2DAB" w:rsidR="00D0658F" w:rsidRDefault="005D1DB6" w:rsidP="00023045">
      <w:pPr>
        <w:pStyle w:val="TableTitle"/>
      </w:pPr>
      <w:r>
        <w:t xml:space="preserve">Table </w:t>
      </w:r>
      <w:r w:rsidR="00062588">
        <w:t xml:space="preserve">10. </w:t>
      </w:r>
      <w:r w:rsidR="00D0658F">
        <w:t>Ocular Adverse Events of Specific Interest (AESI) in Study Eye by System Organ Class and Preferred Term in the Overall Period (Safety Set 1)</w:t>
      </w:r>
    </w:p>
    <w:p w14:paraId="35282017" w14:textId="2AD9D977" w:rsidR="00023045" w:rsidRDefault="00023045" w:rsidP="00D0658F">
      <w:r w:rsidRPr="00A81596">
        <w:rPr>
          <w:noProof/>
          <w:lang w:eastAsia="ja-JP"/>
        </w:rPr>
        <w:drawing>
          <wp:inline distT="0" distB="0" distL="0" distR="0" wp14:anchorId="02788246" wp14:editId="1D7A8868">
            <wp:extent cx="5731510" cy="2302328"/>
            <wp:effectExtent l="0" t="0" r="2540" b="3175"/>
            <wp:docPr id="1897748367" name="Picture 1" descr="Table 10. Ocular Adverse Events of Specific Interest (AESI) in Study Eye by System Organ Class and Preferred Term in the Overall Period (Safety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48367" name="Picture 1" descr="Table 10. Ocular Adverse Events of Specific Interest (AESI) in Study Eye by System Organ Class and Preferred Term in the Overall Period (Safety Set 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b="45527"/>
                    <a:stretch>
                      <a:fillRect/>
                    </a:stretch>
                  </pic:blipFill>
                  <pic:spPr bwMode="auto">
                    <a:xfrm>
                      <a:off x="0" y="0"/>
                      <a:ext cx="5731510" cy="2302328"/>
                    </a:xfrm>
                    <a:prstGeom prst="rect">
                      <a:avLst/>
                    </a:prstGeom>
                    <a:ln>
                      <a:noFill/>
                    </a:ln>
                    <a:extLst>
                      <a:ext uri="{53640926-AAD7-44D8-BBD7-CCE9431645EC}">
                        <a14:shadowObscured xmlns:a14="http://schemas.microsoft.com/office/drawing/2010/main"/>
                      </a:ext>
                    </a:extLst>
                  </pic:spPr>
                </pic:pic>
              </a:graphicData>
            </a:graphic>
          </wp:inline>
        </w:drawing>
      </w:r>
    </w:p>
    <w:p w14:paraId="07F13DB3" w14:textId="25FB6724" w:rsidR="00B57DEE" w:rsidRDefault="00B57DEE" w:rsidP="00B57DEE">
      <w:pPr>
        <w:pStyle w:val="TableDescription"/>
      </w:pPr>
      <w:r>
        <w:t xml:space="preserve">AESI: = adverse events of special interest; DA = disc area; E = frequency of events; IOP = intraocular pressure; N = number of subjects in the Safety Set 1; n = number of subjects with event </w:t>
      </w:r>
    </w:p>
    <w:p w14:paraId="3195053B" w14:textId="476B1DAA" w:rsidR="00B57DEE" w:rsidRDefault="00B57DEE" w:rsidP="00B57DEE">
      <w:pPr>
        <w:pStyle w:val="TableDescription"/>
      </w:pPr>
      <w:r>
        <w:t>Adverse events were coded to system organ class and preferred term using MedDRA coding dictionary version 23.0.</w:t>
      </w:r>
    </w:p>
    <w:p w14:paraId="3CF686FE" w14:textId="3E365169" w:rsidR="00B57DEE" w:rsidRDefault="00B57DEE" w:rsidP="00B57DEE">
      <w:pPr>
        <w:pStyle w:val="TableDescription"/>
      </w:pPr>
      <w:r>
        <w:t>a</w:t>
      </w:r>
      <w:r w:rsidR="00E0191E">
        <w:t>.</w:t>
      </w:r>
      <w:r>
        <w:t xml:space="preserve"> Based on subjects in Safety Set 2, Eylea+SB15 and Eylea+Eylea may not add up to Eylea Overall.</w:t>
      </w:r>
    </w:p>
    <w:p w14:paraId="143E33BF" w14:textId="16A1E767" w:rsidR="00B57DEE" w:rsidRDefault="00B57DEE" w:rsidP="00B57DEE">
      <w:pPr>
        <w:pStyle w:val="TableDescription"/>
      </w:pPr>
      <w:r>
        <w:t>b</w:t>
      </w:r>
      <w:r w:rsidR="00E0191E">
        <w:t>.</w:t>
      </w:r>
      <w:r>
        <w:t xml:space="preserve">  AESI Category 7: Subretinal haemorrhage with the size of 1 DA or more involving the centre of the fovea, or if the size</w:t>
      </w:r>
      <w:r w:rsidR="00E0191E">
        <w:t xml:space="preserve"> </w:t>
      </w:r>
      <w:r>
        <w:t>of the haemorrhage 1s &gt; 50% of the total lesion area.</w:t>
      </w:r>
    </w:p>
    <w:p w14:paraId="2A37EAD0" w14:textId="6AD7E516" w:rsidR="00B57DEE" w:rsidRDefault="00E0191E" w:rsidP="00B57DEE">
      <w:pPr>
        <w:pStyle w:val="TableDescription"/>
      </w:pPr>
      <w:proofErr w:type="gramStart"/>
      <w:r>
        <w:t>c</w:t>
      </w:r>
      <w:r w:rsidR="00B57DEE">
        <w:t xml:space="preserve">  AESI</w:t>
      </w:r>
      <w:proofErr w:type="gramEnd"/>
      <w:r w:rsidR="00B57DEE">
        <w:t xml:space="preserve"> Category 6: Retinal pigment epithelial tear</w:t>
      </w:r>
    </w:p>
    <w:p w14:paraId="06304FB7" w14:textId="3C27C09F" w:rsidR="00B57DEE" w:rsidRDefault="00B57DEE" w:rsidP="00B57DEE">
      <w:pPr>
        <w:pStyle w:val="TableDescription"/>
      </w:pPr>
      <w:r>
        <w:t>4 AESI Category 1: New onset pre-injection IOP of &gt; 25 mmHg</w:t>
      </w:r>
    </w:p>
    <w:p w14:paraId="066ED2CF" w14:textId="6BA5CFF9" w:rsidR="00B57DEE" w:rsidRDefault="00E0191E" w:rsidP="00B57DEE">
      <w:pPr>
        <w:pStyle w:val="TableDescription"/>
      </w:pPr>
      <w:r>
        <w:t>5</w:t>
      </w:r>
      <w:r w:rsidR="00B57DEE">
        <w:t xml:space="preserve"> AESI Category 4: Any case of non-infectious intraocular inflammation such as iritis, </w:t>
      </w:r>
      <w:proofErr w:type="spellStart"/>
      <w:r w:rsidR="00B57DEE">
        <w:t>vitritis</w:t>
      </w:r>
      <w:proofErr w:type="spellEnd"/>
      <w:r w:rsidR="00B57DEE">
        <w:t xml:space="preserve">, and </w:t>
      </w:r>
      <w:r>
        <w:t>i</w:t>
      </w:r>
      <w:r w:rsidR="00B57DEE">
        <w:t>ridocyclitis</w:t>
      </w:r>
    </w:p>
    <w:p w14:paraId="649A12EF" w14:textId="77777777" w:rsidR="00B57DEE" w:rsidRDefault="00B57DEE" w:rsidP="00B57DEE">
      <w:pPr>
        <w:pStyle w:val="TableDescription"/>
      </w:pPr>
      <w:r>
        <w:t>Percentages were based on the number of subjects in the Safety Set 1.</w:t>
      </w:r>
    </w:p>
    <w:p w14:paraId="2CCB3BFC" w14:textId="1AD7B096" w:rsidR="005D1DB6" w:rsidRDefault="00B57DEE" w:rsidP="00B57DEE">
      <w:pPr>
        <w:pStyle w:val="TableDescription"/>
      </w:pPr>
      <w:r>
        <w:t>System organ classes were presented alphabetically; preferred terms were sorted within each system organ class in descending</w:t>
      </w:r>
      <w:r w:rsidR="00E0191E">
        <w:t xml:space="preserve"> </w:t>
      </w:r>
      <w:r>
        <w:t>order of subject frequency of Total treatment group. If the frequency of the preferred terms were tied, the preferred terms were</w:t>
      </w:r>
      <w:r w:rsidR="00E0191E">
        <w:t xml:space="preserve"> </w:t>
      </w:r>
      <w:r>
        <w:t>ordered alphabetically.</w:t>
      </w:r>
    </w:p>
    <w:p w14:paraId="63B97017" w14:textId="77777777" w:rsidR="00165AA5" w:rsidRDefault="00165AA5" w:rsidP="004676D9">
      <w:pPr>
        <w:pStyle w:val="Heading6"/>
      </w:pPr>
      <w:r>
        <w:lastRenderedPageBreak/>
        <w:t>Immunogenicity and immunological events</w:t>
      </w:r>
    </w:p>
    <w:p w14:paraId="269824D5" w14:textId="21B13C80" w:rsidR="00165AA5" w:rsidRDefault="00165AA5" w:rsidP="00A67579">
      <w:r>
        <w:t xml:space="preserve">Blood samples for immunogenicity assessment were planned to be collected in all randomised subjects. Blood samples were collected prior to injection of investigational product. A total of 3 out of 224 (1.3%) subjects and 1 out of 224 (0.4%) subjects with available results in the SB15 and Eylea treatment groups, respectively, had a positive </w:t>
      </w:r>
      <w:r w:rsidR="00B804B3">
        <w:t xml:space="preserve">anti-drug antibody </w:t>
      </w:r>
      <w:r>
        <w:t>ADA response at pre-treatment.</w:t>
      </w:r>
    </w:p>
    <w:p w14:paraId="36B1A55F" w14:textId="33DD6320" w:rsidR="00BE1F9D" w:rsidRDefault="00BE1F9D" w:rsidP="00BE1F9D">
      <w:pPr>
        <w:pStyle w:val="TableTitle"/>
      </w:pPr>
      <w:r>
        <w:t>Table</w:t>
      </w:r>
      <w:r w:rsidR="00062588">
        <w:t xml:space="preserve"> 11</w:t>
      </w:r>
      <w:r>
        <w:t xml:space="preserve">. </w:t>
      </w:r>
      <w:r w:rsidRPr="00BE1F9D">
        <w:t>Incidence of Overall Anti-Drug Antibody (ADA) by Visit and Treatment Group (Safety Set 1)</w:t>
      </w:r>
    </w:p>
    <w:p w14:paraId="5B3542B3" w14:textId="254CB255" w:rsidR="006D3EBC" w:rsidRDefault="006D3EBC" w:rsidP="00027A97">
      <w:r w:rsidRPr="00D25336">
        <w:rPr>
          <w:noProof/>
        </w:rPr>
        <w:drawing>
          <wp:inline distT="0" distB="0" distL="0" distR="0" wp14:anchorId="0A623089" wp14:editId="0F22A45F">
            <wp:extent cx="5731510" cy="3806041"/>
            <wp:effectExtent l="0" t="0" r="2540" b="4445"/>
            <wp:docPr id="342218514" name="Picture 1" descr="Table 11. Incidence of Overall Anti-Drug Antibody (ADA) by Visit and Treatment Group (Safety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8514" name="Picture 1" descr="Table 11. Incidence of Overall Anti-Drug Antibody (ADA) by Visit and Treatment Group (Safety Set 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b="34272"/>
                    <a:stretch>
                      <a:fillRect/>
                    </a:stretch>
                  </pic:blipFill>
                  <pic:spPr bwMode="auto">
                    <a:xfrm>
                      <a:off x="0" y="0"/>
                      <a:ext cx="5731510" cy="3806041"/>
                    </a:xfrm>
                    <a:prstGeom prst="rect">
                      <a:avLst/>
                    </a:prstGeom>
                    <a:ln>
                      <a:noFill/>
                    </a:ln>
                    <a:extLst>
                      <a:ext uri="{53640926-AAD7-44D8-BBD7-CCE9431645EC}">
                        <a14:shadowObscured xmlns:a14="http://schemas.microsoft.com/office/drawing/2010/main"/>
                      </a:ext>
                    </a:extLst>
                  </pic:spPr>
                </pic:pic>
              </a:graphicData>
            </a:graphic>
          </wp:inline>
        </w:drawing>
      </w:r>
    </w:p>
    <w:p w14:paraId="2DA3985F" w14:textId="5EF86572" w:rsidR="00DD51EE" w:rsidRDefault="00DD51EE" w:rsidP="00DD51EE">
      <w:pPr>
        <w:pStyle w:val="TableDescription"/>
      </w:pPr>
      <w:r>
        <w:t>N = number of subjects in the Safety Set 1; n = number of subjects with event of interest; n': number of subjects with available</w:t>
      </w:r>
      <w:r w:rsidR="00477ABF">
        <w:t xml:space="preserve"> </w:t>
      </w:r>
      <w:r>
        <w:t>assessment results at each visit</w:t>
      </w:r>
      <w:r w:rsidR="00477ABF">
        <w:t xml:space="preserve"> </w:t>
      </w:r>
      <w:r>
        <w:t>Percentages were based on n'.</w:t>
      </w:r>
    </w:p>
    <w:p w14:paraId="78194BE0" w14:textId="48B9B08A" w:rsidR="00DD51EE" w:rsidRDefault="00DD51EE" w:rsidP="00DD51EE">
      <w:pPr>
        <w:pStyle w:val="TableDescription"/>
      </w:pPr>
      <w:r>
        <w:t>* Based on subjects in Safety Set 2, Eylea+SB15 and Eylea+Eylea may not add up to Eylea Overall.</w:t>
      </w:r>
    </w:p>
    <w:p w14:paraId="0EF73183" w14:textId="76099739" w:rsidR="00DD51EE" w:rsidRDefault="00DD51EE" w:rsidP="00DD51EE">
      <w:pPr>
        <w:pStyle w:val="TableDescription"/>
      </w:pPr>
      <w:r>
        <w:t>Overall ADA results were determined as Positive for a subject with treatment-induced or treatment-boosted ADA, where</w:t>
      </w:r>
      <w:r w:rsidR="00477ABF">
        <w:t xml:space="preserve"> </w:t>
      </w:r>
      <w:r>
        <w:t>treatment-induced ADA indicates at least one positive result after pre-dose of Week 0 for subjects with negative ADA at pre-dose of Week 0, and treatment-boosted ADA indicates at least one positive result with higher titre level compared to pre-dose</w:t>
      </w:r>
      <w:r w:rsidR="00477ABF">
        <w:t xml:space="preserve"> </w:t>
      </w:r>
      <w:r>
        <w:t>of Week 0 after pre-dose of Week 0 for subjects with positive ADA at pre-dose of Week 0.</w:t>
      </w:r>
    </w:p>
    <w:p w14:paraId="7BC3AE97" w14:textId="332B38E7" w:rsidR="00DD51EE" w:rsidRDefault="00DD51EE" w:rsidP="00DD51EE">
      <w:pPr>
        <w:pStyle w:val="TableDescription"/>
      </w:pPr>
      <w:proofErr w:type="gramStart"/>
      <w:r>
        <w:t>Overall</w:t>
      </w:r>
      <w:proofErr w:type="gramEnd"/>
      <w:r>
        <w:t xml:space="preserve"> ADA result was defined as Negative for a subject with negative ADA at Week 0 and without positive ADA until Week 8,</w:t>
      </w:r>
      <w:r w:rsidR="00477ABF">
        <w:t xml:space="preserve"> </w:t>
      </w:r>
      <w:r>
        <w:t>Week 32, and Week 56.</w:t>
      </w:r>
      <w:r w:rsidR="00477ABF">
        <w:t xml:space="preserve">  </w:t>
      </w:r>
      <w:proofErr w:type="gramStart"/>
      <w:r>
        <w:t>Overall</w:t>
      </w:r>
      <w:proofErr w:type="gramEnd"/>
      <w:r>
        <w:t xml:space="preserve"> ADA result was defined as Inconclusive for a subject with positive ADA at Week 0 and without positive result with</w:t>
      </w:r>
      <w:r w:rsidR="00477ABF">
        <w:t xml:space="preserve"> </w:t>
      </w:r>
      <w:r>
        <w:t>higher titre level observed after pre-dose of Week 0 up to Week 8, Week 32, and Week 56.</w:t>
      </w:r>
    </w:p>
    <w:p w14:paraId="49D717B4" w14:textId="5B5B0768" w:rsidR="00DD51EE" w:rsidRDefault="00DD51EE" w:rsidP="00DD51EE">
      <w:pPr>
        <w:pStyle w:val="TableDescription"/>
      </w:pPr>
      <w:r>
        <w:t>- If the fellow eye received Eylea due to AMD during the study period after randomisation, the ADA results obtained aftertreatment for the fellow eye were excluded in</w:t>
      </w:r>
      <w:r w:rsidR="00477ABF">
        <w:t xml:space="preserve"> </w:t>
      </w:r>
      <w:r>
        <w:t>the summary</w:t>
      </w:r>
      <w:r w:rsidR="00C50921">
        <w:t>.</w:t>
      </w:r>
    </w:p>
    <w:p w14:paraId="04D8D0F5" w14:textId="5C83DD8B" w:rsidR="000D146B" w:rsidRDefault="000D146B" w:rsidP="000D146B">
      <w:r>
        <w:t xml:space="preserve">The 2 patients in the SB15 treatment group had treatment-induced positive ADA results at most assessments over the 56-week observation period. </w:t>
      </w:r>
      <w:proofErr w:type="gramStart"/>
      <w:r>
        <w:t>The majority of</w:t>
      </w:r>
      <w:proofErr w:type="gramEnd"/>
      <w:r>
        <w:t xml:space="preserve"> the detected ADA across all treatment groups were generally of low titre (50 or less) up to Week 56. Five subjects (2.2%) in the SB15 treatment group, 3 subjects in the Eylea+SB15 (2.7%) treatment group, and 1 subject in the Eylea+Eylea treatment group (1.0%) with positive ADA response had 1 or more instances of a positive NAb response up to Week 56.</w:t>
      </w:r>
    </w:p>
    <w:p w14:paraId="0CD501C0" w14:textId="60AAA5A9" w:rsidR="000D146B" w:rsidRDefault="00E61A2D" w:rsidP="00E61A2D">
      <w:pPr>
        <w:pStyle w:val="Heading5"/>
      </w:pPr>
      <w:r>
        <w:lastRenderedPageBreak/>
        <w:t>C</w:t>
      </w:r>
      <w:r w:rsidR="000D146B">
        <w:t>omments on safety issues of possible regulatory impact</w:t>
      </w:r>
    </w:p>
    <w:p w14:paraId="62B0E5CF" w14:textId="77777777" w:rsidR="000D146B" w:rsidRDefault="000D146B" w:rsidP="00E61A2D">
      <w:pPr>
        <w:pStyle w:val="Heading6"/>
      </w:pPr>
      <w:r>
        <w:t>SB15 vs. Eylea+Eylea over 56 weeks</w:t>
      </w:r>
    </w:p>
    <w:p w14:paraId="376D25D8" w14:textId="77777777" w:rsidR="000D146B" w:rsidRDefault="000D146B" w:rsidP="000D146B">
      <w:r>
        <w:t>Comparing SB15 to Eylea+Eylea over 56 weeks (Overall Period), no major concerns have been identified for issues described under. The evaluator noted a small imbalance in the cardiac disorders SOC (3.1% vs. 0%</w:t>
      </w:r>
      <w:proofErr w:type="gramStart"/>
      <w:r>
        <w:t>), and</w:t>
      </w:r>
      <w:proofErr w:type="gramEnd"/>
      <w:r>
        <w:t xml:space="preserve"> further notes a small imbalance in the vascular disorders SOC (6.3% vs. 2.9%). While some uncertainties exist, these differences are considered to probably not be of clinical significance. </w:t>
      </w:r>
    </w:p>
    <w:p w14:paraId="71519BAB" w14:textId="77777777" w:rsidR="000D146B" w:rsidRDefault="000D146B" w:rsidP="000D146B">
      <w:r>
        <w:t>By Week 56, treatment-induced or treatment-boosted ADA was reported in 1% and 1% of subjects in the SB15 and Eylea+Eylea arms, respectively. This suggests a comparable immunogenicity profile, although the ~21% missing data by Week 56 is noted.  Validity of the bioanalytic assays for ADA and NAb have not been evaluated.</w:t>
      </w:r>
    </w:p>
    <w:p w14:paraId="62CDE4E8" w14:textId="3EB13458" w:rsidR="000D146B" w:rsidRDefault="000D146B" w:rsidP="000D146B">
      <w:r>
        <w:t xml:space="preserve">Over 56 weeks, ocular and non-ocular AESIs were broadly comparable between the SB15 and Eylea+Eylea arms, as were TEAEs for intraocular inflammation. If PTs of “retinal pigment epithelial tear” and “retinal tear” are both counted, a small imbalance was seen at 3 vs. 0 events. Again, the small difference is probably not of clinical significance. </w:t>
      </w:r>
    </w:p>
    <w:p w14:paraId="0FD386CE" w14:textId="77777777" w:rsidR="000D146B" w:rsidRDefault="000D146B" w:rsidP="000D146B">
      <w:r>
        <w:t xml:space="preserve">While the frequencies of glaucoma and intraocular pressure increased were broadly balanced, there was an imbalance in having a history of glaucoma at baseline (3.1% vs. 8.4%). Similarly, although the risk of arterial thromboembolic events was broadly balanced over 56 weeks, this is on the background of less patients having a history of ischaemic heart disease and related disorders in the SB15 arm at baseline. These imbalances in baseline medical history add uncertainties to the interpretation of results. </w:t>
      </w:r>
    </w:p>
    <w:p w14:paraId="40E73D3D" w14:textId="727AA79E" w:rsidR="000D146B" w:rsidRDefault="000D146B" w:rsidP="00E61A2D">
      <w:pPr>
        <w:pStyle w:val="Heading6"/>
      </w:pPr>
      <w:r>
        <w:t xml:space="preserve">Main </w:t>
      </w:r>
      <w:r w:rsidR="00027A97">
        <w:t>period and transition period</w:t>
      </w:r>
    </w:p>
    <w:p w14:paraId="0225340A" w14:textId="77777777" w:rsidR="000D146B" w:rsidRDefault="000D146B" w:rsidP="000D146B">
      <w:r>
        <w:t xml:space="preserve">A brief review of relevant data in the main period (SB15 vs. Eylea over 32 weeks) does not identify any major additional concerns. An imbalance in arterial thromboembolic events was noted at 2.2% vs. 0.4% (clinical evaluator’s calculation). While this adds to the uncertainties, the evaluator notes that ATEs over 56 weeks appear more balanced. A review of relevant data in the transition period (Eylea+SB15 vs. Eylea+Eylea, ~weeks 32 to 56) did not reveal any notable patterns. </w:t>
      </w:r>
    </w:p>
    <w:p w14:paraId="684A262B" w14:textId="77777777" w:rsidR="000D146B" w:rsidRDefault="000D146B" w:rsidP="00E61A2D">
      <w:pPr>
        <w:pStyle w:val="Heading6"/>
      </w:pPr>
      <w:r>
        <w:t>Issues with no available data</w:t>
      </w:r>
    </w:p>
    <w:p w14:paraId="7FA724D9" w14:textId="77777777" w:rsidR="000D146B" w:rsidRDefault="000D146B" w:rsidP="000D146B">
      <w:r>
        <w:t>“Medication errors” is listed as an important potential risk in the Eylea RMP. No dedicated summary of this issue was provided in the CSR, and no human factor studies have been submitted. While the proposed RMP for SB15 appropriate retained “Medication errors”, this nonetheless presents an area of uncertainty.</w:t>
      </w:r>
    </w:p>
    <w:p w14:paraId="4A3D98E2" w14:textId="77777777" w:rsidR="000D146B" w:rsidRDefault="000D146B" w:rsidP="000D146B">
      <w:r>
        <w:t>Other important potential risks listed by the RMP include “off-label use and misuse” and “embryo-fetotoxicity”. The former is difficult to study under trial settings, though theoretically the risk of (mis)using one vial for multiple injections may be greater with SB15 compared to Eylea, given the higher extractable volume. No Module 5 data has been submitted regarding embryo-</w:t>
      </w:r>
      <w:proofErr w:type="gramStart"/>
      <w:r>
        <w:t>fetotoxicity</w:t>
      </w:r>
      <w:proofErr w:type="gramEnd"/>
      <w:r>
        <w:t xml:space="preserve"> and no comments can be made. </w:t>
      </w:r>
    </w:p>
    <w:p w14:paraId="381F0047" w14:textId="3503CBB2" w:rsidR="000D146B" w:rsidRDefault="000D146B" w:rsidP="000D146B">
      <w:r>
        <w:t xml:space="preserve">Eylea PI section 4.4 recommends withholding treatment in the event of a decrease in BCVA of ≥ 30 letters. No serious ocular TEAE of “visual acuity reduced” was reported during the Overall Period. </w:t>
      </w:r>
    </w:p>
    <w:p w14:paraId="5F090A42" w14:textId="77777777" w:rsidR="000D146B" w:rsidRDefault="000D146B" w:rsidP="00E61A2D">
      <w:pPr>
        <w:pStyle w:val="Heading6"/>
      </w:pPr>
      <w:r>
        <w:t>Concluding comment on issues with possible regulatory impact</w:t>
      </w:r>
    </w:p>
    <w:p w14:paraId="78DB7F82" w14:textId="77777777" w:rsidR="000D146B" w:rsidRDefault="000D146B" w:rsidP="000D146B">
      <w:r>
        <w:t xml:space="preserve">In summary, no major concerns have been identified based on the available data on issues of possible regularly impact, though small imbalances in the cardiac disorders SOC, vascular </w:t>
      </w:r>
      <w:r>
        <w:lastRenderedPageBreak/>
        <w:t xml:space="preserve">disorders SOC, retinal/retinal pigment epithelial tears, and arterial thromboembolic events (main period) are noted. “Medication errors” and “Off-label use and misuse” are areas of uncertainty. Interpretation of safety data is limited by issues addressed as well as imbalances in baseline medical history. </w:t>
      </w:r>
    </w:p>
    <w:p w14:paraId="17B78FE5" w14:textId="05B4E956" w:rsidR="000D146B" w:rsidRDefault="00E61A2D" w:rsidP="00E61A2D">
      <w:pPr>
        <w:pStyle w:val="Heading5"/>
      </w:pPr>
      <w:r>
        <w:t>C</w:t>
      </w:r>
      <w:r w:rsidR="000D146B">
        <w:t>omments on extrapolation of safety</w:t>
      </w:r>
    </w:p>
    <w:p w14:paraId="78180CCB" w14:textId="43770E7A" w:rsidR="000D146B" w:rsidRDefault="001032C5" w:rsidP="000D146B">
      <w:r>
        <w:t>The</w:t>
      </w:r>
      <w:r w:rsidR="000D146B">
        <w:t xml:space="preserve"> </w:t>
      </w:r>
      <w:r w:rsidR="004215E2">
        <w:t>Sponsor</w:t>
      </w:r>
      <w:r w:rsidR="000D146B">
        <w:t xml:space="preserve"> </w:t>
      </w:r>
      <w:r>
        <w:t xml:space="preserve">proposed that </w:t>
      </w:r>
      <w:r w:rsidR="000D146B">
        <w:t xml:space="preserve">the type and incidence of adverse reactions observed for Eylea are consistent across indications. The </w:t>
      </w:r>
      <w:r w:rsidR="004215E2">
        <w:t>Sponsor</w:t>
      </w:r>
      <w:r w:rsidR="000D146B">
        <w:t xml:space="preserve"> acknowledged that adverse reactions rates cannot be directly compared between clinical trials due to the varying conditions and dosing regiments. </w:t>
      </w:r>
    </w:p>
    <w:p w14:paraId="4DAFC853" w14:textId="678A4FCA" w:rsidR="000D146B" w:rsidRDefault="000D146B" w:rsidP="000D146B">
      <w:r>
        <w:t xml:space="preserve">While the </w:t>
      </w:r>
      <w:r w:rsidR="004215E2">
        <w:t>Sponsor</w:t>
      </w:r>
      <w:r>
        <w:t xml:space="preserve">’s argument is acknowledged, the evaluator notes that a more important issue is whether wet AMD represents a sensitive population in detecting differences in safety outcomes. This does not appear to have been clearly addressed by the </w:t>
      </w:r>
      <w:r w:rsidR="004215E2">
        <w:t>Sponsor</w:t>
      </w:r>
      <w:r>
        <w:t>.</w:t>
      </w:r>
    </w:p>
    <w:p w14:paraId="6BA4E64D" w14:textId="77777777" w:rsidR="000D146B" w:rsidRDefault="000D146B" w:rsidP="000D146B">
      <w:r>
        <w:t xml:space="preserve">Nonetheless, the evaluator notes that RVO is associated with comorbidities such as cardiovascular disease and glaucoma, whereas DME is associated with diabetes. Studying safety in patients with wet AMD therefore has the potential advantage of having less confounding by complications of co-morbidities. Based on this, the evaluator has no objection to the extrapolation of safety to other indications. </w:t>
      </w:r>
    </w:p>
    <w:p w14:paraId="3024031F" w14:textId="3D91450C" w:rsidR="000D146B" w:rsidRDefault="00E61A2D" w:rsidP="00E61A2D">
      <w:pPr>
        <w:pStyle w:val="Heading5"/>
      </w:pPr>
      <w:r>
        <w:t>O</w:t>
      </w:r>
      <w:r w:rsidR="000D146B">
        <w:t>verall conclusions on clinical safety</w:t>
      </w:r>
    </w:p>
    <w:p w14:paraId="70988C82" w14:textId="3B396BB6" w:rsidR="000D146B" w:rsidRDefault="000D146B" w:rsidP="000D146B">
      <w:r>
        <w:t>The pivotal study SB15-3001 provided randomised comparisons of SB15 vs. Eylea (Eylea+Eylea) in terms of safety over 56 weeks. A higher proportion of patients treated with SB15 experienced ocular TEAEs (24.6% vs. 14.4%) compared to Eylea. Overall frequencies of severe or serious ocular TEAEs were however comparable. Switching from Eylea to SB15 was also associated with higher frequencies of ocular TEAEs (10.8% vs. 2.9%). One patient died roughly 7 months into SB15 treatment, the clinical significance of which is unclear.</w:t>
      </w:r>
    </w:p>
    <w:p w14:paraId="275345AC" w14:textId="77777777" w:rsidR="000D146B" w:rsidRDefault="000D146B" w:rsidP="000D146B">
      <w:r>
        <w:t>No major concerns have been identified based on the available data on issues of possible regularly impact, though small imbalances in the cardiac disorders SOC, vascular disorders SOC, retinal/retinal pigment epithelial tears and arterial thromboembolic events are noted. “Medication errors”, an RMP important potential risk, is an area of uncertainty.</w:t>
      </w:r>
    </w:p>
    <w:p w14:paraId="40A4A76F" w14:textId="77777777" w:rsidR="000D146B" w:rsidRDefault="000D146B" w:rsidP="000D146B">
      <w:r>
        <w:t>No major concerns have been identified based on the available data on issues of possible regularly impact, though small imbalances in the cardiac disorders SOC, vascular disorders SOC, retinal/retinal pigment epithelial tears and arterial thromboembolic events are noted. “Medication errors” and “Off-label use and misuse” are areas of uncertainty.</w:t>
      </w:r>
    </w:p>
    <w:p w14:paraId="07B81FE6" w14:textId="77777777" w:rsidR="000D146B" w:rsidRDefault="000D146B" w:rsidP="000D146B">
      <w:r>
        <w:t>The sample size precludes the detection of uncommon safety signals, and extensive exclusion of patients with comorbidities may have reduced the study’s sensitivity in detecting signals that would have been more apparent if underlying comorbidities were present. Interpretability of non-ocular TEAEs is limited by exposure to Eylea in the fellow eye. Protocol deviations, loss to follow-up and imbalances in baseline characteristics and medical history may also affect result validity. Interpretation of data on switching is limited by the smaller sample size and short duration of exposure to switched treatment.</w:t>
      </w:r>
    </w:p>
    <w:p w14:paraId="3EC0BEFE" w14:textId="47E9F76B" w:rsidR="000D146B" w:rsidRDefault="000D146B" w:rsidP="000D146B">
      <w:r>
        <w:t>The</w:t>
      </w:r>
      <w:r w:rsidR="00E61A2D">
        <w:t xml:space="preserve">re are no </w:t>
      </w:r>
      <w:r>
        <w:t>objection</w:t>
      </w:r>
      <w:r w:rsidR="00E61A2D">
        <w:t>s</w:t>
      </w:r>
      <w:r>
        <w:t xml:space="preserve"> to the extrapolation of safety to other indications.</w:t>
      </w:r>
    </w:p>
    <w:p w14:paraId="2858B006" w14:textId="77777777" w:rsidR="00C22214" w:rsidRDefault="00C22214" w:rsidP="00C22214">
      <w:pPr>
        <w:pStyle w:val="Heading3"/>
        <w:rPr>
          <w:lang w:eastAsia="en-AU"/>
        </w:rPr>
      </w:pPr>
      <w:bookmarkStart w:id="46" w:name="_Toc314842514"/>
      <w:bookmarkStart w:id="47" w:name="_Toc103679298"/>
      <w:bookmarkStart w:id="48" w:name="_Toc215222567"/>
      <w:r>
        <w:rPr>
          <w:lang w:eastAsia="en-AU"/>
        </w:rPr>
        <w:t>Risk management plan</w:t>
      </w:r>
      <w:bookmarkEnd w:id="46"/>
      <w:bookmarkEnd w:id="47"/>
      <w:bookmarkEnd w:id="48"/>
    </w:p>
    <w:p w14:paraId="5B656694" w14:textId="3B1EF10A" w:rsidR="00962537" w:rsidRDefault="00962537" w:rsidP="00962537">
      <w:pPr>
        <w:rPr>
          <w:lang w:eastAsia="en-AU"/>
        </w:rPr>
      </w:pPr>
      <w:r>
        <w:rPr>
          <w:lang w:eastAsia="en-AU"/>
        </w:rPr>
        <w:t xml:space="preserve">Samsung </w:t>
      </w:r>
      <w:proofErr w:type="spellStart"/>
      <w:r>
        <w:rPr>
          <w:lang w:eastAsia="en-AU"/>
        </w:rPr>
        <w:t>Bioepis</w:t>
      </w:r>
      <w:proofErr w:type="spellEnd"/>
      <w:r>
        <w:rPr>
          <w:lang w:eastAsia="en-AU"/>
        </w:rPr>
        <w:t xml:space="preserve"> AU Pty Ltd has submitted EU-RMP version 1.1 (date 12 March 2024; DLP 21 February 2024) and ASA version 1.0 (date 4 June 2024) in support of this application.  With the s31 responses, the </w:t>
      </w:r>
      <w:r w:rsidR="004215E2">
        <w:rPr>
          <w:lang w:eastAsia="en-AU"/>
        </w:rPr>
        <w:t>Sponsor</w:t>
      </w:r>
      <w:r>
        <w:rPr>
          <w:lang w:eastAsia="en-AU"/>
        </w:rPr>
        <w:t xml:space="preserve"> provided an updated ASA version 1.1 (date 5 March 2025).</w:t>
      </w:r>
    </w:p>
    <w:p w14:paraId="39F3CD1D" w14:textId="4975BDE0" w:rsidR="0072003B" w:rsidRPr="00BD5DBD" w:rsidRDefault="00C22214" w:rsidP="00C22214">
      <w:pPr>
        <w:rPr>
          <w:szCs w:val="22"/>
        </w:rPr>
      </w:pPr>
      <w:bookmarkStart w:id="49" w:name="_Toc247691531"/>
      <w:bookmarkStart w:id="50" w:name="_Toc314842515"/>
      <w:r w:rsidRPr="00BD5DBD">
        <w:rPr>
          <w:szCs w:val="22"/>
        </w:rPr>
        <w:lastRenderedPageBreak/>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3B149C" w:rsidRPr="003B149C">
        <w:rPr>
          <w:szCs w:val="22"/>
        </w:rPr>
        <w:fldChar w:fldCharType="end"/>
      </w:r>
      <w:r w:rsidR="00062588">
        <w:rPr>
          <w:szCs w:val="22"/>
        </w:rPr>
        <w:t>12</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63D777B9" w:rsidR="006A277A" w:rsidRDefault="00C22214" w:rsidP="00C22214">
      <w:pPr>
        <w:pStyle w:val="TableTitle"/>
      </w:pPr>
      <w:bookmarkStart w:id="51" w:name="_Ref97629131"/>
      <w:r>
        <w:t xml:space="preserve">Table </w:t>
      </w:r>
      <w:r w:rsidR="00062588">
        <w:t>12</w:t>
      </w:r>
      <w:bookmarkEnd w:id="51"/>
      <w:r w:rsidR="00062588">
        <w:t>.</w:t>
      </w:r>
      <w:r>
        <w:t xml:space="preserve"> Summary of safety concerns</w:t>
      </w:r>
    </w:p>
    <w:tbl>
      <w:tblPr>
        <w:tblStyle w:val="TableGrid1"/>
        <w:tblW w:w="9062"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Caption w:val="Table 12. Summary of safety concerns"/>
      </w:tblPr>
      <w:tblGrid>
        <w:gridCol w:w="1413"/>
        <w:gridCol w:w="2830"/>
        <w:gridCol w:w="1139"/>
        <w:gridCol w:w="1271"/>
        <w:gridCol w:w="1139"/>
        <w:gridCol w:w="1270"/>
      </w:tblGrid>
      <w:tr w:rsidR="009A4760" w:rsidRPr="00062588" w14:paraId="155A90B9" w14:textId="77777777" w:rsidTr="00A4122E">
        <w:trPr>
          <w:jc w:val="center"/>
        </w:trPr>
        <w:tc>
          <w:tcPr>
            <w:tcW w:w="4243" w:type="dxa"/>
            <w:gridSpan w:val="2"/>
            <w:vMerge w:val="restart"/>
            <w:shd w:val="clear" w:color="auto" w:fill="DEEAF6"/>
          </w:tcPr>
          <w:p w14:paraId="26D66D8D" w14:textId="77777777" w:rsidR="009A4760" w:rsidRPr="00062588" w:rsidRDefault="009A4760" w:rsidP="00027A97">
            <w:r w:rsidRPr="00062588">
              <w:t>Summary of safety concerns</w:t>
            </w:r>
          </w:p>
        </w:tc>
        <w:tc>
          <w:tcPr>
            <w:tcW w:w="2410" w:type="dxa"/>
            <w:gridSpan w:val="2"/>
            <w:shd w:val="clear" w:color="auto" w:fill="DEEAF6"/>
          </w:tcPr>
          <w:p w14:paraId="0B357A84" w14:textId="77777777" w:rsidR="009A4760" w:rsidRPr="00062588" w:rsidRDefault="009A4760" w:rsidP="00027A97">
            <w:r w:rsidRPr="00062588">
              <w:t>Pharmacovigilance</w:t>
            </w:r>
          </w:p>
        </w:tc>
        <w:tc>
          <w:tcPr>
            <w:tcW w:w="2409" w:type="dxa"/>
            <w:gridSpan w:val="2"/>
            <w:shd w:val="clear" w:color="auto" w:fill="DEEAF6"/>
          </w:tcPr>
          <w:p w14:paraId="1DA9C796" w14:textId="77777777" w:rsidR="009A4760" w:rsidRPr="00062588" w:rsidRDefault="009A4760" w:rsidP="00027A97">
            <w:r w:rsidRPr="00062588">
              <w:t>Risk Minimisation</w:t>
            </w:r>
          </w:p>
        </w:tc>
      </w:tr>
      <w:tr w:rsidR="00A4122E" w:rsidRPr="00062588" w14:paraId="257C496E" w14:textId="77777777" w:rsidTr="00062588">
        <w:trPr>
          <w:jc w:val="center"/>
        </w:trPr>
        <w:tc>
          <w:tcPr>
            <w:tcW w:w="4243" w:type="dxa"/>
            <w:gridSpan w:val="2"/>
            <w:vMerge/>
            <w:shd w:val="clear" w:color="auto" w:fill="DEEAF6"/>
          </w:tcPr>
          <w:p w14:paraId="4E6ECAC5" w14:textId="77777777" w:rsidR="009A4760" w:rsidRPr="00062588" w:rsidRDefault="009A4760" w:rsidP="00027A97"/>
        </w:tc>
        <w:tc>
          <w:tcPr>
            <w:tcW w:w="1139" w:type="dxa"/>
            <w:shd w:val="clear" w:color="auto" w:fill="DEEAF6"/>
          </w:tcPr>
          <w:p w14:paraId="0B65BEF0" w14:textId="77777777" w:rsidR="009A4760" w:rsidRPr="00062588" w:rsidRDefault="009A4760" w:rsidP="00027A97">
            <w:r w:rsidRPr="00062588">
              <w:t>Routine</w:t>
            </w:r>
          </w:p>
        </w:tc>
        <w:tc>
          <w:tcPr>
            <w:tcW w:w="1271" w:type="dxa"/>
            <w:shd w:val="clear" w:color="auto" w:fill="DEEAF6"/>
          </w:tcPr>
          <w:p w14:paraId="595AA8B8" w14:textId="77777777" w:rsidR="009A4760" w:rsidRPr="00062588" w:rsidRDefault="009A4760" w:rsidP="00027A97">
            <w:r w:rsidRPr="00062588">
              <w:t>Additional</w:t>
            </w:r>
          </w:p>
        </w:tc>
        <w:tc>
          <w:tcPr>
            <w:tcW w:w="1139" w:type="dxa"/>
            <w:shd w:val="clear" w:color="auto" w:fill="DEEAF6"/>
          </w:tcPr>
          <w:p w14:paraId="06078924" w14:textId="77777777" w:rsidR="009A4760" w:rsidRPr="00062588" w:rsidRDefault="009A4760" w:rsidP="00027A97">
            <w:r w:rsidRPr="00062588">
              <w:t>Routine</w:t>
            </w:r>
          </w:p>
        </w:tc>
        <w:tc>
          <w:tcPr>
            <w:tcW w:w="1270" w:type="dxa"/>
            <w:shd w:val="clear" w:color="auto" w:fill="DEEAF6"/>
          </w:tcPr>
          <w:p w14:paraId="6A24EBF0" w14:textId="77777777" w:rsidR="009A4760" w:rsidRPr="00062588" w:rsidRDefault="009A4760" w:rsidP="00027A97">
            <w:r w:rsidRPr="00062588">
              <w:t>Additional</w:t>
            </w:r>
          </w:p>
        </w:tc>
      </w:tr>
      <w:tr w:rsidR="00A4122E" w:rsidRPr="00062588" w14:paraId="4B80941D" w14:textId="77777777" w:rsidTr="00062588">
        <w:trPr>
          <w:jc w:val="center"/>
        </w:trPr>
        <w:tc>
          <w:tcPr>
            <w:tcW w:w="1413" w:type="dxa"/>
            <w:vMerge w:val="restart"/>
          </w:tcPr>
          <w:p w14:paraId="2C19C260" w14:textId="77777777" w:rsidR="009A4760" w:rsidRPr="00062588" w:rsidRDefault="009A4760" w:rsidP="00027A97">
            <w:r w:rsidRPr="00062588">
              <w:t>Important identified risks</w:t>
            </w:r>
          </w:p>
        </w:tc>
        <w:tc>
          <w:tcPr>
            <w:tcW w:w="2830" w:type="dxa"/>
          </w:tcPr>
          <w:p w14:paraId="7342A64D" w14:textId="77777777" w:rsidR="009A4760" w:rsidRPr="00062588" w:rsidRDefault="009A4760" w:rsidP="00027A97">
            <w:r w:rsidRPr="00062588">
              <w:t>Endophthalmitis (likely infectious origin)</w:t>
            </w:r>
          </w:p>
        </w:tc>
        <w:tc>
          <w:tcPr>
            <w:tcW w:w="1139" w:type="dxa"/>
            <w:vAlign w:val="center"/>
          </w:tcPr>
          <w:p w14:paraId="5EF2D879" w14:textId="77777777" w:rsidR="009A4760" w:rsidRPr="00062588" w:rsidRDefault="009A4760" w:rsidP="00027A97">
            <w:r w:rsidRPr="00062588">
              <w:sym w:font="Wingdings" w:char="F0FC"/>
            </w:r>
            <w:r w:rsidRPr="00062588">
              <w:t>*</w:t>
            </w:r>
          </w:p>
        </w:tc>
        <w:tc>
          <w:tcPr>
            <w:tcW w:w="1271" w:type="dxa"/>
            <w:vAlign w:val="center"/>
          </w:tcPr>
          <w:p w14:paraId="25678794" w14:textId="77777777" w:rsidR="009A4760" w:rsidRPr="00062588" w:rsidRDefault="009A4760" w:rsidP="00027A97">
            <w:r w:rsidRPr="00062588">
              <w:t>–</w:t>
            </w:r>
          </w:p>
        </w:tc>
        <w:tc>
          <w:tcPr>
            <w:tcW w:w="1139" w:type="dxa"/>
            <w:vAlign w:val="center"/>
          </w:tcPr>
          <w:p w14:paraId="0FC908A4" w14:textId="77777777" w:rsidR="009A4760" w:rsidRPr="00062588" w:rsidRDefault="009A4760" w:rsidP="00027A97">
            <w:r w:rsidRPr="00062588">
              <w:sym w:font="Wingdings" w:char="F0FC"/>
            </w:r>
          </w:p>
        </w:tc>
        <w:tc>
          <w:tcPr>
            <w:tcW w:w="1270" w:type="dxa"/>
            <w:vAlign w:val="center"/>
          </w:tcPr>
          <w:p w14:paraId="2E5D472F" w14:textId="77777777" w:rsidR="009A4760" w:rsidRPr="00062588" w:rsidRDefault="009A4760" w:rsidP="00027A97">
            <w:r w:rsidRPr="00062588">
              <w:sym w:font="Wingdings" w:char="F0FC"/>
            </w:r>
            <w:r w:rsidRPr="00062588">
              <w:rPr>
                <w:vertAlign w:val="superscript"/>
              </w:rPr>
              <w:t>†</w:t>
            </w:r>
          </w:p>
        </w:tc>
      </w:tr>
      <w:tr w:rsidR="00A4122E" w:rsidRPr="00062588" w14:paraId="69103721" w14:textId="77777777" w:rsidTr="00062588">
        <w:trPr>
          <w:jc w:val="center"/>
        </w:trPr>
        <w:tc>
          <w:tcPr>
            <w:tcW w:w="1413" w:type="dxa"/>
            <w:vMerge/>
          </w:tcPr>
          <w:p w14:paraId="1EBF05A9" w14:textId="77777777" w:rsidR="009A4760" w:rsidRPr="00062588" w:rsidRDefault="009A4760" w:rsidP="00027A97"/>
        </w:tc>
        <w:tc>
          <w:tcPr>
            <w:tcW w:w="2830" w:type="dxa"/>
          </w:tcPr>
          <w:p w14:paraId="2148F82B" w14:textId="77777777" w:rsidR="009A4760" w:rsidRPr="00062588" w:rsidRDefault="009A4760" w:rsidP="00027A97">
            <w:r w:rsidRPr="00062588">
              <w:t>Intraocular inflammation</w:t>
            </w:r>
          </w:p>
        </w:tc>
        <w:tc>
          <w:tcPr>
            <w:tcW w:w="1139" w:type="dxa"/>
            <w:vAlign w:val="center"/>
          </w:tcPr>
          <w:p w14:paraId="07653FF3" w14:textId="77777777" w:rsidR="009A4760" w:rsidRPr="00062588" w:rsidRDefault="009A4760" w:rsidP="00027A97">
            <w:r w:rsidRPr="00062588">
              <w:sym w:font="Wingdings" w:char="F0FC"/>
            </w:r>
            <w:r w:rsidRPr="00062588">
              <w:t>*</w:t>
            </w:r>
          </w:p>
        </w:tc>
        <w:tc>
          <w:tcPr>
            <w:tcW w:w="1271" w:type="dxa"/>
            <w:vAlign w:val="center"/>
          </w:tcPr>
          <w:p w14:paraId="5252F4D7" w14:textId="77777777" w:rsidR="009A4760" w:rsidRPr="00062588" w:rsidRDefault="009A4760" w:rsidP="00027A97">
            <w:r w:rsidRPr="00062588">
              <w:t>–</w:t>
            </w:r>
          </w:p>
        </w:tc>
        <w:tc>
          <w:tcPr>
            <w:tcW w:w="1139" w:type="dxa"/>
            <w:vAlign w:val="center"/>
          </w:tcPr>
          <w:p w14:paraId="5387B259" w14:textId="77777777" w:rsidR="009A4760" w:rsidRPr="00062588" w:rsidRDefault="009A4760" w:rsidP="00027A97">
            <w:r w:rsidRPr="00062588">
              <w:sym w:font="Wingdings" w:char="F0FC"/>
            </w:r>
          </w:p>
        </w:tc>
        <w:tc>
          <w:tcPr>
            <w:tcW w:w="1270" w:type="dxa"/>
            <w:vAlign w:val="center"/>
          </w:tcPr>
          <w:p w14:paraId="17D1DCCC" w14:textId="77777777" w:rsidR="009A4760" w:rsidRPr="00062588" w:rsidRDefault="009A4760" w:rsidP="00027A97">
            <w:r w:rsidRPr="00062588">
              <w:sym w:font="Wingdings" w:char="F0FC"/>
            </w:r>
            <w:r w:rsidRPr="00062588">
              <w:rPr>
                <w:vertAlign w:val="superscript"/>
              </w:rPr>
              <w:t>†</w:t>
            </w:r>
          </w:p>
        </w:tc>
      </w:tr>
      <w:tr w:rsidR="00A4122E" w:rsidRPr="00062588" w14:paraId="7B198504" w14:textId="77777777" w:rsidTr="00062588">
        <w:trPr>
          <w:jc w:val="center"/>
        </w:trPr>
        <w:tc>
          <w:tcPr>
            <w:tcW w:w="1413" w:type="dxa"/>
            <w:vMerge/>
          </w:tcPr>
          <w:p w14:paraId="2E1FCF98" w14:textId="77777777" w:rsidR="009A4760" w:rsidRPr="00062588" w:rsidRDefault="009A4760" w:rsidP="00027A97"/>
        </w:tc>
        <w:tc>
          <w:tcPr>
            <w:tcW w:w="2830" w:type="dxa"/>
          </w:tcPr>
          <w:p w14:paraId="156BD58F" w14:textId="77777777" w:rsidR="009A4760" w:rsidRPr="00062588" w:rsidRDefault="009A4760" w:rsidP="00027A97">
            <w:r w:rsidRPr="00062588">
              <w:t>Transient intraocular pressure increase</w:t>
            </w:r>
          </w:p>
        </w:tc>
        <w:tc>
          <w:tcPr>
            <w:tcW w:w="1139" w:type="dxa"/>
            <w:vAlign w:val="center"/>
          </w:tcPr>
          <w:p w14:paraId="64EC9288" w14:textId="77777777" w:rsidR="009A4760" w:rsidRPr="00062588" w:rsidRDefault="009A4760" w:rsidP="00027A97">
            <w:r w:rsidRPr="00062588">
              <w:sym w:font="Wingdings" w:char="F0FC"/>
            </w:r>
            <w:r w:rsidRPr="00062588">
              <w:rPr>
                <w:color w:val="7030A0"/>
              </w:rPr>
              <w:t>*</w:t>
            </w:r>
          </w:p>
        </w:tc>
        <w:tc>
          <w:tcPr>
            <w:tcW w:w="1271" w:type="dxa"/>
            <w:vAlign w:val="center"/>
          </w:tcPr>
          <w:p w14:paraId="62BE6576" w14:textId="77777777" w:rsidR="009A4760" w:rsidRPr="00062588" w:rsidRDefault="009A4760" w:rsidP="00027A97">
            <w:r w:rsidRPr="00062588">
              <w:t>–</w:t>
            </w:r>
          </w:p>
        </w:tc>
        <w:tc>
          <w:tcPr>
            <w:tcW w:w="1139" w:type="dxa"/>
            <w:vAlign w:val="center"/>
          </w:tcPr>
          <w:p w14:paraId="3D475BF3" w14:textId="77777777" w:rsidR="009A4760" w:rsidRPr="00062588" w:rsidRDefault="009A4760" w:rsidP="00027A97">
            <w:r w:rsidRPr="00062588">
              <w:sym w:font="Wingdings" w:char="F0FC"/>
            </w:r>
          </w:p>
        </w:tc>
        <w:tc>
          <w:tcPr>
            <w:tcW w:w="1270" w:type="dxa"/>
            <w:vAlign w:val="center"/>
          </w:tcPr>
          <w:p w14:paraId="759F4B52" w14:textId="77777777" w:rsidR="009A4760" w:rsidRPr="00062588" w:rsidRDefault="009A4760" w:rsidP="00027A97">
            <w:r w:rsidRPr="00062588">
              <w:sym w:font="Wingdings" w:char="F0FC"/>
            </w:r>
            <w:r w:rsidRPr="00062588">
              <w:rPr>
                <w:vertAlign w:val="superscript"/>
              </w:rPr>
              <w:t>†</w:t>
            </w:r>
          </w:p>
        </w:tc>
      </w:tr>
      <w:tr w:rsidR="00A4122E" w:rsidRPr="00062588" w14:paraId="359FC289" w14:textId="77777777" w:rsidTr="00062588">
        <w:trPr>
          <w:jc w:val="center"/>
        </w:trPr>
        <w:tc>
          <w:tcPr>
            <w:tcW w:w="1413" w:type="dxa"/>
            <w:vMerge/>
          </w:tcPr>
          <w:p w14:paraId="1D10F0F4" w14:textId="77777777" w:rsidR="009A4760" w:rsidRPr="00062588" w:rsidRDefault="009A4760" w:rsidP="00027A97"/>
        </w:tc>
        <w:tc>
          <w:tcPr>
            <w:tcW w:w="2830" w:type="dxa"/>
          </w:tcPr>
          <w:p w14:paraId="2DF875EB" w14:textId="77777777" w:rsidR="009A4760" w:rsidRPr="00062588" w:rsidRDefault="009A4760" w:rsidP="00027A97">
            <w:r w:rsidRPr="00062588">
              <w:t>Retinal pigment epithelial tears</w:t>
            </w:r>
          </w:p>
        </w:tc>
        <w:tc>
          <w:tcPr>
            <w:tcW w:w="1139" w:type="dxa"/>
            <w:vAlign w:val="center"/>
          </w:tcPr>
          <w:p w14:paraId="2FD07178" w14:textId="77777777" w:rsidR="009A4760" w:rsidRPr="00062588" w:rsidRDefault="009A4760" w:rsidP="00027A97">
            <w:r w:rsidRPr="00062588">
              <w:sym w:font="Wingdings" w:char="F0FC"/>
            </w:r>
          </w:p>
        </w:tc>
        <w:tc>
          <w:tcPr>
            <w:tcW w:w="1271" w:type="dxa"/>
            <w:vAlign w:val="center"/>
          </w:tcPr>
          <w:p w14:paraId="6A9DCBCD" w14:textId="77777777" w:rsidR="009A4760" w:rsidRPr="00062588" w:rsidRDefault="009A4760" w:rsidP="00027A97">
            <w:r w:rsidRPr="00062588">
              <w:t>–</w:t>
            </w:r>
          </w:p>
        </w:tc>
        <w:tc>
          <w:tcPr>
            <w:tcW w:w="1139" w:type="dxa"/>
            <w:vAlign w:val="center"/>
          </w:tcPr>
          <w:p w14:paraId="42A0750D" w14:textId="77777777" w:rsidR="009A4760" w:rsidRPr="00062588" w:rsidRDefault="009A4760" w:rsidP="00027A97">
            <w:r w:rsidRPr="00062588">
              <w:sym w:font="Wingdings" w:char="F0FC"/>
            </w:r>
          </w:p>
        </w:tc>
        <w:tc>
          <w:tcPr>
            <w:tcW w:w="1270" w:type="dxa"/>
            <w:vAlign w:val="center"/>
          </w:tcPr>
          <w:p w14:paraId="20B75E0C" w14:textId="77777777" w:rsidR="009A4760" w:rsidRPr="00062588" w:rsidRDefault="009A4760" w:rsidP="00027A97">
            <w:r w:rsidRPr="00062588">
              <w:sym w:font="Wingdings" w:char="F0FC"/>
            </w:r>
            <w:r w:rsidRPr="00062588">
              <w:rPr>
                <w:vertAlign w:val="superscript"/>
              </w:rPr>
              <w:t>†</w:t>
            </w:r>
          </w:p>
        </w:tc>
      </w:tr>
      <w:tr w:rsidR="00A4122E" w:rsidRPr="00062588" w14:paraId="01A98783" w14:textId="77777777" w:rsidTr="00062588">
        <w:trPr>
          <w:jc w:val="center"/>
        </w:trPr>
        <w:tc>
          <w:tcPr>
            <w:tcW w:w="1413" w:type="dxa"/>
            <w:vMerge/>
          </w:tcPr>
          <w:p w14:paraId="4CF6C2E2" w14:textId="77777777" w:rsidR="009A4760" w:rsidRPr="00062588" w:rsidRDefault="009A4760" w:rsidP="00027A97"/>
        </w:tc>
        <w:tc>
          <w:tcPr>
            <w:tcW w:w="2830" w:type="dxa"/>
          </w:tcPr>
          <w:p w14:paraId="319F2C06" w14:textId="77777777" w:rsidR="009A4760" w:rsidRPr="00062588" w:rsidRDefault="009A4760" w:rsidP="00027A97">
            <w:r w:rsidRPr="00062588">
              <w:t>Cataract (especially of traumatic origin)</w:t>
            </w:r>
          </w:p>
        </w:tc>
        <w:tc>
          <w:tcPr>
            <w:tcW w:w="1139" w:type="dxa"/>
            <w:vAlign w:val="center"/>
          </w:tcPr>
          <w:p w14:paraId="4268A671" w14:textId="77777777" w:rsidR="009A4760" w:rsidRPr="00062588" w:rsidRDefault="009A4760" w:rsidP="00027A97">
            <w:r w:rsidRPr="00062588">
              <w:sym w:font="Wingdings" w:char="F0FC"/>
            </w:r>
          </w:p>
        </w:tc>
        <w:tc>
          <w:tcPr>
            <w:tcW w:w="1271" w:type="dxa"/>
            <w:vAlign w:val="center"/>
          </w:tcPr>
          <w:p w14:paraId="43C602BC" w14:textId="77777777" w:rsidR="009A4760" w:rsidRPr="00062588" w:rsidRDefault="009A4760" w:rsidP="00027A97">
            <w:r w:rsidRPr="00062588">
              <w:t>–</w:t>
            </w:r>
          </w:p>
        </w:tc>
        <w:tc>
          <w:tcPr>
            <w:tcW w:w="1139" w:type="dxa"/>
            <w:vAlign w:val="center"/>
          </w:tcPr>
          <w:p w14:paraId="1E63BD4A" w14:textId="77777777" w:rsidR="009A4760" w:rsidRPr="00062588" w:rsidRDefault="009A4760" w:rsidP="00027A97">
            <w:r w:rsidRPr="00062588">
              <w:sym w:font="Wingdings" w:char="F0FC"/>
            </w:r>
          </w:p>
        </w:tc>
        <w:tc>
          <w:tcPr>
            <w:tcW w:w="1270" w:type="dxa"/>
            <w:vAlign w:val="center"/>
          </w:tcPr>
          <w:p w14:paraId="7361954C" w14:textId="77777777" w:rsidR="009A4760" w:rsidRPr="00062588" w:rsidRDefault="009A4760" w:rsidP="00027A97">
            <w:r w:rsidRPr="00062588">
              <w:sym w:font="Wingdings" w:char="F0FC"/>
            </w:r>
            <w:r w:rsidRPr="00062588">
              <w:rPr>
                <w:vertAlign w:val="superscript"/>
              </w:rPr>
              <w:t>†</w:t>
            </w:r>
          </w:p>
        </w:tc>
      </w:tr>
      <w:tr w:rsidR="00A4122E" w:rsidRPr="00062588" w14:paraId="0AD6ABB8" w14:textId="77777777" w:rsidTr="00062588">
        <w:trPr>
          <w:jc w:val="center"/>
        </w:trPr>
        <w:tc>
          <w:tcPr>
            <w:tcW w:w="1413" w:type="dxa"/>
            <w:vMerge w:val="restart"/>
          </w:tcPr>
          <w:p w14:paraId="5FC06CA7" w14:textId="77777777" w:rsidR="009A4760" w:rsidRPr="00062588" w:rsidRDefault="009A4760" w:rsidP="00027A97">
            <w:r w:rsidRPr="00062588">
              <w:t>Important potential risks</w:t>
            </w:r>
          </w:p>
        </w:tc>
        <w:tc>
          <w:tcPr>
            <w:tcW w:w="2830" w:type="dxa"/>
          </w:tcPr>
          <w:p w14:paraId="7415281F" w14:textId="77777777" w:rsidR="009A4760" w:rsidRPr="00062588" w:rsidRDefault="009A4760" w:rsidP="00027A97">
            <w:r w:rsidRPr="00062588">
              <w:t>Medication errors</w:t>
            </w:r>
          </w:p>
        </w:tc>
        <w:tc>
          <w:tcPr>
            <w:tcW w:w="1139" w:type="dxa"/>
            <w:vAlign w:val="center"/>
          </w:tcPr>
          <w:p w14:paraId="6AB11051" w14:textId="77777777" w:rsidR="009A4760" w:rsidRPr="00062588" w:rsidRDefault="009A4760" w:rsidP="00027A97">
            <w:r w:rsidRPr="00062588">
              <w:sym w:font="Wingdings" w:char="F0FC"/>
            </w:r>
          </w:p>
        </w:tc>
        <w:tc>
          <w:tcPr>
            <w:tcW w:w="1271" w:type="dxa"/>
            <w:vAlign w:val="center"/>
          </w:tcPr>
          <w:p w14:paraId="25CBD25D" w14:textId="77777777" w:rsidR="009A4760" w:rsidRPr="00062588" w:rsidRDefault="009A4760" w:rsidP="00027A97">
            <w:r w:rsidRPr="00062588">
              <w:t>–</w:t>
            </w:r>
          </w:p>
        </w:tc>
        <w:tc>
          <w:tcPr>
            <w:tcW w:w="1139" w:type="dxa"/>
            <w:vAlign w:val="center"/>
          </w:tcPr>
          <w:p w14:paraId="1751F295" w14:textId="77777777" w:rsidR="009A4760" w:rsidRPr="00062588" w:rsidRDefault="009A4760" w:rsidP="00027A97">
            <w:r w:rsidRPr="00062588">
              <w:sym w:font="Wingdings" w:char="F0FC"/>
            </w:r>
          </w:p>
        </w:tc>
        <w:tc>
          <w:tcPr>
            <w:tcW w:w="1270" w:type="dxa"/>
            <w:vAlign w:val="center"/>
          </w:tcPr>
          <w:p w14:paraId="3DD40BD4" w14:textId="77777777" w:rsidR="009A4760" w:rsidRPr="00062588" w:rsidRDefault="009A4760" w:rsidP="00027A97">
            <w:r w:rsidRPr="00062588">
              <w:sym w:font="Wingdings" w:char="F0FC"/>
            </w:r>
            <w:r w:rsidRPr="00062588">
              <w:rPr>
                <w:vertAlign w:val="superscript"/>
              </w:rPr>
              <w:t>†</w:t>
            </w:r>
          </w:p>
        </w:tc>
      </w:tr>
      <w:tr w:rsidR="00A4122E" w:rsidRPr="00062588" w14:paraId="3715AC25" w14:textId="77777777" w:rsidTr="00062588">
        <w:trPr>
          <w:jc w:val="center"/>
        </w:trPr>
        <w:tc>
          <w:tcPr>
            <w:tcW w:w="1413" w:type="dxa"/>
            <w:vMerge/>
          </w:tcPr>
          <w:p w14:paraId="6886744E" w14:textId="77777777" w:rsidR="009A4760" w:rsidRPr="00062588" w:rsidRDefault="009A4760" w:rsidP="00027A97"/>
        </w:tc>
        <w:tc>
          <w:tcPr>
            <w:tcW w:w="2830" w:type="dxa"/>
          </w:tcPr>
          <w:p w14:paraId="0928B299" w14:textId="77777777" w:rsidR="009A4760" w:rsidRPr="00062588" w:rsidRDefault="009A4760" w:rsidP="00027A97">
            <w:r w:rsidRPr="00062588">
              <w:t>Off-label use and misuse</w:t>
            </w:r>
          </w:p>
        </w:tc>
        <w:tc>
          <w:tcPr>
            <w:tcW w:w="1139" w:type="dxa"/>
            <w:vAlign w:val="center"/>
          </w:tcPr>
          <w:p w14:paraId="79585E63" w14:textId="77777777" w:rsidR="009A4760" w:rsidRPr="00062588" w:rsidRDefault="009A4760" w:rsidP="00027A97">
            <w:r w:rsidRPr="00062588">
              <w:sym w:font="Wingdings" w:char="F0FC"/>
            </w:r>
          </w:p>
        </w:tc>
        <w:tc>
          <w:tcPr>
            <w:tcW w:w="1271" w:type="dxa"/>
            <w:vAlign w:val="center"/>
          </w:tcPr>
          <w:p w14:paraId="4E29EEC1" w14:textId="77777777" w:rsidR="009A4760" w:rsidRPr="00062588" w:rsidRDefault="009A4760" w:rsidP="00027A97">
            <w:r w:rsidRPr="00062588">
              <w:t>–</w:t>
            </w:r>
          </w:p>
        </w:tc>
        <w:tc>
          <w:tcPr>
            <w:tcW w:w="1139" w:type="dxa"/>
            <w:vAlign w:val="center"/>
          </w:tcPr>
          <w:p w14:paraId="39B94671" w14:textId="77777777" w:rsidR="009A4760" w:rsidRPr="00062588" w:rsidRDefault="009A4760" w:rsidP="00027A97">
            <w:r w:rsidRPr="00062588">
              <w:sym w:font="Wingdings" w:char="F0FC"/>
            </w:r>
          </w:p>
        </w:tc>
        <w:tc>
          <w:tcPr>
            <w:tcW w:w="1270" w:type="dxa"/>
            <w:vAlign w:val="center"/>
          </w:tcPr>
          <w:p w14:paraId="13D03F36" w14:textId="77777777" w:rsidR="009A4760" w:rsidRPr="00062588" w:rsidRDefault="009A4760" w:rsidP="00027A97">
            <w:r w:rsidRPr="00062588">
              <w:sym w:font="Wingdings" w:char="F0FC"/>
            </w:r>
            <w:r w:rsidRPr="00062588">
              <w:rPr>
                <w:vertAlign w:val="superscript"/>
              </w:rPr>
              <w:t>†</w:t>
            </w:r>
          </w:p>
        </w:tc>
      </w:tr>
      <w:tr w:rsidR="00A4122E" w:rsidRPr="00062588" w14:paraId="53D94D5F" w14:textId="77777777" w:rsidTr="00062588">
        <w:trPr>
          <w:jc w:val="center"/>
        </w:trPr>
        <w:tc>
          <w:tcPr>
            <w:tcW w:w="1413" w:type="dxa"/>
            <w:vMerge/>
          </w:tcPr>
          <w:p w14:paraId="5579E3C1" w14:textId="77777777" w:rsidR="009A4760" w:rsidRPr="00062588" w:rsidRDefault="009A4760" w:rsidP="00027A97"/>
        </w:tc>
        <w:tc>
          <w:tcPr>
            <w:tcW w:w="2830" w:type="dxa"/>
          </w:tcPr>
          <w:p w14:paraId="40233490" w14:textId="1071A54A" w:rsidR="009A4760" w:rsidRPr="00062588" w:rsidRDefault="009A4760" w:rsidP="00027A97">
            <w:r w:rsidRPr="00062588">
              <w:t>Embryo-foet</w:t>
            </w:r>
            <w:r w:rsidR="00886D72">
              <w:t>al</w:t>
            </w:r>
            <w:r w:rsidRPr="00062588">
              <w:t xml:space="preserve"> toxicity</w:t>
            </w:r>
          </w:p>
        </w:tc>
        <w:tc>
          <w:tcPr>
            <w:tcW w:w="1139" w:type="dxa"/>
            <w:vAlign w:val="center"/>
          </w:tcPr>
          <w:p w14:paraId="21A43CCD" w14:textId="77777777" w:rsidR="009A4760" w:rsidRPr="00062588" w:rsidRDefault="009A4760" w:rsidP="00027A97">
            <w:r w:rsidRPr="00062588">
              <w:sym w:font="Wingdings" w:char="F0FC"/>
            </w:r>
          </w:p>
        </w:tc>
        <w:tc>
          <w:tcPr>
            <w:tcW w:w="1271" w:type="dxa"/>
            <w:vAlign w:val="center"/>
          </w:tcPr>
          <w:p w14:paraId="34BD38B3" w14:textId="77777777" w:rsidR="009A4760" w:rsidRPr="00062588" w:rsidRDefault="009A4760" w:rsidP="00027A97">
            <w:r w:rsidRPr="00062588">
              <w:t>–</w:t>
            </w:r>
          </w:p>
        </w:tc>
        <w:tc>
          <w:tcPr>
            <w:tcW w:w="1139" w:type="dxa"/>
            <w:vAlign w:val="center"/>
          </w:tcPr>
          <w:p w14:paraId="5A34F5A8" w14:textId="77777777" w:rsidR="009A4760" w:rsidRPr="00062588" w:rsidRDefault="009A4760" w:rsidP="00027A97">
            <w:r w:rsidRPr="00062588">
              <w:sym w:font="Wingdings" w:char="F0FC"/>
            </w:r>
          </w:p>
        </w:tc>
        <w:tc>
          <w:tcPr>
            <w:tcW w:w="1270" w:type="dxa"/>
            <w:vAlign w:val="center"/>
          </w:tcPr>
          <w:p w14:paraId="3CC10493" w14:textId="77777777" w:rsidR="009A4760" w:rsidRPr="00062588" w:rsidRDefault="009A4760" w:rsidP="00027A97">
            <w:r w:rsidRPr="00062588">
              <w:sym w:font="Wingdings" w:char="F0FC"/>
            </w:r>
            <w:r w:rsidRPr="00062588">
              <w:rPr>
                <w:vertAlign w:val="superscript"/>
              </w:rPr>
              <w:t>†</w:t>
            </w:r>
          </w:p>
        </w:tc>
      </w:tr>
      <w:tr w:rsidR="00A4122E" w:rsidRPr="00062588" w14:paraId="0FA46092" w14:textId="77777777" w:rsidTr="00062588">
        <w:trPr>
          <w:jc w:val="center"/>
        </w:trPr>
        <w:tc>
          <w:tcPr>
            <w:tcW w:w="1413" w:type="dxa"/>
          </w:tcPr>
          <w:p w14:paraId="527A2AC6" w14:textId="77777777" w:rsidR="009A4760" w:rsidRPr="00062588" w:rsidRDefault="009A4760" w:rsidP="00027A97">
            <w:r w:rsidRPr="00062588">
              <w:t>Missing information</w:t>
            </w:r>
          </w:p>
        </w:tc>
        <w:tc>
          <w:tcPr>
            <w:tcW w:w="2830" w:type="dxa"/>
          </w:tcPr>
          <w:p w14:paraId="33C7D209" w14:textId="77777777" w:rsidR="009A4760" w:rsidRPr="00062588" w:rsidRDefault="009A4760" w:rsidP="00027A97">
            <w:r w:rsidRPr="00062588">
              <w:t>None</w:t>
            </w:r>
          </w:p>
        </w:tc>
        <w:tc>
          <w:tcPr>
            <w:tcW w:w="1139" w:type="dxa"/>
            <w:vAlign w:val="center"/>
          </w:tcPr>
          <w:p w14:paraId="13D17086" w14:textId="77777777" w:rsidR="009A4760" w:rsidRPr="00062588" w:rsidRDefault="009A4760" w:rsidP="00027A97">
            <w:r w:rsidRPr="00062588">
              <w:t>–</w:t>
            </w:r>
          </w:p>
        </w:tc>
        <w:tc>
          <w:tcPr>
            <w:tcW w:w="1271" w:type="dxa"/>
            <w:vAlign w:val="center"/>
          </w:tcPr>
          <w:p w14:paraId="64D68292" w14:textId="77777777" w:rsidR="009A4760" w:rsidRPr="00062588" w:rsidRDefault="009A4760" w:rsidP="00027A97">
            <w:r w:rsidRPr="00062588">
              <w:t>–</w:t>
            </w:r>
          </w:p>
        </w:tc>
        <w:tc>
          <w:tcPr>
            <w:tcW w:w="1139" w:type="dxa"/>
            <w:vAlign w:val="center"/>
          </w:tcPr>
          <w:p w14:paraId="145BF63B" w14:textId="77777777" w:rsidR="009A4760" w:rsidRPr="00062588" w:rsidRDefault="009A4760" w:rsidP="00027A97">
            <w:r w:rsidRPr="00062588">
              <w:t>–</w:t>
            </w:r>
          </w:p>
        </w:tc>
        <w:tc>
          <w:tcPr>
            <w:tcW w:w="1270" w:type="dxa"/>
            <w:vAlign w:val="center"/>
          </w:tcPr>
          <w:p w14:paraId="2701EB16" w14:textId="77777777" w:rsidR="009A4760" w:rsidRPr="00062588" w:rsidRDefault="009A4760" w:rsidP="00027A97">
            <w:r w:rsidRPr="00062588">
              <w:t>–</w:t>
            </w:r>
          </w:p>
        </w:tc>
      </w:tr>
    </w:tbl>
    <w:p w14:paraId="6368BAE8" w14:textId="77777777" w:rsidR="00A4122E" w:rsidRPr="00A4122E" w:rsidRDefault="00A4122E" w:rsidP="00A4122E">
      <w:pPr>
        <w:pStyle w:val="TableDescription"/>
      </w:pPr>
      <w:bookmarkStart w:id="52" w:name="_Toc103679299"/>
      <w:r w:rsidRPr="00A4122E">
        <w:t xml:space="preserve">*Follow-up questionnaires </w:t>
      </w:r>
    </w:p>
    <w:p w14:paraId="456C7934" w14:textId="43D73883" w:rsidR="00FA1BC9" w:rsidRDefault="00A4122E" w:rsidP="00A4122E">
      <w:pPr>
        <w:pStyle w:val="TableDescription"/>
      </w:pPr>
      <w:r w:rsidRPr="00A4122E">
        <w:t>†Patient’s Guide</w:t>
      </w:r>
    </w:p>
    <w:p w14:paraId="7E8BE845" w14:textId="18E84828" w:rsidR="00C47DA9" w:rsidRDefault="00C47DA9" w:rsidP="00C47DA9">
      <w:r>
        <w:t xml:space="preserve">The clinical and nonclinical evaluators did not recommend any changes to the summary of safety concerns. The summary of safety concerns is identical to that of the reference product and is acceptable.  </w:t>
      </w:r>
    </w:p>
    <w:p w14:paraId="585A8E7C" w14:textId="7E082B26" w:rsidR="00C47DA9" w:rsidRDefault="00C47DA9" w:rsidP="00C47DA9">
      <w:r>
        <w:t>The pharmacovigilance plan is in line with the reference product and is acceptable.</w:t>
      </w:r>
    </w:p>
    <w:p w14:paraId="19690055" w14:textId="48B7481C" w:rsidR="00C47DA9" w:rsidRDefault="00C47DA9" w:rsidP="00C47DA9">
      <w:r>
        <w:t>A Patient’s Guide will be implemented as an additional risk minimisation activity in Australia, in line with the Australian reference product. The risk minimisation plan is acceptable.</w:t>
      </w:r>
    </w:p>
    <w:p w14:paraId="74A4F87F" w14:textId="77777777" w:rsidR="00C22214" w:rsidRDefault="00C22214" w:rsidP="00C22214">
      <w:pPr>
        <w:pStyle w:val="Heading3"/>
      </w:pPr>
      <w:bookmarkStart w:id="53" w:name="_Toc215222568"/>
      <w:r>
        <w:t>Risk-benefit analysis</w:t>
      </w:r>
      <w:bookmarkEnd w:id="49"/>
      <w:bookmarkEnd w:id="50"/>
      <w:bookmarkEnd w:id="52"/>
      <w:bookmarkEnd w:id="53"/>
    </w:p>
    <w:p w14:paraId="272E313F" w14:textId="6C17C502" w:rsidR="00EC3531" w:rsidRDefault="00EC3531" w:rsidP="00EC3531">
      <w:r>
        <w:t>SB15 (</w:t>
      </w:r>
      <w:r w:rsidR="006C4752">
        <w:t>Opuviz</w:t>
      </w:r>
      <w:r>
        <w:t xml:space="preserve">) has been developed as a biosimilar candidate to </w:t>
      </w:r>
      <w:r w:rsidR="000C0296">
        <w:t>Eylea</w:t>
      </w:r>
      <w:r>
        <w:t xml:space="preserve"> (aflibercept), with the same amino acid sequence, and route of administration (intravitreal ([IVT] injection). The medical need for </w:t>
      </w:r>
      <w:r w:rsidR="000C0296">
        <w:t>Eylea</w:t>
      </w:r>
      <w:r>
        <w:t xml:space="preserve"> (aflibercept) in the approved indications is well documented, as it has meaningful benefit to the various patient populations.</w:t>
      </w:r>
    </w:p>
    <w:p w14:paraId="32240FEF" w14:textId="0204504B" w:rsidR="00EC3531" w:rsidRDefault="00EC3531" w:rsidP="00EC3531">
      <w:r>
        <w:t xml:space="preserve">Comprehensive comparisons of physicochemical and biological quality attributes were undertaken to demonstrate biosimilarity of SB15 to </w:t>
      </w:r>
      <w:r w:rsidR="000C0296">
        <w:t>Eylea</w:t>
      </w:r>
      <w:r>
        <w:t xml:space="preserve"> (US). A bridging study demonstrated high similarity of Australian-sourced </w:t>
      </w:r>
      <w:r w:rsidR="000C0296">
        <w:t>Eylea</w:t>
      </w:r>
      <w:r>
        <w:t xml:space="preserve"> to US-sourced </w:t>
      </w:r>
      <w:r w:rsidR="000C0296">
        <w:t>Eylea</w:t>
      </w:r>
      <w:r>
        <w:t xml:space="preserve"> supporting biosimilarity of SB15 (</w:t>
      </w:r>
      <w:r w:rsidR="006C4752">
        <w:t>Opuviz</w:t>
      </w:r>
      <w:r>
        <w:t>)</w:t>
      </w:r>
      <w:r w:rsidR="00C224F2">
        <w:t>,</w:t>
      </w:r>
      <w:r>
        <w:t xml:space="preserve"> the Australian reference product.</w:t>
      </w:r>
    </w:p>
    <w:p w14:paraId="2C8419B2" w14:textId="3BEF2F07" w:rsidR="00EC3531" w:rsidRDefault="00EC3531" w:rsidP="00EC3531">
      <w:r>
        <w:t xml:space="preserve">One comparative clinical study was provided (Study SB15-3001) which compared the efficacy of SB15 to the reference product, </w:t>
      </w:r>
      <w:r w:rsidR="000C0296">
        <w:t>Eylea</w:t>
      </w:r>
      <w:r w:rsidR="00691E43">
        <w:t>,</w:t>
      </w:r>
      <w:r>
        <w:t xml:space="preserve"> licensed in the US (</w:t>
      </w:r>
      <w:r w:rsidR="000C0296">
        <w:t>Eylea</w:t>
      </w:r>
      <w:r>
        <w:t xml:space="preserve"> (US)), as the primary objective, with safety and immunogenicity as secondary objectives.  This study was a randomized, double-masked, multicentre, active-controlled study in adult subjects with neovascular (wet) AMD. A switching design was incorporated, with the Eylea arm being re-randomised into the Eylea+SB15 arm and the Eylea+Eylea arm at Week 32. </w:t>
      </w:r>
    </w:p>
    <w:p w14:paraId="62DA7B48" w14:textId="081359D8" w:rsidR="00EC3531" w:rsidRDefault="00EC3531" w:rsidP="00EC3531">
      <w:r>
        <w:t xml:space="preserve">Biosimilarity in clinical efficacy was demonstrated between SB15 and </w:t>
      </w:r>
      <w:r w:rsidR="000C0296">
        <w:t>Eylea</w:t>
      </w:r>
      <w:r>
        <w:t xml:space="preserve"> (US) in terms of change in BCVA (measured by ETDRS chart) from baseline to week 8, with a between-group least-squares mean difference of -0.2 and 95% CI of -1.6 to 1.2, which was within the </w:t>
      </w:r>
      <w:r>
        <w:lastRenderedPageBreak/>
        <w:t xml:space="preserve">appropriate pre-specified equivalence margin of –3 to 3 letters.  Further descriptive analyses of additional efficacy endpoints showed no clinically meaningful differences between SB15 and </w:t>
      </w:r>
      <w:r w:rsidR="000C0296">
        <w:t>Eylea</w:t>
      </w:r>
      <w:r>
        <w:t xml:space="preserve"> (US). Results from Study SB15-3001 also show that the transition from </w:t>
      </w:r>
      <w:r w:rsidR="000C0296">
        <w:t>Eylea</w:t>
      </w:r>
      <w:r>
        <w:t xml:space="preserve"> (US) to SB15 did not result in a clinically meaningful impact on efficacy and persistence of efficacy through week 56 was also observed in Study SB15-3001. </w:t>
      </w:r>
    </w:p>
    <w:p w14:paraId="72B86D24" w14:textId="33F04D16" w:rsidR="00EC3531" w:rsidRDefault="00EC3531" w:rsidP="00EC3531">
      <w:r>
        <w:t xml:space="preserve">Safety results from Study SB15-3001 showed no clinically important differences between SB15 and </w:t>
      </w:r>
      <w:r w:rsidR="000C0296">
        <w:t>Eylea</w:t>
      </w:r>
      <w:r>
        <w:t xml:space="preserve"> (US). No new safety signals were identified. A low incidence of binding ADAs was observed for the treatment groups.</w:t>
      </w:r>
    </w:p>
    <w:p w14:paraId="11A6934F" w14:textId="387474D7" w:rsidR="00EC3531" w:rsidRPr="00EC3531" w:rsidRDefault="00EC3531" w:rsidP="00EC3531">
      <w:r>
        <w:t xml:space="preserve">With regards to justification for extrapolation of clinical data to the other approved </w:t>
      </w:r>
      <w:r w:rsidR="000C0296">
        <w:t>Eylea</w:t>
      </w:r>
      <w:r>
        <w:t xml:space="preserve"> indications, aflibercept is administered intravitreally, and therefore systemic PK data has limited value in predicting efficacy and ocular safety. Data from the PK sub-study within study SB15-3001 is descriptive in nature. Nevertheless, mechanism of action, quality attributes and representativeness of patient population are sound scientific justifications and the extrapolation of the clinical data for nAMD to other approved </w:t>
      </w:r>
      <w:r w:rsidR="000C0296">
        <w:t>Eylea</w:t>
      </w:r>
      <w:r>
        <w:t xml:space="preserve"> indications for SB15 is considered acceptable.</w:t>
      </w:r>
    </w:p>
    <w:p w14:paraId="307F236C" w14:textId="7FD19BD3" w:rsidR="00C22214" w:rsidRPr="002E238E" w:rsidRDefault="0046285C" w:rsidP="00C22214">
      <w:pPr>
        <w:pStyle w:val="Heading2"/>
      </w:pPr>
      <w:bookmarkStart w:id="54" w:name="_Toc247691532"/>
      <w:bookmarkStart w:id="55" w:name="_Toc314842516"/>
      <w:bookmarkStart w:id="56" w:name="_Toc103679300"/>
      <w:bookmarkStart w:id="57" w:name="_Toc215222569"/>
      <w:r>
        <w:t>Assessment</w:t>
      </w:r>
      <w:r w:rsidR="00190853">
        <w:t xml:space="preserve"> </w:t>
      </w:r>
      <w:r>
        <w:t>o</w:t>
      </w:r>
      <w:r w:rsidR="00C22214">
        <w:t>utcome</w:t>
      </w:r>
      <w:bookmarkEnd w:id="54"/>
      <w:bookmarkEnd w:id="55"/>
      <w:bookmarkEnd w:id="56"/>
      <w:bookmarkEnd w:id="57"/>
    </w:p>
    <w:p w14:paraId="4EF22939" w14:textId="494C9F56"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6C4752">
        <w:t>Opuviz</w:t>
      </w:r>
      <w:r w:rsidR="00FF601F">
        <w:t xml:space="preserve"> (</w:t>
      </w:r>
      <w:r w:rsidR="008C35B0" w:rsidRPr="008C35B0">
        <w:t>aflibercept</w:t>
      </w:r>
      <w:r w:rsidR="00FF601F">
        <w:t>)</w:t>
      </w:r>
      <w:r w:rsidR="008C35B0" w:rsidRPr="008C35B0">
        <w:t xml:space="preserve"> </w:t>
      </w:r>
      <w:r w:rsidRPr="0017005C">
        <w:t>for the following indications</w:t>
      </w:r>
      <w:r w:rsidR="008C35B0">
        <w:t>:</w:t>
      </w:r>
    </w:p>
    <w:p w14:paraId="315ECE88" w14:textId="0B100544" w:rsidR="00962F79" w:rsidRPr="00962F79" w:rsidRDefault="006C4752" w:rsidP="00962F79">
      <w:pPr>
        <w:pStyle w:val="Indication"/>
      </w:pPr>
      <w:r>
        <w:t>Opuviz</w:t>
      </w:r>
      <w:r w:rsidR="00967BB0">
        <w:t xml:space="preserve"> 2 mg (aflibercept) is indicated in adults for the treatment of:</w:t>
      </w:r>
    </w:p>
    <w:p w14:paraId="5E6E14CA" w14:textId="623B0352" w:rsidR="00967BB0" w:rsidRPr="00962F79" w:rsidRDefault="00962F79" w:rsidP="00962F79">
      <w:pPr>
        <w:pStyle w:val="Indication"/>
      </w:pPr>
      <w:r>
        <w:t>-</w:t>
      </w:r>
      <w:r w:rsidR="00967BB0" w:rsidRPr="00962F79">
        <w:t>neovascular (wet) age-related macular degeneration (wet AMD)</w:t>
      </w:r>
    </w:p>
    <w:p w14:paraId="6DCDF24B" w14:textId="0CFB5A2D" w:rsidR="00967BB0" w:rsidRPr="00962F79" w:rsidRDefault="00962F79" w:rsidP="00962F79">
      <w:pPr>
        <w:pStyle w:val="Indication"/>
      </w:pPr>
      <w:r>
        <w:t>-</w:t>
      </w:r>
      <w:r w:rsidR="00967BB0" w:rsidRPr="00962F79">
        <w:t>visual impairment due to macular oedema secondary to central retinal vein occlusion (CRVO)</w:t>
      </w:r>
    </w:p>
    <w:p w14:paraId="10D50669" w14:textId="21BF2DB7" w:rsidR="00967BB0" w:rsidRPr="00962F79" w:rsidRDefault="00962F79" w:rsidP="00962F79">
      <w:pPr>
        <w:pStyle w:val="Indication"/>
      </w:pPr>
      <w:r>
        <w:t>-</w:t>
      </w:r>
      <w:r w:rsidR="00967BB0" w:rsidRPr="00962F79">
        <w:t>visual impairment due to macular oedema secondary to branch retinal vein occlusion (BRVO)</w:t>
      </w:r>
    </w:p>
    <w:p w14:paraId="5868877C" w14:textId="3E499641" w:rsidR="00967BB0" w:rsidRPr="00962F79" w:rsidRDefault="00962F79" w:rsidP="00962F79">
      <w:pPr>
        <w:pStyle w:val="Indication"/>
      </w:pPr>
      <w:r>
        <w:t>-</w:t>
      </w:r>
      <w:r w:rsidR="00967BB0" w:rsidRPr="00962F79">
        <w:t>diabetic macular oedema (DME)</w:t>
      </w:r>
    </w:p>
    <w:p w14:paraId="6D99CD7C" w14:textId="28160E1C" w:rsidR="00962F79" w:rsidRPr="00962F79" w:rsidRDefault="00962F79" w:rsidP="00962F79">
      <w:pPr>
        <w:pStyle w:val="Indication"/>
      </w:pPr>
      <w:r>
        <w:t>-</w:t>
      </w:r>
      <w:r w:rsidRPr="00962F79">
        <w:t>visual impairment due to myopic choroidal neovascularisation (myopic CNV).</w:t>
      </w:r>
    </w:p>
    <w:p w14:paraId="0D732DA4" w14:textId="74882685" w:rsidR="00854D98" w:rsidRDefault="00854D98" w:rsidP="003B7D82">
      <w:pPr>
        <w:pStyle w:val="Heading4"/>
      </w:pPr>
      <w:bookmarkStart w:id="58" w:name="_Toc215222570"/>
      <w:bookmarkStart w:id="59" w:name="_Toc103679301"/>
      <w:r w:rsidRPr="00D23139">
        <w:t>Specific conditions of registration</w:t>
      </w:r>
      <w:bookmarkEnd w:id="58"/>
      <w:r w:rsidRPr="00D23139">
        <w:t xml:space="preserve"> </w:t>
      </w:r>
      <w:bookmarkEnd w:id="59"/>
    </w:p>
    <w:p w14:paraId="0208CA50" w14:textId="61B56C23" w:rsidR="006E5115" w:rsidRDefault="006E5115" w:rsidP="006E5115">
      <w:r>
        <w:t xml:space="preserve">The </w:t>
      </w:r>
      <w:r w:rsidR="006C4752">
        <w:t>Opuviz</w:t>
      </w:r>
      <w:r>
        <w:t xml:space="preserve"> EU-Risk Management Plan (RMP) (version 1.1, dated date 12 March 2024; DLP 21 February 2024), with Australia-Specific Annex (ASA) (version 1.1, dated 5 March 2025), included with submission PM-2024-03080-1-5, and any subsequent revisions, as agreed with the TGA will be implemented in Australia. </w:t>
      </w:r>
    </w:p>
    <w:p w14:paraId="264622CD" w14:textId="75FE8FB0" w:rsidR="006E5115" w:rsidRDefault="006E5115" w:rsidP="006E5115">
      <w:r>
        <w:t>An obligatory component of risk management plans is routine pharmacovigilance. Routine pharmacovigilance includes the submission of periodic safety update reports (PSURs).</w:t>
      </w:r>
    </w:p>
    <w:p w14:paraId="1F2ED681" w14:textId="77777777" w:rsidR="006E5115" w:rsidRDefault="006E5115" w:rsidP="006E5115">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62E7DCAA" w14:textId="77777777" w:rsidR="006E5115" w:rsidRDefault="006E5115" w:rsidP="006E5115">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740962BC" w14:textId="647C782F" w:rsidR="006E5115" w:rsidRDefault="006E5115" w:rsidP="006E5115">
      <w:r>
        <w:t>Laboratory testing &amp; compliance with Certified Product Details (CPD)</w:t>
      </w:r>
    </w:p>
    <w:p w14:paraId="271DC59A" w14:textId="156AA3EE" w:rsidR="006E5115" w:rsidRDefault="006E5115" w:rsidP="00807C6A">
      <w:pPr>
        <w:pStyle w:val="ListBullet"/>
      </w:pPr>
      <w:r>
        <w:lastRenderedPageBreak/>
        <w:t xml:space="preserve">All batches of </w:t>
      </w:r>
      <w:r w:rsidR="006C4752">
        <w:t>Opuviz</w:t>
      </w:r>
      <w:r>
        <w:t xml:space="preserve"> aflibercept supplied in Australia must comply with the product details and specifications approved during evaluation and detailed in the Certified Product Details (CPD).</w:t>
      </w:r>
    </w:p>
    <w:p w14:paraId="3C326FCD" w14:textId="2447902C" w:rsidR="006E5115" w:rsidRDefault="006E5115" w:rsidP="00807C6A">
      <w:pPr>
        <w:pStyle w:val="ListBullet"/>
      </w:pPr>
      <w:r>
        <w:t xml:space="preserve">When requested by the TGA, the </w:t>
      </w:r>
      <w:r w:rsidR="004215E2">
        <w:t>Sponsor</w:t>
      </w:r>
      <w: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75F7D08E" w14:textId="554BF143" w:rsidR="006E5115" w:rsidRPr="00263150" w:rsidRDefault="006E5115" w:rsidP="006E5115">
      <w:pPr>
        <w:rPr>
          <w:b/>
          <w:bCs/>
        </w:rPr>
      </w:pPr>
      <w:r w:rsidRPr="00263150">
        <w:rPr>
          <w:b/>
          <w:bCs/>
        </w:rPr>
        <w:t xml:space="preserve">Certified </w:t>
      </w:r>
      <w:r w:rsidR="00027A97" w:rsidRPr="00263150">
        <w:rPr>
          <w:b/>
          <w:bCs/>
        </w:rPr>
        <w:t>product details</w:t>
      </w:r>
    </w:p>
    <w:p w14:paraId="3F08C38F" w14:textId="77777777" w:rsidR="006E5115" w:rsidRDefault="006E5115" w:rsidP="006E5115">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E43150C" w14:textId="77777777" w:rsidR="006E5115" w:rsidRDefault="006E5115" w:rsidP="006E5115">
      <w:r>
        <w:t>A template for preparation of CPD for biological prescription medicines can be obtained from the TGA website</w:t>
      </w:r>
    </w:p>
    <w:p w14:paraId="7E8B4DDD" w14:textId="0A43F286" w:rsidR="006E5115" w:rsidRDefault="006E5115" w:rsidP="006E5115">
      <w:r>
        <w:t xml:space="preserve">[for the form] </w:t>
      </w:r>
      <w:hyperlink r:id="rId46" w:history="1">
        <w:r w:rsidR="008C1110">
          <w:rPr>
            <w:rStyle w:val="Hyperlink"/>
          </w:rPr>
          <w:t>https://www.tga.gov.au/resources/resources/forms/certified-product-details-cpd-biological-prescription-medicines</w:t>
        </w:r>
      </w:hyperlink>
      <w:r>
        <w:t xml:space="preserve"> </w:t>
      </w:r>
    </w:p>
    <w:p w14:paraId="53EE502D" w14:textId="261D64FA" w:rsidR="006E5115" w:rsidRPr="006E5115" w:rsidRDefault="006E5115" w:rsidP="006E5115">
      <w:r>
        <w:t xml:space="preserve">[for the CPD guidance] </w:t>
      </w:r>
      <w:hyperlink r:id="rId47" w:history="1">
        <w:r w:rsidR="000A51CE">
          <w:rPr>
            <w:rStyle w:val="Hyperlink"/>
          </w:rPr>
          <w:t>https://www.tga.gov.au/resources/guidance/submitting-certified-product-details-cpd-biological-prescription-medicines</w:t>
        </w:r>
      </w:hyperlink>
      <w:r>
        <w:t xml:space="preserve"> </w:t>
      </w:r>
    </w:p>
    <w:p w14:paraId="0F9C1952" w14:textId="46BD475E" w:rsidR="00BA657C" w:rsidRPr="00BA657C" w:rsidRDefault="00BA657C" w:rsidP="00027A97">
      <w:pPr>
        <w:pStyle w:val="Heading2"/>
      </w:pPr>
      <w:bookmarkStart w:id="60" w:name="_Toc215222571"/>
      <w:bookmarkStart w:id="61" w:name="_Toc196738290"/>
      <w:r w:rsidRPr="00BA657C">
        <w:t>Product Information and Consumer Medicine Information</w:t>
      </w:r>
      <w:bookmarkEnd w:id="60"/>
      <w:r w:rsidRPr="00BA657C">
        <w:t xml:space="preserve"> </w:t>
      </w:r>
      <w:bookmarkEnd w:id="61"/>
    </w:p>
    <w:p w14:paraId="5F276616" w14:textId="6667B73D" w:rsidR="004D0933" w:rsidRPr="004D0933" w:rsidRDefault="004D0933" w:rsidP="004D0933">
      <w:bookmarkStart w:id="62" w:name="_Hlk200021736"/>
      <w:r w:rsidRPr="004D0933">
        <w:t xml:space="preserve">For the most recent Product Information (PI) and Consumer Medicine Information (CMI), please refer to the TGA </w:t>
      </w:r>
      <w:hyperlink r:id="rId48" w:history="1">
        <w:r w:rsidRPr="004D0933">
          <w:rPr>
            <w:rStyle w:val="Hyperlink"/>
          </w:rPr>
          <w:t>PI/CMI search facility.</w:t>
        </w:r>
      </w:hyperlink>
    </w:p>
    <w:bookmarkEnd w:id="62"/>
    <w:p w14:paraId="0C57DE07" w14:textId="03E79C20" w:rsidR="00675F81" w:rsidRPr="0017005C" w:rsidRDefault="00675F81" w:rsidP="00BE640F">
      <w:pPr>
        <w:pStyle w:val="Instructions"/>
      </w:pPr>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590539"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453224" w:rsidRDefault="00F02AEC">
            <w:pPr>
              <w:pStyle w:val="Address"/>
              <w:jc w:val="center"/>
              <w:rPr>
                <w:sz w:val="22"/>
                <w:szCs w:val="22"/>
                <w:lang w:val="fr-FR"/>
              </w:rPr>
            </w:pPr>
            <w:proofErr w:type="gramStart"/>
            <w:r w:rsidRPr="00453224">
              <w:rPr>
                <w:lang w:val="fr-FR"/>
              </w:rPr>
              <w:t>Email:</w:t>
            </w:r>
            <w:proofErr w:type="gramEnd"/>
            <w:r w:rsidRPr="00453224">
              <w:rPr>
                <w:lang w:val="fr-FR"/>
              </w:rPr>
              <w:t xml:space="preserve"> </w:t>
            </w:r>
            <w:hyperlink r:id="rId51" w:history="1">
              <w:r w:rsidRPr="00453224">
                <w:rPr>
                  <w:rStyle w:val="Hyperlink"/>
                  <w:lang w:val="fr-FR"/>
                </w:rPr>
                <w:t>info@tga.gov.au</w:t>
              </w:r>
            </w:hyperlink>
            <w:r w:rsidRPr="00453224">
              <w:rPr>
                <w:lang w:val="fr-FR"/>
              </w:rPr>
              <w:t xml:space="preserve">  Phone: 1800 020 </w:t>
            </w:r>
            <w:proofErr w:type="gramStart"/>
            <w:r w:rsidRPr="00453224">
              <w:rPr>
                <w:lang w:val="fr-FR"/>
              </w:rPr>
              <w:t>653  Fax</w:t>
            </w:r>
            <w:proofErr w:type="gramEnd"/>
            <w:r w:rsidRPr="00453224">
              <w:rPr>
                <w:lang w:val="fr-FR"/>
              </w:rPr>
              <w:t>: 02 6203 1605</w:t>
            </w:r>
          </w:p>
          <w:p w14:paraId="4533D80F" w14:textId="1519D7A3" w:rsidR="00F02AEC" w:rsidRPr="00453224" w:rsidRDefault="00F02AEC">
            <w:pPr>
              <w:pStyle w:val="Address"/>
              <w:jc w:val="center"/>
              <w:rPr>
                <w:rStyle w:val="Hyperlink"/>
                <w:b/>
                <w:color w:val="auto"/>
                <w:sz w:val="22"/>
                <w:lang w:val="fr-FR"/>
              </w:rPr>
            </w:pPr>
            <w:hyperlink r:id="rId52" w:history="1">
              <w:r w:rsidRPr="00453224">
                <w:rPr>
                  <w:rStyle w:val="Hyperlink"/>
                  <w:b/>
                  <w:lang w:val="fr-FR"/>
                </w:rPr>
                <w:t>https://www.tga.gov.au</w:t>
              </w:r>
            </w:hyperlink>
          </w:p>
        </w:tc>
      </w:tr>
      <w:tr w:rsidR="00F02AEC" w:rsidRPr="00590539" w14:paraId="2AD74347" w14:textId="77777777" w:rsidTr="007452E8">
        <w:trPr>
          <w:trHeight w:val="251"/>
          <w:jc w:val="center"/>
        </w:trPr>
        <w:tc>
          <w:tcPr>
            <w:tcW w:w="9145" w:type="dxa"/>
            <w:tcMar>
              <w:top w:w="28" w:type="dxa"/>
            </w:tcMar>
          </w:tcPr>
          <w:p w14:paraId="6EAAD5C1" w14:textId="675D264E" w:rsidR="00F02AEC" w:rsidRPr="00453224" w:rsidRDefault="00F02AEC" w:rsidP="007452E8">
            <w:pPr>
              <w:pStyle w:val="Address"/>
              <w:jc w:val="center"/>
              <w:rPr>
                <w:lang w:val="fr-FR"/>
              </w:rPr>
            </w:pPr>
          </w:p>
        </w:tc>
      </w:tr>
    </w:tbl>
    <w:p w14:paraId="788B80FD" w14:textId="77777777" w:rsidR="007452E8" w:rsidRPr="00453224" w:rsidRDefault="007452E8">
      <w:pPr>
        <w:rPr>
          <w:lang w:val="fr-FR"/>
        </w:rPr>
      </w:pPr>
    </w:p>
    <w:sectPr w:rsidR="007452E8" w:rsidRPr="00453224"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412D9" w14:textId="77777777" w:rsidR="00DB6C78" w:rsidRDefault="00DB6C78" w:rsidP="00F02AEC">
      <w:pPr>
        <w:spacing w:after="0" w:line="240" w:lineRule="auto"/>
      </w:pPr>
      <w:r>
        <w:separator/>
      </w:r>
    </w:p>
  </w:endnote>
  <w:endnote w:type="continuationSeparator" w:id="0">
    <w:p w14:paraId="46201E67" w14:textId="77777777" w:rsidR="00DB6C78" w:rsidRDefault="00DB6C78"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4EF9" w14:textId="40C6FE11" w:rsidR="004C79C9" w:rsidRDefault="00556EB1">
    <w:pPr>
      <w:pStyle w:val="Footer"/>
    </w:pPr>
    <w:r>
      <w:rPr>
        <w:noProof/>
      </w:rPr>
      <mc:AlternateContent>
        <mc:Choice Requires="wps">
          <w:drawing>
            <wp:anchor distT="0" distB="0" distL="0" distR="0" simplePos="0" relativeHeight="251677696" behindDoc="0" locked="0" layoutInCell="1" allowOverlap="1" wp14:anchorId="2D0D9649" wp14:editId="7330D0E9">
              <wp:simplePos x="635" y="635"/>
              <wp:positionH relativeFrom="page">
                <wp:align>center</wp:align>
              </wp:positionH>
              <wp:positionV relativeFrom="page">
                <wp:align>bottom</wp:align>
              </wp:positionV>
              <wp:extent cx="622300" cy="391160"/>
              <wp:effectExtent l="0" t="0" r="6350" b="0"/>
              <wp:wrapNone/>
              <wp:docPr id="171298855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CC79BB9" w14:textId="20ADDCF4"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D9649"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CC79BB9" w14:textId="20ADDCF4"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4C79C9" w:rsidRPr="00257138" w14:paraId="162D69C2" w14:textId="77777777" w:rsidTr="007452E8">
      <w:trPr>
        <w:trHeight w:val="423"/>
      </w:trPr>
      <w:tc>
        <w:tcPr>
          <w:tcW w:w="4360" w:type="dxa"/>
          <w:tcBorders>
            <w:top w:val="single" w:sz="4" w:space="0" w:color="auto"/>
          </w:tcBorders>
        </w:tcPr>
        <w:p w14:paraId="32E1B782" w14:textId="439F03B8" w:rsidR="004C79C9" w:rsidRDefault="00556EB1" w:rsidP="007452E8">
          <w:pPr>
            <w:pStyle w:val="Footer"/>
          </w:pPr>
          <w:r>
            <w:rPr>
              <w:noProof/>
            </w:rPr>
            <mc:AlternateContent>
              <mc:Choice Requires="wps">
                <w:drawing>
                  <wp:anchor distT="0" distB="0" distL="0" distR="0" simplePos="0" relativeHeight="251678720" behindDoc="0" locked="0" layoutInCell="1" allowOverlap="1" wp14:anchorId="465E8435" wp14:editId="098870A9">
                    <wp:simplePos x="635" y="635"/>
                    <wp:positionH relativeFrom="page">
                      <wp:align>center</wp:align>
                    </wp:positionH>
                    <wp:positionV relativeFrom="page">
                      <wp:align>bottom</wp:align>
                    </wp:positionV>
                    <wp:extent cx="622300" cy="391160"/>
                    <wp:effectExtent l="0" t="0" r="6350" b="0"/>
                    <wp:wrapNone/>
                    <wp:docPr id="175074206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BC00984" w14:textId="6139B770"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5E8435"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0BC00984" w14:textId="6139B770"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4C79C9" w:rsidRPr="00257138" w:rsidRDefault="004C79C9"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4C79C9" w:rsidRDefault="004C79C9" w:rsidP="007452E8">
              <w:pPr>
                <w:pStyle w:val="Footer"/>
                <w:jc w:val="right"/>
              </w:pPr>
            </w:p>
            <w:p w14:paraId="5EDE6DF6" w14:textId="77777777" w:rsidR="004C79C9" w:rsidRPr="00257138" w:rsidRDefault="004C79C9"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4C79C9" w:rsidRPr="00257138" w14:paraId="280F09C8" w14:textId="77777777" w:rsidTr="007452E8">
      <w:trPr>
        <w:trHeight w:val="263"/>
      </w:trPr>
      <w:tc>
        <w:tcPr>
          <w:tcW w:w="4360" w:type="dxa"/>
        </w:tcPr>
        <w:p w14:paraId="673F06D3" w14:textId="77777777" w:rsidR="004C79C9" w:rsidRPr="00257138" w:rsidRDefault="004C79C9" w:rsidP="007452E8">
          <w:pPr>
            <w:pStyle w:val="Footer"/>
          </w:pPr>
          <w:r w:rsidRPr="00257138">
            <w:t xml:space="preserve">V1.0 </w:t>
          </w:r>
          <w:r>
            <w:t>Month</w:t>
          </w:r>
          <w:r w:rsidRPr="00257138">
            <w:t xml:space="preserve"> 201</w:t>
          </w:r>
          <w:r>
            <w:t>2</w:t>
          </w:r>
        </w:p>
      </w:tc>
      <w:tc>
        <w:tcPr>
          <w:tcW w:w="4360" w:type="dxa"/>
        </w:tcPr>
        <w:p w14:paraId="77F5B433" w14:textId="77777777" w:rsidR="004C79C9" w:rsidRPr="00257138" w:rsidRDefault="004C79C9" w:rsidP="007452E8">
          <w:pPr>
            <w:pStyle w:val="Footer"/>
            <w:jc w:val="right"/>
          </w:pPr>
        </w:p>
      </w:tc>
    </w:tr>
  </w:tbl>
  <w:p w14:paraId="63F6FDDE" w14:textId="77777777" w:rsidR="004C79C9" w:rsidRPr="00826007" w:rsidRDefault="004C79C9"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444706A3" w:rsidR="004C79C9" w:rsidRDefault="00556EB1" w:rsidP="007452E8">
    <w:pPr>
      <w:pStyle w:val="Footer"/>
      <w:ind w:left="-1701"/>
    </w:pPr>
    <w:r>
      <w:rPr>
        <w:noProof/>
      </w:rPr>
      <mc:AlternateContent>
        <mc:Choice Requires="wps">
          <w:drawing>
            <wp:anchor distT="0" distB="0" distL="0" distR="0" simplePos="0" relativeHeight="251676672" behindDoc="0" locked="0" layoutInCell="1" allowOverlap="1" wp14:anchorId="73D6641E" wp14:editId="2E078559">
              <wp:simplePos x="914400" y="10119360"/>
              <wp:positionH relativeFrom="page">
                <wp:align>center</wp:align>
              </wp:positionH>
              <wp:positionV relativeFrom="page">
                <wp:align>bottom</wp:align>
              </wp:positionV>
              <wp:extent cx="622300" cy="391160"/>
              <wp:effectExtent l="0" t="0" r="6350" b="0"/>
              <wp:wrapNone/>
              <wp:docPr id="14392148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EA4F93" w14:textId="5DFBA70D"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D6641E"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5EEA4F93" w14:textId="5DFBA70D"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r w:rsidR="004C79C9"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4C79C9" w:rsidRPr="004A3084" w14:paraId="6266BC33" w14:textId="77777777" w:rsidTr="007452E8">
      <w:trPr>
        <w:trHeight w:val="423"/>
      </w:trPr>
      <w:tc>
        <w:tcPr>
          <w:tcW w:w="7338" w:type="dxa"/>
          <w:tcBorders>
            <w:top w:val="single" w:sz="4" w:space="0" w:color="auto"/>
          </w:tcBorders>
        </w:tcPr>
        <w:p w14:paraId="3C421323" w14:textId="36D253FB" w:rsidR="004C79C9" w:rsidRPr="004A3084" w:rsidRDefault="004C79C9" w:rsidP="007452E8">
          <w:pPr>
            <w:pStyle w:val="Footer"/>
          </w:pPr>
          <w:r w:rsidRPr="00FD0B0C">
            <w:rPr>
              <w:noProof/>
            </w:rPr>
            <w:t xml:space="preserve">AusPAR - </w:t>
          </w:r>
          <w:r>
            <w:rPr>
              <w:noProof/>
            </w:rPr>
            <w:t>Opuviz</w:t>
          </w:r>
          <w:r w:rsidRPr="00FD0B0C">
            <w:rPr>
              <w:noProof/>
            </w:rPr>
            <w:t xml:space="preserve"> - aflibercept - Samsung Bioepis Pty Ltd - PM-2024-03080-1-5 - Type A </w:t>
          </w:r>
          <w:r>
            <w:br/>
          </w:r>
          <w:r w:rsidRPr="007118A6">
            <w:t>Date of Finalisation</w:t>
          </w:r>
          <w:r w:rsidR="007118A6">
            <w:t>: 12 December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4C79C9" w:rsidRPr="004A3084" w:rsidRDefault="004C79C9" w:rsidP="007452E8">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r>
                <w:fldChar w:fldCharType="begin"/>
              </w:r>
              <w:r>
                <w:instrText xml:space="preserve"> NUMPAGES  </w:instrText>
              </w:r>
              <w:r>
                <w:fldChar w:fldCharType="separate"/>
              </w:r>
              <w:r>
                <w:rPr>
                  <w:noProof/>
                </w:rPr>
                <w:t>17</w:t>
              </w:r>
              <w:r>
                <w:rPr>
                  <w:noProof/>
                </w:rPr>
                <w:fldChar w:fldCharType="end"/>
              </w:r>
            </w:p>
          </w:sdtContent>
        </w:sdt>
      </w:tc>
    </w:tr>
  </w:tbl>
  <w:p w14:paraId="1A4EDE60" w14:textId="77777777" w:rsidR="004C79C9" w:rsidRPr="00826007" w:rsidRDefault="004C79C9"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5B570AD1" w:rsidR="004C79C9" w:rsidRPr="008E3C43" w:rsidRDefault="00556EB1" w:rsidP="007452E8">
    <w:pPr>
      <w:pStyle w:val="Footer"/>
    </w:pPr>
    <w:r>
      <w:rPr>
        <w:noProof/>
      </w:rPr>
      <mc:AlternateContent>
        <mc:Choice Requires="wps">
          <w:drawing>
            <wp:anchor distT="0" distB="0" distL="0" distR="0" simplePos="0" relativeHeight="251680768" behindDoc="0" locked="0" layoutInCell="1" allowOverlap="1" wp14:anchorId="3546D243" wp14:editId="6CE1DA0E">
              <wp:simplePos x="635" y="635"/>
              <wp:positionH relativeFrom="page">
                <wp:align>center</wp:align>
              </wp:positionH>
              <wp:positionV relativeFrom="page">
                <wp:align>bottom</wp:align>
              </wp:positionV>
              <wp:extent cx="622300" cy="391160"/>
              <wp:effectExtent l="0" t="0" r="6350" b="0"/>
              <wp:wrapNone/>
              <wp:docPr id="3268968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212A135" w14:textId="3FBF2CAB"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46D243" id="_x0000_t202" coordsize="21600,21600" o:spt="202" path="m,l,21600r21600,l21600,xe">
              <v:stroke joinstyle="miter"/>
              <v:path gradientshapeok="t" o:connecttype="rect"/>
            </v:shapetype>
            <v:shape id="Text Box 10" o:spid="_x0000_s1034" type="#_x0000_t202" alt="OFFICIAL" style="position:absolute;margin-left:0;margin-top:0;width:49pt;height:30.8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2212A135" w14:textId="3FBF2CAB"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8410" w14:textId="77777777" w:rsidR="00DB6C78" w:rsidRDefault="00DB6C78" w:rsidP="00F02AEC">
      <w:pPr>
        <w:spacing w:after="0" w:line="240" w:lineRule="auto"/>
      </w:pPr>
      <w:r>
        <w:separator/>
      </w:r>
    </w:p>
  </w:footnote>
  <w:footnote w:type="continuationSeparator" w:id="0">
    <w:p w14:paraId="2C27BED3" w14:textId="77777777" w:rsidR="00DB6C78" w:rsidRDefault="00DB6C78" w:rsidP="00F02AEC">
      <w:pPr>
        <w:spacing w:after="0" w:line="240" w:lineRule="auto"/>
      </w:pPr>
      <w:r>
        <w:continuationSeparator/>
      </w:r>
    </w:p>
  </w:footnote>
  <w:footnote w:id="1">
    <w:p w14:paraId="61806DC4" w14:textId="341F659C" w:rsidR="004C79C9" w:rsidRDefault="004C79C9">
      <w:pPr>
        <w:pStyle w:val="FootnoteText"/>
      </w:pPr>
      <w:r>
        <w:rPr>
          <w:rStyle w:val="FootnoteReference"/>
        </w:rPr>
        <w:footnoteRef/>
      </w:r>
      <w:r>
        <w:t xml:space="preserve"> </w:t>
      </w:r>
      <w:r w:rsidRPr="00797C22">
        <w:t>Wong WL, Su X, Li X, Cheung MG, Klein R, Cheng C, Wong TY. Global prevalence of age-related macular degeneration and disease burden projection for 2020 and 2040: a systematic review and meta-analysis Lancet Glob Health, 2 (2014), pp. e106-116</w:t>
      </w:r>
    </w:p>
  </w:footnote>
  <w:footnote w:id="2">
    <w:p w14:paraId="45E7F8EE" w14:textId="75602565" w:rsidR="004C79C9" w:rsidRDefault="004C79C9" w:rsidP="003A001A">
      <w:pPr>
        <w:pStyle w:val="FootnoteText"/>
      </w:pPr>
      <w:r>
        <w:rPr>
          <w:rStyle w:val="FootnoteReference"/>
        </w:rPr>
        <w:footnoteRef/>
      </w:r>
      <w:r>
        <w:t xml:space="preserve"> Australian Institute of Health and Welfare.  Eye health.  Last updated 11 February 2021.  </w:t>
      </w:r>
      <w:hyperlink r:id="rId1" w:history="1">
        <w:r w:rsidRPr="00DA3075">
          <w:rPr>
            <w:rStyle w:val="Hyperlink"/>
          </w:rPr>
          <w:t>https://www.aihw.gov.au/reports/eye-health/eye-health/contents/how-common-is-visual-impairment</w:t>
        </w:r>
      </w:hyperlink>
      <w:r>
        <w:t xml:space="preserve"> </w:t>
      </w:r>
    </w:p>
    <w:p w14:paraId="68841E68" w14:textId="754F86D4" w:rsidR="004C79C9" w:rsidRDefault="004C79C9" w:rsidP="003A001A">
      <w:pPr>
        <w:pStyle w:val="FootnoteText"/>
      </w:pPr>
    </w:p>
  </w:footnote>
  <w:footnote w:id="3">
    <w:p w14:paraId="3F349275" w14:textId="2C252A17" w:rsidR="004C79C9" w:rsidRDefault="004C79C9">
      <w:pPr>
        <w:pStyle w:val="FootnoteText"/>
      </w:pPr>
      <w:r>
        <w:rPr>
          <w:rStyle w:val="FootnoteReference"/>
        </w:rPr>
        <w:footnoteRef/>
      </w:r>
      <w:r>
        <w:t xml:space="preserve"> </w:t>
      </w:r>
      <w:r w:rsidRPr="008D77F6">
        <w:t xml:space="preserve">Fleckenstein M, Keenan TDL, </w:t>
      </w:r>
      <w:r w:rsidRPr="008D77F6">
        <w:t>Guymer RH, et al. Age-related macular degeneration. Nat Rev Dis Primers. 2021;7(1):31.</w:t>
      </w:r>
    </w:p>
  </w:footnote>
  <w:footnote w:id="4">
    <w:p w14:paraId="074AE198" w14:textId="3BD8D651" w:rsidR="004C79C9" w:rsidRDefault="004C79C9">
      <w:pPr>
        <w:pStyle w:val="FootnoteText"/>
      </w:pPr>
      <w:r>
        <w:rPr>
          <w:rStyle w:val="FootnoteReference"/>
        </w:rPr>
        <w:footnoteRef/>
      </w:r>
      <w:r>
        <w:t xml:space="preserve"> </w:t>
      </w:r>
      <w:r w:rsidRPr="00D70994">
        <w:t>Spaide, R. F. et al. Consensus nomenclature for reporting neovascular age-related macular degeneration data: Consensus on Neovascular Age-Related Macular Degeneration Nomenclature Study Group. Ophthalmology 127, 616–636 (2020).</w:t>
      </w:r>
    </w:p>
  </w:footnote>
  <w:footnote w:id="5">
    <w:p w14:paraId="5ECCEEE0" w14:textId="13E8853B" w:rsidR="004C79C9" w:rsidRDefault="004C79C9">
      <w:pPr>
        <w:pStyle w:val="FootnoteText"/>
      </w:pPr>
      <w:r>
        <w:rPr>
          <w:rStyle w:val="FootnoteReference"/>
        </w:rPr>
        <w:footnoteRef/>
      </w:r>
      <w:r>
        <w:t xml:space="preserve"> </w:t>
      </w:r>
      <w:r w:rsidRPr="00D70994">
        <w:t>Fleckenstein M, 2021</w:t>
      </w:r>
      <w:r>
        <w:t xml:space="preserve">. </w:t>
      </w:r>
    </w:p>
  </w:footnote>
  <w:footnote w:id="6">
    <w:p w14:paraId="01849AE6" w14:textId="3AAB7E6B" w:rsidR="004C79C9" w:rsidRDefault="004C79C9">
      <w:pPr>
        <w:pStyle w:val="FootnoteText"/>
      </w:pPr>
      <w:r>
        <w:rPr>
          <w:rStyle w:val="FootnoteReference"/>
        </w:rPr>
        <w:footnoteRef/>
      </w:r>
      <w:r>
        <w:t xml:space="preserve"> European Medicines Agency. </w:t>
      </w:r>
      <w:hyperlink r:id="rId2" w:history="1">
        <w:r w:rsidRPr="0037559C">
          <w:rPr>
            <w:rStyle w:val="Hyperlink"/>
          </w:rPr>
          <w:t>Guideline on similar biological medicinal products</w:t>
        </w:r>
      </w:hyperlink>
      <w:r>
        <w:t>. 2015</w:t>
      </w:r>
    </w:p>
  </w:footnote>
  <w:footnote w:id="7">
    <w:p w14:paraId="69CCB6B2" w14:textId="0EA4394E" w:rsidR="004C79C9" w:rsidRDefault="004C79C9">
      <w:pPr>
        <w:pStyle w:val="FootnoteText"/>
      </w:pPr>
      <w:r>
        <w:rPr>
          <w:rStyle w:val="FootnoteReference"/>
        </w:rPr>
        <w:footnoteRef/>
      </w:r>
      <w:r>
        <w:t xml:space="preserve"> </w:t>
      </w:r>
      <w:r w:rsidRPr="00244565">
        <w:t>Kaiser PK, Wykoff CC, Singh RP, Khanani AM, Do DV, Patel H, et al. Retinal Fluid and Thickness as Measures of Disease Activity in Neovascular Age-Related Macular Degeneration. Retina. 2021;41(8):1579-86</w:t>
      </w:r>
    </w:p>
  </w:footnote>
  <w:footnote w:id="8">
    <w:p w14:paraId="4D97AA9E" w14:textId="76F2DCC0" w:rsidR="004C79C9" w:rsidRDefault="004C79C9">
      <w:pPr>
        <w:pStyle w:val="FootnoteText"/>
      </w:pPr>
      <w:r>
        <w:rPr>
          <w:rStyle w:val="FootnoteReference"/>
        </w:rPr>
        <w:footnoteRef/>
      </w:r>
      <w:r>
        <w:t xml:space="preserve"> </w:t>
      </w:r>
      <w:r w:rsidRPr="002C2B49">
        <w:t xml:space="preserve">Mathis T, Holz FG, </w:t>
      </w:r>
      <w:r w:rsidRPr="002C2B49">
        <w:t>Sivaprasad S, Yoon YH, Eter N, Chen LJ, et al. Characterisation of macular neovascularisation subtypes in age-related macular degeneration to optimise treatment outcomes. Eye (Lond). 2023;37(9):1758-65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E590" w14:textId="427FC62B" w:rsidR="004C79C9" w:rsidRDefault="00556EB1">
    <w:pPr>
      <w:pStyle w:val="Header"/>
    </w:pPr>
    <w:r>
      <w:rPr>
        <w:noProof/>
      </w:rPr>
      <mc:AlternateContent>
        <mc:Choice Requires="wps">
          <w:drawing>
            <wp:anchor distT="0" distB="0" distL="0" distR="0" simplePos="0" relativeHeight="251672576" behindDoc="0" locked="0" layoutInCell="1" allowOverlap="1" wp14:anchorId="3AE24A52" wp14:editId="1B732A43">
              <wp:simplePos x="635" y="635"/>
              <wp:positionH relativeFrom="page">
                <wp:align>center</wp:align>
              </wp:positionH>
              <wp:positionV relativeFrom="page">
                <wp:align>top</wp:align>
              </wp:positionV>
              <wp:extent cx="622300" cy="391160"/>
              <wp:effectExtent l="0" t="0" r="6350" b="8890"/>
              <wp:wrapNone/>
              <wp:docPr id="1005108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ECCD9EC" w14:textId="03D10888"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E24A52"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2ECCD9EC" w14:textId="03D10888"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FA23BCB" w:rsidR="004C79C9" w:rsidRPr="00CB0550" w:rsidRDefault="00556EB1" w:rsidP="00CB0550">
    <w:pPr>
      <w:pStyle w:val="Header"/>
      <w:jc w:val="left"/>
    </w:pPr>
    <w:r>
      <w:rPr>
        <w:noProof/>
      </w:rPr>
      <mc:AlternateContent>
        <mc:Choice Requires="wps">
          <w:drawing>
            <wp:anchor distT="0" distB="0" distL="0" distR="0" simplePos="0" relativeHeight="251673600" behindDoc="0" locked="0" layoutInCell="1" allowOverlap="1" wp14:anchorId="4DDC9EC8" wp14:editId="14342394">
              <wp:simplePos x="635" y="635"/>
              <wp:positionH relativeFrom="page">
                <wp:align>center</wp:align>
              </wp:positionH>
              <wp:positionV relativeFrom="page">
                <wp:align>top</wp:align>
              </wp:positionV>
              <wp:extent cx="622300" cy="391160"/>
              <wp:effectExtent l="0" t="0" r="6350" b="8890"/>
              <wp:wrapNone/>
              <wp:docPr id="86972711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50B677" w14:textId="6874C786"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C9EC8"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50B677" w14:textId="6874C786"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4C79C9" w:rsidRPr="002B29B2" w14:paraId="3E15C3BC" w14:textId="77777777" w:rsidTr="007452E8">
      <w:trPr>
        <w:trHeight w:hRule="exact" w:val="8845"/>
      </w:trPr>
      <w:tc>
        <w:tcPr>
          <w:tcW w:w="11964" w:type="dxa"/>
          <w:vAlign w:val="center"/>
        </w:tcPr>
        <w:p w14:paraId="6FDE4BFB" w14:textId="606EF469" w:rsidR="004C79C9" w:rsidRPr="002B29B2" w:rsidRDefault="00556EB1" w:rsidP="007452E8">
          <w:pPr>
            <w:ind w:left="-57"/>
            <w:rPr>
              <w:noProof/>
            </w:rPr>
          </w:pPr>
          <w:r>
            <w:rPr>
              <w:noProof/>
            </w:rPr>
            <mc:AlternateContent>
              <mc:Choice Requires="wps">
                <w:drawing>
                  <wp:anchor distT="0" distB="0" distL="0" distR="0" simplePos="0" relativeHeight="251671552" behindDoc="0" locked="0" layoutInCell="1" allowOverlap="1" wp14:anchorId="1BA35ACE" wp14:editId="082333F6">
                    <wp:simplePos x="0" y="5120640"/>
                    <wp:positionH relativeFrom="page">
                      <wp:align>center</wp:align>
                    </wp:positionH>
                    <wp:positionV relativeFrom="page">
                      <wp:align>top</wp:align>
                    </wp:positionV>
                    <wp:extent cx="622300" cy="391160"/>
                    <wp:effectExtent l="0" t="0" r="6350" b="8890"/>
                    <wp:wrapNone/>
                    <wp:docPr id="5774219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6494BD7" w14:textId="24EF7656"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35ACE"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66494BD7" w14:textId="24EF7656"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4C79C9"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4C79C9" w:rsidRDefault="004C79C9"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1AEE7FB5" w:rsidR="004C79C9" w:rsidRDefault="00556EB1" w:rsidP="007452E8">
    <w:pPr>
      <w:pStyle w:val="Header"/>
    </w:pPr>
    <w:r>
      <w:rPr>
        <w:noProof/>
      </w:rPr>
      <mc:AlternateContent>
        <mc:Choice Requires="wps">
          <w:drawing>
            <wp:anchor distT="0" distB="0" distL="0" distR="0" simplePos="0" relativeHeight="251674624" behindDoc="0" locked="0" layoutInCell="1" allowOverlap="1" wp14:anchorId="4AA60B49" wp14:editId="6B670913">
              <wp:simplePos x="901065" y="364490"/>
              <wp:positionH relativeFrom="page">
                <wp:align>center</wp:align>
              </wp:positionH>
              <wp:positionV relativeFrom="page">
                <wp:align>top</wp:align>
              </wp:positionV>
              <wp:extent cx="622300" cy="391160"/>
              <wp:effectExtent l="0" t="0" r="6350" b="8890"/>
              <wp:wrapNone/>
              <wp:docPr id="195489437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13BAB79" w14:textId="492E2BBB"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60B49"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613BAB79" w14:textId="492E2BBB"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r w:rsidR="004C79C9"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61949D2E" w:rsidR="004C79C9" w:rsidRPr="00FE501F" w:rsidRDefault="00556EB1" w:rsidP="007452E8">
    <w:pPr>
      <w:pStyle w:val="Headernoline"/>
    </w:pPr>
    <w:r>
      <w:rPr>
        <w:noProof/>
      </w:rPr>
      <mc:AlternateContent>
        <mc:Choice Requires="wps">
          <w:drawing>
            <wp:anchor distT="0" distB="0" distL="0" distR="0" simplePos="0" relativeHeight="251675648" behindDoc="0" locked="0" layoutInCell="1" allowOverlap="1" wp14:anchorId="1D5ECD8C" wp14:editId="2260628F">
              <wp:simplePos x="635" y="635"/>
              <wp:positionH relativeFrom="page">
                <wp:align>center</wp:align>
              </wp:positionH>
              <wp:positionV relativeFrom="page">
                <wp:align>top</wp:align>
              </wp:positionV>
              <wp:extent cx="622300" cy="391160"/>
              <wp:effectExtent l="0" t="0" r="6350" b="8890"/>
              <wp:wrapNone/>
              <wp:docPr id="11719429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7C66AD5" w14:textId="11FD5994"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5ECD8C" id="_x0000_t202" coordsize="21600,21600" o:spt="202" path="m,l,21600r21600,l21600,xe">
              <v:stroke joinstyle="miter"/>
              <v:path gradientshapeok="t" o:connecttype="rect"/>
            </v:shapetype>
            <v:shape id="Text Box 5" o:spid="_x0000_s1033" type="#_x0000_t202" alt="OFFICIAL" style="position:absolute;left:0;text-align:left;margin-left:0;margin-top:0;width:49pt;height:30.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77C66AD5" w14:textId="11FD5994" w:rsidR="00556EB1" w:rsidRPr="00556EB1" w:rsidRDefault="00556EB1" w:rsidP="00556EB1">
                    <w:pPr>
                      <w:spacing w:after="0"/>
                      <w:rPr>
                        <w:rFonts w:ascii="Aptos" w:eastAsia="Aptos" w:hAnsi="Aptos" w:cs="Aptos"/>
                        <w:noProof/>
                        <w:color w:val="FF0000"/>
                        <w:sz w:val="24"/>
                        <w:szCs w:val="24"/>
                      </w:rPr>
                    </w:pPr>
                    <w:r w:rsidRPr="00556EB1">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5C2126CA"/>
    <w:multiLevelType w:val="hybridMultilevel"/>
    <w:tmpl w:val="BA166C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626814903">
    <w:abstractNumId w:val="3"/>
  </w:num>
  <w:num w:numId="2" w16cid:durableId="1001197781">
    <w:abstractNumId w:val="0"/>
  </w:num>
  <w:num w:numId="3" w16cid:durableId="353503922">
    <w:abstractNumId w:val="2"/>
  </w:num>
  <w:num w:numId="4" w16cid:durableId="1702517004">
    <w:abstractNumId w:val="9"/>
  </w:num>
  <w:num w:numId="5" w16cid:durableId="1920410219">
    <w:abstractNumId w:val="5"/>
  </w:num>
  <w:num w:numId="6" w16cid:durableId="1286085231">
    <w:abstractNumId w:val="7"/>
  </w:num>
  <w:num w:numId="7" w16cid:durableId="47653515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474107442">
    <w:abstractNumId w:val="8"/>
  </w:num>
  <w:num w:numId="9" w16cid:durableId="388651119">
    <w:abstractNumId w:val="1"/>
  </w:num>
  <w:num w:numId="10" w16cid:durableId="1563446420">
    <w:abstractNumId w:val="4"/>
  </w:num>
  <w:num w:numId="11" w16cid:durableId="799153846">
    <w:abstractNumId w:val="6"/>
  </w:num>
  <w:num w:numId="12" w16cid:durableId="2066373183">
    <w:abstractNumId w:val="10"/>
  </w:num>
  <w:num w:numId="13" w16cid:durableId="713624736">
    <w:abstractNumId w:val="12"/>
  </w:num>
  <w:num w:numId="14" w16cid:durableId="1313485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06BF9"/>
    <w:rsid w:val="0001064C"/>
    <w:rsid w:val="0001384A"/>
    <w:rsid w:val="00021C13"/>
    <w:rsid w:val="00023045"/>
    <w:rsid w:val="00027A0F"/>
    <w:rsid w:val="00027A97"/>
    <w:rsid w:val="00032A0F"/>
    <w:rsid w:val="00040D8D"/>
    <w:rsid w:val="00042588"/>
    <w:rsid w:val="00046423"/>
    <w:rsid w:val="000477F5"/>
    <w:rsid w:val="0005067C"/>
    <w:rsid w:val="000552A0"/>
    <w:rsid w:val="0006104E"/>
    <w:rsid w:val="00062588"/>
    <w:rsid w:val="000640BD"/>
    <w:rsid w:val="00065213"/>
    <w:rsid w:val="00065839"/>
    <w:rsid w:val="00065FDF"/>
    <w:rsid w:val="0006693A"/>
    <w:rsid w:val="00077844"/>
    <w:rsid w:val="00083763"/>
    <w:rsid w:val="00090510"/>
    <w:rsid w:val="000917AE"/>
    <w:rsid w:val="00094B81"/>
    <w:rsid w:val="00095C6A"/>
    <w:rsid w:val="000975AA"/>
    <w:rsid w:val="000A1253"/>
    <w:rsid w:val="000A3C79"/>
    <w:rsid w:val="000A51CE"/>
    <w:rsid w:val="000B0FEF"/>
    <w:rsid w:val="000B180F"/>
    <w:rsid w:val="000B6B15"/>
    <w:rsid w:val="000C0296"/>
    <w:rsid w:val="000C25A7"/>
    <w:rsid w:val="000D1184"/>
    <w:rsid w:val="000D146B"/>
    <w:rsid w:val="000D78EC"/>
    <w:rsid w:val="000D7934"/>
    <w:rsid w:val="000E2434"/>
    <w:rsid w:val="000E2597"/>
    <w:rsid w:val="000E504E"/>
    <w:rsid w:val="000E6746"/>
    <w:rsid w:val="000E6F21"/>
    <w:rsid w:val="000F3C2E"/>
    <w:rsid w:val="000F7B51"/>
    <w:rsid w:val="00101BEE"/>
    <w:rsid w:val="00101CE6"/>
    <w:rsid w:val="00101FB1"/>
    <w:rsid w:val="001032C5"/>
    <w:rsid w:val="00104147"/>
    <w:rsid w:val="0010553B"/>
    <w:rsid w:val="0010558A"/>
    <w:rsid w:val="001101FF"/>
    <w:rsid w:val="00111989"/>
    <w:rsid w:val="00113F9F"/>
    <w:rsid w:val="00114025"/>
    <w:rsid w:val="0012162C"/>
    <w:rsid w:val="0012374E"/>
    <w:rsid w:val="0012473C"/>
    <w:rsid w:val="00125D15"/>
    <w:rsid w:val="00127A74"/>
    <w:rsid w:val="0013132F"/>
    <w:rsid w:val="00131B1B"/>
    <w:rsid w:val="0013306D"/>
    <w:rsid w:val="0013441B"/>
    <w:rsid w:val="0013528C"/>
    <w:rsid w:val="00136006"/>
    <w:rsid w:val="001373F8"/>
    <w:rsid w:val="00141843"/>
    <w:rsid w:val="001442A2"/>
    <w:rsid w:val="00144620"/>
    <w:rsid w:val="001468CA"/>
    <w:rsid w:val="001500A8"/>
    <w:rsid w:val="00151C40"/>
    <w:rsid w:val="00155D85"/>
    <w:rsid w:val="00161BBC"/>
    <w:rsid w:val="00165AA5"/>
    <w:rsid w:val="00165D28"/>
    <w:rsid w:val="0017005C"/>
    <w:rsid w:val="00175CD8"/>
    <w:rsid w:val="00182BD8"/>
    <w:rsid w:val="00190853"/>
    <w:rsid w:val="00191C52"/>
    <w:rsid w:val="0019282F"/>
    <w:rsid w:val="001A76F9"/>
    <w:rsid w:val="001B06FF"/>
    <w:rsid w:val="001B1703"/>
    <w:rsid w:val="001B1C4D"/>
    <w:rsid w:val="001B357C"/>
    <w:rsid w:val="001C1C2E"/>
    <w:rsid w:val="001C31A1"/>
    <w:rsid w:val="001C3D6C"/>
    <w:rsid w:val="001C3FA2"/>
    <w:rsid w:val="001C5EE2"/>
    <w:rsid w:val="001D0077"/>
    <w:rsid w:val="001D09D3"/>
    <w:rsid w:val="001D6B69"/>
    <w:rsid w:val="001E18BB"/>
    <w:rsid w:val="001E407B"/>
    <w:rsid w:val="001E7FC6"/>
    <w:rsid w:val="001F2502"/>
    <w:rsid w:val="001F4271"/>
    <w:rsid w:val="001F70A5"/>
    <w:rsid w:val="0020235D"/>
    <w:rsid w:val="0020369B"/>
    <w:rsid w:val="00207250"/>
    <w:rsid w:val="00207B4D"/>
    <w:rsid w:val="00210F9B"/>
    <w:rsid w:val="002117B1"/>
    <w:rsid w:val="00217CCE"/>
    <w:rsid w:val="002203B1"/>
    <w:rsid w:val="00221B9B"/>
    <w:rsid w:val="00223F4B"/>
    <w:rsid w:val="0022421F"/>
    <w:rsid w:val="00226F39"/>
    <w:rsid w:val="002334AD"/>
    <w:rsid w:val="002338A9"/>
    <w:rsid w:val="0023761E"/>
    <w:rsid w:val="00241B60"/>
    <w:rsid w:val="00243C77"/>
    <w:rsid w:val="00244565"/>
    <w:rsid w:val="00246533"/>
    <w:rsid w:val="0025785B"/>
    <w:rsid w:val="00257969"/>
    <w:rsid w:val="00263150"/>
    <w:rsid w:val="00265CD1"/>
    <w:rsid w:val="00280048"/>
    <w:rsid w:val="0028489E"/>
    <w:rsid w:val="002848DE"/>
    <w:rsid w:val="0028794E"/>
    <w:rsid w:val="00287F31"/>
    <w:rsid w:val="00294DF5"/>
    <w:rsid w:val="00295BC7"/>
    <w:rsid w:val="0029733B"/>
    <w:rsid w:val="002A3CB0"/>
    <w:rsid w:val="002A5841"/>
    <w:rsid w:val="002A6F26"/>
    <w:rsid w:val="002B1EDF"/>
    <w:rsid w:val="002B2061"/>
    <w:rsid w:val="002B338E"/>
    <w:rsid w:val="002B33C3"/>
    <w:rsid w:val="002C1232"/>
    <w:rsid w:val="002C1E44"/>
    <w:rsid w:val="002C2B49"/>
    <w:rsid w:val="002C5C92"/>
    <w:rsid w:val="002C5E29"/>
    <w:rsid w:val="002D0478"/>
    <w:rsid w:val="002D17C5"/>
    <w:rsid w:val="002D7127"/>
    <w:rsid w:val="002E7BAE"/>
    <w:rsid w:val="002F03A3"/>
    <w:rsid w:val="002F599E"/>
    <w:rsid w:val="003008D8"/>
    <w:rsid w:val="00301D9A"/>
    <w:rsid w:val="00303959"/>
    <w:rsid w:val="00306E72"/>
    <w:rsid w:val="00312AC3"/>
    <w:rsid w:val="00314430"/>
    <w:rsid w:val="003163BC"/>
    <w:rsid w:val="003212D9"/>
    <w:rsid w:val="0032351A"/>
    <w:rsid w:val="00324B33"/>
    <w:rsid w:val="00327488"/>
    <w:rsid w:val="00336FE1"/>
    <w:rsid w:val="00337BD8"/>
    <w:rsid w:val="00342D56"/>
    <w:rsid w:val="003456E7"/>
    <w:rsid w:val="00346EC2"/>
    <w:rsid w:val="003477F9"/>
    <w:rsid w:val="0035444D"/>
    <w:rsid w:val="0035660B"/>
    <w:rsid w:val="00356D62"/>
    <w:rsid w:val="00360609"/>
    <w:rsid w:val="00362B9A"/>
    <w:rsid w:val="00363EE3"/>
    <w:rsid w:val="003647F9"/>
    <w:rsid w:val="003735F3"/>
    <w:rsid w:val="00374729"/>
    <w:rsid w:val="0037559C"/>
    <w:rsid w:val="0037777A"/>
    <w:rsid w:val="00387298"/>
    <w:rsid w:val="00387984"/>
    <w:rsid w:val="00391C4D"/>
    <w:rsid w:val="00395140"/>
    <w:rsid w:val="003A001A"/>
    <w:rsid w:val="003A2422"/>
    <w:rsid w:val="003A382F"/>
    <w:rsid w:val="003B149C"/>
    <w:rsid w:val="003B7D82"/>
    <w:rsid w:val="003C0FDB"/>
    <w:rsid w:val="003C1192"/>
    <w:rsid w:val="003C55E2"/>
    <w:rsid w:val="003C63D5"/>
    <w:rsid w:val="003C7AA8"/>
    <w:rsid w:val="003D591B"/>
    <w:rsid w:val="003D71A1"/>
    <w:rsid w:val="003E745D"/>
    <w:rsid w:val="00403B12"/>
    <w:rsid w:val="0041688F"/>
    <w:rsid w:val="004215E2"/>
    <w:rsid w:val="0042376F"/>
    <w:rsid w:val="004246B8"/>
    <w:rsid w:val="004248F1"/>
    <w:rsid w:val="00433318"/>
    <w:rsid w:val="00434899"/>
    <w:rsid w:val="00436A1A"/>
    <w:rsid w:val="00437410"/>
    <w:rsid w:val="004411D9"/>
    <w:rsid w:val="00442A56"/>
    <w:rsid w:val="004444B0"/>
    <w:rsid w:val="0045060B"/>
    <w:rsid w:val="00453224"/>
    <w:rsid w:val="00456432"/>
    <w:rsid w:val="004626FF"/>
    <w:rsid w:val="0046285C"/>
    <w:rsid w:val="004676D9"/>
    <w:rsid w:val="00470A52"/>
    <w:rsid w:val="004714E3"/>
    <w:rsid w:val="00471BD5"/>
    <w:rsid w:val="00477ABF"/>
    <w:rsid w:val="00477C4E"/>
    <w:rsid w:val="00477F07"/>
    <w:rsid w:val="00481503"/>
    <w:rsid w:val="00481D12"/>
    <w:rsid w:val="00481DB6"/>
    <w:rsid w:val="004854A6"/>
    <w:rsid w:val="00491A55"/>
    <w:rsid w:val="00491C71"/>
    <w:rsid w:val="00494C3E"/>
    <w:rsid w:val="0049723B"/>
    <w:rsid w:val="00497DF1"/>
    <w:rsid w:val="004A318E"/>
    <w:rsid w:val="004A45D4"/>
    <w:rsid w:val="004A57E8"/>
    <w:rsid w:val="004A5BD2"/>
    <w:rsid w:val="004B3081"/>
    <w:rsid w:val="004B4A09"/>
    <w:rsid w:val="004C41CE"/>
    <w:rsid w:val="004C631B"/>
    <w:rsid w:val="004C79C9"/>
    <w:rsid w:val="004D0933"/>
    <w:rsid w:val="004D2F00"/>
    <w:rsid w:val="004D31D8"/>
    <w:rsid w:val="004D35D1"/>
    <w:rsid w:val="004D4AD5"/>
    <w:rsid w:val="004D5388"/>
    <w:rsid w:val="004E7F16"/>
    <w:rsid w:val="004F18EC"/>
    <w:rsid w:val="004F755C"/>
    <w:rsid w:val="00500D68"/>
    <w:rsid w:val="00501529"/>
    <w:rsid w:val="00514D1C"/>
    <w:rsid w:val="00521884"/>
    <w:rsid w:val="0053377D"/>
    <w:rsid w:val="00535DFE"/>
    <w:rsid w:val="005373B5"/>
    <w:rsid w:val="00537AB7"/>
    <w:rsid w:val="00542012"/>
    <w:rsid w:val="0054669B"/>
    <w:rsid w:val="00553B80"/>
    <w:rsid w:val="00556EB1"/>
    <w:rsid w:val="00557684"/>
    <w:rsid w:val="00560EC1"/>
    <w:rsid w:val="005610D1"/>
    <w:rsid w:val="00562F42"/>
    <w:rsid w:val="00565739"/>
    <w:rsid w:val="0056766D"/>
    <w:rsid w:val="00567F27"/>
    <w:rsid w:val="00575215"/>
    <w:rsid w:val="005775D0"/>
    <w:rsid w:val="00580CD8"/>
    <w:rsid w:val="00581138"/>
    <w:rsid w:val="005822D6"/>
    <w:rsid w:val="0058575E"/>
    <w:rsid w:val="0058783C"/>
    <w:rsid w:val="00590539"/>
    <w:rsid w:val="005911AE"/>
    <w:rsid w:val="005926E2"/>
    <w:rsid w:val="0059313A"/>
    <w:rsid w:val="005A54EA"/>
    <w:rsid w:val="005B023F"/>
    <w:rsid w:val="005B02A2"/>
    <w:rsid w:val="005B1417"/>
    <w:rsid w:val="005B4877"/>
    <w:rsid w:val="005B69CF"/>
    <w:rsid w:val="005C3F07"/>
    <w:rsid w:val="005C4B46"/>
    <w:rsid w:val="005C5DC5"/>
    <w:rsid w:val="005D0E1E"/>
    <w:rsid w:val="005D1DB6"/>
    <w:rsid w:val="005D2089"/>
    <w:rsid w:val="005D7514"/>
    <w:rsid w:val="005E0FC6"/>
    <w:rsid w:val="005E1A7B"/>
    <w:rsid w:val="005E231F"/>
    <w:rsid w:val="005E317B"/>
    <w:rsid w:val="005F4691"/>
    <w:rsid w:val="00602D6E"/>
    <w:rsid w:val="00605C05"/>
    <w:rsid w:val="006112E6"/>
    <w:rsid w:val="00611351"/>
    <w:rsid w:val="00611B70"/>
    <w:rsid w:val="0061217D"/>
    <w:rsid w:val="006129AE"/>
    <w:rsid w:val="00614C5D"/>
    <w:rsid w:val="00627258"/>
    <w:rsid w:val="006277A1"/>
    <w:rsid w:val="006311FD"/>
    <w:rsid w:val="00633BD7"/>
    <w:rsid w:val="00634580"/>
    <w:rsid w:val="00634884"/>
    <w:rsid w:val="006351D9"/>
    <w:rsid w:val="00637130"/>
    <w:rsid w:val="00637F0E"/>
    <w:rsid w:val="00641035"/>
    <w:rsid w:val="006423F2"/>
    <w:rsid w:val="006428C5"/>
    <w:rsid w:val="00650234"/>
    <w:rsid w:val="00654862"/>
    <w:rsid w:val="0066044B"/>
    <w:rsid w:val="006630AA"/>
    <w:rsid w:val="00663544"/>
    <w:rsid w:val="00666539"/>
    <w:rsid w:val="00666911"/>
    <w:rsid w:val="00675F81"/>
    <w:rsid w:val="0068143E"/>
    <w:rsid w:val="0068507D"/>
    <w:rsid w:val="00685C71"/>
    <w:rsid w:val="00686AEB"/>
    <w:rsid w:val="00691AF2"/>
    <w:rsid w:val="00691E43"/>
    <w:rsid w:val="00692B80"/>
    <w:rsid w:val="00692CCD"/>
    <w:rsid w:val="00692D51"/>
    <w:rsid w:val="00694DD7"/>
    <w:rsid w:val="0069636B"/>
    <w:rsid w:val="006A1762"/>
    <w:rsid w:val="006A19CE"/>
    <w:rsid w:val="006A1F0B"/>
    <w:rsid w:val="006A277A"/>
    <w:rsid w:val="006A5973"/>
    <w:rsid w:val="006B04F3"/>
    <w:rsid w:val="006B5E64"/>
    <w:rsid w:val="006B7126"/>
    <w:rsid w:val="006C4752"/>
    <w:rsid w:val="006C6B86"/>
    <w:rsid w:val="006D3EBC"/>
    <w:rsid w:val="006D4553"/>
    <w:rsid w:val="006D4A35"/>
    <w:rsid w:val="006D6B44"/>
    <w:rsid w:val="006E0F71"/>
    <w:rsid w:val="006E27FE"/>
    <w:rsid w:val="006E5115"/>
    <w:rsid w:val="006E6624"/>
    <w:rsid w:val="006F0378"/>
    <w:rsid w:val="006F4CE9"/>
    <w:rsid w:val="00701110"/>
    <w:rsid w:val="00702E91"/>
    <w:rsid w:val="0070330F"/>
    <w:rsid w:val="00703624"/>
    <w:rsid w:val="007046ED"/>
    <w:rsid w:val="0070541F"/>
    <w:rsid w:val="007056A1"/>
    <w:rsid w:val="007072A1"/>
    <w:rsid w:val="0071060C"/>
    <w:rsid w:val="00710BC5"/>
    <w:rsid w:val="00711700"/>
    <w:rsid w:val="007118A6"/>
    <w:rsid w:val="007121CA"/>
    <w:rsid w:val="007143B0"/>
    <w:rsid w:val="0072003B"/>
    <w:rsid w:val="00721059"/>
    <w:rsid w:val="007211E6"/>
    <w:rsid w:val="007220C4"/>
    <w:rsid w:val="007305ED"/>
    <w:rsid w:val="007311B9"/>
    <w:rsid w:val="00732361"/>
    <w:rsid w:val="00732FBA"/>
    <w:rsid w:val="007357B9"/>
    <w:rsid w:val="00741AB9"/>
    <w:rsid w:val="007422A1"/>
    <w:rsid w:val="00742D03"/>
    <w:rsid w:val="00744216"/>
    <w:rsid w:val="007452E8"/>
    <w:rsid w:val="00746990"/>
    <w:rsid w:val="00747093"/>
    <w:rsid w:val="00750D70"/>
    <w:rsid w:val="0075192B"/>
    <w:rsid w:val="00756243"/>
    <w:rsid w:val="007575D0"/>
    <w:rsid w:val="007642DA"/>
    <w:rsid w:val="007662E0"/>
    <w:rsid w:val="00776E9C"/>
    <w:rsid w:val="007816D8"/>
    <w:rsid w:val="00782A90"/>
    <w:rsid w:val="00784150"/>
    <w:rsid w:val="007847AC"/>
    <w:rsid w:val="00791F95"/>
    <w:rsid w:val="00793221"/>
    <w:rsid w:val="00793272"/>
    <w:rsid w:val="0079499A"/>
    <w:rsid w:val="00794B64"/>
    <w:rsid w:val="007967C3"/>
    <w:rsid w:val="00797C22"/>
    <w:rsid w:val="007A0264"/>
    <w:rsid w:val="007A0A33"/>
    <w:rsid w:val="007A7058"/>
    <w:rsid w:val="007A7E1E"/>
    <w:rsid w:val="007B04DE"/>
    <w:rsid w:val="007B0AE6"/>
    <w:rsid w:val="007C0F0B"/>
    <w:rsid w:val="007C57BC"/>
    <w:rsid w:val="007D04CA"/>
    <w:rsid w:val="007D0A2B"/>
    <w:rsid w:val="007D12A1"/>
    <w:rsid w:val="007D40E5"/>
    <w:rsid w:val="007D4138"/>
    <w:rsid w:val="007E4178"/>
    <w:rsid w:val="007E58A3"/>
    <w:rsid w:val="007E6443"/>
    <w:rsid w:val="007E659A"/>
    <w:rsid w:val="007E7310"/>
    <w:rsid w:val="007E7AEC"/>
    <w:rsid w:val="007F0A77"/>
    <w:rsid w:val="007F1BBD"/>
    <w:rsid w:val="007F1E37"/>
    <w:rsid w:val="007F50D3"/>
    <w:rsid w:val="007F6B1F"/>
    <w:rsid w:val="008002B7"/>
    <w:rsid w:val="008013F0"/>
    <w:rsid w:val="00803926"/>
    <w:rsid w:val="00804897"/>
    <w:rsid w:val="00807C6A"/>
    <w:rsid w:val="008150ED"/>
    <w:rsid w:val="00817E39"/>
    <w:rsid w:val="00823FAF"/>
    <w:rsid w:val="00825776"/>
    <w:rsid w:val="008329DB"/>
    <w:rsid w:val="008361C5"/>
    <w:rsid w:val="0083628F"/>
    <w:rsid w:val="00837AB9"/>
    <w:rsid w:val="00837C04"/>
    <w:rsid w:val="00840AFF"/>
    <w:rsid w:val="008453B0"/>
    <w:rsid w:val="00850637"/>
    <w:rsid w:val="00854D98"/>
    <w:rsid w:val="00855FB0"/>
    <w:rsid w:val="0085751E"/>
    <w:rsid w:val="00860B29"/>
    <w:rsid w:val="008622E8"/>
    <w:rsid w:val="0086262C"/>
    <w:rsid w:val="008645EE"/>
    <w:rsid w:val="008657A5"/>
    <w:rsid w:val="00870144"/>
    <w:rsid w:val="0087072C"/>
    <w:rsid w:val="00871312"/>
    <w:rsid w:val="00873D7A"/>
    <w:rsid w:val="00877CB3"/>
    <w:rsid w:val="008804CF"/>
    <w:rsid w:val="00882D58"/>
    <w:rsid w:val="00882F19"/>
    <w:rsid w:val="00883033"/>
    <w:rsid w:val="00883D35"/>
    <w:rsid w:val="00884569"/>
    <w:rsid w:val="00886D72"/>
    <w:rsid w:val="00887A51"/>
    <w:rsid w:val="0089020E"/>
    <w:rsid w:val="0089038A"/>
    <w:rsid w:val="00890D9B"/>
    <w:rsid w:val="00891C6C"/>
    <w:rsid w:val="00893CCD"/>
    <w:rsid w:val="008964B3"/>
    <w:rsid w:val="008A09F7"/>
    <w:rsid w:val="008A2BC8"/>
    <w:rsid w:val="008A6408"/>
    <w:rsid w:val="008B09C7"/>
    <w:rsid w:val="008B1CB5"/>
    <w:rsid w:val="008C1110"/>
    <w:rsid w:val="008C2D69"/>
    <w:rsid w:val="008C35B0"/>
    <w:rsid w:val="008C4579"/>
    <w:rsid w:val="008C49C6"/>
    <w:rsid w:val="008C754C"/>
    <w:rsid w:val="008D19A0"/>
    <w:rsid w:val="008D56C9"/>
    <w:rsid w:val="008D56CA"/>
    <w:rsid w:val="008D6409"/>
    <w:rsid w:val="008D6A54"/>
    <w:rsid w:val="008D77F6"/>
    <w:rsid w:val="008E220F"/>
    <w:rsid w:val="008E2585"/>
    <w:rsid w:val="008E2D7A"/>
    <w:rsid w:val="008F3215"/>
    <w:rsid w:val="008F4A62"/>
    <w:rsid w:val="008F7256"/>
    <w:rsid w:val="0090070C"/>
    <w:rsid w:val="0090424C"/>
    <w:rsid w:val="0090605E"/>
    <w:rsid w:val="00906C74"/>
    <w:rsid w:val="009108CE"/>
    <w:rsid w:val="00913A09"/>
    <w:rsid w:val="00915A9F"/>
    <w:rsid w:val="00930D58"/>
    <w:rsid w:val="00935AAA"/>
    <w:rsid w:val="00940201"/>
    <w:rsid w:val="009469A5"/>
    <w:rsid w:val="0095031E"/>
    <w:rsid w:val="00954297"/>
    <w:rsid w:val="00960A56"/>
    <w:rsid w:val="00962537"/>
    <w:rsid w:val="00962F79"/>
    <w:rsid w:val="00966EF1"/>
    <w:rsid w:val="00967223"/>
    <w:rsid w:val="00967BB0"/>
    <w:rsid w:val="009715EF"/>
    <w:rsid w:val="009751F7"/>
    <w:rsid w:val="0098168B"/>
    <w:rsid w:val="009823E2"/>
    <w:rsid w:val="0098350E"/>
    <w:rsid w:val="0098606C"/>
    <w:rsid w:val="00990C12"/>
    <w:rsid w:val="0099404F"/>
    <w:rsid w:val="00996FA5"/>
    <w:rsid w:val="009A01A9"/>
    <w:rsid w:val="009A4760"/>
    <w:rsid w:val="009B5662"/>
    <w:rsid w:val="009C2211"/>
    <w:rsid w:val="009C40E8"/>
    <w:rsid w:val="009C45C5"/>
    <w:rsid w:val="009E0A3C"/>
    <w:rsid w:val="009E6858"/>
    <w:rsid w:val="009E6F8C"/>
    <w:rsid w:val="009F3F4B"/>
    <w:rsid w:val="009F405F"/>
    <w:rsid w:val="009F6C85"/>
    <w:rsid w:val="00A01C56"/>
    <w:rsid w:val="00A05091"/>
    <w:rsid w:val="00A32C50"/>
    <w:rsid w:val="00A358E7"/>
    <w:rsid w:val="00A4122E"/>
    <w:rsid w:val="00A4380B"/>
    <w:rsid w:val="00A51A2D"/>
    <w:rsid w:val="00A53C0A"/>
    <w:rsid w:val="00A55124"/>
    <w:rsid w:val="00A5596B"/>
    <w:rsid w:val="00A62F5E"/>
    <w:rsid w:val="00A63C07"/>
    <w:rsid w:val="00A63D9B"/>
    <w:rsid w:val="00A67579"/>
    <w:rsid w:val="00A704DC"/>
    <w:rsid w:val="00A74552"/>
    <w:rsid w:val="00A93357"/>
    <w:rsid w:val="00A93DC6"/>
    <w:rsid w:val="00A9411A"/>
    <w:rsid w:val="00A94A0C"/>
    <w:rsid w:val="00AA1063"/>
    <w:rsid w:val="00AA4A4B"/>
    <w:rsid w:val="00AA6682"/>
    <w:rsid w:val="00AB0613"/>
    <w:rsid w:val="00AB63BF"/>
    <w:rsid w:val="00AB7C5C"/>
    <w:rsid w:val="00AB7CBF"/>
    <w:rsid w:val="00AD0111"/>
    <w:rsid w:val="00AD0B68"/>
    <w:rsid w:val="00AD40C3"/>
    <w:rsid w:val="00AD4C72"/>
    <w:rsid w:val="00AD5451"/>
    <w:rsid w:val="00AE1947"/>
    <w:rsid w:val="00AE43DE"/>
    <w:rsid w:val="00AE565E"/>
    <w:rsid w:val="00AF1C8B"/>
    <w:rsid w:val="00AF2772"/>
    <w:rsid w:val="00AF299B"/>
    <w:rsid w:val="00AF7E43"/>
    <w:rsid w:val="00B02AE0"/>
    <w:rsid w:val="00B03F25"/>
    <w:rsid w:val="00B05326"/>
    <w:rsid w:val="00B14545"/>
    <w:rsid w:val="00B14E60"/>
    <w:rsid w:val="00B17BA2"/>
    <w:rsid w:val="00B2272E"/>
    <w:rsid w:val="00B2402E"/>
    <w:rsid w:val="00B26DC3"/>
    <w:rsid w:val="00B30B9D"/>
    <w:rsid w:val="00B34B59"/>
    <w:rsid w:val="00B4181E"/>
    <w:rsid w:val="00B4574D"/>
    <w:rsid w:val="00B45967"/>
    <w:rsid w:val="00B468E1"/>
    <w:rsid w:val="00B46BC0"/>
    <w:rsid w:val="00B46DFB"/>
    <w:rsid w:val="00B5141B"/>
    <w:rsid w:val="00B5487E"/>
    <w:rsid w:val="00B54BA4"/>
    <w:rsid w:val="00B55681"/>
    <w:rsid w:val="00B57AAD"/>
    <w:rsid w:val="00B57DEE"/>
    <w:rsid w:val="00B6374E"/>
    <w:rsid w:val="00B63A5D"/>
    <w:rsid w:val="00B72B16"/>
    <w:rsid w:val="00B80408"/>
    <w:rsid w:val="00B804B3"/>
    <w:rsid w:val="00B81397"/>
    <w:rsid w:val="00B81C15"/>
    <w:rsid w:val="00B849C2"/>
    <w:rsid w:val="00B925DB"/>
    <w:rsid w:val="00B967FF"/>
    <w:rsid w:val="00B974B9"/>
    <w:rsid w:val="00BA3F6D"/>
    <w:rsid w:val="00BA4BE6"/>
    <w:rsid w:val="00BA4FC0"/>
    <w:rsid w:val="00BA58E4"/>
    <w:rsid w:val="00BA61E0"/>
    <w:rsid w:val="00BA657C"/>
    <w:rsid w:val="00BA76B8"/>
    <w:rsid w:val="00BA7F7D"/>
    <w:rsid w:val="00BB1C14"/>
    <w:rsid w:val="00BB5006"/>
    <w:rsid w:val="00BB6847"/>
    <w:rsid w:val="00BB7F8F"/>
    <w:rsid w:val="00BC716A"/>
    <w:rsid w:val="00BD07DF"/>
    <w:rsid w:val="00BD26F4"/>
    <w:rsid w:val="00BD5DBD"/>
    <w:rsid w:val="00BD5DF6"/>
    <w:rsid w:val="00BE0041"/>
    <w:rsid w:val="00BE1F9D"/>
    <w:rsid w:val="00BE5D96"/>
    <w:rsid w:val="00BE640F"/>
    <w:rsid w:val="00BE6D2A"/>
    <w:rsid w:val="00BF4638"/>
    <w:rsid w:val="00BF5130"/>
    <w:rsid w:val="00C00844"/>
    <w:rsid w:val="00C059D0"/>
    <w:rsid w:val="00C07551"/>
    <w:rsid w:val="00C1109F"/>
    <w:rsid w:val="00C12D65"/>
    <w:rsid w:val="00C133AB"/>
    <w:rsid w:val="00C20B56"/>
    <w:rsid w:val="00C22214"/>
    <w:rsid w:val="00C224F2"/>
    <w:rsid w:val="00C26F72"/>
    <w:rsid w:val="00C305EE"/>
    <w:rsid w:val="00C309A7"/>
    <w:rsid w:val="00C322EF"/>
    <w:rsid w:val="00C335AB"/>
    <w:rsid w:val="00C407AB"/>
    <w:rsid w:val="00C47DA9"/>
    <w:rsid w:val="00C50921"/>
    <w:rsid w:val="00C52B7B"/>
    <w:rsid w:val="00C547CD"/>
    <w:rsid w:val="00C570FF"/>
    <w:rsid w:val="00C57CEA"/>
    <w:rsid w:val="00C60FEC"/>
    <w:rsid w:val="00C62B1C"/>
    <w:rsid w:val="00C6574E"/>
    <w:rsid w:val="00C663D1"/>
    <w:rsid w:val="00C707FD"/>
    <w:rsid w:val="00C76DEB"/>
    <w:rsid w:val="00C811D8"/>
    <w:rsid w:val="00C816C6"/>
    <w:rsid w:val="00C828EC"/>
    <w:rsid w:val="00C863A7"/>
    <w:rsid w:val="00C912F4"/>
    <w:rsid w:val="00C9156F"/>
    <w:rsid w:val="00C9581A"/>
    <w:rsid w:val="00C97D29"/>
    <w:rsid w:val="00CA4AD0"/>
    <w:rsid w:val="00CB0550"/>
    <w:rsid w:val="00CB416A"/>
    <w:rsid w:val="00CB6813"/>
    <w:rsid w:val="00CB79D4"/>
    <w:rsid w:val="00CD3E52"/>
    <w:rsid w:val="00CE5395"/>
    <w:rsid w:val="00CF6A55"/>
    <w:rsid w:val="00CF6DC6"/>
    <w:rsid w:val="00CF6DCF"/>
    <w:rsid w:val="00D01DDB"/>
    <w:rsid w:val="00D0658F"/>
    <w:rsid w:val="00D078BE"/>
    <w:rsid w:val="00D13F8A"/>
    <w:rsid w:val="00D16F60"/>
    <w:rsid w:val="00D22981"/>
    <w:rsid w:val="00D3349B"/>
    <w:rsid w:val="00D40708"/>
    <w:rsid w:val="00D4072C"/>
    <w:rsid w:val="00D41C55"/>
    <w:rsid w:val="00D424A8"/>
    <w:rsid w:val="00D6036F"/>
    <w:rsid w:val="00D62877"/>
    <w:rsid w:val="00D63760"/>
    <w:rsid w:val="00D6703F"/>
    <w:rsid w:val="00D70994"/>
    <w:rsid w:val="00D734EB"/>
    <w:rsid w:val="00D755AF"/>
    <w:rsid w:val="00D82713"/>
    <w:rsid w:val="00D82F6D"/>
    <w:rsid w:val="00D86F00"/>
    <w:rsid w:val="00D918D5"/>
    <w:rsid w:val="00D94C8E"/>
    <w:rsid w:val="00DB0AF7"/>
    <w:rsid w:val="00DB1372"/>
    <w:rsid w:val="00DB192C"/>
    <w:rsid w:val="00DB1CF3"/>
    <w:rsid w:val="00DB5425"/>
    <w:rsid w:val="00DB6C78"/>
    <w:rsid w:val="00DB72A6"/>
    <w:rsid w:val="00DC0E17"/>
    <w:rsid w:val="00DC10F1"/>
    <w:rsid w:val="00DC33AF"/>
    <w:rsid w:val="00DC6611"/>
    <w:rsid w:val="00DD061B"/>
    <w:rsid w:val="00DD51EE"/>
    <w:rsid w:val="00DD5AFB"/>
    <w:rsid w:val="00DE1344"/>
    <w:rsid w:val="00DF1CFD"/>
    <w:rsid w:val="00DF5BFE"/>
    <w:rsid w:val="00DF70C3"/>
    <w:rsid w:val="00E0191E"/>
    <w:rsid w:val="00E0523F"/>
    <w:rsid w:val="00E11160"/>
    <w:rsid w:val="00E21F9A"/>
    <w:rsid w:val="00E23E50"/>
    <w:rsid w:val="00E26213"/>
    <w:rsid w:val="00E274DF"/>
    <w:rsid w:val="00E321B2"/>
    <w:rsid w:val="00E34D66"/>
    <w:rsid w:val="00E3537A"/>
    <w:rsid w:val="00E362C4"/>
    <w:rsid w:val="00E3748E"/>
    <w:rsid w:val="00E46CC2"/>
    <w:rsid w:val="00E47E0C"/>
    <w:rsid w:val="00E5048A"/>
    <w:rsid w:val="00E51813"/>
    <w:rsid w:val="00E52C0B"/>
    <w:rsid w:val="00E53D3F"/>
    <w:rsid w:val="00E5579B"/>
    <w:rsid w:val="00E57FF4"/>
    <w:rsid w:val="00E61A2D"/>
    <w:rsid w:val="00E66AA2"/>
    <w:rsid w:val="00E679D1"/>
    <w:rsid w:val="00E67C1C"/>
    <w:rsid w:val="00E8137E"/>
    <w:rsid w:val="00E84848"/>
    <w:rsid w:val="00E91F11"/>
    <w:rsid w:val="00E95D4A"/>
    <w:rsid w:val="00E96CF3"/>
    <w:rsid w:val="00E9706D"/>
    <w:rsid w:val="00EA3AF4"/>
    <w:rsid w:val="00EB72DE"/>
    <w:rsid w:val="00EC3531"/>
    <w:rsid w:val="00EE4B01"/>
    <w:rsid w:val="00EF3F0B"/>
    <w:rsid w:val="00EF5583"/>
    <w:rsid w:val="00EF6B9A"/>
    <w:rsid w:val="00F003FF"/>
    <w:rsid w:val="00F0289D"/>
    <w:rsid w:val="00F02AEC"/>
    <w:rsid w:val="00F07024"/>
    <w:rsid w:val="00F07572"/>
    <w:rsid w:val="00F157FC"/>
    <w:rsid w:val="00F216AC"/>
    <w:rsid w:val="00F2308B"/>
    <w:rsid w:val="00F30AF3"/>
    <w:rsid w:val="00F43CD1"/>
    <w:rsid w:val="00F45AE0"/>
    <w:rsid w:val="00F47EDE"/>
    <w:rsid w:val="00F60CF2"/>
    <w:rsid w:val="00F657B4"/>
    <w:rsid w:val="00F71FB5"/>
    <w:rsid w:val="00F72725"/>
    <w:rsid w:val="00F7649F"/>
    <w:rsid w:val="00F77ECF"/>
    <w:rsid w:val="00F8083B"/>
    <w:rsid w:val="00F82D1B"/>
    <w:rsid w:val="00F8568E"/>
    <w:rsid w:val="00F865A7"/>
    <w:rsid w:val="00F90C49"/>
    <w:rsid w:val="00FA0754"/>
    <w:rsid w:val="00FA1BC9"/>
    <w:rsid w:val="00FA49C3"/>
    <w:rsid w:val="00FB0007"/>
    <w:rsid w:val="00FB236E"/>
    <w:rsid w:val="00FB3F7B"/>
    <w:rsid w:val="00FB4C2A"/>
    <w:rsid w:val="00FC2107"/>
    <w:rsid w:val="00FC335B"/>
    <w:rsid w:val="00FC358B"/>
    <w:rsid w:val="00FC48FE"/>
    <w:rsid w:val="00FC6F56"/>
    <w:rsid w:val="00FD0B0C"/>
    <w:rsid w:val="00FE087C"/>
    <w:rsid w:val="00FE79A0"/>
    <w:rsid w:val="00FF0939"/>
    <w:rsid w:val="00FF601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A97"/>
    <w:rPr>
      <w:rFonts w:ascii="Cambria" w:hAnsi="Cambria"/>
      <w:sz w:val="22"/>
    </w:rPr>
  </w:style>
  <w:style w:type="paragraph" w:styleId="Heading1">
    <w:name w:val="heading 1"/>
    <w:basedOn w:val="Normal"/>
    <w:next w:val="Normal"/>
    <w:link w:val="Heading1Char"/>
    <w:uiPriority w:val="9"/>
    <w:qFormat/>
    <w:rsid w:val="00A050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294DF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A05091"/>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D70994"/>
    <w:pPr>
      <w:spacing w:after="0" w:line="240" w:lineRule="auto"/>
    </w:pPr>
    <w:rPr>
      <w:sz w:val="20"/>
    </w:rPr>
  </w:style>
  <w:style w:type="character" w:customStyle="1" w:styleId="EndnoteTextChar">
    <w:name w:val="Endnote Text Char"/>
    <w:basedOn w:val="DefaultParagraphFont"/>
    <w:link w:val="EndnoteText"/>
    <w:uiPriority w:val="99"/>
    <w:semiHidden/>
    <w:rsid w:val="00D70994"/>
    <w:rPr>
      <w:rFonts w:ascii="Cambria" w:hAnsi="Cambria"/>
    </w:rPr>
  </w:style>
  <w:style w:type="character" w:styleId="EndnoteReference">
    <w:name w:val="endnote reference"/>
    <w:basedOn w:val="DefaultParagraphFont"/>
    <w:uiPriority w:val="99"/>
    <w:semiHidden/>
    <w:unhideWhenUsed/>
    <w:rsid w:val="00D70994"/>
    <w:rPr>
      <w:vertAlign w:val="superscript"/>
    </w:rPr>
  </w:style>
  <w:style w:type="table" w:styleId="PlainTable2">
    <w:name w:val="Plain Table 2"/>
    <w:basedOn w:val="TableNormal"/>
    <w:uiPriority w:val="42"/>
    <w:rsid w:val="009F3F4B"/>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9A4760"/>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9A4760"/>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9A4760"/>
    <w:rPr>
      <w:rFonts w:ascii="Cambria" w:eastAsia="Cambria" w:hAnsi="Cambria" w:cs="Times New Roman"/>
      <w:sz w:val="19"/>
      <w:szCs w:val="22"/>
    </w:rPr>
  </w:style>
  <w:style w:type="character" w:customStyle="1" w:styleId="Heading7Char">
    <w:name w:val="Heading 7 Char"/>
    <w:basedOn w:val="DefaultParagraphFont"/>
    <w:link w:val="Heading7"/>
    <w:uiPriority w:val="9"/>
    <w:rsid w:val="00294DF5"/>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2.png"/><Relationship Id="rId21" Type="http://schemas.openxmlformats.org/officeDocument/2006/relationships/hyperlink" Target="https://www.tga.gov.au/resources/artg/456528" TargetMode="External"/><Relationship Id="rId34" Type="http://schemas.microsoft.com/office/2007/relationships/hdphoto" Target="media/hdphoto3.wdp"/><Relationship Id="rId42" Type="http://schemas.openxmlformats.org/officeDocument/2006/relationships/image" Target="media/image14.png"/><Relationship Id="rId47" Type="http://schemas.openxmlformats.org/officeDocument/2006/relationships/hyperlink" Target="https://www.tga.gov.au/resources/guidance/submitting-certified-product-details-cpd-biological-prescription-medicines" TargetMode="Externa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www.tga.gov.au/products/medicines/find-information-about-medicine/prescribing-medicines-pregnancy-database" TargetMode="External"/><Relationship Id="rId32" Type="http://schemas.microsoft.com/office/2007/relationships/hdphoto" Target="media/hdphoto2.wdp"/><Relationship Id="rId37" Type="http://schemas.openxmlformats.org/officeDocument/2006/relationships/image" Target="media/image11.png"/><Relationship Id="rId40" Type="http://schemas.microsoft.com/office/2007/relationships/hdphoto" Target="media/hdphoto5.wdp"/><Relationship Id="rId45" Type="http://schemas.microsoft.com/office/2007/relationships/hdphoto" Target="media/hdphoto7.wdp"/><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9.png"/><Relationship Id="rId43" Type="http://schemas.microsoft.com/office/2007/relationships/hdphoto" Target="media/hdphoto6.wdp"/><Relationship Id="rId48" Type="http://schemas.openxmlformats.org/officeDocument/2006/relationships/hyperlink" Target="https://www.ebs.tga.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info@tga.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obstetric-drug-information-services" TargetMode="External"/><Relationship Id="rId33" Type="http://schemas.openxmlformats.org/officeDocument/2006/relationships/image" Target="media/image8.png"/><Relationship Id="rId38" Type="http://schemas.microsoft.com/office/2007/relationships/hdphoto" Target="media/hdphoto4.wdp"/><Relationship Id="rId46" Type="http://schemas.openxmlformats.org/officeDocument/2006/relationships/hyperlink" Target="https://www.tga.gov.au/resources/resources/forms/certified-product-details-cpd-biological-prescription-medicines" TargetMode="External"/><Relationship Id="rId20" Type="http://schemas.openxmlformats.org/officeDocument/2006/relationships/hyperlink" Target="https://www.tga.gov.au/resources/artg/456527" TargetMode="External"/><Relationship Id="rId41" Type="http://schemas.openxmlformats.org/officeDocument/2006/relationships/image" Target="media/image13.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bs.tga.gov.au/" TargetMode="External"/><Relationship Id="rId28" Type="http://schemas.microsoft.com/office/2007/relationships/hdphoto" Target="media/hdphoto1.wdp"/><Relationship Id="rId36" Type="http://schemas.openxmlformats.org/officeDocument/2006/relationships/image" Target="media/image10.png"/><Relationship Id="rId4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documents/scientific-guideline/guideline-similar-biological-medicinal-products-rev1_en.pdf" TargetMode="External"/><Relationship Id="rId1" Type="http://schemas.openxmlformats.org/officeDocument/2006/relationships/hyperlink" Target="https://www.aihw.gov.au/reports/eye-health/eye-health/contents/how-common-is-visual-impairmen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1F70D4E8E5B94789618E948C6CE53F" ma:contentTypeVersion="8" ma:contentTypeDescription="Create a new document." ma:contentTypeScope="" ma:versionID="640ab2532f785aa54a9b609195be4486">
  <xsd:schema xmlns:xsd="http://www.w3.org/2001/XMLSchema" xmlns:xs="http://www.w3.org/2001/XMLSchema" xmlns:p="http://schemas.microsoft.com/office/2006/metadata/properties" xmlns:ns2="fb16a7be-c4e9-423c-940a-8b9f5647b832" xmlns:ns3="be9e9522-dd65-4edd-b445-5c810c2913c5" targetNamespace="http://schemas.microsoft.com/office/2006/metadata/properties" ma:root="true" ma:fieldsID="932ccb58dec114a1a3dda7697b19f5e9" ns2:_="" ns3:_="">
    <xsd:import namespace="fb16a7be-c4e9-423c-940a-8b9f5647b832"/>
    <xsd:import namespace="be9e9522-dd65-4edd-b445-5c810c291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6a7be-c4e9-423c-940a-8b9f5647b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9e9522-dd65-4edd-b445-5c810c2913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e9e9522-dd65-4edd-b445-5c810c2913c5">
      <UserInfo>
        <DisplayName>장혜린(Hyerin Jang)</DisplayName>
        <AccountId>373</AccountId>
        <AccountType/>
      </UserInfo>
      <UserInfo>
        <DisplayName>윤주원(Joowon Yoon)</DisplayName>
        <AccountId>418</AccountId>
        <AccountType/>
      </UserInfo>
      <UserInfo>
        <DisplayName>윤주원(Joowon Yoon)</DisplayName>
        <AccountId>1290</AccountId>
        <AccountType/>
      </UserInfo>
      <UserInfo>
        <DisplayName>김지연(Ji Yeon KIM)</DisplayName>
        <AccountId>231</AccountId>
        <AccountType/>
      </UserInfo>
      <UserInfo>
        <DisplayName>김지연(JIYEON KIM)</DisplayName>
        <AccountId>1573</AccountId>
        <AccountType/>
      </UserInfo>
      <UserInfo>
        <DisplayName>최우리(Wooree Choi)</DisplayName>
        <AccountId>648</AccountId>
        <AccountType/>
      </UserInfo>
      <UserInfo>
        <DisplayName>김태형(Taehyung Kim)</DisplayName>
        <AccountId>562</AccountId>
        <AccountType/>
      </UserInfo>
      <UserInfo>
        <DisplayName>김태형(Taehyung Kim)</DisplayName>
        <AccountId>1674</AccountId>
        <AccountType/>
      </UserInfo>
      <UserInfo>
        <DisplayName>이정현(Jeonghyun Lee)</DisplayName>
        <AccountId>604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8A8ADB-8FB1-48B0-B36A-E90C6570E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6a7be-c4e9-423c-940a-8b9f5647b832"/>
    <ds:schemaRef ds:uri="be9e9522-dd65-4edd-b445-5c810c29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75EE75-A3AC-46D2-8A63-BFFC43A40AE6}">
  <ds:schemaRefs>
    <ds:schemaRef ds:uri="http://schemas.microsoft.com/office/2006/metadata/properties"/>
    <ds:schemaRef ds:uri="http://schemas.microsoft.com/office/infopath/2007/PartnerControls"/>
    <ds:schemaRef ds:uri="be9e9522-dd65-4edd-b445-5c810c2913c5"/>
  </ds:schemaRefs>
</ds:datastoreItem>
</file>

<file path=customXml/itemProps3.xml><?xml version="1.0" encoding="utf-8"?>
<ds:datastoreItem xmlns:ds="http://schemas.openxmlformats.org/officeDocument/2006/customXml" ds:itemID="{EECC4C50-E2FE-4721-BF41-34E7C16FC54D}">
  <ds:schemaRefs>
    <ds:schemaRef ds:uri="http://schemas.openxmlformats.org/officeDocument/2006/bibliography"/>
  </ds:schemaRefs>
</ds:datastoreItem>
</file>

<file path=customXml/itemProps4.xml><?xml version="1.0" encoding="utf-8"?>
<ds:datastoreItem xmlns:ds="http://schemas.openxmlformats.org/officeDocument/2006/customXml" ds:itemID="{E597A772-1561-401B-9838-A06E2C6DD8BB}">
  <ds:schemaRefs>
    <ds:schemaRef ds:uri="http://schemas.microsoft.com/sharepoint/v3/contenttype/forms"/>
  </ds:schemaRefs>
</ds:datastoreItem>
</file>

<file path=docMetadata/LabelInfo.xml><?xml version="1.0" encoding="utf-8"?>
<clbl:labelList xmlns:clbl="http://schemas.microsoft.com/office/2020/mipLabelMetadata">
  <clbl:label id="{0f0719e6-9019-4343-8538-506cc024c874}" enabled="0" method="" siteId="{0f0719e6-9019-4343-8538-506cc024c874}"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29</Pages>
  <Words>8934</Words>
  <Characters>48565</Characters>
  <Application>Microsoft Office Word</Application>
  <DocSecurity>0</DocSecurity>
  <Lines>1267</Lines>
  <Paragraphs>772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vt:lpstr>
      <vt:lpstr>Australian public assessment report for</vt:lpstr>
    </vt:vector>
  </TitlesOfParts>
  <Company>Department of Health, Disability and Ageing</Company>
  <LinksUpToDate>false</LinksUpToDate>
  <CharactersWithSpaces>56876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Opuviz</dc:title>
  <dc:subject>Prescription medicines</dc:subject>
  <dc:creator>Therapeutic Goods Administration</dc:creator>
  <cp:keywords/>
  <dc:description/>
  <cp:lastModifiedBy>LACK, Janet</cp:lastModifiedBy>
  <cp:revision>4</cp:revision>
  <dcterms:created xsi:type="dcterms:W3CDTF">2025-12-22T20:34:00Z</dcterms:created>
  <dcterms:modified xsi:type="dcterms:W3CDTF">2025-12-22T20:48:00Z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226ac27b,3be8bebd,33d6fb89,7485522a,45da6dfc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55c8ad14,661a2188,685a342d,7c1111a3,137c0cb1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0x0101002B1F70D4E8E5B94789618E948C6CE53F</vt:lpwstr>
  </property>
  <property fmtid="{D5CDD505-2E9C-101B-9397-08002B2CF9AE}" pid="9" name="MSIP_Label_7cd3e8b9-ffed-43a8-b7f4-cc2fa0382d36_Enabled">
    <vt:lpwstr>true</vt:lpwstr>
  </property>
  <property fmtid="{D5CDD505-2E9C-101B-9397-08002B2CF9AE}" pid="10" name="MSIP_Label_7cd3e8b9-ffed-43a8-b7f4-cc2fa0382d36_SetDate">
    <vt:lpwstr>2025-12-12T01:48:00Z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01289fcd-dc11-4c0e-8c8c-3daafa8deb00</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