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400D0F94" w14:textId="77777777" w:rsidR="00F02AEC" w:rsidRDefault="00457050" w:rsidP="002B29B2">
            <w:pPr>
              <w:pStyle w:val="Title"/>
            </w:pPr>
            <w:bookmarkStart w:id="0" w:name="_Toc178244700"/>
            <w:bookmarkStart w:id="1" w:name="_Toc196820222"/>
            <w:bookmarkStart w:id="2" w:name="_Toc196820533"/>
            <w:bookmarkStart w:id="3" w:name="_Toc196900871"/>
            <w:bookmarkStart w:id="4" w:name="_Toc214873139"/>
            <w:r>
              <w:t>Notice of final decision to amend (or not amend) the current Poisons Standard</w:t>
            </w:r>
            <w:bookmarkEnd w:id="0"/>
            <w:bookmarkEnd w:id="1"/>
            <w:bookmarkEnd w:id="2"/>
            <w:bookmarkEnd w:id="3"/>
            <w:r w:rsidR="00FA0917">
              <w:t xml:space="preserve"> in relation to </w:t>
            </w:r>
            <w:bookmarkStart w:id="5" w:name="_Hlk201575513"/>
            <w:r w:rsidR="00FA0917">
              <w:t>p</w:t>
            </w:r>
            <w:r w:rsidR="00FA0917" w:rsidRPr="00FF5F61">
              <w:t xml:space="preserve">yridoxine, pyridoxal or pyridoxamine </w:t>
            </w:r>
            <w:r w:rsidR="00FA0917">
              <w:t>(vitamin </w:t>
            </w:r>
            <w:proofErr w:type="spellStart"/>
            <w:r w:rsidR="00FA0917">
              <w:t>B6</w:t>
            </w:r>
            <w:proofErr w:type="spellEnd"/>
            <w:r w:rsidR="00FA0917">
              <w:t>)</w:t>
            </w:r>
            <w:bookmarkEnd w:id="4"/>
            <w:bookmarkEnd w:id="5"/>
          </w:p>
          <w:p w14:paraId="798DF44B" w14:textId="2F3A9FEA" w:rsidR="006A43EC" w:rsidRPr="00215D48" w:rsidRDefault="006A43EC" w:rsidP="00D54E27">
            <w:pPr>
              <w:pStyle w:val="Title"/>
              <w:tabs>
                <w:tab w:val="left" w:pos="6261"/>
              </w:tabs>
            </w:pPr>
          </w:p>
        </w:tc>
      </w:tr>
      <w:tr w:rsidR="00F02AEC" w:rsidRPr="00215D48" w14:paraId="5819680E" w14:textId="77777777" w:rsidTr="002B29B2">
        <w:trPr>
          <w:trHeight w:val="1916"/>
        </w:trPr>
        <w:tc>
          <w:tcPr>
            <w:tcW w:w="8720" w:type="dxa"/>
          </w:tcPr>
          <w:p w14:paraId="54DDB299" w14:textId="6BBC2696" w:rsidR="00B45DA4" w:rsidRPr="002C7C4F" w:rsidRDefault="003A57DF" w:rsidP="00D1612F">
            <w:pPr>
              <w:pStyle w:val="Subtitle"/>
              <w:ind w:left="0"/>
              <w:rPr>
                <w:sz w:val="28"/>
                <w:szCs w:val="28"/>
              </w:rPr>
            </w:pPr>
            <w:r w:rsidRPr="001D4B65">
              <w:t>25</w:t>
            </w:r>
            <w:r w:rsidR="00FA0917">
              <w:t xml:space="preserve"> November 2025</w:t>
            </w:r>
          </w:p>
        </w:tc>
      </w:tr>
    </w:tbl>
    <w:p w14:paraId="5F09A95D" w14:textId="77777777" w:rsidR="00F02AEC" w:rsidRPr="00215D48" w:rsidRDefault="00F02AEC" w:rsidP="000F338A">
      <w:pPr>
        <w:pStyle w:val="ListBullet"/>
        <w:sectPr w:rsidR="00F02AEC" w:rsidRPr="00215D48" w:rsidSect="00CB0550">
          <w:headerReference w:type="even" r:id="rId11"/>
          <w:headerReference w:type="default" r:id="rId12"/>
          <w:footerReference w:type="even" r:id="rId13"/>
          <w:footerReference w:type="default" r:id="rId14"/>
          <w:headerReference w:type="first" r:id="rId15"/>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4F3B29D2" w:rsidR="00175CD8" w:rsidRDefault="00F02AEC" w:rsidP="00DE78C9">
      <w:pPr>
        <w:rPr>
          <w:sz w:val="16"/>
          <w:szCs w:val="16"/>
        </w:rPr>
      </w:pPr>
      <w:r w:rsidRPr="00DE78C9">
        <w:rPr>
          <w:sz w:val="16"/>
          <w:szCs w:val="16"/>
        </w:rPr>
        <w:t>© Commonwealth of Australia 202</w:t>
      </w:r>
      <w:r w:rsidR="00E21AC7">
        <w:rPr>
          <w:sz w:val="16"/>
          <w:szCs w:val="16"/>
        </w:rPr>
        <w:t>5</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6" w:history="1">
        <w:r w:rsidRPr="00DE78C9">
          <w:rPr>
            <w:rStyle w:val="Hyperlink"/>
            <w:rFonts w:cs="Arial"/>
            <w:sz w:val="16"/>
            <w:szCs w:val="16"/>
          </w:rPr>
          <w:t>tga.copyright@tga.gov.au</w:t>
        </w:r>
      </w:hyperlink>
      <w:r w:rsidRPr="00DE78C9">
        <w:rPr>
          <w:sz w:val="16"/>
          <w:szCs w:val="16"/>
        </w:rPr>
        <w:t>.</w:t>
      </w:r>
    </w:p>
    <w:bookmarkStart w:id="6" w:name="_Toc214873140" w:displacedByCustomXml="next"/>
    <w:bookmarkStart w:id="7" w:name="_Toc196900872" w:displacedByCustomXml="next"/>
    <w:bookmarkStart w:id="8" w:name="_Toc178244701" w:displacedByCustomXml="next"/>
    <w:bookmarkStart w:id="9" w:name="_Toc196820223" w:displacedByCustomXml="next"/>
    <w:bookmarkStart w:id="10" w:name="_Toc196820534" w:displacedByCustomXml="next"/>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bookmarkEnd w:id="10"/>
          <w:bookmarkEnd w:id="9"/>
          <w:bookmarkEnd w:id="8"/>
          <w:bookmarkEnd w:id="7"/>
          <w:bookmarkEnd w:id="6"/>
        </w:p>
        <w:p w14:paraId="613EC7A3" w14:textId="20D19779" w:rsidR="006F2BBB" w:rsidRDefault="002B5C5B">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"1-1" \h \z \u \t "Heading 2,1,Heading 3,2,Legal Subheading,2,Non TOC heading 2,2" </w:instrText>
          </w:r>
          <w:r>
            <w:fldChar w:fldCharType="separate"/>
          </w:r>
          <w:hyperlink w:anchor="_Toc214873139" w:history="1">
            <w:r w:rsidR="006F2BBB" w:rsidRPr="008A224D">
              <w:rPr>
                <w:rStyle w:val="Hyperlink"/>
                <w:noProof/>
              </w:rPr>
              <w:t>Notice of final decision to amend (or not amend) the current Poisons Standard in relation to pyridoxine, pyridoxal or pyridoxamine (vitamin B6)</w:t>
            </w:r>
            <w:r w:rsidR="006F2BBB">
              <w:rPr>
                <w:noProof/>
                <w:webHidden/>
              </w:rPr>
              <w:tab/>
            </w:r>
            <w:r w:rsidR="006F2BBB">
              <w:rPr>
                <w:noProof/>
                <w:webHidden/>
              </w:rPr>
              <w:fldChar w:fldCharType="begin"/>
            </w:r>
            <w:r w:rsidR="006F2BBB">
              <w:rPr>
                <w:noProof/>
                <w:webHidden/>
              </w:rPr>
              <w:instrText xml:space="preserve"> PAGEREF _Toc214873139 \h </w:instrText>
            </w:r>
            <w:r w:rsidR="006F2BBB">
              <w:rPr>
                <w:noProof/>
                <w:webHidden/>
              </w:rPr>
            </w:r>
            <w:r w:rsidR="006F2BBB">
              <w:rPr>
                <w:noProof/>
                <w:webHidden/>
              </w:rPr>
              <w:fldChar w:fldCharType="separate"/>
            </w:r>
            <w:r w:rsidR="006F2BBB">
              <w:rPr>
                <w:noProof/>
                <w:webHidden/>
              </w:rPr>
              <w:t>1</w:t>
            </w:r>
            <w:r w:rsidR="006F2BBB">
              <w:rPr>
                <w:noProof/>
                <w:webHidden/>
              </w:rPr>
              <w:fldChar w:fldCharType="end"/>
            </w:r>
          </w:hyperlink>
        </w:p>
        <w:p w14:paraId="407D9161" w14:textId="3540E9BE" w:rsidR="006F2BBB" w:rsidRDefault="006F2BBB">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3140" w:history="1">
            <w:r w:rsidRPr="008A224D">
              <w:rPr>
                <w:rStyle w:val="Hyperlink"/>
                <w:noProof/>
              </w:rPr>
              <w:t>Contents</w:t>
            </w:r>
            <w:r>
              <w:rPr>
                <w:noProof/>
                <w:webHidden/>
              </w:rPr>
              <w:tab/>
            </w:r>
            <w:r>
              <w:rPr>
                <w:noProof/>
                <w:webHidden/>
              </w:rPr>
              <w:fldChar w:fldCharType="begin"/>
            </w:r>
            <w:r>
              <w:rPr>
                <w:noProof/>
                <w:webHidden/>
              </w:rPr>
              <w:instrText xml:space="preserve"> PAGEREF _Toc214873140 \h </w:instrText>
            </w:r>
            <w:r>
              <w:rPr>
                <w:noProof/>
                <w:webHidden/>
              </w:rPr>
            </w:r>
            <w:r>
              <w:rPr>
                <w:noProof/>
                <w:webHidden/>
              </w:rPr>
              <w:fldChar w:fldCharType="separate"/>
            </w:r>
            <w:r>
              <w:rPr>
                <w:noProof/>
                <w:webHidden/>
              </w:rPr>
              <w:t>3</w:t>
            </w:r>
            <w:r>
              <w:rPr>
                <w:noProof/>
                <w:webHidden/>
              </w:rPr>
              <w:fldChar w:fldCharType="end"/>
            </w:r>
          </w:hyperlink>
        </w:p>
        <w:p w14:paraId="2C3F15EC" w14:textId="2F63FEEE" w:rsidR="006F2BBB" w:rsidRDefault="006F2BBB">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4873141" w:history="1">
            <w:r w:rsidRPr="008A224D">
              <w:rPr>
                <w:rStyle w:val="Hyperlink"/>
                <w:noProof/>
              </w:rPr>
              <w:t>Notice of final decision to amend (or not amend) the current Poisons Standard</w:t>
            </w:r>
            <w:r>
              <w:rPr>
                <w:noProof/>
                <w:webHidden/>
              </w:rPr>
              <w:tab/>
            </w:r>
            <w:r>
              <w:rPr>
                <w:noProof/>
                <w:webHidden/>
              </w:rPr>
              <w:fldChar w:fldCharType="begin"/>
            </w:r>
            <w:r>
              <w:rPr>
                <w:noProof/>
                <w:webHidden/>
              </w:rPr>
              <w:instrText xml:space="preserve"> PAGEREF _Toc214873141 \h </w:instrText>
            </w:r>
            <w:r>
              <w:rPr>
                <w:noProof/>
                <w:webHidden/>
              </w:rPr>
            </w:r>
            <w:r>
              <w:rPr>
                <w:noProof/>
                <w:webHidden/>
              </w:rPr>
              <w:fldChar w:fldCharType="separate"/>
            </w:r>
            <w:r>
              <w:rPr>
                <w:noProof/>
                <w:webHidden/>
              </w:rPr>
              <w:t>4</w:t>
            </w:r>
            <w:r>
              <w:rPr>
                <w:noProof/>
                <w:webHidden/>
              </w:rPr>
              <w:fldChar w:fldCharType="end"/>
            </w:r>
          </w:hyperlink>
        </w:p>
        <w:p w14:paraId="0B38D6DB" w14:textId="3955DDC6" w:rsidR="006F2BBB" w:rsidRDefault="006F2BBB">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4873142" w:history="1">
            <w:r w:rsidRPr="008A224D">
              <w:rPr>
                <w:rStyle w:val="Hyperlink"/>
                <w:noProof/>
              </w:rPr>
              <w:t>Final decision on a proposed amendment referred to the Advisory Committee on Medicines Scheduling (ACMS #46, November 2024)</w:t>
            </w:r>
            <w:r>
              <w:rPr>
                <w:noProof/>
                <w:webHidden/>
              </w:rPr>
              <w:tab/>
            </w:r>
            <w:r>
              <w:rPr>
                <w:noProof/>
                <w:webHidden/>
              </w:rPr>
              <w:fldChar w:fldCharType="begin"/>
            </w:r>
            <w:r>
              <w:rPr>
                <w:noProof/>
                <w:webHidden/>
              </w:rPr>
              <w:instrText xml:space="preserve"> PAGEREF _Toc214873142 \h </w:instrText>
            </w:r>
            <w:r>
              <w:rPr>
                <w:noProof/>
                <w:webHidden/>
              </w:rPr>
            </w:r>
            <w:r>
              <w:rPr>
                <w:noProof/>
                <w:webHidden/>
              </w:rPr>
              <w:fldChar w:fldCharType="separate"/>
            </w:r>
            <w:r>
              <w:rPr>
                <w:noProof/>
                <w:webHidden/>
              </w:rPr>
              <w:t>5</w:t>
            </w:r>
            <w:r>
              <w:rPr>
                <w:noProof/>
                <w:webHidden/>
              </w:rPr>
              <w:fldChar w:fldCharType="end"/>
            </w:r>
          </w:hyperlink>
        </w:p>
        <w:p w14:paraId="1E97340D" w14:textId="157B06E7" w:rsidR="006F2BBB" w:rsidRDefault="006F2BBB">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4873143" w:history="1">
            <w:r w:rsidRPr="008A224D">
              <w:rPr>
                <w:rStyle w:val="Hyperlink"/>
                <w:noProof/>
              </w:rPr>
              <w:t xml:space="preserve">Final decision in relation to </w:t>
            </w:r>
            <w:r w:rsidRPr="008A224D">
              <w:rPr>
                <w:rStyle w:val="Hyperlink"/>
                <w:noProof/>
                <w:lang w:eastAsia="en-AU"/>
              </w:rPr>
              <w:t>pyridoxine, pyridoxal or pyridoxamine</w:t>
            </w:r>
            <w:r>
              <w:rPr>
                <w:noProof/>
                <w:webHidden/>
              </w:rPr>
              <w:tab/>
            </w:r>
            <w:r>
              <w:rPr>
                <w:noProof/>
                <w:webHidden/>
              </w:rPr>
              <w:fldChar w:fldCharType="begin"/>
            </w:r>
            <w:r>
              <w:rPr>
                <w:noProof/>
                <w:webHidden/>
              </w:rPr>
              <w:instrText xml:space="preserve"> PAGEREF _Toc214873143 \h </w:instrText>
            </w:r>
            <w:r>
              <w:rPr>
                <w:noProof/>
                <w:webHidden/>
              </w:rPr>
            </w:r>
            <w:r>
              <w:rPr>
                <w:noProof/>
                <w:webHidden/>
              </w:rPr>
              <w:fldChar w:fldCharType="separate"/>
            </w:r>
            <w:r>
              <w:rPr>
                <w:noProof/>
                <w:webHidden/>
              </w:rPr>
              <w:t>5</w:t>
            </w:r>
            <w:r>
              <w:rPr>
                <w:noProof/>
                <w:webHidden/>
              </w:rPr>
              <w:fldChar w:fldCharType="end"/>
            </w:r>
          </w:hyperlink>
        </w:p>
        <w:p w14:paraId="09B05728" w14:textId="29B49BCF" w:rsidR="00F02AEC" w:rsidRPr="00215D48" w:rsidRDefault="002B5C5B" w:rsidP="00967490">
          <w:r>
            <w:fldChar w:fldCharType="end"/>
          </w:r>
        </w:p>
      </w:sdtContent>
    </w:sdt>
    <w:p w14:paraId="4D0C412B" w14:textId="77777777" w:rsidR="00F02AEC" w:rsidRPr="00215D48" w:rsidRDefault="00F02AEC" w:rsidP="00967490">
      <w:r w:rsidRPr="00215D48">
        <w:br w:type="page"/>
      </w:r>
    </w:p>
    <w:p w14:paraId="3A06BE1E" w14:textId="6F88FACB" w:rsidR="00457050" w:rsidRPr="00BC2009" w:rsidRDefault="00457050" w:rsidP="00967490">
      <w:pPr>
        <w:pStyle w:val="Heading2"/>
      </w:pPr>
      <w:bookmarkStart w:id="11" w:name="_Toc97640261"/>
      <w:bookmarkStart w:id="12" w:name="_Toc214873141"/>
      <w:r w:rsidRPr="00597B50">
        <w:lastRenderedPageBreak/>
        <w:t>Notice of final decision to amend (or not amend) the current Poisons Standard</w:t>
      </w:r>
      <w:bookmarkEnd w:id="11"/>
      <w:bookmarkEnd w:id="12"/>
    </w:p>
    <w:p w14:paraId="2FB850E1" w14:textId="21E3C876" w:rsidR="00457050" w:rsidRPr="00206027" w:rsidRDefault="00457050" w:rsidP="00967490">
      <w:pPr>
        <w:rPr>
          <w:rFonts w:cs="Arial"/>
        </w:rPr>
      </w:pPr>
      <w:r w:rsidRPr="00206027">
        <w:rPr>
          <w:rFonts w:cs="Arial"/>
        </w:rPr>
        <w:t xml:space="preserve">This web publication constitutes a notice for the purposes of regulation </w:t>
      </w:r>
      <w:proofErr w:type="spellStart"/>
      <w:r w:rsidRPr="0011279A">
        <w:rPr>
          <w:rFonts w:cs="Arial"/>
        </w:rPr>
        <w:t>42ZCZS</w:t>
      </w:r>
      <w:proofErr w:type="spellEnd"/>
      <w:r w:rsidR="0011279A" w:rsidRPr="0011279A">
        <w:rPr>
          <w:rFonts w:cs="Arial"/>
        </w:rPr>
        <w:t xml:space="preserve"> </w:t>
      </w:r>
      <w:r w:rsidRPr="00206027">
        <w:rPr>
          <w:rFonts w:cs="Arial"/>
        </w:rPr>
        <w:t xml:space="preserve">of the </w:t>
      </w:r>
      <w:r w:rsidRPr="00206027">
        <w:rPr>
          <w:rFonts w:cs="Arial"/>
          <w:i/>
        </w:rPr>
        <w:t xml:space="preserve">Therapeutic Goods Regulations 1990 </w:t>
      </w:r>
      <w:r w:rsidRPr="00206027">
        <w:rPr>
          <w:rFonts w:cs="Arial"/>
        </w:rPr>
        <w:t xml:space="preserve">(the </w:t>
      </w:r>
      <w:r w:rsidRPr="00206027">
        <w:rPr>
          <w:rFonts w:cs="Arial"/>
          <w:b/>
        </w:rPr>
        <w:t>Regulations</w:t>
      </w:r>
      <w:r w:rsidRPr="00206027">
        <w:rPr>
          <w:rFonts w:cs="Arial"/>
        </w:rPr>
        <w:t xml:space="preserve">). In accordance with </w:t>
      </w:r>
      <w:r w:rsidRPr="0011279A">
        <w:rPr>
          <w:rFonts w:cs="Arial"/>
        </w:rPr>
        <w:t xml:space="preserve">regulations </w:t>
      </w:r>
      <w:proofErr w:type="spellStart"/>
      <w:r w:rsidRPr="0011279A">
        <w:rPr>
          <w:rFonts w:cs="Arial"/>
        </w:rPr>
        <w:t>42ZCZS</w:t>
      </w:r>
      <w:proofErr w:type="spellEnd"/>
      <w:r w:rsidRPr="0011279A">
        <w:rPr>
          <w:rFonts w:cs="Arial"/>
        </w:rPr>
        <w:t>,</w:t>
      </w:r>
      <w:r w:rsidRPr="00206027">
        <w:rPr>
          <w:rFonts w:cs="Arial"/>
        </w:rPr>
        <w:t xml:space="preserve"> this notice publishes:</w:t>
      </w:r>
    </w:p>
    <w:p w14:paraId="4D038242" w14:textId="2DA36BC8" w:rsidR="00457050" w:rsidRPr="00206027" w:rsidRDefault="00457050" w:rsidP="000F338A">
      <w:pPr>
        <w:pStyle w:val="ListBullet"/>
      </w:pPr>
      <w:r w:rsidRPr="00206027">
        <w:t>the decision made by a delegate</w:t>
      </w:r>
      <w:r w:rsidRPr="00206027">
        <w:rPr>
          <w:rStyle w:val="FootnoteReference"/>
          <w:rFonts w:cs="Arial"/>
        </w:rPr>
        <w:footnoteReference w:id="1"/>
      </w:r>
      <w:r w:rsidRPr="00206027">
        <w:t xml:space="preserve"> of the Secretary of the Department of Health</w:t>
      </w:r>
      <w:r w:rsidR="00FA0917">
        <w:t>, Disability</w:t>
      </w:r>
      <w:r w:rsidRPr="00206027">
        <w:t xml:space="preserve"> and </w:t>
      </w:r>
      <w:r w:rsidR="00FA0917">
        <w:t>Ageing</w:t>
      </w:r>
      <w:r w:rsidRPr="00206027">
        <w:t xml:space="preserve"> (the </w:t>
      </w:r>
      <w:r w:rsidRPr="00206027">
        <w:rPr>
          <w:b/>
          <w:bCs/>
        </w:rPr>
        <w:t>Delegate</w:t>
      </w:r>
      <w:r w:rsidRPr="00206027">
        <w:t xml:space="preserve">) pursuant to regulation </w:t>
      </w:r>
      <w:proofErr w:type="spellStart"/>
      <w:r w:rsidRPr="00206027">
        <w:t>42CZR</w:t>
      </w:r>
      <w:proofErr w:type="spellEnd"/>
      <w:r w:rsidR="00717E1E">
        <w:t xml:space="preserve"> of the Regulations</w:t>
      </w:r>
    </w:p>
    <w:p w14:paraId="1AA8F280" w14:textId="18D07916" w:rsidR="00457050" w:rsidRPr="00206027" w:rsidRDefault="00457050" w:rsidP="000F338A">
      <w:pPr>
        <w:pStyle w:val="ListBullet"/>
      </w:pPr>
      <w:r w:rsidRPr="00206027">
        <w:t xml:space="preserve">the reasons for </w:t>
      </w:r>
      <w:r w:rsidR="00C5736D">
        <w:t>th</w:t>
      </w:r>
      <w:r w:rsidR="0012279C">
        <w:t>e</w:t>
      </w:r>
      <w:r w:rsidRPr="00206027">
        <w:t xml:space="preserve"> final decision and</w:t>
      </w:r>
    </w:p>
    <w:p w14:paraId="5E6BC7C7" w14:textId="416BB9F7" w:rsidR="00457050" w:rsidRPr="00206027" w:rsidRDefault="00457050" w:rsidP="000F338A">
      <w:pPr>
        <w:pStyle w:val="ListBullet"/>
      </w:pPr>
      <w:r w:rsidRPr="00206027">
        <w:t>the date of effect of</w:t>
      </w:r>
      <w:r w:rsidR="00C5736D">
        <w:t xml:space="preserve"> th</w:t>
      </w:r>
      <w:r w:rsidR="0012279C">
        <w:t>e</w:t>
      </w:r>
      <w:r w:rsidRPr="00206027">
        <w:t xml:space="preserve"> </w:t>
      </w:r>
      <w:r w:rsidR="0012279C" w:rsidRPr="00206027">
        <w:t xml:space="preserve">final </w:t>
      </w:r>
      <w:r w:rsidRPr="00206027">
        <w:t>decision</w:t>
      </w:r>
      <w:r w:rsidR="0012279C">
        <w:t>.</w:t>
      </w:r>
    </w:p>
    <w:p w14:paraId="67DC0EBB" w14:textId="6242BB51" w:rsidR="00457050" w:rsidRPr="0012279C" w:rsidRDefault="00831B56" w:rsidP="0012279C">
      <w:pPr>
        <w:pStyle w:val="ListBullet"/>
        <w:numPr>
          <w:ilvl w:val="0"/>
          <w:numId w:val="0"/>
        </w:numPr>
        <w:rPr>
          <w:b/>
          <w:bCs/>
        </w:rPr>
      </w:pPr>
      <w:r w:rsidRPr="0012279C">
        <w:rPr>
          <w:b/>
          <w:bCs/>
        </w:rPr>
        <w:t>Defined terms</w:t>
      </w:r>
    </w:p>
    <w:p w14:paraId="3518FC9A" w14:textId="39B18FB7" w:rsidR="00831B56" w:rsidRPr="00206027" w:rsidRDefault="00831B56" w:rsidP="0012279C">
      <w:pPr>
        <w:pStyle w:val="ListBullet"/>
        <w:numPr>
          <w:ilvl w:val="0"/>
          <w:numId w:val="0"/>
        </w:numPr>
      </w:pPr>
      <w:r w:rsidRPr="00206027">
        <w:t>In this notice the following defined terms are used in addition to those above:</w:t>
      </w:r>
    </w:p>
    <w:p w14:paraId="6BE33439" w14:textId="29031A03" w:rsidR="00831B56" w:rsidRPr="00206027" w:rsidRDefault="00831B56" w:rsidP="000F338A">
      <w:pPr>
        <w:pStyle w:val="ListBullet"/>
      </w:pPr>
      <w:r w:rsidRPr="00206027">
        <w:t>the Therapeutic Goods Act 1989 (</w:t>
      </w:r>
      <w:proofErr w:type="spellStart"/>
      <w:r w:rsidRPr="00206027">
        <w:t>Cth</w:t>
      </w:r>
      <w:proofErr w:type="spellEnd"/>
      <w:r w:rsidRPr="00206027">
        <w:t xml:space="preserve">) (the </w:t>
      </w:r>
      <w:r w:rsidRPr="00206027">
        <w:rPr>
          <w:b/>
          <w:bCs/>
        </w:rPr>
        <w:t>Act</w:t>
      </w:r>
      <w:r w:rsidRPr="00206027">
        <w:t>)</w:t>
      </w:r>
    </w:p>
    <w:p w14:paraId="6550B5E6" w14:textId="5EBA37FF" w:rsidR="00831B56" w:rsidRPr="00206027" w:rsidRDefault="00831B56" w:rsidP="000F338A">
      <w:pPr>
        <w:pStyle w:val="ListBullet"/>
        <w:rPr>
          <w:rFonts w:cs="Arial"/>
        </w:rPr>
      </w:pPr>
      <w:r w:rsidRPr="00206027">
        <w:rPr>
          <w:rFonts w:cs="Arial"/>
        </w:rPr>
        <w:t xml:space="preserve">the </w:t>
      </w:r>
      <w:hyperlink r:id="rId17" w:history="1">
        <w:r w:rsidRPr="00206027">
          <w:rPr>
            <w:rStyle w:val="Hyperlink"/>
            <w:rFonts w:cs="Arial"/>
          </w:rPr>
          <w:t>Scheduling Policy Framework</w:t>
        </w:r>
      </w:hyperlink>
      <w:r w:rsidRPr="00206027">
        <w:rPr>
          <w:rFonts w:cs="Arial"/>
        </w:rPr>
        <w:t xml:space="preserve"> 2018 (the </w:t>
      </w:r>
      <w:r w:rsidRPr="00206027">
        <w:rPr>
          <w:rFonts w:cs="Arial"/>
          <w:b/>
          <w:bCs/>
        </w:rPr>
        <w:t>SPF</w:t>
      </w:r>
      <w:r w:rsidRPr="00206027">
        <w:rPr>
          <w:rFonts w:cs="Arial"/>
        </w:rPr>
        <w:t>)</w:t>
      </w:r>
    </w:p>
    <w:p w14:paraId="4CDC567B" w14:textId="46FFCF22" w:rsidR="00831B56" w:rsidRPr="00206027" w:rsidRDefault="00831B56" w:rsidP="000F338A">
      <w:pPr>
        <w:pStyle w:val="ListBullet"/>
        <w:rPr>
          <w:rFonts w:cs="Arial"/>
        </w:rPr>
      </w:pPr>
      <w:r w:rsidRPr="00206027">
        <w:rPr>
          <w:rFonts w:cs="Arial"/>
        </w:rPr>
        <w:t>the Scheduling handbook</w:t>
      </w:r>
      <w:r w:rsidR="00FC1EB4" w:rsidRPr="00206027">
        <w:rPr>
          <w:rFonts w:cs="Arial"/>
        </w:rPr>
        <w:t>,</w:t>
      </w:r>
      <w:r w:rsidRPr="00206027">
        <w:rPr>
          <w:rFonts w:cs="Arial"/>
        </w:rPr>
        <w:t xml:space="preserve"> </w:t>
      </w:r>
      <w:hyperlink r:id="rId18" w:history="1">
        <w:r w:rsidRPr="00206027">
          <w:rPr>
            <w:rStyle w:val="Hyperlink"/>
            <w:rFonts w:cs="Arial"/>
          </w:rPr>
          <w:t>Guidance for amending the Poisons Standard</w:t>
        </w:r>
      </w:hyperlink>
      <w:r w:rsidRPr="00206027">
        <w:rPr>
          <w:rFonts w:cs="Arial"/>
        </w:rPr>
        <w:t xml:space="preserve"> (the </w:t>
      </w:r>
      <w:r w:rsidRPr="00206027">
        <w:rPr>
          <w:rFonts w:cs="Arial"/>
          <w:b/>
          <w:bCs/>
        </w:rPr>
        <w:t>Handbook</w:t>
      </w:r>
      <w:r w:rsidRPr="00206027">
        <w:rPr>
          <w:rFonts w:cs="Arial"/>
        </w:rPr>
        <w:t>) and</w:t>
      </w:r>
    </w:p>
    <w:p w14:paraId="78D91CCD" w14:textId="3DC73865" w:rsidR="00831B56" w:rsidRPr="00206027" w:rsidRDefault="00831B56" w:rsidP="000F338A">
      <w:pPr>
        <w:pStyle w:val="ListBullet"/>
      </w:pPr>
      <w:r w:rsidRPr="00206027">
        <w:t xml:space="preserve">the Therapeutic Goods Administration (the </w:t>
      </w:r>
      <w:r w:rsidRPr="00206027">
        <w:rPr>
          <w:b/>
          <w:bCs/>
        </w:rPr>
        <w:t>TGA</w:t>
      </w:r>
      <w:r w:rsidRPr="00206027">
        <w:t>).</w:t>
      </w:r>
    </w:p>
    <w:p w14:paraId="1ECB50B6" w14:textId="5A17E978" w:rsidR="00831B56" w:rsidRPr="00206027" w:rsidRDefault="00831B56" w:rsidP="000F338A">
      <w:pPr>
        <w:pStyle w:val="ListBullet"/>
        <w:numPr>
          <w:ilvl w:val="0"/>
          <w:numId w:val="0"/>
        </w:numPr>
        <w:ind w:left="207"/>
      </w:pPr>
      <w:r w:rsidRPr="00206027">
        <w:t>Note: additional terms are also defined for individual decisions.</w:t>
      </w:r>
    </w:p>
    <w:p w14:paraId="78617E2B" w14:textId="77777777" w:rsidR="00E82526" w:rsidRDefault="00E82526" w:rsidP="006A43EC">
      <w:bookmarkStart w:id="13" w:name="_Toc97640263"/>
      <w:r>
        <w:br w:type="page"/>
      </w:r>
    </w:p>
    <w:p w14:paraId="66FD8F80" w14:textId="6A9A3C0D" w:rsidR="008921D5" w:rsidRPr="00FA029A" w:rsidRDefault="008921D5" w:rsidP="008921D5">
      <w:pPr>
        <w:pStyle w:val="Heading2"/>
      </w:pPr>
      <w:bookmarkStart w:id="14" w:name="_Toc214873142"/>
      <w:r>
        <w:lastRenderedPageBreak/>
        <w:t>Final</w:t>
      </w:r>
      <w:r w:rsidRPr="00FA029A">
        <w:t xml:space="preserve"> decision on </w:t>
      </w:r>
      <w:r w:rsidR="002D14E2">
        <w:t xml:space="preserve">a </w:t>
      </w:r>
      <w:r w:rsidRPr="00FA029A">
        <w:t>proposed amendment referred to the Advisory Committee o</w:t>
      </w:r>
      <w:r>
        <w:t>n Medicines Scheduling (ACMS #4</w:t>
      </w:r>
      <w:r w:rsidR="00E21AC7">
        <w:t>6</w:t>
      </w:r>
      <w:r>
        <w:t xml:space="preserve">, </w:t>
      </w:r>
      <w:r w:rsidR="00E21AC7">
        <w:t>November</w:t>
      </w:r>
      <w:r w:rsidR="00894493">
        <w:t xml:space="preserve"> </w:t>
      </w:r>
      <w:r>
        <w:t>2024</w:t>
      </w:r>
      <w:r w:rsidRPr="00FA029A">
        <w:t>)</w:t>
      </w:r>
      <w:bookmarkEnd w:id="13"/>
      <w:bookmarkEnd w:id="14"/>
    </w:p>
    <w:p w14:paraId="287721DB" w14:textId="3204C1F4" w:rsidR="008921D5" w:rsidRDefault="008921D5" w:rsidP="00335538">
      <w:pPr>
        <w:pStyle w:val="Heading3"/>
      </w:pPr>
      <w:bookmarkStart w:id="15" w:name="_Toc46325255"/>
      <w:bookmarkStart w:id="16" w:name="_Toc46325611"/>
      <w:bookmarkStart w:id="17" w:name="_Toc46327427"/>
      <w:bookmarkStart w:id="18" w:name="_Toc46412213"/>
      <w:bookmarkStart w:id="19" w:name="_Final_decision_in"/>
      <w:bookmarkStart w:id="20" w:name="_Toc46325256"/>
      <w:bookmarkStart w:id="21" w:name="_Toc46325612"/>
      <w:bookmarkStart w:id="22" w:name="_Toc46327428"/>
      <w:bookmarkStart w:id="23" w:name="_Toc46412214"/>
      <w:bookmarkStart w:id="24" w:name="_Toc46325257"/>
      <w:bookmarkStart w:id="25" w:name="_Toc46325613"/>
      <w:bookmarkStart w:id="26" w:name="_Toc46327429"/>
      <w:bookmarkStart w:id="27" w:name="_Toc46412215"/>
      <w:bookmarkStart w:id="28" w:name="_Toc46325258"/>
      <w:bookmarkStart w:id="29" w:name="_Toc46325614"/>
      <w:bookmarkStart w:id="30" w:name="_Toc46327430"/>
      <w:bookmarkStart w:id="31" w:name="_Toc46412216"/>
      <w:bookmarkStart w:id="32" w:name="_Toc46325259"/>
      <w:bookmarkStart w:id="33" w:name="_Toc46325615"/>
      <w:bookmarkStart w:id="34" w:name="_Toc46327431"/>
      <w:bookmarkStart w:id="35" w:name="_Toc46412217"/>
      <w:bookmarkStart w:id="36" w:name="_Final_decision_in_1"/>
      <w:bookmarkStart w:id="37" w:name="_Toc21487314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 xml:space="preserve">Final decision in relation to </w:t>
      </w:r>
      <w:r w:rsidR="002D14E2">
        <w:rPr>
          <w:lang w:eastAsia="en-AU"/>
        </w:rPr>
        <w:t>p</w:t>
      </w:r>
      <w:r w:rsidR="002D14E2" w:rsidRPr="00C71EA4">
        <w:rPr>
          <w:lang w:eastAsia="en-AU"/>
        </w:rPr>
        <w:t>yridoxine, pyridoxal or</w:t>
      </w:r>
      <w:r w:rsidR="002D14E2">
        <w:rPr>
          <w:lang w:eastAsia="en-AU"/>
        </w:rPr>
        <w:t xml:space="preserve"> </w:t>
      </w:r>
      <w:r w:rsidR="002D14E2" w:rsidRPr="00C71EA4">
        <w:rPr>
          <w:lang w:eastAsia="en-AU"/>
        </w:rPr>
        <w:t>pyridoxamine</w:t>
      </w:r>
      <w:bookmarkEnd w:id="37"/>
    </w:p>
    <w:p w14:paraId="0B3246E1" w14:textId="77777777" w:rsidR="00FE75C7" w:rsidRPr="00335538" w:rsidRDefault="00FE75C7" w:rsidP="00335538">
      <w:pPr>
        <w:pStyle w:val="Heading4"/>
      </w:pPr>
      <w:r w:rsidRPr="00335538">
        <w:t>Proposal</w:t>
      </w:r>
    </w:p>
    <w:p w14:paraId="22D5D6D2" w14:textId="2D63B6B7" w:rsidR="00FE75C7" w:rsidRDefault="002D14E2" w:rsidP="00FE75C7">
      <w:pPr>
        <w:jc w:val="both"/>
      </w:pPr>
      <w:r w:rsidRPr="00C71EA4">
        <w:rPr>
          <w:lang w:eastAsia="en-AU"/>
        </w:rPr>
        <w:t>The applicant has proposed to amend the current Po</w:t>
      </w:r>
      <w:r>
        <w:rPr>
          <w:lang w:eastAsia="en-AU"/>
        </w:rPr>
        <w:t>i</w:t>
      </w:r>
      <w:r w:rsidRPr="00C71EA4">
        <w:rPr>
          <w:lang w:eastAsia="en-AU"/>
        </w:rPr>
        <w:t>son</w:t>
      </w:r>
      <w:r>
        <w:rPr>
          <w:lang w:eastAsia="en-AU"/>
        </w:rPr>
        <w:t>s</w:t>
      </w:r>
      <w:r w:rsidRPr="00C71EA4">
        <w:rPr>
          <w:lang w:eastAsia="en-AU"/>
        </w:rPr>
        <w:t xml:space="preserve"> Standard in relation to </w:t>
      </w:r>
      <w:r>
        <w:rPr>
          <w:lang w:eastAsia="en-AU"/>
        </w:rPr>
        <w:t>p</w:t>
      </w:r>
      <w:r w:rsidRPr="00C71EA4">
        <w:rPr>
          <w:lang w:eastAsia="en-AU"/>
        </w:rPr>
        <w:t xml:space="preserve">yridoxine, pyridoxal </w:t>
      </w:r>
      <w:r>
        <w:rPr>
          <w:lang w:eastAsia="en-AU"/>
        </w:rPr>
        <w:t>or</w:t>
      </w:r>
      <w:r w:rsidRPr="00C71EA4">
        <w:rPr>
          <w:lang w:eastAsia="en-AU"/>
        </w:rPr>
        <w:t xml:space="preserve"> pyridoxamine </w:t>
      </w:r>
      <w:r>
        <w:rPr>
          <w:lang w:eastAsia="en-AU"/>
        </w:rPr>
        <w:t xml:space="preserve">which </w:t>
      </w:r>
      <w:r w:rsidRPr="00C71EA4">
        <w:rPr>
          <w:lang w:eastAsia="en-AU"/>
        </w:rPr>
        <w:t xml:space="preserve">are different forms of vitamin </w:t>
      </w:r>
      <w:proofErr w:type="spellStart"/>
      <w:r w:rsidRPr="00C71EA4">
        <w:rPr>
          <w:lang w:eastAsia="en-AU"/>
        </w:rPr>
        <w:t>B6</w:t>
      </w:r>
      <w:proofErr w:type="spellEnd"/>
      <w:r w:rsidRPr="00C71EA4">
        <w:rPr>
          <w:lang w:eastAsia="en-AU"/>
        </w:rPr>
        <w:t xml:space="preserve">. Under the proposal, human therapeutic preparations containing between 5 mg and 200 mg of pyridoxine, pyridoxal or pyridoxamine would be included </w:t>
      </w:r>
      <w:r>
        <w:rPr>
          <w:lang w:eastAsia="en-AU"/>
        </w:rPr>
        <w:t>in a new Pharmacist</w:t>
      </w:r>
      <w:r w:rsidR="002D3A52">
        <w:rPr>
          <w:lang w:eastAsia="en-AU"/>
        </w:rPr>
        <w:t>-o</w:t>
      </w:r>
      <w:r>
        <w:rPr>
          <w:lang w:eastAsia="en-AU"/>
        </w:rPr>
        <w:t xml:space="preserve">nly </w:t>
      </w:r>
      <w:r w:rsidR="002D3A52">
        <w:rPr>
          <w:lang w:eastAsia="en-AU"/>
        </w:rPr>
        <w:t>m</w:t>
      </w:r>
      <w:r>
        <w:rPr>
          <w:lang w:eastAsia="en-AU"/>
        </w:rPr>
        <w:t>edicine (</w:t>
      </w:r>
      <w:r w:rsidRPr="00C71EA4">
        <w:rPr>
          <w:lang w:eastAsia="en-AU"/>
        </w:rPr>
        <w:t>Schedule 3)</w:t>
      </w:r>
      <w:r>
        <w:rPr>
          <w:lang w:eastAsia="en-AU"/>
        </w:rPr>
        <w:t xml:space="preserve"> entry</w:t>
      </w:r>
      <w:r w:rsidRPr="00C71EA4">
        <w:rPr>
          <w:lang w:eastAsia="en-AU"/>
        </w:rPr>
        <w:t>. These preparations are currently not scheduled.</w:t>
      </w:r>
    </w:p>
    <w:p w14:paraId="009EE8CC" w14:textId="41296746" w:rsidR="00FE75C7" w:rsidRPr="00967490" w:rsidRDefault="00FE75C7" w:rsidP="00335538">
      <w:pPr>
        <w:pStyle w:val="Heading4"/>
      </w:pPr>
      <w:r w:rsidRPr="00967490">
        <w:t>Final decision</w:t>
      </w:r>
    </w:p>
    <w:p w14:paraId="7B2D7001" w14:textId="11370A83" w:rsidR="00972C89" w:rsidRPr="00AE1A3C" w:rsidRDefault="00972C89" w:rsidP="00972C89">
      <w:pPr>
        <w:rPr>
          <w:highlight w:val="yellow"/>
        </w:rPr>
      </w:pPr>
      <w:r w:rsidRPr="001524A3">
        <w:t>P</w:t>
      </w:r>
      <w:r w:rsidRPr="005B1C1F">
        <w:t xml:space="preserve">ursuant to regulation </w:t>
      </w:r>
      <w:proofErr w:type="spellStart"/>
      <w:r w:rsidRPr="005B1C1F">
        <w:t>42ZCZR</w:t>
      </w:r>
      <w:proofErr w:type="spellEnd"/>
      <w:r w:rsidRPr="005B1C1F">
        <w:t xml:space="preserve"> of the Regulations</w:t>
      </w:r>
      <w:r w:rsidRPr="00794ED2">
        <w:t>, the delegate has decided to confirm the</w:t>
      </w:r>
      <w:r w:rsidRPr="005B1C1F">
        <w:t xml:space="preserve"> interim decision and amend the current Poisons Standard in relation to </w:t>
      </w:r>
      <w:r w:rsidR="002D14E2" w:rsidRPr="00FF5F61">
        <w:rPr>
          <w:lang w:eastAsia="en-AU"/>
        </w:rPr>
        <w:t xml:space="preserve">pyridoxine, pyridoxal </w:t>
      </w:r>
      <w:r w:rsidR="002D14E2">
        <w:rPr>
          <w:lang w:eastAsia="en-AU"/>
        </w:rPr>
        <w:t>or</w:t>
      </w:r>
      <w:r w:rsidR="002D14E2" w:rsidRPr="00FF5F61">
        <w:rPr>
          <w:lang w:eastAsia="en-AU"/>
        </w:rPr>
        <w:t xml:space="preserve"> pyridoxamine</w:t>
      </w:r>
      <w:r w:rsidRPr="005B1C1F">
        <w:t xml:space="preserve"> as follows:</w:t>
      </w:r>
      <w:r w:rsidRPr="005B1C1F">
        <w:rPr>
          <w:rStyle w:val="FootnoteReference"/>
        </w:rPr>
        <w:footnoteReference w:id="2"/>
      </w:r>
    </w:p>
    <w:p w14:paraId="192ED2F9" w14:textId="77777777" w:rsidR="00972C89" w:rsidRPr="00BC2307" w:rsidRDefault="00972C89" w:rsidP="00972C89">
      <w:pPr>
        <w:ind w:left="425"/>
        <w:rPr>
          <w:rFonts w:eastAsia="Cambria" w:cs="Arial"/>
          <w:b/>
          <w:color w:val="auto"/>
          <w:szCs w:val="20"/>
        </w:rPr>
      </w:pPr>
      <w:r w:rsidRPr="00BC2307">
        <w:rPr>
          <w:rFonts w:eastAsia="Cambria" w:cs="Arial"/>
          <w:b/>
          <w:color w:val="auto"/>
          <w:szCs w:val="20"/>
        </w:rPr>
        <w:t>Schedule 4</w:t>
      </w:r>
    </w:p>
    <w:p w14:paraId="346050A2" w14:textId="4F861958" w:rsidR="00972C89" w:rsidRDefault="002D14E2" w:rsidP="00972C89">
      <w:pPr>
        <w:ind w:firstLine="567"/>
        <w:rPr>
          <w:rFonts w:eastAsia="Cambria" w:cs="Arial"/>
          <w:b/>
          <w:bCs/>
        </w:rPr>
      </w:pPr>
      <w:r w:rsidRPr="007D63FD">
        <w:rPr>
          <w:rFonts w:eastAsia="Cambria" w:cs="Arial"/>
        </w:rPr>
        <w:t xml:space="preserve">PYRIDOXINE, PYRIDOXAL OR PYRIDOXAMINE for human therapeutic use </w:t>
      </w:r>
      <w:r w:rsidRPr="00560573">
        <w:rPr>
          <w:rFonts w:eastAsia="Cambria" w:cs="Arial"/>
          <w:b/>
          <w:bCs/>
        </w:rPr>
        <w:t>except:</w:t>
      </w:r>
    </w:p>
    <w:p w14:paraId="13CB2E51" w14:textId="7A812F05" w:rsidR="009916E1" w:rsidRDefault="002D14E2" w:rsidP="002D14E2">
      <w:pPr>
        <w:pStyle w:val="ListParagraph"/>
        <w:numPr>
          <w:ilvl w:val="0"/>
          <w:numId w:val="41"/>
        </w:numPr>
        <w:autoSpaceDE w:val="0"/>
        <w:autoSpaceDN w:val="0"/>
        <w:adjustRightInd w:val="0"/>
        <w:spacing w:before="120" w:line="240" w:lineRule="atLeast"/>
        <w:ind w:left="1145" w:hanging="357"/>
        <w:contextualSpacing w:val="0"/>
        <w:rPr>
          <w:rFonts w:cs="Arial"/>
          <w:color w:val="auto"/>
        </w:rPr>
      </w:pPr>
      <w:r w:rsidRPr="002460A3">
        <w:rPr>
          <w:rFonts w:cs="Arial"/>
          <w:color w:val="00B050"/>
        </w:rPr>
        <w:t>when included in Schedule 3</w:t>
      </w:r>
      <w:r w:rsidRPr="002D14E2">
        <w:rPr>
          <w:rFonts w:cs="Arial"/>
          <w:color w:val="auto"/>
        </w:rPr>
        <w:t>; or</w:t>
      </w:r>
      <w:r w:rsidR="00DD7DFC">
        <w:rPr>
          <w:rFonts w:cs="Arial"/>
          <w:color w:val="auto"/>
        </w:rPr>
        <w:t xml:space="preserve"> </w:t>
      </w:r>
      <w:r w:rsidR="00DD7DFC" w:rsidRPr="00DD7DFC">
        <w:rPr>
          <w:rFonts w:cs="Arial"/>
          <w:strike/>
          <w:color w:val="FF0000"/>
        </w:rPr>
        <w:t xml:space="preserve">in oral preparations containing 200 mg or less but more than 50 mg of pyridoxine, pyridoxal or pyridoxamine per recommended daily dose when compliant with the requirements of the required advisory statements for medicine </w:t>
      </w:r>
      <w:proofErr w:type="gramStart"/>
      <w:r w:rsidR="00DD7DFC" w:rsidRPr="00DD7DFC">
        <w:rPr>
          <w:rFonts w:cs="Arial"/>
          <w:strike/>
          <w:color w:val="FF0000"/>
        </w:rPr>
        <w:t>labels;</w:t>
      </w:r>
      <w:proofErr w:type="gramEnd"/>
      <w:r w:rsidR="00DD7DFC">
        <w:rPr>
          <w:rFonts w:cs="Arial"/>
          <w:color w:val="auto"/>
        </w:rPr>
        <w:t xml:space="preserve"> </w:t>
      </w:r>
    </w:p>
    <w:p w14:paraId="531726F6" w14:textId="54BCB116" w:rsidR="002D14E2" w:rsidRPr="002D14E2" w:rsidRDefault="002D14E2" w:rsidP="002D14E2">
      <w:pPr>
        <w:pStyle w:val="ListParagraph"/>
        <w:numPr>
          <w:ilvl w:val="0"/>
          <w:numId w:val="41"/>
        </w:numPr>
        <w:autoSpaceDE w:val="0"/>
        <w:autoSpaceDN w:val="0"/>
        <w:adjustRightInd w:val="0"/>
        <w:spacing w:before="120" w:line="240" w:lineRule="atLeast"/>
        <w:ind w:left="1145" w:hanging="357"/>
        <w:contextualSpacing w:val="0"/>
        <w:rPr>
          <w:rFonts w:cs="Arial"/>
          <w:color w:val="auto"/>
        </w:rPr>
      </w:pPr>
      <w:r w:rsidRPr="002D14E2">
        <w:rPr>
          <w:rFonts w:cs="Arial"/>
          <w:color w:val="auto"/>
        </w:rPr>
        <w:t>in oral preparations containing 50 mg or less of pyridoxine, pyridoxal or pyridoxamine per recommended daily dose.</w:t>
      </w:r>
    </w:p>
    <w:p w14:paraId="6E0216D6" w14:textId="4CCA51A0" w:rsidR="00972C89" w:rsidRPr="00BC2307" w:rsidRDefault="00972C89" w:rsidP="00972C89">
      <w:pPr>
        <w:ind w:left="425"/>
        <w:rPr>
          <w:rFonts w:eastAsia="Cambria" w:cs="Arial"/>
          <w:b/>
          <w:color w:val="auto"/>
          <w:szCs w:val="20"/>
        </w:rPr>
      </w:pPr>
      <w:r w:rsidRPr="00BC2307">
        <w:rPr>
          <w:rFonts w:eastAsia="Cambria" w:cs="Arial"/>
          <w:b/>
          <w:color w:val="auto"/>
          <w:szCs w:val="20"/>
        </w:rPr>
        <w:t xml:space="preserve">Schedule </w:t>
      </w:r>
      <w:r w:rsidR="0015488D">
        <w:rPr>
          <w:rFonts w:eastAsia="Cambria" w:cs="Arial"/>
          <w:b/>
          <w:color w:val="auto"/>
          <w:szCs w:val="20"/>
        </w:rPr>
        <w:t>3</w:t>
      </w:r>
      <w:r w:rsidR="0015488D" w:rsidRPr="00BC2307">
        <w:rPr>
          <w:rFonts w:eastAsia="Cambria" w:cs="Arial"/>
          <w:b/>
          <w:color w:val="auto"/>
          <w:szCs w:val="20"/>
        </w:rPr>
        <w:t xml:space="preserve"> </w:t>
      </w:r>
      <w:r w:rsidRPr="00BC2307">
        <w:rPr>
          <w:rFonts w:eastAsia="Cambria" w:cs="Arial"/>
          <w:b/>
          <w:color w:val="auto"/>
          <w:szCs w:val="20"/>
        </w:rPr>
        <w:t xml:space="preserve">– </w:t>
      </w:r>
      <w:r w:rsidR="00DD7DFC">
        <w:rPr>
          <w:rFonts w:eastAsia="Cambria" w:cs="Arial"/>
          <w:b/>
          <w:color w:val="auto"/>
          <w:szCs w:val="20"/>
        </w:rPr>
        <w:t>New</w:t>
      </w:r>
      <w:r w:rsidR="00DD7DFC" w:rsidRPr="00BC2307">
        <w:rPr>
          <w:rFonts w:eastAsia="Cambria" w:cs="Arial"/>
          <w:b/>
          <w:color w:val="auto"/>
          <w:szCs w:val="20"/>
        </w:rPr>
        <w:t xml:space="preserve"> </w:t>
      </w:r>
      <w:r w:rsidRPr="00BC2307">
        <w:rPr>
          <w:rFonts w:eastAsia="Cambria" w:cs="Arial"/>
          <w:b/>
          <w:color w:val="auto"/>
          <w:szCs w:val="20"/>
        </w:rPr>
        <w:t>Entry</w:t>
      </w:r>
    </w:p>
    <w:p w14:paraId="286657C6" w14:textId="0A9C80F8" w:rsidR="00DD7DFC" w:rsidRDefault="00DD7DFC" w:rsidP="00DD7DFC">
      <w:pPr>
        <w:ind w:left="567"/>
        <w:rPr>
          <w:color w:val="00B050"/>
          <w:u w:val="single"/>
        </w:rPr>
      </w:pPr>
      <w:r w:rsidRPr="00437B45">
        <w:rPr>
          <w:color w:val="00B050"/>
          <w:u w:val="single"/>
        </w:rPr>
        <w:t xml:space="preserve">PYRIDOXINE, PYRIDOXAL OR PYRIDOXAMINE for human therapeutic use in oral preparations containing 200 mg </w:t>
      </w:r>
      <w:r w:rsidR="00EC43F0">
        <w:rPr>
          <w:color w:val="00B050"/>
          <w:u w:val="single"/>
        </w:rPr>
        <w:t xml:space="preserve">or less but </w:t>
      </w:r>
      <w:r w:rsidR="00EC43F0" w:rsidRPr="00437B45">
        <w:rPr>
          <w:color w:val="00B050"/>
          <w:u w:val="single"/>
        </w:rPr>
        <w:t xml:space="preserve">more than 50 mg </w:t>
      </w:r>
      <w:r w:rsidRPr="00437B45">
        <w:rPr>
          <w:color w:val="00B050"/>
          <w:u w:val="single"/>
        </w:rPr>
        <w:t>of pyridoxine, pyridoxal or pyridoxamine per recommended daily dose.</w:t>
      </w:r>
    </w:p>
    <w:p w14:paraId="31387B9D" w14:textId="189503AF" w:rsidR="00972C89" w:rsidRPr="00BC2307" w:rsidRDefault="00972C89" w:rsidP="00972C89">
      <w:pPr>
        <w:ind w:left="425"/>
        <w:rPr>
          <w:rFonts w:eastAsia="Cambria" w:cs="Arial"/>
          <w:b/>
          <w:color w:val="auto"/>
          <w:szCs w:val="20"/>
        </w:rPr>
      </w:pPr>
      <w:r w:rsidRPr="00BC2307">
        <w:rPr>
          <w:rFonts w:eastAsia="Cambria" w:cs="Arial"/>
          <w:b/>
          <w:color w:val="auto"/>
          <w:szCs w:val="20"/>
        </w:rPr>
        <w:t xml:space="preserve">Index </w:t>
      </w:r>
    </w:p>
    <w:p w14:paraId="3C08CC2F" w14:textId="77777777" w:rsidR="002D14E2" w:rsidRPr="00391E1E" w:rsidRDefault="002D14E2" w:rsidP="002D14E2">
      <w:pPr>
        <w:spacing w:before="180" w:after="180" w:line="240" w:lineRule="atLeast"/>
        <w:ind w:left="720"/>
        <w:rPr>
          <w:rFonts w:eastAsia="Cambria" w:cs="Arial"/>
        </w:rPr>
      </w:pPr>
      <w:r w:rsidRPr="00391E1E">
        <w:rPr>
          <w:rFonts w:eastAsia="Cambria" w:cs="Arial"/>
        </w:rPr>
        <w:t>PYRIDOXINE, PYRIDOXAL OR PYRIDOXAMINE</w:t>
      </w:r>
    </w:p>
    <w:p w14:paraId="388E0BEE" w14:textId="77777777" w:rsidR="002D14E2" w:rsidRPr="00391E1E" w:rsidRDefault="002D14E2" w:rsidP="002D14E2">
      <w:pPr>
        <w:spacing w:before="180" w:after="180" w:line="240" w:lineRule="atLeast"/>
        <w:ind w:left="720"/>
        <w:rPr>
          <w:rFonts w:eastAsia="Cambria" w:cs="Arial"/>
        </w:rPr>
      </w:pPr>
      <w:r w:rsidRPr="00391E1E">
        <w:rPr>
          <w:rFonts w:eastAsia="Cambria" w:cs="Arial"/>
        </w:rPr>
        <w:t>Schedule 4</w:t>
      </w:r>
    </w:p>
    <w:p w14:paraId="6B55778E" w14:textId="3C6C6FAB" w:rsidR="00FE75C7" w:rsidRDefault="002D14E2" w:rsidP="002D14E2">
      <w:pPr>
        <w:ind w:firstLine="720"/>
        <w:jc w:val="both"/>
      </w:pPr>
      <w:r w:rsidRPr="00437B45">
        <w:rPr>
          <w:rFonts w:eastAsia="Cambria" w:cs="Arial"/>
          <w:color w:val="00B050"/>
          <w:u w:val="single"/>
        </w:rPr>
        <w:t>Schedule 3</w:t>
      </w:r>
    </w:p>
    <w:p w14:paraId="721442E0" w14:textId="77777777" w:rsidR="00DD7DFC" w:rsidRDefault="00DD7DFC" w:rsidP="006A43EC">
      <w:r>
        <w:br w:type="page"/>
      </w:r>
    </w:p>
    <w:p w14:paraId="115C2705" w14:textId="658673C5" w:rsidR="00FE75C7" w:rsidRPr="00967490" w:rsidRDefault="00FE75C7" w:rsidP="00335538">
      <w:pPr>
        <w:pStyle w:val="Heading4"/>
      </w:pPr>
      <w:r w:rsidRPr="00967490">
        <w:lastRenderedPageBreak/>
        <w:t>Materials considered</w:t>
      </w:r>
    </w:p>
    <w:p w14:paraId="0EAB8E5C" w14:textId="77777777" w:rsidR="00B60949" w:rsidRPr="001B2450" w:rsidRDefault="00B60949" w:rsidP="00B60949">
      <w:r w:rsidRPr="001B2450">
        <w:t>In making this final decision, the Delegate considered the following material</w:t>
      </w:r>
      <w:r>
        <w:t>s</w:t>
      </w:r>
      <w:r w:rsidRPr="001B2450">
        <w:t>:</w:t>
      </w:r>
    </w:p>
    <w:p w14:paraId="6681263A" w14:textId="457D5055" w:rsidR="00B60949" w:rsidRDefault="00B60949" w:rsidP="000F338A">
      <w:pPr>
        <w:pStyle w:val="ListBullet"/>
      </w:pPr>
      <w:r w:rsidRPr="006C67B4">
        <w:t xml:space="preserve">The proposal to amend the current Poisons Standard with respect to </w:t>
      </w:r>
      <w:r w:rsidR="002D14E2" w:rsidRPr="002D14E2">
        <w:t>pyridoxine, pyridoxal or pyridoxamine</w:t>
      </w:r>
      <w:r w:rsidRPr="006C67B4">
        <w:t xml:space="preserve"> </w:t>
      </w:r>
      <w:r w:rsidRPr="009918E9">
        <w:t xml:space="preserve">(the </w:t>
      </w:r>
      <w:r w:rsidRPr="00AC6A5B">
        <w:rPr>
          <w:b/>
          <w:bCs/>
        </w:rPr>
        <w:t>Proposal</w:t>
      </w:r>
      <w:r w:rsidRPr="009918E9">
        <w:t>)</w:t>
      </w:r>
    </w:p>
    <w:p w14:paraId="03A471DD" w14:textId="6450E737" w:rsidR="00B60949" w:rsidRPr="00715EDB" w:rsidRDefault="00B60949" w:rsidP="000F338A">
      <w:pPr>
        <w:pStyle w:val="ListBullet"/>
      </w:pPr>
      <w:r w:rsidRPr="00B03B68">
        <w:t>T</w:t>
      </w:r>
      <w:sdt>
        <w:sdtPr>
          <w:id w:val="-1478915182"/>
          <w:placeholder>
            <w:docPart w:val="005F7CAF3BA2418DBCAFEF7F2E207C04"/>
          </w:placeholder>
        </w:sdtPr>
        <w:sdtEndPr/>
        <w:sdtContent>
          <w:r w:rsidRPr="00715EDB">
            <w:t xml:space="preserve">he </w:t>
          </w:r>
          <w:r w:rsidR="002D14E2">
            <w:t>21</w:t>
          </w:r>
          <w:r w:rsidRPr="00715EDB">
            <w:t xml:space="preserve"> </w:t>
          </w:r>
          <w:hyperlink r:id="rId19" w:history="1">
            <w:r w:rsidRPr="00715EDB">
              <w:rPr>
                <w:rStyle w:val="Hyperlink"/>
              </w:rPr>
              <w:t>public submissions</w:t>
            </w:r>
          </w:hyperlink>
          <w:r w:rsidRPr="00715EDB">
            <w:t xml:space="preserve">, all with a written component, received in response to the </w:t>
          </w:r>
          <w:hyperlink r:id="rId20" w:history="1">
            <w:r w:rsidRPr="00715EDB">
              <w:rPr>
                <w:rStyle w:val="Hyperlink"/>
              </w:rPr>
              <w:t>pre-meeting consultation</w:t>
            </w:r>
          </w:hyperlink>
          <w:r w:rsidRPr="00715EDB">
            <w:t xml:space="preserve"> under regulation </w:t>
          </w:r>
          <w:proofErr w:type="spellStart"/>
          <w:r w:rsidRPr="00715EDB">
            <w:t>42ZCZK</w:t>
          </w:r>
          <w:proofErr w:type="spellEnd"/>
          <w:r w:rsidRPr="00715EDB">
            <w:t xml:space="preserve"> of the Regulations</w:t>
          </w:r>
        </w:sdtContent>
      </w:sdt>
      <w:r w:rsidRPr="00715EDB">
        <w:t xml:space="preserve"> (the </w:t>
      </w:r>
      <w:r w:rsidRPr="006C67B4">
        <w:rPr>
          <w:b/>
          <w:bCs/>
        </w:rPr>
        <w:t>Submissions</w:t>
      </w:r>
      <w:r w:rsidRPr="00715EDB">
        <w:t>)</w:t>
      </w:r>
    </w:p>
    <w:p w14:paraId="56B0E940" w14:textId="77777777" w:rsidR="00B60949" w:rsidRPr="00715EDB" w:rsidRDefault="00B60949" w:rsidP="000F338A">
      <w:pPr>
        <w:pStyle w:val="ListBullet"/>
      </w:pPr>
      <w:r w:rsidRPr="00715EDB">
        <w:t>The advice received from the 46</w:t>
      </w:r>
      <w:r w:rsidRPr="00715EDB">
        <w:rPr>
          <w:vertAlign w:val="superscript"/>
        </w:rPr>
        <w:t>th</w:t>
      </w:r>
      <w:r w:rsidRPr="00715EDB">
        <w:t xml:space="preserve"> meeting of the Advisory Committee on Medicines Scheduling (the </w:t>
      </w:r>
      <w:r w:rsidRPr="00715EDB">
        <w:rPr>
          <w:b/>
          <w:bCs/>
        </w:rPr>
        <w:t>Committee</w:t>
      </w:r>
      <w:r w:rsidRPr="00715EDB">
        <w:t>)</w:t>
      </w:r>
      <w:r w:rsidRPr="00715EDB">
        <w:rPr>
          <w:rStyle w:val="FootnoteReference"/>
          <w:rFonts w:cs="Arial"/>
          <w:szCs w:val="20"/>
        </w:rPr>
        <w:footnoteReference w:id="3"/>
      </w:r>
    </w:p>
    <w:p w14:paraId="5BF11E68" w14:textId="716A9997" w:rsidR="00B60949" w:rsidRPr="00C53D05" w:rsidRDefault="00B60949" w:rsidP="000F338A">
      <w:pPr>
        <w:pStyle w:val="ListBullet"/>
        <w:rPr>
          <w:rFonts w:cs="Arial"/>
          <w:szCs w:val="20"/>
        </w:rPr>
      </w:pPr>
      <w:r w:rsidRPr="00AF1A9A">
        <w:rPr>
          <w:rFonts w:cs="Arial"/>
          <w:szCs w:val="20"/>
        </w:rPr>
        <w:t xml:space="preserve">The </w:t>
      </w:r>
      <w:hyperlink r:id="rId21" w:history="1">
        <w:r w:rsidRPr="006D1832">
          <w:rPr>
            <w:rStyle w:val="Hyperlink"/>
            <w:rFonts w:cs="Arial"/>
            <w:szCs w:val="20"/>
          </w:rPr>
          <w:t>interim decision</w:t>
        </w:r>
      </w:hyperlink>
      <w:r w:rsidRPr="00AF1A9A">
        <w:rPr>
          <w:rFonts w:cs="Arial"/>
          <w:szCs w:val="20"/>
        </w:rPr>
        <w:t xml:space="preserve"> and the materials considered as part of the interim decision, as published on </w:t>
      </w:r>
      <w:r w:rsidR="002D14E2">
        <w:rPr>
          <w:rFonts w:cs="Arial"/>
          <w:szCs w:val="20"/>
        </w:rPr>
        <w:t>26 June</w:t>
      </w:r>
      <w:r w:rsidRPr="00C53D05">
        <w:rPr>
          <w:rFonts w:cs="Arial"/>
          <w:szCs w:val="20"/>
        </w:rPr>
        <w:t xml:space="preserve"> 2025</w:t>
      </w:r>
    </w:p>
    <w:p w14:paraId="4C2853AC" w14:textId="41758161" w:rsidR="00B60949" w:rsidRPr="00C53D05" w:rsidRDefault="00B60949" w:rsidP="000F338A">
      <w:pPr>
        <w:pStyle w:val="ListBullet"/>
        <w:rPr>
          <w:rFonts w:cs="Arial"/>
        </w:rPr>
      </w:pPr>
      <w:r w:rsidRPr="7F29EC43">
        <w:rPr>
          <w:rFonts w:cs="Arial"/>
        </w:rPr>
        <w:t xml:space="preserve">The </w:t>
      </w:r>
      <w:r w:rsidR="00E12DDE">
        <w:rPr>
          <w:rFonts w:cs="Arial"/>
        </w:rPr>
        <w:t>248</w:t>
      </w:r>
      <w:r w:rsidRPr="7F29EC43">
        <w:rPr>
          <w:rFonts w:cs="Arial"/>
        </w:rPr>
        <w:t xml:space="preserve"> </w:t>
      </w:r>
      <w:r w:rsidR="00AB29DF">
        <w:rPr>
          <w:rFonts w:cs="Arial"/>
        </w:rPr>
        <w:t xml:space="preserve">public </w:t>
      </w:r>
      <w:hyperlink r:id="rId22">
        <w:r>
          <w:t>submissions</w:t>
        </w:r>
      </w:hyperlink>
      <w:r>
        <w:t xml:space="preserve">, </w:t>
      </w:r>
      <w:r w:rsidR="00AD7F73">
        <w:t xml:space="preserve">215 </w:t>
      </w:r>
      <w:r>
        <w:t xml:space="preserve">of which included a written component, </w:t>
      </w:r>
      <w:r w:rsidRPr="7F29EC43">
        <w:rPr>
          <w:rFonts w:cs="Arial"/>
        </w:rPr>
        <w:t>received in response to the</w:t>
      </w:r>
      <w:r>
        <w:t xml:space="preserve"> </w:t>
      </w:r>
      <w:hyperlink r:id="rId23" w:history="1">
        <w:hyperlink r:id="rId24" w:history="1">
          <w:r w:rsidRPr="7F29EC43">
            <w:rPr>
              <w:color w:val="0000FF"/>
              <w:u w:val="single"/>
            </w:rPr>
            <w:t>public consultation on the interim decision</w:t>
          </w:r>
        </w:hyperlink>
      </w:hyperlink>
      <w:r w:rsidRPr="7F29EC43">
        <w:rPr>
          <w:rFonts w:cs="Arial"/>
        </w:rPr>
        <w:t xml:space="preserve"> under regulation </w:t>
      </w:r>
      <w:proofErr w:type="spellStart"/>
      <w:r w:rsidRPr="7F29EC43">
        <w:rPr>
          <w:rFonts w:cs="Arial"/>
        </w:rPr>
        <w:t>42ZCZP</w:t>
      </w:r>
      <w:proofErr w:type="spellEnd"/>
      <w:r w:rsidRPr="7F29EC43">
        <w:rPr>
          <w:rFonts w:cs="Arial"/>
        </w:rPr>
        <w:t xml:space="preserve"> of the Regulations.</w:t>
      </w:r>
    </w:p>
    <w:p w14:paraId="421EC9CC" w14:textId="77777777" w:rsidR="00B60949" w:rsidRPr="002717F5" w:rsidRDefault="00B60949" w:rsidP="000F338A">
      <w:pPr>
        <w:pStyle w:val="ListBullet"/>
      </w:pPr>
      <w:r w:rsidRPr="1315AB5E">
        <w:t xml:space="preserve">Subsection </w:t>
      </w:r>
      <w:proofErr w:type="spellStart"/>
      <w:r w:rsidRPr="1315AB5E">
        <w:t>52E</w:t>
      </w:r>
      <w:proofErr w:type="spellEnd"/>
      <w:r w:rsidRPr="1315AB5E">
        <w:t>(1) of</w:t>
      </w:r>
      <w:r w:rsidRPr="001169AC">
        <w:t xml:space="preserve"> </w:t>
      </w:r>
      <w:r w:rsidRPr="001169AC">
        <w:rPr>
          <w:i/>
        </w:rPr>
        <w:t>the Therapeutic Goods Act 1989</w:t>
      </w:r>
      <w:r w:rsidRPr="1315AB5E">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230688F" w14:textId="0235F3C0" w:rsidR="00B60949" w:rsidRPr="002717F5" w:rsidRDefault="00717E1E" w:rsidP="000F338A">
      <w:pPr>
        <w:pStyle w:val="ListBullet"/>
      </w:pPr>
      <w:r>
        <w:t>T</w:t>
      </w:r>
      <w:r w:rsidR="00B60949" w:rsidRPr="002717F5">
        <w:t>he SPF, and</w:t>
      </w:r>
    </w:p>
    <w:p w14:paraId="2C6B98FC" w14:textId="7D60F3F1" w:rsidR="00206027" w:rsidRPr="00F24669" w:rsidRDefault="00717E1E" w:rsidP="000F338A">
      <w:pPr>
        <w:pStyle w:val="ListBullet"/>
      </w:pPr>
      <w:r>
        <w:t>T</w:t>
      </w:r>
      <w:r w:rsidR="00B60949" w:rsidRPr="002717F5">
        <w:t>he Handbook.</w:t>
      </w:r>
    </w:p>
    <w:p w14:paraId="09785448" w14:textId="77777777" w:rsidR="00FE75C7" w:rsidRDefault="00FE75C7" w:rsidP="009338F3">
      <w:pPr>
        <w:pStyle w:val="Heading4"/>
      </w:pPr>
      <w:r w:rsidRPr="005E2F5E">
        <w:t>Reasons for the final decision (including findings on material questions of fact)</w:t>
      </w:r>
    </w:p>
    <w:p w14:paraId="7AD2CD2F" w14:textId="2A452F7A" w:rsidR="006B4707" w:rsidRDefault="00AA1F4E" w:rsidP="00AA1F4E">
      <w:r w:rsidRPr="0035107E">
        <w:t xml:space="preserve">I have made a final decision to </w:t>
      </w:r>
      <w:r w:rsidR="009A5B3E">
        <w:t>conf</w:t>
      </w:r>
      <w:r>
        <w:t>irm</w:t>
      </w:r>
      <w:r w:rsidRPr="0035107E">
        <w:t xml:space="preserve"> my interim decision to amend the current Poisons Standard with respect to </w:t>
      </w:r>
      <w:r w:rsidR="00717E1E" w:rsidRPr="00C71EA4">
        <w:rPr>
          <w:lang w:eastAsia="en-AU"/>
        </w:rPr>
        <w:t>pyridoxine, pyridoxal or pyridoxamine</w:t>
      </w:r>
      <w:r w:rsidRPr="0035107E">
        <w:t xml:space="preserve">. </w:t>
      </w:r>
      <w:r w:rsidRPr="002E6AA4">
        <w:t>My reasons for making the final decision are those set out in the interim decision.</w:t>
      </w:r>
      <w:r w:rsidRPr="0035107E">
        <w:t xml:space="preserve"> </w:t>
      </w:r>
      <w:r w:rsidR="001408F6">
        <w:t xml:space="preserve">In making my final decision, I have considered the material in </w:t>
      </w:r>
      <w:r w:rsidR="003A2025">
        <w:t>the</w:t>
      </w:r>
      <w:r w:rsidR="001408F6">
        <w:t xml:space="preserve"> interim decision</w:t>
      </w:r>
      <w:r w:rsidR="000A0EB2">
        <w:t xml:space="preserve"> </w:t>
      </w:r>
      <w:r w:rsidR="001408F6">
        <w:t>and the submissions received in response to the public consultation on the interim decision.</w:t>
      </w:r>
    </w:p>
    <w:p w14:paraId="25DC3375" w14:textId="7E2735F1" w:rsidR="00C46137" w:rsidRDefault="00AC3DAD" w:rsidP="001703D6">
      <w:r>
        <w:t xml:space="preserve">During the public consultation </w:t>
      </w:r>
      <w:r w:rsidR="00161470" w:rsidRPr="00161470">
        <w:t xml:space="preserve">I </w:t>
      </w:r>
      <w:r w:rsidR="00161470">
        <w:t>received</w:t>
      </w:r>
      <w:r w:rsidR="008F58AC">
        <w:t xml:space="preserve"> </w:t>
      </w:r>
      <w:r w:rsidR="000F4D0F">
        <w:t>248 submissions</w:t>
      </w:r>
      <w:r>
        <w:t>,</w:t>
      </w:r>
      <w:r w:rsidR="000F4D0F">
        <w:t xml:space="preserve"> </w:t>
      </w:r>
      <w:r w:rsidR="00726738">
        <w:t xml:space="preserve">including </w:t>
      </w:r>
      <w:r w:rsidR="00DD7DFC">
        <w:t xml:space="preserve">231 </w:t>
      </w:r>
      <w:r w:rsidR="00726738">
        <w:t>from individual</w:t>
      </w:r>
      <w:r w:rsidR="0066731F">
        <w:t>s</w:t>
      </w:r>
      <w:r w:rsidR="00726738">
        <w:t xml:space="preserve"> and 17 from organisations. </w:t>
      </w:r>
      <w:r w:rsidR="00AF6220">
        <w:t xml:space="preserve">Submitters were also given choice of </w:t>
      </w:r>
      <w:r w:rsidR="00BF38C7">
        <w:t>responding with or without</w:t>
      </w:r>
      <w:r w:rsidR="00533096">
        <w:t xml:space="preserve"> </w:t>
      </w:r>
      <w:r w:rsidR="00BF38C7">
        <w:t>written justification</w:t>
      </w:r>
      <w:r w:rsidR="00616F17">
        <w:t xml:space="preserve">, and </w:t>
      </w:r>
      <w:r w:rsidR="00D66F7A">
        <w:t xml:space="preserve">the </w:t>
      </w:r>
      <w:r w:rsidR="00616F17">
        <w:t xml:space="preserve">majority </w:t>
      </w:r>
      <w:r w:rsidR="00D66F7A">
        <w:t xml:space="preserve">provided </w:t>
      </w:r>
      <w:r w:rsidR="009E45FF">
        <w:t>justification</w:t>
      </w:r>
      <w:r w:rsidR="004F6789">
        <w:t>. In total</w:t>
      </w:r>
      <w:r w:rsidR="002E537B">
        <w:t>,</w:t>
      </w:r>
      <w:r w:rsidR="004F6789">
        <w:t xml:space="preserve"> 215 written justifications were provided from 199 individuals and </w:t>
      </w:r>
      <w:r w:rsidR="00B20D61">
        <w:t>16 organisations.</w:t>
      </w:r>
    </w:p>
    <w:p w14:paraId="0FBDF902" w14:textId="41873AC6" w:rsidR="00161470" w:rsidRPr="00161470" w:rsidRDefault="00C46137" w:rsidP="001703D6">
      <w:r>
        <w:t xml:space="preserve">Submissions were received from </w:t>
      </w:r>
      <w:r w:rsidR="00DD7DFC">
        <w:t xml:space="preserve">17 </w:t>
      </w:r>
      <w:r>
        <w:t xml:space="preserve">organisations of which 8 supported the interim decision, 7 partially supported and 2 did not support it. Overall, the submissions presented </w:t>
      </w:r>
      <w:r w:rsidRPr="008777D0">
        <w:t xml:space="preserve">a broad consensus on the need for </w:t>
      </w:r>
      <w:r w:rsidR="009E45FF">
        <w:t>further</w:t>
      </w:r>
      <w:r w:rsidR="009E45FF" w:rsidRPr="008777D0">
        <w:t xml:space="preserve"> </w:t>
      </w:r>
      <w:r w:rsidRPr="008777D0">
        <w:t>controls</w:t>
      </w:r>
      <w:r w:rsidR="001E07AF">
        <w:t>.</w:t>
      </w:r>
    </w:p>
    <w:p w14:paraId="546D5ECF" w14:textId="16FC8F5B" w:rsidR="00DE653B" w:rsidRDefault="00AB210A" w:rsidP="00AA1F4E">
      <w:r>
        <w:t xml:space="preserve">Of the individual submissions </w:t>
      </w:r>
      <w:r w:rsidR="00E8354E">
        <w:t>115 supported the interim decision</w:t>
      </w:r>
      <w:r w:rsidR="00517413">
        <w:t xml:space="preserve">, </w:t>
      </w:r>
      <w:r w:rsidR="00BF207C">
        <w:t xml:space="preserve">74 partially supported it and 42 did not support. However, </w:t>
      </w:r>
      <w:r w:rsidR="00237783">
        <w:t xml:space="preserve">a closer look at the justifications from the </w:t>
      </w:r>
      <w:r w:rsidR="005069F5">
        <w:t xml:space="preserve">people who partially supported it </w:t>
      </w:r>
      <w:r w:rsidR="00FB154F">
        <w:t xml:space="preserve">or did not support the </w:t>
      </w:r>
      <w:r w:rsidR="002540DC">
        <w:t>interim decision</w:t>
      </w:r>
      <w:r w:rsidR="00FB154F">
        <w:t xml:space="preserve"> revealed</w:t>
      </w:r>
      <w:r w:rsidR="00237783">
        <w:t xml:space="preserve"> </w:t>
      </w:r>
      <w:r w:rsidR="004F7983">
        <w:t xml:space="preserve">that </w:t>
      </w:r>
      <w:r w:rsidR="006C66B9">
        <w:t>more than</w:t>
      </w:r>
      <w:r w:rsidR="004F7983">
        <w:t xml:space="preserve"> </w:t>
      </w:r>
      <w:r w:rsidR="003F1EA3">
        <w:t xml:space="preserve">half of </w:t>
      </w:r>
      <w:r w:rsidR="004F7983">
        <w:t xml:space="preserve">them </w:t>
      </w:r>
      <w:r w:rsidR="00EC5FD6">
        <w:t>(5</w:t>
      </w:r>
      <w:r w:rsidR="006C66B9">
        <w:t>4</w:t>
      </w:r>
      <w:r w:rsidR="00EC5FD6">
        <w:t xml:space="preserve"> of </w:t>
      </w:r>
      <w:r w:rsidR="000133DC">
        <w:t>107</w:t>
      </w:r>
      <w:r w:rsidR="003F1EA3">
        <w:t xml:space="preserve"> submissions with written justifications</w:t>
      </w:r>
      <w:r w:rsidR="000133DC">
        <w:t xml:space="preserve">) </w:t>
      </w:r>
      <w:r w:rsidR="004F7983">
        <w:t>favo</w:t>
      </w:r>
      <w:r w:rsidR="00E439EC">
        <w:t xml:space="preserve">ured </w:t>
      </w:r>
      <w:r w:rsidR="007A06D8">
        <w:t xml:space="preserve">stricter regulation of vitamin B medicines </w:t>
      </w:r>
      <w:r w:rsidR="00017897">
        <w:t xml:space="preserve">than in the </w:t>
      </w:r>
      <w:r w:rsidR="00DE6E4F">
        <w:t>interim decis</w:t>
      </w:r>
      <w:r w:rsidR="00B66EB6">
        <w:t>ion</w:t>
      </w:r>
      <w:r w:rsidR="00017897">
        <w:t xml:space="preserve">, </w:t>
      </w:r>
      <w:r w:rsidR="007A06D8">
        <w:t xml:space="preserve">including further </w:t>
      </w:r>
      <w:r w:rsidR="00674AEA">
        <w:t xml:space="preserve">reduction </w:t>
      </w:r>
      <w:r w:rsidR="00F0028E">
        <w:t>in</w:t>
      </w:r>
      <w:r w:rsidR="00674AEA">
        <w:t xml:space="preserve"> the </w:t>
      </w:r>
      <w:r w:rsidR="009C3EEE">
        <w:t xml:space="preserve">maximum </w:t>
      </w:r>
      <w:r w:rsidR="00674AEA">
        <w:t>recommended daily dose</w:t>
      </w:r>
      <w:r w:rsidR="00E8354E">
        <w:t xml:space="preserve"> </w:t>
      </w:r>
      <w:r w:rsidR="002F2C79">
        <w:t>(</w:t>
      </w:r>
      <w:proofErr w:type="spellStart"/>
      <w:r w:rsidR="002F2C79">
        <w:t>RDD</w:t>
      </w:r>
      <w:proofErr w:type="spellEnd"/>
      <w:r w:rsidR="002F2C79">
        <w:t>) of vitamin </w:t>
      </w:r>
      <w:proofErr w:type="spellStart"/>
      <w:r w:rsidR="002F2C79">
        <w:t>B6</w:t>
      </w:r>
      <w:proofErr w:type="spellEnd"/>
      <w:r w:rsidR="002F2C79">
        <w:t xml:space="preserve"> </w:t>
      </w:r>
      <w:r w:rsidR="00271EA2">
        <w:t>that should be available for general sale</w:t>
      </w:r>
      <w:r w:rsidR="00393003">
        <w:t xml:space="preserve">. </w:t>
      </w:r>
      <w:r w:rsidR="006C66B9">
        <w:t>Furthe</w:t>
      </w:r>
      <w:r w:rsidR="001731E5">
        <w:t xml:space="preserve">r, 16 </w:t>
      </w:r>
      <w:r w:rsidR="00F93428">
        <w:t>individuals</w:t>
      </w:r>
      <w:r w:rsidR="000F4D35">
        <w:t xml:space="preserve"> support</w:t>
      </w:r>
      <w:r w:rsidR="00DF771F">
        <w:t>ing</w:t>
      </w:r>
      <w:r w:rsidR="000F4D35">
        <w:t xml:space="preserve"> the interim decision </w:t>
      </w:r>
      <w:r w:rsidR="00114EA9">
        <w:t xml:space="preserve">also </w:t>
      </w:r>
      <w:r w:rsidR="00680631">
        <w:t xml:space="preserve">suggested further reduction in the </w:t>
      </w:r>
      <w:r w:rsidR="009C3EEE">
        <w:t xml:space="preserve">maximum </w:t>
      </w:r>
      <w:proofErr w:type="spellStart"/>
      <w:r w:rsidR="00680631">
        <w:t>RDD</w:t>
      </w:r>
      <w:proofErr w:type="spellEnd"/>
      <w:r w:rsidR="00680631">
        <w:t xml:space="preserve"> above which vitamin </w:t>
      </w:r>
      <w:proofErr w:type="spellStart"/>
      <w:r w:rsidR="00680631">
        <w:t>B6</w:t>
      </w:r>
      <w:proofErr w:type="spellEnd"/>
      <w:r w:rsidR="00680631">
        <w:t xml:space="preserve"> </w:t>
      </w:r>
      <w:r w:rsidR="00DE653B">
        <w:t>medicines</w:t>
      </w:r>
      <w:r w:rsidR="00680631">
        <w:t xml:space="preserve"> should be </w:t>
      </w:r>
      <w:r w:rsidR="00DE653B">
        <w:t xml:space="preserve">available after </w:t>
      </w:r>
      <w:r w:rsidR="00DE653B">
        <w:lastRenderedPageBreak/>
        <w:t>pharmacist consultation.</w:t>
      </w:r>
      <w:r w:rsidR="003A57DF">
        <w:t xml:space="preserve"> </w:t>
      </w:r>
      <w:r w:rsidR="00C71A8E" w:rsidRPr="00712582">
        <w:t xml:space="preserve">In Australia, the estimated average requirement for vitamin </w:t>
      </w:r>
      <w:proofErr w:type="spellStart"/>
      <w:r w:rsidR="00C71A8E" w:rsidRPr="00712582">
        <w:t>B6</w:t>
      </w:r>
      <w:proofErr w:type="spellEnd"/>
      <w:r w:rsidR="00C71A8E" w:rsidRPr="00712582">
        <w:t xml:space="preserve"> for adults is 1.1</w:t>
      </w:r>
      <w:r w:rsidR="00C71A8E">
        <w:t xml:space="preserve"> to </w:t>
      </w:r>
      <w:r w:rsidR="00C71A8E" w:rsidRPr="00712582">
        <w:t xml:space="preserve">1.3 mg/day and </w:t>
      </w:r>
      <w:r w:rsidR="00C71A8E">
        <w:t xml:space="preserve">the </w:t>
      </w:r>
      <w:r w:rsidR="00C71A8E" w:rsidRPr="00712582">
        <w:t>recommended dietary intake</w:t>
      </w:r>
      <w:r w:rsidR="00C71A8E">
        <w:t xml:space="preserve"> (</w:t>
      </w:r>
      <w:proofErr w:type="spellStart"/>
      <w:r w:rsidR="00C71A8E">
        <w:t>RDI</w:t>
      </w:r>
      <w:proofErr w:type="spellEnd"/>
      <w:r w:rsidR="00C71A8E">
        <w:t>)</w:t>
      </w:r>
      <w:r w:rsidR="00C71A8E" w:rsidRPr="00712582">
        <w:t xml:space="preserve"> </w:t>
      </w:r>
      <w:r w:rsidR="00C71A8E">
        <w:t>is</w:t>
      </w:r>
      <w:r w:rsidR="00C71A8E" w:rsidRPr="00712582">
        <w:t xml:space="preserve"> 1.3 </w:t>
      </w:r>
      <w:r w:rsidR="00C71A8E">
        <w:t xml:space="preserve">to </w:t>
      </w:r>
      <w:r w:rsidR="00C71A8E" w:rsidRPr="00712582">
        <w:t>1.7 mg/day</w:t>
      </w:r>
      <w:r w:rsidR="00C71A8E">
        <w:t>.</w:t>
      </w:r>
      <w:r w:rsidR="00C71A8E">
        <w:rPr>
          <w:rStyle w:val="FootnoteReference"/>
        </w:rPr>
        <w:footnoteReference w:id="4"/>
      </w:r>
    </w:p>
    <w:p w14:paraId="57B91474" w14:textId="044939EF" w:rsidR="009E77DD" w:rsidRDefault="004B0031" w:rsidP="0039106C">
      <w:pPr>
        <w:spacing w:before="240" w:after="180" w:line="240" w:lineRule="atLeast"/>
      </w:pPr>
      <w:r w:rsidRPr="009C3EEE">
        <w:t xml:space="preserve">Submissions from </w:t>
      </w:r>
      <w:r w:rsidR="00351EFD" w:rsidRPr="009C3EEE">
        <w:t xml:space="preserve">individuals </w:t>
      </w:r>
      <w:r w:rsidR="005F77AF" w:rsidRPr="009C3EEE">
        <w:t xml:space="preserve">included personal </w:t>
      </w:r>
      <w:r w:rsidR="00BA428B" w:rsidRPr="009C3EEE">
        <w:t>testimony of</w:t>
      </w:r>
      <w:r w:rsidR="005F77AF" w:rsidRPr="009C3EEE">
        <w:t xml:space="preserve"> lived experience, professional opinions,</w:t>
      </w:r>
      <w:r w:rsidR="005F77AF" w:rsidRPr="005F77AF">
        <w:t xml:space="preserve"> clinical insights, and suggestions</w:t>
      </w:r>
      <w:r w:rsidR="00DA78C5">
        <w:t xml:space="preserve">. </w:t>
      </w:r>
      <w:r w:rsidR="009F7F8E">
        <w:t>More than 100</w:t>
      </w:r>
      <w:r w:rsidR="0087126A" w:rsidRPr="005D5F5A">
        <w:t xml:space="preserve"> individuals </w:t>
      </w:r>
      <w:r w:rsidR="0087126A">
        <w:t>(</w:t>
      </w:r>
      <w:r w:rsidR="00044E2B">
        <w:t>103</w:t>
      </w:r>
      <w:r w:rsidR="0087126A">
        <w:t>)</w:t>
      </w:r>
      <w:r w:rsidR="0039106C">
        <w:t xml:space="preserve"> </w:t>
      </w:r>
      <w:r w:rsidR="0087126A" w:rsidRPr="005D5F5A">
        <w:t>report</w:t>
      </w:r>
      <w:r w:rsidR="0087126A">
        <w:t>ed</w:t>
      </w:r>
      <w:r w:rsidR="0087126A" w:rsidRPr="005D5F5A">
        <w:t xml:space="preserve"> severe, sometimes permanent</w:t>
      </w:r>
      <w:r w:rsidR="00BA428B">
        <w:t>,</w:t>
      </w:r>
      <w:r w:rsidR="0087126A" w:rsidRPr="005D5F5A">
        <w:t xml:space="preserve"> health effects from vitamin </w:t>
      </w:r>
      <w:proofErr w:type="spellStart"/>
      <w:r w:rsidR="0087126A" w:rsidRPr="005D5F5A">
        <w:t>B6</w:t>
      </w:r>
      <w:proofErr w:type="spellEnd"/>
      <w:r w:rsidR="0087126A" w:rsidRPr="005D5F5A">
        <w:t xml:space="preserve"> toxicity including peripheral neuropathy, nerve damage, muscle weakness, and significant impacts on daily life and employment.</w:t>
      </w:r>
      <w:r w:rsidR="0039106C">
        <w:t xml:space="preserve"> </w:t>
      </w:r>
      <w:r w:rsidR="00E31576">
        <w:t xml:space="preserve">Thirty-eight </w:t>
      </w:r>
      <w:r w:rsidR="0029708A">
        <w:t xml:space="preserve">of these </w:t>
      </w:r>
      <w:r w:rsidR="00E31576">
        <w:t xml:space="preserve">individuals </w:t>
      </w:r>
      <w:r w:rsidR="00A168D3">
        <w:t>were</w:t>
      </w:r>
      <w:r w:rsidR="00E31576">
        <w:t xml:space="preserve"> diagnosed </w:t>
      </w:r>
      <w:r w:rsidR="00756F2B">
        <w:t xml:space="preserve">by general practitioners </w:t>
      </w:r>
      <w:r w:rsidR="007207EB">
        <w:t xml:space="preserve">(GPs) </w:t>
      </w:r>
      <w:r w:rsidR="00756F2B">
        <w:t xml:space="preserve">or </w:t>
      </w:r>
      <w:r w:rsidR="00BA428B">
        <w:t xml:space="preserve">other </w:t>
      </w:r>
      <w:r w:rsidR="00756F2B">
        <w:t xml:space="preserve">specialists using </w:t>
      </w:r>
      <w:r w:rsidR="00BF4C2F">
        <w:t>vitamin </w:t>
      </w:r>
      <w:proofErr w:type="spellStart"/>
      <w:r w:rsidR="00BF4C2F">
        <w:t>B6</w:t>
      </w:r>
      <w:proofErr w:type="spellEnd"/>
      <w:r w:rsidR="00BF4C2F">
        <w:t xml:space="preserve"> </w:t>
      </w:r>
      <w:r w:rsidR="00756F2B">
        <w:t>blood tests</w:t>
      </w:r>
      <w:r w:rsidR="00A168D3">
        <w:t>. Many</w:t>
      </w:r>
      <w:r w:rsidR="00670D01" w:rsidRPr="00670D01">
        <w:t xml:space="preserve"> </w:t>
      </w:r>
      <w:r w:rsidR="00BF3119">
        <w:t>stated</w:t>
      </w:r>
      <w:r w:rsidR="00670D01" w:rsidRPr="005D5F5A">
        <w:t xml:space="preserve"> that medical professionals did not initially recognise </w:t>
      </w:r>
      <w:proofErr w:type="spellStart"/>
      <w:r w:rsidR="00670D01" w:rsidRPr="005D5F5A">
        <w:t>B6</w:t>
      </w:r>
      <w:proofErr w:type="spellEnd"/>
      <w:r w:rsidR="00670D01" w:rsidRPr="005D5F5A">
        <w:t xml:space="preserve"> toxicity as the cause of their symptoms</w:t>
      </w:r>
      <w:r w:rsidR="00385FF1">
        <w:t xml:space="preserve"> resulting in significant </w:t>
      </w:r>
      <w:r w:rsidR="00BA428B">
        <w:t>delay to diagnosis</w:t>
      </w:r>
      <w:r w:rsidR="00385FF1">
        <w:t xml:space="preserve">, cost and personal </w:t>
      </w:r>
      <w:r w:rsidR="00867002">
        <w:t>adversity</w:t>
      </w:r>
      <w:r w:rsidR="00385FF1">
        <w:t xml:space="preserve">. </w:t>
      </w:r>
      <w:r w:rsidR="00C273CA" w:rsidRPr="005D5F5A">
        <w:t xml:space="preserve">Toxicity occurred at doses lower than </w:t>
      </w:r>
      <w:r w:rsidR="00FA55FC">
        <w:t xml:space="preserve">the daily </w:t>
      </w:r>
      <w:r w:rsidR="00BA428B">
        <w:t xml:space="preserve">upper level of intake </w:t>
      </w:r>
      <w:r w:rsidR="00B3452E">
        <w:t xml:space="preserve">(UL) </w:t>
      </w:r>
      <w:r w:rsidR="00FA55FC">
        <w:t>of 50 mg in 31 individuals</w:t>
      </w:r>
      <w:r w:rsidR="00BA428B">
        <w:t>,</w:t>
      </w:r>
      <w:r w:rsidR="00FA55FC">
        <w:t xml:space="preserve"> of which </w:t>
      </w:r>
      <w:r w:rsidR="008B3974">
        <w:t xml:space="preserve">12 were diagnosed or tested for </w:t>
      </w:r>
      <w:r w:rsidR="00B85843">
        <w:t>blood</w:t>
      </w:r>
      <w:r w:rsidR="00917848">
        <w:t xml:space="preserve"> vitamin</w:t>
      </w:r>
      <w:r w:rsidR="008B3974">
        <w:t xml:space="preserve"> </w:t>
      </w:r>
      <w:proofErr w:type="spellStart"/>
      <w:r w:rsidR="008B3974">
        <w:t>B6</w:t>
      </w:r>
      <w:proofErr w:type="spellEnd"/>
      <w:r w:rsidR="008B3974">
        <w:t xml:space="preserve"> levels.</w:t>
      </w:r>
      <w:r w:rsidR="00645C4D">
        <w:t xml:space="preserve"> </w:t>
      </w:r>
      <w:r w:rsidR="00645C4D" w:rsidRPr="00645C4D">
        <w:t xml:space="preserve">These submissions strengthen my view, expressed in the interim decision, that there is sufficient evidence to conclude peripheral neuropathy </w:t>
      </w:r>
      <w:r w:rsidR="00111C21">
        <w:t>may</w:t>
      </w:r>
      <w:r w:rsidR="00111C21" w:rsidRPr="00645C4D">
        <w:t xml:space="preserve"> </w:t>
      </w:r>
      <w:r w:rsidR="00645C4D" w:rsidRPr="00645C4D">
        <w:t xml:space="preserve">occur in some individuals </w:t>
      </w:r>
      <w:r w:rsidR="00BA428B">
        <w:t>with</w:t>
      </w:r>
      <w:r w:rsidR="00BA428B" w:rsidRPr="00645C4D">
        <w:t xml:space="preserve"> </w:t>
      </w:r>
      <w:r w:rsidR="00645C4D" w:rsidRPr="00645C4D">
        <w:t xml:space="preserve">vitamin </w:t>
      </w:r>
      <w:proofErr w:type="spellStart"/>
      <w:r w:rsidR="00645C4D" w:rsidRPr="00645C4D">
        <w:t>B6</w:t>
      </w:r>
      <w:proofErr w:type="spellEnd"/>
      <w:r w:rsidR="00645C4D" w:rsidRPr="00645C4D">
        <w:t xml:space="preserve"> intake of 50 mg/day or even lower.</w:t>
      </w:r>
    </w:p>
    <w:p w14:paraId="0209347C" w14:textId="5C1BA660" w:rsidR="00DB0C86" w:rsidRDefault="00DB0C86" w:rsidP="00DB0C86">
      <w:pPr>
        <w:spacing w:before="240" w:after="180" w:line="240" w:lineRule="atLeast"/>
      </w:pPr>
      <w:r>
        <w:t xml:space="preserve">As of </w:t>
      </w:r>
      <w:r w:rsidR="00514985" w:rsidRPr="00514985">
        <w:t>31 October</w:t>
      </w:r>
      <w:r w:rsidRPr="00514985">
        <w:t xml:space="preserve"> 2025</w:t>
      </w:r>
      <w:r>
        <w:t xml:space="preserve">, there were </w:t>
      </w:r>
      <w:r w:rsidR="00514985">
        <w:t>250</w:t>
      </w:r>
      <w:r>
        <w:t xml:space="preserve"> reports of peripheral neuropathy, peripheral sensory neuropathy, peripheral sensorimotor neuropathy, small fibre neuropathy, polyneuropathy or chronic polyneuropathy for products containing vitamin </w:t>
      </w:r>
      <w:proofErr w:type="spellStart"/>
      <w:r>
        <w:t>B6</w:t>
      </w:r>
      <w:proofErr w:type="spellEnd"/>
      <w:r>
        <w:t xml:space="preserve"> on the TGA’s Database of Adverse Event Notifications (DAEN).</w:t>
      </w:r>
      <w:r w:rsidR="00E0006A">
        <w:t xml:space="preserve"> </w:t>
      </w:r>
      <w:r>
        <w:t xml:space="preserve">Of these, </w:t>
      </w:r>
      <w:r w:rsidR="00514985">
        <w:t>152</w:t>
      </w:r>
      <w:r>
        <w:t xml:space="preserve"> also reported ‘Hypervitaminosis </w:t>
      </w:r>
      <w:proofErr w:type="spellStart"/>
      <w:r>
        <w:t>B6</w:t>
      </w:r>
      <w:proofErr w:type="spellEnd"/>
      <w:r>
        <w:t xml:space="preserve">’ and/or ‘Vitamin </w:t>
      </w:r>
      <w:proofErr w:type="spellStart"/>
      <w:r>
        <w:t>B6</w:t>
      </w:r>
      <w:proofErr w:type="spellEnd"/>
      <w:r>
        <w:t xml:space="preserve"> increased’. There were another </w:t>
      </w:r>
      <w:r w:rsidR="00514985">
        <w:t>162</w:t>
      </w:r>
      <w:r>
        <w:t xml:space="preserve"> reports of ‘Hypervitaminosis </w:t>
      </w:r>
      <w:proofErr w:type="spellStart"/>
      <w:r>
        <w:t>B6</w:t>
      </w:r>
      <w:proofErr w:type="spellEnd"/>
      <w:r>
        <w:t xml:space="preserve">’ and/or ‘Vitamin </w:t>
      </w:r>
      <w:proofErr w:type="spellStart"/>
      <w:r>
        <w:t>B6</w:t>
      </w:r>
      <w:proofErr w:type="spellEnd"/>
      <w:r>
        <w:t xml:space="preserve"> increased’ with less specific reaction terms such as paraesthesia, burning sensation etc. possibly suggestive of neuropathies. A majority of the </w:t>
      </w:r>
      <w:r w:rsidR="00514985">
        <w:t>250</w:t>
      </w:r>
      <w:r>
        <w:t xml:space="preserve"> adverse events in DAEN were reported since 1 January 2023 (</w:t>
      </w:r>
      <w:r w:rsidR="00514985">
        <w:t>208</w:t>
      </w:r>
      <w:r w:rsidR="002B1095">
        <w:t> </w:t>
      </w:r>
      <w:r>
        <w:t xml:space="preserve">events, </w:t>
      </w:r>
      <w:r w:rsidR="00514985">
        <w:t>83</w:t>
      </w:r>
      <w:r>
        <w:t>%)</w:t>
      </w:r>
      <w:r w:rsidR="00BA428B">
        <w:t>,</w:t>
      </w:r>
      <w:r>
        <w:t xml:space="preserve"> with </w:t>
      </w:r>
      <w:r w:rsidR="00514985">
        <w:t>130</w:t>
      </w:r>
      <w:r>
        <w:t xml:space="preserve"> events being reported in 2025 </w:t>
      </w:r>
      <w:r w:rsidR="00EF65FB">
        <w:t xml:space="preserve">until </w:t>
      </w:r>
      <w:r w:rsidR="00514985">
        <w:t>31 October 2025</w:t>
      </w:r>
      <w:r>
        <w:t>.</w:t>
      </w:r>
    </w:p>
    <w:p w14:paraId="5EECE4E6" w14:textId="0A1A46D7" w:rsidR="006A5588" w:rsidRDefault="009E77DD" w:rsidP="0039106C">
      <w:pPr>
        <w:spacing w:before="240" w:after="180" w:line="240" w:lineRule="atLeast"/>
      </w:pPr>
      <w:r>
        <w:t>Between 1 January 2024 and 30 June 2025, the NSW Poison</w:t>
      </w:r>
      <w:r w:rsidR="00BA428B">
        <w:t>s</w:t>
      </w:r>
      <w:r>
        <w:t xml:space="preserve"> Information Centre received </w:t>
      </w:r>
      <w:r w:rsidR="002B1095">
        <w:t>14 </w:t>
      </w:r>
      <w:r>
        <w:t>calls from patients experiencing symptoms of neuropathy. Patients reported adverse effects after taking daily pyridoxine doses between 25</w:t>
      </w:r>
      <w:r w:rsidR="002B1095">
        <w:t xml:space="preserve"> </w:t>
      </w:r>
      <w:r>
        <w:t>mg to 400</w:t>
      </w:r>
      <w:r w:rsidR="002B1095">
        <w:t xml:space="preserve"> </w:t>
      </w:r>
      <w:r>
        <w:t>mg for as little as 2 weeks</w:t>
      </w:r>
      <w:r w:rsidR="00BA428B">
        <w:t>, but</w:t>
      </w:r>
      <w:r w:rsidR="00AA6CFB">
        <w:t xml:space="preserve"> up to</w:t>
      </w:r>
      <w:r>
        <w:t xml:space="preserve"> </w:t>
      </w:r>
      <w:r w:rsidR="00BA428B">
        <w:t xml:space="preserve">as long as </w:t>
      </w:r>
      <w:r>
        <w:t>10 years. Of the</w:t>
      </w:r>
      <w:r w:rsidR="00BA428B">
        <w:t>se</w:t>
      </w:r>
      <w:r>
        <w:t xml:space="preserve"> </w:t>
      </w:r>
      <w:r w:rsidR="002B1095">
        <w:t>14 </w:t>
      </w:r>
      <w:r>
        <w:t>patients, 2 were taking 50 mg or less of pyridoxine daily</w:t>
      </w:r>
      <w:r w:rsidR="00BA428B">
        <w:t>,</w:t>
      </w:r>
      <w:r>
        <w:t xml:space="preserve"> and 8 reported blood tests results with higher-than-normal levels of pyridoxine (110 mg </w:t>
      </w:r>
      <w:r w:rsidR="006447F4">
        <w:t xml:space="preserve">per day, </w:t>
      </w:r>
      <w:r>
        <w:t>120 mg per day</w:t>
      </w:r>
      <w:r w:rsidR="006447F4">
        <w:t>, other</w:t>
      </w:r>
      <w:r>
        <w:t xml:space="preserve"> 6 unknown dosage).</w:t>
      </w:r>
    </w:p>
    <w:p w14:paraId="4685373D" w14:textId="331B8102" w:rsidR="00BE5459" w:rsidRDefault="00F83A40" w:rsidP="0039106C">
      <w:pPr>
        <w:spacing w:before="240" w:after="180" w:line="240" w:lineRule="atLeast"/>
      </w:pPr>
      <w:r>
        <w:t>The above reports</w:t>
      </w:r>
      <w:r w:rsidR="00865346">
        <w:t xml:space="preserve"> </w:t>
      </w:r>
      <w:r w:rsidR="00C84797">
        <w:t>contrast with</w:t>
      </w:r>
      <w:r w:rsidR="00865346">
        <w:t xml:space="preserve"> industry</w:t>
      </w:r>
      <w:r w:rsidR="00257821">
        <w:t xml:space="preserve"> submissions </w:t>
      </w:r>
      <w:r w:rsidR="006956EB">
        <w:t>claiming</w:t>
      </w:r>
      <w:r w:rsidR="00257821">
        <w:t xml:space="preserve"> </w:t>
      </w:r>
      <w:r w:rsidR="006447F4">
        <w:t xml:space="preserve">that </w:t>
      </w:r>
      <w:r w:rsidR="00257821" w:rsidRPr="00DE280D">
        <w:t xml:space="preserve">neurological adverse events </w:t>
      </w:r>
      <w:r w:rsidR="00907B7B">
        <w:t>from vitamin </w:t>
      </w:r>
      <w:proofErr w:type="spellStart"/>
      <w:r w:rsidR="00907B7B">
        <w:t>B6</w:t>
      </w:r>
      <w:proofErr w:type="spellEnd"/>
      <w:r w:rsidR="00907B7B">
        <w:t xml:space="preserve"> </w:t>
      </w:r>
      <w:r w:rsidR="006956EB">
        <w:t>only occur at</w:t>
      </w:r>
      <w:r w:rsidR="00257821" w:rsidRPr="00DE280D">
        <w:t xml:space="preserve"> high dose and </w:t>
      </w:r>
      <w:r w:rsidR="006447F4">
        <w:t xml:space="preserve">with </w:t>
      </w:r>
      <w:r w:rsidR="00257821" w:rsidRPr="00DE280D">
        <w:t>long-term usage</w:t>
      </w:r>
      <w:r w:rsidR="00257821">
        <w:t xml:space="preserve">. </w:t>
      </w:r>
      <w:r>
        <w:t>Notwithstanding the limitations of self-reporting of adverse events</w:t>
      </w:r>
      <w:r w:rsidR="006447F4">
        <w:t>,</w:t>
      </w:r>
      <w:r>
        <w:t xml:space="preserve"> and the possibility of some </w:t>
      </w:r>
      <w:r w:rsidR="00A92D12">
        <w:t>overlap</w:t>
      </w:r>
      <w:r>
        <w:t xml:space="preserve"> in reporting</w:t>
      </w:r>
      <w:r w:rsidR="00A92D12">
        <w:t xml:space="preserve"> channels</w:t>
      </w:r>
      <w:r>
        <w:t xml:space="preserve">, the </w:t>
      </w:r>
      <w:r w:rsidR="007C07F1">
        <w:t>considerable number of adverse events</w:t>
      </w:r>
      <w:r w:rsidR="003075D5">
        <w:t xml:space="preserve">, </w:t>
      </w:r>
      <w:r w:rsidR="00BA7A4A">
        <w:t>difficulties in diagnosis and ensuing hardships on suffere</w:t>
      </w:r>
      <w:r w:rsidR="00EC2B9A">
        <w:t xml:space="preserve">rs justify the </w:t>
      </w:r>
      <w:r w:rsidR="00CE2663">
        <w:t xml:space="preserve">scheduling </w:t>
      </w:r>
      <w:r w:rsidR="00EC2B9A">
        <w:t>restriction</w:t>
      </w:r>
      <w:r w:rsidR="00CE2663">
        <w:t xml:space="preserve">s </w:t>
      </w:r>
      <w:r w:rsidR="00EC2B9A">
        <w:t xml:space="preserve">on </w:t>
      </w:r>
      <w:r w:rsidR="00CE2663">
        <w:t xml:space="preserve">vitamin </w:t>
      </w:r>
      <w:proofErr w:type="spellStart"/>
      <w:r w:rsidR="00CE2663">
        <w:t>B6</w:t>
      </w:r>
      <w:proofErr w:type="spellEnd"/>
      <w:r w:rsidR="00CE2663">
        <w:t xml:space="preserve"> medicines available for general sale.</w:t>
      </w:r>
    </w:p>
    <w:p w14:paraId="695B1C08" w14:textId="7A380B45" w:rsidR="004F164C" w:rsidRDefault="00CA0C42" w:rsidP="001B0566">
      <w:r>
        <w:t xml:space="preserve">I have </w:t>
      </w:r>
      <w:r w:rsidR="00973728">
        <w:t>adhered to the</w:t>
      </w:r>
      <w:r w:rsidR="001F4008">
        <w:t xml:space="preserve"> </w:t>
      </w:r>
      <w:r w:rsidR="00A73B43" w:rsidRPr="00D655E7">
        <w:t>50 mg</w:t>
      </w:r>
      <w:r w:rsidR="00A73B43">
        <w:t xml:space="preserve"> per </w:t>
      </w:r>
      <w:r w:rsidR="009C3EEE">
        <w:t xml:space="preserve">maximum </w:t>
      </w:r>
      <w:proofErr w:type="spellStart"/>
      <w:r w:rsidR="00AE6648">
        <w:t>RDD</w:t>
      </w:r>
      <w:proofErr w:type="spellEnd"/>
      <w:r w:rsidR="00A73B43" w:rsidRPr="00D655E7">
        <w:t xml:space="preserve"> </w:t>
      </w:r>
      <w:r w:rsidR="00AE6648">
        <w:t>as</w:t>
      </w:r>
      <w:r w:rsidR="00A73B43" w:rsidRPr="00D655E7">
        <w:t xml:space="preserve"> the cut-off for exemption from scheduling</w:t>
      </w:r>
      <w:r w:rsidR="00AE6648">
        <w:t xml:space="preserve"> foreshadowed in my interim decision</w:t>
      </w:r>
      <w:r w:rsidR="001F4008">
        <w:t xml:space="preserve">. This cut-off is </w:t>
      </w:r>
      <w:r w:rsidR="00E54CF2">
        <w:t xml:space="preserve">in alignment with the </w:t>
      </w:r>
      <w:r w:rsidR="00401000">
        <w:t xml:space="preserve">current </w:t>
      </w:r>
      <w:r w:rsidR="00E51931">
        <w:t xml:space="preserve">UL </w:t>
      </w:r>
      <w:r w:rsidR="00E54CF2">
        <w:t xml:space="preserve">of vitamin </w:t>
      </w:r>
      <w:proofErr w:type="spellStart"/>
      <w:r w:rsidR="00E54CF2">
        <w:t>B6</w:t>
      </w:r>
      <w:proofErr w:type="spellEnd"/>
      <w:r w:rsidR="00E54CF2">
        <w:t xml:space="preserve"> </w:t>
      </w:r>
      <w:r w:rsidR="000378A2" w:rsidRPr="00D655E7">
        <w:t xml:space="preserve">for adults 19 years and over </w:t>
      </w:r>
      <w:r w:rsidR="00E51931">
        <w:t xml:space="preserve">set </w:t>
      </w:r>
      <w:r w:rsidR="00704305">
        <w:t xml:space="preserve">by the </w:t>
      </w:r>
      <w:r w:rsidR="00704305" w:rsidRPr="00D655E7">
        <w:t>National Health and Medical Research Council (NHMRC)</w:t>
      </w:r>
      <w:r w:rsidR="00E51931">
        <w:t xml:space="preserve"> of 50</w:t>
      </w:r>
      <w:r w:rsidR="00C71A8E">
        <w:t> </w:t>
      </w:r>
      <w:r w:rsidR="00E51931">
        <w:t>mg/</w:t>
      </w:r>
      <w:proofErr w:type="spellStart"/>
      <w:r w:rsidR="00E51931">
        <w:t>day</w:t>
      </w:r>
      <w:r w:rsidR="00704305">
        <w:t>.</w:t>
      </w:r>
      <w:r w:rsidR="00C71A8E">
        <w:rPr>
          <w:vertAlign w:val="superscript"/>
        </w:rPr>
        <w:t>4</w:t>
      </w:r>
      <w:proofErr w:type="spellEnd"/>
      <w:r w:rsidR="00C71A8E" w:rsidRPr="00C71A8E">
        <w:rPr>
          <w:rStyle w:val="FootnoteReference"/>
        </w:rPr>
        <w:t xml:space="preserve"> </w:t>
      </w:r>
      <w:r w:rsidR="00D655E7" w:rsidRPr="00D655E7">
        <w:t xml:space="preserve">Decreasing the limit of unscheduled preparations from 200 mg to 50 mg of vitamin </w:t>
      </w:r>
      <w:proofErr w:type="spellStart"/>
      <w:r w:rsidR="00D655E7" w:rsidRPr="00D655E7">
        <w:t>B6</w:t>
      </w:r>
      <w:proofErr w:type="spellEnd"/>
      <w:r w:rsidR="00D655E7" w:rsidRPr="00D655E7">
        <w:t xml:space="preserve"> should reduce the </w:t>
      </w:r>
      <w:r w:rsidR="00E51931">
        <w:t xml:space="preserve">toxicity </w:t>
      </w:r>
      <w:r w:rsidR="00D655E7" w:rsidRPr="00D655E7">
        <w:t>risk from use of a single product, and from combined exposure from multiple sources.</w:t>
      </w:r>
      <w:r w:rsidR="00843BEB">
        <w:t xml:space="preserve"> Submissions from individuals and organisations including </w:t>
      </w:r>
      <w:r w:rsidR="00A042C2">
        <w:t>professional associations,</w:t>
      </w:r>
      <w:r w:rsidR="00464F7A">
        <w:t xml:space="preserve"> universities and industry </w:t>
      </w:r>
      <w:r w:rsidR="00C9213C">
        <w:t>broadly agreed</w:t>
      </w:r>
      <w:r w:rsidR="00444B33">
        <w:t xml:space="preserve"> with the 50 mg </w:t>
      </w:r>
      <w:r w:rsidR="009C3EEE">
        <w:t xml:space="preserve">maximum </w:t>
      </w:r>
      <w:proofErr w:type="spellStart"/>
      <w:r w:rsidR="00444B33">
        <w:t>RDD</w:t>
      </w:r>
      <w:proofErr w:type="spellEnd"/>
      <w:r w:rsidR="00444B33">
        <w:t xml:space="preserve"> for unscheduled medicines.</w:t>
      </w:r>
    </w:p>
    <w:p w14:paraId="005B4D74" w14:textId="17AF45A9" w:rsidR="001B0566" w:rsidRDefault="004F164C" w:rsidP="001B0566">
      <w:r>
        <w:t xml:space="preserve">Two submissions, one from a manufacturer and the other from a peak body, referred to a recent report recommending a </w:t>
      </w:r>
      <w:proofErr w:type="spellStart"/>
      <w:r>
        <w:t>RDD</w:t>
      </w:r>
      <w:proofErr w:type="spellEnd"/>
      <w:r>
        <w:t xml:space="preserve"> of 50 mg of vitamin </w:t>
      </w:r>
      <w:proofErr w:type="spellStart"/>
      <w:r>
        <w:t>B6</w:t>
      </w:r>
      <w:proofErr w:type="spellEnd"/>
      <w:r>
        <w:t xml:space="preserve"> to be the tolerable maximum dosage for long term use with doses over 50 mg to 100 mg to be suitable for shorter durations.</w:t>
      </w:r>
      <w:r>
        <w:rPr>
          <w:rStyle w:val="FootnoteReference"/>
        </w:rPr>
        <w:footnoteReference w:id="5"/>
      </w:r>
      <w:r>
        <w:t xml:space="preserve"> </w:t>
      </w:r>
      <w:r w:rsidR="001B0566">
        <w:t xml:space="preserve">I note that all authors of the paper received </w:t>
      </w:r>
      <w:r w:rsidR="001B0566" w:rsidRPr="009E2890">
        <w:t>honorarium</w:t>
      </w:r>
      <w:r w:rsidR="001B0566">
        <w:t xml:space="preserve"> from various major manufacturers</w:t>
      </w:r>
      <w:r w:rsidR="00E51931">
        <w:t xml:space="preserve"> of vitamin </w:t>
      </w:r>
      <w:proofErr w:type="spellStart"/>
      <w:r w:rsidR="00E51931">
        <w:t>B6</w:t>
      </w:r>
      <w:proofErr w:type="spellEnd"/>
      <w:r w:rsidR="00E51931">
        <w:t xml:space="preserve"> products</w:t>
      </w:r>
      <w:r w:rsidR="001B0566">
        <w:t xml:space="preserve">. Further, the </w:t>
      </w:r>
      <w:r w:rsidR="001B0566">
        <w:lastRenderedPageBreak/>
        <w:t>authors noted p</w:t>
      </w:r>
      <w:r w:rsidR="001B0566" w:rsidRPr="00A120AB">
        <w:t xml:space="preserve">eripheral </w:t>
      </w:r>
      <w:r w:rsidR="001B0566">
        <w:t>n</w:t>
      </w:r>
      <w:r w:rsidR="001B0566" w:rsidRPr="00A120AB">
        <w:t>europathy risk even at 50–</w:t>
      </w:r>
      <w:r w:rsidR="00577FF1" w:rsidRPr="00A120AB">
        <w:t>100</w:t>
      </w:r>
      <w:r w:rsidR="00577FF1">
        <w:t> </w:t>
      </w:r>
      <w:r w:rsidR="001B0566" w:rsidRPr="00A120AB">
        <w:t>mg/day in susceptible individuals</w:t>
      </w:r>
      <w:r w:rsidR="001B0566">
        <w:t xml:space="preserve"> and recommended </w:t>
      </w:r>
      <w:r w:rsidR="001B0566" w:rsidRPr="00116917">
        <w:t xml:space="preserve">regular monitoring by healthcare professionals </w:t>
      </w:r>
      <w:r w:rsidR="001B0566">
        <w:t>f</w:t>
      </w:r>
      <w:r w:rsidR="001B0566" w:rsidRPr="00116917">
        <w:t xml:space="preserve">or patient </w:t>
      </w:r>
      <w:r w:rsidR="001B0566">
        <w:t xml:space="preserve">consuming more than </w:t>
      </w:r>
      <w:r w:rsidR="001B0566" w:rsidRPr="00116917">
        <w:t xml:space="preserve">50 mg/day </w:t>
      </w:r>
      <w:r w:rsidR="00E51931">
        <w:t xml:space="preserve">of </w:t>
      </w:r>
      <w:r w:rsidR="001B0566" w:rsidRPr="00116917">
        <w:t xml:space="preserve">vitamin </w:t>
      </w:r>
      <w:proofErr w:type="spellStart"/>
      <w:r w:rsidR="001B0566" w:rsidRPr="00116917">
        <w:t>B6</w:t>
      </w:r>
      <w:proofErr w:type="spellEnd"/>
      <w:r w:rsidR="001B0566">
        <w:t xml:space="preserve"> for</w:t>
      </w:r>
      <w:r w:rsidR="001B0566" w:rsidRPr="00116917">
        <w:t xml:space="preserve"> longer than 6 months</w:t>
      </w:r>
      <w:r w:rsidR="001B0566">
        <w:t>.</w:t>
      </w:r>
    </w:p>
    <w:p w14:paraId="056DF96A" w14:textId="63E67FD0" w:rsidR="002A4209" w:rsidRDefault="002A4209" w:rsidP="002A4209">
      <w:pPr>
        <w:spacing w:before="240" w:after="180" w:line="240" w:lineRule="atLeast"/>
      </w:pPr>
      <w:r w:rsidRPr="008777D0">
        <w:t>Other</w:t>
      </w:r>
      <w:r w:rsidR="00E51931">
        <w:t xml:space="preserve"> submission</w:t>
      </w:r>
      <w:r w:rsidRPr="008777D0">
        <w:t xml:space="preserve">s, including </w:t>
      </w:r>
      <w:r>
        <w:t>one</w:t>
      </w:r>
      <w:r w:rsidR="00E51931">
        <w:t xml:space="preserve"> from a</w:t>
      </w:r>
      <w:r w:rsidRPr="008777D0">
        <w:t xml:space="preserve"> </w:t>
      </w:r>
      <w:r w:rsidR="00944518">
        <w:t>manufacturer</w:t>
      </w:r>
      <w:r w:rsidRPr="008777D0">
        <w:t>, propose</w:t>
      </w:r>
      <w:r>
        <w:t>d</w:t>
      </w:r>
      <w:r w:rsidRPr="008777D0">
        <w:t xml:space="preserve"> a more graduated approach</w:t>
      </w:r>
      <w:r w:rsidR="00E51931">
        <w:t xml:space="preserve"> with</w:t>
      </w:r>
      <w:r w:rsidRPr="008777D0">
        <w:t xml:space="preserve"> products </w:t>
      </w:r>
      <w:r w:rsidR="00E51931">
        <w:t>containing</w:t>
      </w:r>
      <w:r w:rsidR="00E51931" w:rsidRPr="008777D0">
        <w:t xml:space="preserve"> </w:t>
      </w:r>
      <w:r w:rsidRPr="008777D0">
        <w:t xml:space="preserve">50–200 mg per day classified as Pharmacy </w:t>
      </w:r>
      <w:r w:rsidR="00DA411C">
        <w:t>m</w:t>
      </w:r>
      <w:r w:rsidRPr="008777D0">
        <w:t xml:space="preserve">edicine (Schedule 2) rather than Pharmacist </w:t>
      </w:r>
      <w:r w:rsidR="00DA411C">
        <w:t>o</w:t>
      </w:r>
      <w:r w:rsidRPr="008777D0">
        <w:t>nly (Schedule 3).</w:t>
      </w:r>
      <w:r>
        <w:t xml:space="preserve"> </w:t>
      </w:r>
      <w:r w:rsidR="00DA411C">
        <w:rPr>
          <w:color w:val="auto"/>
        </w:rPr>
        <w:t xml:space="preserve">These </w:t>
      </w:r>
      <w:r w:rsidR="00A24EB5">
        <w:rPr>
          <w:color w:val="auto"/>
        </w:rPr>
        <w:t>submissions</w:t>
      </w:r>
      <w:r w:rsidR="00DA411C" w:rsidRPr="007F5946">
        <w:rPr>
          <w:color w:val="auto"/>
        </w:rPr>
        <w:t xml:space="preserve"> argued that a Schedule 2 classification would support early intervention for those at risk of vitamin </w:t>
      </w:r>
      <w:proofErr w:type="spellStart"/>
      <w:r w:rsidR="00DA411C" w:rsidRPr="007F5946">
        <w:rPr>
          <w:color w:val="auto"/>
        </w:rPr>
        <w:t>B6</w:t>
      </w:r>
      <w:proofErr w:type="spellEnd"/>
      <w:r w:rsidR="00DA411C" w:rsidRPr="007F5946">
        <w:rPr>
          <w:color w:val="auto"/>
        </w:rPr>
        <w:t xml:space="preserve"> deficiency, improve public health outcomes, and reduce unnecessary strain on the healthcare system</w:t>
      </w:r>
      <w:bookmarkStart w:id="38" w:name="_Hlk214874063"/>
      <w:r w:rsidR="00DA411C" w:rsidRPr="007F5946">
        <w:rPr>
          <w:color w:val="auto"/>
        </w:rPr>
        <w:t xml:space="preserve">. However, I remain concerned that with the widespread availability of vitamin </w:t>
      </w:r>
      <w:proofErr w:type="spellStart"/>
      <w:r w:rsidR="00DA411C" w:rsidRPr="007F5946">
        <w:rPr>
          <w:color w:val="auto"/>
        </w:rPr>
        <w:t>B6</w:t>
      </w:r>
      <w:proofErr w:type="spellEnd"/>
      <w:r w:rsidR="00DA411C" w:rsidRPr="007F5946">
        <w:rPr>
          <w:color w:val="auto"/>
        </w:rPr>
        <w:t xml:space="preserve"> through multiple sources</w:t>
      </w:r>
      <w:r w:rsidR="0033237D">
        <w:rPr>
          <w:color w:val="auto"/>
        </w:rPr>
        <w:t xml:space="preserve"> </w:t>
      </w:r>
      <w:r w:rsidR="00D15914">
        <w:rPr>
          <w:color w:val="auto"/>
        </w:rPr>
        <w:t>c</w:t>
      </w:r>
      <w:r w:rsidR="005B14C8">
        <w:rPr>
          <w:color w:val="auto"/>
        </w:rPr>
        <w:t xml:space="preserve">lassifying </w:t>
      </w:r>
      <w:r w:rsidR="00DA411C" w:rsidRPr="007F5946">
        <w:rPr>
          <w:color w:val="auto"/>
        </w:rPr>
        <w:t>high</w:t>
      </w:r>
      <w:r w:rsidR="00A24EB5">
        <w:rPr>
          <w:color w:val="auto"/>
        </w:rPr>
        <w:t>-</w:t>
      </w:r>
      <w:r w:rsidR="00DA411C" w:rsidRPr="007F5946">
        <w:rPr>
          <w:color w:val="auto"/>
        </w:rPr>
        <w:t xml:space="preserve">dose vitamin </w:t>
      </w:r>
      <w:proofErr w:type="spellStart"/>
      <w:r w:rsidR="00DA411C" w:rsidRPr="007F5946">
        <w:rPr>
          <w:color w:val="auto"/>
        </w:rPr>
        <w:t>B6</w:t>
      </w:r>
      <w:proofErr w:type="spellEnd"/>
      <w:r w:rsidR="00DA411C" w:rsidRPr="007F5946">
        <w:rPr>
          <w:color w:val="auto"/>
        </w:rPr>
        <w:t xml:space="preserve"> products </w:t>
      </w:r>
      <w:r w:rsidR="00DB58AD">
        <w:rPr>
          <w:color w:val="auto"/>
        </w:rPr>
        <w:t>as Pharmacy medicines will contin</w:t>
      </w:r>
      <w:r w:rsidR="0045301E">
        <w:rPr>
          <w:color w:val="auto"/>
        </w:rPr>
        <w:t xml:space="preserve">ue to pose risks to the consumer as </w:t>
      </w:r>
      <w:r w:rsidR="00DA411C" w:rsidRPr="007F5946">
        <w:rPr>
          <w:color w:val="auto"/>
        </w:rPr>
        <w:t xml:space="preserve">professional advice </w:t>
      </w:r>
      <w:r w:rsidR="0045301E">
        <w:rPr>
          <w:color w:val="auto"/>
        </w:rPr>
        <w:t>is not required to be provided</w:t>
      </w:r>
      <w:r w:rsidR="006B23B1">
        <w:rPr>
          <w:color w:val="auto"/>
        </w:rPr>
        <w:t xml:space="preserve"> at the point of sale</w:t>
      </w:r>
      <w:r w:rsidR="00DA411C" w:rsidRPr="007F5946">
        <w:rPr>
          <w:color w:val="auto"/>
        </w:rPr>
        <w:t>.</w:t>
      </w:r>
      <w:bookmarkEnd w:id="38"/>
      <w:r w:rsidR="00DA411C" w:rsidRPr="007F5946">
        <w:rPr>
          <w:color w:val="auto"/>
        </w:rPr>
        <w:t xml:space="preserve"> For those in clinical need of vitamin </w:t>
      </w:r>
      <w:proofErr w:type="spellStart"/>
      <w:r w:rsidR="00DA411C" w:rsidRPr="007F5946">
        <w:rPr>
          <w:color w:val="auto"/>
        </w:rPr>
        <w:t>B6</w:t>
      </w:r>
      <w:proofErr w:type="spellEnd"/>
      <w:r w:rsidR="00DA411C" w:rsidRPr="007F5946">
        <w:rPr>
          <w:color w:val="auto"/>
        </w:rPr>
        <w:t xml:space="preserve"> supplementation, high</w:t>
      </w:r>
      <w:r w:rsidR="0045301E">
        <w:rPr>
          <w:color w:val="auto"/>
        </w:rPr>
        <w:t>-</w:t>
      </w:r>
      <w:r w:rsidR="00DA411C" w:rsidRPr="007F5946">
        <w:rPr>
          <w:color w:val="auto"/>
        </w:rPr>
        <w:t>dose pr</w:t>
      </w:r>
      <w:r w:rsidR="0045301E">
        <w:rPr>
          <w:color w:val="auto"/>
        </w:rPr>
        <w:t>eparations</w:t>
      </w:r>
      <w:r w:rsidR="00DA411C" w:rsidRPr="007F5946">
        <w:rPr>
          <w:color w:val="auto"/>
        </w:rPr>
        <w:t xml:space="preserve"> will still be available with pharmacist consultation or a prescription.</w:t>
      </w:r>
    </w:p>
    <w:p w14:paraId="3E3340E5" w14:textId="7536B8E7" w:rsidR="001C6E3A" w:rsidRDefault="00E30FB6" w:rsidP="00E30FB6">
      <w:r>
        <w:t>One industry peak body</w:t>
      </w:r>
      <w:r w:rsidR="007207EB">
        <w:t>,</w:t>
      </w:r>
      <w:r>
        <w:t xml:space="preserve"> and several professional organisations</w:t>
      </w:r>
      <w:r w:rsidR="007207EB">
        <w:t>,</w:t>
      </w:r>
      <w:r>
        <w:t xml:space="preserve"> commented on the established use of </w:t>
      </w:r>
      <w:r w:rsidRPr="009C234F">
        <w:t xml:space="preserve">vitamin </w:t>
      </w:r>
      <w:proofErr w:type="spellStart"/>
      <w:r w:rsidRPr="009C234F">
        <w:t>B6</w:t>
      </w:r>
      <w:proofErr w:type="spellEnd"/>
      <w:r w:rsidRPr="009C234F">
        <w:t xml:space="preserve"> in various health conditions such as nausea and vomiting in pregnancy, premenstrual syndrome, and cardiovascular health</w:t>
      </w:r>
      <w:r>
        <w:t xml:space="preserve">. </w:t>
      </w:r>
      <w:r w:rsidR="001F1481">
        <w:t>The peak body</w:t>
      </w:r>
      <w:r>
        <w:t xml:space="preserve"> referred to various Australian </w:t>
      </w:r>
      <w:r w:rsidR="007207EB">
        <w:t>clinical</w:t>
      </w:r>
      <w:r>
        <w:t xml:space="preserve"> guidelines that recommend doses of up to 200 mg/day </w:t>
      </w:r>
      <w:r w:rsidR="00F017CC">
        <w:t>for the treatment of</w:t>
      </w:r>
      <w:r>
        <w:t xml:space="preserve"> nausea and vomiting in pregnancy (NVP).</w:t>
      </w:r>
      <w:r>
        <w:rPr>
          <w:rStyle w:val="FootnoteReference"/>
        </w:rPr>
        <w:footnoteReference w:id="6"/>
      </w:r>
      <w:r w:rsidRPr="00147BE4">
        <w:rPr>
          <w:vertAlign w:val="superscript"/>
        </w:rPr>
        <w:t>,</w:t>
      </w:r>
      <w:r>
        <w:rPr>
          <w:rStyle w:val="FootnoteReference"/>
        </w:rPr>
        <w:footnoteReference w:id="7"/>
      </w:r>
      <w:r w:rsidR="003B4F68">
        <w:rPr>
          <w:vertAlign w:val="superscript"/>
        </w:rPr>
        <w:t>,</w:t>
      </w:r>
      <w:r w:rsidR="003B4F68">
        <w:rPr>
          <w:rStyle w:val="FootnoteReference"/>
        </w:rPr>
        <w:footnoteReference w:id="8"/>
      </w:r>
      <w:r>
        <w:t xml:space="preserve"> </w:t>
      </w:r>
      <w:r w:rsidR="007207EB">
        <w:t>T</w:t>
      </w:r>
      <w:r>
        <w:t xml:space="preserve">hese guidelines are </w:t>
      </w:r>
      <w:r w:rsidR="001D1E37">
        <w:t xml:space="preserve">intended </w:t>
      </w:r>
      <w:r>
        <w:t xml:space="preserve">for medical professionals such as </w:t>
      </w:r>
      <w:r w:rsidR="007207EB">
        <w:t xml:space="preserve">GPs and </w:t>
      </w:r>
      <w:r>
        <w:t>obstetricians</w:t>
      </w:r>
      <w:r w:rsidR="007207EB">
        <w:t>,</w:t>
      </w:r>
      <w:r>
        <w:t xml:space="preserve"> and not </w:t>
      </w:r>
      <w:r w:rsidR="001D1E37">
        <w:t xml:space="preserve">the </w:t>
      </w:r>
      <w:r w:rsidR="003820F4">
        <w:t>public</w:t>
      </w:r>
      <w:r>
        <w:t xml:space="preserve">. These guidelines </w:t>
      </w:r>
      <w:r w:rsidR="007207EB">
        <w:t>highlight the importance of</w:t>
      </w:r>
      <w:r>
        <w:t xml:space="preserve"> ruling out other causes, diagnosing NVP using a formal scoring system</w:t>
      </w:r>
      <w:r w:rsidR="007207EB">
        <w:t>,</w:t>
      </w:r>
      <w:r>
        <w:t xml:space="preserve"> and distinguishing NVP from </w:t>
      </w:r>
      <w:r w:rsidRPr="006801CE">
        <w:t>hyperemesis gravidarum</w:t>
      </w:r>
      <w:r>
        <w:t xml:space="preserve"> as </w:t>
      </w:r>
      <w:r w:rsidRPr="00843688">
        <w:t xml:space="preserve">the management and potential maternal and </w:t>
      </w:r>
      <w:r w:rsidR="00BC1CC8" w:rsidRPr="00843688">
        <w:t>foetal</w:t>
      </w:r>
      <w:r w:rsidRPr="00843688">
        <w:t xml:space="preserve"> complications differ.</w:t>
      </w:r>
      <w:r>
        <w:t xml:space="preserve"> While the maximum daily dose can be 200 mg, generally the recommended daily dose is 10</w:t>
      </w:r>
      <w:r w:rsidR="001D0E58" w:rsidRPr="008777D0">
        <w:t>–</w:t>
      </w:r>
      <w:r>
        <w:t>25 mg 3</w:t>
      </w:r>
      <w:r w:rsidR="001D0E58" w:rsidRPr="008777D0">
        <w:t>–</w:t>
      </w:r>
      <w:r>
        <w:t>4 times a day.</w:t>
      </w:r>
      <w:r w:rsidR="009F4833" w:rsidRPr="009F4833">
        <w:t xml:space="preserve"> Before taking medicines during pregnancy, you should get advice from your doctor or pharmacist.</w:t>
      </w:r>
    </w:p>
    <w:p w14:paraId="213C404E" w14:textId="195D88D3" w:rsidR="00E30FB6" w:rsidRDefault="001C6E3A" w:rsidP="001C6E3A">
      <w:r>
        <w:t xml:space="preserve">With regards to </w:t>
      </w:r>
      <w:r w:rsidR="007207EB">
        <w:t xml:space="preserve">the </w:t>
      </w:r>
      <w:r>
        <w:t xml:space="preserve">role of vitamin </w:t>
      </w:r>
      <w:proofErr w:type="spellStart"/>
      <w:r>
        <w:t>B6</w:t>
      </w:r>
      <w:proofErr w:type="spellEnd"/>
      <w:r>
        <w:t xml:space="preserve"> in preventing cardiovascular disease, the evidence is weak and at best equivocal. While data from the U</w:t>
      </w:r>
      <w:r w:rsidR="007207EB">
        <w:t xml:space="preserve">nited </w:t>
      </w:r>
      <w:r>
        <w:t>S</w:t>
      </w:r>
      <w:r w:rsidR="007207EB">
        <w:t>tates</w:t>
      </w:r>
      <w:r>
        <w:t xml:space="preserve"> </w:t>
      </w:r>
      <w:r w:rsidR="007207EB">
        <w:t xml:space="preserve">(US) </w:t>
      </w:r>
      <w:r>
        <w:t>N</w:t>
      </w:r>
      <w:r w:rsidRPr="00D47EA9">
        <w:t>ational Health and Nutrition Examination Survey</w:t>
      </w:r>
      <w:r>
        <w:t xml:space="preserve"> showed that v</w:t>
      </w:r>
      <w:r w:rsidRPr="008D4EF0">
        <w:t xml:space="preserve">itamin </w:t>
      </w:r>
      <w:proofErr w:type="spellStart"/>
      <w:r w:rsidRPr="008D4EF0">
        <w:t>B6</w:t>
      </w:r>
      <w:proofErr w:type="spellEnd"/>
      <w:r w:rsidRPr="008D4EF0">
        <w:t xml:space="preserve"> </w:t>
      </w:r>
      <w:r w:rsidR="007207EB">
        <w:t>was</w:t>
      </w:r>
      <w:r w:rsidR="007207EB" w:rsidRPr="008D4EF0">
        <w:t xml:space="preserve"> </w:t>
      </w:r>
      <w:r w:rsidRPr="008D4EF0">
        <w:t xml:space="preserve">negatively associated with </w:t>
      </w:r>
      <w:r>
        <w:t>coronary heart disease</w:t>
      </w:r>
      <w:r w:rsidRPr="008D4EF0">
        <w:t xml:space="preserve"> and exerted protective effects</w:t>
      </w:r>
      <w:r>
        <w:t xml:space="preserve">, </w:t>
      </w:r>
      <w:r w:rsidRPr="00EB05A9">
        <w:t xml:space="preserve">the strongest protective effect was observed </w:t>
      </w:r>
      <w:r>
        <w:t>with</w:t>
      </w:r>
      <w:r w:rsidRPr="00EB05A9">
        <w:t xml:space="preserve"> </w:t>
      </w:r>
      <w:r>
        <w:t xml:space="preserve">the daily intake of </w:t>
      </w:r>
      <w:r w:rsidRPr="00EB05A9">
        <w:t>1.703 to 2.</w:t>
      </w:r>
      <w:r w:rsidR="001D0E58" w:rsidRPr="00EB05A9">
        <w:t>466</w:t>
      </w:r>
      <w:r w:rsidR="001D0E58">
        <w:t> </w:t>
      </w:r>
      <w:r w:rsidRPr="00EB05A9">
        <w:t>mg</w:t>
      </w:r>
      <w:r>
        <w:t xml:space="preserve"> vitamin </w:t>
      </w:r>
      <w:proofErr w:type="spellStart"/>
      <w:r>
        <w:t>B6</w:t>
      </w:r>
      <w:proofErr w:type="spellEnd"/>
      <w:r>
        <w:t>.</w:t>
      </w:r>
      <w:r>
        <w:rPr>
          <w:rStyle w:val="FootnoteReference"/>
        </w:rPr>
        <w:footnoteReference w:id="9"/>
      </w:r>
      <w:r>
        <w:t xml:space="preserve"> Earlier studies in US and Japanese populations also observed lower risk of coronary heart disease in groups having higher intake of vitamin </w:t>
      </w:r>
      <w:proofErr w:type="spellStart"/>
      <w:r>
        <w:t>B6</w:t>
      </w:r>
      <w:proofErr w:type="spellEnd"/>
      <w:r>
        <w:t>, but the protective effects were seen at daily intake levels of 4.</w:t>
      </w:r>
      <w:r w:rsidR="00A01E1B">
        <w:t>6</w:t>
      </w:r>
      <w:r>
        <w:t xml:space="preserve"> mg/day (median value, US population) and 1.</w:t>
      </w:r>
      <w:r w:rsidR="00A01E1B">
        <w:t>6</w:t>
      </w:r>
      <w:r>
        <w:t xml:space="preserve"> mg/day (mean value; Japanese population).</w:t>
      </w:r>
      <w:r>
        <w:rPr>
          <w:rStyle w:val="FootnoteReference"/>
        </w:rPr>
        <w:footnoteReference w:id="10"/>
      </w:r>
      <w:r w:rsidR="00A01E1B">
        <w:rPr>
          <w:vertAlign w:val="superscript"/>
        </w:rPr>
        <w:t>,</w:t>
      </w:r>
      <w:r w:rsidR="00A01E1B">
        <w:rPr>
          <w:rStyle w:val="FootnoteReference"/>
        </w:rPr>
        <w:footnoteReference w:id="11"/>
      </w:r>
      <w:r>
        <w:t xml:space="preserve"> A recent </w:t>
      </w:r>
      <w:r w:rsidRPr="00A15AA6">
        <w:t xml:space="preserve">scientific statement from the European Association of Preventive Cardiology and the Association of Cardiovascular Nursing &amp; Allied Professions of the European Society of Cardiology </w:t>
      </w:r>
      <w:r>
        <w:t xml:space="preserve">stated that </w:t>
      </w:r>
      <w:r w:rsidR="00DA7E03">
        <w:t xml:space="preserve">the </w:t>
      </w:r>
      <w:r w:rsidRPr="00410E81">
        <w:t xml:space="preserve">effects of vitamin B supplementation on total </w:t>
      </w:r>
      <w:r w:rsidRPr="009C234F">
        <w:t>cardiovascular</w:t>
      </w:r>
      <w:r w:rsidRPr="00410E81">
        <w:t xml:space="preserve"> </w:t>
      </w:r>
      <w:r>
        <w:t>disease</w:t>
      </w:r>
      <w:r w:rsidRPr="00410E81">
        <w:t xml:space="preserve"> independently of their effect on homocysteine reduction remain to be assessed</w:t>
      </w:r>
      <w:r>
        <w:t>.</w:t>
      </w:r>
      <w:r>
        <w:rPr>
          <w:rStyle w:val="FootnoteReference"/>
        </w:rPr>
        <w:footnoteReference w:id="12"/>
      </w:r>
      <w:r w:rsidRPr="00410E81">
        <w:t> </w:t>
      </w:r>
      <w:r>
        <w:t xml:space="preserve">Similarly, vitamin </w:t>
      </w:r>
      <w:proofErr w:type="spellStart"/>
      <w:r>
        <w:t>B6</w:t>
      </w:r>
      <w:proofErr w:type="spellEnd"/>
      <w:r>
        <w:t xml:space="preserve"> may </w:t>
      </w:r>
      <w:r w:rsidRPr="00F3391E">
        <w:t xml:space="preserve">help with </w:t>
      </w:r>
      <w:r w:rsidR="00B34D64">
        <w:t>pre-menstrual</w:t>
      </w:r>
      <w:r w:rsidRPr="00F3391E">
        <w:t xml:space="preserve"> symptoms</w:t>
      </w:r>
      <w:r>
        <w:t xml:space="preserve"> and</w:t>
      </w:r>
      <w:r w:rsidRPr="00F3391E">
        <w:t xml:space="preserve"> </w:t>
      </w:r>
      <w:r>
        <w:t>cognitive impairment, but evidence of efficacy is mixed.</w:t>
      </w:r>
    </w:p>
    <w:p w14:paraId="0A5656FC" w14:textId="04CAEC87" w:rsidR="00D76F95" w:rsidRPr="00D76F95" w:rsidRDefault="00D76F95" w:rsidP="007E0898">
      <w:pPr>
        <w:spacing w:line="240" w:lineRule="auto"/>
      </w:pPr>
      <w:r w:rsidRPr="00D76F95">
        <w:lastRenderedPageBreak/>
        <w:t xml:space="preserve">The </w:t>
      </w:r>
      <w:r w:rsidRPr="00587B6B">
        <w:t>Australasian Society of Inborn Errors of Metabolism</w:t>
      </w:r>
      <w:r w:rsidRPr="00D76F95">
        <w:t xml:space="preserve"> highlighted that certain rare genetic conditions (e.g. </w:t>
      </w:r>
      <w:r w:rsidR="00DA7E03" w:rsidRPr="00DA7E03">
        <w:t xml:space="preserve">pyridoxamine 5'-phosphate oxidase </w:t>
      </w:r>
      <w:r w:rsidR="00DA7E03">
        <w:t>(</w:t>
      </w:r>
      <w:proofErr w:type="spellStart"/>
      <w:r w:rsidRPr="00D76F95">
        <w:t>PNPO</w:t>
      </w:r>
      <w:proofErr w:type="spellEnd"/>
      <w:r w:rsidR="00DA7E03">
        <w:t>)</w:t>
      </w:r>
      <w:r w:rsidRPr="00D76F95">
        <w:t xml:space="preserve"> deficiency, pyridoxine-dependent epilepsy) require high-dose vitamin </w:t>
      </w:r>
      <w:proofErr w:type="spellStart"/>
      <w:r w:rsidRPr="00D76F95">
        <w:t>B6</w:t>
      </w:r>
      <w:proofErr w:type="spellEnd"/>
      <w:r w:rsidRPr="00D76F95">
        <w:t xml:space="preserve"> under specialist supervision. They recommended exceptions to the guidelines for these cases. </w:t>
      </w:r>
      <w:proofErr w:type="spellStart"/>
      <w:r w:rsidRPr="00D76F95">
        <w:t>PNPO</w:t>
      </w:r>
      <w:proofErr w:type="spellEnd"/>
      <w:r w:rsidRPr="00D76F95">
        <w:t xml:space="preserve"> deficiency and pyridoxine-dependent epilepsy are diagnosed and managed by </w:t>
      </w:r>
      <w:r w:rsidR="00DA7E03">
        <w:t xml:space="preserve">medical </w:t>
      </w:r>
      <w:r w:rsidRPr="00D76F95">
        <w:t xml:space="preserve">specialists in neurology, genetics, paediatrics and neonatal care. My decision to schedule vitamin </w:t>
      </w:r>
      <w:proofErr w:type="spellStart"/>
      <w:r w:rsidR="00DA7E03">
        <w:t>B6</w:t>
      </w:r>
      <w:proofErr w:type="spellEnd"/>
      <w:r w:rsidR="00DA7E03">
        <w:t xml:space="preserve"> </w:t>
      </w:r>
      <w:r w:rsidRPr="00D76F95">
        <w:t xml:space="preserve">preparations as above does not impact availability under </w:t>
      </w:r>
      <w:r w:rsidR="00DA7E03">
        <w:t>specialist medical</w:t>
      </w:r>
      <w:r w:rsidR="00DA7E03" w:rsidRPr="00D76F95">
        <w:t xml:space="preserve"> </w:t>
      </w:r>
      <w:r w:rsidRPr="00D76F95">
        <w:t>care.</w:t>
      </w:r>
    </w:p>
    <w:p w14:paraId="22857736" w14:textId="69A09DFE" w:rsidR="00BB0555" w:rsidRDefault="00BB0555" w:rsidP="00B15CDC">
      <w:r>
        <w:t xml:space="preserve">Several individual submissions raised the differential adverse effects of different vitamers of vitamin </w:t>
      </w:r>
      <w:proofErr w:type="spellStart"/>
      <w:r>
        <w:t>B6</w:t>
      </w:r>
      <w:proofErr w:type="spellEnd"/>
      <w:r>
        <w:t xml:space="preserve">, and proposed dose restriction be limited to pyridoxine only, and not pyridoxal-5-phosphate. The different effects of different vitamers and individual variations in vitamin </w:t>
      </w:r>
      <w:proofErr w:type="spellStart"/>
      <w:r>
        <w:t>B6</w:t>
      </w:r>
      <w:proofErr w:type="spellEnd"/>
      <w:r>
        <w:t xml:space="preserve"> </w:t>
      </w:r>
      <w:r w:rsidR="002144F3">
        <w:t>metabolism</w:t>
      </w:r>
      <w:r>
        <w:t xml:space="preserve"> were </w:t>
      </w:r>
      <w:r w:rsidR="002144F3">
        <w:t>considered</w:t>
      </w:r>
      <w:r>
        <w:t xml:space="preserve"> in my </w:t>
      </w:r>
      <w:r w:rsidR="002144F3">
        <w:t>interim</w:t>
      </w:r>
      <w:r>
        <w:t xml:space="preserve"> decision. However, these findings are preliminary and at best indicative of a </w:t>
      </w:r>
      <w:r w:rsidR="00DA7E03">
        <w:t xml:space="preserve">possibly </w:t>
      </w:r>
      <w:r>
        <w:t>better safety profile for pyridoxine.</w:t>
      </w:r>
      <w:r w:rsidR="004F0304">
        <w:rPr>
          <w:rStyle w:val="FootnoteReference"/>
        </w:rPr>
        <w:footnoteReference w:id="13"/>
      </w:r>
      <w:r w:rsidR="004F0304">
        <w:rPr>
          <w:vertAlign w:val="superscript"/>
        </w:rPr>
        <w:t>,</w:t>
      </w:r>
      <w:r w:rsidR="004F0304">
        <w:rPr>
          <w:rStyle w:val="FootnoteReference"/>
        </w:rPr>
        <w:footnoteReference w:id="14"/>
      </w:r>
      <w:r>
        <w:t xml:space="preserve"> The TGA will continue to monitor the safety profile for all the vitamers of vitamin </w:t>
      </w:r>
      <w:proofErr w:type="spellStart"/>
      <w:r>
        <w:t>B6</w:t>
      </w:r>
      <w:proofErr w:type="spellEnd"/>
      <w:r>
        <w:t xml:space="preserve"> that are approved for use in medicines.</w:t>
      </w:r>
    </w:p>
    <w:p w14:paraId="40CB2E7B" w14:textId="6F416FE9" w:rsidR="006C37D3" w:rsidRDefault="006C37D3" w:rsidP="006C37D3">
      <w:r w:rsidRPr="00D86B46">
        <w:rPr>
          <w:color w:val="auto"/>
        </w:rPr>
        <w:t xml:space="preserve">Several naturopaths, nutritionists and one association </w:t>
      </w:r>
      <w:r w:rsidRPr="00587B6B">
        <w:rPr>
          <w:color w:val="auto"/>
        </w:rPr>
        <w:t>(Australasian Association and Register of Practicing Nutritionists)</w:t>
      </w:r>
      <w:r w:rsidRPr="00D86B46">
        <w:rPr>
          <w:color w:val="auto"/>
        </w:rPr>
        <w:t xml:space="preserve"> raised that allowing only pharmacist</w:t>
      </w:r>
      <w:r w:rsidR="00745A83">
        <w:rPr>
          <w:color w:val="auto"/>
        </w:rPr>
        <w:t>s</w:t>
      </w:r>
      <w:r w:rsidRPr="00D86B46">
        <w:rPr>
          <w:color w:val="auto"/>
        </w:rPr>
        <w:t xml:space="preserve"> to dispense medicines containing more than 50 mg of vitamin </w:t>
      </w:r>
      <w:proofErr w:type="spellStart"/>
      <w:r w:rsidRPr="00D86B46">
        <w:rPr>
          <w:color w:val="auto"/>
        </w:rPr>
        <w:t>B6</w:t>
      </w:r>
      <w:proofErr w:type="spellEnd"/>
      <w:r w:rsidRPr="00D86B46">
        <w:rPr>
          <w:color w:val="auto"/>
        </w:rPr>
        <w:t xml:space="preserve"> is not optimal. These submissions argued that </w:t>
      </w:r>
      <w:r w:rsidRPr="008777D0">
        <w:t xml:space="preserve">pharmacists may not have sufficient training in clinical nutrition to safely manage higher-dose vitamin </w:t>
      </w:r>
      <w:proofErr w:type="spellStart"/>
      <w:r w:rsidRPr="008777D0">
        <w:t>B6</w:t>
      </w:r>
      <w:proofErr w:type="spellEnd"/>
      <w:r w:rsidRPr="008777D0">
        <w:t xml:space="preserve"> products.</w:t>
      </w:r>
      <w:r w:rsidRPr="00D86B46">
        <w:rPr>
          <w:color w:val="auto"/>
        </w:rPr>
        <w:t xml:space="preserve"> Instead, they recommended establishing a formal ‘Practitioner Only’ category for the supply of high potency or high-risk supplements under the guidance of a qualified health professional such as </w:t>
      </w:r>
      <w:r w:rsidR="00DA7E03">
        <w:rPr>
          <w:color w:val="auto"/>
        </w:rPr>
        <w:t xml:space="preserve">a </w:t>
      </w:r>
      <w:r w:rsidRPr="00D86B46">
        <w:rPr>
          <w:color w:val="auto"/>
        </w:rPr>
        <w:t>registered herbalist, naturopath or nutritionist. Such a change i</w:t>
      </w:r>
      <w:r w:rsidR="004A3141">
        <w:rPr>
          <w:color w:val="auto"/>
        </w:rPr>
        <w:t>s</w:t>
      </w:r>
      <w:r w:rsidRPr="00D86B46">
        <w:rPr>
          <w:color w:val="auto"/>
        </w:rPr>
        <w:t xml:space="preserve"> beyond the scope of the current scheduling </w:t>
      </w:r>
      <w:r w:rsidR="00745A83">
        <w:rPr>
          <w:color w:val="auto"/>
        </w:rPr>
        <w:t>framework</w:t>
      </w:r>
      <w:r w:rsidRPr="00D86B46">
        <w:rPr>
          <w:color w:val="auto"/>
        </w:rPr>
        <w:t xml:space="preserve">. I acknowledge the need for </w:t>
      </w:r>
      <w:r w:rsidR="00DA7E03" w:rsidRPr="00D86B46">
        <w:rPr>
          <w:color w:val="auto"/>
        </w:rPr>
        <w:t xml:space="preserve">adequate </w:t>
      </w:r>
      <w:r w:rsidR="00DA7E03">
        <w:rPr>
          <w:color w:val="auto"/>
        </w:rPr>
        <w:t xml:space="preserve">education, </w:t>
      </w:r>
      <w:r w:rsidRPr="00D86B46">
        <w:rPr>
          <w:color w:val="auto"/>
        </w:rPr>
        <w:t xml:space="preserve">training and support for pharmacists for </w:t>
      </w:r>
      <w:r w:rsidR="000965C9">
        <w:rPr>
          <w:color w:val="auto"/>
        </w:rPr>
        <w:t>this</w:t>
      </w:r>
      <w:r w:rsidRPr="00D86B46">
        <w:rPr>
          <w:color w:val="auto"/>
        </w:rPr>
        <w:t xml:space="preserve"> decision.</w:t>
      </w:r>
    </w:p>
    <w:p w14:paraId="5F525C1E" w14:textId="107ADD6E" w:rsidR="000F4D35" w:rsidRDefault="00B04BAC" w:rsidP="00B04BAC">
      <w:r w:rsidRPr="008777D0">
        <w:t xml:space="preserve">There </w:t>
      </w:r>
      <w:r w:rsidR="000965C9">
        <w:t>wa</w:t>
      </w:r>
      <w:r w:rsidRPr="008777D0">
        <w:t xml:space="preserve">s widespread agreement </w:t>
      </w:r>
      <w:r w:rsidR="00FA1883">
        <w:t xml:space="preserve">in the submissions for </w:t>
      </w:r>
      <w:r w:rsidRPr="008777D0">
        <w:t xml:space="preserve">the need for clearer labelling, including mandatory front-of-pack statements indicating the presence of vitamin </w:t>
      </w:r>
      <w:proofErr w:type="spellStart"/>
      <w:r w:rsidRPr="008777D0">
        <w:t>B6</w:t>
      </w:r>
      <w:proofErr w:type="spellEnd"/>
      <w:r w:rsidRPr="008777D0">
        <w:t>, especially in combination products.</w:t>
      </w:r>
      <w:r>
        <w:t xml:space="preserve"> M</w:t>
      </w:r>
      <w:r w:rsidR="008C72CC" w:rsidRPr="005D5F5A">
        <w:t xml:space="preserve">any people </w:t>
      </w:r>
      <w:r w:rsidR="00917848">
        <w:t>mentioned being</w:t>
      </w:r>
      <w:r w:rsidR="008C72CC" w:rsidRPr="005D5F5A">
        <w:t xml:space="preserve"> unaware </w:t>
      </w:r>
      <w:r w:rsidR="00917848">
        <w:t>of</w:t>
      </w:r>
      <w:r w:rsidR="008C72CC" w:rsidRPr="005D5F5A">
        <w:t xml:space="preserve"> </w:t>
      </w:r>
      <w:r w:rsidR="00917848">
        <w:t xml:space="preserve">vitamin </w:t>
      </w:r>
      <w:proofErr w:type="spellStart"/>
      <w:r w:rsidR="008C72CC" w:rsidRPr="005D5F5A">
        <w:t>B6</w:t>
      </w:r>
      <w:proofErr w:type="spellEnd"/>
      <w:r w:rsidR="008C72CC" w:rsidRPr="005D5F5A">
        <w:t xml:space="preserve"> in </w:t>
      </w:r>
      <w:r w:rsidR="00917848">
        <w:t xml:space="preserve">various </w:t>
      </w:r>
      <w:r w:rsidR="008C72CC" w:rsidRPr="005D5F5A">
        <w:t xml:space="preserve">products </w:t>
      </w:r>
      <w:r w:rsidR="008C72CC">
        <w:t xml:space="preserve">resulting in </w:t>
      </w:r>
      <w:r w:rsidR="0087126A" w:rsidRPr="005D5F5A">
        <w:t xml:space="preserve">cumulative exposure from multiple </w:t>
      </w:r>
      <w:r w:rsidR="00A57AAB">
        <w:t>sources</w:t>
      </w:r>
      <w:r w:rsidR="0087126A" w:rsidRPr="005D5F5A">
        <w:t>.</w:t>
      </w:r>
      <w:r w:rsidR="008F7DD0">
        <w:t xml:space="preserve"> </w:t>
      </w:r>
      <w:r w:rsidR="008201BE">
        <w:t xml:space="preserve">There were also </w:t>
      </w:r>
      <w:r w:rsidR="00C80BE7">
        <w:t xml:space="preserve">repeated </w:t>
      </w:r>
      <w:r w:rsidR="000B49E1">
        <w:t>calls</w:t>
      </w:r>
      <w:r w:rsidR="008201BE">
        <w:t xml:space="preserve"> for </w:t>
      </w:r>
      <w:r w:rsidR="00AB36C9">
        <w:t xml:space="preserve">stronger warnings </w:t>
      </w:r>
      <w:r w:rsidR="003771A3">
        <w:t>regarding</w:t>
      </w:r>
      <w:r w:rsidR="00134036">
        <w:t xml:space="preserve"> neurotoxicity and </w:t>
      </w:r>
      <w:r w:rsidR="003771A3">
        <w:t xml:space="preserve">educational programs to raise </w:t>
      </w:r>
      <w:r w:rsidR="00A54B6D">
        <w:t xml:space="preserve">awareness </w:t>
      </w:r>
      <w:r w:rsidR="003771A3">
        <w:t xml:space="preserve">of </w:t>
      </w:r>
      <w:r w:rsidR="00E502FD">
        <w:t>possible over</w:t>
      </w:r>
      <w:r w:rsidR="000A1AAC">
        <w:t xml:space="preserve">exposure to vitamin </w:t>
      </w:r>
      <w:proofErr w:type="spellStart"/>
      <w:r w:rsidR="000A1AAC">
        <w:t>B6</w:t>
      </w:r>
      <w:proofErr w:type="spellEnd"/>
      <w:r w:rsidR="000A1AAC">
        <w:t>, particularly from multiple sources</w:t>
      </w:r>
      <w:r w:rsidR="00E502FD">
        <w:t xml:space="preserve">, and associated </w:t>
      </w:r>
      <w:r w:rsidR="00FC51EE">
        <w:t>adverse effects.</w:t>
      </w:r>
      <w:r w:rsidR="00881EE1">
        <w:t xml:space="preserve"> </w:t>
      </w:r>
      <w:r w:rsidR="00C80BE7">
        <w:t>To help address this health literacy gap, t</w:t>
      </w:r>
      <w:r w:rsidR="004A1CC7" w:rsidRPr="00D86B46">
        <w:rPr>
          <w:color w:val="auto"/>
        </w:rPr>
        <w:t xml:space="preserve">he TGA will </w:t>
      </w:r>
      <w:r w:rsidR="0052545D">
        <w:rPr>
          <w:color w:val="auto"/>
        </w:rPr>
        <w:t xml:space="preserve">run a public </w:t>
      </w:r>
      <w:r w:rsidR="004A1CC7" w:rsidRPr="00D86B46">
        <w:rPr>
          <w:color w:val="auto"/>
        </w:rPr>
        <w:t xml:space="preserve">awareness </w:t>
      </w:r>
      <w:r w:rsidR="0052545D">
        <w:rPr>
          <w:color w:val="auto"/>
        </w:rPr>
        <w:t xml:space="preserve">campaign to educate consumers about </w:t>
      </w:r>
      <w:r w:rsidR="004A1CC7" w:rsidRPr="00D86B46">
        <w:rPr>
          <w:color w:val="auto"/>
        </w:rPr>
        <w:t xml:space="preserve">the </w:t>
      </w:r>
      <w:r w:rsidR="00232E6D">
        <w:rPr>
          <w:color w:val="auto"/>
        </w:rPr>
        <w:t>multiple</w:t>
      </w:r>
      <w:r w:rsidR="004A1CC7" w:rsidRPr="00D86B46">
        <w:rPr>
          <w:color w:val="auto"/>
        </w:rPr>
        <w:t xml:space="preserve"> sources of vitamin </w:t>
      </w:r>
      <w:proofErr w:type="spellStart"/>
      <w:r w:rsidR="004A1CC7" w:rsidRPr="00D86B46">
        <w:rPr>
          <w:color w:val="auto"/>
        </w:rPr>
        <w:t>B6</w:t>
      </w:r>
      <w:proofErr w:type="spellEnd"/>
      <w:r w:rsidR="004A1CC7" w:rsidRPr="00D86B46">
        <w:rPr>
          <w:color w:val="auto"/>
        </w:rPr>
        <w:t xml:space="preserve"> and possible harms from </w:t>
      </w:r>
      <w:r w:rsidR="006C2068">
        <w:rPr>
          <w:color w:val="auto"/>
        </w:rPr>
        <w:t xml:space="preserve">cumulative dose and </w:t>
      </w:r>
      <w:r w:rsidR="004A1CC7" w:rsidRPr="00D86B46">
        <w:rPr>
          <w:color w:val="auto"/>
        </w:rPr>
        <w:t>excessive intake</w:t>
      </w:r>
      <w:r w:rsidR="006C2068">
        <w:rPr>
          <w:color w:val="auto"/>
        </w:rPr>
        <w:t>.</w:t>
      </w:r>
      <w:r w:rsidR="0052545D">
        <w:rPr>
          <w:color w:val="auto"/>
        </w:rPr>
        <w:t xml:space="preserve"> In the lead up to the changes taking effect, the TGA will run a further public awareness campaign.</w:t>
      </w:r>
      <w:r w:rsidR="004A1CC7">
        <w:rPr>
          <w:color w:val="ED7D31" w:themeColor="accent2"/>
        </w:rPr>
        <w:t xml:space="preserve"> </w:t>
      </w:r>
      <w:r w:rsidR="00881EE1" w:rsidRPr="00D86B46">
        <w:rPr>
          <w:color w:val="auto"/>
        </w:rPr>
        <w:t>It is pleasing to note that several peak bodies, industry</w:t>
      </w:r>
      <w:r w:rsidR="00DA7E03">
        <w:rPr>
          <w:color w:val="auto"/>
        </w:rPr>
        <w:t>,</w:t>
      </w:r>
      <w:r w:rsidR="00881EE1" w:rsidRPr="00D86B46">
        <w:rPr>
          <w:color w:val="auto"/>
        </w:rPr>
        <w:t xml:space="preserve"> and organisations </w:t>
      </w:r>
      <w:r w:rsidR="0052545D">
        <w:rPr>
          <w:color w:val="auto"/>
        </w:rPr>
        <w:t>are</w:t>
      </w:r>
      <w:r w:rsidR="0052545D" w:rsidRPr="00D86B46">
        <w:rPr>
          <w:color w:val="auto"/>
        </w:rPr>
        <w:t xml:space="preserve"> </w:t>
      </w:r>
      <w:r w:rsidR="003A57DF">
        <w:rPr>
          <w:color w:val="auto"/>
        </w:rPr>
        <w:t xml:space="preserve">supportive </w:t>
      </w:r>
      <w:r w:rsidR="0052545D">
        <w:rPr>
          <w:color w:val="auto"/>
        </w:rPr>
        <w:t xml:space="preserve">of the </w:t>
      </w:r>
      <w:r w:rsidR="003A57DF">
        <w:rPr>
          <w:color w:val="auto"/>
        </w:rPr>
        <w:t>need for further</w:t>
      </w:r>
      <w:r w:rsidR="00881EE1" w:rsidRPr="00D86B46">
        <w:rPr>
          <w:color w:val="auto"/>
        </w:rPr>
        <w:t xml:space="preserve"> </w:t>
      </w:r>
      <w:r w:rsidR="0052545D">
        <w:rPr>
          <w:color w:val="auto"/>
        </w:rPr>
        <w:t xml:space="preserve">consumer and health professional </w:t>
      </w:r>
      <w:r w:rsidR="00881EE1" w:rsidRPr="00D86B46">
        <w:rPr>
          <w:color w:val="auto"/>
        </w:rPr>
        <w:t xml:space="preserve">educational material. </w:t>
      </w:r>
      <w:r w:rsidR="00881EE1">
        <w:t>I encourage the industry</w:t>
      </w:r>
      <w:r w:rsidR="00535788">
        <w:t>,</w:t>
      </w:r>
      <w:r w:rsidR="00881EE1">
        <w:t xml:space="preserve"> profession</w:t>
      </w:r>
      <w:r w:rsidR="00535788">
        <w:t>al</w:t>
      </w:r>
      <w:r w:rsidR="00881EE1">
        <w:t xml:space="preserve"> </w:t>
      </w:r>
      <w:r w:rsidR="00535788">
        <w:t>organisations</w:t>
      </w:r>
      <w:r w:rsidR="00881EE1">
        <w:t xml:space="preserve"> and consumer peak bodies to work together towards </w:t>
      </w:r>
      <w:r w:rsidR="0065543A">
        <w:t xml:space="preserve">educating </w:t>
      </w:r>
      <w:r w:rsidR="00881EE1">
        <w:t xml:space="preserve">Australian </w:t>
      </w:r>
      <w:r w:rsidR="0065543A">
        <w:t>consumers on the safe use of complementary medicines</w:t>
      </w:r>
      <w:r w:rsidR="00881EE1">
        <w:t>.</w:t>
      </w:r>
    </w:p>
    <w:p w14:paraId="74D74A35" w14:textId="0B5E1A2D" w:rsidR="002E66C0" w:rsidRDefault="00261F0D" w:rsidP="007F5946">
      <w:r>
        <w:t>Currently</w:t>
      </w:r>
      <w:r w:rsidR="00FB57F3">
        <w:t>,</w:t>
      </w:r>
      <w:r>
        <w:t xml:space="preserve"> there are </w:t>
      </w:r>
      <w:r w:rsidR="004F0304">
        <w:t>at least 125</w:t>
      </w:r>
      <w:r w:rsidR="00FB57F3">
        <w:t xml:space="preserve"> medicines providing more than </w:t>
      </w:r>
      <w:r w:rsidR="00BB52EB">
        <w:t>50 mg but less than 200 mg vitamin</w:t>
      </w:r>
      <w:r w:rsidR="00D268AE">
        <w:t> </w:t>
      </w:r>
      <w:proofErr w:type="spellStart"/>
      <w:r w:rsidR="00BB52EB">
        <w:t>B6</w:t>
      </w:r>
      <w:proofErr w:type="spellEnd"/>
      <w:r w:rsidR="00BB52EB">
        <w:t xml:space="preserve"> per </w:t>
      </w:r>
      <w:r w:rsidR="009C3EEE">
        <w:t xml:space="preserve">maximum </w:t>
      </w:r>
      <w:proofErr w:type="spellStart"/>
      <w:r w:rsidR="00BB52EB">
        <w:t>RDD</w:t>
      </w:r>
      <w:proofErr w:type="spellEnd"/>
      <w:r w:rsidR="00BB52EB">
        <w:t xml:space="preserve">. </w:t>
      </w:r>
      <w:r w:rsidR="00AD016D">
        <w:t xml:space="preserve">Of these, </w:t>
      </w:r>
      <w:r w:rsidR="004F0304">
        <w:t>116</w:t>
      </w:r>
      <w:r w:rsidR="00AD016D">
        <w:t xml:space="preserve"> are listed complementary medicines. </w:t>
      </w:r>
      <w:r w:rsidR="00071A39">
        <w:t>To</w:t>
      </w:r>
      <w:r w:rsidR="0069089E">
        <w:t xml:space="preserve"> </w:t>
      </w:r>
      <w:r w:rsidR="002E66C0">
        <w:t xml:space="preserve">continue to be available on the Australian </w:t>
      </w:r>
      <w:r w:rsidR="0069089E">
        <w:t>market, these</w:t>
      </w:r>
      <w:r w:rsidR="00BB52EB">
        <w:t xml:space="preserve"> medicines will need to be </w:t>
      </w:r>
      <w:r w:rsidR="00AD016D">
        <w:t>registered on the A</w:t>
      </w:r>
      <w:r w:rsidR="00071A39">
        <w:t xml:space="preserve">ustralian </w:t>
      </w:r>
      <w:r w:rsidR="00AD016D">
        <w:t>R</w:t>
      </w:r>
      <w:r w:rsidR="00071A39">
        <w:t xml:space="preserve">egister of </w:t>
      </w:r>
      <w:r w:rsidR="00AD016D">
        <w:t>T</w:t>
      </w:r>
      <w:r w:rsidR="00071A39">
        <w:t xml:space="preserve">herapeutic </w:t>
      </w:r>
      <w:r w:rsidR="00AD016D">
        <w:t>G</w:t>
      </w:r>
      <w:r w:rsidR="00071A39">
        <w:t>oods</w:t>
      </w:r>
      <w:r w:rsidR="00AD016D">
        <w:t xml:space="preserve"> and </w:t>
      </w:r>
      <w:r w:rsidR="0069089E">
        <w:t xml:space="preserve">their labels </w:t>
      </w:r>
      <w:r w:rsidR="002E66C0">
        <w:t>updated</w:t>
      </w:r>
      <w:r w:rsidR="0069089E">
        <w:t xml:space="preserve">. Further labelling changes </w:t>
      </w:r>
      <w:r w:rsidR="003D7A92">
        <w:t>may also be required</w:t>
      </w:r>
      <w:r w:rsidR="002D1886">
        <w:t>,</w:t>
      </w:r>
      <w:r w:rsidR="003D7A92">
        <w:t xml:space="preserve"> should the TGA decide to strengthen </w:t>
      </w:r>
      <w:r w:rsidR="00071A39">
        <w:t xml:space="preserve">the </w:t>
      </w:r>
      <w:r w:rsidR="00A264B0">
        <w:t xml:space="preserve">warning statements </w:t>
      </w:r>
      <w:r w:rsidR="007B14C8">
        <w:t xml:space="preserve">required and </w:t>
      </w:r>
      <w:r w:rsidR="00541EF0">
        <w:t xml:space="preserve">change how </w:t>
      </w:r>
      <w:r w:rsidR="00A264B0">
        <w:t>vitamin</w:t>
      </w:r>
      <w:r w:rsidR="00CF3BB1">
        <w:t> </w:t>
      </w:r>
      <w:proofErr w:type="spellStart"/>
      <w:r w:rsidR="00A264B0">
        <w:t>B6</w:t>
      </w:r>
      <w:proofErr w:type="spellEnd"/>
      <w:r w:rsidR="00CF3BB1">
        <w:t xml:space="preserve"> </w:t>
      </w:r>
      <w:r w:rsidR="00541EF0">
        <w:t>is labelled on products</w:t>
      </w:r>
      <w:r w:rsidR="00071A39">
        <w:t xml:space="preserve">. </w:t>
      </w:r>
      <w:r w:rsidR="00082648">
        <w:t xml:space="preserve">Lastly, the </w:t>
      </w:r>
      <w:r w:rsidR="0016122B" w:rsidRPr="0016122B">
        <w:t>Therapeutic Goods (Permissible Ingredients) Determination</w:t>
      </w:r>
      <w:r w:rsidR="00082648">
        <w:t xml:space="preserve"> </w:t>
      </w:r>
      <w:r w:rsidR="00823605">
        <w:t xml:space="preserve">(No. 3) 2025 </w:t>
      </w:r>
      <w:r w:rsidR="00082648">
        <w:t>will also need to be amended</w:t>
      </w:r>
      <w:r w:rsidR="0016122B">
        <w:t xml:space="preserve"> to reflect the scheduling changes. </w:t>
      </w:r>
    </w:p>
    <w:p w14:paraId="1FAD9F49" w14:textId="5DDECD0B" w:rsidR="002E66C0" w:rsidRDefault="002E66C0" w:rsidP="002E66C0">
      <w:pPr>
        <w:spacing w:before="240" w:after="180" w:line="240" w:lineRule="atLeast"/>
      </w:pPr>
      <w:r w:rsidRPr="001D0E58">
        <w:t xml:space="preserve">Recently, the NHMRC announced that it has decided to undertake a review of the </w:t>
      </w:r>
      <w:r w:rsidR="00DA7E03" w:rsidRPr="001D0E58">
        <w:t xml:space="preserve">UL </w:t>
      </w:r>
      <w:r w:rsidRPr="001D0E58">
        <w:t xml:space="preserve">of vitamin </w:t>
      </w:r>
      <w:proofErr w:type="spellStart"/>
      <w:r w:rsidRPr="001D0E58">
        <w:t>B6</w:t>
      </w:r>
      <w:proofErr w:type="spellEnd"/>
      <w:r w:rsidRPr="001D0E58">
        <w:t>, anticipated to be completed by early 202</w:t>
      </w:r>
      <w:r w:rsidR="00941F84" w:rsidRPr="001D0E58">
        <w:t>7</w:t>
      </w:r>
      <w:r w:rsidRPr="001D0E58">
        <w:t>.</w:t>
      </w:r>
      <w:r w:rsidR="003A1EEA" w:rsidRPr="001D0E58">
        <w:t xml:space="preserve"> As part of my decision is related to the current </w:t>
      </w:r>
      <w:r w:rsidR="00DA7E03" w:rsidRPr="001D0E58">
        <w:t>UL</w:t>
      </w:r>
      <w:r w:rsidR="003A1EEA" w:rsidRPr="001D0E58">
        <w:t xml:space="preserve"> for </w:t>
      </w:r>
      <w:r w:rsidR="003A1EEA" w:rsidRPr="001D0E58">
        <w:lastRenderedPageBreak/>
        <w:t xml:space="preserve">vitamin </w:t>
      </w:r>
      <w:proofErr w:type="spellStart"/>
      <w:r w:rsidR="003A1EEA" w:rsidRPr="001D0E58">
        <w:t>B6</w:t>
      </w:r>
      <w:proofErr w:type="spellEnd"/>
      <w:r w:rsidR="003A1EEA" w:rsidRPr="001D0E58">
        <w:t xml:space="preserve"> in Australia, should there be a change following the </w:t>
      </w:r>
      <w:r w:rsidRPr="001D0E58">
        <w:t xml:space="preserve">NHMRC </w:t>
      </w:r>
      <w:r w:rsidR="003A1EEA" w:rsidRPr="001D0E58">
        <w:t>review</w:t>
      </w:r>
      <w:r w:rsidRPr="001D0E58">
        <w:t xml:space="preserve">, </w:t>
      </w:r>
      <w:r w:rsidR="003A1EEA" w:rsidRPr="001D0E58">
        <w:t>the appropriateness of the new limits in this Final Decision will be re-evaluated</w:t>
      </w:r>
      <w:r w:rsidRPr="001D0E58">
        <w:t>.</w:t>
      </w:r>
    </w:p>
    <w:p w14:paraId="710DFE1B" w14:textId="14842761" w:rsidR="007F5946" w:rsidRDefault="003A1EEA" w:rsidP="007F5946">
      <w:r>
        <w:t>In con</w:t>
      </w:r>
      <w:r w:rsidR="004964D9">
        <w:t xml:space="preserve">sideration of the </w:t>
      </w:r>
      <w:r w:rsidR="00531221">
        <w:t>corresponding</w:t>
      </w:r>
      <w:r w:rsidR="004964D9">
        <w:t xml:space="preserve"> regulatory changes that need </w:t>
      </w:r>
      <w:r w:rsidR="00DA7E03">
        <w:t xml:space="preserve">to be actioned </w:t>
      </w:r>
      <w:r w:rsidR="004964D9">
        <w:t>outside of scheduling</w:t>
      </w:r>
      <w:r w:rsidR="00DA7E03">
        <w:t>,</w:t>
      </w:r>
      <w:r w:rsidR="004964D9">
        <w:t xml:space="preserve"> </w:t>
      </w:r>
      <w:r w:rsidR="00E2089C">
        <w:t xml:space="preserve">and </w:t>
      </w:r>
      <w:r w:rsidR="004964D9">
        <w:t xml:space="preserve">timeframes </w:t>
      </w:r>
      <w:r w:rsidR="002A38E6">
        <w:t xml:space="preserve">for industry to </w:t>
      </w:r>
      <w:r w:rsidR="00681DB6">
        <w:t>make decisions regarding affected products</w:t>
      </w:r>
      <w:r w:rsidR="00A6648C">
        <w:t xml:space="preserve">, I have decided </w:t>
      </w:r>
      <w:r w:rsidR="002E66C0">
        <w:t>to extend the implementation date from my interim decision</w:t>
      </w:r>
      <w:r w:rsidR="00B34C6F">
        <w:t>.</w:t>
      </w:r>
    </w:p>
    <w:p w14:paraId="7FDDD9BC" w14:textId="77777777" w:rsidR="00AD3544" w:rsidRPr="00E42057" w:rsidRDefault="00AD3544" w:rsidP="009338F3">
      <w:pPr>
        <w:pStyle w:val="Heading4"/>
      </w:pPr>
      <w:bookmarkStart w:id="39" w:name="_Toc97640264"/>
      <w:r w:rsidRPr="00E42057">
        <w:t>Implementation date</w:t>
      </w:r>
    </w:p>
    <w:bookmarkEnd w:id="39"/>
    <w:p w14:paraId="3C558439" w14:textId="3F6423EF" w:rsidR="006D3049" w:rsidRPr="00EE2006" w:rsidRDefault="00B34C6F" w:rsidP="00717E1E">
      <w:pPr>
        <w:sectPr w:rsidR="006D3049" w:rsidRPr="00EE2006" w:rsidSect="008C6CF9">
          <w:headerReference w:type="even" r:id="rId25"/>
          <w:headerReference w:type="default" r:id="rId26"/>
          <w:footerReference w:type="default" r:id="rId27"/>
          <w:headerReference w:type="first" r:id="rId28"/>
          <w:pgSz w:w="11906" w:h="16838" w:code="9"/>
          <w:pgMar w:top="1418" w:right="1418" w:bottom="1843" w:left="1418" w:header="573" w:footer="567" w:gutter="0"/>
          <w:cols w:space="708"/>
          <w:docGrid w:linePitch="360"/>
        </w:sectPr>
      </w:pPr>
      <w:r>
        <w:t xml:space="preserve">1 </w:t>
      </w:r>
      <w:r w:rsidR="00DA7E03">
        <w:t xml:space="preserve">June </w:t>
      </w:r>
      <w:r w:rsidR="00B645C4">
        <w:t>202</w:t>
      </w:r>
      <w:r w:rsidR="001045FF">
        <w:t>7</w:t>
      </w:r>
      <w:r w:rsidR="00B645C4">
        <w:t>.</w:t>
      </w:r>
      <w:r w:rsidR="006D3049">
        <w:br w:type="page"/>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39763B05" w:rsidR="00F02AEC" w:rsidRPr="005E3E9A" w:rsidRDefault="00F02AEC" w:rsidP="00300CBB">
            <w:pPr>
              <w:pStyle w:val="Address"/>
              <w:jc w:val="center"/>
              <w:rPr>
                <w:color w:val="auto"/>
                <w:sz w:val="22"/>
              </w:rPr>
            </w:pPr>
            <w:r w:rsidRPr="005E3E9A">
              <w:rPr>
                <w:color w:val="auto"/>
              </w:rPr>
              <w:t>Email</w:t>
            </w:r>
            <w:r w:rsidRPr="00215D48">
              <w:t xml:space="preserve">: </w:t>
            </w:r>
            <w:hyperlink r:id="rId29" w:history="1">
              <w:r w:rsidRPr="00215D48">
                <w:rPr>
                  <w:rStyle w:val="Hyperlink"/>
                </w:rPr>
                <w:t>info@tga.gov.au</w:t>
              </w:r>
            </w:hyperlink>
            <w:r w:rsidRPr="00215D48">
              <w:t xml:space="preserve">  </w:t>
            </w:r>
            <w:r w:rsidRPr="005E3E9A">
              <w:rPr>
                <w:color w:val="auto"/>
              </w:rPr>
              <w:t>Phone: 1800 020 653 Fax: 02 6203 1605</w:t>
            </w:r>
          </w:p>
          <w:p w14:paraId="49F7061A" w14:textId="77777777" w:rsidR="00F02AEC" w:rsidRPr="00215D48" w:rsidRDefault="00F02AEC" w:rsidP="00300CBB">
            <w:pPr>
              <w:pStyle w:val="Address"/>
              <w:jc w:val="center"/>
              <w:rPr>
                <w:rStyle w:val="Hyperlink"/>
                <w:b/>
                <w:color w:val="auto"/>
                <w:sz w:val="22"/>
              </w:rPr>
            </w:pPr>
            <w:hyperlink r:id="rId30" w:history="1">
              <w:r w:rsidRPr="00C4721A">
                <w:rPr>
                  <w:rStyle w:val="Hyperlink"/>
                  <w:b/>
                </w:rPr>
                <w:t>https://www.tga.gov.au</w:t>
              </w:r>
            </w:hyperlink>
          </w:p>
        </w:tc>
      </w:tr>
    </w:tbl>
    <w:p w14:paraId="221B1587" w14:textId="77777777" w:rsidR="004B4802" w:rsidRDefault="004B4802" w:rsidP="00967490"/>
    <w:sectPr w:rsidR="004B4802" w:rsidSect="00AE7C6A">
      <w:headerReference w:type="even" r:id="rId31"/>
      <w:headerReference w:type="default" r:id="rId32"/>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0E9C" w14:textId="77777777" w:rsidR="00431018" w:rsidRDefault="00431018" w:rsidP="00967490">
      <w:r>
        <w:separator/>
      </w:r>
    </w:p>
    <w:p w14:paraId="59FC3A2E" w14:textId="77777777" w:rsidR="00431018" w:rsidRDefault="00431018" w:rsidP="00967490"/>
    <w:p w14:paraId="3C50E9CD" w14:textId="77777777" w:rsidR="00431018" w:rsidRDefault="00431018" w:rsidP="00967490"/>
  </w:endnote>
  <w:endnote w:type="continuationSeparator" w:id="0">
    <w:p w14:paraId="6024C9BC" w14:textId="77777777" w:rsidR="00431018" w:rsidRDefault="00431018" w:rsidP="00967490">
      <w:r>
        <w:continuationSeparator/>
      </w:r>
    </w:p>
    <w:p w14:paraId="7E5C0AAF" w14:textId="77777777" w:rsidR="00431018" w:rsidRDefault="00431018" w:rsidP="00967490"/>
    <w:p w14:paraId="2C12D02A" w14:textId="77777777" w:rsidR="00431018" w:rsidRDefault="00431018"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6086" w14:textId="20B1687D" w:rsidR="00717E1E" w:rsidRDefault="00717E1E">
    <w:pPr>
      <w:pStyle w:val="Footer"/>
    </w:pPr>
    <w:r>
      <w:rPr>
        <w:noProof/>
      </w:rPr>
      <mc:AlternateContent>
        <mc:Choice Requires="wps">
          <w:drawing>
            <wp:anchor distT="0" distB="0" distL="0" distR="0" simplePos="0" relativeHeight="251658243" behindDoc="0" locked="0" layoutInCell="1" allowOverlap="1" wp14:anchorId="5102511C" wp14:editId="24A0F718">
              <wp:simplePos x="635" y="635"/>
              <wp:positionH relativeFrom="page">
                <wp:align>center</wp:align>
              </wp:positionH>
              <wp:positionV relativeFrom="page">
                <wp:align>bottom</wp:align>
              </wp:positionV>
              <wp:extent cx="551815" cy="391160"/>
              <wp:effectExtent l="0" t="0" r="635" b="0"/>
              <wp:wrapNone/>
              <wp:docPr id="123040649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9884D01" w14:textId="4CFEE62C" w:rsidR="00717E1E" w:rsidRPr="00717E1E" w:rsidRDefault="00717E1E" w:rsidP="00717E1E">
                          <w:pPr>
                            <w:spacing w:after="0"/>
                            <w:rPr>
                              <w:rFonts w:ascii="Calibri" w:eastAsia="Calibri" w:hAnsi="Calibri" w:cs="Calibri"/>
                              <w:noProof/>
                              <w:color w:val="FF0000"/>
                              <w:sz w:val="24"/>
                              <w:szCs w:val="24"/>
                            </w:rPr>
                          </w:pPr>
                          <w:r w:rsidRPr="00717E1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2511C" id="_x0000_t202" coordsize="21600,21600" o:spt="202" path="m,l,21600r21600,l21600,xe">
              <v:stroke joinstyle="miter"/>
              <v:path gradientshapeok="t" o:connecttype="rect"/>
            </v:shapetype>
            <v:shape id="Text Box 8" o:spid="_x0000_s1028"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9884D01" w14:textId="4CFEE62C" w:rsidR="00717E1E" w:rsidRPr="00717E1E" w:rsidRDefault="00717E1E" w:rsidP="00717E1E">
                    <w:pPr>
                      <w:spacing w:after="0"/>
                      <w:rPr>
                        <w:rFonts w:ascii="Calibri" w:eastAsia="Calibri" w:hAnsi="Calibri" w:cs="Calibri"/>
                        <w:noProof/>
                        <w:color w:val="FF0000"/>
                        <w:sz w:val="24"/>
                        <w:szCs w:val="24"/>
                      </w:rPr>
                    </w:pPr>
                    <w:r w:rsidRPr="00717E1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3F915D7B" w:rsidR="00F02AEC" w:rsidRDefault="00717E1E" w:rsidP="00967490">
          <w:pPr>
            <w:pStyle w:val="Footer"/>
          </w:pPr>
          <w:r>
            <w:rPr>
              <w:noProof/>
            </w:rPr>
            <mc:AlternateContent>
              <mc:Choice Requires="wps">
                <w:drawing>
                  <wp:anchor distT="0" distB="0" distL="0" distR="0" simplePos="0" relativeHeight="251658244" behindDoc="0" locked="0" layoutInCell="1" allowOverlap="1" wp14:anchorId="46BC0250" wp14:editId="7EA228E8">
                    <wp:simplePos x="635" y="635"/>
                    <wp:positionH relativeFrom="page">
                      <wp:align>center</wp:align>
                    </wp:positionH>
                    <wp:positionV relativeFrom="page">
                      <wp:align>bottom</wp:align>
                    </wp:positionV>
                    <wp:extent cx="551815" cy="391160"/>
                    <wp:effectExtent l="0" t="0" r="635" b="0"/>
                    <wp:wrapNone/>
                    <wp:docPr id="55998473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78AA0E" w14:textId="4D20BF44" w:rsidR="00717E1E" w:rsidRPr="00717E1E" w:rsidRDefault="00717E1E" w:rsidP="00717E1E">
                                <w:pPr>
                                  <w:spacing w:after="0"/>
                                  <w:rPr>
                                    <w:rFonts w:ascii="Calibri" w:eastAsia="Calibri" w:hAnsi="Calibri" w:cs="Calibri"/>
                                    <w:noProof/>
                                    <w:color w:val="FF0000"/>
                                    <w:sz w:val="24"/>
                                    <w:szCs w:val="24"/>
                                  </w:rPr>
                                </w:pPr>
                                <w:r w:rsidRPr="00717E1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C0250" id="_x0000_t202" coordsize="21600,21600" o:spt="202" path="m,l,21600r21600,l21600,xe">
                    <v:stroke joinstyle="miter"/>
                    <v:path gradientshapeok="t" o:connecttype="rect"/>
                  </v:shapetype>
                  <v:shape id="Text Box 9" o:spid="_x0000_s1029"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4178AA0E" w14:textId="4D20BF44" w:rsidR="00717E1E" w:rsidRPr="00717E1E" w:rsidRDefault="00717E1E" w:rsidP="00717E1E">
                          <w:pPr>
                            <w:spacing w:after="0"/>
                            <w:rPr>
                              <w:rFonts w:ascii="Calibri" w:eastAsia="Calibri" w:hAnsi="Calibri" w:cs="Calibri"/>
                              <w:noProof/>
                              <w:color w:val="FF0000"/>
                              <w:sz w:val="24"/>
                              <w:szCs w:val="24"/>
                            </w:rPr>
                          </w:pPr>
                          <w:r w:rsidRPr="00717E1E">
                            <w:rPr>
                              <w:rFonts w:ascii="Calibri" w:eastAsia="Calibri" w:hAnsi="Calibri" w:cs="Calibri"/>
                              <w:noProof/>
                              <w:color w:val="FF0000"/>
                              <w:sz w:val="24"/>
                              <w:szCs w:val="24"/>
                            </w:rPr>
                            <w:t>OFFICIAL</w:t>
                          </w:r>
                        </w:p>
                      </w:txbxContent>
                    </v:textbox>
                    <w10:wrap anchorx="page" anchory="page"/>
                  </v:shape>
                </w:pict>
              </mc:Fallback>
            </mc:AlternateContent>
          </w: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8080"/>
      <w:gridCol w:w="1275"/>
    </w:tblGrid>
    <w:tr w:rsidR="00F02AEC" w:rsidRPr="00DE78C9" w14:paraId="26871269" w14:textId="77777777" w:rsidTr="0012279C">
      <w:trPr>
        <w:trHeight w:val="423"/>
      </w:trPr>
      <w:tc>
        <w:tcPr>
          <w:tcW w:w="8080" w:type="dxa"/>
          <w:tcBorders>
            <w:top w:val="single" w:sz="4" w:space="0" w:color="auto"/>
          </w:tcBorders>
        </w:tcPr>
        <w:p w14:paraId="5FF3321B" w14:textId="78CF9D16" w:rsidR="00CE580A" w:rsidRPr="006A43EC" w:rsidRDefault="00557AF7" w:rsidP="006A43EC">
          <w:pPr>
            <w:ind w:left="-110"/>
            <w:rPr>
              <w:rFonts w:cs="Arial"/>
              <w:sz w:val="18"/>
              <w:szCs w:val="18"/>
            </w:rPr>
          </w:pPr>
          <w:r w:rsidRPr="0012279C">
            <w:rPr>
              <w:rFonts w:cs="Arial"/>
              <w:sz w:val="18"/>
              <w:szCs w:val="18"/>
            </w:rPr>
            <w:t xml:space="preserve">Notice of final decision to amend (or not amend) the current Poisons Standard – </w:t>
          </w:r>
          <w:r w:rsidR="00FA0917" w:rsidRPr="0012279C">
            <w:rPr>
              <w:rFonts w:cs="Arial"/>
              <w:sz w:val="18"/>
              <w:szCs w:val="18"/>
            </w:rPr>
            <w:t>pyridoxine, pyridoxal or pyridoxamine (vitamin </w:t>
          </w:r>
          <w:proofErr w:type="spellStart"/>
          <w:r w:rsidR="00FA0917" w:rsidRPr="0012279C">
            <w:rPr>
              <w:rFonts w:cs="Arial"/>
              <w:sz w:val="18"/>
              <w:szCs w:val="18"/>
            </w:rPr>
            <w:t>B6</w:t>
          </w:r>
          <w:proofErr w:type="spellEnd"/>
          <w:r w:rsidR="00FA0917" w:rsidRPr="0012279C">
            <w:rPr>
              <w:rFonts w:cs="Arial"/>
              <w:sz w:val="18"/>
              <w:szCs w:val="18"/>
            </w:rPr>
            <w:t xml:space="preserve">) – November </w:t>
          </w:r>
          <w:r w:rsidR="00CE580A" w:rsidRPr="0012279C">
            <w:rPr>
              <w:rFonts w:cs="Arial"/>
              <w:sz w:val="18"/>
              <w:szCs w:val="18"/>
            </w:rPr>
            <w:t>202</w:t>
          </w:r>
          <w:r w:rsidR="00E21AC7" w:rsidRPr="0012279C">
            <w:rPr>
              <w:rFonts w:cs="Arial"/>
              <w:sz w:val="18"/>
              <w:szCs w:val="18"/>
            </w:rPr>
            <w:t>5</w:t>
          </w:r>
        </w:p>
      </w:tc>
      <w:tc>
        <w:tcPr>
          <w:tcW w:w="1275" w:type="dxa"/>
          <w:tcBorders>
            <w:top w:val="single" w:sz="4" w:space="0" w:color="auto"/>
          </w:tcBorders>
        </w:tcPr>
        <w:sdt>
          <w:sdtPr>
            <w:rPr>
              <w:rFonts w:cs="Arial"/>
              <w:sz w:val="18"/>
              <w:szCs w:val="18"/>
            </w:rPr>
            <w:id w:val="11571659"/>
            <w:docPartObj>
              <w:docPartGallery w:val="Page Numbers (Top of Page)"/>
              <w:docPartUnique/>
            </w:docPartObj>
          </w:sdtPr>
          <w:sdtEndPr/>
          <w:sdtContent>
            <w:p w14:paraId="0FD62CF3" w14:textId="77777777" w:rsidR="00F02AEC" w:rsidRPr="0012279C" w:rsidRDefault="00F02AEC" w:rsidP="0012279C">
              <w:pPr>
                <w:ind w:left="33" w:right="-105"/>
                <w:jc w:val="right"/>
                <w:rPr>
                  <w:rFonts w:cs="Arial"/>
                  <w:sz w:val="18"/>
                  <w:szCs w:val="18"/>
                </w:rPr>
              </w:pPr>
              <w:r w:rsidRPr="0012279C">
                <w:rPr>
                  <w:rFonts w:cs="Arial"/>
                  <w:sz w:val="18"/>
                  <w:szCs w:val="18"/>
                </w:rPr>
                <w:t xml:space="preserve">Page </w:t>
              </w:r>
              <w:r w:rsidRPr="0012279C">
                <w:rPr>
                  <w:rFonts w:cs="Arial"/>
                  <w:sz w:val="18"/>
                  <w:szCs w:val="18"/>
                </w:rPr>
                <w:fldChar w:fldCharType="begin"/>
              </w:r>
              <w:r w:rsidRPr="0012279C">
                <w:rPr>
                  <w:rFonts w:cs="Arial"/>
                  <w:sz w:val="18"/>
                  <w:szCs w:val="18"/>
                </w:rPr>
                <w:instrText xml:space="preserve"> PAGE </w:instrText>
              </w:r>
              <w:r w:rsidRPr="0012279C">
                <w:rPr>
                  <w:rFonts w:cs="Arial"/>
                  <w:sz w:val="18"/>
                  <w:szCs w:val="18"/>
                </w:rPr>
                <w:fldChar w:fldCharType="separate"/>
              </w:r>
              <w:r w:rsidRPr="0012279C">
                <w:rPr>
                  <w:rFonts w:cs="Arial"/>
                  <w:noProof/>
                  <w:sz w:val="18"/>
                  <w:szCs w:val="18"/>
                </w:rPr>
                <w:t>6</w:t>
              </w:r>
              <w:r w:rsidRPr="0012279C">
                <w:rPr>
                  <w:rFonts w:cs="Arial"/>
                  <w:noProof/>
                  <w:sz w:val="18"/>
                  <w:szCs w:val="18"/>
                </w:rPr>
                <w:fldChar w:fldCharType="end"/>
              </w:r>
              <w:r w:rsidRPr="0012279C">
                <w:rPr>
                  <w:rFonts w:cs="Arial"/>
                  <w:sz w:val="18"/>
                  <w:szCs w:val="18"/>
                </w:rPr>
                <w:t xml:space="preserve"> of </w:t>
              </w:r>
              <w:r w:rsidRPr="0012279C">
                <w:rPr>
                  <w:rFonts w:cs="Arial"/>
                  <w:sz w:val="18"/>
                  <w:szCs w:val="18"/>
                </w:rPr>
                <w:fldChar w:fldCharType="begin"/>
              </w:r>
              <w:r w:rsidRPr="0012279C">
                <w:rPr>
                  <w:rFonts w:cs="Arial"/>
                  <w:sz w:val="18"/>
                  <w:szCs w:val="18"/>
                </w:rPr>
                <w:instrText xml:space="preserve"> NUMPAGES  </w:instrText>
              </w:r>
              <w:r w:rsidRPr="0012279C">
                <w:rPr>
                  <w:rFonts w:cs="Arial"/>
                  <w:sz w:val="18"/>
                  <w:szCs w:val="18"/>
                </w:rPr>
                <w:fldChar w:fldCharType="separate"/>
              </w:r>
              <w:r w:rsidRPr="0012279C">
                <w:rPr>
                  <w:rFonts w:cs="Arial"/>
                  <w:noProof/>
                  <w:sz w:val="18"/>
                  <w:szCs w:val="18"/>
                </w:rPr>
                <w:t>7</w:t>
              </w:r>
              <w:r w:rsidRPr="0012279C">
                <w:rPr>
                  <w:rFonts w:cs="Arial"/>
                  <w:noProof/>
                  <w:sz w:val="18"/>
                  <w:szCs w:val="18"/>
                </w:rPr>
                <w:fldChar w:fldCharType="end"/>
              </w:r>
            </w:p>
          </w:sdtContent>
        </w:sdt>
      </w:tc>
    </w:tr>
  </w:tbl>
  <w:p w14:paraId="3AA6B05E" w14:textId="77777777" w:rsidR="004B4802" w:rsidRDefault="004B4802" w:rsidP="001227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5D889C04" w:rsidR="004B4802" w:rsidRPr="008E3C43" w:rsidRDefault="004B4802"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CCC1" w14:textId="77777777" w:rsidR="00431018" w:rsidRDefault="00431018" w:rsidP="00967490">
      <w:r>
        <w:separator/>
      </w:r>
    </w:p>
  </w:footnote>
  <w:footnote w:type="continuationSeparator" w:id="0">
    <w:p w14:paraId="4275392E" w14:textId="77777777" w:rsidR="00431018" w:rsidRDefault="00431018" w:rsidP="00967490">
      <w:r>
        <w:continuationSeparator/>
      </w:r>
    </w:p>
    <w:p w14:paraId="261F5F52" w14:textId="77777777" w:rsidR="00431018" w:rsidRDefault="00431018" w:rsidP="00967490"/>
    <w:p w14:paraId="1C989CD1" w14:textId="77777777" w:rsidR="00431018" w:rsidRDefault="00431018" w:rsidP="00967490"/>
  </w:footnote>
  <w:footnote w:id="1">
    <w:p w14:paraId="799494EA" w14:textId="7CE74680" w:rsidR="00457050" w:rsidRPr="0012279C" w:rsidRDefault="00457050" w:rsidP="00757E6A">
      <w:pPr>
        <w:pStyle w:val="FootnoteText"/>
        <w:keepLines w:val="0"/>
        <w:rPr>
          <w:rFonts w:cs="Arial"/>
          <w:szCs w:val="16"/>
        </w:rPr>
      </w:pPr>
      <w:r w:rsidRPr="0012279C">
        <w:rPr>
          <w:rStyle w:val="FootnoteReference"/>
          <w:rFonts w:cs="Arial"/>
          <w:szCs w:val="16"/>
        </w:rPr>
        <w:footnoteRef/>
      </w:r>
      <w:r w:rsidRPr="0012279C">
        <w:rPr>
          <w:rFonts w:cs="Arial"/>
          <w:szCs w:val="16"/>
        </w:rPr>
        <w:t xml:space="preserve"> For the purposes of s 52D of the </w:t>
      </w:r>
      <w:r w:rsidRPr="0012279C">
        <w:rPr>
          <w:rFonts w:cs="Arial"/>
          <w:i/>
          <w:iCs/>
          <w:szCs w:val="16"/>
        </w:rPr>
        <w:t>Therapeutic Goods Act 1989</w:t>
      </w:r>
      <w:r w:rsidRPr="0012279C">
        <w:rPr>
          <w:rFonts w:cs="Arial"/>
          <w:szCs w:val="16"/>
        </w:rPr>
        <w:t xml:space="preserve"> (Cth).</w:t>
      </w:r>
    </w:p>
  </w:footnote>
  <w:footnote w:id="2">
    <w:p w14:paraId="691CDBBB" w14:textId="77777777" w:rsidR="00972C89" w:rsidRDefault="00972C89" w:rsidP="00972C89">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3">
    <w:p w14:paraId="3293B473" w14:textId="77777777" w:rsidR="00B60949" w:rsidRPr="00967490" w:rsidRDefault="00B60949" w:rsidP="00B60949">
      <w:r w:rsidRPr="00D15E47">
        <w:rPr>
          <w:rStyle w:val="FootnoteReference"/>
          <w:sz w:val="14"/>
          <w:szCs w:val="14"/>
        </w:rPr>
        <w:footnoteRef/>
      </w:r>
      <w:r w:rsidRPr="00D15E47">
        <w:rPr>
          <w:sz w:val="18"/>
          <w:szCs w:val="18"/>
        </w:rPr>
        <w:t xml:space="preserve"> Established under sections </w:t>
      </w:r>
      <w:r w:rsidRPr="00D15E47">
        <w:rPr>
          <w:sz w:val="18"/>
          <w:szCs w:val="18"/>
        </w:rPr>
        <w:t xml:space="preserve">52B and 52C of the </w:t>
      </w:r>
      <w:r w:rsidRPr="00D15E47">
        <w:rPr>
          <w:i/>
          <w:iCs/>
          <w:sz w:val="18"/>
          <w:szCs w:val="18"/>
        </w:rPr>
        <w:t>Therapeutic Goods Act 1989</w:t>
      </w:r>
      <w:r w:rsidRPr="00D15E47">
        <w:rPr>
          <w:sz w:val="18"/>
          <w:szCs w:val="18"/>
        </w:rPr>
        <w:t xml:space="preserve"> (Cth).</w:t>
      </w:r>
    </w:p>
  </w:footnote>
  <w:footnote w:id="4">
    <w:p w14:paraId="59961FC0" w14:textId="77777777" w:rsidR="00C71A8E" w:rsidRDefault="00C71A8E" w:rsidP="00C71A8E">
      <w:pPr>
        <w:pStyle w:val="FootnoteText"/>
      </w:pPr>
      <w:r>
        <w:rPr>
          <w:rStyle w:val="FootnoteReference"/>
        </w:rPr>
        <w:footnoteRef/>
      </w:r>
      <w:r>
        <w:t xml:space="preserve"> </w:t>
      </w:r>
      <w:r w:rsidRPr="00514985">
        <w:t xml:space="preserve">National Health and Medical Research Council, Australian Government Department of Health and Ageing, New Zealand Ministry of Health. </w:t>
      </w:r>
      <w:hyperlink r:id="rId1" w:history="1">
        <w:r w:rsidRPr="00514985">
          <w:rPr>
            <w:rStyle w:val="Hyperlink"/>
          </w:rPr>
          <w:t>Nutrient Reference Values for Australia and New Zealand</w:t>
        </w:r>
      </w:hyperlink>
      <w:r w:rsidRPr="00514985">
        <w:t>. Canberra: National Health and Medical Research Council; 2006.</w:t>
      </w:r>
    </w:p>
  </w:footnote>
  <w:footnote w:id="5">
    <w:p w14:paraId="38054FCE" w14:textId="77777777" w:rsidR="004F164C" w:rsidRDefault="004F164C" w:rsidP="004F164C">
      <w:pPr>
        <w:pStyle w:val="FootnoteText"/>
      </w:pPr>
      <w:r>
        <w:rPr>
          <w:rStyle w:val="FootnoteReference"/>
        </w:rPr>
        <w:footnoteRef/>
      </w:r>
      <w:r>
        <w:t xml:space="preserve"> </w:t>
      </w:r>
      <w:r w:rsidRPr="00AD5095">
        <w:t xml:space="preserve">Schellack N, </w:t>
      </w:r>
      <w:r w:rsidRPr="00AD5095">
        <w:t xml:space="preserve">Yotsombut K, Sabet A, Nafach J, Hiew FL, Kulkantrakorn K. Expert Consensus on Vitamin B6 Therapeutic Use for Patients: Guidance on Safe Dosage, Duration and Clinical Management. Drug Healthc Patient Saf. 2025 Apr </w:t>
      </w:r>
      <w:r w:rsidRPr="00AD5095">
        <w:t xml:space="preserve">7;17:97-108. </w:t>
      </w:r>
      <w:r>
        <w:t>DOI</w:t>
      </w:r>
      <w:r w:rsidRPr="00625806">
        <w:t>: </w:t>
      </w:r>
      <w:hyperlink r:id="rId2" w:tgtFrame="_blank" w:history="1">
        <w:r w:rsidRPr="00625806">
          <w:rPr>
            <w:rStyle w:val="Hyperlink"/>
          </w:rPr>
          <w:t>10.2147/DHPS.S499941</w:t>
        </w:r>
      </w:hyperlink>
      <w:r>
        <w:t>.</w:t>
      </w:r>
    </w:p>
  </w:footnote>
  <w:footnote w:id="6">
    <w:p w14:paraId="1F7BAFCD" w14:textId="715692FF" w:rsidR="00E30FB6" w:rsidRDefault="00E30FB6" w:rsidP="00E30FB6">
      <w:pPr>
        <w:pStyle w:val="FootnoteText"/>
      </w:pPr>
      <w:r>
        <w:rPr>
          <w:rStyle w:val="FootnoteReference"/>
        </w:rPr>
        <w:footnoteRef/>
      </w:r>
      <w:r>
        <w:t xml:space="preserve"> </w:t>
      </w:r>
      <w:r w:rsidR="00E47913" w:rsidRPr="00E47913">
        <w:t>Society of Obstetric Medicine of Australia and New Zealand</w:t>
      </w:r>
      <w:r w:rsidR="003B4F68">
        <w:t xml:space="preserve">. </w:t>
      </w:r>
      <w:hyperlink r:id="rId3" w:history="1">
        <w:r w:rsidR="003B4F68" w:rsidRPr="003B4F68">
          <w:rPr>
            <w:rStyle w:val="Hyperlink"/>
          </w:rPr>
          <w:t xml:space="preserve">The </w:t>
        </w:r>
        <w:r w:rsidR="003B4F68" w:rsidRPr="003B4F68">
          <w:rPr>
            <w:rStyle w:val="Hyperlink"/>
          </w:rPr>
          <w:t>SOMANZ Position Statement on the Management of Nausea and Vomiting in Pregnancy and Hyperemesis Gravidarum</w:t>
        </w:r>
      </w:hyperlink>
      <w:r w:rsidR="003B4F68">
        <w:t>. Updated October 2023.</w:t>
      </w:r>
    </w:p>
  </w:footnote>
  <w:footnote w:id="7">
    <w:p w14:paraId="67141F8A" w14:textId="4E682E7D" w:rsidR="00E30FB6" w:rsidRDefault="00E30FB6" w:rsidP="003B4F68">
      <w:pPr>
        <w:pStyle w:val="FootnoteText"/>
      </w:pPr>
      <w:r>
        <w:rPr>
          <w:rStyle w:val="FootnoteReference"/>
        </w:rPr>
        <w:footnoteRef/>
      </w:r>
      <w:r>
        <w:t xml:space="preserve"> </w:t>
      </w:r>
      <w:r w:rsidR="003B4F68">
        <w:t xml:space="preserve">NSW </w:t>
      </w:r>
      <w:r w:rsidR="00A26736">
        <w:t>Health</w:t>
      </w:r>
      <w:r w:rsidR="003B4F68">
        <w:t xml:space="preserve">. </w:t>
      </w:r>
      <w:hyperlink r:id="rId4" w:history="1">
        <w:r w:rsidR="003B4F68" w:rsidRPr="003B4F68">
          <w:rPr>
            <w:rStyle w:val="Hyperlink"/>
          </w:rPr>
          <w:t>NSW Health Guideline: Nausea and Vomiting in Pregnancy and Hyperemesis Gravidarum</w:t>
        </w:r>
      </w:hyperlink>
      <w:r w:rsidR="003B4F68">
        <w:t>. July 2022</w:t>
      </w:r>
      <w:r w:rsidR="00A26736">
        <w:t>.</w:t>
      </w:r>
      <w:r w:rsidR="003B4F68">
        <w:t xml:space="preserve"> </w:t>
      </w:r>
    </w:p>
  </w:footnote>
  <w:footnote w:id="8">
    <w:p w14:paraId="1B4856BC" w14:textId="7158A8F4" w:rsidR="003B4F68" w:rsidRDefault="003B4F68">
      <w:pPr>
        <w:pStyle w:val="FootnoteText"/>
      </w:pPr>
      <w:r>
        <w:rPr>
          <w:rStyle w:val="FootnoteReference"/>
        </w:rPr>
        <w:footnoteRef/>
      </w:r>
      <w:r>
        <w:t xml:space="preserve"> Safer Care Victoria</w:t>
      </w:r>
      <w:r w:rsidR="00A26736">
        <w:t>.</w:t>
      </w:r>
      <w:r w:rsidR="00A26736" w:rsidRPr="00A26736">
        <w:rPr>
          <w:rFonts w:eastAsiaTheme="minorHAnsi" w:cstheme="minorBidi"/>
          <w:color w:val="000000" w:themeColor="text1"/>
          <w:sz w:val="20"/>
        </w:rPr>
        <w:t xml:space="preserve"> </w:t>
      </w:r>
      <w:hyperlink r:id="rId5" w:history="1">
        <w:r w:rsidR="00A26736" w:rsidRPr="00A26736">
          <w:rPr>
            <w:rStyle w:val="Hyperlink"/>
          </w:rPr>
          <w:t>Nausea and Vomiting in Pregnancy: Clinical guidance</w:t>
        </w:r>
      </w:hyperlink>
      <w:r>
        <w:t>.</w:t>
      </w:r>
      <w:r w:rsidRPr="003B4F68">
        <w:t xml:space="preserve"> October 2024</w:t>
      </w:r>
      <w:r>
        <w:t>.</w:t>
      </w:r>
    </w:p>
  </w:footnote>
  <w:footnote w:id="9">
    <w:p w14:paraId="40CCB607" w14:textId="62B643E9" w:rsidR="001C6E3A" w:rsidRDefault="001C6E3A" w:rsidP="001C6E3A">
      <w:pPr>
        <w:pStyle w:val="FootnoteText"/>
      </w:pPr>
      <w:r>
        <w:rPr>
          <w:rStyle w:val="FootnoteReference"/>
        </w:rPr>
        <w:footnoteRef/>
      </w:r>
      <w:r>
        <w:t xml:space="preserve"> </w:t>
      </w:r>
      <w:r w:rsidR="00A26736" w:rsidRPr="00A26736">
        <w:t>Li, B., Hu, M., Ma, Y. </w:t>
      </w:r>
      <w:r w:rsidR="00A26736" w:rsidRPr="00A26736">
        <w:rPr>
          <w:i/>
          <w:iCs/>
        </w:rPr>
        <w:t>et al.</w:t>
      </w:r>
      <w:r w:rsidR="00A26736" w:rsidRPr="00A26736">
        <w:t xml:space="preserve"> Association between Vitamin E, Vitamin </w:t>
      </w:r>
      <w:r w:rsidR="00A26736" w:rsidRPr="00A26736">
        <w:t>B6, and Vitamin B12 with coronary heart disease. </w:t>
      </w:r>
      <w:r w:rsidR="00A26736" w:rsidRPr="00A26736">
        <w:rPr>
          <w:i/>
          <w:iCs/>
        </w:rPr>
        <w:t>Sci Rep</w:t>
      </w:r>
      <w:r w:rsidR="00A26736" w:rsidRPr="00A26736">
        <w:t> </w:t>
      </w:r>
      <w:r w:rsidR="00A26736" w:rsidRPr="00A26736">
        <w:rPr>
          <w:b/>
          <w:bCs/>
        </w:rPr>
        <w:t>14</w:t>
      </w:r>
      <w:r w:rsidR="00A26736" w:rsidRPr="00A26736">
        <w:t>, 19960 (2024).</w:t>
      </w:r>
      <w:r w:rsidR="00A26736">
        <w:t xml:space="preserve"> DOI:</w:t>
      </w:r>
      <w:r w:rsidR="00A26736" w:rsidRPr="00A26736">
        <w:t xml:space="preserve"> </w:t>
      </w:r>
      <w:hyperlink r:id="rId6" w:history="1">
        <w:r w:rsidR="00A26736">
          <w:rPr>
            <w:rStyle w:val="Hyperlink"/>
          </w:rPr>
          <w:t>10.1038/s41598-024-68413-8</w:t>
        </w:r>
      </w:hyperlink>
      <w:r w:rsidR="00A26736">
        <w:t xml:space="preserve"> </w:t>
      </w:r>
    </w:p>
  </w:footnote>
  <w:footnote w:id="10">
    <w:p w14:paraId="08700429" w14:textId="6591B339" w:rsidR="001C6E3A" w:rsidRDefault="001C6E3A" w:rsidP="001C6E3A">
      <w:pPr>
        <w:pStyle w:val="FootnoteText"/>
      </w:pPr>
      <w:r>
        <w:rPr>
          <w:rStyle w:val="FootnoteReference"/>
        </w:rPr>
        <w:footnoteRef/>
      </w:r>
      <w:r>
        <w:t xml:space="preserve"> </w:t>
      </w:r>
      <w:r w:rsidR="00A01E1B" w:rsidRPr="00A01E1B">
        <w:t xml:space="preserve">Rimm EB, Willett WC, Hu FB, et al. Folate and Vitamin </w:t>
      </w:r>
      <w:r w:rsidR="00A01E1B" w:rsidRPr="00A01E1B">
        <w:t>B</w:t>
      </w:r>
      <w:r w:rsidR="00A01E1B" w:rsidRPr="00A01E1B">
        <w:rPr>
          <w:vertAlign w:val="subscript"/>
        </w:rPr>
        <w:t>6</w:t>
      </w:r>
      <w:r w:rsidR="00A01E1B" w:rsidRPr="00A01E1B">
        <w:t> From Diet and Supplements in Relation to Risk of Coronary Heart Disease Among Women. </w:t>
      </w:r>
      <w:r w:rsidR="00A01E1B" w:rsidRPr="00A01E1B">
        <w:rPr>
          <w:i/>
          <w:iCs/>
        </w:rPr>
        <w:t>JAMA.</w:t>
      </w:r>
      <w:r w:rsidR="00A01E1B" w:rsidRPr="00A01E1B">
        <w:t xml:space="preserve"> 1998;279(5):359–364. </w:t>
      </w:r>
      <w:r w:rsidR="00A01E1B">
        <w:t>DOI</w:t>
      </w:r>
      <w:r w:rsidR="00A01E1B" w:rsidRPr="00A01E1B">
        <w:t xml:space="preserve">: </w:t>
      </w:r>
      <w:hyperlink r:id="rId7" w:history="1">
        <w:r w:rsidR="00A01E1B">
          <w:rPr>
            <w:rStyle w:val="Hyperlink"/>
          </w:rPr>
          <w:t>10.1001/jama.279.5.359</w:t>
        </w:r>
      </w:hyperlink>
      <w:r w:rsidR="00A01E1B">
        <w:t xml:space="preserve"> </w:t>
      </w:r>
    </w:p>
  </w:footnote>
  <w:footnote w:id="11">
    <w:p w14:paraId="19FAC5AD" w14:textId="7DC71A75" w:rsidR="00A01E1B" w:rsidRDefault="00A01E1B">
      <w:pPr>
        <w:pStyle w:val="FootnoteText"/>
      </w:pPr>
      <w:r>
        <w:rPr>
          <w:rStyle w:val="FootnoteReference"/>
        </w:rPr>
        <w:footnoteRef/>
      </w:r>
      <w:r>
        <w:t xml:space="preserve"> </w:t>
      </w:r>
      <w:r w:rsidRPr="00A01E1B">
        <w:t xml:space="preserve">Ishihara, J., Iso, H., Inoue, M., Iwasaki, M., Okada, K., Kita, Y. (2008). Intake of Folate, Vitamin </w:t>
      </w:r>
      <w:r w:rsidRPr="00A01E1B">
        <w:t>B</w:t>
      </w:r>
      <w:r w:rsidRPr="00A01E1B">
        <w:rPr>
          <w:vertAlign w:val="subscript"/>
        </w:rPr>
        <w:t>6</w:t>
      </w:r>
      <w:r w:rsidRPr="00A01E1B">
        <w:t> and Vitamin B</w:t>
      </w:r>
      <w:r w:rsidRPr="00A01E1B">
        <w:rPr>
          <w:vertAlign w:val="subscript"/>
        </w:rPr>
        <w:t>12</w:t>
      </w:r>
      <w:r w:rsidRPr="00A01E1B">
        <w:t> and the Risk of CHD: The Japan Public Health Center-Based Prospective Study Cohort I. </w:t>
      </w:r>
      <w:r w:rsidRPr="00A01E1B">
        <w:rPr>
          <w:i/>
          <w:iCs/>
        </w:rPr>
        <w:t>Journal of the American College of Nutrition</w:t>
      </w:r>
      <w:r w:rsidRPr="00A01E1B">
        <w:t>, </w:t>
      </w:r>
      <w:r w:rsidRPr="00A01E1B">
        <w:rPr>
          <w:i/>
          <w:iCs/>
        </w:rPr>
        <w:t>27</w:t>
      </w:r>
      <w:r w:rsidRPr="00A01E1B">
        <w:t>(1), 127–136.</w:t>
      </w:r>
      <w:r>
        <w:t xml:space="preserve"> DOI:</w:t>
      </w:r>
      <w:r w:rsidRPr="00A01E1B">
        <w:t xml:space="preserve"> </w:t>
      </w:r>
      <w:hyperlink r:id="rId8" w:history="1">
        <w:r>
          <w:rPr>
            <w:rStyle w:val="Hyperlink"/>
          </w:rPr>
          <w:t>10.1080/07315724.2008.10719684</w:t>
        </w:r>
      </w:hyperlink>
      <w:r>
        <w:t xml:space="preserve"> </w:t>
      </w:r>
    </w:p>
  </w:footnote>
  <w:footnote w:id="12">
    <w:p w14:paraId="4C5C55A9" w14:textId="1DBC50C5" w:rsidR="001C6E3A" w:rsidRPr="006C20B4" w:rsidRDefault="001C6E3A" w:rsidP="001C6E3A">
      <w:pPr>
        <w:pStyle w:val="FootnoteText"/>
        <w:rPr>
          <w:lang w:val="nl-BE"/>
        </w:rPr>
      </w:pPr>
      <w:r>
        <w:rPr>
          <w:rStyle w:val="FootnoteReference"/>
        </w:rPr>
        <w:footnoteRef/>
      </w:r>
      <w:r>
        <w:t xml:space="preserve"> </w:t>
      </w:r>
      <w:r w:rsidR="00A01E1B" w:rsidRPr="00A01E1B">
        <w:t xml:space="preserve">Panagiotakos D. Diet and nutrition in cardiovascular disease prevention: a scientific statement of the European Association of Preventive Cardiology and the Association of Cardiovascular Nursing &amp; Allied Professions of the European Society of Cardiology. </w:t>
      </w:r>
      <w:r w:rsidR="00A01E1B" w:rsidRPr="006C20B4">
        <w:rPr>
          <w:lang w:val="nl-BE"/>
        </w:rPr>
        <w:t xml:space="preserve">Eur J Prev Cardiol. 2025 Nov 11;32(16):1540-1552. DOI: </w:t>
      </w:r>
      <w:r w:rsidR="00A01E1B">
        <w:fldChar w:fldCharType="begin"/>
      </w:r>
      <w:r w:rsidR="00A01E1B" w:rsidRPr="00D54E27">
        <w:rPr>
          <w:lang w:val="nl-BE"/>
        </w:rPr>
        <w:instrText>HYPERLINK "https://doi.org/10.1093/eurjpc/zwaf310"</w:instrText>
      </w:r>
      <w:r w:rsidR="00A01E1B">
        <w:fldChar w:fldCharType="separate"/>
      </w:r>
      <w:r w:rsidR="00A01E1B" w:rsidRPr="006C20B4">
        <w:rPr>
          <w:rStyle w:val="Hyperlink"/>
          <w:lang w:val="nl-BE"/>
        </w:rPr>
        <w:t>10.1093/eurjpc/zwaf310</w:t>
      </w:r>
      <w:r w:rsidR="00A01E1B">
        <w:fldChar w:fldCharType="end"/>
      </w:r>
      <w:r w:rsidRPr="006C20B4">
        <w:rPr>
          <w:lang w:val="nl-BE"/>
        </w:rPr>
        <w:t xml:space="preserve"> </w:t>
      </w:r>
    </w:p>
  </w:footnote>
  <w:footnote w:id="13">
    <w:p w14:paraId="10CE4907" w14:textId="77777777" w:rsidR="004F0304" w:rsidRPr="00CC3CA0" w:rsidRDefault="004F0304" w:rsidP="004F0304">
      <w:pPr>
        <w:pStyle w:val="FootnoteText"/>
      </w:pPr>
      <w:r>
        <w:rPr>
          <w:rStyle w:val="FootnoteReference"/>
        </w:rPr>
        <w:footnoteRef/>
      </w:r>
      <w:r w:rsidRPr="006C20B4">
        <w:rPr>
          <w:lang w:val="nl-BE"/>
        </w:rPr>
        <w:t xml:space="preserve"> Vrolijk MF, Opperhuizen A, Jansen EHJM, Hageman GJ, Bast A, Haenen GRMM. </w:t>
      </w:r>
      <w:r w:rsidRPr="00CC3CA0">
        <w:t xml:space="preserve">The vitamin </w:t>
      </w:r>
      <w:r w:rsidRPr="00CC3CA0">
        <w:t xml:space="preserve">B6 paradox: Supplementation with high concentrations of pyridoxine leads to decreased vitamin B6 function. Toxicol In Vitro. 2017 </w:t>
      </w:r>
      <w:r w:rsidRPr="00CC3CA0">
        <w:t>Oct;44:206-212.</w:t>
      </w:r>
      <w:r>
        <w:t xml:space="preserve"> </w:t>
      </w:r>
      <w:r w:rsidRPr="00CC3CA0">
        <w:t> </w:t>
      </w:r>
    </w:p>
    <w:p w14:paraId="3C07D73F" w14:textId="54D44731" w:rsidR="004F0304" w:rsidRDefault="004F0304" w:rsidP="004F0304">
      <w:pPr>
        <w:pStyle w:val="FootnoteText"/>
      </w:pPr>
      <w:r w:rsidRPr="00CC3CA0">
        <w:t>DOI: </w:t>
      </w:r>
      <w:hyperlink r:id="rId9" w:tgtFrame="_blank" w:history="1">
        <w:r w:rsidRPr="00CC3CA0">
          <w:rPr>
            <w:rStyle w:val="Hyperlink"/>
          </w:rPr>
          <w:t>10.1016/j.tiv.2017.07.009</w:t>
        </w:r>
      </w:hyperlink>
      <w:r>
        <w:t>.</w:t>
      </w:r>
    </w:p>
  </w:footnote>
  <w:footnote w:id="14">
    <w:p w14:paraId="23F5B5D1" w14:textId="4AD64392" w:rsidR="004F0304" w:rsidRDefault="004F0304">
      <w:pPr>
        <w:pStyle w:val="FootnoteText"/>
      </w:pPr>
      <w:r>
        <w:rPr>
          <w:rStyle w:val="FootnoteReference"/>
        </w:rPr>
        <w:footnoteRef/>
      </w:r>
      <w:r>
        <w:t xml:space="preserve"> </w:t>
      </w:r>
      <w:r w:rsidRPr="00CC3CA0">
        <w:t xml:space="preserve">Vrolijk MF, Hageman GJ, van de Koppel S, van Hunsel F, Bast A. Inter-individual differences in pharmacokinetics of vitamin </w:t>
      </w:r>
      <w:r w:rsidRPr="00CC3CA0">
        <w:t xml:space="preserve">B6: a possible explanation of different sensitivity to its neuropathic effects. PharmaNutrition. </w:t>
      </w:r>
      <w:r w:rsidRPr="00CC3CA0">
        <w:t xml:space="preserve">2020;12:100188. </w:t>
      </w:r>
      <w:r>
        <w:t xml:space="preserve">DOI: </w:t>
      </w:r>
      <w:hyperlink r:id="rId10" w:tgtFrame="_blank" w:tooltip="Persistent link using digital object identifier" w:history="1">
        <w:r>
          <w:rPr>
            <w:rStyle w:val="Hyperlink"/>
          </w:rPr>
          <w:t>10.1016/j.phanu.2020.100188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EAC0" w14:textId="58446150" w:rsidR="00717E1E" w:rsidRDefault="00717E1E">
    <w:pPr>
      <w:pStyle w:val="Header"/>
    </w:pPr>
    <w:r>
      <w:rPr>
        <w:noProof/>
      </w:rPr>
      <mc:AlternateContent>
        <mc:Choice Requires="wps">
          <w:drawing>
            <wp:anchor distT="0" distB="0" distL="0" distR="0" simplePos="0" relativeHeight="251658241" behindDoc="0" locked="0" layoutInCell="1" allowOverlap="1" wp14:anchorId="2CAAC177" wp14:editId="1F5C9ED9">
              <wp:simplePos x="635" y="635"/>
              <wp:positionH relativeFrom="page">
                <wp:align>center</wp:align>
              </wp:positionH>
              <wp:positionV relativeFrom="page">
                <wp:align>top</wp:align>
              </wp:positionV>
              <wp:extent cx="551815" cy="391160"/>
              <wp:effectExtent l="0" t="0" r="635" b="8890"/>
              <wp:wrapNone/>
              <wp:docPr id="18337722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ACA90D" w14:textId="5FDE3156" w:rsidR="00717E1E" w:rsidRPr="00717E1E" w:rsidRDefault="00717E1E" w:rsidP="00717E1E">
                          <w:pPr>
                            <w:spacing w:after="0"/>
                            <w:rPr>
                              <w:rFonts w:ascii="Calibri" w:eastAsia="Calibri" w:hAnsi="Calibri" w:cs="Calibri"/>
                              <w:noProof/>
                              <w:color w:val="FF0000"/>
                              <w:sz w:val="24"/>
                              <w:szCs w:val="24"/>
                            </w:rPr>
                          </w:pPr>
                          <w:r w:rsidRPr="00717E1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AC177" id="_x0000_t202" coordsize="21600,21600" o:spt="202" path="m,l,21600r21600,l21600,xe">
              <v:stroke joinstyle="miter"/>
              <v:path gradientshapeok="t" o:connecttype="rect"/>
            </v:shapetype>
            <v:shape id="Text Box 3" o:spid="_x0000_s1026"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9ACA90D" w14:textId="5FDE3156" w:rsidR="00717E1E" w:rsidRPr="00717E1E" w:rsidRDefault="00717E1E" w:rsidP="00717E1E">
                    <w:pPr>
                      <w:spacing w:after="0"/>
                      <w:rPr>
                        <w:rFonts w:ascii="Calibri" w:eastAsia="Calibri" w:hAnsi="Calibri" w:cs="Calibri"/>
                        <w:noProof/>
                        <w:color w:val="FF0000"/>
                        <w:sz w:val="24"/>
                        <w:szCs w:val="24"/>
                      </w:rPr>
                    </w:pPr>
                    <w:r w:rsidRPr="00717E1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17FD" w14:textId="525627AF" w:rsidR="00717E1E" w:rsidRDefault="00717E1E">
    <w:pPr>
      <w:pStyle w:val="Header"/>
    </w:pPr>
    <w:r>
      <w:rPr>
        <w:noProof/>
      </w:rPr>
      <mc:AlternateContent>
        <mc:Choice Requires="wps">
          <w:drawing>
            <wp:anchor distT="0" distB="0" distL="0" distR="0" simplePos="0" relativeHeight="251658242" behindDoc="0" locked="0" layoutInCell="1" allowOverlap="1" wp14:anchorId="5CA6A290" wp14:editId="127FDD8C">
              <wp:simplePos x="635" y="635"/>
              <wp:positionH relativeFrom="page">
                <wp:align>center</wp:align>
              </wp:positionH>
              <wp:positionV relativeFrom="page">
                <wp:align>top</wp:align>
              </wp:positionV>
              <wp:extent cx="551815" cy="391160"/>
              <wp:effectExtent l="0" t="0" r="635" b="8890"/>
              <wp:wrapNone/>
              <wp:docPr id="112708308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6C6ACD" w14:textId="154A20AE" w:rsidR="00717E1E" w:rsidRPr="00717E1E" w:rsidRDefault="00717E1E" w:rsidP="00717E1E">
                          <w:pPr>
                            <w:spacing w:after="0"/>
                            <w:rPr>
                              <w:rFonts w:ascii="Calibri" w:eastAsia="Calibri" w:hAnsi="Calibri" w:cs="Calibri"/>
                              <w:noProof/>
                              <w:color w:val="FF0000"/>
                              <w:sz w:val="24"/>
                              <w:szCs w:val="24"/>
                            </w:rPr>
                          </w:pPr>
                          <w:r w:rsidRPr="00717E1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6A290" id="_x0000_t202" coordsize="21600,21600" o:spt="202" path="m,l,21600r21600,l21600,xe">
              <v:stroke joinstyle="miter"/>
              <v:path gradientshapeok="t" o:connecttype="rect"/>
            </v:shapetype>
            <v:shape id="Text Box 4" o:spid="_x0000_s1027" type="#_x0000_t202" alt="OFFICIAL" style="position:absolute;left:0;text-align:left;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776C6ACD" w14:textId="154A20AE" w:rsidR="00717E1E" w:rsidRPr="00717E1E" w:rsidRDefault="00717E1E" w:rsidP="00717E1E">
                    <w:pPr>
                      <w:spacing w:after="0"/>
                      <w:rPr>
                        <w:rFonts w:ascii="Calibri" w:eastAsia="Calibri" w:hAnsi="Calibri" w:cs="Calibri"/>
                        <w:noProof/>
                        <w:color w:val="FF0000"/>
                        <w:sz w:val="24"/>
                        <w:szCs w:val="24"/>
                      </w:rPr>
                    </w:pPr>
                    <w:r w:rsidRPr="00717E1E">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4ACC9997" w:rsidR="00F02AEC" w:rsidRPr="002B29B2" w:rsidRDefault="00F02AEC" w:rsidP="00967490">
          <w:pPr>
            <w:rPr>
              <w:noProof/>
            </w:rPr>
          </w:pPr>
        </w:p>
      </w:tc>
    </w:tr>
  </w:tbl>
  <w:p w14:paraId="4C8EBEB5" w14:textId="6B633710" w:rsidR="00F02AEC" w:rsidRDefault="00FA0917" w:rsidP="00967490">
    <w:pPr>
      <w:rPr>
        <w:noProof/>
      </w:rPr>
    </w:pPr>
    <w:r>
      <w:rPr>
        <w:noProof/>
        <w:lang w:eastAsia="en-AU"/>
      </w:rPr>
      <w:drawing>
        <wp:inline distT="0" distB="0" distL="0" distR="0" wp14:anchorId="6A46C9B3" wp14:editId="38B4CD11">
          <wp:extent cx="3344545" cy="694055"/>
          <wp:effectExtent l="0" t="0" r="8255" b="0"/>
          <wp:docPr id="108139365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02867"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F02AEC" w:rsidRPr="002B29B2">
      <w:rPr>
        <w:noProof/>
        <w:lang w:eastAsia="en-AU"/>
      </w:rPr>
      <w:drawing>
        <wp:anchor distT="0" distB="0" distL="114300" distR="114300" simplePos="0" relativeHeight="251658240" behindDoc="0" locked="0" layoutInCell="0" allowOverlap="1" wp14:anchorId="468A6D8D" wp14:editId="05EF80FA">
          <wp:simplePos x="0" y="0"/>
          <wp:positionH relativeFrom="page">
            <wp:align>left</wp:align>
          </wp:positionH>
          <wp:positionV relativeFrom="page">
            <wp:posOffset>3239495</wp:posOffset>
          </wp:positionV>
          <wp:extent cx="7663815" cy="4323091"/>
          <wp:effectExtent l="0" t="0" r="0" b="1270"/>
          <wp:wrapNone/>
          <wp:docPr id="2098981425" name="Picture 209898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DBE2" w14:textId="1D11EB62" w:rsidR="004977AF" w:rsidRDefault="004977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Look w:val="04A0" w:firstRow="1" w:lastRow="0" w:firstColumn="1" w:lastColumn="0" w:noHBand="0" w:noVBand="1"/>
    </w:tblPr>
    <w:tblGrid>
      <w:gridCol w:w="9219"/>
    </w:tblGrid>
    <w:tr w:rsidR="00DE78C9" w:rsidRPr="00DE78C9" w14:paraId="4FDD4AE2" w14:textId="77777777" w:rsidTr="0012279C">
      <w:tc>
        <w:tcPr>
          <w:tcW w:w="9219" w:type="dxa"/>
          <w:tcBorders>
            <w:top w:val="nil"/>
            <w:left w:val="nil"/>
            <w:bottom w:val="single" w:sz="4" w:space="0" w:color="auto"/>
            <w:right w:val="nil"/>
          </w:tcBorders>
          <w:vAlign w:val="bottom"/>
        </w:tcPr>
        <w:p w14:paraId="01F5DAF3" w14:textId="6B50D879" w:rsidR="00DE78C9" w:rsidRPr="0012279C" w:rsidRDefault="00DE78C9" w:rsidP="00D15E47">
          <w:pPr>
            <w:spacing w:after="120"/>
            <w:ind w:right="-108"/>
            <w:jc w:val="right"/>
            <w:rPr>
              <w:rFonts w:cs="Arial"/>
              <w:sz w:val="18"/>
              <w:szCs w:val="18"/>
            </w:rPr>
          </w:pPr>
          <w:r w:rsidRPr="0012279C">
            <w:rPr>
              <w:rFonts w:cs="Arial"/>
              <w:sz w:val="18"/>
              <w:szCs w:val="18"/>
            </w:rPr>
            <w:t>Therapeutic Goods Administration</w:t>
          </w:r>
        </w:p>
      </w:tc>
    </w:tr>
  </w:tbl>
  <w:p w14:paraId="10EEB2AD" w14:textId="537FCCA4" w:rsidR="00870254" w:rsidRDefault="0087025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1AF4" w14:textId="4E3D3472" w:rsidR="004977AF" w:rsidRDefault="004977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D906" w14:textId="2521052A" w:rsidR="004977AF" w:rsidRDefault="004977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9C8E" w14:textId="7ECFD294" w:rsidR="004977AF" w:rsidRDefault="004977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68DA98B3" w:rsidR="004B4802" w:rsidRPr="00FE501F" w:rsidRDefault="004B4802"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E44EA2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CDC77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F24A1D"/>
    <w:multiLevelType w:val="hybridMultilevel"/>
    <w:tmpl w:val="95C2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8F771A6"/>
    <w:multiLevelType w:val="multilevel"/>
    <w:tmpl w:val="605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FC2B36"/>
    <w:multiLevelType w:val="hybridMultilevel"/>
    <w:tmpl w:val="3474B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C3326"/>
    <w:multiLevelType w:val="hybridMultilevel"/>
    <w:tmpl w:val="0C2A2B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24D838A1"/>
    <w:multiLevelType w:val="hybridMultilevel"/>
    <w:tmpl w:val="405675F8"/>
    <w:lvl w:ilvl="0" w:tplc="91B677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924211"/>
    <w:multiLevelType w:val="hybridMultilevel"/>
    <w:tmpl w:val="FBF6AE7C"/>
    <w:lvl w:ilvl="0" w:tplc="6748B478">
      <w:start w:val="1"/>
      <w:numFmt w:val="lowerLetter"/>
      <w:pStyle w:val="ListBulleta"/>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02C340C"/>
    <w:multiLevelType w:val="multilevel"/>
    <w:tmpl w:val="EF68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F2AAA"/>
    <w:multiLevelType w:val="hybridMultilevel"/>
    <w:tmpl w:val="D7A09072"/>
    <w:lvl w:ilvl="0" w:tplc="67221D14">
      <w:start w:val="1"/>
      <w:numFmt w:val="lowerLetter"/>
      <w:lvlText w:val="(%1)"/>
      <w:lvlJc w:val="left"/>
      <w:pPr>
        <w:ind w:left="927" w:hanging="360"/>
      </w:pPr>
      <w:rPr>
        <w:rFonts w:hint="default"/>
        <w:b/>
        <w:i w:val="0"/>
        <w:color w:val="000000" w:themeColor="text1"/>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221DFC"/>
    <w:multiLevelType w:val="hybridMultilevel"/>
    <w:tmpl w:val="198A2F42"/>
    <w:lvl w:ilvl="0" w:tplc="E0E4427C">
      <w:start w:val="1"/>
      <w:numFmt w:val="lowerLetter"/>
      <w:lvlText w:val="(%1)"/>
      <w:lvlJc w:val="left"/>
      <w:pPr>
        <w:ind w:left="1148" w:hanging="360"/>
      </w:pPr>
      <w:rPr>
        <w:rFonts w:hint="default"/>
      </w:rPr>
    </w:lvl>
    <w:lvl w:ilvl="1" w:tplc="0C090019" w:tentative="1">
      <w:start w:val="1"/>
      <w:numFmt w:val="lowerLetter"/>
      <w:lvlText w:val="%2."/>
      <w:lvlJc w:val="left"/>
      <w:pPr>
        <w:ind w:left="1868" w:hanging="360"/>
      </w:pPr>
    </w:lvl>
    <w:lvl w:ilvl="2" w:tplc="0C09001B" w:tentative="1">
      <w:start w:val="1"/>
      <w:numFmt w:val="lowerRoman"/>
      <w:lvlText w:val="%3."/>
      <w:lvlJc w:val="right"/>
      <w:pPr>
        <w:ind w:left="2588" w:hanging="180"/>
      </w:pPr>
    </w:lvl>
    <w:lvl w:ilvl="3" w:tplc="0C09000F" w:tentative="1">
      <w:start w:val="1"/>
      <w:numFmt w:val="decimal"/>
      <w:lvlText w:val="%4."/>
      <w:lvlJc w:val="left"/>
      <w:pPr>
        <w:ind w:left="3308" w:hanging="360"/>
      </w:pPr>
    </w:lvl>
    <w:lvl w:ilvl="4" w:tplc="0C090019" w:tentative="1">
      <w:start w:val="1"/>
      <w:numFmt w:val="lowerLetter"/>
      <w:lvlText w:val="%5."/>
      <w:lvlJc w:val="left"/>
      <w:pPr>
        <w:ind w:left="4028" w:hanging="360"/>
      </w:pPr>
    </w:lvl>
    <w:lvl w:ilvl="5" w:tplc="0C09001B" w:tentative="1">
      <w:start w:val="1"/>
      <w:numFmt w:val="lowerRoman"/>
      <w:lvlText w:val="%6."/>
      <w:lvlJc w:val="right"/>
      <w:pPr>
        <w:ind w:left="4748" w:hanging="180"/>
      </w:pPr>
    </w:lvl>
    <w:lvl w:ilvl="6" w:tplc="0C09000F" w:tentative="1">
      <w:start w:val="1"/>
      <w:numFmt w:val="decimal"/>
      <w:lvlText w:val="%7."/>
      <w:lvlJc w:val="left"/>
      <w:pPr>
        <w:ind w:left="5468" w:hanging="360"/>
      </w:pPr>
    </w:lvl>
    <w:lvl w:ilvl="7" w:tplc="0C090019" w:tentative="1">
      <w:start w:val="1"/>
      <w:numFmt w:val="lowerLetter"/>
      <w:lvlText w:val="%8."/>
      <w:lvlJc w:val="left"/>
      <w:pPr>
        <w:ind w:left="6188" w:hanging="360"/>
      </w:pPr>
    </w:lvl>
    <w:lvl w:ilvl="8" w:tplc="0C09001B" w:tentative="1">
      <w:start w:val="1"/>
      <w:numFmt w:val="lowerRoman"/>
      <w:lvlText w:val="%9."/>
      <w:lvlJc w:val="right"/>
      <w:pPr>
        <w:ind w:left="6908" w:hanging="180"/>
      </w:pPr>
    </w:lvl>
  </w:abstractNum>
  <w:abstractNum w:abstractNumId="18" w15:restartNumberingAfterBreak="0">
    <w:nsid w:val="4B4560A7"/>
    <w:multiLevelType w:val="hybridMultilevel"/>
    <w:tmpl w:val="59CE893A"/>
    <w:lvl w:ilvl="0" w:tplc="219A6C40">
      <w:start w:val="1"/>
      <w:numFmt w:val="bullet"/>
      <w:lvlText w:val=""/>
      <w:lvlJc w:val="left"/>
      <w:pPr>
        <w:ind w:left="720" w:hanging="360"/>
      </w:pPr>
      <w:rPr>
        <w:rFonts w:ascii="Symbol" w:hAnsi="Symbol"/>
      </w:rPr>
    </w:lvl>
    <w:lvl w:ilvl="1" w:tplc="36A47D1C">
      <w:start w:val="1"/>
      <w:numFmt w:val="bullet"/>
      <w:lvlText w:val=""/>
      <w:lvlJc w:val="left"/>
      <w:pPr>
        <w:ind w:left="720" w:hanging="360"/>
      </w:pPr>
      <w:rPr>
        <w:rFonts w:ascii="Symbol" w:hAnsi="Symbol"/>
      </w:rPr>
    </w:lvl>
    <w:lvl w:ilvl="2" w:tplc="FA60FD58">
      <w:start w:val="1"/>
      <w:numFmt w:val="bullet"/>
      <w:lvlText w:val=""/>
      <w:lvlJc w:val="left"/>
      <w:pPr>
        <w:ind w:left="720" w:hanging="360"/>
      </w:pPr>
      <w:rPr>
        <w:rFonts w:ascii="Symbol" w:hAnsi="Symbol"/>
      </w:rPr>
    </w:lvl>
    <w:lvl w:ilvl="3" w:tplc="CA7CAEBC">
      <w:start w:val="1"/>
      <w:numFmt w:val="bullet"/>
      <w:lvlText w:val=""/>
      <w:lvlJc w:val="left"/>
      <w:pPr>
        <w:ind w:left="720" w:hanging="360"/>
      </w:pPr>
      <w:rPr>
        <w:rFonts w:ascii="Symbol" w:hAnsi="Symbol"/>
      </w:rPr>
    </w:lvl>
    <w:lvl w:ilvl="4" w:tplc="16FADF2A">
      <w:start w:val="1"/>
      <w:numFmt w:val="bullet"/>
      <w:lvlText w:val=""/>
      <w:lvlJc w:val="left"/>
      <w:pPr>
        <w:ind w:left="720" w:hanging="360"/>
      </w:pPr>
      <w:rPr>
        <w:rFonts w:ascii="Symbol" w:hAnsi="Symbol"/>
      </w:rPr>
    </w:lvl>
    <w:lvl w:ilvl="5" w:tplc="F664E246">
      <w:start w:val="1"/>
      <w:numFmt w:val="bullet"/>
      <w:lvlText w:val=""/>
      <w:lvlJc w:val="left"/>
      <w:pPr>
        <w:ind w:left="720" w:hanging="360"/>
      </w:pPr>
      <w:rPr>
        <w:rFonts w:ascii="Symbol" w:hAnsi="Symbol"/>
      </w:rPr>
    </w:lvl>
    <w:lvl w:ilvl="6" w:tplc="4210DFEC">
      <w:start w:val="1"/>
      <w:numFmt w:val="bullet"/>
      <w:lvlText w:val=""/>
      <w:lvlJc w:val="left"/>
      <w:pPr>
        <w:ind w:left="720" w:hanging="360"/>
      </w:pPr>
      <w:rPr>
        <w:rFonts w:ascii="Symbol" w:hAnsi="Symbol"/>
      </w:rPr>
    </w:lvl>
    <w:lvl w:ilvl="7" w:tplc="E3B64238">
      <w:start w:val="1"/>
      <w:numFmt w:val="bullet"/>
      <w:lvlText w:val=""/>
      <w:lvlJc w:val="left"/>
      <w:pPr>
        <w:ind w:left="720" w:hanging="360"/>
      </w:pPr>
      <w:rPr>
        <w:rFonts w:ascii="Symbol" w:hAnsi="Symbol"/>
      </w:rPr>
    </w:lvl>
    <w:lvl w:ilvl="8" w:tplc="EDFEC5B6">
      <w:start w:val="1"/>
      <w:numFmt w:val="bullet"/>
      <w:lvlText w:val=""/>
      <w:lvlJc w:val="left"/>
      <w:pPr>
        <w:ind w:left="720" w:hanging="360"/>
      </w:pPr>
      <w:rPr>
        <w:rFonts w:ascii="Symbol" w:hAnsi="Symbol"/>
      </w:rPr>
    </w:lvl>
  </w:abstractNum>
  <w:abstractNum w:abstractNumId="19" w15:restartNumberingAfterBreak="0">
    <w:nsid w:val="4C1058C4"/>
    <w:multiLevelType w:val="hybridMultilevel"/>
    <w:tmpl w:val="ACA00536"/>
    <w:lvl w:ilvl="0" w:tplc="91B67724">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EBB2E90"/>
    <w:multiLevelType w:val="hybridMultilevel"/>
    <w:tmpl w:val="B7E45DF4"/>
    <w:lvl w:ilvl="0" w:tplc="FFFFFFFF">
      <w:start w:val="1"/>
      <w:numFmt w:val="lowerLetter"/>
      <w:lvlText w:val="(%1)"/>
      <w:lvlJc w:val="left"/>
      <w:pPr>
        <w:ind w:left="1429" w:hanging="360"/>
      </w:pPr>
      <w:rPr>
        <w:rFonts w:ascii="Arial" w:eastAsiaTheme="minorHAnsi" w:hAnsi="Arial" w:cstheme="minorBidi" w:hint="default"/>
      </w:rPr>
    </w:lvl>
    <w:lvl w:ilvl="1" w:tplc="95C89DF8">
      <w:start w:val="1"/>
      <w:numFmt w:val="lowerRoman"/>
      <w:lvlText w:val="(%2)"/>
      <w:lvlJc w:val="left"/>
      <w:pPr>
        <w:ind w:left="191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2" w15:restartNumberingAfterBreak="0">
    <w:nsid w:val="500351ED"/>
    <w:multiLevelType w:val="hybridMultilevel"/>
    <w:tmpl w:val="A32A1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995581"/>
    <w:multiLevelType w:val="hybridMultilevel"/>
    <w:tmpl w:val="B1860C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2E8630A"/>
    <w:multiLevelType w:val="multilevel"/>
    <w:tmpl w:val="A1F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239F4"/>
    <w:multiLevelType w:val="hybridMultilevel"/>
    <w:tmpl w:val="2E82A58C"/>
    <w:lvl w:ilvl="0" w:tplc="82AA357A">
      <w:start w:val="1"/>
      <w:numFmt w:val="upperLetter"/>
      <w:lvlText w:val="%1)"/>
      <w:lvlJc w:val="left"/>
      <w:pPr>
        <w:ind w:left="1020" w:hanging="360"/>
      </w:pPr>
    </w:lvl>
    <w:lvl w:ilvl="1" w:tplc="0F56DB78">
      <w:start w:val="1"/>
      <w:numFmt w:val="upperLetter"/>
      <w:lvlText w:val="%2)"/>
      <w:lvlJc w:val="left"/>
      <w:pPr>
        <w:ind w:left="1020" w:hanging="360"/>
      </w:pPr>
    </w:lvl>
    <w:lvl w:ilvl="2" w:tplc="03F631B0">
      <w:start w:val="1"/>
      <w:numFmt w:val="upperLetter"/>
      <w:lvlText w:val="%3)"/>
      <w:lvlJc w:val="left"/>
      <w:pPr>
        <w:ind w:left="1020" w:hanging="360"/>
      </w:pPr>
    </w:lvl>
    <w:lvl w:ilvl="3" w:tplc="93720EE6">
      <w:start w:val="1"/>
      <w:numFmt w:val="upperLetter"/>
      <w:lvlText w:val="%4)"/>
      <w:lvlJc w:val="left"/>
      <w:pPr>
        <w:ind w:left="1020" w:hanging="360"/>
      </w:pPr>
    </w:lvl>
    <w:lvl w:ilvl="4" w:tplc="E8AA7EEE">
      <w:start w:val="1"/>
      <w:numFmt w:val="upperLetter"/>
      <w:lvlText w:val="%5)"/>
      <w:lvlJc w:val="left"/>
      <w:pPr>
        <w:ind w:left="1020" w:hanging="360"/>
      </w:pPr>
    </w:lvl>
    <w:lvl w:ilvl="5" w:tplc="CF9076DA">
      <w:start w:val="1"/>
      <w:numFmt w:val="upperLetter"/>
      <w:lvlText w:val="%6)"/>
      <w:lvlJc w:val="left"/>
      <w:pPr>
        <w:ind w:left="1020" w:hanging="360"/>
      </w:pPr>
    </w:lvl>
    <w:lvl w:ilvl="6" w:tplc="27729EB2">
      <w:start w:val="1"/>
      <w:numFmt w:val="upperLetter"/>
      <w:lvlText w:val="%7)"/>
      <w:lvlJc w:val="left"/>
      <w:pPr>
        <w:ind w:left="1020" w:hanging="360"/>
      </w:pPr>
    </w:lvl>
    <w:lvl w:ilvl="7" w:tplc="7FA45CA4">
      <w:start w:val="1"/>
      <w:numFmt w:val="upperLetter"/>
      <w:lvlText w:val="%8)"/>
      <w:lvlJc w:val="left"/>
      <w:pPr>
        <w:ind w:left="1020" w:hanging="360"/>
      </w:pPr>
    </w:lvl>
    <w:lvl w:ilvl="8" w:tplc="6B9EFEC2">
      <w:start w:val="1"/>
      <w:numFmt w:val="upperLetter"/>
      <w:lvlText w:val="%9)"/>
      <w:lvlJc w:val="left"/>
      <w:pPr>
        <w:ind w:left="1020" w:hanging="360"/>
      </w:pPr>
    </w:lvl>
  </w:abstractNum>
  <w:abstractNum w:abstractNumId="27" w15:restartNumberingAfterBreak="0">
    <w:nsid w:val="616C4119"/>
    <w:multiLevelType w:val="hybridMultilevel"/>
    <w:tmpl w:val="32B26098"/>
    <w:lvl w:ilvl="0" w:tplc="32680A86">
      <w:start w:val="1"/>
      <w:numFmt w:val="lowerLetter"/>
      <w:lvlText w:val="%1)"/>
      <w:lvlJc w:val="left"/>
      <w:pPr>
        <w:ind w:left="1020" w:hanging="360"/>
      </w:pPr>
    </w:lvl>
    <w:lvl w:ilvl="1" w:tplc="0FF485D6">
      <w:start w:val="1"/>
      <w:numFmt w:val="lowerLetter"/>
      <w:lvlText w:val="%2)"/>
      <w:lvlJc w:val="left"/>
      <w:pPr>
        <w:ind w:left="1020" w:hanging="360"/>
      </w:pPr>
    </w:lvl>
    <w:lvl w:ilvl="2" w:tplc="000ABD2C">
      <w:start w:val="1"/>
      <w:numFmt w:val="lowerLetter"/>
      <w:lvlText w:val="%3)"/>
      <w:lvlJc w:val="left"/>
      <w:pPr>
        <w:ind w:left="1020" w:hanging="360"/>
      </w:pPr>
    </w:lvl>
    <w:lvl w:ilvl="3" w:tplc="E25A570E">
      <w:start w:val="1"/>
      <w:numFmt w:val="lowerLetter"/>
      <w:lvlText w:val="%4)"/>
      <w:lvlJc w:val="left"/>
      <w:pPr>
        <w:ind w:left="1020" w:hanging="360"/>
      </w:pPr>
    </w:lvl>
    <w:lvl w:ilvl="4" w:tplc="382409D2">
      <w:start w:val="1"/>
      <w:numFmt w:val="lowerLetter"/>
      <w:lvlText w:val="%5)"/>
      <w:lvlJc w:val="left"/>
      <w:pPr>
        <w:ind w:left="1020" w:hanging="360"/>
      </w:pPr>
    </w:lvl>
    <w:lvl w:ilvl="5" w:tplc="2320F0B0">
      <w:start w:val="1"/>
      <w:numFmt w:val="lowerLetter"/>
      <w:lvlText w:val="%6)"/>
      <w:lvlJc w:val="left"/>
      <w:pPr>
        <w:ind w:left="1020" w:hanging="360"/>
      </w:pPr>
    </w:lvl>
    <w:lvl w:ilvl="6" w:tplc="4E047BD2">
      <w:start w:val="1"/>
      <w:numFmt w:val="lowerLetter"/>
      <w:lvlText w:val="%7)"/>
      <w:lvlJc w:val="left"/>
      <w:pPr>
        <w:ind w:left="1020" w:hanging="360"/>
      </w:pPr>
    </w:lvl>
    <w:lvl w:ilvl="7" w:tplc="94EE11BE">
      <w:start w:val="1"/>
      <w:numFmt w:val="lowerLetter"/>
      <w:lvlText w:val="%8)"/>
      <w:lvlJc w:val="left"/>
      <w:pPr>
        <w:ind w:left="1020" w:hanging="360"/>
      </w:pPr>
    </w:lvl>
    <w:lvl w:ilvl="8" w:tplc="EA020C4E">
      <w:start w:val="1"/>
      <w:numFmt w:val="lowerLetter"/>
      <w:lvlText w:val="%9)"/>
      <w:lvlJc w:val="left"/>
      <w:pPr>
        <w:ind w:left="1020" w:hanging="360"/>
      </w:pPr>
    </w:lvl>
  </w:abstractNum>
  <w:abstractNum w:abstractNumId="28" w15:restartNumberingAfterBreak="0">
    <w:nsid w:val="67AD19E4"/>
    <w:multiLevelType w:val="hybridMultilevel"/>
    <w:tmpl w:val="44664D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EA7444"/>
    <w:multiLevelType w:val="hybridMultilevel"/>
    <w:tmpl w:val="108AC550"/>
    <w:lvl w:ilvl="0" w:tplc="91B677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9C12510"/>
    <w:multiLevelType w:val="hybridMultilevel"/>
    <w:tmpl w:val="2A8CBA44"/>
    <w:lvl w:ilvl="0" w:tplc="7008410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0653A2"/>
    <w:multiLevelType w:val="hybridMultilevel"/>
    <w:tmpl w:val="7814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5"/>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3"/>
  </w:num>
  <w:num w:numId="3" w16cid:durableId="1248614696">
    <w:abstractNumId w:val="4"/>
  </w:num>
  <w:num w:numId="4" w16cid:durableId="297951965">
    <w:abstractNumId w:val="23"/>
  </w:num>
  <w:num w:numId="5" w16cid:durableId="1535191726">
    <w:abstractNumId w:val="11"/>
  </w:num>
  <w:num w:numId="6" w16cid:durableId="224069918">
    <w:abstractNumId w:val="21"/>
  </w:num>
  <w:num w:numId="7" w16cid:durableId="1150249122">
    <w:abstractNumId w:val="8"/>
  </w:num>
  <w:num w:numId="8" w16cid:durableId="233053789">
    <w:abstractNumId w:val="1"/>
  </w:num>
  <w:num w:numId="9" w16cid:durableId="1393187700">
    <w:abstractNumId w:val="0"/>
  </w:num>
  <w:num w:numId="10" w16cid:durableId="91820601">
    <w:abstractNumId w:val="5"/>
  </w:num>
  <w:num w:numId="11" w16cid:durableId="1223715709">
    <w:abstractNumId w:val="31"/>
  </w:num>
  <w:num w:numId="12" w16cid:durableId="284118181">
    <w:abstractNumId w:val="13"/>
  </w:num>
  <w:num w:numId="13" w16cid:durableId="65491580">
    <w:abstractNumId w:val="13"/>
    <w:lvlOverride w:ilvl="0">
      <w:startOverride w:val="1"/>
    </w:lvlOverride>
  </w:num>
  <w:num w:numId="14" w16cid:durableId="478496800">
    <w:abstractNumId w:val="29"/>
  </w:num>
  <w:num w:numId="15" w16cid:durableId="1951473459">
    <w:abstractNumId w:val="28"/>
  </w:num>
  <w:num w:numId="16" w16cid:durableId="409738082">
    <w:abstractNumId w:val="30"/>
  </w:num>
  <w:num w:numId="17" w16cid:durableId="1253704649">
    <w:abstractNumId w:val="20"/>
  </w:num>
  <w:num w:numId="18" w16cid:durableId="1702510677">
    <w:abstractNumId w:val="24"/>
  </w:num>
  <w:num w:numId="19" w16cid:durableId="430591781">
    <w:abstractNumId w:val="2"/>
  </w:num>
  <w:num w:numId="20" w16cid:durableId="1060520906">
    <w:abstractNumId w:val="22"/>
  </w:num>
  <w:num w:numId="21" w16cid:durableId="1694768760">
    <w:abstractNumId w:val="9"/>
  </w:num>
  <w:num w:numId="22" w16cid:durableId="2071878291">
    <w:abstractNumId w:val="32"/>
  </w:num>
  <w:num w:numId="23" w16cid:durableId="165481811">
    <w:abstractNumId w:val="26"/>
  </w:num>
  <w:num w:numId="24" w16cid:durableId="726995479">
    <w:abstractNumId w:val="12"/>
  </w:num>
  <w:num w:numId="25" w16cid:durableId="829443525">
    <w:abstractNumId w:val="19"/>
  </w:num>
  <w:num w:numId="26" w16cid:durableId="1648128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017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2466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626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286621">
    <w:abstractNumId w:val="7"/>
  </w:num>
  <w:num w:numId="31" w16cid:durableId="348146139">
    <w:abstractNumId w:val="10"/>
  </w:num>
  <w:num w:numId="32" w16cid:durableId="2012171257">
    <w:abstractNumId w:val="16"/>
  </w:num>
  <w:num w:numId="33" w16cid:durableId="191234374">
    <w:abstractNumId w:val="31"/>
  </w:num>
  <w:num w:numId="34" w16cid:durableId="2103135633">
    <w:abstractNumId w:val="31"/>
  </w:num>
  <w:num w:numId="35" w16cid:durableId="1097601086">
    <w:abstractNumId w:val="31"/>
  </w:num>
  <w:num w:numId="36" w16cid:durableId="780338939">
    <w:abstractNumId w:val="27"/>
  </w:num>
  <w:num w:numId="37" w16cid:durableId="298534091">
    <w:abstractNumId w:val="25"/>
  </w:num>
  <w:num w:numId="38" w16cid:durableId="836768100">
    <w:abstractNumId w:val="6"/>
  </w:num>
  <w:num w:numId="39" w16cid:durableId="1045527275">
    <w:abstractNumId w:val="18"/>
  </w:num>
  <w:num w:numId="40" w16cid:durableId="344790485">
    <w:abstractNumId w:val="15"/>
  </w:num>
  <w:num w:numId="41" w16cid:durableId="1544487124">
    <w:abstractNumId w:val="17"/>
  </w:num>
  <w:num w:numId="42" w16cid:durableId="1516916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2094"/>
    <w:rsid w:val="00002B8F"/>
    <w:rsid w:val="00005BD3"/>
    <w:rsid w:val="00005CE2"/>
    <w:rsid w:val="0000665B"/>
    <w:rsid w:val="00006B75"/>
    <w:rsid w:val="00007A50"/>
    <w:rsid w:val="000127F9"/>
    <w:rsid w:val="00013245"/>
    <w:rsid w:val="000133DC"/>
    <w:rsid w:val="00013656"/>
    <w:rsid w:val="00014258"/>
    <w:rsid w:val="00017897"/>
    <w:rsid w:val="00022FCF"/>
    <w:rsid w:val="00023790"/>
    <w:rsid w:val="00026EE8"/>
    <w:rsid w:val="00033CE0"/>
    <w:rsid w:val="00037001"/>
    <w:rsid w:val="000378A2"/>
    <w:rsid w:val="000434C1"/>
    <w:rsid w:val="00044E2B"/>
    <w:rsid w:val="0004645C"/>
    <w:rsid w:val="00052BE5"/>
    <w:rsid w:val="00052FC5"/>
    <w:rsid w:val="000539C6"/>
    <w:rsid w:val="000546FE"/>
    <w:rsid w:val="00055969"/>
    <w:rsid w:val="0005724C"/>
    <w:rsid w:val="00061F9D"/>
    <w:rsid w:val="00064106"/>
    <w:rsid w:val="00064108"/>
    <w:rsid w:val="000644B9"/>
    <w:rsid w:val="00064D72"/>
    <w:rsid w:val="00067D6B"/>
    <w:rsid w:val="00070669"/>
    <w:rsid w:val="000718AF"/>
    <w:rsid w:val="00071A39"/>
    <w:rsid w:val="0007452D"/>
    <w:rsid w:val="00074787"/>
    <w:rsid w:val="00082648"/>
    <w:rsid w:val="000827B0"/>
    <w:rsid w:val="00082AEF"/>
    <w:rsid w:val="00084016"/>
    <w:rsid w:val="0008505E"/>
    <w:rsid w:val="00085322"/>
    <w:rsid w:val="0008652E"/>
    <w:rsid w:val="00094B81"/>
    <w:rsid w:val="00095A50"/>
    <w:rsid w:val="000965C9"/>
    <w:rsid w:val="00096CDC"/>
    <w:rsid w:val="00097B49"/>
    <w:rsid w:val="000A0E18"/>
    <w:rsid w:val="000A0EB2"/>
    <w:rsid w:val="000A139A"/>
    <w:rsid w:val="000A194B"/>
    <w:rsid w:val="000A1AAC"/>
    <w:rsid w:val="000A23DB"/>
    <w:rsid w:val="000A2EC9"/>
    <w:rsid w:val="000A55A0"/>
    <w:rsid w:val="000A5B3C"/>
    <w:rsid w:val="000B1F7B"/>
    <w:rsid w:val="000B49E1"/>
    <w:rsid w:val="000B5636"/>
    <w:rsid w:val="000B6480"/>
    <w:rsid w:val="000C0253"/>
    <w:rsid w:val="000C0B57"/>
    <w:rsid w:val="000C3A5C"/>
    <w:rsid w:val="000C3B71"/>
    <w:rsid w:val="000C3B96"/>
    <w:rsid w:val="000C3D61"/>
    <w:rsid w:val="000C5CCA"/>
    <w:rsid w:val="000C6DC1"/>
    <w:rsid w:val="000C7171"/>
    <w:rsid w:val="000D17D8"/>
    <w:rsid w:val="000D3369"/>
    <w:rsid w:val="000D43A9"/>
    <w:rsid w:val="000D6032"/>
    <w:rsid w:val="000D7942"/>
    <w:rsid w:val="000E1750"/>
    <w:rsid w:val="000E205B"/>
    <w:rsid w:val="000E44A3"/>
    <w:rsid w:val="000E4DEF"/>
    <w:rsid w:val="000F1B26"/>
    <w:rsid w:val="000F30C6"/>
    <w:rsid w:val="000F338A"/>
    <w:rsid w:val="000F4CA0"/>
    <w:rsid w:val="000F4D0F"/>
    <w:rsid w:val="000F4D35"/>
    <w:rsid w:val="000F5861"/>
    <w:rsid w:val="000F5BE5"/>
    <w:rsid w:val="000F6D1C"/>
    <w:rsid w:val="000F6F7E"/>
    <w:rsid w:val="000F72BC"/>
    <w:rsid w:val="000F7C3D"/>
    <w:rsid w:val="0010231F"/>
    <w:rsid w:val="00102721"/>
    <w:rsid w:val="0010395C"/>
    <w:rsid w:val="00103BE6"/>
    <w:rsid w:val="00103F74"/>
    <w:rsid w:val="001045FF"/>
    <w:rsid w:val="0010548B"/>
    <w:rsid w:val="0010596D"/>
    <w:rsid w:val="00110F0E"/>
    <w:rsid w:val="00110FBB"/>
    <w:rsid w:val="00111C21"/>
    <w:rsid w:val="00111F57"/>
    <w:rsid w:val="0011279A"/>
    <w:rsid w:val="001130A1"/>
    <w:rsid w:val="001146CB"/>
    <w:rsid w:val="00114EA9"/>
    <w:rsid w:val="0011579F"/>
    <w:rsid w:val="00116917"/>
    <w:rsid w:val="001172AE"/>
    <w:rsid w:val="0012279C"/>
    <w:rsid w:val="001242F0"/>
    <w:rsid w:val="0012473C"/>
    <w:rsid w:val="00126769"/>
    <w:rsid w:val="00131235"/>
    <w:rsid w:val="00132410"/>
    <w:rsid w:val="00134036"/>
    <w:rsid w:val="00134EF7"/>
    <w:rsid w:val="00135904"/>
    <w:rsid w:val="001408F6"/>
    <w:rsid w:val="00143081"/>
    <w:rsid w:val="00147BE4"/>
    <w:rsid w:val="00152308"/>
    <w:rsid w:val="00152321"/>
    <w:rsid w:val="00153582"/>
    <w:rsid w:val="00154359"/>
    <w:rsid w:val="0015488D"/>
    <w:rsid w:val="00155533"/>
    <w:rsid w:val="0016122B"/>
    <w:rsid w:val="00161403"/>
    <w:rsid w:val="00161470"/>
    <w:rsid w:val="00165900"/>
    <w:rsid w:val="00166A6F"/>
    <w:rsid w:val="001670DC"/>
    <w:rsid w:val="00167F44"/>
    <w:rsid w:val="001703D6"/>
    <w:rsid w:val="00170997"/>
    <w:rsid w:val="001731E5"/>
    <w:rsid w:val="001749D2"/>
    <w:rsid w:val="00175635"/>
    <w:rsid w:val="00175CD8"/>
    <w:rsid w:val="0017784B"/>
    <w:rsid w:val="00180CA7"/>
    <w:rsid w:val="00180E3B"/>
    <w:rsid w:val="001848E8"/>
    <w:rsid w:val="00186B9E"/>
    <w:rsid w:val="00187A87"/>
    <w:rsid w:val="001919D6"/>
    <w:rsid w:val="00195CE2"/>
    <w:rsid w:val="00196949"/>
    <w:rsid w:val="00196A59"/>
    <w:rsid w:val="00197DA2"/>
    <w:rsid w:val="00197E01"/>
    <w:rsid w:val="001A1686"/>
    <w:rsid w:val="001A16E8"/>
    <w:rsid w:val="001A531C"/>
    <w:rsid w:val="001A7E27"/>
    <w:rsid w:val="001B0566"/>
    <w:rsid w:val="001B3397"/>
    <w:rsid w:val="001B70A7"/>
    <w:rsid w:val="001C23E5"/>
    <w:rsid w:val="001C3380"/>
    <w:rsid w:val="001C52BB"/>
    <w:rsid w:val="001C52E4"/>
    <w:rsid w:val="001C6E3A"/>
    <w:rsid w:val="001D0E58"/>
    <w:rsid w:val="001D1E37"/>
    <w:rsid w:val="001D4B65"/>
    <w:rsid w:val="001D4C7E"/>
    <w:rsid w:val="001D53FB"/>
    <w:rsid w:val="001D6807"/>
    <w:rsid w:val="001E074B"/>
    <w:rsid w:val="001E07AF"/>
    <w:rsid w:val="001E089E"/>
    <w:rsid w:val="001E1474"/>
    <w:rsid w:val="001E2A7C"/>
    <w:rsid w:val="001E3897"/>
    <w:rsid w:val="001E43B0"/>
    <w:rsid w:val="001E6B1E"/>
    <w:rsid w:val="001E6CD4"/>
    <w:rsid w:val="001F00CB"/>
    <w:rsid w:val="001F0C40"/>
    <w:rsid w:val="001F1481"/>
    <w:rsid w:val="001F19E2"/>
    <w:rsid w:val="001F1D04"/>
    <w:rsid w:val="001F3290"/>
    <w:rsid w:val="001F4008"/>
    <w:rsid w:val="001F55BF"/>
    <w:rsid w:val="0020238B"/>
    <w:rsid w:val="00202F19"/>
    <w:rsid w:val="00204043"/>
    <w:rsid w:val="002050E4"/>
    <w:rsid w:val="00206027"/>
    <w:rsid w:val="00207469"/>
    <w:rsid w:val="002102BD"/>
    <w:rsid w:val="00212F39"/>
    <w:rsid w:val="002139D1"/>
    <w:rsid w:val="002144F3"/>
    <w:rsid w:val="002201DC"/>
    <w:rsid w:val="00220506"/>
    <w:rsid w:val="00224B63"/>
    <w:rsid w:val="00225A2A"/>
    <w:rsid w:val="00225E86"/>
    <w:rsid w:val="00226F4B"/>
    <w:rsid w:val="00230E2E"/>
    <w:rsid w:val="0023294C"/>
    <w:rsid w:val="00232E6D"/>
    <w:rsid w:val="002358A7"/>
    <w:rsid w:val="00235FD2"/>
    <w:rsid w:val="00237783"/>
    <w:rsid w:val="002410E9"/>
    <w:rsid w:val="00241B50"/>
    <w:rsid w:val="00242739"/>
    <w:rsid w:val="00244B96"/>
    <w:rsid w:val="002460A3"/>
    <w:rsid w:val="00247188"/>
    <w:rsid w:val="002477DE"/>
    <w:rsid w:val="0025010F"/>
    <w:rsid w:val="00250EB2"/>
    <w:rsid w:val="0025402C"/>
    <w:rsid w:val="002540DC"/>
    <w:rsid w:val="00255B0E"/>
    <w:rsid w:val="00257821"/>
    <w:rsid w:val="002608C4"/>
    <w:rsid w:val="00261F0D"/>
    <w:rsid w:val="00263C10"/>
    <w:rsid w:val="00266D38"/>
    <w:rsid w:val="00271EA2"/>
    <w:rsid w:val="0027487C"/>
    <w:rsid w:val="00274EEB"/>
    <w:rsid w:val="0027775B"/>
    <w:rsid w:val="00280BB3"/>
    <w:rsid w:val="002829AC"/>
    <w:rsid w:val="00286E51"/>
    <w:rsid w:val="00290514"/>
    <w:rsid w:val="00290CD9"/>
    <w:rsid w:val="00292BEB"/>
    <w:rsid w:val="002935D0"/>
    <w:rsid w:val="002940FF"/>
    <w:rsid w:val="00294976"/>
    <w:rsid w:val="0029622B"/>
    <w:rsid w:val="00296E82"/>
    <w:rsid w:val="0029708A"/>
    <w:rsid w:val="0029709B"/>
    <w:rsid w:val="0029784A"/>
    <w:rsid w:val="002A1420"/>
    <w:rsid w:val="002A1CDB"/>
    <w:rsid w:val="002A371E"/>
    <w:rsid w:val="002A38E6"/>
    <w:rsid w:val="002A4209"/>
    <w:rsid w:val="002A49F1"/>
    <w:rsid w:val="002A4C54"/>
    <w:rsid w:val="002A4F73"/>
    <w:rsid w:val="002A6CC9"/>
    <w:rsid w:val="002A6DF7"/>
    <w:rsid w:val="002A6F8F"/>
    <w:rsid w:val="002A7317"/>
    <w:rsid w:val="002B0CAE"/>
    <w:rsid w:val="002B1095"/>
    <w:rsid w:val="002B1BF7"/>
    <w:rsid w:val="002B1E3C"/>
    <w:rsid w:val="002B34CB"/>
    <w:rsid w:val="002B52B3"/>
    <w:rsid w:val="002B5734"/>
    <w:rsid w:val="002B5C5B"/>
    <w:rsid w:val="002B6070"/>
    <w:rsid w:val="002C1A21"/>
    <w:rsid w:val="002C3736"/>
    <w:rsid w:val="002C5BDE"/>
    <w:rsid w:val="002C7C4F"/>
    <w:rsid w:val="002D10B2"/>
    <w:rsid w:val="002D14E2"/>
    <w:rsid w:val="002D1886"/>
    <w:rsid w:val="002D21BC"/>
    <w:rsid w:val="002D3A52"/>
    <w:rsid w:val="002D4856"/>
    <w:rsid w:val="002E14A0"/>
    <w:rsid w:val="002E2D6F"/>
    <w:rsid w:val="002E3C01"/>
    <w:rsid w:val="002E537B"/>
    <w:rsid w:val="002E66C0"/>
    <w:rsid w:val="002E6AA4"/>
    <w:rsid w:val="002E6F02"/>
    <w:rsid w:val="002F22F1"/>
    <w:rsid w:val="002F2C79"/>
    <w:rsid w:val="002F4F8E"/>
    <w:rsid w:val="002F5274"/>
    <w:rsid w:val="002F591F"/>
    <w:rsid w:val="0030018A"/>
    <w:rsid w:val="003008D8"/>
    <w:rsid w:val="00300CBB"/>
    <w:rsid w:val="003011DA"/>
    <w:rsid w:val="00301257"/>
    <w:rsid w:val="00301306"/>
    <w:rsid w:val="003014B2"/>
    <w:rsid w:val="00303379"/>
    <w:rsid w:val="00303916"/>
    <w:rsid w:val="003075D5"/>
    <w:rsid w:val="00307988"/>
    <w:rsid w:val="003109D6"/>
    <w:rsid w:val="003120CD"/>
    <w:rsid w:val="0031310B"/>
    <w:rsid w:val="00314C23"/>
    <w:rsid w:val="00316AB8"/>
    <w:rsid w:val="0032153F"/>
    <w:rsid w:val="00321B93"/>
    <w:rsid w:val="003231C8"/>
    <w:rsid w:val="003232CB"/>
    <w:rsid w:val="003263E6"/>
    <w:rsid w:val="00330937"/>
    <w:rsid w:val="00330A07"/>
    <w:rsid w:val="0033237D"/>
    <w:rsid w:val="0033384F"/>
    <w:rsid w:val="00335320"/>
    <w:rsid w:val="00335538"/>
    <w:rsid w:val="0033696C"/>
    <w:rsid w:val="00336EB4"/>
    <w:rsid w:val="00345304"/>
    <w:rsid w:val="00351EFD"/>
    <w:rsid w:val="0035444D"/>
    <w:rsid w:val="00354E9F"/>
    <w:rsid w:val="00355B26"/>
    <w:rsid w:val="003566D3"/>
    <w:rsid w:val="00361624"/>
    <w:rsid w:val="0036241A"/>
    <w:rsid w:val="00362FE7"/>
    <w:rsid w:val="00363B67"/>
    <w:rsid w:val="003640DA"/>
    <w:rsid w:val="00365B61"/>
    <w:rsid w:val="00374380"/>
    <w:rsid w:val="00374CBE"/>
    <w:rsid w:val="00376C1C"/>
    <w:rsid w:val="003771A3"/>
    <w:rsid w:val="00381A12"/>
    <w:rsid w:val="003820F4"/>
    <w:rsid w:val="003844A0"/>
    <w:rsid w:val="00385FF1"/>
    <w:rsid w:val="00386AF2"/>
    <w:rsid w:val="003872D1"/>
    <w:rsid w:val="0039106C"/>
    <w:rsid w:val="0039143F"/>
    <w:rsid w:val="003924D4"/>
    <w:rsid w:val="0039272E"/>
    <w:rsid w:val="00393003"/>
    <w:rsid w:val="003961D6"/>
    <w:rsid w:val="00397F06"/>
    <w:rsid w:val="003A1B6F"/>
    <w:rsid w:val="003A1EEA"/>
    <w:rsid w:val="003A2025"/>
    <w:rsid w:val="003A2039"/>
    <w:rsid w:val="003A2831"/>
    <w:rsid w:val="003A461B"/>
    <w:rsid w:val="003A57DF"/>
    <w:rsid w:val="003A5B47"/>
    <w:rsid w:val="003A709A"/>
    <w:rsid w:val="003B4235"/>
    <w:rsid w:val="003B4F68"/>
    <w:rsid w:val="003B622C"/>
    <w:rsid w:val="003B6C24"/>
    <w:rsid w:val="003C1B12"/>
    <w:rsid w:val="003C2BAD"/>
    <w:rsid w:val="003C3C33"/>
    <w:rsid w:val="003C4DA5"/>
    <w:rsid w:val="003C5C46"/>
    <w:rsid w:val="003C7456"/>
    <w:rsid w:val="003C7ABA"/>
    <w:rsid w:val="003C7F4C"/>
    <w:rsid w:val="003D036E"/>
    <w:rsid w:val="003D40B4"/>
    <w:rsid w:val="003D44B0"/>
    <w:rsid w:val="003D7A92"/>
    <w:rsid w:val="003E06E8"/>
    <w:rsid w:val="003E55CF"/>
    <w:rsid w:val="003E7102"/>
    <w:rsid w:val="003E7A8C"/>
    <w:rsid w:val="003F1EA3"/>
    <w:rsid w:val="003F293E"/>
    <w:rsid w:val="003F2E57"/>
    <w:rsid w:val="003F33B3"/>
    <w:rsid w:val="003F4036"/>
    <w:rsid w:val="003F4850"/>
    <w:rsid w:val="003F5E43"/>
    <w:rsid w:val="003F7B79"/>
    <w:rsid w:val="00401000"/>
    <w:rsid w:val="00402895"/>
    <w:rsid w:val="00403606"/>
    <w:rsid w:val="00410E81"/>
    <w:rsid w:val="00413311"/>
    <w:rsid w:val="00413744"/>
    <w:rsid w:val="0041539A"/>
    <w:rsid w:val="00416A80"/>
    <w:rsid w:val="00416F79"/>
    <w:rsid w:val="00420433"/>
    <w:rsid w:val="00424477"/>
    <w:rsid w:val="004246B8"/>
    <w:rsid w:val="00425A50"/>
    <w:rsid w:val="004260D5"/>
    <w:rsid w:val="0042652F"/>
    <w:rsid w:val="00431018"/>
    <w:rsid w:val="004320AC"/>
    <w:rsid w:val="00435E0B"/>
    <w:rsid w:val="0043718E"/>
    <w:rsid w:val="00437E58"/>
    <w:rsid w:val="00440D56"/>
    <w:rsid w:val="004429A5"/>
    <w:rsid w:val="00443404"/>
    <w:rsid w:val="00444B33"/>
    <w:rsid w:val="004450B9"/>
    <w:rsid w:val="0045301E"/>
    <w:rsid w:val="0045381C"/>
    <w:rsid w:val="004544B1"/>
    <w:rsid w:val="00454694"/>
    <w:rsid w:val="004557D2"/>
    <w:rsid w:val="00456D78"/>
    <w:rsid w:val="00456F13"/>
    <w:rsid w:val="00457050"/>
    <w:rsid w:val="0046072C"/>
    <w:rsid w:val="00462D0E"/>
    <w:rsid w:val="00464F7A"/>
    <w:rsid w:val="004666D1"/>
    <w:rsid w:val="004728CC"/>
    <w:rsid w:val="004739D4"/>
    <w:rsid w:val="004751FA"/>
    <w:rsid w:val="004814FF"/>
    <w:rsid w:val="004828B1"/>
    <w:rsid w:val="00482C88"/>
    <w:rsid w:val="00487A39"/>
    <w:rsid w:val="004927BA"/>
    <w:rsid w:val="004932C1"/>
    <w:rsid w:val="004964D9"/>
    <w:rsid w:val="00496AB0"/>
    <w:rsid w:val="00496E10"/>
    <w:rsid w:val="004977AF"/>
    <w:rsid w:val="00497E42"/>
    <w:rsid w:val="004A1CC7"/>
    <w:rsid w:val="004A3141"/>
    <w:rsid w:val="004A41D9"/>
    <w:rsid w:val="004A4270"/>
    <w:rsid w:val="004A787E"/>
    <w:rsid w:val="004B0031"/>
    <w:rsid w:val="004B1CCA"/>
    <w:rsid w:val="004B2933"/>
    <w:rsid w:val="004B2B51"/>
    <w:rsid w:val="004B3DF2"/>
    <w:rsid w:val="004B4802"/>
    <w:rsid w:val="004B58A3"/>
    <w:rsid w:val="004B5F22"/>
    <w:rsid w:val="004B6ADF"/>
    <w:rsid w:val="004B6FA0"/>
    <w:rsid w:val="004B7498"/>
    <w:rsid w:val="004C1363"/>
    <w:rsid w:val="004C1DFF"/>
    <w:rsid w:val="004C434F"/>
    <w:rsid w:val="004C719A"/>
    <w:rsid w:val="004D06D7"/>
    <w:rsid w:val="004D232B"/>
    <w:rsid w:val="004D2E4E"/>
    <w:rsid w:val="004D3FF8"/>
    <w:rsid w:val="004D4B15"/>
    <w:rsid w:val="004D7346"/>
    <w:rsid w:val="004E216F"/>
    <w:rsid w:val="004E3E16"/>
    <w:rsid w:val="004E4BD0"/>
    <w:rsid w:val="004E7DB4"/>
    <w:rsid w:val="004F0304"/>
    <w:rsid w:val="004F164C"/>
    <w:rsid w:val="004F3747"/>
    <w:rsid w:val="004F457E"/>
    <w:rsid w:val="004F49AD"/>
    <w:rsid w:val="004F585E"/>
    <w:rsid w:val="004F6789"/>
    <w:rsid w:val="004F7983"/>
    <w:rsid w:val="00501903"/>
    <w:rsid w:val="00502188"/>
    <w:rsid w:val="005069F5"/>
    <w:rsid w:val="00510488"/>
    <w:rsid w:val="005125C1"/>
    <w:rsid w:val="00512E8A"/>
    <w:rsid w:val="0051421A"/>
    <w:rsid w:val="00514985"/>
    <w:rsid w:val="0051698A"/>
    <w:rsid w:val="00516A9F"/>
    <w:rsid w:val="005172C6"/>
    <w:rsid w:val="00517413"/>
    <w:rsid w:val="005207BC"/>
    <w:rsid w:val="005227FF"/>
    <w:rsid w:val="005236FA"/>
    <w:rsid w:val="00524638"/>
    <w:rsid w:val="0052489B"/>
    <w:rsid w:val="00524BB0"/>
    <w:rsid w:val="0052545D"/>
    <w:rsid w:val="00530DE0"/>
    <w:rsid w:val="00531221"/>
    <w:rsid w:val="005316E3"/>
    <w:rsid w:val="005322B5"/>
    <w:rsid w:val="00532A0F"/>
    <w:rsid w:val="00533096"/>
    <w:rsid w:val="00535788"/>
    <w:rsid w:val="00535DCE"/>
    <w:rsid w:val="00540ABB"/>
    <w:rsid w:val="00541EF0"/>
    <w:rsid w:val="0054258B"/>
    <w:rsid w:val="005426BC"/>
    <w:rsid w:val="00543F1A"/>
    <w:rsid w:val="00546A66"/>
    <w:rsid w:val="00551A2B"/>
    <w:rsid w:val="00553705"/>
    <w:rsid w:val="00557AF7"/>
    <w:rsid w:val="005601D2"/>
    <w:rsid w:val="00561259"/>
    <w:rsid w:val="00564B32"/>
    <w:rsid w:val="00566FB7"/>
    <w:rsid w:val="005724F9"/>
    <w:rsid w:val="00574386"/>
    <w:rsid w:val="00574912"/>
    <w:rsid w:val="00576352"/>
    <w:rsid w:val="00576409"/>
    <w:rsid w:val="00577563"/>
    <w:rsid w:val="0057765D"/>
    <w:rsid w:val="00577FF1"/>
    <w:rsid w:val="00581BB9"/>
    <w:rsid w:val="005825E5"/>
    <w:rsid w:val="0058575E"/>
    <w:rsid w:val="0058651C"/>
    <w:rsid w:val="00587B6B"/>
    <w:rsid w:val="00590CB3"/>
    <w:rsid w:val="00591A30"/>
    <w:rsid w:val="00591B8B"/>
    <w:rsid w:val="005951C6"/>
    <w:rsid w:val="00595D4F"/>
    <w:rsid w:val="00596CA3"/>
    <w:rsid w:val="005978BA"/>
    <w:rsid w:val="00597ED6"/>
    <w:rsid w:val="005A142F"/>
    <w:rsid w:val="005A1B5A"/>
    <w:rsid w:val="005A3C87"/>
    <w:rsid w:val="005A51B0"/>
    <w:rsid w:val="005A5C2A"/>
    <w:rsid w:val="005B14C8"/>
    <w:rsid w:val="005B1C6F"/>
    <w:rsid w:val="005B38D3"/>
    <w:rsid w:val="005B3EC4"/>
    <w:rsid w:val="005B6937"/>
    <w:rsid w:val="005B7132"/>
    <w:rsid w:val="005B7A98"/>
    <w:rsid w:val="005B7FA0"/>
    <w:rsid w:val="005C36AF"/>
    <w:rsid w:val="005C65E7"/>
    <w:rsid w:val="005C6AFD"/>
    <w:rsid w:val="005D1558"/>
    <w:rsid w:val="005D4023"/>
    <w:rsid w:val="005D6F9F"/>
    <w:rsid w:val="005E3E9A"/>
    <w:rsid w:val="005E42B8"/>
    <w:rsid w:val="005E53F6"/>
    <w:rsid w:val="005E5879"/>
    <w:rsid w:val="005F77AF"/>
    <w:rsid w:val="00600BBC"/>
    <w:rsid w:val="00600D9E"/>
    <w:rsid w:val="006034F8"/>
    <w:rsid w:val="00603B07"/>
    <w:rsid w:val="006069CA"/>
    <w:rsid w:val="00607C44"/>
    <w:rsid w:val="006119D9"/>
    <w:rsid w:val="00613263"/>
    <w:rsid w:val="00613A77"/>
    <w:rsid w:val="00615E49"/>
    <w:rsid w:val="00616016"/>
    <w:rsid w:val="006160A3"/>
    <w:rsid w:val="00616F17"/>
    <w:rsid w:val="00621693"/>
    <w:rsid w:val="006254CC"/>
    <w:rsid w:val="00625806"/>
    <w:rsid w:val="00642664"/>
    <w:rsid w:val="00643B54"/>
    <w:rsid w:val="006447F4"/>
    <w:rsid w:val="00645C4D"/>
    <w:rsid w:val="00645FCD"/>
    <w:rsid w:val="00651292"/>
    <w:rsid w:val="006514F7"/>
    <w:rsid w:val="00652EB2"/>
    <w:rsid w:val="00653E82"/>
    <w:rsid w:val="0065543A"/>
    <w:rsid w:val="00663964"/>
    <w:rsid w:val="00664E91"/>
    <w:rsid w:val="0066731F"/>
    <w:rsid w:val="00670D01"/>
    <w:rsid w:val="006713DD"/>
    <w:rsid w:val="00671D81"/>
    <w:rsid w:val="00674AEA"/>
    <w:rsid w:val="00674C15"/>
    <w:rsid w:val="0067613C"/>
    <w:rsid w:val="0067632D"/>
    <w:rsid w:val="0067698A"/>
    <w:rsid w:val="00676C28"/>
    <w:rsid w:val="006801CE"/>
    <w:rsid w:val="00680631"/>
    <w:rsid w:val="00681DB6"/>
    <w:rsid w:val="00684119"/>
    <w:rsid w:val="00684381"/>
    <w:rsid w:val="00686CED"/>
    <w:rsid w:val="0069089E"/>
    <w:rsid w:val="00690B60"/>
    <w:rsid w:val="006926FB"/>
    <w:rsid w:val="006956EB"/>
    <w:rsid w:val="006962DF"/>
    <w:rsid w:val="006976B8"/>
    <w:rsid w:val="006A1F0B"/>
    <w:rsid w:val="006A28A2"/>
    <w:rsid w:val="006A3A21"/>
    <w:rsid w:val="006A43EC"/>
    <w:rsid w:val="006A4AA4"/>
    <w:rsid w:val="006A5588"/>
    <w:rsid w:val="006B0CF3"/>
    <w:rsid w:val="006B1B60"/>
    <w:rsid w:val="006B1C10"/>
    <w:rsid w:val="006B23B1"/>
    <w:rsid w:val="006B4707"/>
    <w:rsid w:val="006B5294"/>
    <w:rsid w:val="006B58CD"/>
    <w:rsid w:val="006C015A"/>
    <w:rsid w:val="006C1D61"/>
    <w:rsid w:val="006C2068"/>
    <w:rsid w:val="006C20B4"/>
    <w:rsid w:val="006C30A5"/>
    <w:rsid w:val="006C37D3"/>
    <w:rsid w:val="006C4A65"/>
    <w:rsid w:val="006C4B06"/>
    <w:rsid w:val="006C66B9"/>
    <w:rsid w:val="006C7200"/>
    <w:rsid w:val="006C797F"/>
    <w:rsid w:val="006D0733"/>
    <w:rsid w:val="006D3049"/>
    <w:rsid w:val="006D3FE9"/>
    <w:rsid w:val="006D419F"/>
    <w:rsid w:val="006D443A"/>
    <w:rsid w:val="006D4CBE"/>
    <w:rsid w:val="006E2522"/>
    <w:rsid w:val="006E2A4E"/>
    <w:rsid w:val="006E5347"/>
    <w:rsid w:val="006E5F4C"/>
    <w:rsid w:val="006F115E"/>
    <w:rsid w:val="006F1174"/>
    <w:rsid w:val="006F18D1"/>
    <w:rsid w:val="006F2BBB"/>
    <w:rsid w:val="006F49F0"/>
    <w:rsid w:val="006F653D"/>
    <w:rsid w:val="006F6F29"/>
    <w:rsid w:val="00701F92"/>
    <w:rsid w:val="00704305"/>
    <w:rsid w:val="00704A6D"/>
    <w:rsid w:val="00706696"/>
    <w:rsid w:val="00706C82"/>
    <w:rsid w:val="007107E2"/>
    <w:rsid w:val="00711546"/>
    <w:rsid w:val="00711853"/>
    <w:rsid w:val="00712931"/>
    <w:rsid w:val="007165B1"/>
    <w:rsid w:val="00716923"/>
    <w:rsid w:val="00717C62"/>
    <w:rsid w:val="00717E1E"/>
    <w:rsid w:val="0072009F"/>
    <w:rsid w:val="00720587"/>
    <w:rsid w:val="007207EB"/>
    <w:rsid w:val="00722E1A"/>
    <w:rsid w:val="007232A5"/>
    <w:rsid w:val="0072344E"/>
    <w:rsid w:val="00725906"/>
    <w:rsid w:val="007259EA"/>
    <w:rsid w:val="00726738"/>
    <w:rsid w:val="00730F17"/>
    <w:rsid w:val="00731F5A"/>
    <w:rsid w:val="0073706D"/>
    <w:rsid w:val="00741E7B"/>
    <w:rsid w:val="00742D36"/>
    <w:rsid w:val="00743252"/>
    <w:rsid w:val="00745A83"/>
    <w:rsid w:val="00746990"/>
    <w:rsid w:val="0075008A"/>
    <w:rsid w:val="0075124E"/>
    <w:rsid w:val="007529F8"/>
    <w:rsid w:val="00756100"/>
    <w:rsid w:val="00756EB0"/>
    <w:rsid w:val="00756F2B"/>
    <w:rsid w:val="00757E6A"/>
    <w:rsid w:val="00761375"/>
    <w:rsid w:val="00762848"/>
    <w:rsid w:val="00762A55"/>
    <w:rsid w:val="00762E10"/>
    <w:rsid w:val="0076373C"/>
    <w:rsid w:val="00770DA1"/>
    <w:rsid w:val="00772041"/>
    <w:rsid w:val="0077314C"/>
    <w:rsid w:val="00773B4C"/>
    <w:rsid w:val="0077764E"/>
    <w:rsid w:val="0078001C"/>
    <w:rsid w:val="00782458"/>
    <w:rsid w:val="007829DD"/>
    <w:rsid w:val="007843C9"/>
    <w:rsid w:val="007852FC"/>
    <w:rsid w:val="00786240"/>
    <w:rsid w:val="00787AE1"/>
    <w:rsid w:val="007909E2"/>
    <w:rsid w:val="00791D25"/>
    <w:rsid w:val="00793056"/>
    <w:rsid w:val="007941F5"/>
    <w:rsid w:val="00795D95"/>
    <w:rsid w:val="007A0076"/>
    <w:rsid w:val="007A06D8"/>
    <w:rsid w:val="007A19DC"/>
    <w:rsid w:val="007A2E0B"/>
    <w:rsid w:val="007A3539"/>
    <w:rsid w:val="007A3857"/>
    <w:rsid w:val="007A78F1"/>
    <w:rsid w:val="007B0ED9"/>
    <w:rsid w:val="007B14C8"/>
    <w:rsid w:val="007B28CA"/>
    <w:rsid w:val="007B5758"/>
    <w:rsid w:val="007B65FA"/>
    <w:rsid w:val="007B6603"/>
    <w:rsid w:val="007B7970"/>
    <w:rsid w:val="007C07F1"/>
    <w:rsid w:val="007C7518"/>
    <w:rsid w:val="007D2158"/>
    <w:rsid w:val="007D2D48"/>
    <w:rsid w:val="007E0805"/>
    <w:rsid w:val="007E0898"/>
    <w:rsid w:val="007E0FC0"/>
    <w:rsid w:val="007E2597"/>
    <w:rsid w:val="007E60F6"/>
    <w:rsid w:val="007E61EF"/>
    <w:rsid w:val="007F0A77"/>
    <w:rsid w:val="007F0E87"/>
    <w:rsid w:val="007F1580"/>
    <w:rsid w:val="007F28F9"/>
    <w:rsid w:val="007F2DE3"/>
    <w:rsid w:val="007F3C4E"/>
    <w:rsid w:val="007F5946"/>
    <w:rsid w:val="008015EE"/>
    <w:rsid w:val="008051E1"/>
    <w:rsid w:val="00807B8B"/>
    <w:rsid w:val="00811206"/>
    <w:rsid w:val="008117C8"/>
    <w:rsid w:val="008134A3"/>
    <w:rsid w:val="008201BE"/>
    <w:rsid w:val="00823605"/>
    <w:rsid w:val="0082376B"/>
    <w:rsid w:val="008248BD"/>
    <w:rsid w:val="00831B56"/>
    <w:rsid w:val="008329DB"/>
    <w:rsid w:val="00833ECC"/>
    <w:rsid w:val="008358B5"/>
    <w:rsid w:val="0084211F"/>
    <w:rsid w:val="00843170"/>
    <w:rsid w:val="00843688"/>
    <w:rsid w:val="00843BEB"/>
    <w:rsid w:val="008508AD"/>
    <w:rsid w:val="00851AA1"/>
    <w:rsid w:val="0085753D"/>
    <w:rsid w:val="00861670"/>
    <w:rsid w:val="00863793"/>
    <w:rsid w:val="00864288"/>
    <w:rsid w:val="00864B83"/>
    <w:rsid w:val="008650F4"/>
    <w:rsid w:val="00865346"/>
    <w:rsid w:val="00867002"/>
    <w:rsid w:val="00870173"/>
    <w:rsid w:val="00870254"/>
    <w:rsid w:val="00870BB0"/>
    <w:rsid w:val="0087126A"/>
    <w:rsid w:val="00874773"/>
    <w:rsid w:val="008764CD"/>
    <w:rsid w:val="00877A7A"/>
    <w:rsid w:val="00881EE1"/>
    <w:rsid w:val="00885218"/>
    <w:rsid w:val="00887A3B"/>
    <w:rsid w:val="008921D5"/>
    <w:rsid w:val="008937EF"/>
    <w:rsid w:val="00894493"/>
    <w:rsid w:val="008946C3"/>
    <w:rsid w:val="0089508D"/>
    <w:rsid w:val="0089616E"/>
    <w:rsid w:val="008A0DF6"/>
    <w:rsid w:val="008A16E3"/>
    <w:rsid w:val="008A2963"/>
    <w:rsid w:val="008A2B60"/>
    <w:rsid w:val="008A4309"/>
    <w:rsid w:val="008A4A5C"/>
    <w:rsid w:val="008A6E89"/>
    <w:rsid w:val="008B194E"/>
    <w:rsid w:val="008B1BB5"/>
    <w:rsid w:val="008B28D0"/>
    <w:rsid w:val="008B3974"/>
    <w:rsid w:val="008B3C42"/>
    <w:rsid w:val="008B5008"/>
    <w:rsid w:val="008B5E4A"/>
    <w:rsid w:val="008B7BA6"/>
    <w:rsid w:val="008C06FD"/>
    <w:rsid w:val="008C116A"/>
    <w:rsid w:val="008C282B"/>
    <w:rsid w:val="008C4861"/>
    <w:rsid w:val="008C59B3"/>
    <w:rsid w:val="008C68E9"/>
    <w:rsid w:val="008C6CF9"/>
    <w:rsid w:val="008C72CC"/>
    <w:rsid w:val="008D0E6C"/>
    <w:rsid w:val="008D1FEB"/>
    <w:rsid w:val="008D25F1"/>
    <w:rsid w:val="008D3C40"/>
    <w:rsid w:val="008D4023"/>
    <w:rsid w:val="008D4096"/>
    <w:rsid w:val="008D4EF0"/>
    <w:rsid w:val="008D4F95"/>
    <w:rsid w:val="008D4FB7"/>
    <w:rsid w:val="008D58E1"/>
    <w:rsid w:val="008D6261"/>
    <w:rsid w:val="008E0C10"/>
    <w:rsid w:val="008E335A"/>
    <w:rsid w:val="008E59AB"/>
    <w:rsid w:val="008E5EB7"/>
    <w:rsid w:val="008E67F4"/>
    <w:rsid w:val="008F23EE"/>
    <w:rsid w:val="008F2EF1"/>
    <w:rsid w:val="008F4413"/>
    <w:rsid w:val="008F5087"/>
    <w:rsid w:val="008F58AC"/>
    <w:rsid w:val="008F5BB7"/>
    <w:rsid w:val="008F7DD0"/>
    <w:rsid w:val="00902003"/>
    <w:rsid w:val="00903C7F"/>
    <w:rsid w:val="00903CBD"/>
    <w:rsid w:val="00904A80"/>
    <w:rsid w:val="009071DB"/>
    <w:rsid w:val="00907B7B"/>
    <w:rsid w:val="00913755"/>
    <w:rsid w:val="00914DFD"/>
    <w:rsid w:val="0091663D"/>
    <w:rsid w:val="00916B35"/>
    <w:rsid w:val="00917848"/>
    <w:rsid w:val="00917E33"/>
    <w:rsid w:val="00921DCE"/>
    <w:rsid w:val="009225D3"/>
    <w:rsid w:val="00923B14"/>
    <w:rsid w:val="00923EFF"/>
    <w:rsid w:val="00930D58"/>
    <w:rsid w:val="00931A63"/>
    <w:rsid w:val="00932395"/>
    <w:rsid w:val="009338F3"/>
    <w:rsid w:val="00934FDF"/>
    <w:rsid w:val="00936989"/>
    <w:rsid w:val="0093723C"/>
    <w:rsid w:val="00937542"/>
    <w:rsid w:val="009377F2"/>
    <w:rsid w:val="00941F84"/>
    <w:rsid w:val="0094244F"/>
    <w:rsid w:val="0094276C"/>
    <w:rsid w:val="0094436E"/>
    <w:rsid w:val="00944518"/>
    <w:rsid w:val="0094514B"/>
    <w:rsid w:val="00945B1E"/>
    <w:rsid w:val="00950451"/>
    <w:rsid w:val="009535D0"/>
    <w:rsid w:val="0095570D"/>
    <w:rsid w:val="00963EDD"/>
    <w:rsid w:val="009662C7"/>
    <w:rsid w:val="00967490"/>
    <w:rsid w:val="00967885"/>
    <w:rsid w:val="00972C89"/>
    <w:rsid w:val="00973728"/>
    <w:rsid w:val="009737CF"/>
    <w:rsid w:val="00974046"/>
    <w:rsid w:val="00977A50"/>
    <w:rsid w:val="0098132A"/>
    <w:rsid w:val="009817C8"/>
    <w:rsid w:val="00982633"/>
    <w:rsid w:val="00982D51"/>
    <w:rsid w:val="00984405"/>
    <w:rsid w:val="00986556"/>
    <w:rsid w:val="0098779B"/>
    <w:rsid w:val="00990AFC"/>
    <w:rsid w:val="0099148B"/>
    <w:rsid w:val="009914C3"/>
    <w:rsid w:val="009916E1"/>
    <w:rsid w:val="009947B6"/>
    <w:rsid w:val="009955D0"/>
    <w:rsid w:val="009A2087"/>
    <w:rsid w:val="009A2D27"/>
    <w:rsid w:val="009A4603"/>
    <w:rsid w:val="009A5B3E"/>
    <w:rsid w:val="009A62A2"/>
    <w:rsid w:val="009A7318"/>
    <w:rsid w:val="009A763B"/>
    <w:rsid w:val="009B06CA"/>
    <w:rsid w:val="009B1755"/>
    <w:rsid w:val="009B4E0D"/>
    <w:rsid w:val="009B7232"/>
    <w:rsid w:val="009C0FC3"/>
    <w:rsid w:val="009C1126"/>
    <w:rsid w:val="009C3EEE"/>
    <w:rsid w:val="009C6775"/>
    <w:rsid w:val="009C6794"/>
    <w:rsid w:val="009C6D92"/>
    <w:rsid w:val="009D113D"/>
    <w:rsid w:val="009D14FE"/>
    <w:rsid w:val="009D4A3D"/>
    <w:rsid w:val="009D7C37"/>
    <w:rsid w:val="009E215E"/>
    <w:rsid w:val="009E2890"/>
    <w:rsid w:val="009E2F95"/>
    <w:rsid w:val="009E3439"/>
    <w:rsid w:val="009E45FF"/>
    <w:rsid w:val="009E7789"/>
    <w:rsid w:val="009E77DD"/>
    <w:rsid w:val="009E7E17"/>
    <w:rsid w:val="009F0791"/>
    <w:rsid w:val="009F3B53"/>
    <w:rsid w:val="009F4833"/>
    <w:rsid w:val="009F7132"/>
    <w:rsid w:val="009F7F8E"/>
    <w:rsid w:val="00A01455"/>
    <w:rsid w:val="00A01E1B"/>
    <w:rsid w:val="00A02263"/>
    <w:rsid w:val="00A042C2"/>
    <w:rsid w:val="00A0643B"/>
    <w:rsid w:val="00A108CE"/>
    <w:rsid w:val="00A11C94"/>
    <w:rsid w:val="00A120AB"/>
    <w:rsid w:val="00A15AA6"/>
    <w:rsid w:val="00A168D3"/>
    <w:rsid w:val="00A238D3"/>
    <w:rsid w:val="00A23FE1"/>
    <w:rsid w:val="00A24EB5"/>
    <w:rsid w:val="00A264B0"/>
    <w:rsid w:val="00A26736"/>
    <w:rsid w:val="00A30217"/>
    <w:rsid w:val="00A33DA5"/>
    <w:rsid w:val="00A40463"/>
    <w:rsid w:val="00A40F25"/>
    <w:rsid w:val="00A41965"/>
    <w:rsid w:val="00A4249D"/>
    <w:rsid w:val="00A43A45"/>
    <w:rsid w:val="00A443D6"/>
    <w:rsid w:val="00A458DE"/>
    <w:rsid w:val="00A521C6"/>
    <w:rsid w:val="00A52A67"/>
    <w:rsid w:val="00A53007"/>
    <w:rsid w:val="00A54B6D"/>
    <w:rsid w:val="00A558A1"/>
    <w:rsid w:val="00A57AAB"/>
    <w:rsid w:val="00A608CA"/>
    <w:rsid w:val="00A61E38"/>
    <w:rsid w:val="00A6648C"/>
    <w:rsid w:val="00A66D5A"/>
    <w:rsid w:val="00A70D52"/>
    <w:rsid w:val="00A71CAE"/>
    <w:rsid w:val="00A73B43"/>
    <w:rsid w:val="00A75167"/>
    <w:rsid w:val="00A757D2"/>
    <w:rsid w:val="00A80741"/>
    <w:rsid w:val="00A84B94"/>
    <w:rsid w:val="00A87FE8"/>
    <w:rsid w:val="00A90752"/>
    <w:rsid w:val="00A9092E"/>
    <w:rsid w:val="00A92D12"/>
    <w:rsid w:val="00A9689B"/>
    <w:rsid w:val="00AA12EC"/>
    <w:rsid w:val="00AA1792"/>
    <w:rsid w:val="00AA1F4E"/>
    <w:rsid w:val="00AA3CFA"/>
    <w:rsid w:val="00AA437F"/>
    <w:rsid w:val="00AA4684"/>
    <w:rsid w:val="00AA6CFB"/>
    <w:rsid w:val="00AB210A"/>
    <w:rsid w:val="00AB29DF"/>
    <w:rsid w:val="00AB36C9"/>
    <w:rsid w:val="00AB4550"/>
    <w:rsid w:val="00AB5D56"/>
    <w:rsid w:val="00AB753C"/>
    <w:rsid w:val="00AB7CBF"/>
    <w:rsid w:val="00AC2957"/>
    <w:rsid w:val="00AC33DF"/>
    <w:rsid w:val="00AC3DAD"/>
    <w:rsid w:val="00AC4F6C"/>
    <w:rsid w:val="00AC5329"/>
    <w:rsid w:val="00AC7868"/>
    <w:rsid w:val="00AD016D"/>
    <w:rsid w:val="00AD3544"/>
    <w:rsid w:val="00AD3E40"/>
    <w:rsid w:val="00AD5095"/>
    <w:rsid w:val="00AD5C3A"/>
    <w:rsid w:val="00AD7A8C"/>
    <w:rsid w:val="00AD7F73"/>
    <w:rsid w:val="00AE4590"/>
    <w:rsid w:val="00AE5559"/>
    <w:rsid w:val="00AE6648"/>
    <w:rsid w:val="00AE6D7F"/>
    <w:rsid w:val="00AE7C12"/>
    <w:rsid w:val="00AF1F66"/>
    <w:rsid w:val="00AF2C35"/>
    <w:rsid w:val="00AF3806"/>
    <w:rsid w:val="00AF45DC"/>
    <w:rsid w:val="00AF6220"/>
    <w:rsid w:val="00B00355"/>
    <w:rsid w:val="00B00908"/>
    <w:rsid w:val="00B04BAC"/>
    <w:rsid w:val="00B111E5"/>
    <w:rsid w:val="00B1313F"/>
    <w:rsid w:val="00B15CDC"/>
    <w:rsid w:val="00B167C2"/>
    <w:rsid w:val="00B16B20"/>
    <w:rsid w:val="00B16E18"/>
    <w:rsid w:val="00B175FF"/>
    <w:rsid w:val="00B20D61"/>
    <w:rsid w:val="00B218EE"/>
    <w:rsid w:val="00B23A63"/>
    <w:rsid w:val="00B266A4"/>
    <w:rsid w:val="00B27E6B"/>
    <w:rsid w:val="00B337AF"/>
    <w:rsid w:val="00B3452E"/>
    <w:rsid w:val="00B34C6F"/>
    <w:rsid w:val="00B34D64"/>
    <w:rsid w:val="00B3629B"/>
    <w:rsid w:val="00B36AFE"/>
    <w:rsid w:val="00B407FB"/>
    <w:rsid w:val="00B42B6F"/>
    <w:rsid w:val="00B455B7"/>
    <w:rsid w:val="00B45DA4"/>
    <w:rsid w:val="00B46BC0"/>
    <w:rsid w:val="00B50156"/>
    <w:rsid w:val="00B51F90"/>
    <w:rsid w:val="00B52634"/>
    <w:rsid w:val="00B52B17"/>
    <w:rsid w:val="00B60949"/>
    <w:rsid w:val="00B63D42"/>
    <w:rsid w:val="00B644F5"/>
    <w:rsid w:val="00B645C4"/>
    <w:rsid w:val="00B66160"/>
    <w:rsid w:val="00B664FC"/>
    <w:rsid w:val="00B665AB"/>
    <w:rsid w:val="00B668A1"/>
    <w:rsid w:val="00B66EB6"/>
    <w:rsid w:val="00B6741F"/>
    <w:rsid w:val="00B7271F"/>
    <w:rsid w:val="00B745BD"/>
    <w:rsid w:val="00B766BE"/>
    <w:rsid w:val="00B77535"/>
    <w:rsid w:val="00B80EFA"/>
    <w:rsid w:val="00B81163"/>
    <w:rsid w:val="00B85843"/>
    <w:rsid w:val="00B91428"/>
    <w:rsid w:val="00B93167"/>
    <w:rsid w:val="00B93537"/>
    <w:rsid w:val="00B9395E"/>
    <w:rsid w:val="00B94301"/>
    <w:rsid w:val="00B96674"/>
    <w:rsid w:val="00BA323F"/>
    <w:rsid w:val="00BA428B"/>
    <w:rsid w:val="00BA563B"/>
    <w:rsid w:val="00BA5643"/>
    <w:rsid w:val="00BA7A4A"/>
    <w:rsid w:val="00BB0555"/>
    <w:rsid w:val="00BB2BEA"/>
    <w:rsid w:val="00BB2FE9"/>
    <w:rsid w:val="00BB34CD"/>
    <w:rsid w:val="00BB43A8"/>
    <w:rsid w:val="00BB52EB"/>
    <w:rsid w:val="00BB58D4"/>
    <w:rsid w:val="00BB691B"/>
    <w:rsid w:val="00BB71C3"/>
    <w:rsid w:val="00BB730D"/>
    <w:rsid w:val="00BB7CDB"/>
    <w:rsid w:val="00BB7EAF"/>
    <w:rsid w:val="00BC1CC8"/>
    <w:rsid w:val="00BC48F4"/>
    <w:rsid w:val="00BD01B5"/>
    <w:rsid w:val="00BD0BC0"/>
    <w:rsid w:val="00BD1B0D"/>
    <w:rsid w:val="00BD3579"/>
    <w:rsid w:val="00BD4BEC"/>
    <w:rsid w:val="00BD4CEF"/>
    <w:rsid w:val="00BD7AF5"/>
    <w:rsid w:val="00BE0386"/>
    <w:rsid w:val="00BE03B8"/>
    <w:rsid w:val="00BE2699"/>
    <w:rsid w:val="00BE32C5"/>
    <w:rsid w:val="00BE3490"/>
    <w:rsid w:val="00BE5459"/>
    <w:rsid w:val="00BF207C"/>
    <w:rsid w:val="00BF3119"/>
    <w:rsid w:val="00BF38C7"/>
    <w:rsid w:val="00BF4C2F"/>
    <w:rsid w:val="00BF7242"/>
    <w:rsid w:val="00BF756E"/>
    <w:rsid w:val="00C05965"/>
    <w:rsid w:val="00C10B21"/>
    <w:rsid w:val="00C12388"/>
    <w:rsid w:val="00C1282C"/>
    <w:rsid w:val="00C12DE0"/>
    <w:rsid w:val="00C148E8"/>
    <w:rsid w:val="00C14E48"/>
    <w:rsid w:val="00C15918"/>
    <w:rsid w:val="00C16D34"/>
    <w:rsid w:val="00C17B6A"/>
    <w:rsid w:val="00C22699"/>
    <w:rsid w:val="00C257A6"/>
    <w:rsid w:val="00C273CA"/>
    <w:rsid w:val="00C27564"/>
    <w:rsid w:val="00C316BB"/>
    <w:rsid w:val="00C34090"/>
    <w:rsid w:val="00C346EA"/>
    <w:rsid w:val="00C377EB"/>
    <w:rsid w:val="00C41576"/>
    <w:rsid w:val="00C4248E"/>
    <w:rsid w:val="00C43E18"/>
    <w:rsid w:val="00C46137"/>
    <w:rsid w:val="00C47CE7"/>
    <w:rsid w:val="00C5113D"/>
    <w:rsid w:val="00C53ABF"/>
    <w:rsid w:val="00C54D2C"/>
    <w:rsid w:val="00C55A29"/>
    <w:rsid w:val="00C5736D"/>
    <w:rsid w:val="00C60B74"/>
    <w:rsid w:val="00C625E9"/>
    <w:rsid w:val="00C67BD5"/>
    <w:rsid w:val="00C71A8E"/>
    <w:rsid w:val="00C72082"/>
    <w:rsid w:val="00C7288C"/>
    <w:rsid w:val="00C740B8"/>
    <w:rsid w:val="00C80BE7"/>
    <w:rsid w:val="00C81F8B"/>
    <w:rsid w:val="00C831C3"/>
    <w:rsid w:val="00C83AE3"/>
    <w:rsid w:val="00C84797"/>
    <w:rsid w:val="00C84A64"/>
    <w:rsid w:val="00C910A0"/>
    <w:rsid w:val="00C915FD"/>
    <w:rsid w:val="00C91633"/>
    <w:rsid w:val="00C9213C"/>
    <w:rsid w:val="00C94866"/>
    <w:rsid w:val="00C94C83"/>
    <w:rsid w:val="00C95151"/>
    <w:rsid w:val="00C957C6"/>
    <w:rsid w:val="00CA0C42"/>
    <w:rsid w:val="00CA0F62"/>
    <w:rsid w:val="00CA2E80"/>
    <w:rsid w:val="00CA2ECF"/>
    <w:rsid w:val="00CA55F9"/>
    <w:rsid w:val="00CA6314"/>
    <w:rsid w:val="00CA6C30"/>
    <w:rsid w:val="00CB0550"/>
    <w:rsid w:val="00CB5850"/>
    <w:rsid w:val="00CB5FD9"/>
    <w:rsid w:val="00CC0D53"/>
    <w:rsid w:val="00CC3504"/>
    <w:rsid w:val="00CC3661"/>
    <w:rsid w:val="00CC3DAA"/>
    <w:rsid w:val="00CC4089"/>
    <w:rsid w:val="00CC6217"/>
    <w:rsid w:val="00CD1B7F"/>
    <w:rsid w:val="00CD2684"/>
    <w:rsid w:val="00CD2E9B"/>
    <w:rsid w:val="00CD70AB"/>
    <w:rsid w:val="00CD70F8"/>
    <w:rsid w:val="00CE140B"/>
    <w:rsid w:val="00CE2663"/>
    <w:rsid w:val="00CE2F91"/>
    <w:rsid w:val="00CE547A"/>
    <w:rsid w:val="00CE55A8"/>
    <w:rsid w:val="00CE580A"/>
    <w:rsid w:val="00CE641B"/>
    <w:rsid w:val="00CE755B"/>
    <w:rsid w:val="00CE7AA5"/>
    <w:rsid w:val="00CE7F1F"/>
    <w:rsid w:val="00CF02D5"/>
    <w:rsid w:val="00CF100B"/>
    <w:rsid w:val="00CF3BB1"/>
    <w:rsid w:val="00D008E1"/>
    <w:rsid w:val="00D0158A"/>
    <w:rsid w:val="00D02C01"/>
    <w:rsid w:val="00D05B3D"/>
    <w:rsid w:val="00D0677B"/>
    <w:rsid w:val="00D075E3"/>
    <w:rsid w:val="00D078BE"/>
    <w:rsid w:val="00D07BC2"/>
    <w:rsid w:val="00D110DC"/>
    <w:rsid w:val="00D13F8A"/>
    <w:rsid w:val="00D14572"/>
    <w:rsid w:val="00D15914"/>
    <w:rsid w:val="00D15E47"/>
    <w:rsid w:val="00D1612F"/>
    <w:rsid w:val="00D16AF7"/>
    <w:rsid w:val="00D17C77"/>
    <w:rsid w:val="00D2065C"/>
    <w:rsid w:val="00D20928"/>
    <w:rsid w:val="00D20CE2"/>
    <w:rsid w:val="00D23434"/>
    <w:rsid w:val="00D268AE"/>
    <w:rsid w:val="00D32C4C"/>
    <w:rsid w:val="00D377D4"/>
    <w:rsid w:val="00D47EA9"/>
    <w:rsid w:val="00D545F6"/>
    <w:rsid w:val="00D54E27"/>
    <w:rsid w:val="00D5582A"/>
    <w:rsid w:val="00D561B7"/>
    <w:rsid w:val="00D5632F"/>
    <w:rsid w:val="00D57CB5"/>
    <w:rsid w:val="00D600F3"/>
    <w:rsid w:val="00D6378A"/>
    <w:rsid w:val="00D63833"/>
    <w:rsid w:val="00D64077"/>
    <w:rsid w:val="00D651A5"/>
    <w:rsid w:val="00D655E7"/>
    <w:rsid w:val="00D666F3"/>
    <w:rsid w:val="00D66F7A"/>
    <w:rsid w:val="00D67AB0"/>
    <w:rsid w:val="00D702C4"/>
    <w:rsid w:val="00D70413"/>
    <w:rsid w:val="00D710F9"/>
    <w:rsid w:val="00D725B3"/>
    <w:rsid w:val="00D7351A"/>
    <w:rsid w:val="00D76F95"/>
    <w:rsid w:val="00D77233"/>
    <w:rsid w:val="00D805A2"/>
    <w:rsid w:val="00D815CE"/>
    <w:rsid w:val="00D85255"/>
    <w:rsid w:val="00D86B46"/>
    <w:rsid w:val="00D918D5"/>
    <w:rsid w:val="00D92C1C"/>
    <w:rsid w:val="00D93E10"/>
    <w:rsid w:val="00D9468B"/>
    <w:rsid w:val="00D95298"/>
    <w:rsid w:val="00D96A5A"/>
    <w:rsid w:val="00D97B1E"/>
    <w:rsid w:val="00DA0F7B"/>
    <w:rsid w:val="00DA16DA"/>
    <w:rsid w:val="00DA2F64"/>
    <w:rsid w:val="00DA411C"/>
    <w:rsid w:val="00DA4F97"/>
    <w:rsid w:val="00DA5F8B"/>
    <w:rsid w:val="00DA78C5"/>
    <w:rsid w:val="00DA7E03"/>
    <w:rsid w:val="00DB0C86"/>
    <w:rsid w:val="00DB3876"/>
    <w:rsid w:val="00DB3ECC"/>
    <w:rsid w:val="00DB4E5F"/>
    <w:rsid w:val="00DB558B"/>
    <w:rsid w:val="00DB58AD"/>
    <w:rsid w:val="00DC11BA"/>
    <w:rsid w:val="00DC261E"/>
    <w:rsid w:val="00DC2A22"/>
    <w:rsid w:val="00DC2B6B"/>
    <w:rsid w:val="00DC2E44"/>
    <w:rsid w:val="00DC4A56"/>
    <w:rsid w:val="00DC597C"/>
    <w:rsid w:val="00DC760F"/>
    <w:rsid w:val="00DD0698"/>
    <w:rsid w:val="00DD2022"/>
    <w:rsid w:val="00DD3A05"/>
    <w:rsid w:val="00DD7DFC"/>
    <w:rsid w:val="00DE280D"/>
    <w:rsid w:val="00DE653B"/>
    <w:rsid w:val="00DE6E4F"/>
    <w:rsid w:val="00DE78C9"/>
    <w:rsid w:val="00DF068B"/>
    <w:rsid w:val="00DF606E"/>
    <w:rsid w:val="00DF75B5"/>
    <w:rsid w:val="00DF771F"/>
    <w:rsid w:val="00DF7823"/>
    <w:rsid w:val="00E0006A"/>
    <w:rsid w:val="00E042F2"/>
    <w:rsid w:val="00E05749"/>
    <w:rsid w:val="00E061B9"/>
    <w:rsid w:val="00E06BDB"/>
    <w:rsid w:val="00E12CD7"/>
    <w:rsid w:val="00E12DDE"/>
    <w:rsid w:val="00E1694D"/>
    <w:rsid w:val="00E2089C"/>
    <w:rsid w:val="00E21AC7"/>
    <w:rsid w:val="00E23812"/>
    <w:rsid w:val="00E24C24"/>
    <w:rsid w:val="00E252A5"/>
    <w:rsid w:val="00E258F6"/>
    <w:rsid w:val="00E2638C"/>
    <w:rsid w:val="00E272F1"/>
    <w:rsid w:val="00E30FB6"/>
    <w:rsid w:val="00E31576"/>
    <w:rsid w:val="00E31904"/>
    <w:rsid w:val="00E366BF"/>
    <w:rsid w:val="00E37F7D"/>
    <w:rsid w:val="00E42057"/>
    <w:rsid w:val="00E42649"/>
    <w:rsid w:val="00E439EC"/>
    <w:rsid w:val="00E47913"/>
    <w:rsid w:val="00E502FD"/>
    <w:rsid w:val="00E51931"/>
    <w:rsid w:val="00E523BA"/>
    <w:rsid w:val="00E53D3F"/>
    <w:rsid w:val="00E54CF2"/>
    <w:rsid w:val="00E550FF"/>
    <w:rsid w:val="00E571A3"/>
    <w:rsid w:val="00E6471E"/>
    <w:rsid w:val="00E65F1F"/>
    <w:rsid w:val="00E72F3E"/>
    <w:rsid w:val="00E82526"/>
    <w:rsid w:val="00E82BF1"/>
    <w:rsid w:val="00E8354E"/>
    <w:rsid w:val="00E84613"/>
    <w:rsid w:val="00E84865"/>
    <w:rsid w:val="00E87FE3"/>
    <w:rsid w:val="00E9107C"/>
    <w:rsid w:val="00E94F44"/>
    <w:rsid w:val="00E95451"/>
    <w:rsid w:val="00E973EB"/>
    <w:rsid w:val="00E97B6F"/>
    <w:rsid w:val="00EA0132"/>
    <w:rsid w:val="00EA0E22"/>
    <w:rsid w:val="00EA35B4"/>
    <w:rsid w:val="00EA3C46"/>
    <w:rsid w:val="00EA75C9"/>
    <w:rsid w:val="00EA7641"/>
    <w:rsid w:val="00EB05A9"/>
    <w:rsid w:val="00EB592B"/>
    <w:rsid w:val="00EB7D3C"/>
    <w:rsid w:val="00EC0AFD"/>
    <w:rsid w:val="00EC12B3"/>
    <w:rsid w:val="00EC12C0"/>
    <w:rsid w:val="00EC2B9A"/>
    <w:rsid w:val="00EC43F0"/>
    <w:rsid w:val="00EC4FBE"/>
    <w:rsid w:val="00EC5D87"/>
    <w:rsid w:val="00EC5FD6"/>
    <w:rsid w:val="00EC6E4B"/>
    <w:rsid w:val="00EC771A"/>
    <w:rsid w:val="00ED0AB4"/>
    <w:rsid w:val="00ED198A"/>
    <w:rsid w:val="00EE0EE6"/>
    <w:rsid w:val="00EE2006"/>
    <w:rsid w:val="00EF1F40"/>
    <w:rsid w:val="00EF2043"/>
    <w:rsid w:val="00EF2BA5"/>
    <w:rsid w:val="00EF3D43"/>
    <w:rsid w:val="00EF4176"/>
    <w:rsid w:val="00EF4313"/>
    <w:rsid w:val="00EF58E8"/>
    <w:rsid w:val="00EF5E72"/>
    <w:rsid w:val="00EF65FB"/>
    <w:rsid w:val="00EF6958"/>
    <w:rsid w:val="00EF6B7D"/>
    <w:rsid w:val="00EF6EB2"/>
    <w:rsid w:val="00F0028E"/>
    <w:rsid w:val="00F005F3"/>
    <w:rsid w:val="00F017CC"/>
    <w:rsid w:val="00F01DD4"/>
    <w:rsid w:val="00F02AEC"/>
    <w:rsid w:val="00F03EBB"/>
    <w:rsid w:val="00F0455A"/>
    <w:rsid w:val="00F04BEA"/>
    <w:rsid w:val="00F05F5F"/>
    <w:rsid w:val="00F06944"/>
    <w:rsid w:val="00F0731D"/>
    <w:rsid w:val="00F10269"/>
    <w:rsid w:val="00F10CC5"/>
    <w:rsid w:val="00F122BD"/>
    <w:rsid w:val="00F12E59"/>
    <w:rsid w:val="00F1332A"/>
    <w:rsid w:val="00F13964"/>
    <w:rsid w:val="00F20F94"/>
    <w:rsid w:val="00F213CA"/>
    <w:rsid w:val="00F22416"/>
    <w:rsid w:val="00F24065"/>
    <w:rsid w:val="00F24669"/>
    <w:rsid w:val="00F25E11"/>
    <w:rsid w:val="00F26A4D"/>
    <w:rsid w:val="00F27D21"/>
    <w:rsid w:val="00F31251"/>
    <w:rsid w:val="00F32A14"/>
    <w:rsid w:val="00F3391E"/>
    <w:rsid w:val="00F341F6"/>
    <w:rsid w:val="00F34FCE"/>
    <w:rsid w:val="00F36362"/>
    <w:rsid w:val="00F370E7"/>
    <w:rsid w:val="00F3766C"/>
    <w:rsid w:val="00F377B5"/>
    <w:rsid w:val="00F37BEB"/>
    <w:rsid w:val="00F401A6"/>
    <w:rsid w:val="00F41208"/>
    <w:rsid w:val="00F43A59"/>
    <w:rsid w:val="00F45262"/>
    <w:rsid w:val="00F458EC"/>
    <w:rsid w:val="00F54DA5"/>
    <w:rsid w:val="00F56084"/>
    <w:rsid w:val="00F5648C"/>
    <w:rsid w:val="00F57FDC"/>
    <w:rsid w:val="00F60095"/>
    <w:rsid w:val="00F61CBA"/>
    <w:rsid w:val="00F71CF8"/>
    <w:rsid w:val="00F72EF8"/>
    <w:rsid w:val="00F73335"/>
    <w:rsid w:val="00F74E18"/>
    <w:rsid w:val="00F7721F"/>
    <w:rsid w:val="00F776E3"/>
    <w:rsid w:val="00F777E7"/>
    <w:rsid w:val="00F80E47"/>
    <w:rsid w:val="00F83A40"/>
    <w:rsid w:val="00F879DF"/>
    <w:rsid w:val="00F913ED"/>
    <w:rsid w:val="00F93428"/>
    <w:rsid w:val="00F958CD"/>
    <w:rsid w:val="00F963CD"/>
    <w:rsid w:val="00F97B41"/>
    <w:rsid w:val="00FA0917"/>
    <w:rsid w:val="00FA1883"/>
    <w:rsid w:val="00FA49C3"/>
    <w:rsid w:val="00FA55FC"/>
    <w:rsid w:val="00FA76BB"/>
    <w:rsid w:val="00FB0C57"/>
    <w:rsid w:val="00FB154F"/>
    <w:rsid w:val="00FB1ACB"/>
    <w:rsid w:val="00FB4811"/>
    <w:rsid w:val="00FB57F3"/>
    <w:rsid w:val="00FB5D12"/>
    <w:rsid w:val="00FC1821"/>
    <w:rsid w:val="00FC1EB4"/>
    <w:rsid w:val="00FC37A3"/>
    <w:rsid w:val="00FC4B5C"/>
    <w:rsid w:val="00FC4E00"/>
    <w:rsid w:val="00FC51EE"/>
    <w:rsid w:val="00FD0EDC"/>
    <w:rsid w:val="00FD2B26"/>
    <w:rsid w:val="00FD38BC"/>
    <w:rsid w:val="00FD3C01"/>
    <w:rsid w:val="00FD5580"/>
    <w:rsid w:val="00FE01EF"/>
    <w:rsid w:val="00FE0270"/>
    <w:rsid w:val="00FE0F05"/>
    <w:rsid w:val="00FE2A1F"/>
    <w:rsid w:val="00FE3C20"/>
    <w:rsid w:val="00FE7592"/>
    <w:rsid w:val="00FE75C7"/>
    <w:rsid w:val="00FF1085"/>
    <w:rsid w:val="00FF21FB"/>
    <w:rsid w:val="00FF2295"/>
    <w:rsid w:val="00FF6131"/>
    <w:rsid w:val="00FF6403"/>
    <w:rsid w:val="00FF6CA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EC"/>
    <w:rPr>
      <w:rFonts w:ascii="Arial" w:hAnsi="Arial"/>
      <w:color w:val="000000" w:themeColor="text1"/>
      <w:szCs w:val="22"/>
    </w:rPr>
  </w:style>
  <w:style w:type="paragraph" w:styleId="Heading1">
    <w:name w:val="heading 1"/>
    <w:basedOn w:val="Normal"/>
    <w:next w:val="Normal"/>
    <w:link w:val="Heading1Char"/>
    <w:uiPriority w:val="9"/>
    <w:qFormat/>
    <w:rsid w:val="004546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335538"/>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35538"/>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0F338A"/>
    <w:pPr>
      <w:numPr>
        <w:numId w:val="11"/>
      </w:numPr>
      <w:spacing w:before="120" w:after="180" w:line="240" w:lineRule="atLeast"/>
      <w:ind w:hanging="436"/>
    </w:pPr>
    <w:rPr>
      <w:rFonts w:eastAsia="Cambria" w:cstheme="minorHAnsi"/>
    </w:rPr>
  </w:style>
  <w:style w:type="paragraph" w:styleId="ListBullet2">
    <w:name w:val="List Bullet 2"/>
    <w:basedOn w:val="Normal"/>
    <w:autoRedefine/>
    <w:uiPriority w:val="2"/>
    <w:qFormat/>
    <w:rsid w:val="00C12DE0"/>
    <w:pPr>
      <w:spacing w:before="120" w:after="180" w:line="240" w:lineRule="atLeast"/>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206027"/>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206027"/>
    <w:rPr>
      <w:rFonts w:ascii="Arial" w:eastAsia="Cambria" w:hAnsi="Arial" w:cs="Times New Roman"/>
      <w:color w:val="333F48"/>
      <w:sz w:val="16"/>
      <w:szCs w:val="22"/>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9D113D"/>
    <w:pPr>
      <w:spacing w:after="0" w:line="240" w:lineRule="auto"/>
    </w:pPr>
    <w:rPr>
      <w:rFonts w:ascii="Arial" w:hAnsi="Arial" w:cs="Arial"/>
      <w:color w:val="000000" w:themeColor="text1"/>
      <w:sz w:val="16"/>
      <w:szCs w:val="16"/>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BE0386"/>
    <w:pPr>
      <w:ind w:left="720"/>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paragraph" w:styleId="Revision">
    <w:name w:val="Revision"/>
    <w:hidden/>
    <w:uiPriority w:val="99"/>
    <w:semiHidden/>
    <w:rsid w:val="00CC4089"/>
    <w:pPr>
      <w:spacing w:after="0" w:line="240" w:lineRule="auto"/>
    </w:pPr>
    <w:rPr>
      <w:color w:val="000000" w:themeColor="text1"/>
      <w:sz w:val="22"/>
      <w:szCs w:val="22"/>
    </w:rPr>
  </w:style>
  <w:style w:type="table" w:customStyle="1" w:styleId="TableTGAblue1">
    <w:name w:val="Table TGA blue1"/>
    <w:basedOn w:val="TableNormal"/>
    <w:uiPriority w:val="99"/>
    <w:qFormat/>
    <w:rsid w:val="00F24669"/>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
    <w:name w:val="List Bullet (a)"/>
    <w:basedOn w:val="ListBullet"/>
    <w:autoRedefine/>
    <w:uiPriority w:val="1"/>
    <w:qFormat/>
    <w:rsid w:val="00F24669"/>
    <w:pPr>
      <w:numPr>
        <w:numId w:val="12"/>
      </w:numPr>
      <w:tabs>
        <w:tab w:val="num" w:pos="360"/>
      </w:tabs>
      <w:ind w:left="1083"/>
    </w:pPr>
    <w:rPr>
      <w:rFonts w:cs="Arial"/>
      <w:color w:val="FF0000"/>
      <w:szCs w:val="20"/>
    </w:rPr>
  </w:style>
  <w:style w:type="character" w:styleId="FollowedHyperlink">
    <w:name w:val="FollowedHyperlink"/>
    <w:basedOn w:val="DefaultParagraphFont"/>
    <w:uiPriority w:val="99"/>
    <w:semiHidden/>
    <w:unhideWhenUsed/>
    <w:rsid w:val="00FE75C7"/>
    <w:rPr>
      <w:color w:val="954F72" w:themeColor="followedHyperlink"/>
      <w:u w:val="single"/>
    </w:rPr>
  </w:style>
  <w:style w:type="character" w:customStyle="1" w:styleId="fm-vol-iss-date">
    <w:name w:val="fm-vol-iss-date"/>
    <w:basedOn w:val="DefaultParagraphFont"/>
    <w:rsid w:val="00D008E1"/>
  </w:style>
  <w:style w:type="character" w:customStyle="1" w:styleId="doi">
    <w:name w:val="doi"/>
    <w:basedOn w:val="DefaultParagraphFont"/>
    <w:rsid w:val="00D008E1"/>
  </w:style>
  <w:style w:type="character" w:customStyle="1" w:styleId="cf01">
    <w:name w:val="cf01"/>
    <w:basedOn w:val="DefaultParagraphFont"/>
    <w:rsid w:val="00361624"/>
    <w:rPr>
      <w:rFonts w:ascii="Segoe UI" w:hAnsi="Segoe UI" w:cs="Segoe UI" w:hint="default"/>
      <w:sz w:val="18"/>
      <w:szCs w:val="18"/>
    </w:rPr>
  </w:style>
  <w:style w:type="paragraph" w:customStyle="1" w:styleId="Footnotetext0">
    <w:name w:val="Foot note text"/>
    <w:basedOn w:val="Normal"/>
    <w:qFormat/>
    <w:rsid w:val="00206027"/>
    <w:pPr>
      <w:spacing w:after="0"/>
    </w:pPr>
    <w:rPr>
      <w:sz w:val="16"/>
      <w:szCs w:val="16"/>
    </w:rPr>
  </w:style>
  <w:style w:type="character" w:customStyle="1" w:styleId="author">
    <w:name w:val="author"/>
    <w:basedOn w:val="DefaultParagraphFont"/>
    <w:rsid w:val="00206027"/>
  </w:style>
  <w:style w:type="character" w:customStyle="1" w:styleId="articletitle">
    <w:name w:val="articletitle"/>
    <w:basedOn w:val="DefaultParagraphFont"/>
    <w:rsid w:val="00206027"/>
  </w:style>
  <w:style w:type="character" w:customStyle="1" w:styleId="pubyear">
    <w:name w:val="pubyear"/>
    <w:basedOn w:val="DefaultParagraphFont"/>
    <w:rsid w:val="00206027"/>
  </w:style>
  <w:style w:type="character" w:customStyle="1" w:styleId="vol">
    <w:name w:val="vol"/>
    <w:basedOn w:val="DefaultParagraphFont"/>
    <w:rsid w:val="00206027"/>
  </w:style>
  <w:style w:type="character" w:customStyle="1" w:styleId="citedissue">
    <w:name w:val="citedissue"/>
    <w:basedOn w:val="DefaultParagraphFont"/>
    <w:rsid w:val="00206027"/>
  </w:style>
  <w:style w:type="character" w:customStyle="1" w:styleId="pagefirst">
    <w:name w:val="pagefirst"/>
    <w:basedOn w:val="DefaultParagraphFont"/>
    <w:rsid w:val="00206027"/>
  </w:style>
  <w:style w:type="character" w:customStyle="1" w:styleId="pagelast">
    <w:name w:val="pagelast"/>
    <w:basedOn w:val="DefaultParagraphFont"/>
    <w:rsid w:val="00206027"/>
  </w:style>
  <w:style w:type="character" w:customStyle="1" w:styleId="cf11">
    <w:name w:val="cf11"/>
    <w:basedOn w:val="DefaultParagraphFont"/>
    <w:rsid w:val="005951C6"/>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084016"/>
    <w:rPr>
      <w:rFonts w:ascii="Arial" w:hAnsi="Arial"/>
      <w:color w:val="000000" w:themeColor="text1"/>
      <w:szCs w:val="22"/>
    </w:rPr>
  </w:style>
  <w:style w:type="character" w:customStyle="1" w:styleId="Heading1Char">
    <w:name w:val="Heading 1 Char"/>
    <w:basedOn w:val="DefaultParagraphFont"/>
    <w:link w:val="Heading1"/>
    <w:uiPriority w:val="9"/>
    <w:rsid w:val="00454694"/>
    <w:rPr>
      <w:rFonts w:asciiTheme="majorHAnsi" w:eastAsiaTheme="majorEastAsia" w:hAnsiTheme="majorHAnsi" w:cstheme="majorBidi"/>
      <w:color w:val="2F5496" w:themeColor="accent1" w:themeShade="BF"/>
      <w:sz w:val="32"/>
      <w:szCs w:val="32"/>
    </w:rPr>
  </w:style>
  <w:style w:type="paragraph" w:customStyle="1" w:styleId="ListBulleti">
    <w:name w:val="List Bullet (i)"/>
    <w:basedOn w:val="ListBullet"/>
    <w:autoRedefine/>
    <w:uiPriority w:val="1"/>
    <w:qFormat/>
    <w:rsid w:val="00874773"/>
    <w:pPr>
      <w:numPr>
        <w:numId w:val="26"/>
      </w:numPr>
    </w:pPr>
    <w:rPr>
      <w:rFonts w:asciiTheme="minorHAnsi" w:hAnsiTheme="minorHAnsi" w:cs="Times New Roman"/>
      <w:color w:val="auto"/>
      <w:kern w:val="2"/>
      <w:sz w:val="22"/>
      <w14:ligatures w14:val="standardContextual"/>
    </w:rPr>
  </w:style>
  <w:style w:type="character" w:customStyle="1" w:styleId="normaltextrun">
    <w:name w:val="normaltextrun"/>
    <w:basedOn w:val="DefaultParagraphFont"/>
    <w:rsid w:val="00874773"/>
  </w:style>
  <w:style w:type="paragraph" w:styleId="TOC4">
    <w:name w:val="toc 4"/>
    <w:basedOn w:val="Normal"/>
    <w:next w:val="Normal"/>
    <w:autoRedefine/>
    <w:uiPriority w:val="39"/>
    <w:unhideWhenUsed/>
    <w:rsid w:val="004320AC"/>
    <w:pPr>
      <w:spacing w:after="100"/>
      <w:ind w:left="660"/>
    </w:pPr>
    <w:rPr>
      <w:rFonts w:asciiTheme="minorHAnsi" w:eastAsiaTheme="minorEastAsia" w:hAnsiTheme="minorHAnsi"/>
      <w:color w:val="auto"/>
      <w:kern w:val="2"/>
      <w:sz w:val="22"/>
      <w:lang w:eastAsia="en-AU"/>
      <w14:ligatures w14:val="standardContextual"/>
    </w:rPr>
  </w:style>
  <w:style w:type="paragraph" w:styleId="TOC5">
    <w:name w:val="toc 5"/>
    <w:basedOn w:val="Normal"/>
    <w:next w:val="Normal"/>
    <w:autoRedefine/>
    <w:uiPriority w:val="39"/>
    <w:unhideWhenUsed/>
    <w:rsid w:val="004320AC"/>
    <w:pPr>
      <w:spacing w:after="100"/>
      <w:ind w:left="880"/>
    </w:pPr>
    <w:rPr>
      <w:rFonts w:asciiTheme="minorHAnsi" w:eastAsiaTheme="minorEastAsia" w:hAnsiTheme="minorHAnsi"/>
      <w:color w:val="auto"/>
      <w:kern w:val="2"/>
      <w:sz w:val="22"/>
      <w:lang w:eastAsia="en-AU"/>
      <w14:ligatures w14:val="standardContextual"/>
    </w:rPr>
  </w:style>
  <w:style w:type="paragraph" w:styleId="TOC6">
    <w:name w:val="toc 6"/>
    <w:basedOn w:val="Normal"/>
    <w:next w:val="Normal"/>
    <w:autoRedefine/>
    <w:uiPriority w:val="39"/>
    <w:unhideWhenUsed/>
    <w:rsid w:val="004320AC"/>
    <w:pPr>
      <w:spacing w:after="100"/>
      <w:ind w:left="1100"/>
    </w:pPr>
    <w:rPr>
      <w:rFonts w:asciiTheme="minorHAnsi" w:eastAsiaTheme="minorEastAsia" w:hAnsiTheme="minorHAnsi"/>
      <w:color w:val="auto"/>
      <w:kern w:val="2"/>
      <w:sz w:val="22"/>
      <w:lang w:eastAsia="en-AU"/>
      <w14:ligatures w14:val="standardContextual"/>
    </w:rPr>
  </w:style>
  <w:style w:type="paragraph" w:styleId="TOC7">
    <w:name w:val="toc 7"/>
    <w:basedOn w:val="Normal"/>
    <w:next w:val="Normal"/>
    <w:autoRedefine/>
    <w:uiPriority w:val="39"/>
    <w:unhideWhenUsed/>
    <w:rsid w:val="004320AC"/>
    <w:pPr>
      <w:spacing w:after="100"/>
      <w:ind w:left="1320"/>
    </w:pPr>
    <w:rPr>
      <w:rFonts w:asciiTheme="minorHAnsi" w:eastAsiaTheme="minorEastAsia" w:hAnsiTheme="minorHAnsi"/>
      <w:color w:val="auto"/>
      <w:kern w:val="2"/>
      <w:sz w:val="22"/>
      <w:lang w:eastAsia="en-AU"/>
      <w14:ligatures w14:val="standardContextual"/>
    </w:rPr>
  </w:style>
  <w:style w:type="paragraph" w:styleId="TOC8">
    <w:name w:val="toc 8"/>
    <w:basedOn w:val="Normal"/>
    <w:next w:val="Normal"/>
    <w:autoRedefine/>
    <w:uiPriority w:val="39"/>
    <w:unhideWhenUsed/>
    <w:rsid w:val="004320AC"/>
    <w:pPr>
      <w:spacing w:after="100"/>
      <w:ind w:left="1540"/>
    </w:pPr>
    <w:rPr>
      <w:rFonts w:asciiTheme="minorHAnsi" w:eastAsiaTheme="minorEastAsia" w:hAnsiTheme="minorHAnsi"/>
      <w:color w:val="auto"/>
      <w:kern w:val="2"/>
      <w:sz w:val="22"/>
      <w:lang w:eastAsia="en-AU"/>
      <w14:ligatures w14:val="standardContextual"/>
    </w:rPr>
  </w:style>
  <w:style w:type="paragraph" w:styleId="TOC9">
    <w:name w:val="toc 9"/>
    <w:basedOn w:val="Normal"/>
    <w:next w:val="Normal"/>
    <w:autoRedefine/>
    <w:uiPriority w:val="39"/>
    <w:unhideWhenUsed/>
    <w:rsid w:val="004320AC"/>
    <w:pPr>
      <w:spacing w:after="100"/>
      <w:ind w:left="1760"/>
    </w:pPr>
    <w:rPr>
      <w:rFonts w:asciiTheme="minorHAnsi" w:eastAsiaTheme="minorEastAsia" w:hAnsiTheme="minorHAnsi"/>
      <w:color w:val="auto"/>
      <w:kern w:val="2"/>
      <w:sz w:val="22"/>
      <w:lang w:eastAsia="en-AU"/>
      <w14:ligatures w14:val="standardContextual"/>
    </w:rPr>
  </w:style>
  <w:style w:type="paragraph" w:customStyle="1" w:styleId="Default">
    <w:name w:val="Default"/>
    <w:rsid w:val="009B06CA"/>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customStyle="1" w:styleId="paragraph">
    <w:name w:val="paragraph"/>
    <w:basedOn w:val="Normal"/>
    <w:rsid w:val="009B06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
    <w:name w:val="Table TGA blue"/>
    <w:basedOn w:val="TableNormal"/>
    <w:uiPriority w:val="99"/>
    <w:qFormat/>
    <w:rsid w:val="009B06CA"/>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eop">
    <w:name w:val="eop"/>
    <w:basedOn w:val="DefaultParagraphFont"/>
    <w:rsid w:val="009B06CA"/>
  </w:style>
  <w:style w:type="character" w:customStyle="1" w:styleId="scxw158489010">
    <w:name w:val="scxw158489010"/>
    <w:basedOn w:val="DefaultParagraphFont"/>
    <w:rsid w:val="009B06CA"/>
  </w:style>
  <w:style w:type="paragraph" w:styleId="TOCHeading">
    <w:name w:val="TOC Heading"/>
    <w:basedOn w:val="Heading1"/>
    <w:next w:val="Normal"/>
    <w:uiPriority w:val="39"/>
    <w:unhideWhenUsed/>
    <w:qFormat/>
    <w:rsid w:val="002B5C5B"/>
    <w:pPr>
      <w:outlineLvl w:val="9"/>
    </w:pPr>
    <w:rPr>
      <w:lang w:val="en-US"/>
    </w:rPr>
  </w:style>
  <w:style w:type="paragraph" w:styleId="EndnoteText">
    <w:name w:val="endnote text"/>
    <w:basedOn w:val="Normal"/>
    <w:link w:val="EndnoteTextChar"/>
    <w:uiPriority w:val="99"/>
    <w:semiHidden/>
    <w:unhideWhenUsed/>
    <w:rsid w:val="008C6CF9"/>
    <w:pPr>
      <w:spacing w:after="0" w:line="240" w:lineRule="auto"/>
    </w:pPr>
    <w:rPr>
      <w:szCs w:val="20"/>
    </w:rPr>
  </w:style>
  <w:style w:type="character" w:customStyle="1" w:styleId="EndnoteTextChar">
    <w:name w:val="Endnote Text Char"/>
    <w:basedOn w:val="DefaultParagraphFont"/>
    <w:link w:val="EndnoteText"/>
    <w:uiPriority w:val="99"/>
    <w:semiHidden/>
    <w:rsid w:val="008C6CF9"/>
    <w:rPr>
      <w:rFonts w:ascii="Arial" w:hAnsi="Arial"/>
      <w:color w:val="000000" w:themeColor="text1"/>
    </w:rPr>
  </w:style>
  <w:style w:type="character" w:styleId="EndnoteReference">
    <w:name w:val="endnote reference"/>
    <w:basedOn w:val="DefaultParagraphFont"/>
    <w:uiPriority w:val="99"/>
    <w:semiHidden/>
    <w:unhideWhenUsed/>
    <w:rsid w:val="008C6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409">
      <w:bodyDiv w:val="1"/>
      <w:marLeft w:val="0"/>
      <w:marRight w:val="0"/>
      <w:marTop w:val="0"/>
      <w:marBottom w:val="0"/>
      <w:divBdr>
        <w:top w:val="none" w:sz="0" w:space="0" w:color="auto"/>
        <w:left w:val="none" w:sz="0" w:space="0" w:color="auto"/>
        <w:bottom w:val="none" w:sz="0" w:space="0" w:color="auto"/>
        <w:right w:val="none" w:sz="0" w:space="0" w:color="auto"/>
      </w:divBdr>
    </w:div>
    <w:div w:id="541016861">
      <w:bodyDiv w:val="1"/>
      <w:marLeft w:val="0"/>
      <w:marRight w:val="0"/>
      <w:marTop w:val="0"/>
      <w:marBottom w:val="0"/>
      <w:divBdr>
        <w:top w:val="none" w:sz="0" w:space="0" w:color="auto"/>
        <w:left w:val="none" w:sz="0" w:space="0" w:color="auto"/>
        <w:bottom w:val="none" w:sz="0" w:space="0" w:color="auto"/>
        <w:right w:val="none" w:sz="0" w:space="0" w:color="auto"/>
      </w:divBdr>
    </w:div>
    <w:div w:id="749930176">
      <w:bodyDiv w:val="1"/>
      <w:marLeft w:val="0"/>
      <w:marRight w:val="0"/>
      <w:marTop w:val="0"/>
      <w:marBottom w:val="0"/>
      <w:divBdr>
        <w:top w:val="none" w:sz="0" w:space="0" w:color="auto"/>
        <w:left w:val="none" w:sz="0" w:space="0" w:color="auto"/>
        <w:bottom w:val="none" w:sz="0" w:space="0" w:color="auto"/>
        <w:right w:val="none" w:sz="0" w:space="0" w:color="auto"/>
      </w:divBdr>
      <w:divsChild>
        <w:div w:id="1743988268">
          <w:marLeft w:val="0"/>
          <w:marRight w:val="0"/>
          <w:marTop w:val="0"/>
          <w:marBottom w:val="0"/>
          <w:divBdr>
            <w:top w:val="none" w:sz="0" w:space="0" w:color="auto"/>
            <w:left w:val="none" w:sz="0" w:space="0" w:color="auto"/>
            <w:bottom w:val="none" w:sz="0" w:space="0" w:color="auto"/>
            <w:right w:val="none" w:sz="0" w:space="0" w:color="auto"/>
          </w:divBdr>
        </w:div>
        <w:div w:id="2094618935">
          <w:marLeft w:val="0"/>
          <w:marRight w:val="0"/>
          <w:marTop w:val="0"/>
          <w:marBottom w:val="0"/>
          <w:divBdr>
            <w:top w:val="none" w:sz="0" w:space="0" w:color="auto"/>
            <w:left w:val="none" w:sz="0" w:space="0" w:color="auto"/>
            <w:bottom w:val="none" w:sz="0" w:space="0" w:color="auto"/>
            <w:right w:val="none" w:sz="0" w:space="0" w:color="auto"/>
          </w:divBdr>
        </w:div>
      </w:divsChild>
    </w:div>
    <w:div w:id="932543473">
      <w:bodyDiv w:val="1"/>
      <w:marLeft w:val="0"/>
      <w:marRight w:val="0"/>
      <w:marTop w:val="0"/>
      <w:marBottom w:val="0"/>
      <w:divBdr>
        <w:top w:val="none" w:sz="0" w:space="0" w:color="auto"/>
        <w:left w:val="none" w:sz="0" w:space="0" w:color="auto"/>
        <w:bottom w:val="none" w:sz="0" w:space="0" w:color="auto"/>
        <w:right w:val="none" w:sz="0" w:space="0" w:color="auto"/>
      </w:divBdr>
    </w:div>
    <w:div w:id="975795127">
      <w:bodyDiv w:val="1"/>
      <w:marLeft w:val="0"/>
      <w:marRight w:val="0"/>
      <w:marTop w:val="0"/>
      <w:marBottom w:val="0"/>
      <w:divBdr>
        <w:top w:val="none" w:sz="0" w:space="0" w:color="auto"/>
        <w:left w:val="none" w:sz="0" w:space="0" w:color="auto"/>
        <w:bottom w:val="none" w:sz="0" w:space="0" w:color="auto"/>
        <w:right w:val="none" w:sz="0" w:space="0" w:color="auto"/>
      </w:divBdr>
    </w:div>
    <w:div w:id="996493112">
      <w:bodyDiv w:val="1"/>
      <w:marLeft w:val="0"/>
      <w:marRight w:val="0"/>
      <w:marTop w:val="0"/>
      <w:marBottom w:val="0"/>
      <w:divBdr>
        <w:top w:val="none" w:sz="0" w:space="0" w:color="auto"/>
        <w:left w:val="none" w:sz="0" w:space="0" w:color="auto"/>
        <w:bottom w:val="none" w:sz="0" w:space="0" w:color="auto"/>
        <w:right w:val="none" w:sz="0" w:space="0" w:color="auto"/>
      </w:divBdr>
    </w:div>
    <w:div w:id="1006590152">
      <w:bodyDiv w:val="1"/>
      <w:marLeft w:val="0"/>
      <w:marRight w:val="0"/>
      <w:marTop w:val="0"/>
      <w:marBottom w:val="0"/>
      <w:divBdr>
        <w:top w:val="none" w:sz="0" w:space="0" w:color="auto"/>
        <w:left w:val="none" w:sz="0" w:space="0" w:color="auto"/>
        <w:bottom w:val="none" w:sz="0" w:space="0" w:color="auto"/>
        <w:right w:val="none" w:sz="0" w:space="0" w:color="auto"/>
      </w:divBdr>
    </w:div>
    <w:div w:id="1258443112">
      <w:bodyDiv w:val="1"/>
      <w:marLeft w:val="0"/>
      <w:marRight w:val="0"/>
      <w:marTop w:val="0"/>
      <w:marBottom w:val="0"/>
      <w:divBdr>
        <w:top w:val="none" w:sz="0" w:space="0" w:color="auto"/>
        <w:left w:val="none" w:sz="0" w:space="0" w:color="auto"/>
        <w:bottom w:val="none" w:sz="0" w:space="0" w:color="auto"/>
        <w:right w:val="none" w:sz="0" w:space="0" w:color="auto"/>
      </w:divBdr>
    </w:div>
    <w:div w:id="1407415277">
      <w:bodyDiv w:val="1"/>
      <w:marLeft w:val="0"/>
      <w:marRight w:val="0"/>
      <w:marTop w:val="0"/>
      <w:marBottom w:val="0"/>
      <w:divBdr>
        <w:top w:val="none" w:sz="0" w:space="0" w:color="auto"/>
        <w:left w:val="none" w:sz="0" w:space="0" w:color="auto"/>
        <w:bottom w:val="none" w:sz="0" w:space="0" w:color="auto"/>
        <w:right w:val="none" w:sz="0" w:space="0" w:color="auto"/>
      </w:divBdr>
    </w:div>
    <w:div w:id="1477255627">
      <w:bodyDiv w:val="1"/>
      <w:marLeft w:val="0"/>
      <w:marRight w:val="0"/>
      <w:marTop w:val="0"/>
      <w:marBottom w:val="0"/>
      <w:divBdr>
        <w:top w:val="none" w:sz="0" w:space="0" w:color="auto"/>
        <w:left w:val="none" w:sz="0" w:space="0" w:color="auto"/>
        <w:bottom w:val="none" w:sz="0" w:space="0" w:color="auto"/>
        <w:right w:val="none" w:sz="0" w:space="0" w:color="auto"/>
      </w:divBdr>
    </w:div>
    <w:div w:id="1548372662">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2020505876">
      <w:bodyDiv w:val="1"/>
      <w:marLeft w:val="0"/>
      <w:marRight w:val="0"/>
      <w:marTop w:val="0"/>
      <w:marBottom w:val="0"/>
      <w:divBdr>
        <w:top w:val="none" w:sz="0" w:space="0" w:color="auto"/>
        <w:left w:val="none" w:sz="0" w:space="0" w:color="auto"/>
        <w:bottom w:val="none" w:sz="0" w:space="0" w:color="auto"/>
        <w:right w:val="none" w:sz="0" w:space="0" w:color="auto"/>
      </w:divBdr>
    </w:div>
    <w:div w:id="20541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ga.gov.au/publication/scheduling-handbook-guidance-amending-poisons-standard" TargetMode="External"/><Relationship Id="rId26" Type="http://schemas.openxmlformats.org/officeDocument/2006/relationships/header" Target="header5.xml"/><Relationship Id="rId21" Type="http://schemas.openxmlformats.org/officeDocument/2006/relationships/hyperlink" Target="https://www.tga.gov.au/resources/publication/scheduling-decisions-interim/notice-interim-decision-proposed-amendments-poisons-standard-relation-pyridoxine-pyridoxal-or-pyridoxamine-vitamin-b6-acms-46-november-2024"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ga.gov.au/publication/ahmac-scheduling-policy-framework-medicines-and-chemicals" TargetMode="Externa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mailto:tga.copyright@tga.gov.au" TargetMode="External"/><Relationship Id="rId20" Type="http://schemas.openxmlformats.org/officeDocument/2006/relationships/hyperlink" Target="https://consultations.tga.gov.au/tga/scheduling-pre-meeting-november-2024/user_uploads/final---pre-meeting-public-notice---acms-46--accs-40--joint-38---november-2024---pdf.pdf"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nsultations.tga.gov.au/tga/vitamin-b6-interim-decision/"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onsultations.tga.gov.au/tga/scheduling-interim-decision-november-2024/" TargetMode="External"/><Relationship Id="rId28" Type="http://schemas.openxmlformats.org/officeDocument/2006/relationships/header" Target="header6.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onsultations.tga.gov.au/tga/scheduling-pre-meeting-november-2024/"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onsultations.tga.gov.au/tga/scheduling-interim-decision-march-2024/" TargetMode="External"/><Relationship Id="rId27" Type="http://schemas.openxmlformats.org/officeDocument/2006/relationships/footer" Target="footer3.xml"/><Relationship Id="rId30" Type="http://schemas.openxmlformats.org/officeDocument/2006/relationships/hyperlink" Target="https://www.tga.gov.au"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80/07315724.2008.10719684" TargetMode="External"/><Relationship Id="rId3" Type="http://schemas.openxmlformats.org/officeDocument/2006/relationships/hyperlink" Target="https://somanz.org/content/uploads/2023/12/SOMANZ-Management-of-NVP-ExecSummary-Updated-Oct-2023-FINAL.pdf" TargetMode="External"/><Relationship Id="rId7" Type="http://schemas.openxmlformats.org/officeDocument/2006/relationships/hyperlink" Target="https://doi.org/10.1001/jama.279.5.359" TargetMode="External"/><Relationship Id="rId2" Type="http://schemas.openxmlformats.org/officeDocument/2006/relationships/hyperlink" Target="https://doi.org/10.2147/DHPS.S499941" TargetMode="External"/><Relationship Id="rId1" Type="http://schemas.openxmlformats.org/officeDocument/2006/relationships/hyperlink" Target="https://www.nhmrc.gov.au/sites/default/files/images/nutrient-refererence-dietary-intakes.pdf" TargetMode="External"/><Relationship Id="rId6" Type="http://schemas.openxmlformats.org/officeDocument/2006/relationships/hyperlink" Target="https://doi.org/10.1038/s41598-024-68413-8" TargetMode="External"/><Relationship Id="rId5" Type="http://schemas.openxmlformats.org/officeDocument/2006/relationships/hyperlink" Target="https://www.safercare.vic.gov.au/sites/default/files/2024-12/Nausea%20and%20vomiting%20in%20pregnancy%20October%202024_0.pdf" TargetMode="External"/><Relationship Id="rId10" Type="http://schemas.openxmlformats.org/officeDocument/2006/relationships/hyperlink" Target="https://doi.org/10.1016/j.phanu.2020.100188" TargetMode="External"/><Relationship Id="rId4" Type="http://schemas.openxmlformats.org/officeDocument/2006/relationships/hyperlink" Target="https://www1.health.nsw.gov.au/pds/ActivePDSDocuments/GL2022_009.pdf" TargetMode="External"/><Relationship Id="rId9" Type="http://schemas.openxmlformats.org/officeDocument/2006/relationships/hyperlink" Target="https://doi.org/10.1016/j.tiv.2017.07.00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F7CAF3BA2418DBCAFEF7F2E207C04"/>
        <w:category>
          <w:name w:val="General"/>
          <w:gallery w:val="placeholder"/>
        </w:category>
        <w:types>
          <w:type w:val="bbPlcHdr"/>
        </w:types>
        <w:behaviors>
          <w:behavior w:val="content"/>
        </w:behaviors>
        <w:guid w:val="{C9070D20-DFB4-4969-A31A-B65BE507E6A2}"/>
      </w:docPartPr>
      <w:docPartBody>
        <w:p w:rsidR="008E1014" w:rsidRDefault="008E1014" w:rsidP="008E1014">
          <w:pPr>
            <w:pStyle w:val="005F7CAF3BA2418DBCAFEF7F2E207C04"/>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14"/>
    <w:rsid w:val="00070669"/>
    <w:rsid w:val="00074787"/>
    <w:rsid w:val="00081C45"/>
    <w:rsid w:val="000F0A84"/>
    <w:rsid w:val="0010596D"/>
    <w:rsid w:val="00141FAF"/>
    <w:rsid w:val="00175635"/>
    <w:rsid w:val="001756EA"/>
    <w:rsid w:val="001E0F7C"/>
    <w:rsid w:val="001F00CB"/>
    <w:rsid w:val="001F19E2"/>
    <w:rsid w:val="00225A2A"/>
    <w:rsid w:val="00226F4B"/>
    <w:rsid w:val="0027487C"/>
    <w:rsid w:val="002B52B3"/>
    <w:rsid w:val="003011DA"/>
    <w:rsid w:val="00330937"/>
    <w:rsid w:val="00376EC4"/>
    <w:rsid w:val="00405D2A"/>
    <w:rsid w:val="00413311"/>
    <w:rsid w:val="00492092"/>
    <w:rsid w:val="004A6369"/>
    <w:rsid w:val="00541C9D"/>
    <w:rsid w:val="005A407D"/>
    <w:rsid w:val="005B3EC4"/>
    <w:rsid w:val="006069CA"/>
    <w:rsid w:val="00631A4D"/>
    <w:rsid w:val="00652EB2"/>
    <w:rsid w:val="006A18FE"/>
    <w:rsid w:val="006B58CD"/>
    <w:rsid w:val="006F1AD1"/>
    <w:rsid w:val="00761501"/>
    <w:rsid w:val="007852FC"/>
    <w:rsid w:val="007B6603"/>
    <w:rsid w:val="008078CA"/>
    <w:rsid w:val="00807D2F"/>
    <w:rsid w:val="00885AA7"/>
    <w:rsid w:val="00895210"/>
    <w:rsid w:val="008A18C3"/>
    <w:rsid w:val="008D2ECE"/>
    <w:rsid w:val="008D4FB7"/>
    <w:rsid w:val="008E1014"/>
    <w:rsid w:val="008F4320"/>
    <w:rsid w:val="00903C7F"/>
    <w:rsid w:val="009635A2"/>
    <w:rsid w:val="009F0791"/>
    <w:rsid w:val="00A2105C"/>
    <w:rsid w:val="00A9092E"/>
    <w:rsid w:val="00AE4590"/>
    <w:rsid w:val="00AF2BEA"/>
    <w:rsid w:val="00AF2C35"/>
    <w:rsid w:val="00AF4373"/>
    <w:rsid w:val="00B80EFA"/>
    <w:rsid w:val="00B87CF7"/>
    <w:rsid w:val="00B919EF"/>
    <w:rsid w:val="00C710C9"/>
    <w:rsid w:val="00C9588A"/>
    <w:rsid w:val="00CA6314"/>
    <w:rsid w:val="00CE6407"/>
    <w:rsid w:val="00CF1ADC"/>
    <w:rsid w:val="00D0677B"/>
    <w:rsid w:val="00D17C77"/>
    <w:rsid w:val="00D22FCD"/>
    <w:rsid w:val="00D61E69"/>
    <w:rsid w:val="00D64CA5"/>
    <w:rsid w:val="00DC2B6B"/>
    <w:rsid w:val="00DD3A94"/>
    <w:rsid w:val="00DE5C5D"/>
    <w:rsid w:val="00DF48FD"/>
    <w:rsid w:val="00E23812"/>
    <w:rsid w:val="00E258F6"/>
    <w:rsid w:val="00E31717"/>
    <w:rsid w:val="00E40AD7"/>
    <w:rsid w:val="00E632D8"/>
    <w:rsid w:val="00EE0D23"/>
    <w:rsid w:val="00F01DD4"/>
    <w:rsid w:val="00F47E08"/>
    <w:rsid w:val="00F52B37"/>
    <w:rsid w:val="00F7721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014"/>
    <w:rPr>
      <w:color w:val="808080"/>
    </w:rPr>
  </w:style>
  <w:style w:type="paragraph" w:customStyle="1" w:styleId="005F7CAF3BA2418DBCAFEF7F2E207C04">
    <w:name w:val="005F7CAF3BA2418DBCAFEF7F2E207C04"/>
    <w:rsid w:val="008E1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fea1131497b68d3f6e371301bcca16fa">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e3d58ff434d9c712b412978ea7d1b13d"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A3AD1-1E02-4159-9199-F13D97D00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customXml/itemProps3.xml><?xml version="1.0" encoding="utf-8"?>
<ds:datastoreItem xmlns:ds="http://schemas.openxmlformats.org/officeDocument/2006/customXml" ds:itemID="{9DBECD84-9735-4126-AAAC-08F628F6E3F3}">
  <ds:schemaRefs>
    <ds:schemaRef ds:uri="http://schemas.microsoft.com/sharepoint/v3/contenttype/forms"/>
  </ds:schemaRefs>
</ds:datastoreItem>
</file>

<file path=customXml/itemProps4.xml><?xml version="1.0" encoding="utf-8"?>
<ds:datastoreItem xmlns:ds="http://schemas.openxmlformats.org/officeDocument/2006/customXml" ds:itemID="{8C948C69-073B-4116-A5F9-73685E38A8E4}">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3119</Words>
  <Characters>17498</Characters>
  <Application>Microsoft Office Word</Application>
  <DocSecurity>0</DocSecurity>
  <Lines>273</Lines>
  <Paragraphs>95</Paragraphs>
  <ScaleCrop>false</ScaleCrop>
  <HeadingPairs>
    <vt:vector size="2" baseType="variant">
      <vt:variant>
        <vt:lpstr>Title</vt:lpstr>
      </vt:variant>
      <vt:variant>
        <vt:i4>1</vt:i4>
      </vt:variant>
    </vt:vector>
  </HeadingPairs>
  <TitlesOfParts>
    <vt:vector size="1" baseType="lpstr">
      <vt:lpstr>Notice of final decision to amend (or not amend) the current Poisons Standard in relation to pyridoxine, pyridoxal or pyridoxamine (vitamin B6)</vt:lpstr>
    </vt:vector>
  </TitlesOfParts>
  <Company>Department of Health, Disability and Ageing</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in relation to pyridoxine, pyridoxal or pyridoxamine (vitamin B6)</dc:title>
  <dc:subject>therapeutic goods regulation</dc:subject>
  <dc:creator>Therapeutic Goods Administration</dc:creator>
  <cp:keywords/>
  <dc:description/>
  <dcterms:created xsi:type="dcterms:W3CDTF">2025-11-25T00:19:00Z</dcterms:created>
  <dcterms:modified xsi:type="dcterms:W3CDTF">2025-11-25T00:33:00Z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5c9bb5b7,6d4d2504,432dec4c,28a8fadd,bdb8232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2a6bcde0,49568362,2160b05b,70c218c3,58bdf6bf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2025-11-07T05:29:07Z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44bd090b-cd17-401b-8471-c51b3044f7cf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0x010100EFE0E35EFD4F464680E6AF1C0D13EB20</vt:lpwstr>
  </property>
  <property fmtid="{D5CDD505-2E9C-101B-9397-08002B2CF9AE}" pid="17" name="MediaServiceImageTags">
    <vt:lpwstr/>
  </property>
</Properties>
</file>