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13EB2C63" w:rsidR="00F02AEC" w:rsidRPr="00215D48" w:rsidRDefault="00346EC2" w:rsidP="007452E8">
            <w:pPr>
              <w:pStyle w:val="Title"/>
            </w:pPr>
            <w:r w:rsidRPr="00346EC2">
              <w:t xml:space="preserve">Australian Public Assessment Report for </w:t>
            </w:r>
            <w:bookmarkStart w:id="0" w:name="_Hlk213224323"/>
            <w:r w:rsidR="00986B29">
              <w:t>Uteknix</w:t>
            </w:r>
            <w:bookmarkEnd w:id="0"/>
          </w:p>
        </w:tc>
      </w:tr>
      <w:tr w:rsidR="00F02AEC" w:rsidRPr="00215D48" w14:paraId="318A40A3" w14:textId="77777777" w:rsidTr="00346EC2">
        <w:trPr>
          <w:trHeight w:val="995"/>
        </w:trPr>
        <w:tc>
          <w:tcPr>
            <w:tcW w:w="8720" w:type="dxa"/>
          </w:tcPr>
          <w:p w14:paraId="1AA7C701" w14:textId="2C72C602" w:rsidR="00F02AEC" w:rsidRPr="00215D48" w:rsidRDefault="00346EC2" w:rsidP="007452E8">
            <w:pPr>
              <w:pStyle w:val="Subtitle"/>
              <w:ind w:left="0"/>
            </w:pPr>
            <w:r w:rsidRPr="00346EC2">
              <w:t xml:space="preserve">Active ingredient: </w:t>
            </w:r>
            <w:bookmarkStart w:id="1" w:name="_Hlk213224375"/>
            <w:r w:rsidR="00AE147B">
              <w:t>U</w:t>
            </w:r>
            <w:r w:rsidR="00986B29">
              <w:t>stekinumab</w:t>
            </w:r>
            <w:bookmarkEnd w:id="1"/>
          </w:p>
        </w:tc>
      </w:tr>
      <w:tr w:rsidR="00346EC2" w:rsidRPr="00215D48" w14:paraId="362CCAE4" w14:textId="77777777" w:rsidTr="007452E8">
        <w:trPr>
          <w:trHeight w:val="1916"/>
        </w:trPr>
        <w:tc>
          <w:tcPr>
            <w:tcW w:w="8720" w:type="dxa"/>
          </w:tcPr>
          <w:p w14:paraId="709C45C0" w14:textId="4058382F" w:rsidR="00346EC2" w:rsidRPr="00215D48" w:rsidRDefault="00346EC2" w:rsidP="007452E8">
            <w:pPr>
              <w:pStyle w:val="Subtitle"/>
              <w:ind w:left="0"/>
            </w:pPr>
            <w:r w:rsidRPr="00346EC2">
              <w:t>Sponsor:</w:t>
            </w:r>
            <w:r w:rsidR="00AE147B">
              <w:t xml:space="preserve"> </w:t>
            </w:r>
            <w:bookmarkStart w:id="2" w:name="_Hlk213224388"/>
            <w:r w:rsidR="00AE147B">
              <w:t>Cipla Australia Pty Ltd</w:t>
            </w:r>
            <w:bookmarkEnd w:id="2"/>
          </w:p>
        </w:tc>
      </w:tr>
      <w:tr w:rsidR="00F02AEC" w:rsidRPr="00215D48" w14:paraId="37F2AA1F" w14:textId="77777777" w:rsidTr="007452E8">
        <w:tc>
          <w:tcPr>
            <w:tcW w:w="8720" w:type="dxa"/>
          </w:tcPr>
          <w:p w14:paraId="1FDE8DCD" w14:textId="09734BF3" w:rsidR="00F02AEC" w:rsidRPr="00215D48" w:rsidRDefault="009569C3" w:rsidP="007452E8">
            <w:pPr>
              <w:pStyle w:val="Date"/>
            </w:pPr>
            <w:r>
              <w:t xml:space="preserve">October </w:t>
            </w:r>
            <w:r w:rsidR="00AE147B">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0EE7D065"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1DBD1A59"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2FDE2A2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9569C3"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B010FF1" w14:textId="44A41E09" w:rsidR="00373326"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2469854" w:history="1">
            <w:r w:rsidR="00373326" w:rsidRPr="00F27EA5">
              <w:rPr>
                <w:rStyle w:val="Hyperlink"/>
                <w:noProof/>
              </w:rPr>
              <w:t>List of abbreviations</w:t>
            </w:r>
            <w:r w:rsidR="00373326">
              <w:rPr>
                <w:noProof/>
                <w:webHidden/>
              </w:rPr>
              <w:tab/>
            </w:r>
            <w:r w:rsidR="00373326">
              <w:rPr>
                <w:noProof/>
                <w:webHidden/>
              </w:rPr>
              <w:fldChar w:fldCharType="begin"/>
            </w:r>
            <w:r w:rsidR="00373326">
              <w:rPr>
                <w:noProof/>
                <w:webHidden/>
              </w:rPr>
              <w:instrText xml:space="preserve"> PAGEREF _Toc212469854 \h </w:instrText>
            </w:r>
            <w:r w:rsidR="00373326">
              <w:rPr>
                <w:noProof/>
                <w:webHidden/>
              </w:rPr>
            </w:r>
            <w:r w:rsidR="00373326">
              <w:rPr>
                <w:noProof/>
                <w:webHidden/>
              </w:rPr>
              <w:fldChar w:fldCharType="separate"/>
            </w:r>
            <w:r w:rsidR="00373326">
              <w:rPr>
                <w:noProof/>
                <w:webHidden/>
              </w:rPr>
              <w:t>4</w:t>
            </w:r>
            <w:r w:rsidR="00373326">
              <w:rPr>
                <w:noProof/>
                <w:webHidden/>
              </w:rPr>
              <w:fldChar w:fldCharType="end"/>
            </w:r>
          </w:hyperlink>
        </w:p>
        <w:p w14:paraId="72CD7FE4" w14:textId="7D9EC3E4" w:rsidR="00373326" w:rsidRDefault="0037332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2469855" w:history="1">
            <w:r w:rsidRPr="00F27EA5">
              <w:rPr>
                <w:rStyle w:val="Hyperlink"/>
                <w:noProof/>
              </w:rPr>
              <w:t>Product submission</w:t>
            </w:r>
            <w:r>
              <w:rPr>
                <w:noProof/>
                <w:webHidden/>
              </w:rPr>
              <w:tab/>
            </w:r>
            <w:r>
              <w:rPr>
                <w:noProof/>
                <w:webHidden/>
              </w:rPr>
              <w:fldChar w:fldCharType="begin"/>
            </w:r>
            <w:r>
              <w:rPr>
                <w:noProof/>
                <w:webHidden/>
              </w:rPr>
              <w:instrText xml:space="preserve"> PAGEREF _Toc212469855 \h </w:instrText>
            </w:r>
            <w:r>
              <w:rPr>
                <w:noProof/>
                <w:webHidden/>
              </w:rPr>
            </w:r>
            <w:r>
              <w:rPr>
                <w:noProof/>
                <w:webHidden/>
              </w:rPr>
              <w:fldChar w:fldCharType="separate"/>
            </w:r>
            <w:r>
              <w:rPr>
                <w:noProof/>
                <w:webHidden/>
              </w:rPr>
              <w:t>6</w:t>
            </w:r>
            <w:r>
              <w:rPr>
                <w:noProof/>
                <w:webHidden/>
              </w:rPr>
              <w:fldChar w:fldCharType="end"/>
            </w:r>
          </w:hyperlink>
        </w:p>
        <w:p w14:paraId="50B04B08" w14:textId="4DCF5A12"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56" w:history="1">
            <w:r w:rsidRPr="00F27EA5">
              <w:rPr>
                <w:rStyle w:val="Hyperlink"/>
                <w:noProof/>
                <w:lang w:eastAsia="en-AU"/>
              </w:rPr>
              <w:t>Submission details</w:t>
            </w:r>
            <w:r>
              <w:rPr>
                <w:noProof/>
                <w:webHidden/>
              </w:rPr>
              <w:tab/>
            </w:r>
            <w:r>
              <w:rPr>
                <w:noProof/>
                <w:webHidden/>
              </w:rPr>
              <w:fldChar w:fldCharType="begin"/>
            </w:r>
            <w:r>
              <w:rPr>
                <w:noProof/>
                <w:webHidden/>
              </w:rPr>
              <w:instrText xml:space="preserve"> PAGEREF _Toc212469856 \h </w:instrText>
            </w:r>
            <w:r>
              <w:rPr>
                <w:noProof/>
                <w:webHidden/>
              </w:rPr>
            </w:r>
            <w:r>
              <w:rPr>
                <w:noProof/>
                <w:webHidden/>
              </w:rPr>
              <w:fldChar w:fldCharType="separate"/>
            </w:r>
            <w:r>
              <w:rPr>
                <w:noProof/>
                <w:webHidden/>
              </w:rPr>
              <w:t>6</w:t>
            </w:r>
            <w:r>
              <w:rPr>
                <w:noProof/>
                <w:webHidden/>
              </w:rPr>
              <w:fldChar w:fldCharType="end"/>
            </w:r>
          </w:hyperlink>
        </w:p>
        <w:p w14:paraId="163B5FD4" w14:textId="117584AA"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57" w:history="1">
            <w:r w:rsidRPr="00F27EA5">
              <w:rPr>
                <w:rStyle w:val="Hyperlink"/>
                <w:noProof/>
              </w:rPr>
              <w:t>Product background</w:t>
            </w:r>
            <w:r>
              <w:rPr>
                <w:noProof/>
                <w:webHidden/>
              </w:rPr>
              <w:tab/>
            </w:r>
            <w:r>
              <w:rPr>
                <w:noProof/>
                <w:webHidden/>
              </w:rPr>
              <w:fldChar w:fldCharType="begin"/>
            </w:r>
            <w:r>
              <w:rPr>
                <w:noProof/>
                <w:webHidden/>
              </w:rPr>
              <w:instrText xml:space="preserve"> PAGEREF _Toc212469857 \h </w:instrText>
            </w:r>
            <w:r>
              <w:rPr>
                <w:noProof/>
                <w:webHidden/>
              </w:rPr>
            </w:r>
            <w:r>
              <w:rPr>
                <w:noProof/>
                <w:webHidden/>
              </w:rPr>
              <w:fldChar w:fldCharType="separate"/>
            </w:r>
            <w:r>
              <w:rPr>
                <w:noProof/>
                <w:webHidden/>
              </w:rPr>
              <w:t>8</w:t>
            </w:r>
            <w:r>
              <w:rPr>
                <w:noProof/>
                <w:webHidden/>
              </w:rPr>
              <w:fldChar w:fldCharType="end"/>
            </w:r>
          </w:hyperlink>
        </w:p>
        <w:p w14:paraId="7ED80D65" w14:textId="16F3259E"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58" w:history="1">
            <w:r w:rsidRPr="00F27EA5">
              <w:rPr>
                <w:rStyle w:val="Hyperlink"/>
                <w:noProof/>
              </w:rPr>
              <w:t>Disease or condition</w:t>
            </w:r>
            <w:r>
              <w:rPr>
                <w:noProof/>
                <w:webHidden/>
              </w:rPr>
              <w:tab/>
            </w:r>
            <w:r>
              <w:rPr>
                <w:noProof/>
                <w:webHidden/>
              </w:rPr>
              <w:fldChar w:fldCharType="begin"/>
            </w:r>
            <w:r>
              <w:rPr>
                <w:noProof/>
                <w:webHidden/>
              </w:rPr>
              <w:instrText xml:space="preserve"> PAGEREF _Toc212469858 \h </w:instrText>
            </w:r>
            <w:r>
              <w:rPr>
                <w:noProof/>
                <w:webHidden/>
              </w:rPr>
            </w:r>
            <w:r>
              <w:rPr>
                <w:noProof/>
                <w:webHidden/>
              </w:rPr>
              <w:fldChar w:fldCharType="separate"/>
            </w:r>
            <w:r>
              <w:rPr>
                <w:noProof/>
                <w:webHidden/>
              </w:rPr>
              <w:t>8</w:t>
            </w:r>
            <w:r>
              <w:rPr>
                <w:noProof/>
                <w:webHidden/>
              </w:rPr>
              <w:fldChar w:fldCharType="end"/>
            </w:r>
          </w:hyperlink>
        </w:p>
        <w:p w14:paraId="4186E389" w14:textId="01905C86"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59" w:history="1">
            <w:r w:rsidRPr="00F27EA5">
              <w:rPr>
                <w:rStyle w:val="Hyperlink"/>
                <w:noProof/>
              </w:rPr>
              <w:t>Current treatment options</w:t>
            </w:r>
            <w:r>
              <w:rPr>
                <w:noProof/>
                <w:webHidden/>
              </w:rPr>
              <w:tab/>
            </w:r>
            <w:r>
              <w:rPr>
                <w:noProof/>
                <w:webHidden/>
              </w:rPr>
              <w:fldChar w:fldCharType="begin"/>
            </w:r>
            <w:r>
              <w:rPr>
                <w:noProof/>
                <w:webHidden/>
              </w:rPr>
              <w:instrText xml:space="preserve"> PAGEREF _Toc212469859 \h </w:instrText>
            </w:r>
            <w:r>
              <w:rPr>
                <w:noProof/>
                <w:webHidden/>
              </w:rPr>
            </w:r>
            <w:r>
              <w:rPr>
                <w:noProof/>
                <w:webHidden/>
              </w:rPr>
              <w:fldChar w:fldCharType="separate"/>
            </w:r>
            <w:r>
              <w:rPr>
                <w:noProof/>
                <w:webHidden/>
              </w:rPr>
              <w:t>9</w:t>
            </w:r>
            <w:r>
              <w:rPr>
                <w:noProof/>
                <w:webHidden/>
              </w:rPr>
              <w:fldChar w:fldCharType="end"/>
            </w:r>
          </w:hyperlink>
        </w:p>
        <w:p w14:paraId="6ED3E4BF" w14:textId="4499A398"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60" w:history="1">
            <w:r w:rsidRPr="00F27EA5">
              <w:rPr>
                <w:rStyle w:val="Hyperlink"/>
                <w:noProof/>
              </w:rPr>
              <w:t>Clinical rationale</w:t>
            </w:r>
            <w:r>
              <w:rPr>
                <w:noProof/>
                <w:webHidden/>
              </w:rPr>
              <w:tab/>
            </w:r>
            <w:r>
              <w:rPr>
                <w:noProof/>
                <w:webHidden/>
              </w:rPr>
              <w:fldChar w:fldCharType="begin"/>
            </w:r>
            <w:r>
              <w:rPr>
                <w:noProof/>
                <w:webHidden/>
              </w:rPr>
              <w:instrText xml:space="preserve"> PAGEREF _Toc212469860 \h </w:instrText>
            </w:r>
            <w:r>
              <w:rPr>
                <w:noProof/>
                <w:webHidden/>
              </w:rPr>
            </w:r>
            <w:r>
              <w:rPr>
                <w:noProof/>
                <w:webHidden/>
              </w:rPr>
              <w:fldChar w:fldCharType="separate"/>
            </w:r>
            <w:r>
              <w:rPr>
                <w:noProof/>
                <w:webHidden/>
              </w:rPr>
              <w:t>9</w:t>
            </w:r>
            <w:r>
              <w:rPr>
                <w:noProof/>
                <w:webHidden/>
              </w:rPr>
              <w:fldChar w:fldCharType="end"/>
            </w:r>
          </w:hyperlink>
        </w:p>
        <w:p w14:paraId="51FB5564" w14:textId="2847745D"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61" w:history="1">
            <w:r w:rsidRPr="00F27EA5">
              <w:rPr>
                <w:rStyle w:val="Hyperlink"/>
                <w:noProof/>
              </w:rPr>
              <w:t>Regulatory status</w:t>
            </w:r>
            <w:r>
              <w:rPr>
                <w:noProof/>
                <w:webHidden/>
              </w:rPr>
              <w:tab/>
            </w:r>
            <w:r>
              <w:rPr>
                <w:noProof/>
                <w:webHidden/>
              </w:rPr>
              <w:fldChar w:fldCharType="begin"/>
            </w:r>
            <w:r>
              <w:rPr>
                <w:noProof/>
                <w:webHidden/>
              </w:rPr>
              <w:instrText xml:space="preserve"> PAGEREF _Toc212469861 \h </w:instrText>
            </w:r>
            <w:r>
              <w:rPr>
                <w:noProof/>
                <w:webHidden/>
              </w:rPr>
            </w:r>
            <w:r>
              <w:rPr>
                <w:noProof/>
                <w:webHidden/>
              </w:rPr>
              <w:fldChar w:fldCharType="separate"/>
            </w:r>
            <w:r>
              <w:rPr>
                <w:noProof/>
                <w:webHidden/>
              </w:rPr>
              <w:t>10</w:t>
            </w:r>
            <w:r>
              <w:rPr>
                <w:noProof/>
                <w:webHidden/>
              </w:rPr>
              <w:fldChar w:fldCharType="end"/>
            </w:r>
          </w:hyperlink>
        </w:p>
        <w:p w14:paraId="3207CDA6" w14:textId="5A516659"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62" w:history="1">
            <w:r w:rsidRPr="00F27EA5">
              <w:rPr>
                <w:rStyle w:val="Hyperlink"/>
                <w:noProof/>
              </w:rPr>
              <w:t>Australian regulatory status</w:t>
            </w:r>
            <w:r>
              <w:rPr>
                <w:noProof/>
                <w:webHidden/>
              </w:rPr>
              <w:tab/>
            </w:r>
            <w:r>
              <w:rPr>
                <w:noProof/>
                <w:webHidden/>
              </w:rPr>
              <w:fldChar w:fldCharType="begin"/>
            </w:r>
            <w:r>
              <w:rPr>
                <w:noProof/>
                <w:webHidden/>
              </w:rPr>
              <w:instrText xml:space="preserve"> PAGEREF _Toc212469862 \h </w:instrText>
            </w:r>
            <w:r>
              <w:rPr>
                <w:noProof/>
                <w:webHidden/>
              </w:rPr>
            </w:r>
            <w:r>
              <w:rPr>
                <w:noProof/>
                <w:webHidden/>
              </w:rPr>
              <w:fldChar w:fldCharType="separate"/>
            </w:r>
            <w:r>
              <w:rPr>
                <w:noProof/>
                <w:webHidden/>
              </w:rPr>
              <w:t>10</w:t>
            </w:r>
            <w:r>
              <w:rPr>
                <w:noProof/>
                <w:webHidden/>
              </w:rPr>
              <w:fldChar w:fldCharType="end"/>
            </w:r>
          </w:hyperlink>
        </w:p>
        <w:p w14:paraId="7069177E" w14:textId="74861D4A"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63" w:history="1">
            <w:r w:rsidRPr="00F27EA5">
              <w:rPr>
                <w:rStyle w:val="Hyperlink"/>
                <w:noProof/>
              </w:rPr>
              <w:t>International regulatory status</w:t>
            </w:r>
            <w:r>
              <w:rPr>
                <w:noProof/>
                <w:webHidden/>
              </w:rPr>
              <w:tab/>
            </w:r>
            <w:r>
              <w:rPr>
                <w:noProof/>
                <w:webHidden/>
              </w:rPr>
              <w:fldChar w:fldCharType="begin"/>
            </w:r>
            <w:r>
              <w:rPr>
                <w:noProof/>
                <w:webHidden/>
              </w:rPr>
              <w:instrText xml:space="preserve"> PAGEREF _Toc212469863 \h </w:instrText>
            </w:r>
            <w:r>
              <w:rPr>
                <w:noProof/>
                <w:webHidden/>
              </w:rPr>
            </w:r>
            <w:r>
              <w:rPr>
                <w:noProof/>
                <w:webHidden/>
              </w:rPr>
              <w:fldChar w:fldCharType="separate"/>
            </w:r>
            <w:r>
              <w:rPr>
                <w:noProof/>
                <w:webHidden/>
              </w:rPr>
              <w:t>10</w:t>
            </w:r>
            <w:r>
              <w:rPr>
                <w:noProof/>
                <w:webHidden/>
              </w:rPr>
              <w:fldChar w:fldCharType="end"/>
            </w:r>
          </w:hyperlink>
        </w:p>
        <w:p w14:paraId="0AB733D7" w14:textId="28694F54" w:rsidR="00373326" w:rsidRDefault="0037332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2469864" w:history="1">
            <w:r w:rsidRPr="00F27EA5">
              <w:rPr>
                <w:rStyle w:val="Hyperlink"/>
                <w:noProof/>
              </w:rPr>
              <w:t>Registration timeline</w:t>
            </w:r>
            <w:r>
              <w:rPr>
                <w:noProof/>
                <w:webHidden/>
              </w:rPr>
              <w:tab/>
            </w:r>
            <w:r>
              <w:rPr>
                <w:noProof/>
                <w:webHidden/>
              </w:rPr>
              <w:fldChar w:fldCharType="begin"/>
            </w:r>
            <w:r>
              <w:rPr>
                <w:noProof/>
                <w:webHidden/>
              </w:rPr>
              <w:instrText xml:space="preserve"> PAGEREF _Toc212469864 \h </w:instrText>
            </w:r>
            <w:r>
              <w:rPr>
                <w:noProof/>
                <w:webHidden/>
              </w:rPr>
            </w:r>
            <w:r>
              <w:rPr>
                <w:noProof/>
                <w:webHidden/>
              </w:rPr>
              <w:fldChar w:fldCharType="separate"/>
            </w:r>
            <w:r>
              <w:rPr>
                <w:noProof/>
                <w:webHidden/>
              </w:rPr>
              <w:t>12</w:t>
            </w:r>
            <w:r>
              <w:rPr>
                <w:noProof/>
                <w:webHidden/>
              </w:rPr>
              <w:fldChar w:fldCharType="end"/>
            </w:r>
          </w:hyperlink>
        </w:p>
        <w:p w14:paraId="314C6459" w14:textId="23B55A59" w:rsidR="00373326" w:rsidRDefault="0037332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2469865" w:history="1">
            <w:r w:rsidRPr="00F27EA5">
              <w:rPr>
                <w:rStyle w:val="Hyperlink"/>
                <w:noProof/>
              </w:rPr>
              <w:t>Assessment overview</w:t>
            </w:r>
            <w:r>
              <w:rPr>
                <w:noProof/>
                <w:webHidden/>
              </w:rPr>
              <w:tab/>
            </w:r>
            <w:r>
              <w:rPr>
                <w:noProof/>
                <w:webHidden/>
              </w:rPr>
              <w:fldChar w:fldCharType="begin"/>
            </w:r>
            <w:r>
              <w:rPr>
                <w:noProof/>
                <w:webHidden/>
              </w:rPr>
              <w:instrText xml:space="preserve"> PAGEREF _Toc212469865 \h </w:instrText>
            </w:r>
            <w:r>
              <w:rPr>
                <w:noProof/>
                <w:webHidden/>
              </w:rPr>
            </w:r>
            <w:r>
              <w:rPr>
                <w:noProof/>
                <w:webHidden/>
              </w:rPr>
              <w:fldChar w:fldCharType="separate"/>
            </w:r>
            <w:r>
              <w:rPr>
                <w:noProof/>
                <w:webHidden/>
              </w:rPr>
              <w:t>13</w:t>
            </w:r>
            <w:r>
              <w:rPr>
                <w:noProof/>
                <w:webHidden/>
              </w:rPr>
              <w:fldChar w:fldCharType="end"/>
            </w:r>
          </w:hyperlink>
        </w:p>
        <w:p w14:paraId="5AB2685F" w14:textId="648A7D55"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66" w:history="1">
            <w:r w:rsidRPr="00F27EA5">
              <w:rPr>
                <w:rStyle w:val="Hyperlink"/>
                <w:noProof/>
              </w:rPr>
              <w:t>Quality evaluation summary</w:t>
            </w:r>
            <w:r>
              <w:rPr>
                <w:noProof/>
                <w:webHidden/>
              </w:rPr>
              <w:tab/>
            </w:r>
            <w:r>
              <w:rPr>
                <w:noProof/>
                <w:webHidden/>
              </w:rPr>
              <w:fldChar w:fldCharType="begin"/>
            </w:r>
            <w:r>
              <w:rPr>
                <w:noProof/>
                <w:webHidden/>
              </w:rPr>
              <w:instrText xml:space="preserve"> PAGEREF _Toc212469866 \h </w:instrText>
            </w:r>
            <w:r>
              <w:rPr>
                <w:noProof/>
                <w:webHidden/>
              </w:rPr>
            </w:r>
            <w:r>
              <w:rPr>
                <w:noProof/>
                <w:webHidden/>
              </w:rPr>
              <w:fldChar w:fldCharType="separate"/>
            </w:r>
            <w:r>
              <w:rPr>
                <w:noProof/>
                <w:webHidden/>
              </w:rPr>
              <w:t>13</w:t>
            </w:r>
            <w:r>
              <w:rPr>
                <w:noProof/>
                <w:webHidden/>
              </w:rPr>
              <w:fldChar w:fldCharType="end"/>
            </w:r>
          </w:hyperlink>
        </w:p>
        <w:p w14:paraId="095AEDA4" w14:textId="36E74C07"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67" w:history="1">
            <w:r w:rsidRPr="00F27EA5">
              <w:rPr>
                <w:rStyle w:val="Hyperlink"/>
                <w:noProof/>
              </w:rPr>
              <w:t>Nonclinical evaluation summary</w:t>
            </w:r>
            <w:r>
              <w:rPr>
                <w:noProof/>
                <w:webHidden/>
              </w:rPr>
              <w:tab/>
            </w:r>
            <w:r>
              <w:rPr>
                <w:noProof/>
                <w:webHidden/>
              </w:rPr>
              <w:fldChar w:fldCharType="begin"/>
            </w:r>
            <w:r>
              <w:rPr>
                <w:noProof/>
                <w:webHidden/>
              </w:rPr>
              <w:instrText xml:space="preserve"> PAGEREF _Toc212469867 \h </w:instrText>
            </w:r>
            <w:r>
              <w:rPr>
                <w:noProof/>
                <w:webHidden/>
              </w:rPr>
            </w:r>
            <w:r>
              <w:rPr>
                <w:noProof/>
                <w:webHidden/>
              </w:rPr>
              <w:fldChar w:fldCharType="separate"/>
            </w:r>
            <w:r>
              <w:rPr>
                <w:noProof/>
                <w:webHidden/>
              </w:rPr>
              <w:t>14</w:t>
            </w:r>
            <w:r>
              <w:rPr>
                <w:noProof/>
                <w:webHidden/>
              </w:rPr>
              <w:fldChar w:fldCharType="end"/>
            </w:r>
          </w:hyperlink>
        </w:p>
        <w:p w14:paraId="005B59FD" w14:textId="0F901778"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68" w:history="1">
            <w:r w:rsidRPr="00F27EA5">
              <w:rPr>
                <w:rStyle w:val="Hyperlink"/>
                <w:noProof/>
              </w:rPr>
              <w:t>Clinical evaluation summary</w:t>
            </w:r>
            <w:r>
              <w:rPr>
                <w:noProof/>
                <w:webHidden/>
              </w:rPr>
              <w:tab/>
            </w:r>
            <w:r>
              <w:rPr>
                <w:noProof/>
                <w:webHidden/>
              </w:rPr>
              <w:fldChar w:fldCharType="begin"/>
            </w:r>
            <w:r>
              <w:rPr>
                <w:noProof/>
                <w:webHidden/>
              </w:rPr>
              <w:instrText xml:space="preserve"> PAGEREF _Toc212469868 \h </w:instrText>
            </w:r>
            <w:r>
              <w:rPr>
                <w:noProof/>
                <w:webHidden/>
              </w:rPr>
            </w:r>
            <w:r>
              <w:rPr>
                <w:noProof/>
                <w:webHidden/>
              </w:rPr>
              <w:fldChar w:fldCharType="separate"/>
            </w:r>
            <w:r>
              <w:rPr>
                <w:noProof/>
                <w:webHidden/>
              </w:rPr>
              <w:t>14</w:t>
            </w:r>
            <w:r>
              <w:rPr>
                <w:noProof/>
                <w:webHidden/>
              </w:rPr>
              <w:fldChar w:fldCharType="end"/>
            </w:r>
          </w:hyperlink>
        </w:p>
        <w:p w14:paraId="4B97F53C" w14:textId="47A20B50"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69" w:history="1">
            <w:r w:rsidRPr="00F27EA5">
              <w:rPr>
                <w:rStyle w:val="Hyperlink"/>
                <w:noProof/>
              </w:rPr>
              <w:t>Pharmacology</w:t>
            </w:r>
            <w:r>
              <w:rPr>
                <w:noProof/>
                <w:webHidden/>
              </w:rPr>
              <w:tab/>
            </w:r>
            <w:r>
              <w:rPr>
                <w:noProof/>
                <w:webHidden/>
              </w:rPr>
              <w:fldChar w:fldCharType="begin"/>
            </w:r>
            <w:r>
              <w:rPr>
                <w:noProof/>
                <w:webHidden/>
              </w:rPr>
              <w:instrText xml:space="preserve"> PAGEREF _Toc212469869 \h </w:instrText>
            </w:r>
            <w:r>
              <w:rPr>
                <w:noProof/>
                <w:webHidden/>
              </w:rPr>
            </w:r>
            <w:r>
              <w:rPr>
                <w:noProof/>
                <w:webHidden/>
              </w:rPr>
              <w:fldChar w:fldCharType="separate"/>
            </w:r>
            <w:r>
              <w:rPr>
                <w:noProof/>
                <w:webHidden/>
              </w:rPr>
              <w:t>14</w:t>
            </w:r>
            <w:r>
              <w:rPr>
                <w:noProof/>
                <w:webHidden/>
              </w:rPr>
              <w:fldChar w:fldCharType="end"/>
            </w:r>
          </w:hyperlink>
        </w:p>
        <w:p w14:paraId="1FA7CCBA" w14:textId="3647A821"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70" w:history="1">
            <w:r w:rsidRPr="00F27EA5">
              <w:rPr>
                <w:rStyle w:val="Hyperlink"/>
                <w:noProof/>
              </w:rPr>
              <w:t>Efficacy</w:t>
            </w:r>
            <w:r>
              <w:rPr>
                <w:noProof/>
                <w:webHidden/>
              </w:rPr>
              <w:tab/>
            </w:r>
            <w:r>
              <w:rPr>
                <w:noProof/>
                <w:webHidden/>
              </w:rPr>
              <w:fldChar w:fldCharType="begin"/>
            </w:r>
            <w:r>
              <w:rPr>
                <w:noProof/>
                <w:webHidden/>
              </w:rPr>
              <w:instrText xml:space="preserve"> PAGEREF _Toc212469870 \h </w:instrText>
            </w:r>
            <w:r>
              <w:rPr>
                <w:noProof/>
                <w:webHidden/>
              </w:rPr>
            </w:r>
            <w:r>
              <w:rPr>
                <w:noProof/>
                <w:webHidden/>
              </w:rPr>
              <w:fldChar w:fldCharType="separate"/>
            </w:r>
            <w:r>
              <w:rPr>
                <w:noProof/>
                <w:webHidden/>
              </w:rPr>
              <w:t>20</w:t>
            </w:r>
            <w:r>
              <w:rPr>
                <w:noProof/>
                <w:webHidden/>
              </w:rPr>
              <w:fldChar w:fldCharType="end"/>
            </w:r>
          </w:hyperlink>
        </w:p>
        <w:p w14:paraId="0365B9D7" w14:textId="6F69DC35"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71" w:history="1">
            <w:r w:rsidRPr="00F27EA5">
              <w:rPr>
                <w:rStyle w:val="Hyperlink"/>
                <w:noProof/>
              </w:rPr>
              <w:t>Safety</w:t>
            </w:r>
            <w:r>
              <w:rPr>
                <w:noProof/>
                <w:webHidden/>
              </w:rPr>
              <w:tab/>
            </w:r>
            <w:r>
              <w:rPr>
                <w:noProof/>
                <w:webHidden/>
              </w:rPr>
              <w:fldChar w:fldCharType="begin"/>
            </w:r>
            <w:r>
              <w:rPr>
                <w:noProof/>
                <w:webHidden/>
              </w:rPr>
              <w:instrText xml:space="preserve"> PAGEREF _Toc212469871 \h </w:instrText>
            </w:r>
            <w:r>
              <w:rPr>
                <w:noProof/>
                <w:webHidden/>
              </w:rPr>
            </w:r>
            <w:r>
              <w:rPr>
                <w:noProof/>
                <w:webHidden/>
              </w:rPr>
              <w:fldChar w:fldCharType="separate"/>
            </w:r>
            <w:r>
              <w:rPr>
                <w:noProof/>
                <w:webHidden/>
              </w:rPr>
              <w:t>26</w:t>
            </w:r>
            <w:r>
              <w:rPr>
                <w:noProof/>
                <w:webHidden/>
              </w:rPr>
              <w:fldChar w:fldCharType="end"/>
            </w:r>
          </w:hyperlink>
        </w:p>
        <w:p w14:paraId="70971E68" w14:textId="4F43CEB4"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72" w:history="1">
            <w:r w:rsidRPr="00F27EA5">
              <w:rPr>
                <w:rStyle w:val="Hyperlink"/>
                <w:noProof/>
                <w:lang w:eastAsia="en-AU"/>
              </w:rPr>
              <w:t>Risk management plan evaluation</w:t>
            </w:r>
            <w:r>
              <w:rPr>
                <w:noProof/>
                <w:webHidden/>
              </w:rPr>
              <w:tab/>
            </w:r>
            <w:r>
              <w:rPr>
                <w:noProof/>
                <w:webHidden/>
              </w:rPr>
              <w:fldChar w:fldCharType="begin"/>
            </w:r>
            <w:r>
              <w:rPr>
                <w:noProof/>
                <w:webHidden/>
              </w:rPr>
              <w:instrText xml:space="preserve"> PAGEREF _Toc212469872 \h </w:instrText>
            </w:r>
            <w:r>
              <w:rPr>
                <w:noProof/>
                <w:webHidden/>
              </w:rPr>
            </w:r>
            <w:r>
              <w:rPr>
                <w:noProof/>
                <w:webHidden/>
              </w:rPr>
              <w:fldChar w:fldCharType="separate"/>
            </w:r>
            <w:r>
              <w:rPr>
                <w:noProof/>
                <w:webHidden/>
              </w:rPr>
              <w:t>36</w:t>
            </w:r>
            <w:r>
              <w:rPr>
                <w:noProof/>
                <w:webHidden/>
              </w:rPr>
              <w:fldChar w:fldCharType="end"/>
            </w:r>
          </w:hyperlink>
        </w:p>
        <w:p w14:paraId="7076698C" w14:textId="60B61CA5"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73" w:history="1">
            <w:r w:rsidRPr="00F27EA5">
              <w:rPr>
                <w:rStyle w:val="Hyperlink"/>
                <w:noProof/>
              </w:rPr>
              <w:t>Risk-benefit analysis</w:t>
            </w:r>
            <w:r>
              <w:rPr>
                <w:noProof/>
                <w:webHidden/>
              </w:rPr>
              <w:tab/>
            </w:r>
            <w:r>
              <w:rPr>
                <w:noProof/>
                <w:webHidden/>
              </w:rPr>
              <w:fldChar w:fldCharType="begin"/>
            </w:r>
            <w:r>
              <w:rPr>
                <w:noProof/>
                <w:webHidden/>
              </w:rPr>
              <w:instrText xml:space="preserve"> PAGEREF _Toc212469873 \h </w:instrText>
            </w:r>
            <w:r>
              <w:rPr>
                <w:noProof/>
                <w:webHidden/>
              </w:rPr>
            </w:r>
            <w:r>
              <w:rPr>
                <w:noProof/>
                <w:webHidden/>
              </w:rPr>
              <w:fldChar w:fldCharType="separate"/>
            </w:r>
            <w:r>
              <w:rPr>
                <w:noProof/>
                <w:webHidden/>
              </w:rPr>
              <w:t>37</w:t>
            </w:r>
            <w:r>
              <w:rPr>
                <w:noProof/>
                <w:webHidden/>
              </w:rPr>
              <w:fldChar w:fldCharType="end"/>
            </w:r>
          </w:hyperlink>
        </w:p>
        <w:p w14:paraId="09BC241D" w14:textId="5419CCFF"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74" w:history="1">
            <w:r w:rsidRPr="00F27EA5">
              <w:rPr>
                <w:rStyle w:val="Hyperlink"/>
                <w:noProof/>
              </w:rPr>
              <w:t>Delegate’s considerations</w:t>
            </w:r>
            <w:r>
              <w:rPr>
                <w:noProof/>
                <w:webHidden/>
              </w:rPr>
              <w:tab/>
            </w:r>
            <w:r>
              <w:rPr>
                <w:noProof/>
                <w:webHidden/>
              </w:rPr>
              <w:fldChar w:fldCharType="begin"/>
            </w:r>
            <w:r>
              <w:rPr>
                <w:noProof/>
                <w:webHidden/>
              </w:rPr>
              <w:instrText xml:space="preserve"> PAGEREF _Toc212469874 \h </w:instrText>
            </w:r>
            <w:r>
              <w:rPr>
                <w:noProof/>
                <w:webHidden/>
              </w:rPr>
            </w:r>
            <w:r>
              <w:rPr>
                <w:noProof/>
                <w:webHidden/>
              </w:rPr>
              <w:fldChar w:fldCharType="separate"/>
            </w:r>
            <w:r>
              <w:rPr>
                <w:noProof/>
                <w:webHidden/>
              </w:rPr>
              <w:t>37</w:t>
            </w:r>
            <w:r>
              <w:rPr>
                <w:noProof/>
                <w:webHidden/>
              </w:rPr>
              <w:fldChar w:fldCharType="end"/>
            </w:r>
          </w:hyperlink>
        </w:p>
        <w:p w14:paraId="11C21094" w14:textId="59AC8D32" w:rsidR="00373326" w:rsidRDefault="0037332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2469875" w:history="1">
            <w:r w:rsidRPr="00F27EA5">
              <w:rPr>
                <w:rStyle w:val="Hyperlink"/>
                <w:noProof/>
              </w:rPr>
              <w:t>Advisory Committee considerations</w:t>
            </w:r>
            <w:r>
              <w:rPr>
                <w:noProof/>
                <w:webHidden/>
              </w:rPr>
              <w:tab/>
            </w:r>
            <w:r>
              <w:rPr>
                <w:noProof/>
                <w:webHidden/>
              </w:rPr>
              <w:fldChar w:fldCharType="begin"/>
            </w:r>
            <w:r>
              <w:rPr>
                <w:noProof/>
                <w:webHidden/>
              </w:rPr>
              <w:instrText xml:space="preserve"> PAGEREF _Toc212469875 \h </w:instrText>
            </w:r>
            <w:r>
              <w:rPr>
                <w:noProof/>
                <w:webHidden/>
              </w:rPr>
            </w:r>
            <w:r>
              <w:rPr>
                <w:noProof/>
                <w:webHidden/>
              </w:rPr>
              <w:fldChar w:fldCharType="separate"/>
            </w:r>
            <w:r>
              <w:rPr>
                <w:noProof/>
                <w:webHidden/>
              </w:rPr>
              <w:t>40</w:t>
            </w:r>
            <w:r>
              <w:rPr>
                <w:noProof/>
                <w:webHidden/>
              </w:rPr>
              <w:fldChar w:fldCharType="end"/>
            </w:r>
          </w:hyperlink>
        </w:p>
        <w:p w14:paraId="5D02BF67" w14:textId="7A087782" w:rsidR="00373326" w:rsidRDefault="0037332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2469876" w:history="1">
            <w:r w:rsidRPr="00F27EA5">
              <w:rPr>
                <w:rStyle w:val="Hyperlink"/>
                <w:noProof/>
              </w:rPr>
              <w:t>Assessment outcome</w:t>
            </w:r>
            <w:r>
              <w:rPr>
                <w:noProof/>
                <w:webHidden/>
              </w:rPr>
              <w:tab/>
            </w:r>
            <w:r>
              <w:rPr>
                <w:noProof/>
                <w:webHidden/>
              </w:rPr>
              <w:fldChar w:fldCharType="begin"/>
            </w:r>
            <w:r>
              <w:rPr>
                <w:noProof/>
                <w:webHidden/>
              </w:rPr>
              <w:instrText xml:space="preserve"> PAGEREF _Toc212469876 \h </w:instrText>
            </w:r>
            <w:r>
              <w:rPr>
                <w:noProof/>
                <w:webHidden/>
              </w:rPr>
            </w:r>
            <w:r>
              <w:rPr>
                <w:noProof/>
                <w:webHidden/>
              </w:rPr>
              <w:fldChar w:fldCharType="separate"/>
            </w:r>
            <w:r>
              <w:rPr>
                <w:noProof/>
                <w:webHidden/>
              </w:rPr>
              <w:t>41</w:t>
            </w:r>
            <w:r>
              <w:rPr>
                <w:noProof/>
                <w:webHidden/>
              </w:rPr>
              <w:fldChar w:fldCharType="end"/>
            </w:r>
          </w:hyperlink>
        </w:p>
        <w:p w14:paraId="4D75B0C1" w14:textId="22AF2012"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77" w:history="1">
            <w:r w:rsidRPr="00F27EA5">
              <w:rPr>
                <w:rStyle w:val="Hyperlink"/>
                <w:noProof/>
              </w:rPr>
              <w:t>Specific conditions of registration</w:t>
            </w:r>
            <w:r>
              <w:rPr>
                <w:noProof/>
                <w:webHidden/>
              </w:rPr>
              <w:tab/>
            </w:r>
            <w:r>
              <w:rPr>
                <w:noProof/>
                <w:webHidden/>
              </w:rPr>
              <w:fldChar w:fldCharType="begin"/>
            </w:r>
            <w:r>
              <w:rPr>
                <w:noProof/>
                <w:webHidden/>
              </w:rPr>
              <w:instrText xml:space="preserve"> PAGEREF _Toc212469877 \h </w:instrText>
            </w:r>
            <w:r>
              <w:rPr>
                <w:noProof/>
                <w:webHidden/>
              </w:rPr>
            </w:r>
            <w:r>
              <w:rPr>
                <w:noProof/>
                <w:webHidden/>
              </w:rPr>
              <w:fldChar w:fldCharType="separate"/>
            </w:r>
            <w:r>
              <w:rPr>
                <w:noProof/>
                <w:webHidden/>
              </w:rPr>
              <w:t>41</w:t>
            </w:r>
            <w:r>
              <w:rPr>
                <w:noProof/>
                <w:webHidden/>
              </w:rPr>
              <w:fldChar w:fldCharType="end"/>
            </w:r>
          </w:hyperlink>
        </w:p>
        <w:p w14:paraId="370AA9E4" w14:textId="21CC57E4" w:rsidR="00373326" w:rsidRDefault="0037332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2469878" w:history="1">
            <w:r w:rsidRPr="00F27EA5">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_Toc212469878 \h </w:instrText>
            </w:r>
            <w:r>
              <w:rPr>
                <w:noProof/>
                <w:webHidden/>
              </w:rPr>
            </w:r>
            <w:r>
              <w:rPr>
                <w:noProof/>
                <w:webHidden/>
              </w:rPr>
              <w:fldChar w:fldCharType="separate"/>
            </w:r>
            <w:r>
              <w:rPr>
                <w:noProof/>
                <w:webHidden/>
              </w:rPr>
              <w:t>42</w:t>
            </w:r>
            <w:r>
              <w:rPr>
                <w:noProof/>
                <w:webHidden/>
              </w:rPr>
              <w:fldChar w:fldCharType="end"/>
            </w:r>
          </w:hyperlink>
        </w:p>
        <w:p w14:paraId="77659F2D" w14:textId="2F24582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3" w:name="_Toc98931917"/>
      <w:bookmarkStart w:id="4" w:name="_Toc103679287"/>
      <w:bookmarkStart w:id="5" w:name="_Toc212469854"/>
      <w:bookmarkStart w:id="6" w:name="_Toc323739589"/>
      <w:bookmarkStart w:id="7" w:name="_Toc356305216"/>
      <w:r>
        <w:lastRenderedPageBreak/>
        <w:t>List of abbreviations</w:t>
      </w:r>
      <w:bookmarkEnd w:id="3"/>
      <w:bookmarkEnd w:id="4"/>
      <w:bookmarkEnd w:id="5"/>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330DB0" w:rsidRPr="00D01DDB" w14:paraId="5F77F8C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FE2040" w14:textId="6C61BCE2" w:rsidR="00330DB0" w:rsidRPr="00D01DDB" w:rsidRDefault="00330DB0" w:rsidP="00324B33">
            <w:pPr>
              <w:rPr>
                <w:szCs w:val="22"/>
              </w:rPr>
            </w:pPr>
            <w:r w:rsidRPr="00330DB0">
              <w:rPr>
                <w:szCs w:val="22"/>
              </w:rPr>
              <w:t>ADA</w:t>
            </w:r>
          </w:p>
        </w:tc>
        <w:tc>
          <w:tcPr>
            <w:tcW w:w="3800" w:type="pct"/>
          </w:tcPr>
          <w:p w14:paraId="14280C99" w14:textId="3C7C6FE0" w:rsidR="00330DB0" w:rsidRPr="00D01DDB" w:rsidRDefault="0084591D" w:rsidP="00324B33">
            <w:pPr>
              <w:cnfStyle w:val="000000000000" w:firstRow="0" w:lastRow="0" w:firstColumn="0" w:lastColumn="0" w:oddVBand="0" w:evenVBand="0" w:oddHBand="0" w:evenHBand="0" w:firstRowFirstColumn="0" w:firstRowLastColumn="0" w:lastRowFirstColumn="0" w:lastRowLastColumn="0"/>
              <w:rPr>
                <w:szCs w:val="22"/>
              </w:rPr>
            </w:pPr>
            <w:r w:rsidRPr="0084591D">
              <w:rPr>
                <w:szCs w:val="22"/>
              </w:rPr>
              <w:t>Antidrug antibody</w:t>
            </w:r>
          </w:p>
        </w:tc>
      </w:tr>
      <w:tr w:rsidR="00CC4994" w:rsidRPr="00D01DDB" w14:paraId="094497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B949AB" w14:textId="546B6C90" w:rsidR="00CC4994" w:rsidRPr="00330DB0" w:rsidRDefault="00CC4994" w:rsidP="00324B33">
            <w:pPr>
              <w:rPr>
                <w:szCs w:val="22"/>
              </w:rPr>
            </w:pPr>
            <w:r>
              <w:rPr>
                <w:szCs w:val="22"/>
              </w:rPr>
              <w:t>AES</w:t>
            </w:r>
            <w:r w:rsidR="00F17175">
              <w:rPr>
                <w:szCs w:val="22"/>
              </w:rPr>
              <w:t>I</w:t>
            </w:r>
          </w:p>
        </w:tc>
        <w:tc>
          <w:tcPr>
            <w:tcW w:w="3800" w:type="pct"/>
          </w:tcPr>
          <w:p w14:paraId="074BFD64" w14:textId="4BAFE737" w:rsidR="00CC4994" w:rsidRPr="0084591D" w:rsidRDefault="00A81379" w:rsidP="00324B33">
            <w:pPr>
              <w:cnfStyle w:val="000000000000" w:firstRow="0" w:lastRow="0" w:firstColumn="0" w:lastColumn="0" w:oddVBand="0" w:evenVBand="0" w:oddHBand="0" w:evenHBand="0" w:firstRowFirstColumn="0" w:firstRowLastColumn="0" w:lastRowFirstColumn="0" w:lastRowLastColumn="0"/>
              <w:rPr>
                <w:szCs w:val="22"/>
              </w:rPr>
            </w:pPr>
            <w:r w:rsidRPr="00A81379">
              <w:rPr>
                <w:szCs w:val="22"/>
              </w:rPr>
              <w:t>Adverse event of special interest</w:t>
            </w:r>
          </w:p>
        </w:tc>
      </w:tr>
      <w:tr w:rsidR="00E13211" w:rsidRPr="00D01DDB" w14:paraId="7C3493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062E40" w14:textId="08BC9E15" w:rsidR="00E13211" w:rsidRPr="00D01DDB" w:rsidRDefault="00E13211" w:rsidP="00324B33">
            <w:pPr>
              <w:rPr>
                <w:szCs w:val="22"/>
              </w:rPr>
            </w:pPr>
            <w:r w:rsidRPr="00E13211">
              <w:rPr>
                <w:szCs w:val="22"/>
              </w:rPr>
              <w:t>ANCOVA</w:t>
            </w:r>
          </w:p>
        </w:tc>
        <w:tc>
          <w:tcPr>
            <w:tcW w:w="3800" w:type="pct"/>
          </w:tcPr>
          <w:p w14:paraId="44293720" w14:textId="0CACA243" w:rsidR="00E13211" w:rsidRPr="00D01DDB" w:rsidRDefault="0034341A" w:rsidP="00324B33">
            <w:pPr>
              <w:cnfStyle w:val="000000000000" w:firstRow="0" w:lastRow="0" w:firstColumn="0" w:lastColumn="0" w:oddVBand="0" w:evenVBand="0" w:oddHBand="0" w:evenHBand="0" w:firstRowFirstColumn="0" w:firstRowLastColumn="0" w:lastRowFirstColumn="0" w:lastRowLastColumn="0"/>
              <w:rPr>
                <w:szCs w:val="22"/>
              </w:rPr>
            </w:pPr>
            <w:r w:rsidRPr="0034341A">
              <w:rPr>
                <w:szCs w:val="22"/>
              </w:rPr>
              <w:t>Analysis of covariance</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D6299C" w:rsidRPr="00D01DDB" w14:paraId="2C9838C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4CDBC6" w14:textId="08D7D67F" w:rsidR="00D6299C" w:rsidRPr="00D01DDB" w:rsidRDefault="00D6299C" w:rsidP="00324B33">
            <w:pPr>
              <w:rPr>
                <w:szCs w:val="22"/>
              </w:rPr>
            </w:pPr>
            <w:r w:rsidRPr="00D6299C">
              <w:rPr>
                <w:szCs w:val="22"/>
              </w:rPr>
              <w:t>AUC</w:t>
            </w:r>
            <w:r w:rsidRPr="00D6299C">
              <w:rPr>
                <w:szCs w:val="22"/>
                <w:vertAlign w:val="subscript"/>
              </w:rPr>
              <w:t>0-inf</w:t>
            </w:r>
          </w:p>
        </w:tc>
        <w:tc>
          <w:tcPr>
            <w:tcW w:w="3800" w:type="pct"/>
          </w:tcPr>
          <w:p w14:paraId="73981631" w14:textId="74F3C500" w:rsidR="00D6299C" w:rsidRPr="00D01DDB" w:rsidRDefault="003A35AC" w:rsidP="00324B33">
            <w:pPr>
              <w:cnfStyle w:val="000000000000" w:firstRow="0" w:lastRow="0" w:firstColumn="0" w:lastColumn="0" w:oddVBand="0" w:evenVBand="0" w:oddHBand="0" w:evenHBand="0" w:firstRowFirstColumn="0" w:firstRowLastColumn="0" w:lastRowFirstColumn="0" w:lastRowLastColumn="0"/>
              <w:rPr>
                <w:szCs w:val="22"/>
              </w:rPr>
            </w:pPr>
            <w:r w:rsidRPr="003A35AC">
              <w:rPr>
                <w:szCs w:val="22"/>
              </w:rPr>
              <w:t>Area under the concentration time curve from time zero to infinity</w:t>
            </w:r>
          </w:p>
        </w:tc>
      </w:tr>
      <w:tr w:rsidR="00405AFB" w:rsidRPr="00D01DDB" w14:paraId="5DD0FF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563C14" w14:textId="35D7972F" w:rsidR="00405AFB" w:rsidRPr="00D6299C" w:rsidRDefault="00405AFB" w:rsidP="00324B33">
            <w:pPr>
              <w:rPr>
                <w:szCs w:val="22"/>
              </w:rPr>
            </w:pPr>
            <w:r w:rsidRPr="00405AFB">
              <w:rPr>
                <w:szCs w:val="22"/>
              </w:rPr>
              <w:t>AUC</w:t>
            </w:r>
            <w:r w:rsidRPr="00405AFB">
              <w:rPr>
                <w:szCs w:val="22"/>
                <w:vertAlign w:val="subscript"/>
              </w:rPr>
              <w:t>0-t</w:t>
            </w:r>
          </w:p>
        </w:tc>
        <w:tc>
          <w:tcPr>
            <w:tcW w:w="3800" w:type="pct"/>
          </w:tcPr>
          <w:p w14:paraId="254B88EF" w14:textId="5520D758" w:rsidR="00405AFB" w:rsidRPr="003A35AC" w:rsidRDefault="00534EF8" w:rsidP="00324B33">
            <w:pPr>
              <w:cnfStyle w:val="000000000000" w:firstRow="0" w:lastRow="0" w:firstColumn="0" w:lastColumn="0" w:oddVBand="0" w:evenVBand="0" w:oddHBand="0" w:evenHBand="0" w:firstRowFirstColumn="0" w:firstRowLastColumn="0" w:lastRowFirstColumn="0" w:lastRowLastColumn="0"/>
              <w:rPr>
                <w:szCs w:val="22"/>
              </w:rPr>
            </w:pPr>
            <w:r w:rsidRPr="00534EF8">
              <w:rPr>
                <w:szCs w:val="22"/>
              </w:rPr>
              <w:t>Area under concentration-time curve from time zero to the time of last measurable concentration</w:t>
            </w:r>
          </w:p>
        </w:tc>
      </w:tr>
      <w:tr w:rsidR="00EA0D1E" w:rsidRPr="00D01DDB" w14:paraId="1F6286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302196" w14:textId="5E6E093D" w:rsidR="00EA0D1E" w:rsidRPr="00D6299C" w:rsidRDefault="00EA0D1E" w:rsidP="00324B33">
            <w:pPr>
              <w:rPr>
                <w:szCs w:val="22"/>
              </w:rPr>
            </w:pPr>
            <w:r>
              <w:rPr>
                <w:szCs w:val="22"/>
              </w:rPr>
              <w:t>BMI</w:t>
            </w:r>
          </w:p>
        </w:tc>
        <w:tc>
          <w:tcPr>
            <w:tcW w:w="3800" w:type="pct"/>
          </w:tcPr>
          <w:p w14:paraId="28855D8C" w14:textId="55052653" w:rsidR="00EA0D1E" w:rsidRPr="00D01DDB" w:rsidRDefault="00534EF8" w:rsidP="00324B33">
            <w:pPr>
              <w:cnfStyle w:val="000000000000" w:firstRow="0" w:lastRow="0" w:firstColumn="0" w:lastColumn="0" w:oddVBand="0" w:evenVBand="0" w:oddHBand="0" w:evenHBand="0" w:firstRowFirstColumn="0" w:firstRowLastColumn="0" w:lastRowFirstColumn="0" w:lastRowLastColumn="0"/>
              <w:rPr>
                <w:szCs w:val="22"/>
              </w:rPr>
            </w:pPr>
            <w:r w:rsidRPr="00534EF8">
              <w:rPr>
                <w:szCs w:val="22"/>
              </w:rPr>
              <w:t>Body mass index</w:t>
            </w:r>
          </w:p>
        </w:tc>
      </w:tr>
      <w:tr w:rsidR="00A56842" w:rsidRPr="00D01DDB" w14:paraId="480003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8B9798" w14:textId="40274E4A" w:rsidR="00A56842" w:rsidRDefault="00A56842" w:rsidP="00324B33">
            <w:pPr>
              <w:rPr>
                <w:szCs w:val="22"/>
              </w:rPr>
            </w:pPr>
            <w:r>
              <w:rPr>
                <w:szCs w:val="22"/>
              </w:rPr>
              <w:t>BSA</w:t>
            </w:r>
          </w:p>
        </w:tc>
        <w:tc>
          <w:tcPr>
            <w:tcW w:w="3800" w:type="pct"/>
          </w:tcPr>
          <w:p w14:paraId="07439D8E" w14:textId="137F2D10" w:rsidR="00A56842" w:rsidRPr="00D01DDB" w:rsidRDefault="002353C1" w:rsidP="00324B33">
            <w:pPr>
              <w:cnfStyle w:val="000000000000" w:firstRow="0" w:lastRow="0" w:firstColumn="0" w:lastColumn="0" w:oddVBand="0" w:evenVBand="0" w:oddHBand="0" w:evenHBand="0" w:firstRowFirstColumn="0" w:firstRowLastColumn="0" w:lastRowFirstColumn="0" w:lastRowLastColumn="0"/>
              <w:rPr>
                <w:szCs w:val="22"/>
              </w:rPr>
            </w:pPr>
            <w:r w:rsidRPr="002353C1">
              <w:rPr>
                <w:szCs w:val="22"/>
              </w:rPr>
              <w:t>Body surface area</w:t>
            </w:r>
          </w:p>
        </w:tc>
      </w:tr>
      <w:tr w:rsidR="00AF0AA4" w:rsidRPr="00D01DDB" w14:paraId="523369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A6D260" w14:textId="57734AA0" w:rsidR="00AF0AA4" w:rsidRPr="00D01DDB" w:rsidRDefault="00AF0AA4" w:rsidP="00324B33">
            <w:pPr>
              <w:rPr>
                <w:szCs w:val="22"/>
              </w:rPr>
            </w:pPr>
            <w:r>
              <w:rPr>
                <w:szCs w:val="22"/>
              </w:rPr>
              <w:t>CD</w:t>
            </w:r>
          </w:p>
        </w:tc>
        <w:tc>
          <w:tcPr>
            <w:tcW w:w="3800" w:type="pct"/>
          </w:tcPr>
          <w:p w14:paraId="67E18836" w14:textId="6ADF2543" w:rsidR="00AF0AA4" w:rsidRPr="00D01DDB" w:rsidRDefault="00AF0AA4" w:rsidP="00324B33">
            <w:pPr>
              <w:cnfStyle w:val="000000000000" w:firstRow="0" w:lastRow="0" w:firstColumn="0" w:lastColumn="0" w:oddVBand="0" w:evenVBand="0" w:oddHBand="0" w:evenHBand="0" w:firstRowFirstColumn="0" w:firstRowLastColumn="0" w:lastRowFirstColumn="0" w:lastRowLastColumn="0"/>
              <w:rPr>
                <w:szCs w:val="22"/>
              </w:rPr>
            </w:pPr>
            <w:r w:rsidRPr="00AF0AA4">
              <w:rPr>
                <w:szCs w:val="22"/>
              </w:rPr>
              <w:t>Crohn’s disease</w:t>
            </w:r>
          </w:p>
        </w:tc>
      </w:tr>
      <w:tr w:rsidR="00925985" w:rsidRPr="00D01DDB" w14:paraId="6D839A8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F82B6B" w14:textId="1265EEAE" w:rsidR="00925985" w:rsidRDefault="0049467F" w:rsidP="00324B33">
            <w:pPr>
              <w:rPr>
                <w:szCs w:val="22"/>
              </w:rPr>
            </w:pPr>
            <w:r>
              <w:rPr>
                <w:szCs w:val="22"/>
              </w:rPr>
              <w:t>CI(s)</w:t>
            </w:r>
          </w:p>
        </w:tc>
        <w:tc>
          <w:tcPr>
            <w:tcW w:w="3800" w:type="pct"/>
          </w:tcPr>
          <w:p w14:paraId="4AA66BD5" w14:textId="03F3CA1E" w:rsidR="00925985" w:rsidRPr="00AF0AA4" w:rsidRDefault="004946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interval(s)</w:t>
            </w:r>
          </w:p>
        </w:tc>
      </w:tr>
      <w:tr w:rsidR="00A2219C" w:rsidRPr="00D01DDB" w14:paraId="6570B08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10B30D" w14:textId="2F308308" w:rsidR="00A2219C" w:rsidRPr="00D01DDB" w:rsidRDefault="00A2219C" w:rsidP="00324B33">
            <w:pPr>
              <w:rPr>
                <w:szCs w:val="22"/>
              </w:rPr>
            </w:pPr>
            <w:r w:rsidRPr="00A2219C">
              <w:rPr>
                <w:szCs w:val="22"/>
              </w:rPr>
              <w:t>C</w:t>
            </w:r>
            <w:r w:rsidRPr="00A2219C">
              <w:rPr>
                <w:szCs w:val="22"/>
                <w:vertAlign w:val="subscript"/>
              </w:rPr>
              <w:t>max</w:t>
            </w:r>
          </w:p>
        </w:tc>
        <w:tc>
          <w:tcPr>
            <w:tcW w:w="3800" w:type="pct"/>
          </w:tcPr>
          <w:p w14:paraId="3DB1B4C5" w14:textId="4060324F" w:rsidR="00A2219C" w:rsidRPr="00D01DDB" w:rsidRDefault="002353C1" w:rsidP="00324B33">
            <w:pPr>
              <w:cnfStyle w:val="000000000000" w:firstRow="0" w:lastRow="0" w:firstColumn="0" w:lastColumn="0" w:oddVBand="0" w:evenVBand="0" w:oddHBand="0" w:evenHBand="0" w:firstRowFirstColumn="0" w:firstRowLastColumn="0" w:lastRowFirstColumn="0" w:lastRowLastColumn="0"/>
              <w:rPr>
                <w:szCs w:val="22"/>
              </w:rPr>
            </w:pPr>
            <w:r w:rsidRPr="002353C1">
              <w:rPr>
                <w:szCs w:val="22"/>
              </w:rPr>
              <w:t>Maximum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F4EAB" w:rsidRPr="00D01DDB" w14:paraId="7B5ABF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F574D" w14:textId="6428F1A4" w:rsidR="002F4EAB" w:rsidRPr="00D01DDB" w:rsidRDefault="002F4EAB" w:rsidP="00324B33">
            <w:pPr>
              <w:rPr>
                <w:szCs w:val="22"/>
              </w:rPr>
            </w:pPr>
            <w:proofErr w:type="spellStart"/>
            <w:r w:rsidRPr="002F4EAB">
              <w:rPr>
                <w:szCs w:val="22"/>
              </w:rPr>
              <w:t>C</w:t>
            </w:r>
            <w:r w:rsidRPr="002F4EAB">
              <w:rPr>
                <w:szCs w:val="22"/>
                <w:vertAlign w:val="subscript"/>
              </w:rPr>
              <w:t>trough</w:t>
            </w:r>
            <w:proofErr w:type="spellEnd"/>
          </w:p>
        </w:tc>
        <w:tc>
          <w:tcPr>
            <w:tcW w:w="3800" w:type="pct"/>
          </w:tcPr>
          <w:p w14:paraId="3DA4EE67" w14:textId="136D97E6" w:rsidR="002F4EAB" w:rsidRPr="00D01DDB" w:rsidRDefault="00002DDC" w:rsidP="00324B33">
            <w:pPr>
              <w:cnfStyle w:val="000000000000" w:firstRow="0" w:lastRow="0" w:firstColumn="0" w:lastColumn="0" w:oddVBand="0" w:evenVBand="0" w:oddHBand="0" w:evenHBand="0" w:firstRowFirstColumn="0" w:firstRowLastColumn="0" w:lastRowFirstColumn="0" w:lastRowLastColumn="0"/>
              <w:rPr>
                <w:szCs w:val="22"/>
              </w:rPr>
            </w:pPr>
            <w:r w:rsidRPr="00002DDC">
              <w:rPr>
                <w:szCs w:val="22"/>
              </w:rPr>
              <w:t>Trough concentration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7901BF" w:rsidRPr="00D01DDB" w14:paraId="5573B3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5DF231" w14:textId="21B42C87" w:rsidR="007901BF" w:rsidRPr="00D01DDB" w:rsidRDefault="007901BF" w:rsidP="00324B33">
            <w:pPr>
              <w:rPr>
                <w:szCs w:val="22"/>
              </w:rPr>
            </w:pPr>
            <w:r>
              <w:rPr>
                <w:szCs w:val="22"/>
              </w:rPr>
              <w:t>DLQI</w:t>
            </w:r>
          </w:p>
        </w:tc>
        <w:tc>
          <w:tcPr>
            <w:tcW w:w="3800" w:type="pct"/>
          </w:tcPr>
          <w:p w14:paraId="7321096E" w14:textId="181D05B8" w:rsidR="007901BF" w:rsidRPr="00D01DDB" w:rsidRDefault="007901BF" w:rsidP="00324B33">
            <w:pPr>
              <w:cnfStyle w:val="000000000000" w:firstRow="0" w:lastRow="0" w:firstColumn="0" w:lastColumn="0" w:oddVBand="0" w:evenVBand="0" w:oddHBand="0" w:evenHBand="0" w:firstRowFirstColumn="0" w:firstRowLastColumn="0" w:lastRowFirstColumn="0" w:lastRowLastColumn="0"/>
              <w:rPr>
                <w:szCs w:val="22"/>
              </w:rPr>
            </w:pPr>
            <w:r w:rsidRPr="007901BF">
              <w:rPr>
                <w:szCs w:val="22"/>
              </w:rPr>
              <w:t xml:space="preserve">Dermatology Life Quality Index </w:t>
            </w:r>
          </w:p>
        </w:tc>
      </w:tr>
      <w:tr w:rsidR="00BB0BD9" w:rsidRPr="00D01DDB" w14:paraId="7F1DD4F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A93408" w14:textId="1781D7CB" w:rsidR="00BB0BD9" w:rsidRPr="00BB0BD9" w:rsidRDefault="00BB0BD9" w:rsidP="00324B33">
            <w:pPr>
              <w:rPr>
                <w:szCs w:val="22"/>
              </w:rPr>
            </w:pPr>
            <w:r w:rsidRPr="00BB0BD9">
              <w:rPr>
                <w:szCs w:val="22"/>
                <w:lang w:val="en-US"/>
              </w:rPr>
              <w:t xml:space="preserve">DMARD </w:t>
            </w:r>
          </w:p>
        </w:tc>
        <w:tc>
          <w:tcPr>
            <w:tcW w:w="3800" w:type="pct"/>
          </w:tcPr>
          <w:p w14:paraId="783E0A4B" w14:textId="5992DFE9" w:rsidR="00BB0BD9" w:rsidRPr="00BB0BD9" w:rsidRDefault="00DB12DA" w:rsidP="00324B33">
            <w:pPr>
              <w:cnfStyle w:val="000000000000" w:firstRow="0" w:lastRow="0" w:firstColumn="0" w:lastColumn="0" w:oddVBand="0" w:evenVBand="0" w:oddHBand="0" w:evenHBand="0" w:firstRowFirstColumn="0" w:firstRowLastColumn="0" w:lastRowFirstColumn="0" w:lastRowLastColumn="0"/>
              <w:rPr>
                <w:szCs w:val="22"/>
              </w:rPr>
            </w:pPr>
            <w:r w:rsidRPr="00DB12DA">
              <w:rPr>
                <w:szCs w:val="22"/>
              </w:rPr>
              <w:t>Disease modifying antirheumatic drug</w:t>
            </w:r>
          </w:p>
        </w:tc>
      </w:tr>
      <w:tr w:rsidR="00EA0D1E" w:rsidRPr="00D01DDB" w14:paraId="5FDBB4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742ED8" w14:textId="230328C3" w:rsidR="00EA0D1E" w:rsidRPr="00D01DDB" w:rsidRDefault="00EA0D1E" w:rsidP="00324B33">
            <w:pPr>
              <w:rPr>
                <w:szCs w:val="22"/>
              </w:rPr>
            </w:pPr>
            <w:r>
              <w:rPr>
                <w:szCs w:val="22"/>
              </w:rPr>
              <w:t>ECG</w:t>
            </w:r>
          </w:p>
        </w:tc>
        <w:tc>
          <w:tcPr>
            <w:tcW w:w="3800" w:type="pct"/>
          </w:tcPr>
          <w:p w14:paraId="7B35F3ED" w14:textId="5E615BB0" w:rsidR="00EA0D1E" w:rsidRPr="00D01DDB" w:rsidRDefault="00002DDC" w:rsidP="00324B33">
            <w:pPr>
              <w:cnfStyle w:val="000000000000" w:firstRow="0" w:lastRow="0" w:firstColumn="0" w:lastColumn="0" w:oddVBand="0" w:evenVBand="0" w:oddHBand="0" w:evenHBand="0" w:firstRowFirstColumn="0" w:firstRowLastColumn="0" w:lastRowFirstColumn="0" w:lastRowLastColumn="0"/>
              <w:rPr>
                <w:szCs w:val="22"/>
              </w:rPr>
            </w:pPr>
            <w:r w:rsidRPr="00002DDC">
              <w:rPr>
                <w:szCs w:val="22"/>
              </w:rPr>
              <w:t>Electrocardiogram</w:t>
            </w:r>
          </w:p>
        </w:tc>
      </w:tr>
      <w:tr w:rsidR="0051295A" w:rsidRPr="00D01DDB" w14:paraId="13C6B7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F547F6" w14:textId="2C5B4477" w:rsidR="0051295A" w:rsidRDefault="0051295A" w:rsidP="00324B33">
            <w:pPr>
              <w:rPr>
                <w:szCs w:val="22"/>
              </w:rPr>
            </w:pPr>
            <w:r>
              <w:rPr>
                <w:szCs w:val="22"/>
              </w:rPr>
              <w:t>EMA</w:t>
            </w:r>
          </w:p>
        </w:tc>
        <w:tc>
          <w:tcPr>
            <w:tcW w:w="3800" w:type="pct"/>
          </w:tcPr>
          <w:p w14:paraId="6FD6855A" w14:textId="5BF70BDA" w:rsidR="0051295A" w:rsidRPr="00D01DDB" w:rsidRDefault="00471E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Medicines Agency</w:t>
            </w:r>
          </w:p>
        </w:tc>
      </w:tr>
      <w:tr w:rsidR="00C45863" w:rsidRPr="00D01DDB" w14:paraId="623DC5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0B2513" w14:textId="1243E5AE" w:rsidR="00C45863" w:rsidRDefault="00C45863" w:rsidP="00324B33">
            <w:pPr>
              <w:rPr>
                <w:szCs w:val="22"/>
              </w:rPr>
            </w:pPr>
            <w:proofErr w:type="spellStart"/>
            <w:r>
              <w:rPr>
                <w:szCs w:val="22"/>
              </w:rPr>
              <w:t>EoS</w:t>
            </w:r>
            <w:proofErr w:type="spellEnd"/>
          </w:p>
        </w:tc>
        <w:tc>
          <w:tcPr>
            <w:tcW w:w="3800" w:type="pct"/>
          </w:tcPr>
          <w:p w14:paraId="659A0EFC" w14:textId="67D110A0" w:rsidR="00C45863" w:rsidRDefault="00C4586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End of study</w:t>
            </w:r>
          </w:p>
        </w:tc>
      </w:tr>
      <w:tr w:rsidR="00A07390" w:rsidRPr="00D01DDB" w14:paraId="3C674A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BC12EB" w14:textId="79ED5674" w:rsidR="00A07390" w:rsidRDefault="00A07390" w:rsidP="00324B33">
            <w:pPr>
              <w:rPr>
                <w:szCs w:val="22"/>
              </w:rPr>
            </w:pPr>
            <w:r>
              <w:rPr>
                <w:szCs w:val="22"/>
              </w:rPr>
              <w:t>EU</w:t>
            </w:r>
          </w:p>
        </w:tc>
        <w:tc>
          <w:tcPr>
            <w:tcW w:w="3800" w:type="pct"/>
          </w:tcPr>
          <w:p w14:paraId="532E906B" w14:textId="36583128" w:rsidR="00A07390" w:rsidRPr="00D01DDB" w:rsidRDefault="00471E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8305C0" w:rsidRPr="00D01DDB" w14:paraId="0998C4F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F2C4AA" w14:textId="6252A015" w:rsidR="008305C0" w:rsidRDefault="008305C0" w:rsidP="00324B33">
            <w:pPr>
              <w:rPr>
                <w:szCs w:val="22"/>
              </w:rPr>
            </w:pPr>
            <w:r>
              <w:rPr>
                <w:szCs w:val="22"/>
              </w:rPr>
              <w:t>FDA</w:t>
            </w:r>
          </w:p>
        </w:tc>
        <w:tc>
          <w:tcPr>
            <w:tcW w:w="3800" w:type="pct"/>
          </w:tcPr>
          <w:p w14:paraId="616F6594" w14:textId="4F2F9EC6" w:rsidR="008305C0" w:rsidRPr="00D01DDB" w:rsidRDefault="00BB0195" w:rsidP="00324B33">
            <w:pPr>
              <w:cnfStyle w:val="000000000000" w:firstRow="0" w:lastRow="0" w:firstColumn="0" w:lastColumn="0" w:oddVBand="0" w:evenVBand="0" w:oddHBand="0" w:evenHBand="0" w:firstRowFirstColumn="0" w:firstRowLastColumn="0" w:lastRowFirstColumn="0" w:lastRowLastColumn="0"/>
              <w:rPr>
                <w:szCs w:val="22"/>
              </w:rPr>
            </w:pPr>
            <w:r w:rsidRPr="00BB0195">
              <w:rPr>
                <w:szCs w:val="22"/>
              </w:rPr>
              <w:t>Food and Drug Administration (United States of America)</w:t>
            </w:r>
          </w:p>
        </w:tc>
      </w:tr>
      <w:tr w:rsidR="0049467F" w:rsidRPr="00D01DDB" w14:paraId="2017BC6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8D48EC" w14:textId="6FDAE311" w:rsidR="0049467F" w:rsidRPr="00D01DDB" w:rsidRDefault="0049467F" w:rsidP="00324B33">
            <w:pPr>
              <w:rPr>
                <w:szCs w:val="22"/>
              </w:rPr>
            </w:pPr>
            <w:r>
              <w:rPr>
                <w:szCs w:val="22"/>
              </w:rPr>
              <w:t>GMR</w:t>
            </w:r>
            <w:r w:rsidR="00EB0888">
              <w:rPr>
                <w:szCs w:val="22"/>
              </w:rPr>
              <w:t>s</w:t>
            </w:r>
          </w:p>
        </w:tc>
        <w:tc>
          <w:tcPr>
            <w:tcW w:w="3800" w:type="pct"/>
          </w:tcPr>
          <w:p w14:paraId="59334CD7" w14:textId="72A89D23" w:rsidR="0049467F" w:rsidRPr="00D01DDB" w:rsidRDefault="004946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w:t>
            </w:r>
            <w:r w:rsidRPr="0049467F">
              <w:rPr>
                <w:szCs w:val="22"/>
              </w:rPr>
              <w:t>eometric mean ratios</w:t>
            </w:r>
          </w:p>
        </w:tc>
      </w:tr>
      <w:tr w:rsidR="002B0EC0" w:rsidRPr="00D01DDB" w14:paraId="7427510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166CC" w14:textId="5500399C" w:rsidR="002B0EC0" w:rsidRDefault="002B0EC0" w:rsidP="00324B33">
            <w:pPr>
              <w:rPr>
                <w:szCs w:val="22"/>
              </w:rPr>
            </w:pPr>
            <w:r>
              <w:rPr>
                <w:szCs w:val="22"/>
              </w:rPr>
              <w:t>HIV</w:t>
            </w:r>
          </w:p>
        </w:tc>
        <w:tc>
          <w:tcPr>
            <w:tcW w:w="3800" w:type="pct"/>
          </w:tcPr>
          <w:p w14:paraId="7C41675D" w14:textId="704B056E" w:rsidR="002B0EC0" w:rsidRDefault="002B0EC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2B0EC0">
              <w:rPr>
                <w:szCs w:val="22"/>
              </w:rPr>
              <w:t xml:space="preserve">uman immunodeficiency virus </w:t>
            </w:r>
          </w:p>
        </w:tc>
      </w:tr>
      <w:tr w:rsidR="00B607EB" w:rsidRPr="00D01DDB" w14:paraId="6758E48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2BDB74" w14:textId="6AC5B347" w:rsidR="00B607EB" w:rsidRDefault="00B607EB" w:rsidP="00324B33">
            <w:pPr>
              <w:rPr>
                <w:szCs w:val="22"/>
              </w:rPr>
            </w:pPr>
            <w:r w:rsidRPr="00B607EB">
              <w:rPr>
                <w:szCs w:val="22"/>
              </w:rPr>
              <w:t xml:space="preserve">IL-12 </w:t>
            </w:r>
          </w:p>
        </w:tc>
        <w:tc>
          <w:tcPr>
            <w:tcW w:w="3800" w:type="pct"/>
          </w:tcPr>
          <w:p w14:paraId="088EBF98" w14:textId="6E723B59" w:rsidR="00B607EB" w:rsidRDefault="009F7F4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Interleukin 12</w:t>
            </w:r>
          </w:p>
        </w:tc>
      </w:tr>
      <w:tr w:rsidR="00B607EB" w:rsidRPr="00D01DDB" w14:paraId="221F89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634D71" w14:textId="509ADCB5" w:rsidR="00B607EB" w:rsidRDefault="000C4CCD" w:rsidP="00B607EB">
            <w:pPr>
              <w:ind w:left="0"/>
              <w:rPr>
                <w:szCs w:val="22"/>
              </w:rPr>
            </w:pPr>
            <w:r>
              <w:rPr>
                <w:szCs w:val="22"/>
              </w:rPr>
              <w:t xml:space="preserve"> </w:t>
            </w:r>
            <w:r w:rsidR="00B607EB" w:rsidRPr="00B607EB">
              <w:rPr>
                <w:szCs w:val="22"/>
              </w:rPr>
              <w:t>IL-23</w:t>
            </w:r>
          </w:p>
        </w:tc>
        <w:tc>
          <w:tcPr>
            <w:tcW w:w="3800" w:type="pct"/>
          </w:tcPr>
          <w:p w14:paraId="569EB8AC" w14:textId="520ACAAF" w:rsidR="00B607EB" w:rsidRDefault="009F7F4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Interleukin 23</w:t>
            </w:r>
          </w:p>
        </w:tc>
      </w:tr>
      <w:tr w:rsidR="00081276" w:rsidRPr="00D01DDB" w14:paraId="5C1337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ADB124" w14:textId="3D386CDB" w:rsidR="00081276" w:rsidRDefault="00081276" w:rsidP="00324B33">
            <w:pPr>
              <w:rPr>
                <w:szCs w:val="22"/>
              </w:rPr>
            </w:pPr>
            <w:r>
              <w:rPr>
                <w:szCs w:val="22"/>
              </w:rPr>
              <w:t>ISRs</w:t>
            </w:r>
          </w:p>
        </w:tc>
        <w:tc>
          <w:tcPr>
            <w:tcW w:w="3800" w:type="pct"/>
          </w:tcPr>
          <w:p w14:paraId="2E71BAAC" w14:textId="449B2E21" w:rsidR="00081276" w:rsidRDefault="00081276" w:rsidP="00324B33">
            <w:pPr>
              <w:cnfStyle w:val="000000000000" w:firstRow="0" w:lastRow="0" w:firstColumn="0" w:lastColumn="0" w:oddVBand="0" w:evenVBand="0" w:oddHBand="0" w:evenHBand="0" w:firstRowFirstColumn="0" w:firstRowLastColumn="0" w:lastRowFirstColumn="0" w:lastRowLastColumn="0"/>
              <w:rPr>
                <w:szCs w:val="22"/>
              </w:rPr>
            </w:pPr>
            <w:r w:rsidRPr="00081276">
              <w:rPr>
                <w:szCs w:val="22"/>
              </w:rPr>
              <w:t xml:space="preserve">injection site reactions </w:t>
            </w:r>
          </w:p>
        </w:tc>
      </w:tr>
      <w:tr w:rsidR="00E33DF0" w:rsidRPr="00D01DDB" w14:paraId="505C5A3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A38C54" w14:textId="74E68DC5" w:rsidR="00E33DF0" w:rsidRDefault="00E33DF0" w:rsidP="00324B33">
            <w:pPr>
              <w:rPr>
                <w:szCs w:val="22"/>
              </w:rPr>
            </w:pPr>
            <w:r>
              <w:rPr>
                <w:szCs w:val="22"/>
              </w:rPr>
              <w:t>ITT</w:t>
            </w:r>
          </w:p>
        </w:tc>
        <w:tc>
          <w:tcPr>
            <w:tcW w:w="3800" w:type="pct"/>
          </w:tcPr>
          <w:p w14:paraId="0F4B21CC" w14:textId="61F3F74C" w:rsidR="00E33DF0" w:rsidRDefault="00E33DF0" w:rsidP="00324B33">
            <w:pPr>
              <w:cnfStyle w:val="000000000000" w:firstRow="0" w:lastRow="0" w:firstColumn="0" w:lastColumn="0" w:oddVBand="0" w:evenVBand="0" w:oddHBand="0" w:evenHBand="0" w:firstRowFirstColumn="0" w:firstRowLastColumn="0" w:lastRowFirstColumn="0" w:lastRowLastColumn="0"/>
              <w:rPr>
                <w:szCs w:val="22"/>
              </w:rPr>
            </w:pPr>
            <w:r w:rsidRPr="00E33DF0">
              <w:rPr>
                <w:szCs w:val="22"/>
              </w:rPr>
              <w:t>Intention-To-Treat</w:t>
            </w:r>
          </w:p>
        </w:tc>
      </w:tr>
      <w:tr w:rsidR="00C87A81" w:rsidRPr="00D01DDB" w14:paraId="397BBE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C4C9F5" w14:textId="6356010A" w:rsidR="00C87A81" w:rsidRDefault="00C87A81" w:rsidP="00324B33">
            <w:pPr>
              <w:rPr>
                <w:szCs w:val="22"/>
              </w:rPr>
            </w:pPr>
            <w:r>
              <w:rPr>
                <w:szCs w:val="22"/>
              </w:rPr>
              <w:t>LS</w:t>
            </w:r>
          </w:p>
        </w:tc>
        <w:tc>
          <w:tcPr>
            <w:tcW w:w="3800" w:type="pct"/>
          </w:tcPr>
          <w:p w14:paraId="14847B52" w14:textId="5A331141" w:rsidR="00C87A81" w:rsidRPr="00E33DF0" w:rsidRDefault="00C87A8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L</w:t>
            </w:r>
            <w:r w:rsidRPr="00C87A81">
              <w:rPr>
                <w:szCs w:val="22"/>
              </w:rPr>
              <w:t xml:space="preserve">east squares </w:t>
            </w:r>
          </w:p>
        </w:tc>
      </w:tr>
      <w:tr w:rsidR="008A7656" w:rsidRPr="00D01DDB" w14:paraId="2E31A60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70EF7C" w14:textId="589BBA13" w:rsidR="008A7656" w:rsidRPr="00D01DDB" w:rsidRDefault="008A7656" w:rsidP="00324B33">
            <w:pPr>
              <w:rPr>
                <w:szCs w:val="22"/>
              </w:rPr>
            </w:pPr>
            <w:r>
              <w:rPr>
                <w:szCs w:val="22"/>
              </w:rPr>
              <w:lastRenderedPageBreak/>
              <w:t>MTX</w:t>
            </w:r>
          </w:p>
        </w:tc>
        <w:tc>
          <w:tcPr>
            <w:tcW w:w="3800" w:type="pct"/>
          </w:tcPr>
          <w:p w14:paraId="66A04987" w14:textId="3132BD48" w:rsidR="008A7656" w:rsidRPr="00D01DDB" w:rsidRDefault="008A765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8A7656">
              <w:rPr>
                <w:szCs w:val="22"/>
              </w:rPr>
              <w:t>ethotrexate</w:t>
            </w:r>
          </w:p>
        </w:tc>
      </w:tr>
      <w:tr w:rsidR="0084591D" w:rsidRPr="00D01DDB" w14:paraId="6AB56F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C71A88" w14:textId="0ECC2F86" w:rsidR="0084591D" w:rsidRDefault="00464259" w:rsidP="00324B33">
            <w:pPr>
              <w:rPr>
                <w:szCs w:val="22"/>
              </w:rPr>
            </w:pPr>
            <w:proofErr w:type="spellStart"/>
            <w:r w:rsidRPr="00464259">
              <w:rPr>
                <w:szCs w:val="22"/>
              </w:rPr>
              <w:t>nAb</w:t>
            </w:r>
            <w:proofErr w:type="spellEnd"/>
          </w:p>
        </w:tc>
        <w:tc>
          <w:tcPr>
            <w:tcW w:w="3800" w:type="pct"/>
          </w:tcPr>
          <w:p w14:paraId="2451A1B5" w14:textId="39C02E5C" w:rsidR="0084591D" w:rsidRDefault="00464259" w:rsidP="00324B33">
            <w:pPr>
              <w:cnfStyle w:val="000000000000" w:firstRow="0" w:lastRow="0" w:firstColumn="0" w:lastColumn="0" w:oddVBand="0" w:evenVBand="0" w:oddHBand="0" w:evenHBand="0" w:firstRowFirstColumn="0" w:firstRowLastColumn="0" w:lastRowFirstColumn="0" w:lastRowLastColumn="0"/>
              <w:rPr>
                <w:szCs w:val="22"/>
              </w:rPr>
            </w:pPr>
            <w:r w:rsidRPr="00464259">
              <w:rPr>
                <w:szCs w:val="22"/>
              </w:rPr>
              <w:t>Neutralizing antibody</w:t>
            </w:r>
          </w:p>
        </w:tc>
      </w:tr>
      <w:tr w:rsidR="00BC5275" w:rsidRPr="00D01DDB" w14:paraId="3BDC7C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446E58" w14:textId="63774832" w:rsidR="00BC5275" w:rsidRDefault="00BC5275" w:rsidP="00324B33">
            <w:pPr>
              <w:rPr>
                <w:szCs w:val="22"/>
              </w:rPr>
            </w:pPr>
            <w:r>
              <w:rPr>
                <w:szCs w:val="22"/>
              </w:rPr>
              <w:t>PASI</w:t>
            </w:r>
          </w:p>
        </w:tc>
        <w:tc>
          <w:tcPr>
            <w:tcW w:w="3800" w:type="pct"/>
          </w:tcPr>
          <w:p w14:paraId="7149EB80" w14:textId="6D2DDDB7" w:rsidR="00BC5275" w:rsidRDefault="006206A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Psoriasis area and severity index</w:t>
            </w:r>
          </w:p>
        </w:tc>
      </w:tr>
      <w:tr w:rsidR="009127D2" w:rsidRPr="00D01DDB" w14:paraId="424DB0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F8B997" w14:textId="454A7461" w:rsidR="009127D2" w:rsidRDefault="009127D2" w:rsidP="00324B33">
            <w:pPr>
              <w:rPr>
                <w:szCs w:val="22"/>
              </w:rPr>
            </w:pPr>
            <w:r>
              <w:rPr>
                <w:szCs w:val="22"/>
              </w:rPr>
              <w:t>PD</w:t>
            </w:r>
          </w:p>
        </w:tc>
        <w:tc>
          <w:tcPr>
            <w:tcW w:w="3800" w:type="pct"/>
          </w:tcPr>
          <w:p w14:paraId="58F4CC47" w14:textId="7B2F1E32" w:rsidR="009127D2" w:rsidRDefault="00190449" w:rsidP="00324B33">
            <w:pPr>
              <w:cnfStyle w:val="000000000000" w:firstRow="0" w:lastRow="0" w:firstColumn="0" w:lastColumn="0" w:oddVBand="0" w:evenVBand="0" w:oddHBand="0" w:evenHBand="0" w:firstRowFirstColumn="0" w:firstRowLastColumn="0" w:lastRowFirstColumn="0" w:lastRowLastColumn="0"/>
              <w:rPr>
                <w:szCs w:val="22"/>
              </w:rPr>
            </w:pPr>
            <w:r w:rsidRPr="00190449">
              <w:rPr>
                <w:szCs w:val="22"/>
              </w:rPr>
              <w:t>Pharmacodynamic(s)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9127D2" w:rsidRPr="00D01DDB" w14:paraId="1AE1D5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71F931" w14:textId="2BB0495C" w:rsidR="009127D2" w:rsidRPr="00D01DDB" w:rsidRDefault="009127D2" w:rsidP="00324B33">
            <w:pPr>
              <w:rPr>
                <w:szCs w:val="22"/>
              </w:rPr>
            </w:pPr>
            <w:r>
              <w:rPr>
                <w:szCs w:val="22"/>
              </w:rPr>
              <w:t>PK</w:t>
            </w:r>
          </w:p>
        </w:tc>
        <w:tc>
          <w:tcPr>
            <w:tcW w:w="3800" w:type="pct"/>
          </w:tcPr>
          <w:p w14:paraId="5871A55D" w14:textId="288932D7" w:rsidR="009127D2" w:rsidRPr="00D01DDB" w:rsidRDefault="009127D2" w:rsidP="00324B33">
            <w:pPr>
              <w:cnfStyle w:val="000000000000" w:firstRow="0" w:lastRow="0" w:firstColumn="0" w:lastColumn="0" w:oddVBand="0" w:evenVBand="0" w:oddHBand="0" w:evenHBand="0" w:firstRowFirstColumn="0" w:firstRowLastColumn="0" w:lastRowFirstColumn="0" w:lastRowLastColumn="0"/>
              <w:rPr>
                <w:szCs w:val="22"/>
              </w:rPr>
            </w:pPr>
            <w:r w:rsidRPr="009127D2">
              <w:rPr>
                <w:szCs w:val="22"/>
              </w:rPr>
              <w:t>Pharmacokinetic(s)</w:t>
            </w:r>
          </w:p>
        </w:tc>
      </w:tr>
      <w:tr w:rsidR="00A90549" w:rsidRPr="00D01DDB" w14:paraId="47CE43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0410DA" w14:textId="5B5A95DA" w:rsidR="00A90549" w:rsidRPr="00D01DDB" w:rsidRDefault="00A90549" w:rsidP="00324B33">
            <w:pPr>
              <w:rPr>
                <w:szCs w:val="22"/>
              </w:rPr>
            </w:pPr>
            <w:r>
              <w:rPr>
                <w:szCs w:val="22"/>
              </w:rPr>
              <w:t>PsA</w:t>
            </w:r>
          </w:p>
        </w:tc>
        <w:tc>
          <w:tcPr>
            <w:tcW w:w="3800" w:type="pct"/>
          </w:tcPr>
          <w:p w14:paraId="50076C30" w14:textId="743BAB26" w:rsidR="00A90549" w:rsidRPr="00D01DDB" w:rsidRDefault="00A90549" w:rsidP="00324B33">
            <w:pPr>
              <w:cnfStyle w:val="000000000000" w:firstRow="0" w:lastRow="0" w:firstColumn="0" w:lastColumn="0" w:oddVBand="0" w:evenVBand="0" w:oddHBand="0" w:evenHBand="0" w:firstRowFirstColumn="0" w:firstRowLastColumn="0" w:lastRowFirstColumn="0" w:lastRowLastColumn="0"/>
              <w:rPr>
                <w:szCs w:val="22"/>
              </w:rPr>
            </w:pPr>
            <w:r w:rsidRPr="00A90549">
              <w:rPr>
                <w:szCs w:val="22"/>
              </w:rPr>
              <w:t xml:space="preserve">Psoriatic arthritis </w:t>
            </w:r>
          </w:p>
        </w:tc>
      </w:tr>
      <w:tr w:rsidR="00A90549" w:rsidRPr="00D01DDB" w14:paraId="65DB9BC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C02BA8" w14:textId="26E46860" w:rsidR="00A90549" w:rsidRPr="00D01DDB" w:rsidRDefault="00C04CB8" w:rsidP="00324B33">
            <w:pPr>
              <w:rPr>
                <w:szCs w:val="22"/>
              </w:rPr>
            </w:pPr>
            <w:proofErr w:type="spellStart"/>
            <w:r>
              <w:rPr>
                <w:szCs w:val="22"/>
              </w:rPr>
              <w:t>PsO</w:t>
            </w:r>
            <w:proofErr w:type="spellEnd"/>
          </w:p>
        </w:tc>
        <w:tc>
          <w:tcPr>
            <w:tcW w:w="3800" w:type="pct"/>
          </w:tcPr>
          <w:p w14:paraId="7457C2DD" w14:textId="4BBBA2F4" w:rsidR="00A90549" w:rsidRPr="00D01DDB" w:rsidRDefault="00C04CB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C04CB8">
              <w:rPr>
                <w:szCs w:val="22"/>
              </w:rPr>
              <w:t>laque psoriasis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6F713B" w:rsidRPr="00D01DDB" w14:paraId="7DCF06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BC234E" w14:textId="0959A169" w:rsidR="006F713B" w:rsidRPr="00D01DDB" w:rsidRDefault="006F713B" w:rsidP="00A704DC">
            <w:pPr>
              <w:rPr>
                <w:szCs w:val="22"/>
              </w:rPr>
            </w:pPr>
            <w:r>
              <w:rPr>
                <w:szCs w:val="22"/>
              </w:rPr>
              <w:t>PT</w:t>
            </w:r>
          </w:p>
        </w:tc>
        <w:tc>
          <w:tcPr>
            <w:tcW w:w="3800" w:type="pct"/>
          </w:tcPr>
          <w:p w14:paraId="46A33257" w14:textId="67E897C2" w:rsidR="006F713B" w:rsidRPr="00D01DDB" w:rsidRDefault="002750F3" w:rsidP="00A704DC">
            <w:pPr>
              <w:cnfStyle w:val="000000000000" w:firstRow="0" w:lastRow="0" w:firstColumn="0" w:lastColumn="0" w:oddVBand="0" w:evenVBand="0" w:oddHBand="0" w:evenHBand="0" w:firstRowFirstColumn="0" w:firstRowLastColumn="0" w:lastRowFirstColumn="0" w:lastRowLastColumn="0"/>
              <w:rPr>
                <w:szCs w:val="22"/>
              </w:rPr>
            </w:pPr>
            <w:r w:rsidRPr="002750F3">
              <w:rPr>
                <w:szCs w:val="22"/>
              </w:rPr>
              <w:t>Preferred term</w:t>
            </w:r>
          </w:p>
        </w:tc>
      </w:tr>
      <w:tr w:rsidR="004035AF" w:rsidRPr="00D01DDB" w14:paraId="0376A4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7EFB17" w14:textId="23D1088B" w:rsidR="004035AF" w:rsidRPr="00D01DDB" w:rsidRDefault="004035AF" w:rsidP="00A704DC">
            <w:pPr>
              <w:rPr>
                <w:szCs w:val="22"/>
              </w:rPr>
            </w:pPr>
            <w:r w:rsidRPr="004035AF">
              <w:rPr>
                <w:szCs w:val="22"/>
              </w:rPr>
              <w:t>PUVA</w:t>
            </w:r>
          </w:p>
        </w:tc>
        <w:tc>
          <w:tcPr>
            <w:tcW w:w="3800" w:type="pct"/>
          </w:tcPr>
          <w:p w14:paraId="7F73404C" w14:textId="1E5B9CD0" w:rsidR="004035AF" w:rsidRPr="00D01DDB" w:rsidRDefault="003B7165"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3B7165">
              <w:rPr>
                <w:szCs w:val="22"/>
              </w:rPr>
              <w:t>soralen plus ultraviolet A</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A06298" w:rsidRPr="00D01DDB" w14:paraId="75A404A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13C389" w14:textId="095EFFA6" w:rsidR="00A06298" w:rsidRPr="00D01DDB" w:rsidRDefault="00A06298" w:rsidP="00A704DC">
            <w:pPr>
              <w:rPr>
                <w:szCs w:val="22"/>
              </w:rPr>
            </w:pPr>
            <w:r>
              <w:rPr>
                <w:szCs w:val="22"/>
              </w:rPr>
              <w:t>RP</w:t>
            </w:r>
          </w:p>
        </w:tc>
        <w:tc>
          <w:tcPr>
            <w:tcW w:w="3800" w:type="pct"/>
          </w:tcPr>
          <w:p w14:paraId="24413BE8" w14:textId="3EB6D9D9" w:rsidR="00A06298" w:rsidRPr="00D01DDB" w:rsidRDefault="00A0629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Reference Product</w:t>
            </w:r>
          </w:p>
        </w:tc>
      </w:tr>
      <w:tr w:rsidR="00CA3217" w:rsidRPr="00D01DDB" w14:paraId="499502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9014FA" w14:textId="38185F2E" w:rsidR="00CA3217" w:rsidRPr="00D01DDB" w:rsidRDefault="00CA3217" w:rsidP="00A704DC">
            <w:pPr>
              <w:rPr>
                <w:szCs w:val="22"/>
              </w:rPr>
            </w:pPr>
            <w:r>
              <w:rPr>
                <w:szCs w:val="22"/>
              </w:rPr>
              <w:t>SOC</w:t>
            </w:r>
          </w:p>
        </w:tc>
        <w:tc>
          <w:tcPr>
            <w:tcW w:w="3800" w:type="pct"/>
          </w:tcPr>
          <w:p w14:paraId="4081AB4A" w14:textId="20E05CAA" w:rsidR="00CA3217" w:rsidRPr="00D01DDB" w:rsidRDefault="00CA3217" w:rsidP="00A704DC">
            <w:pPr>
              <w:cnfStyle w:val="000000000000" w:firstRow="0" w:lastRow="0" w:firstColumn="0" w:lastColumn="0" w:oddVBand="0" w:evenVBand="0" w:oddHBand="0" w:evenHBand="0" w:firstRowFirstColumn="0" w:firstRowLastColumn="0" w:lastRowFirstColumn="0" w:lastRowLastColumn="0"/>
              <w:rPr>
                <w:szCs w:val="22"/>
              </w:rPr>
            </w:pPr>
            <w:r w:rsidRPr="00CA3217">
              <w:rPr>
                <w:szCs w:val="22"/>
              </w:rPr>
              <w:t>System Organ Class</w:t>
            </w:r>
          </w:p>
        </w:tc>
      </w:tr>
      <w:tr w:rsidR="00975E78" w:rsidRPr="00D01DDB" w14:paraId="234E9A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A81408" w14:textId="0A1F9DFA" w:rsidR="00975E78" w:rsidRPr="00D01DDB" w:rsidRDefault="00975E78" w:rsidP="00A704DC">
            <w:pPr>
              <w:rPr>
                <w:szCs w:val="22"/>
              </w:rPr>
            </w:pPr>
            <w:r>
              <w:rPr>
                <w:szCs w:val="22"/>
              </w:rPr>
              <w:t>SPC</w:t>
            </w:r>
          </w:p>
        </w:tc>
        <w:tc>
          <w:tcPr>
            <w:tcW w:w="3800" w:type="pct"/>
          </w:tcPr>
          <w:p w14:paraId="4E155444" w14:textId="59D2FA53" w:rsidR="00975E78" w:rsidRPr="00D01DDB" w:rsidRDefault="00975E78" w:rsidP="00A704DC">
            <w:pPr>
              <w:cnfStyle w:val="000000000000" w:firstRow="0" w:lastRow="0" w:firstColumn="0" w:lastColumn="0" w:oddVBand="0" w:evenVBand="0" w:oddHBand="0" w:evenHBand="0" w:firstRowFirstColumn="0" w:firstRowLastColumn="0" w:lastRowFirstColumn="0" w:lastRowLastColumn="0"/>
              <w:rPr>
                <w:szCs w:val="22"/>
              </w:rPr>
            </w:pPr>
            <w:r w:rsidRPr="00975E78">
              <w:rPr>
                <w:szCs w:val="22"/>
              </w:rPr>
              <w:t>Supplementary Protection Certificate</w:t>
            </w:r>
          </w:p>
        </w:tc>
      </w:tr>
      <w:tr w:rsidR="001B283A" w:rsidRPr="00D01DDB" w14:paraId="1ABA088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EF14FC" w14:textId="441E891F" w:rsidR="001B283A" w:rsidRDefault="001B283A" w:rsidP="00A704DC">
            <w:pPr>
              <w:rPr>
                <w:szCs w:val="22"/>
              </w:rPr>
            </w:pPr>
            <w:proofErr w:type="spellStart"/>
            <w:r w:rsidRPr="001B283A">
              <w:rPr>
                <w:szCs w:val="22"/>
              </w:rPr>
              <w:t>sPGA</w:t>
            </w:r>
            <w:proofErr w:type="spellEnd"/>
          </w:p>
        </w:tc>
        <w:tc>
          <w:tcPr>
            <w:tcW w:w="3800" w:type="pct"/>
          </w:tcPr>
          <w:p w14:paraId="2A04F1B9" w14:textId="509A54C1" w:rsidR="001B283A" w:rsidRPr="00975E78" w:rsidRDefault="001B283A" w:rsidP="00A704DC">
            <w:pPr>
              <w:cnfStyle w:val="000000000000" w:firstRow="0" w:lastRow="0" w:firstColumn="0" w:lastColumn="0" w:oddVBand="0" w:evenVBand="0" w:oddHBand="0" w:evenHBand="0" w:firstRowFirstColumn="0" w:firstRowLastColumn="0" w:lastRowFirstColumn="0" w:lastRowLastColumn="0"/>
              <w:rPr>
                <w:szCs w:val="22"/>
              </w:rPr>
            </w:pPr>
            <w:r w:rsidRPr="001B283A">
              <w:rPr>
                <w:szCs w:val="22"/>
              </w:rPr>
              <w:t xml:space="preserve">Static Physician Global Assessment </w:t>
            </w:r>
          </w:p>
        </w:tc>
      </w:tr>
      <w:tr w:rsidR="00CF6B1A" w:rsidRPr="00D01DDB" w14:paraId="4C1AE57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656496" w14:textId="3EE286EF" w:rsidR="00CF6B1A" w:rsidRDefault="00CF6B1A" w:rsidP="00A704DC">
            <w:pPr>
              <w:rPr>
                <w:szCs w:val="22"/>
              </w:rPr>
            </w:pPr>
            <w:r w:rsidRPr="00CF6B1A">
              <w:rPr>
                <w:szCs w:val="22"/>
              </w:rPr>
              <w:t>t</w:t>
            </w:r>
            <w:r w:rsidRPr="00CF6B1A">
              <w:rPr>
                <w:szCs w:val="22"/>
                <w:vertAlign w:val="subscript"/>
              </w:rPr>
              <w:t>1/2</w:t>
            </w:r>
          </w:p>
        </w:tc>
        <w:tc>
          <w:tcPr>
            <w:tcW w:w="3800" w:type="pct"/>
          </w:tcPr>
          <w:p w14:paraId="08D0C4CF" w14:textId="17A8E5DE" w:rsidR="00CF6B1A" w:rsidRPr="00975E78" w:rsidRDefault="00CF6B1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Half</w:t>
            </w:r>
            <w:r w:rsidR="00261430">
              <w:rPr>
                <w:szCs w:val="22"/>
              </w:rPr>
              <w:t xml:space="preserve"> life</w:t>
            </w:r>
          </w:p>
        </w:tc>
      </w:tr>
      <w:tr w:rsidR="00EA0D1E" w:rsidRPr="00D01DDB" w14:paraId="3FAD05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AB70EB" w14:textId="70DC3110" w:rsidR="00EA0D1E" w:rsidRPr="00D01DDB" w:rsidRDefault="00EA0D1E" w:rsidP="00A704DC">
            <w:pPr>
              <w:rPr>
                <w:szCs w:val="22"/>
              </w:rPr>
            </w:pPr>
            <w:r>
              <w:rPr>
                <w:szCs w:val="22"/>
              </w:rPr>
              <w:t>TB</w:t>
            </w:r>
          </w:p>
        </w:tc>
        <w:tc>
          <w:tcPr>
            <w:tcW w:w="3800" w:type="pct"/>
          </w:tcPr>
          <w:p w14:paraId="7817AF4D" w14:textId="462E996E" w:rsidR="00EA0D1E" w:rsidRPr="00D01DDB" w:rsidRDefault="00975E78"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Tuber</w:t>
            </w:r>
            <w:r w:rsidR="007D1CB5">
              <w:rPr>
                <w:szCs w:val="22"/>
              </w:rPr>
              <w:t>culosis</w:t>
            </w:r>
          </w:p>
        </w:tc>
      </w:tr>
      <w:tr w:rsidR="00A41FED" w:rsidRPr="00D01DDB" w14:paraId="3726BD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371DFE" w14:textId="5E35E9A6" w:rsidR="00A41FED" w:rsidRDefault="00A41FED" w:rsidP="00A704DC">
            <w:pPr>
              <w:rPr>
                <w:szCs w:val="22"/>
              </w:rPr>
            </w:pPr>
            <w:r w:rsidRPr="00A41FED">
              <w:rPr>
                <w:szCs w:val="22"/>
              </w:rPr>
              <w:t>TEAE</w:t>
            </w:r>
            <w:r w:rsidR="002E7FB0">
              <w:rPr>
                <w:szCs w:val="22"/>
              </w:rPr>
              <w:t>(s)</w:t>
            </w:r>
          </w:p>
        </w:tc>
        <w:tc>
          <w:tcPr>
            <w:tcW w:w="3800" w:type="pct"/>
          </w:tcPr>
          <w:p w14:paraId="42865990" w14:textId="46F3D9EC" w:rsidR="00A41FED" w:rsidRDefault="002E7FB0" w:rsidP="00A704DC">
            <w:pPr>
              <w:cnfStyle w:val="000000000000" w:firstRow="0" w:lastRow="0" w:firstColumn="0" w:lastColumn="0" w:oddVBand="0" w:evenVBand="0" w:oddHBand="0" w:evenHBand="0" w:firstRowFirstColumn="0" w:firstRowLastColumn="0" w:lastRowFirstColumn="0" w:lastRowLastColumn="0"/>
              <w:rPr>
                <w:szCs w:val="22"/>
              </w:rPr>
            </w:pPr>
            <w:r w:rsidRPr="002E7FB0">
              <w:rPr>
                <w:szCs w:val="22"/>
              </w:rPr>
              <w:t>Treatment-emergent adverse event</w:t>
            </w:r>
            <w:r>
              <w:rPr>
                <w:szCs w:val="22"/>
              </w:rPr>
              <w:t>(s)</w:t>
            </w:r>
          </w:p>
        </w:tc>
      </w:tr>
      <w:tr w:rsidR="00E45DD0" w:rsidRPr="00D01DDB" w14:paraId="4A06B72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90FDD9" w14:textId="2E10C468" w:rsidR="00E45DD0" w:rsidRDefault="00E45DD0" w:rsidP="00A704DC">
            <w:pPr>
              <w:rPr>
                <w:szCs w:val="22"/>
              </w:rPr>
            </w:pPr>
            <w:proofErr w:type="spellStart"/>
            <w:r w:rsidRPr="00E45DD0">
              <w:rPr>
                <w:szCs w:val="22"/>
              </w:rPr>
              <w:t>T</w:t>
            </w:r>
            <w:r w:rsidRPr="00E45DD0">
              <w:rPr>
                <w:szCs w:val="22"/>
                <w:vertAlign w:val="subscript"/>
              </w:rPr>
              <w:t>max</w:t>
            </w:r>
            <w:proofErr w:type="spellEnd"/>
          </w:p>
        </w:tc>
        <w:tc>
          <w:tcPr>
            <w:tcW w:w="3800" w:type="pct"/>
          </w:tcPr>
          <w:p w14:paraId="65676125" w14:textId="72AB83FE" w:rsidR="00E45DD0" w:rsidRDefault="006327A6" w:rsidP="00A704DC">
            <w:pPr>
              <w:cnfStyle w:val="000000000000" w:firstRow="0" w:lastRow="0" w:firstColumn="0" w:lastColumn="0" w:oddVBand="0" w:evenVBand="0" w:oddHBand="0" w:evenHBand="0" w:firstRowFirstColumn="0" w:firstRowLastColumn="0" w:lastRowFirstColumn="0" w:lastRowLastColumn="0"/>
              <w:rPr>
                <w:szCs w:val="22"/>
              </w:rPr>
            </w:pPr>
            <w:r w:rsidRPr="006327A6">
              <w:rPr>
                <w:szCs w:val="22"/>
              </w:rPr>
              <w:t>Time after administration of a drug when the maximum plasma concentration is reached</w:t>
            </w:r>
          </w:p>
        </w:tc>
      </w:tr>
      <w:tr w:rsidR="00BC2607" w:rsidRPr="00D01DDB" w14:paraId="20EF10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ED7F2D" w14:textId="21F7D973" w:rsidR="00BC2607" w:rsidRPr="00D01DDB" w:rsidRDefault="00BC2607" w:rsidP="00A704DC">
            <w:pPr>
              <w:rPr>
                <w:szCs w:val="22"/>
              </w:rPr>
            </w:pPr>
            <w:r>
              <w:rPr>
                <w:szCs w:val="22"/>
              </w:rPr>
              <w:t>TNF</w:t>
            </w:r>
            <w:r w:rsidRPr="00BC2607">
              <w:rPr>
                <w:szCs w:val="22"/>
              </w:rPr>
              <w:t>α</w:t>
            </w:r>
          </w:p>
        </w:tc>
        <w:tc>
          <w:tcPr>
            <w:tcW w:w="3800" w:type="pct"/>
          </w:tcPr>
          <w:p w14:paraId="4C34CED1" w14:textId="1DC8D7BD" w:rsidR="00BC2607" w:rsidRPr="00D01DDB" w:rsidRDefault="006327A6"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BC2607" w:rsidRPr="00BC2607">
              <w:rPr>
                <w:szCs w:val="22"/>
              </w:rPr>
              <w:t xml:space="preserve">umour necrosis factor </w:t>
            </w:r>
            <w:r>
              <w:rPr>
                <w:szCs w:val="22"/>
              </w:rPr>
              <w:t>alpha</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1295A" w:rsidRPr="00D01DDB" w14:paraId="1CE5A3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FFF6B" w14:textId="0E9CEB70" w:rsidR="0051295A" w:rsidRPr="00D01DDB" w:rsidRDefault="0051295A" w:rsidP="00A704DC">
            <w:pPr>
              <w:rPr>
                <w:szCs w:val="22"/>
              </w:rPr>
            </w:pPr>
            <w:r>
              <w:rPr>
                <w:szCs w:val="22"/>
              </w:rPr>
              <w:t>UK</w:t>
            </w:r>
          </w:p>
        </w:tc>
        <w:tc>
          <w:tcPr>
            <w:tcW w:w="3800" w:type="pct"/>
          </w:tcPr>
          <w:p w14:paraId="73C6638A" w14:textId="59A590E2" w:rsidR="0051295A" w:rsidRPr="00D01DDB" w:rsidRDefault="0051295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United Kingdom</w:t>
            </w:r>
          </w:p>
        </w:tc>
      </w:tr>
      <w:tr w:rsidR="00A07390" w:rsidRPr="00D01DDB" w14:paraId="34C3E51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07E6C6" w14:textId="4812EBB3" w:rsidR="00A07390" w:rsidRPr="00D01DDB" w:rsidRDefault="00A07390" w:rsidP="00A704DC">
            <w:pPr>
              <w:rPr>
                <w:szCs w:val="22"/>
              </w:rPr>
            </w:pPr>
            <w:r>
              <w:rPr>
                <w:szCs w:val="22"/>
              </w:rPr>
              <w:t>US</w:t>
            </w:r>
          </w:p>
        </w:tc>
        <w:tc>
          <w:tcPr>
            <w:tcW w:w="3800" w:type="pct"/>
          </w:tcPr>
          <w:p w14:paraId="2D2D0FCD" w14:textId="55AD81DF" w:rsidR="00A07390" w:rsidRPr="00D01DDB" w:rsidRDefault="0051295A"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212469855"/>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212469856"/>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B6E779F" w:rsidR="00324B33" w:rsidRPr="00BD5DBD" w:rsidRDefault="00324B33" w:rsidP="007452E8">
            <w:pPr>
              <w:rPr>
                <w:i/>
                <w:szCs w:val="22"/>
              </w:rPr>
            </w:pPr>
            <w:r w:rsidRPr="00BD5DBD">
              <w:rPr>
                <w:i/>
                <w:szCs w:val="22"/>
              </w:rPr>
              <w:t>Type of submission:</w:t>
            </w:r>
          </w:p>
        </w:tc>
        <w:tc>
          <w:tcPr>
            <w:tcW w:w="3423" w:type="pct"/>
          </w:tcPr>
          <w:p w14:paraId="4F07C303" w14:textId="3531B6CE" w:rsidR="00324B33" w:rsidRPr="00BD5DBD" w:rsidRDefault="00324B33" w:rsidP="007452E8">
            <w:pPr>
              <w:rPr>
                <w:szCs w:val="22"/>
              </w:rPr>
            </w:pPr>
            <w:bookmarkStart w:id="14" w:name="_Hlk213224824"/>
            <w:r w:rsidRPr="00BD5DBD">
              <w:rPr>
                <w:szCs w:val="22"/>
              </w:rPr>
              <w:t>New chemical entity</w:t>
            </w:r>
            <w:bookmarkEnd w:id="14"/>
          </w:p>
        </w:tc>
      </w:tr>
      <w:tr w:rsidR="00324B33" w:rsidRPr="00BD5DBD" w14:paraId="13482B61" w14:textId="77777777" w:rsidTr="00F865A7">
        <w:tc>
          <w:tcPr>
            <w:tcW w:w="1577" w:type="pct"/>
          </w:tcPr>
          <w:p w14:paraId="2C427FCF" w14:textId="675F901B" w:rsidR="00324B33" w:rsidRPr="00BD5DBD" w:rsidRDefault="00324B33" w:rsidP="007452E8">
            <w:pPr>
              <w:rPr>
                <w:i/>
                <w:szCs w:val="22"/>
              </w:rPr>
            </w:pPr>
            <w:r w:rsidRPr="00BD5DBD">
              <w:rPr>
                <w:i/>
                <w:szCs w:val="22"/>
              </w:rPr>
              <w:t>Product name:</w:t>
            </w:r>
          </w:p>
        </w:tc>
        <w:tc>
          <w:tcPr>
            <w:tcW w:w="3423" w:type="pct"/>
          </w:tcPr>
          <w:p w14:paraId="0E2DEF76" w14:textId="7A7E0D6F" w:rsidR="00324B33" w:rsidRPr="00BD5DBD" w:rsidRDefault="00926D8B" w:rsidP="007452E8">
            <w:pPr>
              <w:rPr>
                <w:szCs w:val="22"/>
              </w:rPr>
            </w:pPr>
            <w:r>
              <w:rPr>
                <w:szCs w:val="22"/>
              </w:rPr>
              <w:t>Uteknix</w:t>
            </w:r>
          </w:p>
        </w:tc>
      </w:tr>
      <w:tr w:rsidR="00324B33" w:rsidRPr="00BD5DBD" w14:paraId="01255B5B" w14:textId="77777777" w:rsidTr="00F865A7">
        <w:tc>
          <w:tcPr>
            <w:tcW w:w="1577" w:type="pct"/>
          </w:tcPr>
          <w:p w14:paraId="52B4F3D7" w14:textId="009C7082" w:rsidR="00324B33" w:rsidRPr="00BD5DBD" w:rsidRDefault="00324B33" w:rsidP="007452E8">
            <w:pPr>
              <w:rPr>
                <w:i/>
                <w:szCs w:val="22"/>
              </w:rPr>
            </w:pPr>
            <w:r w:rsidRPr="00BD5DBD">
              <w:rPr>
                <w:i/>
                <w:szCs w:val="22"/>
              </w:rPr>
              <w:t>Active ingredien</w:t>
            </w:r>
            <w:r w:rsidR="00926D8B">
              <w:rPr>
                <w:i/>
                <w:szCs w:val="22"/>
              </w:rPr>
              <w:t>t</w:t>
            </w:r>
            <w:r w:rsidRPr="00BD5DBD">
              <w:rPr>
                <w:i/>
                <w:szCs w:val="22"/>
              </w:rPr>
              <w:t>:</w:t>
            </w:r>
          </w:p>
        </w:tc>
        <w:tc>
          <w:tcPr>
            <w:tcW w:w="3423" w:type="pct"/>
          </w:tcPr>
          <w:p w14:paraId="02FB6383" w14:textId="5BB594AE" w:rsidR="00324B33" w:rsidRPr="00BD5DBD" w:rsidRDefault="00926D8B" w:rsidP="007452E8">
            <w:pPr>
              <w:rPr>
                <w:szCs w:val="22"/>
              </w:rPr>
            </w:pPr>
            <w:proofErr w:type="spellStart"/>
            <w:r>
              <w:rPr>
                <w:szCs w:val="22"/>
              </w:rPr>
              <w:t>ustekinumab</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F8CE15A"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10A90B77" w:rsidR="00AE1947" w:rsidRPr="00BD5DBD" w:rsidRDefault="00FE1512" w:rsidP="00602658">
            <w:pPr>
              <w:rPr>
                <w:szCs w:val="22"/>
              </w:rPr>
            </w:pPr>
            <w:r>
              <w:rPr>
                <w:szCs w:val="22"/>
              </w:rPr>
              <w:t>20 January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605AEA8A" w:rsidR="00324B33" w:rsidRPr="00BD5DBD" w:rsidRDefault="000F12F2" w:rsidP="007452E8">
            <w:pPr>
              <w:rPr>
                <w:szCs w:val="22"/>
              </w:rPr>
            </w:pPr>
            <w:r>
              <w:rPr>
                <w:szCs w:val="22"/>
              </w:rPr>
              <w:t>11 February 2025</w:t>
            </w:r>
          </w:p>
        </w:tc>
      </w:tr>
      <w:tr w:rsidR="00324B33" w:rsidRPr="00BD5DBD" w14:paraId="547E08D7" w14:textId="77777777" w:rsidTr="00F865A7">
        <w:tc>
          <w:tcPr>
            <w:tcW w:w="1577" w:type="pct"/>
          </w:tcPr>
          <w:p w14:paraId="5030EF30" w14:textId="4FA46390" w:rsidR="00324B33" w:rsidRPr="00BD5DBD" w:rsidRDefault="00324B33" w:rsidP="007452E8">
            <w:pPr>
              <w:rPr>
                <w:i/>
                <w:szCs w:val="22"/>
              </w:rPr>
            </w:pPr>
            <w:r w:rsidRPr="00BD5DBD">
              <w:rPr>
                <w:i/>
                <w:szCs w:val="22"/>
              </w:rPr>
              <w:t>ARTG numbers:</w:t>
            </w:r>
          </w:p>
        </w:tc>
        <w:tc>
          <w:tcPr>
            <w:tcW w:w="3423" w:type="pct"/>
          </w:tcPr>
          <w:p w14:paraId="0054E912" w14:textId="61A66537" w:rsidR="00611343" w:rsidRPr="00BD5DBD" w:rsidRDefault="00611343" w:rsidP="00B01C02">
            <w:pPr>
              <w:rPr>
                <w:szCs w:val="22"/>
              </w:rPr>
            </w:pPr>
            <w:r>
              <w:rPr>
                <w:szCs w:val="22"/>
              </w:rPr>
              <w:t>422259</w:t>
            </w:r>
            <w:r w:rsidR="00641A14">
              <w:rPr>
                <w:szCs w:val="22"/>
              </w:rPr>
              <w:t xml:space="preserve"> </w:t>
            </w:r>
            <w:r w:rsidR="00B01C02">
              <w:rPr>
                <w:szCs w:val="22"/>
              </w:rPr>
              <w:t xml:space="preserve">and </w:t>
            </w:r>
            <w:r>
              <w:rPr>
                <w:szCs w:val="22"/>
              </w:rPr>
              <w:t>4</w:t>
            </w:r>
            <w:r w:rsidR="001C103F">
              <w:rPr>
                <w:szCs w:val="22"/>
              </w:rPr>
              <w:t>22260</w:t>
            </w:r>
          </w:p>
        </w:tc>
      </w:tr>
      <w:tr w:rsidR="00324B33" w:rsidRPr="00BD5DBD" w14:paraId="7618393F" w14:textId="77777777" w:rsidTr="00F865A7">
        <w:tc>
          <w:tcPr>
            <w:tcW w:w="1577" w:type="pct"/>
          </w:tcPr>
          <w:p w14:paraId="6C24CEB6" w14:textId="5EB7B0B8" w:rsidR="00E47E0C" w:rsidRPr="00BD5DBD" w:rsidRDefault="00324B33" w:rsidP="007452E8">
            <w:pPr>
              <w:rPr>
                <w:rStyle w:val="Hyperlink"/>
                <w:i/>
                <w:szCs w:val="22"/>
              </w:rPr>
            </w:pPr>
            <w:r w:rsidRPr="00BD5DBD">
              <w:rPr>
                <w:rFonts w:ascii="Wingdings 3" w:hAnsi="Wingdings 3"/>
                <w:szCs w:val="22"/>
                <w:lang w:eastAsia="en-AU"/>
              </w:rPr>
              <w:t></w:t>
            </w:r>
            <w:hyperlink r:id="rId17"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7131CDCC"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334F9267" w:rsidR="00B37261" w:rsidRPr="00BD5DBD" w:rsidRDefault="003A5738" w:rsidP="00D16F5A">
            <w:pPr>
              <w:rPr>
                <w:szCs w:val="22"/>
              </w:rPr>
            </w:pPr>
            <w:r>
              <w:rPr>
                <w:szCs w:val="22"/>
              </w:rPr>
              <w:t>Cipla Australia Pty Ltd</w:t>
            </w:r>
            <w:r w:rsidR="00D16F5A">
              <w:rPr>
                <w:szCs w:val="22"/>
              </w:rPr>
              <w:br/>
            </w:r>
            <w:r w:rsidR="00B01C02" w:rsidRPr="00B01C02">
              <w:rPr>
                <w:szCs w:val="22"/>
              </w:rPr>
              <w:t>Level 1 / 132-136 Albert Road</w:t>
            </w:r>
            <w:r w:rsidR="00D16F5A">
              <w:rPr>
                <w:szCs w:val="22"/>
              </w:rPr>
              <w:br/>
            </w:r>
            <w:r w:rsidR="00B01C02" w:rsidRPr="00B01C02">
              <w:rPr>
                <w:szCs w:val="22"/>
              </w:rPr>
              <w:t>South Melbourne Vic 3205</w:t>
            </w:r>
          </w:p>
        </w:tc>
      </w:tr>
      <w:tr w:rsidR="00324B33" w:rsidRPr="00BD5DBD" w14:paraId="5322B989" w14:textId="77777777" w:rsidTr="00F865A7">
        <w:tc>
          <w:tcPr>
            <w:tcW w:w="1577" w:type="pct"/>
          </w:tcPr>
          <w:p w14:paraId="24F217E3" w14:textId="1CF80897" w:rsidR="00324B33" w:rsidRPr="00BD5DBD" w:rsidRDefault="00324B33" w:rsidP="007452E8">
            <w:pPr>
              <w:rPr>
                <w:i/>
                <w:szCs w:val="22"/>
              </w:rPr>
            </w:pPr>
            <w:r w:rsidRPr="00BD5DBD">
              <w:rPr>
                <w:i/>
                <w:szCs w:val="22"/>
              </w:rPr>
              <w:t>Dose forms:</w:t>
            </w:r>
          </w:p>
        </w:tc>
        <w:tc>
          <w:tcPr>
            <w:tcW w:w="3423" w:type="pct"/>
          </w:tcPr>
          <w:p w14:paraId="768B254C" w14:textId="4E5483B8" w:rsidR="00324B33" w:rsidRPr="00BD5DBD" w:rsidRDefault="00B01C02" w:rsidP="00AD76AD">
            <w:pPr>
              <w:rPr>
                <w:szCs w:val="22"/>
              </w:rPr>
            </w:pPr>
            <w:r>
              <w:rPr>
                <w:szCs w:val="22"/>
              </w:rPr>
              <w:t>S</w:t>
            </w:r>
            <w:r w:rsidR="00AD76AD" w:rsidRPr="00AD76AD">
              <w:rPr>
                <w:szCs w:val="22"/>
              </w:rPr>
              <w:t xml:space="preserve">olution for injection </w:t>
            </w:r>
          </w:p>
        </w:tc>
      </w:tr>
      <w:tr w:rsidR="00324B33" w:rsidRPr="00BD5DBD" w14:paraId="115243E6" w14:textId="77777777" w:rsidTr="00F865A7">
        <w:tc>
          <w:tcPr>
            <w:tcW w:w="1577" w:type="pct"/>
          </w:tcPr>
          <w:p w14:paraId="7634B062" w14:textId="32BBA018" w:rsidR="00324B33" w:rsidRPr="00BD5DBD" w:rsidRDefault="00324B33" w:rsidP="007452E8">
            <w:pPr>
              <w:rPr>
                <w:i/>
                <w:szCs w:val="22"/>
              </w:rPr>
            </w:pPr>
            <w:r w:rsidRPr="00BD5DBD">
              <w:rPr>
                <w:i/>
                <w:szCs w:val="22"/>
              </w:rPr>
              <w:t>Strengths:</w:t>
            </w:r>
          </w:p>
        </w:tc>
        <w:tc>
          <w:tcPr>
            <w:tcW w:w="3423" w:type="pct"/>
          </w:tcPr>
          <w:p w14:paraId="5E5F83DB" w14:textId="42D3BFEB" w:rsidR="00324B33" w:rsidRPr="00BD5DBD" w:rsidRDefault="00741D81" w:rsidP="00151E39">
            <w:pPr>
              <w:rPr>
                <w:szCs w:val="22"/>
              </w:rPr>
            </w:pPr>
            <w:r w:rsidRPr="00741D81">
              <w:rPr>
                <w:szCs w:val="22"/>
              </w:rPr>
              <w:t>45 mg</w:t>
            </w:r>
            <w:r w:rsidR="00B01C02">
              <w:rPr>
                <w:szCs w:val="22"/>
              </w:rPr>
              <w:t>/0.5 mL</w:t>
            </w:r>
            <w:r w:rsidR="00151E39">
              <w:rPr>
                <w:szCs w:val="22"/>
              </w:rPr>
              <w:t xml:space="preserve"> or </w:t>
            </w:r>
            <w:r w:rsidR="00151E39" w:rsidRPr="00151E39">
              <w:rPr>
                <w:szCs w:val="22"/>
              </w:rPr>
              <w:t>90 mg</w:t>
            </w:r>
            <w:r w:rsidR="00B01C02">
              <w:rPr>
                <w:szCs w:val="22"/>
              </w:rPr>
              <w:t>/</w:t>
            </w:r>
            <w:r w:rsidR="00151E39" w:rsidRPr="00151E39">
              <w:rPr>
                <w:szCs w:val="22"/>
              </w:rPr>
              <w:t>1 mL</w:t>
            </w:r>
          </w:p>
        </w:tc>
      </w:tr>
      <w:tr w:rsidR="00324B33" w:rsidRPr="00BD5DBD" w14:paraId="34B07BA6" w14:textId="77777777" w:rsidTr="00F865A7">
        <w:tc>
          <w:tcPr>
            <w:tcW w:w="1577" w:type="pct"/>
          </w:tcPr>
          <w:p w14:paraId="1C039224" w14:textId="7ECAEC3E" w:rsidR="00324B33" w:rsidRPr="00BD5DBD" w:rsidRDefault="00324B33" w:rsidP="007452E8">
            <w:pPr>
              <w:rPr>
                <w:i/>
                <w:szCs w:val="22"/>
              </w:rPr>
            </w:pPr>
            <w:r w:rsidRPr="00BD5DBD">
              <w:rPr>
                <w:i/>
                <w:szCs w:val="22"/>
              </w:rPr>
              <w:t>Containe</w:t>
            </w:r>
            <w:r w:rsidR="00482402">
              <w:rPr>
                <w:i/>
                <w:szCs w:val="22"/>
              </w:rPr>
              <w:t>r</w:t>
            </w:r>
            <w:r w:rsidRPr="00BD5DBD">
              <w:rPr>
                <w:i/>
                <w:szCs w:val="22"/>
              </w:rPr>
              <w:t>:</w:t>
            </w:r>
          </w:p>
        </w:tc>
        <w:tc>
          <w:tcPr>
            <w:tcW w:w="3423" w:type="pct"/>
          </w:tcPr>
          <w:p w14:paraId="500A42C6" w14:textId="49375270" w:rsidR="00324B33" w:rsidRPr="00BD5DBD" w:rsidRDefault="00B01C02" w:rsidP="007452E8">
            <w:pPr>
              <w:rPr>
                <w:szCs w:val="22"/>
              </w:rPr>
            </w:pPr>
            <w:r>
              <w:rPr>
                <w:szCs w:val="22"/>
              </w:rPr>
              <w:t>S</w:t>
            </w:r>
            <w:r w:rsidR="00000A1E" w:rsidRPr="00000A1E">
              <w:rPr>
                <w:szCs w:val="22"/>
              </w:rPr>
              <w:t>yringe</w:t>
            </w:r>
          </w:p>
        </w:tc>
      </w:tr>
      <w:tr w:rsidR="00324B33" w:rsidRPr="00BD5DBD" w14:paraId="176B6773" w14:textId="77777777" w:rsidTr="00F865A7">
        <w:tc>
          <w:tcPr>
            <w:tcW w:w="1577" w:type="pct"/>
          </w:tcPr>
          <w:p w14:paraId="71846159" w14:textId="6F2587A9" w:rsidR="00324B33" w:rsidRPr="00BD5DBD" w:rsidRDefault="00324B33" w:rsidP="007452E8">
            <w:pPr>
              <w:rPr>
                <w:i/>
                <w:szCs w:val="22"/>
              </w:rPr>
            </w:pPr>
            <w:r w:rsidRPr="00BD5DBD">
              <w:rPr>
                <w:i/>
                <w:szCs w:val="22"/>
              </w:rPr>
              <w:t>Pack siz</w:t>
            </w:r>
            <w:r w:rsidR="007C12F2">
              <w:rPr>
                <w:i/>
                <w:szCs w:val="22"/>
              </w:rPr>
              <w:t>e</w:t>
            </w:r>
            <w:r w:rsidRPr="00BD5DBD">
              <w:rPr>
                <w:i/>
                <w:szCs w:val="22"/>
              </w:rPr>
              <w:t>:</w:t>
            </w:r>
          </w:p>
        </w:tc>
        <w:tc>
          <w:tcPr>
            <w:tcW w:w="3423" w:type="pct"/>
          </w:tcPr>
          <w:p w14:paraId="7E978F8F" w14:textId="39158688" w:rsidR="00324B33" w:rsidRPr="00BD5DBD" w:rsidRDefault="00B01C02" w:rsidP="007452E8">
            <w:pPr>
              <w:rPr>
                <w:szCs w:val="22"/>
              </w:rPr>
            </w:pPr>
            <w:r>
              <w:rPr>
                <w:szCs w:val="22"/>
              </w:rPr>
              <w:t>One</w:t>
            </w:r>
            <w:r w:rsidR="007C12F2" w:rsidRPr="007C12F2">
              <w:rPr>
                <w:szCs w:val="22"/>
              </w:rPr>
              <w:t xml:space="preserve"> pre-filled syringe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27FEBF13" w14:textId="77777777" w:rsidR="00981CF2" w:rsidRPr="00981CF2" w:rsidRDefault="00981CF2" w:rsidP="00981CF2">
            <w:pPr>
              <w:rPr>
                <w:b/>
                <w:bCs/>
              </w:rPr>
            </w:pPr>
            <w:r w:rsidRPr="00981CF2">
              <w:rPr>
                <w:b/>
                <w:bCs/>
              </w:rPr>
              <w:t>Plaque psoriasis</w:t>
            </w:r>
          </w:p>
          <w:p w14:paraId="24953DCC" w14:textId="77777777" w:rsidR="00981CF2" w:rsidRDefault="00981CF2" w:rsidP="00981CF2">
            <w:r>
              <w:t>Uteknix is indicated for the treatment of adult patients (18 years or older) with moderate to severe plaque psoriasis who are candidates for phototherapy or systemic therapy.</w:t>
            </w:r>
          </w:p>
          <w:p w14:paraId="0C707781" w14:textId="77777777" w:rsidR="00981CF2" w:rsidRPr="00981CF2" w:rsidRDefault="00981CF2" w:rsidP="00981CF2">
            <w:pPr>
              <w:rPr>
                <w:b/>
                <w:bCs/>
              </w:rPr>
            </w:pPr>
            <w:r w:rsidRPr="00981CF2">
              <w:rPr>
                <w:b/>
                <w:bCs/>
              </w:rPr>
              <w:t>Psoriatic arthritis (PsA)</w:t>
            </w:r>
          </w:p>
          <w:p w14:paraId="4E6557A3" w14:textId="1A6EBF92" w:rsidR="00981CF2" w:rsidRDefault="00981CF2" w:rsidP="00981CF2">
            <w:r>
              <w:t>Uteknix, alone or in combination with methotrexate, is indicated for the treatment of signs and symptoms of active psoriatic arthritis in adult patients (18 years and older) where response to previous non-biological DMARD therapy</w:t>
            </w:r>
            <w:r w:rsidR="00D16F5A">
              <w:t xml:space="preserve"> </w:t>
            </w:r>
            <w:r>
              <w:t>has been inadequate.</w:t>
            </w:r>
          </w:p>
          <w:p w14:paraId="20DFDCA9" w14:textId="77777777" w:rsidR="00981CF2" w:rsidRDefault="00981CF2" w:rsidP="00981CF2">
            <w:r>
              <w:t>Uteknix has not been approved for use in children or adolescents under the age of 18 years.</w:t>
            </w:r>
          </w:p>
          <w:p w14:paraId="6E143E2E" w14:textId="63CD2885" w:rsidR="00B215B6" w:rsidRPr="00BD5DBD" w:rsidRDefault="00981CF2" w:rsidP="00981CF2">
            <w:pPr>
              <w:rPr>
                <w:szCs w:val="22"/>
              </w:rPr>
            </w:pPr>
            <w:r>
              <w:t>Uteknix has not been approved for use in patients with Crohn’s disease or ulcerative colitis.</w:t>
            </w:r>
          </w:p>
        </w:tc>
      </w:tr>
      <w:tr w:rsidR="00324B33" w:rsidRPr="00BD5DBD" w14:paraId="5AFDEED3" w14:textId="77777777" w:rsidTr="00F865A7">
        <w:tc>
          <w:tcPr>
            <w:tcW w:w="1577" w:type="pct"/>
          </w:tcPr>
          <w:p w14:paraId="03884BD1" w14:textId="1854A9B0" w:rsidR="00324B33" w:rsidRPr="00BD5DBD" w:rsidRDefault="00324B33" w:rsidP="007452E8">
            <w:pPr>
              <w:rPr>
                <w:i/>
                <w:szCs w:val="22"/>
              </w:rPr>
            </w:pPr>
            <w:r w:rsidRPr="00BD5DBD">
              <w:rPr>
                <w:i/>
                <w:szCs w:val="22"/>
              </w:rPr>
              <w:t>Route of administration:</w:t>
            </w:r>
          </w:p>
        </w:tc>
        <w:tc>
          <w:tcPr>
            <w:tcW w:w="3423" w:type="pct"/>
          </w:tcPr>
          <w:p w14:paraId="1ED1357E" w14:textId="03B15949" w:rsidR="00324B33" w:rsidRPr="00BD5DBD" w:rsidRDefault="00F55E05" w:rsidP="00F55E05">
            <w:pPr>
              <w:rPr>
                <w:szCs w:val="22"/>
              </w:rPr>
            </w:pPr>
            <w:r w:rsidRPr="00F55E05">
              <w:rPr>
                <w:szCs w:val="22"/>
              </w:rPr>
              <w:t>Subcutaneous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50E96DB7" w14:textId="7E08A64E" w:rsidR="00FA1818" w:rsidRDefault="00FA1818" w:rsidP="00FA1818">
            <w:pPr>
              <w:rPr>
                <w:szCs w:val="22"/>
              </w:rPr>
            </w:pPr>
            <w:r w:rsidRPr="00FA1818">
              <w:rPr>
                <w:szCs w:val="22"/>
              </w:rPr>
              <w:t>The recommended dose of U</w:t>
            </w:r>
            <w:r>
              <w:rPr>
                <w:szCs w:val="22"/>
              </w:rPr>
              <w:t xml:space="preserve">teknix </w:t>
            </w:r>
            <w:r w:rsidRPr="00FA1818">
              <w:rPr>
                <w:szCs w:val="22"/>
              </w:rPr>
              <w:t>is 45 mg administered at Weeks 0 and 4, then every 12 weeks thereafter. Alternatively, 90 mg administered over Weeks 0 and 4, then every 12 weeks thereafter may be used in patients with a body weight greater than 100 kg.</w:t>
            </w:r>
          </w:p>
          <w:p w14:paraId="3D0B2D5C" w14:textId="44F2C2C3" w:rsidR="00324B33" w:rsidRPr="00BD5DBD" w:rsidRDefault="00FA1818" w:rsidP="00FA1818">
            <w:pPr>
              <w:rPr>
                <w:szCs w:val="22"/>
              </w:rPr>
            </w:pPr>
            <w:r>
              <w:rPr>
                <w:szCs w:val="22"/>
              </w:rPr>
              <w:lastRenderedPageBreak/>
              <w:t>F</w:t>
            </w:r>
            <w:r w:rsidR="00324B33" w:rsidRPr="00BD5DBD">
              <w:rPr>
                <w:szCs w:val="22"/>
              </w:rPr>
              <w:t xml:space="preserve">or further information regarding dosage, </w:t>
            </w:r>
            <w:r w:rsidR="006B7126">
              <w:rPr>
                <w:szCs w:val="22"/>
              </w:rPr>
              <w:t xml:space="preserve">such as dosage modifications to manage adverse reactions, </w:t>
            </w:r>
            <w:r w:rsidR="00324B33" w:rsidRPr="00BD5DBD">
              <w:rPr>
                <w:szCs w:val="22"/>
              </w:rPr>
              <w:t>refer to the Product Information</w:t>
            </w:r>
            <w:r w:rsidR="00E06B6C">
              <w:rPr>
                <w:szCs w:val="22"/>
              </w:rPr>
              <w:t xml:space="preserve"> (PI)</w:t>
            </w:r>
            <w:r w:rsidR="00324B33" w:rsidRPr="00BD5DBD">
              <w:rPr>
                <w:szCs w:val="22"/>
              </w:rPr>
              <w:t>.</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lastRenderedPageBreak/>
              <w:t>Pregnancy category:</w:t>
            </w:r>
          </w:p>
        </w:tc>
        <w:tc>
          <w:tcPr>
            <w:tcW w:w="3423" w:type="pct"/>
          </w:tcPr>
          <w:p w14:paraId="65B71ABE" w14:textId="0EF88570" w:rsidR="00C91776" w:rsidRDefault="00C91776" w:rsidP="007967C3">
            <w:r w:rsidRPr="00C91776">
              <w:t>Category B1</w:t>
            </w:r>
          </w:p>
          <w:p w14:paraId="547A6463" w14:textId="74A75EAA" w:rsidR="000C4CCD" w:rsidRDefault="00EC3BB3" w:rsidP="00EC3BB3">
            <w:r w:rsidRPr="00EC3BB3">
              <w:t xml:space="preserve">The available clinical experience with use of </w:t>
            </w:r>
            <w:proofErr w:type="spellStart"/>
            <w:r w:rsidRPr="00EC3BB3">
              <w:t>ustekinumab</w:t>
            </w:r>
            <w:proofErr w:type="spellEnd"/>
            <w:r w:rsidRPr="00EC3BB3">
              <w:t xml:space="preserve"> is limited. Data from prospectively collected pregnancies following exposure to </w:t>
            </w:r>
            <w:proofErr w:type="spellStart"/>
            <w:r w:rsidRPr="00EC3BB3">
              <w:t>ustekinumab</w:t>
            </w:r>
            <w:proofErr w:type="spellEnd"/>
            <w:r w:rsidRPr="00EC3BB3">
              <w:t xml:space="preserve"> resulting in live birth with known outcomes, including more than 450 pregnancies exposed during the first trimester, do not indicate an increased risk of malformations in the newborn. However, the risk of harm to a </w:t>
            </w:r>
            <w:r w:rsidR="00D61C1D" w:rsidRPr="00EC3BB3">
              <w:t>foetus</w:t>
            </w:r>
            <w:r w:rsidRPr="00EC3BB3">
              <w:t xml:space="preserve"> from </w:t>
            </w:r>
            <w:proofErr w:type="spellStart"/>
            <w:r w:rsidRPr="00EC3BB3">
              <w:t>ustekinumab</w:t>
            </w:r>
            <w:proofErr w:type="spellEnd"/>
            <w:r w:rsidRPr="00EC3BB3">
              <w:t xml:space="preserve"> use in pregnancy cannot be completely excluded</w:t>
            </w:r>
            <w:r w:rsidR="000C4CCD">
              <w:t>.</w:t>
            </w:r>
          </w:p>
          <w:p w14:paraId="1C434388" w14:textId="753311AB" w:rsidR="000C4CCD" w:rsidRDefault="00EC3BB3" w:rsidP="00EC3BB3">
            <w:r w:rsidRPr="00EC3BB3">
              <w:t xml:space="preserve">Developmental toxicity studies of </w:t>
            </w:r>
            <w:proofErr w:type="spellStart"/>
            <w:r w:rsidRPr="00EC3BB3">
              <w:t>ustekinumab</w:t>
            </w:r>
            <w:proofErr w:type="spellEnd"/>
            <w:r w:rsidRPr="00EC3BB3">
              <w:t xml:space="preserve"> were conducted in cynomolgus monkeys. No evidence of maternal toxicity, embryotoxicity or teratogenicity was observed at doses up to 45 mg/kg following weekly or twice weekly administration via the intravenous or subcutaneous routes, respectively, during the period of organogenesis. However, animal reproductive and developmental studies are not always predictive of human response</w:t>
            </w:r>
            <w:r w:rsidR="000C4CCD">
              <w:t>.</w:t>
            </w:r>
          </w:p>
          <w:p w14:paraId="22A2D400" w14:textId="56A1E7B7" w:rsidR="00EC3BB3" w:rsidRDefault="00EC3BB3" w:rsidP="00EC3BB3">
            <w:r w:rsidRPr="00EC3BB3">
              <w:t>Ustekinumab may be given to a pregnant woman if the benefit clearly outweighs the risk.</w:t>
            </w:r>
          </w:p>
          <w:p w14:paraId="76497789" w14:textId="11BB43E3"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8"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9"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095F0157" w14:textId="77777777" w:rsidR="00817EB8" w:rsidRDefault="00817EB8">
      <w:pPr>
        <w:rPr>
          <w:rFonts w:ascii="Arial" w:eastAsia="Times New Roman" w:hAnsi="Arial" w:cs="Times New Roman"/>
          <w:b/>
          <w:bCs/>
          <w:color w:val="001871"/>
          <w:sz w:val="32"/>
          <w:szCs w:val="32"/>
        </w:rPr>
      </w:pPr>
      <w:bookmarkStart w:id="15" w:name="_Toc247691503"/>
      <w:bookmarkStart w:id="16" w:name="_Toc314842484"/>
      <w:bookmarkStart w:id="17" w:name="_Toc103679290"/>
      <w:r>
        <w:br w:type="page"/>
      </w:r>
    </w:p>
    <w:p w14:paraId="51F2479F" w14:textId="7DA6F702" w:rsidR="00324B33" w:rsidRDefault="00324B33" w:rsidP="00324B33">
      <w:pPr>
        <w:pStyle w:val="Heading3"/>
      </w:pPr>
      <w:bookmarkStart w:id="18" w:name="_Toc212469857"/>
      <w:r>
        <w:lastRenderedPageBreak/>
        <w:t>Product background</w:t>
      </w:r>
      <w:bookmarkEnd w:id="15"/>
      <w:bookmarkEnd w:id="16"/>
      <w:bookmarkEnd w:id="17"/>
      <w:bookmarkEnd w:id="18"/>
    </w:p>
    <w:p w14:paraId="59BF31D1" w14:textId="0473B413" w:rsidR="001500A8" w:rsidRPr="00065839" w:rsidRDefault="00324B33" w:rsidP="00065839">
      <w:r w:rsidRPr="00065839">
        <w:t xml:space="preserve">This AusPAR describes the submission by </w:t>
      </w:r>
      <w:r w:rsidR="00A64625">
        <w:t>Cipla Australia</w:t>
      </w:r>
      <w:r w:rsidR="004023FD">
        <w:t xml:space="preserve"> </w:t>
      </w:r>
      <w:r w:rsidRPr="00065839">
        <w:t xml:space="preserve">to register </w:t>
      </w:r>
      <w:r w:rsidR="00D2294A" w:rsidRPr="00D2294A">
        <w:rPr>
          <w:iCs/>
        </w:rPr>
        <w:t>U</w:t>
      </w:r>
      <w:r w:rsidR="00D2294A">
        <w:rPr>
          <w:iCs/>
        </w:rPr>
        <w:t>teknix</w:t>
      </w:r>
      <w:r w:rsidR="00D2294A" w:rsidRPr="00D2294A">
        <w:rPr>
          <w:iCs/>
        </w:rPr>
        <w:t xml:space="preserve"> (</w:t>
      </w:r>
      <w:proofErr w:type="spellStart"/>
      <w:r w:rsidR="00D2294A" w:rsidRPr="00D2294A">
        <w:rPr>
          <w:iCs/>
        </w:rPr>
        <w:t>ustekinumab</w:t>
      </w:r>
      <w:proofErr w:type="spellEnd"/>
      <w:r w:rsidR="00D2294A" w:rsidRPr="00D2294A">
        <w:rPr>
          <w:iCs/>
        </w:rPr>
        <w:t>)</w:t>
      </w:r>
      <w:r w:rsidR="00FB68A5">
        <w:rPr>
          <w:iCs/>
        </w:rPr>
        <w:t xml:space="preserve"> </w:t>
      </w:r>
      <w:r w:rsidR="00FB68A5" w:rsidRPr="00FB68A5">
        <w:rPr>
          <w:iCs/>
        </w:rPr>
        <w:t>45</w:t>
      </w:r>
      <w:r w:rsidR="00B01C02">
        <w:rPr>
          <w:iCs/>
        </w:rPr>
        <w:t> </w:t>
      </w:r>
      <w:r w:rsidR="00FB68A5" w:rsidRPr="00FB68A5">
        <w:rPr>
          <w:iCs/>
        </w:rPr>
        <w:t xml:space="preserve">mg/0.5 mL and 90 mg/1.0 mL pre-filled syringe presentations (for subcutaneous injection) </w:t>
      </w:r>
      <w:r w:rsidRPr="00065839">
        <w:t>for the following proposed indication</w:t>
      </w:r>
      <w:r w:rsidR="00A95BB5">
        <w:t>s</w:t>
      </w:r>
      <w:r w:rsidRPr="00065839">
        <w:t>:</w:t>
      </w:r>
      <w:r w:rsidR="00D63760" w:rsidRPr="00065839">
        <w:rPr>
          <w:vertAlign w:val="superscript"/>
        </w:rPr>
        <w:footnoteReference w:id="1"/>
      </w:r>
    </w:p>
    <w:p w14:paraId="25D2924A" w14:textId="77777777" w:rsidR="00847A7A" w:rsidRPr="00847A7A" w:rsidRDefault="00847A7A" w:rsidP="00471A1F">
      <w:pPr>
        <w:ind w:left="720"/>
        <w:rPr>
          <w:i/>
        </w:rPr>
      </w:pPr>
      <w:r w:rsidRPr="00847A7A">
        <w:rPr>
          <w:i/>
        </w:rPr>
        <w:t>Plaque psoriasis</w:t>
      </w:r>
    </w:p>
    <w:p w14:paraId="1A42DF9A" w14:textId="7297328E" w:rsidR="00847A7A" w:rsidRPr="00FD0FF4" w:rsidRDefault="00847A7A" w:rsidP="00471A1F">
      <w:pPr>
        <w:ind w:left="720"/>
        <w:rPr>
          <w:iCs/>
        </w:rPr>
      </w:pPr>
      <w:r>
        <w:rPr>
          <w:i/>
        </w:rPr>
        <w:t>Uteknix</w:t>
      </w:r>
      <w:r w:rsidRPr="00FD0FF4">
        <w:rPr>
          <w:i/>
        </w:rPr>
        <w:t xml:space="preserve"> is indicated for the treatment of adult pa</w:t>
      </w:r>
      <w:r>
        <w:rPr>
          <w:i/>
        </w:rPr>
        <w:t>tients (18 years or older) with moderate to severe plaque psoriasis who are candidates for phototherapy or systemic therapy.</w:t>
      </w:r>
    </w:p>
    <w:p w14:paraId="1288CBB3" w14:textId="41334ACD" w:rsidR="00847A7A" w:rsidRPr="00847A7A" w:rsidRDefault="00847A7A" w:rsidP="00B37261">
      <w:pPr>
        <w:ind w:left="720"/>
        <w:rPr>
          <w:i/>
        </w:rPr>
      </w:pPr>
      <w:r w:rsidRPr="00847A7A">
        <w:rPr>
          <w:i/>
        </w:rPr>
        <w:t>Psoriatic arthritis</w:t>
      </w:r>
    </w:p>
    <w:p w14:paraId="09F3FF50" w14:textId="17F783F9" w:rsidR="000C4CCD" w:rsidRDefault="00847A7A" w:rsidP="00471A1F">
      <w:pPr>
        <w:ind w:left="720"/>
        <w:rPr>
          <w:i/>
        </w:rPr>
      </w:pPr>
      <w:r>
        <w:rPr>
          <w:i/>
        </w:rPr>
        <w:t>U</w:t>
      </w:r>
      <w:r w:rsidR="00A071E8">
        <w:rPr>
          <w:i/>
        </w:rPr>
        <w:t>teknix,</w:t>
      </w:r>
      <w:r>
        <w:rPr>
          <w:i/>
        </w:rPr>
        <w:t xml:space="preserve"> alone or in combination with methotrexate, is indicated for the treatment of signs and symptoms of active psoriatic arthritis in adult patients (18 years and older) where response to previous non-biological DMARD therapy has been inadequate</w:t>
      </w:r>
      <w:r w:rsidR="000C4CCD">
        <w:rPr>
          <w:i/>
        </w:rPr>
        <w:t>.</w:t>
      </w:r>
    </w:p>
    <w:p w14:paraId="1E63A2AE" w14:textId="020B637A" w:rsidR="00CB6813" w:rsidRDefault="00005DFC" w:rsidP="00CB6813">
      <w:pPr>
        <w:pStyle w:val="Heading4"/>
      </w:pPr>
      <w:bookmarkStart w:id="19" w:name="_Toc212469858"/>
      <w:bookmarkStart w:id="20" w:name="_Toc314842485"/>
      <w:bookmarkStart w:id="21" w:name="_Toc247691504"/>
      <w:r>
        <w:t>D</w:t>
      </w:r>
      <w:r w:rsidR="00CB6813" w:rsidRPr="00C12D65">
        <w:t>isease</w:t>
      </w:r>
      <w:r w:rsidR="006428C5">
        <w:t xml:space="preserve"> or condition</w:t>
      </w:r>
      <w:bookmarkEnd w:id="19"/>
    </w:p>
    <w:p w14:paraId="4A4414FC" w14:textId="352D99BA" w:rsidR="000C4CCD" w:rsidRDefault="00A90090" w:rsidP="00A90090">
      <w:r w:rsidRPr="00A90090">
        <w:t>Psoriasis is a chronic, immune-mediated inflammatory skin disease with a variety of clinical manifestations affecting approximately 2</w:t>
      </w:r>
      <w:r w:rsidR="00B01C02">
        <w:t xml:space="preserve"> to </w:t>
      </w:r>
      <w:r w:rsidRPr="00A90090">
        <w:t>3% of the population worldwide, with prevalence estimates in Australia ranging from 2.3 to 6.6%.</w:t>
      </w:r>
      <w:r w:rsidRPr="00A90090">
        <w:rPr>
          <w:vertAlign w:val="superscript"/>
        </w:rPr>
        <w:footnoteReference w:id="2"/>
      </w:r>
      <w:r w:rsidRPr="00A90090">
        <w:t xml:space="preserve"> Chronic plaque psoriasis is the most common subtype characterised by well-demarcated erythematous plaques with an overlying coarse scale often associated with itch, with extent of involvement ranging from localised disease to involvement of the majority of the body surface area.</w:t>
      </w:r>
      <w:r w:rsidRPr="00A90090">
        <w:rPr>
          <w:vertAlign w:val="superscript"/>
        </w:rPr>
        <w:footnoteReference w:id="3"/>
      </w:r>
      <w:r w:rsidRPr="00A90090">
        <w:t xml:space="preserve"> Other recognised subtypes include guttate psoriasis, pustular psoriasis and erythrodermic subtypes. Psoriasis shows no significant difference in prevalence or incidence between males and females, with peak ages of onset reported as 30</w:t>
      </w:r>
      <w:r w:rsidR="00B01C02">
        <w:t xml:space="preserve"> to </w:t>
      </w:r>
      <w:r w:rsidRPr="00A90090">
        <w:t>39 years and 50</w:t>
      </w:r>
      <w:r w:rsidR="00B01C02">
        <w:t xml:space="preserve"> to </w:t>
      </w:r>
      <w:r w:rsidRPr="00A90090">
        <w:t>69 years, though it can occur at any age.</w:t>
      </w:r>
      <w:r w:rsidR="00042FE5" w:rsidRPr="00042FE5">
        <w:rPr>
          <w:vertAlign w:val="superscript"/>
        </w:rPr>
        <w:t>2</w:t>
      </w:r>
      <w:r w:rsidRPr="00A90090">
        <w:t xml:space="preserve"> The clinical course of psoriasis is highly variable, but it tends to be a chronic disease. Patients with psoriasis are at risk for psoriatic arthritis, which may manifest before or after skin manifestations</w:t>
      </w:r>
      <w:r w:rsidR="000C4CCD">
        <w:t>.</w:t>
      </w:r>
    </w:p>
    <w:p w14:paraId="52FE053F" w14:textId="75FEC7CE" w:rsidR="00A90090" w:rsidRPr="00A90090" w:rsidRDefault="00A90090" w:rsidP="00A90090">
      <w:r w:rsidRPr="00A90090">
        <w:t>Psoriatic arthritis is a chronic inflammatory arthritis which occurs in approximately 20% of patients with psoriasis.</w:t>
      </w:r>
      <w:r w:rsidRPr="00A90090">
        <w:rPr>
          <w:vertAlign w:val="superscript"/>
        </w:rPr>
        <w:footnoteReference w:id="4"/>
      </w:r>
      <w:r w:rsidRPr="00A90090">
        <w:t xml:space="preserve"> Clinical manifestations are variable and inflammatory changes may affect small joints, large joints, the axial skeleton, as well as enthesitis and dactylitis.</w:t>
      </w:r>
      <w:r w:rsidRPr="00A90090">
        <w:rPr>
          <w:vertAlign w:val="superscript"/>
        </w:rPr>
        <w:footnoteReference w:id="5"/>
      </w:r>
      <w:r w:rsidRPr="00A90090">
        <w:t xml:space="preserve"> Pain and stiffness in inflamed joints is the most common manifestation, with fatigue a common associated symptom.</w:t>
      </w:r>
      <w:r w:rsidR="00AF213F">
        <w:rPr>
          <w:vertAlign w:val="superscript"/>
        </w:rPr>
        <w:t>5</w:t>
      </w:r>
      <w:r w:rsidRPr="00A90090">
        <w:t xml:space="preserve"> Stiffness is classically worse with immobility, and relieved by physical activity. Joint involvement is variable and may be categorised as symmetric or asymmetric, and polyarthritis or </w:t>
      </w:r>
      <w:proofErr w:type="spellStart"/>
      <w:r w:rsidRPr="00A90090">
        <w:t>oligoarthritis</w:t>
      </w:r>
      <w:proofErr w:type="spellEnd"/>
      <w:r w:rsidRPr="00A90090">
        <w:t>, with less than five joints involved.</w:t>
      </w:r>
      <w:r w:rsidR="002A0F8F">
        <w:rPr>
          <w:vertAlign w:val="superscript"/>
        </w:rPr>
        <w:t>4</w:t>
      </w:r>
      <w:r w:rsidRPr="00A90090">
        <w:rPr>
          <w:vertAlign w:val="superscript"/>
        </w:rPr>
        <w:t>,</w:t>
      </w:r>
      <w:r w:rsidR="002A0F8F">
        <w:rPr>
          <w:vertAlign w:val="superscript"/>
        </w:rPr>
        <w:t>5</w:t>
      </w:r>
      <w:r w:rsidRPr="00A90090">
        <w:t xml:space="preserve"> Apart from psoriatic skin disease, other common extraarticular manifestations include nail changes and uveitis. The diagnosis is typically clinical.</w:t>
      </w:r>
      <w:r w:rsidRPr="00A90090">
        <w:rPr>
          <w:vertAlign w:val="superscript"/>
        </w:rPr>
        <w:t>4</w:t>
      </w:r>
      <w:r w:rsidR="002A0F8F">
        <w:rPr>
          <w:vertAlign w:val="superscript"/>
        </w:rPr>
        <w:t>,5</w:t>
      </w:r>
    </w:p>
    <w:p w14:paraId="255E083A" w14:textId="77777777" w:rsidR="00CB6813" w:rsidRDefault="00CB6813" w:rsidP="00CB6813">
      <w:pPr>
        <w:pStyle w:val="Heading4"/>
      </w:pPr>
      <w:bookmarkStart w:id="22" w:name="_Toc212469859"/>
      <w:r>
        <w:lastRenderedPageBreak/>
        <w:t>Current treatment options</w:t>
      </w:r>
      <w:bookmarkEnd w:id="22"/>
    </w:p>
    <w:p w14:paraId="1C1E1EAD" w14:textId="36859521" w:rsidR="00D5566F" w:rsidRPr="00D5566F" w:rsidRDefault="00D5566F" w:rsidP="00DD3AB9">
      <w:r w:rsidRPr="00D5566F">
        <w:t>Treatment of psoriasis depends on location and severity of disease. Topical treatments which may be used alone or in combination include topical corticosteroids, tars (often in combination with a keratolytic such as salicylic acid) and calcipotriol. For severe disease, or disease not adequately treated by topical preparations, treatment options include phototherapy, non</w:t>
      </w:r>
      <w:r w:rsidR="001F10B1">
        <w:noBreakHyphen/>
      </w:r>
      <w:r w:rsidRPr="00D5566F">
        <w:t xml:space="preserve">biologic systemic therapies including methotrexate, acitretin, apremilast and ciclosporin, as well as biologic therapies with a number of different targets, including IL-17A, IL-12 and IL-23, IL-23 alone, </w:t>
      </w:r>
      <w:r w:rsidRPr="00DB12DA">
        <w:t>and TNFα. Biologic agents</w:t>
      </w:r>
      <w:r w:rsidRPr="00D5566F">
        <w:t xml:space="preserve"> currently included on the ARTG which list plaque psoriasis as an approved therapeutic indication include: adalimumab, </w:t>
      </w:r>
      <w:proofErr w:type="spellStart"/>
      <w:r w:rsidRPr="00D5566F">
        <w:t>bimekizumab</w:t>
      </w:r>
      <w:proofErr w:type="spellEnd"/>
      <w:r w:rsidRPr="00D5566F">
        <w:t xml:space="preserve">, certolizumab, etanercept, </w:t>
      </w:r>
      <w:proofErr w:type="spellStart"/>
      <w:r w:rsidRPr="00D5566F">
        <w:t>guselkumab</w:t>
      </w:r>
      <w:proofErr w:type="spellEnd"/>
      <w:r w:rsidRPr="00D5566F">
        <w:t xml:space="preserve">, infliximab, </w:t>
      </w:r>
      <w:proofErr w:type="spellStart"/>
      <w:r w:rsidRPr="00D5566F">
        <w:t>ixekizumab</w:t>
      </w:r>
      <w:proofErr w:type="spellEnd"/>
      <w:r w:rsidRPr="00D5566F">
        <w:t xml:space="preserve">, </w:t>
      </w:r>
      <w:proofErr w:type="spellStart"/>
      <w:r w:rsidRPr="00D5566F">
        <w:t>risankizumab</w:t>
      </w:r>
      <w:proofErr w:type="spellEnd"/>
      <w:r w:rsidRPr="00D5566F">
        <w:t xml:space="preserve">, </w:t>
      </w:r>
      <w:proofErr w:type="spellStart"/>
      <w:r w:rsidRPr="00D5566F">
        <w:t>secukinumab</w:t>
      </w:r>
      <w:proofErr w:type="spellEnd"/>
      <w:r w:rsidRPr="00D5566F">
        <w:t xml:space="preserve">, tildrakizumab, and </w:t>
      </w:r>
      <w:proofErr w:type="spellStart"/>
      <w:r w:rsidRPr="00D5566F">
        <w:t>ustekinumab</w:t>
      </w:r>
      <w:proofErr w:type="spellEnd"/>
      <w:r w:rsidRPr="00D5566F">
        <w:t xml:space="preserve">. The small molecule medicine </w:t>
      </w:r>
      <w:proofErr w:type="spellStart"/>
      <w:r w:rsidRPr="00D5566F">
        <w:t>deucravacitinib</w:t>
      </w:r>
      <w:proofErr w:type="spellEnd"/>
      <w:r w:rsidRPr="00D5566F">
        <w:t xml:space="preserve"> is also indicated for plaque psoriasis.</w:t>
      </w:r>
    </w:p>
    <w:p w14:paraId="7165F023" w14:textId="3DB6EAA8" w:rsidR="00DD3AB9" w:rsidRPr="00DD3AB9" w:rsidRDefault="00DD3AB9" w:rsidP="00DD3AB9">
      <w:r w:rsidRPr="00DD3AB9">
        <w:t>Treatment of psoriatic arthritis depends on specific clinical manifestations and severity, and forms part of global psoriatic treatment which considers domains of skin, nail and musculoskeletal manifestations. General principles of treatment include the targeting of multiple domains of disease with a single drug or regimen to minimise polypharmacy, and an aim for good control of disease to mitigate joint destruction due to arthritis.</w:t>
      </w:r>
      <w:r w:rsidRPr="00DD3AB9">
        <w:rPr>
          <w:vertAlign w:val="superscript"/>
        </w:rPr>
        <w:footnoteReference w:id="6"/>
      </w:r>
    </w:p>
    <w:p w14:paraId="6EBA5789" w14:textId="2F7F0480" w:rsidR="00DD3AB9" w:rsidRPr="00DD3AB9" w:rsidRDefault="00DD3AB9" w:rsidP="00DD3AB9">
      <w:r w:rsidRPr="00DD3AB9">
        <w:t>Non-steroidal anti-inflammatory drugs have a role for most patients, while intra-articular corticosteroid injection is an option for monoarticular or oligoarticular disease.</w:t>
      </w:r>
      <w:r w:rsidR="003475F0">
        <w:rPr>
          <w:vertAlign w:val="superscript"/>
        </w:rPr>
        <w:t>6</w:t>
      </w:r>
      <w:r w:rsidRPr="00DD3AB9">
        <w:t xml:space="preserve"> There are a number of disease-modifying drug options for patients with peripheral joint predominant disease; conventional agents including methotrexate, sulfasalazine, or leflunomide, biologic agents targeting tumour necrosis factor including adalimumab, infliximab, certolizumab, etanercept and golimumab, as well as biologic agents with other targets including </w:t>
      </w:r>
      <w:proofErr w:type="spellStart"/>
      <w:r w:rsidRPr="00DD3AB9">
        <w:t>ustekinumab</w:t>
      </w:r>
      <w:proofErr w:type="spellEnd"/>
      <w:r w:rsidRPr="00DD3AB9">
        <w:t xml:space="preserve"> and secukinumab.</w:t>
      </w:r>
      <w:r w:rsidR="002815A0">
        <w:rPr>
          <w:vertAlign w:val="superscript"/>
        </w:rPr>
        <w:t>6</w:t>
      </w:r>
      <w:r w:rsidRPr="00DD3AB9">
        <w:rPr>
          <w:vertAlign w:val="superscript"/>
        </w:rPr>
        <w:t>,</w:t>
      </w:r>
      <w:r w:rsidRPr="00DD3AB9">
        <w:rPr>
          <w:vertAlign w:val="superscript"/>
        </w:rPr>
        <w:footnoteReference w:id="7"/>
      </w:r>
      <w:r w:rsidRPr="00DD3AB9">
        <w:t xml:space="preserve"> Apremilast has particular utility for patients with prominent enthesitis and dactylitis.</w:t>
      </w:r>
      <w:r w:rsidR="002815A0">
        <w:rPr>
          <w:vertAlign w:val="superscript"/>
        </w:rPr>
        <w:t>7</w:t>
      </w:r>
      <w:r w:rsidRPr="00DD3AB9">
        <w:t xml:space="preserve"> In patients with axial skeleton predominant disease biologic agents are generally preferred to conventional disease modifying agents, including agents targeting tumour necrosis factor and IL-17, whilst for some patients Janus kinase inhibitors such as tofacitinib or </w:t>
      </w:r>
      <w:proofErr w:type="spellStart"/>
      <w:r w:rsidRPr="00DD3AB9">
        <w:t>upadacitinib</w:t>
      </w:r>
      <w:proofErr w:type="spellEnd"/>
      <w:r w:rsidRPr="00DD3AB9">
        <w:t xml:space="preserve"> may be used.</w:t>
      </w:r>
      <w:r w:rsidRPr="00DD3AB9">
        <w:rPr>
          <w:vertAlign w:val="superscript"/>
        </w:rPr>
        <w:footnoteReference w:id="8"/>
      </w:r>
    </w:p>
    <w:p w14:paraId="37C47E09" w14:textId="14D3762D" w:rsidR="00CB6813" w:rsidRDefault="00CB6813" w:rsidP="00CB6813">
      <w:pPr>
        <w:pStyle w:val="Heading4"/>
      </w:pPr>
      <w:bookmarkStart w:id="23" w:name="_Toc212469860"/>
      <w:r w:rsidRPr="000B186C">
        <w:t>Clinical rational</w:t>
      </w:r>
      <w:r w:rsidR="0025785B" w:rsidRPr="000B186C">
        <w:t>e</w:t>
      </w:r>
      <w:bookmarkEnd w:id="23"/>
    </w:p>
    <w:p w14:paraId="554DAA71" w14:textId="67F339A8" w:rsidR="00114598" w:rsidRDefault="00114598" w:rsidP="005C4344">
      <w:r>
        <w:t xml:space="preserve">Ustekinumab is a recombinant human IgG1 kappa monoclonal antibody that specifically binds </w:t>
      </w:r>
      <w:r w:rsidR="00E00D4C">
        <w:t xml:space="preserve">to </w:t>
      </w:r>
      <w:r>
        <w:t>the shared p40 protein subunit of the human cytokines IL-12 and IL-23, inhibiting receptor binding and subsequent signalling pathways. IL-12 is implicated in differentiation of CD4+ T cells toward the Th1 pathway with subsequent interferon-gamma production, whilst IL-23 induces the Th17 T-cell pathway with subsequent secretion of additional cytokines. Ustekinumab has demonstrated efficacy in psoriasis, psoriatic arthritis, Crohn’s disease and ulcerative colitis.</w:t>
      </w:r>
    </w:p>
    <w:p w14:paraId="4F1E809E" w14:textId="34E4115B" w:rsidR="00114598" w:rsidRDefault="00114598" w:rsidP="005C4344">
      <w:pPr>
        <w:rPr>
          <w:i/>
          <w:color w:val="007099"/>
        </w:rPr>
      </w:pPr>
      <w:r>
        <w:t>U</w:t>
      </w:r>
      <w:r w:rsidR="0003190D">
        <w:t>te</w:t>
      </w:r>
      <w:r w:rsidR="005C4344">
        <w:t>knix</w:t>
      </w:r>
      <w:r>
        <w:t xml:space="preserve"> is a biosimilar to the innovator product S</w:t>
      </w:r>
      <w:r w:rsidR="005C4344">
        <w:t>telara</w:t>
      </w:r>
      <w:r>
        <w:t xml:space="preserve"> (</w:t>
      </w:r>
      <w:proofErr w:type="spellStart"/>
      <w:r>
        <w:t>ustekinumab</w:t>
      </w:r>
      <w:proofErr w:type="spellEnd"/>
      <w:r>
        <w:t>)</w:t>
      </w:r>
      <w:r w:rsidR="00EC5AE0">
        <w:t>. T</w:t>
      </w:r>
      <w:r>
        <w:t>his application seeks approval for U</w:t>
      </w:r>
      <w:r w:rsidR="005C4344">
        <w:t>teknix</w:t>
      </w:r>
      <w:r>
        <w:t xml:space="preserve"> in 45 mg/0.5 mL pre-filled syringe and 90 mg/1.0 mL prefilled syringe presentations, corresponding to two of the six currently approved presentations for S</w:t>
      </w:r>
      <w:r w:rsidR="005C4344">
        <w:t>telara</w:t>
      </w:r>
      <w:r>
        <w:t>.</w:t>
      </w:r>
      <w:r w:rsidR="0003190D" w:rsidRPr="0003190D">
        <w:rPr>
          <w:rFonts w:cs="Cambria"/>
          <w:szCs w:val="22"/>
        </w:rPr>
        <w:t xml:space="preserve"> </w:t>
      </w:r>
      <w:r w:rsidR="0003190D" w:rsidRPr="0003190D">
        <w:t xml:space="preserve">If approved, </w:t>
      </w:r>
      <w:r w:rsidR="005C4344">
        <w:t>Uteknix</w:t>
      </w:r>
      <w:r w:rsidR="0003190D" w:rsidRPr="0003190D">
        <w:t xml:space="preserve"> will be an alternative to S</w:t>
      </w:r>
      <w:r w:rsidR="005C4344">
        <w:t>telara</w:t>
      </w:r>
      <w:r w:rsidR="0003190D" w:rsidRPr="0003190D">
        <w:t xml:space="preserve"> and other </w:t>
      </w:r>
      <w:proofErr w:type="spellStart"/>
      <w:r w:rsidR="0003190D" w:rsidRPr="0003190D">
        <w:t>ustekinumab</w:t>
      </w:r>
      <w:proofErr w:type="spellEnd"/>
      <w:r w:rsidR="0003190D" w:rsidRPr="0003190D">
        <w:t xml:space="preserve"> biosimilar</w:t>
      </w:r>
      <w:r w:rsidR="005C4344">
        <w:t xml:space="preserve"> </w:t>
      </w:r>
      <w:r w:rsidR="0003190D" w:rsidRPr="0003190D">
        <w:t xml:space="preserve">products. If the supply of one or more </w:t>
      </w:r>
      <w:proofErr w:type="spellStart"/>
      <w:r w:rsidR="0003190D" w:rsidRPr="0003190D">
        <w:t>ustekinumab</w:t>
      </w:r>
      <w:proofErr w:type="spellEnd"/>
      <w:r w:rsidR="0003190D" w:rsidRPr="0003190D">
        <w:t xml:space="preserve"> products is disrupted, the availability of </w:t>
      </w:r>
      <w:proofErr w:type="gramStart"/>
      <w:r w:rsidR="0003190D" w:rsidRPr="0003190D">
        <w:t>a</w:t>
      </w:r>
      <w:r w:rsidR="005C4344">
        <w:t xml:space="preserve"> </w:t>
      </w:r>
      <w:r w:rsidR="0003190D" w:rsidRPr="0003190D">
        <w:t>number of</w:t>
      </w:r>
      <w:proofErr w:type="gramEnd"/>
      <w:r w:rsidR="0003190D" w:rsidRPr="0003190D">
        <w:t xml:space="preserve"> biosimilar </w:t>
      </w:r>
      <w:proofErr w:type="spellStart"/>
      <w:r w:rsidR="0003190D" w:rsidRPr="0003190D">
        <w:t>ustekinumab</w:t>
      </w:r>
      <w:proofErr w:type="spellEnd"/>
      <w:r w:rsidR="0003190D" w:rsidRPr="0003190D">
        <w:t xml:space="preserve"> products on the ARTG will enable ongoing access to</w:t>
      </w:r>
      <w:r w:rsidR="005C4344">
        <w:t xml:space="preserve"> </w:t>
      </w:r>
      <w:r w:rsidR="0003190D" w:rsidRPr="0003190D">
        <w:t>treatment.</w:t>
      </w:r>
      <w:r w:rsidR="001F1087">
        <w:t>t</w:t>
      </w:r>
    </w:p>
    <w:p w14:paraId="0D615854" w14:textId="77777777" w:rsidR="00324B33" w:rsidRPr="003F31A2" w:rsidRDefault="00324B33" w:rsidP="00324B33">
      <w:pPr>
        <w:pStyle w:val="Heading3"/>
      </w:pPr>
      <w:bookmarkStart w:id="24" w:name="_Toc103679291"/>
      <w:bookmarkStart w:id="25" w:name="_Toc212469861"/>
      <w:r>
        <w:lastRenderedPageBreak/>
        <w:t>Regulatory status</w:t>
      </w:r>
      <w:bookmarkEnd w:id="20"/>
      <w:bookmarkEnd w:id="21"/>
      <w:bookmarkEnd w:id="24"/>
      <w:bookmarkEnd w:id="25"/>
    </w:p>
    <w:p w14:paraId="72C889D6" w14:textId="7E200950" w:rsidR="0017005C" w:rsidRPr="00BD5DBD" w:rsidRDefault="0017005C" w:rsidP="00741AB9">
      <w:pPr>
        <w:pStyle w:val="Heading4"/>
      </w:pPr>
      <w:bookmarkStart w:id="26" w:name="_Toc212469862"/>
      <w:r w:rsidRPr="00BD5DBD">
        <w:t>Australian regulatory</w:t>
      </w:r>
      <w:r>
        <w:t xml:space="preserve"> sta</w:t>
      </w:r>
      <w:r w:rsidR="0025785B">
        <w:t>t</w:t>
      </w:r>
      <w:r>
        <w:t>us</w:t>
      </w:r>
      <w:bookmarkEnd w:id="26"/>
    </w:p>
    <w:p w14:paraId="65AA26E3" w14:textId="32DC6F92" w:rsidR="0040294C" w:rsidRDefault="0040294C" w:rsidP="0040294C">
      <w:pPr>
        <w:rPr>
          <w:lang w:val="en-US"/>
        </w:rPr>
      </w:pPr>
      <w:r>
        <w:rPr>
          <w:lang w:val="en-US"/>
        </w:rPr>
        <w:t>The innovator product</w:t>
      </w:r>
      <w:r w:rsidR="00436EE9">
        <w:rPr>
          <w:lang w:val="en-US"/>
        </w:rPr>
        <w:t>,</w:t>
      </w:r>
      <w:r>
        <w:rPr>
          <w:lang w:val="en-US"/>
        </w:rPr>
        <w:t xml:space="preserve"> S</w:t>
      </w:r>
      <w:r w:rsidR="00366B8A">
        <w:rPr>
          <w:lang w:val="en-US"/>
        </w:rPr>
        <w:t>telara</w:t>
      </w:r>
      <w:r w:rsidR="00436EE9">
        <w:rPr>
          <w:lang w:val="en-US"/>
        </w:rPr>
        <w:t>,</w:t>
      </w:r>
      <w:r>
        <w:rPr>
          <w:lang w:val="en-US"/>
        </w:rPr>
        <w:t xml:space="preserve"> was first included in the ARTG in 2009 and is currently approved for the following therapeutic indications:</w:t>
      </w:r>
    </w:p>
    <w:p w14:paraId="4BA2CB79" w14:textId="3B9491AE" w:rsidR="0040294C" w:rsidRPr="00300A99" w:rsidRDefault="0040294C" w:rsidP="00CC377A">
      <w:pPr>
        <w:pStyle w:val="ListBullet"/>
        <w:rPr>
          <w:i/>
          <w:iCs/>
          <w:lang w:val="en-US"/>
        </w:rPr>
      </w:pPr>
      <w:r>
        <w:rPr>
          <w:lang w:val="en-US"/>
        </w:rPr>
        <w:t xml:space="preserve">Plaque Psoriasis, Adults: </w:t>
      </w:r>
      <w:r w:rsidRPr="00300A99">
        <w:rPr>
          <w:i/>
          <w:iCs/>
          <w:lang w:val="en-US"/>
        </w:rPr>
        <w:t>S</w:t>
      </w:r>
      <w:r w:rsidR="00436EE9" w:rsidRPr="00300A99">
        <w:rPr>
          <w:i/>
          <w:iCs/>
          <w:lang w:val="en-US"/>
        </w:rPr>
        <w:t>telara</w:t>
      </w:r>
      <w:r w:rsidRPr="00300A99">
        <w:rPr>
          <w:i/>
          <w:iCs/>
          <w:lang w:val="en-US"/>
        </w:rPr>
        <w:t xml:space="preserve"> is indicated for the treatment of adult patients (18 years or older) with moderate to severe plaque psoriasis who are candidates for phototherapy or systemic therapy.</w:t>
      </w:r>
    </w:p>
    <w:p w14:paraId="3F64C835" w14:textId="4DA585BE" w:rsidR="0040294C" w:rsidRPr="00300A99" w:rsidRDefault="0040294C" w:rsidP="00CC377A">
      <w:pPr>
        <w:pStyle w:val="ListBullet"/>
        <w:rPr>
          <w:i/>
          <w:iCs/>
          <w:lang w:val="en-US"/>
        </w:rPr>
      </w:pPr>
      <w:r>
        <w:rPr>
          <w:lang w:val="en-US"/>
        </w:rPr>
        <w:t xml:space="preserve">Plaque psoriasis, </w:t>
      </w:r>
      <w:proofErr w:type="spellStart"/>
      <w:r>
        <w:rPr>
          <w:lang w:val="en-US"/>
        </w:rPr>
        <w:t>paediatric</w:t>
      </w:r>
      <w:proofErr w:type="spellEnd"/>
      <w:r>
        <w:rPr>
          <w:lang w:val="en-US"/>
        </w:rPr>
        <w:t xml:space="preserve"> population 6 years or older: </w:t>
      </w:r>
      <w:r w:rsidRPr="00300A99">
        <w:rPr>
          <w:i/>
          <w:iCs/>
          <w:lang w:val="en-US"/>
        </w:rPr>
        <w:t>S</w:t>
      </w:r>
      <w:r w:rsidR="007823CD" w:rsidRPr="00300A99">
        <w:rPr>
          <w:i/>
          <w:iCs/>
          <w:lang w:val="en-US"/>
        </w:rPr>
        <w:t>telara</w:t>
      </w:r>
      <w:r w:rsidRPr="00300A99">
        <w:rPr>
          <w:i/>
          <w:iCs/>
          <w:lang w:val="en-US"/>
        </w:rPr>
        <w:t xml:space="preserve"> is indicated for the treatment of moderate to severe plaque psoriasis in children and adolescent patients from 6 years of age who are inadequately controlled by, or are intolerant to, other systemic therapies or phototherapies.</w:t>
      </w:r>
    </w:p>
    <w:p w14:paraId="18617EA2" w14:textId="60FAEE67" w:rsidR="0040294C" w:rsidRPr="00CD3AB9" w:rsidRDefault="0040294C" w:rsidP="00CC377A">
      <w:pPr>
        <w:pStyle w:val="ListBullet"/>
        <w:rPr>
          <w:i/>
          <w:iCs/>
          <w:lang w:val="en-US"/>
        </w:rPr>
      </w:pPr>
      <w:r>
        <w:rPr>
          <w:lang w:val="en-US"/>
        </w:rPr>
        <w:t xml:space="preserve">Psoriatic arthritis: </w:t>
      </w:r>
      <w:r w:rsidRPr="003F7C11">
        <w:rPr>
          <w:i/>
          <w:iCs/>
          <w:lang w:val="en-US"/>
        </w:rPr>
        <w:t>S</w:t>
      </w:r>
      <w:r w:rsidR="007823CD" w:rsidRPr="003F7C11">
        <w:rPr>
          <w:i/>
          <w:iCs/>
          <w:lang w:val="en-US"/>
        </w:rPr>
        <w:t>telara</w:t>
      </w:r>
      <w:r w:rsidRPr="003F7C11">
        <w:rPr>
          <w:i/>
          <w:iCs/>
          <w:lang w:val="en-US"/>
        </w:rPr>
        <w:t xml:space="preserve">, alone or in combination with methotrexate, is indicated for the treatment of signs and symptoms of active psoriatic arthritis in adult patients (18 </w:t>
      </w:r>
      <w:proofErr w:type="gramStart"/>
      <w:r w:rsidR="00817EB8" w:rsidRPr="003F7C11">
        <w:rPr>
          <w:i/>
          <w:iCs/>
          <w:lang w:val="en-US"/>
        </w:rPr>
        <w:t>years</w:t>
      </w:r>
      <w:r w:rsidRPr="003F7C11">
        <w:rPr>
          <w:i/>
          <w:iCs/>
          <w:lang w:val="en-US"/>
        </w:rPr>
        <w:t xml:space="preserve"> </w:t>
      </w:r>
      <w:r w:rsidR="00817EB8">
        <w:rPr>
          <w:i/>
          <w:iCs/>
          <w:lang w:val="en-US"/>
        </w:rPr>
        <w:t>and</w:t>
      </w:r>
      <w:proofErr w:type="gramEnd"/>
      <w:r w:rsidR="00817EB8">
        <w:rPr>
          <w:i/>
          <w:iCs/>
          <w:lang w:val="en-US"/>
        </w:rPr>
        <w:t xml:space="preserve"> </w:t>
      </w:r>
      <w:proofErr w:type="gramStart"/>
      <w:r w:rsidRPr="003F7C11">
        <w:rPr>
          <w:i/>
          <w:iCs/>
          <w:lang w:val="en-US"/>
        </w:rPr>
        <w:t>older</w:t>
      </w:r>
      <w:proofErr w:type="gramEnd"/>
      <w:r w:rsidRPr="003F7C11">
        <w:rPr>
          <w:i/>
          <w:iCs/>
          <w:lang w:val="en-US"/>
        </w:rPr>
        <w:t xml:space="preserve">) where response to previous </w:t>
      </w:r>
      <w:r w:rsidRPr="00CD3AB9">
        <w:rPr>
          <w:i/>
          <w:iCs/>
          <w:lang w:val="en-US"/>
        </w:rPr>
        <w:t>non-biological DMARD therapy has been inadequate.</w:t>
      </w:r>
    </w:p>
    <w:p w14:paraId="6F43DD79" w14:textId="03BF01B7" w:rsidR="0040294C" w:rsidRPr="003F7C11" w:rsidRDefault="0040294C" w:rsidP="00CC377A">
      <w:pPr>
        <w:pStyle w:val="ListBullet"/>
        <w:rPr>
          <w:i/>
          <w:iCs/>
          <w:lang w:val="en-US"/>
        </w:rPr>
      </w:pPr>
      <w:r w:rsidRPr="00CD3AB9">
        <w:rPr>
          <w:lang w:val="en-US"/>
        </w:rPr>
        <w:t xml:space="preserve">Crohn’s disease: </w:t>
      </w:r>
      <w:r w:rsidRPr="00CD3AB9">
        <w:rPr>
          <w:i/>
          <w:iCs/>
          <w:lang w:val="en-US"/>
        </w:rPr>
        <w:t>S</w:t>
      </w:r>
      <w:r w:rsidR="007823CD" w:rsidRPr="00CD3AB9">
        <w:rPr>
          <w:i/>
          <w:iCs/>
          <w:lang w:val="en-US"/>
        </w:rPr>
        <w:t>telara</w:t>
      </w:r>
      <w:r w:rsidRPr="00CD3AB9">
        <w:rPr>
          <w:i/>
          <w:iCs/>
          <w:lang w:val="en-US"/>
        </w:rPr>
        <w:t xml:space="preserve"> is indicated for the treatment of adult patients with m</w:t>
      </w:r>
      <w:r w:rsidRPr="003F7C11">
        <w:rPr>
          <w:i/>
          <w:iCs/>
          <w:lang w:val="en-US"/>
        </w:rPr>
        <w:t>oderately to severely active Crohn’s disease who have had an inadequate response, lost response, or were intolerant to either conventional therapy or a TNFα antagonist or have medical contraindications to such therapies.</w:t>
      </w:r>
    </w:p>
    <w:p w14:paraId="199455E2" w14:textId="51B17EE7" w:rsidR="0040294C" w:rsidRPr="00092048" w:rsidRDefault="0040294C" w:rsidP="00CC377A">
      <w:pPr>
        <w:pStyle w:val="ListBullet"/>
        <w:rPr>
          <w:i/>
          <w:iCs/>
          <w:lang w:val="en-US"/>
        </w:rPr>
      </w:pPr>
      <w:r>
        <w:rPr>
          <w:lang w:val="en-US"/>
        </w:rPr>
        <w:t xml:space="preserve">Ulcerative colitis: </w:t>
      </w:r>
      <w:r w:rsidRPr="00092048">
        <w:rPr>
          <w:i/>
          <w:iCs/>
          <w:lang w:val="en-US"/>
        </w:rPr>
        <w:t>S</w:t>
      </w:r>
      <w:r w:rsidR="007823CD" w:rsidRPr="00092048">
        <w:rPr>
          <w:i/>
          <w:iCs/>
          <w:lang w:val="en-US"/>
        </w:rPr>
        <w:t>telara</w:t>
      </w:r>
      <w:r w:rsidRPr="00092048">
        <w:rPr>
          <w:i/>
          <w:iCs/>
          <w:lang w:val="en-US"/>
        </w:rPr>
        <w:t xml:space="preserve"> is indicated for the treatment of adult patients with moderately to severely active ulcerative colitis.</w:t>
      </w:r>
    </w:p>
    <w:p w14:paraId="6AAF7A5E" w14:textId="215E5151" w:rsidR="0040294C" w:rsidRDefault="0040294C" w:rsidP="0040294C">
      <w:pPr>
        <w:rPr>
          <w:lang w:val="en-US"/>
        </w:rPr>
      </w:pPr>
      <w:r>
        <w:rPr>
          <w:lang w:val="en-US"/>
        </w:rPr>
        <w:t xml:space="preserve">The biosimilar medicine </w:t>
      </w:r>
      <w:proofErr w:type="spellStart"/>
      <w:r>
        <w:rPr>
          <w:lang w:val="en-US"/>
        </w:rPr>
        <w:t>W</w:t>
      </w:r>
      <w:r w:rsidR="00F62179">
        <w:rPr>
          <w:lang w:val="en-US"/>
        </w:rPr>
        <w:t>ezlana</w:t>
      </w:r>
      <w:proofErr w:type="spellEnd"/>
      <w:r>
        <w:rPr>
          <w:lang w:val="en-US"/>
        </w:rPr>
        <w:t xml:space="preserve"> was included on the ARTG in January 2024, with the same approved therapeutic indications as for S</w:t>
      </w:r>
      <w:r w:rsidR="00F62179">
        <w:rPr>
          <w:lang w:val="en-US"/>
        </w:rPr>
        <w:t>telara</w:t>
      </w:r>
      <w:r>
        <w:rPr>
          <w:lang w:val="en-US"/>
        </w:rPr>
        <w:t>.</w:t>
      </w:r>
    </w:p>
    <w:p w14:paraId="68F65BFC" w14:textId="3A624B65" w:rsidR="0040294C" w:rsidRPr="00CC29BE" w:rsidRDefault="0040294C" w:rsidP="0040294C">
      <w:pPr>
        <w:rPr>
          <w:lang w:val="en-US"/>
        </w:rPr>
      </w:pPr>
      <w:r>
        <w:t>U</w:t>
      </w:r>
      <w:r w:rsidR="00F62179">
        <w:t>teknix</w:t>
      </w:r>
      <w:r>
        <w:t xml:space="preserve"> has not appeared in the ARTG previously.</w:t>
      </w:r>
    </w:p>
    <w:p w14:paraId="546C1031" w14:textId="4EF98FA1" w:rsidR="0017005C" w:rsidRDefault="00131B1B" w:rsidP="0017005C">
      <w:pPr>
        <w:pStyle w:val="Heading4"/>
      </w:pPr>
      <w:bookmarkStart w:id="27" w:name="_Toc212469863"/>
      <w:r>
        <w:t xml:space="preserve">International </w:t>
      </w:r>
      <w:r w:rsidR="0017005C" w:rsidRPr="00BD5DBD">
        <w:t>regulatory</w:t>
      </w:r>
      <w:r w:rsidR="0017005C">
        <w:t xml:space="preserve"> status</w:t>
      </w:r>
      <w:bookmarkEnd w:id="27"/>
    </w:p>
    <w:p w14:paraId="2530E0A8" w14:textId="14B2D43E" w:rsidR="000C4CCD" w:rsidRDefault="00B97FC7" w:rsidP="003A76A2">
      <w:r w:rsidRPr="00B97FC7">
        <w:t>At the time the TGA considered this submission, a similar submission had been considered by other regulatory agencies</w:t>
      </w:r>
      <w:r w:rsidR="000C4CCD">
        <w:t>.</w:t>
      </w:r>
    </w:p>
    <w:p w14:paraId="50DA011F" w14:textId="6660A899" w:rsidR="003A76A2" w:rsidRPr="00D16F5A" w:rsidRDefault="003A76A2" w:rsidP="003A76A2">
      <w:pPr>
        <w:rPr>
          <w:lang w:val="en-US"/>
        </w:rPr>
      </w:pPr>
      <w:r w:rsidRPr="00D16F5A">
        <w:rPr>
          <w:lang w:val="en-US"/>
        </w:rPr>
        <w:t>S</w:t>
      </w:r>
      <w:r w:rsidR="0026144D" w:rsidRPr="00D16F5A">
        <w:rPr>
          <w:lang w:val="en-US"/>
        </w:rPr>
        <w:t>telara</w:t>
      </w:r>
    </w:p>
    <w:p w14:paraId="5669DC40" w14:textId="13F04AC8" w:rsidR="003A76A2" w:rsidRDefault="003A76A2" w:rsidP="003A76A2">
      <w:pPr>
        <w:rPr>
          <w:lang w:val="en-US"/>
        </w:rPr>
      </w:pPr>
      <w:r>
        <w:rPr>
          <w:lang w:val="en-US"/>
        </w:rPr>
        <w:t>The U</w:t>
      </w:r>
      <w:r w:rsidR="00B9546C">
        <w:rPr>
          <w:lang w:val="en-US"/>
        </w:rPr>
        <w:t>nited States (U</w:t>
      </w:r>
      <w:r>
        <w:rPr>
          <w:lang w:val="en-US"/>
        </w:rPr>
        <w:t>S</w:t>
      </w:r>
      <w:r w:rsidR="00B9546C">
        <w:rPr>
          <w:lang w:val="en-US"/>
        </w:rPr>
        <w:t>)</w:t>
      </w:r>
      <w:r>
        <w:rPr>
          <w:lang w:val="en-US"/>
        </w:rPr>
        <w:t xml:space="preserve"> </w:t>
      </w:r>
      <w:r w:rsidR="001F1087">
        <w:rPr>
          <w:lang w:val="en-US"/>
        </w:rPr>
        <w:t>p</w:t>
      </w:r>
      <w:r>
        <w:rPr>
          <w:lang w:val="en-US"/>
        </w:rPr>
        <w:t xml:space="preserve">rescribing </w:t>
      </w:r>
      <w:r w:rsidR="001F1087">
        <w:rPr>
          <w:lang w:val="en-US"/>
        </w:rPr>
        <w:t>i</w:t>
      </w:r>
      <w:r>
        <w:rPr>
          <w:lang w:val="en-US"/>
        </w:rPr>
        <w:t>nformation</w:t>
      </w:r>
      <w:r w:rsidR="00D74007">
        <w:rPr>
          <w:lang w:val="en-US"/>
        </w:rPr>
        <w:t xml:space="preserve"> </w:t>
      </w:r>
      <w:r>
        <w:rPr>
          <w:lang w:val="en-US"/>
        </w:rPr>
        <w:t>for S</w:t>
      </w:r>
      <w:r w:rsidR="0026144D">
        <w:rPr>
          <w:lang w:val="en-US"/>
        </w:rPr>
        <w:t>telara</w:t>
      </w:r>
      <w:r>
        <w:rPr>
          <w:lang w:val="en-US"/>
        </w:rPr>
        <w:t xml:space="preserve"> includes broadly similar therapeutic indications to the approved Australian PI, with an additional indication for treatment of psoriatic arthritis in children 6 years of age and older.</w:t>
      </w:r>
    </w:p>
    <w:p w14:paraId="363362DC" w14:textId="04718478" w:rsidR="003A76A2" w:rsidRDefault="003A76A2" w:rsidP="003A76A2">
      <w:pPr>
        <w:rPr>
          <w:lang w:val="en-US"/>
        </w:rPr>
      </w:pPr>
      <w:r>
        <w:rPr>
          <w:lang w:val="en-US"/>
        </w:rPr>
        <w:t xml:space="preserve">The </w:t>
      </w:r>
      <w:r w:rsidR="00D74007">
        <w:rPr>
          <w:lang w:val="en-US"/>
        </w:rPr>
        <w:t>European Union (</w:t>
      </w:r>
      <w:r>
        <w:rPr>
          <w:lang w:val="en-US"/>
        </w:rPr>
        <w:t>EU</w:t>
      </w:r>
      <w:r w:rsidR="00D74007">
        <w:rPr>
          <w:lang w:val="en-US"/>
        </w:rPr>
        <w:t>)</w:t>
      </w:r>
      <w:r>
        <w:rPr>
          <w:lang w:val="en-US"/>
        </w:rPr>
        <w:t xml:space="preserve"> </w:t>
      </w:r>
      <w:r w:rsidR="00975E78" w:rsidRPr="00975E78">
        <w:t>Supplementary Protection Certificate</w:t>
      </w:r>
      <w:r w:rsidR="00975E78" w:rsidRPr="00975E78">
        <w:rPr>
          <w:lang w:val="en-US"/>
        </w:rPr>
        <w:t xml:space="preserve"> </w:t>
      </w:r>
      <w:r w:rsidR="00975E78">
        <w:rPr>
          <w:lang w:val="en-US"/>
        </w:rPr>
        <w:t>(</w:t>
      </w:r>
      <w:r>
        <w:rPr>
          <w:lang w:val="en-US"/>
        </w:rPr>
        <w:t>SPC</w:t>
      </w:r>
      <w:r w:rsidR="00975E78">
        <w:rPr>
          <w:lang w:val="en-US"/>
        </w:rPr>
        <w:t>)</w:t>
      </w:r>
      <w:r>
        <w:rPr>
          <w:lang w:val="en-US"/>
        </w:rPr>
        <w:t xml:space="preserve"> for S</w:t>
      </w:r>
      <w:r w:rsidR="00366B8A">
        <w:rPr>
          <w:lang w:val="en-US"/>
        </w:rPr>
        <w:t>telara</w:t>
      </w:r>
      <w:r>
        <w:rPr>
          <w:lang w:val="en-US"/>
        </w:rPr>
        <w:t xml:space="preserve"> includes similar therapeutic indications to the Australian PI.</w:t>
      </w:r>
    </w:p>
    <w:p w14:paraId="4F2840AB" w14:textId="7D48AA85" w:rsidR="00336DBA" w:rsidRPr="00D16F5A" w:rsidRDefault="00336DBA" w:rsidP="00336DBA">
      <w:pPr>
        <w:rPr>
          <w:lang w:val="en-US"/>
        </w:rPr>
      </w:pPr>
      <w:r w:rsidRPr="00D16F5A">
        <w:rPr>
          <w:lang w:val="en-US"/>
        </w:rPr>
        <w:t>AVT04/U</w:t>
      </w:r>
      <w:r w:rsidR="00BE43C7" w:rsidRPr="00D16F5A">
        <w:rPr>
          <w:lang w:val="en-US"/>
        </w:rPr>
        <w:t>teknix</w:t>
      </w:r>
    </w:p>
    <w:p w14:paraId="58A398BD" w14:textId="2C4B01E7" w:rsidR="000C4CCD" w:rsidRDefault="00336DBA" w:rsidP="00336DBA">
      <w:pPr>
        <w:rPr>
          <w:lang w:val="en-US"/>
        </w:rPr>
      </w:pPr>
      <w:r>
        <w:rPr>
          <w:lang w:val="en-US"/>
        </w:rPr>
        <w:t xml:space="preserve">Of note, according to the </w:t>
      </w:r>
      <w:r w:rsidR="009A76DC">
        <w:rPr>
          <w:lang w:val="en-US"/>
        </w:rPr>
        <w:t>European Medicines Agency (</w:t>
      </w:r>
      <w:r>
        <w:rPr>
          <w:lang w:val="en-US"/>
        </w:rPr>
        <w:t>EMA</w:t>
      </w:r>
      <w:r w:rsidR="009A76DC">
        <w:rPr>
          <w:lang w:val="en-US"/>
        </w:rPr>
        <w:t>)</w:t>
      </w:r>
      <w:r>
        <w:rPr>
          <w:lang w:val="en-US"/>
        </w:rPr>
        <w:t xml:space="preserve"> Assessment Report for </w:t>
      </w:r>
      <w:proofErr w:type="spellStart"/>
      <w:r w:rsidR="008C042A">
        <w:rPr>
          <w:lang w:val="en-US"/>
        </w:rPr>
        <w:t>Uzpruvo</w:t>
      </w:r>
      <w:proofErr w:type="spellEnd"/>
      <w:r>
        <w:rPr>
          <w:lang w:val="en-US"/>
        </w:rPr>
        <w:t>, whilst S</w:t>
      </w:r>
      <w:r w:rsidR="00871920">
        <w:rPr>
          <w:lang w:val="en-US"/>
        </w:rPr>
        <w:t>telara</w:t>
      </w:r>
      <w:r>
        <w:rPr>
          <w:lang w:val="en-US"/>
        </w:rPr>
        <w:t xml:space="preserve"> has an approved indication for moderately to severely active ulcerative colitis in the EU, this indication was withdrawn from the </w:t>
      </w:r>
      <w:proofErr w:type="spellStart"/>
      <w:r>
        <w:rPr>
          <w:lang w:val="en-US"/>
        </w:rPr>
        <w:t>U</w:t>
      </w:r>
      <w:r w:rsidR="008C042A">
        <w:rPr>
          <w:lang w:val="en-US"/>
        </w:rPr>
        <w:t>zp</w:t>
      </w:r>
      <w:r w:rsidR="00871920">
        <w:rPr>
          <w:lang w:val="en-US"/>
        </w:rPr>
        <w:t>ruvo</w:t>
      </w:r>
      <w:proofErr w:type="spellEnd"/>
      <w:r>
        <w:rPr>
          <w:lang w:val="en-US"/>
        </w:rPr>
        <w:t xml:space="preserve"> application due to a pending patent for the indication</w:t>
      </w:r>
      <w:r w:rsidR="000C4CCD">
        <w:rPr>
          <w:lang w:val="en-US"/>
        </w:rPr>
        <w:t>.</w:t>
      </w:r>
    </w:p>
    <w:p w14:paraId="19B9E0AC" w14:textId="5412933A" w:rsidR="00324B33" w:rsidRDefault="00324B33" w:rsidP="00324B33">
      <w:pPr>
        <w:pStyle w:val="TableTitle"/>
      </w:pPr>
      <w:bookmarkStart w:id="28" w:name="_Ref99705479"/>
      <w:r>
        <w:lastRenderedPageBreak/>
        <w:t xml:space="preserve">Table </w:t>
      </w:r>
      <w:r w:rsidR="000C4CCD">
        <w:fldChar w:fldCharType="begin"/>
      </w:r>
      <w:r w:rsidR="000C4CCD">
        <w:instrText xml:space="preserve"> SEQ Table \* ARABIC </w:instrText>
      </w:r>
      <w:r w:rsidR="000C4CCD">
        <w:fldChar w:fldCharType="separate"/>
      </w:r>
      <w:r w:rsidR="000C4CCD">
        <w:rPr>
          <w:noProof/>
        </w:rPr>
        <w:t>1</w:t>
      </w:r>
      <w:r w:rsidR="000C4CCD">
        <w:rPr>
          <w:noProof/>
        </w:rPr>
        <w:fldChar w:fldCharType="end"/>
      </w:r>
      <w:bookmarkEnd w:id="28"/>
      <w:r>
        <w:t>: International regulatory status</w:t>
      </w:r>
    </w:p>
    <w:tbl>
      <w:tblPr>
        <w:tblStyle w:val="TableTGAblue2023"/>
        <w:tblW w:w="5239" w:type="pct"/>
        <w:tblLayout w:type="fixed"/>
        <w:tblLook w:val="04A0" w:firstRow="1" w:lastRow="0" w:firstColumn="1" w:lastColumn="0" w:noHBand="0" w:noVBand="1"/>
      </w:tblPr>
      <w:tblGrid>
        <w:gridCol w:w="1162"/>
        <w:gridCol w:w="1384"/>
        <w:gridCol w:w="1844"/>
        <w:gridCol w:w="5103"/>
      </w:tblGrid>
      <w:tr w:rsidR="00324B33" w:rsidRPr="00D01DDB" w14:paraId="405E5D78" w14:textId="16839333" w:rsidTr="00D16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2" w:type="pct"/>
          </w:tcPr>
          <w:p w14:paraId="185B099B" w14:textId="7A4C0E6C" w:rsidR="00324B33" w:rsidRPr="00D01DDB" w:rsidRDefault="00324B33" w:rsidP="00D16F5A">
            <w:pPr>
              <w:ind w:left="0"/>
              <w:jc w:val="both"/>
            </w:pPr>
            <w:r w:rsidRPr="00D01DDB">
              <w:t>Region</w:t>
            </w:r>
          </w:p>
        </w:tc>
        <w:tc>
          <w:tcPr>
            <w:tcW w:w="729" w:type="pct"/>
          </w:tcPr>
          <w:p w14:paraId="778C35C7" w14:textId="52D23C85" w:rsidR="00324B33" w:rsidRPr="00D01DDB" w:rsidRDefault="00324B33" w:rsidP="00D16F5A">
            <w:pPr>
              <w:ind w:left="0"/>
              <w:jc w:val="both"/>
              <w:cnfStyle w:val="100000000000" w:firstRow="1" w:lastRow="0" w:firstColumn="0" w:lastColumn="0" w:oddVBand="0" w:evenVBand="0" w:oddHBand="0" w:evenHBand="0" w:firstRowFirstColumn="0" w:firstRowLastColumn="0" w:lastRowFirstColumn="0" w:lastRowLastColumn="0"/>
            </w:pPr>
            <w:r w:rsidRPr="00D01DDB">
              <w:t>Submission date</w:t>
            </w:r>
          </w:p>
        </w:tc>
        <w:tc>
          <w:tcPr>
            <w:tcW w:w="971" w:type="pct"/>
          </w:tcPr>
          <w:p w14:paraId="58F81584" w14:textId="66689ABF" w:rsidR="00324B33" w:rsidRPr="00D01DDB" w:rsidRDefault="00324B33" w:rsidP="00D16F5A">
            <w:pPr>
              <w:ind w:left="0"/>
              <w:jc w:val="both"/>
              <w:cnfStyle w:val="100000000000" w:firstRow="1" w:lastRow="0" w:firstColumn="0" w:lastColumn="0" w:oddVBand="0" w:evenVBand="0" w:oddHBand="0" w:evenHBand="0" w:firstRowFirstColumn="0" w:firstRowLastColumn="0" w:lastRowFirstColumn="0" w:lastRowLastColumn="0"/>
            </w:pPr>
            <w:r w:rsidRPr="00D01DDB">
              <w:t>Status</w:t>
            </w:r>
          </w:p>
        </w:tc>
        <w:tc>
          <w:tcPr>
            <w:tcW w:w="2688" w:type="pct"/>
          </w:tcPr>
          <w:p w14:paraId="50B2D435" w14:textId="560588D2" w:rsidR="00324B33" w:rsidRPr="00D01DDB" w:rsidRDefault="00324B33" w:rsidP="00D16F5A">
            <w:pPr>
              <w:ind w:left="0"/>
              <w:jc w:val="both"/>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324B33" w:rsidRPr="00D01DDB" w14:paraId="38D24E86" w14:textId="77777777" w:rsidTr="00D16F5A">
        <w:tc>
          <w:tcPr>
            <w:cnfStyle w:val="001000000000" w:firstRow="0" w:lastRow="0" w:firstColumn="1" w:lastColumn="0" w:oddVBand="0" w:evenVBand="0" w:oddHBand="0" w:evenHBand="0" w:firstRowFirstColumn="0" w:firstRowLastColumn="0" w:lastRowFirstColumn="0" w:lastRowLastColumn="0"/>
            <w:tcW w:w="612" w:type="pct"/>
          </w:tcPr>
          <w:p w14:paraId="4C540DE5" w14:textId="65F5E113" w:rsidR="00324B33" w:rsidRPr="001F1087" w:rsidRDefault="00302159" w:rsidP="00D16F5A">
            <w:pPr>
              <w:rPr>
                <w:sz w:val="20"/>
                <w:szCs w:val="20"/>
              </w:rPr>
            </w:pPr>
            <w:r w:rsidRPr="001F1087">
              <w:rPr>
                <w:sz w:val="20"/>
                <w:szCs w:val="20"/>
              </w:rPr>
              <w:t>E</w:t>
            </w:r>
            <w:r w:rsidR="00F047E0" w:rsidRPr="001F1087">
              <w:rPr>
                <w:sz w:val="20"/>
                <w:szCs w:val="20"/>
              </w:rPr>
              <w:t xml:space="preserve">uropean </w:t>
            </w:r>
            <w:r w:rsidRPr="001F1087">
              <w:rPr>
                <w:sz w:val="20"/>
                <w:szCs w:val="20"/>
              </w:rPr>
              <w:t>U</w:t>
            </w:r>
            <w:r w:rsidR="0051295A" w:rsidRPr="001F1087">
              <w:rPr>
                <w:sz w:val="20"/>
                <w:szCs w:val="20"/>
              </w:rPr>
              <w:t>nion (EU)</w:t>
            </w:r>
          </w:p>
        </w:tc>
        <w:tc>
          <w:tcPr>
            <w:tcW w:w="729" w:type="pct"/>
          </w:tcPr>
          <w:p w14:paraId="4FA5DDA9" w14:textId="726AE9AD" w:rsidR="00324B33" w:rsidRPr="001F1087" w:rsidRDefault="00D80059"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 xml:space="preserve">October </w:t>
            </w:r>
            <w:r w:rsidR="00CB2E1D">
              <w:rPr>
                <w:sz w:val="20"/>
                <w:szCs w:val="20"/>
              </w:rPr>
              <w:t>2</w:t>
            </w:r>
            <w:r w:rsidRPr="001F1087">
              <w:rPr>
                <w:sz w:val="20"/>
                <w:szCs w:val="20"/>
              </w:rPr>
              <w:t>022</w:t>
            </w:r>
          </w:p>
        </w:tc>
        <w:tc>
          <w:tcPr>
            <w:tcW w:w="971" w:type="pct"/>
          </w:tcPr>
          <w:p w14:paraId="29358393" w14:textId="3D9B5539" w:rsidR="00324B33" w:rsidRPr="001F1087" w:rsidRDefault="00D80059"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Approved</w:t>
            </w:r>
            <w:r w:rsidR="00756819" w:rsidRPr="001F1087">
              <w:rPr>
                <w:sz w:val="20"/>
                <w:szCs w:val="20"/>
              </w:rPr>
              <w:t>,</w:t>
            </w:r>
            <w:r w:rsidR="00CB2E1D">
              <w:rPr>
                <w:sz w:val="20"/>
                <w:szCs w:val="20"/>
              </w:rPr>
              <w:t xml:space="preserve"> </w:t>
            </w:r>
            <w:r w:rsidR="00756819" w:rsidRPr="001F1087">
              <w:rPr>
                <w:sz w:val="20"/>
                <w:szCs w:val="20"/>
              </w:rPr>
              <w:t xml:space="preserve">as </w:t>
            </w:r>
            <w:proofErr w:type="spellStart"/>
            <w:r w:rsidR="00756819" w:rsidRPr="001F1087">
              <w:rPr>
                <w:sz w:val="20"/>
                <w:szCs w:val="20"/>
              </w:rPr>
              <w:t>Uzpruvo</w:t>
            </w:r>
            <w:proofErr w:type="spellEnd"/>
            <w:r w:rsidR="00CB2E1D">
              <w:rPr>
                <w:sz w:val="20"/>
                <w:szCs w:val="20"/>
              </w:rPr>
              <w:t xml:space="preserve"> on </w:t>
            </w:r>
            <w:r w:rsidRPr="001F1087">
              <w:rPr>
                <w:sz w:val="20"/>
                <w:szCs w:val="20"/>
              </w:rPr>
              <w:t>05</w:t>
            </w:r>
            <w:r w:rsidR="00CB2E1D">
              <w:rPr>
                <w:sz w:val="20"/>
                <w:szCs w:val="20"/>
              </w:rPr>
              <w:t> </w:t>
            </w:r>
            <w:r w:rsidRPr="001F1087">
              <w:rPr>
                <w:sz w:val="20"/>
                <w:szCs w:val="20"/>
              </w:rPr>
              <w:t>January</w:t>
            </w:r>
            <w:r w:rsidR="00CB2E1D">
              <w:rPr>
                <w:sz w:val="20"/>
                <w:szCs w:val="20"/>
              </w:rPr>
              <w:t> </w:t>
            </w:r>
            <w:r w:rsidRPr="001F1087">
              <w:rPr>
                <w:sz w:val="20"/>
                <w:szCs w:val="20"/>
              </w:rPr>
              <w:t>2024</w:t>
            </w:r>
          </w:p>
        </w:tc>
        <w:tc>
          <w:tcPr>
            <w:tcW w:w="2688" w:type="pct"/>
          </w:tcPr>
          <w:p w14:paraId="73678997" w14:textId="77777777" w:rsidR="00402C78" w:rsidRPr="00933A73" w:rsidRDefault="005D1ED2" w:rsidP="00D16F5A">
            <w:pPr>
              <w:cnfStyle w:val="000000000000" w:firstRow="0" w:lastRow="0" w:firstColumn="0" w:lastColumn="0" w:oddVBand="0" w:evenVBand="0" w:oddHBand="0" w:evenHBand="0" w:firstRowFirstColumn="0" w:firstRowLastColumn="0" w:lastRowFirstColumn="0" w:lastRowLastColumn="0"/>
              <w:rPr>
                <w:i/>
                <w:iCs/>
                <w:sz w:val="20"/>
                <w:szCs w:val="20"/>
              </w:rPr>
            </w:pPr>
            <w:proofErr w:type="spellStart"/>
            <w:r w:rsidRPr="00933A73">
              <w:rPr>
                <w:i/>
                <w:iCs/>
                <w:sz w:val="20"/>
                <w:szCs w:val="20"/>
              </w:rPr>
              <w:t>Uzpruvo</w:t>
            </w:r>
            <w:proofErr w:type="spellEnd"/>
            <w:r w:rsidRPr="00933A73">
              <w:rPr>
                <w:i/>
                <w:iCs/>
                <w:sz w:val="20"/>
                <w:szCs w:val="20"/>
              </w:rPr>
              <w:t xml:space="preserve"> 45 mg solution for injection in pre-filled syringe and 90 mg solution for injection in pre-filled syringe: </w:t>
            </w:r>
          </w:p>
          <w:p w14:paraId="0946FB1A" w14:textId="049B2E0A" w:rsidR="000C4CCD" w:rsidRPr="00933A73" w:rsidRDefault="005D1ED2"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Plaque psoriasis</w:t>
            </w:r>
            <w:r w:rsidR="00402C78" w:rsidRPr="00933A73">
              <w:rPr>
                <w:i/>
                <w:iCs/>
                <w:sz w:val="20"/>
                <w:szCs w:val="20"/>
              </w:rPr>
              <w:t xml:space="preserve"> -</w:t>
            </w:r>
            <w:r w:rsidRPr="00933A73">
              <w:rPr>
                <w:i/>
                <w:iCs/>
                <w:sz w:val="20"/>
                <w:szCs w:val="20"/>
              </w:rPr>
              <w:t xml:space="preserve"> </w:t>
            </w:r>
            <w:proofErr w:type="spellStart"/>
            <w:r w:rsidRPr="00933A73">
              <w:rPr>
                <w:i/>
                <w:iCs/>
                <w:sz w:val="20"/>
                <w:szCs w:val="20"/>
              </w:rPr>
              <w:t>Uzpruvo</w:t>
            </w:r>
            <w:proofErr w:type="spellEnd"/>
            <w:r w:rsidRPr="00933A73">
              <w:rPr>
                <w:i/>
                <w:iCs/>
                <w:sz w:val="20"/>
                <w:szCs w:val="20"/>
              </w:rPr>
              <w:t xml:space="preserve"> is indicated for the treatment of moderate to severe plaque psoriasis in adults who failed to respond to, or who have a contraindication to, or are intolerant to other systemic therapies including ciclosporin, methotrexate (MTX) or psoralen and ultraviolet (PUVA</w:t>
            </w:r>
            <w:r w:rsidR="000C4CCD" w:rsidRPr="00933A73">
              <w:rPr>
                <w:i/>
                <w:iCs/>
                <w:sz w:val="20"/>
                <w:szCs w:val="20"/>
              </w:rPr>
              <w:t>).</w:t>
            </w:r>
          </w:p>
          <w:p w14:paraId="363A2F3A" w14:textId="5058252E" w:rsidR="000C4CCD" w:rsidRPr="00933A73" w:rsidRDefault="005D1ED2"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Paediatric plaque psoriasis</w:t>
            </w:r>
            <w:r w:rsidR="00402C78" w:rsidRPr="00933A73">
              <w:rPr>
                <w:i/>
                <w:iCs/>
                <w:sz w:val="20"/>
                <w:szCs w:val="20"/>
              </w:rPr>
              <w:t xml:space="preserve"> </w:t>
            </w:r>
            <w:r w:rsidR="00F17569" w:rsidRPr="00933A73">
              <w:rPr>
                <w:i/>
                <w:iCs/>
                <w:sz w:val="20"/>
                <w:szCs w:val="20"/>
              </w:rPr>
              <w:t>-</w:t>
            </w:r>
            <w:r w:rsidRPr="00933A73">
              <w:rPr>
                <w:i/>
                <w:iCs/>
                <w:sz w:val="20"/>
                <w:szCs w:val="20"/>
              </w:rPr>
              <w:t xml:space="preserve"> </w:t>
            </w:r>
            <w:proofErr w:type="spellStart"/>
            <w:r w:rsidRPr="00933A73">
              <w:rPr>
                <w:i/>
                <w:iCs/>
                <w:sz w:val="20"/>
                <w:szCs w:val="20"/>
              </w:rPr>
              <w:t>Uzpruvo</w:t>
            </w:r>
            <w:proofErr w:type="spellEnd"/>
            <w:r w:rsidRPr="00933A73">
              <w:rPr>
                <w:i/>
                <w:iCs/>
                <w:sz w:val="20"/>
                <w:szCs w:val="20"/>
              </w:rPr>
              <w:t xml:space="preserve"> is indicated for the treatment of moderate to severe plaque psoriasis in children and adolescent patients from the age of 6 years and older, who are inadequately controlled by, or are intolerant to, other systemic therapies or phototherapies</w:t>
            </w:r>
            <w:r w:rsidR="000C4CCD" w:rsidRPr="00933A73">
              <w:rPr>
                <w:i/>
                <w:iCs/>
                <w:sz w:val="20"/>
                <w:szCs w:val="20"/>
              </w:rPr>
              <w:t>.</w:t>
            </w:r>
          </w:p>
          <w:p w14:paraId="1CBA784A" w14:textId="26ACC4E0" w:rsidR="000C4CCD" w:rsidRPr="00933A73" w:rsidRDefault="005D1ED2"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Psoriatic arthritis (PsA)</w:t>
            </w:r>
            <w:r w:rsidR="00402C78" w:rsidRPr="00933A73">
              <w:rPr>
                <w:i/>
                <w:iCs/>
                <w:sz w:val="20"/>
                <w:szCs w:val="20"/>
              </w:rPr>
              <w:t xml:space="preserve"> - </w:t>
            </w:r>
            <w:proofErr w:type="spellStart"/>
            <w:r w:rsidRPr="00933A73">
              <w:rPr>
                <w:i/>
                <w:iCs/>
                <w:sz w:val="20"/>
                <w:szCs w:val="20"/>
              </w:rPr>
              <w:t>Uzpruvo</w:t>
            </w:r>
            <w:proofErr w:type="spellEnd"/>
            <w:r w:rsidRPr="00933A73">
              <w:rPr>
                <w:i/>
                <w:iCs/>
                <w:sz w:val="20"/>
                <w:szCs w:val="20"/>
              </w:rPr>
              <w:t>, alone or in combination with MTX, is indicated for the treatment of active PsA in adult patients when the response to previous non-biological disease-modifying anti-rheumatic drug (DMARD) therapy has been inadequate</w:t>
            </w:r>
            <w:r w:rsidR="000C4CCD" w:rsidRPr="00933A73">
              <w:rPr>
                <w:i/>
                <w:iCs/>
                <w:sz w:val="20"/>
                <w:szCs w:val="20"/>
              </w:rPr>
              <w:t>.</w:t>
            </w:r>
          </w:p>
          <w:p w14:paraId="05055674" w14:textId="3AA66697" w:rsidR="005D1ED2" w:rsidRPr="00933A73" w:rsidRDefault="005D1ED2"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Crohn’s disease</w:t>
            </w:r>
            <w:r w:rsidR="002310E4" w:rsidRPr="00933A73">
              <w:rPr>
                <w:i/>
                <w:iCs/>
                <w:sz w:val="20"/>
                <w:szCs w:val="20"/>
              </w:rPr>
              <w:t xml:space="preserve"> -</w:t>
            </w:r>
            <w:r w:rsidRPr="00933A73">
              <w:rPr>
                <w:i/>
                <w:iCs/>
                <w:sz w:val="20"/>
                <w:szCs w:val="20"/>
              </w:rPr>
              <w:t xml:space="preserve"> </w:t>
            </w:r>
            <w:proofErr w:type="spellStart"/>
            <w:r w:rsidRPr="00933A73">
              <w:rPr>
                <w:i/>
                <w:iCs/>
                <w:sz w:val="20"/>
                <w:szCs w:val="20"/>
              </w:rPr>
              <w:t>Uzpruvo</w:t>
            </w:r>
            <w:proofErr w:type="spellEnd"/>
            <w:r w:rsidRPr="00933A73">
              <w:rPr>
                <w:i/>
                <w:iCs/>
                <w:sz w:val="20"/>
                <w:szCs w:val="20"/>
              </w:rPr>
              <w:t xml:space="preserve"> is indicated for the treatment of adult patients with moderately to severely active Crohn’s disease who have had an inadequate response </w:t>
            </w:r>
            <w:proofErr w:type="gramStart"/>
            <w:r w:rsidRPr="00933A73">
              <w:rPr>
                <w:i/>
                <w:iCs/>
                <w:sz w:val="20"/>
                <w:szCs w:val="20"/>
              </w:rPr>
              <w:t>with,</w:t>
            </w:r>
            <w:proofErr w:type="gramEnd"/>
            <w:r w:rsidRPr="00933A73">
              <w:rPr>
                <w:i/>
                <w:iCs/>
                <w:sz w:val="20"/>
                <w:szCs w:val="20"/>
              </w:rPr>
              <w:t xml:space="preserve"> lost response to, or were intolerant to either conventional therapy or a tumour necrosis factor (TNF) α antagonist or have medical contraindications to such therapies.</w:t>
            </w:r>
          </w:p>
        </w:tc>
      </w:tr>
      <w:tr w:rsidR="00521934" w:rsidRPr="00D01DDB" w14:paraId="53D4F8E9" w14:textId="77777777" w:rsidTr="00D16F5A">
        <w:tc>
          <w:tcPr>
            <w:cnfStyle w:val="001000000000" w:firstRow="0" w:lastRow="0" w:firstColumn="1" w:lastColumn="0" w:oddVBand="0" w:evenVBand="0" w:oddHBand="0" w:evenHBand="0" w:firstRowFirstColumn="0" w:firstRowLastColumn="0" w:lastRowFirstColumn="0" w:lastRowLastColumn="0"/>
            <w:tcW w:w="612" w:type="pct"/>
          </w:tcPr>
          <w:p w14:paraId="7BBFEE88" w14:textId="7A4A9E0B" w:rsidR="00521934" w:rsidRPr="001F1087" w:rsidRDefault="004A4B64" w:rsidP="00D16F5A">
            <w:pPr>
              <w:rPr>
                <w:sz w:val="20"/>
                <w:szCs w:val="20"/>
              </w:rPr>
            </w:pPr>
            <w:r w:rsidRPr="001F1087">
              <w:rPr>
                <w:sz w:val="20"/>
                <w:szCs w:val="20"/>
              </w:rPr>
              <w:t>U</w:t>
            </w:r>
            <w:r w:rsidR="0051295A" w:rsidRPr="001F1087">
              <w:rPr>
                <w:sz w:val="20"/>
                <w:szCs w:val="20"/>
              </w:rPr>
              <w:t>nited States (US)</w:t>
            </w:r>
          </w:p>
        </w:tc>
        <w:tc>
          <w:tcPr>
            <w:tcW w:w="729" w:type="pct"/>
          </w:tcPr>
          <w:p w14:paraId="0D2EE4B9" w14:textId="47918792" w:rsidR="00521934" w:rsidRPr="001F1087" w:rsidRDefault="00BA667E"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October 2022</w:t>
            </w:r>
          </w:p>
        </w:tc>
        <w:tc>
          <w:tcPr>
            <w:tcW w:w="971" w:type="pct"/>
          </w:tcPr>
          <w:p w14:paraId="5B0956DC" w14:textId="0FEFC053" w:rsidR="00521934" w:rsidRPr="001F1087" w:rsidRDefault="002639A2"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Approved</w:t>
            </w:r>
            <w:r w:rsidR="008A4DC6" w:rsidRPr="001F1087">
              <w:rPr>
                <w:sz w:val="20"/>
                <w:szCs w:val="20"/>
              </w:rPr>
              <w:t>,</w:t>
            </w:r>
            <w:r w:rsidR="00CB2E1D">
              <w:rPr>
                <w:sz w:val="20"/>
                <w:szCs w:val="20"/>
              </w:rPr>
              <w:t xml:space="preserve"> </w:t>
            </w:r>
            <w:r w:rsidR="008A4DC6" w:rsidRPr="001F1087">
              <w:rPr>
                <w:sz w:val="20"/>
                <w:szCs w:val="20"/>
              </w:rPr>
              <w:t xml:space="preserve">as </w:t>
            </w:r>
            <w:proofErr w:type="spellStart"/>
            <w:r w:rsidR="008A4DC6" w:rsidRPr="001F1087">
              <w:rPr>
                <w:sz w:val="20"/>
                <w:szCs w:val="20"/>
              </w:rPr>
              <w:t>Selarsdi</w:t>
            </w:r>
            <w:proofErr w:type="spellEnd"/>
            <w:r w:rsidR="00CB2E1D">
              <w:rPr>
                <w:sz w:val="20"/>
                <w:szCs w:val="20"/>
              </w:rPr>
              <w:t xml:space="preserve"> on </w:t>
            </w:r>
            <w:r w:rsidR="008819BE" w:rsidRPr="001F1087">
              <w:rPr>
                <w:sz w:val="20"/>
                <w:szCs w:val="20"/>
              </w:rPr>
              <w:t>16</w:t>
            </w:r>
            <w:r w:rsidR="00CB2E1D">
              <w:rPr>
                <w:sz w:val="20"/>
                <w:szCs w:val="20"/>
              </w:rPr>
              <w:t> </w:t>
            </w:r>
            <w:r w:rsidR="008819BE" w:rsidRPr="001F1087">
              <w:rPr>
                <w:sz w:val="20"/>
                <w:szCs w:val="20"/>
              </w:rPr>
              <w:t>April</w:t>
            </w:r>
            <w:r w:rsidR="00CB2E1D">
              <w:rPr>
                <w:sz w:val="20"/>
                <w:szCs w:val="20"/>
              </w:rPr>
              <w:t> </w:t>
            </w:r>
            <w:r w:rsidR="008819BE" w:rsidRPr="001F1087">
              <w:rPr>
                <w:sz w:val="20"/>
                <w:szCs w:val="20"/>
              </w:rPr>
              <w:t>2024</w:t>
            </w:r>
          </w:p>
        </w:tc>
        <w:tc>
          <w:tcPr>
            <w:tcW w:w="2688" w:type="pct"/>
          </w:tcPr>
          <w:p w14:paraId="649F2BFA" w14:textId="14F400E8" w:rsidR="009956B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proofErr w:type="spellStart"/>
            <w:r w:rsidRPr="00933A73">
              <w:rPr>
                <w:i/>
                <w:iCs/>
                <w:sz w:val="20"/>
                <w:szCs w:val="20"/>
              </w:rPr>
              <w:t>S</w:t>
            </w:r>
            <w:r w:rsidR="001F1087" w:rsidRPr="00933A73">
              <w:rPr>
                <w:i/>
                <w:iCs/>
                <w:sz w:val="20"/>
                <w:szCs w:val="20"/>
              </w:rPr>
              <w:t>elarsdi</w:t>
            </w:r>
            <w:proofErr w:type="spellEnd"/>
            <w:r w:rsidR="001F1087" w:rsidRPr="00933A73">
              <w:rPr>
                <w:i/>
                <w:iCs/>
                <w:sz w:val="20"/>
                <w:szCs w:val="20"/>
              </w:rPr>
              <w:t xml:space="preserve"> </w:t>
            </w:r>
            <w:r w:rsidRPr="00933A73">
              <w:rPr>
                <w:i/>
                <w:iCs/>
                <w:sz w:val="20"/>
                <w:szCs w:val="20"/>
              </w:rPr>
              <w:t>is a human interleukin-12 and -23 antagonist indicated for the treatment of:</w:t>
            </w:r>
          </w:p>
          <w:p w14:paraId="0E4129D8" w14:textId="77777777" w:rsidR="009956B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Adult patients with</w:t>
            </w:r>
            <w:r w:rsidRPr="00933A73">
              <w:rPr>
                <w:i/>
                <w:iCs/>
                <w:sz w:val="20"/>
                <w:szCs w:val="20"/>
              </w:rPr>
              <w:t xml:space="preserve">: </w:t>
            </w:r>
          </w:p>
          <w:p w14:paraId="15454836" w14:textId="5BC4A15A" w:rsidR="000C4CC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moderate to severe plaque psoriasis (</w:t>
            </w:r>
            <w:proofErr w:type="spellStart"/>
            <w:r w:rsidRPr="00933A73">
              <w:rPr>
                <w:i/>
                <w:iCs/>
                <w:sz w:val="20"/>
                <w:szCs w:val="20"/>
              </w:rPr>
              <w:t>PsO</w:t>
            </w:r>
            <w:proofErr w:type="spellEnd"/>
            <w:r w:rsidRPr="00933A73">
              <w:rPr>
                <w:i/>
                <w:iCs/>
                <w:sz w:val="20"/>
                <w:szCs w:val="20"/>
              </w:rPr>
              <w:t>) who are candidates for phototherapy or systemic therapy</w:t>
            </w:r>
            <w:r w:rsidR="000C4CCD" w:rsidRPr="00933A73">
              <w:rPr>
                <w:i/>
                <w:iCs/>
                <w:sz w:val="20"/>
                <w:szCs w:val="20"/>
              </w:rPr>
              <w:t>.</w:t>
            </w:r>
          </w:p>
          <w:p w14:paraId="1F1A56A6" w14:textId="39551084" w:rsidR="000C4CC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active psoriatic arthritis (PsA)</w:t>
            </w:r>
            <w:r w:rsidR="000C4CCD" w:rsidRPr="00933A73">
              <w:rPr>
                <w:i/>
                <w:iCs/>
                <w:sz w:val="20"/>
                <w:szCs w:val="20"/>
              </w:rPr>
              <w:t>.</w:t>
            </w:r>
          </w:p>
          <w:p w14:paraId="1EF763EB" w14:textId="35202EFA" w:rsidR="000C4CC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moderately to severely active Crohn’s disease (CD</w:t>
            </w:r>
            <w:r w:rsidR="000C4CCD" w:rsidRPr="00933A73">
              <w:rPr>
                <w:i/>
                <w:iCs/>
                <w:sz w:val="20"/>
                <w:szCs w:val="20"/>
              </w:rPr>
              <w:t>).</w:t>
            </w:r>
          </w:p>
          <w:p w14:paraId="027D72AF" w14:textId="2806205E" w:rsidR="009956B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moderately to severely active ulcerative colitis.</w:t>
            </w:r>
          </w:p>
          <w:p w14:paraId="5D51932F" w14:textId="0037A720" w:rsidR="009956B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P</w:t>
            </w:r>
            <w:r w:rsidR="006E6A5B" w:rsidRPr="00933A73">
              <w:rPr>
                <w:i/>
                <w:iCs/>
                <w:sz w:val="20"/>
                <w:szCs w:val="20"/>
                <w:u w:val="single"/>
              </w:rPr>
              <w:t>a</w:t>
            </w:r>
            <w:r w:rsidRPr="00933A73">
              <w:rPr>
                <w:i/>
                <w:iCs/>
                <w:sz w:val="20"/>
                <w:szCs w:val="20"/>
                <w:u w:val="single"/>
              </w:rPr>
              <w:t>ediatric patients 6 years and older with</w:t>
            </w:r>
            <w:r w:rsidRPr="00933A73">
              <w:rPr>
                <w:i/>
                <w:iCs/>
                <w:sz w:val="20"/>
                <w:szCs w:val="20"/>
              </w:rPr>
              <w:t xml:space="preserve">: </w:t>
            </w:r>
          </w:p>
          <w:p w14:paraId="4947B8AE" w14:textId="0E149071" w:rsidR="009956BD"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moderate to severe plaque psoriasis, who are candidates for phototherapy or systemic therapy.</w:t>
            </w:r>
          </w:p>
          <w:p w14:paraId="105624F8" w14:textId="7310C158" w:rsidR="00521934" w:rsidRPr="00933A73" w:rsidRDefault="009956BD"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xml:space="preserve">• active psoriatic arthritis (PsA). </w:t>
            </w:r>
          </w:p>
        </w:tc>
      </w:tr>
      <w:tr w:rsidR="00521934" w:rsidRPr="00D01DDB" w14:paraId="0CEC6ADB" w14:textId="77777777" w:rsidTr="00D16F5A">
        <w:tc>
          <w:tcPr>
            <w:cnfStyle w:val="001000000000" w:firstRow="0" w:lastRow="0" w:firstColumn="1" w:lastColumn="0" w:oddVBand="0" w:evenVBand="0" w:oddHBand="0" w:evenHBand="0" w:firstRowFirstColumn="0" w:firstRowLastColumn="0" w:lastRowFirstColumn="0" w:lastRowLastColumn="0"/>
            <w:tcW w:w="612" w:type="pct"/>
          </w:tcPr>
          <w:p w14:paraId="657ABA76" w14:textId="4B764F7E" w:rsidR="00521934" w:rsidRPr="001F1087" w:rsidRDefault="004A4B64" w:rsidP="00D16F5A">
            <w:pPr>
              <w:rPr>
                <w:sz w:val="20"/>
                <w:szCs w:val="20"/>
              </w:rPr>
            </w:pPr>
            <w:r w:rsidRPr="001F1087">
              <w:rPr>
                <w:sz w:val="20"/>
                <w:szCs w:val="20"/>
              </w:rPr>
              <w:lastRenderedPageBreak/>
              <w:t>Canada</w:t>
            </w:r>
          </w:p>
        </w:tc>
        <w:tc>
          <w:tcPr>
            <w:tcW w:w="729" w:type="pct"/>
          </w:tcPr>
          <w:p w14:paraId="305038E7" w14:textId="49687FF3" w:rsidR="00521934" w:rsidRPr="001F1087" w:rsidRDefault="00BA667E"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November 2022</w:t>
            </w:r>
          </w:p>
        </w:tc>
        <w:tc>
          <w:tcPr>
            <w:tcW w:w="971" w:type="pct"/>
          </w:tcPr>
          <w:p w14:paraId="10A3CF50" w14:textId="5DF42FD2" w:rsidR="00521934" w:rsidRPr="001F1087" w:rsidRDefault="002639A2"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Approved</w:t>
            </w:r>
            <w:r w:rsidR="00CB2E1D">
              <w:rPr>
                <w:sz w:val="20"/>
                <w:szCs w:val="20"/>
              </w:rPr>
              <w:t xml:space="preserve"> </w:t>
            </w:r>
            <w:r w:rsidR="000E0BD9" w:rsidRPr="001F1087">
              <w:rPr>
                <w:sz w:val="20"/>
                <w:szCs w:val="20"/>
              </w:rPr>
              <w:t xml:space="preserve">as </w:t>
            </w:r>
            <w:proofErr w:type="spellStart"/>
            <w:r w:rsidR="000E0BD9" w:rsidRPr="001F1087">
              <w:rPr>
                <w:sz w:val="20"/>
                <w:szCs w:val="20"/>
              </w:rPr>
              <w:t>Jamteki</w:t>
            </w:r>
            <w:proofErr w:type="spellEnd"/>
            <w:r w:rsidR="00CB2E1D">
              <w:rPr>
                <w:sz w:val="20"/>
                <w:szCs w:val="20"/>
              </w:rPr>
              <w:t xml:space="preserve"> on </w:t>
            </w:r>
            <w:r w:rsidR="00C711E0" w:rsidRPr="001F1087">
              <w:rPr>
                <w:sz w:val="20"/>
                <w:szCs w:val="20"/>
              </w:rPr>
              <w:t>09</w:t>
            </w:r>
            <w:r w:rsidR="00CB2E1D">
              <w:rPr>
                <w:sz w:val="20"/>
                <w:szCs w:val="20"/>
              </w:rPr>
              <w:t> </w:t>
            </w:r>
            <w:r w:rsidR="00C711E0" w:rsidRPr="001F1087">
              <w:rPr>
                <w:sz w:val="20"/>
                <w:szCs w:val="20"/>
              </w:rPr>
              <w:t>November</w:t>
            </w:r>
            <w:r w:rsidR="00CB2E1D">
              <w:rPr>
                <w:sz w:val="20"/>
                <w:szCs w:val="20"/>
              </w:rPr>
              <w:t> </w:t>
            </w:r>
            <w:r w:rsidR="00C711E0" w:rsidRPr="001F1087">
              <w:rPr>
                <w:sz w:val="20"/>
                <w:szCs w:val="20"/>
              </w:rPr>
              <w:t>2023</w:t>
            </w:r>
          </w:p>
        </w:tc>
        <w:tc>
          <w:tcPr>
            <w:tcW w:w="2688" w:type="pct"/>
          </w:tcPr>
          <w:p w14:paraId="262BC819" w14:textId="5CC51A9B" w:rsidR="00AB1674" w:rsidRPr="00933A73" w:rsidRDefault="00AB1674"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Plaque Psoriasis</w:t>
            </w:r>
            <w:r w:rsidR="00D41C77" w:rsidRPr="00933A73">
              <w:rPr>
                <w:rFonts w:eastAsiaTheme="minorHAnsi" w:cstheme="minorBidi"/>
                <w:i/>
                <w:iCs/>
                <w:color w:val="auto"/>
                <w:sz w:val="20"/>
                <w:szCs w:val="20"/>
                <w:lang w:eastAsia="en-US"/>
              </w:rPr>
              <w:t xml:space="preserve"> -</w:t>
            </w:r>
            <w:proofErr w:type="spellStart"/>
            <w:r w:rsidR="00D41C77" w:rsidRPr="00933A73">
              <w:rPr>
                <w:i/>
                <w:iCs/>
                <w:sz w:val="20"/>
                <w:szCs w:val="20"/>
              </w:rPr>
              <w:t>J</w:t>
            </w:r>
            <w:r w:rsidR="000B186C" w:rsidRPr="00933A73">
              <w:rPr>
                <w:i/>
                <w:iCs/>
                <w:sz w:val="20"/>
                <w:szCs w:val="20"/>
              </w:rPr>
              <w:t>amteki</w:t>
            </w:r>
            <w:proofErr w:type="spellEnd"/>
            <w:r w:rsidR="00D41C77" w:rsidRPr="00933A73">
              <w:rPr>
                <w:i/>
                <w:iCs/>
                <w:sz w:val="20"/>
                <w:szCs w:val="20"/>
              </w:rPr>
              <w:t xml:space="preserve"> (</w:t>
            </w:r>
            <w:proofErr w:type="spellStart"/>
            <w:r w:rsidR="00D41C77" w:rsidRPr="00933A73">
              <w:rPr>
                <w:i/>
                <w:iCs/>
                <w:sz w:val="20"/>
                <w:szCs w:val="20"/>
              </w:rPr>
              <w:t>ustekinumab</w:t>
            </w:r>
            <w:proofErr w:type="spellEnd"/>
            <w:r w:rsidR="00D41C77" w:rsidRPr="00933A73">
              <w:rPr>
                <w:i/>
                <w:iCs/>
                <w:sz w:val="20"/>
                <w:szCs w:val="20"/>
              </w:rPr>
              <w:t>) is indicated for</w:t>
            </w:r>
          </w:p>
          <w:p w14:paraId="42F1B376" w14:textId="0F35B307" w:rsidR="000C4CCD" w:rsidRPr="00933A73" w:rsidRDefault="000E0BD9"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the treatment of chronic moderate to severe plaque psoriasis in adult patients who are candidates for phototherapy or systemic therapy</w:t>
            </w:r>
            <w:r w:rsidR="000C4CCD" w:rsidRPr="00933A73">
              <w:rPr>
                <w:i/>
                <w:iCs/>
                <w:sz w:val="20"/>
                <w:szCs w:val="20"/>
              </w:rPr>
              <w:t>.</w:t>
            </w:r>
          </w:p>
          <w:p w14:paraId="09EA4ED5" w14:textId="77777777" w:rsidR="000C4CCD" w:rsidRPr="00933A73" w:rsidRDefault="000E0BD9"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xml:space="preserve">the treatment of chronic moderate to severe plaque psoriasis in </w:t>
            </w:r>
            <w:proofErr w:type="spellStart"/>
            <w:r w:rsidRPr="00933A73">
              <w:rPr>
                <w:i/>
                <w:iCs/>
                <w:sz w:val="20"/>
                <w:szCs w:val="20"/>
              </w:rPr>
              <w:t>pediatric</w:t>
            </w:r>
            <w:proofErr w:type="spellEnd"/>
            <w:r w:rsidRPr="00933A73">
              <w:rPr>
                <w:i/>
                <w:iCs/>
                <w:sz w:val="20"/>
                <w:szCs w:val="20"/>
              </w:rPr>
              <w:t xml:space="preserve"> patients (6-17 years of age) who are inadequately controlled by, or are intolerant to, other systemic therapies or phototherapies</w:t>
            </w:r>
            <w:r w:rsidR="000C4CCD" w:rsidRPr="00933A73">
              <w:rPr>
                <w:i/>
                <w:iCs/>
                <w:sz w:val="20"/>
                <w:szCs w:val="20"/>
              </w:rPr>
              <w:t>.</w:t>
            </w:r>
          </w:p>
          <w:p w14:paraId="1EEC4D8A" w14:textId="77777777" w:rsidR="000C4CCD" w:rsidRPr="00933A73" w:rsidRDefault="000E0BD9"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 xml:space="preserve">Psoriatic Arthritis </w:t>
            </w:r>
            <w:r w:rsidR="00152C36" w:rsidRPr="00933A73">
              <w:rPr>
                <w:i/>
                <w:iCs/>
                <w:sz w:val="20"/>
                <w:szCs w:val="20"/>
              </w:rPr>
              <w:t>-</w:t>
            </w:r>
            <w:r w:rsidR="00152C36" w:rsidRPr="00933A73">
              <w:rPr>
                <w:rFonts w:eastAsiaTheme="minorHAnsi" w:cstheme="minorBidi"/>
                <w:i/>
                <w:iCs/>
                <w:color w:val="auto"/>
                <w:sz w:val="20"/>
                <w:szCs w:val="20"/>
                <w:lang w:eastAsia="en-US"/>
              </w:rPr>
              <w:t xml:space="preserve"> </w:t>
            </w:r>
            <w:proofErr w:type="spellStart"/>
            <w:r w:rsidR="00152C36" w:rsidRPr="00933A73">
              <w:rPr>
                <w:i/>
                <w:iCs/>
                <w:sz w:val="20"/>
                <w:szCs w:val="20"/>
              </w:rPr>
              <w:t>J</w:t>
            </w:r>
            <w:r w:rsidR="008A7656" w:rsidRPr="00933A73">
              <w:rPr>
                <w:i/>
                <w:iCs/>
                <w:sz w:val="20"/>
                <w:szCs w:val="20"/>
              </w:rPr>
              <w:t>amteki</w:t>
            </w:r>
            <w:proofErr w:type="spellEnd"/>
            <w:r w:rsidR="00152C36" w:rsidRPr="00933A73">
              <w:rPr>
                <w:i/>
                <w:iCs/>
                <w:sz w:val="20"/>
                <w:szCs w:val="20"/>
              </w:rPr>
              <w:t xml:space="preserve"> (</w:t>
            </w:r>
            <w:proofErr w:type="spellStart"/>
            <w:r w:rsidR="00152C36" w:rsidRPr="00933A73">
              <w:rPr>
                <w:i/>
                <w:iCs/>
                <w:sz w:val="20"/>
                <w:szCs w:val="20"/>
              </w:rPr>
              <w:t>ustekinumab</w:t>
            </w:r>
            <w:proofErr w:type="spellEnd"/>
            <w:r w:rsidR="00152C36" w:rsidRPr="00933A73">
              <w:rPr>
                <w:i/>
                <w:iCs/>
                <w:sz w:val="20"/>
                <w:szCs w:val="20"/>
              </w:rPr>
              <w:t>) is indicated for</w:t>
            </w:r>
            <w:r w:rsidR="00146218" w:rsidRPr="00933A73">
              <w:rPr>
                <w:i/>
                <w:iCs/>
                <w:sz w:val="20"/>
                <w:szCs w:val="20"/>
              </w:rPr>
              <w:t xml:space="preserve"> </w:t>
            </w:r>
            <w:r w:rsidRPr="00933A73">
              <w:rPr>
                <w:i/>
                <w:iCs/>
                <w:sz w:val="20"/>
                <w:szCs w:val="20"/>
              </w:rPr>
              <w:t xml:space="preserve">the treatment of adult patients with active psoriatic arthritis. </w:t>
            </w:r>
            <w:proofErr w:type="spellStart"/>
            <w:r w:rsidRPr="00933A73">
              <w:rPr>
                <w:i/>
                <w:iCs/>
                <w:sz w:val="20"/>
                <w:szCs w:val="20"/>
              </w:rPr>
              <w:t>Jamteki</w:t>
            </w:r>
            <w:proofErr w:type="spellEnd"/>
            <w:r w:rsidRPr="00933A73">
              <w:rPr>
                <w:i/>
                <w:iCs/>
                <w:sz w:val="20"/>
                <w:szCs w:val="20"/>
              </w:rPr>
              <w:t xml:space="preserve"> can be used alone or in combination with methotrexate (MTX)</w:t>
            </w:r>
            <w:r w:rsidR="000C4CCD" w:rsidRPr="00933A73">
              <w:rPr>
                <w:i/>
                <w:iCs/>
                <w:sz w:val="20"/>
                <w:szCs w:val="20"/>
              </w:rPr>
              <w:t>.</w:t>
            </w:r>
          </w:p>
          <w:p w14:paraId="7E9075BB" w14:textId="77777777" w:rsidR="000C4CCD" w:rsidRPr="00933A73" w:rsidRDefault="000E0BD9"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Crohn’s Disease</w:t>
            </w:r>
            <w:r w:rsidR="00D45ADA" w:rsidRPr="00933A73">
              <w:rPr>
                <w:i/>
                <w:iCs/>
                <w:sz w:val="20"/>
                <w:szCs w:val="20"/>
                <w:u w:val="single"/>
              </w:rPr>
              <w:t xml:space="preserve"> -</w:t>
            </w:r>
            <w:r w:rsidRPr="00933A73">
              <w:rPr>
                <w:i/>
                <w:iCs/>
                <w:sz w:val="20"/>
                <w:szCs w:val="20"/>
              </w:rPr>
              <w:t xml:space="preserve"> </w:t>
            </w:r>
            <w:proofErr w:type="spellStart"/>
            <w:r w:rsidR="00D45ADA" w:rsidRPr="00933A73">
              <w:rPr>
                <w:i/>
                <w:iCs/>
                <w:sz w:val="20"/>
                <w:szCs w:val="20"/>
              </w:rPr>
              <w:t>Jamteki</w:t>
            </w:r>
            <w:proofErr w:type="spellEnd"/>
            <w:r w:rsidR="00D45ADA" w:rsidRPr="00933A73">
              <w:rPr>
                <w:i/>
                <w:iCs/>
                <w:sz w:val="20"/>
                <w:szCs w:val="20"/>
              </w:rPr>
              <w:t>/</w:t>
            </w:r>
            <w:proofErr w:type="spellStart"/>
            <w:r w:rsidR="00D45ADA" w:rsidRPr="00933A73">
              <w:rPr>
                <w:i/>
                <w:iCs/>
                <w:sz w:val="20"/>
                <w:szCs w:val="20"/>
              </w:rPr>
              <w:t>Jamteki</w:t>
            </w:r>
            <w:proofErr w:type="spellEnd"/>
            <w:r w:rsidR="00D45ADA" w:rsidRPr="00933A73">
              <w:rPr>
                <w:i/>
                <w:iCs/>
                <w:sz w:val="20"/>
                <w:szCs w:val="20"/>
              </w:rPr>
              <w:t xml:space="preserve"> I.V. (</w:t>
            </w:r>
            <w:proofErr w:type="spellStart"/>
            <w:r w:rsidR="00D45ADA" w:rsidRPr="00933A73">
              <w:rPr>
                <w:i/>
                <w:iCs/>
                <w:sz w:val="20"/>
                <w:szCs w:val="20"/>
              </w:rPr>
              <w:t>ustekinumab</w:t>
            </w:r>
            <w:proofErr w:type="spellEnd"/>
            <w:r w:rsidR="00D45ADA" w:rsidRPr="00933A73">
              <w:rPr>
                <w:i/>
                <w:iCs/>
                <w:sz w:val="20"/>
                <w:szCs w:val="20"/>
              </w:rPr>
              <w:t>) is indicated for</w:t>
            </w:r>
            <w:r w:rsidR="00146218" w:rsidRPr="00933A73">
              <w:rPr>
                <w:i/>
                <w:iCs/>
                <w:sz w:val="20"/>
                <w:szCs w:val="20"/>
              </w:rPr>
              <w:t xml:space="preserve"> </w:t>
            </w:r>
            <w:r w:rsidRPr="00933A73">
              <w:rPr>
                <w:i/>
                <w:iCs/>
                <w:sz w:val="20"/>
                <w:szCs w:val="20"/>
              </w:rPr>
              <w:t>the treatment of adult patients with moderately to severely active Crohn’s disease, who have had an inadequate response, loss of response to, or were intolerant to either immunomodulators or one or more tumour necrosis factor-alpha (TNFα) antagonists, or have had an inadequate response, intolerance or demonstrated dependence on corticosteroids</w:t>
            </w:r>
            <w:r w:rsidR="000C4CCD" w:rsidRPr="00933A73">
              <w:rPr>
                <w:i/>
                <w:iCs/>
                <w:sz w:val="20"/>
                <w:szCs w:val="20"/>
              </w:rPr>
              <w:t>.</w:t>
            </w:r>
          </w:p>
          <w:p w14:paraId="7754D7EC" w14:textId="21DEE1FD" w:rsidR="006E6A5B" w:rsidRPr="00933A73" w:rsidRDefault="000E0BD9"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u w:val="single"/>
              </w:rPr>
              <w:t>Ulcerative Colitis</w:t>
            </w:r>
            <w:r w:rsidR="00146218" w:rsidRPr="00933A73">
              <w:rPr>
                <w:i/>
                <w:iCs/>
                <w:sz w:val="20"/>
                <w:szCs w:val="20"/>
                <w:u w:val="single"/>
              </w:rPr>
              <w:t xml:space="preserve"> </w:t>
            </w:r>
            <w:r w:rsidR="00146218" w:rsidRPr="00933A73">
              <w:rPr>
                <w:i/>
                <w:iCs/>
                <w:sz w:val="20"/>
                <w:szCs w:val="20"/>
              </w:rPr>
              <w:t>-</w:t>
            </w:r>
            <w:r w:rsidRPr="00933A73">
              <w:rPr>
                <w:i/>
                <w:iCs/>
                <w:sz w:val="20"/>
                <w:szCs w:val="20"/>
              </w:rPr>
              <w:t xml:space="preserve"> </w:t>
            </w:r>
            <w:proofErr w:type="spellStart"/>
            <w:r w:rsidR="00146218" w:rsidRPr="00933A73">
              <w:rPr>
                <w:i/>
                <w:iCs/>
                <w:sz w:val="20"/>
                <w:szCs w:val="20"/>
              </w:rPr>
              <w:t>Jamteki</w:t>
            </w:r>
            <w:proofErr w:type="spellEnd"/>
            <w:r w:rsidR="00146218" w:rsidRPr="00933A73">
              <w:rPr>
                <w:i/>
                <w:iCs/>
                <w:sz w:val="20"/>
                <w:szCs w:val="20"/>
              </w:rPr>
              <w:t>/</w:t>
            </w:r>
            <w:proofErr w:type="spellStart"/>
            <w:r w:rsidR="00146218" w:rsidRPr="00933A73">
              <w:rPr>
                <w:i/>
                <w:iCs/>
                <w:sz w:val="20"/>
                <w:szCs w:val="20"/>
              </w:rPr>
              <w:t>Jamteki</w:t>
            </w:r>
            <w:proofErr w:type="spellEnd"/>
            <w:r w:rsidR="00146218" w:rsidRPr="00933A73">
              <w:rPr>
                <w:i/>
                <w:iCs/>
                <w:sz w:val="20"/>
                <w:szCs w:val="20"/>
              </w:rPr>
              <w:t xml:space="preserve"> I.V. (</w:t>
            </w:r>
            <w:proofErr w:type="spellStart"/>
            <w:r w:rsidR="00146218" w:rsidRPr="00933A73">
              <w:rPr>
                <w:i/>
                <w:iCs/>
                <w:sz w:val="20"/>
                <w:szCs w:val="20"/>
              </w:rPr>
              <w:t>ustekinumab</w:t>
            </w:r>
            <w:proofErr w:type="spellEnd"/>
            <w:r w:rsidR="00146218" w:rsidRPr="00933A73">
              <w:rPr>
                <w:i/>
                <w:iCs/>
                <w:sz w:val="20"/>
                <w:szCs w:val="20"/>
              </w:rPr>
              <w:t xml:space="preserve">) is indicated for </w:t>
            </w:r>
            <w:r w:rsidRPr="00933A73">
              <w:rPr>
                <w:i/>
                <w:iCs/>
                <w:sz w:val="20"/>
                <w:szCs w:val="20"/>
              </w:rPr>
              <w:t xml:space="preserve">the treatment of adult patients with moderately to severely active ulcerative colitis who have had an inadequate response </w:t>
            </w:r>
            <w:proofErr w:type="gramStart"/>
            <w:r w:rsidRPr="00933A73">
              <w:rPr>
                <w:i/>
                <w:iCs/>
                <w:sz w:val="20"/>
                <w:szCs w:val="20"/>
              </w:rPr>
              <w:t>with,</w:t>
            </w:r>
            <w:proofErr w:type="gramEnd"/>
            <w:r w:rsidRPr="00933A73">
              <w:rPr>
                <w:i/>
                <w:iCs/>
                <w:sz w:val="20"/>
                <w:szCs w:val="20"/>
              </w:rPr>
              <w:t xml:space="preserve"> lost response to, or were intolerant to either conventional therapy or a biologic or have medical contraindications to such therapies.</w:t>
            </w:r>
          </w:p>
        </w:tc>
      </w:tr>
      <w:tr w:rsidR="00521934" w:rsidRPr="00D01DDB" w14:paraId="1624EEB4" w14:textId="77777777" w:rsidTr="00D16F5A">
        <w:tc>
          <w:tcPr>
            <w:cnfStyle w:val="001000000000" w:firstRow="0" w:lastRow="0" w:firstColumn="1" w:lastColumn="0" w:oddVBand="0" w:evenVBand="0" w:oddHBand="0" w:evenHBand="0" w:firstRowFirstColumn="0" w:firstRowLastColumn="0" w:lastRowFirstColumn="0" w:lastRowLastColumn="0"/>
            <w:tcW w:w="612" w:type="pct"/>
          </w:tcPr>
          <w:p w14:paraId="266A4C34" w14:textId="1ADC9ABC" w:rsidR="00521934" w:rsidRPr="001F1087" w:rsidRDefault="00014BBA" w:rsidP="00D16F5A">
            <w:pPr>
              <w:rPr>
                <w:sz w:val="20"/>
                <w:szCs w:val="20"/>
              </w:rPr>
            </w:pPr>
            <w:r w:rsidRPr="001F1087">
              <w:rPr>
                <w:sz w:val="20"/>
                <w:szCs w:val="20"/>
              </w:rPr>
              <w:t>U</w:t>
            </w:r>
            <w:r w:rsidR="0051295A" w:rsidRPr="001F1087">
              <w:rPr>
                <w:sz w:val="20"/>
                <w:szCs w:val="20"/>
              </w:rPr>
              <w:t>nited Kingdom (UK)</w:t>
            </w:r>
          </w:p>
        </w:tc>
        <w:tc>
          <w:tcPr>
            <w:tcW w:w="729" w:type="pct"/>
          </w:tcPr>
          <w:p w14:paraId="56FA31BE" w14:textId="26FD7621" w:rsidR="00521934" w:rsidRPr="001F1087" w:rsidRDefault="002639A2"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November 2023</w:t>
            </w:r>
          </w:p>
        </w:tc>
        <w:tc>
          <w:tcPr>
            <w:tcW w:w="971" w:type="pct"/>
          </w:tcPr>
          <w:p w14:paraId="57533178" w14:textId="4A7FF4D0" w:rsidR="00521934" w:rsidRPr="001F1087" w:rsidRDefault="002639A2" w:rsidP="00D16F5A">
            <w:pPr>
              <w:cnfStyle w:val="000000000000" w:firstRow="0" w:lastRow="0" w:firstColumn="0" w:lastColumn="0" w:oddVBand="0" w:evenVBand="0" w:oddHBand="0" w:evenHBand="0" w:firstRowFirstColumn="0" w:firstRowLastColumn="0" w:lastRowFirstColumn="0" w:lastRowLastColumn="0"/>
              <w:rPr>
                <w:sz w:val="20"/>
                <w:szCs w:val="20"/>
              </w:rPr>
            </w:pPr>
            <w:r w:rsidRPr="001F1087">
              <w:rPr>
                <w:sz w:val="20"/>
                <w:szCs w:val="20"/>
              </w:rPr>
              <w:t>Approved</w:t>
            </w:r>
            <w:r w:rsidR="00CB2E1D">
              <w:rPr>
                <w:sz w:val="20"/>
                <w:szCs w:val="20"/>
              </w:rPr>
              <w:t xml:space="preserve"> as </w:t>
            </w:r>
            <w:proofErr w:type="spellStart"/>
            <w:r w:rsidR="00A03536" w:rsidRPr="001F1087">
              <w:rPr>
                <w:sz w:val="20"/>
                <w:szCs w:val="20"/>
              </w:rPr>
              <w:t>U</w:t>
            </w:r>
            <w:r w:rsidR="00C637B0" w:rsidRPr="001F1087">
              <w:rPr>
                <w:sz w:val="20"/>
                <w:szCs w:val="20"/>
              </w:rPr>
              <w:t>zpruvo</w:t>
            </w:r>
            <w:proofErr w:type="spellEnd"/>
            <w:r w:rsidR="00C637B0" w:rsidRPr="001F1087">
              <w:rPr>
                <w:sz w:val="20"/>
                <w:szCs w:val="20"/>
              </w:rPr>
              <w:t xml:space="preserve"> </w:t>
            </w:r>
            <w:r w:rsidR="00CB2E1D">
              <w:rPr>
                <w:sz w:val="20"/>
                <w:szCs w:val="20"/>
              </w:rPr>
              <w:t>on</w:t>
            </w:r>
            <w:r w:rsidR="00D16F5A">
              <w:rPr>
                <w:sz w:val="20"/>
                <w:szCs w:val="20"/>
              </w:rPr>
              <w:t xml:space="preserve"> </w:t>
            </w:r>
            <w:r w:rsidR="00C711E0" w:rsidRPr="001F1087">
              <w:rPr>
                <w:sz w:val="20"/>
                <w:szCs w:val="20"/>
              </w:rPr>
              <w:t>26</w:t>
            </w:r>
            <w:r w:rsidR="00CB2E1D">
              <w:rPr>
                <w:sz w:val="20"/>
                <w:szCs w:val="20"/>
              </w:rPr>
              <w:t> </w:t>
            </w:r>
            <w:r w:rsidR="00C711E0" w:rsidRPr="001F1087">
              <w:rPr>
                <w:sz w:val="20"/>
                <w:szCs w:val="20"/>
              </w:rPr>
              <w:t>March</w:t>
            </w:r>
            <w:r w:rsidR="00CB2E1D">
              <w:rPr>
                <w:sz w:val="20"/>
                <w:szCs w:val="20"/>
              </w:rPr>
              <w:t> </w:t>
            </w:r>
            <w:r w:rsidR="00C711E0" w:rsidRPr="001F1087">
              <w:rPr>
                <w:sz w:val="20"/>
                <w:szCs w:val="20"/>
              </w:rPr>
              <w:t>2024</w:t>
            </w:r>
          </w:p>
        </w:tc>
        <w:tc>
          <w:tcPr>
            <w:tcW w:w="2688" w:type="pct"/>
          </w:tcPr>
          <w:p w14:paraId="2D9DB491" w14:textId="26D76AFE" w:rsidR="00A71303" w:rsidRPr="00933A73" w:rsidRDefault="00A71303" w:rsidP="00D16F5A">
            <w:pPr>
              <w:cnfStyle w:val="000000000000" w:firstRow="0" w:lastRow="0" w:firstColumn="0" w:lastColumn="0" w:oddVBand="0" w:evenVBand="0" w:oddHBand="0" w:evenHBand="0" w:firstRowFirstColumn="0" w:firstRowLastColumn="0" w:lastRowFirstColumn="0" w:lastRowLastColumn="0"/>
              <w:rPr>
                <w:i/>
                <w:iCs/>
                <w:sz w:val="20"/>
                <w:szCs w:val="20"/>
              </w:rPr>
            </w:pPr>
            <w:r w:rsidRPr="00933A73">
              <w:rPr>
                <w:i/>
                <w:iCs/>
                <w:sz w:val="20"/>
                <w:szCs w:val="20"/>
              </w:rPr>
              <w:t xml:space="preserve">The </w:t>
            </w:r>
            <w:r w:rsidR="00854590" w:rsidRPr="00933A73">
              <w:rPr>
                <w:i/>
                <w:iCs/>
                <w:sz w:val="20"/>
                <w:szCs w:val="20"/>
              </w:rPr>
              <w:t xml:space="preserve">approved </w:t>
            </w:r>
            <w:r w:rsidRPr="00933A73">
              <w:rPr>
                <w:i/>
                <w:iCs/>
                <w:sz w:val="20"/>
                <w:szCs w:val="20"/>
              </w:rPr>
              <w:t>therapeutic indications in the United Kingdom</w:t>
            </w:r>
            <w:r w:rsidR="007D21B4" w:rsidRPr="00933A73">
              <w:rPr>
                <w:i/>
                <w:iCs/>
                <w:sz w:val="20"/>
                <w:szCs w:val="20"/>
              </w:rPr>
              <w:t xml:space="preserve"> (UK)</w:t>
            </w:r>
            <w:r w:rsidRPr="00933A73">
              <w:rPr>
                <w:i/>
                <w:iCs/>
                <w:sz w:val="20"/>
                <w:szCs w:val="20"/>
              </w:rPr>
              <w:t xml:space="preserve"> are consistent </w:t>
            </w:r>
            <w:r w:rsidR="007D21B4" w:rsidRPr="00933A73">
              <w:rPr>
                <w:i/>
                <w:iCs/>
                <w:sz w:val="20"/>
                <w:szCs w:val="20"/>
              </w:rPr>
              <w:t xml:space="preserve">the same as </w:t>
            </w:r>
            <w:r w:rsidRPr="00933A73">
              <w:rPr>
                <w:i/>
                <w:iCs/>
                <w:sz w:val="20"/>
                <w:szCs w:val="20"/>
              </w:rPr>
              <w:t>authorised by the European Union.</w:t>
            </w:r>
          </w:p>
        </w:tc>
      </w:tr>
    </w:tbl>
    <w:p w14:paraId="6D92589C" w14:textId="09786CEF" w:rsidR="00324B33" w:rsidRDefault="00324B33" w:rsidP="00324B33">
      <w:pPr>
        <w:pStyle w:val="Heading2"/>
      </w:pPr>
      <w:bookmarkStart w:id="29" w:name="_Toc504480011"/>
      <w:bookmarkStart w:id="30" w:name="_Toc103679293"/>
      <w:bookmarkStart w:id="31" w:name="_Toc212469864"/>
      <w:r>
        <w:t>Registration timeline</w:t>
      </w:r>
      <w:bookmarkEnd w:id="29"/>
      <w:bookmarkEnd w:id="30"/>
      <w:bookmarkEnd w:id="31"/>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0E7AFCB4" w:rsidR="00477C4E" w:rsidRPr="00BD5DBD" w:rsidRDefault="00477C4E" w:rsidP="00324B33">
      <w:pPr>
        <w:rPr>
          <w:szCs w:val="22"/>
        </w:rPr>
      </w:pPr>
      <w:r w:rsidRPr="00BD5DBD">
        <w:rPr>
          <w:szCs w:val="22"/>
        </w:rPr>
        <w:t xml:space="preserve">This submission was evaluated under the </w:t>
      </w:r>
      <w:hyperlink r:id="rId20" w:history="1">
        <w:r w:rsidRPr="00BD5DBD">
          <w:rPr>
            <w:rStyle w:val="Hyperlink"/>
            <w:szCs w:val="22"/>
          </w:rPr>
          <w:t>standard prescription medicines registration process</w:t>
        </w:r>
      </w:hyperlink>
      <w:r w:rsidRPr="00BD5DBD">
        <w:rPr>
          <w:szCs w:val="22"/>
        </w:rPr>
        <w:t>.</w:t>
      </w:r>
    </w:p>
    <w:p w14:paraId="44628C5F" w14:textId="13BF3070" w:rsidR="00324B33" w:rsidRDefault="00324B33" w:rsidP="002C1232">
      <w:pPr>
        <w:pStyle w:val="TableTitle"/>
      </w:pPr>
      <w:r w:rsidRPr="002C1232">
        <w:t xml:space="preserve">Table </w:t>
      </w:r>
      <w:r w:rsidR="000C4CCD">
        <w:fldChar w:fldCharType="begin"/>
      </w:r>
      <w:r w:rsidR="000C4CCD">
        <w:instrText xml:space="preserve"> SEQ Table \* ARABIC </w:instrText>
      </w:r>
      <w:r w:rsidR="000C4CCD">
        <w:fldChar w:fldCharType="separate"/>
      </w:r>
      <w:r w:rsidR="000C4CCD">
        <w:rPr>
          <w:noProof/>
        </w:rPr>
        <w:t>2</w:t>
      </w:r>
      <w:r w:rsidR="000C4CCD">
        <w:rPr>
          <w:noProof/>
        </w:rPr>
        <w:fldChar w:fldCharType="end"/>
      </w:r>
      <w:r w:rsidRPr="002C1232">
        <w:t>: Timeline for Submission PM-202</w:t>
      </w:r>
      <w:r w:rsidR="00575DD1">
        <w:t>3-</w:t>
      </w:r>
      <w:r w:rsidR="00B94CF0">
        <w:t>03558-1-1</w:t>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D16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E679D1" w:rsidRDefault="00324B33" w:rsidP="00E679D1">
            <w:r w:rsidRPr="00E679D1">
              <w:t>Submission dossier accepted and first round evaluation commenced</w:t>
            </w:r>
          </w:p>
        </w:tc>
        <w:tc>
          <w:tcPr>
            <w:tcW w:w="2551" w:type="dxa"/>
          </w:tcPr>
          <w:p w14:paraId="2963D9D8" w14:textId="7F6727D9" w:rsidR="00324B33" w:rsidRPr="00D01DDB" w:rsidRDefault="00D449B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October 202</w:t>
            </w:r>
            <w:r w:rsidR="009E7B9B">
              <w:rPr>
                <w:szCs w:val="22"/>
              </w:rPr>
              <w:t>3</w:t>
            </w:r>
          </w:p>
        </w:tc>
      </w:tr>
      <w:tr w:rsidR="00803926" w:rsidRPr="00D01DDB" w14:paraId="16D13F79"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6858B45A" w14:textId="57051D58" w:rsidR="00803926" w:rsidRPr="00E679D1" w:rsidDel="00C62B1C" w:rsidRDefault="00803926" w:rsidP="00E679D1">
            <w:r>
              <w:t>Evaluation completed</w:t>
            </w:r>
          </w:p>
        </w:tc>
        <w:tc>
          <w:tcPr>
            <w:tcW w:w="2551" w:type="dxa"/>
          </w:tcPr>
          <w:p w14:paraId="2E0BD403" w14:textId="4BA47053" w:rsidR="00803926" w:rsidRPr="00D01DDB" w:rsidRDefault="00511C4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November 202</w:t>
            </w:r>
            <w:r w:rsidR="003A6E5E">
              <w:rPr>
                <w:szCs w:val="22"/>
              </w:rPr>
              <w:t>4</w:t>
            </w:r>
          </w:p>
        </w:tc>
      </w:tr>
      <w:tr w:rsidR="00324B33" w:rsidRPr="00D01DDB" w14:paraId="5754F7AC"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789DE187" w14:textId="4992D86A" w:rsidR="00324B33" w:rsidRPr="00E679D1" w:rsidRDefault="00324B33" w:rsidP="00E679D1">
            <w:r w:rsidRPr="00E679D1">
              <w:t xml:space="preserve">Advisory </w:t>
            </w:r>
            <w:r w:rsidR="00F8568E">
              <w:t>c</w:t>
            </w:r>
            <w:r w:rsidRPr="00E679D1">
              <w:t>ommittee meeting</w:t>
            </w:r>
          </w:p>
        </w:tc>
        <w:tc>
          <w:tcPr>
            <w:tcW w:w="2551" w:type="dxa"/>
          </w:tcPr>
          <w:p w14:paraId="5BE1EDE7" w14:textId="7F93A186" w:rsidR="00324B33" w:rsidRPr="00D01DDB" w:rsidRDefault="00711B0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3 </w:t>
            </w:r>
            <w:r w:rsidR="009E7B9B">
              <w:rPr>
                <w:szCs w:val="22"/>
              </w:rPr>
              <w:t xml:space="preserve">October </w:t>
            </w:r>
            <w:r w:rsidR="003A6E5E">
              <w:rPr>
                <w:szCs w:val="22"/>
              </w:rPr>
              <w:t>2024</w:t>
            </w:r>
          </w:p>
        </w:tc>
      </w:tr>
      <w:tr w:rsidR="00324B33" w:rsidRPr="00D01DDB" w14:paraId="6E5D32FE"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E679D1" w:rsidRDefault="00324B33" w:rsidP="00E679D1">
            <w:r w:rsidRPr="00E679D1">
              <w:t>Registration decision (Outcome)</w:t>
            </w:r>
          </w:p>
        </w:tc>
        <w:tc>
          <w:tcPr>
            <w:tcW w:w="2551" w:type="dxa"/>
          </w:tcPr>
          <w:p w14:paraId="62987ABD" w14:textId="3B512162" w:rsidR="00324B33" w:rsidRPr="00D01DDB" w:rsidRDefault="00F763C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January 2025</w:t>
            </w:r>
          </w:p>
        </w:tc>
      </w:tr>
      <w:tr w:rsidR="00324B33" w:rsidRPr="00D01DDB" w14:paraId="6DDCDDA4"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192FD19D" w14:textId="38CBD636" w:rsidR="00324B33" w:rsidRPr="00E679D1" w:rsidRDefault="00C00844" w:rsidP="00CB2E1D">
            <w:r>
              <w:t>R</w:t>
            </w:r>
            <w:r w:rsidR="0013132F" w:rsidRPr="00E679D1">
              <w:t xml:space="preserve">egistration </w:t>
            </w:r>
            <w:r w:rsidR="005C4B46" w:rsidRPr="00E679D1">
              <w:t xml:space="preserve">in </w:t>
            </w:r>
            <w:r w:rsidR="0013132F" w:rsidRPr="00E679D1">
              <w:t>the ARTG completed</w:t>
            </w:r>
          </w:p>
        </w:tc>
        <w:tc>
          <w:tcPr>
            <w:tcW w:w="2551" w:type="dxa"/>
          </w:tcPr>
          <w:p w14:paraId="5A8923FD" w14:textId="3BF03F8C" w:rsidR="00324B33" w:rsidRPr="00D01DDB" w:rsidRDefault="005111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February 2025</w:t>
            </w:r>
          </w:p>
        </w:tc>
      </w:tr>
      <w:tr w:rsidR="00324B33" w:rsidRPr="00D01DDB" w14:paraId="56D922E2" w14:textId="77777777" w:rsidTr="00D16F5A">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E679D1" w:rsidRDefault="00324B33" w:rsidP="00E679D1">
            <w:r w:rsidRPr="00E679D1">
              <w:lastRenderedPageBreak/>
              <w:t>Number of working days from submission dossier acceptance to registration decision*</w:t>
            </w:r>
          </w:p>
        </w:tc>
        <w:tc>
          <w:tcPr>
            <w:tcW w:w="2551" w:type="dxa"/>
          </w:tcPr>
          <w:p w14:paraId="5BAF9FA1" w14:textId="13B7CFF9" w:rsidR="00324B33" w:rsidRPr="00D01DDB" w:rsidRDefault="0051113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185</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2" w:name="_Toc212469865"/>
      <w:bookmarkStart w:id="33" w:name="_Toc196046504"/>
      <w:bookmarkStart w:id="34" w:name="_Toc247691527"/>
      <w:bookmarkStart w:id="35" w:name="_Toc314842510"/>
      <w:bookmarkStart w:id="36" w:name="_Toc103679294"/>
      <w:r>
        <w:t xml:space="preserve">Assessment </w:t>
      </w:r>
      <w:r w:rsidR="00C22214" w:rsidRPr="00006FAB">
        <w:t>overview</w:t>
      </w:r>
      <w:bookmarkEnd w:id="32"/>
      <w:r w:rsidR="00C22214" w:rsidRPr="00006FAB">
        <w:t xml:space="preserve"> </w:t>
      </w:r>
      <w:bookmarkEnd w:id="33"/>
      <w:bookmarkEnd w:id="34"/>
      <w:bookmarkEnd w:id="35"/>
      <w:bookmarkEnd w:id="36"/>
    </w:p>
    <w:p w14:paraId="540151FC" w14:textId="77777777" w:rsidR="00C22214" w:rsidRPr="00BD5DBD" w:rsidRDefault="00C22214" w:rsidP="00BD5DBD">
      <w:pPr>
        <w:rPr>
          <w:szCs w:val="22"/>
        </w:rPr>
      </w:pPr>
      <w:bookmarkStart w:id="37" w:name="_Toc247691528"/>
      <w:bookmarkStart w:id="38"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9" w:name="_Toc103679295"/>
      <w:bookmarkStart w:id="40" w:name="_Toc212469866"/>
      <w:r>
        <w:t>Q</w:t>
      </w:r>
      <w:r w:rsidR="00C22214">
        <w:t>uality</w:t>
      </w:r>
      <w:bookmarkEnd w:id="37"/>
      <w:bookmarkEnd w:id="38"/>
      <w:bookmarkEnd w:id="39"/>
      <w:r w:rsidR="007E6443">
        <w:t xml:space="preserve"> evaluation</w:t>
      </w:r>
      <w:r>
        <w:t xml:space="preserve"> summary</w:t>
      </w:r>
      <w:bookmarkEnd w:id="40"/>
    </w:p>
    <w:p w14:paraId="30056A19" w14:textId="77777777" w:rsidR="000C4CCD" w:rsidRDefault="002472FD" w:rsidP="00616B0B">
      <w:r w:rsidRPr="00514321">
        <w:t>Ustekinumab is a fully human IgG1</w:t>
      </w:r>
      <w:r w:rsidRPr="00555212">
        <w:rPr>
          <w:sz w:val="18"/>
          <w:szCs w:val="16"/>
        </w:rPr>
        <w:t xml:space="preserve">Ƙ </w:t>
      </w:r>
      <w:r w:rsidRPr="00514321">
        <w:t xml:space="preserve">monoclonal antibody that binds with specificity to the shared p40 protein subunit of the human cytokines IL-12 and IL-23. Ustekinumab inhibits the bioreactivity if human IL-12 and IL-23 by preventing p40 from binding to the IL-12Rβ1 receptor protein expressed on the surface of immune cells. </w:t>
      </w:r>
      <w:r>
        <w:t xml:space="preserve">The molecular weight of </w:t>
      </w:r>
      <w:proofErr w:type="spellStart"/>
      <w:r>
        <w:t>u</w:t>
      </w:r>
      <w:r w:rsidRPr="00514321">
        <w:t>stekinumab</w:t>
      </w:r>
      <w:proofErr w:type="spellEnd"/>
      <w:r w:rsidRPr="00514321">
        <w:t xml:space="preserve"> </w:t>
      </w:r>
      <w:r>
        <w:t xml:space="preserve">is </w:t>
      </w:r>
      <w:r w:rsidRPr="00165FDA">
        <w:t>approximate</w:t>
      </w:r>
      <w:r>
        <w:t>ly</w:t>
      </w:r>
      <w:r w:rsidRPr="00165FDA">
        <w:t xml:space="preserve"> 148.6 </w:t>
      </w:r>
      <w:proofErr w:type="spellStart"/>
      <w:r w:rsidRPr="00165FDA">
        <w:t>kDa</w:t>
      </w:r>
      <w:proofErr w:type="spellEnd"/>
      <w:r w:rsidR="00431463">
        <w:t xml:space="preserve">. </w:t>
      </w:r>
      <w:r w:rsidRPr="00514321">
        <w:t xml:space="preserve">Ustekinumab </w:t>
      </w:r>
      <w:r w:rsidRPr="00CE0745">
        <w:t xml:space="preserve">is produced by </w:t>
      </w:r>
      <w:r w:rsidRPr="00805BE5">
        <w:t xml:space="preserve">mammalian 17-SP2/0-S </w:t>
      </w:r>
      <w:r>
        <w:t xml:space="preserve">cells </w:t>
      </w:r>
      <w:r w:rsidRPr="00CE0745">
        <w:t>cultured by continuous perfusion</w:t>
      </w:r>
      <w:r w:rsidR="000C4CCD">
        <w:t>.</w:t>
      </w:r>
    </w:p>
    <w:p w14:paraId="1078B991" w14:textId="6D069169" w:rsidR="002472FD" w:rsidRDefault="002472FD" w:rsidP="00616B0B">
      <w:r>
        <w:t xml:space="preserve">Manufacturing, purification and formulation steps were adequately described in the dossier for the </w:t>
      </w:r>
      <w:proofErr w:type="spellStart"/>
      <w:r>
        <w:t>ustekinumab</w:t>
      </w:r>
      <w:proofErr w:type="spellEnd"/>
      <w:r>
        <w:t xml:space="preserve"> active substance. </w:t>
      </w:r>
      <w:r w:rsidRPr="00B90DA9">
        <w:t xml:space="preserve">The overall quality of the </w:t>
      </w:r>
      <w:proofErr w:type="spellStart"/>
      <w:r>
        <w:t>u</w:t>
      </w:r>
      <w:r w:rsidRPr="00514321">
        <w:t>stekinumab</w:t>
      </w:r>
      <w:proofErr w:type="spellEnd"/>
      <w:r w:rsidRPr="00514321">
        <w:t xml:space="preserve"> </w:t>
      </w:r>
      <w:r w:rsidRPr="00B90DA9">
        <w:t>active substance was demonstrated via adequate control of the starting material, control of critical steps and intermediates, process validation, extensive characterisation using orthogonal and state-of-the-art analytical methods, control of impurities and contaminants, generation of robust reference materials and batch analyses that covered multiple manufacturing campaigns.</w:t>
      </w:r>
    </w:p>
    <w:p w14:paraId="7756D93F" w14:textId="77777777" w:rsidR="000C4CCD" w:rsidRDefault="002472FD" w:rsidP="00616B0B">
      <w:r w:rsidRPr="00971E9F">
        <w:t xml:space="preserve">Ustekinumab </w:t>
      </w:r>
      <w:r w:rsidRPr="002E3DF1">
        <w:t>finished product</w:t>
      </w:r>
      <w:r>
        <w:t xml:space="preserve"> U</w:t>
      </w:r>
      <w:r w:rsidR="00D407EF">
        <w:t>teknix</w:t>
      </w:r>
      <w:r w:rsidRPr="002307DF">
        <w:rPr>
          <w:rStyle w:val="Heading2Char"/>
          <w:rFonts w:eastAsia="Cambria"/>
          <w:sz w:val="22"/>
          <w:szCs w:val="22"/>
        </w:rPr>
        <w:t xml:space="preserve"> </w:t>
      </w:r>
      <w:r w:rsidRPr="002307DF">
        <w:rPr>
          <w:bCs/>
        </w:rPr>
        <w:t>is a sterile solution available in a single-dose, 1</w:t>
      </w:r>
      <w:r w:rsidR="005560E4">
        <w:rPr>
          <w:bCs/>
        </w:rPr>
        <w:t xml:space="preserve"> </w:t>
      </w:r>
      <w:r w:rsidRPr="002307DF">
        <w:rPr>
          <w:bCs/>
        </w:rPr>
        <w:t>mL long glass syringe</w:t>
      </w:r>
      <w:r>
        <w:t xml:space="preserve"> </w:t>
      </w:r>
      <w:r w:rsidRPr="009F7DE2">
        <w:t>with a fixed 29-gauge</w:t>
      </w:r>
      <w:r>
        <w:t xml:space="preserve">, </w:t>
      </w:r>
      <w:r w:rsidRPr="00B65E20">
        <w:t>0.5-inch needle (container), and a plunger stopper</w:t>
      </w:r>
      <w:r w:rsidR="005560E4">
        <w:t>.</w:t>
      </w:r>
      <w:r w:rsidRPr="00B65E20">
        <w:t xml:space="preserve"> </w:t>
      </w:r>
      <w:r>
        <w:t>Each syringe contains either 0.5 mL nominal fill (45 mg) or 1.0 mL nominal fill (90 mg)</w:t>
      </w:r>
      <w:r w:rsidRPr="00F712FB">
        <w:t xml:space="preserve"> of </w:t>
      </w:r>
      <w:proofErr w:type="spellStart"/>
      <w:r>
        <w:t>u</w:t>
      </w:r>
      <w:r w:rsidRPr="00971E9F">
        <w:t>stekinumab</w:t>
      </w:r>
      <w:proofErr w:type="spellEnd"/>
      <w:r w:rsidRPr="00F712FB">
        <w:t xml:space="preserve">, histidine, histidine hydrochloride monohydrate, sucrose, polysorbate </w:t>
      </w:r>
      <w:r>
        <w:t>8</w:t>
      </w:r>
      <w:r w:rsidRPr="00F712FB">
        <w:t xml:space="preserve">0 and water for injections in a preservative-free histidine-buffered solution. </w:t>
      </w:r>
      <w:r w:rsidRPr="00E036D2">
        <w:t xml:space="preserve">The container closure is considered suitable </w:t>
      </w:r>
      <w:r>
        <w:t xml:space="preserve">for its intended use as demonstrated by compatibility and stability studies. </w:t>
      </w:r>
      <w:r w:rsidRPr="00F712FB">
        <w:t xml:space="preserve">The formulation development has been adequately described </w:t>
      </w:r>
      <w:r>
        <w:t xml:space="preserve">in drug substance manufacture </w:t>
      </w:r>
      <w:r w:rsidRPr="00F712FB">
        <w:t xml:space="preserve">and the final formulation intended for marketing was used in the phase III clinical </w:t>
      </w:r>
      <w:r w:rsidRPr="00E036D2">
        <w:t>trials</w:t>
      </w:r>
      <w:r w:rsidR="000C4CCD">
        <w:t>.</w:t>
      </w:r>
    </w:p>
    <w:p w14:paraId="13ADFF93" w14:textId="4086CCD0" w:rsidR="00616B0B" w:rsidRPr="00616B0B" w:rsidRDefault="00616B0B" w:rsidP="00616B0B">
      <w:r w:rsidRPr="00616B0B">
        <w:t>In terms of stability of the finished product, data have been generated under accelerated, stressed and real time conditions to characterise the stability profile of the product. Submitted data supported a shelf life of 20 months when stored at 5°C</w:t>
      </w:r>
      <w:r w:rsidR="00CB2E1D">
        <w:t> </w:t>
      </w:r>
      <w:r w:rsidRPr="00616B0B">
        <w:t>±</w:t>
      </w:r>
      <w:r w:rsidR="00CB2E1D">
        <w:t> </w:t>
      </w:r>
      <w:r w:rsidRPr="00616B0B">
        <w:t>3°C. The evaluat</w:t>
      </w:r>
      <w:r w:rsidR="00CB2E1D">
        <w:t>ion</w:t>
      </w:r>
      <w:r w:rsidRPr="00616B0B">
        <w:t xml:space="preserve"> acknowledged the following commitments from the sponsor, </w:t>
      </w:r>
      <w:r w:rsidR="005207CA" w:rsidRPr="00616B0B">
        <w:t>regarding</w:t>
      </w:r>
      <w:r w:rsidRPr="00616B0B">
        <w:t xml:space="preserve"> shelf life of the finished product:</w:t>
      </w:r>
    </w:p>
    <w:p w14:paraId="49426729" w14:textId="77777777" w:rsidR="00616B0B" w:rsidRPr="00616B0B" w:rsidRDefault="00616B0B" w:rsidP="00B453A2">
      <w:pPr>
        <w:pStyle w:val="ListBullet"/>
      </w:pPr>
      <w:r w:rsidRPr="00616B0B">
        <w:t>Completion of the ongoing stability studies for the entire, proposed shelf life,</w:t>
      </w:r>
    </w:p>
    <w:p w14:paraId="137C5C06" w14:textId="77777777" w:rsidR="00616B0B" w:rsidRPr="00616B0B" w:rsidRDefault="00616B0B" w:rsidP="00B453A2">
      <w:pPr>
        <w:pStyle w:val="ListBullet"/>
      </w:pPr>
      <w:r w:rsidRPr="00616B0B">
        <w:t xml:space="preserve">Placement of additional commercial batches, to a total of at least three, on long term stability studies through the proposed shelf life, </w:t>
      </w:r>
    </w:p>
    <w:p w14:paraId="24E31AA3" w14:textId="77777777" w:rsidR="00616B0B" w:rsidRPr="00616B0B" w:rsidRDefault="00616B0B" w:rsidP="00B453A2">
      <w:pPr>
        <w:pStyle w:val="ListBullet"/>
      </w:pPr>
      <w:r w:rsidRPr="00616B0B">
        <w:t xml:space="preserve">Reporting of any confirmed out-of-specification results to the TGA with mitigation strategies, </w:t>
      </w:r>
    </w:p>
    <w:p w14:paraId="463D2E31" w14:textId="77777777" w:rsidR="000C4CCD" w:rsidRDefault="00616B0B" w:rsidP="00B453A2">
      <w:pPr>
        <w:pStyle w:val="ListBullet"/>
      </w:pPr>
      <w:r w:rsidRPr="00616B0B">
        <w:t>Submission of all data to the TGA when available via a minor variation application</w:t>
      </w:r>
      <w:r w:rsidR="000C4CCD">
        <w:t>.</w:t>
      </w:r>
    </w:p>
    <w:p w14:paraId="049CD72B" w14:textId="4D18A9F6" w:rsidR="00616B0B" w:rsidRPr="00616B0B" w:rsidRDefault="00616B0B" w:rsidP="00930BC7">
      <w:r w:rsidRPr="00616B0B">
        <w:t>In-use stability data have also been submitted. The recommended shelf life and storage conditions for the opened/reconstituted/diluted product are up to 30 days when stored at 30°C</w:t>
      </w:r>
      <w:r w:rsidR="00EE3F0C">
        <w:t> </w:t>
      </w:r>
      <w:r w:rsidRPr="00616B0B">
        <w:t>±</w:t>
      </w:r>
      <w:r w:rsidR="00EE3F0C">
        <w:t> </w:t>
      </w:r>
      <w:r w:rsidRPr="00616B0B">
        <w:t>2°C/65%</w:t>
      </w:r>
      <w:r w:rsidR="00EE3F0C">
        <w:t> </w:t>
      </w:r>
      <w:r w:rsidRPr="00616B0B">
        <w:t>±</w:t>
      </w:r>
      <w:r w:rsidR="00EE3F0C">
        <w:t> </w:t>
      </w:r>
      <w:r w:rsidRPr="00616B0B">
        <w:t>5% RH.</w:t>
      </w:r>
    </w:p>
    <w:p w14:paraId="0FF750A9" w14:textId="77777777" w:rsidR="00616B0B" w:rsidRPr="00616B0B" w:rsidRDefault="00616B0B" w:rsidP="00930BC7">
      <w:r w:rsidRPr="00616B0B">
        <w:t>The permitted temperature excursions are:</w:t>
      </w:r>
    </w:p>
    <w:p w14:paraId="1DDE142D" w14:textId="77777777" w:rsidR="00616B0B" w:rsidRPr="00616B0B" w:rsidRDefault="00616B0B" w:rsidP="00930BC7">
      <w:pPr>
        <w:pStyle w:val="ListBullet"/>
      </w:pPr>
      <w:r w:rsidRPr="00616B0B">
        <w:lastRenderedPageBreak/>
        <w:t>0°C to 2°C each time for up to 48 hours in total, not more than three times</w:t>
      </w:r>
    </w:p>
    <w:p w14:paraId="6BB8BF56" w14:textId="77777777" w:rsidR="00616B0B" w:rsidRPr="00616B0B" w:rsidRDefault="00616B0B" w:rsidP="00930BC7">
      <w:pPr>
        <w:pStyle w:val="ListBullet"/>
      </w:pPr>
      <w:r w:rsidRPr="00616B0B">
        <w:t>8°C to 13°C each time for up to 48 hours in total, not more than three times</w:t>
      </w:r>
    </w:p>
    <w:p w14:paraId="299140E7" w14:textId="277F0899" w:rsidR="00616B0B" w:rsidRPr="00616B0B" w:rsidRDefault="00616B0B" w:rsidP="00930BC7">
      <w:r w:rsidRPr="00616B0B">
        <w:t>During clinical development EU-sourced S</w:t>
      </w:r>
      <w:r w:rsidR="00433B7B">
        <w:t>telara</w:t>
      </w:r>
      <w:r w:rsidRPr="00616B0B">
        <w:t xml:space="preserve"> was used as the main reference product, with the dossier including a bridging comparability study between EU and Australian sourced S</w:t>
      </w:r>
      <w:r w:rsidR="00433B7B">
        <w:t>telara</w:t>
      </w:r>
      <w:r w:rsidRPr="00616B0B">
        <w:t>, confirming comparability of the two. Extensive characterisation studies involving comparison of primary, secondary and tertiary structures, physicochemical properties and biological activities showed that U</w:t>
      </w:r>
      <w:r w:rsidR="00433B7B">
        <w:t>teknix</w:t>
      </w:r>
      <w:r w:rsidRPr="00616B0B">
        <w:t xml:space="preserve"> and EU/US S</w:t>
      </w:r>
      <w:r w:rsidR="00433B7B">
        <w:t>telara</w:t>
      </w:r>
      <w:r w:rsidRPr="00616B0B">
        <w:t xml:space="preserve"> are generally similar.</w:t>
      </w:r>
    </w:p>
    <w:p w14:paraId="3B0E7F28" w14:textId="58B8A27F" w:rsidR="002472FD" w:rsidRPr="002472FD" w:rsidRDefault="00616B0B" w:rsidP="002472FD">
      <w:r w:rsidRPr="00616B0B">
        <w:t xml:space="preserve">Secondary </w:t>
      </w:r>
      <w:r w:rsidR="00EE3F0C">
        <w:t xml:space="preserve">quality </w:t>
      </w:r>
      <w:r w:rsidRPr="00616B0B">
        <w:t>evaluations were undertaken, including for sterility, adventitious agents, c</w:t>
      </w:r>
      <w:r w:rsidR="003D5FD3">
        <w:t>o</w:t>
      </w:r>
      <w:r w:rsidRPr="00616B0B">
        <w:t>ntainer and endotoxin safety, with no outstanding issues or objections raised. Overall, there are no objections on quality grounds to the approval of U</w:t>
      </w:r>
      <w:r w:rsidR="00433B7B">
        <w:t>teknix</w:t>
      </w:r>
      <w:r w:rsidRPr="00616B0B">
        <w:t xml:space="preserve"> (</w:t>
      </w:r>
      <w:proofErr w:type="spellStart"/>
      <w:r w:rsidRPr="00616B0B">
        <w:t>ustekinumab</w:t>
      </w:r>
      <w:proofErr w:type="spellEnd"/>
      <w:r w:rsidRPr="00616B0B">
        <w:t>) 45 mg/0.5 mL and U</w:t>
      </w:r>
      <w:r w:rsidR="00433B7B">
        <w:t>teknix</w:t>
      </w:r>
      <w:r w:rsidRPr="00616B0B">
        <w:t xml:space="preserve"> (</w:t>
      </w:r>
      <w:proofErr w:type="spellStart"/>
      <w:r w:rsidRPr="00616B0B">
        <w:t>ustekinumab</w:t>
      </w:r>
      <w:proofErr w:type="spellEnd"/>
      <w:r w:rsidRPr="00616B0B">
        <w:t>) 90 mg/1.0 mL solution for injection pre-filled syringe</w:t>
      </w:r>
      <w:r w:rsidR="00C57A69">
        <w:t>.</w:t>
      </w:r>
    </w:p>
    <w:p w14:paraId="2BE90AAE" w14:textId="35796FD3" w:rsidR="00C22214" w:rsidRDefault="00C22214" w:rsidP="00C22214">
      <w:pPr>
        <w:pStyle w:val="Heading3"/>
      </w:pPr>
      <w:bookmarkStart w:id="41" w:name="_Toc314842512"/>
      <w:bookmarkStart w:id="42" w:name="_Toc103679296"/>
      <w:bookmarkStart w:id="43" w:name="_Toc212469867"/>
      <w:r>
        <w:t>Nonclinical</w:t>
      </w:r>
      <w:bookmarkEnd w:id="41"/>
      <w:bookmarkEnd w:id="42"/>
      <w:r w:rsidR="007E6443">
        <w:t xml:space="preserve"> evaluation</w:t>
      </w:r>
      <w:r w:rsidR="00095C6A">
        <w:t xml:space="preserve"> summary</w:t>
      </w:r>
      <w:bookmarkEnd w:id="43"/>
    </w:p>
    <w:p w14:paraId="6BE7B241" w14:textId="1543F7C6" w:rsidR="00DA3CE8" w:rsidRDefault="00DA3CE8" w:rsidP="00DA3CE8">
      <w:r>
        <w:rPr>
          <w:iCs/>
        </w:rPr>
        <w:t>The nonclinical evaluat</w:t>
      </w:r>
      <w:r w:rsidR="00EE3F0C">
        <w:rPr>
          <w:iCs/>
        </w:rPr>
        <w:t>ion</w:t>
      </w:r>
      <w:r>
        <w:rPr>
          <w:iCs/>
        </w:rPr>
        <w:t xml:space="preserve"> considered the scope of the nonclinical program adequate according to relevant guidance, </w:t>
      </w:r>
      <w:r w:rsidRPr="00B510F9">
        <w:t>Guideline on Similar Biological Medicinal Products Containing Monoclonal Antibodies – Non-clinical and Clinical Issues: EMA/CHMP/BMWP/403543/2010</w:t>
      </w:r>
      <w:r>
        <w:t xml:space="preserve">. </w:t>
      </w:r>
      <w:r>
        <w:rPr>
          <w:iCs/>
        </w:rPr>
        <w:t xml:space="preserve">Comparative </w:t>
      </w:r>
      <w:r w:rsidRPr="00907339">
        <w:rPr>
          <w:i/>
        </w:rPr>
        <w:t>in-vitro</w:t>
      </w:r>
      <w:r>
        <w:rPr>
          <w:iCs/>
        </w:rPr>
        <w:t xml:space="preserve"> pharmacology studies between AVT04 and EU-S</w:t>
      </w:r>
      <w:r w:rsidR="000710DB">
        <w:rPr>
          <w:iCs/>
        </w:rPr>
        <w:t>telara</w:t>
      </w:r>
      <w:r>
        <w:rPr>
          <w:iCs/>
        </w:rPr>
        <w:t xml:space="preserve"> were included in the dossier, primarily for </w:t>
      </w:r>
      <w:r w:rsidR="00907339">
        <w:rPr>
          <w:iCs/>
        </w:rPr>
        <w:t>quality</w:t>
      </w:r>
      <w:r>
        <w:rPr>
          <w:iCs/>
        </w:rPr>
        <w:t xml:space="preserve"> evaluation. Across these studies, the nonclinical evaluat</w:t>
      </w:r>
      <w:r w:rsidR="00907339">
        <w:rPr>
          <w:iCs/>
        </w:rPr>
        <w:t>ion</w:t>
      </w:r>
      <w:r>
        <w:rPr>
          <w:iCs/>
        </w:rPr>
        <w:t xml:space="preserve"> did note a difference between AVT04 and S</w:t>
      </w:r>
      <w:r w:rsidR="000710DB">
        <w:rPr>
          <w:iCs/>
        </w:rPr>
        <w:t>telara</w:t>
      </w:r>
      <w:r>
        <w:rPr>
          <w:iCs/>
        </w:rPr>
        <w:t xml:space="preserve"> in binding to </w:t>
      </w:r>
      <w:proofErr w:type="spellStart"/>
      <w:r w:rsidRPr="00F37D37">
        <w:t>FcγRIIIa</w:t>
      </w:r>
      <w:proofErr w:type="spellEnd"/>
      <w:r w:rsidRPr="00F37D37">
        <w:t xml:space="preserve"> (158V) and </w:t>
      </w:r>
      <w:proofErr w:type="spellStart"/>
      <w:r w:rsidRPr="00F37D37">
        <w:t>FcγRIIIa</w:t>
      </w:r>
      <w:proofErr w:type="spellEnd"/>
      <w:r w:rsidRPr="00F37D37">
        <w:t xml:space="preserve"> (158F)</w:t>
      </w:r>
      <w:r>
        <w:t xml:space="preserve">, which was thought attributable to higher </w:t>
      </w:r>
      <w:proofErr w:type="spellStart"/>
      <w:r>
        <w:t>afucosylation</w:t>
      </w:r>
      <w:proofErr w:type="spellEnd"/>
      <w:r>
        <w:t xml:space="preserve"> levels of Stelara. These differences were not considered relevant for </w:t>
      </w:r>
      <w:r w:rsidRPr="00907339">
        <w:rPr>
          <w:i/>
          <w:iCs/>
        </w:rPr>
        <w:t>in-vivo</w:t>
      </w:r>
      <w:r>
        <w:t xml:space="preserve"> effects, as neither AVT04 or S</w:t>
      </w:r>
      <w:r w:rsidR="000710DB">
        <w:t>telara</w:t>
      </w:r>
      <w:r>
        <w:t xml:space="preserve"> induced downstream effects of </w:t>
      </w:r>
      <w:proofErr w:type="spellStart"/>
      <w:r w:rsidRPr="00F37D37">
        <w:t>FcγRIIIa</w:t>
      </w:r>
      <w:proofErr w:type="spellEnd"/>
      <w:r w:rsidRPr="00F37D37">
        <w:t xml:space="preserve"> and </w:t>
      </w:r>
      <w:proofErr w:type="spellStart"/>
      <w:r w:rsidRPr="00F37D37">
        <w:t>FcγRIIIb</w:t>
      </w:r>
      <w:proofErr w:type="spellEnd"/>
      <w:r>
        <w:t xml:space="preserve"> binding.</w:t>
      </w:r>
    </w:p>
    <w:p w14:paraId="32AE4FC4" w14:textId="6B8536E0" w:rsidR="00DA3CE8" w:rsidRDefault="00DA3CE8" w:rsidP="00DA3CE8">
      <w:r>
        <w:t>The nonclinical statements, and pregnancy category (B1) were assessed as appropriate and in accordance with the currently approved PI for S</w:t>
      </w:r>
      <w:r w:rsidR="002A53EB">
        <w:t>telara</w:t>
      </w:r>
      <w:r>
        <w:t>.</w:t>
      </w:r>
    </w:p>
    <w:p w14:paraId="6436D842" w14:textId="6B35F22C" w:rsidR="00DA3CE8" w:rsidRDefault="00DA3CE8" w:rsidP="00DA3CE8">
      <w:r>
        <w:t>The drug substance has the same amino acid sequence as S</w:t>
      </w:r>
      <w:r w:rsidR="002A53EB">
        <w:t>telara</w:t>
      </w:r>
      <w:r>
        <w:t>.</w:t>
      </w:r>
    </w:p>
    <w:p w14:paraId="271355D0" w14:textId="4309D4CF" w:rsidR="00DA3CE8" w:rsidRDefault="00907339" w:rsidP="00DA3CE8">
      <w:r>
        <w:t>The nonclinical data</w:t>
      </w:r>
      <w:r w:rsidR="00DA3CE8">
        <w:t xml:space="preserve"> contained comparative pharmacokinetic and repeat-dose toxicity studies with AVT04 and Chinese-approved S</w:t>
      </w:r>
      <w:r w:rsidR="002A53EB">
        <w:t>telara</w:t>
      </w:r>
      <w:r w:rsidR="00DA3CE8">
        <w:t xml:space="preserve"> in cynomolgus monkeys, however, given that Chinese-approved S</w:t>
      </w:r>
      <w:r w:rsidR="002A53EB">
        <w:t>telara</w:t>
      </w:r>
      <w:r w:rsidR="00DA3CE8">
        <w:t xml:space="preserve"> was not compared with Australian-approved S</w:t>
      </w:r>
      <w:r w:rsidR="002A53EB">
        <w:t>telara</w:t>
      </w:r>
      <w:r w:rsidR="00DA3CE8">
        <w:t xml:space="preserve">, these were not considered for the assessment of </w:t>
      </w:r>
      <w:proofErr w:type="spellStart"/>
      <w:r w:rsidR="00DA3CE8">
        <w:t>biosimilarity</w:t>
      </w:r>
      <w:proofErr w:type="spellEnd"/>
      <w:r w:rsidR="00DA3CE8">
        <w:t>.</w:t>
      </w:r>
    </w:p>
    <w:p w14:paraId="1694F780" w14:textId="0F986E2F" w:rsidR="00DA3CE8" w:rsidRPr="00907339" w:rsidRDefault="00DA3CE8" w:rsidP="00DA3CE8">
      <w:pPr>
        <w:rPr>
          <w:iCs/>
        </w:rPr>
      </w:pPr>
      <w:r>
        <w:t>There were no nonclinical objections to registration of AVT04, and no changes to the proposed PI were recommended.</w:t>
      </w:r>
    </w:p>
    <w:p w14:paraId="35B580A5" w14:textId="40B226DC" w:rsidR="00C22214" w:rsidRDefault="00C22214" w:rsidP="008804CF">
      <w:pPr>
        <w:pStyle w:val="Heading3"/>
      </w:pPr>
      <w:bookmarkStart w:id="44" w:name="_Toc247691530"/>
      <w:bookmarkStart w:id="45" w:name="_Toc314842513"/>
      <w:bookmarkStart w:id="46" w:name="_Toc103679297"/>
      <w:bookmarkStart w:id="47" w:name="_Toc212469868"/>
      <w:r>
        <w:t>Clinical</w:t>
      </w:r>
      <w:bookmarkEnd w:id="44"/>
      <w:bookmarkEnd w:id="45"/>
      <w:bookmarkEnd w:id="46"/>
      <w:r w:rsidR="00095C6A">
        <w:t xml:space="preserve"> evaluation summary</w:t>
      </w:r>
      <w:bookmarkEnd w:id="47"/>
    </w:p>
    <w:p w14:paraId="4E3B8BC0" w14:textId="77777777" w:rsidR="00E513C7" w:rsidRPr="00D16F5A" w:rsidRDefault="00E513C7" w:rsidP="00E513C7">
      <w:pPr>
        <w:pStyle w:val="Heading4"/>
      </w:pPr>
      <w:bookmarkStart w:id="48" w:name="_Toc212469869"/>
      <w:r w:rsidRPr="00AA53F4">
        <w:t>Pharmacology</w:t>
      </w:r>
      <w:bookmarkEnd w:id="48"/>
      <w:r w:rsidRPr="00901283">
        <w:rPr>
          <w:rFonts w:eastAsia="Times New Roman"/>
          <w:b w:val="0"/>
          <w:i/>
          <w:color w:val="7295D2" w:themeColor="accent1" w:themeTint="BF"/>
        </w:rPr>
        <w:t xml:space="preserve"> </w:t>
      </w:r>
    </w:p>
    <w:p w14:paraId="5D6D19A4" w14:textId="3FA26934" w:rsidR="00E513C7" w:rsidRDefault="00E513C7" w:rsidP="00E513C7">
      <w:pPr>
        <w:pStyle w:val="Heading5"/>
      </w:pPr>
      <w:r w:rsidRPr="00AA53F4">
        <w:t>Pharmacokinetics</w:t>
      </w:r>
      <w:r>
        <w:t xml:space="preserve"> </w:t>
      </w:r>
    </w:p>
    <w:p w14:paraId="57B7B875" w14:textId="77777777" w:rsidR="000C4CCD" w:rsidRDefault="00E513C7" w:rsidP="00E513C7">
      <w:r>
        <w:t xml:space="preserve">The </w:t>
      </w:r>
      <w:r w:rsidR="0040464E">
        <w:t>pharmacokinetics (</w:t>
      </w:r>
      <w:r>
        <w:t>PK</w:t>
      </w:r>
      <w:r w:rsidR="0040464E">
        <w:t>)</w:t>
      </w:r>
      <w:r>
        <w:t xml:space="preserve"> of </w:t>
      </w:r>
      <w:proofErr w:type="spellStart"/>
      <w:r>
        <w:t>ustekinumab</w:t>
      </w:r>
      <w:proofErr w:type="spellEnd"/>
      <w:r>
        <w:t xml:space="preserve"> are summarised in the Australian PI for S</w:t>
      </w:r>
      <w:r w:rsidR="00764213">
        <w:t>telara</w:t>
      </w:r>
      <w:r>
        <w:t xml:space="preserve"> and were not evaluated</w:t>
      </w:r>
      <w:r w:rsidR="0040464E">
        <w:t xml:space="preserve"> in</w:t>
      </w:r>
      <w:r>
        <w:t xml:space="preserve"> the clinical evaluat</w:t>
      </w:r>
      <w:r w:rsidR="0040464E">
        <w:t>ion</w:t>
      </w:r>
      <w:r>
        <w:t xml:space="preserve"> as part of this submission. The dossier included two clinical studies assessing PK similarity between AVT04 and S</w:t>
      </w:r>
      <w:r w:rsidR="00764213">
        <w:t>telara</w:t>
      </w:r>
      <w:r>
        <w:t>, studies AVT04-GL-101 and AVT04-GL-301</w:t>
      </w:r>
      <w:r w:rsidR="000C4CCD">
        <w:t>.</w:t>
      </w:r>
    </w:p>
    <w:p w14:paraId="1798BFA7" w14:textId="2C3DCDA3" w:rsidR="00E513C7" w:rsidRDefault="0040464E" w:rsidP="00E513C7">
      <w:pPr>
        <w:pStyle w:val="Heading6"/>
      </w:pPr>
      <w:r>
        <w:lastRenderedPageBreak/>
        <w:t xml:space="preserve">Study </w:t>
      </w:r>
      <w:r w:rsidR="00E513C7">
        <w:t>AVT04-GL-101</w:t>
      </w:r>
      <w:r w:rsidR="00C1591B">
        <w:rPr>
          <w:rStyle w:val="FootnoteReference"/>
        </w:rPr>
        <w:footnoteReference w:id="9"/>
      </w:r>
    </w:p>
    <w:p w14:paraId="59FD1F2A" w14:textId="4F677626" w:rsidR="00E513C7" w:rsidRDefault="00E513C7" w:rsidP="00B957AE">
      <w:r>
        <w:t xml:space="preserve">This was a first-in-human Phase </w:t>
      </w:r>
      <w:r w:rsidR="0040464E">
        <w:t>I</w:t>
      </w:r>
      <w:r>
        <w:t>, randomised, double-blind, single-dose, parallel-group, 3-arm study which compared PK, safety, tolerability and immunogenicity of AVT04, EU-approved S</w:t>
      </w:r>
      <w:r w:rsidR="00764213">
        <w:t>telara</w:t>
      </w:r>
      <w:r>
        <w:t xml:space="preserve"> and US-licensed S</w:t>
      </w:r>
      <w:r w:rsidR="00764213">
        <w:t>telara</w:t>
      </w:r>
      <w:r>
        <w:t xml:space="preserve"> in healthy adult subjects. It was conducted across four centres, two in </w:t>
      </w:r>
      <w:r w:rsidR="00A2219C">
        <w:t xml:space="preserve">both </w:t>
      </w:r>
      <w:r>
        <w:t>Australia and New Zealand, between June 2021 and March 2022. The primary objective was to compare PK of AVT04 with EU-approved and US-licensed S</w:t>
      </w:r>
      <w:r w:rsidR="00A2219C">
        <w:t>telara</w:t>
      </w:r>
      <w:r>
        <w:t>, and the PK of EU-approved and US-licensed S</w:t>
      </w:r>
      <w:r w:rsidR="00A2219C">
        <w:t>telara</w:t>
      </w:r>
      <w:r>
        <w:t>, in terms of co-primary endpoints</w:t>
      </w:r>
      <w:r w:rsidR="0040464E">
        <w:t xml:space="preserve"> maximum concentration (</w:t>
      </w:r>
      <w:r>
        <w:t>C</w:t>
      </w:r>
      <w:r>
        <w:rPr>
          <w:vertAlign w:val="subscript"/>
        </w:rPr>
        <w:t>max</w:t>
      </w:r>
      <w:r w:rsidR="0040464E">
        <w:t xml:space="preserve">) </w:t>
      </w:r>
      <w:r>
        <w:t xml:space="preserve">and </w:t>
      </w:r>
      <w:r w:rsidR="0040464E">
        <w:t>area under the concentration time curve from 0 to infinity (</w:t>
      </w:r>
      <w:r>
        <w:t>AUC</w:t>
      </w:r>
      <w:r>
        <w:rPr>
          <w:vertAlign w:val="subscript"/>
        </w:rPr>
        <w:t>0-inf</w:t>
      </w:r>
      <w:r w:rsidR="0040464E">
        <w:t>)</w:t>
      </w:r>
      <w:r>
        <w:rPr>
          <w:vertAlign w:val="subscript"/>
        </w:rPr>
        <w:t xml:space="preserve"> </w:t>
      </w:r>
      <w:r>
        <w:t>following a single 45 mg/0.5 mL subcutaneous injection in healthy subjects. Secondary endpoints included additional PK, safety and immunogenicity parameters.</w:t>
      </w:r>
    </w:p>
    <w:p w14:paraId="5EA1829F" w14:textId="2208B0B2" w:rsidR="00E513C7" w:rsidRDefault="00E513C7" w:rsidP="00B957AE">
      <w:r>
        <w:t>Major inclusion criteria included being a healthy man or woman, aged 18 to 55 years, body weight 50.0</w:t>
      </w:r>
      <w:r w:rsidR="0040464E">
        <w:t xml:space="preserve"> to </w:t>
      </w:r>
      <w:r>
        <w:t xml:space="preserve">90.0 kg with </w:t>
      </w:r>
      <w:r w:rsidR="0040464E">
        <w:t>body mass index (</w:t>
      </w:r>
      <w:r>
        <w:t>BMI</w:t>
      </w:r>
      <w:r w:rsidR="0040464E">
        <w:t>)</w:t>
      </w:r>
      <w:r>
        <w:t xml:space="preserve"> 17.0</w:t>
      </w:r>
      <w:r w:rsidR="0040464E">
        <w:t xml:space="preserve"> to </w:t>
      </w:r>
      <w:r>
        <w:t>30.0 kg/m</w:t>
      </w:r>
      <w:r>
        <w:rPr>
          <w:vertAlign w:val="superscript"/>
        </w:rPr>
        <w:t>2</w:t>
      </w:r>
      <w:r>
        <w:t xml:space="preserve">, a medical history without major pathology in the opinion of the primary investigator, with basic physical examination, ECG and laboratory parameters falling within clinically acceptable limits. Major exclusion criteria included history of previous exposure to IL-12 and/or IL-23 inhibitors, chronic obstructive pulmonary disease, diabetes mellitus, history of active or latent </w:t>
      </w:r>
      <w:r w:rsidR="0040464E">
        <w:t>tuberculosis (</w:t>
      </w:r>
      <w:r>
        <w:t>TB</w:t>
      </w:r>
      <w:r w:rsidR="0040464E">
        <w:t>)</w:t>
      </w:r>
      <w:r>
        <w:t xml:space="preserve"> not adequately treated, active infection or recent infection, or live vaccines in the preceding 4 weeks. The study sought to include at least 10% of subjects of Japanese origin and ethnicity.</w:t>
      </w:r>
    </w:p>
    <w:p w14:paraId="751CEAF8" w14:textId="3180A333" w:rsidR="00E513C7" w:rsidRDefault="00E513C7" w:rsidP="00B957AE">
      <w:r>
        <w:t xml:space="preserve">Study duration for each subject was 17 weeks, consisting of a 4-week screening period, 13-week treatment and assessment period, and an end-of-study visit at Day 92. Randomisation occurred on study </w:t>
      </w:r>
      <w:r w:rsidR="00B915A1">
        <w:t>D</w:t>
      </w:r>
      <w:r>
        <w:t>ay 1 in a 1:1:1 ratio, stratified by ethnicity and body weight as follows: Japanese, non</w:t>
      </w:r>
      <w:r w:rsidR="00B915A1">
        <w:noBreakHyphen/>
      </w:r>
      <w:r>
        <w:t>Japanese ≤</w:t>
      </w:r>
      <w:r w:rsidR="003E4EF6">
        <w:t> </w:t>
      </w:r>
      <w:r>
        <w:t>80 kg and non-Japanese &gt;</w:t>
      </w:r>
      <w:r w:rsidR="003E4EF6">
        <w:t> </w:t>
      </w:r>
      <w:r>
        <w:t>80 kg.</w:t>
      </w:r>
    </w:p>
    <w:p w14:paraId="716F2ACB" w14:textId="62F3538D" w:rsidR="00E513C7" w:rsidRDefault="00E513C7" w:rsidP="00B957AE">
      <w:r>
        <w:t>A total of 298 subjects were randomised, 98 in the AVT04 treatment group, 101 in the EU</w:t>
      </w:r>
      <w:r w:rsidR="00B915A1">
        <w:noBreakHyphen/>
      </w:r>
      <w:r>
        <w:t>S</w:t>
      </w:r>
      <w:r w:rsidR="00867B9E">
        <w:t>telara</w:t>
      </w:r>
      <w:r>
        <w:t xml:space="preserve"> group, and 99 in the US-S</w:t>
      </w:r>
      <w:r w:rsidR="00867B9E">
        <w:t>telara</w:t>
      </w:r>
      <w:r>
        <w:t xml:space="preserve"> group, with two subjects withdrawing from each of the latter two groups prior to receiving a dose. 10 subjects failed to complete the study, six in the AVT04 group, three in the EU-S</w:t>
      </w:r>
      <w:r w:rsidR="004C3550">
        <w:t>telara</w:t>
      </w:r>
      <w:r>
        <w:t xml:space="preserve"> group, and seven in the US-S</w:t>
      </w:r>
      <w:r w:rsidR="004C3550">
        <w:t>telara</w:t>
      </w:r>
      <w:r>
        <w:t xml:space="preserve"> group with withdrawn consent and loss to follow-up the most common reasons. Demographics were comparable across the treatment groups; overall 60.9% of subjects were female, mean age was 31.5 years, 70.7% were </w:t>
      </w:r>
      <w:r w:rsidR="00B915A1">
        <w:t>W</w:t>
      </w:r>
      <w:r>
        <w:t>hite, and 6.8% of Japanese ethnicity.</w:t>
      </w:r>
    </w:p>
    <w:p w14:paraId="09D8AAAD" w14:textId="77777777" w:rsidR="000C4CCD" w:rsidRDefault="00E513C7" w:rsidP="00B957AE">
      <w:r>
        <w:t>Pairwise comparisons were performed for each primary PK parameter, C</w:t>
      </w:r>
      <w:r>
        <w:rPr>
          <w:vertAlign w:val="subscript"/>
        </w:rPr>
        <w:t xml:space="preserve">max </w:t>
      </w:r>
      <w:r>
        <w:t>and AUC</w:t>
      </w:r>
      <w:r>
        <w:rPr>
          <w:vertAlign w:val="subscript"/>
        </w:rPr>
        <w:t>0-inf</w:t>
      </w:r>
      <w:r>
        <w:t>, including AVT04 (Test) v</w:t>
      </w:r>
      <w:r w:rsidR="00B915A1">
        <w:t>ersus</w:t>
      </w:r>
      <w:r>
        <w:t xml:space="preserve"> EU-approved S</w:t>
      </w:r>
      <w:r w:rsidR="004C3550">
        <w:t>telara</w:t>
      </w:r>
      <w:r>
        <w:t xml:space="preserve"> (Reference), AVT04 (Test) v</w:t>
      </w:r>
      <w:r w:rsidR="00B915A1">
        <w:t>ersus</w:t>
      </w:r>
      <w:r>
        <w:t xml:space="preserve"> US</w:t>
      </w:r>
      <w:r w:rsidR="00B915A1">
        <w:noBreakHyphen/>
      </w:r>
      <w:r>
        <w:t>licensed S</w:t>
      </w:r>
      <w:r w:rsidR="004C3550">
        <w:t>telara</w:t>
      </w:r>
      <w:r>
        <w:t xml:space="preserve"> (Reference), and US-licensed S</w:t>
      </w:r>
      <w:r w:rsidR="004C3550">
        <w:t>telara</w:t>
      </w:r>
      <w:r>
        <w:t xml:space="preserve"> (Test) vs. EU-approved S</w:t>
      </w:r>
      <w:r w:rsidR="004C3550">
        <w:t>telara</w:t>
      </w:r>
      <w:r>
        <w:t xml:space="preserve"> (Reference); an ANCOVA on the logarithmic scale was used, including treatment and body weight at </w:t>
      </w:r>
      <w:r w:rsidR="00B915A1">
        <w:t>B</w:t>
      </w:r>
      <w:r>
        <w:t xml:space="preserve">aseline as covariates, with least squares means for treatment, their differences and 90% </w:t>
      </w:r>
      <w:r w:rsidR="00B915A1">
        <w:t>confidence intervals (</w:t>
      </w:r>
      <w:r>
        <w:t>C</w:t>
      </w:r>
      <w:r w:rsidR="00B915A1">
        <w:t>i</w:t>
      </w:r>
      <w:r>
        <w:t>s</w:t>
      </w:r>
      <w:r w:rsidR="00B915A1">
        <w:t>)</w:t>
      </w:r>
      <w:r>
        <w:t xml:space="preserve"> for the differences obtained. PK similarity would be demonstrated if the 90% CIs of the geometric mean ratios (GMRs) for both C</w:t>
      </w:r>
      <w:r>
        <w:rPr>
          <w:vertAlign w:val="subscript"/>
        </w:rPr>
        <w:t xml:space="preserve">max </w:t>
      </w:r>
      <w:r>
        <w:t>and AUC</w:t>
      </w:r>
      <w:r>
        <w:rPr>
          <w:vertAlign w:val="subscript"/>
        </w:rPr>
        <w:t xml:space="preserve">0-inf </w:t>
      </w:r>
      <w:r>
        <w:t>were entirely contained within the equivalence margin of 0.8 to 1.25 for all pairwise comparisons</w:t>
      </w:r>
      <w:r w:rsidR="000C4CCD">
        <w:t>.</w:t>
      </w:r>
    </w:p>
    <w:p w14:paraId="65090AAD" w14:textId="2CB07DD9" w:rsidR="00E513C7" w:rsidRPr="00741577" w:rsidRDefault="00E513C7" w:rsidP="00E513C7">
      <w:pPr>
        <w:rPr>
          <w:i/>
          <w:iCs/>
        </w:rPr>
      </w:pPr>
      <w:r>
        <w:t>The statistical analysis plan included descriptive summary of protein content-normalised PK parameters as a sensitivity analysis under ‘</w:t>
      </w:r>
      <w:r>
        <w:rPr>
          <w:i/>
          <w:iCs/>
        </w:rPr>
        <w:t xml:space="preserve">Pharmacokinetic Analyses’, </w:t>
      </w:r>
      <w:r>
        <w:t>whilst the plan for analyses of PK similarity stated: ‘</w:t>
      </w:r>
      <w:r>
        <w:rPr>
          <w:i/>
          <w:iCs/>
        </w:rPr>
        <w:t xml:space="preserve">The analysis of PK similarity was repeated using protein-content normalized exposure PK parameters and the same ANCOVA model’, </w:t>
      </w:r>
      <w:r>
        <w:t xml:space="preserve">referring to the ANCOVA model referenced above for the primary analysis of PK similarity. </w:t>
      </w:r>
      <w:r w:rsidRPr="00D6202B">
        <w:rPr>
          <w:lang w:eastAsia="ja-JP"/>
        </w:rPr>
        <w:t>PK parameters were protein-adjusted as follows:</w:t>
      </w:r>
      <w:r>
        <w:rPr>
          <w:lang w:eastAsia="ja-JP"/>
        </w:rPr>
        <w:t xml:space="preserve"> </w:t>
      </w:r>
      <w:r w:rsidRPr="004C53B1">
        <w:rPr>
          <w:lang w:eastAsia="ja-JP"/>
        </w:rPr>
        <w:t>parameter = original PK parameter x (expected protein content (45</w:t>
      </w:r>
      <w:r w:rsidR="00B915A1">
        <w:rPr>
          <w:lang w:eastAsia="ja-JP"/>
        </w:rPr>
        <w:t> </w:t>
      </w:r>
      <w:r w:rsidRPr="004C53B1">
        <w:rPr>
          <w:lang w:eastAsia="ja-JP"/>
        </w:rPr>
        <w:t>mg)/actual injected volume [mL] x protein concentration [mg/mL])</w:t>
      </w:r>
      <w:r>
        <w:rPr>
          <w:lang w:eastAsia="ja-JP"/>
        </w:rPr>
        <w:t xml:space="preserve">. </w:t>
      </w:r>
      <w:r>
        <w:t xml:space="preserve">Samples for PK </w:t>
      </w:r>
      <w:r>
        <w:lastRenderedPageBreak/>
        <w:t xml:space="preserve">assessment were taken within 1 hour pre-dose, at 8 hours and 12 hours post-dose, and then daily from Day 2 to Day 12, at Day 15, once weekly until </w:t>
      </w:r>
      <w:r w:rsidR="00B915A1">
        <w:t>D</w:t>
      </w:r>
      <w:r>
        <w:t>ay 64, followed by once fortnightly until Day 92 which was end-of-study.</w:t>
      </w:r>
    </w:p>
    <w:p w14:paraId="26EB7ECB" w14:textId="460844FE" w:rsidR="00E513C7" w:rsidRDefault="00E513C7" w:rsidP="00E513C7">
      <w:r>
        <w:t>Figure 1 demonstrates, in linear and semi-logarithmic presentation, geometric mean concentration-time curves according to treatment group, based on the PK analysis population. As can be seen, geometric mean C</w:t>
      </w:r>
      <w:r>
        <w:rPr>
          <w:vertAlign w:val="subscript"/>
        </w:rPr>
        <w:t xml:space="preserve">max </w:t>
      </w:r>
      <w:r>
        <w:t>values for AVT04 and US-S</w:t>
      </w:r>
      <w:r w:rsidR="00E45DD0">
        <w:t>telara</w:t>
      </w:r>
      <w:r>
        <w:t xml:space="preserve"> were similar, both slightly higher than EU-S</w:t>
      </w:r>
      <w:r w:rsidR="00E45DD0">
        <w:t>telara</w:t>
      </w:r>
      <w:r>
        <w:t xml:space="preserve">, while </w:t>
      </w:r>
      <w:r w:rsidR="00B915A1">
        <w:t>t</w:t>
      </w:r>
      <w:r w:rsidR="00B915A1" w:rsidRPr="00B915A1">
        <w:t xml:space="preserve">ime after administration of a drug when the maximum plasma concentration is reached </w:t>
      </w:r>
      <w:r w:rsidR="00B915A1">
        <w:t>(</w:t>
      </w:r>
      <w:proofErr w:type="spellStart"/>
      <w:r>
        <w:t>T</w:t>
      </w:r>
      <w:r>
        <w:rPr>
          <w:vertAlign w:val="subscript"/>
        </w:rPr>
        <w:t>max</w:t>
      </w:r>
      <w:proofErr w:type="spellEnd"/>
      <w:r w:rsidR="00B915A1">
        <w:t>)</w:t>
      </w:r>
      <w:r>
        <w:rPr>
          <w:vertAlign w:val="subscript"/>
        </w:rPr>
        <w:t xml:space="preserve"> </w:t>
      </w:r>
      <w:r>
        <w:t>was consistent across the groups at around 168 hours (7</w:t>
      </w:r>
      <w:r w:rsidR="00B915A1">
        <w:t> </w:t>
      </w:r>
      <w:r>
        <w:t>days). Geometric mean</w:t>
      </w:r>
      <w:r w:rsidR="00B915A1">
        <w:t xml:space="preserve"> half-life (</w:t>
      </w:r>
      <w:r>
        <w:t>t</w:t>
      </w:r>
      <w:r>
        <w:rPr>
          <w:vertAlign w:val="subscript"/>
        </w:rPr>
        <w:t>1/2</w:t>
      </w:r>
      <w:r w:rsidR="00B915A1">
        <w:t>)</w:t>
      </w:r>
      <w:r>
        <w:rPr>
          <w:vertAlign w:val="subscript"/>
        </w:rPr>
        <w:t xml:space="preserve"> </w:t>
      </w:r>
      <w:r>
        <w:t>was higher in the AVT04 group at 477.9 hours, compared to 438.2</w:t>
      </w:r>
      <w:r w:rsidR="00B915A1">
        <w:t> </w:t>
      </w:r>
      <w:r>
        <w:t>hours and 431.9 hours for EU-S</w:t>
      </w:r>
      <w:r w:rsidR="00E45DD0">
        <w:t>telara</w:t>
      </w:r>
      <w:r>
        <w:t xml:space="preserve"> and US-S</w:t>
      </w:r>
      <w:r w:rsidR="00E45DD0">
        <w:t>telara</w:t>
      </w:r>
      <w:r>
        <w:t xml:space="preserve"> respectively. PK parameters are further summarised in Table </w:t>
      </w:r>
      <w:r w:rsidR="007704C4">
        <w:t>3</w:t>
      </w:r>
      <w:r>
        <w:t>.</w:t>
      </w:r>
    </w:p>
    <w:p w14:paraId="70347EEB" w14:textId="464BA023" w:rsidR="004E4186" w:rsidRPr="004E4186" w:rsidRDefault="004E4186" w:rsidP="004E4186">
      <w:pPr>
        <w:pStyle w:val="FigureTitle"/>
      </w:pPr>
      <w:r w:rsidRPr="004E4186">
        <w:t xml:space="preserve">Figure 1. Mean (± Standard Deviation) serum concentration-time profile of </w:t>
      </w:r>
      <w:proofErr w:type="spellStart"/>
      <w:r w:rsidRPr="004E4186">
        <w:t>ustekinumab</w:t>
      </w:r>
      <w:proofErr w:type="spellEnd"/>
      <w:r w:rsidRPr="004E4186">
        <w:t xml:space="preserve"> by treatment group, on linear (top) and semilogarithmic (bottom) scales, pharmacokinetic study population.</w:t>
      </w:r>
    </w:p>
    <w:p w14:paraId="4F67B4CE" w14:textId="18CE6AA9" w:rsidR="00E513C7" w:rsidRDefault="00E513C7" w:rsidP="00E513C7">
      <w:r w:rsidRPr="00657C1F">
        <w:t xml:space="preserve"> </w:t>
      </w:r>
      <w:r w:rsidR="00EE77E9" w:rsidRPr="006E5701">
        <w:rPr>
          <w:noProof/>
        </w:rPr>
        <w:drawing>
          <wp:inline distT="0" distB="0" distL="0" distR="0" wp14:anchorId="023E7184" wp14:editId="0E5AE773">
            <wp:extent cx="5972175" cy="2857725"/>
            <wp:effectExtent l="0" t="0" r="0" b="0"/>
            <wp:docPr id="654948024" name="Picture 654948024" descr="Figure 1. Mean (± Standard Deviation) serum concentration-time profile of ustekinumab by treatment group, on linear (top) and semilogarithmic (bottom) scales, pharmacokinetic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48024" name="Picture 654948024" descr="Figure 1. Mean (± Standard Deviation) serum concentration-time profile of ustekinumab by treatment group, on linear (top) and semilogarithmic (bottom) scales, pharmacokinetic study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4905" cy="2878172"/>
                    </a:xfrm>
                    <a:prstGeom prst="rect">
                      <a:avLst/>
                    </a:prstGeom>
                    <a:noFill/>
                    <a:ln>
                      <a:noFill/>
                    </a:ln>
                  </pic:spPr>
                </pic:pic>
              </a:graphicData>
            </a:graphic>
          </wp:inline>
        </w:drawing>
      </w:r>
    </w:p>
    <w:p w14:paraId="0754BCA7" w14:textId="77777777" w:rsidR="00D83873" w:rsidRDefault="00D83873" w:rsidP="00E513C7"/>
    <w:p w14:paraId="238BC413" w14:textId="1365D7B1" w:rsidR="00D83873" w:rsidRDefault="00D83873" w:rsidP="00E513C7">
      <w:r w:rsidRPr="00657C1F">
        <w:rPr>
          <w:noProof/>
        </w:rPr>
        <w:drawing>
          <wp:inline distT="0" distB="0" distL="0" distR="0" wp14:anchorId="45106051" wp14:editId="2393E7AE">
            <wp:extent cx="5981700" cy="2779395"/>
            <wp:effectExtent l="0" t="0" r="0" b="1905"/>
            <wp:docPr id="1089005054" name="Picture 1089005054" descr="Figure 1. Mean (± Standard Deviation) serum concentration-time profile of ustekinumab by treatment group, on linear (top) and semilogarithmic (bottom) scales, pharmacokinetic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5054" name="Picture 1089005054" descr="Figure 1. Mean (± Standard Deviation) serum concentration-time profile of ustekinumab by treatment group, on linear (top) and semilogarithmic (bottom) scales, pharmacokinetic study popul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2797" cy="2784551"/>
                    </a:xfrm>
                    <a:prstGeom prst="rect">
                      <a:avLst/>
                    </a:prstGeom>
                    <a:noFill/>
                    <a:ln>
                      <a:noFill/>
                    </a:ln>
                  </pic:spPr>
                </pic:pic>
              </a:graphicData>
            </a:graphic>
          </wp:inline>
        </w:drawing>
      </w:r>
    </w:p>
    <w:p w14:paraId="3638AF00" w14:textId="466FFC11" w:rsidR="00E513C7" w:rsidRDefault="00E513C7" w:rsidP="001B7351">
      <w:pPr>
        <w:pStyle w:val="TableTitle"/>
      </w:pPr>
      <w:r w:rsidRPr="001B7351">
        <w:lastRenderedPageBreak/>
        <w:t xml:space="preserve">Table </w:t>
      </w:r>
      <w:r w:rsidR="007704C4" w:rsidRPr="001B7351">
        <w:t>3</w:t>
      </w:r>
      <w:r w:rsidRPr="001B7351">
        <w:t xml:space="preserve">. Summary of </w:t>
      </w:r>
      <w:proofErr w:type="spellStart"/>
      <w:r w:rsidRPr="001B7351">
        <w:t>ustekinumab</w:t>
      </w:r>
      <w:proofErr w:type="spellEnd"/>
      <w:r w:rsidRPr="001B7351">
        <w:t xml:space="preserve"> pharmacokinetic parameters by treatment, pharmacokinetic analysis population.</w:t>
      </w:r>
      <w:r w:rsidR="00DA5B1F" w:rsidRPr="00DA5B1F">
        <w:rPr>
          <w:vertAlign w:val="superscript"/>
        </w:rPr>
        <w:t>9</w:t>
      </w:r>
    </w:p>
    <w:p w14:paraId="6AD1295E" w14:textId="3421226C" w:rsidR="00DA5B1F" w:rsidRDefault="00DA5B1F" w:rsidP="00D16F5A">
      <w:r w:rsidRPr="00DA5B1F">
        <w:rPr>
          <w:noProof/>
        </w:rPr>
        <w:drawing>
          <wp:inline distT="0" distB="0" distL="0" distR="0" wp14:anchorId="763259DB" wp14:editId="57FC4A03">
            <wp:extent cx="6143625" cy="1696446"/>
            <wp:effectExtent l="0" t="0" r="0" b="0"/>
            <wp:docPr id="2053784590" name="Picture 1" descr="Table 3. Summary of ustekinumab pharmacokinetic parameters by treatment, pharmacokinetic analysis populati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4590" name="Picture 1" descr="Table 3. Summary of ustekinumab pharmacokinetic parameters by treatment, pharmacokinetic analysis population.9"/>
                    <pic:cNvPicPr/>
                  </pic:nvPicPr>
                  <pic:blipFill>
                    <a:blip r:embed="rId23">
                      <a:grayscl/>
                      <a:extLst>
                        <a:ext uri="{BEBA8EAE-BF5A-486C-A8C5-ECC9F3942E4B}">
                          <a14:imgProps xmlns:a14="http://schemas.microsoft.com/office/drawing/2010/main">
                            <a14:imgLayer r:embed="rId24">
                              <a14:imgEffect>
                                <a14:colorTemperature colorTemp="4542"/>
                              </a14:imgEffect>
                              <a14:imgEffect>
                                <a14:brightnessContrast contrast="-26000"/>
                              </a14:imgEffect>
                            </a14:imgLayer>
                          </a14:imgProps>
                        </a:ext>
                      </a:extLst>
                    </a:blip>
                    <a:stretch>
                      <a:fillRect/>
                    </a:stretch>
                  </pic:blipFill>
                  <pic:spPr>
                    <a:xfrm>
                      <a:off x="0" y="0"/>
                      <a:ext cx="6154119" cy="1699344"/>
                    </a:xfrm>
                    <a:prstGeom prst="rect">
                      <a:avLst/>
                    </a:prstGeom>
                  </pic:spPr>
                </pic:pic>
              </a:graphicData>
            </a:graphic>
          </wp:inline>
        </w:drawing>
      </w:r>
    </w:p>
    <w:p w14:paraId="29656F29" w14:textId="1762D30B" w:rsidR="00E513C7" w:rsidRPr="00DA5B1F" w:rsidRDefault="00E513C7" w:rsidP="00DA5B1F">
      <w:pPr>
        <w:pStyle w:val="TableDescription"/>
      </w:pPr>
      <w:r w:rsidRPr="00DA5B1F">
        <w:t>AUC0-inf: Area under the concentration-curve from time zero extrapolated to infinite time; AUC0-t: Area under</w:t>
      </w:r>
      <w:r w:rsidR="00B915A1" w:rsidRPr="00DA5B1F">
        <w:t xml:space="preserve"> </w:t>
      </w:r>
      <w:r w:rsidRPr="00DA5B1F">
        <w:t>the concentration-curve from time zero to the last quantifiable concentration; BLQ: Below the lower limit of</w:t>
      </w:r>
      <w:r w:rsidR="00B915A1" w:rsidRPr="00DA5B1F">
        <w:t xml:space="preserve"> </w:t>
      </w:r>
      <w:r w:rsidRPr="00DA5B1F">
        <w:t>quantification (25 ng/mL); BW: body weight adjusted; CL/F: apparent clearance; Cmax: maximum serum</w:t>
      </w:r>
      <w:r w:rsidR="00B915A1" w:rsidRPr="00DA5B1F">
        <w:t xml:space="preserve"> </w:t>
      </w:r>
      <w:r w:rsidRPr="00DA5B1F">
        <w:t>concentration; CV%: coefficient of variation; Kel: terminal elimination rate constant; LLOQ: lower limit of</w:t>
      </w:r>
      <w:r w:rsidR="00B915A1" w:rsidRPr="00DA5B1F">
        <w:t xml:space="preserve"> </w:t>
      </w:r>
      <w:r w:rsidRPr="00DA5B1F">
        <w:t xml:space="preserve">quantitation; t1/2: apparent terminal elimination half-life; </w:t>
      </w:r>
      <w:proofErr w:type="spellStart"/>
      <w:r w:rsidRPr="00DA5B1F">
        <w:t>Tmax</w:t>
      </w:r>
      <w:proofErr w:type="spellEnd"/>
      <w:r w:rsidRPr="00DA5B1F">
        <w:t>: time of maximum serum concentration;</w:t>
      </w:r>
      <w:r w:rsidR="00B915A1" w:rsidRPr="00DA5B1F">
        <w:t xml:space="preserve"> </w:t>
      </w:r>
      <w:proofErr w:type="spellStart"/>
      <w:r w:rsidRPr="00DA5B1F">
        <w:t>Vz</w:t>
      </w:r>
      <w:proofErr w:type="spellEnd"/>
      <w:r w:rsidRPr="00DA5B1F">
        <w:t>/F: apparent volume of distribution.</w:t>
      </w:r>
      <w:r w:rsidR="00B915A1" w:rsidRPr="00DA5B1F">
        <w:t xml:space="preserve"> </w:t>
      </w:r>
      <w:r w:rsidRPr="00DA5B1F">
        <w:t>N: Total number of subjects in the relevant population.</w:t>
      </w:r>
    </w:p>
    <w:p w14:paraId="723E9372" w14:textId="51109AC1" w:rsidR="00E513C7" w:rsidRDefault="00E513C7" w:rsidP="00F15244">
      <w:r>
        <w:t>In terms of analysis of PK similarity, for the co-primary endpoint C</w:t>
      </w:r>
      <w:r>
        <w:rPr>
          <w:vertAlign w:val="subscript"/>
        </w:rPr>
        <w:t>max</w:t>
      </w:r>
      <w:r>
        <w:t>,</w:t>
      </w:r>
      <w:r>
        <w:rPr>
          <w:vertAlign w:val="subscript"/>
        </w:rPr>
        <w:t xml:space="preserve"> </w:t>
      </w:r>
      <w:r>
        <w:t>the 90% CIs of the GMRs were entirely contained within the margins of 80% and 125% for each of the 3 pairwise comparisons, meeting the prespecified criteria for bioequivalence. For the co-primary endpoint AUC</w:t>
      </w:r>
      <w:r>
        <w:rPr>
          <w:vertAlign w:val="subscript"/>
        </w:rPr>
        <w:t>0-inf</w:t>
      </w:r>
      <w:r>
        <w:t>, the prespecified criteria were not met, with the comparison of AVT04 v</w:t>
      </w:r>
      <w:r w:rsidR="00B915A1">
        <w:t>ersus</w:t>
      </w:r>
      <w:r>
        <w:t xml:space="preserve"> EU-S</w:t>
      </w:r>
      <w:r w:rsidR="00422D64">
        <w:t>telara</w:t>
      </w:r>
      <w:r>
        <w:t xml:space="preserve"> showing the 90% CI of the GMR was 108.1% to 126.4%, exceeding the prespecified margin, while results for the other two pairwise comparisons (AVT04 v</w:t>
      </w:r>
      <w:r w:rsidR="00B915A1">
        <w:t>erses</w:t>
      </w:r>
      <w:r>
        <w:t xml:space="preserve"> US-S</w:t>
      </w:r>
      <w:r w:rsidR="00422D64">
        <w:t>telara</w:t>
      </w:r>
      <w:r>
        <w:t xml:space="preserve"> and EU-S</w:t>
      </w:r>
      <w:r w:rsidR="00422D64">
        <w:t>telara</w:t>
      </w:r>
      <w:r>
        <w:t xml:space="preserve"> v</w:t>
      </w:r>
      <w:r w:rsidR="00B915A1">
        <w:t>ersus</w:t>
      </w:r>
      <w:r>
        <w:t xml:space="preserve"> US-S</w:t>
      </w:r>
      <w:r w:rsidR="00422D64">
        <w:t>telara</w:t>
      </w:r>
      <w:r>
        <w:t>) were entirely contained between 80% and 125%. Therefore, PK similarity of AVT04 and EU-S</w:t>
      </w:r>
      <w:r w:rsidR="00422D64">
        <w:t>telara</w:t>
      </w:r>
      <w:r>
        <w:t xml:space="preserve"> could not be established according to the prespecified primary test of bioequivalence.</w:t>
      </w:r>
      <w:r w:rsidRPr="00CA5F4E">
        <w:t xml:space="preserve"> </w:t>
      </w:r>
      <w:r>
        <w:t>S</w:t>
      </w:r>
      <w:r w:rsidRPr="00CA5F4E">
        <w:t xml:space="preserve">ensitivity analysis using the key secondary endpoint </w:t>
      </w:r>
      <w:r w:rsidRPr="001B7351">
        <w:t>AUC</w:t>
      </w:r>
      <w:r w:rsidRPr="001B7351">
        <w:rPr>
          <w:vertAlign w:val="subscript"/>
        </w:rPr>
        <w:t>0-t</w:t>
      </w:r>
      <w:r w:rsidRPr="00CA5F4E">
        <w:t xml:space="preserve"> showed 90% CIs of the GMRs contained within the prespecified margins for all 3 of the pairwise comparisons</w:t>
      </w:r>
      <w:r>
        <w:t>, including for the AVT04 v</w:t>
      </w:r>
      <w:r w:rsidR="00B915A1">
        <w:t>ersus</w:t>
      </w:r>
      <w:r>
        <w:t xml:space="preserve"> EU-S</w:t>
      </w:r>
      <w:r w:rsidR="00B83692">
        <w:t>telara</w:t>
      </w:r>
      <w:r>
        <w:t xml:space="preserve"> comparison; though the point estimate (114.7%) and upper bound of the 90% CI (123.6%) were relatively higher compared to other pairwise comparisons, suggesting higher </w:t>
      </w:r>
      <w:proofErr w:type="spellStart"/>
      <w:r>
        <w:t>ustekinumab</w:t>
      </w:r>
      <w:proofErr w:type="spellEnd"/>
      <w:r>
        <w:t xml:space="preserve"> exposure in the AVT04 group</w:t>
      </w:r>
      <w:r w:rsidRPr="00CA5F4E">
        <w:t>.</w:t>
      </w:r>
      <w:r>
        <w:t xml:space="preserve"> Table </w:t>
      </w:r>
      <w:r w:rsidR="00B83692">
        <w:t>4</w:t>
      </w:r>
      <w:r>
        <w:t xml:space="preserve"> summarises results of the analysis of PK similarity.</w:t>
      </w:r>
    </w:p>
    <w:p w14:paraId="65AB79B1" w14:textId="050DB94E" w:rsidR="00E513C7" w:rsidRDefault="00E513C7" w:rsidP="00F15244">
      <w:pPr>
        <w:pStyle w:val="TableTitle"/>
      </w:pPr>
      <w:r w:rsidRPr="00F15244">
        <w:t xml:space="preserve">Table </w:t>
      </w:r>
      <w:r w:rsidR="00B83692" w:rsidRPr="00F15244">
        <w:t>4</w:t>
      </w:r>
      <w:r w:rsidRPr="00F15244">
        <w:t xml:space="preserve">. Similarity assessment of </w:t>
      </w:r>
      <w:proofErr w:type="spellStart"/>
      <w:r w:rsidRPr="00F15244">
        <w:t>ustekinumab</w:t>
      </w:r>
      <w:proofErr w:type="spellEnd"/>
      <w:r w:rsidRPr="00F15244">
        <w:t xml:space="preserve"> pharmacokinetic parameters by treatment, Pharmacokinetic population.</w:t>
      </w:r>
    </w:p>
    <w:p w14:paraId="2B81E824" w14:textId="5DFB0098" w:rsidR="00F924FB" w:rsidRDefault="00F924FB" w:rsidP="00D16F5A">
      <w:r>
        <w:rPr>
          <w:noProof/>
        </w:rPr>
        <w:drawing>
          <wp:inline distT="0" distB="0" distL="0" distR="0" wp14:anchorId="0152B6DE" wp14:editId="7B3E447F">
            <wp:extent cx="6056905" cy="2486025"/>
            <wp:effectExtent l="0" t="0" r="1270" b="0"/>
            <wp:docPr id="802560616" name="Picture 1" descr="Table 4. Similarity assessment of ustekinumab pharmacokinetic parameters by treatment,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60616" name="Picture 1" descr="Table 4. Similarity assessment of ustekinumab pharmacokinetic parameters by treatment, Pharmacokinetic population."/>
                    <pic:cNvPicPr/>
                  </pic:nvPicPr>
                  <pic:blipFill>
                    <a:blip r:embed="rId25"/>
                    <a:stretch>
                      <a:fillRect/>
                    </a:stretch>
                  </pic:blipFill>
                  <pic:spPr>
                    <a:xfrm>
                      <a:off x="0" y="0"/>
                      <a:ext cx="6063744" cy="2488832"/>
                    </a:xfrm>
                    <a:prstGeom prst="rect">
                      <a:avLst/>
                    </a:prstGeom>
                  </pic:spPr>
                </pic:pic>
              </a:graphicData>
            </a:graphic>
          </wp:inline>
        </w:drawing>
      </w:r>
    </w:p>
    <w:p w14:paraId="697BE2ED" w14:textId="155CAD6B" w:rsidR="00E513C7" w:rsidRPr="00FC433E" w:rsidRDefault="00E513C7" w:rsidP="00E513C7">
      <w:r>
        <w:t>An analysis of PK similarity following protein content normalisation was performed. The 90% CIs of the GMRs for both co-primary endpoints C</w:t>
      </w:r>
      <w:r>
        <w:rPr>
          <w:vertAlign w:val="subscript"/>
        </w:rPr>
        <w:t xml:space="preserve">max </w:t>
      </w:r>
      <w:r>
        <w:t>and AUC</w:t>
      </w:r>
      <w:r>
        <w:rPr>
          <w:vertAlign w:val="subscript"/>
        </w:rPr>
        <w:t xml:space="preserve">0-inf </w:t>
      </w:r>
      <w:r>
        <w:t xml:space="preserve">were entirely contained between </w:t>
      </w:r>
      <w:r>
        <w:lastRenderedPageBreak/>
        <w:t xml:space="preserve">80% and 125% for each of the 3 pairwise comparisons. Therefore, following protein content normalisation, equivalence criteria were met. These results are summarised in Table </w:t>
      </w:r>
      <w:r w:rsidR="00BA6AD9">
        <w:t>5</w:t>
      </w:r>
      <w:r w:rsidRPr="00304C7F">
        <w:t xml:space="preserve">. </w:t>
      </w:r>
      <w:r>
        <w:t>Drug</w:t>
      </w:r>
      <w:r w:rsidRPr="00304C7F">
        <w:t xml:space="preserve"> protein content for EU-S</w:t>
      </w:r>
      <w:r w:rsidR="00BA6AD9">
        <w:t>telara</w:t>
      </w:r>
      <w:r w:rsidRPr="00304C7F">
        <w:t>, at 82.3 mg, was found to deviate from the nominal and expected value, 90 mg per 1 mL, and was</w:t>
      </w:r>
      <w:r>
        <w:t xml:space="preserve"> approximately 10%</w:t>
      </w:r>
      <w:r w:rsidRPr="00304C7F">
        <w:t xml:space="preserve"> lower than that determined for AVT04 (</w:t>
      </w:r>
      <w:r w:rsidRPr="00B915A1">
        <w:t>91</w:t>
      </w:r>
      <w:r w:rsidR="00B915A1">
        <w:t> </w:t>
      </w:r>
      <w:r w:rsidRPr="00B915A1">
        <w:t>mg</w:t>
      </w:r>
      <w:r w:rsidRPr="00304C7F">
        <w:t>)</w:t>
      </w:r>
      <w:r>
        <w:t>,</w:t>
      </w:r>
      <w:r w:rsidRPr="00304C7F">
        <w:t xml:space="preserve"> and</w:t>
      </w:r>
      <w:r>
        <w:t xml:space="preserve"> around 7% lower than</w:t>
      </w:r>
      <w:r w:rsidRPr="00304C7F">
        <w:t xml:space="preserve"> US-S</w:t>
      </w:r>
      <w:r w:rsidR="00BA6AD9">
        <w:t>telara</w:t>
      </w:r>
      <w:r w:rsidRPr="00304C7F">
        <w:t xml:space="preserve"> (88.3 mg)</w:t>
      </w:r>
      <w:r>
        <w:t>.</w:t>
      </w:r>
    </w:p>
    <w:p w14:paraId="50BD8E0A" w14:textId="1F759041" w:rsidR="00E513C7" w:rsidRDefault="00E513C7" w:rsidP="00590651">
      <w:pPr>
        <w:pStyle w:val="TableTitle"/>
      </w:pPr>
      <w:r>
        <w:t xml:space="preserve">Table </w:t>
      </w:r>
      <w:r w:rsidR="00BA6AD9">
        <w:t>5</w:t>
      </w:r>
      <w:r>
        <w:t xml:space="preserve">. Pharmacokinetic similarity assessment of serum </w:t>
      </w:r>
      <w:proofErr w:type="spellStart"/>
      <w:r>
        <w:t>ustekinumab</w:t>
      </w:r>
      <w:proofErr w:type="spellEnd"/>
      <w:r>
        <w:t xml:space="preserve"> protein content-normalised exposure pharmacokinetic parameters by treatment, pharmacokinetic population.</w:t>
      </w:r>
    </w:p>
    <w:p w14:paraId="3796D160" w14:textId="4E260C53" w:rsidR="007710DB" w:rsidRDefault="007710DB" w:rsidP="00D16F5A">
      <w:r>
        <w:rPr>
          <w:noProof/>
        </w:rPr>
        <w:drawing>
          <wp:inline distT="0" distB="0" distL="0" distR="0" wp14:anchorId="24B3BA73" wp14:editId="719ED57A">
            <wp:extent cx="4485736" cy="4357192"/>
            <wp:effectExtent l="0" t="0" r="0" b="5715"/>
            <wp:docPr id="1964087733" name="Picture 1" descr="Table 5. Pharmacokinetic similarity assessment of serum ustekinumab protein content-normalised exposure pharmacokinetic parameters by treatment,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87733" name="Picture 1" descr="Table 5. Pharmacokinetic similarity assessment of serum ustekinumab protein content-normalised exposure pharmacokinetic parameters by treatment, pharmacokinetic population."/>
                    <pic:cNvPicPr/>
                  </pic:nvPicPr>
                  <pic:blipFill>
                    <a:blip r:embed="rId26"/>
                    <a:stretch>
                      <a:fillRect/>
                    </a:stretch>
                  </pic:blipFill>
                  <pic:spPr>
                    <a:xfrm>
                      <a:off x="0" y="0"/>
                      <a:ext cx="4495127" cy="4366314"/>
                    </a:xfrm>
                    <a:prstGeom prst="rect">
                      <a:avLst/>
                    </a:prstGeom>
                  </pic:spPr>
                </pic:pic>
              </a:graphicData>
            </a:graphic>
          </wp:inline>
        </w:drawing>
      </w:r>
    </w:p>
    <w:p w14:paraId="57547F1A" w14:textId="318330C0" w:rsidR="00E513C7" w:rsidRPr="00B22482" w:rsidRDefault="00E47FC0" w:rsidP="00E513C7">
      <w:r>
        <w:t>S</w:t>
      </w:r>
      <w:r w:rsidR="00E513C7" w:rsidRPr="00B22482">
        <w:t xml:space="preserve">ubgroup analyses showed that systemic exposure to </w:t>
      </w:r>
      <w:proofErr w:type="spellStart"/>
      <w:r w:rsidR="00E513C7" w:rsidRPr="00B22482">
        <w:t>ustekinumab</w:t>
      </w:r>
      <w:proofErr w:type="spellEnd"/>
      <w:r w:rsidR="00E513C7" w:rsidRPr="00B22482">
        <w:t xml:space="preserve"> was body weight dependent, in keeping with what is known for the innovator product, with geometric means for PK exposure parameters lower in the &gt;</w:t>
      </w:r>
      <w:r w:rsidR="003E4EF6">
        <w:t> </w:t>
      </w:r>
      <w:r w:rsidR="00E513C7" w:rsidRPr="00B22482">
        <w:t>80 kg subgroup. For the Japanese subgroup geometric mean C</w:t>
      </w:r>
      <w:r w:rsidR="00E513C7" w:rsidRPr="00B22482">
        <w:rPr>
          <w:vertAlign w:val="subscript"/>
        </w:rPr>
        <w:t xml:space="preserve">max, </w:t>
      </w:r>
      <w:r w:rsidR="007A0DE4">
        <w:rPr>
          <w:szCs w:val="22"/>
        </w:rPr>
        <w:t>a</w:t>
      </w:r>
      <w:r w:rsidR="007A0DE4" w:rsidRPr="00534EF8">
        <w:rPr>
          <w:szCs w:val="22"/>
        </w:rPr>
        <w:t>rea under concentration-time curve from time zero to the time of last measurable concentration</w:t>
      </w:r>
      <w:r w:rsidR="007A0DE4" w:rsidRPr="00B22482">
        <w:t xml:space="preserve"> </w:t>
      </w:r>
      <w:r w:rsidR="007A0DE4">
        <w:t>(</w:t>
      </w:r>
      <w:r w:rsidR="00E513C7" w:rsidRPr="00B22482">
        <w:t>AUC</w:t>
      </w:r>
      <w:r w:rsidR="00E513C7" w:rsidRPr="00B22482">
        <w:rPr>
          <w:vertAlign w:val="subscript"/>
        </w:rPr>
        <w:t>0-t</w:t>
      </w:r>
      <w:r w:rsidR="007A0DE4">
        <w:t>)</w:t>
      </w:r>
      <w:r w:rsidR="00E513C7" w:rsidRPr="00B22482">
        <w:t>, and AUC</w:t>
      </w:r>
      <w:r w:rsidR="00E513C7" w:rsidRPr="00B22482">
        <w:rPr>
          <w:vertAlign w:val="subscript"/>
        </w:rPr>
        <w:t>0-inf</w:t>
      </w:r>
      <w:r w:rsidR="00E513C7" w:rsidRPr="00B22482">
        <w:t xml:space="preserve"> values were consistent with overall </w:t>
      </w:r>
      <w:r w:rsidR="00E513C7">
        <w:t>PK</w:t>
      </w:r>
      <w:r w:rsidR="00E513C7" w:rsidRPr="00B22482">
        <w:t xml:space="preserve"> population. Comparative analysis of PK parameters according to immunogenicity subgroup was performed, however, was exploratory in nature, with low </w:t>
      </w:r>
      <w:r w:rsidR="00E513C7">
        <w:t>subject</w:t>
      </w:r>
      <w:r w:rsidR="00E513C7" w:rsidRPr="00B22482">
        <w:t xml:space="preserve"> numbers per subgroup.</w:t>
      </w:r>
    </w:p>
    <w:p w14:paraId="5F9CF77D" w14:textId="243DF251" w:rsidR="00E513C7" w:rsidRDefault="007A0DE4" w:rsidP="00E513C7">
      <w:pPr>
        <w:pStyle w:val="Heading6"/>
      </w:pPr>
      <w:r>
        <w:t xml:space="preserve">Study </w:t>
      </w:r>
      <w:r w:rsidR="00E513C7">
        <w:t>AVT04-GL-301</w:t>
      </w:r>
      <w:r w:rsidR="00DA5B1F">
        <w:rPr>
          <w:rStyle w:val="FootnoteReference"/>
        </w:rPr>
        <w:footnoteReference w:id="10"/>
      </w:r>
    </w:p>
    <w:p w14:paraId="48FFF251" w14:textId="77777777" w:rsidR="000C4CCD" w:rsidRDefault="00E513C7" w:rsidP="00590651">
      <w:r>
        <w:t xml:space="preserve">Study AVT04-GL-301 was the pivotal Phase </w:t>
      </w:r>
      <w:r w:rsidR="007A0DE4">
        <w:t>III</w:t>
      </w:r>
      <w:r>
        <w:t xml:space="preserve"> equivalence study submitted in the dossier, with the primary objective to evaluate therapeutic equivalence between AVT04 and EU-S</w:t>
      </w:r>
      <w:r w:rsidR="00894C0D">
        <w:t>tela</w:t>
      </w:r>
      <w:r w:rsidR="009B7D34">
        <w:t>ra</w:t>
      </w:r>
      <w:r>
        <w:t xml:space="preserve">, and a </w:t>
      </w:r>
      <w:r>
        <w:lastRenderedPageBreak/>
        <w:t>secondary objective to compare steady-state PK of AVT04 and EU-S</w:t>
      </w:r>
      <w:r w:rsidR="009B7D34">
        <w:t>telara</w:t>
      </w:r>
      <w:r>
        <w:t>. The PK aspects of this study will be summarised here</w:t>
      </w:r>
      <w:r w:rsidR="000C4CCD">
        <w:t>.</w:t>
      </w:r>
    </w:p>
    <w:p w14:paraId="723613D6" w14:textId="77777777" w:rsidR="000C4CCD" w:rsidRDefault="00E513C7" w:rsidP="00590651">
      <w:r>
        <w:t xml:space="preserve">This randomised, double-blind, multicentre study was conducted over 52 weeks comprising two stages, a primary efficacy assessment stage from </w:t>
      </w:r>
      <w:r w:rsidR="007A0DE4">
        <w:t>D</w:t>
      </w:r>
      <w:r>
        <w:t xml:space="preserve">ay 1 to </w:t>
      </w:r>
      <w:r w:rsidR="007A0DE4">
        <w:t>W</w:t>
      </w:r>
      <w:r>
        <w:t xml:space="preserve">eek 15, and long-term efficacy and safety assessment stage from </w:t>
      </w:r>
      <w:r w:rsidR="007A0DE4">
        <w:t>W</w:t>
      </w:r>
      <w:r>
        <w:t xml:space="preserve">eek 16 to </w:t>
      </w:r>
      <w:r w:rsidR="007A0DE4">
        <w:t>W</w:t>
      </w:r>
      <w:r>
        <w:t xml:space="preserve">eek 52. In </w:t>
      </w:r>
      <w:r w:rsidR="007A0DE4">
        <w:t>S</w:t>
      </w:r>
      <w:r>
        <w:t xml:space="preserve">tage 2 patients originally randomised to receive AVT04 in </w:t>
      </w:r>
      <w:r w:rsidR="007A0DE4">
        <w:t>S</w:t>
      </w:r>
      <w:r>
        <w:t>tage 1 continued to receive AVT04, while those randomised to EU-S</w:t>
      </w:r>
      <w:r w:rsidR="009B7D34">
        <w:t>telara</w:t>
      </w:r>
      <w:r>
        <w:t xml:space="preserve"> in </w:t>
      </w:r>
      <w:r w:rsidR="007A0DE4">
        <w:t>S</w:t>
      </w:r>
      <w:r>
        <w:t>tage 1 were re-randomised in a 1:1 ratio to receive AVT04 or continue receiving EU-S</w:t>
      </w:r>
      <w:r w:rsidR="009B7D34">
        <w:t>telara</w:t>
      </w:r>
      <w:r w:rsidR="000C4CCD">
        <w:t>.</w:t>
      </w:r>
    </w:p>
    <w:p w14:paraId="588E5868" w14:textId="77A43945" w:rsidR="00E513C7" w:rsidRDefault="00E513C7" w:rsidP="00590651">
      <w:r>
        <w:t>P</w:t>
      </w:r>
      <w:r w:rsidR="007A0DE4">
        <w:t>harmacokinetic</w:t>
      </w:r>
      <w:r>
        <w:t xml:space="preserve"> assessment included serum trough concentrations at steady-state for both AVT04 and EU-S</w:t>
      </w:r>
      <w:r w:rsidR="009B7D34">
        <w:t>telara</w:t>
      </w:r>
      <w:r>
        <w:t xml:space="preserve">. Overall, results across the treatment groups were comparable, with mean serum trough concentration increasing from </w:t>
      </w:r>
      <w:r w:rsidR="007A0DE4">
        <w:t>B</w:t>
      </w:r>
      <w:r>
        <w:t xml:space="preserve">aseline to </w:t>
      </w:r>
      <w:r w:rsidR="007A0DE4">
        <w:t>W</w:t>
      </w:r>
      <w:r>
        <w:t xml:space="preserve">eek 16, decreasing to </w:t>
      </w:r>
      <w:r w:rsidR="007A0DE4">
        <w:t>W</w:t>
      </w:r>
      <w:r>
        <w:t xml:space="preserve">eek 28, and increasing by </w:t>
      </w:r>
      <w:r w:rsidR="007A0DE4">
        <w:t>W</w:t>
      </w:r>
      <w:r>
        <w:t xml:space="preserve">eek 52 to levels </w:t>
      </w:r>
      <w:proofErr w:type="gramStart"/>
      <w:r>
        <w:t>similar to</w:t>
      </w:r>
      <w:proofErr w:type="gramEnd"/>
      <w:r>
        <w:t xml:space="preserve"> those observed at </w:t>
      </w:r>
      <w:r w:rsidR="007A0DE4">
        <w:t>W</w:t>
      </w:r>
      <w:r>
        <w:t xml:space="preserve">eek 16, as shown in Table </w:t>
      </w:r>
      <w:r w:rsidR="002F4EAB">
        <w:t>6</w:t>
      </w:r>
      <w:r>
        <w:t>.</w:t>
      </w:r>
    </w:p>
    <w:p w14:paraId="67E280B8" w14:textId="5DC5EEB0" w:rsidR="00E513C7" w:rsidRDefault="00E513C7" w:rsidP="00924FA0">
      <w:pPr>
        <w:pStyle w:val="TableTitle"/>
      </w:pPr>
      <w:r w:rsidRPr="00924FA0">
        <w:t xml:space="preserve">Table </w:t>
      </w:r>
      <w:r w:rsidR="002F4EAB" w:rsidRPr="00924FA0">
        <w:t>6</w:t>
      </w:r>
      <w:r w:rsidRPr="00924FA0">
        <w:t>. Serum trough pharmacokinetic concentrations over time, safety analysis set, by treatment group.</w:t>
      </w:r>
    </w:p>
    <w:p w14:paraId="6643846C" w14:textId="6003A54C" w:rsidR="006811ED" w:rsidRPr="00924FA0" w:rsidRDefault="006811ED" w:rsidP="00D16F5A">
      <w:r>
        <w:rPr>
          <w:noProof/>
        </w:rPr>
        <w:drawing>
          <wp:inline distT="0" distB="0" distL="0" distR="0" wp14:anchorId="06E94E99" wp14:editId="7DBE7400">
            <wp:extent cx="5981163" cy="4010025"/>
            <wp:effectExtent l="0" t="0" r="635" b="0"/>
            <wp:docPr id="1208319474" name="Picture 1" descr="Table 6. Serum trough pharmacokinetic concentrations over time, safety analysis set,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9474" name="Picture 1" descr="Table 6. Serum trough pharmacokinetic concentrations over time, safety analysis set, by treatment group."/>
                    <pic:cNvPicPr/>
                  </pic:nvPicPr>
                  <pic:blipFill>
                    <a:blip r:embed="rId27"/>
                    <a:stretch>
                      <a:fillRect/>
                    </a:stretch>
                  </pic:blipFill>
                  <pic:spPr>
                    <a:xfrm>
                      <a:off x="0" y="0"/>
                      <a:ext cx="5985424" cy="4012882"/>
                    </a:xfrm>
                    <a:prstGeom prst="rect">
                      <a:avLst/>
                    </a:prstGeom>
                  </pic:spPr>
                </pic:pic>
              </a:graphicData>
            </a:graphic>
          </wp:inline>
        </w:drawing>
      </w:r>
    </w:p>
    <w:p w14:paraId="5FB5B51E" w14:textId="5CEBE716" w:rsidR="00E513C7" w:rsidRDefault="007A0DE4" w:rsidP="000608C8">
      <w:pPr>
        <w:pStyle w:val="Heading5"/>
      </w:pPr>
      <w:r>
        <w:t>Sponsor r</w:t>
      </w:r>
      <w:r w:rsidR="00E513C7">
        <w:t xml:space="preserve">esponse to </w:t>
      </w:r>
      <w:r>
        <w:t>TGA</w:t>
      </w:r>
      <w:r w:rsidR="00E513C7">
        <w:t xml:space="preserve"> questions</w:t>
      </w:r>
    </w:p>
    <w:p w14:paraId="457B9F45" w14:textId="77777777" w:rsidR="000C4CCD" w:rsidRDefault="00E513C7" w:rsidP="00E513C7">
      <w:r>
        <w:t xml:space="preserve">Following clinical </w:t>
      </w:r>
      <w:r w:rsidR="007A0DE4">
        <w:t>evaluation,</w:t>
      </w:r>
      <w:r>
        <w:t xml:space="preserve"> the sponsor was asked to provide additional information regarding differences in drug protein content between study treatments, rationale for performing protein content normalised analysis of PK similarity, and possible clinical implications. In response, the sponsor noted difficulty in procurement of a reference product batch of EU-S</w:t>
      </w:r>
      <w:r w:rsidR="002F4EAB">
        <w:t>telara</w:t>
      </w:r>
      <w:r>
        <w:t xml:space="preserve"> of sufficient batch size and expiry date and outlined detailed steps for batch selection</w:t>
      </w:r>
      <w:r w:rsidR="000C4CCD">
        <w:t>.</w:t>
      </w:r>
    </w:p>
    <w:p w14:paraId="5EE88A41" w14:textId="259E504F" w:rsidR="00E513C7" w:rsidRDefault="00E513C7" w:rsidP="00E513C7">
      <w:r>
        <w:t>The sponsor also discussed results of the AVT04 v</w:t>
      </w:r>
      <w:r w:rsidR="007A0DE4">
        <w:t xml:space="preserve">ersus </w:t>
      </w:r>
      <w:r>
        <w:t>EU-S</w:t>
      </w:r>
      <w:r w:rsidR="002F4EAB">
        <w:t>telara</w:t>
      </w:r>
      <w:r>
        <w:t xml:space="preserve"> comparison in </w:t>
      </w:r>
      <w:r w:rsidR="007A0DE4">
        <w:t>S</w:t>
      </w:r>
      <w:r>
        <w:t>tudy AVT04</w:t>
      </w:r>
      <w:r w:rsidR="007A0DE4">
        <w:noBreakHyphen/>
      </w:r>
      <w:r>
        <w:t xml:space="preserve">GL-101 alongside PK results for the same comparison in </w:t>
      </w:r>
      <w:r w:rsidR="007A0DE4">
        <w:t>S</w:t>
      </w:r>
      <w:r>
        <w:t>tudy AVT04-GL-301. Point estimates of the GMRs for AVT04/EU-S</w:t>
      </w:r>
      <w:r w:rsidR="002F4EAB">
        <w:t>telara</w:t>
      </w:r>
      <w:r>
        <w:t xml:space="preserve"> comparison of AUC</w:t>
      </w:r>
      <w:r>
        <w:rPr>
          <w:vertAlign w:val="subscript"/>
        </w:rPr>
        <w:t>0-inf</w:t>
      </w:r>
      <w:r>
        <w:t xml:space="preserve"> in </w:t>
      </w:r>
      <w:r w:rsidR="007A0DE4">
        <w:t xml:space="preserve">Study </w:t>
      </w:r>
      <w:r>
        <w:t xml:space="preserve">AVT04-GL-101 were 116.9% for the primary analysis and 109.8% for the protein content normalised analysis, while in </w:t>
      </w:r>
      <w:r w:rsidR="007A0DE4">
        <w:t xml:space="preserve">Study </w:t>
      </w:r>
      <w:r>
        <w:t>AVT04-GL-301, which utilised the same batch of EU-</w:t>
      </w:r>
      <w:r w:rsidR="002F4EAB">
        <w:t>Stelara</w:t>
      </w:r>
      <w:r>
        <w:t>, AVT04/EU-S</w:t>
      </w:r>
      <w:r w:rsidR="002F4EAB">
        <w:t>telara</w:t>
      </w:r>
      <w:r>
        <w:t xml:space="preserve"> ratios of the geometric means </w:t>
      </w:r>
      <w:r w:rsidRPr="00E778AF">
        <w:t xml:space="preserve">for </w:t>
      </w:r>
      <w:r w:rsidR="007A0DE4">
        <w:t>trough concentration (</w:t>
      </w:r>
      <w:proofErr w:type="spellStart"/>
      <w:r w:rsidRPr="00E778AF">
        <w:t>C</w:t>
      </w:r>
      <w:r w:rsidRPr="00E778AF">
        <w:rPr>
          <w:vertAlign w:val="subscript"/>
        </w:rPr>
        <w:t>trough</w:t>
      </w:r>
      <w:proofErr w:type="spellEnd"/>
      <w:r w:rsidR="007A0DE4">
        <w:t>)</w:t>
      </w:r>
      <w:r w:rsidRPr="00E778AF">
        <w:rPr>
          <w:vertAlign w:val="subscript"/>
        </w:rPr>
        <w:t xml:space="preserve"> </w:t>
      </w:r>
      <w:r w:rsidRPr="00E778AF">
        <w:t>values at</w:t>
      </w:r>
      <w:r>
        <w:t xml:space="preserve"> Week 4 and Week 16 </w:t>
      </w:r>
      <w:r>
        <w:lastRenderedPageBreak/>
        <w:t xml:space="preserve">were 117% and 113% respectively. Overall, higher </w:t>
      </w:r>
      <w:proofErr w:type="spellStart"/>
      <w:r>
        <w:t>ustekinumab</w:t>
      </w:r>
      <w:proofErr w:type="spellEnd"/>
      <w:r>
        <w:t xml:space="preserve"> exposure following administration of a single dose of AVT04 compared to a single dose of EU-S</w:t>
      </w:r>
      <w:r w:rsidR="005A4E8D">
        <w:t>telara</w:t>
      </w:r>
      <w:r>
        <w:t xml:space="preserve"> can be inferred from these results.</w:t>
      </w:r>
    </w:p>
    <w:p w14:paraId="1A0CDB79" w14:textId="63BC791C" w:rsidR="00E513C7" w:rsidRDefault="00E513C7" w:rsidP="00E513C7">
      <w:r>
        <w:t xml:space="preserve">In addressing possible clinical implications of higher </w:t>
      </w:r>
      <w:proofErr w:type="spellStart"/>
      <w:r>
        <w:t>ustekinumab</w:t>
      </w:r>
      <w:proofErr w:type="spellEnd"/>
      <w:r>
        <w:t xml:space="preserve"> exposure the sponsor referenced data from </w:t>
      </w:r>
      <w:r w:rsidR="007A0DE4">
        <w:t>P</w:t>
      </w:r>
      <w:r>
        <w:t xml:space="preserve">hase </w:t>
      </w:r>
      <w:r w:rsidR="007A0DE4">
        <w:t>II</w:t>
      </w:r>
      <w:r>
        <w:t xml:space="preserve"> and </w:t>
      </w:r>
      <w:r w:rsidR="007A0DE4">
        <w:t>III</w:t>
      </w:r>
      <w:r>
        <w:t xml:space="preserve"> registrational trials for </w:t>
      </w:r>
      <w:proofErr w:type="spellStart"/>
      <w:r>
        <w:t>ustekinumab</w:t>
      </w:r>
      <w:proofErr w:type="spellEnd"/>
      <w:r>
        <w:t xml:space="preserve"> which suggest a lack of dose response in rates of adverse events. The sponsor also cited efficacy data from multiple Phase </w:t>
      </w:r>
      <w:r w:rsidR="007A0DE4">
        <w:t>III</w:t>
      </w:r>
      <w:r>
        <w:t xml:space="preserve"> studies to evidence a well-described exposure-response relationship, with plateau in the relationship between </w:t>
      </w:r>
      <w:proofErr w:type="spellStart"/>
      <w:r>
        <w:t>ustekinumab</w:t>
      </w:r>
      <w:proofErr w:type="spellEnd"/>
      <w:r>
        <w:t xml:space="preserve"> serum concentration and efficacy across a broad range of concentrations. Further, given the use of the same batch of EU-S</w:t>
      </w:r>
      <w:r w:rsidR="005A4E8D">
        <w:t>telara</w:t>
      </w:r>
      <w:r>
        <w:t xml:space="preserve"> in both studies AVT04</w:t>
      </w:r>
      <w:r w:rsidR="007A0DE4">
        <w:noBreakHyphen/>
      </w:r>
      <w:r>
        <w:t>GL</w:t>
      </w:r>
      <w:r w:rsidR="007A0DE4">
        <w:noBreakHyphen/>
      </w:r>
      <w:r>
        <w:t>101 and AVT04-GL-301, the sponsor noted the lack of clinically relevant difference in safety and efficacy parameters observed between AVT04 and EU-S</w:t>
      </w:r>
      <w:r w:rsidR="008241A5">
        <w:t>telara</w:t>
      </w:r>
      <w:r>
        <w:t xml:space="preserve"> treatment groups in </w:t>
      </w:r>
      <w:r w:rsidR="007A0DE4">
        <w:t>S</w:t>
      </w:r>
      <w:r>
        <w:t xml:space="preserve">tudy AVT04-GL-301 as further supporting the claim that the observed higher </w:t>
      </w:r>
      <w:proofErr w:type="spellStart"/>
      <w:r>
        <w:t>ustekinumab</w:t>
      </w:r>
      <w:proofErr w:type="spellEnd"/>
      <w:r>
        <w:t xml:space="preserve"> exposure does not have significant clinical implications. Results of </w:t>
      </w:r>
      <w:r w:rsidR="007A0DE4">
        <w:t>S</w:t>
      </w:r>
      <w:r>
        <w:t>tudy AVT04-GL-301 are discussed in further detail below.</w:t>
      </w:r>
    </w:p>
    <w:p w14:paraId="7A4C6E18" w14:textId="5CB9ECC0" w:rsidR="00E513C7" w:rsidRPr="0042131E" w:rsidRDefault="00E513C7" w:rsidP="00E513C7">
      <w:r w:rsidRPr="003C783D">
        <w:t>The clinical evaluat</w:t>
      </w:r>
      <w:r w:rsidR="007A0DE4">
        <w:t>ion</w:t>
      </w:r>
      <w:r w:rsidRPr="003C783D">
        <w:t xml:space="preserve"> considered the sponsor’s response appropriate</w:t>
      </w:r>
      <w:r>
        <w:t>, though noted that analysis following protein content normalisation was not prespecified in detail in the statistical analysis plan and was originally planned as a sensitivity analysis, as opposed to the pivotal test of bioequivalence.</w:t>
      </w:r>
    </w:p>
    <w:p w14:paraId="61289750" w14:textId="277E68B8" w:rsidR="00E513C7" w:rsidRDefault="00E513C7" w:rsidP="00E513C7">
      <w:pPr>
        <w:pStyle w:val="Heading5"/>
        <w:rPr>
          <w:b w:val="0"/>
          <w:color w:val="7295D2" w:themeColor="accent1" w:themeTint="BF"/>
        </w:rPr>
      </w:pPr>
      <w:r w:rsidRPr="009F7DD1">
        <w:t>Pharmacodynamics</w:t>
      </w:r>
    </w:p>
    <w:p w14:paraId="6D41B6FF" w14:textId="4916E4CF" w:rsidR="00E513C7" w:rsidRPr="009F7DD1" w:rsidRDefault="00E513C7" w:rsidP="00E513C7">
      <w:r>
        <w:t>The application did not include clinical studies assessing pharmacodynamic</w:t>
      </w:r>
      <w:r w:rsidR="007A0DE4">
        <w:t xml:space="preserve"> (PD)</w:t>
      </w:r>
      <w:r>
        <w:t xml:space="preserve"> similarity of AVT04 and S</w:t>
      </w:r>
      <w:r w:rsidR="008241A5">
        <w:t>telara</w:t>
      </w:r>
      <w:r>
        <w:t xml:space="preserve">, with pertinent pharmacodynamic properties of </w:t>
      </w:r>
      <w:proofErr w:type="spellStart"/>
      <w:r>
        <w:t>ustekinumab</w:t>
      </w:r>
      <w:proofErr w:type="spellEnd"/>
      <w:r>
        <w:t xml:space="preserve"> described in the approved Australian PI for S</w:t>
      </w:r>
      <w:r w:rsidR="008241A5">
        <w:t>telara</w:t>
      </w:r>
      <w:r>
        <w:t xml:space="preserve">. Study AVT4-GL-101, a </w:t>
      </w:r>
      <w:r w:rsidR="003E4EF6">
        <w:t>P</w:t>
      </w:r>
      <w:r>
        <w:t xml:space="preserve">hase </w:t>
      </w:r>
      <w:r w:rsidR="003E4EF6">
        <w:t>I</w:t>
      </w:r>
      <w:r>
        <w:t xml:space="preserve"> PK study, included the exploratory objective to compare </w:t>
      </w:r>
      <w:r w:rsidRPr="003E4EF6">
        <w:rPr>
          <w:i/>
          <w:iCs/>
        </w:rPr>
        <w:t>ex-vivo</w:t>
      </w:r>
      <w:r>
        <w:t xml:space="preserve"> inhibition of </w:t>
      </w:r>
      <w:r>
        <w:rPr>
          <w:lang w:eastAsia="ja-JP"/>
        </w:rPr>
        <w:t>IFN-</w:t>
      </w:r>
      <w:r w:rsidRPr="004D1E5D">
        <w:rPr>
          <w:lang w:eastAsia="ja-JP"/>
        </w:rPr>
        <w:t>γ</w:t>
      </w:r>
      <w:r>
        <w:rPr>
          <w:lang w:eastAsia="ja-JP"/>
        </w:rPr>
        <w:t>,</w:t>
      </w:r>
      <w:r w:rsidRPr="004D1E5D">
        <w:rPr>
          <w:lang w:eastAsia="ja-JP"/>
        </w:rPr>
        <w:t xml:space="preserve"> IL-22</w:t>
      </w:r>
      <w:r>
        <w:rPr>
          <w:lang w:eastAsia="ja-JP"/>
        </w:rPr>
        <w:t>, IL-4 and IL10 release between AVT04, EU-S</w:t>
      </w:r>
      <w:r w:rsidR="008241A5">
        <w:rPr>
          <w:lang w:eastAsia="ja-JP"/>
        </w:rPr>
        <w:t>telara</w:t>
      </w:r>
      <w:r>
        <w:rPr>
          <w:lang w:eastAsia="ja-JP"/>
        </w:rPr>
        <w:t xml:space="preserve"> and US-S</w:t>
      </w:r>
      <w:r w:rsidR="008241A5">
        <w:rPr>
          <w:lang w:eastAsia="ja-JP"/>
        </w:rPr>
        <w:t>telara</w:t>
      </w:r>
      <w:r>
        <w:rPr>
          <w:lang w:eastAsia="ja-JP"/>
        </w:rPr>
        <w:t xml:space="preserve">. These effector cytokines were chosen as representative of IL-23 and IL-12 mediated signalling. Blood samples used for this analysis originated from a subgroup of 45, out of the 294 healthy volunteers in </w:t>
      </w:r>
      <w:r w:rsidR="003E4EF6">
        <w:rPr>
          <w:lang w:eastAsia="ja-JP"/>
        </w:rPr>
        <w:t>S</w:t>
      </w:r>
      <w:r>
        <w:rPr>
          <w:lang w:eastAsia="ja-JP"/>
        </w:rPr>
        <w:t>tudy AVT04-GL-101, 15 for each study treatment. Data provided in response to a</w:t>
      </w:r>
      <w:r w:rsidR="003E4EF6">
        <w:rPr>
          <w:lang w:eastAsia="ja-JP"/>
        </w:rPr>
        <w:t xml:space="preserve"> TGA</w:t>
      </w:r>
      <w:r>
        <w:rPr>
          <w:lang w:eastAsia="ja-JP"/>
        </w:rPr>
        <w:t xml:space="preserve"> question after clinical evaluation showed that, in general, target engagement and cytokine secretion was similar between AVT04, EU-S</w:t>
      </w:r>
      <w:r w:rsidR="008241A5">
        <w:rPr>
          <w:lang w:eastAsia="ja-JP"/>
        </w:rPr>
        <w:t>telara</w:t>
      </w:r>
      <w:r>
        <w:rPr>
          <w:lang w:eastAsia="ja-JP"/>
        </w:rPr>
        <w:t xml:space="preserve"> and US-S</w:t>
      </w:r>
      <w:r w:rsidR="008241A5">
        <w:rPr>
          <w:lang w:eastAsia="ja-JP"/>
        </w:rPr>
        <w:t>telara</w:t>
      </w:r>
      <w:r>
        <w:rPr>
          <w:lang w:eastAsia="ja-JP"/>
        </w:rPr>
        <w:t>, with minor differences in IL-22 and IL-10 secretion observed, though were not considered significant given the exploratory nature of the analysis and small number of subjects.</w:t>
      </w:r>
    </w:p>
    <w:p w14:paraId="0D1633CD" w14:textId="77777777" w:rsidR="00E513C7" w:rsidRDefault="00E513C7" w:rsidP="00E513C7">
      <w:pPr>
        <w:pStyle w:val="Heading4"/>
      </w:pPr>
      <w:bookmarkStart w:id="49" w:name="_Toc212469870"/>
      <w:r w:rsidRPr="00AA53F4">
        <w:t>Efficacy</w:t>
      </w:r>
      <w:bookmarkEnd w:id="49"/>
    </w:p>
    <w:p w14:paraId="27CDE6F6" w14:textId="0E54B01F" w:rsidR="00E513C7" w:rsidRPr="00CD23A3" w:rsidRDefault="00E513C7" w:rsidP="00E513C7">
      <w:r>
        <w:t>The dossier included statements from the sponsor justifying the choice of plaque psoriasis as the indication used to assess efficacy and equivalence of AVT04 to a reference product. Of the approved indications for S</w:t>
      </w:r>
      <w:r w:rsidR="008241A5">
        <w:t>telara</w:t>
      </w:r>
      <w:r>
        <w:t xml:space="preserve"> the highest placebo-adjusted response rate was found for plaque psoriasis, making it the most sensitive indication for detection of difference between a biosimilar and reference product.</w:t>
      </w:r>
    </w:p>
    <w:p w14:paraId="21223AA5" w14:textId="22E3454B" w:rsidR="00E513C7" w:rsidRDefault="003E4EF6" w:rsidP="00E513C7">
      <w:pPr>
        <w:pStyle w:val="Heading6"/>
      </w:pPr>
      <w:r>
        <w:t xml:space="preserve">Study </w:t>
      </w:r>
      <w:r w:rsidR="00E513C7">
        <w:t>AVT04-GL-301</w:t>
      </w:r>
      <w:r w:rsidR="00DA5B1F" w:rsidRPr="00DA5B1F">
        <w:rPr>
          <w:vertAlign w:val="superscript"/>
        </w:rPr>
        <w:t>10</w:t>
      </w:r>
    </w:p>
    <w:p w14:paraId="39308629" w14:textId="32DF6E4E" w:rsidR="00E513C7" w:rsidRDefault="00E513C7" w:rsidP="00E513C7">
      <w:r>
        <w:t xml:space="preserve">Study AVT04-GL-301 was a Phase </w:t>
      </w:r>
      <w:r w:rsidR="003E4EF6">
        <w:t>III</w:t>
      </w:r>
      <w:r>
        <w:t>, randomised, double-blind, multicentre study conducted between 3 June 2021 and 11 October 2022 at 30 sites across Europe. The primary objective was to evaluate therapeutic equivalence of AVT04 compared to EU-S</w:t>
      </w:r>
      <w:r w:rsidR="00846798">
        <w:t>telara</w:t>
      </w:r>
      <w:r>
        <w:t xml:space="preserve"> in the treatment of moderate to severe chronic plaque psoriasis, with primary efficacy endpoint being percent </w:t>
      </w:r>
      <w:r w:rsidRPr="006206A3">
        <w:t xml:space="preserve">improvement in PASI from </w:t>
      </w:r>
      <w:r w:rsidR="003E4EF6">
        <w:t>B</w:t>
      </w:r>
      <w:r w:rsidRPr="006206A3">
        <w:t>aseline</w:t>
      </w:r>
      <w:r>
        <w:t xml:space="preserve"> to Week 12, and secondary efficacy endpoints including:</w:t>
      </w:r>
    </w:p>
    <w:p w14:paraId="1597B1E8" w14:textId="77777777" w:rsidR="00E513C7" w:rsidRPr="003E4EF6" w:rsidRDefault="00E513C7" w:rsidP="003E4EF6">
      <w:pPr>
        <w:pStyle w:val="ListBullet"/>
      </w:pPr>
      <w:r w:rsidRPr="003E4EF6">
        <w:t>PASI50 (50% improvement in PASI), PASI75, PASI90 and PASI100 response rates at weeks 4, 8, 12, 16, 28, 40 (end-of-treatment) and 52 (end-of-study),</w:t>
      </w:r>
    </w:p>
    <w:p w14:paraId="7790D10B" w14:textId="13CD48C2" w:rsidR="00E513C7" w:rsidRPr="003E4EF6" w:rsidRDefault="00E513C7" w:rsidP="003E4EF6">
      <w:pPr>
        <w:pStyle w:val="ListBullet"/>
      </w:pPr>
      <w:r w:rsidRPr="003E4EF6">
        <w:lastRenderedPageBreak/>
        <w:t xml:space="preserve">Percent improvement in PASI from </w:t>
      </w:r>
      <w:r w:rsidR="003E4EF6">
        <w:t>B</w:t>
      </w:r>
      <w:r w:rsidRPr="003E4EF6">
        <w:t>aseline to Week 4, 8, 16, 28, 40 and 52,</w:t>
      </w:r>
    </w:p>
    <w:p w14:paraId="09B082F1" w14:textId="7E4DA2AE" w:rsidR="00E513C7" w:rsidRPr="003E4EF6" w:rsidRDefault="00E513C7" w:rsidP="003E4EF6">
      <w:pPr>
        <w:pStyle w:val="ListBullet"/>
      </w:pPr>
      <w:r w:rsidRPr="003E4EF6">
        <w:t xml:space="preserve">Area under the effect curve for PASI from </w:t>
      </w:r>
      <w:r w:rsidR="003E4EF6">
        <w:t>B</w:t>
      </w:r>
      <w:r w:rsidRPr="003E4EF6">
        <w:t>aseline through Week 12,</w:t>
      </w:r>
    </w:p>
    <w:p w14:paraId="6C1E7D87" w14:textId="77777777" w:rsidR="000C4CCD" w:rsidRDefault="00E513C7" w:rsidP="003E4EF6">
      <w:pPr>
        <w:pStyle w:val="ListBullet"/>
      </w:pPr>
      <w:r w:rsidRPr="003E4EF6">
        <w:t>Proportion of patient achieving</w:t>
      </w:r>
      <w:r w:rsidR="006572DC" w:rsidRPr="003E4EF6">
        <w:t xml:space="preserve"> </w:t>
      </w:r>
      <w:r w:rsidR="00F33576" w:rsidRPr="003E4EF6">
        <w:t>s</w:t>
      </w:r>
      <w:r w:rsidR="006572DC" w:rsidRPr="003E4EF6">
        <w:t>tatic Physician Global Assessment</w:t>
      </w:r>
      <w:r w:rsidRPr="003E4EF6">
        <w:t xml:space="preserve"> </w:t>
      </w:r>
      <w:r w:rsidR="006572DC" w:rsidRPr="003E4EF6">
        <w:t>(</w:t>
      </w:r>
      <w:proofErr w:type="spellStart"/>
      <w:r w:rsidRPr="003E4EF6">
        <w:t>sPGA</w:t>
      </w:r>
      <w:proofErr w:type="spellEnd"/>
      <w:r w:rsidR="006572DC" w:rsidRPr="003E4EF6">
        <w:t>)</w:t>
      </w:r>
      <w:r w:rsidRPr="003E4EF6">
        <w:t xml:space="preserve"> responses of clear (0) or almost clear (1) at Weeks 4, 8, 12, 16, 28, 40 and 52</w:t>
      </w:r>
      <w:r w:rsidR="000C4CCD">
        <w:t>.</w:t>
      </w:r>
    </w:p>
    <w:p w14:paraId="4CBB90C2" w14:textId="77777777" w:rsidR="000C4CCD" w:rsidRDefault="00E513C7" w:rsidP="003E4EF6">
      <w:pPr>
        <w:pStyle w:val="ListBullet"/>
      </w:pPr>
      <w:r w:rsidRPr="003E4EF6">
        <w:t xml:space="preserve">Change in Dermatology Life Quality Index (DLQI) scores from </w:t>
      </w:r>
      <w:r w:rsidR="003E4EF6">
        <w:t>B</w:t>
      </w:r>
      <w:r w:rsidRPr="003E4EF6">
        <w:t>aseline to Weeks 12, 28, 40 and 52</w:t>
      </w:r>
      <w:r w:rsidR="000C4CCD">
        <w:t>.</w:t>
      </w:r>
    </w:p>
    <w:p w14:paraId="5FCFE9EB" w14:textId="77777777" w:rsidR="000C4CCD" w:rsidRDefault="00E513C7" w:rsidP="003E4EF6">
      <w:pPr>
        <w:pStyle w:val="ListBullet"/>
      </w:pPr>
      <w:r w:rsidRPr="003E4EF6">
        <w:t xml:space="preserve">Change in percentage BSA affected by chronic plaque psoriasis from </w:t>
      </w:r>
      <w:r w:rsidR="003E4EF6">
        <w:t>B</w:t>
      </w:r>
      <w:r w:rsidRPr="003E4EF6">
        <w:t>aseline to Weeks 4, 8, 12, 16, 28, 40 and 52</w:t>
      </w:r>
      <w:r w:rsidR="000C4CCD">
        <w:t>.</w:t>
      </w:r>
    </w:p>
    <w:p w14:paraId="7EBB87AA" w14:textId="77777777" w:rsidR="000C4CCD" w:rsidRDefault="00E513C7" w:rsidP="00E513C7">
      <w:r>
        <w:t>Secondary objectives also included comparison of safety, tolerability and immunogenicity, which will be considered in further detail in subsequent sections</w:t>
      </w:r>
      <w:r w:rsidR="000C4CCD">
        <w:t>.</w:t>
      </w:r>
    </w:p>
    <w:p w14:paraId="302AA743" w14:textId="09B84F01" w:rsidR="00E513C7" w:rsidRDefault="003E4EF6" w:rsidP="00E513C7">
      <w:r>
        <w:t xml:space="preserve">Study </w:t>
      </w:r>
      <w:r w:rsidR="00E513C7">
        <w:t xml:space="preserve">AVT04-GL-301 schematic is presented in Figure 2. The active period of the study comprised two </w:t>
      </w:r>
      <w:r>
        <w:t>stages:</w:t>
      </w:r>
      <w:r w:rsidR="00E513C7">
        <w:t xml:space="preserve"> Stage 1, primary efficacy assessment stage from </w:t>
      </w:r>
      <w:r>
        <w:t>D</w:t>
      </w:r>
      <w:r w:rsidR="00E513C7">
        <w:t xml:space="preserve">ay 1 to </w:t>
      </w:r>
      <w:r>
        <w:t>W</w:t>
      </w:r>
      <w:r w:rsidR="00E513C7">
        <w:t xml:space="preserve">eek 15, and Stage 2, long-term efficacy and safety assessment from </w:t>
      </w:r>
      <w:r>
        <w:t>W</w:t>
      </w:r>
      <w:r w:rsidR="00E513C7">
        <w:t xml:space="preserve">eek 16 to </w:t>
      </w:r>
      <w:r>
        <w:t>W</w:t>
      </w:r>
      <w:r w:rsidR="00E513C7">
        <w:t>eek 52. Within Stage 1, patients were randomly assigned into an AVT04 treatment group (denoted Group 1) or EU</w:t>
      </w:r>
      <w:r>
        <w:noBreakHyphen/>
      </w:r>
      <w:r w:rsidR="00A32FD0">
        <w:t>Stelara</w:t>
      </w:r>
      <w:r w:rsidR="00E513C7">
        <w:t xml:space="preserve"> treatment group (Group 2) in a 1:2 ratio on </w:t>
      </w:r>
      <w:r>
        <w:t>D</w:t>
      </w:r>
      <w:r w:rsidR="00E513C7">
        <w:t>ay 1, stratified by presence or absence of previous biologic treatment for plaque psoriasis and according to body weight; ≤</w:t>
      </w:r>
      <w:r>
        <w:t> </w:t>
      </w:r>
      <w:r w:rsidR="00E513C7">
        <w:t>80 kg, &gt;</w:t>
      </w:r>
      <w:r>
        <w:t> </w:t>
      </w:r>
      <w:r w:rsidR="00E513C7">
        <w:t>80 kg to ≤</w:t>
      </w:r>
      <w:r>
        <w:t> </w:t>
      </w:r>
      <w:r w:rsidR="00E513C7">
        <w:t>100 kg, and &gt;</w:t>
      </w:r>
      <w:r>
        <w:t> </w:t>
      </w:r>
      <w:r w:rsidR="00E513C7">
        <w:t>100 kg. In line with recommended dosing for S</w:t>
      </w:r>
      <w:r w:rsidR="00A32FD0">
        <w:t>telara</w:t>
      </w:r>
      <w:r w:rsidR="00E513C7">
        <w:t>, patients ≤</w:t>
      </w:r>
      <w:r>
        <w:t> </w:t>
      </w:r>
      <w:r w:rsidR="00E513C7">
        <w:t>100kg received 45 mg dose of study treatment, and those &gt;</w:t>
      </w:r>
      <w:r>
        <w:t> </w:t>
      </w:r>
      <w:r w:rsidR="00E513C7">
        <w:t>100kg received 90 mg dose.</w:t>
      </w:r>
    </w:p>
    <w:p w14:paraId="6F5F7C85" w14:textId="084729AA" w:rsidR="00E513C7" w:rsidRDefault="00E513C7" w:rsidP="00E513C7">
      <w:r>
        <w:t xml:space="preserve">In </w:t>
      </w:r>
      <w:r w:rsidR="003E4EF6">
        <w:t>S</w:t>
      </w:r>
      <w:r>
        <w:t xml:space="preserve">tage 2, from study </w:t>
      </w:r>
      <w:r w:rsidR="003E4EF6">
        <w:t>W</w:t>
      </w:r>
      <w:r>
        <w:t xml:space="preserve">eek 16, patients originally randomised into Group 1 (AVT04) continued to receive AVT04 every 12 weeks at </w:t>
      </w:r>
      <w:r w:rsidR="003E4EF6">
        <w:t>W</w:t>
      </w:r>
      <w:r>
        <w:t>eeks 16, 28 and 40, while those originally in Group 2 (EU</w:t>
      </w:r>
      <w:r w:rsidR="003E4EF6">
        <w:noBreakHyphen/>
      </w:r>
      <w:r>
        <w:t>S</w:t>
      </w:r>
      <w:r w:rsidR="00A32FD0">
        <w:t>telara</w:t>
      </w:r>
      <w:r>
        <w:t>) were re-randomised into Groups 2A and 2B in a 1:1 ratio; Group 2A switched to AVT04, while 2B continued to receive EU-S</w:t>
      </w:r>
      <w:r w:rsidR="00A32FD0">
        <w:t>telara</w:t>
      </w:r>
      <w:r>
        <w:t>, with all dosing according to weight and at the same 12 week intervals.</w:t>
      </w:r>
    </w:p>
    <w:p w14:paraId="3D38E996" w14:textId="07DFD88C" w:rsidR="00E513C7" w:rsidRDefault="00E513C7" w:rsidP="00E513C7">
      <w:r>
        <w:t xml:space="preserve">At </w:t>
      </w:r>
      <w:r w:rsidR="003E4EF6">
        <w:t>W</w:t>
      </w:r>
      <w:r>
        <w:t>eek 28 non-responsive patients, defined as PASI improvement &lt;</w:t>
      </w:r>
      <w:r w:rsidR="003E4EF6">
        <w:t> </w:t>
      </w:r>
      <w:r>
        <w:t xml:space="preserve">50% from </w:t>
      </w:r>
      <w:r w:rsidR="003E4EF6">
        <w:t>B</w:t>
      </w:r>
      <w:r>
        <w:t>aseline, were not administered study treatment with end-of-treatment assessment completed at that time.</w:t>
      </w:r>
    </w:p>
    <w:p w14:paraId="606C0886" w14:textId="29D07F89" w:rsidR="000C4CCD" w:rsidRDefault="00E47FBD" w:rsidP="008B7643">
      <w:pPr>
        <w:pStyle w:val="FigureTitle"/>
      </w:pPr>
      <w:r w:rsidRPr="00E47FBD">
        <w:t>Figure 2. Study schematic for AVT-GL-301</w:t>
      </w:r>
      <w:r w:rsidR="000C4CCD">
        <w:t>.</w:t>
      </w:r>
      <w:r w:rsidR="00DA5B1F">
        <w:rPr>
          <w:vertAlign w:val="superscript"/>
        </w:rPr>
        <w:t>10</w:t>
      </w:r>
    </w:p>
    <w:p w14:paraId="2C478A02" w14:textId="2C69A0EF" w:rsidR="00896026" w:rsidRDefault="00896026" w:rsidP="00E513C7">
      <w:r w:rsidRPr="00896026">
        <w:rPr>
          <w:noProof/>
        </w:rPr>
        <w:drawing>
          <wp:inline distT="0" distB="0" distL="0" distR="0" wp14:anchorId="6B4FA951" wp14:editId="58E735E9">
            <wp:extent cx="4891946" cy="2855343"/>
            <wp:effectExtent l="0" t="0" r="4445" b="2540"/>
            <wp:docPr id="865313240" name="Picture 1" descr="Figure 2. Study schematic for AVT-GL-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3240" name="Picture 1" descr="Figure 2. Study schematic for AVT-GL-301."/>
                    <pic:cNvPicPr/>
                  </pic:nvPicPr>
                  <pic:blipFill>
                    <a:blip r:embed="rId28"/>
                    <a:stretch>
                      <a:fillRect/>
                    </a:stretch>
                  </pic:blipFill>
                  <pic:spPr>
                    <a:xfrm>
                      <a:off x="0" y="0"/>
                      <a:ext cx="4905286" cy="2863129"/>
                    </a:xfrm>
                    <a:prstGeom prst="rect">
                      <a:avLst/>
                    </a:prstGeom>
                  </pic:spPr>
                </pic:pic>
              </a:graphicData>
            </a:graphic>
          </wp:inline>
        </w:drawing>
      </w:r>
    </w:p>
    <w:p w14:paraId="6C10E610" w14:textId="634E055F" w:rsidR="00896026" w:rsidRDefault="00896026" w:rsidP="00E513C7">
      <w:r w:rsidRPr="00896026">
        <w:rPr>
          <w:noProof/>
        </w:rPr>
        <w:drawing>
          <wp:inline distT="0" distB="0" distL="0" distR="0" wp14:anchorId="4330FDC1" wp14:editId="6E71F080">
            <wp:extent cx="5759450" cy="461010"/>
            <wp:effectExtent l="0" t="0" r="0" b="0"/>
            <wp:docPr id="181513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31326" name=""/>
                    <pic:cNvPicPr/>
                  </pic:nvPicPr>
                  <pic:blipFill>
                    <a:blip r:embed="rId29"/>
                    <a:stretch>
                      <a:fillRect/>
                    </a:stretch>
                  </pic:blipFill>
                  <pic:spPr>
                    <a:xfrm>
                      <a:off x="0" y="0"/>
                      <a:ext cx="5759450" cy="461010"/>
                    </a:xfrm>
                    <a:prstGeom prst="rect">
                      <a:avLst/>
                    </a:prstGeom>
                  </pic:spPr>
                </pic:pic>
              </a:graphicData>
            </a:graphic>
          </wp:inline>
        </w:drawing>
      </w:r>
    </w:p>
    <w:p w14:paraId="34F9D0D6" w14:textId="207BA04D" w:rsidR="00C4524E" w:rsidRDefault="00C4524E" w:rsidP="00C4524E">
      <w:r>
        <w:lastRenderedPageBreak/>
        <w:t>Key inclusion criteria were males or females aged 18 to 75 years old, with moderate to severe plaque psoriasis of at least 6 months duration, with involved BSA ≥</w:t>
      </w:r>
      <w:r w:rsidR="003E4EF6">
        <w:t> </w:t>
      </w:r>
      <w:r>
        <w:t>10%, PASI ≥</w:t>
      </w:r>
      <w:r w:rsidR="003E4EF6">
        <w:t> </w:t>
      </w:r>
      <w:r>
        <w:t>12 and static Physician’s Global Assessment (</w:t>
      </w:r>
      <w:proofErr w:type="spellStart"/>
      <w:r>
        <w:t>sPGA</w:t>
      </w:r>
      <w:proofErr w:type="spellEnd"/>
      <w:r>
        <w:t>) ≥</w:t>
      </w:r>
      <w:r w:rsidR="003E4EF6">
        <w:t> </w:t>
      </w:r>
      <w:r>
        <w:t xml:space="preserve">3 (moderate) at screening and at </w:t>
      </w:r>
      <w:r w:rsidR="003E4EF6">
        <w:t>B</w:t>
      </w:r>
      <w:r>
        <w:t xml:space="preserve">aseline, stable psoriatic disease for at least 2 months, candidate for systemic therapy based on previous failure, inadequate response, intolerance or contraindication to at least 1 systemic anti-psoriatic therapy, negative QuantiFERON test for tuberculosis, naïve to </w:t>
      </w:r>
      <w:proofErr w:type="spellStart"/>
      <w:r>
        <w:t>ustekinumab</w:t>
      </w:r>
      <w:proofErr w:type="spellEnd"/>
      <w:r>
        <w:t xml:space="preserve"> therapy, and female patients who were not pregnant or breastfeeding and agreed to effective contraception if a woman of childbearing potential.</w:t>
      </w:r>
    </w:p>
    <w:p w14:paraId="6ECD762F" w14:textId="77777777" w:rsidR="00C4524E" w:rsidRDefault="00C4524E" w:rsidP="00C4524E">
      <w:r>
        <w:t>A summary of key exclusion criteria is as follows:</w:t>
      </w:r>
    </w:p>
    <w:p w14:paraId="5B3BDE1C" w14:textId="77777777" w:rsidR="00C4524E" w:rsidRDefault="00C4524E" w:rsidP="00591292">
      <w:pPr>
        <w:pStyle w:val="ListBullet"/>
      </w:pPr>
      <w:r>
        <w:t>Diagnosed with psoriatic arthritis, alternative form of psoriasis, or other systemic autoimmune or inflammatory disorder,</w:t>
      </w:r>
    </w:p>
    <w:p w14:paraId="22C4CDE3" w14:textId="77777777" w:rsidR="00C4524E" w:rsidRDefault="00C4524E" w:rsidP="00591292">
      <w:pPr>
        <w:pStyle w:val="ListBullet"/>
      </w:pPr>
      <w:r>
        <w:t>Prior use of the following medications within specified time periods, or potential need to use during the study:</w:t>
      </w:r>
    </w:p>
    <w:p w14:paraId="731B3EA6" w14:textId="77777777" w:rsidR="00C4524E" w:rsidRDefault="00C4524E" w:rsidP="00591292">
      <w:pPr>
        <w:pStyle w:val="ListBullet2"/>
      </w:pPr>
      <w:r>
        <w:t>Topical medications within 2 weeks of baseline visit, excepting low- to mid-potency topical corticosteroids on face, eyes, scalp, palms, soles, genital area,</w:t>
      </w:r>
    </w:p>
    <w:p w14:paraId="773F678E" w14:textId="77777777" w:rsidR="00C4524E" w:rsidRDefault="00C4524E" w:rsidP="00591292">
      <w:pPr>
        <w:pStyle w:val="ListBullet2"/>
      </w:pPr>
      <w:r>
        <w:t>PUVA phototherapy and/or UVB phototherapy within 4 weeks,</w:t>
      </w:r>
    </w:p>
    <w:p w14:paraId="56749929" w14:textId="77777777" w:rsidR="00C4524E" w:rsidRDefault="00C4524E" w:rsidP="00591292">
      <w:pPr>
        <w:pStyle w:val="ListBullet2"/>
      </w:pPr>
      <w:r>
        <w:t xml:space="preserve">Nonbiologic systemic therapies for psoriasis within 4 weeks, </w:t>
      </w:r>
    </w:p>
    <w:p w14:paraId="5224AD5C" w14:textId="77777777" w:rsidR="00C4524E" w:rsidRDefault="00C4524E" w:rsidP="00591292">
      <w:pPr>
        <w:pStyle w:val="ListBullet2"/>
      </w:pPr>
      <w:r>
        <w:t>Systemic steroid within 4 weeks,</w:t>
      </w:r>
    </w:p>
    <w:p w14:paraId="641B78BD" w14:textId="77777777" w:rsidR="00C4524E" w:rsidRDefault="00C4524E" w:rsidP="00591292">
      <w:pPr>
        <w:pStyle w:val="ListBullet2"/>
      </w:pPr>
      <w:r>
        <w:t>Investigational agent within 90 days or 5 half-lives,</w:t>
      </w:r>
    </w:p>
    <w:p w14:paraId="0CF3CE18" w14:textId="77777777" w:rsidR="00C4524E" w:rsidRDefault="00C4524E" w:rsidP="00591292">
      <w:pPr>
        <w:pStyle w:val="ListBullet2"/>
      </w:pPr>
      <w:r>
        <w:t>Any therapeutic agent targeting IL-12, IL-17 or IL-23 at any time,</w:t>
      </w:r>
    </w:p>
    <w:p w14:paraId="0036239F" w14:textId="77777777" w:rsidR="00C4524E" w:rsidRDefault="00C4524E" w:rsidP="00591292">
      <w:pPr>
        <w:pStyle w:val="ListBullet"/>
      </w:pPr>
      <w:r>
        <w:t>Received live or attenuated vaccines in 4 weeks prior to baseline visit,</w:t>
      </w:r>
    </w:p>
    <w:p w14:paraId="38014761" w14:textId="77777777" w:rsidR="00C4524E" w:rsidRDefault="00C4524E" w:rsidP="00591292">
      <w:pPr>
        <w:pStyle w:val="ListBullet"/>
      </w:pPr>
      <w:r>
        <w:t>Underlying condition which, in the opinion of the investigator or designee, significantly immunocompromised the patient, and/or placed the patient at unacceptable risk if receiving immunomodulatory therapy,</w:t>
      </w:r>
    </w:p>
    <w:p w14:paraId="241C2C0F" w14:textId="77777777" w:rsidR="00C4524E" w:rsidRDefault="00C4524E" w:rsidP="00591292">
      <w:pPr>
        <w:pStyle w:val="ListBullet"/>
      </w:pPr>
      <w:r>
        <w:t xml:space="preserve">Active infection, </w:t>
      </w:r>
    </w:p>
    <w:p w14:paraId="67D2F8D0" w14:textId="77777777" w:rsidR="00C4524E" w:rsidRDefault="00C4524E" w:rsidP="00591292">
      <w:pPr>
        <w:pStyle w:val="ListBullet"/>
      </w:pPr>
      <w:r>
        <w:t>Patient positive for human immunodeficiency virus (HIV), hepatitis C virus antibody, hepatitis B surface antigen, and/or hepatitis B core antibody,</w:t>
      </w:r>
    </w:p>
    <w:p w14:paraId="23A03AB3" w14:textId="77777777" w:rsidR="00C4524E" w:rsidRDefault="00C4524E" w:rsidP="00591292">
      <w:pPr>
        <w:pStyle w:val="ListBullet"/>
      </w:pPr>
      <w:r>
        <w:t>History of malignancy within 5 years,</w:t>
      </w:r>
    </w:p>
    <w:p w14:paraId="54F8B786" w14:textId="77777777" w:rsidR="00C4524E" w:rsidRDefault="00C4524E" w:rsidP="00591292">
      <w:pPr>
        <w:pStyle w:val="ListBullet"/>
      </w:pPr>
      <w:r>
        <w:t>Active neurological disease,</w:t>
      </w:r>
    </w:p>
    <w:p w14:paraId="1303D2A7" w14:textId="77777777" w:rsidR="000C4CCD" w:rsidRDefault="00C4524E" w:rsidP="00591292">
      <w:pPr>
        <w:pStyle w:val="ListBullet"/>
      </w:pPr>
      <w:r>
        <w:t>Moderate to severe heart failure</w:t>
      </w:r>
      <w:r w:rsidR="000C4CCD">
        <w:t>.</w:t>
      </w:r>
    </w:p>
    <w:p w14:paraId="38B9C5E5" w14:textId="0E1692A1" w:rsidR="00C4524E" w:rsidRDefault="00C4524E" w:rsidP="00591292">
      <w:pPr>
        <w:pStyle w:val="ListBullet"/>
      </w:pPr>
      <w:r>
        <w:t>Uncontrolled diabetes mellitus type 1 or 2, in the judgement of the investigator.</w:t>
      </w:r>
    </w:p>
    <w:p w14:paraId="49E9B211" w14:textId="3F350122" w:rsidR="00C4524E" w:rsidRDefault="00C4524E" w:rsidP="00252EAB">
      <w:pPr>
        <w:rPr>
          <w:lang w:eastAsia="ja-JP"/>
        </w:rPr>
      </w:pPr>
      <w:r>
        <w:t>Sample size determination was based on meta-analysis of reference product studies PHOENIX1 and PHOENIX2</w:t>
      </w:r>
      <w:r w:rsidR="00252EAB" w:rsidRPr="00252EAB">
        <w:rPr>
          <w:rFonts w:cs="Cambria"/>
          <w:szCs w:val="22"/>
        </w:rPr>
        <w:t xml:space="preserve"> </w:t>
      </w:r>
      <w:r w:rsidR="00252EAB" w:rsidRPr="00252EAB">
        <w:t>(reference product STELARA Studies</w:t>
      </w:r>
      <w:r w:rsidR="00252EAB">
        <w:t xml:space="preserve"> </w:t>
      </w:r>
      <w:r w:rsidR="008B7643">
        <w:t xml:space="preserve">- </w:t>
      </w:r>
      <w:r w:rsidR="00252EAB" w:rsidRPr="00252EAB">
        <w:t>NCT00267969 and NCT00307437, respectively)</w:t>
      </w:r>
      <w:r>
        <w:t xml:space="preserve">, showing difference in mean PASI percent improvement from </w:t>
      </w:r>
      <w:r w:rsidR="003E4EF6">
        <w:t>B</w:t>
      </w:r>
      <w:r>
        <w:t xml:space="preserve">aseline to </w:t>
      </w:r>
      <w:r w:rsidR="003E4EF6">
        <w:t>W</w:t>
      </w:r>
      <w:r>
        <w:t>eek 12 with EU-S</w:t>
      </w:r>
      <w:r w:rsidR="00E33DF0">
        <w:t>telara</w:t>
      </w:r>
      <w:r>
        <w:t xml:space="preserve"> v</w:t>
      </w:r>
      <w:r w:rsidR="003E4EF6">
        <w:t>ersus</w:t>
      </w:r>
      <w:r>
        <w:t xml:space="preserve"> placebo of 70.7%, 95% CI 69.1% to 72.3%; using the lower bound of the CI as a conservative estimate of treatment effect a 10% equivalence margin was expected to retain 85.5% of the original </w:t>
      </w:r>
      <w:proofErr w:type="spellStart"/>
      <w:r>
        <w:t>ustekinumab</w:t>
      </w:r>
      <w:proofErr w:type="spellEnd"/>
      <w:r>
        <w:t xml:space="preserve"> effect, and a 15% margin 78.3% of the original effect. According to FDA guidance with equivalence margins at </w:t>
      </w:r>
      <w:r>
        <w:rPr>
          <w:lang w:eastAsia="ja-JP"/>
        </w:rPr>
        <w:t xml:space="preserve">±10%, assuming true difference in mean percent PASI improvement of 2.5% between test and reference treatments, a conservative estimate of standard deviation (27.4%, observed in PHOENIX1) and expected 5% withdrawal rate to </w:t>
      </w:r>
      <w:r w:rsidR="003E4EF6">
        <w:rPr>
          <w:lang w:eastAsia="ja-JP"/>
        </w:rPr>
        <w:t>W</w:t>
      </w:r>
      <w:r>
        <w:rPr>
          <w:lang w:eastAsia="ja-JP"/>
        </w:rPr>
        <w:t>eek 12, a sample size of 528 in 1:2 randomisation would give 89.9% power in a 5% level test (associated with a 90% CI).</w:t>
      </w:r>
    </w:p>
    <w:p w14:paraId="256101C8" w14:textId="3B195BDF" w:rsidR="00C4524E" w:rsidRDefault="00C4524E" w:rsidP="00E353E1">
      <w:pPr>
        <w:rPr>
          <w:lang w:eastAsia="ja-JP"/>
        </w:rPr>
      </w:pPr>
      <w:r>
        <w:rPr>
          <w:lang w:eastAsia="ja-JP"/>
        </w:rPr>
        <w:lastRenderedPageBreak/>
        <w:t>Following EMA guidance, with equivalence margins ±15%, under the same conditions, a sample size of 462 patients in 1:2 randomisation would give 99.5% power in a 2.5% level test (associated with a 95% CI). Analysis of the primary efficacy endpoint proceeded under both conditions to meet different regulatory requirements. In comparing similarity of AVT04 and EU</w:t>
      </w:r>
      <w:r w:rsidR="003E4EF6">
        <w:rPr>
          <w:lang w:eastAsia="ja-JP"/>
        </w:rPr>
        <w:noBreakHyphen/>
      </w:r>
      <w:r>
        <w:rPr>
          <w:lang w:eastAsia="ja-JP"/>
        </w:rPr>
        <w:t>S</w:t>
      </w:r>
      <w:r w:rsidR="00E33DF0">
        <w:rPr>
          <w:lang w:eastAsia="ja-JP"/>
        </w:rPr>
        <w:t>telara</w:t>
      </w:r>
      <w:r>
        <w:rPr>
          <w:lang w:eastAsia="ja-JP"/>
        </w:rPr>
        <w:t xml:space="preserve">, </w:t>
      </w:r>
      <w:r w:rsidRPr="005C5A11">
        <w:rPr>
          <w:lang w:eastAsia="ja-JP"/>
        </w:rPr>
        <w:t>for FDA purposes</w:t>
      </w:r>
      <w:r>
        <w:rPr>
          <w:lang w:eastAsia="ja-JP"/>
        </w:rPr>
        <w:t>, if the 90% CI for the adjusted difference in means in percentage PASI improvement from Baseline to Week 12 between the test and reference groups was within the range -10% to 10% similarity was established, whilst for EMA purposes, if the 95% CI was within the range -15% to 15% then clinical similarity was established.</w:t>
      </w:r>
    </w:p>
    <w:p w14:paraId="158E13B3" w14:textId="45F5F76B" w:rsidR="00C4524E" w:rsidRDefault="00C4524E" w:rsidP="00E353E1">
      <w:pPr>
        <w:rPr>
          <w:lang w:eastAsia="ja-JP"/>
        </w:rPr>
      </w:pPr>
      <w:r>
        <w:rPr>
          <w:lang w:eastAsia="ja-JP"/>
        </w:rPr>
        <w:t>The primary endpoint was analysed using an ANCOVA model, estimates for the adjusted difference in means between treatment groups at Week 12 were obtained from the model and 2</w:t>
      </w:r>
      <w:r w:rsidR="003E4EF6">
        <w:rPr>
          <w:lang w:eastAsia="ja-JP"/>
        </w:rPr>
        <w:noBreakHyphen/>
      </w:r>
      <w:r>
        <w:rPr>
          <w:lang w:eastAsia="ja-JP"/>
        </w:rPr>
        <w:t xml:space="preserve">sided 90% and 95% CIs for the adjusted difference in means was provided to address equivalence. Analyses of the primary efficacy endpoint were performed for the </w:t>
      </w:r>
      <w:r w:rsidR="003E4EF6">
        <w:rPr>
          <w:lang w:eastAsia="ja-JP"/>
        </w:rPr>
        <w:t>p</w:t>
      </w:r>
      <w:r>
        <w:rPr>
          <w:lang w:eastAsia="ja-JP"/>
        </w:rPr>
        <w:t xml:space="preserve">er </w:t>
      </w:r>
      <w:r w:rsidR="003E4EF6">
        <w:rPr>
          <w:lang w:eastAsia="ja-JP"/>
        </w:rPr>
        <w:t>p</w:t>
      </w:r>
      <w:r>
        <w:rPr>
          <w:lang w:eastAsia="ja-JP"/>
        </w:rPr>
        <w:t xml:space="preserve">rotocol analysis set. Equivalence tests on the primary endpoint using the </w:t>
      </w:r>
      <w:r w:rsidR="003E4EF6">
        <w:rPr>
          <w:lang w:eastAsia="ja-JP"/>
        </w:rPr>
        <w:t>i</w:t>
      </w:r>
      <w:r>
        <w:rPr>
          <w:lang w:eastAsia="ja-JP"/>
        </w:rPr>
        <w:t>ntention-</w:t>
      </w:r>
      <w:r w:rsidR="003E4EF6">
        <w:rPr>
          <w:lang w:eastAsia="ja-JP"/>
        </w:rPr>
        <w:t>t</w:t>
      </w:r>
      <w:r>
        <w:rPr>
          <w:lang w:eastAsia="ja-JP"/>
        </w:rPr>
        <w:t>o-</w:t>
      </w:r>
      <w:r w:rsidR="003E4EF6">
        <w:rPr>
          <w:lang w:eastAsia="ja-JP"/>
        </w:rPr>
        <w:t>t</w:t>
      </w:r>
      <w:r>
        <w:rPr>
          <w:lang w:eastAsia="ja-JP"/>
        </w:rPr>
        <w:t xml:space="preserve">reat (ITT) set up to study </w:t>
      </w:r>
      <w:r w:rsidR="00F01933">
        <w:rPr>
          <w:lang w:eastAsia="ja-JP"/>
        </w:rPr>
        <w:t>W</w:t>
      </w:r>
      <w:r>
        <w:rPr>
          <w:lang w:eastAsia="ja-JP"/>
        </w:rPr>
        <w:t>eek 16 served as sensitivity analysis. Analysis of secondary efficacy endpoints was performed on the ITT set to evaluate similarity of AVT04 and EU-S</w:t>
      </w:r>
      <w:r w:rsidR="007F2075">
        <w:rPr>
          <w:lang w:eastAsia="ja-JP"/>
        </w:rPr>
        <w:t>telara</w:t>
      </w:r>
      <w:r>
        <w:rPr>
          <w:lang w:eastAsia="ja-JP"/>
        </w:rPr>
        <w:t>, however, were considered descriptive in nature with no procedures to account for multiple comparisons instituted.</w:t>
      </w:r>
    </w:p>
    <w:p w14:paraId="06967CCB" w14:textId="3CF9A858" w:rsidR="00C4524E" w:rsidRDefault="00C4524E" w:rsidP="00E353E1">
      <w:r>
        <w:rPr>
          <w:lang w:eastAsia="ja-JP"/>
        </w:rPr>
        <w:t>Overall, 581 patients were randomised, 194 into Group 1 (AVT04) and 387 into Group 2 (EU</w:t>
      </w:r>
      <w:r w:rsidR="00F01933">
        <w:rPr>
          <w:lang w:eastAsia="ja-JP"/>
        </w:rPr>
        <w:noBreakHyphen/>
      </w:r>
      <w:r>
        <w:rPr>
          <w:lang w:eastAsia="ja-JP"/>
        </w:rPr>
        <w:t>S</w:t>
      </w:r>
      <w:r w:rsidR="007F2075">
        <w:rPr>
          <w:lang w:eastAsia="ja-JP"/>
        </w:rPr>
        <w:t>telara</w:t>
      </w:r>
      <w:r>
        <w:rPr>
          <w:lang w:eastAsia="ja-JP"/>
        </w:rPr>
        <w:t xml:space="preserve">). Baseline characteristics and demographics were well balanced between the groups; in the ITT set up to </w:t>
      </w:r>
      <w:r w:rsidR="00F01933">
        <w:rPr>
          <w:lang w:eastAsia="ja-JP"/>
        </w:rPr>
        <w:t>W</w:t>
      </w:r>
      <w:r>
        <w:rPr>
          <w:lang w:eastAsia="ja-JP"/>
        </w:rPr>
        <w:t xml:space="preserve">eek 16 (Stage 1) patients were predominantly male (62.7%), </w:t>
      </w:r>
      <w:r w:rsidR="00F01933">
        <w:rPr>
          <w:lang w:eastAsia="ja-JP"/>
        </w:rPr>
        <w:t>W</w:t>
      </w:r>
      <w:r>
        <w:rPr>
          <w:lang w:eastAsia="ja-JP"/>
        </w:rPr>
        <w:t>hite (99.3%), with median age 40 years, and 5.7% of patients aged over 65 years. Prior use of biologic medicines was recorded in 7.6% in total, 7.7% in the AVT04 group and 7.5% in EU</w:t>
      </w:r>
      <w:r w:rsidR="00F01933">
        <w:rPr>
          <w:lang w:eastAsia="ja-JP"/>
        </w:rPr>
        <w:noBreakHyphen/>
      </w:r>
      <w:r>
        <w:rPr>
          <w:lang w:eastAsia="ja-JP"/>
        </w:rPr>
        <w:t>S</w:t>
      </w:r>
      <w:r w:rsidR="007F2075">
        <w:rPr>
          <w:lang w:eastAsia="ja-JP"/>
        </w:rPr>
        <w:t>telara</w:t>
      </w:r>
      <w:r>
        <w:rPr>
          <w:lang w:eastAsia="ja-JP"/>
        </w:rPr>
        <w:t xml:space="preserve"> group, and psoriatic disease characteristics well balanced between groups, with majority of patients having moderate </w:t>
      </w:r>
      <w:r w:rsidRPr="005C5A11">
        <w:rPr>
          <w:lang w:eastAsia="ja-JP"/>
        </w:rPr>
        <w:t xml:space="preserve">severity according to </w:t>
      </w:r>
      <w:proofErr w:type="spellStart"/>
      <w:r w:rsidRPr="005C5A11">
        <w:rPr>
          <w:lang w:eastAsia="ja-JP"/>
        </w:rPr>
        <w:t>sPGA</w:t>
      </w:r>
      <w:proofErr w:type="spellEnd"/>
      <w:r w:rsidRPr="005C5A11">
        <w:rPr>
          <w:lang w:eastAsia="ja-JP"/>
        </w:rPr>
        <w:t xml:space="preserve"> (64.2%), with median PASI at baseline of 20 overall, and mean %BSA affected slightly higher in the AVT04 group at 13.231% compared to 12.256% in the EU-S</w:t>
      </w:r>
      <w:r w:rsidR="007F2075" w:rsidRPr="005C5A11">
        <w:rPr>
          <w:lang w:eastAsia="ja-JP"/>
        </w:rPr>
        <w:t>telara</w:t>
      </w:r>
      <w:r w:rsidRPr="005C5A11">
        <w:rPr>
          <w:lang w:eastAsia="ja-JP"/>
        </w:rPr>
        <w:t xml:space="preserve"> group</w:t>
      </w:r>
      <w:r w:rsidRPr="005C5A11">
        <w:t>. Figure 3 outlines</w:t>
      </w:r>
      <w:r>
        <w:t xml:space="preserve"> disposition of study patients across Stage 1 (up to 16 weeks) and Stage 2, and for the different treatment groups, Group 1 (AVT04) and Group 2 (EU-S</w:t>
      </w:r>
      <w:r w:rsidR="007F2075">
        <w:t>telara</w:t>
      </w:r>
      <w:r>
        <w:t>) in Stage 1, as well as Group 2A (EU-S</w:t>
      </w:r>
      <w:r w:rsidR="007F2075">
        <w:t>telara</w:t>
      </w:r>
      <w:r>
        <w:t>/AVT04) and Group 2B (EU-S</w:t>
      </w:r>
      <w:r w:rsidR="007F2075">
        <w:t>telara</w:t>
      </w:r>
      <w:r>
        <w:t>/EU-S</w:t>
      </w:r>
      <w:r w:rsidR="007F2075">
        <w:t>telara</w:t>
      </w:r>
      <w:r>
        <w:t>) in Stage 2 of the study, including brief reasons for study withdrawal at each study time point.</w:t>
      </w:r>
    </w:p>
    <w:p w14:paraId="1B745483" w14:textId="3830A368" w:rsidR="0065257B" w:rsidRPr="0065257B" w:rsidRDefault="0065257B" w:rsidP="0065257B">
      <w:pPr>
        <w:pStyle w:val="FigureTitle"/>
      </w:pPr>
      <w:r w:rsidRPr="0065257B">
        <w:t>Figure 3. Disposition of study patients.</w:t>
      </w:r>
    </w:p>
    <w:p w14:paraId="563E2527" w14:textId="2DEA22F0" w:rsidR="00C4524E" w:rsidRDefault="007560DC" w:rsidP="00D16F5A">
      <w:r>
        <w:rPr>
          <w:noProof/>
        </w:rPr>
        <w:drawing>
          <wp:inline distT="0" distB="0" distL="0" distR="0" wp14:anchorId="0A4B2AE1" wp14:editId="0820C98B">
            <wp:extent cx="4701396" cy="3260395"/>
            <wp:effectExtent l="0" t="0" r="4445" b="0"/>
            <wp:docPr id="1459264824" name="Picture 1" descr="Figure 3. Disposition of stud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4824" name="Picture 1" descr="Figure 3. Disposition of study patients."/>
                    <pic:cNvPicPr/>
                  </pic:nvPicPr>
                  <pic:blipFill>
                    <a:blip r:embed="rId30"/>
                    <a:stretch>
                      <a:fillRect/>
                    </a:stretch>
                  </pic:blipFill>
                  <pic:spPr>
                    <a:xfrm>
                      <a:off x="0" y="0"/>
                      <a:ext cx="4708423" cy="3265268"/>
                    </a:xfrm>
                    <a:prstGeom prst="rect">
                      <a:avLst/>
                    </a:prstGeom>
                  </pic:spPr>
                </pic:pic>
              </a:graphicData>
            </a:graphic>
          </wp:inline>
        </w:drawing>
      </w:r>
    </w:p>
    <w:p w14:paraId="4F35626B" w14:textId="4719FD0D" w:rsidR="00C4524E" w:rsidRDefault="00C4524E" w:rsidP="00C4524E">
      <w:r>
        <w:lastRenderedPageBreak/>
        <w:t xml:space="preserve">There were 466 patients in total (80.2%) with at least 1 protocol deviation recorded, of whom 111 patients had major deviations recorded. </w:t>
      </w:r>
      <w:proofErr w:type="gramStart"/>
      <w:r>
        <w:t>The majority of</w:t>
      </w:r>
      <w:proofErr w:type="gramEnd"/>
      <w:r>
        <w:t xml:space="preserve"> protocol deviations related to the crisis in Ukraine. The impact of protocol deviations on data quality and study integrity </w:t>
      </w:r>
      <w:proofErr w:type="gramStart"/>
      <w:r>
        <w:t>was considered to be</w:t>
      </w:r>
      <w:proofErr w:type="gramEnd"/>
      <w:r>
        <w:t xml:space="preserve"> minor</w:t>
      </w:r>
      <w:r w:rsidR="00F01933">
        <w:t>.</w:t>
      </w:r>
    </w:p>
    <w:p w14:paraId="4E0D8939" w14:textId="30DF429B" w:rsidR="00C4524E" w:rsidRDefault="00C4524E" w:rsidP="00C4524E">
      <w:r>
        <w:t>In terms of results for the primary efficacy endpoint, least squares mean for percent PASI improvement from Baseline to Week 12 was similar between the treatment groups, 87.3% improvement in the AVT04 group and 86.8% in the EU-S</w:t>
      </w:r>
      <w:r w:rsidR="004743E8">
        <w:t>telara</w:t>
      </w:r>
      <w:r>
        <w:t xml:space="preserve"> group</w:t>
      </w:r>
      <w:r w:rsidR="00A06298">
        <w:t xml:space="preserve"> (RP)</w:t>
      </w:r>
      <w:r>
        <w:t xml:space="preserve">. Equivalence between treatment groups was established in terms of the primary endpoint according to both FDA and EMA criteria. </w:t>
      </w:r>
      <w:r w:rsidR="008A39D6" w:rsidRPr="008A39D6">
        <w:t xml:space="preserve">As shown in Table 7, </w:t>
      </w:r>
      <w:r w:rsidR="008A39D6">
        <w:t>t</w:t>
      </w:r>
      <w:r>
        <w:t xml:space="preserve">he 90% CI of the </w:t>
      </w:r>
      <w:r w:rsidR="00C87A81" w:rsidRPr="00C87A81">
        <w:t>least squares (</w:t>
      </w:r>
      <w:r w:rsidRPr="00C87A81">
        <w:t>LS</w:t>
      </w:r>
      <w:r w:rsidR="00C87A81" w:rsidRPr="00C87A81">
        <w:t>)</w:t>
      </w:r>
      <w:r w:rsidRPr="00C87A81">
        <w:t xml:space="preserve"> means</w:t>
      </w:r>
      <w:r>
        <w:t xml:space="preserve"> difference in percentage PASI improvement from </w:t>
      </w:r>
      <w:r w:rsidR="00F01933">
        <w:t>B</w:t>
      </w:r>
      <w:r>
        <w:t xml:space="preserve">aseline to Week 12 was -2.14% to 3.01%, and 95% CI of </w:t>
      </w:r>
      <w:r w:rsidRPr="00C87A81">
        <w:t>the LS means difference</w:t>
      </w:r>
      <w:r>
        <w:t xml:space="preserve"> was -2.63% to 3.50%, fully contained within the prespecified margins of -10% to 10% and -15% to 15% respectively. Equivalence testing for the body weight ≤</w:t>
      </w:r>
      <w:r w:rsidR="00F01933">
        <w:t> </w:t>
      </w:r>
      <w:r>
        <w:t>100 kg strata also met prespecified equivalence criteria.</w:t>
      </w:r>
    </w:p>
    <w:p w14:paraId="590A4332" w14:textId="77777777" w:rsidR="00D16F5A" w:rsidRDefault="00C4524E" w:rsidP="008A39D6">
      <w:pPr>
        <w:pStyle w:val="TableTitle"/>
        <w:rPr>
          <w:vertAlign w:val="superscript"/>
        </w:rPr>
      </w:pPr>
      <w:r>
        <w:t xml:space="preserve">Table </w:t>
      </w:r>
      <w:r w:rsidR="004743E8">
        <w:t>7</w:t>
      </w:r>
      <w:r>
        <w:t>. Analysis of covariance of percent improvement in PASI from Baseline to Week 12- Per Protocol Set (all patients, and patients with body weight ≤</w:t>
      </w:r>
      <w:r w:rsidR="00F01933">
        <w:t> </w:t>
      </w:r>
      <w:r>
        <w:t>100 kg</w:t>
      </w:r>
      <w:r w:rsidR="0083798A">
        <w:t>)</w:t>
      </w:r>
      <w:r>
        <w:t>.</w:t>
      </w:r>
      <w:r w:rsidR="00DA5B1F" w:rsidRPr="00DA5B1F">
        <w:rPr>
          <w:vertAlign w:val="superscript"/>
        </w:rPr>
        <w:t>10</w:t>
      </w:r>
    </w:p>
    <w:p w14:paraId="1E534183" w14:textId="19512522" w:rsidR="008A39D6" w:rsidRDefault="008A39D6" w:rsidP="00D16F5A">
      <w:r w:rsidRPr="008A39D6">
        <w:rPr>
          <w:noProof/>
        </w:rPr>
        <w:drawing>
          <wp:inline distT="0" distB="0" distL="0" distR="0" wp14:anchorId="59BB289A" wp14:editId="1C2D84EC">
            <wp:extent cx="4875944" cy="3157268"/>
            <wp:effectExtent l="0" t="0" r="1270" b="5080"/>
            <wp:docPr id="1302566650" name="Picture 1" descr="Table 7. Analysis of covariance of percent improvement in PASI from Baseline to Week 12- Per Protocol Set (all patients, and patients with body weight ≤ 1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66650" name="Picture 1" descr="Table 7. Analysis of covariance of percent improvement in PASI from Baseline to Week 12- Per Protocol Set (all patients, and patients with body weight ≤ 100 kg)."/>
                    <pic:cNvPicPr/>
                  </pic:nvPicPr>
                  <pic:blipFill>
                    <a:blip r:embed="rId31"/>
                    <a:stretch>
                      <a:fillRect/>
                    </a:stretch>
                  </pic:blipFill>
                  <pic:spPr>
                    <a:xfrm>
                      <a:off x="0" y="0"/>
                      <a:ext cx="4884781" cy="3162990"/>
                    </a:xfrm>
                    <a:prstGeom prst="rect">
                      <a:avLst/>
                    </a:prstGeom>
                  </pic:spPr>
                </pic:pic>
              </a:graphicData>
            </a:graphic>
          </wp:inline>
        </w:drawing>
      </w:r>
    </w:p>
    <w:p w14:paraId="283A375E" w14:textId="35FF4DAA" w:rsidR="00C4524E" w:rsidRDefault="004743E8" w:rsidP="00C4524E">
      <w:r>
        <w:rPr>
          <w:noProof/>
          <w:lang w:eastAsia="ja-JP"/>
        </w:rPr>
        <mc:AlternateContent>
          <mc:Choice Requires="wps">
            <w:drawing>
              <wp:anchor distT="0" distB="0" distL="114300" distR="114300" simplePos="0" relativeHeight="251653120" behindDoc="0" locked="0" layoutInCell="1" allowOverlap="1" wp14:anchorId="40D1E347" wp14:editId="23967A45">
                <wp:simplePos x="0" y="0"/>
                <wp:positionH relativeFrom="column">
                  <wp:posOffset>59690</wp:posOffset>
                </wp:positionH>
                <wp:positionV relativeFrom="paragraph">
                  <wp:posOffset>3836670</wp:posOffset>
                </wp:positionV>
                <wp:extent cx="3238500" cy="106680"/>
                <wp:effectExtent l="0" t="0" r="0" b="7620"/>
                <wp:wrapNone/>
                <wp:docPr id="929700587" name="Rectangle 1"/>
                <wp:cNvGraphicFramePr/>
                <a:graphic xmlns:a="http://schemas.openxmlformats.org/drawingml/2006/main">
                  <a:graphicData uri="http://schemas.microsoft.com/office/word/2010/wordprocessingShape">
                    <wps:wsp>
                      <wps:cNvSpPr/>
                      <wps:spPr>
                        <a:xfrm>
                          <a:off x="0" y="0"/>
                          <a:ext cx="3238500" cy="106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BFB12" id="Rectangle 1" o:spid="_x0000_s1026" style="position:absolute;margin-left:4.7pt;margin-top:302.1pt;width:25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" fillcolor="white [3212]" stroked="f" strokeweight="1pt"/>
            </w:pict>
          </mc:Fallback>
        </mc:AlternateContent>
      </w:r>
      <w:r w:rsidR="00C4524E">
        <w:t xml:space="preserve">Sensitivity analyses also met prespecified criteria for clinical similarity, including </w:t>
      </w:r>
      <w:r w:rsidR="00C4524E" w:rsidRPr="0083798A">
        <w:t>percent PASI</w:t>
      </w:r>
      <w:r w:rsidR="00C4524E">
        <w:t xml:space="preserve"> improvement from Baseline to Week 12 using observed data in the ITT set, and using the ITT set and last observation carried forward data. Subgroup analyses were performed for patients grouped by body weight, prior biologic therapy for psoriasis, age, gender</w:t>
      </w:r>
      <w:r w:rsidR="00C4524E" w:rsidRPr="00464259">
        <w:t xml:space="preserve">, </w:t>
      </w:r>
      <w:r w:rsidR="00F01933">
        <w:t>antidrug antibody (</w:t>
      </w:r>
      <w:r w:rsidR="00C4524E" w:rsidRPr="00464259">
        <w:t>ADA</w:t>
      </w:r>
      <w:r w:rsidR="00F01933">
        <w:t>)</w:t>
      </w:r>
      <w:r w:rsidR="00C4524E" w:rsidRPr="00464259">
        <w:t xml:space="preserve"> status and </w:t>
      </w:r>
      <w:r w:rsidR="00F01933">
        <w:t>neutralising antibody (</w:t>
      </w:r>
      <w:r w:rsidR="00C4524E" w:rsidRPr="00464259">
        <w:t>N</w:t>
      </w:r>
      <w:r w:rsidR="00F01933" w:rsidRPr="00464259">
        <w:t>a</w:t>
      </w:r>
      <w:r w:rsidR="00C4524E" w:rsidRPr="00464259">
        <w:t>b</w:t>
      </w:r>
      <w:r w:rsidR="00F01933">
        <w:t>)</w:t>
      </w:r>
      <w:r w:rsidR="00C4524E" w:rsidRPr="00464259">
        <w:t xml:space="preserve"> status, demonstrating no major differences in treatment effect between subgroups, with only the</w:t>
      </w:r>
      <w:r w:rsidR="00C4524E">
        <w:t xml:space="preserve"> results for the </w:t>
      </w:r>
      <w:proofErr w:type="spellStart"/>
      <w:r w:rsidR="00C4524E">
        <w:t>NAb</w:t>
      </w:r>
      <w:proofErr w:type="spellEnd"/>
      <w:r w:rsidR="00C4524E">
        <w:t xml:space="preserve"> positive subgroup (which included 11 patients in the AVT04 treatment group and 51 patients in the EU-S</w:t>
      </w:r>
      <w:r w:rsidR="00884359">
        <w:t>telara</w:t>
      </w:r>
      <w:r w:rsidR="00C4524E">
        <w:t xml:space="preserve"> treatment group) falling outside the -15% to 15% margin of equivalence, as shown in Figure 4. The sponsor noted the small sample size of the </w:t>
      </w:r>
      <w:proofErr w:type="spellStart"/>
      <w:r w:rsidR="00C4524E">
        <w:t>NAb</w:t>
      </w:r>
      <w:proofErr w:type="spellEnd"/>
      <w:r w:rsidR="00C4524E">
        <w:t xml:space="preserve"> positive subgroup, and the fact that the study was not powered to demonstrate equivalence for a subgroup of this size, as factors that should be considered in interpretation of this result.</w:t>
      </w:r>
    </w:p>
    <w:p w14:paraId="5151B044" w14:textId="3A6627DE" w:rsidR="00435170" w:rsidRPr="00435170" w:rsidRDefault="00435170" w:rsidP="00435170">
      <w:pPr>
        <w:pStyle w:val="FigureTitle"/>
      </w:pPr>
      <w:r w:rsidRPr="00435170">
        <w:lastRenderedPageBreak/>
        <w:t xml:space="preserve">Figure 4. Forest plot of 95% confidence interval of percent improvement in PASI from </w:t>
      </w:r>
      <w:r w:rsidR="00F01933">
        <w:t>B</w:t>
      </w:r>
      <w:r w:rsidRPr="00435170">
        <w:t xml:space="preserve">aseline to </w:t>
      </w:r>
      <w:r w:rsidR="00F01933">
        <w:t>W</w:t>
      </w:r>
      <w:r w:rsidRPr="00435170">
        <w:t>eek 12, intentions to treat set.</w:t>
      </w:r>
    </w:p>
    <w:p w14:paraId="48B602E6" w14:textId="7BA6E614" w:rsidR="00690BB2" w:rsidRDefault="00690BB2" w:rsidP="00C4524E">
      <w:r>
        <w:rPr>
          <w:noProof/>
        </w:rPr>
        <w:drawing>
          <wp:inline distT="0" distB="0" distL="0" distR="0" wp14:anchorId="4CD57DCF" wp14:editId="1E5537C3">
            <wp:extent cx="5064989" cy="2803585"/>
            <wp:effectExtent l="0" t="0" r="2540" b="0"/>
            <wp:docPr id="394438842" name="Picture 1" descr="Figure 4. Forest plot of 95% confidence interval of percent improvement in PASI from Baseline to Week 12, intentions to trea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38842" name="Picture 1" descr="Figure 4. Forest plot of 95% confidence interval of percent improvement in PASI from Baseline to Week 12, intentions to treat set."/>
                    <pic:cNvPicPr/>
                  </pic:nvPicPr>
                  <pic:blipFill>
                    <a:blip r:embed="rId32"/>
                    <a:stretch>
                      <a:fillRect/>
                    </a:stretch>
                  </pic:blipFill>
                  <pic:spPr>
                    <a:xfrm>
                      <a:off x="0" y="0"/>
                      <a:ext cx="5083203" cy="2813667"/>
                    </a:xfrm>
                    <a:prstGeom prst="rect">
                      <a:avLst/>
                    </a:prstGeom>
                  </pic:spPr>
                </pic:pic>
              </a:graphicData>
            </a:graphic>
          </wp:inline>
        </w:drawing>
      </w:r>
    </w:p>
    <w:p w14:paraId="77E19A45" w14:textId="58256B26" w:rsidR="00690BB2" w:rsidRDefault="00435170" w:rsidP="00C4524E">
      <w:r>
        <w:rPr>
          <w:noProof/>
        </w:rPr>
        <w:drawing>
          <wp:inline distT="0" distB="0" distL="0" distR="0" wp14:anchorId="2E8C7450" wp14:editId="38ADAA48">
            <wp:extent cx="4998738" cy="1130060"/>
            <wp:effectExtent l="0" t="0" r="0" b="0"/>
            <wp:docPr id="96032434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4346" name="Picture 1" descr="A close-up of a text&#10;&#10;AI-generated content may be incorrect."/>
                    <pic:cNvPicPr/>
                  </pic:nvPicPr>
                  <pic:blipFill>
                    <a:blip r:embed="rId33"/>
                    <a:stretch>
                      <a:fillRect/>
                    </a:stretch>
                  </pic:blipFill>
                  <pic:spPr>
                    <a:xfrm>
                      <a:off x="0" y="0"/>
                      <a:ext cx="5036943" cy="1138697"/>
                    </a:xfrm>
                    <a:prstGeom prst="rect">
                      <a:avLst/>
                    </a:prstGeom>
                  </pic:spPr>
                </pic:pic>
              </a:graphicData>
            </a:graphic>
          </wp:inline>
        </w:drawing>
      </w:r>
    </w:p>
    <w:p w14:paraId="1BFDF8EC" w14:textId="6AEBB89B" w:rsidR="00C4524E" w:rsidRPr="007E316E" w:rsidRDefault="00C4524E" w:rsidP="00C4524E">
      <w:r>
        <w:t>Results for secondary efficacy endpoints supported findings for the primary endpoint. In general, both the proportion of patients achieving PASI50, PASI75, PASI90 and PASI100 at each study timepoint, and percent improvement in PASI from Baseline at each study timepoint, were similar across the treatment groups. Re-randomisation of patients in the EU-S</w:t>
      </w:r>
      <w:r w:rsidR="009258A1">
        <w:t>telara</w:t>
      </w:r>
      <w:r>
        <w:t xml:space="preserve"> group in Stage 2 of the study did not result in meaningful differences in results of secondary efficacy endpoints at study timepoints from Week 16 to Week 52. Overall, the clinical evaluator concluded that </w:t>
      </w:r>
      <w:r w:rsidR="00F01933">
        <w:t>S</w:t>
      </w:r>
      <w:r>
        <w:t>tudy AVT04-GL-301 employed an appropriate study design and appropriate efficacy endpoints, and that equivalent efficacy between AVT04 and EU-S</w:t>
      </w:r>
      <w:r w:rsidR="009258A1">
        <w:t>telara</w:t>
      </w:r>
      <w:r>
        <w:t xml:space="preserve"> was satisfactorily established.</w:t>
      </w:r>
    </w:p>
    <w:p w14:paraId="7943374B" w14:textId="77777777" w:rsidR="00C4524E" w:rsidRDefault="00C4524E" w:rsidP="00C4524E">
      <w:pPr>
        <w:pStyle w:val="Heading4"/>
      </w:pPr>
      <w:bookmarkStart w:id="50" w:name="_Toc212469871"/>
      <w:r w:rsidRPr="00AA53F4">
        <w:t>Safety</w:t>
      </w:r>
      <w:bookmarkEnd w:id="50"/>
    </w:p>
    <w:p w14:paraId="22AD35FA" w14:textId="1C2A28F4" w:rsidR="00C4524E" w:rsidRDefault="00C4524E" w:rsidP="00C4524E">
      <w:r>
        <w:t xml:space="preserve">The sponsor justified choice of plaque psoriasis as the approved indication with which to compare safety of AVT04 and the innovator product given that </w:t>
      </w:r>
      <w:proofErr w:type="spellStart"/>
      <w:r>
        <w:t>ustekinumab</w:t>
      </w:r>
      <w:proofErr w:type="spellEnd"/>
      <w:r>
        <w:t xml:space="preserve"> is prescribed as monotherapy for this indication, reducing the likelihood of confounding safety findings due to concomitant medication.</w:t>
      </w:r>
      <w:r w:rsidR="000C4CCD">
        <w:t xml:space="preserve"> </w:t>
      </w:r>
      <w:r>
        <w:t xml:space="preserve">Evaluable safety data was provided in the Phase </w:t>
      </w:r>
      <w:r w:rsidR="007B2850">
        <w:t>I</w:t>
      </w:r>
      <w:r>
        <w:t xml:space="preserve"> </w:t>
      </w:r>
      <w:r w:rsidR="007B2850">
        <w:t>S</w:t>
      </w:r>
      <w:r>
        <w:t>tudy AVT04</w:t>
      </w:r>
      <w:r w:rsidR="007B2850">
        <w:noBreakHyphen/>
      </w:r>
      <w:r>
        <w:t>GL</w:t>
      </w:r>
      <w:r w:rsidR="007B2850">
        <w:noBreakHyphen/>
      </w:r>
      <w:r>
        <w:t xml:space="preserve">101 and Phase </w:t>
      </w:r>
      <w:r w:rsidR="007B2850">
        <w:t>III</w:t>
      </w:r>
      <w:r>
        <w:t xml:space="preserve"> </w:t>
      </w:r>
      <w:r w:rsidR="007B2850">
        <w:t>S</w:t>
      </w:r>
      <w:r>
        <w:t>tudy AVT04-GL-301.</w:t>
      </w:r>
    </w:p>
    <w:p w14:paraId="2E4BDDA2" w14:textId="77777777" w:rsidR="000C4CCD" w:rsidRDefault="00C4524E" w:rsidP="00C4524E">
      <w:r>
        <w:t xml:space="preserve">In terms of extent of exposure during clinical development, in </w:t>
      </w:r>
      <w:r w:rsidR="00BC2E2A">
        <w:t>S</w:t>
      </w:r>
      <w:r>
        <w:t>tudy AVT04-GL-101, of 298 randomised healthy adult subjects 98 received a single 45</w:t>
      </w:r>
      <w:r w:rsidR="00BC2E2A">
        <w:t> </w:t>
      </w:r>
      <w:r>
        <w:t>mg/0.5</w:t>
      </w:r>
      <w:r w:rsidR="00BC2E2A">
        <w:t> </w:t>
      </w:r>
      <w:r>
        <w:t>mL subcutaneous dose of AVT04, with the remaining subjects receiving a 4</w:t>
      </w:r>
      <w:r w:rsidR="00BC2E2A">
        <w:t>5 </w:t>
      </w:r>
      <w:r>
        <w:t>mg /0.5</w:t>
      </w:r>
      <w:r w:rsidR="00BC2E2A">
        <w:t> </w:t>
      </w:r>
      <w:r>
        <w:t>mL dose of either EU-S</w:t>
      </w:r>
      <w:r w:rsidR="00CA3217">
        <w:t>telara</w:t>
      </w:r>
      <w:r>
        <w:t xml:space="preserve"> or US</w:t>
      </w:r>
      <w:r w:rsidR="00BC2E2A">
        <w:noBreakHyphen/>
      </w:r>
      <w:r>
        <w:t>S</w:t>
      </w:r>
      <w:r w:rsidR="00CA3217">
        <w:t>telara</w:t>
      </w:r>
      <w:r>
        <w:t xml:space="preserve">. In </w:t>
      </w:r>
      <w:r w:rsidR="00BC2E2A">
        <w:t>S</w:t>
      </w:r>
      <w:r>
        <w:t xml:space="preserve">tudy AVT04-GL-301 adult patients with plaque psoriasis received weight-based dosing with study treatments administered at Day 1, Weeks 4, 16, 28 and 40; 194 patients randomised to the AVT04 group in Stage 1 received AVT04 throughout the study, with 194 completing to Week 16, 191 to Week 28 and 186 to end-of-study, whilst of the 387 patients </w:t>
      </w:r>
      <w:r>
        <w:lastRenderedPageBreak/>
        <w:t>randomised to EU-S</w:t>
      </w:r>
      <w:r w:rsidR="00CA3217">
        <w:t>telara</w:t>
      </w:r>
      <w:r>
        <w:t xml:space="preserve"> in Stage 1, 192 received AVT04 in Stage 2 of the study, with 184 completing Week 28 and 178 to end-of-study</w:t>
      </w:r>
      <w:r w:rsidR="000C4CCD">
        <w:t>.</w:t>
      </w:r>
    </w:p>
    <w:p w14:paraId="1841DF85" w14:textId="07719326" w:rsidR="00C4524E" w:rsidRDefault="00C4524E" w:rsidP="00553CF4">
      <w:pPr>
        <w:pStyle w:val="Heading6"/>
      </w:pPr>
      <w:r>
        <w:t>Study AVT04-GL-101</w:t>
      </w:r>
      <w:r w:rsidR="00C7378E" w:rsidRPr="00C7378E">
        <w:rPr>
          <w:vertAlign w:val="superscript"/>
        </w:rPr>
        <w:t>9</w:t>
      </w:r>
    </w:p>
    <w:p w14:paraId="54712850" w14:textId="77777777" w:rsidR="000C4CCD" w:rsidRDefault="00C4524E" w:rsidP="00C4524E">
      <w:r>
        <w:t xml:space="preserve">The number of subjects reporting at least </w:t>
      </w:r>
      <w:r w:rsidR="00340A95">
        <w:t>one</w:t>
      </w:r>
      <w:r>
        <w:t xml:space="preserve"> treatment emergent adverse event (TEAE) during the study was similar between treatment groups; 68.4% in the AVT04 group, 67.7% in the EU</w:t>
      </w:r>
      <w:r w:rsidR="00340A95">
        <w:noBreakHyphen/>
      </w:r>
      <w:r>
        <w:t>S</w:t>
      </w:r>
      <w:r w:rsidR="00CA3217">
        <w:t>telara</w:t>
      </w:r>
      <w:r>
        <w:t xml:space="preserve"> group, and 71.1% in the US-S</w:t>
      </w:r>
      <w:r w:rsidR="00CA3217">
        <w:t>telara</w:t>
      </w:r>
      <w:r>
        <w:t xml:space="preserve"> </w:t>
      </w:r>
      <w:r w:rsidRPr="00115E67">
        <w:t xml:space="preserve">group. Common </w:t>
      </w:r>
      <w:r w:rsidR="00115E67" w:rsidRPr="00115E67">
        <w:t>treatment-emergent adverse event (</w:t>
      </w:r>
      <w:r w:rsidRPr="00115E67">
        <w:t>TEAEs</w:t>
      </w:r>
      <w:r w:rsidR="00115E67" w:rsidRPr="00115E67">
        <w:t>)</w:t>
      </w:r>
      <w:r w:rsidRPr="00115E67">
        <w:t xml:space="preserve"> by System Organ Class (SOC) </w:t>
      </w:r>
      <w:proofErr w:type="gramStart"/>
      <w:r w:rsidRPr="00115E67">
        <w:t>were:</w:t>
      </w:r>
      <w:proofErr w:type="gramEnd"/>
      <w:r w:rsidRPr="00115E67">
        <w:t xml:space="preserve"> infections and infestations (AVT04 group 24.5%, EU-</w:t>
      </w:r>
      <w:r w:rsidR="00B263C3" w:rsidRPr="00115E67">
        <w:t>Stelara</w:t>
      </w:r>
      <w:r w:rsidRPr="00115E67">
        <w:t xml:space="preserve"> group 26.3%, US-</w:t>
      </w:r>
      <w:r w:rsidR="00B263C3" w:rsidRPr="00115E67">
        <w:t>Stelara</w:t>
      </w:r>
      <w:r w:rsidRPr="00115E67">
        <w:t xml:space="preserve"> group 26.8%),</w:t>
      </w:r>
      <w:r>
        <w:t xml:space="preserve"> nervous system disorders (AVT04 25.5%, EU-</w:t>
      </w:r>
      <w:r w:rsidR="00B263C3">
        <w:t>Stelara</w:t>
      </w:r>
      <w:r>
        <w:t xml:space="preserve"> 19.2%, US-</w:t>
      </w:r>
      <w:r w:rsidR="00B263C3">
        <w:t>Stelara</w:t>
      </w:r>
      <w:r>
        <w:t xml:space="preserve"> 28.9%), general disorders and administration site conditions (AVT04 20.4%, EU-</w:t>
      </w:r>
      <w:r w:rsidR="00B263C3">
        <w:t>Stelara</w:t>
      </w:r>
      <w:r>
        <w:t xml:space="preserve"> 17.2%, US-</w:t>
      </w:r>
      <w:r w:rsidR="00B263C3">
        <w:t>Stelara</w:t>
      </w:r>
      <w:r>
        <w:t xml:space="preserve"> 27.8%). Of note, TEAEs by SOC nervous system disorders occurred more frequently in the AVT04 group (30 subjects, 25.5%) compared to the EU-</w:t>
      </w:r>
      <w:r w:rsidR="00B263C3">
        <w:t>Stelara</w:t>
      </w:r>
      <w:r>
        <w:t xml:space="preserve"> group (19 subjects, 19.2%). By preferred term (PT) the most frequent TEAEs were headache, upper respiratory tract infection, injection site erythema, back pain and fatigue. Reflecting the difference between AVT04 and EU-</w:t>
      </w:r>
      <w:r w:rsidR="00B263C3">
        <w:t>Stelara</w:t>
      </w:r>
      <w:r>
        <w:t xml:space="preserve"> groups by SOC nervous system disorders, slightly higher rate of headache was reported in the AVT04 group (19 subjects, 19.4%) compared to the EU-</w:t>
      </w:r>
      <w:r w:rsidR="00B263C3">
        <w:t>Stelara</w:t>
      </w:r>
      <w:r>
        <w:t xml:space="preserve"> group (14 subjects, 14.1%). These safety results are summarised in Table </w:t>
      </w:r>
      <w:r w:rsidR="00AD64BC">
        <w:t>8</w:t>
      </w:r>
      <w:r w:rsidR="000C4CCD">
        <w:t>.</w:t>
      </w:r>
    </w:p>
    <w:p w14:paraId="5809A74F" w14:textId="780CB6DB" w:rsidR="000C4CCD" w:rsidRDefault="00C4524E" w:rsidP="00AD64BC">
      <w:pPr>
        <w:pStyle w:val="TableTitle"/>
      </w:pPr>
      <w:r>
        <w:t xml:space="preserve">Table </w:t>
      </w:r>
      <w:r w:rsidR="00AD64BC">
        <w:t>8</w:t>
      </w:r>
      <w:r>
        <w:t>. Study AVT04-GL-101 frequency of treatment-emergent adverse events occurring in ≥</w:t>
      </w:r>
      <w:r w:rsidR="006B7639">
        <w:t> </w:t>
      </w:r>
      <w:r>
        <w:t xml:space="preserve">5% of subjects in any treatment group, </w:t>
      </w:r>
      <w:r w:rsidR="006B7639">
        <w:t>s</w:t>
      </w:r>
      <w:r>
        <w:t xml:space="preserve">afety </w:t>
      </w:r>
      <w:r w:rsidR="006B7639">
        <w:t>p</w:t>
      </w:r>
      <w:r>
        <w:t>opulation</w:t>
      </w:r>
      <w:r w:rsidR="000C4CCD">
        <w:t>.</w:t>
      </w:r>
      <w:r w:rsidR="00C7378E" w:rsidRPr="00C7378E">
        <w:rPr>
          <w:vertAlign w:val="superscript"/>
        </w:rPr>
        <w:t>9</w:t>
      </w:r>
    </w:p>
    <w:p w14:paraId="766ABA4B" w14:textId="5317EDC6" w:rsidR="00C4524E" w:rsidRPr="00623661" w:rsidRDefault="00C4524E" w:rsidP="00C4524E">
      <w:r w:rsidRPr="007948A3">
        <w:rPr>
          <w:noProof/>
        </w:rPr>
        <w:drawing>
          <wp:inline distT="0" distB="0" distL="0" distR="0" wp14:anchorId="637C7DD3" wp14:editId="1FABE757">
            <wp:extent cx="5357004" cy="4037754"/>
            <wp:effectExtent l="0" t="0" r="0" b="1270"/>
            <wp:docPr id="52" name="Picture 52" descr="Table 8. Study AVT04-GL-101 frequency of treatment-emergent adverse events occurring in ≥ 5% of subjects in any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 8. Study AVT04-GL-101 frequency of treatment-emergent adverse events occurring in ≥ 5% of subjects in any treatment group, safety popul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8449" cy="4053918"/>
                    </a:xfrm>
                    <a:prstGeom prst="rect">
                      <a:avLst/>
                    </a:prstGeom>
                    <a:noFill/>
                    <a:ln>
                      <a:noFill/>
                    </a:ln>
                  </pic:spPr>
                </pic:pic>
              </a:graphicData>
            </a:graphic>
          </wp:inline>
        </w:drawing>
      </w:r>
    </w:p>
    <w:p w14:paraId="7779BC30" w14:textId="77777777" w:rsidR="00C4524E" w:rsidRDefault="00C4524E" w:rsidP="00C4524E">
      <w:pPr>
        <w:rPr>
          <w:noProof/>
        </w:rPr>
      </w:pPr>
    </w:p>
    <w:p w14:paraId="009BC2B7" w14:textId="1ACFED4A" w:rsidR="00C4524E" w:rsidRDefault="00C4524E" w:rsidP="001E6DC8">
      <w:pPr>
        <w:pStyle w:val="TableTitle"/>
        <w:rPr>
          <w:bCs/>
        </w:rPr>
      </w:pPr>
      <w:r>
        <w:rPr>
          <w:bCs/>
        </w:rPr>
        <w:lastRenderedPageBreak/>
        <w:t xml:space="preserve">Table </w:t>
      </w:r>
      <w:r w:rsidR="00AD64BC">
        <w:rPr>
          <w:bCs/>
        </w:rPr>
        <w:t>8</w:t>
      </w:r>
      <w:r>
        <w:rPr>
          <w:bCs/>
        </w:rPr>
        <w:t>. Study AVT04-GL-101 frequency of treatment-emergent adverse events occurring in ≥</w:t>
      </w:r>
      <w:r w:rsidR="004E4470">
        <w:rPr>
          <w:bCs/>
        </w:rPr>
        <w:t> </w:t>
      </w:r>
      <w:r>
        <w:rPr>
          <w:bCs/>
        </w:rPr>
        <w:t xml:space="preserve">5% of subjects in any treatment group, </w:t>
      </w:r>
      <w:r w:rsidR="004E4470">
        <w:rPr>
          <w:bCs/>
        </w:rPr>
        <w:t>s</w:t>
      </w:r>
      <w:r>
        <w:rPr>
          <w:bCs/>
        </w:rPr>
        <w:t xml:space="preserve">afety </w:t>
      </w:r>
      <w:r w:rsidR="004E4470">
        <w:rPr>
          <w:bCs/>
        </w:rPr>
        <w:t>p</w:t>
      </w:r>
      <w:r>
        <w:rPr>
          <w:bCs/>
        </w:rPr>
        <w:t>opulation (cont</w:t>
      </w:r>
      <w:r w:rsidR="004E4470">
        <w:rPr>
          <w:bCs/>
        </w:rPr>
        <w:t>inued</w:t>
      </w:r>
      <w:r>
        <w:rPr>
          <w:bCs/>
        </w:rPr>
        <w:t>)</w:t>
      </w:r>
      <w:r w:rsidR="00C7378E" w:rsidRPr="00C7378E">
        <w:rPr>
          <w:bCs/>
          <w:vertAlign w:val="superscript"/>
        </w:rPr>
        <w:t>9</w:t>
      </w:r>
    </w:p>
    <w:p w14:paraId="3F54E78D" w14:textId="6A6BCCA0" w:rsidR="00CE6B37" w:rsidRPr="006F7F15" w:rsidRDefault="00CE6B37" w:rsidP="00487AAC">
      <w:pPr>
        <w:rPr>
          <w:bCs/>
        </w:rPr>
      </w:pPr>
      <w:r>
        <w:rPr>
          <w:noProof/>
        </w:rPr>
        <w:drawing>
          <wp:inline distT="0" distB="0" distL="0" distR="0" wp14:anchorId="449618CD" wp14:editId="710C70BC">
            <wp:extent cx="5434642" cy="2538163"/>
            <wp:effectExtent l="0" t="0" r="0" b="0"/>
            <wp:docPr id="670138050" name="Picture 1" descr="Table 8. Continued- Study AVT04-GL-101 frequency of treatment-emergent adverse events occurring in ≥ 5% of subjects in any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8050" name="Picture 1" descr="Table 8. Continued- Study AVT04-GL-101 frequency of treatment-emergent adverse events occurring in ≥ 5% of subjects in any treatment group, safety population."/>
                    <pic:cNvPicPr/>
                  </pic:nvPicPr>
                  <pic:blipFill>
                    <a:blip r:embed="rId35"/>
                    <a:stretch>
                      <a:fillRect/>
                    </a:stretch>
                  </pic:blipFill>
                  <pic:spPr>
                    <a:xfrm>
                      <a:off x="0" y="0"/>
                      <a:ext cx="5447819" cy="2544317"/>
                    </a:xfrm>
                    <a:prstGeom prst="rect">
                      <a:avLst/>
                    </a:prstGeom>
                  </pic:spPr>
                </pic:pic>
              </a:graphicData>
            </a:graphic>
          </wp:inline>
        </w:drawing>
      </w:r>
    </w:p>
    <w:p w14:paraId="6DD1FDB5" w14:textId="4884F1D6" w:rsidR="00C4524E" w:rsidRDefault="00C4524E" w:rsidP="00C4524E">
      <w:r>
        <w:t>Overall, the majority of TEAEs were classified as mild in severity, with moderate TEAEs reported by 5.8% of subjects overall, and 6 subjects (2.0% of total) reporting TEAEs categorised as severe, two subjects in the AVT04 group, three in the EU-</w:t>
      </w:r>
      <w:r w:rsidR="00B263C3">
        <w:t>Stelara</w:t>
      </w:r>
      <w:r>
        <w:t xml:space="preserve"> group, and one in the US-</w:t>
      </w:r>
      <w:r w:rsidR="00B263C3">
        <w:t>Stelara</w:t>
      </w:r>
      <w:r>
        <w:t xml:space="preserve"> group. There were no deaths reported in </w:t>
      </w:r>
      <w:r w:rsidR="000A79B1">
        <w:t>S</w:t>
      </w:r>
      <w:r>
        <w:t>tudy AVT04-GL-101. There were 3 serious adverse events reported, one in each treatment group; anaphylactic reaction for one subject in the AVT04 group, abdominal pain for one subject in the EU-</w:t>
      </w:r>
      <w:r w:rsidR="00B263C3">
        <w:t>Stelara</w:t>
      </w:r>
      <w:r>
        <w:t xml:space="preserve"> group, and cerebrovascular accident in the US-</w:t>
      </w:r>
      <w:r w:rsidR="00B263C3">
        <w:t>Stelara</w:t>
      </w:r>
      <w:r>
        <w:t xml:space="preserve"> group. None of these events were considered related to the study treatment, and case narratives were provided. For the anaphylactic reaction occurring in the AVT04 group the case narrative confirms that this reaction occurred on study </w:t>
      </w:r>
      <w:r w:rsidR="000A79B1">
        <w:t>D</w:t>
      </w:r>
      <w:r>
        <w:t>ay 56, and whilst a specific trigger was not identified, the study treatment was considered unlikely given the passage of time since dose administration. There were no clinically meaningful changes identified in laboratory parameters, ECG parameters, or vital signs.</w:t>
      </w:r>
    </w:p>
    <w:p w14:paraId="2BFEFD32" w14:textId="2F3E88EB" w:rsidR="00C4524E" w:rsidRDefault="00C4524E" w:rsidP="00C4524E">
      <w:r>
        <w:t>In terms of adverse events of special interest (AESI) the frequency of subjects who experienced at least one event was similar across the treatment groups, 10.2% in the AVT04 group, 9.1% in the EU-</w:t>
      </w:r>
      <w:r w:rsidR="00B263C3">
        <w:t>Stelara</w:t>
      </w:r>
      <w:r>
        <w:t xml:space="preserve"> group and 12.4% in the US-</w:t>
      </w:r>
      <w:r w:rsidR="00B263C3">
        <w:t>Stelara</w:t>
      </w:r>
      <w:r>
        <w:t xml:space="preserve"> group. Local administration site reactions were the most common AESI overall, being slightly more common in the US-</w:t>
      </w:r>
      <w:r w:rsidR="00B263C3">
        <w:t>Stelara</w:t>
      </w:r>
      <w:r>
        <w:t xml:space="preserve"> group at 11.3% compared to 10.2% in the AVT04 group and 8.1% in the EU-</w:t>
      </w:r>
      <w:r w:rsidR="00B263C3">
        <w:t>Stelara</w:t>
      </w:r>
      <w:r>
        <w:t xml:space="preserve"> group, and all reactions were considered mild in severity.</w:t>
      </w:r>
    </w:p>
    <w:p w14:paraId="70442521" w14:textId="4BD28106" w:rsidR="00C4524E" w:rsidRDefault="00C4524E" w:rsidP="000D38B1">
      <w:pPr>
        <w:pStyle w:val="Heading6"/>
      </w:pPr>
      <w:r>
        <w:t>Study AVT04-GL-301</w:t>
      </w:r>
      <w:r w:rsidR="00C7378E" w:rsidRPr="00C7378E">
        <w:rPr>
          <w:vertAlign w:val="superscript"/>
        </w:rPr>
        <w:t>10</w:t>
      </w:r>
    </w:p>
    <w:p w14:paraId="01514526" w14:textId="77777777" w:rsidR="00C4524E" w:rsidRPr="000D38B1" w:rsidRDefault="00C4524E" w:rsidP="007A5F57">
      <w:pPr>
        <w:pStyle w:val="Heading7"/>
      </w:pPr>
      <w:r w:rsidRPr="000D38B1">
        <w:t>Stage 1: Baseline to Week 16</w:t>
      </w:r>
    </w:p>
    <w:p w14:paraId="25D6747C" w14:textId="6FB962C5" w:rsidR="00C4524E" w:rsidRDefault="00C4524E" w:rsidP="00C4524E">
      <w:r>
        <w:t>In Stage 1 of the study rates of any TEAE were similar between treatment groups, with 67 patients (34.5%) in the AVT04 group reporting 104 TEAEs, compared to 130 patients (33.6%) in the EU-</w:t>
      </w:r>
      <w:r w:rsidR="00B263C3">
        <w:t>Stelara</w:t>
      </w:r>
      <w:r>
        <w:t xml:space="preserve"> group reporting 223 TEAEs. The most common TEAEs by SOC were infections and infestations (AVT04 group 17.0%, EU-</w:t>
      </w:r>
      <w:r w:rsidR="00B263C3">
        <w:t>Stelara</w:t>
      </w:r>
      <w:r>
        <w:t xml:space="preserve"> group 14.5%), and investigations abnormal (AVT04 group 8.2%, EU-</w:t>
      </w:r>
      <w:r w:rsidR="00B263C3">
        <w:t>Stelara</w:t>
      </w:r>
      <w:r>
        <w:t xml:space="preserve"> group 8.5%). </w:t>
      </w:r>
    </w:p>
    <w:p w14:paraId="79D1CE6E" w14:textId="3E749D8E" w:rsidR="00C4524E" w:rsidRDefault="00C4524E" w:rsidP="00C4524E">
      <w:r>
        <w:t>The majority of TEAEs in Stage 1 were categorised as mild or moderate severity. Three patients reported TEAEs leading to early termination of the study, all in the EU-S</w:t>
      </w:r>
      <w:r w:rsidR="00081276">
        <w:t>telara</w:t>
      </w:r>
      <w:r>
        <w:t xml:space="preserve"> group. There were no deaths recorded in Stage 1 of the study, and of the seven serious adverse events recorded, all occurred in the EU-S</w:t>
      </w:r>
      <w:r w:rsidR="00081276">
        <w:t>telara</w:t>
      </w:r>
      <w:r>
        <w:t xml:space="preserve"> </w:t>
      </w:r>
      <w:proofErr w:type="gramStart"/>
      <w:r>
        <w:t>group</w:t>
      </w:r>
      <w:proofErr w:type="gramEnd"/>
      <w:r>
        <w:t xml:space="preserve"> and none were attributed to the study treatment. There were no clinically meaningful changes in laboratory parameters, ECG parameters or vital signs recorded during Stage 1.</w:t>
      </w:r>
    </w:p>
    <w:p w14:paraId="00E94D26" w14:textId="014341EB" w:rsidR="00C4524E" w:rsidRDefault="00C4524E" w:rsidP="00C4524E">
      <w:r w:rsidRPr="00F17175">
        <w:lastRenderedPageBreak/>
        <w:t>AESI addressed</w:t>
      </w:r>
      <w:r>
        <w:t xml:space="preserve"> in the study included warnings and precautions included in the EU-S</w:t>
      </w:r>
      <w:r w:rsidR="00081276">
        <w:t>telara</w:t>
      </w:r>
      <w:r>
        <w:t xml:space="preserve"> product label, including serious infections, malignancies, hypersensitivity reactions, reversible posterior leukoencephalopathy syndrome, non-infectious pneumonia, and injection site reactions (ISRs). As shown in Table </w:t>
      </w:r>
      <w:r w:rsidR="00A653CD">
        <w:t>9</w:t>
      </w:r>
      <w:r w:rsidRPr="00081276">
        <w:t>, ISR was</w:t>
      </w:r>
      <w:r>
        <w:t xml:space="preserve"> the most frequent AESI in Stage 1 of the study, with 4 ISRs reported by 3 patients (1.5%) in the AVT04 group, and 14 ISRs reported by 13 patients (3.4%) in the EU-S</w:t>
      </w:r>
      <w:r w:rsidR="00AE0B97">
        <w:t>telara</w:t>
      </w:r>
      <w:r>
        <w:t xml:space="preserve"> group. All ISRs were classified as mild in severity, </w:t>
      </w:r>
      <w:proofErr w:type="gramStart"/>
      <w:r>
        <w:t>with the exception of</w:t>
      </w:r>
      <w:proofErr w:type="gramEnd"/>
      <w:r>
        <w:t xml:space="preserve"> one ISR in the EU-S</w:t>
      </w:r>
      <w:r w:rsidR="00AE0B97">
        <w:t>telara</w:t>
      </w:r>
      <w:r>
        <w:t xml:space="preserve"> group, classified as moderate severity.</w:t>
      </w:r>
    </w:p>
    <w:p w14:paraId="05D018C0" w14:textId="6728F8A7" w:rsidR="000C4CCD" w:rsidRDefault="00C4524E" w:rsidP="00487AAC">
      <w:pPr>
        <w:pStyle w:val="TableTitle"/>
      </w:pPr>
      <w:r>
        <w:t xml:space="preserve">Table </w:t>
      </w:r>
      <w:r w:rsidR="00A653CD">
        <w:t>9</w:t>
      </w:r>
      <w:r>
        <w:t xml:space="preserve">. Treatment emergent adverse events of special interest by system organ class and preferred term, </w:t>
      </w:r>
      <w:r w:rsidR="004C62F6">
        <w:t>s</w:t>
      </w:r>
      <w:r>
        <w:t xml:space="preserve">afety </w:t>
      </w:r>
      <w:r w:rsidR="004C62F6">
        <w:t>a</w:t>
      </w:r>
      <w:r>
        <w:t xml:space="preserve">nalysis </w:t>
      </w:r>
      <w:r w:rsidR="004C62F6">
        <w:t>s</w:t>
      </w:r>
      <w:r>
        <w:t>et, up to Week 16 (Stage 1), all patients</w:t>
      </w:r>
      <w:r w:rsidR="000C4CCD">
        <w:t>.</w:t>
      </w:r>
    </w:p>
    <w:p w14:paraId="11975B2E" w14:textId="22C1F491" w:rsidR="00C4524E" w:rsidRDefault="00C4524E" w:rsidP="00C4524E">
      <w:r w:rsidRPr="00C168FB">
        <w:rPr>
          <w:noProof/>
          <w:lang w:eastAsia="ja-JP"/>
        </w:rPr>
        <w:drawing>
          <wp:inline distT="0" distB="0" distL="0" distR="0" wp14:anchorId="75011D43" wp14:editId="796BB43A">
            <wp:extent cx="5762625" cy="3433764"/>
            <wp:effectExtent l="0" t="0" r="0" b="0"/>
            <wp:docPr id="60" name="Picture 60" descr="Table 9. Treatment emergent adverse events of special interest by system organ class and preferred term, safety analysis set, up to Week 16 (Stage 1),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 9. Treatment emergent adverse events of special interest by system organ class and preferred term, safety analysis set, up to Week 16 (Stage 1), all patients."/>
                    <pic:cNvPicPr>
                      <a:picLocks noChangeAspect="1" noChangeArrowheads="1"/>
                    </pic:cNvPicPr>
                  </pic:nvPicPr>
                  <pic:blipFill rotWithShape="1">
                    <a:blip r:embed="rId36">
                      <a:extLst>
                        <a:ext uri="{28A0092B-C50C-407E-A947-70E740481C1C}">
                          <a14:useLocalDpi xmlns:a14="http://schemas.microsoft.com/office/drawing/2010/main" val="0"/>
                        </a:ext>
                      </a:extLst>
                    </a:blip>
                    <a:srcRect b="760"/>
                    <a:stretch/>
                  </pic:blipFill>
                  <pic:spPr bwMode="auto">
                    <a:xfrm>
                      <a:off x="0" y="0"/>
                      <a:ext cx="5791886" cy="3451200"/>
                    </a:xfrm>
                    <a:prstGeom prst="rect">
                      <a:avLst/>
                    </a:prstGeom>
                    <a:noFill/>
                    <a:ln>
                      <a:noFill/>
                    </a:ln>
                    <a:extLst>
                      <a:ext uri="{53640926-AAD7-44D8-BBD7-CCE9431645EC}">
                        <a14:shadowObscured xmlns:a14="http://schemas.microsoft.com/office/drawing/2010/main"/>
                      </a:ext>
                    </a:extLst>
                  </pic:spPr>
                </pic:pic>
              </a:graphicData>
            </a:graphic>
          </wp:inline>
        </w:drawing>
      </w:r>
    </w:p>
    <w:p w14:paraId="3CB4D969" w14:textId="77777777" w:rsidR="00C4524E" w:rsidRPr="000D38B1" w:rsidRDefault="00C4524E" w:rsidP="004C62F6">
      <w:pPr>
        <w:pStyle w:val="Heading7"/>
      </w:pPr>
      <w:r w:rsidRPr="000D38B1">
        <w:t>Stage 2: Week 16 to Week 28</w:t>
      </w:r>
    </w:p>
    <w:p w14:paraId="47E8F717" w14:textId="62F0C104" w:rsidR="00C4524E" w:rsidRDefault="00C4524E" w:rsidP="00C4524E">
      <w:r>
        <w:t>Following re-randomisation of the EU-S</w:t>
      </w:r>
      <w:r w:rsidR="003F6646">
        <w:t>telara</w:t>
      </w:r>
      <w:r>
        <w:t xml:space="preserve"> cohort at Week 16, a total of 21 patients (10.9%) reported 26 TEAEs in the AVT04/AVT04 group, 30 patients (15.6%) reported 35 TEAEs in the EU-S</w:t>
      </w:r>
      <w:r w:rsidR="003F6646">
        <w:t>telara</w:t>
      </w:r>
      <w:r>
        <w:t xml:space="preserve">/AVT04 </w:t>
      </w:r>
      <w:r w:rsidRPr="00061FB9">
        <w:t>group, and 29 patients (15.3%) reported 36 TEAEs in the EU-S</w:t>
      </w:r>
      <w:r w:rsidR="003F6646" w:rsidRPr="00061FB9">
        <w:t>telara</w:t>
      </w:r>
      <w:r w:rsidRPr="00061FB9">
        <w:t>/EU</w:t>
      </w:r>
      <w:r w:rsidR="00956CF0">
        <w:noBreakHyphen/>
      </w:r>
      <w:r w:rsidRPr="00061FB9">
        <w:t>S</w:t>
      </w:r>
      <w:r w:rsidR="003F6646" w:rsidRPr="00061FB9">
        <w:t>telara</w:t>
      </w:r>
      <w:r w:rsidRPr="00061FB9">
        <w:t xml:space="preserve"> group. The nature of TEAEs when</w:t>
      </w:r>
      <w:r>
        <w:t xml:space="preserve"> </w:t>
      </w:r>
      <w:r w:rsidRPr="00061FB9">
        <w:t>considered by SOC and PT generally reflected those recorded in Stage 1 of the study, though rates of specific TEAEs were generally lower</w:t>
      </w:r>
      <w:r>
        <w:t xml:space="preserve"> when compared to Stage 1, as shown in Table 1</w:t>
      </w:r>
      <w:r w:rsidR="00400D58">
        <w:t>0</w:t>
      </w:r>
      <w:r>
        <w:t>. Frequency of specific TEAEs was broadly similar across the treatment groups, noting the relatively low frequency of events overall.</w:t>
      </w:r>
      <w:r w:rsidR="000C4CCD">
        <w:t xml:space="preserve"> </w:t>
      </w:r>
      <w:r>
        <w:t>The majority of TEAEs were categorised as mild or moderate in severity.</w:t>
      </w:r>
    </w:p>
    <w:p w14:paraId="5E2ADA02" w14:textId="5A615472" w:rsidR="000C4CCD" w:rsidRDefault="00C4524E" w:rsidP="0031212E">
      <w:pPr>
        <w:pStyle w:val="TableTitle"/>
      </w:pPr>
      <w:r>
        <w:lastRenderedPageBreak/>
        <w:t>Table 1</w:t>
      </w:r>
      <w:r w:rsidR="00400D58">
        <w:t>0</w:t>
      </w:r>
      <w:r>
        <w:t xml:space="preserve">. Treatment emergent adverse events (in at least 1% of patients) by system organ class and preferred term, </w:t>
      </w:r>
      <w:r w:rsidR="00956CF0">
        <w:t>s</w:t>
      </w:r>
      <w:r>
        <w:t xml:space="preserve">afety </w:t>
      </w:r>
      <w:r w:rsidR="00956CF0">
        <w:t>a</w:t>
      </w:r>
      <w:r>
        <w:t xml:space="preserve">nalysis </w:t>
      </w:r>
      <w:r w:rsidR="00956CF0">
        <w:t>s</w:t>
      </w:r>
      <w:r>
        <w:t xml:space="preserve">et, </w:t>
      </w:r>
      <w:r w:rsidR="00956CF0">
        <w:t>f</w:t>
      </w:r>
      <w:r>
        <w:t>rom Week 16 to Week 28, all patients</w:t>
      </w:r>
      <w:r w:rsidR="000C4CCD">
        <w:t>.</w:t>
      </w:r>
    </w:p>
    <w:p w14:paraId="4C056B24" w14:textId="6DCCA034" w:rsidR="00C4524E" w:rsidRDefault="00D63BDD" w:rsidP="00C4524E">
      <w:r>
        <w:rPr>
          <w:noProof/>
        </w:rPr>
        <mc:AlternateContent>
          <mc:Choice Requires="wps">
            <w:drawing>
              <wp:anchor distT="0" distB="0" distL="114300" distR="114300" simplePos="0" relativeHeight="251661312" behindDoc="0" locked="0" layoutInCell="1" allowOverlap="1" wp14:anchorId="3187C7A1" wp14:editId="7011A4F2">
                <wp:simplePos x="0" y="0"/>
                <wp:positionH relativeFrom="column">
                  <wp:posOffset>3846830</wp:posOffset>
                </wp:positionH>
                <wp:positionV relativeFrom="paragraph">
                  <wp:posOffset>6019800</wp:posOffset>
                </wp:positionV>
                <wp:extent cx="1409700" cy="152400"/>
                <wp:effectExtent l="0" t="0" r="0" b="0"/>
                <wp:wrapNone/>
                <wp:docPr id="818502621" name="Rectangle 4"/>
                <wp:cNvGraphicFramePr/>
                <a:graphic xmlns:a="http://schemas.openxmlformats.org/drawingml/2006/main">
                  <a:graphicData uri="http://schemas.microsoft.com/office/word/2010/wordprocessingShape">
                    <wps:wsp>
                      <wps:cNvSpPr/>
                      <wps:spPr>
                        <a:xfrm>
                          <a:off x="0" y="0"/>
                          <a:ext cx="1409700"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70CD7" id="Rectangle 4" o:spid="_x0000_s1026" style="position:absolute;margin-left:302.9pt;margin-top:474pt;width:111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" fillcolor="white [3212]" stroked="f" strokeweight="1pt"/>
            </w:pict>
          </mc:Fallback>
        </mc:AlternateContent>
      </w:r>
      <w:r w:rsidR="00C4524E" w:rsidRPr="000230F4">
        <w:rPr>
          <w:noProof/>
        </w:rPr>
        <w:drawing>
          <wp:inline distT="0" distB="0" distL="0" distR="0" wp14:anchorId="2E81ED0F" wp14:editId="7B642A73">
            <wp:extent cx="5293500" cy="6047117"/>
            <wp:effectExtent l="0" t="0" r="2540" b="0"/>
            <wp:docPr id="5" name="Picture 5" descr="Table 10. Treatment emergent adverse events (in at least 1% of patients) by system organ class and preferred term, safety analysis set, from Week 16 to Week 28,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0. Treatment emergent adverse events (in at least 1% of patients) by system organ class and preferred term, safety analysis set, from Week 16 to Week 28, all pati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5463" cy="6049360"/>
                    </a:xfrm>
                    <a:prstGeom prst="rect">
                      <a:avLst/>
                    </a:prstGeom>
                    <a:noFill/>
                    <a:ln>
                      <a:noFill/>
                    </a:ln>
                  </pic:spPr>
                </pic:pic>
              </a:graphicData>
            </a:graphic>
          </wp:inline>
        </w:drawing>
      </w:r>
    </w:p>
    <w:p w14:paraId="2AF415AA" w14:textId="779FED8A" w:rsidR="00C4524E" w:rsidRDefault="00C4524E" w:rsidP="00C4524E">
      <w:r>
        <w:t>There were no deaths recorded from Week 16 to Week 28, and one patient, in the EU</w:t>
      </w:r>
      <w:r w:rsidR="00956CF0">
        <w:noBreakHyphen/>
      </w:r>
      <w:r w:rsidR="00B263C3" w:rsidRPr="00C03974">
        <w:t>Stelara</w:t>
      </w:r>
      <w:r w:rsidRPr="00C03974">
        <w:t>/EU-</w:t>
      </w:r>
      <w:r w:rsidR="00B263C3" w:rsidRPr="00C03974">
        <w:t>Stelara</w:t>
      </w:r>
      <w:r>
        <w:t xml:space="preserve"> treatment group, experienced a serious TEAE, namely anaemia and Vitamin B12 deficiency which was deemed by investigators as not related to the study treatment. In terms of TEAE leading to early termination from the study there was one patient (0.5%) in the AVT04/AVT04 group, 3 patients (1.6%) in the EU-</w:t>
      </w:r>
      <w:r w:rsidR="00B263C3">
        <w:t>Stelara</w:t>
      </w:r>
      <w:r>
        <w:t>/AVT04 group, and 4 patient</w:t>
      </w:r>
      <w:r w:rsidR="00E7512A">
        <w:t>s</w:t>
      </w:r>
      <w:r>
        <w:t xml:space="preserve"> (2.1%) in the EU-</w:t>
      </w:r>
      <w:r w:rsidR="00B263C3">
        <w:t>Stelara</w:t>
      </w:r>
      <w:r>
        <w:t>/EU-</w:t>
      </w:r>
      <w:r w:rsidR="00B263C3">
        <w:t>Stelara</w:t>
      </w:r>
      <w:r>
        <w:t xml:space="preserve"> group; none of these TEAEs were deemed by study investigators as related to study treatments. There were no clinically meaningful changes in laboratory parameters, ECG parameters or vital signs observed from Week 16 to Week 28. Frequency of AESI was lower when compared to Stage 1 of the study, with no AESI reported in the AVT04/AVT04 group, 3 patients (1.6%) reporting an AESI in the EU-</w:t>
      </w:r>
      <w:r w:rsidR="00B263C3">
        <w:t>Stelara</w:t>
      </w:r>
      <w:r>
        <w:t>/AVT04 group, and 2 patients (1.1%) reporting an AESI in the EU-</w:t>
      </w:r>
      <w:r w:rsidR="00B263C3">
        <w:t>Stelara</w:t>
      </w:r>
      <w:r>
        <w:t>/EU-</w:t>
      </w:r>
      <w:r w:rsidR="00B263C3">
        <w:t>Stelara</w:t>
      </w:r>
      <w:r>
        <w:t xml:space="preserve"> group; ISR was the most frequent AESI recorded.</w:t>
      </w:r>
    </w:p>
    <w:p w14:paraId="70EFF472" w14:textId="77777777" w:rsidR="00C4524E" w:rsidRPr="000D38B1" w:rsidRDefault="00C4524E" w:rsidP="00F06ACD">
      <w:pPr>
        <w:pStyle w:val="Heading7"/>
      </w:pPr>
      <w:r w:rsidRPr="000D38B1">
        <w:lastRenderedPageBreak/>
        <w:t>Stage 2: Week 28 to End-of-Study</w:t>
      </w:r>
    </w:p>
    <w:p w14:paraId="4081A383" w14:textId="53482775" w:rsidR="00C4524E" w:rsidRDefault="00C4524E" w:rsidP="00C4524E">
      <w:r>
        <w:t>Overall frequency of TEAEs was higher from Week 28 to end-of-study (</w:t>
      </w:r>
      <w:proofErr w:type="spellStart"/>
      <w:r>
        <w:t>EoS</w:t>
      </w:r>
      <w:proofErr w:type="spellEnd"/>
      <w:r>
        <w:t>) when compared to the earlier part of Stage 2, from Week 16 to Week 28, but lower when compared to Stage 1 of the study. A total of 32 patients (16.6%) reported 49 TEAEs in the AVT04/AVT04 treatment group, 42 patients (21.9%) reported 66 TEAEs in the EU-</w:t>
      </w:r>
      <w:r w:rsidR="00B263C3">
        <w:t>Stelara</w:t>
      </w:r>
      <w:r>
        <w:t>/AVT04 group, and 39 patients (20.6%) reported 49 TEAEs in the EU-</w:t>
      </w:r>
      <w:r w:rsidR="00B263C3">
        <w:t>Stelara</w:t>
      </w:r>
      <w:r>
        <w:t>/EU-</w:t>
      </w:r>
      <w:r w:rsidR="00B263C3">
        <w:t>Stelara</w:t>
      </w:r>
      <w:r>
        <w:t xml:space="preserve"> group. When considered by SOC abnormal investigations was most common in this part of the study, in contrast to earlier parts of the study, with higher rates recorded in both the EU-</w:t>
      </w:r>
      <w:r w:rsidR="00B263C3">
        <w:t>Stelara</w:t>
      </w:r>
      <w:r>
        <w:t>/AVT04 group (22 patients, 12%) and EU-</w:t>
      </w:r>
      <w:r w:rsidR="00B263C3">
        <w:t>Stelara</w:t>
      </w:r>
      <w:r>
        <w:t>/EU-</w:t>
      </w:r>
      <w:r w:rsidR="00B263C3">
        <w:t>Stelara</w:t>
      </w:r>
      <w:r>
        <w:t xml:space="preserve"> group (20 patients, 10.9%), compared to the AVT04/AVT04 group (9</w:t>
      </w:r>
      <w:r w:rsidR="00891EE9">
        <w:t> </w:t>
      </w:r>
      <w:r>
        <w:t xml:space="preserve">patients, 4.7%). Overall TEAEs from study Week 28 to </w:t>
      </w:r>
      <w:proofErr w:type="spellStart"/>
      <w:r>
        <w:t>EoS</w:t>
      </w:r>
      <w:proofErr w:type="spellEnd"/>
      <w:r>
        <w:t xml:space="preserve"> are summarised in Table 1</w:t>
      </w:r>
      <w:r w:rsidR="00924C38">
        <w:t>1</w:t>
      </w:r>
      <w:r>
        <w:t>. The majority of TEAEs were categorised as mild or moderate. Three patients in the AVT04/AVT04 group experienced severe TEAEs, including increased blood creatine phosphokinase, increased blood triglycerides, thrombosis, and anaemia with vitamin B12 deficiency, none of which were deemed related to the study treatment by investigators. In the EU-</w:t>
      </w:r>
      <w:r w:rsidR="00B263C3">
        <w:t>Stelara</w:t>
      </w:r>
      <w:r>
        <w:t>/AVT04 group two patients experienced severe TEAEs, increased blood creatine phosphokinase and COVID-19 infection, neither of which was assessed as related to study treatments.</w:t>
      </w:r>
    </w:p>
    <w:p w14:paraId="40D21EB6" w14:textId="37D98962" w:rsidR="00C4524E" w:rsidRPr="00795B57" w:rsidRDefault="00C4524E" w:rsidP="00487AAC">
      <w:pPr>
        <w:pStyle w:val="TableTitle"/>
      </w:pPr>
      <w:r>
        <w:t>Table 1</w:t>
      </w:r>
      <w:r w:rsidR="00924C38">
        <w:t>1</w:t>
      </w:r>
      <w:r>
        <w:t xml:space="preserve">. Treatment emergent adverse events (in at least 1% of patients) by system organ class and preferred term, </w:t>
      </w:r>
      <w:r w:rsidR="00891EE9">
        <w:t>s</w:t>
      </w:r>
      <w:r>
        <w:t xml:space="preserve">afety </w:t>
      </w:r>
      <w:r w:rsidR="00891EE9">
        <w:t>a</w:t>
      </w:r>
      <w:r>
        <w:t xml:space="preserve">nalysis </w:t>
      </w:r>
      <w:r w:rsidR="00891EE9">
        <w:t>s</w:t>
      </w:r>
      <w:r>
        <w:t>et, from Week 28 to End of Study, all patients.</w:t>
      </w:r>
    </w:p>
    <w:p w14:paraId="57F105F4" w14:textId="1E74A9AB" w:rsidR="00C4524E" w:rsidRDefault="00EB33F2" w:rsidP="00487AAC">
      <w:r>
        <w:rPr>
          <w:noProof/>
        </w:rPr>
        <mc:AlternateContent>
          <mc:Choice Requires="wps">
            <w:drawing>
              <wp:anchor distT="0" distB="0" distL="114300" distR="114300" simplePos="0" relativeHeight="251667456" behindDoc="0" locked="0" layoutInCell="1" allowOverlap="1" wp14:anchorId="7C9DC6D4" wp14:editId="4E086D1D">
                <wp:simplePos x="0" y="0"/>
                <wp:positionH relativeFrom="column">
                  <wp:posOffset>1842770</wp:posOffset>
                </wp:positionH>
                <wp:positionV relativeFrom="paragraph">
                  <wp:posOffset>6240145</wp:posOffset>
                </wp:positionV>
                <wp:extent cx="2773680" cy="129540"/>
                <wp:effectExtent l="0" t="0" r="7620" b="3810"/>
                <wp:wrapNone/>
                <wp:docPr id="944164234" name="Rectangle 5"/>
                <wp:cNvGraphicFramePr/>
                <a:graphic xmlns:a="http://schemas.openxmlformats.org/drawingml/2006/main">
                  <a:graphicData uri="http://schemas.microsoft.com/office/word/2010/wordprocessingShape">
                    <wps:wsp>
                      <wps:cNvSpPr/>
                      <wps:spPr>
                        <a:xfrm>
                          <a:off x="0" y="0"/>
                          <a:ext cx="277368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F2F02" id="Rectangle 5" o:spid="_x0000_s1026" style="position:absolute;margin-left:145.1pt;margin-top:491.35pt;width:218.4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" fillcolor="white [3212]" stroked="f" strokeweight="1pt"/>
            </w:pict>
          </mc:Fallback>
        </mc:AlternateContent>
      </w:r>
      <w:r w:rsidR="00C4524E" w:rsidRPr="00795B57">
        <w:rPr>
          <w:noProof/>
        </w:rPr>
        <w:drawing>
          <wp:inline distT="0" distB="0" distL="0" distR="0" wp14:anchorId="6DF30D53" wp14:editId="4FE796CA">
            <wp:extent cx="4244196" cy="4918960"/>
            <wp:effectExtent l="0" t="0" r="4445" b="0"/>
            <wp:docPr id="7" name="Picture 7" descr="Table 11. Treatment emergent adverse events (in at least 1% of patients) by system organ class and preferred term, safety analysis set, from Week 28 to End of Study,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11. Treatment emergent adverse events (in at least 1% of patients) by system organ class and preferred term, safety analysis set, from Week 28 to End of Study, all patien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0903" cy="4926733"/>
                    </a:xfrm>
                    <a:prstGeom prst="rect">
                      <a:avLst/>
                    </a:prstGeom>
                    <a:noFill/>
                    <a:ln>
                      <a:noFill/>
                    </a:ln>
                  </pic:spPr>
                </pic:pic>
              </a:graphicData>
            </a:graphic>
          </wp:inline>
        </w:drawing>
      </w:r>
    </w:p>
    <w:p w14:paraId="7ABD09E8" w14:textId="77777777" w:rsidR="00487AAC" w:rsidRDefault="00C4524E" w:rsidP="00C4524E">
      <w:r>
        <w:t xml:space="preserve">There were no deaths recorded from Week 28 to </w:t>
      </w:r>
      <w:proofErr w:type="spellStart"/>
      <w:r>
        <w:t>EoS</w:t>
      </w:r>
      <w:proofErr w:type="spellEnd"/>
      <w:r>
        <w:t>, and one patient in each group had a serious TEAE recorded, intervertebral disc protrusion in the AVT04/AVT04 group, lower respiratory tract infection in the EU-</w:t>
      </w:r>
      <w:r w:rsidR="00B263C3">
        <w:t>Stelara</w:t>
      </w:r>
      <w:r>
        <w:t xml:space="preserve">/AVT04 group, and otosclerosis in the </w:t>
      </w:r>
      <w:r>
        <w:lastRenderedPageBreak/>
        <w:t>EU</w:t>
      </w:r>
      <w:r w:rsidR="00926852">
        <w:noBreakHyphen/>
      </w:r>
      <w:r w:rsidR="00B263C3">
        <w:t>Stelara</w:t>
      </w:r>
      <w:r>
        <w:t>/EU-</w:t>
      </w:r>
      <w:r w:rsidR="00B263C3">
        <w:t>Stelara</w:t>
      </w:r>
      <w:r>
        <w:t xml:space="preserve"> group, none of which were considered by investigators as related to study treatment. One patient in the EU-</w:t>
      </w:r>
      <w:r w:rsidR="00B263C3">
        <w:t>Stelara</w:t>
      </w:r>
      <w:r>
        <w:t>/EU-</w:t>
      </w:r>
      <w:r w:rsidR="00B263C3">
        <w:t>Stelara</w:t>
      </w:r>
      <w:r>
        <w:t xml:space="preserve"> group reported two TEAEs that led to early termination of the study, neither of which were deemed serious TEAEs. Abnormal laboratory parameters in this phase of the study are captured in Table 11, and there were no clinically meaningful changes in ECG parameters or vital signs. </w:t>
      </w:r>
    </w:p>
    <w:p w14:paraId="0E431B3E" w14:textId="0F95A3E4" w:rsidR="00C4524E" w:rsidRPr="00BB3D1E" w:rsidRDefault="00C4524E" w:rsidP="00C4524E">
      <w:r>
        <w:t>There were no patients in the AVT04/AVT04 group reporting an AESI, 3 patients (1.6%) in the EU-</w:t>
      </w:r>
      <w:r w:rsidR="00B263C3">
        <w:t>Stelara</w:t>
      </w:r>
      <w:r>
        <w:t>/AVT04 group, and 2</w:t>
      </w:r>
      <w:r w:rsidR="00487AAC">
        <w:t xml:space="preserve"> </w:t>
      </w:r>
      <w:r>
        <w:t>patients (1.1%) in the EU-</w:t>
      </w:r>
      <w:r w:rsidR="00B263C3">
        <w:t>Stelara</w:t>
      </w:r>
      <w:r>
        <w:t>/EU-</w:t>
      </w:r>
      <w:r w:rsidR="00B263C3">
        <w:t>Stelara</w:t>
      </w:r>
      <w:r>
        <w:t xml:space="preserve"> group, predominantly constituting mild ISRs.</w:t>
      </w:r>
    </w:p>
    <w:p w14:paraId="3F78C163" w14:textId="1E79023C" w:rsidR="00C4524E" w:rsidRDefault="00032B6E" w:rsidP="00EB7763">
      <w:pPr>
        <w:pStyle w:val="Heading5"/>
      </w:pPr>
      <w:r>
        <w:t>I</w:t>
      </w:r>
      <w:r w:rsidR="00C4524E" w:rsidRPr="0028715F">
        <w:t>mmunogenicit</w:t>
      </w:r>
      <w:r w:rsidR="002070B8">
        <w:t>y</w:t>
      </w:r>
    </w:p>
    <w:p w14:paraId="169FBEB8" w14:textId="01153D46" w:rsidR="00C4524E" w:rsidRDefault="00C4524E" w:rsidP="00B84BE2">
      <w:pPr>
        <w:pStyle w:val="Heading6"/>
      </w:pPr>
      <w:r>
        <w:t>Study AVT04-GL-101</w:t>
      </w:r>
      <w:r w:rsidR="00553922" w:rsidRPr="00553922">
        <w:rPr>
          <w:vertAlign w:val="superscript"/>
        </w:rPr>
        <w:t>9</w:t>
      </w:r>
    </w:p>
    <w:p w14:paraId="096464D3" w14:textId="7F2E9547" w:rsidR="00C4524E" w:rsidRDefault="00C4524E" w:rsidP="00C4524E">
      <w:r>
        <w:t>Serum samples for immunogenicity assessment were collected at study Day 1 (pre-dose and post-dose), Day 9, Day 15, Day 29, Day 57, Day 78 and Day 92/</w:t>
      </w:r>
      <w:proofErr w:type="spellStart"/>
      <w:r>
        <w:t>EoS</w:t>
      </w:r>
      <w:proofErr w:type="spellEnd"/>
      <w:r>
        <w:t xml:space="preserve">. Samples were screened for antibodies binding to </w:t>
      </w:r>
      <w:proofErr w:type="spellStart"/>
      <w:r>
        <w:t>ustekinumab</w:t>
      </w:r>
      <w:proofErr w:type="spellEnd"/>
      <w:r>
        <w:t xml:space="preserve"> in AVT04, EU-</w:t>
      </w:r>
      <w:r w:rsidR="00B263C3">
        <w:t>Stelara</w:t>
      </w:r>
      <w:r>
        <w:t xml:space="preserve"> and US-</w:t>
      </w:r>
      <w:r w:rsidR="00B263C3">
        <w:t>Stelara</w:t>
      </w:r>
      <w:r>
        <w:t xml:space="preserve">, and samples positive for antibodies further assessed for the ability of antibodies to neutralise the study treatment. Serum </w:t>
      </w:r>
      <w:proofErr w:type="spellStart"/>
      <w:r>
        <w:t>ustekinumab</w:t>
      </w:r>
      <w:proofErr w:type="spellEnd"/>
      <w:r>
        <w:t xml:space="preserve"> concentration was also reported to assist in interpretation of antibody data.</w:t>
      </w:r>
    </w:p>
    <w:p w14:paraId="6B7CAD2B" w14:textId="3FB7A424" w:rsidR="00C4524E" w:rsidRDefault="00C4524E" w:rsidP="00C4524E">
      <w:r>
        <w:t>Detection of ADAs progressively increased throughout the study with highest positivity rates seen at Day 92/</w:t>
      </w:r>
      <w:proofErr w:type="spellStart"/>
      <w:r>
        <w:t>EoS</w:t>
      </w:r>
      <w:proofErr w:type="spellEnd"/>
      <w:r>
        <w:t>, with 27 patients (27.6%) in the AVT04 group, 48 patients (48.5%) in the EU-</w:t>
      </w:r>
      <w:r w:rsidR="00B263C3">
        <w:t>Stelara</w:t>
      </w:r>
      <w:r>
        <w:t xml:space="preserve"> group and 44 patients (45.4%) in the US-</w:t>
      </w:r>
      <w:r w:rsidR="00B263C3">
        <w:t>Stelara</w:t>
      </w:r>
      <w:r>
        <w:t xml:space="preserve"> group positive at </w:t>
      </w:r>
      <w:proofErr w:type="spellStart"/>
      <w:r>
        <w:t>EoS</w:t>
      </w:r>
      <w:proofErr w:type="spellEnd"/>
      <w:r>
        <w:t xml:space="preserve">. Rate of antibody positivity was lower in the AVT04 group at each study time point compared to the other treatment groups. Similar trends, though lower frequencies, were observed for </w:t>
      </w:r>
      <w:proofErr w:type="spellStart"/>
      <w:r>
        <w:t>NAbs</w:t>
      </w:r>
      <w:proofErr w:type="spellEnd"/>
      <w:r>
        <w:t>. These results are summarised in Table 1</w:t>
      </w:r>
      <w:r w:rsidR="00924C38">
        <w:t>2</w:t>
      </w:r>
      <w:r>
        <w:t>.</w:t>
      </w:r>
    </w:p>
    <w:p w14:paraId="290C4581" w14:textId="36BF0734" w:rsidR="00C4524E" w:rsidRDefault="00C4524E" w:rsidP="00487AAC">
      <w:pPr>
        <w:pStyle w:val="TableTitle"/>
      </w:pPr>
      <w:r>
        <w:t>Table 1</w:t>
      </w:r>
      <w:r w:rsidR="00924C38">
        <w:t>2</w:t>
      </w:r>
      <w:r>
        <w:t xml:space="preserve">. Summary of detection of antidrug antibodies and neutralising antibodies, </w:t>
      </w:r>
      <w:r w:rsidR="00242A03">
        <w:t>i</w:t>
      </w:r>
      <w:r>
        <w:t>mmunogenicity population.</w:t>
      </w:r>
      <w:r w:rsidR="003B2AD9" w:rsidRPr="003B2AD9">
        <w:rPr>
          <w:vertAlign w:val="superscript"/>
        </w:rPr>
        <w:t>9</w:t>
      </w:r>
    </w:p>
    <w:p w14:paraId="51D710DA" w14:textId="22F6C1D3" w:rsidR="003B2AD9" w:rsidRDefault="003B2AD9" w:rsidP="00C4524E">
      <w:pPr>
        <w:rPr>
          <w:b/>
          <w:bCs/>
        </w:rPr>
      </w:pPr>
      <w:r w:rsidRPr="003B2AD9">
        <w:rPr>
          <w:b/>
          <w:bCs/>
          <w:noProof/>
        </w:rPr>
        <w:drawing>
          <wp:inline distT="0" distB="0" distL="0" distR="0" wp14:anchorId="6F76920B" wp14:editId="64BFF43C">
            <wp:extent cx="5279366" cy="2636773"/>
            <wp:effectExtent l="0" t="0" r="0" b="0"/>
            <wp:docPr id="1256897426" name="Picture 1" descr="Table 12. Summary of detection of antidrug antibodies and neutralising antibodies,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97426" name="Picture 1" descr="Table 12. Summary of detection of antidrug antibodies and neutralising antibodies, immunogenicity population."/>
                    <pic:cNvPicPr/>
                  </pic:nvPicPr>
                  <pic:blipFill>
                    <a:blip r:embed="rId39"/>
                    <a:stretch>
                      <a:fillRect/>
                    </a:stretch>
                  </pic:blipFill>
                  <pic:spPr>
                    <a:xfrm>
                      <a:off x="0" y="0"/>
                      <a:ext cx="5295432" cy="2644797"/>
                    </a:xfrm>
                    <a:prstGeom prst="rect">
                      <a:avLst/>
                    </a:prstGeom>
                  </pic:spPr>
                </pic:pic>
              </a:graphicData>
            </a:graphic>
          </wp:inline>
        </w:drawing>
      </w:r>
    </w:p>
    <w:p w14:paraId="639E4B53" w14:textId="5DDF46D3" w:rsidR="00C4524E" w:rsidRDefault="003B2AD9" w:rsidP="00C4524E">
      <w:r>
        <w:t>S</w:t>
      </w:r>
      <w:r w:rsidR="00C4524E">
        <w:t xml:space="preserve">ubgroup analysis of PK parameters based on </w:t>
      </w:r>
      <w:r w:rsidR="00C4524E" w:rsidRPr="00EB7763">
        <w:t xml:space="preserve">presence of ADAs and </w:t>
      </w:r>
      <w:proofErr w:type="spellStart"/>
      <w:r w:rsidR="00C4524E" w:rsidRPr="00EB7763">
        <w:t>NAbs</w:t>
      </w:r>
      <w:proofErr w:type="spellEnd"/>
      <w:r w:rsidR="00C4524E" w:rsidRPr="00EB7763">
        <w:t xml:space="preserve"> was performed with the caveat that low sample sizes within subgroups warrants caution in interpreting results, and results were considered exploratory in nature. In the ADA positive subgroup, which included 36 in the AVT04 group, 58 in the EU-</w:t>
      </w:r>
      <w:r w:rsidR="00B263C3" w:rsidRPr="00EB7763">
        <w:t>Stelara</w:t>
      </w:r>
      <w:r w:rsidR="00C4524E" w:rsidRPr="00EB7763">
        <w:t xml:space="preserve"> group, and 52 in the US-</w:t>
      </w:r>
      <w:r w:rsidR="00B263C3" w:rsidRPr="00EB7763">
        <w:t>Stelara</w:t>
      </w:r>
      <w:r w:rsidR="00C4524E" w:rsidRPr="00EB7763">
        <w:t xml:space="preserve"> group, geometric means of the systemic exposure PK parameters C</w:t>
      </w:r>
      <w:r w:rsidR="00C4524E" w:rsidRPr="00EB7763">
        <w:rPr>
          <w:vertAlign w:val="subscript"/>
        </w:rPr>
        <w:t>max</w:t>
      </w:r>
      <w:r w:rsidR="00C4524E" w:rsidRPr="00EB7763">
        <w:t>, AUC</w:t>
      </w:r>
      <w:r w:rsidR="00C4524E" w:rsidRPr="00EB7763">
        <w:rPr>
          <w:vertAlign w:val="subscript"/>
        </w:rPr>
        <w:t>0-t</w:t>
      </w:r>
      <w:r w:rsidR="00C4524E" w:rsidRPr="00EB7763">
        <w:t>, and AUC</w:t>
      </w:r>
      <w:r w:rsidR="00C4524E" w:rsidRPr="00EB7763">
        <w:rPr>
          <w:vertAlign w:val="subscript"/>
        </w:rPr>
        <w:t xml:space="preserve">0-inf </w:t>
      </w:r>
      <w:r w:rsidR="00C4524E" w:rsidRPr="00EB7763">
        <w:t>were lower compared to the ADA negative subgroup, and t</w:t>
      </w:r>
      <w:r w:rsidR="00C4524E" w:rsidRPr="00EB7763">
        <w:rPr>
          <w:vertAlign w:val="subscript"/>
        </w:rPr>
        <w:t>1/2</w:t>
      </w:r>
      <w:r w:rsidR="00C4524E" w:rsidRPr="00EB7763">
        <w:t xml:space="preserve"> was also lower. The magnitude of difference in systemic exposure PK parameters between ADA positive and ADA negative subgroups was similar within each treatment group. Illustrating these findings for the</w:t>
      </w:r>
      <w:r w:rsidR="00C4524E">
        <w:t xml:space="preserve"> AVT04 treatment group are Table 1</w:t>
      </w:r>
      <w:r w:rsidR="003E0CA8">
        <w:t>3</w:t>
      </w:r>
      <w:r w:rsidR="00C4524E">
        <w:t xml:space="preserve">, which presents PK parameters for the ADA positive subgroup of the AVT04 treatment group, </w:t>
      </w:r>
      <w:r w:rsidR="00C4524E">
        <w:lastRenderedPageBreak/>
        <w:t>and Table 1</w:t>
      </w:r>
      <w:r w:rsidR="003E0CA8">
        <w:t>4</w:t>
      </w:r>
      <w:r w:rsidR="00C4524E">
        <w:t xml:space="preserve">, which presents PK parameters for the ADA negative subgroup, allowing comparison between the subgroups. Interpretation of systemic exposure PK parameters in </w:t>
      </w:r>
      <w:proofErr w:type="spellStart"/>
      <w:r w:rsidR="00C4524E">
        <w:t>NAb</w:t>
      </w:r>
      <w:proofErr w:type="spellEnd"/>
      <w:r w:rsidR="00C4524E">
        <w:t xml:space="preserve"> subgroups was hampered by small sample sizes and outlier results.</w:t>
      </w:r>
    </w:p>
    <w:p w14:paraId="4ABC8EC3" w14:textId="4C6C8FFD" w:rsidR="00C4524E" w:rsidRPr="00BD49E2" w:rsidRDefault="00C4524E" w:rsidP="00487AAC">
      <w:pPr>
        <w:pStyle w:val="TableTitle"/>
      </w:pPr>
      <w:r>
        <w:t>Table 1</w:t>
      </w:r>
      <w:r w:rsidR="003E0CA8">
        <w:t>3</w:t>
      </w:r>
      <w:r>
        <w:t xml:space="preserve">. Summary of dose-adjusted serum </w:t>
      </w:r>
      <w:proofErr w:type="spellStart"/>
      <w:r>
        <w:t>ustekinumab</w:t>
      </w:r>
      <w:proofErr w:type="spellEnd"/>
      <w:r>
        <w:t xml:space="preserve"> pharmacokinetic parameters, AVT04 treatment group, antidrug antibody positive subgroup.</w:t>
      </w:r>
    </w:p>
    <w:p w14:paraId="3EBDAB74" w14:textId="77777777" w:rsidR="00C4524E" w:rsidRDefault="00C4524E" w:rsidP="00C4524E">
      <w:r w:rsidRPr="00BD49E2">
        <w:rPr>
          <w:noProof/>
        </w:rPr>
        <w:drawing>
          <wp:inline distT="0" distB="0" distL="0" distR="0" wp14:anchorId="095195AA" wp14:editId="4F1542B6">
            <wp:extent cx="5116301" cy="1777042"/>
            <wp:effectExtent l="0" t="0" r="8255" b="0"/>
            <wp:docPr id="8" name="Picture 8" descr="Table 13. Summary of dose-adjusted serum ustekinumab pharmacokinetic parameters, AVT04 treatment group, antidrug antibody positive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3. Summary of dose-adjusted serum ustekinumab pharmacokinetic parameters, AVT04 treatment group, antidrug antibody positive subgrou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7016" cy="1780764"/>
                    </a:xfrm>
                    <a:prstGeom prst="rect">
                      <a:avLst/>
                    </a:prstGeom>
                    <a:noFill/>
                    <a:ln>
                      <a:noFill/>
                    </a:ln>
                  </pic:spPr>
                </pic:pic>
              </a:graphicData>
            </a:graphic>
          </wp:inline>
        </w:drawing>
      </w:r>
    </w:p>
    <w:p w14:paraId="651B0E80" w14:textId="5B398DFE" w:rsidR="00C4524E" w:rsidRPr="0041058F" w:rsidRDefault="00C4524E" w:rsidP="00487AAC">
      <w:pPr>
        <w:pStyle w:val="TableTitle"/>
      </w:pPr>
      <w:r>
        <w:t>Table 1</w:t>
      </w:r>
      <w:r w:rsidR="003E0CA8">
        <w:t>4</w:t>
      </w:r>
      <w:r>
        <w:t xml:space="preserve">. Summary of dose-adjusted serum </w:t>
      </w:r>
      <w:proofErr w:type="spellStart"/>
      <w:r>
        <w:t>ustekinumab</w:t>
      </w:r>
      <w:proofErr w:type="spellEnd"/>
      <w:r>
        <w:t xml:space="preserve"> pharmacokinetic parameters, AVT04 treatment group, antidrug antibody negative subgroup.</w:t>
      </w:r>
    </w:p>
    <w:p w14:paraId="5A082767" w14:textId="77777777" w:rsidR="00C4524E" w:rsidRDefault="00C4524E" w:rsidP="00C4524E">
      <w:pPr>
        <w:rPr>
          <w:i/>
          <w:iCs/>
          <w:sz w:val="18"/>
          <w:szCs w:val="18"/>
        </w:rPr>
      </w:pPr>
      <w:r w:rsidRPr="0041058F">
        <w:rPr>
          <w:i/>
          <w:iCs/>
          <w:noProof/>
          <w:sz w:val="18"/>
          <w:szCs w:val="18"/>
        </w:rPr>
        <w:drawing>
          <wp:inline distT="0" distB="0" distL="0" distR="0" wp14:anchorId="5A3DFF21" wp14:editId="1CB60E5A">
            <wp:extent cx="5476575" cy="1811547"/>
            <wp:effectExtent l="0" t="0" r="0" b="0"/>
            <wp:docPr id="9" name="Picture 9" descr="Table 14. Summary of dose-adjusted serum ustekinumab pharmacokinetic parameters, AVT04 treatment group, antidrug antibody negative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14. Summary of dose-adjusted serum ustekinumab pharmacokinetic parameters, AVT04 treatment group, antidrug antibody negative sub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2482" cy="1820116"/>
                    </a:xfrm>
                    <a:prstGeom prst="rect">
                      <a:avLst/>
                    </a:prstGeom>
                    <a:noFill/>
                    <a:ln>
                      <a:noFill/>
                    </a:ln>
                  </pic:spPr>
                </pic:pic>
              </a:graphicData>
            </a:graphic>
          </wp:inline>
        </w:drawing>
      </w:r>
    </w:p>
    <w:p w14:paraId="1101655E" w14:textId="77777777" w:rsidR="000C4CCD" w:rsidRDefault="00C4524E" w:rsidP="00C4524E">
      <w:r>
        <w:t xml:space="preserve">Safety analysis by ADA and </w:t>
      </w:r>
      <w:proofErr w:type="spellStart"/>
      <w:r>
        <w:t>NAb</w:t>
      </w:r>
      <w:proofErr w:type="spellEnd"/>
      <w:r>
        <w:t xml:space="preserve"> status was undertaken, however, results were subject to small sample sizes in subgroups and low absolute numbers of TEAEs in each subgroup. Given this, the clinical evaluat</w:t>
      </w:r>
      <w:r w:rsidR="004D0F4D">
        <w:t>ion</w:t>
      </w:r>
      <w:r>
        <w:t xml:space="preserve"> concluded that imbalances in TEAEs between subgroups were likely due to chance, and that there were no major identifiable differences in safety noted between subgroups</w:t>
      </w:r>
      <w:r w:rsidR="000C4CCD">
        <w:t>.</w:t>
      </w:r>
    </w:p>
    <w:p w14:paraId="14D0B3D6" w14:textId="6ED6866D" w:rsidR="00C4524E" w:rsidRDefault="00C4524E" w:rsidP="00B84BE2">
      <w:pPr>
        <w:pStyle w:val="Heading6"/>
      </w:pPr>
      <w:r>
        <w:t>Study AVT04-GL-301</w:t>
      </w:r>
      <w:r w:rsidR="00553922" w:rsidRPr="00553922">
        <w:rPr>
          <w:vertAlign w:val="superscript"/>
        </w:rPr>
        <w:t>10</w:t>
      </w:r>
    </w:p>
    <w:p w14:paraId="1915A148" w14:textId="77777777" w:rsidR="000C4CCD" w:rsidRDefault="00C4524E" w:rsidP="00C4524E">
      <w:r>
        <w:t>Pre-dose serum samples were collected to assess for ADAs at Weeks 4, 12, 16, 28, 40 (End-of-treatment) and 52 (</w:t>
      </w:r>
      <w:proofErr w:type="spellStart"/>
      <w:r>
        <w:t>EoS</w:t>
      </w:r>
      <w:proofErr w:type="spellEnd"/>
      <w:r>
        <w:t xml:space="preserve">), with positive results further characterised by titre and neutralising capacity. Overall, in Stage 1 of the study up to Week 16, 49 patients (25.4%) in the AVT04 group had binding ADAs, of which 13 patients had </w:t>
      </w:r>
      <w:proofErr w:type="spellStart"/>
      <w:r>
        <w:t>NAbs</w:t>
      </w:r>
      <w:proofErr w:type="spellEnd"/>
      <w:r>
        <w:t>, while 184 patients (48.2%) in the EU-</w:t>
      </w:r>
      <w:r w:rsidR="00B263C3">
        <w:t>Stelara</w:t>
      </w:r>
      <w:r>
        <w:t xml:space="preserve"> group had ADAs, of which 57 patients had </w:t>
      </w:r>
      <w:proofErr w:type="spellStart"/>
      <w:r>
        <w:t>NAbs</w:t>
      </w:r>
      <w:proofErr w:type="spellEnd"/>
      <w:r w:rsidR="000C4CCD">
        <w:t>.</w:t>
      </w:r>
    </w:p>
    <w:p w14:paraId="007ED60A" w14:textId="77777777" w:rsidR="000C4CCD" w:rsidRDefault="00C4524E" w:rsidP="00C4524E">
      <w:r>
        <w:t xml:space="preserve">In Stage 2 it was noted that frequency of binding ADAs decreased over time in all treatment groups. Trends in </w:t>
      </w:r>
      <w:proofErr w:type="spellStart"/>
      <w:r>
        <w:t>NAbs</w:t>
      </w:r>
      <w:proofErr w:type="spellEnd"/>
      <w:r>
        <w:t xml:space="preserve"> differed slightly, remaining largely stable in the AVT04/AVT04 and EU</w:t>
      </w:r>
      <w:r w:rsidR="002E5247">
        <w:noBreakHyphen/>
      </w:r>
      <w:r w:rsidR="00B263C3">
        <w:t>Stelara</w:t>
      </w:r>
      <w:r>
        <w:t>/EU-</w:t>
      </w:r>
      <w:r w:rsidR="00B263C3">
        <w:t>Stelara</w:t>
      </w:r>
      <w:r>
        <w:t xml:space="preserve"> groups, and declining between study Week 16 and Week 52 in the EU</w:t>
      </w:r>
      <w:r w:rsidR="002E5247">
        <w:noBreakHyphen/>
      </w:r>
      <w:r w:rsidR="00B263C3">
        <w:t>Stelara</w:t>
      </w:r>
      <w:r>
        <w:t>/AVT04 group</w:t>
      </w:r>
      <w:r w:rsidR="000C4CCD">
        <w:t>.</w:t>
      </w:r>
    </w:p>
    <w:p w14:paraId="418CEB52" w14:textId="223FB13B" w:rsidR="00C4524E" w:rsidRDefault="00C4524E" w:rsidP="00C4524E">
      <w:r>
        <w:t xml:space="preserve">As discussed above under ‘Efficacy’, subgroup analysis for the primary endpoint, percent improvement in PASI from Baseline to Week 12, showed that the 95% CI of LS means difference for the </w:t>
      </w:r>
      <w:proofErr w:type="spellStart"/>
      <w:r>
        <w:t>NAb</w:t>
      </w:r>
      <w:proofErr w:type="spellEnd"/>
      <w:r>
        <w:t xml:space="preserve"> positive subgroup fell just outside the prespecified margins for clinical similarity of</w:t>
      </w:r>
      <w:r w:rsidR="00E04419">
        <w:t xml:space="preserve"> </w:t>
      </w:r>
      <w:r w:rsidR="007F0504">
        <w:noBreakHyphen/>
        <w:t>1</w:t>
      </w:r>
      <w:r>
        <w:t xml:space="preserve">5% to 15%, with the 95% CI being -15.7 to 15.81. The sponsor contended that this result was not clinically relevant, given the low sample size of the subgroups (11 patients in the AVT04 </w:t>
      </w:r>
      <w:r>
        <w:lastRenderedPageBreak/>
        <w:t>group and 51 patients in the EU-</w:t>
      </w:r>
      <w:r w:rsidR="00B263C3">
        <w:t>Stelara</w:t>
      </w:r>
      <w:r>
        <w:t xml:space="preserve"> group), the fact that the result fell only marginally outside the margin for clinical similarity, and by week 16 the 95% CI was fully contained within the margins (-12.24, 12.55). The clinical evaluat</w:t>
      </w:r>
      <w:r w:rsidR="007F0504">
        <w:t>ion c</w:t>
      </w:r>
      <w:r>
        <w:t xml:space="preserve">onsidered this justification acceptable. The investigators concluded, based on results of efficacy endpoints up to Week 16 and </w:t>
      </w:r>
      <w:proofErr w:type="spellStart"/>
      <w:r>
        <w:t>EoS</w:t>
      </w:r>
      <w:proofErr w:type="spellEnd"/>
      <w:r>
        <w:t xml:space="preserve">, the observed difference in frequency of ADAs and </w:t>
      </w:r>
      <w:proofErr w:type="spellStart"/>
      <w:r>
        <w:t>NAbs</w:t>
      </w:r>
      <w:proofErr w:type="spellEnd"/>
      <w:r>
        <w:t xml:space="preserve"> between treatment groups did not seem to meaningfully impact efficacy.</w:t>
      </w:r>
    </w:p>
    <w:p w14:paraId="562C8F71" w14:textId="38C6B8A4" w:rsidR="00C4524E" w:rsidRPr="00B80854" w:rsidRDefault="00C4524E" w:rsidP="00C4524E">
      <w:r>
        <w:t xml:space="preserve">Analysis of safety according to ADA and </w:t>
      </w:r>
      <w:proofErr w:type="spellStart"/>
      <w:r>
        <w:t>NAb</w:t>
      </w:r>
      <w:proofErr w:type="spellEnd"/>
      <w:r>
        <w:t xml:space="preserve"> subgroups was undertaken, though similarly subject to limitations of small sample sizes in subgroups, and low overall frequency of TEAEs. Overall, the clinical evaluat</w:t>
      </w:r>
      <w:r w:rsidR="00B667B2">
        <w:t>ion</w:t>
      </w:r>
      <w:r>
        <w:t xml:space="preserve"> concluded that the frequency of TEAEs did not significantly differ between subgroups, and that particularly for </w:t>
      </w:r>
      <w:proofErr w:type="spellStart"/>
      <w:r>
        <w:t>NAb</w:t>
      </w:r>
      <w:proofErr w:type="spellEnd"/>
      <w:r>
        <w:t xml:space="preserve"> positive and negative subgroups, that imbalances in TEAEs could likely be explained by chance relating to small sample sizes. The investigators concluded that, within the limitations noted, ADA and </w:t>
      </w:r>
      <w:proofErr w:type="spellStart"/>
      <w:r>
        <w:t>NAb</w:t>
      </w:r>
      <w:proofErr w:type="spellEnd"/>
      <w:r>
        <w:t xml:space="preserve"> status did not appear to impact safety in a clinically meaningful way.</w:t>
      </w:r>
    </w:p>
    <w:p w14:paraId="0687B60D" w14:textId="3EE66D2A" w:rsidR="00C4524E" w:rsidRPr="00B84BE2" w:rsidRDefault="00C4524E" w:rsidP="00B84BE2">
      <w:pPr>
        <w:pStyle w:val="Heading5"/>
      </w:pPr>
      <w:r w:rsidRPr="00B84BE2">
        <w:t xml:space="preserve">Other- </w:t>
      </w:r>
      <w:r w:rsidR="00487AAC">
        <w:t>e</w:t>
      </w:r>
      <w:r w:rsidRPr="00B84BE2">
        <w:t>xtrapolation to other indications</w:t>
      </w:r>
    </w:p>
    <w:p w14:paraId="1F5FB597" w14:textId="7806A421" w:rsidR="00C4524E" w:rsidRDefault="00C4524E" w:rsidP="00C4524E">
      <w:r>
        <w:t>The dossier did not include clinical studies relating to psoriatic arthritis, which is sought as a therapeutic indication, therefore use of U</w:t>
      </w:r>
      <w:r w:rsidR="00745F12">
        <w:t>teknix</w:t>
      </w:r>
      <w:r>
        <w:t xml:space="preserve"> in this indication requires extrapolation. The sponsor has provided the following justification in support of extrapolation:</w:t>
      </w:r>
    </w:p>
    <w:p w14:paraId="35C6236B" w14:textId="5B43ADA6" w:rsidR="00C4524E" w:rsidRPr="00BE6B4D" w:rsidRDefault="00C4524E" w:rsidP="00BE6B4D">
      <w:pPr>
        <w:pStyle w:val="ListBullet"/>
      </w:pPr>
      <w:r w:rsidRPr="00BE6B4D">
        <w:t xml:space="preserve">Common mechanism of action; the effect of </w:t>
      </w:r>
      <w:proofErr w:type="spellStart"/>
      <w:r w:rsidRPr="00BE6B4D">
        <w:t>ustekinumab</w:t>
      </w:r>
      <w:proofErr w:type="spellEnd"/>
      <w:r w:rsidRPr="00BE6B4D">
        <w:t xml:space="preserve"> in both plaque psoriasis and psoriatic arthritis is solely mediated by binding the shared p40 subunit of IL-12 and IL-23, with resulting interruption of Th1 and Th17 cytokine pathways, which are implicated in pathophysiology</w:t>
      </w:r>
      <w:r w:rsidR="00F43C87">
        <w:t>.</w:t>
      </w:r>
    </w:p>
    <w:p w14:paraId="0D49973E" w14:textId="3D9F6E96" w:rsidR="00C4524E" w:rsidRPr="00BE6B4D" w:rsidRDefault="00C4524E" w:rsidP="00BE6B4D">
      <w:pPr>
        <w:pStyle w:val="ListBullet"/>
      </w:pPr>
      <w:r w:rsidRPr="00BE6B4D">
        <w:t xml:space="preserve">Similarity of PK between the indications, using a reference from published medical literature to evidence similarity of </w:t>
      </w:r>
      <w:proofErr w:type="spellStart"/>
      <w:r w:rsidRPr="00BE6B4D">
        <w:t>ustekinumab</w:t>
      </w:r>
      <w:proofErr w:type="spellEnd"/>
      <w:r w:rsidRPr="00BE6B4D">
        <w:t xml:space="preserve"> half-life, apparent clearance, apparent volume of distribution, and absorption rate constant between patients with mild to severe plaque psoriasis and psoriatic arthritis</w:t>
      </w:r>
      <w:r w:rsidR="00F43C87">
        <w:t>.</w:t>
      </w:r>
    </w:p>
    <w:p w14:paraId="5B3BD10E" w14:textId="523BC8B1" w:rsidR="00C4524E" w:rsidRPr="00BE6B4D" w:rsidRDefault="00C4524E" w:rsidP="00BE6B4D">
      <w:pPr>
        <w:pStyle w:val="ListBullet"/>
      </w:pPr>
      <w:r w:rsidRPr="00BE6B4D">
        <w:t xml:space="preserve">Safety and immunogenicity; integrated analysis of </w:t>
      </w:r>
      <w:r w:rsidR="00EB0B3A">
        <w:t>P</w:t>
      </w:r>
      <w:r w:rsidRPr="00BE6B4D">
        <w:t xml:space="preserve">hase </w:t>
      </w:r>
      <w:r w:rsidR="00EB0B3A">
        <w:t>II</w:t>
      </w:r>
      <w:r w:rsidRPr="00BE6B4D">
        <w:t xml:space="preserve"> and </w:t>
      </w:r>
      <w:r w:rsidR="00EB0B3A">
        <w:t>III</w:t>
      </w:r>
      <w:r w:rsidRPr="00BE6B4D">
        <w:t xml:space="preserve"> clinical studies, covering a total of 5,884 </w:t>
      </w:r>
      <w:proofErr w:type="spellStart"/>
      <w:r w:rsidRPr="00BE6B4D">
        <w:t>ustekinumab</w:t>
      </w:r>
      <w:proofErr w:type="spellEnd"/>
      <w:r w:rsidRPr="00BE6B4D">
        <w:t xml:space="preserve"> treated patients, showed a consistent safety profile across the approved indications, with generally low immunogenicity which was comparable across indications.</w:t>
      </w:r>
    </w:p>
    <w:p w14:paraId="20CFF462" w14:textId="4C0C36EC" w:rsidR="00C4524E" w:rsidRPr="00BE6B4D" w:rsidRDefault="00C4524E" w:rsidP="00BE6B4D">
      <w:pPr>
        <w:pStyle w:val="ListBullet"/>
      </w:pPr>
      <w:r w:rsidRPr="00BE6B4D">
        <w:t xml:space="preserve">Choice of plaque psoriasis as the indication for </w:t>
      </w:r>
      <w:r w:rsidR="00EB0B3A">
        <w:t>S</w:t>
      </w:r>
      <w:r w:rsidRPr="00BE6B4D">
        <w:t xml:space="preserve">tudy AVT04-GL-301 was as the most sensitive indication for detection of any differences between the proposed biosimilar and innovator product, given the greatest placebo-adjusted response rate seen in this indication during clinical development of </w:t>
      </w:r>
      <w:r w:rsidR="00B263C3" w:rsidRPr="00BE6B4D">
        <w:t>Stelara</w:t>
      </w:r>
      <w:r w:rsidRPr="00BE6B4D">
        <w:t xml:space="preserve">, and use of </w:t>
      </w:r>
      <w:proofErr w:type="spellStart"/>
      <w:r w:rsidRPr="00BE6B4D">
        <w:t>ustekinumab</w:t>
      </w:r>
      <w:proofErr w:type="spellEnd"/>
      <w:r w:rsidRPr="00BE6B4D">
        <w:t xml:space="preserve"> as monotherapy in this indication, limiting influence of concomitant medications.</w:t>
      </w:r>
    </w:p>
    <w:p w14:paraId="64DF1576" w14:textId="140D0314" w:rsidR="00C4524E" w:rsidRPr="00BE6B4D" w:rsidRDefault="00C4524E" w:rsidP="00BE6B4D">
      <w:pPr>
        <w:pStyle w:val="ListBullet"/>
      </w:pPr>
      <w:r w:rsidRPr="00BE6B4D">
        <w:t xml:space="preserve">Sponsor’s consultation with EMA and FDA during clinical development which endorsed choice of plaque psoriasis as the most appropriate indication to demonstrate </w:t>
      </w:r>
      <w:proofErr w:type="spellStart"/>
      <w:r w:rsidRPr="00BE6B4D">
        <w:t>biosimilarity</w:t>
      </w:r>
      <w:proofErr w:type="spellEnd"/>
      <w:r w:rsidRPr="00BE6B4D">
        <w:t>.</w:t>
      </w:r>
    </w:p>
    <w:p w14:paraId="5D47431B" w14:textId="2F0CAB1B" w:rsidR="00C4524E" w:rsidRDefault="00C4524E" w:rsidP="00C4524E">
      <w:r>
        <w:t>The clinical evaluat</w:t>
      </w:r>
      <w:r w:rsidR="00F43C87">
        <w:t>ion</w:t>
      </w:r>
      <w:r>
        <w:t xml:space="preserve"> considered this justification of extrapolation to be acceptable.</w:t>
      </w:r>
    </w:p>
    <w:p w14:paraId="11E64A96" w14:textId="77777777" w:rsidR="00C4524E" w:rsidRPr="00904B8B" w:rsidRDefault="00C4524E" w:rsidP="006040B9">
      <w:pPr>
        <w:pStyle w:val="Heading5"/>
      </w:pPr>
      <w:r>
        <w:t>Clinical evaluation outcome</w:t>
      </w:r>
    </w:p>
    <w:p w14:paraId="4AC825EC" w14:textId="3DCFD70F" w:rsidR="00C4524E" w:rsidRPr="001B3E86" w:rsidRDefault="00C4524E" w:rsidP="00C4524E">
      <w:r w:rsidRPr="001B3E86">
        <w:t>The clinical evaluat</w:t>
      </w:r>
      <w:r w:rsidR="003E30B0">
        <w:t>ion</w:t>
      </w:r>
      <w:r w:rsidRPr="001B3E86">
        <w:t xml:space="preserve"> assessed benefit-risk balance as favourable</w:t>
      </w:r>
      <w:r>
        <w:t>.</w:t>
      </w:r>
    </w:p>
    <w:p w14:paraId="2858B006" w14:textId="23236D7E" w:rsidR="00C22214" w:rsidRDefault="00C22214" w:rsidP="00C22214">
      <w:pPr>
        <w:pStyle w:val="Heading3"/>
        <w:rPr>
          <w:lang w:eastAsia="en-AU"/>
        </w:rPr>
      </w:pPr>
      <w:bookmarkStart w:id="51" w:name="_Toc314842514"/>
      <w:bookmarkStart w:id="52" w:name="_Toc103679298"/>
      <w:bookmarkStart w:id="53" w:name="_Toc212469872"/>
      <w:r>
        <w:rPr>
          <w:lang w:eastAsia="en-AU"/>
        </w:rPr>
        <w:t>Risk management plan</w:t>
      </w:r>
      <w:bookmarkEnd w:id="51"/>
      <w:bookmarkEnd w:id="52"/>
      <w:r w:rsidR="00837E58">
        <w:rPr>
          <w:lang w:eastAsia="en-AU"/>
        </w:rPr>
        <w:t xml:space="preserve"> evaluation</w:t>
      </w:r>
      <w:bookmarkEnd w:id="53"/>
    </w:p>
    <w:p w14:paraId="5592D005" w14:textId="2F883396" w:rsidR="001065B7" w:rsidRPr="00163C05" w:rsidRDefault="001065B7" w:rsidP="001065B7">
      <w:pPr>
        <w:pStyle w:val="Bulletlist"/>
        <w:numPr>
          <w:ilvl w:val="0"/>
          <w:numId w:val="0"/>
        </w:numPr>
        <w:rPr>
          <w:kern w:val="0"/>
          <w:sz w:val="22"/>
          <w:szCs w:val="22"/>
        </w:rPr>
      </w:pPr>
      <w:bookmarkStart w:id="54" w:name="_Toc247691531"/>
      <w:bookmarkStart w:id="55" w:name="_Toc314842515"/>
      <w:r w:rsidRPr="00163C05">
        <w:rPr>
          <w:rStyle w:val="BulletlistChar"/>
          <w:kern w:val="0"/>
          <w:sz w:val="22"/>
          <w:szCs w:val="22"/>
        </w:rPr>
        <w:t>Cipla Australia</w:t>
      </w:r>
      <w:r w:rsidRPr="00163C05">
        <w:rPr>
          <w:kern w:val="0"/>
          <w:sz w:val="22"/>
          <w:szCs w:val="22"/>
        </w:rPr>
        <w:t xml:space="preserve"> Pty Ltd initially submitted Aus-</w:t>
      </w:r>
      <w:r w:rsidR="0066477B">
        <w:rPr>
          <w:kern w:val="0"/>
          <w:sz w:val="22"/>
          <w:szCs w:val="22"/>
        </w:rPr>
        <w:t>risk management plan (R</w:t>
      </w:r>
      <w:r w:rsidRPr="00163C05">
        <w:rPr>
          <w:kern w:val="0"/>
          <w:sz w:val="22"/>
          <w:szCs w:val="22"/>
        </w:rPr>
        <w:t>MP</w:t>
      </w:r>
      <w:r w:rsidR="0066477B">
        <w:rPr>
          <w:kern w:val="0"/>
          <w:sz w:val="22"/>
          <w:szCs w:val="22"/>
        </w:rPr>
        <w:t>)</w:t>
      </w:r>
      <w:r w:rsidRPr="00163C05">
        <w:rPr>
          <w:kern w:val="0"/>
          <w:sz w:val="22"/>
          <w:szCs w:val="22"/>
        </w:rPr>
        <w:t xml:space="preserve"> version 1.0 (08</w:t>
      </w:r>
      <w:r w:rsidR="0066477B">
        <w:rPr>
          <w:kern w:val="0"/>
          <w:sz w:val="22"/>
          <w:szCs w:val="22"/>
        </w:rPr>
        <w:t> </w:t>
      </w:r>
      <w:r w:rsidRPr="00163C05">
        <w:rPr>
          <w:kern w:val="0"/>
          <w:sz w:val="22"/>
          <w:szCs w:val="22"/>
        </w:rPr>
        <w:t xml:space="preserve">April 2024; </w:t>
      </w:r>
      <w:r w:rsidR="0066477B">
        <w:rPr>
          <w:kern w:val="0"/>
          <w:sz w:val="22"/>
          <w:szCs w:val="22"/>
        </w:rPr>
        <w:t>data lock point (</w:t>
      </w:r>
      <w:r w:rsidRPr="00163C05">
        <w:rPr>
          <w:kern w:val="0"/>
          <w:sz w:val="22"/>
          <w:szCs w:val="22"/>
        </w:rPr>
        <w:t>DLP</w:t>
      </w:r>
      <w:r w:rsidR="0066477B">
        <w:rPr>
          <w:kern w:val="0"/>
          <w:sz w:val="22"/>
          <w:szCs w:val="22"/>
        </w:rPr>
        <w:t>)</w:t>
      </w:r>
      <w:r w:rsidRPr="00163C05">
        <w:rPr>
          <w:kern w:val="0"/>
          <w:sz w:val="22"/>
          <w:szCs w:val="22"/>
        </w:rPr>
        <w:t xml:space="preserve"> 04</w:t>
      </w:r>
      <w:r w:rsidR="0066477B">
        <w:rPr>
          <w:kern w:val="0"/>
          <w:sz w:val="22"/>
          <w:szCs w:val="22"/>
        </w:rPr>
        <w:t> </w:t>
      </w:r>
      <w:r w:rsidRPr="00163C05">
        <w:rPr>
          <w:kern w:val="0"/>
          <w:sz w:val="22"/>
          <w:szCs w:val="22"/>
        </w:rPr>
        <w:t>March</w:t>
      </w:r>
      <w:r w:rsidR="0066477B">
        <w:rPr>
          <w:kern w:val="0"/>
          <w:sz w:val="22"/>
          <w:szCs w:val="22"/>
        </w:rPr>
        <w:t> </w:t>
      </w:r>
      <w:r w:rsidRPr="00163C05">
        <w:rPr>
          <w:kern w:val="0"/>
          <w:sz w:val="22"/>
          <w:szCs w:val="22"/>
        </w:rPr>
        <w:t xml:space="preserve">2024) in support of this application. As they have an EU registered product, an EU-RMP was requested and the sponsor provided EU-RMP </w:t>
      </w:r>
      <w:r w:rsidRPr="00163C05">
        <w:rPr>
          <w:kern w:val="0"/>
          <w:sz w:val="22"/>
          <w:szCs w:val="22"/>
        </w:rPr>
        <w:lastRenderedPageBreak/>
        <w:t>version 0.4 (03 November 2023; DLP 12</w:t>
      </w:r>
      <w:r w:rsidR="0066477B">
        <w:rPr>
          <w:kern w:val="0"/>
          <w:sz w:val="22"/>
          <w:szCs w:val="22"/>
        </w:rPr>
        <w:t> </w:t>
      </w:r>
      <w:r w:rsidRPr="00163C05">
        <w:rPr>
          <w:kern w:val="0"/>
          <w:sz w:val="22"/>
          <w:szCs w:val="22"/>
        </w:rPr>
        <w:t>May</w:t>
      </w:r>
      <w:r w:rsidR="0066477B">
        <w:rPr>
          <w:kern w:val="0"/>
          <w:sz w:val="22"/>
          <w:szCs w:val="22"/>
        </w:rPr>
        <w:t> </w:t>
      </w:r>
      <w:r w:rsidRPr="00163C05">
        <w:rPr>
          <w:kern w:val="0"/>
          <w:sz w:val="22"/>
          <w:szCs w:val="22"/>
        </w:rPr>
        <w:t xml:space="preserve">2022). </w:t>
      </w:r>
      <w:r w:rsidR="0066477B">
        <w:rPr>
          <w:kern w:val="0"/>
          <w:sz w:val="22"/>
          <w:szCs w:val="22"/>
        </w:rPr>
        <w:t>T</w:t>
      </w:r>
      <w:r w:rsidRPr="00163C05">
        <w:rPr>
          <w:kern w:val="0"/>
          <w:sz w:val="22"/>
          <w:szCs w:val="22"/>
        </w:rPr>
        <w:t>he sponsor has retitled the Aus-RMP to the Australia-specific annex (ASA) v1.0 (20</w:t>
      </w:r>
      <w:r w:rsidR="0066477B">
        <w:rPr>
          <w:kern w:val="0"/>
          <w:sz w:val="22"/>
          <w:szCs w:val="22"/>
        </w:rPr>
        <w:t> </w:t>
      </w:r>
      <w:r w:rsidRPr="00163C05">
        <w:rPr>
          <w:kern w:val="0"/>
          <w:sz w:val="22"/>
          <w:szCs w:val="22"/>
        </w:rPr>
        <w:t>June</w:t>
      </w:r>
      <w:r w:rsidR="0066477B">
        <w:rPr>
          <w:kern w:val="0"/>
          <w:sz w:val="22"/>
          <w:szCs w:val="22"/>
        </w:rPr>
        <w:t> </w:t>
      </w:r>
      <w:r w:rsidRPr="00163C05">
        <w:rPr>
          <w:kern w:val="0"/>
          <w:sz w:val="22"/>
          <w:szCs w:val="22"/>
        </w:rPr>
        <w:t xml:space="preserve">2024) as requested. </w:t>
      </w:r>
      <w:r w:rsidR="00074832">
        <w:rPr>
          <w:kern w:val="0"/>
          <w:sz w:val="22"/>
          <w:szCs w:val="22"/>
        </w:rPr>
        <w:t>T</w:t>
      </w:r>
      <w:r w:rsidRPr="00163C05">
        <w:rPr>
          <w:kern w:val="0"/>
          <w:sz w:val="22"/>
          <w:szCs w:val="22"/>
        </w:rPr>
        <w:t>he sponsor has provided ASA v1.1 (19 July 2024).</w:t>
      </w:r>
    </w:p>
    <w:p w14:paraId="7C4339D6" w14:textId="09CE13C5" w:rsidR="001065B7" w:rsidRPr="00CD56CF" w:rsidRDefault="001065B7" w:rsidP="001065B7">
      <w:pPr>
        <w:pStyle w:val="Bulletlist"/>
        <w:numPr>
          <w:ilvl w:val="0"/>
          <w:numId w:val="0"/>
        </w:numPr>
        <w:rPr>
          <w:kern w:val="0"/>
          <w:sz w:val="22"/>
          <w:szCs w:val="22"/>
        </w:rPr>
      </w:pPr>
      <w:r w:rsidRPr="00CD56CF">
        <w:rPr>
          <w:kern w:val="0"/>
          <w:sz w:val="22"/>
          <w:szCs w:val="22"/>
        </w:rPr>
        <w:t>The proposed summary of safety concerns and their associated risk monitoring and mitigation strategies are summarised below</w:t>
      </w:r>
      <w:r w:rsidR="00C242AE">
        <w:rPr>
          <w:kern w:val="0"/>
          <w:sz w:val="22"/>
          <w:szCs w:val="22"/>
        </w:rPr>
        <w:t xml:space="preserve"> in Table 1</w:t>
      </w:r>
      <w:r w:rsidR="003E0CA8">
        <w:rPr>
          <w:kern w:val="0"/>
          <w:sz w:val="22"/>
          <w:szCs w:val="22"/>
        </w:rPr>
        <w:t>5</w:t>
      </w:r>
      <w:r w:rsidR="00C242AE">
        <w:rPr>
          <w:kern w:val="0"/>
          <w:sz w:val="22"/>
          <w:szCs w:val="22"/>
        </w:rPr>
        <w:t>.</w:t>
      </w:r>
    </w:p>
    <w:p w14:paraId="56B51A93" w14:textId="59807C88" w:rsidR="006A277A" w:rsidRDefault="00C22214" w:rsidP="00C22214">
      <w:pPr>
        <w:pStyle w:val="TableTitle"/>
      </w:pPr>
      <w:bookmarkStart w:id="56" w:name="_Ref97629131"/>
      <w:r>
        <w:t xml:space="preserve">Table </w:t>
      </w:r>
      <w:bookmarkEnd w:id="56"/>
      <w:r w:rsidR="00485472">
        <w:t>1</w:t>
      </w:r>
      <w:r w:rsidR="003E0CA8">
        <w:t>5</w:t>
      </w:r>
      <w:r>
        <w:t>: Summary of safety concerns</w:t>
      </w:r>
    </w:p>
    <w:tbl>
      <w:tblPr>
        <w:tblStyle w:val="TableTGAblue2023"/>
        <w:tblW w:w="9469" w:type="dxa"/>
        <w:tblLayout w:type="fixed"/>
        <w:tblLook w:val="04A0" w:firstRow="1" w:lastRow="0" w:firstColumn="1" w:lastColumn="0" w:noHBand="0" w:noVBand="1"/>
      </w:tblPr>
      <w:tblGrid>
        <w:gridCol w:w="1413"/>
        <w:gridCol w:w="3544"/>
        <w:gridCol w:w="992"/>
        <w:gridCol w:w="1276"/>
        <w:gridCol w:w="992"/>
        <w:gridCol w:w="1252"/>
      </w:tblGrid>
      <w:tr w:rsidR="00A85156" w:rsidRPr="00487AAC" w14:paraId="42C78971" w14:textId="77777777" w:rsidTr="0068775D">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957" w:type="dxa"/>
            <w:gridSpan w:val="2"/>
            <w:vMerge w:val="restart"/>
          </w:tcPr>
          <w:p w14:paraId="510AD827" w14:textId="77777777" w:rsidR="00A85156" w:rsidRPr="00487AAC" w:rsidRDefault="00A85156" w:rsidP="00487AAC">
            <w:pPr>
              <w:rPr>
                <w:b w:val="0"/>
                <w:sz w:val="20"/>
                <w:szCs w:val="20"/>
              </w:rPr>
            </w:pPr>
            <w:r w:rsidRPr="00487AAC">
              <w:rPr>
                <w:sz w:val="20"/>
                <w:szCs w:val="20"/>
              </w:rPr>
              <w:t>Summary of safety concerns</w:t>
            </w:r>
          </w:p>
        </w:tc>
        <w:tc>
          <w:tcPr>
            <w:tcW w:w="2268" w:type="dxa"/>
            <w:gridSpan w:val="2"/>
          </w:tcPr>
          <w:p w14:paraId="28132537" w14:textId="77777777" w:rsidR="00A85156" w:rsidRPr="00487AAC" w:rsidRDefault="00A85156" w:rsidP="00487AAC">
            <w:pPr>
              <w:cnfStyle w:val="100000000000" w:firstRow="1" w:lastRow="0" w:firstColumn="0" w:lastColumn="0" w:oddVBand="0" w:evenVBand="0" w:oddHBand="0" w:evenHBand="0" w:firstRowFirstColumn="0" w:firstRowLastColumn="0" w:lastRowFirstColumn="0" w:lastRowLastColumn="0"/>
              <w:rPr>
                <w:b w:val="0"/>
                <w:sz w:val="20"/>
                <w:szCs w:val="20"/>
              </w:rPr>
            </w:pPr>
            <w:r w:rsidRPr="00487AAC">
              <w:rPr>
                <w:sz w:val="20"/>
                <w:szCs w:val="20"/>
              </w:rPr>
              <w:t>Pharmacovigilance</w:t>
            </w:r>
          </w:p>
        </w:tc>
        <w:tc>
          <w:tcPr>
            <w:tcW w:w="2244" w:type="dxa"/>
            <w:gridSpan w:val="2"/>
          </w:tcPr>
          <w:p w14:paraId="018768AE" w14:textId="77777777" w:rsidR="00A85156" w:rsidRPr="00487AAC" w:rsidRDefault="00A85156" w:rsidP="00487AAC">
            <w:pPr>
              <w:cnfStyle w:val="100000000000" w:firstRow="1" w:lastRow="0" w:firstColumn="0" w:lastColumn="0" w:oddVBand="0" w:evenVBand="0" w:oddHBand="0" w:evenHBand="0" w:firstRowFirstColumn="0" w:firstRowLastColumn="0" w:lastRowFirstColumn="0" w:lastRowLastColumn="0"/>
              <w:rPr>
                <w:b w:val="0"/>
                <w:sz w:val="20"/>
                <w:szCs w:val="20"/>
              </w:rPr>
            </w:pPr>
            <w:r w:rsidRPr="00487AAC">
              <w:rPr>
                <w:sz w:val="20"/>
                <w:szCs w:val="20"/>
              </w:rPr>
              <w:t>Risk Minimisation</w:t>
            </w:r>
          </w:p>
        </w:tc>
      </w:tr>
      <w:tr w:rsidR="00A85156" w:rsidRPr="00487AAC" w14:paraId="05232F8C" w14:textId="77777777" w:rsidTr="0068775D">
        <w:trPr>
          <w:trHeight w:val="150"/>
        </w:trPr>
        <w:tc>
          <w:tcPr>
            <w:cnfStyle w:val="001000000000" w:firstRow="0" w:lastRow="0" w:firstColumn="1" w:lastColumn="0" w:oddVBand="0" w:evenVBand="0" w:oddHBand="0" w:evenHBand="0" w:firstRowFirstColumn="0" w:firstRowLastColumn="0" w:lastRowFirstColumn="0" w:lastRowLastColumn="0"/>
            <w:tcW w:w="4957" w:type="dxa"/>
            <w:gridSpan w:val="2"/>
            <w:vMerge/>
          </w:tcPr>
          <w:p w14:paraId="7BF090A9" w14:textId="77777777" w:rsidR="00A85156" w:rsidRPr="00487AAC" w:rsidRDefault="00A85156" w:rsidP="00487AAC">
            <w:pPr>
              <w:rPr>
                <w:sz w:val="20"/>
                <w:szCs w:val="20"/>
              </w:rPr>
            </w:pPr>
          </w:p>
        </w:tc>
        <w:tc>
          <w:tcPr>
            <w:tcW w:w="992" w:type="dxa"/>
            <w:shd w:val="clear" w:color="auto" w:fill="DEEAF6" w:themeFill="accent5" w:themeFillTint="33"/>
          </w:tcPr>
          <w:p w14:paraId="56EA9C2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Routine</w:t>
            </w:r>
          </w:p>
        </w:tc>
        <w:tc>
          <w:tcPr>
            <w:tcW w:w="1276" w:type="dxa"/>
            <w:shd w:val="clear" w:color="auto" w:fill="DEEAF6" w:themeFill="accent5" w:themeFillTint="33"/>
          </w:tcPr>
          <w:p w14:paraId="01766310"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Additional</w:t>
            </w:r>
          </w:p>
        </w:tc>
        <w:tc>
          <w:tcPr>
            <w:tcW w:w="992" w:type="dxa"/>
            <w:shd w:val="clear" w:color="auto" w:fill="DEEAF6" w:themeFill="accent5" w:themeFillTint="33"/>
          </w:tcPr>
          <w:p w14:paraId="35C301D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Routine</w:t>
            </w:r>
          </w:p>
        </w:tc>
        <w:tc>
          <w:tcPr>
            <w:tcW w:w="1252" w:type="dxa"/>
            <w:shd w:val="clear" w:color="auto" w:fill="DEEAF6" w:themeFill="accent5" w:themeFillTint="33"/>
          </w:tcPr>
          <w:p w14:paraId="1529F185"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Additional</w:t>
            </w:r>
          </w:p>
        </w:tc>
      </w:tr>
      <w:tr w:rsidR="00A85156" w:rsidRPr="00487AAC" w14:paraId="7860814A" w14:textId="77777777" w:rsidTr="0068775D">
        <w:trPr>
          <w:trHeight w:val="137"/>
        </w:trPr>
        <w:tc>
          <w:tcPr>
            <w:cnfStyle w:val="001000000000" w:firstRow="0" w:lastRow="0" w:firstColumn="1" w:lastColumn="0" w:oddVBand="0" w:evenVBand="0" w:oddHBand="0" w:evenHBand="0" w:firstRowFirstColumn="0" w:firstRowLastColumn="0" w:lastRowFirstColumn="0" w:lastRowLastColumn="0"/>
            <w:tcW w:w="1413" w:type="dxa"/>
          </w:tcPr>
          <w:p w14:paraId="31E3B220" w14:textId="77777777" w:rsidR="00A85156" w:rsidRPr="00487AAC" w:rsidRDefault="00A85156" w:rsidP="00487AAC">
            <w:pPr>
              <w:rPr>
                <w:sz w:val="20"/>
                <w:szCs w:val="20"/>
              </w:rPr>
            </w:pPr>
            <w:r w:rsidRPr="00487AAC">
              <w:rPr>
                <w:sz w:val="20"/>
                <w:szCs w:val="20"/>
              </w:rPr>
              <w:t>Important identified risks</w:t>
            </w:r>
          </w:p>
        </w:tc>
        <w:tc>
          <w:tcPr>
            <w:tcW w:w="3544" w:type="dxa"/>
          </w:tcPr>
          <w:p w14:paraId="07354C2C"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Serious systemic hypersensitivity reactions*</w:t>
            </w:r>
          </w:p>
        </w:tc>
        <w:tc>
          <w:tcPr>
            <w:tcW w:w="992" w:type="dxa"/>
          </w:tcPr>
          <w:p w14:paraId="22B7DF98"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sym w:font="Wingdings" w:char="F0FC"/>
            </w:r>
            <w:r w:rsidRPr="00487AAC">
              <w:rPr>
                <w:sz w:val="20"/>
                <w:szCs w:val="20"/>
                <w:vertAlign w:val="superscript"/>
              </w:rPr>
              <w:t>^</w:t>
            </w:r>
          </w:p>
        </w:tc>
        <w:tc>
          <w:tcPr>
            <w:tcW w:w="1276" w:type="dxa"/>
          </w:tcPr>
          <w:p w14:paraId="0309991F"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w:t>
            </w:r>
          </w:p>
        </w:tc>
        <w:tc>
          <w:tcPr>
            <w:tcW w:w="992" w:type="dxa"/>
          </w:tcPr>
          <w:p w14:paraId="2243F80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sym w:font="Wingdings" w:char="F0FC"/>
            </w:r>
          </w:p>
        </w:tc>
        <w:tc>
          <w:tcPr>
            <w:tcW w:w="1252" w:type="dxa"/>
          </w:tcPr>
          <w:p w14:paraId="248E0B9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w:t>
            </w:r>
          </w:p>
        </w:tc>
      </w:tr>
      <w:tr w:rsidR="00A85156" w:rsidRPr="00487AAC" w14:paraId="0CBD6E7D" w14:textId="77777777" w:rsidTr="0068775D">
        <w:trPr>
          <w:trHeight w:val="159"/>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294CEC5F" w14:textId="77777777" w:rsidR="00A85156" w:rsidRPr="00487AAC" w:rsidRDefault="00A85156" w:rsidP="00487AAC">
            <w:pPr>
              <w:rPr>
                <w:sz w:val="20"/>
                <w:szCs w:val="20"/>
              </w:rPr>
            </w:pPr>
            <w:r w:rsidRPr="00487AAC">
              <w:rPr>
                <w:sz w:val="20"/>
                <w:szCs w:val="20"/>
              </w:rPr>
              <w:t>Important potential risks</w:t>
            </w:r>
          </w:p>
        </w:tc>
        <w:tc>
          <w:tcPr>
            <w:tcW w:w="3544" w:type="dxa"/>
          </w:tcPr>
          <w:p w14:paraId="0714AEFD"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Serious infections (including mycobacterial and salmonella infections)</w:t>
            </w:r>
          </w:p>
        </w:tc>
        <w:tc>
          <w:tcPr>
            <w:tcW w:w="992" w:type="dxa"/>
          </w:tcPr>
          <w:p w14:paraId="3F89D569"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r w:rsidRPr="00487AAC">
              <w:rPr>
                <w:sz w:val="20"/>
                <w:szCs w:val="20"/>
                <w:vertAlign w:val="superscript"/>
              </w:rPr>
              <w:t>^</w:t>
            </w:r>
          </w:p>
        </w:tc>
        <w:tc>
          <w:tcPr>
            <w:tcW w:w="1276" w:type="dxa"/>
          </w:tcPr>
          <w:p w14:paraId="25CCEB26"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4165C7A7"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78A92A0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7A3E5D88" w14:textId="77777777" w:rsidTr="0068775D">
        <w:trPr>
          <w:trHeight w:val="122"/>
        </w:trPr>
        <w:tc>
          <w:tcPr>
            <w:cnfStyle w:val="001000000000" w:firstRow="0" w:lastRow="0" w:firstColumn="1" w:lastColumn="0" w:oddVBand="0" w:evenVBand="0" w:oddHBand="0" w:evenHBand="0" w:firstRowFirstColumn="0" w:firstRowLastColumn="0" w:lastRowFirstColumn="0" w:lastRowLastColumn="0"/>
            <w:tcW w:w="1413" w:type="dxa"/>
            <w:vMerge/>
          </w:tcPr>
          <w:p w14:paraId="5A446A48" w14:textId="77777777" w:rsidR="00A85156" w:rsidRPr="00487AAC" w:rsidRDefault="00A85156" w:rsidP="00487AAC">
            <w:pPr>
              <w:rPr>
                <w:sz w:val="20"/>
                <w:szCs w:val="20"/>
              </w:rPr>
            </w:pPr>
          </w:p>
        </w:tc>
        <w:tc>
          <w:tcPr>
            <w:tcW w:w="3544" w:type="dxa"/>
          </w:tcPr>
          <w:p w14:paraId="0DAE20D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 xml:space="preserve">Malignancy </w:t>
            </w:r>
          </w:p>
        </w:tc>
        <w:tc>
          <w:tcPr>
            <w:tcW w:w="992" w:type="dxa"/>
          </w:tcPr>
          <w:p w14:paraId="6C2E223B"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r w:rsidRPr="00487AAC">
              <w:rPr>
                <w:sz w:val="20"/>
                <w:szCs w:val="20"/>
                <w:vertAlign w:val="superscript"/>
              </w:rPr>
              <w:t>^</w:t>
            </w:r>
          </w:p>
        </w:tc>
        <w:tc>
          <w:tcPr>
            <w:tcW w:w="1276" w:type="dxa"/>
          </w:tcPr>
          <w:p w14:paraId="40E41AA2"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09DE9398"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3AD0E06C"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7ED41832" w14:textId="77777777" w:rsidTr="0068775D">
        <w:trPr>
          <w:trHeight w:val="122"/>
        </w:trPr>
        <w:tc>
          <w:tcPr>
            <w:cnfStyle w:val="001000000000" w:firstRow="0" w:lastRow="0" w:firstColumn="1" w:lastColumn="0" w:oddVBand="0" w:evenVBand="0" w:oddHBand="0" w:evenHBand="0" w:firstRowFirstColumn="0" w:firstRowLastColumn="0" w:lastRowFirstColumn="0" w:lastRowLastColumn="0"/>
            <w:tcW w:w="1413" w:type="dxa"/>
            <w:vMerge/>
          </w:tcPr>
          <w:p w14:paraId="4597237E" w14:textId="77777777" w:rsidR="00A85156" w:rsidRPr="00487AAC" w:rsidRDefault="00A85156" w:rsidP="00487AAC">
            <w:pPr>
              <w:rPr>
                <w:sz w:val="20"/>
                <w:szCs w:val="20"/>
              </w:rPr>
            </w:pPr>
          </w:p>
        </w:tc>
        <w:tc>
          <w:tcPr>
            <w:tcW w:w="3544" w:type="dxa"/>
          </w:tcPr>
          <w:p w14:paraId="523960A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Cardiovascular (CV) events</w:t>
            </w:r>
          </w:p>
        </w:tc>
        <w:tc>
          <w:tcPr>
            <w:tcW w:w="992" w:type="dxa"/>
          </w:tcPr>
          <w:p w14:paraId="7E3CE1B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r w:rsidRPr="00487AAC">
              <w:rPr>
                <w:sz w:val="20"/>
                <w:szCs w:val="20"/>
                <w:vertAlign w:val="superscript"/>
              </w:rPr>
              <w:t>^</w:t>
            </w:r>
          </w:p>
        </w:tc>
        <w:tc>
          <w:tcPr>
            <w:tcW w:w="1276" w:type="dxa"/>
          </w:tcPr>
          <w:p w14:paraId="00AD2D63"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0EB2F015"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01B1033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49EA43B6" w14:textId="77777777" w:rsidTr="0068775D">
        <w:trPr>
          <w:trHeight w:val="122"/>
        </w:trPr>
        <w:tc>
          <w:tcPr>
            <w:cnfStyle w:val="001000000000" w:firstRow="0" w:lastRow="0" w:firstColumn="1" w:lastColumn="0" w:oddVBand="0" w:evenVBand="0" w:oddHBand="0" w:evenHBand="0" w:firstRowFirstColumn="0" w:firstRowLastColumn="0" w:lastRowFirstColumn="0" w:lastRowLastColumn="0"/>
            <w:tcW w:w="1413" w:type="dxa"/>
            <w:vMerge/>
          </w:tcPr>
          <w:p w14:paraId="29B130DD" w14:textId="77777777" w:rsidR="00A85156" w:rsidRPr="00487AAC" w:rsidRDefault="00A85156" w:rsidP="00487AAC">
            <w:pPr>
              <w:rPr>
                <w:sz w:val="20"/>
                <w:szCs w:val="20"/>
              </w:rPr>
            </w:pPr>
          </w:p>
        </w:tc>
        <w:tc>
          <w:tcPr>
            <w:tcW w:w="3544" w:type="dxa"/>
          </w:tcPr>
          <w:p w14:paraId="0DAC5672"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Serious depression including suicidality</w:t>
            </w:r>
          </w:p>
        </w:tc>
        <w:tc>
          <w:tcPr>
            <w:tcW w:w="992" w:type="dxa"/>
          </w:tcPr>
          <w:p w14:paraId="277D03D2"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02084FC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13EA5460"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1FB3A5BF"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727997B0" w14:textId="77777777" w:rsidTr="0068775D">
        <w:trPr>
          <w:trHeight w:val="112"/>
        </w:trPr>
        <w:tc>
          <w:tcPr>
            <w:cnfStyle w:val="001000000000" w:firstRow="0" w:lastRow="0" w:firstColumn="1" w:lastColumn="0" w:oddVBand="0" w:evenVBand="0" w:oddHBand="0" w:evenHBand="0" w:firstRowFirstColumn="0" w:firstRowLastColumn="0" w:lastRowFirstColumn="0" w:lastRowLastColumn="0"/>
            <w:tcW w:w="1413" w:type="dxa"/>
            <w:vMerge/>
          </w:tcPr>
          <w:p w14:paraId="3B348737" w14:textId="77777777" w:rsidR="00A85156" w:rsidRPr="00487AAC" w:rsidRDefault="00A85156" w:rsidP="00487AAC">
            <w:pPr>
              <w:rPr>
                <w:sz w:val="20"/>
                <w:szCs w:val="20"/>
              </w:rPr>
            </w:pPr>
          </w:p>
        </w:tc>
        <w:tc>
          <w:tcPr>
            <w:tcW w:w="3544" w:type="dxa"/>
          </w:tcPr>
          <w:p w14:paraId="69342A9C"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Exposure during pregnancy</w:t>
            </w:r>
          </w:p>
        </w:tc>
        <w:tc>
          <w:tcPr>
            <w:tcW w:w="992" w:type="dxa"/>
          </w:tcPr>
          <w:p w14:paraId="1153968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4EC1F263"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017C8ECB"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227EB885"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59F5F085" w14:textId="77777777" w:rsidTr="0068775D">
        <w:trPr>
          <w:trHeight w:val="178"/>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DBD2A52" w14:textId="77777777" w:rsidR="00A85156" w:rsidRPr="00487AAC" w:rsidRDefault="00A85156" w:rsidP="00487AAC">
            <w:pPr>
              <w:rPr>
                <w:sz w:val="20"/>
                <w:szCs w:val="20"/>
              </w:rPr>
            </w:pPr>
            <w:r w:rsidRPr="00487AAC">
              <w:rPr>
                <w:sz w:val="20"/>
                <w:szCs w:val="20"/>
              </w:rPr>
              <w:t>Missing information</w:t>
            </w:r>
          </w:p>
        </w:tc>
        <w:tc>
          <w:tcPr>
            <w:tcW w:w="3544" w:type="dxa"/>
          </w:tcPr>
          <w:p w14:paraId="1D0D52E6"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Long-term safety in paediatric psoriasis patients 6 years and older</w:t>
            </w:r>
          </w:p>
        </w:tc>
        <w:tc>
          <w:tcPr>
            <w:tcW w:w="992" w:type="dxa"/>
          </w:tcPr>
          <w:p w14:paraId="2332037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50BCCC9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7602AD0D"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5FB5BBE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093C90BE" w14:textId="77777777" w:rsidTr="0068775D">
        <w:trPr>
          <w:trHeight w:val="103"/>
        </w:trPr>
        <w:tc>
          <w:tcPr>
            <w:cnfStyle w:val="001000000000" w:firstRow="0" w:lastRow="0" w:firstColumn="1" w:lastColumn="0" w:oddVBand="0" w:evenVBand="0" w:oddHBand="0" w:evenHBand="0" w:firstRowFirstColumn="0" w:firstRowLastColumn="0" w:lastRowFirstColumn="0" w:lastRowLastColumn="0"/>
            <w:tcW w:w="1413" w:type="dxa"/>
            <w:vMerge/>
          </w:tcPr>
          <w:p w14:paraId="4B18FE39" w14:textId="77777777" w:rsidR="00A85156" w:rsidRPr="00487AAC" w:rsidRDefault="00A85156" w:rsidP="00487AAC">
            <w:pPr>
              <w:rPr>
                <w:sz w:val="20"/>
                <w:szCs w:val="20"/>
              </w:rPr>
            </w:pPr>
          </w:p>
        </w:tc>
        <w:tc>
          <w:tcPr>
            <w:tcW w:w="3544" w:type="dxa"/>
          </w:tcPr>
          <w:p w14:paraId="18DDBDBB"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Long-term impact on growth and development in paediatric psoriasis patients 6 years and older</w:t>
            </w:r>
          </w:p>
        </w:tc>
        <w:tc>
          <w:tcPr>
            <w:tcW w:w="992" w:type="dxa"/>
          </w:tcPr>
          <w:p w14:paraId="0DC46D6D"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43A6B4C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6D73243E"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75423D7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36F3252F" w14:textId="77777777" w:rsidTr="0068775D">
        <w:trPr>
          <w:trHeight w:val="103"/>
        </w:trPr>
        <w:tc>
          <w:tcPr>
            <w:cnfStyle w:val="001000000000" w:firstRow="0" w:lastRow="0" w:firstColumn="1" w:lastColumn="0" w:oddVBand="0" w:evenVBand="0" w:oddHBand="0" w:evenHBand="0" w:firstRowFirstColumn="0" w:firstRowLastColumn="0" w:lastRowFirstColumn="0" w:lastRowLastColumn="0"/>
            <w:tcW w:w="1413" w:type="dxa"/>
            <w:vMerge/>
          </w:tcPr>
          <w:p w14:paraId="73897767" w14:textId="77777777" w:rsidR="00A85156" w:rsidRPr="00487AAC" w:rsidRDefault="00A85156" w:rsidP="00487AAC">
            <w:pPr>
              <w:rPr>
                <w:sz w:val="20"/>
                <w:szCs w:val="20"/>
              </w:rPr>
            </w:pPr>
          </w:p>
        </w:tc>
        <w:tc>
          <w:tcPr>
            <w:tcW w:w="3544" w:type="dxa"/>
          </w:tcPr>
          <w:p w14:paraId="7BB694F6"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Long-term safety in adult patients with moderately to severely active Crohn’s disease</w:t>
            </w:r>
          </w:p>
        </w:tc>
        <w:tc>
          <w:tcPr>
            <w:tcW w:w="992" w:type="dxa"/>
          </w:tcPr>
          <w:p w14:paraId="267DACF6"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3E611C2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2E80F1C2"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23C77C2A"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r w:rsidR="00A85156" w:rsidRPr="00487AAC" w14:paraId="56CD84AF" w14:textId="77777777" w:rsidTr="0068775D">
        <w:trPr>
          <w:trHeight w:val="140"/>
        </w:trPr>
        <w:tc>
          <w:tcPr>
            <w:cnfStyle w:val="001000000000" w:firstRow="0" w:lastRow="0" w:firstColumn="1" w:lastColumn="0" w:oddVBand="0" w:evenVBand="0" w:oddHBand="0" w:evenHBand="0" w:firstRowFirstColumn="0" w:firstRowLastColumn="0" w:lastRowFirstColumn="0" w:lastRowLastColumn="0"/>
            <w:tcW w:w="1413" w:type="dxa"/>
            <w:vMerge/>
          </w:tcPr>
          <w:p w14:paraId="28E65252" w14:textId="77777777" w:rsidR="00A85156" w:rsidRPr="00487AAC" w:rsidRDefault="00A85156" w:rsidP="00487AAC">
            <w:pPr>
              <w:rPr>
                <w:sz w:val="20"/>
                <w:szCs w:val="20"/>
              </w:rPr>
            </w:pPr>
          </w:p>
        </w:tc>
        <w:tc>
          <w:tcPr>
            <w:tcW w:w="3544" w:type="dxa"/>
          </w:tcPr>
          <w:p w14:paraId="26F0C9E4"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sz w:val="20"/>
                <w:szCs w:val="20"/>
              </w:rPr>
            </w:pPr>
            <w:r w:rsidRPr="00487AAC">
              <w:rPr>
                <w:sz w:val="20"/>
                <w:szCs w:val="20"/>
              </w:rPr>
              <w:t>Long-term safety in adult patients with moderately to severely active ulcerative colitis</w:t>
            </w:r>
            <w:r w:rsidRPr="00487AAC">
              <w:rPr>
                <w:sz w:val="20"/>
                <w:szCs w:val="20"/>
                <w:vertAlign w:val="superscript"/>
              </w:rPr>
              <w:t>#</w:t>
            </w:r>
          </w:p>
        </w:tc>
        <w:tc>
          <w:tcPr>
            <w:tcW w:w="992" w:type="dxa"/>
          </w:tcPr>
          <w:p w14:paraId="7E7DE8D8"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76" w:type="dxa"/>
          </w:tcPr>
          <w:p w14:paraId="3F5AAF70"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c>
          <w:tcPr>
            <w:tcW w:w="992" w:type="dxa"/>
          </w:tcPr>
          <w:p w14:paraId="15093707"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sym w:font="Wingdings" w:char="F0FC"/>
            </w:r>
          </w:p>
        </w:tc>
        <w:tc>
          <w:tcPr>
            <w:tcW w:w="1252" w:type="dxa"/>
          </w:tcPr>
          <w:p w14:paraId="1D90CB21" w14:textId="77777777" w:rsidR="00A85156" w:rsidRPr="00487AAC" w:rsidRDefault="00A85156" w:rsidP="00487AAC">
            <w:pPr>
              <w:cnfStyle w:val="000000000000" w:firstRow="0" w:lastRow="0" w:firstColumn="0" w:lastColumn="0" w:oddVBand="0" w:evenVBand="0" w:oddHBand="0" w:evenHBand="0" w:firstRowFirstColumn="0" w:firstRowLastColumn="0" w:lastRowFirstColumn="0" w:lastRowLastColumn="0"/>
              <w:rPr>
                <w:color w:val="00B050"/>
                <w:sz w:val="20"/>
                <w:szCs w:val="20"/>
              </w:rPr>
            </w:pPr>
            <w:r w:rsidRPr="00487AAC">
              <w:rPr>
                <w:sz w:val="20"/>
                <w:szCs w:val="20"/>
              </w:rPr>
              <w:t>–</w:t>
            </w:r>
          </w:p>
        </w:tc>
      </w:tr>
    </w:tbl>
    <w:p w14:paraId="3703253A" w14:textId="7591835C" w:rsidR="00CF3C01" w:rsidRDefault="00CF3C01" w:rsidP="00CF3C01">
      <w:pPr>
        <w:pStyle w:val="TableDescription"/>
      </w:pPr>
      <w:r w:rsidRPr="000C717C">
        <w:rPr>
          <w:vertAlign w:val="superscript"/>
        </w:rPr>
        <w:t>*</w:t>
      </w:r>
      <w:r w:rsidRPr="000C717C">
        <w:t>EU-RMP only</w:t>
      </w:r>
      <w:r w:rsidRPr="000C717C">
        <w:tab/>
      </w:r>
      <w:r w:rsidRPr="000C717C">
        <w:rPr>
          <w:vertAlign w:val="superscript"/>
        </w:rPr>
        <w:t>#</w:t>
      </w:r>
      <w:r w:rsidRPr="000C717C">
        <w:t>ASA only</w:t>
      </w:r>
      <w:r w:rsidRPr="000C717C">
        <w:tab/>
        <w:t>^Follow-up form</w:t>
      </w:r>
    </w:p>
    <w:p w14:paraId="366586E2" w14:textId="77777777" w:rsidR="000C4CCD" w:rsidRDefault="007A5D6F" w:rsidP="007D061B">
      <w:r w:rsidRPr="007D061B">
        <w:t xml:space="preserve">The safety concerns in the ASA align with the reference product, </w:t>
      </w:r>
      <w:r w:rsidR="00B263C3" w:rsidRPr="007D061B">
        <w:t>Stelara</w:t>
      </w:r>
      <w:r w:rsidRPr="007D061B">
        <w:t>, and are acceptable</w:t>
      </w:r>
      <w:r w:rsidR="000C4CCD">
        <w:t>.</w:t>
      </w:r>
    </w:p>
    <w:p w14:paraId="49690EAC" w14:textId="7FECB194" w:rsidR="007A5D6F" w:rsidRPr="007D061B" w:rsidRDefault="007A5D6F" w:rsidP="007D061B">
      <w:r w:rsidRPr="007D061B">
        <w:t xml:space="preserve">The pharmacovigilance plan in the ASA generally aligns with the reference product, </w:t>
      </w:r>
      <w:r w:rsidR="00B263C3" w:rsidRPr="007D061B">
        <w:t>Stelara</w:t>
      </w:r>
      <w:r w:rsidRPr="007D061B">
        <w:t>, and is acceptable.</w:t>
      </w:r>
    </w:p>
    <w:p w14:paraId="5E64B486" w14:textId="77777777" w:rsidR="007A5D6F" w:rsidRDefault="007A5D6F" w:rsidP="007D061B">
      <w:r w:rsidRPr="007D061B">
        <w:t>The risk minimisation plan in the ASA aligns with the reference product and is acceptable.</w:t>
      </w:r>
    </w:p>
    <w:p w14:paraId="0C6A8FF5" w14:textId="75D7E300" w:rsidR="006D0322" w:rsidRPr="007D061B" w:rsidRDefault="006D0322" w:rsidP="007D061B">
      <w:r>
        <w:t>The RMP evaluation recommended conditions of registration relating to the versions of the risk management plan, and inclusion of the medicine in the Black Triangle Scheme.</w:t>
      </w:r>
    </w:p>
    <w:p w14:paraId="456C7934" w14:textId="2E18706A" w:rsidR="00FA1BC9" w:rsidRDefault="00FA1BC9" w:rsidP="00FA1BC9">
      <w:pPr>
        <w:rPr>
          <w:szCs w:val="22"/>
        </w:rPr>
      </w:pPr>
      <w:bookmarkStart w:id="57" w:name="_Toc103679299"/>
      <w:r w:rsidRPr="00BD5DBD">
        <w:rPr>
          <w:szCs w:val="22"/>
        </w:rPr>
        <w:t xml:space="preserve">The TGA may request an updated RMP at any stage of a product's </w:t>
      </w:r>
      <w:proofErr w:type="gramStart"/>
      <w:r w:rsidRPr="00BD5DBD">
        <w:rPr>
          <w:szCs w:val="22"/>
        </w:rPr>
        <w:t>life-cycle</w:t>
      </w:r>
      <w:proofErr w:type="gramEnd"/>
      <w:r w:rsidRPr="00BD5DBD">
        <w:rPr>
          <w:szCs w:val="22"/>
        </w:rPr>
        <w:t>, during both the pre</w:t>
      </w:r>
      <w:r w:rsidR="00553922">
        <w:rPr>
          <w:szCs w:val="22"/>
        </w:rPr>
        <w:t>-</w:t>
      </w:r>
      <w:r w:rsidRPr="00BD5DBD">
        <w:rPr>
          <w:szCs w:val="22"/>
        </w:rPr>
        <w:t xml:space="preserve">approval and post-approval phases. Further information regarding the TGA’s risk management approach can be found in </w:t>
      </w:r>
      <w:hyperlink r:id="rId42" w:history="1">
        <w:r w:rsidRPr="00BD5DBD">
          <w:rPr>
            <w:rStyle w:val="Hyperlink"/>
            <w:szCs w:val="22"/>
          </w:rPr>
          <w:t>risk management plans for medicines and biologicals</w:t>
        </w:r>
      </w:hyperlink>
      <w:r w:rsidRPr="00BD5DBD">
        <w:rPr>
          <w:szCs w:val="22"/>
        </w:rPr>
        <w:t xml:space="preserve"> and </w:t>
      </w:r>
      <w:hyperlink r:id="rId43" w:history="1">
        <w:r w:rsidRPr="00BD5DBD">
          <w:rPr>
            <w:rStyle w:val="Hyperlink"/>
            <w:szCs w:val="22"/>
          </w:rPr>
          <w:t>the TGA's risk management approach</w:t>
        </w:r>
      </w:hyperlink>
      <w:r w:rsidRPr="00BD5DBD">
        <w:rPr>
          <w:szCs w:val="22"/>
        </w:rPr>
        <w:t xml:space="preserve">. Information on the </w:t>
      </w:r>
      <w:hyperlink r:id="rId44"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5"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58" w:name="_Toc212469873"/>
      <w:r>
        <w:lastRenderedPageBreak/>
        <w:t>Risk-benefit analysis</w:t>
      </w:r>
      <w:bookmarkEnd w:id="54"/>
      <w:bookmarkEnd w:id="55"/>
      <w:bookmarkEnd w:id="57"/>
      <w:bookmarkEnd w:id="58"/>
    </w:p>
    <w:p w14:paraId="77DE2655" w14:textId="77777777" w:rsidR="00C22214" w:rsidRDefault="00C22214" w:rsidP="00C22214">
      <w:pPr>
        <w:pStyle w:val="Heading4"/>
      </w:pPr>
      <w:bookmarkStart w:id="59" w:name="_Toc98931932"/>
      <w:bookmarkStart w:id="60" w:name="_Toc212469874"/>
      <w:r>
        <w:t>Delegate’s considerations</w:t>
      </w:r>
      <w:bookmarkEnd w:id="59"/>
      <w:bookmarkEnd w:id="60"/>
    </w:p>
    <w:p w14:paraId="659FE3D6" w14:textId="67158F98" w:rsidR="002804E2" w:rsidRDefault="002804E2" w:rsidP="002804E2">
      <w:pPr>
        <w:rPr>
          <w:iCs/>
        </w:rPr>
      </w:pPr>
      <w:r>
        <w:t>This application seeks to register U</w:t>
      </w:r>
      <w:r w:rsidR="009042A9">
        <w:t>teknix</w:t>
      </w:r>
      <w:r>
        <w:t xml:space="preserve"> (designated AVT04 during clinical development), a biosimilar of the innovator product </w:t>
      </w:r>
      <w:r w:rsidR="00B263C3">
        <w:t>Stelara</w:t>
      </w:r>
      <w:r>
        <w:t xml:space="preserve"> (</w:t>
      </w:r>
      <w:proofErr w:type="spellStart"/>
      <w:r>
        <w:t>ustekinumab</w:t>
      </w:r>
      <w:proofErr w:type="spellEnd"/>
      <w:r>
        <w:t xml:space="preserve">), however, only some of the registered presentations and approved therapeutic indications for </w:t>
      </w:r>
      <w:r w:rsidR="00B263C3">
        <w:t>Stelara</w:t>
      </w:r>
      <w:r>
        <w:t xml:space="preserve"> are sought in the current application. The sponsor is seeking registration of </w:t>
      </w:r>
      <w:r>
        <w:rPr>
          <w:iCs/>
        </w:rPr>
        <w:t>45 mg/0.5 mL and 90 mg/1.0 mL pre-filled syringe presentations (for subcutaneous injection) of U</w:t>
      </w:r>
      <w:r w:rsidR="009042A9">
        <w:rPr>
          <w:iCs/>
        </w:rPr>
        <w:t>teknix</w:t>
      </w:r>
      <w:r>
        <w:rPr>
          <w:iCs/>
        </w:rPr>
        <w:t xml:space="preserve"> for the </w:t>
      </w:r>
      <w:proofErr w:type="gramStart"/>
      <w:r>
        <w:rPr>
          <w:iCs/>
        </w:rPr>
        <w:t>indications</w:t>
      </w:r>
      <w:proofErr w:type="gramEnd"/>
      <w:r>
        <w:rPr>
          <w:iCs/>
        </w:rPr>
        <w:t xml:space="preserve"> plaque psoriasis and psoriatic arthritis in adult patients only. Additional registered presentations for </w:t>
      </w:r>
      <w:r w:rsidR="00B263C3">
        <w:rPr>
          <w:iCs/>
        </w:rPr>
        <w:t>Stelara</w:t>
      </w:r>
      <w:r>
        <w:rPr>
          <w:iCs/>
        </w:rPr>
        <w:t>, including 45 mg/0.5 mL and 90 mg/1.0 mL pre-filled pen, 45 mg/0.5 mL solution for infusion as a single-use vial, and 130 mg/26 mL solution for infusion as a single-use vial, are not sought for U</w:t>
      </w:r>
      <w:r w:rsidR="009042A9">
        <w:rPr>
          <w:iCs/>
        </w:rPr>
        <w:t>teknix</w:t>
      </w:r>
      <w:r>
        <w:rPr>
          <w:iCs/>
        </w:rPr>
        <w:t xml:space="preserve"> in this application. Currently approved therapeutic indications for </w:t>
      </w:r>
      <w:r w:rsidR="00B263C3">
        <w:rPr>
          <w:iCs/>
        </w:rPr>
        <w:t>Stelara</w:t>
      </w:r>
      <w:r>
        <w:rPr>
          <w:iCs/>
        </w:rPr>
        <w:t xml:space="preserve"> which are not sought for U</w:t>
      </w:r>
      <w:r w:rsidR="009042A9">
        <w:rPr>
          <w:iCs/>
        </w:rPr>
        <w:t>teknix</w:t>
      </w:r>
      <w:r>
        <w:rPr>
          <w:iCs/>
        </w:rPr>
        <w:t xml:space="preserve"> in this application include plaque psoriasis in the paediatric population (6 years and older), Crohn’s Disease and Ulcerative Colitis.</w:t>
      </w:r>
    </w:p>
    <w:p w14:paraId="41F481C0" w14:textId="28A5083E" w:rsidR="002804E2" w:rsidRDefault="002804E2" w:rsidP="002804E2">
      <w:pPr>
        <w:rPr>
          <w:iCs/>
        </w:rPr>
      </w:pPr>
      <w:r>
        <w:rPr>
          <w:iCs/>
        </w:rPr>
        <w:t>P</w:t>
      </w:r>
      <w:r w:rsidR="00DB259E">
        <w:rPr>
          <w:iCs/>
        </w:rPr>
        <w:t>harmacokinetic</w:t>
      </w:r>
      <w:r>
        <w:rPr>
          <w:iCs/>
        </w:rPr>
        <w:t xml:space="preserve"> similarity between U</w:t>
      </w:r>
      <w:r w:rsidR="009042A9">
        <w:rPr>
          <w:iCs/>
        </w:rPr>
        <w:t>teknix</w:t>
      </w:r>
      <w:r>
        <w:rPr>
          <w:iCs/>
        </w:rPr>
        <w:t xml:space="preserve"> and the innovator product is supported by one Phase </w:t>
      </w:r>
      <w:r w:rsidR="00DB259E">
        <w:rPr>
          <w:iCs/>
        </w:rPr>
        <w:t>I</w:t>
      </w:r>
      <w:r>
        <w:rPr>
          <w:iCs/>
        </w:rPr>
        <w:t xml:space="preserve"> study in healthy adult subjects in which pre-specified criteria for PK similarity between AVT04, EU-</w:t>
      </w:r>
      <w:r w:rsidR="00B263C3">
        <w:rPr>
          <w:iCs/>
        </w:rPr>
        <w:t>Stelara</w:t>
      </w:r>
      <w:r>
        <w:rPr>
          <w:iCs/>
        </w:rPr>
        <w:t xml:space="preserve"> and US-</w:t>
      </w:r>
      <w:r w:rsidR="00B263C3">
        <w:rPr>
          <w:iCs/>
        </w:rPr>
        <w:t>Stelara</w:t>
      </w:r>
      <w:r>
        <w:rPr>
          <w:iCs/>
        </w:rPr>
        <w:t xml:space="preserve"> were not met on primary analysis, however, were met after drug protein content normalisation of PK parameters. Equivalent efficacy between U</w:t>
      </w:r>
      <w:r w:rsidR="00190449">
        <w:rPr>
          <w:iCs/>
        </w:rPr>
        <w:t>teknix</w:t>
      </w:r>
      <w:r>
        <w:rPr>
          <w:iCs/>
        </w:rPr>
        <w:t xml:space="preserve"> and the innovator product is supported by one Phase </w:t>
      </w:r>
      <w:r w:rsidR="002800A9">
        <w:rPr>
          <w:iCs/>
        </w:rPr>
        <w:t>III</w:t>
      </w:r>
      <w:r>
        <w:rPr>
          <w:iCs/>
        </w:rPr>
        <w:t xml:space="preserve"> study in which prespecified criteria for equivalence were met. Safety data obtained during clinical development did not identify major differences between U</w:t>
      </w:r>
      <w:r w:rsidR="00190449">
        <w:rPr>
          <w:iCs/>
        </w:rPr>
        <w:t>teknix</w:t>
      </w:r>
      <w:r>
        <w:rPr>
          <w:iCs/>
        </w:rPr>
        <w:t xml:space="preserve"> and the reference product, whilst assessments of immunogenicity suggested lower rate of development of ADAs and </w:t>
      </w:r>
      <w:proofErr w:type="spellStart"/>
      <w:r>
        <w:rPr>
          <w:iCs/>
        </w:rPr>
        <w:t>NAbs</w:t>
      </w:r>
      <w:proofErr w:type="spellEnd"/>
      <w:r>
        <w:rPr>
          <w:iCs/>
        </w:rPr>
        <w:t xml:space="preserve"> to </w:t>
      </w:r>
      <w:proofErr w:type="spellStart"/>
      <w:r>
        <w:rPr>
          <w:iCs/>
        </w:rPr>
        <w:t>ustekinumab</w:t>
      </w:r>
      <w:proofErr w:type="spellEnd"/>
      <w:r>
        <w:rPr>
          <w:iCs/>
        </w:rPr>
        <w:t xml:space="preserve"> in those treated with U</w:t>
      </w:r>
      <w:r w:rsidR="00190449">
        <w:rPr>
          <w:iCs/>
        </w:rPr>
        <w:t>teknix</w:t>
      </w:r>
      <w:r>
        <w:rPr>
          <w:iCs/>
        </w:rPr>
        <w:t xml:space="preserve"> compared to the reference product. These issues will be expanded upon in the following discussion.</w:t>
      </w:r>
    </w:p>
    <w:p w14:paraId="5C228A00" w14:textId="77777777" w:rsidR="002804E2" w:rsidRDefault="002804E2" w:rsidP="00C54FF2">
      <w:pPr>
        <w:pStyle w:val="Heading5"/>
      </w:pPr>
      <w:r>
        <w:t>Proposed indication</w:t>
      </w:r>
    </w:p>
    <w:p w14:paraId="34150761" w14:textId="7CEC6CCF" w:rsidR="002804E2" w:rsidRDefault="002804E2" w:rsidP="002804E2">
      <w:r>
        <w:t xml:space="preserve">The application seeks approval for treatment of plaque psoriasis and psoriatic arthritis in adult patients, two of the five currently approved indications for </w:t>
      </w:r>
      <w:r w:rsidR="00B263C3">
        <w:t>Stelara</w:t>
      </w:r>
      <w:r>
        <w:t xml:space="preserve"> in Australia. Clinical development of AVT04 centred on plaque psoriasis, on the basis that this was the most sensitive indication for detection of differences in efficacy, safety and immunogenicity between the proposed biosimilar and reference product. This rationale is considered reasonable. Justification of extrapolation of clinical development data to the proposed indication psoriatic arthritis referenced a common mechanism of action underpinning therapeutic effect of </w:t>
      </w:r>
      <w:proofErr w:type="spellStart"/>
      <w:r>
        <w:t>ustekinumab</w:t>
      </w:r>
      <w:proofErr w:type="spellEnd"/>
      <w:r>
        <w:t xml:space="preserve"> in both indications and evidence of similarity of PK, safety and immunogenicity of </w:t>
      </w:r>
      <w:proofErr w:type="spellStart"/>
      <w:r>
        <w:t>ustekinumab</w:t>
      </w:r>
      <w:proofErr w:type="spellEnd"/>
      <w:r>
        <w:t xml:space="preserve"> between indications. This justification is acceptable, however, given immunogenicity data in the dossier shows some differences between AVT04 and </w:t>
      </w:r>
      <w:r w:rsidR="00B263C3">
        <w:t>Stelara</w:t>
      </w:r>
      <w:r>
        <w:t xml:space="preserve"> reference products further questions will be posed to the sponsor regarding the immunogenicity element of the justification for extrapolation, and to</w:t>
      </w:r>
      <w:r w:rsidR="00F85DC3">
        <w:t xml:space="preserve"> the Advisory Committee on Medicines (</w:t>
      </w:r>
      <w:r>
        <w:t>ACM</w:t>
      </w:r>
      <w:r w:rsidR="00F85DC3">
        <w:t>)</w:t>
      </w:r>
      <w:r>
        <w:t xml:space="preserve"> regarding the sponsor’s justification for extrapolation generally.</w:t>
      </w:r>
    </w:p>
    <w:p w14:paraId="25C8E4DD" w14:textId="77777777" w:rsidR="002804E2" w:rsidRDefault="002804E2" w:rsidP="00C54FF2">
      <w:pPr>
        <w:pStyle w:val="Heading5"/>
      </w:pPr>
      <w:r>
        <w:t>Pharmacokinetic equivalence</w:t>
      </w:r>
    </w:p>
    <w:p w14:paraId="1D2B9EFC" w14:textId="77777777" w:rsidR="000C4CCD" w:rsidRDefault="002804E2" w:rsidP="002804E2">
      <w:r>
        <w:t xml:space="preserve">Comparison of PK of AVT04 and </w:t>
      </w:r>
      <w:r w:rsidR="00B263C3">
        <w:t>Stelara</w:t>
      </w:r>
      <w:r>
        <w:t xml:space="preserve"> reference products, represented by EU-sourced </w:t>
      </w:r>
      <w:r w:rsidR="00B263C3">
        <w:t>Stelara</w:t>
      </w:r>
      <w:r>
        <w:t xml:space="preserve"> and US-sourced </w:t>
      </w:r>
      <w:r w:rsidR="00B263C3">
        <w:t>Stelara</w:t>
      </w:r>
      <w:r>
        <w:t xml:space="preserve">, was the primary objective of AVT04-GL-101, a Phase </w:t>
      </w:r>
      <w:r w:rsidR="0045111B">
        <w:t>I</w:t>
      </w:r>
      <w:r>
        <w:t>, first-in-human, randomised, double-blind, single-dose, parallel-group, 3-arm study. A total of 298 healthy adult subjects aged 18 to 55 years were randomised across three treatment groups, each receiving a single 45 mg subcutaneous dose of study treatment. Pairwise comparisons between all treatment groups were undertaken for the co-primary endpoints C</w:t>
      </w:r>
      <w:r>
        <w:rPr>
          <w:vertAlign w:val="subscript"/>
        </w:rPr>
        <w:t xml:space="preserve">max </w:t>
      </w:r>
      <w:r>
        <w:t>and AUC</w:t>
      </w:r>
      <w:r>
        <w:rPr>
          <w:vertAlign w:val="subscript"/>
        </w:rPr>
        <w:t>0-inf</w:t>
      </w:r>
      <w:r>
        <w:t xml:space="preserve">, with PK similarity established if the 90% CIs of the geometric mean ratios were entirely contained within the equivalence margin of 0.8 to 1.25 for both co-primary endpoints, across all pairwise </w:t>
      </w:r>
      <w:r>
        <w:lastRenderedPageBreak/>
        <w:t>comparisons. Equivalence was not established based on primary analysis, with the upper bound of the 90% CI of the GMR for AUC</w:t>
      </w:r>
      <w:r>
        <w:rPr>
          <w:vertAlign w:val="subscript"/>
        </w:rPr>
        <w:t>0-inf</w:t>
      </w:r>
      <w:r>
        <w:t xml:space="preserve"> in the AVT04/EU-</w:t>
      </w:r>
      <w:r w:rsidR="00B263C3">
        <w:t>Stelara</w:t>
      </w:r>
      <w:r>
        <w:t xml:space="preserve"> comparison (126.4) falling just outside the prespecified equivalence margin. All pairwise comparisons for the co-primary endpoint C</w:t>
      </w:r>
      <w:r>
        <w:rPr>
          <w:vertAlign w:val="subscript"/>
        </w:rPr>
        <w:t xml:space="preserve">max </w:t>
      </w:r>
      <w:r>
        <w:t>met the criteria for equivalence, whilst all other pairwise comparisons for AUC</w:t>
      </w:r>
      <w:r>
        <w:rPr>
          <w:vertAlign w:val="subscript"/>
        </w:rPr>
        <w:t>0-inf</w:t>
      </w:r>
      <w:r>
        <w:t xml:space="preserve"> excepting the AVT04/EU-</w:t>
      </w:r>
      <w:r w:rsidR="00B263C3">
        <w:t>Stelara</w:t>
      </w:r>
      <w:r>
        <w:t xml:space="preserve"> comparison met equivalence criteria. Therefore, based on primary analysis, PK similarity of AVT04/US-</w:t>
      </w:r>
      <w:r w:rsidR="00B263C3">
        <w:t>Stelara</w:t>
      </w:r>
      <w:r>
        <w:t>, and US-</w:t>
      </w:r>
      <w:r w:rsidR="00B263C3">
        <w:t>Stelara</w:t>
      </w:r>
      <w:r>
        <w:t>/EU-</w:t>
      </w:r>
      <w:r w:rsidR="00B263C3">
        <w:t>Stelara</w:t>
      </w:r>
      <w:r>
        <w:t xml:space="preserve"> was established, whilst PK similarity of AVT04/EU-</w:t>
      </w:r>
      <w:r w:rsidR="00B263C3">
        <w:t>Stelara</w:t>
      </w:r>
      <w:r>
        <w:t xml:space="preserve"> could not be established</w:t>
      </w:r>
      <w:r w:rsidR="000C4CCD">
        <w:t>.</w:t>
      </w:r>
    </w:p>
    <w:p w14:paraId="61735E06" w14:textId="1195069E" w:rsidR="002804E2" w:rsidRDefault="002804E2" w:rsidP="002804E2">
      <w:r>
        <w:t>Analysis of PK similarity was repeated using drug protein-content normalised exposure PK parameters, utilising the same method of statistical analysis, and criteria for equivalence. This analysis resulted in the 90% CIs of the GMRs for both co-primary endpoints C</w:t>
      </w:r>
      <w:r>
        <w:rPr>
          <w:vertAlign w:val="subscript"/>
        </w:rPr>
        <w:t xml:space="preserve">max </w:t>
      </w:r>
      <w:r>
        <w:t>and AUC</w:t>
      </w:r>
      <w:r>
        <w:rPr>
          <w:vertAlign w:val="subscript"/>
        </w:rPr>
        <w:t>0-inf</w:t>
      </w:r>
      <w:r>
        <w:t xml:space="preserve"> entirely contained between 80% and 125% for each of the 3 pairwise comparisons. Therefore, following protein content normalisation, equivalence criteria were met. The sponsor reported </w:t>
      </w:r>
      <w:r w:rsidRPr="00304C7F">
        <w:t>that</w:t>
      </w:r>
      <w:r>
        <w:t xml:space="preserve"> drug</w:t>
      </w:r>
      <w:r w:rsidRPr="00304C7F">
        <w:t xml:space="preserve"> protein content for EU-</w:t>
      </w:r>
      <w:r w:rsidR="00B263C3">
        <w:t>Stelara</w:t>
      </w:r>
      <w:r w:rsidRPr="00304C7F">
        <w:t>, at 82.3 mg, was found to deviate from the nominal and expected value, 90 mg per 1 mL, and was</w:t>
      </w:r>
      <w:r>
        <w:t xml:space="preserve"> approximately 10%</w:t>
      </w:r>
      <w:r w:rsidRPr="00304C7F">
        <w:t xml:space="preserve"> lower than that determined for AVT04 (91 mg)</w:t>
      </w:r>
      <w:r>
        <w:t>,</w:t>
      </w:r>
      <w:r w:rsidRPr="00304C7F">
        <w:t xml:space="preserve"> and</w:t>
      </w:r>
      <w:r>
        <w:t xml:space="preserve"> around 7% lower than</w:t>
      </w:r>
      <w:r w:rsidRPr="00304C7F">
        <w:t xml:space="preserve"> US-</w:t>
      </w:r>
      <w:r w:rsidR="00B263C3">
        <w:t>Stelara</w:t>
      </w:r>
      <w:r w:rsidRPr="00304C7F">
        <w:t xml:space="preserve"> (88.3 mg)</w:t>
      </w:r>
      <w:r>
        <w:t xml:space="preserve">. In response to </w:t>
      </w:r>
      <w:r w:rsidR="00AE6B0E">
        <w:t>TGA</w:t>
      </w:r>
      <w:r>
        <w:t xml:space="preserve"> questions, the sponsor has detailed difficulties in procuring a representative batch of EU-</w:t>
      </w:r>
      <w:r w:rsidR="00B263C3">
        <w:t>Stelara</w:t>
      </w:r>
      <w:r>
        <w:t xml:space="preserve"> for the clinical development program, with the batch ultimately chosen being the only option in terms of sufficient quantity and shelf-life, and whilst being representative of EU-</w:t>
      </w:r>
      <w:r w:rsidR="00B263C3">
        <w:t>Stelara</w:t>
      </w:r>
      <w:r>
        <w:t xml:space="preserve"> for all quality parameters, drug protein concentration for this batch was lower than expected.</w:t>
      </w:r>
    </w:p>
    <w:p w14:paraId="21EAF90D" w14:textId="363C98C3" w:rsidR="002804E2" w:rsidRDefault="002804E2" w:rsidP="002804E2">
      <w:pPr>
        <w:rPr>
          <w:lang w:eastAsia="ja-JP"/>
        </w:rPr>
      </w:pPr>
      <w:r>
        <w:t xml:space="preserve">The statistical analysis plan for </w:t>
      </w:r>
      <w:r w:rsidR="00AE6B0E">
        <w:t>S</w:t>
      </w:r>
      <w:r>
        <w:t xml:space="preserve">tudy AVT04-GL-101 did not explicitly state that protein content normalised analysis was a requisite component of the overall determination of PK similarity, nor that PK similarity could be established via an alternative analysis if the primary analysis of PK similarity did not meet the pre-determined criteria for equivalence. Furthermore, there were no pre-determined thresholds identified in the clinical study report which would trigger analysis of PK similarity using protein content normalised PK parameters. The sponsor stated that conduct of a sensitivity analysis using protein-content normalised PK parameters aligned with EMA guidance </w:t>
      </w:r>
      <w:r>
        <w:rPr>
          <w:lang w:eastAsia="ja-JP"/>
        </w:rPr>
        <w:t xml:space="preserve">EMEA/CHMP/BMWP/42832/2005 Rev1, ‘Guideline on similar biological medicinal products containing biotechnology-derived proteins as active substance: non-clinical and clinical </w:t>
      </w:r>
      <w:proofErr w:type="gramStart"/>
      <w:r>
        <w:rPr>
          <w:lang w:eastAsia="ja-JP"/>
        </w:rPr>
        <w:t>issues’</w:t>
      </w:r>
      <w:proofErr w:type="gramEnd"/>
      <w:r>
        <w:rPr>
          <w:lang w:eastAsia="ja-JP"/>
        </w:rPr>
        <w:t>. This guidance contains the following relevant statement: ‘</w:t>
      </w:r>
      <w:r>
        <w:rPr>
          <w:i/>
          <w:iCs/>
          <w:lang w:eastAsia="ja-JP"/>
        </w:rPr>
        <w:t xml:space="preserve">Correction for protein content may be acceptable on a case-by-case basis if pre-specified and adequately justified’. </w:t>
      </w:r>
      <w:r>
        <w:rPr>
          <w:lang w:eastAsia="ja-JP"/>
        </w:rPr>
        <w:t>It is the Delegate’s view that, whilst conduct of PK similarity analysis based on protein content normalised PK parameters is reasonable given reported differences in drug protein content between the study treatments, this was not sufficiently prespecified nor adequately justified in the statistical analysis plan or clinical study report for AVT04-GL-101 more broadly.</w:t>
      </w:r>
    </w:p>
    <w:p w14:paraId="4E613EA4" w14:textId="20309554" w:rsidR="002804E2" w:rsidRDefault="002804E2" w:rsidP="002804E2">
      <w:pPr>
        <w:rPr>
          <w:lang w:eastAsia="ja-JP"/>
        </w:rPr>
      </w:pPr>
      <w:r>
        <w:rPr>
          <w:lang w:eastAsia="ja-JP"/>
        </w:rPr>
        <w:t>Point estimates of the GMRs for comparison of AUC</w:t>
      </w:r>
      <w:r>
        <w:rPr>
          <w:vertAlign w:val="subscript"/>
          <w:lang w:eastAsia="ja-JP"/>
        </w:rPr>
        <w:t xml:space="preserve">0-inf </w:t>
      </w:r>
      <w:r>
        <w:rPr>
          <w:lang w:eastAsia="ja-JP"/>
        </w:rPr>
        <w:t>in both primary analysis and protein</w:t>
      </w:r>
      <w:r w:rsidR="002F5BF0">
        <w:rPr>
          <w:lang w:eastAsia="ja-JP"/>
        </w:rPr>
        <w:t xml:space="preserve"> </w:t>
      </w:r>
      <w:r>
        <w:rPr>
          <w:lang w:eastAsia="ja-JP"/>
        </w:rPr>
        <w:t xml:space="preserve">content normalised analysis (116.9% and 109.8% respectively) support an inference of higher systemic </w:t>
      </w:r>
      <w:proofErr w:type="spellStart"/>
      <w:r>
        <w:rPr>
          <w:lang w:eastAsia="ja-JP"/>
        </w:rPr>
        <w:t>ustekinumab</w:t>
      </w:r>
      <w:proofErr w:type="spellEnd"/>
      <w:r>
        <w:rPr>
          <w:lang w:eastAsia="ja-JP"/>
        </w:rPr>
        <w:t xml:space="preserve"> exposure following administration of AVT04 compared to EU-</w:t>
      </w:r>
      <w:r w:rsidR="00B263C3">
        <w:rPr>
          <w:lang w:eastAsia="ja-JP"/>
        </w:rPr>
        <w:t>Stelara</w:t>
      </w:r>
      <w:r>
        <w:rPr>
          <w:lang w:eastAsia="ja-JP"/>
        </w:rPr>
        <w:t xml:space="preserve">. PK results of </w:t>
      </w:r>
      <w:r w:rsidR="002F5BF0">
        <w:rPr>
          <w:lang w:eastAsia="ja-JP"/>
        </w:rPr>
        <w:t>S</w:t>
      </w:r>
      <w:r>
        <w:rPr>
          <w:lang w:eastAsia="ja-JP"/>
        </w:rPr>
        <w:t>tudy AVT04-GL-301, namely a comparison of AVT04/EU-</w:t>
      </w:r>
      <w:r w:rsidR="00B263C3">
        <w:rPr>
          <w:lang w:eastAsia="ja-JP"/>
        </w:rPr>
        <w:t>Stelara</w:t>
      </w:r>
      <w:r>
        <w:rPr>
          <w:lang w:eastAsia="ja-JP"/>
        </w:rPr>
        <w:t xml:space="preserve"> </w:t>
      </w:r>
      <w:proofErr w:type="spellStart"/>
      <w:r>
        <w:rPr>
          <w:lang w:eastAsia="ja-JP"/>
        </w:rPr>
        <w:t>C</w:t>
      </w:r>
      <w:r>
        <w:rPr>
          <w:vertAlign w:val="subscript"/>
          <w:lang w:eastAsia="ja-JP"/>
        </w:rPr>
        <w:t>trough</w:t>
      </w:r>
      <w:proofErr w:type="spellEnd"/>
      <w:r>
        <w:rPr>
          <w:vertAlign w:val="subscript"/>
          <w:lang w:eastAsia="ja-JP"/>
        </w:rPr>
        <w:t xml:space="preserve"> </w:t>
      </w:r>
      <w:r>
        <w:rPr>
          <w:lang w:eastAsia="ja-JP"/>
        </w:rPr>
        <w:t xml:space="preserve">levels at different study time points, appear to support this inference of higher systemic </w:t>
      </w:r>
      <w:proofErr w:type="spellStart"/>
      <w:r>
        <w:rPr>
          <w:lang w:eastAsia="ja-JP"/>
        </w:rPr>
        <w:t>ustekinumab</w:t>
      </w:r>
      <w:proofErr w:type="spellEnd"/>
      <w:r>
        <w:rPr>
          <w:lang w:eastAsia="ja-JP"/>
        </w:rPr>
        <w:t xml:space="preserve"> exposure in the AVT04 group. Subgroup analyses demonstrated that systemic </w:t>
      </w:r>
      <w:proofErr w:type="spellStart"/>
      <w:r>
        <w:rPr>
          <w:lang w:eastAsia="ja-JP"/>
        </w:rPr>
        <w:t>ustekinumab</w:t>
      </w:r>
      <w:proofErr w:type="spellEnd"/>
      <w:r>
        <w:rPr>
          <w:lang w:eastAsia="ja-JP"/>
        </w:rPr>
        <w:t xml:space="preserve"> exposure was body-weight dependent, in keeping with what is known about the innovator product, however, did not identify any other factor contributing to the higher systemic exposure observed for AVT04 in the clinical studies. In considering the potential contribution of differences in immunogenicity between AVT04 and EU-</w:t>
      </w:r>
      <w:r w:rsidR="00B263C3">
        <w:rPr>
          <w:lang w:eastAsia="ja-JP"/>
        </w:rPr>
        <w:t>Stelara</w:t>
      </w:r>
      <w:r>
        <w:rPr>
          <w:lang w:eastAsia="ja-JP"/>
        </w:rPr>
        <w:t xml:space="preserve"> to observed differences in systemic </w:t>
      </w:r>
      <w:proofErr w:type="spellStart"/>
      <w:r>
        <w:rPr>
          <w:lang w:eastAsia="ja-JP"/>
        </w:rPr>
        <w:t>ustekinumab</w:t>
      </w:r>
      <w:proofErr w:type="spellEnd"/>
      <w:r>
        <w:rPr>
          <w:lang w:eastAsia="ja-JP"/>
        </w:rPr>
        <w:t xml:space="preserve"> exposure the exploratory nature of subgroup comparisons, based on low numbers of subjects and patients in respective subgroups, is noted. However, descriptive immunogenicity data across both </w:t>
      </w:r>
      <w:r w:rsidR="006B568E">
        <w:rPr>
          <w:lang w:eastAsia="ja-JP"/>
        </w:rPr>
        <w:t>S</w:t>
      </w:r>
      <w:r>
        <w:rPr>
          <w:lang w:eastAsia="ja-JP"/>
        </w:rPr>
        <w:t xml:space="preserve">tudies AVT04-GL-101 and AVT04-GL-301 showed consistently lower rates of ADA and </w:t>
      </w:r>
      <w:proofErr w:type="spellStart"/>
      <w:r>
        <w:rPr>
          <w:lang w:eastAsia="ja-JP"/>
        </w:rPr>
        <w:t>NAb</w:t>
      </w:r>
      <w:proofErr w:type="spellEnd"/>
      <w:r>
        <w:rPr>
          <w:lang w:eastAsia="ja-JP"/>
        </w:rPr>
        <w:t xml:space="preserve"> positivity at each study time point for subjects treated with AVT04. A question will be posed to the sponsor regarding the plausible link between higher </w:t>
      </w:r>
      <w:r>
        <w:rPr>
          <w:lang w:eastAsia="ja-JP"/>
        </w:rPr>
        <w:lastRenderedPageBreak/>
        <w:t xml:space="preserve">observed systemic </w:t>
      </w:r>
      <w:proofErr w:type="spellStart"/>
      <w:r>
        <w:rPr>
          <w:lang w:eastAsia="ja-JP"/>
        </w:rPr>
        <w:t>ustekinumab</w:t>
      </w:r>
      <w:proofErr w:type="spellEnd"/>
      <w:r>
        <w:rPr>
          <w:lang w:eastAsia="ja-JP"/>
        </w:rPr>
        <w:t xml:space="preserve"> exposure and lower immunogenicity of AVT04 compared to reference.</w:t>
      </w:r>
    </w:p>
    <w:p w14:paraId="03ACE808" w14:textId="5045DB39" w:rsidR="002804E2" w:rsidRDefault="002804E2" w:rsidP="002804E2">
      <w:pPr>
        <w:rPr>
          <w:lang w:eastAsia="ja-JP"/>
        </w:rPr>
      </w:pPr>
      <w:r>
        <w:rPr>
          <w:lang w:eastAsia="ja-JP"/>
        </w:rPr>
        <w:t xml:space="preserve">The sponsor contended that higher systemic </w:t>
      </w:r>
      <w:proofErr w:type="spellStart"/>
      <w:r>
        <w:rPr>
          <w:lang w:eastAsia="ja-JP"/>
        </w:rPr>
        <w:t>ustekinumab</w:t>
      </w:r>
      <w:proofErr w:type="spellEnd"/>
      <w:r>
        <w:rPr>
          <w:lang w:eastAsia="ja-JP"/>
        </w:rPr>
        <w:t xml:space="preserve"> exposure with AVT04 compared to EU-</w:t>
      </w:r>
      <w:r w:rsidR="00B263C3">
        <w:rPr>
          <w:lang w:eastAsia="ja-JP"/>
        </w:rPr>
        <w:t>Stelara</w:t>
      </w:r>
      <w:r>
        <w:rPr>
          <w:lang w:eastAsia="ja-JP"/>
        </w:rPr>
        <w:t xml:space="preserve"> did not result in clinically meaningful differences in efficacy or safety, on the basis of both the AVT04 clinical development program as summarised in this </w:t>
      </w:r>
      <w:r w:rsidR="0028160A">
        <w:rPr>
          <w:lang w:eastAsia="ja-JP"/>
        </w:rPr>
        <w:t>AusPAR</w:t>
      </w:r>
      <w:r>
        <w:rPr>
          <w:lang w:eastAsia="ja-JP"/>
        </w:rPr>
        <w:t xml:space="preserve">, and integration of data from additional Phase </w:t>
      </w:r>
      <w:r w:rsidR="0028160A">
        <w:rPr>
          <w:lang w:eastAsia="ja-JP"/>
        </w:rPr>
        <w:t>II</w:t>
      </w:r>
      <w:r>
        <w:rPr>
          <w:lang w:eastAsia="ja-JP"/>
        </w:rPr>
        <w:t xml:space="preserve"> and Phase </w:t>
      </w:r>
      <w:r w:rsidR="0028160A">
        <w:rPr>
          <w:lang w:eastAsia="ja-JP"/>
        </w:rPr>
        <w:t xml:space="preserve">III </w:t>
      </w:r>
      <w:r>
        <w:rPr>
          <w:lang w:eastAsia="ja-JP"/>
        </w:rPr>
        <w:t xml:space="preserve">registrational trials for </w:t>
      </w:r>
      <w:proofErr w:type="spellStart"/>
      <w:r>
        <w:rPr>
          <w:lang w:eastAsia="ja-JP"/>
        </w:rPr>
        <w:t>ustekinumab</w:t>
      </w:r>
      <w:proofErr w:type="spellEnd"/>
      <w:r>
        <w:rPr>
          <w:lang w:eastAsia="ja-JP"/>
        </w:rPr>
        <w:t xml:space="preserve"> across multiple indications demonstrating no dose effect in the occurrence AEs or SAEs, and a plateau in the relationship between serum concentration of </w:t>
      </w:r>
      <w:proofErr w:type="spellStart"/>
      <w:r>
        <w:rPr>
          <w:lang w:eastAsia="ja-JP"/>
        </w:rPr>
        <w:t>ustekinumab</w:t>
      </w:r>
      <w:proofErr w:type="spellEnd"/>
      <w:r>
        <w:rPr>
          <w:lang w:eastAsia="ja-JP"/>
        </w:rPr>
        <w:t xml:space="preserve"> and clinical efficacy. Further advice regarding clinical implications of higher systemic </w:t>
      </w:r>
      <w:proofErr w:type="spellStart"/>
      <w:r>
        <w:rPr>
          <w:lang w:eastAsia="ja-JP"/>
        </w:rPr>
        <w:t>ustekinumab</w:t>
      </w:r>
      <w:proofErr w:type="spellEnd"/>
      <w:r>
        <w:rPr>
          <w:lang w:eastAsia="ja-JP"/>
        </w:rPr>
        <w:t xml:space="preserve"> exposure following administration of AVT04 will be sought from </w:t>
      </w:r>
      <w:r w:rsidR="00455E1F">
        <w:rPr>
          <w:lang w:eastAsia="ja-JP"/>
        </w:rPr>
        <w:t>the A</w:t>
      </w:r>
      <w:r>
        <w:rPr>
          <w:lang w:eastAsia="ja-JP"/>
        </w:rPr>
        <w:t>CM.</w:t>
      </w:r>
    </w:p>
    <w:p w14:paraId="1B4E3534" w14:textId="60BC9104" w:rsidR="002804E2" w:rsidRPr="00920D65" w:rsidRDefault="002804E2" w:rsidP="002804E2">
      <w:pPr>
        <w:rPr>
          <w:lang w:eastAsia="ja-JP"/>
        </w:rPr>
      </w:pPr>
      <w:r>
        <w:rPr>
          <w:lang w:eastAsia="ja-JP"/>
        </w:rPr>
        <w:t xml:space="preserve">Overall, notwithstanding identified deficiencies with regard to pre-specification and adequate justification of the use of protein content normalised PK parameters for the purposes of PK similarity analysis, the Delegate is satisfied based on totality of results from </w:t>
      </w:r>
      <w:r w:rsidR="007105D0">
        <w:rPr>
          <w:lang w:eastAsia="ja-JP"/>
        </w:rPr>
        <w:t>S</w:t>
      </w:r>
      <w:r>
        <w:rPr>
          <w:lang w:eastAsia="ja-JP"/>
        </w:rPr>
        <w:t>tudy</w:t>
      </w:r>
      <w:r w:rsidR="007105D0">
        <w:rPr>
          <w:lang w:eastAsia="ja-JP"/>
        </w:rPr>
        <w:t> </w:t>
      </w:r>
      <w:r>
        <w:rPr>
          <w:lang w:eastAsia="ja-JP"/>
        </w:rPr>
        <w:t>AVT04</w:t>
      </w:r>
      <w:r w:rsidR="007105D0">
        <w:rPr>
          <w:lang w:eastAsia="ja-JP"/>
        </w:rPr>
        <w:noBreakHyphen/>
      </w:r>
      <w:r>
        <w:rPr>
          <w:lang w:eastAsia="ja-JP"/>
        </w:rPr>
        <w:t>GL</w:t>
      </w:r>
      <w:r w:rsidR="007105D0">
        <w:rPr>
          <w:lang w:eastAsia="ja-JP"/>
        </w:rPr>
        <w:noBreakHyphen/>
      </w:r>
      <w:r>
        <w:rPr>
          <w:lang w:eastAsia="ja-JP"/>
        </w:rPr>
        <w:t>101 that PK equivalence between AVT04 and both reference treatments has been established, and that use of protein content normalised PK parameters is justifiable with respect to the AVT04/EU-</w:t>
      </w:r>
      <w:r w:rsidR="00B263C3">
        <w:rPr>
          <w:lang w:eastAsia="ja-JP"/>
        </w:rPr>
        <w:t>Stelara</w:t>
      </w:r>
      <w:r>
        <w:rPr>
          <w:lang w:eastAsia="ja-JP"/>
        </w:rPr>
        <w:t xml:space="preserve"> comparison. The sponsor’s justification that higher systemic </w:t>
      </w:r>
      <w:proofErr w:type="spellStart"/>
      <w:r>
        <w:rPr>
          <w:lang w:eastAsia="ja-JP"/>
        </w:rPr>
        <w:t>ustekinumab</w:t>
      </w:r>
      <w:proofErr w:type="spellEnd"/>
      <w:r>
        <w:rPr>
          <w:lang w:eastAsia="ja-JP"/>
        </w:rPr>
        <w:t xml:space="preserve"> exposure following administration of AVT04 does not result in identifiable or clinically meaningful differences in efficacy or safety is considered reasonable, however, further advice will be sought from ACM.</w:t>
      </w:r>
    </w:p>
    <w:p w14:paraId="225BCB82" w14:textId="77777777" w:rsidR="002804E2" w:rsidRDefault="002804E2" w:rsidP="00C54FF2">
      <w:pPr>
        <w:pStyle w:val="Heading5"/>
        <w:rPr>
          <w:lang w:eastAsia="ja-JP"/>
        </w:rPr>
      </w:pPr>
      <w:r>
        <w:rPr>
          <w:lang w:eastAsia="ja-JP"/>
        </w:rPr>
        <w:t>Efficacy</w:t>
      </w:r>
    </w:p>
    <w:p w14:paraId="369AF5DF" w14:textId="5AD9B33E" w:rsidR="002804E2" w:rsidRDefault="002804E2" w:rsidP="002804E2">
      <w:r>
        <w:rPr>
          <w:lang w:eastAsia="ja-JP"/>
        </w:rPr>
        <w:t xml:space="preserve">Efficacy of AVT04 for plaque psoriasis is supported by </w:t>
      </w:r>
      <w:r w:rsidR="000A6C06">
        <w:rPr>
          <w:lang w:eastAsia="ja-JP"/>
        </w:rPr>
        <w:t>S</w:t>
      </w:r>
      <w:r>
        <w:rPr>
          <w:lang w:eastAsia="ja-JP"/>
        </w:rPr>
        <w:t xml:space="preserve">tudy AVT04-GL-301, a Phase </w:t>
      </w:r>
      <w:r w:rsidR="000A6C06">
        <w:rPr>
          <w:lang w:eastAsia="ja-JP"/>
        </w:rPr>
        <w:t>III</w:t>
      </w:r>
      <w:r>
        <w:rPr>
          <w:lang w:eastAsia="ja-JP"/>
        </w:rPr>
        <w:t>, randomised, double-blind equivalence study comparing AVT04 and EU-</w:t>
      </w:r>
      <w:r w:rsidR="00B263C3">
        <w:rPr>
          <w:lang w:eastAsia="ja-JP"/>
        </w:rPr>
        <w:t>Stelara</w:t>
      </w:r>
      <w:r>
        <w:rPr>
          <w:lang w:eastAsia="ja-JP"/>
        </w:rPr>
        <w:t xml:space="preserve"> which randomised 581 patients with moderate to severe plaque psoriasis, with a total study duration of 52 weeks. Primary and key secondary efficacy endpoints based on PASI and </w:t>
      </w:r>
      <w:proofErr w:type="spellStart"/>
      <w:r>
        <w:rPr>
          <w:lang w:eastAsia="ja-JP"/>
        </w:rPr>
        <w:t>sPGA</w:t>
      </w:r>
      <w:proofErr w:type="spellEnd"/>
      <w:r>
        <w:rPr>
          <w:lang w:eastAsia="ja-JP"/>
        </w:rPr>
        <w:t xml:space="preserve"> scoring were appropriate. Pre-determined equivalence criteria as detailed in the statistical analysis plan conformed with relevant FDA and EMA guidance. Equivalence criteria were met for the primary efficacy endpoint, percent PASI improvement from Baseline to Week 12, whilst results of subgroup analyses and analysis of secondary efficacy endpoints were supportive. Of note, re</w:t>
      </w:r>
      <w:r w:rsidR="005B35CC">
        <w:rPr>
          <w:lang w:eastAsia="ja-JP"/>
        </w:rPr>
        <w:noBreakHyphen/>
      </w:r>
      <w:r>
        <w:rPr>
          <w:lang w:eastAsia="ja-JP"/>
        </w:rPr>
        <w:t>randomisation of patients in the EU-</w:t>
      </w:r>
      <w:r w:rsidR="00B263C3">
        <w:rPr>
          <w:lang w:eastAsia="ja-JP"/>
        </w:rPr>
        <w:t>Stelara</w:t>
      </w:r>
      <w:r>
        <w:rPr>
          <w:lang w:eastAsia="ja-JP"/>
        </w:rPr>
        <w:t xml:space="preserve"> treatment group in Stage 2 of the study from Week 16 resulted in 192 patients switching from EU-</w:t>
      </w:r>
      <w:r w:rsidR="00B263C3">
        <w:rPr>
          <w:lang w:eastAsia="ja-JP"/>
        </w:rPr>
        <w:t>Stelara</w:t>
      </w:r>
      <w:r>
        <w:rPr>
          <w:lang w:eastAsia="ja-JP"/>
        </w:rPr>
        <w:t xml:space="preserve"> to AVT04, which </w:t>
      </w:r>
      <w:r>
        <w:t>did not result in meaningful differences in terms of secondary efficacy endpoints at study timepoints from Week</w:t>
      </w:r>
      <w:r w:rsidR="005B35CC">
        <w:t> </w:t>
      </w:r>
      <w:r>
        <w:t xml:space="preserve">16 to Week 52. The sponsor’s justification that plaque psoriasis represented the most sensitive indication for detection of differences in efficacy based on the highest placebo-adjusted response rate during clinical development for </w:t>
      </w:r>
      <w:r w:rsidR="00B263C3">
        <w:t>Stelara</w:t>
      </w:r>
      <w:r>
        <w:t xml:space="preserve"> is considered acceptable.</w:t>
      </w:r>
    </w:p>
    <w:p w14:paraId="71D735F7" w14:textId="77777777" w:rsidR="002804E2" w:rsidRDefault="002804E2" w:rsidP="00C54FF2">
      <w:pPr>
        <w:pStyle w:val="Heading5"/>
        <w:rPr>
          <w:lang w:eastAsia="ja-JP"/>
        </w:rPr>
      </w:pPr>
      <w:r>
        <w:rPr>
          <w:lang w:eastAsia="ja-JP"/>
        </w:rPr>
        <w:t xml:space="preserve">Safety </w:t>
      </w:r>
    </w:p>
    <w:p w14:paraId="683E2948" w14:textId="25CB7B1A" w:rsidR="002804E2" w:rsidRDefault="002804E2" w:rsidP="002804E2">
      <w:pPr>
        <w:rPr>
          <w:lang w:eastAsia="ja-JP"/>
        </w:rPr>
      </w:pPr>
      <w:r>
        <w:rPr>
          <w:lang w:eastAsia="ja-JP"/>
        </w:rPr>
        <w:t xml:space="preserve">In general safety data were comparable for AVT04 and the innovator products with no new safety signals identified. The majority of TEAEs across the clinical development program were categorised as mild in severity. In </w:t>
      </w:r>
      <w:r w:rsidR="00624BC6">
        <w:rPr>
          <w:lang w:eastAsia="ja-JP"/>
        </w:rPr>
        <w:t>S</w:t>
      </w:r>
      <w:r>
        <w:rPr>
          <w:lang w:eastAsia="ja-JP"/>
        </w:rPr>
        <w:t xml:space="preserve">tudy AVT04-GL-101 there was one SAE recorded in the AVT04 treatment group, anaphylactic reaction, not attributed to the study treatment, with the case narrative provided supporting this conclusion. In Stage 1 of </w:t>
      </w:r>
      <w:r w:rsidR="00624BC6">
        <w:rPr>
          <w:lang w:eastAsia="ja-JP"/>
        </w:rPr>
        <w:t>S</w:t>
      </w:r>
      <w:r>
        <w:rPr>
          <w:lang w:eastAsia="ja-JP"/>
        </w:rPr>
        <w:t>tudy AVT04-GL-301 there was a slightly higher rate of infection/infestation in the AVT04 group compared to EU-</w:t>
      </w:r>
      <w:r w:rsidR="00B263C3">
        <w:rPr>
          <w:lang w:eastAsia="ja-JP"/>
        </w:rPr>
        <w:t>Stelara</w:t>
      </w:r>
      <w:r>
        <w:rPr>
          <w:lang w:eastAsia="ja-JP"/>
        </w:rPr>
        <w:t xml:space="preserve"> group, accounted for predominantly by COVID-19 and upper respiratory tract infection, however this trend was not consistent across Stage 2 of the study. Analysis of AESIs, based on warnings and precautions in the EU-</w:t>
      </w:r>
      <w:r w:rsidR="00B263C3">
        <w:rPr>
          <w:lang w:eastAsia="ja-JP"/>
        </w:rPr>
        <w:t>Stelara</w:t>
      </w:r>
      <w:r>
        <w:rPr>
          <w:lang w:eastAsia="ja-JP"/>
        </w:rPr>
        <w:t xml:space="preserve"> product label, showed low numbers of events overall, with a slightly higher rate in the EU-</w:t>
      </w:r>
      <w:r w:rsidR="00B263C3">
        <w:rPr>
          <w:lang w:eastAsia="ja-JP"/>
        </w:rPr>
        <w:t>Stelara</w:t>
      </w:r>
      <w:r>
        <w:rPr>
          <w:lang w:eastAsia="ja-JP"/>
        </w:rPr>
        <w:t xml:space="preserve"> group attributable largely to a higher rate of ISR seen in that group.</w:t>
      </w:r>
    </w:p>
    <w:p w14:paraId="33C2A65E" w14:textId="4D48DCFD" w:rsidR="002804E2" w:rsidRDefault="002804E2" w:rsidP="002804E2">
      <w:pPr>
        <w:rPr>
          <w:lang w:eastAsia="ja-JP"/>
        </w:rPr>
      </w:pPr>
      <w:r>
        <w:rPr>
          <w:lang w:eastAsia="ja-JP"/>
        </w:rPr>
        <w:lastRenderedPageBreak/>
        <w:t xml:space="preserve">Interpretation of safety analyses according to ADA and </w:t>
      </w:r>
      <w:proofErr w:type="spellStart"/>
      <w:r>
        <w:rPr>
          <w:lang w:eastAsia="ja-JP"/>
        </w:rPr>
        <w:t>NAb</w:t>
      </w:r>
      <w:proofErr w:type="spellEnd"/>
      <w:r>
        <w:rPr>
          <w:lang w:eastAsia="ja-JP"/>
        </w:rPr>
        <w:t xml:space="preserve"> subgroups across both studies is difficult given low numbers of subjects/patients per subgroup, and low frequency of specific adverse events.</w:t>
      </w:r>
    </w:p>
    <w:p w14:paraId="3916F296" w14:textId="601292A2" w:rsidR="00C22214" w:rsidRDefault="00C22214" w:rsidP="00881FAA">
      <w:pPr>
        <w:pStyle w:val="Heading5"/>
      </w:pPr>
      <w:bookmarkStart w:id="61" w:name="_Toc98931933"/>
      <w:r w:rsidRPr="00D23139">
        <w:t>Proposed acti</w:t>
      </w:r>
      <w:bookmarkEnd w:id="61"/>
      <w:r w:rsidR="00F07F2F">
        <w:t>on</w:t>
      </w:r>
    </w:p>
    <w:p w14:paraId="5474F3FB" w14:textId="77777777" w:rsidR="000C4CCD" w:rsidRDefault="00F07F2F" w:rsidP="00F07F2F">
      <w:pPr>
        <w:pStyle w:val="Instructions"/>
        <w:rPr>
          <w:i w:val="0"/>
          <w:iCs/>
          <w:color w:val="auto"/>
        </w:rPr>
      </w:pPr>
      <w:r w:rsidRPr="00DC066F">
        <w:rPr>
          <w:i w:val="0"/>
          <w:iCs/>
          <w:color w:val="auto"/>
        </w:rPr>
        <w:t xml:space="preserve">Overall, the evidence provided is considered adequate to support approval of </w:t>
      </w:r>
      <w:r>
        <w:rPr>
          <w:i w:val="0"/>
          <w:iCs/>
          <w:color w:val="auto"/>
        </w:rPr>
        <w:t>U</w:t>
      </w:r>
      <w:r w:rsidR="009203DA">
        <w:rPr>
          <w:i w:val="0"/>
          <w:iCs/>
          <w:color w:val="auto"/>
        </w:rPr>
        <w:t>teknix</w:t>
      </w:r>
      <w:r>
        <w:rPr>
          <w:i w:val="0"/>
          <w:iCs/>
          <w:color w:val="auto"/>
        </w:rPr>
        <w:t xml:space="preserve"> (</w:t>
      </w:r>
      <w:proofErr w:type="spellStart"/>
      <w:r>
        <w:rPr>
          <w:i w:val="0"/>
          <w:iCs/>
          <w:color w:val="auto"/>
        </w:rPr>
        <w:t>ustekinumab</w:t>
      </w:r>
      <w:proofErr w:type="spellEnd"/>
      <w:r>
        <w:rPr>
          <w:i w:val="0"/>
          <w:iCs/>
          <w:color w:val="auto"/>
        </w:rPr>
        <w:t>)</w:t>
      </w:r>
      <w:r w:rsidRPr="00DC066F">
        <w:rPr>
          <w:i w:val="0"/>
          <w:iCs/>
          <w:color w:val="auto"/>
        </w:rPr>
        <w:t xml:space="preserve"> as a biosimilar of </w:t>
      </w:r>
      <w:r w:rsidR="00B263C3">
        <w:rPr>
          <w:i w:val="0"/>
          <w:iCs/>
          <w:color w:val="auto"/>
        </w:rPr>
        <w:t>Stelara</w:t>
      </w:r>
      <w:r w:rsidRPr="00DC066F">
        <w:rPr>
          <w:i w:val="0"/>
          <w:iCs/>
          <w:color w:val="auto"/>
        </w:rPr>
        <w:t xml:space="preserve"> (</w:t>
      </w:r>
      <w:proofErr w:type="spellStart"/>
      <w:r w:rsidRPr="00DC066F">
        <w:rPr>
          <w:i w:val="0"/>
          <w:iCs/>
          <w:color w:val="auto"/>
        </w:rPr>
        <w:t>ustekinumab</w:t>
      </w:r>
      <w:proofErr w:type="spellEnd"/>
      <w:r w:rsidRPr="00DC066F">
        <w:rPr>
          <w:i w:val="0"/>
          <w:iCs/>
          <w:color w:val="auto"/>
        </w:rPr>
        <w:t>), in the 45 mg/0.5 mL pre-filled syringe and 90 mg/</w:t>
      </w:r>
      <w:r>
        <w:rPr>
          <w:i w:val="0"/>
          <w:iCs/>
          <w:color w:val="auto"/>
        </w:rPr>
        <w:t xml:space="preserve"> </w:t>
      </w:r>
      <w:r w:rsidRPr="00DC066F">
        <w:rPr>
          <w:i w:val="0"/>
          <w:iCs/>
          <w:color w:val="auto"/>
        </w:rPr>
        <w:t>1.0 mL pre-filled syringe, for the indications sought, namely psoriasis and psoriatic arthritis in adult patients. However, prior to a final decision, further input is sought from the sponsor and AC</w:t>
      </w:r>
      <w:r w:rsidR="00B76D10">
        <w:rPr>
          <w:i w:val="0"/>
          <w:iCs/>
          <w:color w:val="auto"/>
        </w:rPr>
        <w:t>M</w:t>
      </w:r>
      <w:r w:rsidR="000C4CCD">
        <w:rPr>
          <w:i w:val="0"/>
          <w:iCs/>
          <w:color w:val="auto"/>
        </w:rPr>
        <w:t>.</w:t>
      </w:r>
    </w:p>
    <w:p w14:paraId="318CFABC" w14:textId="775D6191" w:rsidR="00C22214" w:rsidRPr="00F73346" w:rsidRDefault="00C22214" w:rsidP="00C22214">
      <w:pPr>
        <w:pStyle w:val="Heading4"/>
      </w:pPr>
      <w:bookmarkStart w:id="62" w:name="_Toc98931936"/>
      <w:bookmarkStart w:id="63" w:name="_Toc212469875"/>
      <w:bookmarkStart w:id="64" w:name="_Toc247691532"/>
      <w:bookmarkStart w:id="65" w:name="_Toc314842516"/>
      <w:r w:rsidRPr="00F73346">
        <w:t>Advisory Committee considerations</w:t>
      </w:r>
      <w:bookmarkEnd w:id="62"/>
      <w:bookmarkEnd w:id="63"/>
    </w:p>
    <w:p w14:paraId="087BB9CB" w14:textId="77A83F0D" w:rsidR="00C22214" w:rsidRPr="00BD5DBD" w:rsidRDefault="00C22214" w:rsidP="00C22214">
      <w:pPr>
        <w:rPr>
          <w:bCs/>
          <w:szCs w:val="22"/>
        </w:rPr>
      </w:pPr>
      <w:r w:rsidRPr="00BD5DBD">
        <w:rPr>
          <w:bCs/>
          <w:szCs w:val="22"/>
        </w:rPr>
        <w:t xml:space="preserve">The </w:t>
      </w:r>
      <w:hyperlink r:id="rId46" w:history="1">
        <w:r w:rsidRPr="00BD5DBD">
          <w:rPr>
            <w:rStyle w:val="Hyperlink"/>
            <w:szCs w:val="22"/>
          </w:rPr>
          <w:t>Advisory Committee on Medicines (ACM)</w:t>
        </w:r>
      </w:hyperlink>
      <w:r w:rsidRPr="00BD5DBD">
        <w:rPr>
          <w:bCs/>
          <w:szCs w:val="22"/>
        </w:rPr>
        <w:t xml:space="preserve"> having considered the evaluations and the Delegate’s overview, as well as the sponsor’s response to these documents, advised the following.</w:t>
      </w:r>
    </w:p>
    <w:p w14:paraId="0D935CC4" w14:textId="68EBBD97" w:rsidR="00C22214" w:rsidRPr="00F73346" w:rsidRDefault="00C22214" w:rsidP="00C22214">
      <w:pPr>
        <w:pStyle w:val="Heading5"/>
      </w:pPr>
      <w:r w:rsidRPr="00F73346">
        <w:t xml:space="preserve">Specific advice to the </w:t>
      </w:r>
      <w:r w:rsidR="00487AAC">
        <w:t>d</w:t>
      </w:r>
      <w:r w:rsidRPr="00F73346">
        <w:t>elegate</w:t>
      </w:r>
    </w:p>
    <w:p w14:paraId="72D50C9B" w14:textId="70C0453B" w:rsidR="00844851" w:rsidRPr="008E68BB" w:rsidRDefault="00844851" w:rsidP="008E68BB">
      <w:pPr>
        <w:pStyle w:val="Numberbullet0"/>
        <w:rPr>
          <w:b/>
          <w:bCs/>
          <w:i/>
          <w:iCs/>
        </w:rPr>
      </w:pPr>
      <w:r w:rsidRPr="008E68BB">
        <w:rPr>
          <w:b/>
          <w:bCs/>
          <w:i/>
          <w:iCs/>
        </w:rPr>
        <w:t>Does the ACM hold any concerns relating to clinical implications of lower immunogenicity of U</w:t>
      </w:r>
      <w:r w:rsidR="00881FAA" w:rsidRPr="008E68BB">
        <w:rPr>
          <w:b/>
          <w:bCs/>
          <w:i/>
          <w:iCs/>
        </w:rPr>
        <w:t>te</w:t>
      </w:r>
      <w:r w:rsidR="00C04E79" w:rsidRPr="008E68BB">
        <w:rPr>
          <w:b/>
          <w:bCs/>
          <w:i/>
          <w:iCs/>
        </w:rPr>
        <w:t>knix</w:t>
      </w:r>
      <w:r w:rsidRPr="008E68BB">
        <w:rPr>
          <w:b/>
          <w:bCs/>
          <w:i/>
          <w:iCs/>
        </w:rPr>
        <w:t xml:space="preserve"> compared to reference </w:t>
      </w:r>
      <w:r w:rsidR="00B263C3" w:rsidRPr="008E68BB">
        <w:rPr>
          <w:b/>
          <w:bCs/>
          <w:i/>
          <w:iCs/>
        </w:rPr>
        <w:t>Stelara</w:t>
      </w:r>
      <w:r w:rsidRPr="008E68BB">
        <w:rPr>
          <w:b/>
          <w:bCs/>
          <w:i/>
          <w:iCs/>
        </w:rPr>
        <w:t xml:space="preserve"> products?</w:t>
      </w:r>
    </w:p>
    <w:p w14:paraId="52CEC57A" w14:textId="77777777" w:rsidR="000C4CCD" w:rsidRDefault="00844851" w:rsidP="00382E26">
      <w:r w:rsidRPr="00844851">
        <w:t>The ACM considered the data from the AVT04-GL-101 trial, including subgroup analysis for immunogenicity</w:t>
      </w:r>
      <w:r w:rsidR="000C4CCD">
        <w:t>.</w:t>
      </w:r>
    </w:p>
    <w:p w14:paraId="3D336658" w14:textId="7B56FA57" w:rsidR="00844851" w:rsidRPr="00844851" w:rsidRDefault="00844851" w:rsidP="00382E26">
      <w:r w:rsidRPr="00844851">
        <w:t>The ACM noted the difference in immunogenicity between U</w:t>
      </w:r>
      <w:r w:rsidR="009203DA">
        <w:t>teknix</w:t>
      </w:r>
      <w:r w:rsidRPr="00844851">
        <w:t xml:space="preserve">, </w:t>
      </w:r>
      <w:r w:rsidR="00B263C3">
        <w:t>Stelara</w:t>
      </w:r>
      <w:r w:rsidRPr="00844851">
        <w:t xml:space="preserve">-EU and </w:t>
      </w:r>
      <w:r w:rsidR="00B263C3">
        <w:t>Stelara</w:t>
      </w:r>
      <w:r w:rsidRPr="00844851">
        <w:t xml:space="preserve">-US. This difference </w:t>
      </w:r>
      <w:proofErr w:type="gramStart"/>
      <w:r w:rsidRPr="00844851">
        <w:t>was considered to be</w:t>
      </w:r>
      <w:proofErr w:type="gramEnd"/>
      <w:r w:rsidRPr="00844851">
        <w:t xml:space="preserve"> consistent with other </w:t>
      </w:r>
      <w:r w:rsidR="00B263C3">
        <w:t>Stelara</w:t>
      </w:r>
      <w:r w:rsidRPr="00844851">
        <w:t xml:space="preserve"> biosimilar products. The ACM held the view that the significance of this difference was unclear but was unlikely to be of clinical concern.</w:t>
      </w:r>
    </w:p>
    <w:p w14:paraId="77EA049F" w14:textId="1FB4773C" w:rsidR="00844851" w:rsidRPr="001A316D" w:rsidRDefault="00844851" w:rsidP="001A316D">
      <w:pPr>
        <w:pStyle w:val="Numberbullet0"/>
        <w:rPr>
          <w:b/>
          <w:bCs/>
          <w:i/>
          <w:iCs/>
        </w:rPr>
      </w:pPr>
      <w:r w:rsidRPr="001A316D">
        <w:rPr>
          <w:b/>
          <w:bCs/>
          <w:i/>
          <w:iCs/>
        </w:rPr>
        <w:t xml:space="preserve">Does the ACM hold any concerns relating to clinical implications of higher systemic </w:t>
      </w:r>
      <w:proofErr w:type="spellStart"/>
      <w:r w:rsidRPr="001A316D">
        <w:rPr>
          <w:b/>
          <w:bCs/>
          <w:i/>
          <w:iCs/>
        </w:rPr>
        <w:t>ustekinumab</w:t>
      </w:r>
      <w:proofErr w:type="spellEnd"/>
      <w:r w:rsidRPr="001A316D">
        <w:rPr>
          <w:b/>
          <w:bCs/>
          <w:i/>
          <w:iCs/>
        </w:rPr>
        <w:t xml:space="preserve"> exposure following administration of U</w:t>
      </w:r>
      <w:r w:rsidR="00C04E79" w:rsidRPr="001A316D">
        <w:rPr>
          <w:b/>
          <w:bCs/>
          <w:i/>
          <w:iCs/>
        </w:rPr>
        <w:t xml:space="preserve">teknix </w:t>
      </w:r>
      <w:r w:rsidRPr="001A316D">
        <w:rPr>
          <w:b/>
          <w:bCs/>
          <w:i/>
          <w:iCs/>
        </w:rPr>
        <w:t>compared to reference products?</w:t>
      </w:r>
    </w:p>
    <w:p w14:paraId="583C2D8A" w14:textId="694F08BE" w:rsidR="00844851" w:rsidRPr="00844851" w:rsidRDefault="00844851" w:rsidP="00382E26">
      <w:r w:rsidRPr="00844851">
        <w:t>The ACM advised that due to the wide pharmacokinetic/pharmacodynamic window, and the weight-based dosing regimen; a higher level of systemic exposure was not likely to be of concern and unlikely to translate to a clinically meaningful effect.</w:t>
      </w:r>
    </w:p>
    <w:p w14:paraId="17ABF67B" w14:textId="0EC5A7D3" w:rsidR="00844851" w:rsidRPr="001A316D" w:rsidRDefault="00844851" w:rsidP="001A316D">
      <w:pPr>
        <w:pStyle w:val="Numberbullet0"/>
        <w:rPr>
          <w:b/>
          <w:bCs/>
          <w:i/>
          <w:iCs/>
        </w:rPr>
      </w:pPr>
      <w:r w:rsidRPr="001A316D">
        <w:rPr>
          <w:b/>
          <w:bCs/>
          <w:i/>
          <w:iCs/>
        </w:rPr>
        <w:t>What is the ACM’s view on extrapolation of clinical data to the proposed psoriatic arthritis indication?</w:t>
      </w:r>
    </w:p>
    <w:p w14:paraId="2897BC00" w14:textId="4FC4122F" w:rsidR="00844851" w:rsidRPr="00844851" w:rsidRDefault="00844851" w:rsidP="00382E26">
      <w:r w:rsidRPr="00844851">
        <w:t>The ACM advised that the use of plaque psoriasis trial data to extrapolate efficacy to other indications was reasonable as plaque psoriasis shares many pathogenic similarities with psoriatic arthritis and there is no clear demonstration of difference in PK/PD response.</w:t>
      </w:r>
    </w:p>
    <w:p w14:paraId="601412A8" w14:textId="24462C37" w:rsidR="00844851" w:rsidRPr="001A316D" w:rsidRDefault="00844851" w:rsidP="001A316D">
      <w:pPr>
        <w:pStyle w:val="Numberbullet0"/>
        <w:rPr>
          <w:b/>
          <w:bCs/>
          <w:i/>
          <w:iCs/>
        </w:rPr>
      </w:pPr>
      <w:r w:rsidRPr="001A316D">
        <w:rPr>
          <w:b/>
          <w:bCs/>
          <w:i/>
          <w:iCs/>
        </w:rPr>
        <w:t>What is the ACM’s opinion regarding the potential for off-label use of this product, and clinical implications of such use? Does the proposed PI adequately mitigate risks?</w:t>
      </w:r>
    </w:p>
    <w:p w14:paraId="4D9519AC" w14:textId="331AFB05" w:rsidR="00844851" w:rsidRPr="00844851" w:rsidRDefault="00844851" w:rsidP="00382E26">
      <w:r w:rsidRPr="00844851">
        <w:t xml:space="preserve">The ACM </w:t>
      </w:r>
      <w:proofErr w:type="gramStart"/>
      <w:r w:rsidRPr="00844851">
        <w:t>was of the opinion that</w:t>
      </w:r>
      <w:proofErr w:type="gramEnd"/>
      <w:r w:rsidRPr="00844851">
        <w:t xml:space="preserve"> off-label use was likely, but that there were no significant safety concerns arising from potential off-label use.</w:t>
      </w:r>
    </w:p>
    <w:p w14:paraId="6C06BCF7" w14:textId="2D1CBBC5" w:rsidR="00844851" w:rsidRPr="00844851" w:rsidRDefault="00844851" w:rsidP="00382E26">
      <w:r w:rsidRPr="00844851">
        <w:t>The ACM noted however, that rapid switching between products could be a cause for concern, as this could lead to pharmacovigilance signals being more difficult to identify. The ACM advised that the PI would be largely adequate at mitigating the risks this could pose.</w:t>
      </w:r>
    </w:p>
    <w:p w14:paraId="598C35A2" w14:textId="582FC04F" w:rsidR="00844851" w:rsidRPr="00844851" w:rsidRDefault="00844851" w:rsidP="00382E26">
      <w:r w:rsidRPr="00844851">
        <w:t>The ACM advised in favour of a slight change in wording section 1 of the product information to read.</w:t>
      </w:r>
    </w:p>
    <w:p w14:paraId="0CD4B10A" w14:textId="29C803CF" w:rsidR="00844851" w:rsidRPr="00844851" w:rsidRDefault="005D5AC3" w:rsidP="005D5AC3">
      <w:pPr>
        <w:ind w:left="720"/>
      </w:pPr>
      <w:r>
        <w:rPr>
          <w:i/>
          <w:iCs/>
        </w:rPr>
        <w:lastRenderedPageBreak/>
        <w:t>‘</w:t>
      </w:r>
      <w:r w:rsidR="00844851" w:rsidRPr="00844851">
        <w:rPr>
          <w:i/>
          <w:iCs/>
        </w:rPr>
        <w:t>U</w:t>
      </w:r>
      <w:r w:rsidR="00A25DAC">
        <w:rPr>
          <w:i/>
          <w:iCs/>
        </w:rPr>
        <w:t>teknix</w:t>
      </w:r>
      <w:r w:rsidR="00844851" w:rsidRPr="00844851">
        <w:rPr>
          <w:i/>
          <w:iCs/>
        </w:rPr>
        <w:t xml:space="preserve"> is a biosimilar medicine to Stelara. The evidence for comparability supports the use of U</w:t>
      </w:r>
      <w:r w:rsidR="00A25DAC">
        <w:rPr>
          <w:i/>
          <w:iCs/>
        </w:rPr>
        <w:t>teknix</w:t>
      </w:r>
      <w:r w:rsidR="00844851" w:rsidRPr="00844851">
        <w:rPr>
          <w:i/>
          <w:iCs/>
        </w:rPr>
        <w:t xml:space="preserve"> for the listed indications </w:t>
      </w:r>
      <w:r w:rsidRPr="005D5AC3">
        <w:rPr>
          <w:i/>
          <w:iCs/>
          <w:u w:val="single"/>
        </w:rPr>
        <w:t>only</w:t>
      </w:r>
      <w:r>
        <w:rPr>
          <w:i/>
          <w:iCs/>
          <w:u w:val="single"/>
        </w:rPr>
        <w:t>.</w:t>
      </w:r>
      <w:r>
        <w:rPr>
          <w:i/>
          <w:iCs/>
        </w:rPr>
        <w:t>’</w:t>
      </w:r>
    </w:p>
    <w:p w14:paraId="5291EA2A" w14:textId="41383B92" w:rsidR="00C22214" w:rsidRPr="00F73346" w:rsidRDefault="008D56CA" w:rsidP="00C22214">
      <w:pPr>
        <w:pStyle w:val="Heading5"/>
      </w:pPr>
      <w:r>
        <w:t>A</w:t>
      </w:r>
      <w:r w:rsidR="004A45D4">
        <w:t>dvisory committee c</w:t>
      </w:r>
      <w:r w:rsidR="00C22214" w:rsidRPr="00F73346">
        <w:t>onclusion</w:t>
      </w:r>
    </w:p>
    <w:p w14:paraId="0ECD465B" w14:textId="59DDF350" w:rsidR="00386BC3" w:rsidRDefault="00386BC3" w:rsidP="005D5AC3">
      <w:r>
        <w:t xml:space="preserve">The ACM considered this product to have an overall positive benefit-risk profile for the indication: </w:t>
      </w:r>
    </w:p>
    <w:p w14:paraId="7410C3B5" w14:textId="3CE03E22" w:rsidR="00386BC3" w:rsidRPr="005D5AC3" w:rsidRDefault="00386BC3" w:rsidP="005D5AC3">
      <w:pPr>
        <w:ind w:left="720"/>
        <w:rPr>
          <w:i/>
          <w:iCs/>
        </w:rPr>
      </w:pPr>
      <w:r w:rsidRPr="005D5AC3">
        <w:rPr>
          <w:b/>
          <w:bCs/>
          <w:i/>
          <w:iCs/>
        </w:rPr>
        <w:t xml:space="preserve">Plaque psoriasis </w:t>
      </w:r>
    </w:p>
    <w:p w14:paraId="0B17A7F1" w14:textId="77777777" w:rsidR="000C4CCD" w:rsidRDefault="00386BC3" w:rsidP="005D5AC3">
      <w:pPr>
        <w:ind w:left="720"/>
        <w:rPr>
          <w:i/>
          <w:iCs/>
        </w:rPr>
      </w:pPr>
      <w:r w:rsidRPr="005D5AC3">
        <w:rPr>
          <w:i/>
          <w:iCs/>
        </w:rPr>
        <w:t>U</w:t>
      </w:r>
      <w:r w:rsidR="00E26866">
        <w:rPr>
          <w:i/>
          <w:iCs/>
        </w:rPr>
        <w:t>teknix</w:t>
      </w:r>
      <w:r w:rsidRPr="005D5AC3">
        <w:rPr>
          <w:i/>
          <w:iCs/>
        </w:rPr>
        <w:t xml:space="preserve"> is indicated for the treatment of adult patients (18 years or older) with moderate to severe plaque psoriasis who are candidates for phototherapy or systemic therapy</w:t>
      </w:r>
      <w:r w:rsidR="000C4CCD">
        <w:rPr>
          <w:i/>
          <w:iCs/>
        </w:rPr>
        <w:t>.</w:t>
      </w:r>
    </w:p>
    <w:p w14:paraId="6A4874B7" w14:textId="06FF4C1D" w:rsidR="00386BC3" w:rsidRPr="005D5AC3" w:rsidRDefault="00386BC3" w:rsidP="005D5AC3">
      <w:pPr>
        <w:ind w:left="720"/>
        <w:rPr>
          <w:i/>
          <w:iCs/>
        </w:rPr>
      </w:pPr>
      <w:r w:rsidRPr="005D5AC3">
        <w:rPr>
          <w:b/>
          <w:bCs/>
          <w:i/>
          <w:iCs/>
        </w:rPr>
        <w:t xml:space="preserve">Psoriatic arthritis </w:t>
      </w:r>
    </w:p>
    <w:p w14:paraId="15E2951C" w14:textId="26A3748A" w:rsidR="00C22214" w:rsidRPr="005D5AC3" w:rsidRDefault="00386BC3" w:rsidP="005D5AC3">
      <w:pPr>
        <w:ind w:left="720"/>
        <w:rPr>
          <w:i/>
          <w:iCs/>
        </w:rPr>
      </w:pPr>
      <w:r w:rsidRPr="005D5AC3">
        <w:rPr>
          <w:i/>
          <w:iCs/>
        </w:rPr>
        <w:t>U</w:t>
      </w:r>
      <w:r w:rsidR="00E26866">
        <w:rPr>
          <w:i/>
          <w:iCs/>
        </w:rPr>
        <w:t>teknix</w:t>
      </w:r>
      <w:r w:rsidRPr="005D5AC3">
        <w:rPr>
          <w:i/>
          <w:iCs/>
        </w:rPr>
        <w:t xml:space="preserve"> alone or in combination with methotrexate, is indicated for the treatment of signs and symptoms of active psoriatic arthritis in adult patients (18 years and older) where response to previous non-biological DMARD therapy has been inadequate.</w:t>
      </w:r>
    </w:p>
    <w:p w14:paraId="307F236C" w14:textId="7FD19BD3" w:rsidR="00C22214" w:rsidRPr="002E238E" w:rsidRDefault="0046285C" w:rsidP="00C22214">
      <w:pPr>
        <w:pStyle w:val="Heading2"/>
      </w:pPr>
      <w:bookmarkStart w:id="66" w:name="_Toc103679300"/>
      <w:bookmarkStart w:id="67" w:name="_Toc212469876"/>
      <w:r>
        <w:t>Assessment</w:t>
      </w:r>
      <w:r w:rsidR="00190853">
        <w:t xml:space="preserve"> </w:t>
      </w:r>
      <w:r>
        <w:t>o</w:t>
      </w:r>
      <w:r w:rsidR="00C22214">
        <w:t>utcome</w:t>
      </w:r>
      <w:bookmarkEnd w:id="64"/>
      <w:bookmarkEnd w:id="65"/>
      <w:bookmarkEnd w:id="66"/>
      <w:bookmarkEnd w:id="67"/>
    </w:p>
    <w:p w14:paraId="3B245AB5" w14:textId="5DC75529" w:rsidR="00C22214" w:rsidRDefault="00C22214" w:rsidP="00FB3DF2">
      <w:r w:rsidRPr="0017005C">
        <w:t xml:space="preserve">Based on a review of quality, safety, and efficacy, the TGA </w:t>
      </w:r>
      <w:r w:rsidR="00B46DFB">
        <w:t>decided to</w:t>
      </w:r>
      <w:r w:rsidRPr="0017005C">
        <w:t xml:space="preserve"> regist</w:t>
      </w:r>
      <w:r w:rsidR="00B46DFB">
        <w:t>er</w:t>
      </w:r>
      <w:r w:rsidRPr="0017005C">
        <w:t xml:space="preserve"> </w:t>
      </w:r>
      <w:r w:rsidR="003D7083">
        <w:t xml:space="preserve">Uteknix </w:t>
      </w:r>
      <w:r w:rsidRPr="0017005C">
        <w:t>(</w:t>
      </w:r>
      <w:proofErr w:type="spellStart"/>
      <w:r w:rsidR="006B2049" w:rsidRPr="006B2049">
        <w:rPr>
          <w:iCs/>
        </w:rPr>
        <w:t>ustekinumab</w:t>
      </w:r>
      <w:proofErr w:type="spellEnd"/>
      <w:r w:rsidRPr="0017005C">
        <w:t>)</w:t>
      </w:r>
      <w:r w:rsidR="006B2049">
        <w:t xml:space="preserve"> </w:t>
      </w:r>
      <w:r w:rsidR="00FF7625" w:rsidRPr="00FF7625">
        <w:t>45 mg/0.5 mL solution for injection pre-filled</w:t>
      </w:r>
      <w:r w:rsidR="00FF7625">
        <w:t xml:space="preserve">, and </w:t>
      </w:r>
      <w:r w:rsidR="00FB3DF2" w:rsidRPr="00FB3DF2">
        <w:t>90 mg/1 mL solution for injection pre-filled syringe</w:t>
      </w:r>
      <w:r w:rsidR="00FB3DF2">
        <w:t xml:space="preserve"> </w:t>
      </w:r>
      <w:r w:rsidRPr="0017005C">
        <w:t>indicated for</w:t>
      </w:r>
      <w:r w:rsidR="002D5F6E">
        <w:t>:</w:t>
      </w:r>
    </w:p>
    <w:p w14:paraId="09975CAC" w14:textId="77777777" w:rsidR="00834C87" w:rsidRPr="00F476AE" w:rsidRDefault="00834C87" w:rsidP="00A17F27">
      <w:pPr>
        <w:ind w:left="720"/>
        <w:rPr>
          <w:i/>
          <w:iCs/>
        </w:rPr>
      </w:pPr>
      <w:r w:rsidRPr="00F476AE">
        <w:rPr>
          <w:i/>
          <w:iCs/>
        </w:rPr>
        <w:t>Plaque psoriasis</w:t>
      </w:r>
    </w:p>
    <w:p w14:paraId="15F144B5" w14:textId="5D3167BC" w:rsidR="00834C87" w:rsidRPr="00834C87" w:rsidRDefault="00834C87" w:rsidP="00A17F27">
      <w:pPr>
        <w:ind w:left="720"/>
        <w:rPr>
          <w:i/>
          <w:iCs/>
        </w:rPr>
      </w:pPr>
      <w:r w:rsidRPr="00834C87">
        <w:rPr>
          <w:i/>
          <w:iCs/>
        </w:rPr>
        <w:t>U</w:t>
      </w:r>
      <w:r w:rsidR="008C76B2">
        <w:rPr>
          <w:i/>
          <w:iCs/>
        </w:rPr>
        <w:t>teknix</w:t>
      </w:r>
      <w:r w:rsidRPr="00834C87">
        <w:rPr>
          <w:i/>
          <w:iCs/>
        </w:rPr>
        <w:t xml:space="preserve"> is indicated for the treatment of adult patients (18 years or older) with</w:t>
      </w:r>
      <w:r>
        <w:rPr>
          <w:i/>
          <w:iCs/>
        </w:rPr>
        <w:t xml:space="preserve"> </w:t>
      </w:r>
      <w:r w:rsidRPr="00834C87">
        <w:rPr>
          <w:i/>
          <w:iCs/>
        </w:rPr>
        <w:t>moderate to severe plaque psoriasis who are candidates for phototherapy or</w:t>
      </w:r>
      <w:r>
        <w:rPr>
          <w:i/>
          <w:iCs/>
        </w:rPr>
        <w:t xml:space="preserve"> </w:t>
      </w:r>
      <w:r w:rsidRPr="00834C87">
        <w:rPr>
          <w:i/>
          <w:iCs/>
        </w:rPr>
        <w:t>systemic therapy.</w:t>
      </w:r>
    </w:p>
    <w:p w14:paraId="63E584E8" w14:textId="77777777" w:rsidR="00834C87" w:rsidRPr="00F476AE" w:rsidRDefault="00834C87" w:rsidP="00A17F27">
      <w:pPr>
        <w:ind w:left="720"/>
        <w:rPr>
          <w:i/>
          <w:iCs/>
        </w:rPr>
      </w:pPr>
      <w:r w:rsidRPr="00F476AE">
        <w:rPr>
          <w:i/>
          <w:iCs/>
        </w:rPr>
        <w:t>Psoriatic arthritis (PsA)</w:t>
      </w:r>
    </w:p>
    <w:p w14:paraId="478C1E3E" w14:textId="6179BFD2" w:rsidR="00834C87" w:rsidRPr="00834C87" w:rsidRDefault="00834C87" w:rsidP="00A17F27">
      <w:pPr>
        <w:ind w:left="720"/>
        <w:rPr>
          <w:i/>
          <w:iCs/>
        </w:rPr>
      </w:pPr>
      <w:r w:rsidRPr="00834C87">
        <w:rPr>
          <w:i/>
          <w:iCs/>
        </w:rPr>
        <w:t>U</w:t>
      </w:r>
      <w:r w:rsidR="008C76B2">
        <w:rPr>
          <w:i/>
          <w:iCs/>
        </w:rPr>
        <w:t>teknix</w:t>
      </w:r>
      <w:r w:rsidRPr="00834C87">
        <w:rPr>
          <w:i/>
          <w:iCs/>
        </w:rPr>
        <w:t>, alone or in combination with methotrexate, is indicated for the</w:t>
      </w:r>
      <w:r>
        <w:rPr>
          <w:i/>
          <w:iCs/>
        </w:rPr>
        <w:t xml:space="preserve"> </w:t>
      </w:r>
      <w:r w:rsidRPr="00834C87">
        <w:rPr>
          <w:i/>
          <w:iCs/>
        </w:rPr>
        <w:t>treatment of signs and symptoms of active psoriatic arthritis in adult patients</w:t>
      </w:r>
      <w:r>
        <w:rPr>
          <w:i/>
          <w:iCs/>
        </w:rPr>
        <w:t xml:space="preserve"> </w:t>
      </w:r>
      <w:r w:rsidRPr="00834C87">
        <w:rPr>
          <w:i/>
          <w:iCs/>
        </w:rPr>
        <w:t>(18 years and older) where response to previous non-biological DMARD therapy</w:t>
      </w:r>
      <w:r w:rsidR="00A17F27">
        <w:rPr>
          <w:i/>
          <w:iCs/>
        </w:rPr>
        <w:t xml:space="preserve"> </w:t>
      </w:r>
      <w:r w:rsidRPr="00834C87">
        <w:rPr>
          <w:i/>
          <w:iCs/>
        </w:rPr>
        <w:t>has been inadequate.</w:t>
      </w:r>
    </w:p>
    <w:p w14:paraId="3E22D263" w14:textId="4A4DF9F3" w:rsidR="00834C87" w:rsidRPr="00834C87" w:rsidRDefault="00834C87" w:rsidP="00A17F27">
      <w:pPr>
        <w:ind w:left="720"/>
        <w:rPr>
          <w:i/>
          <w:iCs/>
        </w:rPr>
      </w:pPr>
      <w:r w:rsidRPr="00834C87">
        <w:rPr>
          <w:i/>
          <w:iCs/>
        </w:rPr>
        <w:t>U</w:t>
      </w:r>
      <w:r w:rsidR="00501292">
        <w:rPr>
          <w:i/>
          <w:iCs/>
        </w:rPr>
        <w:t>teknix</w:t>
      </w:r>
      <w:r w:rsidRPr="00834C87">
        <w:rPr>
          <w:i/>
          <w:iCs/>
        </w:rPr>
        <w:t xml:space="preserve"> has not been approved for use in children or adolescents under the age</w:t>
      </w:r>
      <w:r w:rsidR="00A17F27">
        <w:rPr>
          <w:i/>
          <w:iCs/>
        </w:rPr>
        <w:t xml:space="preserve"> </w:t>
      </w:r>
      <w:r w:rsidRPr="00834C87">
        <w:rPr>
          <w:i/>
          <w:iCs/>
        </w:rPr>
        <w:t>of 18 years.</w:t>
      </w:r>
    </w:p>
    <w:p w14:paraId="466EB153" w14:textId="109BC218" w:rsidR="00834C87" w:rsidRPr="00BD5DBD" w:rsidRDefault="00834C87" w:rsidP="00A17F27">
      <w:pPr>
        <w:ind w:left="720"/>
      </w:pPr>
      <w:r w:rsidRPr="00834C87">
        <w:rPr>
          <w:i/>
          <w:iCs/>
        </w:rPr>
        <w:t>U</w:t>
      </w:r>
      <w:r w:rsidR="00501292">
        <w:rPr>
          <w:i/>
          <w:iCs/>
        </w:rPr>
        <w:t>teknix</w:t>
      </w:r>
      <w:r w:rsidRPr="00834C87">
        <w:rPr>
          <w:i/>
          <w:iCs/>
        </w:rPr>
        <w:t xml:space="preserve"> has not been approved for use in patients with Crohn’s disease or</w:t>
      </w:r>
      <w:r w:rsidR="00A17F27">
        <w:rPr>
          <w:i/>
          <w:iCs/>
        </w:rPr>
        <w:t xml:space="preserve"> </w:t>
      </w:r>
      <w:r w:rsidRPr="00834C87">
        <w:rPr>
          <w:i/>
          <w:iCs/>
        </w:rPr>
        <w:t>ulcerative colitis.</w:t>
      </w:r>
    </w:p>
    <w:p w14:paraId="0D732DA4" w14:textId="23580011" w:rsidR="00854D98" w:rsidRPr="00D23139" w:rsidRDefault="00854D98" w:rsidP="00CF5A7E">
      <w:pPr>
        <w:pStyle w:val="Heading3"/>
      </w:pPr>
      <w:bookmarkStart w:id="68" w:name="_Toc212469877"/>
      <w:bookmarkStart w:id="69" w:name="_Toc103679301"/>
      <w:r w:rsidRPr="00D23139">
        <w:t>Specific conditions of registration</w:t>
      </w:r>
      <w:bookmarkEnd w:id="68"/>
      <w:r w:rsidRPr="00D23139">
        <w:t xml:space="preserve"> </w:t>
      </w:r>
      <w:bookmarkEnd w:id="69"/>
    </w:p>
    <w:p w14:paraId="1B7F1E26" w14:textId="111466A6" w:rsidR="00605650" w:rsidRDefault="00605650" w:rsidP="00CF5A7E">
      <w:pPr>
        <w:pStyle w:val="ListBullet"/>
      </w:pPr>
      <w:r>
        <w:t>U</w:t>
      </w:r>
      <w:r w:rsidR="006A2C93">
        <w:t>teknix</w:t>
      </w:r>
      <w:r>
        <w:t xml:space="preserve"> (</w:t>
      </w:r>
      <w:proofErr w:type="spellStart"/>
      <w:r>
        <w:t>ustekinumab</w:t>
      </w:r>
      <w:proofErr w:type="spellEnd"/>
      <w:r>
        <w:t xml:space="preserve">) is to be included in the Black Triangle Scheme. The PI and CMI for </w:t>
      </w:r>
      <w:r w:rsidR="006A2C93">
        <w:t>Uteknix</w:t>
      </w:r>
      <w:r>
        <w:t xml:space="preserve"> must include the black triangle symbol and mandatory accompanying text for five years, which starts from the date of first supply of the product.</w:t>
      </w:r>
    </w:p>
    <w:p w14:paraId="73CB117D" w14:textId="15B7D3EF" w:rsidR="00605650" w:rsidRDefault="00605650" w:rsidP="00E41F8C">
      <w:pPr>
        <w:pStyle w:val="ListBullet"/>
      </w:pPr>
      <w:r>
        <w:t xml:space="preserve">The </w:t>
      </w:r>
      <w:proofErr w:type="spellStart"/>
      <w:r>
        <w:t>ustekinumab</w:t>
      </w:r>
      <w:proofErr w:type="spellEnd"/>
      <w:r>
        <w:t xml:space="preserve"> EU-Risk Management Plan (RMP) version 0.4 (dated 03 November 2023, data lock point 12 May 2022), with Australian Specific Annex version 1.1</w:t>
      </w:r>
      <w:r w:rsidR="008722FA">
        <w:t xml:space="preserve"> (</w:t>
      </w:r>
      <w:r>
        <w:t>dated 19</w:t>
      </w:r>
      <w:r w:rsidR="008F6D8C">
        <w:t> </w:t>
      </w:r>
      <w:r>
        <w:t>July</w:t>
      </w:r>
      <w:r w:rsidR="008F6D8C">
        <w:t> </w:t>
      </w:r>
      <w:r>
        <w:t>2024), included with submission PM-2023-03558-1-1, and any subsequent revisions, as agreed with the TGA will be implemented in Australia.</w:t>
      </w:r>
    </w:p>
    <w:p w14:paraId="506ADC40" w14:textId="2B5C6874" w:rsidR="00605650" w:rsidRDefault="00605650" w:rsidP="007D4EDA">
      <w:pPr>
        <w:pStyle w:val="ListBullet"/>
      </w:pPr>
      <w:r>
        <w:t>Laboratory testing &amp; compliance with Certified Product Details (CPD)</w:t>
      </w:r>
    </w:p>
    <w:p w14:paraId="26413279" w14:textId="4F37CB69" w:rsidR="00605650" w:rsidRDefault="00605650" w:rsidP="00CF6B8B">
      <w:pPr>
        <w:pStyle w:val="Numberbullet2"/>
      </w:pPr>
      <w:r>
        <w:t>All batches o</w:t>
      </w:r>
      <w:r w:rsidRPr="008F6D8C">
        <w:t xml:space="preserve">f </w:t>
      </w:r>
      <w:r w:rsidRPr="008F6D8C">
        <w:rPr>
          <w:rFonts w:ascii="Cambria-Bold" w:hAnsi="Cambria-Bold" w:cs="Cambria-Bold"/>
        </w:rPr>
        <w:t>U</w:t>
      </w:r>
      <w:r w:rsidR="008F6D8C" w:rsidRPr="008F6D8C">
        <w:rPr>
          <w:rFonts w:ascii="Cambria-Bold" w:hAnsi="Cambria-Bold" w:cs="Cambria-Bold"/>
        </w:rPr>
        <w:t>teknix</w:t>
      </w:r>
      <w:r w:rsidRPr="008F6D8C">
        <w:rPr>
          <w:rFonts w:ascii="Cambria-Bold" w:hAnsi="Cambria-Bold" w:cs="Cambria-Bold"/>
        </w:rPr>
        <w:t xml:space="preserve"> </w:t>
      </w:r>
      <w:r w:rsidRPr="008F6D8C">
        <w:t>(</w:t>
      </w:r>
      <w:proofErr w:type="spellStart"/>
      <w:r w:rsidRPr="008F6D8C">
        <w:t>ustekinumab</w:t>
      </w:r>
      <w:proofErr w:type="spellEnd"/>
      <w:r w:rsidRPr="008F6D8C">
        <w:t>) 45 mg/0.5 mL solution for injection pre-filled</w:t>
      </w:r>
      <w:r w:rsidR="00B57912" w:rsidRPr="008F6D8C">
        <w:t xml:space="preserve"> </w:t>
      </w:r>
      <w:r w:rsidRPr="008F6D8C">
        <w:t xml:space="preserve">syringe and </w:t>
      </w:r>
      <w:r w:rsidRPr="008F6D8C">
        <w:rPr>
          <w:rFonts w:ascii="Cambria-Bold" w:hAnsi="Cambria-Bold" w:cs="Cambria-Bold"/>
        </w:rPr>
        <w:t>U</w:t>
      </w:r>
      <w:r w:rsidR="008F6D8C" w:rsidRPr="008F6D8C">
        <w:rPr>
          <w:rFonts w:ascii="Cambria-Bold" w:hAnsi="Cambria-Bold" w:cs="Cambria-Bold"/>
        </w:rPr>
        <w:t>teknix</w:t>
      </w:r>
      <w:r w:rsidRPr="008F6D8C">
        <w:t>(</w:t>
      </w:r>
      <w:proofErr w:type="spellStart"/>
      <w:r w:rsidRPr="008F6D8C">
        <w:t>ustekinumab</w:t>
      </w:r>
      <w:proofErr w:type="spellEnd"/>
      <w:r>
        <w:t>) 90 mg/1 mL solution for injection pre-filled</w:t>
      </w:r>
      <w:r w:rsidR="00B57912">
        <w:t xml:space="preserve"> </w:t>
      </w:r>
      <w:r>
        <w:t>syringe supplied in Australia must comply with the product details and specifications</w:t>
      </w:r>
      <w:r w:rsidR="00B57912">
        <w:t xml:space="preserve"> </w:t>
      </w:r>
      <w:r>
        <w:t>approved during evaluation and detailed in the Certified Product Details (CPD).</w:t>
      </w:r>
    </w:p>
    <w:p w14:paraId="2A389532" w14:textId="0565F19A" w:rsidR="00605650" w:rsidRDefault="00605650" w:rsidP="003E5925">
      <w:pPr>
        <w:pStyle w:val="Numberbullet2"/>
      </w:pPr>
      <w:r>
        <w:lastRenderedPageBreak/>
        <w:t xml:space="preserve">When requested by the TGA, the </w:t>
      </w:r>
      <w:r w:rsidR="00652DDC">
        <w:t>s</w:t>
      </w:r>
      <w:r>
        <w:t>ponsor should be prepared to provide product</w:t>
      </w:r>
      <w:r w:rsidR="00B57912">
        <w:t xml:space="preserve"> </w:t>
      </w:r>
      <w:r>
        <w:t>samples, specified reference materials and documentary evidence to enable the TGA to</w:t>
      </w:r>
      <w:r w:rsidR="00B57912">
        <w:t xml:space="preserve"> </w:t>
      </w:r>
      <w:r>
        <w:t xml:space="preserve">conduct laboratory testing on the Product. </w:t>
      </w:r>
      <w:r w:rsidR="00B67DB1" w:rsidRPr="00B67DB1">
        <w:t>Please note that outcomes of laboratory testing may be published on the TGA website</w:t>
      </w:r>
      <w:r w:rsidR="00B67DB1">
        <w:t>.</w:t>
      </w:r>
    </w:p>
    <w:p w14:paraId="44B54E4C" w14:textId="18B9FF03" w:rsidR="00605650" w:rsidRDefault="00605650" w:rsidP="00CF6B8B">
      <w:pPr>
        <w:pStyle w:val="ListBullet"/>
      </w:pPr>
      <w:r>
        <w:t>The Certified Product Details (CPD), as described in Guidance 7: Certified Product Details</w:t>
      </w:r>
      <w:r w:rsidR="00B57912">
        <w:t xml:space="preserve"> </w:t>
      </w:r>
      <w:r>
        <w:t>of the Australian Regulatory Guidelines for Prescription Medicines (ARGPM), in PDF</w:t>
      </w:r>
      <w:r w:rsidR="00B57912">
        <w:t xml:space="preserve"> </w:t>
      </w:r>
      <w:r>
        <w:t>format, for the above products should be provided upon registration of these therapeutic</w:t>
      </w:r>
      <w:r w:rsidR="00B57912">
        <w:t xml:space="preserve"> </w:t>
      </w:r>
      <w:r>
        <w:t>goods. In addition, an updated CPD should be provided when changes to finished product</w:t>
      </w:r>
      <w:r w:rsidR="00B57912">
        <w:t xml:space="preserve"> </w:t>
      </w:r>
      <w:r>
        <w:t>specifications and test methods are approved in a Category 3 application or notified</w:t>
      </w:r>
      <w:r w:rsidR="00B57912">
        <w:t xml:space="preserve"> </w:t>
      </w:r>
      <w:r>
        <w:t>through a self-assessable change.</w:t>
      </w:r>
    </w:p>
    <w:p w14:paraId="0D62D800" w14:textId="6DACF84C" w:rsidR="00605650" w:rsidRDefault="00605650" w:rsidP="00DD61F7">
      <w:pPr>
        <w:ind w:left="360"/>
      </w:pPr>
      <w:r>
        <w:t>A template for preparation of CPD for biological prescription medicines can be obtained</w:t>
      </w:r>
      <w:r w:rsidR="00B57912">
        <w:t xml:space="preserve"> </w:t>
      </w:r>
      <w:r>
        <w:t>from the TGA website</w:t>
      </w:r>
    </w:p>
    <w:p w14:paraId="7772A131" w14:textId="0C87C2F9" w:rsidR="00605650" w:rsidRPr="00B57912" w:rsidRDefault="00605650" w:rsidP="00DD61F7">
      <w:pPr>
        <w:ind w:left="360"/>
        <w:rPr>
          <w:color w:val="4472C4" w:themeColor="accent1"/>
          <w:u w:val="single"/>
        </w:rPr>
      </w:pPr>
      <w:r>
        <w:rPr>
          <w:color w:val="000000"/>
        </w:rPr>
        <w:t xml:space="preserve">[for the form] </w:t>
      </w:r>
      <w:hyperlink r:id="rId47" w:history="1">
        <w:r w:rsidR="00C47759" w:rsidRPr="004D11D6">
          <w:rPr>
            <w:rStyle w:val="Hyperlink"/>
          </w:rPr>
          <w:t>https://www.tga.gov.au/form/certified-product-details-cpd-biologicalprescription-medicines</w:t>
        </w:r>
      </w:hyperlink>
    </w:p>
    <w:p w14:paraId="78C675AF" w14:textId="36AD965C" w:rsidR="00605650" w:rsidRPr="00F73346" w:rsidRDefault="00605650" w:rsidP="00DD61F7">
      <w:pPr>
        <w:ind w:left="360"/>
      </w:pPr>
      <w:r>
        <w:rPr>
          <w:color w:val="000000"/>
        </w:rPr>
        <w:t xml:space="preserve">[for the CPD guidance] </w:t>
      </w:r>
      <w:hyperlink r:id="rId48" w:history="1">
        <w:r w:rsidR="00B95F28" w:rsidRPr="00B36575">
          <w:rPr>
            <w:rStyle w:val="Hyperlink"/>
          </w:rPr>
          <w:t>https://www.tga.gov.au/guidance-7-certified-product-details</w:t>
        </w:r>
      </w:hyperlink>
      <w:r w:rsidR="00B95F28">
        <w:t xml:space="preserve"> </w:t>
      </w:r>
    </w:p>
    <w:p w14:paraId="0F9C1952" w14:textId="46BD475E" w:rsidR="00BA657C" w:rsidRPr="00DD61F7" w:rsidRDefault="00BA657C" w:rsidP="00487AAC">
      <w:pPr>
        <w:pStyle w:val="Heading2"/>
      </w:pPr>
      <w:bookmarkStart w:id="70" w:name="_Toc212469878"/>
      <w:bookmarkStart w:id="71" w:name="_Toc196738290"/>
      <w:r w:rsidRPr="00DD61F7">
        <w:t>Product Information and Consumer Medicine Information</w:t>
      </w:r>
      <w:bookmarkEnd w:id="70"/>
      <w:r w:rsidRPr="00DD61F7">
        <w:t xml:space="preserve"> </w:t>
      </w:r>
      <w:bookmarkEnd w:id="71"/>
    </w:p>
    <w:p w14:paraId="5F276616" w14:textId="6810183C" w:rsidR="004D0933" w:rsidRPr="004D0933" w:rsidRDefault="004D0933" w:rsidP="004D0933">
      <w:bookmarkStart w:id="72" w:name="_Hlk200021736"/>
      <w:r w:rsidRPr="004D0933">
        <w:t xml:space="preserve">For the most recent Product Information (PI) and Consumer Medicine Information (CMI), please refer to the TGA </w:t>
      </w:r>
      <w:hyperlink r:id="rId49" w:history="1">
        <w:r w:rsidRPr="004D0933">
          <w:rPr>
            <w:rStyle w:val="Hyperlink"/>
          </w:rPr>
          <w:t>PI/CMI search facility.</w:t>
        </w:r>
      </w:hyperlink>
    </w:p>
    <w:bookmarkEnd w:id="72"/>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810141B" w:rsidR="00F02AEC" w:rsidRDefault="00F02AEC">
            <w:pPr>
              <w:pStyle w:val="Address"/>
              <w:jc w:val="center"/>
              <w:rPr>
                <w:sz w:val="22"/>
                <w:szCs w:val="22"/>
              </w:rPr>
            </w:pPr>
            <w:r w:rsidRPr="00215D48">
              <w:t xml:space="preserve">Email: </w:t>
            </w:r>
            <w:hyperlink r:id="rId52" w:history="1">
              <w:r w:rsidRPr="00215D48">
                <w:rPr>
                  <w:rStyle w:val="Hyperlink"/>
                </w:rPr>
                <w:t>info@tga.gov.au</w:t>
              </w:r>
            </w:hyperlink>
            <w:r w:rsidR="000C4CCD">
              <w:t xml:space="preserve"> </w:t>
            </w:r>
            <w:r w:rsidRPr="00215D48">
              <w:t>Phone: 1800 020 653</w:t>
            </w:r>
            <w:r w:rsidR="000C4CCD">
              <w:t xml:space="preserve"> </w:t>
            </w:r>
            <w:r w:rsidRPr="00215D48">
              <w:t xml:space="preserve">Fax: </w:t>
            </w:r>
            <w:r w:rsidRPr="00BA0DFC">
              <w:t>02 6203 1605</w:t>
            </w:r>
          </w:p>
          <w:p w14:paraId="4533D80F" w14:textId="02608545" w:rsidR="00F02AEC" w:rsidRPr="00215D48" w:rsidRDefault="00F02AEC">
            <w:pPr>
              <w:pStyle w:val="Address"/>
              <w:jc w:val="center"/>
              <w:rPr>
                <w:rStyle w:val="Hyperlink"/>
                <w:b/>
                <w:color w:val="auto"/>
                <w:sz w:val="22"/>
              </w:rPr>
            </w:pPr>
            <w:hyperlink r:id="rId5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F0C8F" w14:textId="77777777" w:rsidR="002934A4" w:rsidRDefault="002934A4" w:rsidP="00F02AEC">
      <w:pPr>
        <w:spacing w:after="0" w:line="240" w:lineRule="auto"/>
      </w:pPr>
      <w:r>
        <w:separator/>
      </w:r>
    </w:p>
  </w:endnote>
  <w:endnote w:type="continuationSeparator" w:id="0">
    <w:p w14:paraId="12583414" w14:textId="77777777" w:rsidR="002934A4" w:rsidRDefault="002934A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491C" w14:textId="09AAA645" w:rsidR="00F01933" w:rsidRDefault="00F01933">
    <w:pPr>
      <w:pStyle w:val="Footer"/>
    </w:pPr>
    <w:r>
      <w:rPr>
        <w:noProof/>
      </w:rPr>
      <mc:AlternateContent>
        <mc:Choice Requires="wps">
          <w:drawing>
            <wp:anchor distT="0" distB="0" distL="0" distR="0" simplePos="0" relativeHeight="251667456" behindDoc="0" locked="0" layoutInCell="1" allowOverlap="1" wp14:anchorId="72B95551" wp14:editId="11177C25">
              <wp:simplePos x="635" y="635"/>
              <wp:positionH relativeFrom="page">
                <wp:align>center</wp:align>
              </wp:positionH>
              <wp:positionV relativeFrom="page">
                <wp:align>bottom</wp:align>
              </wp:positionV>
              <wp:extent cx="551815" cy="391160"/>
              <wp:effectExtent l="0" t="0" r="635" b="0"/>
              <wp:wrapNone/>
              <wp:docPr id="53004167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1BAF577" w14:textId="0C67C235"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95551"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1BAF577" w14:textId="0C67C235"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6E87ADF1" w:rsidR="007452E8" w:rsidRDefault="00F01933" w:rsidP="007452E8">
          <w:pPr>
            <w:pStyle w:val="Footer"/>
          </w:pPr>
          <w:r>
            <w:rPr>
              <w:noProof/>
            </w:rPr>
            <mc:AlternateContent>
              <mc:Choice Requires="wps">
                <w:drawing>
                  <wp:anchor distT="0" distB="0" distL="0" distR="0" simplePos="0" relativeHeight="251668480" behindDoc="0" locked="0" layoutInCell="1" allowOverlap="1" wp14:anchorId="6628EFC8" wp14:editId="333F1DF3">
                    <wp:simplePos x="635" y="635"/>
                    <wp:positionH relativeFrom="page">
                      <wp:align>center</wp:align>
                    </wp:positionH>
                    <wp:positionV relativeFrom="page">
                      <wp:align>bottom</wp:align>
                    </wp:positionV>
                    <wp:extent cx="551815" cy="391160"/>
                    <wp:effectExtent l="0" t="0" r="635" b="0"/>
                    <wp:wrapNone/>
                    <wp:docPr id="4878147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CA7864B" w14:textId="71D7CC5A"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8EFC8"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6CA7864B" w14:textId="71D7CC5A"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36469D4E"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5CAF8C3" w:rsidR="007452E8" w:rsidRPr="004A3084" w:rsidRDefault="007452E8" w:rsidP="007452E8">
          <w:pPr>
            <w:pStyle w:val="Footer"/>
          </w:pPr>
          <w:r w:rsidRPr="00487162">
            <w:t>AusPA</w:t>
          </w:r>
          <w:r>
            <w:t xml:space="preserve">R - </w:t>
          </w:r>
          <w:r w:rsidR="004E4C2B">
            <w:t>Uteknix</w:t>
          </w:r>
          <w:r>
            <w:t xml:space="preserve"> -</w:t>
          </w:r>
          <w:r w:rsidRPr="00460036">
            <w:t xml:space="preserve"> </w:t>
          </w:r>
          <w:proofErr w:type="spellStart"/>
          <w:r w:rsidR="00C20994">
            <w:t>ustekinumab</w:t>
          </w:r>
          <w:proofErr w:type="spellEnd"/>
          <w:r w:rsidRPr="00460036">
            <w:t xml:space="preserve"> </w:t>
          </w:r>
          <w:r w:rsidR="00C20994">
            <w:t>–</w:t>
          </w:r>
          <w:r>
            <w:t xml:space="preserve"> </w:t>
          </w:r>
          <w:r w:rsidR="00C20994">
            <w:t>Cipla Australia Pty Ltd</w:t>
          </w:r>
          <w:r>
            <w:t xml:space="preserve"> - PM-202</w:t>
          </w:r>
          <w:r w:rsidR="00F039F1">
            <w:t>3-03558-1</w:t>
          </w:r>
          <w:r w:rsidRPr="00487162">
            <w:t>-</w:t>
          </w:r>
          <w:r w:rsidR="00A213D5">
            <w:t>1</w:t>
          </w:r>
          <w:r>
            <w:br/>
          </w:r>
          <w:r w:rsidR="00817EB8">
            <w:t>Final</w:t>
          </w:r>
          <w:r w:rsidRPr="00487162">
            <w:t xml:space="preserve"> </w:t>
          </w:r>
          <w:r>
            <w:t>V</w:t>
          </w:r>
          <w:r w:rsidR="00A213D5">
            <w:t>1</w:t>
          </w:r>
          <w:r w:rsidRPr="00487162">
            <w:t xml:space="preserve"> </w:t>
          </w:r>
          <w:r w:rsidR="002E4365">
            <w:t xml:space="preserve">28 </w:t>
          </w:r>
          <w:r w:rsidR="00817EB8">
            <w:t xml:space="preserve">October </w:t>
          </w:r>
          <w:r w:rsidR="00B01C02">
            <w:t>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16399B7D"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6A366" w14:textId="77777777" w:rsidR="002934A4" w:rsidRDefault="002934A4" w:rsidP="00F02AEC">
      <w:pPr>
        <w:spacing w:after="0" w:line="240" w:lineRule="auto"/>
      </w:pPr>
      <w:r>
        <w:separator/>
      </w:r>
    </w:p>
  </w:footnote>
  <w:footnote w:type="continuationSeparator" w:id="0">
    <w:p w14:paraId="49E3DE84" w14:textId="77777777" w:rsidR="002934A4" w:rsidRDefault="002934A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761C12BB" w14:textId="04C11391" w:rsidR="00A90090" w:rsidRPr="00432992" w:rsidRDefault="00A90090" w:rsidP="00A90090">
      <w:pPr>
        <w:pStyle w:val="FootnoteText"/>
      </w:pPr>
      <w:r>
        <w:rPr>
          <w:rStyle w:val="FootnoteReference"/>
        </w:rPr>
        <w:footnoteRef/>
      </w:r>
      <w:r>
        <w:t xml:space="preserve"> Parisi R, Symmons DPM, Griffiths CEM, Ashcroft DM, Identification and Management of Psoriasis and Associated ComorbidiTy (IMPACT) project team. Global epidemiology of psoriasis: a systematic review of incidence and prevalence. </w:t>
      </w:r>
      <w:r>
        <w:rPr>
          <w:i/>
          <w:iCs/>
        </w:rPr>
        <w:t xml:space="preserve">J Invest Dermatol. </w:t>
      </w:r>
      <w:r>
        <w:t>2013;133(2):377-85.</w:t>
      </w:r>
      <w:r w:rsidR="000C4CCD">
        <w:t xml:space="preserve"> </w:t>
      </w:r>
      <w:hyperlink r:id="rId1" w:history="1">
        <w:r w:rsidR="00957F40" w:rsidRPr="007A114F">
          <w:rPr>
            <w:rStyle w:val="Hyperlink"/>
          </w:rPr>
          <w:t>https://doi.org/10.1038/jid.2012.339</w:t>
        </w:r>
      </w:hyperlink>
      <w:r w:rsidR="00957F40">
        <w:t xml:space="preserve"> </w:t>
      </w:r>
    </w:p>
  </w:footnote>
  <w:footnote w:id="3">
    <w:p w14:paraId="2E078FC3" w14:textId="0F14387D" w:rsidR="00A90090" w:rsidRDefault="00A90090" w:rsidP="00A90090">
      <w:pPr>
        <w:pStyle w:val="FootnoteText"/>
      </w:pPr>
      <w:r>
        <w:rPr>
          <w:rStyle w:val="FootnoteReference"/>
        </w:rPr>
        <w:footnoteRef/>
      </w:r>
      <w:r>
        <w:t xml:space="preserve"> Feldman SR. Psoriasis: Epidemiology, clinical manifestations, and diagnosis. Connor R (Editor). UpToDate, Wolters Kluwer. Updated on 21 September 2022. Accessed on 1 May 2024. </w:t>
      </w:r>
      <w:r w:rsidR="005A305B" w:rsidRPr="005A305B">
        <w:rPr>
          <w:i/>
          <w:iCs/>
        </w:rPr>
        <w:t>Retrieved from: https://www. uptodate.com</w:t>
      </w:r>
    </w:p>
  </w:footnote>
  <w:footnote w:id="4">
    <w:p w14:paraId="7323012E" w14:textId="74CD5960" w:rsidR="00A90090" w:rsidRDefault="00A90090" w:rsidP="00A90090">
      <w:pPr>
        <w:pStyle w:val="FootnoteText"/>
      </w:pPr>
      <w:r>
        <w:rPr>
          <w:rStyle w:val="FootnoteReference"/>
        </w:rPr>
        <w:footnoteRef/>
      </w:r>
      <w:r>
        <w:t xml:space="preserve"> Tiwari V, Brent LH. Psoriatic Arthritis. StatPearls, National Library of Medicine. Updated on 7 January 2024. Accessed on 1 May 2024. </w:t>
      </w:r>
      <w:hyperlink r:id="rId2" w:history="1">
        <w:r w:rsidR="000E3A00" w:rsidRPr="007A114F">
          <w:rPr>
            <w:rStyle w:val="Hyperlink"/>
          </w:rPr>
          <w:t>https://www.ncbi.nlm.nih.gov/books/NBK547710/</w:t>
        </w:r>
      </w:hyperlink>
      <w:r w:rsidR="000E3A00">
        <w:t xml:space="preserve"> </w:t>
      </w:r>
    </w:p>
  </w:footnote>
  <w:footnote w:id="5">
    <w:p w14:paraId="7D684456" w14:textId="77777777" w:rsidR="000C4CCD" w:rsidRDefault="00A90090" w:rsidP="00A90090">
      <w:pPr>
        <w:pStyle w:val="FootnoteText"/>
      </w:pPr>
      <w:r>
        <w:rPr>
          <w:rStyle w:val="FootnoteReference"/>
        </w:rPr>
        <w:footnoteRef/>
      </w:r>
      <w:r>
        <w:t xml:space="preserve"> Gladman DD. Clinical manifestations and diagnosis of psoriatic arthritis. Connor R (Editor). UpToDate, Wolters Kluwer. Updated on 12 April 2023. Accessed on 1 May 2024</w:t>
      </w:r>
      <w:r w:rsidR="000C4CCD">
        <w:t>.</w:t>
      </w:r>
    </w:p>
    <w:p w14:paraId="20F13DA5" w14:textId="25926CE5" w:rsidR="00A90090" w:rsidRDefault="00A90090" w:rsidP="00A90090">
      <w:pPr>
        <w:pStyle w:val="FootnoteText"/>
      </w:pPr>
    </w:p>
  </w:footnote>
  <w:footnote w:id="6">
    <w:p w14:paraId="7DBD2777" w14:textId="34510170" w:rsidR="00DD3AB9" w:rsidRDefault="00DD3AB9" w:rsidP="00DD3AB9">
      <w:pPr>
        <w:pStyle w:val="FootnoteText"/>
      </w:pPr>
      <w:r>
        <w:rPr>
          <w:rStyle w:val="FootnoteReference"/>
        </w:rPr>
        <w:footnoteRef/>
      </w:r>
      <w:r>
        <w:t xml:space="preserve"> Therapeutic Guidelines. Spondyloarthritides, including psoriatic arthritis. 2017</w:t>
      </w:r>
      <w:r w:rsidR="000C4CCD">
        <w:t>.</w:t>
      </w:r>
    </w:p>
  </w:footnote>
  <w:footnote w:id="7">
    <w:p w14:paraId="5C9FF471" w14:textId="0091489E" w:rsidR="00DD3AB9" w:rsidRDefault="00DD3AB9" w:rsidP="00DD3AB9">
      <w:pPr>
        <w:pStyle w:val="FootnoteText"/>
      </w:pPr>
      <w:r>
        <w:rPr>
          <w:rStyle w:val="FootnoteReference"/>
        </w:rPr>
        <w:footnoteRef/>
      </w:r>
      <w:r>
        <w:t xml:space="preserve"> Ritchlin C. Treatment of peripheral psoriatic arthritis. Connor R (Editor). UpToDate, Wolters Kluwer. Updated 15 April 2024. Accessed 9 May 2024</w:t>
      </w:r>
      <w:r w:rsidR="000C4CCD">
        <w:t>.</w:t>
      </w:r>
    </w:p>
  </w:footnote>
  <w:footnote w:id="8">
    <w:p w14:paraId="7F7188C2" w14:textId="20627BD1" w:rsidR="00DD3AB9" w:rsidRDefault="00DD3AB9" w:rsidP="00DD3AB9">
      <w:pPr>
        <w:pStyle w:val="FootnoteText"/>
      </w:pPr>
      <w:r>
        <w:rPr>
          <w:rStyle w:val="FootnoteReference"/>
        </w:rPr>
        <w:footnoteRef/>
      </w:r>
      <w:r>
        <w:t xml:space="preserve"> Gladman DD. Treatment of psoriatic arthritis. Connor R (Editor). UpToDate, Wolters Kluwer. Updated 29 September 2023. Accessed 9 May 2024</w:t>
      </w:r>
      <w:r w:rsidR="000C4CCD">
        <w:t>.</w:t>
      </w:r>
    </w:p>
  </w:footnote>
  <w:footnote w:id="9">
    <w:p w14:paraId="5A06A647" w14:textId="05504EB0" w:rsidR="00C1591B" w:rsidRDefault="00C1591B">
      <w:pPr>
        <w:pStyle w:val="FootnoteText"/>
      </w:pPr>
      <w:r>
        <w:rPr>
          <w:rStyle w:val="FootnoteReference"/>
        </w:rPr>
        <w:footnoteRef/>
      </w:r>
      <w:r>
        <w:t xml:space="preserve"> </w:t>
      </w:r>
      <w:r w:rsidRPr="00C1591B">
        <w:t xml:space="preserve">Wynne, C., Hamilton, P., McLendon, K., </w:t>
      </w:r>
      <w:r w:rsidRPr="00C1591B">
        <w:t>Stroissnig, H., Smith, M., Duijzings, P., Ruffieux, R., Otto, H., Sattar, A., Haliduola, H. N., Leutz, S., &amp; Berti, F. (2023). A randomized, double-blind, 3-arm, parallel study assessing the pharmacokinetics, safety, tolerability and immunogenicity of AVT04, an ustekinumab candidate biosimilar, in healthy adults. </w:t>
      </w:r>
      <w:r w:rsidRPr="00C1591B">
        <w:rPr>
          <w:i/>
          <w:iCs/>
        </w:rPr>
        <w:t>Expert opinion on investigational drugs</w:t>
      </w:r>
      <w:r w:rsidRPr="00C1591B">
        <w:t>, </w:t>
      </w:r>
      <w:r w:rsidRPr="00C1591B">
        <w:rPr>
          <w:i/>
          <w:iCs/>
        </w:rPr>
        <w:t>32</w:t>
      </w:r>
      <w:r w:rsidRPr="00C1591B">
        <w:t>(5), 417–427. https://doi.org/10.1080/13543784.2023.2215426</w:t>
      </w:r>
    </w:p>
  </w:footnote>
  <w:footnote w:id="10">
    <w:p w14:paraId="7785E5B0" w14:textId="50442B8A" w:rsidR="00DA5B1F" w:rsidRDefault="00DA5B1F">
      <w:pPr>
        <w:pStyle w:val="FootnoteText"/>
      </w:pPr>
      <w:r>
        <w:rPr>
          <w:rStyle w:val="FootnoteReference"/>
        </w:rPr>
        <w:footnoteRef/>
      </w:r>
      <w:r>
        <w:t xml:space="preserve"> </w:t>
      </w:r>
      <w:r w:rsidRPr="00DA5B1F">
        <w:t xml:space="preserve">Feldman, S. R., Reznichenko, N., Berti, F., </w:t>
      </w:r>
      <w:r w:rsidRPr="00DA5B1F">
        <w:t>Duijzings, P., Ruffieux, R., Otto, H., Haliduola, H. N., Leutz, S., &amp; Stroissnig, H. (2023). Randomized, double-blind, multicenter study to evaluate efficacy, safety, tolerability, and immunogenicity between AVT04 and the reference product ustekinumab in patients with moderate-to-severe chronic plaque psoriasis. </w:t>
      </w:r>
      <w:r w:rsidRPr="00DA5B1F">
        <w:rPr>
          <w:i/>
          <w:iCs/>
        </w:rPr>
        <w:t>Expert opinion on biological therapy</w:t>
      </w:r>
      <w:r w:rsidRPr="00DA5B1F">
        <w:t>, </w:t>
      </w:r>
      <w:r w:rsidRPr="00DA5B1F">
        <w:rPr>
          <w:i/>
          <w:iCs/>
        </w:rPr>
        <w:t>23</w:t>
      </w:r>
      <w:r w:rsidRPr="00DA5B1F">
        <w:t>(8), 759–771. https://doi.org/10.1080/14712598.2023.2235263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10FF" w14:textId="2B6B568B" w:rsidR="00F01933" w:rsidRDefault="00F01933">
    <w:pPr>
      <w:pStyle w:val="Header"/>
    </w:pPr>
    <w:r>
      <w:rPr>
        <w:noProof/>
      </w:rPr>
      <mc:AlternateContent>
        <mc:Choice Requires="wps">
          <w:drawing>
            <wp:anchor distT="0" distB="0" distL="0" distR="0" simplePos="0" relativeHeight="251662336" behindDoc="0" locked="0" layoutInCell="1" allowOverlap="1" wp14:anchorId="4FE3D256" wp14:editId="1850A484">
              <wp:simplePos x="635" y="635"/>
              <wp:positionH relativeFrom="page">
                <wp:align>center</wp:align>
              </wp:positionH>
              <wp:positionV relativeFrom="page">
                <wp:align>top</wp:align>
              </wp:positionV>
              <wp:extent cx="551815" cy="391160"/>
              <wp:effectExtent l="0" t="0" r="635" b="8890"/>
              <wp:wrapNone/>
              <wp:docPr id="16094529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FEF4138" w14:textId="48A5F9AE"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3D256"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6FEF4138" w14:textId="48A5F9AE"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576B649" w:rsidR="007452E8" w:rsidRPr="00CB0550" w:rsidRDefault="00F01933" w:rsidP="00CB0550">
    <w:pPr>
      <w:pStyle w:val="Header"/>
      <w:jc w:val="left"/>
    </w:pPr>
    <w:r>
      <w:rPr>
        <w:noProof/>
      </w:rPr>
      <mc:AlternateContent>
        <mc:Choice Requires="wps">
          <w:drawing>
            <wp:anchor distT="0" distB="0" distL="0" distR="0" simplePos="0" relativeHeight="251663360" behindDoc="0" locked="0" layoutInCell="1" allowOverlap="1" wp14:anchorId="763BF77E" wp14:editId="2CF8D4BC">
              <wp:simplePos x="635" y="635"/>
              <wp:positionH relativeFrom="page">
                <wp:align>center</wp:align>
              </wp:positionH>
              <wp:positionV relativeFrom="page">
                <wp:align>top</wp:align>
              </wp:positionV>
              <wp:extent cx="551815" cy="391160"/>
              <wp:effectExtent l="0" t="0" r="635" b="8890"/>
              <wp:wrapNone/>
              <wp:docPr id="125436645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60EBEE6E" w14:textId="5626D637"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3BF77E"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60EBEE6E" w14:textId="5626D637" w:rsidR="00F01933" w:rsidRPr="00F01933" w:rsidRDefault="00F01933" w:rsidP="00F01933">
                    <w:pPr>
                      <w:spacing w:after="0"/>
                      <w:rPr>
                        <w:rFonts w:ascii="Calibri" w:eastAsia="Calibri" w:hAnsi="Calibri" w:cs="Calibri"/>
                        <w:noProof/>
                        <w:color w:val="FF0000"/>
                        <w:sz w:val="24"/>
                        <w:szCs w:val="24"/>
                      </w:rPr>
                    </w:pPr>
                    <w:r w:rsidRPr="00F01933">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4E0D8AA2" w:rsidR="007452E8" w:rsidRPr="002B29B2" w:rsidRDefault="00DE54A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037732351" name="Picture 103773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29831403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582889739" name="Picture 158288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88C45C2"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5EB30E54"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75542"/>
    <w:multiLevelType w:val="hybridMultilevel"/>
    <w:tmpl w:val="2D022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F6439"/>
    <w:multiLevelType w:val="hybridMultilevel"/>
    <w:tmpl w:val="CAE44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BC67E10"/>
    <w:multiLevelType w:val="hybridMultilevel"/>
    <w:tmpl w:val="F9421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3B2463"/>
    <w:multiLevelType w:val="hybridMultilevel"/>
    <w:tmpl w:val="2550B1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DB75A0A"/>
    <w:multiLevelType w:val="hybridMultilevel"/>
    <w:tmpl w:val="08724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5C357C"/>
    <w:multiLevelType w:val="hybridMultilevel"/>
    <w:tmpl w:val="CAE443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05045C"/>
    <w:multiLevelType w:val="hybridMultilevel"/>
    <w:tmpl w:val="F258C362"/>
    <w:lvl w:ilvl="0" w:tplc="98D226E8">
      <w:numFmt w:val="bullet"/>
      <w:lvlText w:val="•"/>
      <w:lvlJc w:val="left"/>
      <w:pPr>
        <w:ind w:left="64" w:hanging="360"/>
      </w:pPr>
      <w:rPr>
        <w:rFonts w:ascii="Cambria" w:eastAsiaTheme="minorHAnsi" w:hAnsi="Cambria" w:cs="Helv" w:hint="default"/>
      </w:rPr>
    </w:lvl>
    <w:lvl w:ilvl="1" w:tplc="0C090003" w:tentative="1">
      <w:start w:val="1"/>
      <w:numFmt w:val="bullet"/>
      <w:lvlText w:val="o"/>
      <w:lvlJc w:val="left"/>
      <w:pPr>
        <w:ind w:left="670" w:hanging="360"/>
      </w:pPr>
      <w:rPr>
        <w:rFonts w:ascii="Courier New" w:hAnsi="Courier New" w:cs="Courier New" w:hint="default"/>
      </w:rPr>
    </w:lvl>
    <w:lvl w:ilvl="2" w:tplc="0C090005" w:tentative="1">
      <w:start w:val="1"/>
      <w:numFmt w:val="bullet"/>
      <w:lvlText w:val=""/>
      <w:lvlJc w:val="left"/>
      <w:pPr>
        <w:ind w:left="1390" w:hanging="360"/>
      </w:pPr>
      <w:rPr>
        <w:rFonts w:ascii="Wingdings" w:hAnsi="Wingdings" w:hint="default"/>
      </w:rPr>
    </w:lvl>
    <w:lvl w:ilvl="3" w:tplc="0C090001" w:tentative="1">
      <w:start w:val="1"/>
      <w:numFmt w:val="bullet"/>
      <w:lvlText w:val=""/>
      <w:lvlJc w:val="left"/>
      <w:pPr>
        <w:ind w:left="2110" w:hanging="360"/>
      </w:pPr>
      <w:rPr>
        <w:rFonts w:ascii="Symbol" w:hAnsi="Symbol" w:hint="default"/>
      </w:rPr>
    </w:lvl>
    <w:lvl w:ilvl="4" w:tplc="0C090003" w:tentative="1">
      <w:start w:val="1"/>
      <w:numFmt w:val="bullet"/>
      <w:lvlText w:val="o"/>
      <w:lvlJc w:val="left"/>
      <w:pPr>
        <w:ind w:left="2830" w:hanging="360"/>
      </w:pPr>
      <w:rPr>
        <w:rFonts w:ascii="Courier New" w:hAnsi="Courier New" w:cs="Courier New" w:hint="default"/>
      </w:rPr>
    </w:lvl>
    <w:lvl w:ilvl="5" w:tplc="0C090005" w:tentative="1">
      <w:start w:val="1"/>
      <w:numFmt w:val="bullet"/>
      <w:lvlText w:val=""/>
      <w:lvlJc w:val="left"/>
      <w:pPr>
        <w:ind w:left="3550" w:hanging="360"/>
      </w:pPr>
      <w:rPr>
        <w:rFonts w:ascii="Wingdings" w:hAnsi="Wingdings" w:hint="default"/>
      </w:rPr>
    </w:lvl>
    <w:lvl w:ilvl="6" w:tplc="0C090001" w:tentative="1">
      <w:start w:val="1"/>
      <w:numFmt w:val="bullet"/>
      <w:lvlText w:val=""/>
      <w:lvlJc w:val="left"/>
      <w:pPr>
        <w:ind w:left="4270" w:hanging="360"/>
      </w:pPr>
      <w:rPr>
        <w:rFonts w:ascii="Symbol" w:hAnsi="Symbol" w:hint="default"/>
      </w:rPr>
    </w:lvl>
    <w:lvl w:ilvl="7" w:tplc="0C090003" w:tentative="1">
      <w:start w:val="1"/>
      <w:numFmt w:val="bullet"/>
      <w:lvlText w:val="o"/>
      <w:lvlJc w:val="left"/>
      <w:pPr>
        <w:ind w:left="4990" w:hanging="360"/>
      </w:pPr>
      <w:rPr>
        <w:rFonts w:ascii="Courier New" w:hAnsi="Courier New" w:cs="Courier New" w:hint="default"/>
      </w:rPr>
    </w:lvl>
    <w:lvl w:ilvl="8" w:tplc="0C090005" w:tentative="1">
      <w:start w:val="1"/>
      <w:numFmt w:val="bullet"/>
      <w:lvlText w:val=""/>
      <w:lvlJc w:val="left"/>
      <w:pPr>
        <w:ind w:left="5710" w:hanging="360"/>
      </w:pPr>
      <w:rPr>
        <w:rFonts w:ascii="Wingdings" w:hAnsi="Wingdings" w:hint="default"/>
      </w:rPr>
    </w:lvl>
  </w:abstractNum>
  <w:abstractNum w:abstractNumId="18"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9" w15:restartNumberingAfterBreak="0">
    <w:nsid w:val="623F4E79"/>
    <w:multiLevelType w:val="hybridMultilevel"/>
    <w:tmpl w:val="751A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1248D"/>
    <w:multiLevelType w:val="hybridMultilevel"/>
    <w:tmpl w:val="A1142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381F4D"/>
    <w:multiLevelType w:val="hybridMultilevel"/>
    <w:tmpl w:val="35C07C82"/>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D02C3B2">
      <w:numFmt w:val="bullet"/>
      <w:lvlText w:val="•"/>
      <w:lvlJc w:val="left"/>
      <w:pPr>
        <w:ind w:left="1440" w:hanging="360"/>
      </w:pPr>
      <w:rPr>
        <w:rFonts w:ascii="Cambria" w:eastAsia="Times New Roman" w:hAnsi="Cambria"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6"/>
  </w:num>
  <w:num w:numId="2" w16cid:durableId="1856573705">
    <w:abstractNumId w:val="3"/>
  </w:num>
  <w:num w:numId="3" w16cid:durableId="357703499">
    <w:abstractNumId w:val="5"/>
  </w:num>
  <w:num w:numId="4" w16cid:durableId="1869176708">
    <w:abstractNumId w:val="16"/>
  </w:num>
  <w:num w:numId="5" w16cid:durableId="1652950129">
    <w:abstractNumId w:val="8"/>
  </w:num>
  <w:num w:numId="6" w16cid:durableId="1053193207">
    <w:abstractNumId w:val="14"/>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5"/>
  </w:num>
  <w:num w:numId="9" w16cid:durableId="173421270">
    <w:abstractNumId w:val="4"/>
  </w:num>
  <w:num w:numId="10" w16cid:durableId="2108043357">
    <w:abstractNumId w:val="7"/>
  </w:num>
  <w:num w:numId="11" w16cid:durableId="1725904230">
    <w:abstractNumId w:val="13"/>
  </w:num>
  <w:num w:numId="12" w16cid:durableId="141579354">
    <w:abstractNumId w:val="18"/>
  </w:num>
  <w:num w:numId="13" w16cid:durableId="283735081">
    <w:abstractNumId w:val="22"/>
  </w:num>
  <w:num w:numId="14" w16cid:durableId="1266959772">
    <w:abstractNumId w:val="20"/>
  </w:num>
  <w:num w:numId="15" w16cid:durableId="1814366171">
    <w:abstractNumId w:val="0"/>
  </w:num>
  <w:num w:numId="16" w16cid:durableId="1835877292">
    <w:abstractNumId w:val="17"/>
  </w:num>
  <w:num w:numId="17" w16cid:durableId="2137866351">
    <w:abstractNumId w:val="10"/>
  </w:num>
  <w:num w:numId="18" w16cid:durableId="1292636028">
    <w:abstractNumId w:val="9"/>
  </w:num>
  <w:num w:numId="19" w16cid:durableId="1637024161">
    <w:abstractNumId w:val="11"/>
  </w:num>
  <w:num w:numId="20" w16cid:durableId="1022823046">
    <w:abstractNumId w:val="19"/>
  </w:num>
  <w:num w:numId="21" w16cid:durableId="178393912">
    <w:abstractNumId w:val="2"/>
  </w:num>
  <w:num w:numId="22" w16cid:durableId="419185263">
    <w:abstractNumId w:val="12"/>
  </w:num>
  <w:num w:numId="23" w16cid:durableId="553472443">
    <w:abstractNumId w:val="1"/>
  </w:num>
  <w:num w:numId="24" w16cid:durableId="2710186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A1E"/>
    <w:rsid w:val="00000E6E"/>
    <w:rsid w:val="00002DDC"/>
    <w:rsid w:val="00004431"/>
    <w:rsid w:val="00005062"/>
    <w:rsid w:val="00005DFC"/>
    <w:rsid w:val="0001064C"/>
    <w:rsid w:val="00011696"/>
    <w:rsid w:val="0001384A"/>
    <w:rsid w:val="00014BBA"/>
    <w:rsid w:val="00015D16"/>
    <w:rsid w:val="00015DC1"/>
    <w:rsid w:val="00021C13"/>
    <w:rsid w:val="00021E89"/>
    <w:rsid w:val="0003190D"/>
    <w:rsid w:val="00032A0F"/>
    <w:rsid w:val="00032B6E"/>
    <w:rsid w:val="00040D8D"/>
    <w:rsid w:val="00042FE5"/>
    <w:rsid w:val="000463D3"/>
    <w:rsid w:val="00046423"/>
    <w:rsid w:val="000477F5"/>
    <w:rsid w:val="0005059D"/>
    <w:rsid w:val="00053C22"/>
    <w:rsid w:val="00053F00"/>
    <w:rsid w:val="000573E9"/>
    <w:rsid w:val="000608C8"/>
    <w:rsid w:val="0006104E"/>
    <w:rsid w:val="00061FB9"/>
    <w:rsid w:val="000640BD"/>
    <w:rsid w:val="000651A6"/>
    <w:rsid w:val="00065839"/>
    <w:rsid w:val="00065FDF"/>
    <w:rsid w:val="0006693A"/>
    <w:rsid w:val="000710DB"/>
    <w:rsid w:val="000716BF"/>
    <w:rsid w:val="00074832"/>
    <w:rsid w:val="00077844"/>
    <w:rsid w:val="00081276"/>
    <w:rsid w:val="00083763"/>
    <w:rsid w:val="00090510"/>
    <w:rsid w:val="000917AE"/>
    <w:rsid w:val="00092048"/>
    <w:rsid w:val="00094B81"/>
    <w:rsid w:val="0009508C"/>
    <w:rsid w:val="00095C6A"/>
    <w:rsid w:val="000975AA"/>
    <w:rsid w:val="000A0E13"/>
    <w:rsid w:val="000A3CC8"/>
    <w:rsid w:val="000A6257"/>
    <w:rsid w:val="000A6C06"/>
    <w:rsid w:val="000A79B1"/>
    <w:rsid w:val="000B186C"/>
    <w:rsid w:val="000B6B15"/>
    <w:rsid w:val="000C25A7"/>
    <w:rsid w:val="000C2FDF"/>
    <w:rsid w:val="000C383B"/>
    <w:rsid w:val="000C42D3"/>
    <w:rsid w:val="000C4CCD"/>
    <w:rsid w:val="000C50E8"/>
    <w:rsid w:val="000C568C"/>
    <w:rsid w:val="000D38B1"/>
    <w:rsid w:val="000D78EC"/>
    <w:rsid w:val="000D7934"/>
    <w:rsid w:val="000E0BD9"/>
    <w:rsid w:val="000E2434"/>
    <w:rsid w:val="000E2597"/>
    <w:rsid w:val="000E3A00"/>
    <w:rsid w:val="000E504E"/>
    <w:rsid w:val="000E6746"/>
    <w:rsid w:val="000F12F2"/>
    <w:rsid w:val="000F7B51"/>
    <w:rsid w:val="00101BEE"/>
    <w:rsid w:val="00101CE6"/>
    <w:rsid w:val="00101FB1"/>
    <w:rsid w:val="001052B9"/>
    <w:rsid w:val="0010558A"/>
    <w:rsid w:val="001055A0"/>
    <w:rsid w:val="001065B7"/>
    <w:rsid w:val="001101FF"/>
    <w:rsid w:val="00111989"/>
    <w:rsid w:val="00113F9F"/>
    <w:rsid w:val="00114025"/>
    <w:rsid w:val="00114598"/>
    <w:rsid w:val="00115E67"/>
    <w:rsid w:val="0012473C"/>
    <w:rsid w:val="00127A74"/>
    <w:rsid w:val="0013104A"/>
    <w:rsid w:val="0013132F"/>
    <w:rsid w:val="00131B1B"/>
    <w:rsid w:val="0013306D"/>
    <w:rsid w:val="0013528C"/>
    <w:rsid w:val="00140338"/>
    <w:rsid w:val="001442A2"/>
    <w:rsid w:val="00146218"/>
    <w:rsid w:val="001468CA"/>
    <w:rsid w:val="001479AD"/>
    <w:rsid w:val="001500A8"/>
    <w:rsid w:val="00151E39"/>
    <w:rsid w:val="00152C36"/>
    <w:rsid w:val="00153C01"/>
    <w:rsid w:val="00155D85"/>
    <w:rsid w:val="00165D28"/>
    <w:rsid w:val="00167CBE"/>
    <w:rsid w:val="0017005C"/>
    <w:rsid w:val="001716D7"/>
    <w:rsid w:val="001753A3"/>
    <w:rsid w:val="00175CD8"/>
    <w:rsid w:val="00182BD8"/>
    <w:rsid w:val="00190449"/>
    <w:rsid w:val="00190853"/>
    <w:rsid w:val="001A316D"/>
    <w:rsid w:val="001A76F9"/>
    <w:rsid w:val="001B06FF"/>
    <w:rsid w:val="001B1703"/>
    <w:rsid w:val="001B283A"/>
    <w:rsid w:val="001B7351"/>
    <w:rsid w:val="001C0E67"/>
    <w:rsid w:val="001C103F"/>
    <w:rsid w:val="001C1C2E"/>
    <w:rsid w:val="001C2F8D"/>
    <w:rsid w:val="001C31A1"/>
    <w:rsid w:val="001C3FA2"/>
    <w:rsid w:val="001C5EE2"/>
    <w:rsid w:val="001D0077"/>
    <w:rsid w:val="001D51B9"/>
    <w:rsid w:val="001E1F19"/>
    <w:rsid w:val="001E407B"/>
    <w:rsid w:val="001E6DC8"/>
    <w:rsid w:val="001E7FC6"/>
    <w:rsid w:val="001F1087"/>
    <w:rsid w:val="001F10B1"/>
    <w:rsid w:val="001F2502"/>
    <w:rsid w:val="001F70A5"/>
    <w:rsid w:val="0020235D"/>
    <w:rsid w:val="00203007"/>
    <w:rsid w:val="0020369B"/>
    <w:rsid w:val="002070B8"/>
    <w:rsid w:val="00207B4D"/>
    <w:rsid w:val="00210F9B"/>
    <w:rsid w:val="002117B1"/>
    <w:rsid w:val="00217CCE"/>
    <w:rsid w:val="002203B1"/>
    <w:rsid w:val="0022469C"/>
    <w:rsid w:val="00226F39"/>
    <w:rsid w:val="002310E4"/>
    <w:rsid w:val="002317F6"/>
    <w:rsid w:val="002334AD"/>
    <w:rsid w:val="002353C1"/>
    <w:rsid w:val="00241B60"/>
    <w:rsid w:val="00242A03"/>
    <w:rsid w:val="002472FD"/>
    <w:rsid w:val="00252EAB"/>
    <w:rsid w:val="00254310"/>
    <w:rsid w:val="0025785B"/>
    <w:rsid w:val="00257969"/>
    <w:rsid w:val="00261430"/>
    <w:rsid w:val="0026144D"/>
    <w:rsid w:val="002639A2"/>
    <w:rsid w:val="00265CD1"/>
    <w:rsid w:val="002750F3"/>
    <w:rsid w:val="00280048"/>
    <w:rsid w:val="002800A9"/>
    <w:rsid w:val="002804E2"/>
    <w:rsid w:val="002815A0"/>
    <w:rsid w:val="0028160A"/>
    <w:rsid w:val="00283477"/>
    <w:rsid w:val="0028489E"/>
    <w:rsid w:val="002848DE"/>
    <w:rsid w:val="00285932"/>
    <w:rsid w:val="0028794E"/>
    <w:rsid w:val="002934A4"/>
    <w:rsid w:val="0029693E"/>
    <w:rsid w:val="0029733B"/>
    <w:rsid w:val="002A0F8F"/>
    <w:rsid w:val="002A53EB"/>
    <w:rsid w:val="002A5841"/>
    <w:rsid w:val="002B0859"/>
    <w:rsid w:val="002B0EC0"/>
    <w:rsid w:val="002B1EDF"/>
    <w:rsid w:val="002B2061"/>
    <w:rsid w:val="002B33C3"/>
    <w:rsid w:val="002B4966"/>
    <w:rsid w:val="002C1232"/>
    <w:rsid w:val="002C1E44"/>
    <w:rsid w:val="002C5C92"/>
    <w:rsid w:val="002C5E29"/>
    <w:rsid w:val="002D0478"/>
    <w:rsid w:val="002D5F6E"/>
    <w:rsid w:val="002D7127"/>
    <w:rsid w:val="002E4365"/>
    <w:rsid w:val="002E5247"/>
    <w:rsid w:val="002E7FB0"/>
    <w:rsid w:val="002F4EAB"/>
    <w:rsid w:val="002F599E"/>
    <w:rsid w:val="002F5BF0"/>
    <w:rsid w:val="002F7C86"/>
    <w:rsid w:val="003008D8"/>
    <w:rsid w:val="00300A99"/>
    <w:rsid w:val="00301D9A"/>
    <w:rsid w:val="00302159"/>
    <w:rsid w:val="00303959"/>
    <w:rsid w:val="00306E72"/>
    <w:rsid w:val="0031212E"/>
    <w:rsid w:val="00312AC3"/>
    <w:rsid w:val="00314430"/>
    <w:rsid w:val="003163BC"/>
    <w:rsid w:val="003212D9"/>
    <w:rsid w:val="0032351A"/>
    <w:rsid w:val="00324B33"/>
    <w:rsid w:val="003265AC"/>
    <w:rsid w:val="00327488"/>
    <w:rsid w:val="00330DB0"/>
    <w:rsid w:val="00336DBA"/>
    <w:rsid w:val="00336FE1"/>
    <w:rsid w:val="003373FE"/>
    <w:rsid w:val="00337BD8"/>
    <w:rsid w:val="00340A95"/>
    <w:rsid w:val="00342D56"/>
    <w:rsid w:val="0034341A"/>
    <w:rsid w:val="003456E7"/>
    <w:rsid w:val="00346EC2"/>
    <w:rsid w:val="003475F0"/>
    <w:rsid w:val="003477F9"/>
    <w:rsid w:val="0035444D"/>
    <w:rsid w:val="00356D62"/>
    <w:rsid w:val="00363EE3"/>
    <w:rsid w:val="00366B8A"/>
    <w:rsid w:val="00367204"/>
    <w:rsid w:val="00373326"/>
    <w:rsid w:val="003735F3"/>
    <w:rsid w:val="00374729"/>
    <w:rsid w:val="00382E26"/>
    <w:rsid w:val="00386BC3"/>
    <w:rsid w:val="00387298"/>
    <w:rsid w:val="00387984"/>
    <w:rsid w:val="003903A9"/>
    <w:rsid w:val="00395140"/>
    <w:rsid w:val="003A0DBB"/>
    <w:rsid w:val="003A2422"/>
    <w:rsid w:val="003A35AC"/>
    <w:rsid w:val="003A5738"/>
    <w:rsid w:val="003A6E5E"/>
    <w:rsid w:val="003A76A2"/>
    <w:rsid w:val="003B149C"/>
    <w:rsid w:val="003B2AD9"/>
    <w:rsid w:val="003B7165"/>
    <w:rsid w:val="003C0FDB"/>
    <w:rsid w:val="003C1192"/>
    <w:rsid w:val="003C55E2"/>
    <w:rsid w:val="003C63D5"/>
    <w:rsid w:val="003C7AA8"/>
    <w:rsid w:val="003D4D05"/>
    <w:rsid w:val="003D5FD3"/>
    <w:rsid w:val="003D7083"/>
    <w:rsid w:val="003D71A1"/>
    <w:rsid w:val="003E0CA8"/>
    <w:rsid w:val="003E30B0"/>
    <w:rsid w:val="003E4EF6"/>
    <w:rsid w:val="003F6646"/>
    <w:rsid w:val="003F7C11"/>
    <w:rsid w:val="00400D58"/>
    <w:rsid w:val="004023FD"/>
    <w:rsid w:val="0040294C"/>
    <w:rsid w:val="00402C78"/>
    <w:rsid w:val="004035AF"/>
    <w:rsid w:val="0040464E"/>
    <w:rsid w:val="00405AFB"/>
    <w:rsid w:val="004151B2"/>
    <w:rsid w:val="00415201"/>
    <w:rsid w:val="0041688F"/>
    <w:rsid w:val="00422D64"/>
    <w:rsid w:val="0042376F"/>
    <w:rsid w:val="004246B8"/>
    <w:rsid w:val="004248F1"/>
    <w:rsid w:val="00431428"/>
    <w:rsid w:val="00431463"/>
    <w:rsid w:val="00433318"/>
    <w:rsid w:val="00433B7B"/>
    <w:rsid w:val="00435170"/>
    <w:rsid w:val="00436EE9"/>
    <w:rsid w:val="004411D9"/>
    <w:rsid w:val="00442A56"/>
    <w:rsid w:val="00443D8E"/>
    <w:rsid w:val="004444B0"/>
    <w:rsid w:val="0045060B"/>
    <w:rsid w:val="0045111B"/>
    <w:rsid w:val="00455E1F"/>
    <w:rsid w:val="00455F5B"/>
    <w:rsid w:val="00461B0E"/>
    <w:rsid w:val="004626FF"/>
    <w:rsid w:val="0046285C"/>
    <w:rsid w:val="00464259"/>
    <w:rsid w:val="00470A52"/>
    <w:rsid w:val="00471A1F"/>
    <w:rsid w:val="00471BD5"/>
    <w:rsid w:val="00471E79"/>
    <w:rsid w:val="004743E8"/>
    <w:rsid w:val="00474DC0"/>
    <w:rsid w:val="0047724B"/>
    <w:rsid w:val="00477C4E"/>
    <w:rsid w:val="00477F07"/>
    <w:rsid w:val="0048012B"/>
    <w:rsid w:val="00481503"/>
    <w:rsid w:val="00481D12"/>
    <w:rsid w:val="00482402"/>
    <w:rsid w:val="00485472"/>
    <w:rsid w:val="004854A6"/>
    <w:rsid w:val="00487AAC"/>
    <w:rsid w:val="00491A55"/>
    <w:rsid w:val="0049467F"/>
    <w:rsid w:val="00494C3E"/>
    <w:rsid w:val="00497DF1"/>
    <w:rsid w:val="004A318E"/>
    <w:rsid w:val="004A45D4"/>
    <w:rsid w:val="004A4B64"/>
    <w:rsid w:val="004A57E8"/>
    <w:rsid w:val="004B1449"/>
    <w:rsid w:val="004B3081"/>
    <w:rsid w:val="004B4A09"/>
    <w:rsid w:val="004C003A"/>
    <w:rsid w:val="004C0828"/>
    <w:rsid w:val="004C3550"/>
    <w:rsid w:val="004C41CE"/>
    <w:rsid w:val="004C62F6"/>
    <w:rsid w:val="004C631B"/>
    <w:rsid w:val="004C6ADC"/>
    <w:rsid w:val="004D0933"/>
    <w:rsid w:val="004D0F4D"/>
    <w:rsid w:val="004D15F1"/>
    <w:rsid w:val="004D2F00"/>
    <w:rsid w:val="004D31D8"/>
    <w:rsid w:val="004D35D1"/>
    <w:rsid w:val="004D4AD5"/>
    <w:rsid w:val="004D5388"/>
    <w:rsid w:val="004E4186"/>
    <w:rsid w:val="004E4470"/>
    <w:rsid w:val="004E4C2B"/>
    <w:rsid w:val="004E7F16"/>
    <w:rsid w:val="004F18EC"/>
    <w:rsid w:val="004F6CAA"/>
    <w:rsid w:val="00500D68"/>
    <w:rsid w:val="00501292"/>
    <w:rsid w:val="0050340D"/>
    <w:rsid w:val="005044D7"/>
    <w:rsid w:val="0051113C"/>
    <w:rsid w:val="00511C42"/>
    <w:rsid w:val="0051295A"/>
    <w:rsid w:val="005207CA"/>
    <w:rsid w:val="00521934"/>
    <w:rsid w:val="00533090"/>
    <w:rsid w:val="0053377D"/>
    <w:rsid w:val="00534EF8"/>
    <w:rsid w:val="00535DFE"/>
    <w:rsid w:val="005373B5"/>
    <w:rsid w:val="00537AB7"/>
    <w:rsid w:val="00540D99"/>
    <w:rsid w:val="00544D5D"/>
    <w:rsid w:val="0054669B"/>
    <w:rsid w:val="00553922"/>
    <w:rsid w:val="00553CF4"/>
    <w:rsid w:val="005560E4"/>
    <w:rsid w:val="00557684"/>
    <w:rsid w:val="00560EC1"/>
    <w:rsid w:val="005610D1"/>
    <w:rsid w:val="00562F42"/>
    <w:rsid w:val="00565739"/>
    <w:rsid w:val="0056766D"/>
    <w:rsid w:val="00573A3B"/>
    <w:rsid w:val="00575215"/>
    <w:rsid w:val="00575DD1"/>
    <w:rsid w:val="005775D0"/>
    <w:rsid w:val="00581138"/>
    <w:rsid w:val="0058575E"/>
    <w:rsid w:val="0058783C"/>
    <w:rsid w:val="00590651"/>
    <w:rsid w:val="005911AE"/>
    <w:rsid w:val="00591292"/>
    <w:rsid w:val="005926E2"/>
    <w:rsid w:val="0059313A"/>
    <w:rsid w:val="005A305B"/>
    <w:rsid w:val="005A4E8D"/>
    <w:rsid w:val="005A54EA"/>
    <w:rsid w:val="005B023F"/>
    <w:rsid w:val="005B02A2"/>
    <w:rsid w:val="005B032A"/>
    <w:rsid w:val="005B1417"/>
    <w:rsid w:val="005B35CC"/>
    <w:rsid w:val="005B4E71"/>
    <w:rsid w:val="005B69CF"/>
    <w:rsid w:val="005C3F07"/>
    <w:rsid w:val="005C4344"/>
    <w:rsid w:val="005C4B46"/>
    <w:rsid w:val="005C5A11"/>
    <w:rsid w:val="005C5DC5"/>
    <w:rsid w:val="005D0E1E"/>
    <w:rsid w:val="005D1ED2"/>
    <w:rsid w:val="005D2089"/>
    <w:rsid w:val="005D5AC3"/>
    <w:rsid w:val="005D7514"/>
    <w:rsid w:val="005E0FC6"/>
    <w:rsid w:val="005E1A7B"/>
    <w:rsid w:val="005E1CCE"/>
    <w:rsid w:val="005E231F"/>
    <w:rsid w:val="005E4C1E"/>
    <w:rsid w:val="005E620E"/>
    <w:rsid w:val="005F6C1C"/>
    <w:rsid w:val="0060184A"/>
    <w:rsid w:val="00602D6E"/>
    <w:rsid w:val="006040B9"/>
    <w:rsid w:val="00605650"/>
    <w:rsid w:val="00605C05"/>
    <w:rsid w:val="00611343"/>
    <w:rsid w:val="00611351"/>
    <w:rsid w:val="00611AFB"/>
    <w:rsid w:val="0061217D"/>
    <w:rsid w:val="006129AE"/>
    <w:rsid w:val="00616B0B"/>
    <w:rsid w:val="006206A3"/>
    <w:rsid w:val="006238CB"/>
    <w:rsid w:val="00624BC6"/>
    <w:rsid w:val="006277A1"/>
    <w:rsid w:val="006327A6"/>
    <w:rsid w:val="00633BD7"/>
    <w:rsid w:val="00634580"/>
    <w:rsid w:val="00634884"/>
    <w:rsid w:val="006351D9"/>
    <w:rsid w:val="00637130"/>
    <w:rsid w:val="00637F0E"/>
    <w:rsid w:val="00641A14"/>
    <w:rsid w:val="006423F2"/>
    <w:rsid w:val="006428C5"/>
    <w:rsid w:val="006448E0"/>
    <w:rsid w:val="00647A76"/>
    <w:rsid w:val="00650234"/>
    <w:rsid w:val="0065257B"/>
    <w:rsid w:val="00652DDC"/>
    <w:rsid w:val="006572DC"/>
    <w:rsid w:val="0066044B"/>
    <w:rsid w:val="006630AA"/>
    <w:rsid w:val="006634FA"/>
    <w:rsid w:val="00663544"/>
    <w:rsid w:val="0066477B"/>
    <w:rsid w:val="00666539"/>
    <w:rsid w:val="00666911"/>
    <w:rsid w:val="006672A7"/>
    <w:rsid w:val="00672D03"/>
    <w:rsid w:val="00675F81"/>
    <w:rsid w:val="00680A8E"/>
    <w:rsid w:val="006811ED"/>
    <w:rsid w:val="0068143E"/>
    <w:rsid w:val="0068507D"/>
    <w:rsid w:val="0068775D"/>
    <w:rsid w:val="00690BB2"/>
    <w:rsid w:val="00690ED8"/>
    <w:rsid w:val="00691AF2"/>
    <w:rsid w:val="00692B80"/>
    <w:rsid w:val="00692CCD"/>
    <w:rsid w:val="00692D51"/>
    <w:rsid w:val="00694DD7"/>
    <w:rsid w:val="0069636B"/>
    <w:rsid w:val="006A1762"/>
    <w:rsid w:val="006A19CE"/>
    <w:rsid w:val="006A1F0B"/>
    <w:rsid w:val="006A277A"/>
    <w:rsid w:val="006A2C93"/>
    <w:rsid w:val="006A41DC"/>
    <w:rsid w:val="006A5973"/>
    <w:rsid w:val="006B006A"/>
    <w:rsid w:val="006B04F3"/>
    <w:rsid w:val="006B2049"/>
    <w:rsid w:val="006B433A"/>
    <w:rsid w:val="006B568E"/>
    <w:rsid w:val="006B5E64"/>
    <w:rsid w:val="006B7126"/>
    <w:rsid w:val="006B7639"/>
    <w:rsid w:val="006C003E"/>
    <w:rsid w:val="006C6B86"/>
    <w:rsid w:val="006D0322"/>
    <w:rsid w:val="006D0454"/>
    <w:rsid w:val="006D4553"/>
    <w:rsid w:val="006D4A35"/>
    <w:rsid w:val="006D6B44"/>
    <w:rsid w:val="006E0F71"/>
    <w:rsid w:val="006E27FE"/>
    <w:rsid w:val="006E6A5B"/>
    <w:rsid w:val="006F713B"/>
    <w:rsid w:val="00701110"/>
    <w:rsid w:val="00702E91"/>
    <w:rsid w:val="0070330F"/>
    <w:rsid w:val="00703624"/>
    <w:rsid w:val="007046ED"/>
    <w:rsid w:val="0070541F"/>
    <w:rsid w:val="007072A1"/>
    <w:rsid w:val="007105D0"/>
    <w:rsid w:val="0071060C"/>
    <w:rsid w:val="00710BC5"/>
    <w:rsid w:val="00711B09"/>
    <w:rsid w:val="007121CA"/>
    <w:rsid w:val="00714A16"/>
    <w:rsid w:val="0072003B"/>
    <w:rsid w:val="00721059"/>
    <w:rsid w:val="007211E6"/>
    <w:rsid w:val="007220C4"/>
    <w:rsid w:val="007305ED"/>
    <w:rsid w:val="007311B9"/>
    <w:rsid w:val="00732361"/>
    <w:rsid w:val="007357B9"/>
    <w:rsid w:val="00741AB9"/>
    <w:rsid w:val="00741D81"/>
    <w:rsid w:val="00742D03"/>
    <w:rsid w:val="00744216"/>
    <w:rsid w:val="007452E8"/>
    <w:rsid w:val="00745F12"/>
    <w:rsid w:val="00746990"/>
    <w:rsid w:val="00747093"/>
    <w:rsid w:val="00750D70"/>
    <w:rsid w:val="007560DC"/>
    <w:rsid w:val="00756819"/>
    <w:rsid w:val="007575D0"/>
    <w:rsid w:val="00762A8C"/>
    <w:rsid w:val="00764213"/>
    <w:rsid w:val="007662E0"/>
    <w:rsid w:val="00766D7D"/>
    <w:rsid w:val="007704C4"/>
    <w:rsid w:val="007710DB"/>
    <w:rsid w:val="00776E9C"/>
    <w:rsid w:val="007816D8"/>
    <w:rsid w:val="007823CD"/>
    <w:rsid w:val="00784150"/>
    <w:rsid w:val="00787DF0"/>
    <w:rsid w:val="007901BF"/>
    <w:rsid w:val="00791927"/>
    <w:rsid w:val="00793272"/>
    <w:rsid w:val="0079499A"/>
    <w:rsid w:val="00794B64"/>
    <w:rsid w:val="007967C3"/>
    <w:rsid w:val="007A018B"/>
    <w:rsid w:val="007A0A33"/>
    <w:rsid w:val="007A0DE4"/>
    <w:rsid w:val="007A49D1"/>
    <w:rsid w:val="007A5D6F"/>
    <w:rsid w:val="007A5F57"/>
    <w:rsid w:val="007B04DE"/>
    <w:rsid w:val="007B0AE6"/>
    <w:rsid w:val="007B2850"/>
    <w:rsid w:val="007C0F0B"/>
    <w:rsid w:val="007C12F2"/>
    <w:rsid w:val="007C57BC"/>
    <w:rsid w:val="007D04CA"/>
    <w:rsid w:val="007D061B"/>
    <w:rsid w:val="007D08CB"/>
    <w:rsid w:val="007D0A2B"/>
    <w:rsid w:val="007D12A1"/>
    <w:rsid w:val="007D1CB5"/>
    <w:rsid w:val="007D21B4"/>
    <w:rsid w:val="007D3951"/>
    <w:rsid w:val="007D40E5"/>
    <w:rsid w:val="007D4138"/>
    <w:rsid w:val="007D42FF"/>
    <w:rsid w:val="007D4EDA"/>
    <w:rsid w:val="007E4178"/>
    <w:rsid w:val="007E6443"/>
    <w:rsid w:val="007F0504"/>
    <w:rsid w:val="007F0A77"/>
    <w:rsid w:val="007F0A7C"/>
    <w:rsid w:val="007F1E37"/>
    <w:rsid w:val="007F2075"/>
    <w:rsid w:val="007F50D3"/>
    <w:rsid w:val="007F5D9C"/>
    <w:rsid w:val="007F6B1F"/>
    <w:rsid w:val="008013F0"/>
    <w:rsid w:val="00803926"/>
    <w:rsid w:val="00804897"/>
    <w:rsid w:val="00806344"/>
    <w:rsid w:val="00817EB8"/>
    <w:rsid w:val="008241A5"/>
    <w:rsid w:val="008305C0"/>
    <w:rsid w:val="008329DB"/>
    <w:rsid w:val="00834C87"/>
    <w:rsid w:val="008361C5"/>
    <w:rsid w:val="0083628F"/>
    <w:rsid w:val="0083798A"/>
    <w:rsid w:val="00837AB9"/>
    <w:rsid w:val="00837E58"/>
    <w:rsid w:val="00844851"/>
    <w:rsid w:val="0084591D"/>
    <w:rsid w:val="00846798"/>
    <w:rsid w:val="00847A7A"/>
    <w:rsid w:val="00850637"/>
    <w:rsid w:val="00854590"/>
    <w:rsid w:val="00854D98"/>
    <w:rsid w:val="0085751E"/>
    <w:rsid w:val="00860B29"/>
    <w:rsid w:val="008622E8"/>
    <w:rsid w:val="008645EE"/>
    <w:rsid w:val="00867B9E"/>
    <w:rsid w:val="00870144"/>
    <w:rsid w:val="0087072C"/>
    <w:rsid w:val="00871312"/>
    <w:rsid w:val="00871920"/>
    <w:rsid w:val="008722FA"/>
    <w:rsid w:val="00873D7A"/>
    <w:rsid w:val="00877CB3"/>
    <w:rsid w:val="008804CF"/>
    <w:rsid w:val="008819BE"/>
    <w:rsid w:val="00881FAA"/>
    <w:rsid w:val="00882D58"/>
    <w:rsid w:val="00882F19"/>
    <w:rsid w:val="00883D35"/>
    <w:rsid w:val="00884359"/>
    <w:rsid w:val="00884569"/>
    <w:rsid w:val="00887A51"/>
    <w:rsid w:val="0089038A"/>
    <w:rsid w:val="00890D9B"/>
    <w:rsid w:val="00891C6C"/>
    <w:rsid w:val="00891EE9"/>
    <w:rsid w:val="00893CCD"/>
    <w:rsid w:val="00894C0D"/>
    <w:rsid w:val="00896026"/>
    <w:rsid w:val="008962CD"/>
    <w:rsid w:val="008964B3"/>
    <w:rsid w:val="008A168B"/>
    <w:rsid w:val="008A1E63"/>
    <w:rsid w:val="008A39D6"/>
    <w:rsid w:val="008A3F4D"/>
    <w:rsid w:val="008A4DC6"/>
    <w:rsid w:val="008A7656"/>
    <w:rsid w:val="008B1CB5"/>
    <w:rsid w:val="008B7643"/>
    <w:rsid w:val="008C042A"/>
    <w:rsid w:val="008C2D69"/>
    <w:rsid w:val="008C49C6"/>
    <w:rsid w:val="008C754C"/>
    <w:rsid w:val="008C76B2"/>
    <w:rsid w:val="008D56C9"/>
    <w:rsid w:val="008D56CA"/>
    <w:rsid w:val="008D6A54"/>
    <w:rsid w:val="008E2585"/>
    <w:rsid w:val="008E2D7A"/>
    <w:rsid w:val="008E68BB"/>
    <w:rsid w:val="008F3215"/>
    <w:rsid w:val="008F3605"/>
    <w:rsid w:val="008F360F"/>
    <w:rsid w:val="008F4A62"/>
    <w:rsid w:val="008F6D8C"/>
    <w:rsid w:val="008F7256"/>
    <w:rsid w:val="0090424C"/>
    <w:rsid w:val="009042A9"/>
    <w:rsid w:val="0090605E"/>
    <w:rsid w:val="00906C74"/>
    <w:rsid w:val="009071E0"/>
    <w:rsid w:val="00907339"/>
    <w:rsid w:val="009108CE"/>
    <w:rsid w:val="009127D2"/>
    <w:rsid w:val="00915A9F"/>
    <w:rsid w:val="009171AB"/>
    <w:rsid w:val="009200D2"/>
    <w:rsid w:val="009203DA"/>
    <w:rsid w:val="00922BB0"/>
    <w:rsid w:val="00924C38"/>
    <w:rsid w:val="00924FA0"/>
    <w:rsid w:val="009258A1"/>
    <w:rsid w:val="00925985"/>
    <w:rsid w:val="00926852"/>
    <w:rsid w:val="00926D8B"/>
    <w:rsid w:val="00930BC7"/>
    <w:rsid w:val="00930D21"/>
    <w:rsid w:val="00930D58"/>
    <w:rsid w:val="00933A73"/>
    <w:rsid w:val="00935AAA"/>
    <w:rsid w:val="0095031E"/>
    <w:rsid w:val="00951F32"/>
    <w:rsid w:val="00954297"/>
    <w:rsid w:val="0095563E"/>
    <w:rsid w:val="009569C3"/>
    <w:rsid w:val="00956CF0"/>
    <w:rsid w:val="00957D01"/>
    <w:rsid w:val="00957F40"/>
    <w:rsid w:val="00960A56"/>
    <w:rsid w:val="00961F31"/>
    <w:rsid w:val="00963C75"/>
    <w:rsid w:val="00966EF1"/>
    <w:rsid w:val="00967223"/>
    <w:rsid w:val="009751F7"/>
    <w:rsid w:val="00975E78"/>
    <w:rsid w:val="0098168B"/>
    <w:rsid w:val="00981CF2"/>
    <w:rsid w:val="0098350E"/>
    <w:rsid w:val="00986B29"/>
    <w:rsid w:val="00990C12"/>
    <w:rsid w:val="00990C49"/>
    <w:rsid w:val="0099404F"/>
    <w:rsid w:val="009956BD"/>
    <w:rsid w:val="00996FA5"/>
    <w:rsid w:val="009A76DC"/>
    <w:rsid w:val="009B5662"/>
    <w:rsid w:val="009B7D34"/>
    <w:rsid w:val="009C2211"/>
    <w:rsid w:val="009C40E8"/>
    <w:rsid w:val="009C45C5"/>
    <w:rsid w:val="009C566A"/>
    <w:rsid w:val="009D12E4"/>
    <w:rsid w:val="009E6858"/>
    <w:rsid w:val="009E6F8C"/>
    <w:rsid w:val="009E7B9B"/>
    <w:rsid w:val="009F1023"/>
    <w:rsid w:val="009F405F"/>
    <w:rsid w:val="009F7F4D"/>
    <w:rsid w:val="00A01C56"/>
    <w:rsid w:val="00A03536"/>
    <w:rsid w:val="00A06298"/>
    <w:rsid w:val="00A071E8"/>
    <w:rsid w:val="00A07390"/>
    <w:rsid w:val="00A13489"/>
    <w:rsid w:val="00A17F27"/>
    <w:rsid w:val="00A213D5"/>
    <w:rsid w:val="00A21923"/>
    <w:rsid w:val="00A2219C"/>
    <w:rsid w:val="00A25DAC"/>
    <w:rsid w:val="00A32C50"/>
    <w:rsid w:val="00A32FD0"/>
    <w:rsid w:val="00A358E7"/>
    <w:rsid w:val="00A41FED"/>
    <w:rsid w:val="00A4380B"/>
    <w:rsid w:val="00A51A2D"/>
    <w:rsid w:val="00A5596B"/>
    <w:rsid w:val="00A56842"/>
    <w:rsid w:val="00A63C07"/>
    <w:rsid w:val="00A63D9B"/>
    <w:rsid w:val="00A64625"/>
    <w:rsid w:val="00A653CD"/>
    <w:rsid w:val="00A704DC"/>
    <w:rsid w:val="00A71303"/>
    <w:rsid w:val="00A71955"/>
    <w:rsid w:val="00A72827"/>
    <w:rsid w:val="00A81379"/>
    <w:rsid w:val="00A85156"/>
    <w:rsid w:val="00A90090"/>
    <w:rsid w:val="00A90549"/>
    <w:rsid w:val="00A93DC6"/>
    <w:rsid w:val="00A9411A"/>
    <w:rsid w:val="00A95BB5"/>
    <w:rsid w:val="00AA4A4B"/>
    <w:rsid w:val="00AA6682"/>
    <w:rsid w:val="00AB0613"/>
    <w:rsid w:val="00AB1674"/>
    <w:rsid w:val="00AB5DDB"/>
    <w:rsid w:val="00AB7C5C"/>
    <w:rsid w:val="00AB7CBF"/>
    <w:rsid w:val="00AD0111"/>
    <w:rsid w:val="00AD0B68"/>
    <w:rsid w:val="00AD40C3"/>
    <w:rsid w:val="00AD4C72"/>
    <w:rsid w:val="00AD5451"/>
    <w:rsid w:val="00AD64BC"/>
    <w:rsid w:val="00AD76AD"/>
    <w:rsid w:val="00AE0B97"/>
    <w:rsid w:val="00AE147B"/>
    <w:rsid w:val="00AE1947"/>
    <w:rsid w:val="00AE1C05"/>
    <w:rsid w:val="00AE6B0E"/>
    <w:rsid w:val="00AE6DF7"/>
    <w:rsid w:val="00AF0AA4"/>
    <w:rsid w:val="00AF1C8B"/>
    <w:rsid w:val="00AF213F"/>
    <w:rsid w:val="00AF22A3"/>
    <w:rsid w:val="00AF299B"/>
    <w:rsid w:val="00AF7E43"/>
    <w:rsid w:val="00B01C02"/>
    <w:rsid w:val="00B02AE0"/>
    <w:rsid w:val="00B03F25"/>
    <w:rsid w:val="00B05326"/>
    <w:rsid w:val="00B14545"/>
    <w:rsid w:val="00B14E60"/>
    <w:rsid w:val="00B15524"/>
    <w:rsid w:val="00B17BA2"/>
    <w:rsid w:val="00B215B6"/>
    <w:rsid w:val="00B263C3"/>
    <w:rsid w:val="00B26DC3"/>
    <w:rsid w:val="00B273DE"/>
    <w:rsid w:val="00B30B9D"/>
    <w:rsid w:val="00B37261"/>
    <w:rsid w:val="00B453A2"/>
    <w:rsid w:val="00B4574D"/>
    <w:rsid w:val="00B468E1"/>
    <w:rsid w:val="00B46BC0"/>
    <w:rsid w:val="00B46DFB"/>
    <w:rsid w:val="00B470FD"/>
    <w:rsid w:val="00B5141B"/>
    <w:rsid w:val="00B55681"/>
    <w:rsid w:val="00B57912"/>
    <w:rsid w:val="00B57AAD"/>
    <w:rsid w:val="00B607EB"/>
    <w:rsid w:val="00B6374E"/>
    <w:rsid w:val="00B667B2"/>
    <w:rsid w:val="00B6779D"/>
    <w:rsid w:val="00B67DB1"/>
    <w:rsid w:val="00B72B16"/>
    <w:rsid w:val="00B76D10"/>
    <w:rsid w:val="00B80408"/>
    <w:rsid w:val="00B81397"/>
    <w:rsid w:val="00B831B6"/>
    <w:rsid w:val="00B83692"/>
    <w:rsid w:val="00B84BE2"/>
    <w:rsid w:val="00B87B04"/>
    <w:rsid w:val="00B915A1"/>
    <w:rsid w:val="00B925DB"/>
    <w:rsid w:val="00B94CF0"/>
    <w:rsid w:val="00B9546C"/>
    <w:rsid w:val="00B957AE"/>
    <w:rsid w:val="00B95F28"/>
    <w:rsid w:val="00B967FF"/>
    <w:rsid w:val="00B974B9"/>
    <w:rsid w:val="00B97FC7"/>
    <w:rsid w:val="00BA3F6D"/>
    <w:rsid w:val="00BA4BE6"/>
    <w:rsid w:val="00BA4FC0"/>
    <w:rsid w:val="00BA61E0"/>
    <w:rsid w:val="00BA657C"/>
    <w:rsid w:val="00BA667E"/>
    <w:rsid w:val="00BA6AD9"/>
    <w:rsid w:val="00BA7F7D"/>
    <w:rsid w:val="00BB0195"/>
    <w:rsid w:val="00BB0BD9"/>
    <w:rsid w:val="00BB1C14"/>
    <w:rsid w:val="00BB6847"/>
    <w:rsid w:val="00BB7F8F"/>
    <w:rsid w:val="00BC2607"/>
    <w:rsid w:val="00BC2E2A"/>
    <w:rsid w:val="00BC5275"/>
    <w:rsid w:val="00BC716A"/>
    <w:rsid w:val="00BD07DF"/>
    <w:rsid w:val="00BD26F4"/>
    <w:rsid w:val="00BD5DBD"/>
    <w:rsid w:val="00BD5DF6"/>
    <w:rsid w:val="00BE0041"/>
    <w:rsid w:val="00BE38BD"/>
    <w:rsid w:val="00BE43C7"/>
    <w:rsid w:val="00BE640F"/>
    <w:rsid w:val="00BE6B4D"/>
    <w:rsid w:val="00BE6D2A"/>
    <w:rsid w:val="00BF4638"/>
    <w:rsid w:val="00BF5130"/>
    <w:rsid w:val="00C00844"/>
    <w:rsid w:val="00C03974"/>
    <w:rsid w:val="00C04CB8"/>
    <w:rsid w:val="00C04E79"/>
    <w:rsid w:val="00C059D0"/>
    <w:rsid w:val="00C07551"/>
    <w:rsid w:val="00C1109F"/>
    <w:rsid w:val="00C12D65"/>
    <w:rsid w:val="00C133AB"/>
    <w:rsid w:val="00C1591B"/>
    <w:rsid w:val="00C16E59"/>
    <w:rsid w:val="00C20994"/>
    <w:rsid w:val="00C20B56"/>
    <w:rsid w:val="00C22214"/>
    <w:rsid w:val="00C242AE"/>
    <w:rsid w:val="00C26F72"/>
    <w:rsid w:val="00C309A7"/>
    <w:rsid w:val="00C335AB"/>
    <w:rsid w:val="00C3607C"/>
    <w:rsid w:val="00C407AB"/>
    <w:rsid w:val="00C4524E"/>
    <w:rsid w:val="00C45863"/>
    <w:rsid w:val="00C47759"/>
    <w:rsid w:val="00C52B7B"/>
    <w:rsid w:val="00C547CD"/>
    <w:rsid w:val="00C54FF2"/>
    <w:rsid w:val="00C55404"/>
    <w:rsid w:val="00C570FF"/>
    <w:rsid w:val="00C57830"/>
    <w:rsid w:val="00C57A69"/>
    <w:rsid w:val="00C57CEA"/>
    <w:rsid w:val="00C60FEC"/>
    <w:rsid w:val="00C614D9"/>
    <w:rsid w:val="00C62B1C"/>
    <w:rsid w:val="00C637B0"/>
    <w:rsid w:val="00C6574E"/>
    <w:rsid w:val="00C663D1"/>
    <w:rsid w:val="00C707FD"/>
    <w:rsid w:val="00C711E0"/>
    <w:rsid w:val="00C7378E"/>
    <w:rsid w:val="00C76DEB"/>
    <w:rsid w:val="00C807A3"/>
    <w:rsid w:val="00C811D8"/>
    <w:rsid w:val="00C816C6"/>
    <w:rsid w:val="00C863A7"/>
    <w:rsid w:val="00C87A81"/>
    <w:rsid w:val="00C912F4"/>
    <w:rsid w:val="00C9156F"/>
    <w:rsid w:val="00C91776"/>
    <w:rsid w:val="00C9581A"/>
    <w:rsid w:val="00C97D29"/>
    <w:rsid w:val="00CA3217"/>
    <w:rsid w:val="00CA3F34"/>
    <w:rsid w:val="00CB0550"/>
    <w:rsid w:val="00CB2E1D"/>
    <w:rsid w:val="00CB6813"/>
    <w:rsid w:val="00CC377A"/>
    <w:rsid w:val="00CC4994"/>
    <w:rsid w:val="00CD3AB9"/>
    <w:rsid w:val="00CE6B37"/>
    <w:rsid w:val="00CF3C01"/>
    <w:rsid w:val="00CF5A7E"/>
    <w:rsid w:val="00CF6A55"/>
    <w:rsid w:val="00CF6B1A"/>
    <w:rsid w:val="00CF6B8B"/>
    <w:rsid w:val="00CF6DC6"/>
    <w:rsid w:val="00CF6DCF"/>
    <w:rsid w:val="00D01DDB"/>
    <w:rsid w:val="00D02F45"/>
    <w:rsid w:val="00D0745C"/>
    <w:rsid w:val="00D078BE"/>
    <w:rsid w:val="00D13F8A"/>
    <w:rsid w:val="00D15578"/>
    <w:rsid w:val="00D16F5A"/>
    <w:rsid w:val="00D16F60"/>
    <w:rsid w:val="00D2294A"/>
    <w:rsid w:val="00D22981"/>
    <w:rsid w:val="00D276AF"/>
    <w:rsid w:val="00D31ACC"/>
    <w:rsid w:val="00D3349B"/>
    <w:rsid w:val="00D407EF"/>
    <w:rsid w:val="00D41C77"/>
    <w:rsid w:val="00D424A8"/>
    <w:rsid w:val="00D449B2"/>
    <w:rsid w:val="00D45ADA"/>
    <w:rsid w:val="00D53201"/>
    <w:rsid w:val="00D53FC1"/>
    <w:rsid w:val="00D5566F"/>
    <w:rsid w:val="00D6036F"/>
    <w:rsid w:val="00D61C1D"/>
    <w:rsid w:val="00D62877"/>
    <w:rsid w:val="00D6299C"/>
    <w:rsid w:val="00D63760"/>
    <w:rsid w:val="00D63BDD"/>
    <w:rsid w:val="00D6703F"/>
    <w:rsid w:val="00D734EB"/>
    <w:rsid w:val="00D74007"/>
    <w:rsid w:val="00D80059"/>
    <w:rsid w:val="00D8237C"/>
    <w:rsid w:val="00D82713"/>
    <w:rsid w:val="00D83873"/>
    <w:rsid w:val="00D86F00"/>
    <w:rsid w:val="00D918D5"/>
    <w:rsid w:val="00D91CF1"/>
    <w:rsid w:val="00D94C8E"/>
    <w:rsid w:val="00DA3CE8"/>
    <w:rsid w:val="00DA5B1F"/>
    <w:rsid w:val="00DB12DA"/>
    <w:rsid w:val="00DB1372"/>
    <w:rsid w:val="00DB178C"/>
    <w:rsid w:val="00DB192C"/>
    <w:rsid w:val="00DB1CF3"/>
    <w:rsid w:val="00DB259E"/>
    <w:rsid w:val="00DB502F"/>
    <w:rsid w:val="00DB5425"/>
    <w:rsid w:val="00DB72A6"/>
    <w:rsid w:val="00DC0958"/>
    <w:rsid w:val="00DC33AF"/>
    <w:rsid w:val="00DC6611"/>
    <w:rsid w:val="00DC66DC"/>
    <w:rsid w:val="00DD06A5"/>
    <w:rsid w:val="00DD3AB9"/>
    <w:rsid w:val="00DD5AFB"/>
    <w:rsid w:val="00DD61F7"/>
    <w:rsid w:val="00DE09EA"/>
    <w:rsid w:val="00DE1344"/>
    <w:rsid w:val="00DF1CFD"/>
    <w:rsid w:val="00DF5BFE"/>
    <w:rsid w:val="00E00D4C"/>
    <w:rsid w:val="00E04419"/>
    <w:rsid w:val="00E0523F"/>
    <w:rsid w:val="00E06B6C"/>
    <w:rsid w:val="00E11440"/>
    <w:rsid w:val="00E13211"/>
    <w:rsid w:val="00E13620"/>
    <w:rsid w:val="00E23E50"/>
    <w:rsid w:val="00E24FA0"/>
    <w:rsid w:val="00E26213"/>
    <w:rsid w:val="00E26866"/>
    <w:rsid w:val="00E274DF"/>
    <w:rsid w:val="00E33DF0"/>
    <w:rsid w:val="00E34D66"/>
    <w:rsid w:val="00E353E1"/>
    <w:rsid w:val="00E362C4"/>
    <w:rsid w:val="00E41F8C"/>
    <w:rsid w:val="00E44B2F"/>
    <w:rsid w:val="00E45DD0"/>
    <w:rsid w:val="00E46CC2"/>
    <w:rsid w:val="00E47E0C"/>
    <w:rsid w:val="00E47FBD"/>
    <w:rsid w:val="00E47FC0"/>
    <w:rsid w:val="00E513C7"/>
    <w:rsid w:val="00E51813"/>
    <w:rsid w:val="00E52C0B"/>
    <w:rsid w:val="00E53D3F"/>
    <w:rsid w:val="00E5579B"/>
    <w:rsid w:val="00E57FF4"/>
    <w:rsid w:val="00E6749A"/>
    <w:rsid w:val="00E679D1"/>
    <w:rsid w:val="00E67C1C"/>
    <w:rsid w:val="00E7512A"/>
    <w:rsid w:val="00E76BAC"/>
    <w:rsid w:val="00E778AF"/>
    <w:rsid w:val="00E91F11"/>
    <w:rsid w:val="00E9706D"/>
    <w:rsid w:val="00EA0D1E"/>
    <w:rsid w:val="00EA14B0"/>
    <w:rsid w:val="00EA3AF4"/>
    <w:rsid w:val="00EB0888"/>
    <w:rsid w:val="00EB0B3A"/>
    <w:rsid w:val="00EB33F2"/>
    <w:rsid w:val="00EB7763"/>
    <w:rsid w:val="00EC3BB3"/>
    <w:rsid w:val="00EC5AC9"/>
    <w:rsid w:val="00EC5AE0"/>
    <w:rsid w:val="00ED6568"/>
    <w:rsid w:val="00EE3F0C"/>
    <w:rsid w:val="00EE4B01"/>
    <w:rsid w:val="00EE77E9"/>
    <w:rsid w:val="00EF3F0B"/>
    <w:rsid w:val="00EF542A"/>
    <w:rsid w:val="00EF5583"/>
    <w:rsid w:val="00F01933"/>
    <w:rsid w:val="00F0289D"/>
    <w:rsid w:val="00F02AEC"/>
    <w:rsid w:val="00F039F1"/>
    <w:rsid w:val="00F0423C"/>
    <w:rsid w:val="00F047E0"/>
    <w:rsid w:val="00F06ACD"/>
    <w:rsid w:val="00F07572"/>
    <w:rsid w:val="00F07F2F"/>
    <w:rsid w:val="00F138B0"/>
    <w:rsid w:val="00F15244"/>
    <w:rsid w:val="00F157FC"/>
    <w:rsid w:val="00F17175"/>
    <w:rsid w:val="00F17569"/>
    <w:rsid w:val="00F30AF3"/>
    <w:rsid w:val="00F33576"/>
    <w:rsid w:val="00F33584"/>
    <w:rsid w:val="00F402CE"/>
    <w:rsid w:val="00F42F12"/>
    <w:rsid w:val="00F43C87"/>
    <w:rsid w:val="00F43CD1"/>
    <w:rsid w:val="00F45AE0"/>
    <w:rsid w:val="00F4715F"/>
    <w:rsid w:val="00F476AE"/>
    <w:rsid w:val="00F55E05"/>
    <w:rsid w:val="00F60CF2"/>
    <w:rsid w:val="00F62179"/>
    <w:rsid w:val="00F657B4"/>
    <w:rsid w:val="00F706CC"/>
    <w:rsid w:val="00F72725"/>
    <w:rsid w:val="00F76108"/>
    <w:rsid w:val="00F763C4"/>
    <w:rsid w:val="00F7649F"/>
    <w:rsid w:val="00F8083B"/>
    <w:rsid w:val="00F82D1B"/>
    <w:rsid w:val="00F8568E"/>
    <w:rsid w:val="00F85DC3"/>
    <w:rsid w:val="00F865A7"/>
    <w:rsid w:val="00F924FB"/>
    <w:rsid w:val="00FA0754"/>
    <w:rsid w:val="00FA1818"/>
    <w:rsid w:val="00FA1BC9"/>
    <w:rsid w:val="00FA49C3"/>
    <w:rsid w:val="00FB0C35"/>
    <w:rsid w:val="00FB236E"/>
    <w:rsid w:val="00FB3DF2"/>
    <w:rsid w:val="00FB3F7B"/>
    <w:rsid w:val="00FB4C2A"/>
    <w:rsid w:val="00FB68A5"/>
    <w:rsid w:val="00FB726F"/>
    <w:rsid w:val="00FC1AE3"/>
    <w:rsid w:val="00FC2107"/>
    <w:rsid w:val="00FC48FE"/>
    <w:rsid w:val="00FC6F56"/>
    <w:rsid w:val="00FD4A13"/>
    <w:rsid w:val="00FE087C"/>
    <w:rsid w:val="00FE1512"/>
    <w:rsid w:val="00FE5B98"/>
    <w:rsid w:val="00FE79A0"/>
    <w:rsid w:val="00FF0939"/>
    <w:rsid w:val="00FF140A"/>
    <w:rsid w:val="00FF5403"/>
    <w:rsid w:val="00FF76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0D38B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aliases w:val="List normal"/>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aliases w:val="List normal Char"/>
    <w:basedOn w:val="DefaultParagraphFont"/>
    <w:link w:val="ListParagraph"/>
    <w:uiPriority w:val="99"/>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ulletlist">
    <w:name w:val="Bullet list"/>
    <w:basedOn w:val="Normal"/>
    <w:link w:val="BulletlistChar"/>
    <w:qFormat/>
    <w:rsid w:val="001065B7"/>
    <w:pPr>
      <w:numPr>
        <w:numId w:val="21"/>
      </w:numPr>
      <w:spacing w:after="180" w:line="252" w:lineRule="auto"/>
      <w:ind w:left="426" w:hanging="284"/>
    </w:pPr>
    <w:rPr>
      <w:rFonts w:eastAsia="Times New Roman" w:cs="Times New Roman"/>
      <w:snapToGrid w:val="0"/>
      <w:kern w:val="2"/>
      <w:sz w:val="23"/>
      <w:szCs w:val="24"/>
    </w:rPr>
  </w:style>
  <w:style w:type="character" w:customStyle="1" w:styleId="BulletlistChar">
    <w:name w:val="Bullet list Char"/>
    <w:basedOn w:val="DefaultParagraphFont"/>
    <w:link w:val="Bulletlist"/>
    <w:rsid w:val="001065B7"/>
    <w:rPr>
      <w:rFonts w:ascii="Cambria" w:eastAsia="Times New Roman" w:hAnsi="Cambria" w:cs="Times New Roman"/>
      <w:snapToGrid w:val="0"/>
      <w:kern w:val="2"/>
      <w:sz w:val="23"/>
      <w:szCs w:val="24"/>
    </w:rPr>
  </w:style>
  <w:style w:type="paragraph" w:customStyle="1" w:styleId="Tabletext0">
    <w:name w:val="Table text"/>
    <w:basedOn w:val="Normal"/>
    <w:link w:val="TabletextChar"/>
    <w:qFormat/>
    <w:rsid w:val="00A85156"/>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A85156"/>
    <w:rPr>
      <w:rFonts w:ascii="Cambria" w:eastAsia="Cambria" w:hAnsi="Cambria" w:cs="Times New Roman"/>
      <w:sz w:val="19"/>
      <w:szCs w:val="22"/>
    </w:rPr>
  </w:style>
  <w:style w:type="paragraph" w:customStyle="1" w:styleId="Standard">
    <w:name w:val="Standard"/>
    <w:basedOn w:val="Normal"/>
    <w:link w:val="StandardChar"/>
    <w:qFormat/>
    <w:rsid w:val="007A5D6F"/>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7A5D6F"/>
    <w:rPr>
      <w:rFonts w:ascii="Cambria" w:eastAsia="Times New Roman" w:hAnsi="Cambria" w:cs="Times New Roman"/>
      <w:snapToGrid w:val="0"/>
      <w:kern w:val="16"/>
      <w:sz w:val="23"/>
      <w:szCs w:val="24"/>
    </w:rPr>
  </w:style>
  <w:style w:type="paragraph" w:styleId="ListNumber">
    <w:name w:val="List Number"/>
    <w:basedOn w:val="ListParagraph"/>
    <w:uiPriority w:val="99"/>
    <w:unhideWhenUsed/>
    <w:rsid w:val="0047724B"/>
    <w:pPr>
      <w:numPr>
        <w:numId w:val="24"/>
      </w:numPr>
      <w:spacing w:after="120" w:line="240" w:lineRule="auto"/>
      <w:ind w:left="426" w:hanging="426"/>
    </w:pPr>
    <w:rPr>
      <w:rFonts w:asciiTheme="minorHAnsi" w:eastAsia="Times New Roman" w:hAnsiTheme="minorHAnsi"/>
      <w:b/>
      <w:sz w:val="22"/>
      <w:szCs w:val="22"/>
      <w:lang w:eastAsia="en-AU"/>
    </w:rPr>
  </w:style>
  <w:style w:type="paragraph" w:customStyle="1" w:styleId="Default">
    <w:name w:val="Default"/>
    <w:rsid w:val="00386BC3"/>
    <w:pPr>
      <w:autoSpaceDE w:val="0"/>
      <w:autoSpaceDN w:val="0"/>
      <w:adjustRightInd w:val="0"/>
      <w:spacing w:after="0" w:line="240" w:lineRule="auto"/>
    </w:pPr>
    <w:rPr>
      <w:rFonts w:ascii="Arial" w:hAnsi="Arial" w:cs="Arial"/>
      <w:color w:val="000000"/>
      <w:sz w:val="24"/>
      <w:szCs w:val="24"/>
    </w:rPr>
  </w:style>
  <w:style w:type="character" w:customStyle="1" w:styleId="Heading7Char">
    <w:name w:val="Heading 7 Char"/>
    <w:basedOn w:val="DefaultParagraphFont"/>
    <w:link w:val="Heading7"/>
    <w:uiPriority w:val="9"/>
    <w:rsid w:val="000D38B1"/>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3172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products/medicines/find-information-about-medicine/prescribing-medicines-pregnancy-databas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hyperlink" Target="https://www.tga.gov.au/publication/risk-management-plans-medicines-and-biologicals" TargetMode="External"/><Relationship Id="rId47" Type="http://schemas.openxmlformats.org/officeDocument/2006/relationships/hyperlink" Target="https://www.tga.gov.au/form/certified-product-details-cpd-biologicalprescription-medicines" TargetMode="External"/><Relationship Id="rId50" Type="http://schemas.openxmlformats.org/officeDocument/2006/relationships/header" Target="header4.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11.png"/><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hyperlink" Target="https://www.tga.gov.au" TargetMode="External"/><Relationship Id="rId5" Type="http://schemas.openxmlformats.org/officeDocument/2006/relationships/webSettings" Target="webSettings.xml"/><Relationship Id="rId19" Type="http://schemas.openxmlformats.org/officeDocument/2006/relationships/hyperlink" Target="https://www.tga.gov.au/obstetric-drug-information-servic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 TargetMode="Externa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tga.gov.au/tgas-risk-management-approach" TargetMode="External"/><Relationship Id="rId48" Type="http://schemas.openxmlformats.org/officeDocument/2006/relationships/hyperlink" Target="https://www.tga.gov.au/guidance-7-certified-product-details"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hyperlink" Target="https://www.tga.gov.au/committee/advisory-committee-medicines-acm" TargetMode="External"/><Relationship Id="rId20" Type="http://schemas.openxmlformats.org/officeDocument/2006/relationships/hyperlink" Target="https://www.tga.gov.au/how-we-regulate/supply-therapeutic-good-0/supply-prescription-medicine/application-process/prescription-medicines-registration-process" TargetMode="External"/><Relationship Id="rId41" Type="http://schemas.openxmlformats.org/officeDocument/2006/relationships/image" Target="media/image23.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yperlink" Target="https://www.ebs.tga.gov.au/"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www.tga.gov.au/resources/resource/guidance/risk-management-plans-medicines-and-biologicals/australia-specific-annex-eu-rmp" TargetMode="External"/><Relationship Id="rId5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books/NBK547710/" TargetMode="External"/><Relationship Id="rId1" Type="http://schemas.openxmlformats.org/officeDocument/2006/relationships/hyperlink" Target="https://doi.org/10.1038/jid.2012.339"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41</Pages>
  <Words>13347</Words>
  <Characters>77376</Characters>
  <Application>Microsoft Office Word</Application>
  <DocSecurity>0</DocSecurity>
  <Lines>1485</Lines>
  <Paragraphs>556</Paragraphs>
  <ScaleCrop>false</ScaleCrop>
  <HeadingPairs>
    <vt:vector size="2" baseType="variant">
      <vt:variant>
        <vt:lpstr>Title</vt:lpstr>
      </vt:variant>
      <vt:variant>
        <vt:i4>1</vt:i4>
      </vt:variant>
    </vt:vector>
  </HeadingPairs>
  <TitlesOfParts>
    <vt:vector size="1" baseType="lpstr">
      <vt:lpstr>Australian public assessment report for Uteknix</vt:lpstr>
    </vt:vector>
  </TitlesOfParts>
  <Company>Department of Health, Disability and Ageing</Company>
  <LinksUpToDate>false</LinksUpToDate>
  <CharactersWithSpaces>90256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Uteknix</dc:title>
  <dc:subject>Prescription medicines</dc:subject>
  <dc:creator>Therapeutic Goods Administration</dc:creator>
  <cp:keywords/>
  <dc:description/>
  <cp:lastModifiedBy>LACK, Janet</cp:lastModifiedBy>
  <cp:revision>4</cp:revision>
  <dcterms:created xsi:type="dcterms:W3CDTF">2025-11-04T21:45:00Z</dcterms:created>
  <dcterms:modified xsi:type="dcterms:W3CDTF">2025-11-04T22:17:00Z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8e5f676,5fee4d68,4ac41cf2,45bd7a8e,362d9adb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6bff0fbe,1f97cb4c,2e8589e,2d8f93a6,7396d080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2025-09-09T07:09:49Z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2dab3cd8-f2af-495b-a911-bba0860b8e41</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