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5C4BCFC9" w:rsidR="00F02AEC" w:rsidRPr="00215D48" w:rsidRDefault="00346EC2" w:rsidP="00CC6EC3">
            <w:pPr>
              <w:pStyle w:val="Title"/>
            </w:pPr>
            <w:bookmarkStart w:id="0" w:name="_Hlk207972246"/>
            <w:bookmarkEnd w:id="0"/>
            <w:r w:rsidRPr="00346EC2">
              <w:t xml:space="preserve">Australian Public Assessment Report for </w:t>
            </w:r>
            <w:proofErr w:type="spellStart"/>
            <w:r w:rsidR="00F11E4D" w:rsidRPr="00CC6EC3">
              <w:t>Pluvicto</w:t>
            </w:r>
            <w:proofErr w:type="spellEnd"/>
          </w:p>
        </w:tc>
      </w:tr>
      <w:tr w:rsidR="00F02AEC" w:rsidRPr="00215D48" w14:paraId="318A40A3" w14:textId="77777777" w:rsidTr="00346EC2">
        <w:trPr>
          <w:trHeight w:val="995"/>
        </w:trPr>
        <w:tc>
          <w:tcPr>
            <w:tcW w:w="8720" w:type="dxa"/>
          </w:tcPr>
          <w:p w14:paraId="1AA7C701" w14:textId="61F963AA" w:rsidR="00D94ADC" w:rsidRPr="00215D48" w:rsidRDefault="00346EC2" w:rsidP="00CC6EC3">
            <w:pPr>
              <w:pStyle w:val="Subtitle"/>
              <w:ind w:left="29"/>
            </w:pPr>
            <w:r w:rsidRPr="00346EC2">
              <w:t>Active ingredient/s:</w:t>
            </w:r>
            <w:r w:rsidR="00D94ADC">
              <w:t xml:space="preserve"> </w:t>
            </w:r>
            <w:bookmarkStart w:id="1" w:name="_Hlk213668388"/>
            <w:r w:rsidR="00D94ADC" w:rsidRPr="00CC6EC3">
              <w:t>Lutetium</w:t>
            </w:r>
            <w:r w:rsidR="00D94ADC" w:rsidRPr="00D94ADC">
              <w:t xml:space="preserve"> (</w:t>
            </w:r>
            <w:proofErr w:type="spellStart"/>
            <w:r w:rsidR="00D94ADC" w:rsidRPr="000A7607">
              <w:rPr>
                <w:vertAlign w:val="superscript"/>
              </w:rPr>
              <w:t>177</w:t>
            </w:r>
            <w:r w:rsidR="00D94ADC" w:rsidRPr="00D94ADC">
              <w:t>Lu</w:t>
            </w:r>
            <w:proofErr w:type="spellEnd"/>
            <w:r w:rsidR="00D94ADC" w:rsidRPr="00D94ADC">
              <w:t xml:space="preserve">) </w:t>
            </w:r>
            <w:proofErr w:type="spellStart"/>
            <w:r w:rsidR="00D94ADC" w:rsidRPr="00D94ADC">
              <w:t>vipivotide</w:t>
            </w:r>
            <w:proofErr w:type="spellEnd"/>
            <w:r w:rsidR="00D94ADC" w:rsidRPr="00D94ADC">
              <w:t xml:space="preserve"> tetraxetan</w:t>
            </w:r>
            <w:bookmarkEnd w:id="1"/>
          </w:p>
        </w:tc>
      </w:tr>
      <w:tr w:rsidR="00346EC2" w:rsidRPr="00215D48" w14:paraId="362CCAE4" w14:textId="77777777" w:rsidTr="007452E8">
        <w:trPr>
          <w:trHeight w:val="1916"/>
        </w:trPr>
        <w:tc>
          <w:tcPr>
            <w:tcW w:w="8720" w:type="dxa"/>
          </w:tcPr>
          <w:p w14:paraId="709C45C0" w14:textId="334E50D9" w:rsidR="00346EC2" w:rsidRPr="00215D48" w:rsidRDefault="00346EC2" w:rsidP="00CC6EC3">
            <w:pPr>
              <w:pStyle w:val="Subtitle"/>
              <w:ind w:left="0"/>
            </w:pPr>
            <w:r w:rsidRPr="00346EC2">
              <w:t>Sponsor:</w:t>
            </w:r>
            <w:r w:rsidR="000344AF">
              <w:t xml:space="preserve"> </w:t>
            </w:r>
            <w:r w:rsidR="000344AF" w:rsidRPr="000344AF">
              <w:t xml:space="preserve">Novartis </w:t>
            </w:r>
            <w:r w:rsidR="000344AF" w:rsidRPr="00CC6EC3">
              <w:t>Pharmaceuticals</w:t>
            </w:r>
            <w:r w:rsidR="000344AF" w:rsidRPr="000344AF">
              <w:t xml:space="preserve"> Australia Pty Ltd</w:t>
            </w:r>
          </w:p>
        </w:tc>
      </w:tr>
      <w:tr w:rsidR="00F02AEC" w:rsidRPr="00215D48" w14:paraId="37F2AA1F" w14:textId="77777777" w:rsidTr="007452E8">
        <w:tc>
          <w:tcPr>
            <w:tcW w:w="8720" w:type="dxa"/>
          </w:tcPr>
          <w:p w14:paraId="1FDE8DCD" w14:textId="351BAE2E" w:rsidR="00F02AEC" w:rsidRPr="00215D48" w:rsidRDefault="00784CA1" w:rsidP="00CC6EC3">
            <w:pPr>
              <w:pStyle w:val="Date"/>
            </w:pPr>
            <w:r w:rsidRPr="00CC6EC3">
              <w:t>October</w:t>
            </w:r>
            <w:r w:rsidR="000344AF">
              <w:t xml:space="preserve"> 2025</w:t>
            </w:r>
          </w:p>
        </w:tc>
      </w:tr>
    </w:tbl>
    <w:p w14:paraId="73752706" w14:textId="77777777" w:rsidR="00F02AEC" w:rsidRPr="00215D48" w:rsidRDefault="00F02AEC" w:rsidP="007452E8">
      <w:pPr>
        <w:pStyle w:val="ListBullet"/>
        <w:numPr>
          <w:ilvl w:val="0"/>
          <w:numId w:val="0"/>
        </w:numPr>
        <w:sectPr w:rsidR="00F02AEC" w:rsidRPr="00215D48" w:rsidSect="00CB05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653A37AF"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4" w:history="1">
        <w:r w:rsidRPr="00A63C07">
          <w:rPr>
            <w:rStyle w:val="Hyperlink"/>
          </w:rPr>
          <w:t>TGA website</w:t>
        </w:r>
      </w:hyperlink>
      <w:r w:rsidRPr="003C6D1F">
        <w:t>.</w:t>
      </w:r>
    </w:p>
    <w:p w14:paraId="737B7A99" w14:textId="77777777" w:rsidR="00346EC2" w:rsidRDefault="00346EC2" w:rsidP="00346EC2">
      <w:pPr>
        <w:pStyle w:val="NonTOCHeading20"/>
      </w:pPr>
      <w:r>
        <w:t xml:space="preserve">About </w:t>
      </w:r>
      <w:proofErr w:type="spellStart"/>
      <w:r>
        <w:t>AusPARs</w:t>
      </w:r>
      <w:proofErr w:type="spellEnd"/>
    </w:p>
    <w:p w14:paraId="631B2209" w14:textId="461A0B88"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5"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proofErr w:type="spellStart"/>
      <w:r w:rsidRPr="003C6D1F">
        <w:t>AusPARs</w:t>
      </w:r>
      <w:proofErr w:type="spellEnd"/>
      <w:r w:rsidRPr="003C6D1F">
        <w:t xml:space="preserve"> are prepared and published by the TGA.</w:t>
      </w:r>
    </w:p>
    <w:p w14:paraId="451B8FD7" w14:textId="77777777" w:rsidR="00346EC2" w:rsidRPr="003C6D1F" w:rsidRDefault="00346EC2" w:rsidP="00346EC2">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1D04498C" w:rsidR="00175CD8" w:rsidRPr="00346EC2" w:rsidRDefault="00F02AEC" w:rsidP="00346EC2">
      <w:pPr>
        <w:pStyle w:val="LegalCopy"/>
        <w:rPr>
          <w:rFonts w:cs="Arial"/>
        </w:rPr>
      </w:pPr>
      <w:r w:rsidRPr="00215D48">
        <w:rPr>
          <w:rFonts w:cs="Arial"/>
        </w:rPr>
        <w:t>© Commonwealth of Australia 20</w:t>
      </w:r>
      <w:r>
        <w:rPr>
          <w:rFonts w:cs="Arial"/>
        </w:rPr>
        <w:t>2</w:t>
      </w:r>
      <w:r w:rsidR="00210F9B">
        <w:rPr>
          <w:rFonts w:cs="Arial"/>
        </w:rPr>
        <w:t>5</w:t>
      </w:r>
      <w:r w:rsidR="003464B9">
        <w:rPr>
          <w:rFonts w:cs="Arial"/>
        </w:rPr>
        <w:t>+</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6"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13DF4278" w14:textId="1D538092" w:rsidR="00CC6EC3"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13750990" w:history="1">
            <w:r w:rsidR="00CC6EC3" w:rsidRPr="00CA3E4F">
              <w:rPr>
                <w:rStyle w:val="Hyperlink"/>
                <w:noProof/>
              </w:rPr>
              <w:t>List of abbreviations</w:t>
            </w:r>
            <w:r w:rsidR="00CC6EC3">
              <w:rPr>
                <w:noProof/>
                <w:webHidden/>
              </w:rPr>
              <w:tab/>
            </w:r>
            <w:r w:rsidR="00CC6EC3">
              <w:rPr>
                <w:noProof/>
                <w:webHidden/>
              </w:rPr>
              <w:fldChar w:fldCharType="begin"/>
            </w:r>
            <w:r w:rsidR="00CC6EC3">
              <w:rPr>
                <w:noProof/>
                <w:webHidden/>
              </w:rPr>
              <w:instrText xml:space="preserve"> PAGEREF _Toc213750990 \h </w:instrText>
            </w:r>
            <w:r w:rsidR="00CC6EC3">
              <w:rPr>
                <w:noProof/>
                <w:webHidden/>
              </w:rPr>
            </w:r>
            <w:r w:rsidR="00CC6EC3">
              <w:rPr>
                <w:noProof/>
                <w:webHidden/>
              </w:rPr>
              <w:fldChar w:fldCharType="separate"/>
            </w:r>
            <w:r w:rsidR="00CC6EC3">
              <w:rPr>
                <w:noProof/>
                <w:webHidden/>
              </w:rPr>
              <w:t>4</w:t>
            </w:r>
            <w:r w:rsidR="00CC6EC3">
              <w:rPr>
                <w:noProof/>
                <w:webHidden/>
              </w:rPr>
              <w:fldChar w:fldCharType="end"/>
            </w:r>
          </w:hyperlink>
        </w:p>
        <w:p w14:paraId="77059ECD" w14:textId="48C2AF11" w:rsidR="00CC6EC3" w:rsidRDefault="00CC6EC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750991" w:history="1">
            <w:r w:rsidRPr="00CA3E4F">
              <w:rPr>
                <w:rStyle w:val="Hyperlink"/>
                <w:noProof/>
              </w:rPr>
              <w:t>Product submission</w:t>
            </w:r>
            <w:r>
              <w:rPr>
                <w:noProof/>
                <w:webHidden/>
              </w:rPr>
              <w:tab/>
            </w:r>
            <w:r>
              <w:rPr>
                <w:noProof/>
                <w:webHidden/>
              </w:rPr>
              <w:fldChar w:fldCharType="begin"/>
            </w:r>
            <w:r>
              <w:rPr>
                <w:noProof/>
                <w:webHidden/>
              </w:rPr>
              <w:instrText xml:space="preserve"> PAGEREF _Toc213750991 \h </w:instrText>
            </w:r>
            <w:r>
              <w:rPr>
                <w:noProof/>
                <w:webHidden/>
              </w:rPr>
            </w:r>
            <w:r>
              <w:rPr>
                <w:noProof/>
                <w:webHidden/>
              </w:rPr>
              <w:fldChar w:fldCharType="separate"/>
            </w:r>
            <w:r>
              <w:rPr>
                <w:noProof/>
                <w:webHidden/>
              </w:rPr>
              <w:t>6</w:t>
            </w:r>
            <w:r>
              <w:rPr>
                <w:noProof/>
                <w:webHidden/>
              </w:rPr>
              <w:fldChar w:fldCharType="end"/>
            </w:r>
          </w:hyperlink>
        </w:p>
        <w:p w14:paraId="2DAA1AEE" w14:textId="27A98B2D" w:rsidR="00CC6EC3" w:rsidRDefault="00CC6EC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3750992" w:history="1">
            <w:r w:rsidRPr="00CA3E4F">
              <w:rPr>
                <w:rStyle w:val="Hyperlink"/>
                <w:noProof/>
              </w:rPr>
              <w:t>Submission</w:t>
            </w:r>
            <w:r w:rsidRPr="00CA3E4F">
              <w:rPr>
                <w:rStyle w:val="Hyperlink"/>
                <w:noProof/>
                <w:lang w:eastAsia="en-AU"/>
              </w:rPr>
              <w:t xml:space="preserve"> details</w:t>
            </w:r>
            <w:r>
              <w:rPr>
                <w:noProof/>
                <w:webHidden/>
              </w:rPr>
              <w:tab/>
            </w:r>
            <w:r>
              <w:rPr>
                <w:noProof/>
                <w:webHidden/>
              </w:rPr>
              <w:fldChar w:fldCharType="begin"/>
            </w:r>
            <w:r>
              <w:rPr>
                <w:noProof/>
                <w:webHidden/>
              </w:rPr>
              <w:instrText xml:space="preserve"> PAGEREF _Toc213750992 \h </w:instrText>
            </w:r>
            <w:r>
              <w:rPr>
                <w:noProof/>
                <w:webHidden/>
              </w:rPr>
            </w:r>
            <w:r>
              <w:rPr>
                <w:noProof/>
                <w:webHidden/>
              </w:rPr>
              <w:fldChar w:fldCharType="separate"/>
            </w:r>
            <w:r>
              <w:rPr>
                <w:noProof/>
                <w:webHidden/>
              </w:rPr>
              <w:t>6</w:t>
            </w:r>
            <w:r>
              <w:rPr>
                <w:noProof/>
                <w:webHidden/>
              </w:rPr>
              <w:fldChar w:fldCharType="end"/>
            </w:r>
          </w:hyperlink>
        </w:p>
        <w:p w14:paraId="71D7EB0F" w14:textId="5C1DF986" w:rsidR="00CC6EC3" w:rsidRDefault="00CC6EC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3750993" w:history="1">
            <w:r w:rsidRPr="00CA3E4F">
              <w:rPr>
                <w:rStyle w:val="Hyperlink"/>
                <w:noProof/>
              </w:rPr>
              <w:t>Product background</w:t>
            </w:r>
            <w:r>
              <w:rPr>
                <w:noProof/>
                <w:webHidden/>
              </w:rPr>
              <w:tab/>
            </w:r>
            <w:r>
              <w:rPr>
                <w:noProof/>
                <w:webHidden/>
              </w:rPr>
              <w:fldChar w:fldCharType="begin"/>
            </w:r>
            <w:r>
              <w:rPr>
                <w:noProof/>
                <w:webHidden/>
              </w:rPr>
              <w:instrText xml:space="preserve"> PAGEREF _Toc213750993 \h </w:instrText>
            </w:r>
            <w:r>
              <w:rPr>
                <w:noProof/>
                <w:webHidden/>
              </w:rPr>
            </w:r>
            <w:r>
              <w:rPr>
                <w:noProof/>
                <w:webHidden/>
              </w:rPr>
              <w:fldChar w:fldCharType="separate"/>
            </w:r>
            <w:r>
              <w:rPr>
                <w:noProof/>
                <w:webHidden/>
              </w:rPr>
              <w:t>7</w:t>
            </w:r>
            <w:r>
              <w:rPr>
                <w:noProof/>
                <w:webHidden/>
              </w:rPr>
              <w:fldChar w:fldCharType="end"/>
            </w:r>
          </w:hyperlink>
        </w:p>
        <w:p w14:paraId="03618D0C" w14:textId="1929C48E" w:rsidR="00CC6EC3" w:rsidRDefault="00CC6EC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3750994" w:history="1">
            <w:r w:rsidRPr="00CA3E4F">
              <w:rPr>
                <w:rStyle w:val="Hyperlink"/>
                <w:noProof/>
              </w:rPr>
              <w:t>Disease or condition</w:t>
            </w:r>
            <w:r>
              <w:rPr>
                <w:noProof/>
                <w:webHidden/>
              </w:rPr>
              <w:tab/>
            </w:r>
            <w:r>
              <w:rPr>
                <w:noProof/>
                <w:webHidden/>
              </w:rPr>
              <w:fldChar w:fldCharType="begin"/>
            </w:r>
            <w:r>
              <w:rPr>
                <w:noProof/>
                <w:webHidden/>
              </w:rPr>
              <w:instrText xml:space="preserve"> PAGEREF _Toc213750994 \h </w:instrText>
            </w:r>
            <w:r>
              <w:rPr>
                <w:noProof/>
                <w:webHidden/>
              </w:rPr>
            </w:r>
            <w:r>
              <w:rPr>
                <w:noProof/>
                <w:webHidden/>
              </w:rPr>
              <w:fldChar w:fldCharType="separate"/>
            </w:r>
            <w:r>
              <w:rPr>
                <w:noProof/>
                <w:webHidden/>
              </w:rPr>
              <w:t>7</w:t>
            </w:r>
            <w:r>
              <w:rPr>
                <w:noProof/>
                <w:webHidden/>
              </w:rPr>
              <w:fldChar w:fldCharType="end"/>
            </w:r>
          </w:hyperlink>
        </w:p>
        <w:p w14:paraId="506CBCBB" w14:textId="55B24447" w:rsidR="00CC6EC3" w:rsidRDefault="00CC6EC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3750995" w:history="1">
            <w:r w:rsidRPr="00CA3E4F">
              <w:rPr>
                <w:rStyle w:val="Hyperlink"/>
                <w:noProof/>
              </w:rPr>
              <w:t>Current treatment options</w:t>
            </w:r>
            <w:r>
              <w:rPr>
                <w:noProof/>
                <w:webHidden/>
              </w:rPr>
              <w:tab/>
            </w:r>
            <w:r>
              <w:rPr>
                <w:noProof/>
                <w:webHidden/>
              </w:rPr>
              <w:fldChar w:fldCharType="begin"/>
            </w:r>
            <w:r>
              <w:rPr>
                <w:noProof/>
                <w:webHidden/>
              </w:rPr>
              <w:instrText xml:space="preserve"> PAGEREF _Toc213750995 \h </w:instrText>
            </w:r>
            <w:r>
              <w:rPr>
                <w:noProof/>
                <w:webHidden/>
              </w:rPr>
            </w:r>
            <w:r>
              <w:rPr>
                <w:noProof/>
                <w:webHidden/>
              </w:rPr>
              <w:fldChar w:fldCharType="separate"/>
            </w:r>
            <w:r>
              <w:rPr>
                <w:noProof/>
                <w:webHidden/>
              </w:rPr>
              <w:t>7</w:t>
            </w:r>
            <w:r>
              <w:rPr>
                <w:noProof/>
                <w:webHidden/>
              </w:rPr>
              <w:fldChar w:fldCharType="end"/>
            </w:r>
          </w:hyperlink>
        </w:p>
        <w:p w14:paraId="769134B0" w14:textId="0F757064" w:rsidR="00CC6EC3" w:rsidRDefault="00CC6EC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3750996" w:history="1">
            <w:r w:rsidRPr="00CA3E4F">
              <w:rPr>
                <w:rStyle w:val="Hyperlink"/>
                <w:noProof/>
              </w:rPr>
              <w:t>Clinical rationale</w:t>
            </w:r>
            <w:r>
              <w:rPr>
                <w:noProof/>
                <w:webHidden/>
              </w:rPr>
              <w:tab/>
            </w:r>
            <w:r>
              <w:rPr>
                <w:noProof/>
                <w:webHidden/>
              </w:rPr>
              <w:fldChar w:fldCharType="begin"/>
            </w:r>
            <w:r>
              <w:rPr>
                <w:noProof/>
                <w:webHidden/>
              </w:rPr>
              <w:instrText xml:space="preserve"> PAGEREF _Toc213750996 \h </w:instrText>
            </w:r>
            <w:r>
              <w:rPr>
                <w:noProof/>
                <w:webHidden/>
              </w:rPr>
            </w:r>
            <w:r>
              <w:rPr>
                <w:noProof/>
                <w:webHidden/>
              </w:rPr>
              <w:fldChar w:fldCharType="separate"/>
            </w:r>
            <w:r>
              <w:rPr>
                <w:noProof/>
                <w:webHidden/>
              </w:rPr>
              <w:t>8</w:t>
            </w:r>
            <w:r>
              <w:rPr>
                <w:noProof/>
                <w:webHidden/>
              </w:rPr>
              <w:fldChar w:fldCharType="end"/>
            </w:r>
          </w:hyperlink>
        </w:p>
        <w:p w14:paraId="3B9F2D36" w14:textId="772A72BB" w:rsidR="00CC6EC3" w:rsidRDefault="00CC6EC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3750997" w:history="1">
            <w:r w:rsidRPr="00CA3E4F">
              <w:rPr>
                <w:rStyle w:val="Hyperlink"/>
                <w:noProof/>
              </w:rPr>
              <w:t>Regulatory status</w:t>
            </w:r>
            <w:r>
              <w:rPr>
                <w:noProof/>
                <w:webHidden/>
              </w:rPr>
              <w:tab/>
            </w:r>
            <w:r>
              <w:rPr>
                <w:noProof/>
                <w:webHidden/>
              </w:rPr>
              <w:fldChar w:fldCharType="begin"/>
            </w:r>
            <w:r>
              <w:rPr>
                <w:noProof/>
                <w:webHidden/>
              </w:rPr>
              <w:instrText xml:space="preserve"> PAGEREF _Toc213750997 \h </w:instrText>
            </w:r>
            <w:r>
              <w:rPr>
                <w:noProof/>
                <w:webHidden/>
              </w:rPr>
            </w:r>
            <w:r>
              <w:rPr>
                <w:noProof/>
                <w:webHidden/>
              </w:rPr>
              <w:fldChar w:fldCharType="separate"/>
            </w:r>
            <w:r>
              <w:rPr>
                <w:noProof/>
                <w:webHidden/>
              </w:rPr>
              <w:t>9</w:t>
            </w:r>
            <w:r>
              <w:rPr>
                <w:noProof/>
                <w:webHidden/>
              </w:rPr>
              <w:fldChar w:fldCharType="end"/>
            </w:r>
          </w:hyperlink>
        </w:p>
        <w:p w14:paraId="64965266" w14:textId="0094EBEB" w:rsidR="00CC6EC3" w:rsidRDefault="00CC6EC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3750998" w:history="1">
            <w:r w:rsidRPr="00CA3E4F">
              <w:rPr>
                <w:rStyle w:val="Hyperlink"/>
                <w:noProof/>
              </w:rPr>
              <w:t>Australian regulatory status</w:t>
            </w:r>
            <w:r>
              <w:rPr>
                <w:noProof/>
                <w:webHidden/>
              </w:rPr>
              <w:tab/>
            </w:r>
            <w:r>
              <w:rPr>
                <w:noProof/>
                <w:webHidden/>
              </w:rPr>
              <w:fldChar w:fldCharType="begin"/>
            </w:r>
            <w:r>
              <w:rPr>
                <w:noProof/>
                <w:webHidden/>
              </w:rPr>
              <w:instrText xml:space="preserve"> PAGEREF _Toc213750998 \h </w:instrText>
            </w:r>
            <w:r>
              <w:rPr>
                <w:noProof/>
                <w:webHidden/>
              </w:rPr>
            </w:r>
            <w:r>
              <w:rPr>
                <w:noProof/>
                <w:webHidden/>
              </w:rPr>
              <w:fldChar w:fldCharType="separate"/>
            </w:r>
            <w:r>
              <w:rPr>
                <w:noProof/>
                <w:webHidden/>
              </w:rPr>
              <w:t>9</w:t>
            </w:r>
            <w:r>
              <w:rPr>
                <w:noProof/>
                <w:webHidden/>
              </w:rPr>
              <w:fldChar w:fldCharType="end"/>
            </w:r>
          </w:hyperlink>
        </w:p>
        <w:p w14:paraId="75E3EE77" w14:textId="5540EA0C" w:rsidR="00CC6EC3" w:rsidRDefault="00CC6EC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3750999" w:history="1">
            <w:r w:rsidRPr="00CA3E4F">
              <w:rPr>
                <w:rStyle w:val="Hyperlink"/>
                <w:noProof/>
              </w:rPr>
              <w:t>International regulatory status</w:t>
            </w:r>
            <w:r>
              <w:rPr>
                <w:noProof/>
                <w:webHidden/>
              </w:rPr>
              <w:tab/>
            </w:r>
            <w:r>
              <w:rPr>
                <w:noProof/>
                <w:webHidden/>
              </w:rPr>
              <w:fldChar w:fldCharType="begin"/>
            </w:r>
            <w:r>
              <w:rPr>
                <w:noProof/>
                <w:webHidden/>
              </w:rPr>
              <w:instrText xml:space="preserve"> PAGEREF _Toc213750999 \h </w:instrText>
            </w:r>
            <w:r>
              <w:rPr>
                <w:noProof/>
                <w:webHidden/>
              </w:rPr>
            </w:r>
            <w:r>
              <w:rPr>
                <w:noProof/>
                <w:webHidden/>
              </w:rPr>
              <w:fldChar w:fldCharType="separate"/>
            </w:r>
            <w:r>
              <w:rPr>
                <w:noProof/>
                <w:webHidden/>
              </w:rPr>
              <w:t>9</w:t>
            </w:r>
            <w:r>
              <w:rPr>
                <w:noProof/>
                <w:webHidden/>
              </w:rPr>
              <w:fldChar w:fldCharType="end"/>
            </w:r>
          </w:hyperlink>
        </w:p>
        <w:p w14:paraId="44403C26" w14:textId="0D8E0C2B" w:rsidR="00CC6EC3" w:rsidRDefault="00CC6EC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751000" w:history="1">
            <w:r w:rsidRPr="00CA3E4F">
              <w:rPr>
                <w:rStyle w:val="Hyperlink"/>
                <w:noProof/>
              </w:rPr>
              <w:t>Registration timeline</w:t>
            </w:r>
            <w:r>
              <w:rPr>
                <w:noProof/>
                <w:webHidden/>
              </w:rPr>
              <w:tab/>
            </w:r>
            <w:r>
              <w:rPr>
                <w:noProof/>
                <w:webHidden/>
              </w:rPr>
              <w:fldChar w:fldCharType="begin"/>
            </w:r>
            <w:r>
              <w:rPr>
                <w:noProof/>
                <w:webHidden/>
              </w:rPr>
              <w:instrText xml:space="preserve"> PAGEREF _Toc213751000 \h </w:instrText>
            </w:r>
            <w:r>
              <w:rPr>
                <w:noProof/>
                <w:webHidden/>
              </w:rPr>
            </w:r>
            <w:r>
              <w:rPr>
                <w:noProof/>
                <w:webHidden/>
              </w:rPr>
              <w:fldChar w:fldCharType="separate"/>
            </w:r>
            <w:r>
              <w:rPr>
                <w:noProof/>
                <w:webHidden/>
              </w:rPr>
              <w:t>11</w:t>
            </w:r>
            <w:r>
              <w:rPr>
                <w:noProof/>
                <w:webHidden/>
              </w:rPr>
              <w:fldChar w:fldCharType="end"/>
            </w:r>
          </w:hyperlink>
        </w:p>
        <w:p w14:paraId="6F504D73" w14:textId="434A86B3" w:rsidR="00CC6EC3" w:rsidRDefault="00CC6EC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751001" w:history="1">
            <w:r w:rsidRPr="00CA3E4F">
              <w:rPr>
                <w:rStyle w:val="Hyperlink"/>
                <w:noProof/>
              </w:rPr>
              <w:t>Assessment overview</w:t>
            </w:r>
            <w:r>
              <w:rPr>
                <w:noProof/>
                <w:webHidden/>
              </w:rPr>
              <w:tab/>
            </w:r>
            <w:r>
              <w:rPr>
                <w:noProof/>
                <w:webHidden/>
              </w:rPr>
              <w:fldChar w:fldCharType="begin"/>
            </w:r>
            <w:r>
              <w:rPr>
                <w:noProof/>
                <w:webHidden/>
              </w:rPr>
              <w:instrText xml:space="preserve"> PAGEREF _Toc213751001 \h </w:instrText>
            </w:r>
            <w:r>
              <w:rPr>
                <w:noProof/>
                <w:webHidden/>
              </w:rPr>
            </w:r>
            <w:r>
              <w:rPr>
                <w:noProof/>
                <w:webHidden/>
              </w:rPr>
              <w:fldChar w:fldCharType="separate"/>
            </w:r>
            <w:r>
              <w:rPr>
                <w:noProof/>
                <w:webHidden/>
              </w:rPr>
              <w:t>12</w:t>
            </w:r>
            <w:r>
              <w:rPr>
                <w:noProof/>
                <w:webHidden/>
              </w:rPr>
              <w:fldChar w:fldCharType="end"/>
            </w:r>
          </w:hyperlink>
        </w:p>
        <w:p w14:paraId="76B83833" w14:textId="2DF5E653" w:rsidR="00CC6EC3" w:rsidRDefault="00CC6EC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3751002" w:history="1">
            <w:r w:rsidRPr="00CA3E4F">
              <w:rPr>
                <w:rStyle w:val="Hyperlink"/>
                <w:noProof/>
              </w:rPr>
              <w:t>Quality evaluation summary</w:t>
            </w:r>
            <w:r>
              <w:rPr>
                <w:noProof/>
                <w:webHidden/>
              </w:rPr>
              <w:tab/>
            </w:r>
            <w:r>
              <w:rPr>
                <w:noProof/>
                <w:webHidden/>
              </w:rPr>
              <w:fldChar w:fldCharType="begin"/>
            </w:r>
            <w:r>
              <w:rPr>
                <w:noProof/>
                <w:webHidden/>
              </w:rPr>
              <w:instrText xml:space="preserve"> PAGEREF _Toc213751002 \h </w:instrText>
            </w:r>
            <w:r>
              <w:rPr>
                <w:noProof/>
                <w:webHidden/>
              </w:rPr>
            </w:r>
            <w:r>
              <w:rPr>
                <w:noProof/>
                <w:webHidden/>
              </w:rPr>
              <w:fldChar w:fldCharType="separate"/>
            </w:r>
            <w:r>
              <w:rPr>
                <w:noProof/>
                <w:webHidden/>
              </w:rPr>
              <w:t>12</w:t>
            </w:r>
            <w:r>
              <w:rPr>
                <w:noProof/>
                <w:webHidden/>
              </w:rPr>
              <w:fldChar w:fldCharType="end"/>
            </w:r>
          </w:hyperlink>
        </w:p>
        <w:p w14:paraId="1450ED73" w14:textId="6E93C2E4" w:rsidR="00CC6EC3" w:rsidRDefault="00CC6EC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3751003" w:history="1">
            <w:r w:rsidRPr="00CA3E4F">
              <w:rPr>
                <w:rStyle w:val="Hyperlink"/>
                <w:noProof/>
              </w:rPr>
              <w:t>Biopharmaceutics</w:t>
            </w:r>
            <w:r>
              <w:rPr>
                <w:noProof/>
                <w:webHidden/>
              </w:rPr>
              <w:tab/>
            </w:r>
            <w:r>
              <w:rPr>
                <w:noProof/>
                <w:webHidden/>
              </w:rPr>
              <w:fldChar w:fldCharType="begin"/>
            </w:r>
            <w:r>
              <w:rPr>
                <w:noProof/>
                <w:webHidden/>
              </w:rPr>
              <w:instrText xml:space="preserve"> PAGEREF _Toc213751003 \h </w:instrText>
            </w:r>
            <w:r>
              <w:rPr>
                <w:noProof/>
                <w:webHidden/>
              </w:rPr>
            </w:r>
            <w:r>
              <w:rPr>
                <w:noProof/>
                <w:webHidden/>
              </w:rPr>
              <w:fldChar w:fldCharType="separate"/>
            </w:r>
            <w:r>
              <w:rPr>
                <w:noProof/>
                <w:webHidden/>
              </w:rPr>
              <w:t>12</w:t>
            </w:r>
            <w:r>
              <w:rPr>
                <w:noProof/>
                <w:webHidden/>
              </w:rPr>
              <w:fldChar w:fldCharType="end"/>
            </w:r>
          </w:hyperlink>
        </w:p>
        <w:p w14:paraId="7FB1FE0F" w14:textId="21687A50" w:rsidR="00CC6EC3" w:rsidRDefault="00CC6EC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3751004" w:history="1">
            <w:r w:rsidRPr="00CA3E4F">
              <w:rPr>
                <w:rStyle w:val="Hyperlink"/>
                <w:noProof/>
                <w:lang w:eastAsia="en-AU"/>
              </w:rPr>
              <w:t>Recommendation following quality evaluation</w:t>
            </w:r>
            <w:r>
              <w:rPr>
                <w:noProof/>
                <w:webHidden/>
              </w:rPr>
              <w:tab/>
            </w:r>
            <w:r>
              <w:rPr>
                <w:noProof/>
                <w:webHidden/>
              </w:rPr>
              <w:fldChar w:fldCharType="begin"/>
            </w:r>
            <w:r>
              <w:rPr>
                <w:noProof/>
                <w:webHidden/>
              </w:rPr>
              <w:instrText xml:space="preserve"> PAGEREF _Toc213751004 \h </w:instrText>
            </w:r>
            <w:r>
              <w:rPr>
                <w:noProof/>
                <w:webHidden/>
              </w:rPr>
            </w:r>
            <w:r>
              <w:rPr>
                <w:noProof/>
                <w:webHidden/>
              </w:rPr>
              <w:fldChar w:fldCharType="separate"/>
            </w:r>
            <w:r>
              <w:rPr>
                <w:noProof/>
                <w:webHidden/>
              </w:rPr>
              <w:t>13</w:t>
            </w:r>
            <w:r>
              <w:rPr>
                <w:noProof/>
                <w:webHidden/>
              </w:rPr>
              <w:fldChar w:fldCharType="end"/>
            </w:r>
          </w:hyperlink>
        </w:p>
        <w:p w14:paraId="6A6C88DF" w14:textId="0089D75A" w:rsidR="00CC6EC3" w:rsidRDefault="00CC6EC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3751005" w:history="1">
            <w:r w:rsidRPr="00CA3E4F">
              <w:rPr>
                <w:rStyle w:val="Hyperlink"/>
                <w:noProof/>
              </w:rPr>
              <w:t>Nonclinical evaluation summary</w:t>
            </w:r>
            <w:r>
              <w:rPr>
                <w:noProof/>
                <w:webHidden/>
              </w:rPr>
              <w:tab/>
            </w:r>
            <w:r>
              <w:rPr>
                <w:noProof/>
                <w:webHidden/>
              </w:rPr>
              <w:fldChar w:fldCharType="begin"/>
            </w:r>
            <w:r>
              <w:rPr>
                <w:noProof/>
                <w:webHidden/>
              </w:rPr>
              <w:instrText xml:space="preserve"> PAGEREF _Toc213751005 \h </w:instrText>
            </w:r>
            <w:r>
              <w:rPr>
                <w:noProof/>
                <w:webHidden/>
              </w:rPr>
            </w:r>
            <w:r>
              <w:rPr>
                <w:noProof/>
                <w:webHidden/>
              </w:rPr>
              <w:fldChar w:fldCharType="separate"/>
            </w:r>
            <w:r>
              <w:rPr>
                <w:noProof/>
                <w:webHidden/>
              </w:rPr>
              <w:t>13</w:t>
            </w:r>
            <w:r>
              <w:rPr>
                <w:noProof/>
                <w:webHidden/>
              </w:rPr>
              <w:fldChar w:fldCharType="end"/>
            </w:r>
          </w:hyperlink>
        </w:p>
        <w:p w14:paraId="60CBC3ED" w14:textId="6F5E0C26" w:rsidR="00CC6EC3" w:rsidRDefault="00CC6EC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3751006" w:history="1">
            <w:r w:rsidRPr="00CA3E4F">
              <w:rPr>
                <w:rStyle w:val="Hyperlink"/>
                <w:noProof/>
              </w:rPr>
              <w:t>Clinical evaluation summary</w:t>
            </w:r>
            <w:r>
              <w:rPr>
                <w:noProof/>
                <w:webHidden/>
              </w:rPr>
              <w:tab/>
            </w:r>
            <w:r>
              <w:rPr>
                <w:noProof/>
                <w:webHidden/>
              </w:rPr>
              <w:fldChar w:fldCharType="begin"/>
            </w:r>
            <w:r>
              <w:rPr>
                <w:noProof/>
                <w:webHidden/>
              </w:rPr>
              <w:instrText xml:space="preserve"> PAGEREF _Toc213751006 \h </w:instrText>
            </w:r>
            <w:r>
              <w:rPr>
                <w:noProof/>
                <w:webHidden/>
              </w:rPr>
            </w:r>
            <w:r>
              <w:rPr>
                <w:noProof/>
                <w:webHidden/>
              </w:rPr>
              <w:fldChar w:fldCharType="separate"/>
            </w:r>
            <w:r>
              <w:rPr>
                <w:noProof/>
                <w:webHidden/>
              </w:rPr>
              <w:t>13</w:t>
            </w:r>
            <w:r>
              <w:rPr>
                <w:noProof/>
                <w:webHidden/>
              </w:rPr>
              <w:fldChar w:fldCharType="end"/>
            </w:r>
          </w:hyperlink>
        </w:p>
        <w:p w14:paraId="0428510A" w14:textId="064B6A47" w:rsidR="00CC6EC3" w:rsidRDefault="00CC6EC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3751007" w:history="1">
            <w:r w:rsidRPr="00CA3E4F">
              <w:rPr>
                <w:rStyle w:val="Hyperlink"/>
                <w:noProof/>
              </w:rPr>
              <w:t>Summary of clinical studies</w:t>
            </w:r>
            <w:r>
              <w:rPr>
                <w:noProof/>
                <w:webHidden/>
              </w:rPr>
              <w:tab/>
            </w:r>
            <w:r>
              <w:rPr>
                <w:noProof/>
                <w:webHidden/>
              </w:rPr>
              <w:fldChar w:fldCharType="begin"/>
            </w:r>
            <w:r>
              <w:rPr>
                <w:noProof/>
                <w:webHidden/>
              </w:rPr>
              <w:instrText xml:space="preserve"> PAGEREF _Toc213751007 \h </w:instrText>
            </w:r>
            <w:r>
              <w:rPr>
                <w:noProof/>
                <w:webHidden/>
              </w:rPr>
            </w:r>
            <w:r>
              <w:rPr>
                <w:noProof/>
                <w:webHidden/>
              </w:rPr>
              <w:fldChar w:fldCharType="separate"/>
            </w:r>
            <w:r>
              <w:rPr>
                <w:noProof/>
                <w:webHidden/>
              </w:rPr>
              <w:t>13</w:t>
            </w:r>
            <w:r>
              <w:rPr>
                <w:noProof/>
                <w:webHidden/>
              </w:rPr>
              <w:fldChar w:fldCharType="end"/>
            </w:r>
          </w:hyperlink>
        </w:p>
        <w:p w14:paraId="19B99C5D" w14:textId="1D22272E" w:rsidR="00CC6EC3" w:rsidRDefault="00CC6EC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3751008" w:history="1">
            <w:r w:rsidRPr="00CA3E4F">
              <w:rPr>
                <w:rStyle w:val="Hyperlink"/>
                <w:noProof/>
              </w:rPr>
              <w:t>Clinical Pharmacology</w:t>
            </w:r>
            <w:r>
              <w:rPr>
                <w:noProof/>
                <w:webHidden/>
              </w:rPr>
              <w:tab/>
            </w:r>
            <w:r>
              <w:rPr>
                <w:noProof/>
                <w:webHidden/>
              </w:rPr>
              <w:fldChar w:fldCharType="begin"/>
            </w:r>
            <w:r>
              <w:rPr>
                <w:noProof/>
                <w:webHidden/>
              </w:rPr>
              <w:instrText xml:space="preserve"> PAGEREF _Toc213751008 \h </w:instrText>
            </w:r>
            <w:r>
              <w:rPr>
                <w:noProof/>
                <w:webHidden/>
              </w:rPr>
            </w:r>
            <w:r>
              <w:rPr>
                <w:noProof/>
                <w:webHidden/>
              </w:rPr>
              <w:fldChar w:fldCharType="separate"/>
            </w:r>
            <w:r>
              <w:rPr>
                <w:noProof/>
                <w:webHidden/>
              </w:rPr>
              <w:t>14</w:t>
            </w:r>
            <w:r>
              <w:rPr>
                <w:noProof/>
                <w:webHidden/>
              </w:rPr>
              <w:fldChar w:fldCharType="end"/>
            </w:r>
          </w:hyperlink>
        </w:p>
        <w:p w14:paraId="00B06A50" w14:textId="0E238326" w:rsidR="00CC6EC3" w:rsidRDefault="00CC6EC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3751009" w:history="1">
            <w:r w:rsidRPr="00CA3E4F">
              <w:rPr>
                <w:rStyle w:val="Hyperlink"/>
                <w:noProof/>
              </w:rPr>
              <w:t>Efficacy</w:t>
            </w:r>
            <w:r>
              <w:rPr>
                <w:noProof/>
                <w:webHidden/>
              </w:rPr>
              <w:tab/>
            </w:r>
            <w:r>
              <w:rPr>
                <w:noProof/>
                <w:webHidden/>
              </w:rPr>
              <w:fldChar w:fldCharType="begin"/>
            </w:r>
            <w:r>
              <w:rPr>
                <w:noProof/>
                <w:webHidden/>
              </w:rPr>
              <w:instrText xml:space="preserve"> PAGEREF _Toc213751009 \h </w:instrText>
            </w:r>
            <w:r>
              <w:rPr>
                <w:noProof/>
                <w:webHidden/>
              </w:rPr>
            </w:r>
            <w:r>
              <w:rPr>
                <w:noProof/>
                <w:webHidden/>
              </w:rPr>
              <w:fldChar w:fldCharType="separate"/>
            </w:r>
            <w:r>
              <w:rPr>
                <w:noProof/>
                <w:webHidden/>
              </w:rPr>
              <w:t>16</w:t>
            </w:r>
            <w:r>
              <w:rPr>
                <w:noProof/>
                <w:webHidden/>
              </w:rPr>
              <w:fldChar w:fldCharType="end"/>
            </w:r>
          </w:hyperlink>
        </w:p>
        <w:p w14:paraId="0AEB4054" w14:textId="3C48B1B7" w:rsidR="00CC6EC3" w:rsidRDefault="00CC6EC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3751010" w:history="1">
            <w:r w:rsidRPr="00CA3E4F">
              <w:rPr>
                <w:rStyle w:val="Hyperlink"/>
                <w:noProof/>
              </w:rPr>
              <w:t>Safety</w:t>
            </w:r>
            <w:r>
              <w:rPr>
                <w:noProof/>
                <w:webHidden/>
              </w:rPr>
              <w:tab/>
            </w:r>
            <w:r>
              <w:rPr>
                <w:noProof/>
                <w:webHidden/>
              </w:rPr>
              <w:fldChar w:fldCharType="begin"/>
            </w:r>
            <w:r>
              <w:rPr>
                <w:noProof/>
                <w:webHidden/>
              </w:rPr>
              <w:instrText xml:space="preserve"> PAGEREF _Toc213751010 \h </w:instrText>
            </w:r>
            <w:r>
              <w:rPr>
                <w:noProof/>
                <w:webHidden/>
              </w:rPr>
            </w:r>
            <w:r>
              <w:rPr>
                <w:noProof/>
                <w:webHidden/>
              </w:rPr>
              <w:fldChar w:fldCharType="separate"/>
            </w:r>
            <w:r>
              <w:rPr>
                <w:noProof/>
                <w:webHidden/>
              </w:rPr>
              <w:t>22</w:t>
            </w:r>
            <w:r>
              <w:rPr>
                <w:noProof/>
                <w:webHidden/>
              </w:rPr>
              <w:fldChar w:fldCharType="end"/>
            </w:r>
          </w:hyperlink>
        </w:p>
        <w:p w14:paraId="7E0F9202" w14:textId="7FADFBAD" w:rsidR="00CC6EC3" w:rsidRDefault="00CC6EC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3751011" w:history="1">
            <w:r w:rsidRPr="00CA3E4F">
              <w:rPr>
                <w:rStyle w:val="Hyperlink"/>
                <w:noProof/>
              </w:rPr>
              <w:t>Recommendation following the clinical evaluation</w:t>
            </w:r>
            <w:r>
              <w:rPr>
                <w:noProof/>
                <w:webHidden/>
              </w:rPr>
              <w:tab/>
            </w:r>
            <w:r>
              <w:rPr>
                <w:noProof/>
                <w:webHidden/>
              </w:rPr>
              <w:fldChar w:fldCharType="begin"/>
            </w:r>
            <w:r>
              <w:rPr>
                <w:noProof/>
                <w:webHidden/>
              </w:rPr>
              <w:instrText xml:space="preserve"> PAGEREF _Toc213751011 \h </w:instrText>
            </w:r>
            <w:r>
              <w:rPr>
                <w:noProof/>
                <w:webHidden/>
              </w:rPr>
            </w:r>
            <w:r>
              <w:rPr>
                <w:noProof/>
                <w:webHidden/>
              </w:rPr>
              <w:fldChar w:fldCharType="separate"/>
            </w:r>
            <w:r>
              <w:rPr>
                <w:noProof/>
                <w:webHidden/>
              </w:rPr>
              <w:t>26</w:t>
            </w:r>
            <w:r>
              <w:rPr>
                <w:noProof/>
                <w:webHidden/>
              </w:rPr>
              <w:fldChar w:fldCharType="end"/>
            </w:r>
          </w:hyperlink>
        </w:p>
        <w:p w14:paraId="3661449C" w14:textId="35EB14D0" w:rsidR="00CC6EC3" w:rsidRDefault="00CC6EC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3751012" w:history="1">
            <w:r w:rsidRPr="00CA3E4F">
              <w:rPr>
                <w:rStyle w:val="Hyperlink"/>
                <w:noProof/>
                <w:lang w:eastAsia="en-AU"/>
              </w:rPr>
              <w:t>Risk management plan</w:t>
            </w:r>
            <w:r>
              <w:rPr>
                <w:noProof/>
                <w:webHidden/>
              </w:rPr>
              <w:tab/>
            </w:r>
            <w:r>
              <w:rPr>
                <w:noProof/>
                <w:webHidden/>
              </w:rPr>
              <w:fldChar w:fldCharType="begin"/>
            </w:r>
            <w:r>
              <w:rPr>
                <w:noProof/>
                <w:webHidden/>
              </w:rPr>
              <w:instrText xml:space="preserve"> PAGEREF _Toc213751012 \h </w:instrText>
            </w:r>
            <w:r>
              <w:rPr>
                <w:noProof/>
                <w:webHidden/>
              </w:rPr>
            </w:r>
            <w:r>
              <w:rPr>
                <w:noProof/>
                <w:webHidden/>
              </w:rPr>
              <w:fldChar w:fldCharType="separate"/>
            </w:r>
            <w:r>
              <w:rPr>
                <w:noProof/>
                <w:webHidden/>
              </w:rPr>
              <w:t>26</w:t>
            </w:r>
            <w:r>
              <w:rPr>
                <w:noProof/>
                <w:webHidden/>
              </w:rPr>
              <w:fldChar w:fldCharType="end"/>
            </w:r>
          </w:hyperlink>
        </w:p>
        <w:p w14:paraId="4C91E9DD" w14:textId="51966CF1" w:rsidR="00CC6EC3" w:rsidRDefault="00CC6EC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3751013" w:history="1">
            <w:r w:rsidRPr="00CA3E4F">
              <w:rPr>
                <w:rStyle w:val="Hyperlink"/>
                <w:noProof/>
              </w:rPr>
              <w:t>Risk-benefit analysis</w:t>
            </w:r>
            <w:r>
              <w:rPr>
                <w:noProof/>
                <w:webHidden/>
              </w:rPr>
              <w:tab/>
            </w:r>
            <w:r>
              <w:rPr>
                <w:noProof/>
                <w:webHidden/>
              </w:rPr>
              <w:fldChar w:fldCharType="begin"/>
            </w:r>
            <w:r>
              <w:rPr>
                <w:noProof/>
                <w:webHidden/>
              </w:rPr>
              <w:instrText xml:space="preserve"> PAGEREF _Toc213751013 \h </w:instrText>
            </w:r>
            <w:r>
              <w:rPr>
                <w:noProof/>
                <w:webHidden/>
              </w:rPr>
            </w:r>
            <w:r>
              <w:rPr>
                <w:noProof/>
                <w:webHidden/>
              </w:rPr>
              <w:fldChar w:fldCharType="separate"/>
            </w:r>
            <w:r>
              <w:rPr>
                <w:noProof/>
                <w:webHidden/>
              </w:rPr>
              <w:t>27</w:t>
            </w:r>
            <w:r>
              <w:rPr>
                <w:noProof/>
                <w:webHidden/>
              </w:rPr>
              <w:fldChar w:fldCharType="end"/>
            </w:r>
          </w:hyperlink>
        </w:p>
        <w:p w14:paraId="14C5B148" w14:textId="755187DD" w:rsidR="00CC6EC3" w:rsidRDefault="00CC6EC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3751014" w:history="1">
            <w:r w:rsidRPr="00CA3E4F">
              <w:rPr>
                <w:rStyle w:val="Hyperlink"/>
                <w:noProof/>
              </w:rPr>
              <w:t>Delegate’s considerations</w:t>
            </w:r>
            <w:r>
              <w:rPr>
                <w:noProof/>
                <w:webHidden/>
              </w:rPr>
              <w:tab/>
            </w:r>
            <w:r>
              <w:rPr>
                <w:noProof/>
                <w:webHidden/>
              </w:rPr>
              <w:fldChar w:fldCharType="begin"/>
            </w:r>
            <w:r>
              <w:rPr>
                <w:noProof/>
                <w:webHidden/>
              </w:rPr>
              <w:instrText xml:space="preserve"> PAGEREF _Toc213751014 \h </w:instrText>
            </w:r>
            <w:r>
              <w:rPr>
                <w:noProof/>
                <w:webHidden/>
              </w:rPr>
            </w:r>
            <w:r>
              <w:rPr>
                <w:noProof/>
                <w:webHidden/>
              </w:rPr>
              <w:fldChar w:fldCharType="separate"/>
            </w:r>
            <w:r>
              <w:rPr>
                <w:noProof/>
                <w:webHidden/>
              </w:rPr>
              <w:t>27</w:t>
            </w:r>
            <w:r>
              <w:rPr>
                <w:noProof/>
                <w:webHidden/>
              </w:rPr>
              <w:fldChar w:fldCharType="end"/>
            </w:r>
          </w:hyperlink>
        </w:p>
        <w:p w14:paraId="7F2EE381" w14:textId="571FB378" w:rsidR="00CC6EC3" w:rsidRDefault="00CC6EC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3751015" w:history="1">
            <w:r w:rsidRPr="00CA3E4F">
              <w:rPr>
                <w:rStyle w:val="Hyperlink"/>
                <w:noProof/>
              </w:rPr>
              <w:t>Proposed action</w:t>
            </w:r>
            <w:r>
              <w:rPr>
                <w:noProof/>
                <w:webHidden/>
              </w:rPr>
              <w:tab/>
            </w:r>
            <w:r>
              <w:rPr>
                <w:noProof/>
                <w:webHidden/>
              </w:rPr>
              <w:fldChar w:fldCharType="begin"/>
            </w:r>
            <w:r>
              <w:rPr>
                <w:noProof/>
                <w:webHidden/>
              </w:rPr>
              <w:instrText xml:space="preserve"> PAGEREF _Toc213751015 \h </w:instrText>
            </w:r>
            <w:r>
              <w:rPr>
                <w:noProof/>
                <w:webHidden/>
              </w:rPr>
            </w:r>
            <w:r>
              <w:rPr>
                <w:noProof/>
                <w:webHidden/>
              </w:rPr>
              <w:fldChar w:fldCharType="separate"/>
            </w:r>
            <w:r>
              <w:rPr>
                <w:noProof/>
                <w:webHidden/>
              </w:rPr>
              <w:t>31</w:t>
            </w:r>
            <w:r>
              <w:rPr>
                <w:noProof/>
                <w:webHidden/>
              </w:rPr>
              <w:fldChar w:fldCharType="end"/>
            </w:r>
          </w:hyperlink>
        </w:p>
        <w:p w14:paraId="44DACF96" w14:textId="64BD02B6" w:rsidR="00CC6EC3" w:rsidRDefault="00CC6EC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3751016" w:history="1">
            <w:r w:rsidRPr="00CA3E4F">
              <w:rPr>
                <w:rStyle w:val="Hyperlink"/>
                <w:noProof/>
              </w:rPr>
              <w:t>Advisory committee considerations</w:t>
            </w:r>
            <w:r>
              <w:rPr>
                <w:noProof/>
                <w:webHidden/>
              </w:rPr>
              <w:tab/>
            </w:r>
            <w:r>
              <w:rPr>
                <w:noProof/>
                <w:webHidden/>
              </w:rPr>
              <w:fldChar w:fldCharType="begin"/>
            </w:r>
            <w:r>
              <w:rPr>
                <w:noProof/>
                <w:webHidden/>
              </w:rPr>
              <w:instrText xml:space="preserve"> PAGEREF _Toc213751016 \h </w:instrText>
            </w:r>
            <w:r>
              <w:rPr>
                <w:noProof/>
                <w:webHidden/>
              </w:rPr>
            </w:r>
            <w:r>
              <w:rPr>
                <w:noProof/>
                <w:webHidden/>
              </w:rPr>
              <w:fldChar w:fldCharType="separate"/>
            </w:r>
            <w:r>
              <w:rPr>
                <w:noProof/>
                <w:webHidden/>
              </w:rPr>
              <w:t>31</w:t>
            </w:r>
            <w:r>
              <w:rPr>
                <w:noProof/>
                <w:webHidden/>
              </w:rPr>
              <w:fldChar w:fldCharType="end"/>
            </w:r>
          </w:hyperlink>
        </w:p>
        <w:p w14:paraId="195A93EC" w14:textId="0FA98D62" w:rsidR="00CC6EC3" w:rsidRDefault="00CC6EC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751017" w:history="1">
            <w:r w:rsidRPr="00CA3E4F">
              <w:rPr>
                <w:rStyle w:val="Hyperlink"/>
                <w:noProof/>
              </w:rPr>
              <w:t>Assessment outcome</w:t>
            </w:r>
            <w:r>
              <w:rPr>
                <w:noProof/>
                <w:webHidden/>
              </w:rPr>
              <w:tab/>
            </w:r>
            <w:r>
              <w:rPr>
                <w:noProof/>
                <w:webHidden/>
              </w:rPr>
              <w:fldChar w:fldCharType="begin"/>
            </w:r>
            <w:r>
              <w:rPr>
                <w:noProof/>
                <w:webHidden/>
              </w:rPr>
              <w:instrText xml:space="preserve"> PAGEREF _Toc213751017 \h </w:instrText>
            </w:r>
            <w:r>
              <w:rPr>
                <w:noProof/>
                <w:webHidden/>
              </w:rPr>
            </w:r>
            <w:r>
              <w:rPr>
                <w:noProof/>
                <w:webHidden/>
              </w:rPr>
              <w:fldChar w:fldCharType="separate"/>
            </w:r>
            <w:r>
              <w:rPr>
                <w:noProof/>
                <w:webHidden/>
              </w:rPr>
              <w:t>32</w:t>
            </w:r>
            <w:r>
              <w:rPr>
                <w:noProof/>
                <w:webHidden/>
              </w:rPr>
              <w:fldChar w:fldCharType="end"/>
            </w:r>
          </w:hyperlink>
        </w:p>
        <w:p w14:paraId="42E983D3" w14:textId="33885EEF" w:rsidR="00CC6EC3" w:rsidRDefault="00CC6EC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751018" w:history="1">
            <w:r w:rsidRPr="00CA3E4F">
              <w:rPr>
                <w:rStyle w:val="Hyperlink"/>
                <w:noProof/>
              </w:rPr>
              <w:t>Specific conditions of registration</w:t>
            </w:r>
            <w:r>
              <w:rPr>
                <w:noProof/>
                <w:webHidden/>
              </w:rPr>
              <w:tab/>
            </w:r>
            <w:r>
              <w:rPr>
                <w:noProof/>
                <w:webHidden/>
              </w:rPr>
              <w:fldChar w:fldCharType="begin"/>
            </w:r>
            <w:r>
              <w:rPr>
                <w:noProof/>
                <w:webHidden/>
              </w:rPr>
              <w:instrText xml:space="preserve"> PAGEREF _Toc213751018 \h </w:instrText>
            </w:r>
            <w:r>
              <w:rPr>
                <w:noProof/>
                <w:webHidden/>
              </w:rPr>
            </w:r>
            <w:r>
              <w:rPr>
                <w:noProof/>
                <w:webHidden/>
              </w:rPr>
              <w:fldChar w:fldCharType="separate"/>
            </w:r>
            <w:r>
              <w:rPr>
                <w:noProof/>
                <w:webHidden/>
              </w:rPr>
              <w:t>32</w:t>
            </w:r>
            <w:r>
              <w:rPr>
                <w:noProof/>
                <w:webHidden/>
              </w:rPr>
              <w:fldChar w:fldCharType="end"/>
            </w:r>
          </w:hyperlink>
        </w:p>
        <w:p w14:paraId="13730D3F" w14:textId="7AEF56C5" w:rsidR="00CC6EC3" w:rsidRDefault="00CC6EC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3751019" w:history="1">
            <w:r w:rsidRPr="00CA3E4F">
              <w:rPr>
                <w:rStyle w:val="Hyperlink"/>
                <w:noProof/>
              </w:rPr>
              <w:t>Product Information and Consumer Medicine Information</w:t>
            </w:r>
            <w:r>
              <w:rPr>
                <w:noProof/>
                <w:webHidden/>
              </w:rPr>
              <w:tab/>
            </w:r>
            <w:r>
              <w:rPr>
                <w:noProof/>
                <w:webHidden/>
              </w:rPr>
              <w:fldChar w:fldCharType="begin"/>
            </w:r>
            <w:r>
              <w:rPr>
                <w:noProof/>
                <w:webHidden/>
              </w:rPr>
              <w:instrText xml:space="preserve"> PAGEREF _Toc213751019 \h </w:instrText>
            </w:r>
            <w:r>
              <w:rPr>
                <w:noProof/>
                <w:webHidden/>
              </w:rPr>
            </w:r>
            <w:r>
              <w:rPr>
                <w:noProof/>
                <w:webHidden/>
              </w:rPr>
              <w:fldChar w:fldCharType="separate"/>
            </w:r>
            <w:r>
              <w:rPr>
                <w:noProof/>
                <w:webHidden/>
              </w:rPr>
              <w:t>33</w:t>
            </w:r>
            <w:r>
              <w:rPr>
                <w:noProof/>
                <w:webHidden/>
              </w:rPr>
              <w:fldChar w:fldCharType="end"/>
            </w:r>
          </w:hyperlink>
        </w:p>
        <w:p w14:paraId="77659F2D" w14:textId="3FCFEA53"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751ADF">
      <w:pPr>
        <w:pStyle w:val="Heading2"/>
      </w:pPr>
      <w:bookmarkStart w:id="2" w:name="_Toc98931917"/>
      <w:bookmarkStart w:id="3" w:name="_Toc103679287"/>
      <w:bookmarkStart w:id="4" w:name="_Toc213750990"/>
      <w:bookmarkStart w:id="5" w:name="_Toc323739589"/>
      <w:bookmarkStart w:id="6" w:name="_Toc356305216"/>
      <w:r>
        <w:lastRenderedPageBreak/>
        <w:t xml:space="preserve">List of </w:t>
      </w:r>
      <w:r w:rsidRPr="00751ADF">
        <w:t>abbreviations</w:t>
      </w:r>
      <w:bookmarkEnd w:id="2"/>
      <w:bookmarkEnd w:id="3"/>
      <w:bookmarkEnd w:id="4"/>
    </w:p>
    <w:tbl>
      <w:tblPr>
        <w:tblStyle w:val="TableTGAblue2023"/>
        <w:tblW w:w="9430" w:type="dxa"/>
        <w:tblLook w:val="04A0" w:firstRow="1" w:lastRow="0" w:firstColumn="1" w:lastColumn="0" w:noHBand="0" w:noVBand="1"/>
      </w:tblPr>
      <w:tblGrid>
        <w:gridCol w:w="2263"/>
        <w:gridCol w:w="7167"/>
      </w:tblGrid>
      <w:tr w:rsidR="00AD0A92" w:rsidRPr="003D71A1" w14:paraId="48C8D40F" w14:textId="77777777" w:rsidTr="008E1DA9">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263" w:type="dxa"/>
          </w:tcPr>
          <w:p w14:paraId="4AB05E84" w14:textId="77777777" w:rsidR="00AD0A92" w:rsidRPr="007C71D5" w:rsidRDefault="00AD0A92" w:rsidP="008E1DA9">
            <w:pPr>
              <w:rPr>
                <w:szCs w:val="22"/>
              </w:rPr>
            </w:pPr>
            <w:bookmarkStart w:id="7" w:name="_Hlk133418605"/>
            <w:r w:rsidRPr="007C71D5">
              <w:rPr>
                <w:szCs w:val="22"/>
              </w:rPr>
              <w:t>Abbreviation</w:t>
            </w:r>
          </w:p>
        </w:tc>
        <w:tc>
          <w:tcPr>
            <w:tcW w:w="7167" w:type="dxa"/>
          </w:tcPr>
          <w:p w14:paraId="6B26C10C" w14:textId="77777777" w:rsidR="00AD0A92" w:rsidRPr="007C71D5" w:rsidRDefault="00AD0A92" w:rsidP="008E1DA9">
            <w:pPr>
              <w:cnfStyle w:val="100000000000" w:firstRow="1" w:lastRow="0" w:firstColumn="0" w:lastColumn="0" w:oddVBand="0" w:evenVBand="0" w:oddHBand="0" w:evenHBand="0" w:firstRowFirstColumn="0" w:firstRowLastColumn="0" w:lastRowFirstColumn="0" w:lastRowLastColumn="0"/>
              <w:rPr>
                <w:szCs w:val="22"/>
              </w:rPr>
            </w:pPr>
            <w:r w:rsidRPr="007C71D5">
              <w:rPr>
                <w:szCs w:val="22"/>
              </w:rPr>
              <w:t>Meaning</w:t>
            </w:r>
          </w:p>
        </w:tc>
      </w:tr>
      <w:tr w:rsidR="00AD0A92" w:rsidRPr="002B2C82" w14:paraId="47B46138"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B7C1019" w14:textId="77777777" w:rsidR="00AD0A92" w:rsidRPr="00E52084" w:rsidRDefault="00AD0A92" w:rsidP="008E1DA9">
            <w:pPr>
              <w:rPr>
                <w:rFonts w:cstheme="minorHAnsi"/>
                <w:szCs w:val="24"/>
              </w:rPr>
            </w:pPr>
            <w:r w:rsidRPr="00E52084">
              <w:rPr>
                <w:rFonts w:cstheme="minorHAnsi"/>
                <w:szCs w:val="24"/>
              </w:rPr>
              <w:t>ACM</w:t>
            </w:r>
          </w:p>
        </w:tc>
        <w:tc>
          <w:tcPr>
            <w:tcW w:w="7167" w:type="dxa"/>
          </w:tcPr>
          <w:p w14:paraId="41828851"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szCs w:val="24"/>
              </w:rPr>
            </w:pPr>
            <w:r w:rsidRPr="00E52084">
              <w:rPr>
                <w:szCs w:val="24"/>
              </w:rPr>
              <w:t>Advisory Committee on Medicines</w:t>
            </w:r>
          </w:p>
        </w:tc>
      </w:tr>
      <w:tr w:rsidR="00AD0A92" w:rsidRPr="002B2C82" w14:paraId="20C36B0E"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E027A5B" w14:textId="77777777" w:rsidR="00AD0A92" w:rsidRPr="00E52084" w:rsidRDefault="00AD0A92" w:rsidP="008E1DA9">
            <w:pPr>
              <w:rPr>
                <w:rFonts w:cstheme="minorHAnsi"/>
                <w:szCs w:val="40"/>
              </w:rPr>
            </w:pPr>
            <w:r w:rsidRPr="00E52084">
              <w:rPr>
                <w:rFonts w:cstheme="minorHAnsi"/>
                <w:szCs w:val="40"/>
              </w:rPr>
              <w:t>AE(s)</w:t>
            </w:r>
          </w:p>
        </w:tc>
        <w:tc>
          <w:tcPr>
            <w:tcW w:w="7167" w:type="dxa"/>
          </w:tcPr>
          <w:p w14:paraId="701CED2B"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szCs w:val="40"/>
              </w:rPr>
            </w:pPr>
            <w:r w:rsidRPr="00E52084">
              <w:rPr>
                <w:rFonts w:cstheme="minorHAnsi"/>
                <w:szCs w:val="40"/>
              </w:rPr>
              <w:t>Adverse event(s)</w:t>
            </w:r>
          </w:p>
        </w:tc>
      </w:tr>
      <w:tr w:rsidR="00AD0A92" w:rsidRPr="002B2C82" w14:paraId="063E5DA5"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3EEC93D" w14:textId="77777777" w:rsidR="00AD0A92" w:rsidRPr="00E52084" w:rsidRDefault="00AD0A92" w:rsidP="008E1DA9">
            <w:pPr>
              <w:rPr>
                <w:rFonts w:cstheme="minorHAnsi"/>
                <w:szCs w:val="22"/>
              </w:rPr>
            </w:pPr>
            <w:r w:rsidRPr="00E52084">
              <w:rPr>
                <w:rFonts w:cstheme="minorHAnsi"/>
                <w:szCs w:val="22"/>
              </w:rPr>
              <w:t>AML</w:t>
            </w:r>
          </w:p>
        </w:tc>
        <w:tc>
          <w:tcPr>
            <w:tcW w:w="7167" w:type="dxa"/>
          </w:tcPr>
          <w:p w14:paraId="7AAAD1C5"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szCs w:val="22"/>
              </w:rPr>
            </w:pPr>
            <w:r w:rsidRPr="00E52084">
              <w:rPr>
                <w:szCs w:val="22"/>
              </w:rPr>
              <w:t>Acute myeloid leukemia</w:t>
            </w:r>
          </w:p>
        </w:tc>
      </w:tr>
      <w:tr w:rsidR="00AD0A92" w:rsidRPr="002B2C82" w14:paraId="5FA47228"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19B25C9" w14:textId="77777777" w:rsidR="00AD0A92" w:rsidRPr="00E52084" w:rsidRDefault="00AD0A92" w:rsidP="008E1DA9">
            <w:pPr>
              <w:rPr>
                <w:rFonts w:cstheme="minorHAnsi"/>
                <w:szCs w:val="32"/>
              </w:rPr>
            </w:pPr>
            <w:r w:rsidRPr="00E52084">
              <w:rPr>
                <w:rFonts w:cstheme="minorHAnsi"/>
                <w:szCs w:val="32"/>
              </w:rPr>
              <w:t>ARTG</w:t>
            </w:r>
          </w:p>
        </w:tc>
        <w:tc>
          <w:tcPr>
            <w:tcW w:w="7167" w:type="dxa"/>
          </w:tcPr>
          <w:p w14:paraId="58055541"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szCs w:val="32"/>
              </w:rPr>
            </w:pPr>
            <w:r w:rsidRPr="00E52084">
              <w:rPr>
                <w:rFonts w:cstheme="minorHAnsi"/>
                <w:szCs w:val="32"/>
              </w:rPr>
              <w:t>Australian Register of Therapeutic Goods</w:t>
            </w:r>
          </w:p>
        </w:tc>
      </w:tr>
      <w:tr w:rsidR="00AD0A92" w:rsidRPr="002B2C82" w14:paraId="550FE4D5"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2BC56AD" w14:textId="77777777" w:rsidR="00AD0A92" w:rsidRPr="00E52084" w:rsidRDefault="00AD0A92" w:rsidP="008E1DA9">
            <w:pPr>
              <w:rPr>
                <w:szCs w:val="32"/>
              </w:rPr>
            </w:pPr>
            <w:r w:rsidRPr="00E52084">
              <w:rPr>
                <w:szCs w:val="32"/>
              </w:rPr>
              <w:t>ASA</w:t>
            </w:r>
          </w:p>
        </w:tc>
        <w:tc>
          <w:tcPr>
            <w:tcW w:w="7167" w:type="dxa"/>
          </w:tcPr>
          <w:p w14:paraId="4E560523"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32"/>
              </w:rPr>
            </w:pPr>
            <w:r w:rsidRPr="00E52084">
              <w:rPr>
                <w:szCs w:val="32"/>
              </w:rPr>
              <w:t>Australian-specific annex</w:t>
            </w:r>
          </w:p>
        </w:tc>
      </w:tr>
      <w:tr w:rsidR="00AD0A92" w:rsidRPr="002B2C82" w14:paraId="4635FE99"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DCAA667" w14:textId="77777777" w:rsidR="00AD0A92" w:rsidRPr="00E52084" w:rsidRDefault="00AD0A92" w:rsidP="008E1DA9">
            <w:pPr>
              <w:rPr>
                <w:szCs w:val="22"/>
              </w:rPr>
            </w:pPr>
            <w:r w:rsidRPr="00E52084">
              <w:rPr>
                <w:szCs w:val="22"/>
              </w:rPr>
              <w:t>AUC</w:t>
            </w:r>
            <w:r w:rsidRPr="00E52084">
              <w:rPr>
                <w:szCs w:val="22"/>
                <w:vertAlign w:val="subscript"/>
              </w:rPr>
              <w:t>0-inf</w:t>
            </w:r>
          </w:p>
        </w:tc>
        <w:tc>
          <w:tcPr>
            <w:tcW w:w="7167" w:type="dxa"/>
          </w:tcPr>
          <w:p w14:paraId="425EB441"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lang w:val="en-GB"/>
              </w:rPr>
            </w:pPr>
            <w:r w:rsidRPr="00E52084">
              <w:rPr>
                <w:szCs w:val="22"/>
              </w:rPr>
              <w:t>Area under the concentration time curve from 0 to infinity</w:t>
            </w:r>
          </w:p>
        </w:tc>
      </w:tr>
      <w:tr w:rsidR="00AD0A92" w:rsidRPr="002B2C82" w14:paraId="1CCEED62"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0751D62" w14:textId="77777777" w:rsidR="00AD0A92" w:rsidRPr="00E52084" w:rsidRDefault="00AD0A92" w:rsidP="008E1DA9">
            <w:pPr>
              <w:rPr>
                <w:rFonts w:cstheme="minorHAnsi"/>
                <w:szCs w:val="22"/>
              </w:rPr>
            </w:pPr>
            <w:r w:rsidRPr="00E52084">
              <w:rPr>
                <w:rFonts w:cstheme="minorHAnsi"/>
                <w:szCs w:val="22"/>
              </w:rPr>
              <w:t>BMI</w:t>
            </w:r>
          </w:p>
        </w:tc>
        <w:tc>
          <w:tcPr>
            <w:tcW w:w="7167" w:type="dxa"/>
          </w:tcPr>
          <w:p w14:paraId="47F4FE5C"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rPr>
            </w:pPr>
            <w:r w:rsidRPr="00E52084">
              <w:rPr>
                <w:szCs w:val="22"/>
              </w:rPr>
              <w:t>Body mass index</w:t>
            </w:r>
          </w:p>
        </w:tc>
      </w:tr>
      <w:tr w:rsidR="00AD0A92" w:rsidRPr="002B2C82" w14:paraId="28125D10"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97599E6" w14:textId="77777777" w:rsidR="00AD0A92" w:rsidRPr="00E52084" w:rsidRDefault="00AD0A92" w:rsidP="008E1DA9">
            <w:pPr>
              <w:rPr>
                <w:rFonts w:cstheme="minorHAnsi"/>
                <w:szCs w:val="48"/>
              </w:rPr>
            </w:pPr>
            <w:r w:rsidRPr="00E52084">
              <w:rPr>
                <w:rFonts w:cstheme="minorHAnsi"/>
                <w:szCs w:val="48"/>
              </w:rPr>
              <w:t>BSC</w:t>
            </w:r>
          </w:p>
        </w:tc>
        <w:tc>
          <w:tcPr>
            <w:tcW w:w="7167" w:type="dxa"/>
          </w:tcPr>
          <w:p w14:paraId="3F9DE977"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48"/>
              </w:rPr>
            </w:pPr>
            <w:r w:rsidRPr="00E52084">
              <w:rPr>
                <w:szCs w:val="48"/>
              </w:rPr>
              <w:t>Best supportive care</w:t>
            </w:r>
          </w:p>
        </w:tc>
      </w:tr>
      <w:tr w:rsidR="00AD0A92" w:rsidRPr="002B2C82" w14:paraId="1ED28849"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388F8B1" w14:textId="77777777" w:rsidR="00AD0A92" w:rsidRPr="00E52084" w:rsidRDefault="00AD0A92" w:rsidP="008E1DA9">
            <w:pPr>
              <w:rPr>
                <w:rFonts w:cstheme="minorHAnsi"/>
                <w:szCs w:val="22"/>
              </w:rPr>
            </w:pPr>
            <w:proofErr w:type="spellStart"/>
            <w:r w:rsidRPr="00E52084">
              <w:rPr>
                <w:rFonts w:cstheme="minorHAnsi"/>
                <w:szCs w:val="22"/>
              </w:rPr>
              <w:t>BSoC</w:t>
            </w:r>
            <w:proofErr w:type="spellEnd"/>
          </w:p>
        </w:tc>
        <w:tc>
          <w:tcPr>
            <w:tcW w:w="7167" w:type="dxa"/>
          </w:tcPr>
          <w:p w14:paraId="18B97BE4"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rPr>
            </w:pPr>
            <w:r w:rsidRPr="00E52084">
              <w:rPr>
                <w:szCs w:val="22"/>
              </w:rPr>
              <w:t>Best standard of care</w:t>
            </w:r>
          </w:p>
        </w:tc>
      </w:tr>
      <w:tr w:rsidR="00AD0A92" w:rsidRPr="002B2C82" w14:paraId="30FFF08A"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DC323AD" w14:textId="77777777" w:rsidR="00AD0A92" w:rsidRPr="00E52084" w:rsidRDefault="00AD0A92" w:rsidP="008E1DA9">
            <w:pPr>
              <w:rPr>
                <w:rFonts w:cstheme="minorHAnsi"/>
                <w:szCs w:val="48"/>
              </w:rPr>
            </w:pPr>
            <w:r w:rsidRPr="00E52084">
              <w:rPr>
                <w:rFonts w:cstheme="minorHAnsi"/>
                <w:szCs w:val="48"/>
              </w:rPr>
              <w:t>CI</w:t>
            </w:r>
          </w:p>
        </w:tc>
        <w:tc>
          <w:tcPr>
            <w:tcW w:w="7167" w:type="dxa"/>
          </w:tcPr>
          <w:p w14:paraId="123C5E72"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48"/>
              </w:rPr>
            </w:pPr>
            <w:r w:rsidRPr="00E52084">
              <w:rPr>
                <w:szCs w:val="48"/>
              </w:rPr>
              <w:t>Confidence interval</w:t>
            </w:r>
          </w:p>
        </w:tc>
      </w:tr>
      <w:tr w:rsidR="00AD0A92" w:rsidRPr="002B2C82" w14:paraId="1C49EA84"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5BBAFA7" w14:textId="77777777" w:rsidR="00AD0A92" w:rsidRPr="00E52084" w:rsidRDefault="00AD0A92" w:rsidP="008E1DA9">
            <w:pPr>
              <w:rPr>
                <w:szCs w:val="22"/>
              </w:rPr>
            </w:pPr>
            <w:r w:rsidRPr="00E52084">
              <w:rPr>
                <w:szCs w:val="22"/>
              </w:rPr>
              <w:t>CL</w:t>
            </w:r>
          </w:p>
        </w:tc>
        <w:tc>
          <w:tcPr>
            <w:tcW w:w="7167" w:type="dxa"/>
          </w:tcPr>
          <w:p w14:paraId="6C4E8B7B"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szCs w:val="22"/>
              </w:rPr>
            </w:pPr>
            <w:r w:rsidRPr="00E52084">
              <w:rPr>
                <w:rFonts w:cstheme="minorHAnsi"/>
                <w:szCs w:val="22"/>
              </w:rPr>
              <w:t>Clearance</w:t>
            </w:r>
          </w:p>
        </w:tc>
      </w:tr>
      <w:tr w:rsidR="00AD0A92" w:rsidRPr="002B2C82" w14:paraId="23B3F3B1"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AB6951B" w14:textId="77777777" w:rsidR="00AD0A92" w:rsidRPr="00E52084" w:rsidRDefault="00AD0A92" w:rsidP="008E1DA9">
            <w:pPr>
              <w:rPr>
                <w:rFonts w:cstheme="minorHAnsi"/>
                <w:szCs w:val="24"/>
              </w:rPr>
            </w:pPr>
            <w:r w:rsidRPr="00E52084">
              <w:rPr>
                <w:szCs w:val="24"/>
              </w:rPr>
              <w:t>C</w:t>
            </w:r>
            <w:r w:rsidRPr="00E52084">
              <w:rPr>
                <w:szCs w:val="24"/>
                <w:vertAlign w:val="subscript"/>
              </w:rPr>
              <w:t>max</w:t>
            </w:r>
          </w:p>
        </w:tc>
        <w:tc>
          <w:tcPr>
            <w:tcW w:w="7167" w:type="dxa"/>
          </w:tcPr>
          <w:p w14:paraId="29830DC4"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szCs w:val="24"/>
              </w:rPr>
            </w:pPr>
            <w:r w:rsidRPr="00E52084">
              <w:rPr>
                <w:rFonts w:cstheme="minorHAnsi"/>
                <w:szCs w:val="24"/>
              </w:rPr>
              <w:t>Maximum concentration</w:t>
            </w:r>
          </w:p>
        </w:tc>
      </w:tr>
      <w:tr w:rsidR="00AD0A92" w:rsidRPr="002B2C82" w14:paraId="69697246"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9989ED3" w14:textId="77777777" w:rsidR="00AD0A92" w:rsidRPr="00E52084" w:rsidRDefault="00AD0A92" w:rsidP="008E1DA9">
            <w:pPr>
              <w:rPr>
                <w:rFonts w:cstheme="minorHAnsi"/>
                <w:color w:val="auto"/>
                <w:szCs w:val="22"/>
              </w:rPr>
            </w:pPr>
            <w:r w:rsidRPr="00E52084">
              <w:rPr>
                <w:rFonts w:cstheme="minorHAnsi"/>
                <w:color w:val="auto"/>
                <w:szCs w:val="22"/>
              </w:rPr>
              <w:t>CMI</w:t>
            </w:r>
          </w:p>
        </w:tc>
        <w:tc>
          <w:tcPr>
            <w:tcW w:w="7167" w:type="dxa"/>
          </w:tcPr>
          <w:p w14:paraId="7F11D01A"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E52084">
              <w:rPr>
                <w:rFonts w:cstheme="minorHAnsi"/>
                <w:color w:val="auto"/>
                <w:szCs w:val="22"/>
              </w:rPr>
              <w:t>Consumer Medicines Information</w:t>
            </w:r>
          </w:p>
        </w:tc>
      </w:tr>
      <w:tr w:rsidR="00AD0A92" w:rsidRPr="00106388" w14:paraId="511AF280"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D51D8F3" w14:textId="77777777" w:rsidR="00AD0A92" w:rsidRPr="00E52084" w:rsidRDefault="00AD0A92" w:rsidP="008E1DA9">
            <w:pPr>
              <w:rPr>
                <w:rFonts w:cstheme="minorHAnsi"/>
                <w:szCs w:val="22"/>
              </w:rPr>
            </w:pPr>
            <w:proofErr w:type="spellStart"/>
            <w:r w:rsidRPr="00E52084">
              <w:rPr>
                <w:rFonts w:cstheme="minorHAnsi"/>
                <w:szCs w:val="22"/>
              </w:rPr>
              <w:t>CrCl</w:t>
            </w:r>
            <w:proofErr w:type="spellEnd"/>
          </w:p>
        </w:tc>
        <w:tc>
          <w:tcPr>
            <w:tcW w:w="7167" w:type="dxa"/>
          </w:tcPr>
          <w:p w14:paraId="17FC9CE0"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rPr>
            </w:pPr>
            <w:r w:rsidRPr="00E52084">
              <w:rPr>
                <w:szCs w:val="22"/>
              </w:rPr>
              <w:t>Creatinine clearance</w:t>
            </w:r>
          </w:p>
        </w:tc>
      </w:tr>
      <w:tr w:rsidR="00AD0A92" w:rsidRPr="00106388" w14:paraId="7C1B2451"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1D5EA06" w14:textId="77777777" w:rsidR="00AD0A92" w:rsidRPr="00E52084" w:rsidRDefault="00AD0A92" w:rsidP="008E1DA9">
            <w:pPr>
              <w:rPr>
                <w:rFonts w:cstheme="minorHAnsi"/>
                <w:szCs w:val="22"/>
              </w:rPr>
            </w:pPr>
            <w:r w:rsidRPr="00E52084">
              <w:rPr>
                <w:rFonts w:cstheme="minorHAnsi"/>
                <w:szCs w:val="22"/>
              </w:rPr>
              <w:t>CT</w:t>
            </w:r>
          </w:p>
        </w:tc>
        <w:tc>
          <w:tcPr>
            <w:tcW w:w="7167" w:type="dxa"/>
          </w:tcPr>
          <w:p w14:paraId="567FB3A2"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rPr>
            </w:pPr>
            <w:r w:rsidRPr="00E52084">
              <w:rPr>
                <w:szCs w:val="22"/>
              </w:rPr>
              <w:t>Computed tomography</w:t>
            </w:r>
          </w:p>
        </w:tc>
      </w:tr>
      <w:tr w:rsidR="00AD0A92" w:rsidRPr="00106388" w14:paraId="683310CD"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84D28CB" w14:textId="77777777" w:rsidR="00AD0A92" w:rsidRPr="00E52084" w:rsidRDefault="00AD0A92" w:rsidP="008E1DA9">
            <w:pPr>
              <w:rPr>
                <w:rFonts w:cstheme="minorHAnsi"/>
                <w:szCs w:val="40"/>
              </w:rPr>
            </w:pPr>
            <w:r w:rsidRPr="00E52084">
              <w:rPr>
                <w:rFonts w:cstheme="minorHAnsi"/>
                <w:szCs w:val="40"/>
              </w:rPr>
              <w:t>CYP</w:t>
            </w:r>
          </w:p>
        </w:tc>
        <w:tc>
          <w:tcPr>
            <w:tcW w:w="7167" w:type="dxa"/>
          </w:tcPr>
          <w:p w14:paraId="0322C6D8"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szCs w:val="40"/>
              </w:rPr>
            </w:pPr>
            <w:r w:rsidRPr="00E52084">
              <w:rPr>
                <w:szCs w:val="40"/>
              </w:rPr>
              <w:t>Cytochrome P450 enzymes</w:t>
            </w:r>
          </w:p>
        </w:tc>
      </w:tr>
      <w:tr w:rsidR="00AD0A92" w:rsidRPr="00106388" w14:paraId="6D1C413E"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A187B7E" w14:textId="77777777" w:rsidR="00AD0A92" w:rsidRPr="00E52084" w:rsidRDefault="00AD0A92" w:rsidP="008E1DA9">
            <w:pPr>
              <w:rPr>
                <w:rFonts w:cstheme="minorHAnsi"/>
                <w:szCs w:val="22"/>
              </w:rPr>
            </w:pPr>
            <w:r w:rsidRPr="00E52084">
              <w:rPr>
                <w:rFonts w:cstheme="minorHAnsi"/>
                <w:szCs w:val="22"/>
              </w:rPr>
              <w:t>CV</w:t>
            </w:r>
          </w:p>
        </w:tc>
        <w:tc>
          <w:tcPr>
            <w:tcW w:w="7167" w:type="dxa"/>
          </w:tcPr>
          <w:p w14:paraId="68465448"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szCs w:val="22"/>
              </w:rPr>
            </w:pPr>
            <w:r w:rsidRPr="00E52084">
              <w:rPr>
                <w:rFonts w:cstheme="minorHAnsi"/>
                <w:szCs w:val="22"/>
              </w:rPr>
              <w:t>Coefficient of variation</w:t>
            </w:r>
          </w:p>
        </w:tc>
      </w:tr>
      <w:tr w:rsidR="00AD0A92" w:rsidRPr="00106388" w14:paraId="399EAFDC"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FFFE7B9" w14:textId="77777777" w:rsidR="00AD0A92" w:rsidRPr="00E52084" w:rsidRDefault="00AD0A92" w:rsidP="008E1DA9">
            <w:pPr>
              <w:rPr>
                <w:rFonts w:cstheme="minorHAnsi"/>
                <w:szCs w:val="32"/>
              </w:rPr>
            </w:pPr>
            <w:r w:rsidRPr="00E52084">
              <w:rPr>
                <w:rFonts w:cstheme="minorHAnsi"/>
                <w:szCs w:val="22"/>
              </w:rPr>
              <w:t>DCR</w:t>
            </w:r>
          </w:p>
        </w:tc>
        <w:tc>
          <w:tcPr>
            <w:tcW w:w="7167" w:type="dxa"/>
          </w:tcPr>
          <w:p w14:paraId="47699C51"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szCs w:val="32"/>
              </w:rPr>
            </w:pPr>
            <w:r w:rsidRPr="00E52084">
              <w:rPr>
                <w:szCs w:val="22"/>
                <w:lang w:val="en-GB"/>
              </w:rPr>
              <w:t>Disease control rate</w:t>
            </w:r>
          </w:p>
        </w:tc>
      </w:tr>
      <w:tr w:rsidR="00AD0A92" w:rsidRPr="00106388" w14:paraId="3FCB3BC6"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7CD5BFF" w14:textId="77777777" w:rsidR="00AD0A92" w:rsidRPr="00E52084" w:rsidRDefault="00AD0A92" w:rsidP="008E1DA9">
            <w:pPr>
              <w:rPr>
                <w:rFonts w:cstheme="minorHAnsi"/>
                <w:szCs w:val="32"/>
              </w:rPr>
            </w:pPr>
            <w:r w:rsidRPr="00E52084">
              <w:rPr>
                <w:rFonts w:cstheme="minorHAnsi"/>
                <w:szCs w:val="32"/>
              </w:rPr>
              <w:t>DLP</w:t>
            </w:r>
          </w:p>
        </w:tc>
        <w:tc>
          <w:tcPr>
            <w:tcW w:w="7167" w:type="dxa"/>
          </w:tcPr>
          <w:p w14:paraId="3C4F0DA5"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szCs w:val="32"/>
              </w:rPr>
            </w:pPr>
            <w:r w:rsidRPr="00E52084">
              <w:rPr>
                <w:rFonts w:cstheme="minorHAnsi"/>
                <w:szCs w:val="32"/>
              </w:rPr>
              <w:t>Data lock point</w:t>
            </w:r>
          </w:p>
        </w:tc>
      </w:tr>
      <w:tr w:rsidR="00AD0A92" w:rsidRPr="002B2C82" w14:paraId="254EDDA1"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2C0E3AF" w14:textId="77777777" w:rsidR="00AD0A92" w:rsidRPr="00E52084" w:rsidRDefault="00AD0A92" w:rsidP="008E1DA9">
            <w:pPr>
              <w:tabs>
                <w:tab w:val="left" w:pos="1200"/>
              </w:tabs>
              <w:rPr>
                <w:rFonts w:cstheme="minorHAnsi"/>
                <w:szCs w:val="22"/>
              </w:rPr>
            </w:pPr>
            <w:r w:rsidRPr="00E52084">
              <w:rPr>
                <w:rFonts w:cstheme="minorHAnsi"/>
                <w:szCs w:val="22"/>
              </w:rPr>
              <w:t>ECG</w:t>
            </w:r>
          </w:p>
        </w:tc>
        <w:tc>
          <w:tcPr>
            <w:tcW w:w="7167" w:type="dxa"/>
          </w:tcPr>
          <w:p w14:paraId="6CEB98B9"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lang w:val="en-GB"/>
              </w:rPr>
            </w:pPr>
            <w:r w:rsidRPr="00E52084">
              <w:rPr>
                <w:szCs w:val="22"/>
                <w:lang w:val="en-GB"/>
              </w:rPr>
              <w:t>Electrocardiogram</w:t>
            </w:r>
          </w:p>
        </w:tc>
      </w:tr>
      <w:tr w:rsidR="00AD0A92" w:rsidRPr="002B2C82" w14:paraId="2A70AF03"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D993D08" w14:textId="77777777" w:rsidR="00AD0A92" w:rsidRPr="00E52084" w:rsidRDefault="00AD0A92" w:rsidP="008E1DA9">
            <w:pPr>
              <w:tabs>
                <w:tab w:val="left" w:pos="1200"/>
              </w:tabs>
              <w:rPr>
                <w:rFonts w:cstheme="minorHAnsi"/>
                <w:szCs w:val="240"/>
              </w:rPr>
            </w:pPr>
            <w:r w:rsidRPr="00E52084">
              <w:rPr>
                <w:rFonts w:cstheme="minorHAnsi"/>
                <w:szCs w:val="240"/>
              </w:rPr>
              <w:t>ECOG</w:t>
            </w:r>
          </w:p>
        </w:tc>
        <w:tc>
          <w:tcPr>
            <w:tcW w:w="7167" w:type="dxa"/>
          </w:tcPr>
          <w:p w14:paraId="5AC74A0D"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40"/>
              </w:rPr>
            </w:pPr>
            <w:r w:rsidRPr="00E52084">
              <w:rPr>
                <w:szCs w:val="240"/>
                <w:lang w:val="en-GB"/>
              </w:rPr>
              <w:t>Eastern Cooperative Oncology Group</w:t>
            </w:r>
          </w:p>
        </w:tc>
      </w:tr>
      <w:tr w:rsidR="00AD0A92" w:rsidRPr="002B2C82" w14:paraId="673B05A1"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FF6DB35" w14:textId="77777777" w:rsidR="00AD0A92" w:rsidRPr="00E52084" w:rsidRDefault="00AD0A92" w:rsidP="008E1DA9">
            <w:pPr>
              <w:rPr>
                <w:rFonts w:cstheme="minorHAnsi"/>
                <w:szCs w:val="160"/>
              </w:rPr>
            </w:pPr>
            <w:r w:rsidRPr="00E52084">
              <w:rPr>
                <w:rFonts w:cstheme="minorHAnsi"/>
                <w:szCs w:val="160"/>
              </w:rPr>
              <w:t>EU</w:t>
            </w:r>
          </w:p>
        </w:tc>
        <w:tc>
          <w:tcPr>
            <w:tcW w:w="7167" w:type="dxa"/>
          </w:tcPr>
          <w:p w14:paraId="7C446747" w14:textId="77777777" w:rsidR="00AD0A92" w:rsidRPr="00E52084" w:rsidRDefault="00AD0A92" w:rsidP="008E1DA9">
            <w:pPr>
              <w:tabs>
                <w:tab w:val="left" w:pos="2445"/>
              </w:tabs>
              <w:cnfStyle w:val="000000000000" w:firstRow="0" w:lastRow="0" w:firstColumn="0" w:lastColumn="0" w:oddVBand="0" w:evenVBand="0" w:oddHBand="0" w:evenHBand="0" w:firstRowFirstColumn="0" w:firstRowLastColumn="0" w:lastRowFirstColumn="0" w:lastRowLastColumn="0"/>
              <w:rPr>
                <w:szCs w:val="160"/>
              </w:rPr>
            </w:pPr>
            <w:r w:rsidRPr="00E52084">
              <w:rPr>
                <w:szCs w:val="160"/>
              </w:rPr>
              <w:t>European Union</w:t>
            </w:r>
          </w:p>
        </w:tc>
      </w:tr>
      <w:tr w:rsidR="00AD0A92" w:rsidRPr="002B2C82" w14:paraId="0E826905"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E53CE9F" w14:textId="77777777" w:rsidR="00AD0A92" w:rsidRPr="00E52084" w:rsidRDefault="00AD0A92" w:rsidP="008E1DA9">
            <w:pPr>
              <w:rPr>
                <w:rFonts w:cstheme="minorHAnsi"/>
                <w:szCs w:val="96"/>
              </w:rPr>
            </w:pPr>
            <w:r w:rsidRPr="00E52084">
              <w:rPr>
                <w:rFonts w:cstheme="minorHAnsi"/>
                <w:szCs w:val="96"/>
              </w:rPr>
              <w:t>FDA</w:t>
            </w:r>
          </w:p>
        </w:tc>
        <w:tc>
          <w:tcPr>
            <w:tcW w:w="7167" w:type="dxa"/>
          </w:tcPr>
          <w:p w14:paraId="502AA17F"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96"/>
              </w:rPr>
            </w:pPr>
            <w:r w:rsidRPr="00E52084">
              <w:rPr>
                <w:szCs w:val="96"/>
              </w:rPr>
              <w:t>United States Food and Drug Administration</w:t>
            </w:r>
          </w:p>
        </w:tc>
      </w:tr>
      <w:tr w:rsidR="00AD0A92" w:rsidRPr="002B2C82" w14:paraId="32EC61A8"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C039D2A" w14:textId="77777777" w:rsidR="00AD0A92" w:rsidRPr="00E52084" w:rsidRDefault="00AD0A92" w:rsidP="008E1DA9">
            <w:pPr>
              <w:rPr>
                <w:rFonts w:cstheme="minorHAnsi"/>
                <w:szCs w:val="22"/>
              </w:rPr>
            </w:pPr>
            <w:proofErr w:type="spellStart"/>
            <w:r w:rsidRPr="00E52084">
              <w:rPr>
                <w:rFonts w:cstheme="minorHAnsi"/>
                <w:szCs w:val="22"/>
              </w:rPr>
              <w:t>GBq</w:t>
            </w:r>
            <w:proofErr w:type="spellEnd"/>
          </w:p>
        </w:tc>
        <w:tc>
          <w:tcPr>
            <w:tcW w:w="7167" w:type="dxa"/>
          </w:tcPr>
          <w:p w14:paraId="71B11E82"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rPr>
            </w:pPr>
            <w:proofErr w:type="spellStart"/>
            <w:r w:rsidRPr="00E52084">
              <w:rPr>
                <w:szCs w:val="22"/>
              </w:rPr>
              <w:t>Gigabecquerel</w:t>
            </w:r>
            <w:proofErr w:type="spellEnd"/>
          </w:p>
        </w:tc>
      </w:tr>
      <w:tr w:rsidR="00AD0A92" w:rsidRPr="002B2C82" w14:paraId="5D04D723"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16B2A65" w14:textId="77777777" w:rsidR="00AD0A92" w:rsidRPr="00E52084" w:rsidRDefault="00AD0A92" w:rsidP="008E1DA9">
            <w:pPr>
              <w:rPr>
                <w:rFonts w:cstheme="minorHAnsi"/>
                <w:szCs w:val="22"/>
              </w:rPr>
            </w:pPr>
            <w:r w:rsidRPr="00E52084">
              <w:rPr>
                <w:rFonts w:cstheme="minorHAnsi"/>
                <w:szCs w:val="22"/>
              </w:rPr>
              <w:t>GM</w:t>
            </w:r>
          </w:p>
        </w:tc>
        <w:tc>
          <w:tcPr>
            <w:tcW w:w="7167" w:type="dxa"/>
          </w:tcPr>
          <w:p w14:paraId="77463FA7"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rPr>
            </w:pPr>
            <w:r w:rsidRPr="00E52084">
              <w:rPr>
                <w:szCs w:val="22"/>
              </w:rPr>
              <w:t>Geometric mean</w:t>
            </w:r>
          </w:p>
        </w:tc>
      </w:tr>
      <w:tr w:rsidR="00AD0A92" w:rsidRPr="002B2C82" w14:paraId="6A891C27"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DBE4218" w14:textId="77777777" w:rsidR="00AD0A92" w:rsidRPr="00E52084" w:rsidRDefault="00AD0A92" w:rsidP="008E1DA9">
            <w:pPr>
              <w:rPr>
                <w:rFonts w:cstheme="minorHAnsi"/>
                <w:szCs w:val="22"/>
              </w:rPr>
            </w:pPr>
            <w:r w:rsidRPr="00E52084">
              <w:rPr>
                <w:rFonts w:cstheme="minorHAnsi"/>
                <w:szCs w:val="22"/>
              </w:rPr>
              <w:t>Gy</w:t>
            </w:r>
          </w:p>
        </w:tc>
        <w:tc>
          <w:tcPr>
            <w:tcW w:w="7167" w:type="dxa"/>
          </w:tcPr>
          <w:p w14:paraId="26FA472C"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rPr>
            </w:pPr>
            <w:r w:rsidRPr="00E52084">
              <w:rPr>
                <w:szCs w:val="22"/>
              </w:rPr>
              <w:t>Gray</w:t>
            </w:r>
          </w:p>
        </w:tc>
      </w:tr>
      <w:tr w:rsidR="00AD0A92" w:rsidRPr="002B2C82" w14:paraId="0A50AB52"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909F4B6" w14:textId="77777777" w:rsidR="00AD0A92" w:rsidRPr="00E52084" w:rsidRDefault="00AD0A92" w:rsidP="008E1DA9">
            <w:pPr>
              <w:rPr>
                <w:rFonts w:cstheme="minorHAnsi"/>
                <w:szCs w:val="22"/>
              </w:rPr>
            </w:pPr>
            <w:r w:rsidRPr="00E52084">
              <w:rPr>
                <w:rFonts w:cstheme="minorHAnsi"/>
                <w:szCs w:val="22"/>
              </w:rPr>
              <w:t>HR</w:t>
            </w:r>
          </w:p>
        </w:tc>
        <w:tc>
          <w:tcPr>
            <w:tcW w:w="7167" w:type="dxa"/>
          </w:tcPr>
          <w:p w14:paraId="7DFDBD36"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rPr>
            </w:pPr>
            <w:r w:rsidRPr="00E52084">
              <w:rPr>
                <w:szCs w:val="22"/>
              </w:rPr>
              <w:t>Hazard ratio</w:t>
            </w:r>
          </w:p>
        </w:tc>
      </w:tr>
      <w:tr w:rsidR="00AD0A92" w:rsidRPr="002B2C82" w14:paraId="32ED2582"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3C90F14" w14:textId="77777777" w:rsidR="00AD0A92" w:rsidRPr="00E52084" w:rsidRDefault="00AD0A92" w:rsidP="008E1DA9">
            <w:pPr>
              <w:rPr>
                <w:iCs/>
                <w:szCs w:val="160"/>
              </w:rPr>
            </w:pPr>
            <w:r w:rsidRPr="00E52084">
              <w:rPr>
                <w:iCs/>
                <w:szCs w:val="160"/>
              </w:rPr>
              <w:t>IV</w:t>
            </w:r>
          </w:p>
        </w:tc>
        <w:tc>
          <w:tcPr>
            <w:tcW w:w="7167" w:type="dxa"/>
          </w:tcPr>
          <w:p w14:paraId="63544522"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iCs/>
                <w:szCs w:val="160"/>
              </w:rPr>
            </w:pPr>
            <w:r w:rsidRPr="00E52084">
              <w:rPr>
                <w:iCs/>
                <w:szCs w:val="160"/>
              </w:rPr>
              <w:t>Intravenous</w:t>
            </w:r>
          </w:p>
        </w:tc>
      </w:tr>
      <w:tr w:rsidR="00AD0A92" w:rsidRPr="002B2C82" w14:paraId="5337106C"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EC4C53E" w14:textId="77777777" w:rsidR="00AD0A92" w:rsidRPr="00E52084" w:rsidRDefault="00AD0A92" w:rsidP="008E1DA9">
            <w:pPr>
              <w:rPr>
                <w:iCs/>
                <w:szCs w:val="96"/>
              </w:rPr>
            </w:pPr>
            <w:r w:rsidRPr="00E52084">
              <w:rPr>
                <w:iCs/>
                <w:szCs w:val="22"/>
              </w:rPr>
              <w:t>MBq</w:t>
            </w:r>
          </w:p>
        </w:tc>
        <w:tc>
          <w:tcPr>
            <w:tcW w:w="7167" w:type="dxa"/>
          </w:tcPr>
          <w:p w14:paraId="6DCFAD45"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iCs/>
                <w:szCs w:val="96"/>
              </w:rPr>
            </w:pPr>
            <w:r w:rsidRPr="00E52084">
              <w:rPr>
                <w:szCs w:val="22"/>
              </w:rPr>
              <w:t>Megabecquerel</w:t>
            </w:r>
          </w:p>
        </w:tc>
      </w:tr>
      <w:tr w:rsidR="00AD0A92" w:rsidRPr="002B2C82" w14:paraId="7BB1C28D"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27DEFDB" w14:textId="77777777" w:rsidR="00AD0A92" w:rsidRPr="00E52084" w:rsidRDefault="00AD0A92" w:rsidP="008E1DA9">
            <w:pPr>
              <w:rPr>
                <w:iCs/>
                <w:szCs w:val="96"/>
              </w:rPr>
            </w:pPr>
            <w:proofErr w:type="spellStart"/>
            <w:r w:rsidRPr="00E52084">
              <w:rPr>
                <w:iCs/>
                <w:szCs w:val="96"/>
              </w:rPr>
              <w:t>mCRPC</w:t>
            </w:r>
            <w:proofErr w:type="spellEnd"/>
          </w:p>
        </w:tc>
        <w:tc>
          <w:tcPr>
            <w:tcW w:w="7167" w:type="dxa"/>
          </w:tcPr>
          <w:p w14:paraId="34675843"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iCs/>
                <w:szCs w:val="96"/>
              </w:rPr>
            </w:pPr>
            <w:r w:rsidRPr="00E52084">
              <w:rPr>
                <w:iCs/>
                <w:szCs w:val="96"/>
              </w:rPr>
              <w:t>Metastatic castration resistant prostate cancer</w:t>
            </w:r>
          </w:p>
        </w:tc>
      </w:tr>
      <w:tr w:rsidR="00AD0A92" w:rsidRPr="002B2C82" w14:paraId="2D152F88"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D81A59D" w14:textId="77777777" w:rsidR="00AD0A92" w:rsidRPr="00E52084" w:rsidRDefault="00AD0A92" w:rsidP="008E1DA9">
            <w:pPr>
              <w:rPr>
                <w:iCs/>
                <w:szCs w:val="22"/>
              </w:rPr>
            </w:pPr>
            <w:r w:rsidRPr="00E52084">
              <w:rPr>
                <w:iCs/>
                <w:szCs w:val="22"/>
              </w:rPr>
              <w:t>MDS</w:t>
            </w:r>
          </w:p>
        </w:tc>
        <w:tc>
          <w:tcPr>
            <w:tcW w:w="7167" w:type="dxa"/>
          </w:tcPr>
          <w:p w14:paraId="21BB64C2"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rPr>
            </w:pPr>
            <w:r w:rsidRPr="00E52084">
              <w:rPr>
                <w:szCs w:val="22"/>
              </w:rPr>
              <w:t>Myelodysplastic syndrome</w:t>
            </w:r>
          </w:p>
        </w:tc>
      </w:tr>
      <w:tr w:rsidR="00AD0A92" w:rsidRPr="002B2C82" w14:paraId="3DD397C3"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0CD5212" w14:textId="77777777" w:rsidR="00AD0A92" w:rsidRPr="00E52084" w:rsidRDefault="00AD0A92" w:rsidP="008E1DA9">
            <w:pPr>
              <w:rPr>
                <w:iCs/>
                <w:szCs w:val="22"/>
              </w:rPr>
            </w:pPr>
            <w:r w:rsidRPr="00E52084">
              <w:rPr>
                <w:iCs/>
                <w:szCs w:val="22"/>
              </w:rPr>
              <w:lastRenderedPageBreak/>
              <w:t>MRI</w:t>
            </w:r>
          </w:p>
        </w:tc>
        <w:tc>
          <w:tcPr>
            <w:tcW w:w="7167" w:type="dxa"/>
          </w:tcPr>
          <w:p w14:paraId="7FD231F6"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rPr>
            </w:pPr>
            <w:r w:rsidRPr="00E52084">
              <w:rPr>
                <w:szCs w:val="22"/>
              </w:rPr>
              <w:t>Magnetic resonance imaging</w:t>
            </w:r>
          </w:p>
        </w:tc>
      </w:tr>
      <w:tr w:rsidR="00AD0A92" w:rsidRPr="002B2C82" w14:paraId="1B14FDB6"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971F52B" w14:textId="77777777" w:rsidR="00AD0A92" w:rsidRPr="00E52084" w:rsidRDefault="00AD0A92" w:rsidP="008E1DA9">
            <w:pPr>
              <w:rPr>
                <w:rFonts w:cstheme="minorHAnsi"/>
                <w:szCs w:val="40"/>
              </w:rPr>
            </w:pPr>
            <w:r w:rsidRPr="00E52084">
              <w:rPr>
                <w:rFonts w:cstheme="minorHAnsi"/>
                <w:szCs w:val="40"/>
              </w:rPr>
              <w:t>ORR</w:t>
            </w:r>
          </w:p>
        </w:tc>
        <w:tc>
          <w:tcPr>
            <w:tcW w:w="7167" w:type="dxa"/>
          </w:tcPr>
          <w:p w14:paraId="23D770F4"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szCs w:val="40"/>
              </w:rPr>
            </w:pPr>
            <w:r w:rsidRPr="00E52084">
              <w:rPr>
                <w:rFonts w:cstheme="minorHAnsi"/>
                <w:szCs w:val="40"/>
              </w:rPr>
              <w:t>Overall response rate</w:t>
            </w:r>
          </w:p>
        </w:tc>
      </w:tr>
      <w:tr w:rsidR="00AD0A92" w:rsidRPr="002B2C82" w14:paraId="7F2F8A23"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F55E405" w14:textId="77777777" w:rsidR="00AD0A92" w:rsidRPr="00E52084" w:rsidRDefault="00AD0A92" w:rsidP="008E1DA9">
            <w:pPr>
              <w:rPr>
                <w:rFonts w:cstheme="minorHAnsi"/>
                <w:szCs w:val="32"/>
              </w:rPr>
            </w:pPr>
            <w:r w:rsidRPr="00E52084">
              <w:rPr>
                <w:rFonts w:cstheme="minorHAnsi"/>
                <w:szCs w:val="32"/>
              </w:rPr>
              <w:t>OS</w:t>
            </w:r>
          </w:p>
        </w:tc>
        <w:tc>
          <w:tcPr>
            <w:tcW w:w="7167" w:type="dxa"/>
          </w:tcPr>
          <w:p w14:paraId="6D19506E"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szCs w:val="32"/>
              </w:rPr>
            </w:pPr>
            <w:r w:rsidRPr="00E52084">
              <w:rPr>
                <w:rFonts w:cstheme="minorHAnsi"/>
                <w:szCs w:val="32"/>
              </w:rPr>
              <w:t>Overall survival</w:t>
            </w:r>
          </w:p>
        </w:tc>
      </w:tr>
      <w:tr w:rsidR="00AD0A92" w:rsidRPr="002B2C82" w14:paraId="1D3032D2"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DD35C6C" w14:textId="77777777" w:rsidR="00AD0A92" w:rsidRPr="00E52084" w:rsidRDefault="00AD0A92" w:rsidP="008E1DA9">
            <w:pPr>
              <w:rPr>
                <w:rFonts w:cstheme="minorHAnsi"/>
                <w:szCs w:val="22"/>
              </w:rPr>
            </w:pPr>
            <w:r w:rsidRPr="00E52084">
              <w:rPr>
                <w:rFonts w:cstheme="minorHAnsi"/>
                <w:szCs w:val="22"/>
              </w:rPr>
              <w:t>PET</w:t>
            </w:r>
          </w:p>
        </w:tc>
        <w:tc>
          <w:tcPr>
            <w:tcW w:w="7167" w:type="dxa"/>
          </w:tcPr>
          <w:p w14:paraId="108D70E1"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rPr>
            </w:pPr>
            <w:r w:rsidRPr="00E52084">
              <w:rPr>
                <w:szCs w:val="22"/>
              </w:rPr>
              <w:t>Positron emission tomography</w:t>
            </w:r>
          </w:p>
        </w:tc>
      </w:tr>
      <w:tr w:rsidR="00AD0A92" w:rsidRPr="002B2C82" w14:paraId="0E9C6B8D"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D1A55EA" w14:textId="77777777" w:rsidR="00AD0A92" w:rsidRPr="00E52084" w:rsidRDefault="00AD0A92" w:rsidP="008E1DA9">
            <w:pPr>
              <w:rPr>
                <w:rFonts w:cstheme="minorHAnsi"/>
                <w:szCs w:val="32"/>
              </w:rPr>
            </w:pPr>
            <w:r w:rsidRPr="00E52084">
              <w:rPr>
                <w:rFonts w:cstheme="minorHAnsi"/>
                <w:szCs w:val="32"/>
              </w:rPr>
              <w:t>PFS</w:t>
            </w:r>
          </w:p>
        </w:tc>
        <w:tc>
          <w:tcPr>
            <w:tcW w:w="7167" w:type="dxa"/>
          </w:tcPr>
          <w:p w14:paraId="565ED19E"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32"/>
              </w:rPr>
            </w:pPr>
            <w:r w:rsidRPr="00E52084">
              <w:rPr>
                <w:szCs w:val="32"/>
              </w:rPr>
              <w:t>Progression-free survival</w:t>
            </w:r>
          </w:p>
        </w:tc>
      </w:tr>
      <w:tr w:rsidR="00AD0A92" w:rsidRPr="002B2C82" w14:paraId="05BDD146"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1D6A8D6" w14:textId="77777777" w:rsidR="00AD0A92" w:rsidRPr="00E52084" w:rsidRDefault="00AD0A92" w:rsidP="008E1DA9">
            <w:pPr>
              <w:rPr>
                <w:rFonts w:cstheme="minorHAnsi"/>
                <w:color w:val="auto"/>
                <w:szCs w:val="22"/>
              </w:rPr>
            </w:pPr>
            <w:r w:rsidRPr="00E52084">
              <w:rPr>
                <w:rFonts w:cstheme="minorHAnsi"/>
                <w:color w:val="auto"/>
                <w:szCs w:val="22"/>
              </w:rPr>
              <w:t>PI</w:t>
            </w:r>
          </w:p>
        </w:tc>
        <w:tc>
          <w:tcPr>
            <w:tcW w:w="7167" w:type="dxa"/>
          </w:tcPr>
          <w:p w14:paraId="4317DE74"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E52084">
              <w:rPr>
                <w:rFonts w:cstheme="minorHAnsi"/>
                <w:color w:val="auto"/>
                <w:szCs w:val="22"/>
              </w:rPr>
              <w:t>Product Information</w:t>
            </w:r>
          </w:p>
        </w:tc>
      </w:tr>
      <w:tr w:rsidR="00AD0A92" w:rsidRPr="002B2C82" w14:paraId="71D5E048"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E1228B2" w14:textId="77777777" w:rsidR="00AD0A92" w:rsidRPr="00E52084" w:rsidRDefault="00AD0A92" w:rsidP="008E1DA9">
            <w:pPr>
              <w:rPr>
                <w:rFonts w:cstheme="minorHAnsi"/>
                <w:szCs w:val="24"/>
              </w:rPr>
            </w:pPr>
            <w:r w:rsidRPr="00E52084">
              <w:rPr>
                <w:rFonts w:cstheme="minorHAnsi"/>
                <w:szCs w:val="24"/>
              </w:rPr>
              <w:t>PK</w:t>
            </w:r>
          </w:p>
        </w:tc>
        <w:tc>
          <w:tcPr>
            <w:tcW w:w="7167" w:type="dxa"/>
          </w:tcPr>
          <w:p w14:paraId="79B00C54"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szCs w:val="24"/>
              </w:rPr>
            </w:pPr>
            <w:r w:rsidRPr="00E52084">
              <w:rPr>
                <w:rFonts w:cstheme="minorHAnsi"/>
                <w:szCs w:val="24"/>
              </w:rPr>
              <w:t>Pharmacokinetic(s)</w:t>
            </w:r>
          </w:p>
        </w:tc>
      </w:tr>
      <w:tr w:rsidR="00AD0A92" w:rsidRPr="002B2C82" w14:paraId="2596F114"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50A2E68" w14:textId="77777777" w:rsidR="00AD0A92" w:rsidRPr="00E52084" w:rsidRDefault="00AD0A92" w:rsidP="008E1DA9">
            <w:pPr>
              <w:rPr>
                <w:rFonts w:cstheme="minorHAnsi"/>
                <w:szCs w:val="22"/>
              </w:rPr>
            </w:pPr>
            <w:r w:rsidRPr="00E52084">
              <w:rPr>
                <w:rFonts w:cstheme="minorHAnsi"/>
                <w:szCs w:val="22"/>
              </w:rPr>
              <w:t>PSMA</w:t>
            </w:r>
          </w:p>
        </w:tc>
        <w:tc>
          <w:tcPr>
            <w:tcW w:w="7167" w:type="dxa"/>
          </w:tcPr>
          <w:p w14:paraId="62A3162F" w14:textId="77777777" w:rsidR="00AD0A92" w:rsidRPr="00E52084" w:rsidRDefault="00AD0A92" w:rsidP="008E1DA9">
            <w:pPr>
              <w:tabs>
                <w:tab w:val="center" w:pos="3532"/>
              </w:tabs>
              <w:cnfStyle w:val="000000000000" w:firstRow="0" w:lastRow="0" w:firstColumn="0" w:lastColumn="0" w:oddVBand="0" w:evenVBand="0" w:oddHBand="0" w:evenHBand="0" w:firstRowFirstColumn="0" w:firstRowLastColumn="0" w:lastRowFirstColumn="0" w:lastRowLastColumn="0"/>
              <w:rPr>
                <w:szCs w:val="22"/>
              </w:rPr>
            </w:pPr>
            <w:r w:rsidRPr="00E52084">
              <w:rPr>
                <w:szCs w:val="22"/>
              </w:rPr>
              <w:t>Prostate specific membrane antigen</w:t>
            </w:r>
          </w:p>
        </w:tc>
      </w:tr>
      <w:tr w:rsidR="00AD0A92" w:rsidRPr="002B2C82" w14:paraId="619BB07E"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AAB443D" w14:textId="77777777" w:rsidR="00AD0A92" w:rsidRPr="00E52084" w:rsidRDefault="00AD0A92" w:rsidP="008E1DA9">
            <w:pPr>
              <w:rPr>
                <w:rFonts w:cstheme="minorHAnsi"/>
                <w:szCs w:val="22"/>
              </w:rPr>
            </w:pPr>
            <w:r w:rsidRPr="00E52084">
              <w:rPr>
                <w:rFonts w:cstheme="minorHAnsi"/>
                <w:szCs w:val="22"/>
              </w:rPr>
              <w:t>RLT</w:t>
            </w:r>
          </w:p>
        </w:tc>
        <w:tc>
          <w:tcPr>
            <w:tcW w:w="7167" w:type="dxa"/>
          </w:tcPr>
          <w:p w14:paraId="0765A5F1" w14:textId="77777777" w:rsidR="00AD0A92" w:rsidRPr="00E52084" w:rsidRDefault="00AD0A92" w:rsidP="008E1DA9">
            <w:pPr>
              <w:tabs>
                <w:tab w:val="center" w:pos="3532"/>
              </w:tabs>
              <w:cnfStyle w:val="000000000000" w:firstRow="0" w:lastRow="0" w:firstColumn="0" w:lastColumn="0" w:oddVBand="0" w:evenVBand="0" w:oddHBand="0" w:evenHBand="0" w:firstRowFirstColumn="0" w:firstRowLastColumn="0" w:lastRowFirstColumn="0" w:lastRowLastColumn="0"/>
              <w:rPr>
                <w:rFonts w:cstheme="minorHAnsi"/>
                <w:szCs w:val="22"/>
              </w:rPr>
            </w:pPr>
            <w:r w:rsidRPr="00E52084">
              <w:rPr>
                <w:szCs w:val="22"/>
              </w:rPr>
              <w:t>Radioligand therapy</w:t>
            </w:r>
          </w:p>
        </w:tc>
      </w:tr>
      <w:tr w:rsidR="00AD0A92" w:rsidRPr="002B2C82" w14:paraId="29D12E4B"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CCEB67B" w14:textId="77777777" w:rsidR="00AD0A92" w:rsidRPr="00E52084" w:rsidRDefault="00AD0A92" w:rsidP="008E1DA9">
            <w:pPr>
              <w:rPr>
                <w:rFonts w:cstheme="minorHAnsi"/>
                <w:color w:val="auto"/>
                <w:szCs w:val="22"/>
              </w:rPr>
            </w:pPr>
            <w:r w:rsidRPr="00E52084">
              <w:rPr>
                <w:rFonts w:cstheme="minorHAnsi"/>
                <w:color w:val="auto"/>
                <w:szCs w:val="22"/>
              </w:rPr>
              <w:t>RMP</w:t>
            </w:r>
          </w:p>
        </w:tc>
        <w:tc>
          <w:tcPr>
            <w:tcW w:w="7167" w:type="dxa"/>
          </w:tcPr>
          <w:p w14:paraId="113B44F5" w14:textId="77777777" w:rsidR="00AD0A92" w:rsidRPr="00E52084" w:rsidRDefault="00AD0A92" w:rsidP="008E1DA9">
            <w:pPr>
              <w:tabs>
                <w:tab w:val="center" w:pos="3532"/>
              </w:tabs>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E52084">
              <w:rPr>
                <w:rFonts w:cstheme="minorHAnsi"/>
                <w:color w:val="auto"/>
                <w:szCs w:val="22"/>
              </w:rPr>
              <w:t>Risk management plan</w:t>
            </w:r>
          </w:p>
        </w:tc>
      </w:tr>
      <w:tr w:rsidR="00AD0A92" w:rsidRPr="002B2C82" w14:paraId="225A06CA"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8E9AB11" w14:textId="77777777" w:rsidR="00AD0A92" w:rsidRPr="00E52084" w:rsidRDefault="00AD0A92" w:rsidP="008E1DA9">
            <w:pPr>
              <w:rPr>
                <w:rFonts w:cstheme="minorHAnsi"/>
                <w:szCs w:val="22"/>
              </w:rPr>
            </w:pPr>
            <w:proofErr w:type="spellStart"/>
            <w:r w:rsidRPr="00E52084">
              <w:rPr>
                <w:rFonts w:cstheme="minorHAnsi"/>
                <w:szCs w:val="22"/>
              </w:rPr>
              <w:t>rPFS</w:t>
            </w:r>
            <w:proofErr w:type="spellEnd"/>
          </w:p>
        </w:tc>
        <w:tc>
          <w:tcPr>
            <w:tcW w:w="7167" w:type="dxa"/>
          </w:tcPr>
          <w:p w14:paraId="17549161" w14:textId="77777777" w:rsidR="00AD0A92" w:rsidRPr="00E52084" w:rsidRDefault="00AD0A92" w:rsidP="008E1DA9">
            <w:pPr>
              <w:tabs>
                <w:tab w:val="center" w:pos="3532"/>
              </w:tabs>
              <w:cnfStyle w:val="000000000000" w:firstRow="0" w:lastRow="0" w:firstColumn="0" w:lastColumn="0" w:oddVBand="0" w:evenVBand="0" w:oddHBand="0" w:evenHBand="0" w:firstRowFirstColumn="0" w:firstRowLastColumn="0" w:lastRowFirstColumn="0" w:lastRowLastColumn="0"/>
              <w:rPr>
                <w:rFonts w:cstheme="minorHAnsi"/>
                <w:szCs w:val="22"/>
              </w:rPr>
            </w:pPr>
            <w:r w:rsidRPr="00E52084">
              <w:rPr>
                <w:szCs w:val="22"/>
              </w:rPr>
              <w:t>Radiographic progression-free survival</w:t>
            </w:r>
          </w:p>
        </w:tc>
      </w:tr>
      <w:tr w:rsidR="00AD0A92" w:rsidRPr="002B2C82" w14:paraId="760452EB"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2C330F9" w14:textId="77777777" w:rsidR="00AD0A92" w:rsidRPr="00E52084" w:rsidRDefault="00AD0A92" w:rsidP="008E1DA9">
            <w:pPr>
              <w:rPr>
                <w:szCs w:val="22"/>
              </w:rPr>
            </w:pPr>
            <w:r w:rsidRPr="00E52084">
              <w:rPr>
                <w:szCs w:val="22"/>
              </w:rPr>
              <w:t>SAE(s)</w:t>
            </w:r>
          </w:p>
        </w:tc>
        <w:tc>
          <w:tcPr>
            <w:tcW w:w="7167" w:type="dxa"/>
          </w:tcPr>
          <w:p w14:paraId="453AA622"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rPr>
            </w:pPr>
            <w:r w:rsidRPr="00E52084">
              <w:rPr>
                <w:szCs w:val="22"/>
              </w:rPr>
              <w:t>Serious adverse event(s)</w:t>
            </w:r>
          </w:p>
        </w:tc>
      </w:tr>
      <w:tr w:rsidR="00AD0A92" w:rsidRPr="002B2C82" w14:paraId="6352173F"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EEE0925" w14:textId="77777777" w:rsidR="00AD0A92" w:rsidRPr="00E52084" w:rsidRDefault="00AD0A92" w:rsidP="008E1DA9">
            <w:pPr>
              <w:rPr>
                <w:szCs w:val="22"/>
              </w:rPr>
            </w:pPr>
            <w:r w:rsidRPr="00E52084">
              <w:rPr>
                <w:szCs w:val="22"/>
              </w:rPr>
              <w:t>SSE</w:t>
            </w:r>
          </w:p>
        </w:tc>
        <w:tc>
          <w:tcPr>
            <w:tcW w:w="7167" w:type="dxa"/>
          </w:tcPr>
          <w:p w14:paraId="2CE18904"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rPr>
            </w:pPr>
            <w:r w:rsidRPr="00E52084">
              <w:rPr>
                <w:szCs w:val="22"/>
              </w:rPr>
              <w:t>Symptomatic skeletal event</w:t>
            </w:r>
          </w:p>
        </w:tc>
      </w:tr>
      <w:tr w:rsidR="00AD0A92" w:rsidRPr="002B2C82" w14:paraId="3E1DC3A5"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F52BFF3" w14:textId="77777777" w:rsidR="00AD0A92" w:rsidRPr="00E52084" w:rsidRDefault="00AD0A92" w:rsidP="008E1DA9">
            <w:pPr>
              <w:rPr>
                <w:rFonts w:cstheme="minorHAnsi"/>
                <w:szCs w:val="22"/>
              </w:rPr>
            </w:pPr>
            <w:r w:rsidRPr="00E52084">
              <w:rPr>
                <w:rFonts w:cstheme="minorHAnsi"/>
                <w:szCs w:val="22"/>
              </w:rPr>
              <w:t>TEAE(s)</w:t>
            </w:r>
          </w:p>
        </w:tc>
        <w:tc>
          <w:tcPr>
            <w:tcW w:w="7167" w:type="dxa"/>
          </w:tcPr>
          <w:p w14:paraId="049AB4FB"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szCs w:val="22"/>
              </w:rPr>
            </w:pPr>
            <w:r w:rsidRPr="00E52084">
              <w:rPr>
                <w:szCs w:val="22"/>
                <w:lang w:eastAsia="ja-JP"/>
              </w:rPr>
              <w:t>Treatment emergent adverse event(s)</w:t>
            </w:r>
          </w:p>
        </w:tc>
      </w:tr>
      <w:tr w:rsidR="00AD0A92" w:rsidRPr="002B2C82" w14:paraId="28CF7375"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6E76F34" w14:textId="77777777" w:rsidR="00AD0A92" w:rsidRPr="00E52084" w:rsidRDefault="00AD0A92" w:rsidP="008E1DA9">
            <w:pPr>
              <w:rPr>
                <w:rFonts w:cstheme="minorHAnsi"/>
                <w:color w:val="auto"/>
                <w:szCs w:val="22"/>
              </w:rPr>
            </w:pPr>
            <w:r w:rsidRPr="00E52084">
              <w:rPr>
                <w:rFonts w:cstheme="minorHAnsi"/>
                <w:color w:val="auto"/>
                <w:szCs w:val="22"/>
              </w:rPr>
              <w:t>TGA</w:t>
            </w:r>
          </w:p>
        </w:tc>
        <w:tc>
          <w:tcPr>
            <w:tcW w:w="7167" w:type="dxa"/>
          </w:tcPr>
          <w:p w14:paraId="47A1E4B3"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E52084">
              <w:rPr>
                <w:rFonts w:cstheme="minorHAnsi"/>
                <w:color w:val="auto"/>
                <w:szCs w:val="22"/>
              </w:rPr>
              <w:t>Therapeutic Goods Administration</w:t>
            </w:r>
          </w:p>
        </w:tc>
      </w:tr>
      <w:tr w:rsidR="00AD0A92" w:rsidRPr="002B2C82" w14:paraId="0F861BA5"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98D0D78" w14:textId="77777777" w:rsidR="00AD0A92" w:rsidRPr="00E52084" w:rsidRDefault="00AD0A92" w:rsidP="008E1DA9">
            <w:pPr>
              <w:rPr>
                <w:rFonts w:cstheme="minorHAnsi"/>
                <w:szCs w:val="48"/>
              </w:rPr>
            </w:pPr>
            <w:proofErr w:type="spellStart"/>
            <w:r w:rsidRPr="00E52084">
              <w:rPr>
                <w:rFonts w:cstheme="minorHAnsi"/>
                <w:szCs w:val="48"/>
              </w:rPr>
              <w:t>T</w:t>
            </w:r>
            <w:r w:rsidRPr="00E52084">
              <w:rPr>
                <w:rFonts w:cstheme="minorHAnsi"/>
                <w:szCs w:val="48"/>
                <w:vertAlign w:val="subscript"/>
              </w:rPr>
              <w:t>max</w:t>
            </w:r>
            <w:proofErr w:type="spellEnd"/>
          </w:p>
        </w:tc>
        <w:tc>
          <w:tcPr>
            <w:tcW w:w="7167" w:type="dxa"/>
          </w:tcPr>
          <w:p w14:paraId="734A96BF"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48"/>
              </w:rPr>
            </w:pPr>
            <w:r w:rsidRPr="00E52084">
              <w:rPr>
                <w:szCs w:val="48"/>
              </w:rPr>
              <w:t>Time to maximum concentration</w:t>
            </w:r>
          </w:p>
        </w:tc>
      </w:tr>
      <w:tr w:rsidR="00AD0A92" w:rsidRPr="002B2C82" w14:paraId="7AE50C2A" w14:textId="77777777" w:rsidTr="008E1DA9">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6DF3EF7" w14:textId="77777777" w:rsidR="00AD0A92" w:rsidRPr="00E52084" w:rsidRDefault="00AD0A92" w:rsidP="008E1DA9">
            <w:pPr>
              <w:rPr>
                <w:rFonts w:cstheme="minorHAnsi"/>
                <w:szCs w:val="22"/>
              </w:rPr>
            </w:pPr>
            <w:proofErr w:type="spellStart"/>
            <w:r w:rsidRPr="00E52084">
              <w:rPr>
                <w:rFonts w:cstheme="minorHAnsi"/>
                <w:szCs w:val="22"/>
              </w:rPr>
              <w:t>Vz</w:t>
            </w:r>
            <w:proofErr w:type="spellEnd"/>
          </w:p>
        </w:tc>
        <w:tc>
          <w:tcPr>
            <w:tcW w:w="7167" w:type="dxa"/>
          </w:tcPr>
          <w:p w14:paraId="5D7F6225" w14:textId="77777777" w:rsidR="00AD0A92" w:rsidRPr="00E52084" w:rsidRDefault="00AD0A92" w:rsidP="008E1DA9">
            <w:pPr>
              <w:cnfStyle w:val="000000000000" w:firstRow="0" w:lastRow="0" w:firstColumn="0" w:lastColumn="0" w:oddVBand="0" w:evenVBand="0" w:oddHBand="0" w:evenHBand="0" w:firstRowFirstColumn="0" w:firstRowLastColumn="0" w:lastRowFirstColumn="0" w:lastRowLastColumn="0"/>
              <w:rPr>
                <w:szCs w:val="22"/>
              </w:rPr>
            </w:pPr>
            <w:r w:rsidRPr="00E52084">
              <w:rPr>
                <w:szCs w:val="22"/>
              </w:rPr>
              <w:t>Volume of distribution</w:t>
            </w:r>
          </w:p>
        </w:tc>
      </w:tr>
      <w:bookmarkEnd w:id="7"/>
    </w:tbl>
    <w:p w14:paraId="02FB1F38" w14:textId="77777777" w:rsidR="00324B33" w:rsidRPr="00FD119B" w:rsidRDefault="00324B33" w:rsidP="00751ADF">
      <w:r w:rsidRPr="00FD119B">
        <w:br w:type="page"/>
      </w:r>
    </w:p>
    <w:p w14:paraId="44C2A39C" w14:textId="77777777" w:rsidR="00324B33" w:rsidRDefault="00324B33" w:rsidP="00324B33">
      <w:pPr>
        <w:pStyle w:val="Heading2"/>
      </w:pPr>
      <w:bookmarkStart w:id="8" w:name="_Toc103679288"/>
      <w:bookmarkStart w:id="9" w:name="_Toc213750991"/>
      <w:r>
        <w:lastRenderedPageBreak/>
        <w:t>Product submission</w:t>
      </w:r>
      <w:bookmarkEnd w:id="8"/>
      <w:bookmarkEnd w:id="9"/>
    </w:p>
    <w:p w14:paraId="21D559DF" w14:textId="77777777" w:rsidR="00324B33" w:rsidRDefault="00324B33" w:rsidP="00751ADF">
      <w:pPr>
        <w:pStyle w:val="Heading3"/>
        <w:rPr>
          <w:lang w:eastAsia="en-AU"/>
        </w:rPr>
      </w:pPr>
      <w:bookmarkStart w:id="10" w:name="_Toc247691502"/>
      <w:bookmarkStart w:id="11" w:name="_Toc314842483"/>
      <w:bookmarkStart w:id="12" w:name="_Toc103679289"/>
      <w:bookmarkStart w:id="13" w:name="_Toc213750992"/>
      <w:r w:rsidRPr="00751ADF">
        <w:t>Submission</w:t>
      </w:r>
      <w:r>
        <w:rPr>
          <w:lang w:eastAsia="en-AU"/>
        </w:rPr>
        <w:t xml:space="preserve"> details</w:t>
      </w:r>
      <w:bookmarkEnd w:id="10"/>
      <w:bookmarkEnd w:id="11"/>
      <w:bookmarkEnd w:id="12"/>
      <w:bookmarkEnd w:id="13"/>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03FE1798" w:rsidR="00324B33" w:rsidRPr="00BD5DBD" w:rsidRDefault="00324B33" w:rsidP="007452E8">
            <w:pPr>
              <w:rPr>
                <w:i/>
                <w:szCs w:val="22"/>
              </w:rPr>
            </w:pPr>
            <w:r w:rsidRPr="00BD5DBD">
              <w:rPr>
                <w:i/>
                <w:szCs w:val="22"/>
              </w:rPr>
              <w:t>Type of submission:</w:t>
            </w:r>
          </w:p>
        </w:tc>
        <w:tc>
          <w:tcPr>
            <w:tcW w:w="3423" w:type="pct"/>
          </w:tcPr>
          <w:p w14:paraId="4F07C303" w14:textId="7C3CFEE0" w:rsidR="00324B33" w:rsidRPr="00BD5DBD" w:rsidRDefault="00324B33" w:rsidP="007452E8">
            <w:pPr>
              <w:rPr>
                <w:szCs w:val="22"/>
              </w:rPr>
            </w:pPr>
            <w:r w:rsidRPr="00BD5DBD">
              <w:rPr>
                <w:szCs w:val="22"/>
              </w:rPr>
              <w:t>New chemical entity</w:t>
            </w:r>
          </w:p>
        </w:tc>
      </w:tr>
      <w:tr w:rsidR="00324B33" w:rsidRPr="00BD5DBD" w14:paraId="13482B61" w14:textId="77777777" w:rsidTr="00F865A7">
        <w:tc>
          <w:tcPr>
            <w:tcW w:w="1577" w:type="pct"/>
          </w:tcPr>
          <w:p w14:paraId="2C427FCF" w14:textId="64DBD052" w:rsidR="00324B33" w:rsidRPr="00BD5DBD" w:rsidRDefault="00324B33" w:rsidP="007452E8">
            <w:pPr>
              <w:rPr>
                <w:i/>
                <w:szCs w:val="22"/>
              </w:rPr>
            </w:pPr>
            <w:r w:rsidRPr="00BD5DBD">
              <w:rPr>
                <w:i/>
                <w:szCs w:val="22"/>
              </w:rPr>
              <w:t>Product name:</w:t>
            </w:r>
          </w:p>
        </w:tc>
        <w:tc>
          <w:tcPr>
            <w:tcW w:w="3423" w:type="pct"/>
          </w:tcPr>
          <w:p w14:paraId="0E2DEF76" w14:textId="5BDCCACA" w:rsidR="00324B33" w:rsidRPr="00BD5DBD" w:rsidRDefault="00931BBF" w:rsidP="007452E8">
            <w:pPr>
              <w:rPr>
                <w:szCs w:val="22"/>
              </w:rPr>
            </w:pPr>
            <w:r>
              <w:rPr>
                <w:szCs w:val="22"/>
              </w:rPr>
              <w:t>Pluvicto</w:t>
            </w:r>
          </w:p>
        </w:tc>
      </w:tr>
      <w:tr w:rsidR="00324B33" w:rsidRPr="00BD5DBD" w14:paraId="01255B5B" w14:textId="77777777" w:rsidTr="00F865A7">
        <w:tc>
          <w:tcPr>
            <w:tcW w:w="1577" w:type="pct"/>
          </w:tcPr>
          <w:p w14:paraId="52B4F3D7" w14:textId="0A74E608" w:rsidR="00324B33" w:rsidRPr="00BD5DBD" w:rsidRDefault="00324B33" w:rsidP="007452E8">
            <w:pPr>
              <w:rPr>
                <w:i/>
                <w:szCs w:val="22"/>
              </w:rPr>
            </w:pPr>
            <w:r w:rsidRPr="00BD5DBD">
              <w:rPr>
                <w:i/>
                <w:szCs w:val="22"/>
              </w:rPr>
              <w:t>Active ingredient:</w:t>
            </w:r>
          </w:p>
        </w:tc>
        <w:tc>
          <w:tcPr>
            <w:tcW w:w="3423" w:type="pct"/>
          </w:tcPr>
          <w:p w14:paraId="02FB6383" w14:textId="2F1B838C" w:rsidR="00324B33" w:rsidRPr="00BD5DBD" w:rsidRDefault="00F25029" w:rsidP="007452E8">
            <w:pPr>
              <w:rPr>
                <w:szCs w:val="22"/>
              </w:rPr>
            </w:pPr>
            <w:r>
              <w:rPr>
                <w:szCs w:val="22"/>
              </w:rPr>
              <w:t>L</w:t>
            </w:r>
            <w:r w:rsidRPr="00F25029">
              <w:rPr>
                <w:szCs w:val="22"/>
              </w:rPr>
              <w:t>utetium (</w:t>
            </w:r>
            <w:r w:rsidRPr="000A7607">
              <w:rPr>
                <w:szCs w:val="22"/>
                <w:vertAlign w:val="superscript"/>
              </w:rPr>
              <w:t>177</w:t>
            </w:r>
            <w:r w:rsidRPr="00F25029">
              <w:rPr>
                <w:szCs w:val="22"/>
              </w:rPr>
              <w:t>Lu) vipivotide tetraxetan</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2E01A6D3" w:rsidR="00324B33" w:rsidRPr="00BD5DBD" w:rsidRDefault="00324B33" w:rsidP="007452E8">
            <w:pPr>
              <w:rPr>
                <w:szCs w:val="22"/>
              </w:rPr>
            </w:pPr>
            <w:r w:rsidRPr="00BD5DBD">
              <w:rPr>
                <w:szCs w:val="22"/>
              </w:rPr>
              <w:t>Approved</w:t>
            </w:r>
          </w:p>
        </w:tc>
      </w:tr>
      <w:tr w:rsidR="00AE1947" w:rsidRPr="00BD5DBD" w14:paraId="32B72632" w14:textId="77777777" w:rsidTr="00F865A7">
        <w:tc>
          <w:tcPr>
            <w:tcW w:w="1577" w:type="pct"/>
          </w:tcPr>
          <w:p w14:paraId="332A5CD5" w14:textId="65682B5F" w:rsidR="00AE1947" w:rsidRPr="00BD5DBD" w:rsidRDefault="00AE1947" w:rsidP="007F1E37">
            <w:r w:rsidRPr="00BD5DBD">
              <w:rPr>
                <w:i/>
                <w:szCs w:val="22"/>
              </w:rPr>
              <w:t>Date of decision:</w:t>
            </w:r>
          </w:p>
        </w:tc>
        <w:tc>
          <w:tcPr>
            <w:tcW w:w="3423" w:type="pct"/>
          </w:tcPr>
          <w:p w14:paraId="7B381CD6" w14:textId="1ED7BB9D" w:rsidR="00AE1947" w:rsidRPr="00BD5DBD" w:rsidRDefault="00030BB1" w:rsidP="00602658">
            <w:pPr>
              <w:rPr>
                <w:szCs w:val="22"/>
              </w:rPr>
            </w:pPr>
            <w:r>
              <w:rPr>
                <w:szCs w:val="22"/>
              </w:rPr>
              <w:t>16 July 2024</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53A5D6DF" w:rsidR="00324B33" w:rsidRPr="00BD5DBD" w:rsidRDefault="00521F2A" w:rsidP="007452E8">
            <w:pPr>
              <w:rPr>
                <w:szCs w:val="22"/>
              </w:rPr>
            </w:pPr>
            <w:r>
              <w:rPr>
                <w:szCs w:val="22"/>
              </w:rPr>
              <w:t>17 July 2024</w:t>
            </w:r>
          </w:p>
        </w:tc>
      </w:tr>
      <w:tr w:rsidR="00324B33" w:rsidRPr="00BD5DBD" w14:paraId="547E08D7" w14:textId="77777777" w:rsidTr="00F865A7">
        <w:tc>
          <w:tcPr>
            <w:tcW w:w="1577" w:type="pct"/>
          </w:tcPr>
          <w:p w14:paraId="5030EF30" w14:textId="2384FF83" w:rsidR="00324B33" w:rsidRPr="00BD5DBD" w:rsidRDefault="00324B33" w:rsidP="007452E8">
            <w:pPr>
              <w:rPr>
                <w:i/>
                <w:szCs w:val="22"/>
              </w:rPr>
            </w:pPr>
            <w:r w:rsidRPr="00BD5DBD">
              <w:rPr>
                <w:i/>
                <w:szCs w:val="22"/>
              </w:rPr>
              <w:t>ARTG number:</w:t>
            </w:r>
          </w:p>
        </w:tc>
        <w:tc>
          <w:tcPr>
            <w:tcW w:w="3423" w:type="pct"/>
          </w:tcPr>
          <w:p w14:paraId="0054E912" w14:textId="482E06F7" w:rsidR="00324B33" w:rsidRPr="00BD5DBD" w:rsidRDefault="00521F2A" w:rsidP="007452E8">
            <w:pPr>
              <w:rPr>
                <w:szCs w:val="22"/>
              </w:rPr>
            </w:pPr>
            <w:r>
              <w:rPr>
                <w:szCs w:val="22"/>
              </w:rPr>
              <w:t>410282</w:t>
            </w:r>
          </w:p>
        </w:tc>
      </w:tr>
      <w:tr w:rsidR="00324B33" w:rsidRPr="00BD5DBD" w14:paraId="7618393F" w14:textId="77777777" w:rsidTr="00F865A7">
        <w:tc>
          <w:tcPr>
            <w:tcW w:w="1577" w:type="pct"/>
          </w:tcPr>
          <w:p w14:paraId="6C24CEB6" w14:textId="68458C17" w:rsidR="00E47E0C" w:rsidRPr="00BD5DBD" w:rsidRDefault="00324B33" w:rsidP="007452E8">
            <w:pPr>
              <w:rPr>
                <w:rStyle w:val="Hyperlink"/>
                <w:i/>
                <w:szCs w:val="22"/>
              </w:rPr>
            </w:pPr>
            <w:r w:rsidRPr="00BD5DBD">
              <w:rPr>
                <w:rFonts w:ascii="Wingdings 3" w:hAnsi="Wingdings 3"/>
                <w:szCs w:val="22"/>
                <w:lang w:eastAsia="en-AU"/>
              </w:rPr>
              <w:t></w:t>
            </w:r>
            <w:hyperlink r:id="rId17" w:history="1">
              <w:r w:rsidRPr="00BD5DBD">
                <w:rPr>
                  <w:rStyle w:val="Hyperlink"/>
                  <w:i/>
                  <w:szCs w:val="22"/>
                </w:rPr>
                <w:t>Black Triangle Scheme</w:t>
              </w:r>
            </w:hyperlink>
          </w:p>
          <w:p w14:paraId="02260DE2" w14:textId="1FC334AE" w:rsidR="00324B33" w:rsidRPr="00BD5DBD" w:rsidRDefault="00E47E0C" w:rsidP="007452E8">
            <w:pPr>
              <w:rPr>
                <w:i/>
                <w:szCs w:val="22"/>
              </w:rPr>
            </w:pPr>
            <w:r w:rsidRPr="00BD5DBD">
              <w:rPr>
                <w:i/>
                <w:szCs w:val="22"/>
              </w:rPr>
              <w:t xml:space="preserve">for </w:t>
            </w:r>
            <w:r w:rsidR="007B04DE" w:rsidRPr="00BD5DBD">
              <w:rPr>
                <w:i/>
                <w:szCs w:val="22"/>
              </w:rPr>
              <w:t>the current</w:t>
            </w:r>
            <w:r w:rsidRPr="00BD5DBD">
              <w:rPr>
                <w:i/>
                <w:szCs w:val="22"/>
              </w:rPr>
              <w:t xml:space="preserve"> submission</w:t>
            </w:r>
            <w:r w:rsidR="00324B33" w:rsidRPr="00BD5DBD">
              <w:rPr>
                <w:i/>
                <w:szCs w:val="22"/>
              </w:rPr>
              <w:t>:</w:t>
            </w:r>
          </w:p>
        </w:tc>
        <w:tc>
          <w:tcPr>
            <w:tcW w:w="3423" w:type="pct"/>
          </w:tcPr>
          <w:p w14:paraId="6FF3C6A2" w14:textId="609E6179" w:rsidR="00324B33" w:rsidRPr="00BD5DBD" w:rsidRDefault="00324B33" w:rsidP="007452E8">
            <w:pPr>
              <w:rPr>
                <w:szCs w:val="22"/>
              </w:rPr>
            </w:pPr>
            <w:r w:rsidRPr="00BD5DBD">
              <w:rPr>
                <w:szCs w:val="22"/>
              </w:rPr>
              <w:t>Yes</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154A0C86" w14:textId="69FE3E17" w:rsidR="00E83263" w:rsidRDefault="00E83263" w:rsidP="007452E8">
            <w:pPr>
              <w:rPr>
                <w:szCs w:val="22"/>
              </w:rPr>
            </w:pPr>
            <w:r w:rsidRPr="00E83263">
              <w:rPr>
                <w:szCs w:val="22"/>
              </w:rPr>
              <w:t>Novartis Pharmaceuticals Australia Pty Limited</w:t>
            </w:r>
          </w:p>
          <w:p w14:paraId="6137B46A" w14:textId="77777777" w:rsidR="005458E7" w:rsidRPr="005458E7" w:rsidRDefault="005458E7" w:rsidP="005458E7">
            <w:pPr>
              <w:rPr>
                <w:szCs w:val="22"/>
              </w:rPr>
            </w:pPr>
            <w:r w:rsidRPr="005458E7">
              <w:rPr>
                <w:szCs w:val="22"/>
              </w:rPr>
              <w:t>54 Waterloo Road</w:t>
            </w:r>
          </w:p>
          <w:p w14:paraId="68DD94B0" w14:textId="15654B16" w:rsidR="00324B33" w:rsidRPr="00BD5DBD" w:rsidRDefault="005458E7" w:rsidP="005458E7">
            <w:pPr>
              <w:rPr>
                <w:szCs w:val="22"/>
              </w:rPr>
            </w:pPr>
            <w:r w:rsidRPr="005458E7">
              <w:rPr>
                <w:szCs w:val="22"/>
              </w:rPr>
              <w:t>Macquarie Park</w:t>
            </w:r>
            <w:r>
              <w:rPr>
                <w:szCs w:val="22"/>
              </w:rPr>
              <w:t>,</w:t>
            </w:r>
            <w:r w:rsidRPr="005458E7">
              <w:rPr>
                <w:szCs w:val="22"/>
              </w:rPr>
              <w:t xml:space="preserve"> NSW 2113</w:t>
            </w:r>
          </w:p>
        </w:tc>
      </w:tr>
      <w:tr w:rsidR="00324B33" w:rsidRPr="00BD5DBD" w14:paraId="5322B989" w14:textId="77777777" w:rsidTr="00F865A7">
        <w:tc>
          <w:tcPr>
            <w:tcW w:w="1577" w:type="pct"/>
          </w:tcPr>
          <w:p w14:paraId="24F217E3" w14:textId="2DD7A5FC" w:rsidR="00324B33" w:rsidRPr="00BD5DBD" w:rsidRDefault="00324B33" w:rsidP="007452E8">
            <w:pPr>
              <w:rPr>
                <w:i/>
                <w:szCs w:val="22"/>
              </w:rPr>
            </w:pPr>
            <w:r w:rsidRPr="00BD5DBD">
              <w:rPr>
                <w:i/>
                <w:szCs w:val="22"/>
              </w:rPr>
              <w:t>Dose form:</w:t>
            </w:r>
          </w:p>
        </w:tc>
        <w:tc>
          <w:tcPr>
            <w:tcW w:w="3423" w:type="pct"/>
          </w:tcPr>
          <w:p w14:paraId="768B254C" w14:textId="542F44EE" w:rsidR="00324B33" w:rsidRPr="00BD5DBD" w:rsidRDefault="0052602B" w:rsidP="007452E8">
            <w:pPr>
              <w:rPr>
                <w:szCs w:val="22"/>
              </w:rPr>
            </w:pPr>
            <w:r>
              <w:rPr>
                <w:szCs w:val="22"/>
              </w:rPr>
              <w:t>Solution for injection</w:t>
            </w:r>
          </w:p>
        </w:tc>
      </w:tr>
      <w:tr w:rsidR="00324B33" w:rsidRPr="00BD5DBD" w14:paraId="115243E6" w14:textId="77777777" w:rsidTr="00F865A7">
        <w:tc>
          <w:tcPr>
            <w:tcW w:w="1577" w:type="pct"/>
          </w:tcPr>
          <w:p w14:paraId="7634B062" w14:textId="4BAC54D7" w:rsidR="00324B33" w:rsidRPr="00BD5DBD" w:rsidRDefault="00324B33" w:rsidP="007452E8">
            <w:pPr>
              <w:rPr>
                <w:i/>
                <w:szCs w:val="22"/>
              </w:rPr>
            </w:pPr>
            <w:r w:rsidRPr="00BD5DBD">
              <w:rPr>
                <w:i/>
                <w:szCs w:val="22"/>
              </w:rPr>
              <w:t>Strength:</w:t>
            </w:r>
          </w:p>
        </w:tc>
        <w:tc>
          <w:tcPr>
            <w:tcW w:w="3423" w:type="pct"/>
          </w:tcPr>
          <w:p w14:paraId="5E5F83DB" w14:textId="2E444087" w:rsidR="00324B33" w:rsidRPr="00BD5DBD" w:rsidRDefault="00994635" w:rsidP="007452E8">
            <w:pPr>
              <w:rPr>
                <w:szCs w:val="22"/>
              </w:rPr>
            </w:pPr>
            <w:r>
              <w:rPr>
                <w:szCs w:val="22"/>
              </w:rPr>
              <w:t xml:space="preserve">1000 </w:t>
            </w:r>
            <w:r w:rsidR="002307FC" w:rsidRPr="002307FC">
              <w:rPr>
                <w:szCs w:val="22"/>
              </w:rPr>
              <w:t>megabecquer</w:t>
            </w:r>
            <w:r w:rsidR="002307FC" w:rsidRPr="006639AD">
              <w:rPr>
                <w:szCs w:val="22"/>
              </w:rPr>
              <w:t>el (</w:t>
            </w:r>
            <w:r w:rsidRPr="006639AD">
              <w:rPr>
                <w:szCs w:val="22"/>
              </w:rPr>
              <w:t>MBq</w:t>
            </w:r>
            <w:r w:rsidR="002307FC" w:rsidRPr="006639AD">
              <w:rPr>
                <w:szCs w:val="22"/>
              </w:rPr>
              <w:t>)</w:t>
            </w:r>
            <w:r w:rsidRPr="006639AD">
              <w:rPr>
                <w:szCs w:val="22"/>
              </w:rPr>
              <w:t>/</w:t>
            </w:r>
            <w:r>
              <w:rPr>
                <w:szCs w:val="22"/>
              </w:rPr>
              <w:t>mL</w:t>
            </w:r>
          </w:p>
        </w:tc>
      </w:tr>
      <w:tr w:rsidR="00324B33" w:rsidRPr="00BD5DBD" w14:paraId="34B07BA6" w14:textId="77777777" w:rsidTr="00F865A7">
        <w:tc>
          <w:tcPr>
            <w:tcW w:w="1577" w:type="pct"/>
          </w:tcPr>
          <w:p w14:paraId="1C039224" w14:textId="68213E7B" w:rsidR="00324B33" w:rsidRPr="00BD5DBD" w:rsidRDefault="00324B33" w:rsidP="007452E8">
            <w:pPr>
              <w:rPr>
                <w:i/>
                <w:szCs w:val="22"/>
              </w:rPr>
            </w:pPr>
            <w:r w:rsidRPr="00BD5DBD">
              <w:rPr>
                <w:i/>
                <w:szCs w:val="22"/>
              </w:rPr>
              <w:t>Container:</w:t>
            </w:r>
          </w:p>
        </w:tc>
        <w:tc>
          <w:tcPr>
            <w:tcW w:w="3423" w:type="pct"/>
          </w:tcPr>
          <w:p w14:paraId="500A42C6" w14:textId="119EA8FE" w:rsidR="00324B33" w:rsidRPr="00BD5DBD" w:rsidRDefault="0052602B" w:rsidP="007452E8">
            <w:pPr>
              <w:rPr>
                <w:szCs w:val="22"/>
              </w:rPr>
            </w:pPr>
            <w:r>
              <w:rPr>
                <w:szCs w:val="22"/>
              </w:rPr>
              <w:t>Vial</w:t>
            </w:r>
          </w:p>
        </w:tc>
      </w:tr>
      <w:tr w:rsidR="00324B33" w:rsidRPr="00BD5DBD" w14:paraId="176B6773" w14:textId="77777777" w:rsidTr="00F865A7">
        <w:tc>
          <w:tcPr>
            <w:tcW w:w="1577" w:type="pct"/>
          </w:tcPr>
          <w:p w14:paraId="71846159" w14:textId="39D02459" w:rsidR="00324B33" w:rsidRPr="00BD5DBD" w:rsidRDefault="00324B33" w:rsidP="007452E8">
            <w:pPr>
              <w:rPr>
                <w:i/>
                <w:szCs w:val="22"/>
              </w:rPr>
            </w:pPr>
            <w:r w:rsidRPr="00BD5DBD">
              <w:rPr>
                <w:i/>
                <w:szCs w:val="22"/>
              </w:rPr>
              <w:t>Pack size:</w:t>
            </w:r>
          </w:p>
        </w:tc>
        <w:tc>
          <w:tcPr>
            <w:tcW w:w="3423" w:type="pct"/>
          </w:tcPr>
          <w:p w14:paraId="7E978F8F" w14:textId="28B5A5BE" w:rsidR="00324B33" w:rsidRPr="00BD5DBD" w:rsidRDefault="0052602B" w:rsidP="007452E8">
            <w:pPr>
              <w:rPr>
                <w:szCs w:val="22"/>
              </w:rPr>
            </w:pPr>
            <w:r>
              <w:rPr>
                <w:szCs w:val="22"/>
              </w:rPr>
              <w:t>One vial</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6E143E2E" w14:textId="1CBCE665" w:rsidR="00324B33" w:rsidRPr="00BD5DBD" w:rsidRDefault="00CB4D03" w:rsidP="007452E8">
            <w:pPr>
              <w:rPr>
                <w:szCs w:val="22"/>
              </w:rPr>
            </w:pPr>
            <w:r w:rsidRPr="00CB4D03">
              <w:rPr>
                <w:szCs w:val="22"/>
              </w:rPr>
              <w:t>P</w:t>
            </w:r>
            <w:r>
              <w:rPr>
                <w:szCs w:val="22"/>
              </w:rPr>
              <w:t xml:space="preserve">luvicto </w:t>
            </w:r>
            <w:r w:rsidRPr="00CB4D03">
              <w:rPr>
                <w:szCs w:val="22"/>
              </w:rPr>
              <w:t>is indicated for the treatment of adult patients with prostate-specific membrane antigen (PSMA)-positive metastatic castration-resistant prostate cancer (</w:t>
            </w:r>
            <w:proofErr w:type="spellStart"/>
            <w:r w:rsidRPr="00CB4D03">
              <w:rPr>
                <w:szCs w:val="22"/>
              </w:rPr>
              <w:t>mCRPC</w:t>
            </w:r>
            <w:proofErr w:type="spellEnd"/>
            <w:r w:rsidRPr="00CB4D03">
              <w:rPr>
                <w:szCs w:val="22"/>
              </w:rPr>
              <w:t xml:space="preserve">) who have been treated with androgen receptor (AR) pathway inhibition and </w:t>
            </w:r>
            <w:proofErr w:type="spellStart"/>
            <w:r w:rsidRPr="00CB4D03">
              <w:rPr>
                <w:szCs w:val="22"/>
              </w:rPr>
              <w:t>taxane</w:t>
            </w:r>
            <w:proofErr w:type="spellEnd"/>
            <w:r w:rsidRPr="00CB4D03">
              <w:rPr>
                <w:szCs w:val="22"/>
              </w:rPr>
              <w:t>-based chemotherapy.</w:t>
            </w:r>
          </w:p>
        </w:tc>
      </w:tr>
      <w:tr w:rsidR="00324B33" w:rsidRPr="00BD5DBD" w14:paraId="5AFDEED3" w14:textId="77777777" w:rsidTr="00F865A7">
        <w:tc>
          <w:tcPr>
            <w:tcW w:w="1577" w:type="pct"/>
          </w:tcPr>
          <w:p w14:paraId="03884BD1" w14:textId="77777777" w:rsidR="00324B33" w:rsidRPr="00BD5DBD" w:rsidRDefault="00324B33" w:rsidP="007452E8">
            <w:pPr>
              <w:rPr>
                <w:i/>
                <w:szCs w:val="22"/>
              </w:rPr>
            </w:pPr>
            <w:r w:rsidRPr="00BD5DBD">
              <w:rPr>
                <w:i/>
                <w:szCs w:val="22"/>
              </w:rPr>
              <w:t>Route(s) of administration:</w:t>
            </w:r>
          </w:p>
        </w:tc>
        <w:tc>
          <w:tcPr>
            <w:tcW w:w="3423" w:type="pct"/>
          </w:tcPr>
          <w:p w14:paraId="1ED1357E" w14:textId="37C592CC" w:rsidR="00324B33" w:rsidRPr="00BD5DBD" w:rsidRDefault="004B6319" w:rsidP="007452E8">
            <w:pPr>
              <w:rPr>
                <w:szCs w:val="22"/>
              </w:rPr>
            </w:pPr>
            <w:r>
              <w:rPr>
                <w:szCs w:val="22"/>
              </w:rPr>
              <w:t>Intravenous</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23D27E55" w14:textId="2AFCF07E" w:rsidR="00E00FEB" w:rsidRPr="00E00FEB" w:rsidRDefault="00E00FEB" w:rsidP="00E00FEB">
            <w:pPr>
              <w:rPr>
                <w:szCs w:val="22"/>
              </w:rPr>
            </w:pPr>
            <w:r w:rsidRPr="00E00FEB">
              <w:rPr>
                <w:szCs w:val="22"/>
              </w:rPr>
              <w:t>The recommended P</w:t>
            </w:r>
            <w:r>
              <w:rPr>
                <w:szCs w:val="22"/>
              </w:rPr>
              <w:t>luvicto</w:t>
            </w:r>
            <w:r w:rsidRPr="00E00FEB">
              <w:rPr>
                <w:szCs w:val="22"/>
              </w:rPr>
              <w:t xml:space="preserve"> dose is 7,400 MBq intravenously every 6 weeks (± 1 week) for up to a total of 6 doses or until disease progression, or unacceptable toxicity.</w:t>
            </w:r>
          </w:p>
          <w:p w14:paraId="4BD4ECF7" w14:textId="66E387E0" w:rsidR="00666911" w:rsidRDefault="00E00FEB" w:rsidP="00E00FEB">
            <w:pPr>
              <w:rPr>
                <w:szCs w:val="22"/>
              </w:rPr>
            </w:pPr>
            <w:r w:rsidRPr="00E00FEB">
              <w:rPr>
                <w:szCs w:val="22"/>
              </w:rPr>
              <w:t>Medical castration with a gonadotropin-releasing hormone (GnRH) analogue should be continued during treatment in patients not surgically castrated.</w:t>
            </w:r>
          </w:p>
          <w:p w14:paraId="3D0B2D5C" w14:textId="6E29920D" w:rsidR="00324B33" w:rsidRPr="00BD5DBD" w:rsidRDefault="00324B33" w:rsidP="007452E8">
            <w:pPr>
              <w:rPr>
                <w:szCs w:val="22"/>
              </w:rPr>
            </w:pPr>
            <w:r w:rsidRPr="00BD5DBD">
              <w:rPr>
                <w:szCs w:val="22"/>
              </w:rPr>
              <w:t xml:space="preserve">For further information regarding dosage, </w:t>
            </w:r>
            <w:r w:rsidR="006B7126">
              <w:rPr>
                <w:szCs w:val="22"/>
              </w:rPr>
              <w:t xml:space="preserve">such as dosage modifications to manage adverse reactions, </w:t>
            </w:r>
            <w:r w:rsidRPr="00BD5DBD">
              <w:rPr>
                <w:szCs w:val="22"/>
              </w:rPr>
              <w:t>refer to the Product Information.</w:t>
            </w:r>
          </w:p>
        </w:tc>
      </w:tr>
      <w:tr w:rsidR="0017005C" w:rsidRPr="00BD5DBD" w14:paraId="7B7BB6AE" w14:textId="77777777" w:rsidTr="00F865A7">
        <w:tc>
          <w:tcPr>
            <w:tcW w:w="1577" w:type="pct"/>
          </w:tcPr>
          <w:p w14:paraId="3A76AFF7" w14:textId="7C436DD9" w:rsidR="0017005C" w:rsidRPr="00F8083B" w:rsidRDefault="0070330F" w:rsidP="0017005C">
            <w:r w:rsidRPr="00BD5DBD">
              <w:rPr>
                <w:i/>
                <w:szCs w:val="22"/>
              </w:rPr>
              <w:t>Pregnancy category:</w:t>
            </w:r>
          </w:p>
        </w:tc>
        <w:tc>
          <w:tcPr>
            <w:tcW w:w="3423" w:type="pct"/>
          </w:tcPr>
          <w:p w14:paraId="3A6F69D6" w14:textId="77777777" w:rsidR="00E20CB0" w:rsidRDefault="00E20CB0" w:rsidP="007967C3">
            <w:r>
              <w:t>X</w:t>
            </w:r>
          </w:p>
          <w:p w14:paraId="3E95CAB1" w14:textId="77777777" w:rsidR="00AD0A92" w:rsidRDefault="007F7484" w:rsidP="00000E6E">
            <w:r w:rsidRPr="007F7484">
              <w:t xml:space="preserve">Drugs which have such a high risk of causing permanent damage to the </w:t>
            </w:r>
            <w:proofErr w:type="spellStart"/>
            <w:r w:rsidRPr="007F7484">
              <w:t>fetus</w:t>
            </w:r>
            <w:proofErr w:type="spellEnd"/>
            <w:r w:rsidRPr="007F7484">
              <w:t xml:space="preserve"> that they should not be used in pregnancy or when there is a possibility of pregnancy</w:t>
            </w:r>
            <w:r w:rsidR="00AD0A92">
              <w:t>.</w:t>
            </w:r>
          </w:p>
          <w:p w14:paraId="76497789" w14:textId="657C7500" w:rsidR="0017005C" w:rsidRPr="00BD5DBD" w:rsidRDefault="0070330F" w:rsidP="00306E72">
            <w:pPr>
              <w:rPr>
                <w:szCs w:val="22"/>
              </w:rPr>
            </w:pPr>
            <w:r w:rsidRPr="00BD5DBD">
              <w:rPr>
                <w:szCs w:val="22"/>
              </w:rPr>
              <w:lastRenderedPageBreak/>
              <w:t xml:space="preserve">The use of any medicine during pregnancy requires careful consideration of both risks and benefits by the treating health professional. </w:t>
            </w:r>
            <w:r w:rsidR="00721059">
              <w:rPr>
                <w:szCs w:val="22"/>
              </w:rPr>
              <w:t xml:space="preserve">The </w:t>
            </w:r>
            <w:hyperlink r:id="rId18" w:history="1">
              <w:r w:rsidR="00721059" w:rsidRPr="00065FDF">
                <w:rPr>
                  <w:rStyle w:val="Hyperlink"/>
                  <w:szCs w:val="22"/>
                </w:rPr>
                <w:t>pregnancy database</w:t>
              </w:r>
            </w:hyperlink>
            <w:r w:rsidR="00387984">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19" w:history="1">
              <w:r w:rsidRPr="00C059D0">
                <w:rPr>
                  <w:rStyle w:val="Hyperlink"/>
                  <w:szCs w:val="22"/>
                </w:rPr>
                <w:t>obstetric drug information services</w:t>
              </w:r>
            </w:hyperlink>
            <w:r w:rsidRPr="00BD5DBD">
              <w:rPr>
                <w:szCs w:val="22"/>
              </w:rPr>
              <w:t xml:space="preserve"> in your </w:t>
            </w:r>
            <w:r w:rsidR="00306E72">
              <w:rPr>
                <w:szCs w:val="22"/>
              </w:rPr>
              <w:t>s</w:t>
            </w:r>
            <w:r w:rsidRPr="00BD5DBD">
              <w:rPr>
                <w:szCs w:val="22"/>
              </w:rPr>
              <w:t xml:space="preserve">tate or </w:t>
            </w:r>
            <w:r w:rsidR="00306E72">
              <w:rPr>
                <w:szCs w:val="22"/>
              </w:rPr>
              <w:t>t</w:t>
            </w:r>
            <w:r w:rsidRPr="00BD5DBD">
              <w:rPr>
                <w:szCs w:val="22"/>
              </w:rPr>
              <w:t>erritory.</w:t>
            </w:r>
          </w:p>
        </w:tc>
      </w:tr>
    </w:tbl>
    <w:p w14:paraId="51F2479F" w14:textId="1E34B277" w:rsidR="00324B33" w:rsidRDefault="00324B33" w:rsidP="00324B33">
      <w:pPr>
        <w:pStyle w:val="Heading3"/>
      </w:pPr>
      <w:bookmarkStart w:id="14" w:name="_Toc247691503"/>
      <w:bookmarkStart w:id="15" w:name="_Toc314842484"/>
      <w:bookmarkStart w:id="16" w:name="_Toc103679290"/>
      <w:bookmarkStart w:id="17" w:name="_Toc213750993"/>
      <w:r>
        <w:lastRenderedPageBreak/>
        <w:t>Product background</w:t>
      </w:r>
      <w:bookmarkEnd w:id="14"/>
      <w:bookmarkEnd w:id="15"/>
      <w:bookmarkEnd w:id="16"/>
      <w:bookmarkEnd w:id="17"/>
    </w:p>
    <w:p w14:paraId="59BF31D1" w14:textId="1A07F51A" w:rsidR="001500A8" w:rsidRDefault="00324B33" w:rsidP="00065839">
      <w:r w:rsidRPr="00065839">
        <w:t xml:space="preserve">This AusPAR describes the submission by </w:t>
      </w:r>
      <w:r w:rsidR="007C51EB" w:rsidRPr="007C51EB">
        <w:t xml:space="preserve">Novartis Pharmaceuticals Australia Pty Limited </w:t>
      </w:r>
      <w:r w:rsidRPr="00065839">
        <w:t xml:space="preserve">(the sponsor) to register </w:t>
      </w:r>
      <w:r w:rsidR="007C51EB">
        <w:t>Pluvicto (l</w:t>
      </w:r>
      <w:r w:rsidR="007C51EB" w:rsidRPr="007C51EB">
        <w:t>utetium (</w:t>
      </w:r>
      <w:r w:rsidR="007C51EB" w:rsidRPr="000A7607">
        <w:rPr>
          <w:vertAlign w:val="superscript"/>
        </w:rPr>
        <w:t>177</w:t>
      </w:r>
      <w:r w:rsidR="007C51EB" w:rsidRPr="007C51EB">
        <w:t>Lu) vipivotide tetraxetan</w:t>
      </w:r>
      <w:r w:rsidR="007C51EB">
        <w:t>)</w:t>
      </w:r>
      <w:r w:rsidR="000374FD">
        <w:t xml:space="preserve"> 100</w:t>
      </w:r>
      <w:r w:rsidR="008C0864">
        <w:t>0</w:t>
      </w:r>
      <w:r w:rsidR="000374FD">
        <w:t xml:space="preserve"> MBq/mL, solution for injection, vial</w:t>
      </w:r>
      <w:r w:rsidRPr="00065839">
        <w:t xml:space="preserve"> for the following proposed indication:</w:t>
      </w:r>
      <w:r w:rsidR="00D63760" w:rsidRPr="00065839">
        <w:rPr>
          <w:vertAlign w:val="superscript"/>
        </w:rPr>
        <w:footnoteReference w:id="1"/>
      </w:r>
    </w:p>
    <w:p w14:paraId="15B092A1" w14:textId="6DC8F8FD" w:rsidR="003F6F0B" w:rsidRPr="00334D8F" w:rsidRDefault="00334D8F" w:rsidP="00334D8F">
      <w:pPr>
        <w:ind w:left="720"/>
        <w:rPr>
          <w:i/>
          <w:iCs/>
        </w:rPr>
      </w:pPr>
      <w:r w:rsidRPr="00334D8F">
        <w:rPr>
          <w:i/>
          <w:iCs/>
        </w:rPr>
        <w:t>Pluvicto is indicated for the treatment of adult patients with prostate-specific membrane antigen (PSMA)-positive metastatic castration-resistant prostate cancer (</w:t>
      </w:r>
      <w:proofErr w:type="spellStart"/>
      <w:r w:rsidRPr="00334D8F">
        <w:rPr>
          <w:i/>
          <w:iCs/>
        </w:rPr>
        <w:t>mCRPC</w:t>
      </w:r>
      <w:proofErr w:type="spellEnd"/>
      <w:r w:rsidRPr="00334D8F">
        <w:rPr>
          <w:i/>
          <w:iCs/>
        </w:rPr>
        <w:t xml:space="preserve">) who have been treated with androgen receptor (AR) pathway inhibition and </w:t>
      </w:r>
      <w:proofErr w:type="spellStart"/>
      <w:r w:rsidRPr="00334D8F">
        <w:rPr>
          <w:i/>
          <w:iCs/>
        </w:rPr>
        <w:t>taxane</w:t>
      </w:r>
      <w:proofErr w:type="spellEnd"/>
      <w:r w:rsidRPr="00334D8F">
        <w:rPr>
          <w:i/>
          <w:iCs/>
        </w:rPr>
        <w:t xml:space="preserve">-based chemotherapy or who are not medically suitable for </w:t>
      </w:r>
      <w:proofErr w:type="spellStart"/>
      <w:r w:rsidRPr="00334D8F">
        <w:rPr>
          <w:i/>
          <w:iCs/>
        </w:rPr>
        <w:t>taxanes</w:t>
      </w:r>
      <w:proofErr w:type="spellEnd"/>
      <w:r w:rsidRPr="00334D8F">
        <w:rPr>
          <w:i/>
          <w:iCs/>
        </w:rPr>
        <w:t>.</w:t>
      </w:r>
    </w:p>
    <w:p w14:paraId="1E63A2AE" w14:textId="5FCD6C6F" w:rsidR="00CB6813" w:rsidRDefault="00005DFC" w:rsidP="00CB6813">
      <w:pPr>
        <w:pStyle w:val="Heading4"/>
      </w:pPr>
      <w:bookmarkStart w:id="18" w:name="_Toc213750994"/>
      <w:bookmarkStart w:id="19" w:name="_Toc314842485"/>
      <w:bookmarkStart w:id="20" w:name="_Toc247691504"/>
      <w:r>
        <w:t>D</w:t>
      </w:r>
      <w:r w:rsidR="00CB6813" w:rsidRPr="00C12D65">
        <w:t>isease</w:t>
      </w:r>
      <w:r w:rsidR="006428C5">
        <w:t xml:space="preserve"> or condition</w:t>
      </w:r>
      <w:bookmarkEnd w:id="18"/>
    </w:p>
    <w:p w14:paraId="31B621E0" w14:textId="4481E0FA" w:rsidR="008745F5" w:rsidRPr="008745F5" w:rsidRDefault="008745F5" w:rsidP="00751ADF">
      <w:r w:rsidRPr="008745F5">
        <w:t xml:space="preserve">Prostate cancer is the </w:t>
      </w:r>
      <w:proofErr w:type="gramStart"/>
      <w:r w:rsidRPr="008745F5">
        <w:t>most commonly diagnosed</w:t>
      </w:r>
      <w:proofErr w:type="gramEnd"/>
      <w:r w:rsidRPr="008745F5">
        <w:t xml:space="preserve"> cancer in Australia, and it is estimated that one in six males will be diagnosed by the time they are 85 years old. In 2022, there were approximately 24,000 males diagnosed with prostate cancer and the average age at diagnosis was 69 years. In 2014</w:t>
      </w:r>
      <w:r w:rsidR="00045B71">
        <w:t xml:space="preserve"> to </w:t>
      </w:r>
      <w:r w:rsidRPr="008745F5">
        <w:t>2018, on average, 95.5% of males (all ages) diagnosed with prostate cancer survived five years after diagnosis. Despite this high 5</w:t>
      </w:r>
      <w:r w:rsidR="00045B71">
        <w:t>-</w:t>
      </w:r>
      <w:r w:rsidRPr="008745F5">
        <w:t>year survival, prostate cancer is still the second most common cause of cancer-related deaths in Australian males after lung cancer. Most patients present with localised disease and undergo initial surgical and/or radiological therapy. For those with advanced disease, androgen deprivation therapy is usually the first line option. While effective initially, the vast majority eventually progress while receiving hormonal therapies. It is reported that 10</w:t>
      </w:r>
      <w:r w:rsidR="000247CA">
        <w:t xml:space="preserve"> to </w:t>
      </w:r>
      <w:r w:rsidRPr="008745F5">
        <w:t>20% of prostate cancer patients become castration-resistant within 5 years and &gt;50% die within 3 years with historical standard therapies.</w:t>
      </w:r>
      <w:r w:rsidR="00CA496C">
        <w:rPr>
          <w:rStyle w:val="FootnoteReference"/>
        </w:rPr>
        <w:footnoteReference w:id="2"/>
      </w:r>
      <w:r w:rsidR="00CA496C">
        <w:t xml:space="preserve"> </w:t>
      </w:r>
      <w:r w:rsidRPr="008745F5">
        <w:t xml:space="preserve">As metastatic castration resistant prostate </w:t>
      </w:r>
      <w:r w:rsidRPr="00727E32">
        <w:t>cancer (</w:t>
      </w:r>
      <w:proofErr w:type="spellStart"/>
      <w:r w:rsidRPr="00727E32">
        <w:t>mCRPC</w:t>
      </w:r>
      <w:proofErr w:type="spellEnd"/>
      <w:r w:rsidRPr="00727E32">
        <w:t>) will likely</w:t>
      </w:r>
      <w:r w:rsidRPr="008745F5">
        <w:t xml:space="preserve"> result in significant morbidity and ultimately the patient’s death, there is an evident medical need for therapies that can improve quality of life and/or prolong survival.</w:t>
      </w:r>
    </w:p>
    <w:p w14:paraId="255E083A" w14:textId="77777777" w:rsidR="00CB6813" w:rsidRDefault="00CB6813" w:rsidP="00CB6813">
      <w:pPr>
        <w:pStyle w:val="Heading4"/>
      </w:pPr>
      <w:bookmarkStart w:id="21" w:name="_Toc213750995"/>
      <w:r>
        <w:t>Current treatment options</w:t>
      </w:r>
      <w:bookmarkEnd w:id="21"/>
    </w:p>
    <w:p w14:paraId="61D3EC35" w14:textId="0E2D0475" w:rsidR="00240D60" w:rsidRPr="00240D60" w:rsidRDefault="00240D60" w:rsidP="00240D60">
      <w:r w:rsidRPr="00240D60">
        <w:t xml:space="preserve">For patients with </w:t>
      </w:r>
      <w:proofErr w:type="spellStart"/>
      <w:r w:rsidRPr="00240D60">
        <w:t>mCRPC</w:t>
      </w:r>
      <w:proofErr w:type="spellEnd"/>
      <w:r w:rsidRPr="00240D60">
        <w:t>, first line options include adding an androgen receptor pathway inhibitor (</w:t>
      </w:r>
      <w:r w:rsidR="00C838D7">
        <w:t>for example</w:t>
      </w:r>
      <w:r w:rsidRPr="00240D60">
        <w:t xml:space="preserve">, abiraterone, enzalutamide, apalutamide and </w:t>
      </w:r>
      <w:proofErr w:type="spellStart"/>
      <w:r w:rsidRPr="00240D60">
        <w:t>darolutamide</w:t>
      </w:r>
      <w:proofErr w:type="spellEnd"/>
      <w:r w:rsidRPr="00240D60">
        <w:t>) to androgen deprivation therapy.</w:t>
      </w:r>
    </w:p>
    <w:p w14:paraId="1A19A01F" w14:textId="309663C9" w:rsidR="00240D60" w:rsidRPr="00240D60" w:rsidRDefault="00240D60" w:rsidP="00751ADF">
      <w:proofErr w:type="spellStart"/>
      <w:r w:rsidRPr="00240D60">
        <w:t>Taxanes</w:t>
      </w:r>
      <w:proofErr w:type="spellEnd"/>
      <w:r w:rsidRPr="00240D60">
        <w:t xml:space="preserve"> are the only cytotoxic chemotherapy agents that have significantly prolonged overall survival in clinical trials in males with </w:t>
      </w:r>
      <w:proofErr w:type="spellStart"/>
      <w:r w:rsidRPr="00240D60">
        <w:t>mCRPC</w:t>
      </w:r>
      <w:proofErr w:type="spellEnd"/>
      <w:r w:rsidRPr="00240D60">
        <w:t xml:space="preserve"> and no prior chemotherapy. Cytotoxic chemotherapy using docetaxel is generally reserved for patients with relatively rapidly progressing symptomatic disease for which </w:t>
      </w:r>
      <w:proofErr w:type="gramStart"/>
      <w:r w:rsidRPr="00240D60">
        <w:t>less</w:t>
      </w:r>
      <w:proofErr w:type="gramEnd"/>
      <w:r w:rsidRPr="00240D60">
        <w:t xml:space="preserve"> toxic approaches (</w:t>
      </w:r>
      <w:r w:rsidR="00BC2FC8">
        <w:t>for example</w:t>
      </w:r>
      <w:r w:rsidRPr="00240D60">
        <w:t xml:space="preserve">, abiraterone, </w:t>
      </w:r>
      <w:r w:rsidRPr="00240D60">
        <w:lastRenderedPageBreak/>
        <w:t xml:space="preserve">enzalutamide) may not be appropriate options. Docetaxel is used more commonly and </w:t>
      </w:r>
      <w:proofErr w:type="spellStart"/>
      <w:r w:rsidRPr="00240D60">
        <w:t>cabazitaxel</w:t>
      </w:r>
      <w:proofErr w:type="spellEnd"/>
      <w:r w:rsidRPr="00240D60">
        <w:t xml:space="preserve"> was designed for antitumor activity in docetaxel-resistant patients. These agents have typical chemotherapy side effects such as bone marrow suppression so are often not suitable for patients with significant comorbidities.</w:t>
      </w:r>
    </w:p>
    <w:p w14:paraId="64208A32" w14:textId="05C0E116" w:rsidR="00240D60" w:rsidRPr="00240D60" w:rsidRDefault="00240D60" w:rsidP="00240D60">
      <w:proofErr w:type="spellStart"/>
      <w:r w:rsidRPr="00240D60">
        <w:t>Sipuleucel</w:t>
      </w:r>
      <w:proofErr w:type="spellEnd"/>
      <w:r w:rsidRPr="00240D60">
        <w:t>-T is an immunotherapy and is an option for minimally symptomatic males who have slowly progressive disease not requiring a rapid response. The bone-targeted radiopharmaceutical radium-223 is an option for males with symptomatic bone metastases and no visceral disease.</w:t>
      </w:r>
    </w:p>
    <w:p w14:paraId="4F627E33" w14:textId="1BA8744C" w:rsidR="00240D60" w:rsidRPr="00240D60" w:rsidRDefault="00240D60" w:rsidP="00751ADF">
      <w:r w:rsidRPr="00240D60">
        <w:t>Selected patients may be eligible for a poly ADP-ribose polymerase</w:t>
      </w:r>
      <w:r w:rsidR="00D066E9">
        <w:t xml:space="preserve"> </w:t>
      </w:r>
      <w:r w:rsidRPr="00240D60">
        <w:t>inhibitor (</w:t>
      </w:r>
      <w:r w:rsidR="00897794">
        <w:t>that is</w:t>
      </w:r>
      <w:r w:rsidRPr="00240D60">
        <w:t>, those with homologous recombination repair deficiency) or an immune checkpoint inhibitor (pembrolizumab) if the tumour is deficient in mismatch repair or there is a high tumour mutational burden for whom there are no satisfactory alternatives or for those who cannot tolerate other forms of treatment.</w:t>
      </w:r>
    </w:p>
    <w:p w14:paraId="6BC43D20" w14:textId="36232E77" w:rsidR="00240D60" w:rsidRPr="00240D60" w:rsidRDefault="00240D60" w:rsidP="00240D60">
      <w:r w:rsidRPr="00240D60">
        <w:t xml:space="preserve">Despite the broadening of therapeutic choices for </w:t>
      </w:r>
      <w:proofErr w:type="spellStart"/>
      <w:r w:rsidRPr="00240D60">
        <w:t>mCRPC</w:t>
      </w:r>
      <w:proofErr w:type="spellEnd"/>
      <w:r w:rsidRPr="00240D60">
        <w:t xml:space="preserve"> over the last decade, there are limited options for patients following progression on </w:t>
      </w:r>
      <w:proofErr w:type="spellStart"/>
      <w:r w:rsidRPr="00240D60">
        <w:t>taxane</w:t>
      </w:r>
      <w:proofErr w:type="spellEnd"/>
      <w:r w:rsidRPr="00240D60">
        <w:t xml:space="preserve">-based chemotherapy, or when </w:t>
      </w:r>
      <w:proofErr w:type="spellStart"/>
      <w:r w:rsidRPr="00E11EF9">
        <w:t>taxane</w:t>
      </w:r>
      <w:proofErr w:type="spellEnd"/>
      <w:r w:rsidR="00E11EF9">
        <w:noBreakHyphen/>
      </w:r>
      <w:r w:rsidRPr="00E11EF9">
        <w:t>based</w:t>
      </w:r>
      <w:r w:rsidRPr="00240D60">
        <w:t xml:space="preserve"> chemotherapy is contraindicated.</w:t>
      </w:r>
    </w:p>
    <w:p w14:paraId="37C47E09" w14:textId="14D3762D" w:rsidR="00CB6813" w:rsidRDefault="00CB6813" w:rsidP="00CB6813">
      <w:pPr>
        <w:pStyle w:val="Heading4"/>
      </w:pPr>
      <w:bookmarkStart w:id="22" w:name="_Toc213750996"/>
      <w:r>
        <w:t>C</w:t>
      </w:r>
      <w:r w:rsidRPr="00DE1344">
        <w:t>linical rational</w:t>
      </w:r>
      <w:r w:rsidR="0025785B">
        <w:t>e</w:t>
      </w:r>
      <w:bookmarkEnd w:id="22"/>
    </w:p>
    <w:p w14:paraId="27E39605" w14:textId="6FE2D60F" w:rsidR="00D63D32" w:rsidRDefault="00D63D32" w:rsidP="00D63D32">
      <w:r>
        <w:t>Prostate specific membrane antig</w:t>
      </w:r>
      <w:r w:rsidRPr="00C51CA7">
        <w:t>en (PSMA) is</w:t>
      </w:r>
      <w:r>
        <w:t xml:space="preserve"> a type II membrane protein that is expressed in prostate tissue and in highly expressed in most prostate cancers. It is also expressed to a lesser extent in the peripheral and central nervous system, small intestinal and salivary gland tissues. It is this difference in expression that enables the therapeutics to be targeted primarily to the cancer cells.</w:t>
      </w:r>
    </w:p>
    <w:p w14:paraId="3F3F402F" w14:textId="77777777" w:rsidR="00AD0A92" w:rsidRDefault="00D63D32" w:rsidP="00D63D32">
      <w:r>
        <w:t xml:space="preserve">The proposed product has a non-radioactive precursor molecule, PSMA-617 which contains the PSMA-binding ligand glutamate-urea-lysine linked to a DOTA-chelator. This is then complexed with the lutetium radionuclide which, via its radioactive nature, is responsible for the therapeutic activity of </w:t>
      </w:r>
      <w:r w:rsidRPr="00C41249">
        <w:rPr>
          <w:vertAlign w:val="superscript"/>
        </w:rPr>
        <w:t>177</w:t>
      </w:r>
      <w:r>
        <w:t xml:space="preserve">Lu-PSMA-617. The mechanism of action of </w:t>
      </w:r>
      <w:r w:rsidRPr="00C41249">
        <w:rPr>
          <w:vertAlign w:val="superscript"/>
        </w:rPr>
        <w:t>177</w:t>
      </w:r>
      <w:r>
        <w:t>Lu-PSMA-617 is to deliver therapeutic radiation to prostate cancer cells via its binding to PSMA</w:t>
      </w:r>
      <w:r w:rsidR="00AD0A92">
        <w:t>.</w:t>
      </w:r>
    </w:p>
    <w:p w14:paraId="7E2DDF7E" w14:textId="699CCBB1" w:rsidR="00553E41" w:rsidRDefault="00553E41" w:rsidP="00D63D32">
      <w:r>
        <w:t>The sponsor stated the following:</w:t>
      </w:r>
    </w:p>
    <w:p w14:paraId="60FEF32A" w14:textId="584C8573" w:rsidR="00D63D32" w:rsidRPr="006524D9" w:rsidRDefault="00F0131C" w:rsidP="006524D9">
      <w:pPr>
        <w:ind w:left="720"/>
        <w:rPr>
          <w:i/>
          <w:iCs/>
        </w:rPr>
      </w:pPr>
      <w:r w:rsidRPr="00992C59">
        <w:rPr>
          <w:i/>
          <w:iCs/>
        </w:rPr>
        <w:t>T</w:t>
      </w:r>
      <w:r w:rsidR="00D63D32" w:rsidRPr="00992C59">
        <w:rPr>
          <w:i/>
          <w:iCs/>
        </w:rPr>
        <w:t>he binding of the ligand to PSMA leads to internalisation through endocytosis with sustained retention of the ligand and its bound radioactive cargo within the cancer cell (Rajasekaran et al 2003, Benešová et al 2015).</w:t>
      </w:r>
      <w:r w:rsidR="00B569E3" w:rsidRPr="00992C59">
        <w:rPr>
          <w:rStyle w:val="FootnoteReference"/>
          <w:i/>
          <w:iCs/>
        </w:rPr>
        <w:footnoteReference w:id="3"/>
      </w:r>
      <w:r w:rsidR="00B569E3" w:rsidRPr="00992C59">
        <w:rPr>
          <w:i/>
          <w:iCs/>
          <w:vertAlign w:val="superscript"/>
        </w:rPr>
        <w:t xml:space="preserve">, </w:t>
      </w:r>
      <w:r w:rsidR="00B569E3" w:rsidRPr="00992C59">
        <w:rPr>
          <w:rStyle w:val="FootnoteReference"/>
          <w:i/>
          <w:iCs/>
        </w:rPr>
        <w:footnoteReference w:id="4"/>
      </w:r>
      <w:r w:rsidR="00D63D32" w:rsidRPr="00992C59">
        <w:rPr>
          <w:i/>
          <w:iCs/>
        </w:rPr>
        <w:t xml:space="preserve"> This functional feature of PSMA allows for the development of low-molecular weight targeted radiopharmaceuticals with </w:t>
      </w:r>
      <w:r w:rsidR="00B569E3" w:rsidRPr="00992C59">
        <w:rPr>
          <w:i/>
          <w:iCs/>
        </w:rPr>
        <w:t>favourable</w:t>
      </w:r>
      <w:r w:rsidR="00D63D32" w:rsidRPr="00992C59">
        <w:rPr>
          <w:i/>
          <w:iCs/>
        </w:rPr>
        <w:t xml:space="preserve"> pharmacokinetic and </w:t>
      </w:r>
      <w:r w:rsidR="00B569E3" w:rsidRPr="00992C59">
        <w:rPr>
          <w:i/>
          <w:iCs/>
        </w:rPr>
        <w:t>tumour</w:t>
      </w:r>
      <w:r w:rsidR="00D63D32" w:rsidRPr="00992C59">
        <w:rPr>
          <w:i/>
          <w:iCs/>
        </w:rPr>
        <w:t xml:space="preserve"> penetration properties, rather than being restricted to antibody-based targeting strategies (Haberkorn et al 2016).</w:t>
      </w:r>
      <w:r w:rsidRPr="00992C59">
        <w:rPr>
          <w:rStyle w:val="FootnoteReference"/>
          <w:i/>
          <w:iCs/>
        </w:rPr>
        <w:footnoteReference w:id="5"/>
      </w:r>
      <w:r w:rsidR="00D63D32" w:rsidRPr="00992C59">
        <w:rPr>
          <w:i/>
          <w:iCs/>
        </w:rPr>
        <w:t xml:space="preserve"> In addition, while PSMA-617 has the capacity to chelate other radionuclides, Lu-177 is the radionuclide of choice for this application, based on its </w:t>
      </w:r>
      <w:r w:rsidRPr="00992C59">
        <w:rPr>
          <w:i/>
          <w:iCs/>
        </w:rPr>
        <w:t>favourable</w:t>
      </w:r>
      <w:r w:rsidR="00D63D32" w:rsidRPr="00992C59">
        <w:rPr>
          <w:i/>
          <w:iCs/>
        </w:rPr>
        <w:t xml:space="preserve"> radiochemical characteristics, including half-life and the path length of the β-particles (Sgouros et al 2020).</w:t>
      </w:r>
      <w:r w:rsidR="00015140" w:rsidRPr="00992C59">
        <w:rPr>
          <w:rStyle w:val="FootnoteReference"/>
          <w:i/>
          <w:iCs/>
        </w:rPr>
        <w:footnoteReference w:id="6"/>
      </w:r>
    </w:p>
    <w:p w14:paraId="2FC378B0" w14:textId="13E36984" w:rsidR="00D63D32" w:rsidRDefault="00D63D32" w:rsidP="00D63D32">
      <w:r>
        <w:lastRenderedPageBreak/>
        <w:t>The PSMA protein is also used as a target for diagnostic imaging in prostate cancer. In this situation the PSMA ligand is radiolabelled with gallium 68 and used to determine disease extent via</w:t>
      </w:r>
      <w:r w:rsidR="0086322C" w:rsidRPr="0086322C">
        <w:t xml:space="preserve"> </w:t>
      </w:r>
      <w:r w:rsidR="0086322C">
        <w:t>p</w:t>
      </w:r>
      <w:r w:rsidR="0086322C" w:rsidRPr="0086322C">
        <w:t xml:space="preserve">ositron </w:t>
      </w:r>
      <w:r w:rsidR="0086322C">
        <w:t>e</w:t>
      </w:r>
      <w:r w:rsidR="0086322C" w:rsidRPr="0086322C">
        <w:t xml:space="preserve">mission </w:t>
      </w:r>
      <w:r w:rsidR="0086322C">
        <w:t>t</w:t>
      </w:r>
      <w:r w:rsidR="0086322C" w:rsidRPr="0086322C">
        <w:t>omogr</w:t>
      </w:r>
      <w:r w:rsidR="0086322C" w:rsidRPr="00A312FF">
        <w:t>aphy</w:t>
      </w:r>
      <w:r w:rsidRPr="00A312FF">
        <w:t xml:space="preserve"> </w:t>
      </w:r>
      <w:r w:rsidR="0086322C" w:rsidRPr="00A312FF">
        <w:t>(</w:t>
      </w:r>
      <w:r w:rsidRPr="00A312FF">
        <w:t>PET</w:t>
      </w:r>
      <w:r w:rsidR="0086322C" w:rsidRPr="00A312FF">
        <w:t>)</w:t>
      </w:r>
      <w:r w:rsidRPr="00A312FF">
        <w:t xml:space="preserve"> imaging</w:t>
      </w:r>
      <w:r>
        <w:t>.</w:t>
      </w:r>
    </w:p>
    <w:p w14:paraId="26EDE279" w14:textId="66142893" w:rsidR="00D63D32" w:rsidRPr="00D63D32" w:rsidRDefault="00264021" w:rsidP="00751ADF">
      <w:r>
        <w:t>It is noted that a</w:t>
      </w:r>
      <w:r w:rsidR="00D63D32">
        <w:t xml:space="preserve"> positive PET/</w:t>
      </w:r>
      <w:r w:rsidR="00A535AE" w:rsidRPr="00A535AE">
        <w:t>computed tom</w:t>
      </w:r>
      <w:r w:rsidR="00A535AE" w:rsidRPr="004B539D">
        <w:t>ography (</w:t>
      </w:r>
      <w:r w:rsidR="00D63D32" w:rsidRPr="004B539D">
        <w:t>CT</w:t>
      </w:r>
      <w:r w:rsidR="00A535AE" w:rsidRPr="004B539D">
        <w:t>)</w:t>
      </w:r>
      <w:r w:rsidR="00D63D32" w:rsidRPr="004B539D">
        <w:t xml:space="preserve"> scan</w:t>
      </w:r>
      <w:r w:rsidR="00D63D32">
        <w:t xml:space="preserve"> was required for inclusion in the pivotal </w:t>
      </w:r>
      <w:r w:rsidR="00A535AE">
        <w:t>P</w:t>
      </w:r>
      <w:r w:rsidR="00D63D32">
        <w:t xml:space="preserve">hase </w:t>
      </w:r>
      <w:r w:rsidR="00A535AE">
        <w:t>III</w:t>
      </w:r>
      <w:r w:rsidR="00D63D32">
        <w:t xml:space="preserve"> study.</w:t>
      </w:r>
      <w:r w:rsidR="00D63D32">
        <w:tab/>
      </w:r>
      <w:r w:rsidR="00D63D32" w:rsidRPr="00C41249">
        <w:rPr>
          <w:vertAlign w:val="superscript"/>
        </w:rPr>
        <w:t>177</w:t>
      </w:r>
      <w:r w:rsidR="00D63D32">
        <w:t xml:space="preserve">Lu-PSMA-617 has been used as an experimental agent in the clinical setting for patients with </w:t>
      </w:r>
      <w:proofErr w:type="spellStart"/>
      <w:r w:rsidR="00D63D32">
        <w:t>mCRPC</w:t>
      </w:r>
      <w:proofErr w:type="spellEnd"/>
      <w:r w:rsidR="00D63D32">
        <w:t xml:space="preserve"> since 2013 with literature suggesting favourable results. Such products would have had different sources and preparation processes than the proposed radioligand product.</w:t>
      </w:r>
    </w:p>
    <w:p w14:paraId="0D615854" w14:textId="77777777" w:rsidR="00324B33" w:rsidRPr="003F31A2" w:rsidRDefault="00324B33" w:rsidP="00324B33">
      <w:pPr>
        <w:pStyle w:val="Heading3"/>
      </w:pPr>
      <w:bookmarkStart w:id="23" w:name="_Toc103679291"/>
      <w:bookmarkStart w:id="24" w:name="_Toc213750997"/>
      <w:r>
        <w:t>Regulatory status</w:t>
      </w:r>
      <w:bookmarkEnd w:id="19"/>
      <w:bookmarkEnd w:id="20"/>
      <w:bookmarkEnd w:id="23"/>
      <w:bookmarkEnd w:id="24"/>
    </w:p>
    <w:p w14:paraId="72C889D6" w14:textId="7E200950" w:rsidR="0017005C" w:rsidRPr="00BD5DBD" w:rsidRDefault="0017005C" w:rsidP="00741AB9">
      <w:pPr>
        <w:pStyle w:val="Heading4"/>
      </w:pPr>
      <w:bookmarkStart w:id="25" w:name="_Toc213750998"/>
      <w:r w:rsidRPr="00BD5DBD">
        <w:t>Australian regulatory</w:t>
      </w:r>
      <w:r>
        <w:t xml:space="preserve"> sta</w:t>
      </w:r>
      <w:r w:rsidR="0025785B">
        <w:t>t</w:t>
      </w:r>
      <w:r>
        <w:t>us</w:t>
      </w:r>
      <w:bookmarkEnd w:id="25"/>
    </w:p>
    <w:p w14:paraId="6A8633FA" w14:textId="5032A03C" w:rsidR="00324B33" w:rsidRDefault="00324B33" w:rsidP="00324B33">
      <w:pPr>
        <w:rPr>
          <w:szCs w:val="22"/>
        </w:rPr>
      </w:pPr>
      <w:r w:rsidRPr="00BD5DBD">
        <w:rPr>
          <w:szCs w:val="22"/>
        </w:rPr>
        <w:t>This product is considered a new chemical</w:t>
      </w:r>
      <w:r w:rsidR="008C754C" w:rsidRPr="00BD5DBD">
        <w:rPr>
          <w:szCs w:val="22"/>
        </w:rPr>
        <w:t xml:space="preserve"> entity</w:t>
      </w:r>
      <w:r w:rsidRPr="00BD5DBD">
        <w:rPr>
          <w:szCs w:val="22"/>
        </w:rPr>
        <w:t xml:space="preserve"> for Australian regulatory purposes.</w:t>
      </w:r>
    </w:p>
    <w:p w14:paraId="546C1031" w14:textId="4EF98FA1" w:rsidR="0017005C" w:rsidRDefault="00131B1B" w:rsidP="0017005C">
      <w:pPr>
        <w:pStyle w:val="Heading4"/>
      </w:pPr>
      <w:bookmarkStart w:id="26" w:name="_Toc213750999"/>
      <w:r w:rsidRPr="00367869">
        <w:t xml:space="preserve">International </w:t>
      </w:r>
      <w:r w:rsidR="0017005C" w:rsidRPr="00367869">
        <w:t>regulatory status</w:t>
      </w:r>
      <w:bookmarkEnd w:id="26"/>
    </w:p>
    <w:p w14:paraId="6D50D10D" w14:textId="34490EB7" w:rsidR="006B2A72" w:rsidRDefault="006B2A72" w:rsidP="00751ADF">
      <w:r w:rsidRPr="00BD5DBD">
        <w:t xml:space="preserve">This evaluation was facilitated through </w:t>
      </w:r>
      <w:hyperlink r:id="rId20" w:history="1">
        <w:r w:rsidRPr="00BD5DBD">
          <w:rPr>
            <w:rStyle w:val="Hyperlink"/>
            <w:szCs w:val="22"/>
          </w:rPr>
          <w:t>Project Orbis</w:t>
        </w:r>
      </w:hyperlink>
      <w:r w:rsidRPr="00BD5DBD">
        <w:t xml:space="preserve">, an initiative of the United States Food and Drug Administration (FDA) Oncology </w:t>
      </w:r>
      <w:proofErr w:type="spellStart"/>
      <w:r w:rsidRPr="00BD5DBD">
        <w:t>Center</w:t>
      </w:r>
      <w:proofErr w:type="spellEnd"/>
      <w:r w:rsidRPr="00BD5DBD">
        <w:t xml:space="preserve"> of Excellence. Under this project, the </w:t>
      </w:r>
      <w:r w:rsidRPr="00774789">
        <w:t xml:space="preserve">FDA, </w:t>
      </w:r>
      <w:r w:rsidRPr="00BD5DBD">
        <w:t>and the TGA collaboratively reviewed the submission. This evaluation process provided a framework for process alignment and management of evaluation issues in real-time across jurisdictions. Each regulator made independent decisions regarding approval (market authorisation) of the new medicine.</w:t>
      </w:r>
    </w:p>
    <w:p w14:paraId="7FDF4A0B" w14:textId="4E9BE151" w:rsidR="008F4A62" w:rsidRPr="0017005C" w:rsidRDefault="008F4A62" w:rsidP="00751ADF">
      <w:r w:rsidRPr="00BD5DBD">
        <w:t xml:space="preserve">At the time the TGA considered this submission, a similar submission had been </w:t>
      </w:r>
      <w:r>
        <w:t xml:space="preserve">considered by other regulatory agencies. </w:t>
      </w:r>
      <w:r w:rsidRPr="00BD5DBD">
        <w:t>The following table summarises these submissions and provides the indications where approved.</w:t>
      </w:r>
    </w:p>
    <w:p w14:paraId="19B9E0AC" w14:textId="643F678A" w:rsidR="00324B33" w:rsidRDefault="00324B33" w:rsidP="00751ADF">
      <w:pPr>
        <w:pStyle w:val="TableTitle"/>
      </w:pPr>
      <w:bookmarkStart w:id="27" w:name="_Ref99705479"/>
      <w:r>
        <w:t xml:space="preserve">Table </w:t>
      </w:r>
      <w:r w:rsidR="007F1E37">
        <w:fldChar w:fldCharType="begin"/>
      </w:r>
      <w:r w:rsidR="007F1E37">
        <w:instrText xml:space="preserve"> SEQ Table \* ARABIC </w:instrText>
      </w:r>
      <w:r w:rsidR="007F1E37">
        <w:fldChar w:fldCharType="separate"/>
      </w:r>
      <w:r w:rsidR="00AB77D0">
        <w:rPr>
          <w:noProof/>
        </w:rPr>
        <w:t>1</w:t>
      </w:r>
      <w:r w:rsidR="007F1E37">
        <w:rPr>
          <w:noProof/>
        </w:rPr>
        <w:fldChar w:fldCharType="end"/>
      </w:r>
      <w:bookmarkEnd w:id="27"/>
      <w:r>
        <w:t xml:space="preserve">: International </w:t>
      </w:r>
      <w:r w:rsidRPr="00751ADF">
        <w:t>regulatory</w:t>
      </w:r>
      <w:r>
        <w:t xml:space="preserve"> status</w:t>
      </w:r>
    </w:p>
    <w:tbl>
      <w:tblPr>
        <w:tblStyle w:val="TableTGAblue2023"/>
        <w:tblW w:w="5000" w:type="pct"/>
        <w:tblLook w:val="04A0" w:firstRow="1" w:lastRow="0" w:firstColumn="1" w:lastColumn="0" w:noHBand="0" w:noVBand="1"/>
      </w:tblPr>
      <w:tblGrid>
        <w:gridCol w:w="1725"/>
        <w:gridCol w:w="2180"/>
        <w:gridCol w:w="2116"/>
        <w:gridCol w:w="3039"/>
      </w:tblGrid>
      <w:tr w:rsidR="00324B33" w:rsidRPr="00D01DDB" w14:paraId="405E5D78" w14:textId="16839333" w:rsidTr="00751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185B099B" w14:textId="7A4C0E6C" w:rsidR="00324B33" w:rsidRPr="00C229F9" w:rsidRDefault="00324B33" w:rsidP="00751ADF">
            <w:r w:rsidRPr="00C229F9">
              <w:t>Region</w:t>
            </w:r>
          </w:p>
        </w:tc>
        <w:tc>
          <w:tcPr>
            <w:tcW w:w="1018" w:type="pct"/>
          </w:tcPr>
          <w:p w14:paraId="778C35C7" w14:textId="52D23C85" w:rsidR="00324B33" w:rsidRPr="00C229F9" w:rsidRDefault="00324B33" w:rsidP="00751ADF">
            <w:pPr>
              <w:cnfStyle w:val="100000000000" w:firstRow="1" w:lastRow="0" w:firstColumn="0" w:lastColumn="0" w:oddVBand="0" w:evenVBand="0" w:oddHBand="0" w:evenHBand="0" w:firstRowFirstColumn="0" w:firstRowLastColumn="0" w:lastRowFirstColumn="0" w:lastRowLastColumn="0"/>
            </w:pPr>
            <w:r w:rsidRPr="00C229F9">
              <w:t>Submission date</w:t>
            </w:r>
          </w:p>
        </w:tc>
        <w:tc>
          <w:tcPr>
            <w:tcW w:w="1173" w:type="pct"/>
          </w:tcPr>
          <w:p w14:paraId="58F81584" w14:textId="66689ABF" w:rsidR="00324B33" w:rsidRPr="00C229F9" w:rsidRDefault="00324B33" w:rsidP="00751ADF">
            <w:pPr>
              <w:cnfStyle w:val="100000000000" w:firstRow="1" w:lastRow="0" w:firstColumn="0" w:lastColumn="0" w:oddVBand="0" w:evenVBand="0" w:oddHBand="0" w:evenHBand="0" w:firstRowFirstColumn="0" w:firstRowLastColumn="0" w:lastRowFirstColumn="0" w:lastRowLastColumn="0"/>
            </w:pPr>
            <w:r w:rsidRPr="00C229F9">
              <w:t>Status</w:t>
            </w:r>
          </w:p>
        </w:tc>
        <w:tc>
          <w:tcPr>
            <w:tcW w:w="1795" w:type="pct"/>
          </w:tcPr>
          <w:p w14:paraId="50B2D435" w14:textId="560588D2" w:rsidR="00324B33" w:rsidRPr="00C229F9" w:rsidRDefault="00324B33" w:rsidP="00751ADF">
            <w:pPr>
              <w:cnfStyle w:val="100000000000" w:firstRow="1" w:lastRow="0" w:firstColumn="0" w:lastColumn="0" w:oddVBand="0" w:evenVBand="0" w:oddHBand="0" w:evenHBand="0" w:firstRowFirstColumn="0" w:firstRowLastColumn="0" w:lastRowFirstColumn="0" w:lastRowLastColumn="0"/>
            </w:pPr>
            <w:r w:rsidRPr="00C229F9">
              <w:t>Approved indications</w:t>
            </w:r>
          </w:p>
        </w:tc>
      </w:tr>
      <w:tr w:rsidR="00324B33" w:rsidRPr="00D01DDB" w14:paraId="38D24E86" w14:textId="77777777" w:rsidTr="00751ADF">
        <w:tc>
          <w:tcPr>
            <w:cnfStyle w:val="001000000000" w:firstRow="0" w:lastRow="0" w:firstColumn="1" w:lastColumn="0" w:oddVBand="0" w:evenVBand="0" w:oddHBand="0" w:evenHBand="0" w:firstRowFirstColumn="0" w:firstRowLastColumn="0" w:lastRowFirstColumn="0" w:lastRowLastColumn="0"/>
            <w:tcW w:w="1014" w:type="pct"/>
          </w:tcPr>
          <w:p w14:paraId="4C540DE5" w14:textId="77318CC5" w:rsidR="00324B33" w:rsidRPr="00C229F9" w:rsidRDefault="000C0D7C" w:rsidP="00751ADF">
            <w:r w:rsidRPr="00C229F9">
              <w:t>European Union</w:t>
            </w:r>
          </w:p>
        </w:tc>
        <w:tc>
          <w:tcPr>
            <w:tcW w:w="1018" w:type="pct"/>
          </w:tcPr>
          <w:p w14:paraId="4FA5DDA9" w14:textId="57390DD3" w:rsidR="0026606B" w:rsidRPr="0026606B" w:rsidRDefault="00D82060" w:rsidP="00751ADF">
            <w:pPr>
              <w:cnfStyle w:val="000000000000" w:firstRow="0" w:lastRow="0" w:firstColumn="0" w:lastColumn="0" w:oddVBand="0" w:evenVBand="0" w:oddHBand="0" w:evenHBand="0" w:firstRowFirstColumn="0" w:firstRowLastColumn="0" w:lastRowFirstColumn="0" w:lastRowLastColumn="0"/>
            </w:pPr>
            <w:r w:rsidRPr="00C229F9">
              <w:t>30 September 2021</w:t>
            </w:r>
          </w:p>
        </w:tc>
        <w:tc>
          <w:tcPr>
            <w:tcW w:w="1173" w:type="pct"/>
          </w:tcPr>
          <w:p w14:paraId="29358393" w14:textId="1265FA05" w:rsidR="00324B33" w:rsidRPr="00C229F9" w:rsidRDefault="00324B33" w:rsidP="00751ADF">
            <w:pPr>
              <w:cnfStyle w:val="000000000000" w:firstRow="0" w:lastRow="0" w:firstColumn="0" w:lastColumn="0" w:oddVBand="0" w:evenVBand="0" w:oddHBand="0" w:evenHBand="0" w:firstRowFirstColumn="0" w:firstRowLastColumn="0" w:lastRowFirstColumn="0" w:lastRowLastColumn="0"/>
            </w:pPr>
            <w:r w:rsidRPr="00C229F9">
              <w:t xml:space="preserve">Approved on </w:t>
            </w:r>
            <w:r w:rsidR="00D82060" w:rsidRPr="00C229F9">
              <w:t>9 December 2022</w:t>
            </w:r>
          </w:p>
        </w:tc>
        <w:tc>
          <w:tcPr>
            <w:tcW w:w="1795" w:type="pct"/>
          </w:tcPr>
          <w:p w14:paraId="05055674" w14:textId="7B106757" w:rsidR="00324B33" w:rsidRPr="00C229F9" w:rsidRDefault="00C229F9" w:rsidP="00751ADF">
            <w:pPr>
              <w:cnfStyle w:val="000000000000" w:firstRow="0" w:lastRow="0" w:firstColumn="0" w:lastColumn="0" w:oddVBand="0" w:evenVBand="0" w:oddHBand="0" w:evenHBand="0" w:firstRowFirstColumn="0" w:firstRowLastColumn="0" w:lastRowFirstColumn="0" w:lastRowLastColumn="0"/>
              <w:rPr>
                <w:i/>
                <w:iCs/>
              </w:rPr>
            </w:pPr>
            <w:r w:rsidRPr="00C229F9">
              <w:rPr>
                <w:i/>
                <w:iCs/>
              </w:rPr>
              <w:t>Pluvicto in combination with androgen deprivation therapy (ADT) with or without androgen receptor (AR) pathway inhibition is indicated for the treatment of adult patients with progressive prostate-specific membrane antigen (PSMA)-positive metastatic castration-resistant prostate cancer (</w:t>
            </w:r>
            <w:proofErr w:type="spellStart"/>
            <w:r w:rsidRPr="00C229F9">
              <w:rPr>
                <w:i/>
                <w:iCs/>
              </w:rPr>
              <w:t>mCRPC</w:t>
            </w:r>
            <w:proofErr w:type="spellEnd"/>
            <w:r w:rsidRPr="00C229F9">
              <w:rPr>
                <w:i/>
                <w:iCs/>
              </w:rPr>
              <w:t xml:space="preserve">) who have been treated with AR pathway inhibition and </w:t>
            </w:r>
            <w:proofErr w:type="spellStart"/>
            <w:r w:rsidRPr="00C229F9">
              <w:rPr>
                <w:i/>
                <w:iCs/>
              </w:rPr>
              <w:t>taxane</w:t>
            </w:r>
            <w:proofErr w:type="spellEnd"/>
            <w:r w:rsidRPr="00C229F9">
              <w:rPr>
                <w:i/>
                <w:iCs/>
              </w:rPr>
              <w:t>-based chemotherapy (see section 5.1).</w:t>
            </w:r>
          </w:p>
        </w:tc>
      </w:tr>
      <w:tr w:rsidR="00324B33" w:rsidRPr="00D01DDB" w14:paraId="18B6E2AA" w14:textId="7783D66F" w:rsidTr="00751ADF">
        <w:tc>
          <w:tcPr>
            <w:cnfStyle w:val="001000000000" w:firstRow="0" w:lastRow="0" w:firstColumn="1" w:lastColumn="0" w:oddVBand="0" w:evenVBand="0" w:oddHBand="0" w:evenHBand="0" w:firstRowFirstColumn="0" w:firstRowLastColumn="0" w:lastRowFirstColumn="0" w:lastRowLastColumn="0"/>
            <w:tcW w:w="1014" w:type="pct"/>
          </w:tcPr>
          <w:p w14:paraId="7F348960" w14:textId="645E605F" w:rsidR="00324B33" w:rsidRPr="00C229F9" w:rsidRDefault="000C0D7C" w:rsidP="00751ADF">
            <w:r w:rsidRPr="00C229F9">
              <w:lastRenderedPageBreak/>
              <w:t xml:space="preserve">Great Britain </w:t>
            </w:r>
          </w:p>
        </w:tc>
        <w:tc>
          <w:tcPr>
            <w:tcW w:w="1018" w:type="pct"/>
          </w:tcPr>
          <w:p w14:paraId="1D871E57" w14:textId="45B0FE1F" w:rsidR="00324B33" w:rsidRPr="00C229F9" w:rsidRDefault="00951341" w:rsidP="00751ADF">
            <w:pPr>
              <w:cnfStyle w:val="000000000000" w:firstRow="0" w:lastRow="0" w:firstColumn="0" w:lastColumn="0" w:oddVBand="0" w:evenVBand="0" w:oddHBand="0" w:evenHBand="0" w:firstRowFirstColumn="0" w:firstRowLastColumn="0" w:lastRowFirstColumn="0" w:lastRowLastColumn="0"/>
            </w:pPr>
            <w:r>
              <w:t>28 October 2021</w:t>
            </w:r>
          </w:p>
        </w:tc>
        <w:tc>
          <w:tcPr>
            <w:tcW w:w="1173" w:type="pct"/>
          </w:tcPr>
          <w:p w14:paraId="63A3A9D3" w14:textId="31DA7A78" w:rsidR="00324B33" w:rsidRPr="00C229F9" w:rsidRDefault="00951341" w:rsidP="00751ADF">
            <w:pPr>
              <w:cnfStyle w:val="000000000000" w:firstRow="0" w:lastRow="0" w:firstColumn="0" w:lastColumn="0" w:oddVBand="0" w:evenVBand="0" w:oddHBand="0" w:evenHBand="0" w:firstRowFirstColumn="0" w:firstRowLastColumn="0" w:lastRowFirstColumn="0" w:lastRowLastColumn="0"/>
            </w:pPr>
            <w:r>
              <w:t>Approved on 10 August 2022</w:t>
            </w:r>
          </w:p>
        </w:tc>
        <w:tc>
          <w:tcPr>
            <w:tcW w:w="1795" w:type="pct"/>
          </w:tcPr>
          <w:p w14:paraId="17C650B8" w14:textId="2C96967A" w:rsidR="00324B33" w:rsidRPr="00C40CFE" w:rsidRDefault="00C40CFE" w:rsidP="00751ADF">
            <w:pPr>
              <w:cnfStyle w:val="000000000000" w:firstRow="0" w:lastRow="0" w:firstColumn="0" w:lastColumn="0" w:oddVBand="0" w:evenVBand="0" w:oddHBand="0" w:evenHBand="0" w:firstRowFirstColumn="0" w:firstRowLastColumn="0" w:lastRowFirstColumn="0" w:lastRowLastColumn="0"/>
              <w:rPr>
                <w:i/>
                <w:iCs/>
              </w:rPr>
            </w:pPr>
            <w:r w:rsidRPr="00C40CFE">
              <w:rPr>
                <w:i/>
                <w:iCs/>
              </w:rPr>
              <w:t>Pluvicto is indicated for the treatment of adult patients with prostate</w:t>
            </w:r>
            <w:r w:rsidR="00A82B56">
              <w:rPr>
                <w:i/>
                <w:iCs/>
              </w:rPr>
              <w:t xml:space="preserve"> </w:t>
            </w:r>
            <w:r w:rsidRPr="00C40CFE">
              <w:rPr>
                <w:i/>
                <w:iCs/>
              </w:rPr>
              <w:t>specific membrane antigen (PSMA)- positive metastatic castration</w:t>
            </w:r>
            <w:r w:rsidR="00A82B56">
              <w:rPr>
                <w:i/>
                <w:iCs/>
              </w:rPr>
              <w:t xml:space="preserve"> </w:t>
            </w:r>
            <w:r w:rsidRPr="00C40CFE">
              <w:rPr>
                <w:i/>
                <w:iCs/>
              </w:rPr>
              <w:t>resistant prostate cancer (</w:t>
            </w:r>
            <w:proofErr w:type="spellStart"/>
            <w:r w:rsidRPr="00C40CFE">
              <w:rPr>
                <w:i/>
                <w:iCs/>
              </w:rPr>
              <w:t>mCRPC</w:t>
            </w:r>
            <w:proofErr w:type="spellEnd"/>
            <w:r w:rsidRPr="00C40CFE">
              <w:rPr>
                <w:i/>
                <w:iCs/>
              </w:rPr>
              <w:t xml:space="preserve">) who have been treated with androgen receptor (AR) pathway inhibition and </w:t>
            </w:r>
            <w:proofErr w:type="spellStart"/>
            <w:r w:rsidRPr="00C40CFE">
              <w:rPr>
                <w:i/>
                <w:iCs/>
              </w:rPr>
              <w:t>taxane</w:t>
            </w:r>
            <w:proofErr w:type="spellEnd"/>
            <w:r w:rsidRPr="00C40CFE">
              <w:rPr>
                <w:i/>
                <w:iCs/>
              </w:rPr>
              <w:t xml:space="preserve">-based chemotherapy or who are not medically suitable for </w:t>
            </w:r>
            <w:proofErr w:type="spellStart"/>
            <w:r w:rsidRPr="00C40CFE">
              <w:rPr>
                <w:i/>
                <w:iCs/>
              </w:rPr>
              <w:t>taxanes</w:t>
            </w:r>
            <w:proofErr w:type="spellEnd"/>
            <w:r w:rsidRPr="00C40CFE">
              <w:rPr>
                <w:i/>
                <w:iCs/>
              </w:rPr>
              <w:t>.</w:t>
            </w:r>
          </w:p>
        </w:tc>
      </w:tr>
      <w:tr w:rsidR="00D82060" w:rsidRPr="00D01DDB" w14:paraId="7D339A61" w14:textId="77777777" w:rsidTr="00751ADF">
        <w:tc>
          <w:tcPr>
            <w:cnfStyle w:val="001000000000" w:firstRow="0" w:lastRow="0" w:firstColumn="1" w:lastColumn="0" w:oddVBand="0" w:evenVBand="0" w:oddHBand="0" w:evenHBand="0" w:firstRowFirstColumn="0" w:firstRowLastColumn="0" w:lastRowFirstColumn="0" w:lastRowLastColumn="0"/>
            <w:tcW w:w="1014" w:type="pct"/>
          </w:tcPr>
          <w:p w14:paraId="0667E87A" w14:textId="03C44DB7" w:rsidR="00D82060" w:rsidRPr="00C229F9" w:rsidRDefault="00D82060" w:rsidP="00751ADF">
            <w:r w:rsidRPr="00C229F9">
              <w:t>United States of America</w:t>
            </w:r>
          </w:p>
        </w:tc>
        <w:tc>
          <w:tcPr>
            <w:tcW w:w="1018" w:type="pct"/>
          </w:tcPr>
          <w:p w14:paraId="5B4E53FB" w14:textId="1C686EB8" w:rsidR="00D82060" w:rsidRPr="00C229F9" w:rsidRDefault="00C40CFE" w:rsidP="00751ADF">
            <w:pPr>
              <w:cnfStyle w:val="000000000000" w:firstRow="0" w:lastRow="0" w:firstColumn="0" w:lastColumn="0" w:oddVBand="0" w:evenVBand="0" w:oddHBand="0" w:evenHBand="0" w:firstRowFirstColumn="0" w:firstRowLastColumn="0" w:lastRowFirstColumn="0" w:lastRowLastColumn="0"/>
            </w:pPr>
            <w:r>
              <w:t>29 July 2021</w:t>
            </w:r>
          </w:p>
        </w:tc>
        <w:tc>
          <w:tcPr>
            <w:tcW w:w="1173" w:type="pct"/>
          </w:tcPr>
          <w:p w14:paraId="66F89ED8" w14:textId="273706F8" w:rsidR="00D82060" w:rsidRPr="00C229F9" w:rsidRDefault="00C40CFE" w:rsidP="00751ADF">
            <w:pPr>
              <w:cnfStyle w:val="000000000000" w:firstRow="0" w:lastRow="0" w:firstColumn="0" w:lastColumn="0" w:oddVBand="0" w:evenVBand="0" w:oddHBand="0" w:evenHBand="0" w:firstRowFirstColumn="0" w:firstRowLastColumn="0" w:lastRowFirstColumn="0" w:lastRowLastColumn="0"/>
            </w:pPr>
            <w:r>
              <w:t>Approved on 23 March 2022</w:t>
            </w:r>
          </w:p>
        </w:tc>
        <w:tc>
          <w:tcPr>
            <w:tcW w:w="1795" w:type="pct"/>
          </w:tcPr>
          <w:p w14:paraId="6AF2BC6D" w14:textId="0BFBAA67" w:rsidR="00D82060" w:rsidRPr="00A82B56" w:rsidRDefault="00A82B56" w:rsidP="00751ADF">
            <w:pPr>
              <w:cnfStyle w:val="000000000000" w:firstRow="0" w:lastRow="0" w:firstColumn="0" w:lastColumn="0" w:oddVBand="0" w:evenVBand="0" w:oddHBand="0" w:evenHBand="0" w:firstRowFirstColumn="0" w:firstRowLastColumn="0" w:lastRowFirstColumn="0" w:lastRowLastColumn="0"/>
              <w:rPr>
                <w:i/>
                <w:iCs/>
              </w:rPr>
            </w:pPr>
            <w:r w:rsidRPr="00A82B56">
              <w:rPr>
                <w:i/>
                <w:iCs/>
              </w:rPr>
              <w:t>Pluvicto is indicated for the treatment of adult patients with prostate-specific membrane antigen (PSMA)-positive metastatic castration-resistant prostate cancer (</w:t>
            </w:r>
            <w:proofErr w:type="spellStart"/>
            <w:r w:rsidRPr="00A82B56">
              <w:rPr>
                <w:i/>
                <w:iCs/>
              </w:rPr>
              <w:t>mCRPC</w:t>
            </w:r>
            <w:proofErr w:type="spellEnd"/>
            <w:r w:rsidRPr="00A82B56">
              <w:rPr>
                <w:i/>
                <w:iCs/>
              </w:rPr>
              <w:t xml:space="preserve">) who have been treated with androgen receptor (AR) pathway inhibition and </w:t>
            </w:r>
            <w:proofErr w:type="spellStart"/>
            <w:r w:rsidRPr="00A82B56">
              <w:rPr>
                <w:i/>
                <w:iCs/>
              </w:rPr>
              <w:t>taxane</w:t>
            </w:r>
            <w:proofErr w:type="spellEnd"/>
            <w:r w:rsidRPr="00A82B56">
              <w:rPr>
                <w:i/>
                <w:iCs/>
              </w:rPr>
              <w:t xml:space="preserve"> based chemotherapy.</w:t>
            </w:r>
          </w:p>
        </w:tc>
      </w:tr>
      <w:tr w:rsidR="00D82060" w:rsidRPr="00D01DDB" w14:paraId="3B11BC41" w14:textId="77777777" w:rsidTr="00751ADF">
        <w:tc>
          <w:tcPr>
            <w:cnfStyle w:val="001000000000" w:firstRow="0" w:lastRow="0" w:firstColumn="1" w:lastColumn="0" w:oddVBand="0" w:evenVBand="0" w:oddHBand="0" w:evenHBand="0" w:firstRowFirstColumn="0" w:firstRowLastColumn="0" w:lastRowFirstColumn="0" w:lastRowLastColumn="0"/>
            <w:tcW w:w="1014" w:type="pct"/>
          </w:tcPr>
          <w:p w14:paraId="3FB673F3" w14:textId="61881C51" w:rsidR="00D82060" w:rsidRPr="00C229F9" w:rsidRDefault="00D82060" w:rsidP="00751ADF">
            <w:r w:rsidRPr="00C229F9">
              <w:t>Canada</w:t>
            </w:r>
          </w:p>
        </w:tc>
        <w:tc>
          <w:tcPr>
            <w:tcW w:w="1018" w:type="pct"/>
          </w:tcPr>
          <w:p w14:paraId="558AFCBB" w14:textId="67211597" w:rsidR="00D82060" w:rsidRPr="006658A1" w:rsidRDefault="00A82B56" w:rsidP="00751ADF">
            <w:pPr>
              <w:cnfStyle w:val="000000000000" w:firstRow="0" w:lastRow="0" w:firstColumn="0" w:lastColumn="0" w:oddVBand="0" w:evenVBand="0" w:oddHBand="0" w:evenHBand="0" w:firstRowFirstColumn="0" w:firstRowLastColumn="0" w:lastRowFirstColumn="0" w:lastRowLastColumn="0"/>
            </w:pPr>
            <w:r w:rsidRPr="006658A1">
              <w:t>28 J</w:t>
            </w:r>
            <w:r w:rsidR="0026606B">
              <w:t>anuary</w:t>
            </w:r>
            <w:r w:rsidRPr="006658A1">
              <w:t> </w:t>
            </w:r>
            <w:r w:rsidR="006658A1" w:rsidRPr="006658A1">
              <w:t>2022</w:t>
            </w:r>
          </w:p>
        </w:tc>
        <w:tc>
          <w:tcPr>
            <w:tcW w:w="1173" w:type="pct"/>
          </w:tcPr>
          <w:p w14:paraId="500E6866" w14:textId="503BD850" w:rsidR="00D82060" w:rsidRPr="00C229F9" w:rsidRDefault="006658A1" w:rsidP="00751ADF">
            <w:pPr>
              <w:cnfStyle w:val="000000000000" w:firstRow="0" w:lastRow="0" w:firstColumn="0" w:lastColumn="0" w:oddVBand="0" w:evenVBand="0" w:oddHBand="0" w:evenHBand="0" w:firstRowFirstColumn="0" w:firstRowLastColumn="0" w:lastRowFirstColumn="0" w:lastRowLastColumn="0"/>
            </w:pPr>
            <w:r>
              <w:t>Approved on 2</w:t>
            </w:r>
            <w:r w:rsidR="0026606B">
              <w:t>5</w:t>
            </w:r>
            <w:r>
              <w:t> August 2022</w:t>
            </w:r>
          </w:p>
        </w:tc>
        <w:tc>
          <w:tcPr>
            <w:tcW w:w="1795" w:type="pct"/>
          </w:tcPr>
          <w:p w14:paraId="53C8026C" w14:textId="39DC72E9" w:rsidR="00D82060" w:rsidRPr="00C229F9" w:rsidRDefault="00150608" w:rsidP="00751ADF">
            <w:pPr>
              <w:cnfStyle w:val="000000000000" w:firstRow="0" w:lastRow="0" w:firstColumn="0" w:lastColumn="0" w:oddVBand="0" w:evenVBand="0" w:oddHBand="0" w:evenHBand="0" w:firstRowFirstColumn="0" w:firstRowLastColumn="0" w:lastRowFirstColumn="0" w:lastRowLastColumn="0"/>
            </w:pPr>
            <w:r w:rsidRPr="00150608">
              <w:rPr>
                <w:i/>
                <w:iCs/>
              </w:rPr>
              <w:t>Pluvicto (lutetium (</w:t>
            </w:r>
            <w:r w:rsidRPr="00AD0A92">
              <w:rPr>
                <w:i/>
                <w:iCs/>
                <w:vertAlign w:val="superscript"/>
              </w:rPr>
              <w:t>177</w:t>
            </w:r>
            <w:r w:rsidRPr="00150608">
              <w:rPr>
                <w:i/>
                <w:iCs/>
              </w:rPr>
              <w:t>Lu) vipivotide tetraxetan injection) is</w:t>
            </w:r>
            <w:r w:rsidR="00B13217">
              <w:rPr>
                <w:i/>
                <w:iCs/>
              </w:rPr>
              <w:t xml:space="preserve"> </w:t>
            </w:r>
            <w:r w:rsidRPr="00150608">
              <w:rPr>
                <w:i/>
                <w:iCs/>
              </w:rPr>
              <w:t>indicated for: The treatment of adult patients with prostate-specific membrane antigen (PSMA)-positive metastatic castration-resistant prostate cancer (</w:t>
            </w:r>
            <w:proofErr w:type="spellStart"/>
            <w:r w:rsidRPr="00150608">
              <w:rPr>
                <w:i/>
                <w:iCs/>
              </w:rPr>
              <w:t>mCRPC</w:t>
            </w:r>
            <w:proofErr w:type="spellEnd"/>
            <w:r w:rsidRPr="00150608">
              <w:rPr>
                <w:i/>
                <w:iCs/>
              </w:rPr>
              <w:t xml:space="preserve">) who have received at least one androgen receptor pathway inhibitor (ARPI) and </w:t>
            </w:r>
            <w:proofErr w:type="spellStart"/>
            <w:r w:rsidRPr="00150608">
              <w:rPr>
                <w:i/>
                <w:iCs/>
              </w:rPr>
              <w:t>taxane</w:t>
            </w:r>
            <w:proofErr w:type="spellEnd"/>
            <w:r w:rsidRPr="00150608">
              <w:rPr>
                <w:i/>
                <w:iCs/>
              </w:rPr>
              <w:t xml:space="preserve"> based chemotherapy.</w:t>
            </w:r>
          </w:p>
        </w:tc>
      </w:tr>
      <w:tr w:rsidR="00D82060" w:rsidRPr="00D01DDB" w14:paraId="3D8D2DB1" w14:textId="77777777" w:rsidTr="00751ADF">
        <w:tc>
          <w:tcPr>
            <w:cnfStyle w:val="001000000000" w:firstRow="0" w:lastRow="0" w:firstColumn="1" w:lastColumn="0" w:oddVBand="0" w:evenVBand="0" w:oddHBand="0" w:evenHBand="0" w:firstRowFirstColumn="0" w:firstRowLastColumn="0" w:lastRowFirstColumn="0" w:lastRowLastColumn="0"/>
            <w:tcW w:w="1014" w:type="pct"/>
          </w:tcPr>
          <w:p w14:paraId="459FB91C" w14:textId="7B3FCA15" w:rsidR="00D82060" w:rsidRPr="00C229F9" w:rsidRDefault="00D82060" w:rsidP="00751ADF">
            <w:r w:rsidRPr="00C229F9">
              <w:lastRenderedPageBreak/>
              <w:t>Singapore</w:t>
            </w:r>
          </w:p>
        </w:tc>
        <w:tc>
          <w:tcPr>
            <w:tcW w:w="1018" w:type="pct"/>
          </w:tcPr>
          <w:p w14:paraId="1B8D370C" w14:textId="053ED048" w:rsidR="00D82060" w:rsidRPr="00C229F9" w:rsidRDefault="00150608" w:rsidP="00751ADF">
            <w:pPr>
              <w:cnfStyle w:val="000000000000" w:firstRow="0" w:lastRow="0" w:firstColumn="0" w:lastColumn="0" w:oddVBand="0" w:evenVBand="0" w:oddHBand="0" w:evenHBand="0" w:firstRowFirstColumn="0" w:firstRowLastColumn="0" w:lastRowFirstColumn="0" w:lastRowLastColumn="0"/>
            </w:pPr>
            <w:r>
              <w:t>22 August 2022</w:t>
            </w:r>
          </w:p>
        </w:tc>
        <w:tc>
          <w:tcPr>
            <w:tcW w:w="1173" w:type="pct"/>
          </w:tcPr>
          <w:p w14:paraId="138592F7" w14:textId="3A37E413" w:rsidR="00D82060" w:rsidRPr="00C229F9" w:rsidRDefault="00150608" w:rsidP="00751ADF">
            <w:pPr>
              <w:cnfStyle w:val="000000000000" w:firstRow="0" w:lastRow="0" w:firstColumn="0" w:lastColumn="0" w:oddVBand="0" w:evenVBand="0" w:oddHBand="0" w:evenHBand="0" w:firstRowFirstColumn="0" w:firstRowLastColumn="0" w:lastRowFirstColumn="0" w:lastRowLastColumn="0"/>
            </w:pPr>
            <w:r>
              <w:t>Approved on</w:t>
            </w:r>
            <w:r w:rsidR="00DF5A07">
              <w:t xml:space="preserve"> 18 December 2023</w:t>
            </w:r>
          </w:p>
        </w:tc>
        <w:tc>
          <w:tcPr>
            <w:tcW w:w="1795" w:type="pct"/>
          </w:tcPr>
          <w:p w14:paraId="0663CBC6" w14:textId="7C463755" w:rsidR="00D82060" w:rsidRPr="00DF5A07" w:rsidRDefault="00DF5A07" w:rsidP="00751ADF">
            <w:pPr>
              <w:cnfStyle w:val="000000000000" w:firstRow="0" w:lastRow="0" w:firstColumn="0" w:lastColumn="0" w:oddVBand="0" w:evenVBand="0" w:oddHBand="0" w:evenHBand="0" w:firstRowFirstColumn="0" w:firstRowLastColumn="0" w:lastRowFirstColumn="0" w:lastRowLastColumn="0"/>
              <w:rPr>
                <w:i/>
                <w:iCs/>
              </w:rPr>
            </w:pPr>
            <w:r w:rsidRPr="00DF5A07">
              <w:rPr>
                <w:i/>
                <w:iCs/>
              </w:rPr>
              <w:t>Pluvicto is indicated for the treatment of adult patients with prostate-specific membrane antigen (PSMA)-positive metastatic castration-resistant prostate cancer (</w:t>
            </w:r>
            <w:proofErr w:type="spellStart"/>
            <w:r w:rsidRPr="00DF5A07">
              <w:rPr>
                <w:i/>
                <w:iCs/>
              </w:rPr>
              <w:t>mCRPC</w:t>
            </w:r>
            <w:proofErr w:type="spellEnd"/>
            <w:r w:rsidRPr="00DF5A07">
              <w:rPr>
                <w:i/>
                <w:iCs/>
              </w:rPr>
              <w:t xml:space="preserve">) who have been treated with androgen receptor (AR) pathway inhibitor and </w:t>
            </w:r>
            <w:proofErr w:type="spellStart"/>
            <w:r w:rsidRPr="00DF5A07">
              <w:rPr>
                <w:i/>
                <w:iCs/>
              </w:rPr>
              <w:t>taxane</w:t>
            </w:r>
            <w:proofErr w:type="spellEnd"/>
            <w:r w:rsidRPr="00DF5A07">
              <w:rPr>
                <w:i/>
                <w:iCs/>
              </w:rPr>
              <w:t>-based chemotherapy.</w:t>
            </w:r>
          </w:p>
        </w:tc>
      </w:tr>
      <w:tr w:rsidR="00D82060" w:rsidRPr="00D01DDB" w14:paraId="2DCC15F6" w14:textId="77777777" w:rsidTr="00751ADF">
        <w:tc>
          <w:tcPr>
            <w:cnfStyle w:val="001000000000" w:firstRow="0" w:lastRow="0" w:firstColumn="1" w:lastColumn="0" w:oddVBand="0" w:evenVBand="0" w:oddHBand="0" w:evenHBand="0" w:firstRowFirstColumn="0" w:firstRowLastColumn="0" w:lastRowFirstColumn="0" w:lastRowLastColumn="0"/>
            <w:tcW w:w="1014" w:type="pct"/>
          </w:tcPr>
          <w:p w14:paraId="6C1EB311" w14:textId="47E360C6" w:rsidR="00D82060" w:rsidRPr="00C229F9" w:rsidRDefault="00D82060" w:rsidP="00751ADF">
            <w:r w:rsidRPr="00C229F9">
              <w:t>Switzerland</w:t>
            </w:r>
          </w:p>
        </w:tc>
        <w:tc>
          <w:tcPr>
            <w:tcW w:w="1018" w:type="pct"/>
          </w:tcPr>
          <w:p w14:paraId="70C89639" w14:textId="6B86A739" w:rsidR="00D82060" w:rsidRPr="00C229F9" w:rsidRDefault="003E5F8C" w:rsidP="00751ADF">
            <w:pPr>
              <w:cnfStyle w:val="000000000000" w:firstRow="0" w:lastRow="0" w:firstColumn="0" w:lastColumn="0" w:oddVBand="0" w:evenVBand="0" w:oddHBand="0" w:evenHBand="0" w:firstRowFirstColumn="0" w:firstRowLastColumn="0" w:lastRowFirstColumn="0" w:lastRowLastColumn="0"/>
            </w:pPr>
            <w:r>
              <w:t>23 November 2021</w:t>
            </w:r>
          </w:p>
        </w:tc>
        <w:tc>
          <w:tcPr>
            <w:tcW w:w="1173" w:type="pct"/>
          </w:tcPr>
          <w:p w14:paraId="5A37FD12" w14:textId="24C9E313" w:rsidR="00D82060" w:rsidRPr="00C229F9" w:rsidRDefault="003E5F8C" w:rsidP="00751ADF">
            <w:pPr>
              <w:cnfStyle w:val="000000000000" w:firstRow="0" w:lastRow="0" w:firstColumn="0" w:lastColumn="0" w:oddVBand="0" w:evenVBand="0" w:oddHBand="0" w:evenHBand="0" w:firstRowFirstColumn="0" w:firstRowLastColumn="0" w:lastRowFirstColumn="0" w:lastRowLastColumn="0"/>
            </w:pPr>
            <w:r>
              <w:t>Approved on 24 February 2023</w:t>
            </w:r>
          </w:p>
        </w:tc>
        <w:tc>
          <w:tcPr>
            <w:tcW w:w="1795" w:type="pct"/>
          </w:tcPr>
          <w:p w14:paraId="30F478D3" w14:textId="522CFE47" w:rsidR="00D82060" w:rsidRPr="004069D8" w:rsidRDefault="008159EB" w:rsidP="00751ADF">
            <w:pPr>
              <w:cnfStyle w:val="000000000000" w:firstRow="0" w:lastRow="0" w:firstColumn="0" w:lastColumn="0" w:oddVBand="0" w:evenVBand="0" w:oddHBand="0" w:evenHBand="0" w:firstRowFirstColumn="0" w:firstRowLastColumn="0" w:lastRowFirstColumn="0" w:lastRowLastColumn="0"/>
              <w:rPr>
                <w:i/>
              </w:rPr>
            </w:pPr>
            <w:r w:rsidRPr="004069D8">
              <w:rPr>
                <w:i/>
              </w:rPr>
              <w:t>Pluvicto/Pluvicto CA is indicated for the treatment of adult patients with progressive prostate-specific membrane antigen (PSMA)-positive metastatic castration-resistant prostate cancer (</w:t>
            </w:r>
            <w:proofErr w:type="spellStart"/>
            <w:r w:rsidRPr="004069D8">
              <w:rPr>
                <w:i/>
              </w:rPr>
              <w:t>mCRPC</w:t>
            </w:r>
            <w:proofErr w:type="spellEnd"/>
            <w:r w:rsidRPr="004069D8">
              <w:rPr>
                <w:i/>
              </w:rPr>
              <w:t xml:space="preserve">) who have been treated with androgen receptor (AR) pathway inhibition and </w:t>
            </w:r>
            <w:proofErr w:type="spellStart"/>
            <w:r w:rsidRPr="004069D8">
              <w:rPr>
                <w:i/>
              </w:rPr>
              <w:t>taxane</w:t>
            </w:r>
            <w:proofErr w:type="spellEnd"/>
            <w:r w:rsidRPr="004069D8">
              <w:rPr>
                <w:i/>
              </w:rPr>
              <w:t xml:space="preserve"> based chemotherapy.</w:t>
            </w:r>
          </w:p>
        </w:tc>
      </w:tr>
    </w:tbl>
    <w:p w14:paraId="6D92589C" w14:textId="09786CEF" w:rsidR="00324B33" w:rsidRDefault="00324B33" w:rsidP="00751ADF">
      <w:pPr>
        <w:pStyle w:val="Heading2"/>
      </w:pPr>
      <w:bookmarkStart w:id="28" w:name="_Toc504480011"/>
      <w:bookmarkStart w:id="29" w:name="_Toc103679293"/>
      <w:bookmarkStart w:id="30" w:name="_Toc213751000"/>
      <w:r>
        <w:t xml:space="preserve">Registration </w:t>
      </w:r>
      <w:r w:rsidRPr="00751ADF">
        <w:t>timeline</w:t>
      </w:r>
      <w:bookmarkEnd w:id="28"/>
      <w:bookmarkEnd w:id="29"/>
      <w:bookmarkEnd w:id="30"/>
    </w:p>
    <w:p w14:paraId="225E3D87" w14:textId="1F3070CE" w:rsidR="00324B33" w:rsidRPr="00BD5DBD" w:rsidRDefault="00324B33" w:rsidP="00324B33">
      <w:pPr>
        <w:rPr>
          <w:szCs w:val="22"/>
        </w:rPr>
      </w:pPr>
      <w:r w:rsidRPr="00BD5DBD">
        <w:rPr>
          <w:szCs w:val="22"/>
        </w:rPr>
        <w:t>The following table captures the key steps and dates for this submission.</w:t>
      </w:r>
    </w:p>
    <w:p w14:paraId="6BB76942" w14:textId="52E31696" w:rsidR="00477C4E" w:rsidRPr="00BD5DBD" w:rsidRDefault="00477C4E" w:rsidP="00324B33">
      <w:pPr>
        <w:rPr>
          <w:szCs w:val="22"/>
        </w:rPr>
      </w:pPr>
      <w:r w:rsidRPr="00BD5DBD">
        <w:rPr>
          <w:szCs w:val="22"/>
        </w:rPr>
        <w:t xml:space="preserve">This submission was evaluated under the </w:t>
      </w:r>
      <w:hyperlink r:id="rId21" w:history="1">
        <w:r w:rsidRPr="00BD5DBD">
          <w:rPr>
            <w:rStyle w:val="Hyperlink"/>
            <w:szCs w:val="22"/>
          </w:rPr>
          <w:t>standard prescription medicines registration process</w:t>
        </w:r>
      </w:hyperlink>
      <w:r w:rsidRPr="00BD5DBD">
        <w:rPr>
          <w:szCs w:val="22"/>
        </w:rPr>
        <w:t>.</w:t>
      </w:r>
    </w:p>
    <w:p w14:paraId="5263E729" w14:textId="25C6B489" w:rsidR="005B02A2" w:rsidRPr="009C0741" w:rsidRDefault="00324B33" w:rsidP="00751ADF">
      <w:pPr>
        <w:pStyle w:val="TableTitle"/>
      </w:pPr>
      <w:r w:rsidRPr="002C1232">
        <w:t xml:space="preserve">Table </w:t>
      </w:r>
      <w:r w:rsidR="007F1E37">
        <w:fldChar w:fldCharType="begin"/>
      </w:r>
      <w:r w:rsidR="007F1E37">
        <w:instrText xml:space="preserve"> SEQ Table \* ARABIC </w:instrText>
      </w:r>
      <w:r w:rsidR="007F1E37">
        <w:fldChar w:fldCharType="separate"/>
      </w:r>
      <w:r w:rsidR="00AB77D0">
        <w:rPr>
          <w:noProof/>
        </w:rPr>
        <w:t>2</w:t>
      </w:r>
      <w:r w:rsidR="007F1E37">
        <w:fldChar w:fldCharType="end"/>
      </w:r>
      <w:r w:rsidRPr="002C1232">
        <w:t xml:space="preserve">: Timeline for Submission </w:t>
      </w:r>
      <w:r w:rsidR="004069D8" w:rsidRPr="004069D8">
        <w:t>PM-2023-02254-1-4</w:t>
      </w:r>
    </w:p>
    <w:tbl>
      <w:tblPr>
        <w:tblStyle w:val="TableTGAblue2023"/>
        <w:tblW w:w="8642" w:type="dxa"/>
        <w:tblLook w:val="04A0" w:firstRow="1" w:lastRow="0" w:firstColumn="1" w:lastColumn="0" w:noHBand="0" w:noVBand="1"/>
      </w:tblPr>
      <w:tblGrid>
        <w:gridCol w:w="5665"/>
        <w:gridCol w:w="2977"/>
      </w:tblGrid>
      <w:tr w:rsidR="00324B33" w:rsidRPr="00D01DDB" w14:paraId="6C59BE9C" w14:textId="77777777" w:rsidTr="000D7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D80E78" w14:textId="3EC0CCAF" w:rsidR="00324B33" w:rsidRPr="00D01DDB" w:rsidRDefault="00324B33" w:rsidP="00324B33">
            <w:pPr>
              <w:rPr>
                <w:szCs w:val="22"/>
              </w:rPr>
            </w:pPr>
            <w:r w:rsidRPr="00D01DDB">
              <w:rPr>
                <w:szCs w:val="22"/>
              </w:rPr>
              <w:t>Description</w:t>
            </w:r>
          </w:p>
        </w:tc>
        <w:tc>
          <w:tcPr>
            <w:tcW w:w="2977"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59D2A12" w14:textId="0D705F83" w:rsidR="00324B33" w:rsidRPr="00E679D1" w:rsidRDefault="00324B33" w:rsidP="00E679D1">
            <w:r w:rsidRPr="00E679D1">
              <w:t>Submission dossier accepted and first round evaluation commenced</w:t>
            </w:r>
          </w:p>
        </w:tc>
        <w:tc>
          <w:tcPr>
            <w:tcW w:w="2977" w:type="dxa"/>
          </w:tcPr>
          <w:p w14:paraId="2963D9D8" w14:textId="32490B49" w:rsidR="00324B33" w:rsidRPr="00D01DDB" w:rsidRDefault="00E631C6"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 August 2023</w:t>
            </w:r>
          </w:p>
        </w:tc>
      </w:tr>
      <w:tr w:rsidR="00803926" w:rsidRPr="00D01DDB" w14:paraId="16D13F79"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6858B45A" w14:textId="29AC81D3" w:rsidR="00803926" w:rsidRPr="00E679D1" w:rsidDel="00C62B1C" w:rsidRDefault="00803926" w:rsidP="00E679D1">
            <w:r>
              <w:t>Evaluation completed</w:t>
            </w:r>
          </w:p>
        </w:tc>
        <w:tc>
          <w:tcPr>
            <w:tcW w:w="2977" w:type="dxa"/>
          </w:tcPr>
          <w:p w14:paraId="2E0BD403" w14:textId="53A3E8FC" w:rsidR="00803926" w:rsidRPr="00D01DDB" w:rsidRDefault="009F027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24 April </w:t>
            </w:r>
            <w:r w:rsidR="00FF3F6C">
              <w:rPr>
                <w:szCs w:val="22"/>
              </w:rPr>
              <w:t>2024</w:t>
            </w:r>
          </w:p>
        </w:tc>
      </w:tr>
      <w:tr w:rsidR="00324B33" w:rsidRPr="00D01DDB" w14:paraId="5754F7AC"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89DE187" w14:textId="04C4CBE9" w:rsidR="00324B33" w:rsidRPr="00E679D1" w:rsidRDefault="00324B33" w:rsidP="00E679D1">
            <w:r w:rsidRPr="00E679D1">
              <w:t xml:space="preserve">Advisory </w:t>
            </w:r>
            <w:r w:rsidR="00F8568E">
              <w:t>c</w:t>
            </w:r>
            <w:r w:rsidRPr="00E679D1">
              <w:t>ommittee meeting</w:t>
            </w:r>
          </w:p>
        </w:tc>
        <w:tc>
          <w:tcPr>
            <w:tcW w:w="2977" w:type="dxa"/>
          </w:tcPr>
          <w:p w14:paraId="5BE1EDE7" w14:textId="44530952" w:rsidR="00324B33" w:rsidRPr="00D01DDB" w:rsidRDefault="00587BC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6 and 7 June 2024</w:t>
            </w:r>
          </w:p>
        </w:tc>
      </w:tr>
      <w:tr w:rsidR="00324B33" w:rsidRPr="00D01DDB" w14:paraId="6E5D32FE"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4E95C44C" w14:textId="7A91C710" w:rsidR="00324B33" w:rsidRPr="00E679D1" w:rsidRDefault="00324B33" w:rsidP="00E679D1">
            <w:r w:rsidRPr="00E679D1">
              <w:t>Registration decision (Outcome)</w:t>
            </w:r>
          </w:p>
        </w:tc>
        <w:tc>
          <w:tcPr>
            <w:tcW w:w="2977" w:type="dxa"/>
          </w:tcPr>
          <w:p w14:paraId="62987ABD" w14:textId="023C2F10" w:rsidR="00324B33" w:rsidRPr="00D01DDB" w:rsidRDefault="006667AB"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16 July 2024</w:t>
            </w:r>
          </w:p>
        </w:tc>
      </w:tr>
      <w:tr w:rsidR="00324B33" w:rsidRPr="00D01DDB" w14:paraId="6DDCDDA4"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192FD19D" w14:textId="58CC6F28" w:rsidR="00324B33" w:rsidRPr="00E679D1" w:rsidRDefault="00C00844" w:rsidP="004F4420">
            <w:r>
              <w:t>R</w:t>
            </w:r>
            <w:r w:rsidR="0013132F" w:rsidRPr="00E679D1">
              <w:t xml:space="preserve">egistration </w:t>
            </w:r>
            <w:r w:rsidR="005C4B46" w:rsidRPr="00E679D1">
              <w:t xml:space="preserve">in </w:t>
            </w:r>
            <w:r w:rsidR="0013132F" w:rsidRPr="00E679D1">
              <w:t>the ARTG completed</w:t>
            </w:r>
          </w:p>
        </w:tc>
        <w:tc>
          <w:tcPr>
            <w:tcW w:w="2977" w:type="dxa"/>
          </w:tcPr>
          <w:p w14:paraId="5A8923FD" w14:textId="0DE88BED" w:rsidR="00324B33" w:rsidRPr="00D01DDB" w:rsidRDefault="006667AB"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17 July 2024</w:t>
            </w:r>
          </w:p>
        </w:tc>
      </w:tr>
      <w:tr w:rsidR="00324B33" w:rsidRPr="00D01DDB" w14:paraId="56D922E2"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87FD8DD" w14:textId="0E0CF97F" w:rsidR="00324B33" w:rsidRPr="00E679D1" w:rsidRDefault="00324B33" w:rsidP="00E679D1">
            <w:r w:rsidRPr="00E679D1">
              <w:t>Number of working days from submission dossier acceptance to registration decision*</w:t>
            </w:r>
          </w:p>
        </w:tc>
        <w:tc>
          <w:tcPr>
            <w:tcW w:w="2977" w:type="dxa"/>
          </w:tcPr>
          <w:p w14:paraId="5BAF9FA1" w14:textId="46A2DEA0" w:rsidR="00324B33" w:rsidRPr="00D01DDB" w:rsidRDefault="004F4420"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197</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31D0BF71" w:rsidR="00C22214" w:rsidRPr="00792A32" w:rsidRDefault="00083763" w:rsidP="00C22214">
      <w:pPr>
        <w:pStyle w:val="Heading2"/>
      </w:pPr>
      <w:bookmarkStart w:id="31" w:name="_Toc196046504"/>
      <w:bookmarkStart w:id="32" w:name="_Toc247691527"/>
      <w:bookmarkStart w:id="33" w:name="_Toc314842510"/>
      <w:bookmarkStart w:id="34" w:name="_Toc103679294"/>
      <w:bookmarkStart w:id="35" w:name="_Toc213751001"/>
      <w:r w:rsidRPr="001830FC">
        <w:lastRenderedPageBreak/>
        <w:t xml:space="preserve">Assessment </w:t>
      </w:r>
      <w:r w:rsidR="00C22214" w:rsidRPr="001830FC">
        <w:t>overview</w:t>
      </w:r>
      <w:bookmarkEnd w:id="31"/>
      <w:bookmarkEnd w:id="32"/>
      <w:bookmarkEnd w:id="33"/>
      <w:bookmarkEnd w:id="34"/>
      <w:bookmarkEnd w:id="35"/>
    </w:p>
    <w:p w14:paraId="540151FC" w14:textId="77777777" w:rsidR="00C22214" w:rsidRDefault="00C22214" w:rsidP="00BD5DBD">
      <w:pPr>
        <w:rPr>
          <w:szCs w:val="22"/>
        </w:rPr>
      </w:pPr>
      <w:bookmarkStart w:id="36" w:name="_Toc247691528"/>
      <w:bookmarkStart w:id="37" w:name="_Toc314842511"/>
      <w:r w:rsidRPr="00BD5DBD">
        <w:rPr>
          <w:szCs w:val="22"/>
        </w:rPr>
        <w:t>A summary of the TGA’s assessment for this submission is provided below.</w:t>
      </w:r>
    </w:p>
    <w:p w14:paraId="4FBABD7E" w14:textId="77777777" w:rsidR="006B2A72" w:rsidRPr="00BD5DBD" w:rsidRDefault="006B2A72" w:rsidP="006B2A72">
      <w:pPr>
        <w:rPr>
          <w:szCs w:val="22"/>
        </w:rPr>
      </w:pPr>
      <w:r w:rsidRPr="00BD5DBD">
        <w:rPr>
          <w:szCs w:val="22"/>
        </w:rPr>
        <w:t>This section is a TGA summary of wording used in TGA’s evaluation report, which discussed numerous aspects of overseas evaluation reports and included some information that was commercial-in-confidence.</w:t>
      </w:r>
    </w:p>
    <w:p w14:paraId="37F5A1C0" w14:textId="5D3D5FE0" w:rsidR="00C22214" w:rsidRDefault="00095C6A" w:rsidP="00C22214">
      <w:pPr>
        <w:pStyle w:val="Heading3"/>
      </w:pPr>
      <w:bookmarkStart w:id="38" w:name="_Toc103679295"/>
      <w:bookmarkStart w:id="39" w:name="_Toc213751002"/>
      <w:r>
        <w:t>Q</w:t>
      </w:r>
      <w:r w:rsidR="00C22214">
        <w:t>uality</w:t>
      </w:r>
      <w:bookmarkEnd w:id="36"/>
      <w:bookmarkEnd w:id="37"/>
      <w:bookmarkEnd w:id="38"/>
      <w:r w:rsidR="007E6443">
        <w:t xml:space="preserve"> evaluation</w:t>
      </w:r>
      <w:r>
        <w:t xml:space="preserve"> summary</w:t>
      </w:r>
      <w:bookmarkEnd w:id="39"/>
    </w:p>
    <w:p w14:paraId="217AC5D2" w14:textId="63C80EC5" w:rsidR="006A7DEF" w:rsidRDefault="00306395" w:rsidP="00751ADF">
      <w:r>
        <w:t>Pluvicto</w:t>
      </w:r>
      <w:r w:rsidR="006A7DEF" w:rsidRPr="00CD49DA">
        <w:t xml:space="preserve"> is a </w:t>
      </w:r>
      <w:proofErr w:type="gramStart"/>
      <w:r w:rsidR="006A7DEF" w:rsidRPr="00CD49DA">
        <w:t>radiopharmaceutical</w:t>
      </w:r>
      <w:proofErr w:type="gramEnd"/>
      <w:r w:rsidR="006A7DEF">
        <w:t xml:space="preserve"> and t</w:t>
      </w:r>
      <w:r w:rsidR="006A7DEF" w:rsidRPr="00CD49DA">
        <w:t>he active moiety is the radionuclide lutetium (</w:t>
      </w:r>
      <w:r w:rsidR="006A7DEF" w:rsidRPr="00D83C4C">
        <w:rPr>
          <w:vertAlign w:val="superscript"/>
        </w:rPr>
        <w:t>177</w:t>
      </w:r>
      <w:r w:rsidR="006A7DEF" w:rsidRPr="00CD49DA">
        <w:t xml:space="preserve">Lu) which is linked to a targeting moiety that binds with high affinity to PSMA, a transmembrane protein that is highly expressed in prostate cancer, including </w:t>
      </w:r>
      <w:proofErr w:type="spellStart"/>
      <w:r w:rsidR="006A7DEF" w:rsidRPr="00CD49DA">
        <w:t>mCRPC</w:t>
      </w:r>
      <w:proofErr w:type="spellEnd"/>
      <w:r w:rsidR="006A7DEF" w:rsidRPr="00CD49DA">
        <w:t>. Upon the binding to PSMA</w:t>
      </w:r>
      <w:r w:rsidR="003F3127">
        <w:noBreakHyphen/>
      </w:r>
      <w:r w:rsidR="006A7DEF" w:rsidRPr="00CD49DA">
        <w:t>expressing cancer cells, the beta radiation emission from lutetium-177 delivers therapeutic radiation to the targeted cell, as well as to surrounding cells, and induces DNA damage which can lead to cell death.</w:t>
      </w:r>
    </w:p>
    <w:p w14:paraId="3731407C" w14:textId="16E2F012" w:rsidR="006B2A72" w:rsidRDefault="006B2A72" w:rsidP="006B2A72">
      <w:r w:rsidRPr="00717630">
        <w:t xml:space="preserve">The product is a </w:t>
      </w:r>
      <w:r>
        <w:t xml:space="preserve">single use, sterile, </w:t>
      </w:r>
      <w:r w:rsidRPr="00717630">
        <w:rPr>
          <w:rFonts w:cs="Calibri"/>
        </w:rPr>
        <w:t xml:space="preserve">clear, colourless to slightly yellow solution </w:t>
      </w:r>
      <w:r>
        <w:rPr>
          <w:rFonts w:cs="Calibri"/>
        </w:rPr>
        <w:t>for injection or infusion</w:t>
      </w:r>
      <w:r w:rsidRPr="00717630">
        <w:rPr>
          <w:rFonts w:cs="Calibri"/>
        </w:rPr>
        <w:t>.</w:t>
      </w:r>
      <w:r w:rsidRPr="00717630">
        <w:t xml:space="preserve"> Given the fixed volumetric activity of 1,000</w:t>
      </w:r>
      <w:r w:rsidR="003F3127">
        <w:t> </w:t>
      </w:r>
      <w:r w:rsidRPr="00717630">
        <w:t>MBq/mL at the date and time of calibration</w:t>
      </w:r>
      <w:r>
        <w:t xml:space="preserve"> (end of production)</w:t>
      </w:r>
      <w:r w:rsidRPr="00717630">
        <w:t>, the volume of the solution in the vial can range from 7.5</w:t>
      </w:r>
      <w:r w:rsidR="003F3127">
        <w:t> </w:t>
      </w:r>
      <w:r w:rsidRPr="00717630">
        <w:t>mL to 12.5</w:t>
      </w:r>
      <w:r w:rsidR="003F3127">
        <w:t> </w:t>
      </w:r>
      <w:r w:rsidRPr="00717630">
        <w:t>mL to provide the required amount of radioactivity at the date and time of administration.</w:t>
      </w:r>
    </w:p>
    <w:p w14:paraId="7783A032" w14:textId="4A288F1F" w:rsidR="006B2A72" w:rsidRDefault="006B2A72" w:rsidP="006B2A72">
      <w:r>
        <w:t>The product is manufactured in a continuous automatic process combining the radionuclide precursor (</w:t>
      </w:r>
      <w:r w:rsidRPr="002F3ACD">
        <w:rPr>
          <w:vertAlign w:val="superscript"/>
        </w:rPr>
        <w:t>177</w:t>
      </w:r>
      <w:r>
        <w:t>LuCl</w:t>
      </w:r>
      <w:r>
        <w:rPr>
          <w:vertAlign w:val="subscript"/>
        </w:rPr>
        <w:t>3</w:t>
      </w:r>
      <w:r>
        <w:t>) with the chemical precursor (vipivotide tetraxetan) to form the drug substance (lutetium (</w:t>
      </w:r>
      <w:r w:rsidRPr="003F3127">
        <w:rPr>
          <w:vertAlign w:val="superscript"/>
        </w:rPr>
        <w:t>177</w:t>
      </w:r>
      <w:r>
        <w:t>Lu) vipivotide tetraxetan). The drug substance is not isolated and is directly formulated into the drug product.</w:t>
      </w:r>
    </w:p>
    <w:p w14:paraId="21EA2BBB" w14:textId="401997DA" w:rsidR="006B2A72" w:rsidRDefault="004D5183" w:rsidP="00751ADF">
      <w:pPr>
        <w:rPr>
          <w:lang w:eastAsia="en-AU"/>
        </w:rPr>
      </w:pPr>
      <w:r>
        <w:rPr>
          <w:lang w:eastAsia="en-AU"/>
        </w:rPr>
        <w:t>The shelf life of the drug product is 120 hours (5 days) after calibration time (end of production).</w:t>
      </w:r>
    </w:p>
    <w:p w14:paraId="0945EF8E" w14:textId="1CB402E5" w:rsidR="00143D1D" w:rsidRPr="00717630" w:rsidRDefault="00143D1D" w:rsidP="00751ADF">
      <w:pPr>
        <w:pStyle w:val="FigureTitle"/>
      </w:pPr>
      <w:r>
        <w:t xml:space="preserve">Figure </w:t>
      </w:r>
      <w:r>
        <w:fldChar w:fldCharType="begin"/>
      </w:r>
      <w:r>
        <w:instrText xml:space="preserve"> SEQ Figure \* ARABIC </w:instrText>
      </w:r>
      <w:r>
        <w:fldChar w:fldCharType="separate"/>
      </w:r>
      <w:r w:rsidR="00AB77D0">
        <w:rPr>
          <w:noProof/>
        </w:rPr>
        <w:t>1</w:t>
      </w:r>
      <w:r>
        <w:fldChar w:fldCharType="end"/>
      </w:r>
      <w:r>
        <w:t xml:space="preserve">: </w:t>
      </w:r>
      <w:r w:rsidRPr="00751ADF">
        <w:t>Structure</w:t>
      </w:r>
      <w:r>
        <w:t xml:space="preserve"> of lutetium (</w:t>
      </w:r>
      <w:proofErr w:type="spellStart"/>
      <w:r w:rsidRPr="000A7607">
        <w:rPr>
          <w:vertAlign w:val="superscript"/>
        </w:rPr>
        <w:t>177</w:t>
      </w:r>
      <w:r>
        <w:t>Lu</w:t>
      </w:r>
      <w:proofErr w:type="spellEnd"/>
      <w:r>
        <w:t xml:space="preserve">) </w:t>
      </w:r>
      <w:proofErr w:type="spellStart"/>
      <w:r>
        <w:t>vipivotide</w:t>
      </w:r>
      <w:proofErr w:type="spellEnd"/>
      <w:r>
        <w:t xml:space="preserve"> tetraxetan</w:t>
      </w:r>
    </w:p>
    <w:p w14:paraId="4C065E93" w14:textId="6AE4C9B4" w:rsidR="00143D1D" w:rsidRDefault="00143D1D" w:rsidP="00751ADF">
      <w:pPr>
        <w:rPr>
          <w:lang w:eastAsia="en-AU"/>
        </w:rPr>
      </w:pPr>
      <w:r>
        <w:rPr>
          <w:noProof/>
        </w:rPr>
        <w:drawing>
          <wp:inline distT="0" distB="0" distL="0" distR="0" wp14:anchorId="661AF680" wp14:editId="6AA63C80">
            <wp:extent cx="3438525" cy="1985748"/>
            <wp:effectExtent l="0" t="0" r="0" b="0"/>
            <wp:docPr id="112" name="Picture 112" descr="Figure 1: Structure of lutetium (177Lu) vipivotide tetraxe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descr="Figure 1: Structure of lutetium (177Lu) vipivotide tetraxetan"/>
                    <pic:cNvPicPr/>
                  </pic:nvPicPr>
                  <pic:blipFill>
                    <a:blip r:embed="rId22"/>
                    <a:stretch>
                      <a:fillRect/>
                    </a:stretch>
                  </pic:blipFill>
                  <pic:spPr>
                    <a:xfrm>
                      <a:off x="0" y="0"/>
                      <a:ext cx="3444406" cy="1989144"/>
                    </a:xfrm>
                    <a:prstGeom prst="rect">
                      <a:avLst/>
                    </a:prstGeom>
                  </pic:spPr>
                </pic:pic>
              </a:graphicData>
            </a:graphic>
          </wp:inline>
        </w:drawing>
      </w:r>
    </w:p>
    <w:p w14:paraId="40850FD5" w14:textId="77777777" w:rsidR="00143D1D" w:rsidRPr="00FC44CC" w:rsidRDefault="00143D1D" w:rsidP="00143D1D">
      <w:pPr>
        <w:pStyle w:val="Heading4"/>
      </w:pPr>
      <w:bookmarkStart w:id="40" w:name="_Toc213751003"/>
      <w:r w:rsidRPr="00FC44CC">
        <w:t>Biopharmaceutics</w:t>
      </w:r>
      <w:bookmarkEnd w:id="40"/>
    </w:p>
    <w:p w14:paraId="4BBD2B8E" w14:textId="77777777" w:rsidR="00143D1D" w:rsidRDefault="00143D1D" w:rsidP="00751ADF">
      <w:r w:rsidRPr="00124204">
        <w:t>No bioequivalence studies were conducted for the proposed product as the formulation used in clinical development Study PSMA-617-01 (VISION) had only minor excipient differences in the overall composition compared to the proposed commercial formulation.</w:t>
      </w:r>
      <w:r w:rsidRPr="004D1602">
        <w:t xml:space="preserve"> </w:t>
      </w:r>
      <w:r w:rsidRPr="0029212C">
        <w:t>The change in formulation is minor and does not affect the quality of the drug product and is unlikely to affect clinical performance.</w:t>
      </w:r>
    </w:p>
    <w:p w14:paraId="2F891319" w14:textId="196BA41C" w:rsidR="00F60B5A" w:rsidRDefault="008932AD" w:rsidP="00F60B5A">
      <w:pPr>
        <w:pStyle w:val="Heading4"/>
        <w:rPr>
          <w:lang w:eastAsia="en-AU"/>
        </w:rPr>
      </w:pPr>
      <w:bookmarkStart w:id="41" w:name="_Toc213751004"/>
      <w:r>
        <w:rPr>
          <w:lang w:eastAsia="en-AU"/>
        </w:rPr>
        <w:lastRenderedPageBreak/>
        <w:t>R</w:t>
      </w:r>
      <w:r w:rsidR="00560401">
        <w:rPr>
          <w:lang w:eastAsia="en-AU"/>
        </w:rPr>
        <w:t>ecommendation</w:t>
      </w:r>
      <w:r>
        <w:rPr>
          <w:lang w:eastAsia="en-AU"/>
        </w:rPr>
        <w:t xml:space="preserve"> following quality evaluation</w:t>
      </w:r>
      <w:bookmarkEnd w:id="41"/>
    </w:p>
    <w:p w14:paraId="79DDCA9B" w14:textId="63F9DE14" w:rsidR="004D5183" w:rsidRDefault="004D5183" w:rsidP="00637F0E">
      <w:pPr>
        <w:rPr>
          <w:lang w:eastAsia="en-AU"/>
        </w:rPr>
      </w:pPr>
      <w:r>
        <w:t>Approval is recommended for registration of the product from a pharmaceutical chemistry perspective</w:t>
      </w:r>
      <w:r w:rsidR="001350A8">
        <w:t>.</w:t>
      </w:r>
    </w:p>
    <w:p w14:paraId="2BE90AAE" w14:textId="35796FD3" w:rsidR="00C22214" w:rsidRDefault="00C22214" w:rsidP="00C22214">
      <w:pPr>
        <w:pStyle w:val="Heading3"/>
      </w:pPr>
      <w:bookmarkStart w:id="42" w:name="_Toc314842512"/>
      <w:bookmarkStart w:id="43" w:name="_Toc103679296"/>
      <w:bookmarkStart w:id="44" w:name="_Toc213751005"/>
      <w:r>
        <w:t>Nonclinical</w:t>
      </w:r>
      <w:bookmarkEnd w:id="42"/>
      <w:bookmarkEnd w:id="43"/>
      <w:r w:rsidR="007E6443">
        <w:t xml:space="preserve"> evaluation</w:t>
      </w:r>
      <w:r w:rsidR="00095C6A">
        <w:t xml:space="preserve"> summary</w:t>
      </w:r>
      <w:bookmarkEnd w:id="44"/>
    </w:p>
    <w:p w14:paraId="3E96A753" w14:textId="7D24B52C" w:rsidR="00C4146A" w:rsidRPr="00C4146A" w:rsidRDefault="00C4146A" w:rsidP="00C4146A">
      <w:bookmarkStart w:id="45" w:name="_Toc247691530"/>
      <w:bookmarkStart w:id="46" w:name="_Toc314842513"/>
      <w:bookmarkStart w:id="47" w:name="_Toc103679297"/>
      <w:r w:rsidRPr="00C4146A">
        <w:t xml:space="preserve">Deficiencies identified in the </w:t>
      </w:r>
      <w:r>
        <w:t xml:space="preserve">non-clinical </w:t>
      </w:r>
      <w:r w:rsidRPr="00C4146A">
        <w:t>dossier were primarily limited to the single rat repeat</w:t>
      </w:r>
      <w:r w:rsidR="002067CC">
        <w:noBreakHyphen/>
      </w:r>
      <w:r w:rsidRPr="00C4146A">
        <w:t>dose toxicity study which utilised unlabelled vipivotide tetraxetan (not representative of the commercial formulation and toxicity of the lutetium component) and no toxicokinetic data. Given the renal toxicity observed in the acute study, repeated dosing with higher escalating doses of the proposed formulation and a longer dosing duration would have elucidated this finding further, more adequately assessed the potential for delayed toxicity and the toxicity of the lutetium component.</w:t>
      </w:r>
    </w:p>
    <w:p w14:paraId="349DE02A" w14:textId="41623E3E" w:rsidR="00C4146A" w:rsidRPr="00C4146A" w:rsidRDefault="00C4146A" w:rsidP="00C4146A">
      <w:r w:rsidRPr="00C4146A">
        <w:t xml:space="preserve">The nonclinical primary pharmacology and pharmacokinetic studies support the proposed indication </w:t>
      </w:r>
      <w:r w:rsidR="004F1927">
        <w:t>‘</w:t>
      </w:r>
      <w:r w:rsidRPr="00C4146A">
        <w:t>treatment of (PSMA)-positive metastatic castration-resistant prostate cancer</w:t>
      </w:r>
      <w:r w:rsidR="004F1927">
        <w:t>’</w:t>
      </w:r>
      <w:r w:rsidRPr="00C4146A">
        <w:t>.</w:t>
      </w:r>
    </w:p>
    <w:p w14:paraId="27AD69E6" w14:textId="77777777" w:rsidR="00C4146A" w:rsidRPr="00C4146A" w:rsidRDefault="00C4146A" w:rsidP="00C4146A">
      <w:r w:rsidRPr="00C4146A">
        <w:t>The key concerns for patients identified from the nonclinical data are the potential for renal toxicity and injection site reactions.</w:t>
      </w:r>
    </w:p>
    <w:p w14:paraId="42C470B3" w14:textId="2DE6C684" w:rsidR="00C4146A" w:rsidRPr="00C4146A" w:rsidRDefault="00C4146A" w:rsidP="00C4146A">
      <w:r w:rsidRPr="00C4146A">
        <w:t>While the toxicity investigations were limited, there are no nonclinical objections to registration of P</w:t>
      </w:r>
      <w:r w:rsidR="004F1927">
        <w:t>luvicto</w:t>
      </w:r>
      <w:r w:rsidRPr="00C4146A">
        <w:t xml:space="preserve"> for the proposed indication provided safety has been adequately assessed by clinical data.</w:t>
      </w:r>
    </w:p>
    <w:p w14:paraId="142CB257" w14:textId="4069F8C4" w:rsidR="00913E9E" w:rsidRPr="00BD5DBD" w:rsidRDefault="00C4146A" w:rsidP="008804CF">
      <w:pPr>
        <w:rPr>
          <w:b/>
          <w:bCs/>
          <w:szCs w:val="22"/>
        </w:rPr>
      </w:pPr>
      <w:r w:rsidRPr="00C4146A">
        <w:t>The nonclinical evaluation does not cover radiation protection aspects of the submission.</w:t>
      </w:r>
    </w:p>
    <w:p w14:paraId="35B580A5" w14:textId="40B226DC" w:rsidR="00C22214" w:rsidRDefault="00C22214" w:rsidP="00751ADF">
      <w:pPr>
        <w:pStyle w:val="Heading3"/>
      </w:pPr>
      <w:bookmarkStart w:id="48" w:name="_Toc213751006"/>
      <w:r>
        <w:t>Clinical</w:t>
      </w:r>
      <w:bookmarkEnd w:id="45"/>
      <w:bookmarkEnd w:id="46"/>
      <w:bookmarkEnd w:id="47"/>
      <w:r w:rsidR="00095C6A">
        <w:t xml:space="preserve"> evaluation </w:t>
      </w:r>
      <w:r w:rsidR="00095C6A" w:rsidRPr="00751ADF">
        <w:t>summary</w:t>
      </w:r>
      <w:bookmarkEnd w:id="48"/>
    </w:p>
    <w:p w14:paraId="32B0DEDA" w14:textId="77777777" w:rsidR="00C22214" w:rsidRPr="00433318" w:rsidRDefault="00C22214" w:rsidP="00433318">
      <w:pPr>
        <w:pStyle w:val="Heading4"/>
      </w:pPr>
      <w:bookmarkStart w:id="49" w:name="_Toc98931928"/>
      <w:bookmarkStart w:id="50" w:name="_Toc213751007"/>
      <w:r>
        <w:t>Summary of clinical studies</w:t>
      </w:r>
      <w:bookmarkEnd w:id="49"/>
      <w:bookmarkEnd w:id="50"/>
    </w:p>
    <w:p w14:paraId="46622364" w14:textId="2C728F95" w:rsidR="00C22214" w:rsidRDefault="00C22214" w:rsidP="00751ADF">
      <w:r w:rsidRPr="00BD5DBD">
        <w:t>The clinical dossier consisted of</w:t>
      </w:r>
      <w:r w:rsidR="007357B9" w:rsidRPr="00BD5DBD">
        <w:t>:</w:t>
      </w:r>
      <w:r w:rsidRPr="00BD5DBD">
        <w:t xml:space="preserve"> </w:t>
      </w:r>
    </w:p>
    <w:p w14:paraId="055D8E6A" w14:textId="391EF9D9" w:rsidR="00EF747C" w:rsidRPr="00EF747C" w:rsidRDefault="00EF747C" w:rsidP="005246D2">
      <w:pPr>
        <w:pStyle w:val="ListBullet"/>
      </w:pPr>
      <w:r>
        <w:t xml:space="preserve">Study </w:t>
      </w:r>
      <w:r w:rsidRPr="00EF747C">
        <w:t>PSMA-617-01 (VISION) – a randomised, open</w:t>
      </w:r>
      <w:r w:rsidR="00E6164D">
        <w:t xml:space="preserve"> </w:t>
      </w:r>
      <w:r w:rsidRPr="00EF747C">
        <w:t xml:space="preserve">label, </w:t>
      </w:r>
      <w:r w:rsidR="00C90219">
        <w:t>P</w:t>
      </w:r>
      <w:r w:rsidRPr="00EF747C">
        <w:t xml:space="preserve">hase </w:t>
      </w:r>
      <w:r w:rsidR="00C90219">
        <w:t>III</w:t>
      </w:r>
      <w:r w:rsidRPr="00EF747C">
        <w:t xml:space="preserve"> study in patients with progressive </w:t>
      </w:r>
      <w:proofErr w:type="spellStart"/>
      <w:r w:rsidRPr="00EF747C">
        <w:t>PSMA</w:t>
      </w:r>
      <w:proofErr w:type="spellEnd"/>
      <w:r w:rsidRPr="00EF747C">
        <w:t>-p</w:t>
      </w:r>
      <w:r w:rsidRPr="00F06D89">
        <w:t xml:space="preserve">ositive </w:t>
      </w:r>
      <w:proofErr w:type="spellStart"/>
      <w:r w:rsidRPr="00F06D89">
        <w:t>mCRPC</w:t>
      </w:r>
      <w:proofErr w:type="spellEnd"/>
      <w:r w:rsidRPr="00F06D89">
        <w:t xml:space="preserve"> who</w:t>
      </w:r>
      <w:r w:rsidRPr="00EF747C">
        <w:t xml:space="preserve"> were previously treated with 1</w:t>
      </w:r>
      <w:r w:rsidR="00C90219">
        <w:t xml:space="preserve"> to </w:t>
      </w:r>
      <w:r w:rsidRPr="00EF747C">
        <w:t xml:space="preserve">2 </w:t>
      </w:r>
      <w:proofErr w:type="spellStart"/>
      <w:r w:rsidRPr="00EF747C">
        <w:t>taxane</w:t>
      </w:r>
      <w:proofErr w:type="spellEnd"/>
      <w:r w:rsidRPr="00EF747C">
        <w:t>-based chemotherapy regimens</w:t>
      </w:r>
      <w:r w:rsidR="004D6042">
        <w:t xml:space="preserve">, </w:t>
      </w:r>
      <w:r w:rsidR="004D6042" w:rsidRPr="004D6042">
        <w:t>and at least one novel androgen axis drug/androgen receptor pathway inhibitor.</w:t>
      </w:r>
    </w:p>
    <w:p w14:paraId="69FCF8A1" w14:textId="77777777" w:rsidR="00AD0A92" w:rsidRDefault="00EF747C" w:rsidP="005246D2">
      <w:pPr>
        <w:pStyle w:val="ListBullet"/>
      </w:pPr>
      <w:r w:rsidRPr="00C140F0">
        <w:t xml:space="preserve">Study PSMA-617-01 Sub-study. This sub-study provided pharmacokinetics (PK), </w:t>
      </w:r>
      <w:r w:rsidR="00850A12" w:rsidRPr="00C140F0">
        <w:t>electrocardiogram (</w:t>
      </w:r>
      <w:r w:rsidRPr="00C140F0">
        <w:t>ECG</w:t>
      </w:r>
      <w:r w:rsidR="00850A12" w:rsidRPr="00C140F0">
        <w:t>)</w:t>
      </w:r>
      <w:r w:rsidRPr="00C140F0">
        <w:t>, urine metabolites and dosimetry data</w:t>
      </w:r>
      <w:r w:rsidR="00AD0A92">
        <w:t>.</w:t>
      </w:r>
    </w:p>
    <w:p w14:paraId="6D4AD0B9" w14:textId="6BDF20DF" w:rsidR="00EF747C" w:rsidRPr="00EF747C" w:rsidRDefault="00EF747C" w:rsidP="005246D2">
      <w:pPr>
        <w:pStyle w:val="ListBullet2"/>
      </w:pPr>
      <w:r w:rsidRPr="00EF747C">
        <w:t xml:space="preserve">There was one study report - Population PK modelling and exposure-response analyses on organ dosimetry and acute toxicity based on </w:t>
      </w:r>
      <w:r w:rsidRPr="004F108F">
        <w:rPr>
          <w:vertAlign w:val="superscript"/>
        </w:rPr>
        <w:t>177</w:t>
      </w:r>
      <w:r w:rsidRPr="00EF747C">
        <w:t>Lu</w:t>
      </w:r>
      <w:r w:rsidR="000D0818">
        <w:t xml:space="preserve"> </w:t>
      </w:r>
      <w:r w:rsidRPr="00EF747C">
        <w:t>PSMA-617 sub-study data.</w:t>
      </w:r>
    </w:p>
    <w:p w14:paraId="6A364CDB" w14:textId="41E567C5" w:rsidR="00EF747C" w:rsidRPr="00EF747C" w:rsidRDefault="00EF747C" w:rsidP="005246D2">
      <w:pPr>
        <w:pStyle w:val="ListBullet2"/>
      </w:pPr>
      <w:r w:rsidRPr="00EF747C">
        <w:t xml:space="preserve">There were also several study reports located within the clinical study report of </w:t>
      </w:r>
      <w:r w:rsidR="00015DA8">
        <w:t>Study </w:t>
      </w:r>
      <w:r w:rsidRPr="00EF747C">
        <w:t>PSMA</w:t>
      </w:r>
      <w:r w:rsidR="00496F8C">
        <w:noBreakHyphen/>
      </w:r>
      <w:r w:rsidRPr="00EF747C">
        <w:t>617-01 Appendix 16. These reports included PK, urine metabolites, cardiac safety and dosimetry.</w:t>
      </w:r>
    </w:p>
    <w:p w14:paraId="402F4CF1" w14:textId="6998026C" w:rsidR="00EF747C" w:rsidRDefault="005246D2" w:rsidP="005246D2">
      <w:pPr>
        <w:pStyle w:val="ListBullet"/>
      </w:pPr>
      <w:r>
        <w:t xml:space="preserve">Study </w:t>
      </w:r>
      <w:r w:rsidR="00EF747C" w:rsidRPr="00EF747C">
        <w:t xml:space="preserve">PSMA-617-02 (RESIST-PC) – a </w:t>
      </w:r>
      <w:r w:rsidR="00E6164D">
        <w:t>P</w:t>
      </w:r>
      <w:r w:rsidR="00EF747C" w:rsidRPr="00EF747C">
        <w:t xml:space="preserve">hase </w:t>
      </w:r>
      <w:r w:rsidR="00E6164D">
        <w:t>II</w:t>
      </w:r>
      <w:r w:rsidR="00EF747C" w:rsidRPr="00EF747C">
        <w:t xml:space="preserve">, open label, randomised, uncontrolled study of two doses of </w:t>
      </w:r>
      <w:r w:rsidR="00EF747C" w:rsidRPr="000D0818">
        <w:rPr>
          <w:vertAlign w:val="superscript"/>
        </w:rPr>
        <w:t>177</w:t>
      </w:r>
      <w:r w:rsidR="00EF747C" w:rsidRPr="00EF747C">
        <w:t>Lu</w:t>
      </w:r>
      <w:r w:rsidR="000D0818">
        <w:t>-</w:t>
      </w:r>
      <w:r w:rsidR="00EF747C" w:rsidRPr="00EF747C">
        <w:t xml:space="preserve">PSMA-617. (Study PSMA-617-02 was terminated early as it was not consistent with the overall strategy of the company. Efficacy data were not </w:t>
      </w:r>
      <w:proofErr w:type="gramStart"/>
      <w:r w:rsidR="00EF747C" w:rsidRPr="00EF747C">
        <w:t>analysed</w:t>
      </w:r>
      <w:proofErr w:type="gramEnd"/>
      <w:r w:rsidR="00EF747C" w:rsidRPr="00EF747C">
        <w:t xml:space="preserve"> and it only provided supportive safety data.)</w:t>
      </w:r>
    </w:p>
    <w:p w14:paraId="1B1E7582" w14:textId="77777777" w:rsidR="00481356" w:rsidRPr="008601C7" w:rsidRDefault="00481356" w:rsidP="00481356">
      <w:pPr>
        <w:pStyle w:val="Heading4"/>
      </w:pPr>
      <w:bookmarkStart w:id="51" w:name="_Toc213751008"/>
      <w:r w:rsidRPr="008601C7">
        <w:lastRenderedPageBreak/>
        <w:t xml:space="preserve">Clinical </w:t>
      </w:r>
      <w:r w:rsidRPr="00481356">
        <w:t>Pharmacology</w:t>
      </w:r>
      <w:bookmarkEnd w:id="51"/>
    </w:p>
    <w:p w14:paraId="7A8ECA60" w14:textId="70076399" w:rsidR="00481356" w:rsidRDefault="00481356" w:rsidP="00AD752A">
      <w:r w:rsidRPr="00AD752A">
        <w:t xml:space="preserve">A sub-study within the </w:t>
      </w:r>
      <w:r w:rsidR="00AD752A">
        <w:t>P</w:t>
      </w:r>
      <w:r w:rsidRPr="00AD752A">
        <w:t xml:space="preserve">hase </w:t>
      </w:r>
      <w:r w:rsidR="00AD752A">
        <w:t>III</w:t>
      </w:r>
      <w:r w:rsidRPr="00AD752A">
        <w:t xml:space="preserve"> </w:t>
      </w:r>
      <w:r w:rsidR="00AD752A">
        <w:t>S</w:t>
      </w:r>
      <w:r w:rsidRPr="00AD752A">
        <w:t>tudy PSMA-617-01 evaluated radiation dosimetry in 29 patients, and PK, ECGs and urine metabolites in 30 patients during</w:t>
      </w:r>
      <w:r w:rsidR="00983437">
        <w:t xml:space="preserve"> C</w:t>
      </w:r>
      <w:r w:rsidRPr="00AD752A">
        <w:t xml:space="preserve">ycle 1 of treatment. In addition, a population PK analysis was undertaken using data from this sub-study. There were no data presented from healthy volunteers. </w:t>
      </w:r>
      <w:r w:rsidR="000C2509">
        <w:t>Pharmacokinetic</w:t>
      </w:r>
      <w:r w:rsidRPr="00AD752A">
        <w:t xml:space="preserve"> data were based on radioactivity detection in blood.</w:t>
      </w:r>
    </w:p>
    <w:p w14:paraId="0BBC920C" w14:textId="6A66973D" w:rsidR="00481356" w:rsidRPr="003F546C" w:rsidRDefault="00481356" w:rsidP="00AB05D6">
      <w:r w:rsidRPr="003F546C">
        <w:t xml:space="preserve">Following </w:t>
      </w:r>
      <w:r w:rsidR="00AB05D6" w:rsidRPr="003F546C">
        <w:t>intravenous (</w:t>
      </w:r>
      <w:r w:rsidRPr="003F546C">
        <w:t>IV</w:t>
      </w:r>
      <w:r w:rsidR="00AB05D6" w:rsidRPr="003F546C">
        <w:t>)</w:t>
      </w:r>
      <w:r w:rsidRPr="003F546C">
        <w:t xml:space="preserve"> infusion of a single dose of </w:t>
      </w:r>
      <w:r w:rsidRPr="003F546C">
        <w:rPr>
          <w:vertAlign w:val="superscript"/>
        </w:rPr>
        <w:t>177</w:t>
      </w:r>
      <w:r w:rsidRPr="003F546C">
        <w:t>Lu-PSMA-617 it was widely distributed in tissues and volume of distribution (</w:t>
      </w:r>
      <w:proofErr w:type="spellStart"/>
      <w:r w:rsidRPr="003F546C">
        <w:t>Vz</w:t>
      </w:r>
      <w:proofErr w:type="spellEnd"/>
      <w:r w:rsidRPr="003F546C">
        <w:t>) was 123 L (78.1%</w:t>
      </w:r>
      <w:r w:rsidR="00D127BE" w:rsidRPr="003F546C">
        <w:t xml:space="preserve"> coefficient of variation (</w:t>
      </w:r>
      <w:r w:rsidRPr="003F546C">
        <w:t>CV</w:t>
      </w:r>
      <w:r w:rsidR="00D127BE" w:rsidRPr="003F546C">
        <w:t>)</w:t>
      </w:r>
      <w:r w:rsidRPr="003F546C">
        <w:t>)</w:t>
      </w:r>
    </w:p>
    <w:p w14:paraId="5C3B7FCB" w14:textId="522758A4" w:rsidR="00481356" w:rsidRPr="00AB05D6" w:rsidRDefault="00481356" w:rsidP="00AB05D6">
      <w:r w:rsidRPr="003F546C">
        <w:t>The organs with the largest absorbed doses were the lacrimal glands, salivary glands, colon/rectum and kidneys.</w:t>
      </w:r>
      <w:r w:rsidR="00FD1D26" w:rsidRPr="003F546C">
        <w:t xml:space="preserve"> </w:t>
      </w:r>
      <w:r w:rsidRPr="003F546C">
        <w:t>The estimated absorbed dose after a full six cycles (44.4</w:t>
      </w:r>
      <w:r w:rsidR="007C523C" w:rsidRPr="003F546C">
        <w:t> </w:t>
      </w:r>
      <w:proofErr w:type="spellStart"/>
      <w:r w:rsidR="00BF15BC" w:rsidRPr="003F546C">
        <w:t>gigabecquerel</w:t>
      </w:r>
      <w:proofErr w:type="spellEnd"/>
      <w:r w:rsidR="00BF15BC" w:rsidRPr="003F546C">
        <w:t xml:space="preserve"> (</w:t>
      </w:r>
      <w:proofErr w:type="spellStart"/>
      <w:r w:rsidRPr="003F546C">
        <w:t>GBq</w:t>
      </w:r>
      <w:proofErr w:type="spellEnd"/>
      <w:r w:rsidR="00BF15BC" w:rsidRPr="003F546C">
        <w:t>)</w:t>
      </w:r>
      <w:r w:rsidRPr="003F546C">
        <w:t xml:space="preserve">) was calculated at 92 </w:t>
      </w:r>
      <w:proofErr w:type="spellStart"/>
      <w:proofErr w:type="gramStart"/>
      <w:r w:rsidR="00FD1D26" w:rsidRPr="003F546C">
        <w:t>gray</w:t>
      </w:r>
      <w:proofErr w:type="spellEnd"/>
      <w:proofErr w:type="gramEnd"/>
      <w:r w:rsidR="00FD1D26" w:rsidRPr="003F546C">
        <w:t xml:space="preserve"> (</w:t>
      </w:r>
      <w:r w:rsidRPr="003F546C">
        <w:t>Gy</w:t>
      </w:r>
      <w:r w:rsidR="00FD1D26" w:rsidRPr="003F546C">
        <w:t>)</w:t>
      </w:r>
      <w:r w:rsidRPr="003F546C">
        <w:t xml:space="preserve"> for the lacrimal gland, 19 Gy for the kidneys and 1.5 Gy for the red marrow.</w:t>
      </w:r>
    </w:p>
    <w:p w14:paraId="71A279BE" w14:textId="77777777" w:rsidR="00481356" w:rsidRPr="00AB05D6" w:rsidRDefault="00481356" w:rsidP="00AB05D6">
      <w:r w:rsidRPr="00AB05D6">
        <w:t>No metabolite was detected in significant amounts in the urine up to 48 hours, which given the geometric mean half-life of 41.6 hours, indicates excretion of unchanged parent compound during this time.</w:t>
      </w:r>
    </w:p>
    <w:p w14:paraId="0125568D" w14:textId="049E899E" w:rsidR="00481356" w:rsidRPr="00AB05D6" w:rsidRDefault="00481356" w:rsidP="00AB05D6">
      <w:r w:rsidRPr="008C5311">
        <w:rPr>
          <w:vertAlign w:val="superscript"/>
        </w:rPr>
        <w:t>177</w:t>
      </w:r>
      <w:r w:rsidRPr="00AB05D6">
        <w:t>Lu-PSMA-617 is excreted predominantly through the kidneys as an intact molecule. approximately 50% of the administered activity was excreted by urine during the first 48 hours and approximately 1</w:t>
      </w:r>
      <w:r w:rsidR="008C5311">
        <w:t xml:space="preserve"> to </w:t>
      </w:r>
      <w:r w:rsidRPr="00AB05D6">
        <w:t xml:space="preserve">5% of the injected </w:t>
      </w:r>
      <w:r w:rsidRPr="008C5311">
        <w:rPr>
          <w:vertAlign w:val="superscript"/>
        </w:rPr>
        <w:t>177</w:t>
      </w:r>
      <w:r w:rsidRPr="00AB05D6">
        <w:t>Lu-PSMA-617 activity was excreted through the faeces</w:t>
      </w:r>
      <w:r w:rsidR="008C5311">
        <w:t>.</w:t>
      </w:r>
    </w:p>
    <w:p w14:paraId="107621B0" w14:textId="73DBBD7C" w:rsidR="00481356" w:rsidRPr="00A7189C" w:rsidRDefault="001A6567" w:rsidP="00AB05D6">
      <w:r w:rsidRPr="00A7189C">
        <w:t>I</w:t>
      </w:r>
      <w:r w:rsidR="00481356" w:rsidRPr="00A7189C">
        <w:t>n the sub-study, the coefficient of variation for</w:t>
      </w:r>
      <w:r w:rsidRPr="00A7189C">
        <w:t xml:space="preserve"> area under the concentration time curve from 0 to infinity</w:t>
      </w:r>
      <w:r w:rsidR="00481356" w:rsidRPr="00A7189C">
        <w:t xml:space="preserve"> </w:t>
      </w:r>
      <w:r w:rsidRPr="00A7189C">
        <w:t>(</w:t>
      </w:r>
      <w:r w:rsidR="00481356" w:rsidRPr="00A7189C">
        <w:t>AUC</w:t>
      </w:r>
      <w:r w:rsidR="00481356" w:rsidRPr="00A7189C">
        <w:rPr>
          <w:vertAlign w:val="subscript"/>
        </w:rPr>
        <w:t>0-inf</w:t>
      </w:r>
      <w:r w:rsidRPr="00A7189C">
        <w:t xml:space="preserve">) </w:t>
      </w:r>
      <w:r w:rsidR="00481356" w:rsidRPr="00A7189C">
        <w:t xml:space="preserve">was 31% and for </w:t>
      </w:r>
      <w:r w:rsidR="00332CF2" w:rsidRPr="00A7189C">
        <w:t>maximum concentration (</w:t>
      </w:r>
      <w:r w:rsidR="00481356" w:rsidRPr="00A7189C">
        <w:t>C</w:t>
      </w:r>
      <w:r w:rsidR="00481356" w:rsidRPr="00A7189C">
        <w:rPr>
          <w:vertAlign w:val="subscript"/>
        </w:rPr>
        <w:t>max</w:t>
      </w:r>
      <w:r w:rsidR="00332CF2" w:rsidRPr="00A7189C">
        <w:t>)</w:t>
      </w:r>
      <w:r w:rsidR="00481356" w:rsidRPr="00A7189C">
        <w:t xml:space="preserve"> was 44%</w:t>
      </w:r>
      <w:r w:rsidR="00D95E04" w:rsidRPr="00A7189C">
        <w:t>.</w:t>
      </w:r>
    </w:p>
    <w:p w14:paraId="56DE3BB0" w14:textId="21BA1694" w:rsidR="00D95E04" w:rsidRPr="00A7189C" w:rsidRDefault="0008218F" w:rsidP="0008218F">
      <w:pPr>
        <w:pStyle w:val="Heading5"/>
      </w:pPr>
      <w:r w:rsidRPr="00A7189C">
        <w:t>Pharmacokinetics</w:t>
      </w:r>
    </w:p>
    <w:p w14:paraId="1EF714D6" w14:textId="34F59C29" w:rsidR="00481356" w:rsidRPr="00A7189C" w:rsidRDefault="0008218F" w:rsidP="0008218F">
      <w:r w:rsidRPr="00A7189C">
        <w:t>F</w:t>
      </w:r>
      <w:r w:rsidR="00481356" w:rsidRPr="00A7189C">
        <w:t xml:space="preserve">ollowing the IV injection/infusion of </w:t>
      </w:r>
      <w:r w:rsidR="00481356" w:rsidRPr="00A7189C">
        <w:rPr>
          <w:vertAlign w:val="superscript"/>
        </w:rPr>
        <w:t>177</w:t>
      </w:r>
      <w:r w:rsidR="00481356" w:rsidRPr="00A7189C">
        <w:t xml:space="preserve">Lu-PSMA-617 at </w:t>
      </w:r>
      <w:r w:rsidRPr="00A7189C">
        <w:t>C</w:t>
      </w:r>
      <w:r w:rsidR="00481356" w:rsidRPr="00A7189C">
        <w:t>ycle 1 (dose of 7.4</w:t>
      </w:r>
      <w:r w:rsidRPr="00A7189C">
        <w:t> </w:t>
      </w:r>
      <w:proofErr w:type="spellStart"/>
      <w:r w:rsidR="00481356" w:rsidRPr="00A7189C">
        <w:t>GBq</w:t>
      </w:r>
      <w:proofErr w:type="spellEnd"/>
      <w:r w:rsidR="00481356" w:rsidRPr="00A7189C">
        <w:t>), the time to peak whole blood concentration (</w:t>
      </w:r>
      <w:proofErr w:type="spellStart"/>
      <w:r w:rsidR="00481356" w:rsidRPr="00A7189C">
        <w:t>T</w:t>
      </w:r>
      <w:r w:rsidR="00481356" w:rsidRPr="00A7189C">
        <w:rPr>
          <w:vertAlign w:val="subscript"/>
        </w:rPr>
        <w:t>max</w:t>
      </w:r>
      <w:proofErr w:type="spellEnd"/>
      <w:r w:rsidR="00481356" w:rsidRPr="00A7189C">
        <w:t>) ranged from 0.0167 to 1.68</w:t>
      </w:r>
      <w:r w:rsidRPr="00A7189C">
        <w:t> </w:t>
      </w:r>
      <w:r w:rsidR="00481356" w:rsidRPr="00A7189C">
        <w:t xml:space="preserve">hours. The median </w:t>
      </w:r>
      <w:proofErr w:type="spellStart"/>
      <w:r w:rsidR="00481356" w:rsidRPr="00A7189C">
        <w:t>T</w:t>
      </w:r>
      <w:r w:rsidR="00481356" w:rsidRPr="00A7189C">
        <w:rPr>
          <w:vertAlign w:val="subscript"/>
        </w:rPr>
        <w:t>max</w:t>
      </w:r>
      <w:proofErr w:type="spellEnd"/>
      <w:r w:rsidR="00481356" w:rsidRPr="00A7189C">
        <w:t xml:space="preserve"> was 0.375 hours. The </w:t>
      </w:r>
      <w:proofErr w:type="spellStart"/>
      <w:r w:rsidR="00481356" w:rsidRPr="00A7189C">
        <w:t>T</w:t>
      </w:r>
      <w:r w:rsidR="00481356" w:rsidRPr="00A7189C">
        <w:rPr>
          <w:vertAlign w:val="subscript"/>
        </w:rPr>
        <w:t>max</w:t>
      </w:r>
      <w:proofErr w:type="spellEnd"/>
      <w:r w:rsidR="00481356" w:rsidRPr="00A7189C">
        <w:rPr>
          <w:vertAlign w:val="subscript"/>
        </w:rPr>
        <w:t xml:space="preserve"> </w:t>
      </w:r>
      <w:r w:rsidR="00481356" w:rsidRPr="00A7189C">
        <w:t>was affected by variable infusion duration times. Whole blood concentrations followed a bi-exponential decline with a fast phase within the first 24</w:t>
      </w:r>
      <w:r w:rsidRPr="00A7189C">
        <w:t xml:space="preserve"> to </w:t>
      </w:r>
      <w:r w:rsidR="00481356" w:rsidRPr="00A7189C">
        <w:t>48</w:t>
      </w:r>
      <w:r w:rsidRPr="00A7189C">
        <w:t> </w:t>
      </w:r>
      <w:r w:rsidR="00481356" w:rsidRPr="00A7189C">
        <w:t>hours and a slower phase up to 144</w:t>
      </w:r>
      <w:r w:rsidRPr="00A7189C">
        <w:t> </w:t>
      </w:r>
      <w:r w:rsidR="00481356" w:rsidRPr="00A7189C">
        <w:t>hours, which resulted in a geometric mean terminal half-life of 41.6</w:t>
      </w:r>
      <w:r w:rsidRPr="00A7189C">
        <w:t> </w:t>
      </w:r>
      <w:r w:rsidR="00481356" w:rsidRPr="00A7189C">
        <w:t>hours (geometric mean</w:t>
      </w:r>
      <w:r w:rsidRPr="00A7189C">
        <w:t xml:space="preserve"> (GM)</w:t>
      </w:r>
      <w:r w:rsidR="00481356" w:rsidRPr="00A7189C">
        <w:t xml:space="preserve"> CV</w:t>
      </w:r>
      <w:r w:rsidRPr="00A7189C">
        <w:t xml:space="preserve"> </w:t>
      </w:r>
      <w:r w:rsidR="00481356" w:rsidRPr="00A7189C">
        <w:t>68.8%). The geometric mean total systemic clearance (CL) was 2.04</w:t>
      </w:r>
      <w:r w:rsidRPr="00A7189C">
        <w:t> </w:t>
      </w:r>
      <w:r w:rsidR="00481356" w:rsidRPr="00A7189C">
        <w:t>L/hr (GMCV 31.5%) and geometric mean apparent volume of distribution (</w:t>
      </w:r>
      <w:proofErr w:type="spellStart"/>
      <w:r w:rsidR="00481356" w:rsidRPr="00A7189C">
        <w:t>Vz</w:t>
      </w:r>
      <w:proofErr w:type="spellEnd"/>
      <w:r w:rsidR="00481356" w:rsidRPr="00A7189C">
        <w:t>) was 123</w:t>
      </w:r>
      <w:r w:rsidRPr="00A7189C">
        <w:t> </w:t>
      </w:r>
      <w:r w:rsidR="00481356" w:rsidRPr="00A7189C">
        <w:t>L (</w:t>
      </w:r>
      <w:proofErr w:type="spellStart"/>
      <w:r w:rsidR="00481356" w:rsidRPr="00A7189C">
        <w:t>GMCV</w:t>
      </w:r>
      <w:proofErr w:type="spellEnd"/>
      <w:r w:rsidR="00481356" w:rsidRPr="00A7189C">
        <w:t xml:space="preserve"> 78.1%).</w:t>
      </w:r>
    </w:p>
    <w:p w14:paraId="07E7280E" w14:textId="77777777" w:rsidR="00481356" w:rsidRPr="00A7189C" w:rsidRDefault="00481356" w:rsidP="007C0EE4">
      <w:r w:rsidRPr="00A7189C">
        <w:t xml:space="preserve">There have not been any studies in patients with hepatic impairment. </w:t>
      </w:r>
      <w:r w:rsidRPr="00A7189C">
        <w:rPr>
          <w:vertAlign w:val="superscript"/>
        </w:rPr>
        <w:t>177</w:t>
      </w:r>
      <w:r w:rsidRPr="00A7189C">
        <w:t>Lu-PSMA-617 is not metabolised by the liver, so no dose adjustment in patients with hepatic impairment has been proposed.</w:t>
      </w:r>
    </w:p>
    <w:p w14:paraId="49F855CC" w14:textId="7463C8F4" w:rsidR="00481356" w:rsidRPr="007C0EE4" w:rsidRDefault="001F6D10" w:rsidP="007C0EE4">
      <w:r w:rsidRPr="001F6D10">
        <w:t xml:space="preserve">No dedicated renal impairment study for </w:t>
      </w:r>
      <w:r w:rsidRPr="001F6D10">
        <w:rPr>
          <w:vertAlign w:val="superscript"/>
        </w:rPr>
        <w:t>177</w:t>
      </w:r>
      <w:r w:rsidRPr="001F6D10">
        <w:t>Lu-PSMA-617 has been conducted.</w:t>
      </w:r>
      <w:r>
        <w:t xml:space="preserve"> </w:t>
      </w:r>
      <w:r w:rsidR="00481356" w:rsidRPr="00A7189C">
        <w:t>Based on simulations, renal impairment resulted in 20% increased AUC</w:t>
      </w:r>
      <w:r w:rsidR="00897EAA" w:rsidRPr="00A7189C">
        <w:rPr>
          <w:vertAlign w:val="subscript"/>
        </w:rPr>
        <w:t>0-</w:t>
      </w:r>
      <w:r w:rsidR="00481356" w:rsidRPr="00A7189C">
        <w:rPr>
          <w:vertAlign w:val="subscript"/>
        </w:rPr>
        <w:t xml:space="preserve">inf </w:t>
      </w:r>
      <w:r w:rsidR="00481356" w:rsidRPr="00A7189C">
        <w:t>in mildly renally impaired patients and 42% increased AUC</w:t>
      </w:r>
      <w:r w:rsidR="00E66990" w:rsidRPr="00A7189C">
        <w:rPr>
          <w:vertAlign w:val="subscript"/>
        </w:rPr>
        <w:t>0-</w:t>
      </w:r>
      <w:r w:rsidR="00481356" w:rsidRPr="00A7189C">
        <w:rPr>
          <w:vertAlign w:val="subscript"/>
        </w:rPr>
        <w:t>inf</w:t>
      </w:r>
      <w:r w:rsidR="00481356" w:rsidRPr="00A7189C">
        <w:t xml:space="preserve"> in moderately renally impaired patients. The population used for the model (n</w:t>
      </w:r>
      <w:r w:rsidR="00E66990" w:rsidRPr="00A7189C">
        <w:t> </w:t>
      </w:r>
      <w:r w:rsidR="00481356" w:rsidRPr="00A7189C">
        <w:t>=</w:t>
      </w:r>
      <w:r w:rsidR="00E66990" w:rsidRPr="00A7189C">
        <w:t> </w:t>
      </w:r>
      <w:r w:rsidR="00481356" w:rsidRPr="00A7189C">
        <w:t>30) included only one patient with moderate renal impairment, 10 patients with mild renal impairment, and no patients with severe renal impairment. This limits the interpretability of the data. In addition, renal impairment resulted in a non-significant trend toward higher kidney dosimetry values. For patients with mild and moderate renal impairment, the absorbed doses for kidneys were on average 1.7-fold higher compared to patients with normal renal function.</w:t>
      </w:r>
    </w:p>
    <w:p w14:paraId="78407BFA" w14:textId="79F4FA43" w:rsidR="007356D8" w:rsidRDefault="00481356" w:rsidP="007356D8">
      <w:pPr>
        <w:pStyle w:val="Heading6"/>
      </w:pPr>
      <w:r w:rsidRPr="007C0EE4">
        <w:lastRenderedPageBreak/>
        <w:t>Pop</w:t>
      </w:r>
      <w:r w:rsidR="007356D8">
        <w:t xml:space="preserve">ulation pharmacokinetics </w:t>
      </w:r>
      <w:r w:rsidRPr="007C0EE4">
        <w:t>analysis</w:t>
      </w:r>
    </w:p>
    <w:p w14:paraId="570057D9" w14:textId="3EFA31F0" w:rsidR="00481356" w:rsidRPr="007C0EE4" w:rsidRDefault="007356D8" w:rsidP="007C0EE4">
      <w:r>
        <w:t>W</w:t>
      </w:r>
      <w:r w:rsidR="00481356" w:rsidRPr="007C0EE4">
        <w:t xml:space="preserve">eight, </w:t>
      </w:r>
      <w:r>
        <w:t xml:space="preserve">body mass </w:t>
      </w:r>
      <w:r w:rsidRPr="001706EF">
        <w:t>index (</w:t>
      </w:r>
      <w:r w:rsidR="00481356" w:rsidRPr="001706EF">
        <w:t>BMI</w:t>
      </w:r>
      <w:r w:rsidRPr="001706EF">
        <w:t>)</w:t>
      </w:r>
      <w:r w:rsidR="00481356" w:rsidRPr="001706EF">
        <w:t>, age</w:t>
      </w:r>
      <w:r w:rsidR="00481356" w:rsidRPr="007C0EE4">
        <w:t xml:space="preserve"> and baseline creatinine clearance (</w:t>
      </w:r>
      <w:proofErr w:type="spellStart"/>
      <w:r w:rsidR="00481356" w:rsidRPr="007C0EE4">
        <w:t>CrCl</w:t>
      </w:r>
      <w:proofErr w:type="spellEnd"/>
      <w:r w:rsidR="00481356" w:rsidRPr="007C0EE4">
        <w:t xml:space="preserve">) were investigated as covariates and </w:t>
      </w:r>
      <w:proofErr w:type="spellStart"/>
      <w:r w:rsidR="00481356" w:rsidRPr="007C0EE4">
        <w:t>CrCl</w:t>
      </w:r>
      <w:proofErr w:type="spellEnd"/>
      <w:r w:rsidR="00481356" w:rsidRPr="007C0EE4">
        <w:t xml:space="preserve"> had a significant effect on clearance</w:t>
      </w:r>
      <w:r>
        <w:t>.</w:t>
      </w:r>
    </w:p>
    <w:p w14:paraId="11201930" w14:textId="342072B2" w:rsidR="007356D8" w:rsidRDefault="00481356" w:rsidP="00AF5D56">
      <w:pPr>
        <w:pStyle w:val="Heading6"/>
      </w:pPr>
      <w:r w:rsidRPr="007C0EE4">
        <w:t xml:space="preserve">PK </w:t>
      </w:r>
      <w:r w:rsidRPr="00AF5D56">
        <w:t>interactions</w:t>
      </w:r>
    </w:p>
    <w:p w14:paraId="336F2CD9" w14:textId="699C8FD5" w:rsidR="00ED13CA" w:rsidRDefault="00481356" w:rsidP="007C0EE4">
      <w:r w:rsidRPr="007356D8">
        <w:rPr>
          <w:vertAlign w:val="superscript"/>
        </w:rPr>
        <w:t>177</w:t>
      </w:r>
      <w:r w:rsidRPr="007C0EE4">
        <w:t xml:space="preserve">Lu-PSMA-617 is not expected to cause any </w:t>
      </w:r>
      <w:r w:rsidR="00074A0C">
        <w:t>c</w:t>
      </w:r>
      <w:r w:rsidR="00074A0C" w:rsidRPr="00074A0C">
        <w:t>ytochrome P450</w:t>
      </w:r>
      <w:r w:rsidR="00411755">
        <w:t xml:space="preserve"> (CYP)</w:t>
      </w:r>
      <w:r w:rsidR="001706EF">
        <w:t>-</w:t>
      </w:r>
      <w:r w:rsidR="00074A0C">
        <w:t xml:space="preserve"> </w:t>
      </w:r>
      <w:r w:rsidRPr="007C0EE4">
        <w:t xml:space="preserve">or transport-mediated drug interactions </w:t>
      </w:r>
      <w:r w:rsidRPr="007356D8">
        <w:rPr>
          <w:i/>
          <w:iCs/>
        </w:rPr>
        <w:t>in vivo</w:t>
      </w:r>
      <w:r w:rsidR="007356D8">
        <w:t>.</w:t>
      </w:r>
    </w:p>
    <w:p w14:paraId="0FDF483E" w14:textId="7D8DFE56" w:rsidR="007A2967" w:rsidRDefault="00ED13CA" w:rsidP="00ED13CA">
      <w:pPr>
        <w:pStyle w:val="Heading5"/>
      </w:pPr>
      <w:r>
        <w:t>Pharmacokinetics conclusion</w:t>
      </w:r>
    </w:p>
    <w:p w14:paraId="6C985ECB" w14:textId="09C39F82" w:rsidR="00481356" w:rsidRPr="00ED13CA" w:rsidRDefault="00481356" w:rsidP="00ED13CA">
      <w:r w:rsidRPr="00ED13CA">
        <w:t xml:space="preserve">There </w:t>
      </w:r>
      <w:proofErr w:type="gramStart"/>
      <w:r w:rsidRPr="00ED13CA">
        <w:t>were</w:t>
      </w:r>
      <w:proofErr w:type="gramEnd"/>
      <w:r w:rsidRPr="00ED13CA">
        <w:t xml:space="preserve"> no healthy volunteer studies conducted. A sub-study of the </w:t>
      </w:r>
      <w:r w:rsidR="00ED13CA">
        <w:t>P</w:t>
      </w:r>
      <w:r w:rsidRPr="00ED13CA">
        <w:t xml:space="preserve">hase </w:t>
      </w:r>
      <w:r w:rsidR="00ED13CA">
        <w:t>III</w:t>
      </w:r>
      <w:r w:rsidRPr="00ED13CA">
        <w:t xml:space="preserve"> trial included 30 patients who were assessed for the pharmacology endpoints. Only single dose (Cycle 1) data were collected.</w:t>
      </w:r>
    </w:p>
    <w:p w14:paraId="2C797660" w14:textId="77777777" w:rsidR="00481356" w:rsidRPr="00ED13CA" w:rsidRDefault="00481356" w:rsidP="00ED13CA">
      <w:r w:rsidRPr="00ED13CA">
        <w:t xml:space="preserve">Whole blood concentrations of </w:t>
      </w:r>
      <w:r w:rsidRPr="00A764CB">
        <w:rPr>
          <w:vertAlign w:val="superscript"/>
        </w:rPr>
        <w:t>177</w:t>
      </w:r>
      <w:r w:rsidRPr="00ED13CA">
        <w:t>Lu- PSMA-617 were determined using a gamma counter to measure total radioactivity, and this was converted to ng/mL using specific activity and decay corrected radioactivity. Tissue distribution was evaluated by dosimetry.</w:t>
      </w:r>
    </w:p>
    <w:p w14:paraId="4ABF189E" w14:textId="77777777" w:rsidR="00481356" w:rsidRPr="00ED13CA" w:rsidRDefault="00481356" w:rsidP="00AF5D56">
      <w:r w:rsidRPr="00ED13CA">
        <w:t xml:space="preserve">Following intravenous administration, </w:t>
      </w:r>
      <w:r w:rsidRPr="00A764CB">
        <w:rPr>
          <w:vertAlign w:val="superscript"/>
        </w:rPr>
        <w:t>177</w:t>
      </w:r>
      <w:r w:rsidRPr="00ED13CA">
        <w:t>Lu-PSMA-617 is widely distributed in the tissues. The organs with the largest absorbed doses were the lacrimal glands, salivary glands, colon/rectum and kidneys.</w:t>
      </w:r>
    </w:p>
    <w:p w14:paraId="202033C7" w14:textId="2AAB2523" w:rsidR="00481356" w:rsidRPr="00ED13CA" w:rsidRDefault="00481356" w:rsidP="00AF5D56">
      <w:r w:rsidRPr="00ED13CA">
        <w:t xml:space="preserve">The primary route of elimination is </w:t>
      </w:r>
      <w:r w:rsidR="00184DA2" w:rsidRPr="00ED13CA">
        <w:t>renal,</w:t>
      </w:r>
      <w:r w:rsidRPr="00ED13CA">
        <w:t xml:space="preserve"> and this is largely of the parent compound based on limited metabolites in the urine. Literature indicated that about 50% of the injected activity is eliminated by urine during the first 48 hours, with 1</w:t>
      </w:r>
      <w:r w:rsidR="00E56179">
        <w:t xml:space="preserve"> to </w:t>
      </w:r>
      <w:r w:rsidRPr="00ED13CA">
        <w:t>5% excreted in faeces. A population PK model found baseline creatinine clearance had a significant impact on clearance. The model may have been hampered by the small sample size and data variability. The limited dosimetry data found increased kidney radiation exposure in patients with mild to moderate renal impairment.</w:t>
      </w:r>
      <w:r w:rsidR="00AD0A92">
        <w:t xml:space="preserve"> </w:t>
      </w:r>
      <w:r w:rsidRPr="00ED13CA">
        <w:t xml:space="preserve">No renal impairment study has been </w:t>
      </w:r>
      <w:r w:rsidR="00184DA2" w:rsidRPr="00ED13CA">
        <w:t>conducted,</w:t>
      </w:r>
      <w:r w:rsidRPr="00ED13CA">
        <w:t xml:space="preserve"> and the </w:t>
      </w:r>
      <w:r w:rsidR="0002367A">
        <w:t>P</w:t>
      </w:r>
      <w:r w:rsidRPr="00ED13CA">
        <w:t xml:space="preserve">hase </w:t>
      </w:r>
      <w:r w:rsidR="0002367A">
        <w:t>III</w:t>
      </w:r>
      <w:r w:rsidRPr="00ED13CA">
        <w:t xml:space="preserve"> study does not include patients with creatinine clearance &lt;50</w:t>
      </w:r>
      <w:r w:rsidR="0002367A">
        <w:t> </w:t>
      </w:r>
      <w:r w:rsidRPr="00ED13CA">
        <w:t>mL/min. No dose adjustment is recommended for patients with mild or moderate renal impairment.</w:t>
      </w:r>
    </w:p>
    <w:p w14:paraId="0E6F0C9F" w14:textId="25C02A21" w:rsidR="00481356" w:rsidRPr="00ED13CA" w:rsidRDefault="00481356" w:rsidP="00ED13CA">
      <w:r w:rsidRPr="00ED13CA">
        <w:t xml:space="preserve">Given the increased exposure in patients with mild renal impairment, the lack of data in patients with moderate or severe renal impairment and the fact that such patients may be in the proposed targeted population, further elucidation of PK and dosimetry in patients with moderate and severe renal impairment should be undertaken. A study examining this has been requested by the </w:t>
      </w:r>
      <w:r w:rsidR="00184DA2">
        <w:t>overseas regulator</w:t>
      </w:r>
      <w:r w:rsidRPr="00ED13CA">
        <w:t>.</w:t>
      </w:r>
    </w:p>
    <w:p w14:paraId="5543F37F" w14:textId="581CECB5" w:rsidR="00481356" w:rsidRPr="00ED13CA" w:rsidRDefault="00481356" w:rsidP="00ED13CA">
      <w:r w:rsidRPr="00ED13CA">
        <w:t>There have been no studies in hepatic impairment and the product is not metabolised by the liver.</w:t>
      </w:r>
    </w:p>
    <w:p w14:paraId="2AE130C5" w14:textId="77777777" w:rsidR="00481356" w:rsidRDefault="00481356" w:rsidP="00ED13CA">
      <w:r w:rsidRPr="00ED13CA">
        <w:t>Drug interactions are not anticipated given the preclinical data the sponsor quoted.</w:t>
      </w:r>
    </w:p>
    <w:p w14:paraId="077318A8" w14:textId="1971FE60" w:rsidR="00184DA2" w:rsidRDefault="00823A6A" w:rsidP="00823A6A">
      <w:pPr>
        <w:pStyle w:val="Heading5"/>
      </w:pPr>
      <w:r>
        <w:t>Pharmacodynamics</w:t>
      </w:r>
    </w:p>
    <w:p w14:paraId="7CFF4FCA" w14:textId="4877A126" w:rsidR="00481356" w:rsidRPr="00823A6A" w:rsidRDefault="00481356" w:rsidP="00823A6A">
      <w:r w:rsidRPr="00823A6A">
        <w:t xml:space="preserve">The dossier did not include any specific pharmacodynamic studies. Limited </w:t>
      </w:r>
      <w:r w:rsidR="004F07B4">
        <w:t>pharmacodynamic</w:t>
      </w:r>
      <w:r w:rsidRPr="00823A6A">
        <w:t xml:space="preserve"> data were available from the sub-study of PSMA-617-01</w:t>
      </w:r>
      <w:r w:rsidR="0089165A">
        <w:t>.</w:t>
      </w:r>
    </w:p>
    <w:p w14:paraId="69A4ED92" w14:textId="3D3B05A7" w:rsidR="00481356" w:rsidRPr="00823A6A" w:rsidRDefault="00481356" w:rsidP="00823A6A">
      <w:r w:rsidRPr="0089165A">
        <w:rPr>
          <w:vertAlign w:val="superscript"/>
        </w:rPr>
        <w:t>177</w:t>
      </w:r>
      <w:r w:rsidRPr="00823A6A">
        <w:t xml:space="preserve">Lu-PSMA-617 at the studied dose had no observed clinically relevant effects on </w:t>
      </w:r>
      <w:r w:rsidR="00552CB4">
        <w:rPr>
          <w:rFonts w:eastAsia="Times New Roman" w:cs="Calibri"/>
          <w:color w:val="000000"/>
          <w:szCs w:val="22"/>
          <w:lang w:eastAsia="en-AU"/>
        </w:rPr>
        <w:t>c</w:t>
      </w:r>
      <w:r w:rsidR="00552CB4" w:rsidRPr="00552CB4">
        <w:rPr>
          <w:rFonts w:eastAsia="Times New Roman" w:cs="Calibri"/>
          <w:color w:val="000000"/>
          <w:szCs w:val="22"/>
          <w:lang w:eastAsia="en-AU"/>
        </w:rPr>
        <w:t>orrected QT interval</w:t>
      </w:r>
      <w:r w:rsidR="00552CB4">
        <w:rPr>
          <w:rFonts w:eastAsia="Times New Roman" w:cs="Calibri"/>
          <w:color w:val="000000"/>
          <w:szCs w:val="22"/>
          <w:lang w:eastAsia="en-AU"/>
        </w:rPr>
        <w:t xml:space="preserve"> </w:t>
      </w:r>
      <w:r w:rsidRPr="00823A6A">
        <w:t>or other ECG parameters, although a standard thorough QT study was not performed.</w:t>
      </w:r>
    </w:p>
    <w:p w14:paraId="773AD72C" w14:textId="77777777" w:rsidR="00481356" w:rsidRPr="00823A6A" w:rsidRDefault="00481356" w:rsidP="00823A6A">
      <w:r w:rsidRPr="00823A6A">
        <w:t>Limited dosimetry data from 29 patients found the highest values were in the lacrimal gland and then lower values in the salivary glands, rectum/colon, kidneys and bladder.</w:t>
      </w:r>
    </w:p>
    <w:p w14:paraId="275DAAB9" w14:textId="7132E2E3" w:rsidR="00481356" w:rsidRPr="00823A6A" w:rsidRDefault="00481356" w:rsidP="00823A6A">
      <w:r w:rsidRPr="00823A6A">
        <w:lastRenderedPageBreak/>
        <w:t xml:space="preserve">There was an indication that higher exposure led to a higher decrease from </w:t>
      </w:r>
      <w:r w:rsidR="00FE4C65">
        <w:t>B</w:t>
      </w:r>
      <w:r w:rsidRPr="00823A6A">
        <w:t>aseline in creatinine clearance although the sample size was small and adverse effects data limited on which to base exposure-toxicity conclusions.</w:t>
      </w:r>
    </w:p>
    <w:p w14:paraId="4F6B38DF" w14:textId="77777777" w:rsidR="00481356" w:rsidRPr="00823A6A" w:rsidRDefault="00481356" w:rsidP="00823A6A">
      <w:r w:rsidRPr="00823A6A">
        <w:t>The positive relationship between exposure and increased kidney dosimetry could be confounded by baseline creatinine clearance.</w:t>
      </w:r>
    </w:p>
    <w:p w14:paraId="5F71AFA8" w14:textId="77777777" w:rsidR="00481356" w:rsidRPr="008601C7" w:rsidRDefault="00481356" w:rsidP="00481356">
      <w:pPr>
        <w:pStyle w:val="Heading4"/>
        <w:rPr>
          <w:sz w:val="24"/>
          <w:szCs w:val="24"/>
        </w:rPr>
      </w:pPr>
      <w:bookmarkStart w:id="52" w:name="_Toc213751009"/>
      <w:r w:rsidRPr="008601C7">
        <w:rPr>
          <w:sz w:val="24"/>
          <w:szCs w:val="24"/>
        </w:rPr>
        <w:t>Efficacy</w:t>
      </w:r>
      <w:bookmarkEnd w:id="52"/>
    </w:p>
    <w:p w14:paraId="276CA868" w14:textId="13CA9982" w:rsidR="00481356" w:rsidRDefault="00481356" w:rsidP="00481356">
      <w:pPr>
        <w:rPr>
          <w:lang w:eastAsia="ja-JP"/>
        </w:rPr>
      </w:pPr>
      <w:r>
        <w:rPr>
          <w:lang w:eastAsia="ja-JP"/>
        </w:rPr>
        <w:t xml:space="preserve">The dossier included one clinical efficacy study, the pivotal </w:t>
      </w:r>
      <w:r w:rsidRPr="00B82DCA">
        <w:rPr>
          <w:lang w:eastAsia="ja-JP"/>
        </w:rPr>
        <w:t>PSMA-617-01</w:t>
      </w:r>
      <w:r>
        <w:rPr>
          <w:lang w:eastAsia="ja-JP"/>
        </w:rPr>
        <w:t xml:space="preserve"> </w:t>
      </w:r>
      <w:r w:rsidR="00B82DCA">
        <w:rPr>
          <w:lang w:eastAsia="ja-JP"/>
        </w:rPr>
        <w:t>P</w:t>
      </w:r>
      <w:r>
        <w:rPr>
          <w:lang w:eastAsia="ja-JP"/>
        </w:rPr>
        <w:t xml:space="preserve">hase </w:t>
      </w:r>
      <w:r w:rsidR="00B82DCA">
        <w:rPr>
          <w:lang w:eastAsia="ja-JP"/>
        </w:rPr>
        <w:t xml:space="preserve">III </w:t>
      </w:r>
      <w:r>
        <w:rPr>
          <w:lang w:eastAsia="ja-JP"/>
        </w:rPr>
        <w:t>study, also known as VISION.</w:t>
      </w:r>
      <w:r w:rsidR="00002226">
        <w:rPr>
          <w:rStyle w:val="FootnoteReference"/>
          <w:lang w:eastAsia="ja-JP"/>
        </w:rPr>
        <w:footnoteReference w:id="7"/>
      </w:r>
    </w:p>
    <w:p w14:paraId="2FF6E04E" w14:textId="77777777" w:rsidR="00481356" w:rsidRPr="00612B13" w:rsidRDefault="00481356" w:rsidP="00CB398F">
      <w:pPr>
        <w:pStyle w:val="Heading5"/>
      </w:pPr>
      <w:r w:rsidRPr="00612B13">
        <w:t>Study PSMA-617-01 (VISION)</w:t>
      </w:r>
    </w:p>
    <w:p w14:paraId="21B5A8C8" w14:textId="7DDE38EA" w:rsidR="00481356" w:rsidRDefault="00D2755B" w:rsidP="00CB398F">
      <w:r>
        <w:t>Study PSMA-617</w:t>
      </w:r>
      <w:r w:rsidR="00F87EC5">
        <w:t xml:space="preserve">-01 (VISION) </w:t>
      </w:r>
      <w:r w:rsidR="00481356" w:rsidRPr="00CB398F">
        <w:t>is an international, prospective, open-label, multicentre, randomised</w:t>
      </w:r>
      <w:r w:rsidR="00CB398F">
        <w:t xml:space="preserve"> P</w:t>
      </w:r>
      <w:r w:rsidR="00481356" w:rsidRPr="00CB398F">
        <w:t xml:space="preserve">hase </w:t>
      </w:r>
      <w:r w:rsidR="00CB398F">
        <w:t>III</w:t>
      </w:r>
      <w:r w:rsidR="00481356" w:rsidRPr="00CB398F">
        <w:t xml:space="preserve"> study of </w:t>
      </w:r>
      <w:r w:rsidR="00481356" w:rsidRPr="00CB398F">
        <w:rPr>
          <w:vertAlign w:val="superscript"/>
        </w:rPr>
        <w:t>177</w:t>
      </w:r>
      <w:r w:rsidR="00481356" w:rsidRPr="00CB398F">
        <w:t>Lu-PSMA-617 in the treatment of patients with progressive PSMA-positive metastatic castration-resistant prostate cancer (</w:t>
      </w:r>
      <w:proofErr w:type="spellStart"/>
      <w:r w:rsidR="00481356" w:rsidRPr="00CB398F">
        <w:t>mCRPC</w:t>
      </w:r>
      <w:proofErr w:type="spellEnd"/>
      <w:r w:rsidR="00481356" w:rsidRPr="00CB398F">
        <w:t>)</w:t>
      </w:r>
      <w:r w:rsidR="00CB398F">
        <w:t>.</w:t>
      </w:r>
    </w:p>
    <w:p w14:paraId="3937807F" w14:textId="196766C2" w:rsidR="00CC6B75" w:rsidRDefault="00B13785" w:rsidP="00CC6B75">
      <w:r w:rsidRPr="00BA7CBD">
        <w:t>The study commenced in May 2018</w:t>
      </w:r>
      <w:r w:rsidR="00F117A5" w:rsidRPr="00BA7CBD">
        <w:t>, data cut off</w:t>
      </w:r>
      <w:r w:rsidRPr="00BA7CBD">
        <w:t xml:space="preserve"> 27 January 2021.</w:t>
      </w:r>
      <w:r w:rsidR="00BA7CBD" w:rsidRPr="00BA7CBD">
        <w:t xml:space="preserve"> </w:t>
      </w:r>
      <w:r w:rsidR="00481356" w:rsidRPr="00BA7CBD">
        <w:t>The study was conducted in the following countries (number of sites): Belgium (3)</w:t>
      </w:r>
      <w:r w:rsidR="00BA7CBD">
        <w:t>,</w:t>
      </w:r>
      <w:r w:rsidR="00481356" w:rsidRPr="00BA7CBD">
        <w:t xml:space="preserve"> Canada (7)</w:t>
      </w:r>
      <w:r w:rsidR="00BA7CBD">
        <w:t>,</w:t>
      </w:r>
      <w:r w:rsidR="00481356" w:rsidRPr="00BA7CBD">
        <w:t xml:space="preserve"> Denmark (3)</w:t>
      </w:r>
      <w:r w:rsidR="00BA7CBD">
        <w:t>,</w:t>
      </w:r>
      <w:r w:rsidR="00481356" w:rsidRPr="00BA7CBD">
        <w:t xml:space="preserve"> France (6)</w:t>
      </w:r>
      <w:r w:rsidR="00BA7CBD">
        <w:t xml:space="preserve">, </w:t>
      </w:r>
      <w:r w:rsidR="00481356" w:rsidRPr="00BA7CBD">
        <w:t>Netherlands (4)</w:t>
      </w:r>
      <w:r w:rsidR="00BA7CBD">
        <w:t>,</w:t>
      </w:r>
      <w:r w:rsidR="00481356" w:rsidRPr="00BA7CBD">
        <w:t xml:space="preserve"> Sweden (5)</w:t>
      </w:r>
      <w:r w:rsidR="00BA7CBD">
        <w:t>,</w:t>
      </w:r>
      <w:r w:rsidR="00481356" w:rsidRPr="00BA7CBD">
        <w:t xml:space="preserve"> UK (9)</w:t>
      </w:r>
      <w:r w:rsidR="00BA7CBD">
        <w:t>,</w:t>
      </w:r>
      <w:r w:rsidR="00481356" w:rsidRPr="00BA7CBD">
        <w:t xml:space="preserve"> US (45)</w:t>
      </w:r>
      <w:r w:rsidR="00BA7CBD">
        <w:t>,</w:t>
      </w:r>
      <w:r w:rsidR="00481356" w:rsidRPr="00BA7CBD">
        <w:t xml:space="preserve"> </w:t>
      </w:r>
      <w:r w:rsidR="00BA7CBD">
        <w:t xml:space="preserve">and </w:t>
      </w:r>
      <w:r w:rsidR="00481356" w:rsidRPr="00BA7CBD">
        <w:t>Germany (4, for the sub-study only). There were no study sites in Australia.</w:t>
      </w:r>
    </w:p>
    <w:p w14:paraId="2EF0CD22" w14:textId="47F73FF7" w:rsidR="00481356" w:rsidRPr="00534956" w:rsidRDefault="00CC6B75" w:rsidP="00481356">
      <w:r w:rsidRPr="00534956">
        <w:t xml:space="preserve">The primary objective of VISION was </w:t>
      </w:r>
      <w:r w:rsidR="00481356" w:rsidRPr="00534956">
        <w:t>to compare radiographic progression-free survival (</w:t>
      </w:r>
      <w:proofErr w:type="spellStart"/>
      <w:r w:rsidR="00481356" w:rsidRPr="00534956">
        <w:t>rPFS</w:t>
      </w:r>
      <w:proofErr w:type="spellEnd"/>
      <w:r w:rsidR="00481356" w:rsidRPr="00534956">
        <w:t>) and overall survival (OS) in patients with progressive prostate-specific membrane antigen (</w:t>
      </w:r>
      <w:proofErr w:type="spellStart"/>
      <w:r w:rsidR="00481356" w:rsidRPr="00534956">
        <w:t>PSMA</w:t>
      </w:r>
      <w:proofErr w:type="spellEnd"/>
      <w:r w:rsidR="00481356" w:rsidRPr="00534956">
        <w:t xml:space="preserve">)-positive </w:t>
      </w:r>
      <w:proofErr w:type="spellStart"/>
      <w:r w:rsidR="00481356" w:rsidRPr="00534956">
        <w:t>mCRPC</w:t>
      </w:r>
      <w:proofErr w:type="spellEnd"/>
      <w:r w:rsidR="00481356" w:rsidRPr="00534956">
        <w:t xml:space="preserve"> who received </w:t>
      </w:r>
      <w:r w:rsidR="00481356" w:rsidRPr="00534956">
        <w:rPr>
          <w:vertAlign w:val="superscript"/>
        </w:rPr>
        <w:t>177</w:t>
      </w:r>
      <w:r w:rsidR="00481356" w:rsidRPr="00534956">
        <w:t>Lu-PSMA-617 in addition to best supportive/best standard of care (BSC/</w:t>
      </w:r>
      <w:proofErr w:type="spellStart"/>
      <w:r w:rsidR="00481356" w:rsidRPr="00534956">
        <w:t>BSoC</w:t>
      </w:r>
      <w:proofErr w:type="spellEnd"/>
      <w:r w:rsidR="00481356" w:rsidRPr="00534956">
        <w:t>) versus patients treated with BSC/</w:t>
      </w:r>
      <w:proofErr w:type="spellStart"/>
      <w:r w:rsidR="00481356" w:rsidRPr="00534956">
        <w:t>BSoC</w:t>
      </w:r>
      <w:proofErr w:type="spellEnd"/>
      <w:r w:rsidR="00481356" w:rsidRPr="00534956">
        <w:t xml:space="preserve"> only.</w:t>
      </w:r>
    </w:p>
    <w:p w14:paraId="0A620650" w14:textId="4AD0094B" w:rsidR="00481356" w:rsidRDefault="001C06A0" w:rsidP="00481356">
      <w:r w:rsidRPr="00534956">
        <w:t>Key secondary objectives included overall response rate (</w:t>
      </w:r>
      <w:r w:rsidR="00481356" w:rsidRPr="00534956">
        <w:t>ORR</w:t>
      </w:r>
      <w:r w:rsidRPr="00534956">
        <w:t>)</w:t>
      </w:r>
      <w:r w:rsidR="00481356" w:rsidRPr="00534956">
        <w:t xml:space="preserve">, </w:t>
      </w:r>
      <w:r w:rsidR="004257D0" w:rsidRPr="00534956">
        <w:t>disease control rate (</w:t>
      </w:r>
      <w:r w:rsidR="00481356" w:rsidRPr="00534956">
        <w:t>DCR</w:t>
      </w:r>
      <w:r w:rsidR="004257D0" w:rsidRPr="00534956">
        <w:t xml:space="preserve">) and </w:t>
      </w:r>
      <w:r w:rsidR="00826BDF">
        <w:t xml:space="preserve">time to first </w:t>
      </w:r>
      <w:r w:rsidR="00B519D5" w:rsidRPr="00534956">
        <w:t>symptomatic skeletal event (</w:t>
      </w:r>
      <w:r w:rsidR="00481356" w:rsidRPr="00534956">
        <w:t>SSE</w:t>
      </w:r>
      <w:r w:rsidR="00B519D5" w:rsidRPr="00534956">
        <w:t>). Other secondary objectives included safety and tolerability,</w:t>
      </w:r>
      <w:r w:rsidR="002A21CB" w:rsidRPr="00534956">
        <w:t xml:space="preserve"> </w:t>
      </w:r>
      <w:r w:rsidR="00CD45AA" w:rsidRPr="00534956">
        <w:t xml:space="preserve">health related quality of life, </w:t>
      </w:r>
      <w:r w:rsidR="00481356" w:rsidRPr="00534956">
        <w:t>health economics</w:t>
      </w:r>
      <w:r w:rsidR="00CD45AA" w:rsidRPr="00534956">
        <w:t xml:space="preserve"> and progression-free survival (</w:t>
      </w:r>
      <w:r w:rsidR="00481356" w:rsidRPr="00534956">
        <w:t>PFS</w:t>
      </w:r>
      <w:r w:rsidR="00CD45AA" w:rsidRPr="00534956">
        <w:t>).</w:t>
      </w:r>
    </w:p>
    <w:p w14:paraId="3E8A9DC3" w14:textId="1FA3CDC1" w:rsidR="002A21CB" w:rsidRDefault="00F1187D" w:rsidP="00AF5D56">
      <w:pPr>
        <w:pStyle w:val="FigureTitle"/>
      </w:pPr>
      <w:r>
        <w:t xml:space="preserve">Figure </w:t>
      </w:r>
      <w:r>
        <w:fldChar w:fldCharType="begin"/>
      </w:r>
      <w:r>
        <w:instrText xml:space="preserve"> SEQ Figure \* ARABIC </w:instrText>
      </w:r>
      <w:r>
        <w:fldChar w:fldCharType="separate"/>
      </w:r>
      <w:r w:rsidR="00AB77D0">
        <w:rPr>
          <w:noProof/>
        </w:rPr>
        <w:t>2</w:t>
      </w:r>
      <w:r>
        <w:fldChar w:fldCharType="end"/>
      </w:r>
      <w:r>
        <w:t xml:space="preserve">: Study </w:t>
      </w:r>
      <w:proofErr w:type="spellStart"/>
      <w:r>
        <w:t>PSMA</w:t>
      </w:r>
      <w:proofErr w:type="spellEnd"/>
      <w:r>
        <w:t xml:space="preserve">-617-01 </w:t>
      </w:r>
      <w:r w:rsidRPr="00AF5D56">
        <w:t>design</w:t>
      </w:r>
    </w:p>
    <w:p w14:paraId="6D98D0F9" w14:textId="77777777" w:rsidR="00481356" w:rsidRPr="00AD6A8F" w:rsidRDefault="00481356" w:rsidP="00AF5D56">
      <w:r>
        <w:rPr>
          <w:noProof/>
        </w:rPr>
        <w:drawing>
          <wp:inline distT="0" distB="0" distL="0" distR="0" wp14:anchorId="146C466F" wp14:editId="2F56783B">
            <wp:extent cx="5091058" cy="2333625"/>
            <wp:effectExtent l="0" t="0" r="0" b="0"/>
            <wp:docPr id="1" name="Picture 1" descr="Figure 2: Study PSMA-617-01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 Study PSMA-617-01 design"/>
                    <pic:cNvPicPr/>
                  </pic:nvPicPr>
                  <pic:blipFill rotWithShape="1">
                    <a:blip r:embed="rId23"/>
                    <a:srcRect t="6056" b="6141"/>
                    <a:stretch>
                      <a:fillRect/>
                    </a:stretch>
                  </pic:blipFill>
                  <pic:spPr bwMode="auto">
                    <a:xfrm>
                      <a:off x="0" y="0"/>
                      <a:ext cx="5113053" cy="2343707"/>
                    </a:xfrm>
                    <a:prstGeom prst="rect">
                      <a:avLst/>
                    </a:prstGeom>
                    <a:ln>
                      <a:noFill/>
                    </a:ln>
                    <a:extLst>
                      <a:ext uri="{53640926-AAD7-44D8-BBD7-CCE9431645EC}">
                        <a14:shadowObscured xmlns:a14="http://schemas.microsoft.com/office/drawing/2010/main"/>
                      </a:ext>
                    </a:extLst>
                  </pic:spPr>
                </pic:pic>
              </a:graphicData>
            </a:graphic>
          </wp:inline>
        </w:drawing>
      </w:r>
    </w:p>
    <w:p w14:paraId="02544B18" w14:textId="155A09C3" w:rsidR="00481356" w:rsidRDefault="00481356" w:rsidP="002244DF">
      <w:pPr>
        <w:pStyle w:val="Heading6"/>
      </w:pPr>
      <w:r>
        <w:t>Inclusion and exclusion criteria</w:t>
      </w:r>
    </w:p>
    <w:p w14:paraId="6751A50E" w14:textId="5BF06567" w:rsidR="00BC3C9A" w:rsidRDefault="00BC3C9A" w:rsidP="00BC3C9A">
      <w:r>
        <w:t>Key inclusion criteria</w:t>
      </w:r>
      <w:r w:rsidR="00A3635C">
        <w:t>:</w:t>
      </w:r>
    </w:p>
    <w:p w14:paraId="1648F776" w14:textId="5C6B3353" w:rsidR="00A3635C" w:rsidRPr="00A3635C" w:rsidRDefault="00A3635C" w:rsidP="00A3635C">
      <w:pPr>
        <w:pStyle w:val="ListBullet"/>
      </w:pPr>
      <w:r w:rsidRPr="00A3635C">
        <w:t>Adult male</w:t>
      </w:r>
      <w:r w:rsidR="003107C0">
        <w:t>.</w:t>
      </w:r>
    </w:p>
    <w:p w14:paraId="084A2597" w14:textId="50CA28C9" w:rsidR="00A3635C" w:rsidRPr="00A3635C" w:rsidRDefault="00A3635C" w:rsidP="00A3635C">
      <w:pPr>
        <w:pStyle w:val="ListBullet"/>
      </w:pPr>
      <w:r w:rsidRPr="00A3635C">
        <w:lastRenderedPageBreak/>
        <w:t>Histologically/pathologically, and/or cytologically confirmed prostate cancer</w:t>
      </w:r>
      <w:r w:rsidR="003107C0">
        <w:t>.</w:t>
      </w:r>
    </w:p>
    <w:p w14:paraId="1F90BC6B" w14:textId="28B8B37A" w:rsidR="00A3635C" w:rsidRPr="00A3635C" w:rsidRDefault="00A3635C" w:rsidP="00A3635C">
      <w:pPr>
        <w:pStyle w:val="ListBullet"/>
      </w:pPr>
      <w:r w:rsidRPr="00A3635C">
        <w:t xml:space="preserve">Progressive </w:t>
      </w:r>
      <w:proofErr w:type="spellStart"/>
      <w:r w:rsidRPr="00A3635C">
        <w:t>mCRPC</w:t>
      </w:r>
      <w:proofErr w:type="spellEnd"/>
      <w:r w:rsidRPr="00A3635C">
        <w:t xml:space="preserve"> (serum PSA progression, soft tissue progression or progression of bone disease)</w:t>
      </w:r>
      <w:r w:rsidR="003107C0">
        <w:t>.</w:t>
      </w:r>
    </w:p>
    <w:p w14:paraId="0E990EF2" w14:textId="5AA5E114" w:rsidR="00A3635C" w:rsidRPr="00A3635C" w:rsidRDefault="00A3635C" w:rsidP="00A3635C">
      <w:pPr>
        <w:pStyle w:val="ListBullet"/>
      </w:pPr>
      <w:r w:rsidRPr="00A3635C">
        <w:t>Received at least one novel anti-androgen drug</w:t>
      </w:r>
      <w:r w:rsidR="003107C0">
        <w:t>.</w:t>
      </w:r>
    </w:p>
    <w:p w14:paraId="20DF04A0" w14:textId="6D651A11" w:rsidR="00A3635C" w:rsidRPr="00A3635C" w:rsidRDefault="00A3635C" w:rsidP="00A3635C">
      <w:pPr>
        <w:pStyle w:val="ListBullet"/>
      </w:pPr>
      <w:r w:rsidRPr="00A3635C">
        <w:t xml:space="preserve">Previously treated with at least one but no more than 2 prior </w:t>
      </w:r>
      <w:proofErr w:type="spellStart"/>
      <w:r w:rsidRPr="00A3635C">
        <w:t>taxane</w:t>
      </w:r>
      <w:proofErr w:type="spellEnd"/>
      <w:r w:rsidRPr="00A3635C">
        <w:t xml:space="preserve"> regimens</w:t>
      </w:r>
      <w:r w:rsidR="003107C0">
        <w:t>.</w:t>
      </w:r>
    </w:p>
    <w:p w14:paraId="26C13622" w14:textId="56900037" w:rsidR="00A3635C" w:rsidRPr="00A3635C" w:rsidRDefault="00A3635C" w:rsidP="00A3635C">
      <w:pPr>
        <w:pStyle w:val="ListBullet"/>
      </w:pPr>
      <w:r w:rsidRPr="00A3635C">
        <w:t>Castrate level of serum testosterone (&lt;</w:t>
      </w:r>
      <w:r w:rsidR="00276E6B">
        <w:t> </w:t>
      </w:r>
      <w:r w:rsidRPr="00A3635C">
        <w:t>50</w:t>
      </w:r>
      <w:r w:rsidR="00276E6B">
        <w:t> </w:t>
      </w:r>
      <w:r w:rsidRPr="00A3635C">
        <w:t>ng/dL or &lt;</w:t>
      </w:r>
      <w:r w:rsidR="00276E6B">
        <w:t> </w:t>
      </w:r>
      <w:r w:rsidRPr="00A3635C">
        <w:t>1.7</w:t>
      </w:r>
      <w:r w:rsidR="00276E6B">
        <w:t> </w:t>
      </w:r>
      <w:r w:rsidRPr="00A3635C">
        <w:t>nmol/L)</w:t>
      </w:r>
      <w:r w:rsidR="003107C0">
        <w:t>.</w:t>
      </w:r>
    </w:p>
    <w:p w14:paraId="5D467F2E" w14:textId="7BA07AB2" w:rsidR="00A3635C" w:rsidRPr="00B424D7" w:rsidRDefault="00A3635C" w:rsidP="00A3635C">
      <w:pPr>
        <w:pStyle w:val="ListBullet"/>
      </w:pPr>
      <w:r w:rsidRPr="00A3635C">
        <w:t>Positive 68Ga-</w:t>
      </w:r>
      <w:r w:rsidRPr="00B424D7">
        <w:t>PSMA-11 PET-CT scan</w:t>
      </w:r>
      <w:r w:rsidR="003107C0" w:rsidRPr="00B424D7">
        <w:t>.</w:t>
      </w:r>
    </w:p>
    <w:p w14:paraId="7489F6D4" w14:textId="6AA24644" w:rsidR="00A3635C" w:rsidRPr="00B424D7" w:rsidRDefault="00E43648" w:rsidP="00A3635C">
      <w:pPr>
        <w:pStyle w:val="ListBullet"/>
      </w:pPr>
      <w:r w:rsidRPr="00B424D7">
        <w:t xml:space="preserve">Eastern </w:t>
      </w:r>
      <w:r w:rsidR="00FE72B8" w:rsidRPr="00B424D7">
        <w:t>c</w:t>
      </w:r>
      <w:r w:rsidRPr="00B424D7">
        <w:t xml:space="preserve">ooperative </w:t>
      </w:r>
      <w:r w:rsidR="00FE72B8" w:rsidRPr="00B424D7">
        <w:t>o</w:t>
      </w:r>
      <w:r w:rsidRPr="00B424D7">
        <w:t xml:space="preserve">ncology </w:t>
      </w:r>
      <w:r w:rsidR="00FE72B8" w:rsidRPr="00B424D7">
        <w:t>g</w:t>
      </w:r>
      <w:r w:rsidRPr="00B424D7">
        <w:t>roup (</w:t>
      </w:r>
      <w:r w:rsidR="00A3635C" w:rsidRPr="00B424D7">
        <w:t>ECOG</w:t>
      </w:r>
      <w:r w:rsidRPr="00B424D7">
        <w:t>)</w:t>
      </w:r>
      <w:r w:rsidR="009D3814" w:rsidRPr="00B424D7">
        <w:t xml:space="preserve"> score</w:t>
      </w:r>
      <w:r w:rsidR="00A3635C" w:rsidRPr="00B424D7">
        <w:t xml:space="preserve"> 0-2</w:t>
      </w:r>
      <w:r w:rsidR="003107C0" w:rsidRPr="00B424D7">
        <w:t>.</w:t>
      </w:r>
    </w:p>
    <w:p w14:paraId="6BCF0B2A" w14:textId="045685A3" w:rsidR="00A3635C" w:rsidRPr="00B424D7" w:rsidRDefault="00A3635C" w:rsidP="00A3635C">
      <w:pPr>
        <w:pStyle w:val="ListBullet"/>
      </w:pPr>
      <w:r w:rsidRPr="00B424D7">
        <w:t>Life expectancy &gt;</w:t>
      </w:r>
      <w:r w:rsidR="009D3814" w:rsidRPr="00B424D7">
        <w:t> </w:t>
      </w:r>
      <w:r w:rsidRPr="00B424D7">
        <w:t>6 months</w:t>
      </w:r>
      <w:r w:rsidR="003107C0" w:rsidRPr="00B424D7">
        <w:t>.</w:t>
      </w:r>
    </w:p>
    <w:p w14:paraId="00EC36AF" w14:textId="34D0DF56" w:rsidR="00A3635C" w:rsidRPr="00B424D7" w:rsidRDefault="00A3635C" w:rsidP="00A3635C">
      <w:pPr>
        <w:pStyle w:val="ListBullet"/>
      </w:pPr>
      <w:r w:rsidRPr="00B424D7">
        <w:t>At least one metastatic lesion present on baseline</w:t>
      </w:r>
      <w:r w:rsidR="00A3285B" w:rsidRPr="00B424D7">
        <w:t xml:space="preserve"> </w:t>
      </w:r>
      <w:r w:rsidRPr="00B424D7">
        <w:t xml:space="preserve">CT, </w:t>
      </w:r>
      <w:r w:rsidR="007826C2" w:rsidRPr="00B424D7">
        <w:t>magnetic resonance imaging (</w:t>
      </w:r>
      <w:r w:rsidRPr="00B424D7">
        <w:t>MRI</w:t>
      </w:r>
      <w:r w:rsidR="007826C2" w:rsidRPr="00B424D7">
        <w:t>)</w:t>
      </w:r>
      <w:r w:rsidRPr="00B424D7">
        <w:t xml:space="preserve"> or bone scan</w:t>
      </w:r>
      <w:r w:rsidR="003107C0" w:rsidRPr="00B424D7">
        <w:t>.</w:t>
      </w:r>
    </w:p>
    <w:p w14:paraId="00FA84C3" w14:textId="3003BF23" w:rsidR="00A3635C" w:rsidRPr="00B424D7" w:rsidRDefault="00A3635C" w:rsidP="00A3635C">
      <w:pPr>
        <w:pStyle w:val="ListBullet"/>
      </w:pPr>
      <w:r w:rsidRPr="00B424D7">
        <w:t>Adequate</w:t>
      </w:r>
      <w:r w:rsidR="0002042E">
        <w:t xml:space="preserve"> bone marrow reserve, hepatic </w:t>
      </w:r>
      <w:r w:rsidRPr="00B424D7">
        <w:t>renal function (serum Cr ≤</w:t>
      </w:r>
      <w:r w:rsidR="009D3814" w:rsidRPr="00B424D7">
        <w:t> </w:t>
      </w:r>
      <w:r w:rsidRPr="00B424D7">
        <w:t xml:space="preserve">1.5 x </w:t>
      </w:r>
      <w:r w:rsidR="007826C2" w:rsidRPr="00B424D7">
        <w:t>upper limit of normal</w:t>
      </w:r>
      <w:r w:rsidRPr="00B424D7">
        <w:t xml:space="preserve"> or </w:t>
      </w:r>
      <w:proofErr w:type="spellStart"/>
      <w:r w:rsidRPr="00B424D7">
        <w:t>CrCL</w:t>
      </w:r>
      <w:proofErr w:type="spellEnd"/>
      <w:r w:rsidRPr="00B424D7">
        <w:t xml:space="preserve"> ≥</w:t>
      </w:r>
      <w:r w:rsidR="009D3814" w:rsidRPr="00B424D7">
        <w:t> </w:t>
      </w:r>
      <w:r w:rsidRPr="00B424D7">
        <w:t>50</w:t>
      </w:r>
      <w:r w:rsidR="009D3814" w:rsidRPr="00B424D7">
        <w:t> </w:t>
      </w:r>
      <w:proofErr w:type="spellStart"/>
      <w:r w:rsidRPr="00B424D7">
        <w:t>mLmin</w:t>
      </w:r>
      <w:proofErr w:type="spellEnd"/>
      <w:r w:rsidRPr="00B424D7">
        <w:t>)</w:t>
      </w:r>
      <w:r w:rsidR="003107C0" w:rsidRPr="00B424D7">
        <w:t>.</w:t>
      </w:r>
    </w:p>
    <w:p w14:paraId="65E6178E" w14:textId="4B4AA7B4" w:rsidR="002C20C6" w:rsidRPr="00B424D7" w:rsidRDefault="002C20C6" w:rsidP="002C20C6">
      <w:r w:rsidRPr="00B424D7">
        <w:t>Key exclusion criteria:</w:t>
      </w:r>
    </w:p>
    <w:p w14:paraId="6FAEC4A0" w14:textId="179CDD6F" w:rsidR="002C20C6" w:rsidRPr="00B424D7" w:rsidRDefault="002C20C6" w:rsidP="002C20C6">
      <w:pPr>
        <w:pStyle w:val="ListBullet"/>
      </w:pPr>
      <w:r w:rsidRPr="00B424D7">
        <w:t>Previously treated with any of the following within 6 months of randomisation: Strontinum</w:t>
      </w:r>
      <w:r w:rsidR="006A720B" w:rsidRPr="00B424D7">
        <w:noBreakHyphen/>
      </w:r>
      <w:r w:rsidRPr="00B424D7">
        <w:t>89, Samarium-153, Rhenum-186, Rhenium-188, Radium-223 or hemi-body irradiation</w:t>
      </w:r>
      <w:r w:rsidR="003107C0" w:rsidRPr="00B424D7">
        <w:t>.</w:t>
      </w:r>
    </w:p>
    <w:p w14:paraId="1EBA1574" w14:textId="4CCC40C3" w:rsidR="002C20C6" w:rsidRPr="00B424D7" w:rsidRDefault="002C20C6" w:rsidP="002C20C6">
      <w:pPr>
        <w:pStyle w:val="ListBullet"/>
      </w:pPr>
      <w:r w:rsidRPr="00B424D7">
        <w:t>Previously treated with PSMA-targeted</w:t>
      </w:r>
      <w:r w:rsidR="006A720B" w:rsidRPr="00B424D7">
        <w:t xml:space="preserve"> radioligand therapy (</w:t>
      </w:r>
      <w:r w:rsidRPr="00B424D7">
        <w:t>RLT</w:t>
      </w:r>
      <w:r w:rsidR="006A720B" w:rsidRPr="00B424D7">
        <w:t>)</w:t>
      </w:r>
      <w:r w:rsidR="003107C0" w:rsidRPr="00B424D7">
        <w:t>.</w:t>
      </w:r>
    </w:p>
    <w:p w14:paraId="63D5C932" w14:textId="0B6AD428" w:rsidR="002C20C6" w:rsidRPr="002C20C6" w:rsidRDefault="002C20C6" w:rsidP="002C20C6">
      <w:pPr>
        <w:pStyle w:val="ListBullet"/>
      </w:pPr>
      <w:r w:rsidRPr="002C20C6">
        <w:t>Systemic anti-cancer therapy within 28 days prior to randomisation</w:t>
      </w:r>
      <w:r w:rsidR="003107C0">
        <w:t>.</w:t>
      </w:r>
    </w:p>
    <w:p w14:paraId="1B947D00" w14:textId="1C59C24C" w:rsidR="002C20C6" w:rsidRPr="002C20C6" w:rsidRDefault="002C20C6" w:rsidP="002C20C6">
      <w:pPr>
        <w:pStyle w:val="ListBullet"/>
      </w:pPr>
      <w:r w:rsidRPr="002C20C6">
        <w:t>Any investigational agents within 28 days prior to randomisation</w:t>
      </w:r>
      <w:r w:rsidR="003107C0">
        <w:t>.</w:t>
      </w:r>
    </w:p>
    <w:p w14:paraId="341E023F" w14:textId="40405CDC" w:rsidR="002C20C6" w:rsidRDefault="002C20C6" w:rsidP="002C20C6">
      <w:pPr>
        <w:pStyle w:val="ListBullet"/>
      </w:pPr>
      <w:r w:rsidRPr="002C20C6">
        <w:t xml:space="preserve">History of </w:t>
      </w:r>
      <w:r w:rsidR="006A720B">
        <w:t>central nervous system</w:t>
      </w:r>
      <w:r w:rsidRPr="002C20C6">
        <w:t xml:space="preserve"> metastases who did not receive therapy and were neurologically unstable, symptomatic and receiving corticosteroids for purposes of maintaining neurologic integrity</w:t>
      </w:r>
      <w:r w:rsidR="003107C0">
        <w:t>.</w:t>
      </w:r>
    </w:p>
    <w:p w14:paraId="36369032" w14:textId="77777777" w:rsidR="0002042E" w:rsidRDefault="0002042E" w:rsidP="0002042E">
      <w:pPr>
        <w:pStyle w:val="ListBullet"/>
      </w:pPr>
      <w:r>
        <w:t>Known hypersensitivity to the components of the study therapy or its analogues.</w:t>
      </w:r>
    </w:p>
    <w:p w14:paraId="16EE3722" w14:textId="2D0B35A2" w:rsidR="0002042E" w:rsidRDefault="0002042E" w:rsidP="002C20C6">
      <w:pPr>
        <w:pStyle w:val="ListBullet"/>
      </w:pPr>
      <w:r>
        <w:t>Concurrent serious medical conditions, including New York Heart Association class III or IV congestive heart failure, history of congenital prolonged QT syndrome, uncontrolled infection, known active hepatitis B or C, or other significant co-morbid conditions that in the opinion of the Investigator would impair study participation or co-operation.</w:t>
      </w:r>
    </w:p>
    <w:p w14:paraId="28DF3D80" w14:textId="2A01C03A" w:rsidR="005E5161" w:rsidRDefault="005E5161" w:rsidP="005E5161">
      <w:pPr>
        <w:pStyle w:val="Heading6"/>
      </w:pPr>
      <w:r>
        <w:t>Study treatments</w:t>
      </w:r>
    </w:p>
    <w:p w14:paraId="4E3DC483" w14:textId="0EE221C3" w:rsidR="003107C0" w:rsidRDefault="009236B7" w:rsidP="00AF5D56">
      <w:r>
        <w:t xml:space="preserve">Study treatment was </w:t>
      </w:r>
      <w:r w:rsidR="00CE545D" w:rsidRPr="00CE545D">
        <w:rPr>
          <w:vertAlign w:val="superscript"/>
        </w:rPr>
        <w:t>177</w:t>
      </w:r>
      <w:r w:rsidR="00CE545D">
        <w:t>Lu-PSMA-617 (7.4 </w:t>
      </w:r>
      <w:proofErr w:type="spellStart"/>
      <w:r w:rsidR="00CE545D">
        <w:t>GBq</w:t>
      </w:r>
      <w:proofErr w:type="spellEnd"/>
      <w:r w:rsidR="00CE545D">
        <w:t xml:space="preserve"> +/-</w:t>
      </w:r>
      <w:r w:rsidR="00F222BF">
        <w:t> </w:t>
      </w:r>
      <w:r w:rsidR="00CE545D">
        <w:t xml:space="preserve">10%) administered once every 6 weeks for a maximum of 6 cycles, </w:t>
      </w:r>
      <w:r w:rsidR="00F222BF">
        <w:t xml:space="preserve">plus </w:t>
      </w:r>
      <w:r w:rsidR="00CE545D">
        <w:t>BSC/</w:t>
      </w:r>
      <w:proofErr w:type="spellStart"/>
      <w:r w:rsidR="00CE545D">
        <w:t>BSoC</w:t>
      </w:r>
      <w:proofErr w:type="spellEnd"/>
      <w:r w:rsidR="00F222BF">
        <w:t xml:space="preserve">. </w:t>
      </w:r>
      <w:r w:rsidR="00CE545D">
        <w:t xml:space="preserve">Patients were randomised 2:1 to </w:t>
      </w:r>
      <w:r w:rsidR="00CE545D" w:rsidRPr="00F222BF">
        <w:rPr>
          <w:vertAlign w:val="superscript"/>
        </w:rPr>
        <w:t>177</w:t>
      </w:r>
      <w:r w:rsidR="00CE545D">
        <w:t>Lu-PSMA-617</w:t>
      </w:r>
      <w:r w:rsidR="00F222BF">
        <w:t xml:space="preserve"> plus </w:t>
      </w:r>
      <w:r w:rsidR="00CE545D">
        <w:t>BSC/</w:t>
      </w:r>
      <w:proofErr w:type="spellStart"/>
      <w:r w:rsidR="00CE545D">
        <w:t>BSoC</w:t>
      </w:r>
      <w:proofErr w:type="spellEnd"/>
      <w:r w:rsidR="00CE545D">
        <w:t xml:space="preserve"> or BSC/</w:t>
      </w:r>
      <w:proofErr w:type="spellStart"/>
      <w:r w:rsidR="00CE545D">
        <w:t>BSoC</w:t>
      </w:r>
      <w:proofErr w:type="spellEnd"/>
      <w:r w:rsidR="00CE545D">
        <w:t xml:space="preserve"> only</w:t>
      </w:r>
      <w:r w:rsidR="00F222BF">
        <w:t>.</w:t>
      </w:r>
      <w:r w:rsidR="004C425C">
        <w:t xml:space="preserve"> </w:t>
      </w:r>
      <w:r w:rsidR="004C425C" w:rsidRPr="004C425C">
        <w:t xml:space="preserve">Randomisation was stratified on the following factors: </w:t>
      </w:r>
      <w:r w:rsidR="00E26805">
        <w:t>lactate dehydrogenase</w:t>
      </w:r>
      <w:r w:rsidR="004C425C" w:rsidRPr="004C425C">
        <w:t xml:space="preserve"> level (≤ 260 IU/L or &gt;</w:t>
      </w:r>
      <w:r w:rsidR="00E26805">
        <w:t> </w:t>
      </w:r>
      <w:r w:rsidR="004C425C" w:rsidRPr="004C425C">
        <w:t>260 UI/L), presence of liver metastases (</w:t>
      </w:r>
      <w:r w:rsidR="00E26805">
        <w:t>y</w:t>
      </w:r>
      <w:r w:rsidR="004C425C" w:rsidRPr="004C425C">
        <w:t xml:space="preserve">es or </w:t>
      </w:r>
      <w:r w:rsidR="00E26805">
        <w:t>n</w:t>
      </w:r>
      <w:r w:rsidR="004C425C" w:rsidRPr="004C425C">
        <w:t xml:space="preserve">o), ECOG score (0-1 or 2) and inclusion of </w:t>
      </w:r>
      <w:r w:rsidR="0023055D">
        <w:t>novel androgen axis drug</w:t>
      </w:r>
      <w:r w:rsidR="004C425C" w:rsidRPr="004C425C">
        <w:t xml:space="preserve"> in the BSC/</w:t>
      </w:r>
      <w:proofErr w:type="spellStart"/>
      <w:r w:rsidR="004C425C" w:rsidRPr="004C425C">
        <w:t>BSoC</w:t>
      </w:r>
      <w:proofErr w:type="spellEnd"/>
      <w:r w:rsidR="004C425C" w:rsidRPr="004C425C">
        <w:t xml:space="preserve"> (at time of randomisation, </w:t>
      </w:r>
      <w:r w:rsidR="00FE72B8">
        <w:t>y</w:t>
      </w:r>
      <w:r w:rsidR="004C425C" w:rsidRPr="004C425C">
        <w:t xml:space="preserve">es or </w:t>
      </w:r>
      <w:r w:rsidR="00FE72B8">
        <w:t>n</w:t>
      </w:r>
      <w:r w:rsidR="004C425C" w:rsidRPr="004C425C">
        <w:t>o).</w:t>
      </w:r>
    </w:p>
    <w:p w14:paraId="567ECF18" w14:textId="75EC6E3E" w:rsidR="007012AC" w:rsidRDefault="007012AC" w:rsidP="00AF5D56">
      <w:r>
        <w:t>For</w:t>
      </w:r>
      <w:r w:rsidR="0002042E">
        <w:t xml:space="preserve"> both the treatment arm (</w:t>
      </w:r>
      <w:proofErr w:type="spellStart"/>
      <w:r w:rsidR="0002042E">
        <w:t>AAA617</w:t>
      </w:r>
      <w:proofErr w:type="spellEnd"/>
      <w:r w:rsidR="0002042E">
        <w:t xml:space="preserve"> </w:t>
      </w:r>
      <w:r w:rsidR="001F6D10">
        <w:t>and</w:t>
      </w:r>
      <w:r w:rsidR="0002042E">
        <w:t xml:space="preserve"> BSC/</w:t>
      </w:r>
      <w:proofErr w:type="spellStart"/>
      <w:r w:rsidR="0002042E">
        <w:t>BSoC</w:t>
      </w:r>
      <w:proofErr w:type="spellEnd"/>
      <w:r w:rsidR="0002042E">
        <w:t>) and</w:t>
      </w:r>
      <w:r>
        <w:t xml:space="preserve"> the control arm (BSC/</w:t>
      </w:r>
      <w:proofErr w:type="spellStart"/>
      <w:r>
        <w:t>BSoC</w:t>
      </w:r>
      <w:proofErr w:type="spellEnd"/>
      <w:r>
        <w:t xml:space="preserve"> only), patients continued BSC/</w:t>
      </w:r>
      <w:proofErr w:type="spellStart"/>
      <w:r>
        <w:t>BSoC</w:t>
      </w:r>
      <w:proofErr w:type="spellEnd"/>
      <w:r>
        <w:t xml:space="preserve"> until they met one of the criteria for treatment discontinuation.</w:t>
      </w:r>
      <w:r w:rsidR="00C205AE">
        <w:t xml:space="preserve"> </w:t>
      </w:r>
      <w:r>
        <w:t>BSC/</w:t>
      </w:r>
      <w:proofErr w:type="spellStart"/>
      <w:r>
        <w:t>BSoC</w:t>
      </w:r>
      <w:proofErr w:type="spellEnd"/>
      <w:r>
        <w:t xml:space="preserve"> was chosen by the patient’s physician reflecting standard interventions. Where possible treatment was optimised prior to randomisation. It could be adapted during the study. </w:t>
      </w:r>
      <w:r>
        <w:lastRenderedPageBreak/>
        <w:t>Investigational agents, cytotoxic chemotherapy, immunotherapy, other systemic radio isotopes (</w:t>
      </w:r>
      <w:r w:rsidR="00C205AE">
        <w:t>for example,</w:t>
      </w:r>
      <w:r>
        <w:t xml:space="preserve"> radium-223), or hemi-body radiotherapy treatment were prohibited.</w:t>
      </w:r>
    </w:p>
    <w:p w14:paraId="79CCC305" w14:textId="77777777" w:rsidR="00481356" w:rsidRPr="00BE4CB3" w:rsidRDefault="00481356" w:rsidP="00556348">
      <w:pPr>
        <w:pStyle w:val="Heading6"/>
      </w:pPr>
      <w:r w:rsidRPr="00BE4CB3">
        <w:t>Statistical methods</w:t>
      </w:r>
    </w:p>
    <w:p w14:paraId="02FA1C90" w14:textId="77777777" w:rsidR="00BE4CB3" w:rsidRDefault="00BE4CB3" w:rsidP="00BE4CB3">
      <w:r>
        <w:t xml:space="preserve">The design of the study was such that, to be declared positive, the study required statistical significance on either </w:t>
      </w:r>
      <w:proofErr w:type="spellStart"/>
      <w:r>
        <w:t>rPFS</w:t>
      </w:r>
      <w:proofErr w:type="spellEnd"/>
      <w:r>
        <w:t xml:space="preserve"> or OS at the allocated alpha level.</w:t>
      </w:r>
    </w:p>
    <w:p w14:paraId="7003A93C" w14:textId="24398849" w:rsidR="00BE4CB3" w:rsidRDefault="002354E7" w:rsidP="00BE4CB3">
      <w:r>
        <w:t>Radiographic progression-free survival</w:t>
      </w:r>
      <w:r w:rsidR="00BE4CB3">
        <w:t xml:space="preserve"> distribution was estimated using the Kaplan</w:t>
      </w:r>
      <w:r>
        <w:noBreakHyphen/>
      </w:r>
      <w:r w:rsidR="00BE4CB3">
        <w:t>Meier method and 99.2% confidence inte</w:t>
      </w:r>
      <w:r w:rsidR="00BE4CB3" w:rsidRPr="00B424D7">
        <w:t>rvals (CI) were</w:t>
      </w:r>
      <w:r w:rsidR="00BE4CB3">
        <w:t xml:space="preserve"> presented. The two treatment groups were compared using a stratified (by randomisation stratification factors) log-rank test with a one</w:t>
      </w:r>
      <w:r>
        <w:t>-</w:t>
      </w:r>
      <w:r w:rsidR="00BE4CB3">
        <w:t>sided p value.</w:t>
      </w:r>
    </w:p>
    <w:p w14:paraId="2A9DCE25" w14:textId="41513A69" w:rsidR="00BE4CB3" w:rsidRDefault="002354E7" w:rsidP="009F7219">
      <w:pPr>
        <w:rPr>
          <w:lang w:eastAsia="ja-JP"/>
        </w:rPr>
      </w:pPr>
      <w:r>
        <w:t xml:space="preserve">Overall survival </w:t>
      </w:r>
      <w:r w:rsidR="00BE4CB3">
        <w:t xml:space="preserve">in the treatment groups was compared using a log-rank test stratifying for the randomisation stratification factors. </w:t>
      </w:r>
      <w:r>
        <w:t>Overall survival</w:t>
      </w:r>
      <w:r w:rsidR="00BE4CB3">
        <w:t xml:space="preserve"> distribution was estimated using the Kaplan-Meier method with 95% CIs. Supportive analyses for </w:t>
      </w:r>
      <w:proofErr w:type="spellStart"/>
      <w:r w:rsidR="00BE4CB3">
        <w:t>rPFS</w:t>
      </w:r>
      <w:proofErr w:type="spellEnd"/>
      <w:r w:rsidR="00BE4CB3">
        <w:t xml:space="preserve"> and OS used a stratified Cox regression model.</w:t>
      </w:r>
      <w:r w:rsidR="00BE4CB3">
        <w:rPr>
          <w:lang w:eastAsia="ja-JP"/>
        </w:rPr>
        <w:t xml:space="preserve"> </w:t>
      </w:r>
      <w:r w:rsidR="00BE4CB3">
        <w:t>A sensitivity analysis to assess the impact of COVID-19 included the primary OS analysis but censoring COVID-19 related deaths at the date of death.</w:t>
      </w:r>
    </w:p>
    <w:p w14:paraId="45E09A33" w14:textId="0A9288F8" w:rsidR="00481356" w:rsidRDefault="00417226" w:rsidP="007F3862">
      <w:pPr>
        <w:pStyle w:val="Heading6"/>
      </w:pPr>
      <w:r>
        <w:t>Participant flow</w:t>
      </w:r>
    </w:p>
    <w:p w14:paraId="0C4964B8" w14:textId="208D7D7B" w:rsidR="00481356" w:rsidRPr="00DB7348" w:rsidRDefault="00481356" w:rsidP="00AF5D56">
      <w:r w:rsidRPr="00DB7348">
        <w:t xml:space="preserve">The main reasons for discontinuing </w:t>
      </w:r>
      <w:r w:rsidRPr="00DB7348">
        <w:rPr>
          <w:vertAlign w:val="superscript"/>
        </w:rPr>
        <w:t>177</w:t>
      </w:r>
      <w:r w:rsidRPr="00DB7348">
        <w:t xml:space="preserve">Lu-PSMA-617 (50.6% patients) were progressive disease (23.0%), </w:t>
      </w:r>
      <w:r w:rsidR="00DB7348">
        <w:t>adverse events (AEs)</w:t>
      </w:r>
      <w:r w:rsidRPr="00DB7348">
        <w:t xml:space="preserve"> (9.8%), and no longer clinically benefiting (6.5%).</w:t>
      </w:r>
    </w:p>
    <w:p w14:paraId="76A9B092" w14:textId="10A03DAF" w:rsidR="00481356" w:rsidRPr="00DB7348" w:rsidRDefault="00481356" w:rsidP="00DB7348">
      <w:r w:rsidRPr="00DB7348">
        <w:t>The main reasons for discontinuing BSC/</w:t>
      </w:r>
      <w:proofErr w:type="spellStart"/>
      <w:r w:rsidRPr="00DB7348">
        <w:t>BSoC</w:t>
      </w:r>
      <w:proofErr w:type="spellEnd"/>
      <w:r w:rsidRPr="00DB7348">
        <w:t xml:space="preserve"> treatment were</w:t>
      </w:r>
      <w:r w:rsidR="00DB7348">
        <w:t xml:space="preserve"> </w:t>
      </w:r>
      <w:r w:rsidRPr="00DB7348">
        <w:t>progressive disease (40.7% v</w:t>
      </w:r>
      <w:r w:rsidR="00DB7348">
        <w:t xml:space="preserve">ersus </w:t>
      </w:r>
      <w:r w:rsidRPr="00DB7348">
        <w:t>26.1%), no longer clinically benefiting (13.1% v</w:t>
      </w:r>
      <w:r w:rsidR="00DB7348">
        <w:t>ersus</w:t>
      </w:r>
      <w:r w:rsidRPr="00DB7348">
        <w:t xml:space="preserve"> 17.9%) and withdrawal of consent (9.3% </w:t>
      </w:r>
      <w:r w:rsidR="00DB7348">
        <w:t>versus</w:t>
      </w:r>
      <w:r w:rsidRPr="00DB7348">
        <w:t xml:space="preserve"> 12.9%) (</w:t>
      </w:r>
      <w:r w:rsidRPr="00BB26BF">
        <w:rPr>
          <w:vertAlign w:val="superscript"/>
        </w:rPr>
        <w:t>177</w:t>
      </w:r>
      <w:r w:rsidRPr="00DB7348">
        <w:t>Lu-PSMA-617</w:t>
      </w:r>
      <w:r w:rsidR="00BB26BF">
        <w:t xml:space="preserve"> plus </w:t>
      </w:r>
      <w:r w:rsidRPr="00DB7348">
        <w:t>BSC/</w:t>
      </w:r>
      <w:proofErr w:type="spellStart"/>
      <w:r w:rsidRPr="00DB7348">
        <w:t>BSoC</w:t>
      </w:r>
      <w:proofErr w:type="spellEnd"/>
      <w:r w:rsidRPr="00DB7348">
        <w:t xml:space="preserve"> v</w:t>
      </w:r>
      <w:r w:rsidR="00BB26BF">
        <w:t>ersus</w:t>
      </w:r>
      <w:r w:rsidRPr="00DB7348">
        <w:t xml:space="preserve"> BSC/</w:t>
      </w:r>
      <w:proofErr w:type="spellStart"/>
      <w:r w:rsidRPr="00DB7348">
        <w:t>BSoC</w:t>
      </w:r>
      <w:proofErr w:type="spellEnd"/>
      <w:r w:rsidRPr="00DB7348">
        <w:t xml:space="preserve"> only groups).</w:t>
      </w:r>
    </w:p>
    <w:p w14:paraId="66E7C70D" w14:textId="10806356" w:rsidR="00481356" w:rsidRPr="00DB7348" w:rsidRDefault="00481356" w:rsidP="00DB7348">
      <w:r w:rsidRPr="00DB7348">
        <w:t xml:space="preserve">At data cut-off, study discontinuation was 65.7% and 80.4% in the </w:t>
      </w:r>
      <w:r w:rsidRPr="002A1AD5">
        <w:rPr>
          <w:vertAlign w:val="superscript"/>
        </w:rPr>
        <w:t>177</w:t>
      </w:r>
      <w:r w:rsidRPr="00DB7348">
        <w:t>Lu-PSMA-61</w:t>
      </w:r>
      <w:r w:rsidR="0002042E">
        <w:t>7</w:t>
      </w:r>
      <w:r w:rsidR="002A1AD5">
        <w:t xml:space="preserve"> plus </w:t>
      </w:r>
      <w:r w:rsidRPr="00DB7348">
        <w:t>BSC/</w:t>
      </w:r>
      <w:proofErr w:type="spellStart"/>
      <w:r w:rsidRPr="00DB7348">
        <w:t>BSoC</w:t>
      </w:r>
      <w:proofErr w:type="spellEnd"/>
      <w:r w:rsidRPr="00DB7348">
        <w:t xml:space="preserve"> and BSC/</w:t>
      </w:r>
      <w:proofErr w:type="spellStart"/>
      <w:r w:rsidRPr="00DB7348">
        <w:t>BSoC</w:t>
      </w:r>
      <w:proofErr w:type="spellEnd"/>
      <w:r w:rsidRPr="00DB7348">
        <w:t xml:space="preserve"> only group, respectively. The main reasons were death (59.7% v</w:t>
      </w:r>
      <w:r w:rsidR="002A1AD5">
        <w:t xml:space="preserve">ersus </w:t>
      </w:r>
      <w:r w:rsidRPr="00DB7348">
        <w:t>59.6%) and withdrawal of consent (5.3% v</w:t>
      </w:r>
      <w:r w:rsidR="002A1AD5">
        <w:t>ersus</w:t>
      </w:r>
      <w:r w:rsidRPr="00DB7348">
        <w:t xml:space="preserve"> 18.9%)</w:t>
      </w:r>
      <w:r w:rsidR="002A1AD5">
        <w:t>.</w:t>
      </w:r>
    </w:p>
    <w:p w14:paraId="64CC1ADB" w14:textId="62A202AA" w:rsidR="00481356" w:rsidRPr="00DB7348" w:rsidRDefault="00481356" w:rsidP="00DB7348">
      <w:r w:rsidRPr="00DB7348">
        <w:t>As of the data cut-off date of 27</w:t>
      </w:r>
      <w:r w:rsidR="002A1AD5">
        <w:t xml:space="preserve"> </w:t>
      </w:r>
      <w:r w:rsidRPr="00DB7348">
        <w:t>Jan</w:t>
      </w:r>
      <w:r w:rsidR="002A1AD5">
        <w:t xml:space="preserve">uary </w:t>
      </w:r>
      <w:r w:rsidRPr="00DB7348">
        <w:t xml:space="preserve">2021, the median study follow-up was 20.3 and 19.8 months </w:t>
      </w:r>
      <w:r w:rsidRPr="002A1AD5">
        <w:rPr>
          <w:vertAlign w:val="superscript"/>
        </w:rPr>
        <w:t>177</w:t>
      </w:r>
      <w:r w:rsidRPr="00DB7348">
        <w:t>Lu-PSMA-617</w:t>
      </w:r>
      <w:r w:rsidR="002A1AD5">
        <w:t xml:space="preserve"> plus </w:t>
      </w:r>
      <w:r w:rsidRPr="00DB7348">
        <w:t>BSC/</w:t>
      </w:r>
      <w:proofErr w:type="spellStart"/>
      <w:r w:rsidRPr="00DB7348">
        <w:t>BSoC</w:t>
      </w:r>
      <w:proofErr w:type="spellEnd"/>
      <w:r w:rsidRPr="00DB7348">
        <w:t xml:space="preserve"> and BSC/</w:t>
      </w:r>
      <w:proofErr w:type="spellStart"/>
      <w:r w:rsidRPr="00DB7348">
        <w:t>BSoC</w:t>
      </w:r>
      <w:proofErr w:type="spellEnd"/>
      <w:r w:rsidRPr="00DB7348">
        <w:t xml:space="preserve"> only groups, respectively.</w:t>
      </w:r>
    </w:p>
    <w:p w14:paraId="052F3B4C" w14:textId="41EF4FAC" w:rsidR="00481356" w:rsidRDefault="00481356" w:rsidP="007F3862">
      <w:pPr>
        <w:pStyle w:val="Heading6"/>
      </w:pPr>
      <w:r>
        <w:t xml:space="preserve">Protocol </w:t>
      </w:r>
      <w:r w:rsidR="0011712E">
        <w:t>deviations</w:t>
      </w:r>
    </w:p>
    <w:p w14:paraId="404C02EB" w14:textId="11915DC8" w:rsidR="00E12446" w:rsidRDefault="00E12446" w:rsidP="00E12446">
      <w:r w:rsidRPr="00E12446">
        <w:t xml:space="preserve">The rate of at least one major protocol deviation was higher in the </w:t>
      </w:r>
      <w:r w:rsidRPr="00E12446">
        <w:rPr>
          <w:vertAlign w:val="superscript"/>
        </w:rPr>
        <w:t>177</w:t>
      </w:r>
      <w:r w:rsidRPr="00E12446">
        <w:t>Lu-PSMA-617 plus BSC/</w:t>
      </w:r>
      <w:proofErr w:type="spellStart"/>
      <w:r w:rsidRPr="00E12446">
        <w:t>BSoC</w:t>
      </w:r>
      <w:proofErr w:type="spellEnd"/>
      <w:r w:rsidRPr="00E12446">
        <w:t xml:space="preserve"> than the BSC/</w:t>
      </w:r>
      <w:proofErr w:type="spellStart"/>
      <w:r w:rsidRPr="00E12446">
        <w:t>BSoC</w:t>
      </w:r>
      <w:proofErr w:type="spellEnd"/>
      <w:r w:rsidRPr="00E12446">
        <w:t xml:space="preserve"> only group (50.6% versus 38.6%).</w:t>
      </w:r>
    </w:p>
    <w:p w14:paraId="3283E775" w14:textId="46DFB0F4" w:rsidR="00E12446" w:rsidRPr="00E12446" w:rsidRDefault="00E12446" w:rsidP="00E12446">
      <w:r w:rsidRPr="00E12446">
        <w:t>The main deviations (in the respective groups) were related to study procedure or assessment (23.2% v</w:t>
      </w:r>
      <w:r>
        <w:t>ersus</w:t>
      </w:r>
      <w:r w:rsidRPr="00E12446">
        <w:t xml:space="preserve"> 15.0%), inclusion/exclusion criteria (20.1% v</w:t>
      </w:r>
      <w:r>
        <w:t>ersus</w:t>
      </w:r>
      <w:r w:rsidRPr="00E12446">
        <w:t xml:space="preserve"> 15.7%), informed consent (8.9% v</w:t>
      </w:r>
      <w:r>
        <w:t>ersus</w:t>
      </w:r>
      <w:r w:rsidRPr="00E12446">
        <w:t xml:space="preserve"> 9.3%), study medication (6.7% v</w:t>
      </w:r>
      <w:r>
        <w:t>ersus</w:t>
      </w:r>
      <w:r w:rsidRPr="00E12446">
        <w:t xml:space="preserve"> 0.7%) and randomisation procedures (5.1% </w:t>
      </w:r>
      <w:r>
        <w:t>versus</w:t>
      </w:r>
      <w:r w:rsidRPr="00E12446">
        <w:t xml:space="preserve"> 2.5%)</w:t>
      </w:r>
      <w:r>
        <w:t>.</w:t>
      </w:r>
    </w:p>
    <w:p w14:paraId="5E99681F" w14:textId="160CFA2D" w:rsidR="00E12446" w:rsidRPr="00E12446" w:rsidRDefault="00E12446" w:rsidP="00AF5D56">
      <w:r w:rsidRPr="00E12446">
        <w:t>The study ran during the COVID-19 pandemic however enrolment was completed on 23</w:t>
      </w:r>
      <w:r>
        <w:t> </w:t>
      </w:r>
      <w:r w:rsidRPr="00E12446">
        <w:t>October</w:t>
      </w:r>
      <w:r>
        <w:t> </w:t>
      </w:r>
      <w:r w:rsidRPr="00E12446">
        <w:t xml:space="preserve">2019 prior to the beginning of the pandemic in the study countries. Dosing with </w:t>
      </w:r>
      <w:r w:rsidRPr="00E12446">
        <w:rPr>
          <w:vertAlign w:val="superscript"/>
        </w:rPr>
        <w:t>177</w:t>
      </w:r>
      <w:r w:rsidRPr="00E12446">
        <w:t>Lu-PSMA-617 was completed on 26</w:t>
      </w:r>
      <w:r>
        <w:t> </w:t>
      </w:r>
      <w:r w:rsidRPr="00E12446">
        <w:t>June</w:t>
      </w:r>
      <w:r>
        <w:t> </w:t>
      </w:r>
      <w:r w:rsidRPr="00E12446">
        <w:t xml:space="preserve">2020. Six patients discontinued </w:t>
      </w:r>
      <w:r w:rsidRPr="00E12446">
        <w:rPr>
          <w:vertAlign w:val="superscript"/>
        </w:rPr>
        <w:t>177</w:t>
      </w:r>
      <w:r w:rsidRPr="00E12446">
        <w:t>Lu-PSMA-617 due to the pandemic, and it was reported that they all had already received at least of 4 cycles of study drug. The rate of major protocol deviations related to COVID-19 was 8.3% and 1.4% in the respective groups with the major deviation being missing imaging visit or assessment (7.1% v</w:t>
      </w:r>
      <w:r>
        <w:t>ersus</w:t>
      </w:r>
      <w:r w:rsidRPr="00E12446">
        <w:t xml:space="preserve"> 1.4%). There were three COVID-19 related deaths (</w:t>
      </w:r>
      <w:r>
        <w:t>one</w:t>
      </w:r>
      <w:r w:rsidRPr="00E12446">
        <w:t xml:space="preserve"> in the </w:t>
      </w:r>
      <w:r w:rsidRPr="00E12446">
        <w:rPr>
          <w:vertAlign w:val="superscript"/>
        </w:rPr>
        <w:t>177</w:t>
      </w:r>
      <w:r w:rsidRPr="00E12446">
        <w:t>Lu-PMSA-617</w:t>
      </w:r>
      <w:r>
        <w:t xml:space="preserve"> group</w:t>
      </w:r>
      <w:r w:rsidRPr="00E12446">
        <w:t xml:space="preserve"> and 2 in the control group). The sponsor reported that </w:t>
      </w:r>
      <w:r w:rsidR="00EA7F1A">
        <w:t>‘</w:t>
      </w:r>
      <w:r>
        <w:t>m</w:t>
      </w:r>
      <w:r w:rsidRPr="00E12446">
        <w:t>issed assessments or procedures due to the pandemic were estimated to represent less than 0.25% of the data to be collected</w:t>
      </w:r>
      <w:r w:rsidR="00EA7F1A">
        <w:t>’</w:t>
      </w:r>
      <w:r w:rsidRPr="00E12446">
        <w:t>.</w:t>
      </w:r>
    </w:p>
    <w:p w14:paraId="7D5FFA55" w14:textId="2DA537E1" w:rsidR="00481356" w:rsidRDefault="00481356" w:rsidP="00AF5D56">
      <w:pPr>
        <w:pStyle w:val="Heading6"/>
      </w:pPr>
      <w:r w:rsidRPr="00F97151">
        <w:lastRenderedPageBreak/>
        <w:t xml:space="preserve">Baseline </w:t>
      </w:r>
      <w:r w:rsidRPr="00AF5D56">
        <w:t>data</w:t>
      </w:r>
    </w:p>
    <w:p w14:paraId="7E5B242D" w14:textId="6BCE9DDB" w:rsidR="00481356" w:rsidRPr="002D7F34" w:rsidRDefault="00481356" w:rsidP="002D7F34">
      <w:r w:rsidRPr="002D7F34">
        <w:t>All patients were recruited from sites in Europe or North America. Demographic and baseline characteristics were balanced between treatment groups.</w:t>
      </w:r>
      <w:r w:rsidR="004A4629">
        <w:t xml:space="preserve"> </w:t>
      </w:r>
      <w:r w:rsidRPr="002D7F34">
        <w:t>The mean age was 70.0 years, 75.3% were aged ≥</w:t>
      </w:r>
      <w:r w:rsidR="004A4629">
        <w:t> </w:t>
      </w:r>
      <w:r w:rsidRPr="002D7F34">
        <w:t xml:space="preserve">65 years, most subjects were </w:t>
      </w:r>
      <w:r w:rsidR="004A4629">
        <w:t>W</w:t>
      </w:r>
      <w:r w:rsidRPr="002D7F34">
        <w:t>hite (86.8%) and the 92.4% had an ECOG performance status of 0-1</w:t>
      </w:r>
      <w:r w:rsidR="00D53A93">
        <w:t>.</w:t>
      </w:r>
    </w:p>
    <w:p w14:paraId="5936B4C0" w14:textId="08400031" w:rsidR="00481356" w:rsidRDefault="00481356" w:rsidP="00AF5D56">
      <w:r w:rsidRPr="002D7F34">
        <w:t xml:space="preserve">The median time since cancer diagnosis was 7.4 years, 90.9% had an adenocarcinoma. </w:t>
      </w:r>
      <w:r w:rsidR="00D53A93">
        <w:t>A</w:t>
      </w:r>
      <w:r w:rsidRPr="002D7F34">
        <w:t>pproximately 91% of patients had bone metastases and 12% had liver metastases.</w:t>
      </w:r>
      <w:r w:rsidR="008B5467">
        <w:t xml:space="preserve"> </w:t>
      </w:r>
      <w:r w:rsidRPr="002D7F34">
        <w:t xml:space="preserve">Cancer therapy was balanced between the groups. Most patients (76.1%) had at least one cancer-related radiotherapy. The mean number of prior systemic therapies was 5.3 (median 5.0) and </w:t>
      </w:r>
      <w:proofErr w:type="gramStart"/>
      <w:r w:rsidRPr="002D7F34">
        <w:t>the majority of</w:t>
      </w:r>
      <w:proofErr w:type="gramEnd"/>
      <w:r w:rsidRPr="002D7F34">
        <w:t xml:space="preserve"> patients (79.1%) had received 4 or more different categories of regimens.</w:t>
      </w:r>
      <w:r w:rsidR="00F4769C">
        <w:t xml:space="preserve"> </w:t>
      </w:r>
      <w:r>
        <w:t xml:space="preserve">All patients had received prior </w:t>
      </w:r>
      <w:proofErr w:type="spellStart"/>
      <w:r>
        <w:t>taxane</w:t>
      </w:r>
      <w:proofErr w:type="spellEnd"/>
      <w:r>
        <w:t xml:space="preserve"> treatment and a prior AR pathway inhibitor.</w:t>
      </w:r>
    </w:p>
    <w:p w14:paraId="22C111E7" w14:textId="11960DCE" w:rsidR="00481356" w:rsidRDefault="00481356" w:rsidP="00481356">
      <w:r>
        <w:t>Concomitant medications indicated as BSC/</w:t>
      </w:r>
      <w:proofErr w:type="spellStart"/>
      <w:r>
        <w:t>BSoC</w:t>
      </w:r>
      <w:proofErr w:type="spellEnd"/>
      <w:r>
        <w:t xml:space="preserve"> were most frequently gonadotropin releasing hormone analogues (88.5% v</w:t>
      </w:r>
      <w:r w:rsidR="00471829">
        <w:t>ersus</w:t>
      </w:r>
      <w:r>
        <w:t xml:space="preserve"> 83.9% in </w:t>
      </w:r>
      <w:r w:rsidRPr="00471829">
        <w:rPr>
          <w:vertAlign w:val="superscript"/>
        </w:rPr>
        <w:t>177</w:t>
      </w:r>
      <w:r>
        <w:t>Lu-PSMA-617</w:t>
      </w:r>
      <w:r w:rsidR="00471829">
        <w:t xml:space="preserve"> plus </w:t>
      </w:r>
      <w:r>
        <w:t>BSC/</w:t>
      </w:r>
      <w:proofErr w:type="spellStart"/>
      <w:r>
        <w:t>BSoC</w:t>
      </w:r>
      <w:proofErr w:type="spellEnd"/>
      <w:r>
        <w:t xml:space="preserve"> group and BSC/</w:t>
      </w:r>
      <w:proofErr w:type="spellStart"/>
      <w:r>
        <w:t>BSoC</w:t>
      </w:r>
      <w:proofErr w:type="spellEnd"/>
      <w:r>
        <w:t xml:space="preserve"> only group, respectively). Noted between group differences were for ondansetron (49.</w:t>
      </w:r>
      <w:r w:rsidR="005D506D">
        <w:t>3</w:t>
      </w:r>
      <w:r>
        <w:t>% v</w:t>
      </w:r>
      <w:r w:rsidR="00153E47">
        <w:t>ersus</w:t>
      </w:r>
      <w:r>
        <w:t xml:space="preserve"> 1</w:t>
      </w:r>
      <w:r w:rsidR="005D506D">
        <w:t>5</w:t>
      </w:r>
      <w:r>
        <w:t>.6%) and anti-androgens (34.</w:t>
      </w:r>
      <w:r w:rsidR="005D506D">
        <w:t>4</w:t>
      </w:r>
      <w:r>
        <w:t>% v</w:t>
      </w:r>
      <w:r w:rsidR="00153E47">
        <w:t>ersus</w:t>
      </w:r>
      <w:r>
        <w:t xml:space="preserve"> 4</w:t>
      </w:r>
      <w:r w:rsidR="005D506D">
        <w:t>7</w:t>
      </w:r>
      <w:r>
        <w:t>.3%) (mainly enzalutamide 29.</w:t>
      </w:r>
      <w:r w:rsidR="005D506D">
        <w:t>7</w:t>
      </w:r>
      <w:r>
        <w:t>% v</w:t>
      </w:r>
      <w:r w:rsidR="00153E47">
        <w:t>ersus</w:t>
      </w:r>
      <w:r>
        <w:t xml:space="preserve"> 42.</w:t>
      </w:r>
      <w:r w:rsidR="005D506D">
        <w:t>4</w:t>
      </w:r>
      <w:r>
        <w:t>%).</w:t>
      </w:r>
      <w:r w:rsidR="00AD0A92">
        <w:t xml:space="preserve"> </w:t>
      </w:r>
      <w:r>
        <w:t>The clinical evaluat</w:t>
      </w:r>
      <w:r w:rsidR="00153E47">
        <w:t>ion</w:t>
      </w:r>
      <w:r>
        <w:t xml:space="preserve"> noted that given this imbalance, a sensitivity analysis was conducted to assess the impact of concurrent anti-androgen therapies on efficacy, with results showing that the </w:t>
      </w:r>
      <w:proofErr w:type="spellStart"/>
      <w:r>
        <w:t>rPFS</w:t>
      </w:r>
      <w:proofErr w:type="spellEnd"/>
      <w:r>
        <w:t xml:space="preserve"> and OS benefit of adding </w:t>
      </w:r>
      <w:r w:rsidRPr="00153E47">
        <w:rPr>
          <w:vertAlign w:val="superscript"/>
        </w:rPr>
        <w:t>177</w:t>
      </w:r>
      <w:r>
        <w:t>Lu-PSMA-617 to BSC/</w:t>
      </w:r>
      <w:proofErr w:type="spellStart"/>
      <w:r>
        <w:t>BSoC</w:t>
      </w:r>
      <w:proofErr w:type="spellEnd"/>
      <w:r>
        <w:t xml:space="preserve"> was maintained even after excluding patients who received androgen pathway receptor inhibitors.</w:t>
      </w:r>
    </w:p>
    <w:p w14:paraId="63D890D3" w14:textId="1D71C3F6" w:rsidR="00481356" w:rsidRDefault="00481356" w:rsidP="00481356">
      <w:r>
        <w:t>The mean duration of exposure to BSC/</w:t>
      </w:r>
      <w:proofErr w:type="spellStart"/>
      <w:r>
        <w:t>BSoC</w:t>
      </w:r>
      <w:proofErr w:type="spellEnd"/>
      <w:r>
        <w:t xml:space="preserve"> was 8.8 months and 3.5 months (median 7.6 v</w:t>
      </w:r>
      <w:r w:rsidR="00877AC2">
        <w:t>ersus</w:t>
      </w:r>
      <w:r>
        <w:t xml:space="preserve"> 2.1 months) in the </w:t>
      </w:r>
      <w:r w:rsidRPr="00877AC2">
        <w:rPr>
          <w:vertAlign w:val="superscript"/>
        </w:rPr>
        <w:t>177</w:t>
      </w:r>
      <w:r>
        <w:t>Lu-PSMA-617</w:t>
      </w:r>
      <w:r w:rsidR="00877AC2">
        <w:t xml:space="preserve"> plus </w:t>
      </w:r>
      <w:r>
        <w:t>BSC/</w:t>
      </w:r>
      <w:proofErr w:type="spellStart"/>
      <w:r>
        <w:t>BSoC</w:t>
      </w:r>
      <w:proofErr w:type="spellEnd"/>
      <w:r>
        <w:t xml:space="preserve"> and BSC/</w:t>
      </w:r>
      <w:proofErr w:type="spellStart"/>
      <w:r>
        <w:t>BSoC</w:t>
      </w:r>
      <w:proofErr w:type="spellEnd"/>
      <w:r>
        <w:t xml:space="preserve"> only groups, respectively.</w:t>
      </w:r>
    </w:p>
    <w:p w14:paraId="0638DA8E" w14:textId="01536920" w:rsidR="00481356" w:rsidRPr="00090CA7" w:rsidRDefault="007F3862" w:rsidP="007F3862">
      <w:pPr>
        <w:pStyle w:val="Heading6"/>
      </w:pPr>
      <w:r>
        <w:t>Results</w:t>
      </w:r>
    </w:p>
    <w:p w14:paraId="149D16EE" w14:textId="0D0621CB" w:rsidR="00481356" w:rsidRPr="0065451E" w:rsidRDefault="00481356" w:rsidP="00AF5D56">
      <w:r w:rsidRPr="0065451E">
        <w:t xml:space="preserve">The median PFS was 8.7 months (99.2% CI: 7.9, 10.8) in the </w:t>
      </w:r>
      <w:r w:rsidRPr="0065451E">
        <w:rPr>
          <w:vertAlign w:val="superscript"/>
        </w:rPr>
        <w:t>177</w:t>
      </w:r>
      <w:r w:rsidRPr="0065451E">
        <w:t>Lu-PSMA-617</w:t>
      </w:r>
      <w:r w:rsidR="0065451E">
        <w:t xml:space="preserve"> plus </w:t>
      </w:r>
      <w:r w:rsidRPr="0065451E">
        <w:t>BSC/</w:t>
      </w:r>
      <w:proofErr w:type="spellStart"/>
      <w:r w:rsidRPr="0065451E">
        <w:t>BSoC</w:t>
      </w:r>
      <w:proofErr w:type="spellEnd"/>
      <w:r w:rsidRPr="0065451E">
        <w:t xml:space="preserve"> group to compared to 3.4 months (99.2% CI: 2.4, 4.0) in the BSC/</w:t>
      </w:r>
      <w:proofErr w:type="spellStart"/>
      <w:r w:rsidRPr="0065451E">
        <w:t>BSoC</w:t>
      </w:r>
      <w:proofErr w:type="spellEnd"/>
      <w:r w:rsidRPr="0065451E">
        <w:t xml:space="preserve"> only group, an increase of 5.3 months.</w:t>
      </w:r>
    </w:p>
    <w:p w14:paraId="69856F7E" w14:textId="1506DC5F" w:rsidR="00481356" w:rsidRPr="0065451E" w:rsidRDefault="00481356" w:rsidP="0065451E">
      <w:r w:rsidRPr="0065451E">
        <w:t xml:space="preserve">There was a 60% risk reduction in radiograph disease progression or death in the </w:t>
      </w:r>
      <w:r w:rsidRPr="004F62DD">
        <w:rPr>
          <w:vertAlign w:val="superscript"/>
        </w:rPr>
        <w:t>177</w:t>
      </w:r>
      <w:r w:rsidRPr="0065451E">
        <w:t>Lu</w:t>
      </w:r>
      <w:r w:rsidR="004F62DD">
        <w:noBreakHyphen/>
      </w:r>
      <w:r w:rsidRPr="0065451E">
        <w:t>PSMA</w:t>
      </w:r>
      <w:r w:rsidR="004F62DD">
        <w:noBreakHyphen/>
      </w:r>
      <w:r w:rsidRPr="0065451E">
        <w:t xml:space="preserve">617 </w:t>
      </w:r>
      <w:r w:rsidR="004F62DD">
        <w:t xml:space="preserve">plus </w:t>
      </w:r>
      <w:r w:rsidRPr="0065451E">
        <w:t>BSC/</w:t>
      </w:r>
      <w:proofErr w:type="spellStart"/>
      <w:r w:rsidRPr="0065451E">
        <w:t>BSo</w:t>
      </w:r>
      <w:r w:rsidRPr="00B97CE0">
        <w:t>C</w:t>
      </w:r>
      <w:proofErr w:type="spellEnd"/>
      <w:r w:rsidRPr="00B97CE0">
        <w:t xml:space="preserve"> group (</w:t>
      </w:r>
      <w:r w:rsidR="004F62DD" w:rsidRPr="00B97CE0">
        <w:t>hazard ratio (HR) </w:t>
      </w:r>
      <w:r w:rsidRPr="00B97CE0">
        <w:t>=</w:t>
      </w:r>
      <w:r w:rsidR="004F62DD" w:rsidRPr="00B97CE0">
        <w:t> </w:t>
      </w:r>
      <w:r w:rsidRPr="00B97CE0">
        <w:t>0.40</w:t>
      </w:r>
      <w:r w:rsidRPr="0065451E">
        <w:t>, 99.2% CI: 0.29, 0.57, stratified log rank one-sided p value &lt;</w:t>
      </w:r>
      <w:r w:rsidR="00EA4E92">
        <w:t> </w:t>
      </w:r>
      <w:r w:rsidRPr="0065451E">
        <w:t>0.001)</w:t>
      </w:r>
      <w:r w:rsidR="00EA4E92">
        <w:t>.</w:t>
      </w:r>
    </w:p>
    <w:p w14:paraId="3F13219B" w14:textId="0BBFFE99" w:rsidR="00481356" w:rsidRDefault="00481356" w:rsidP="0065451E">
      <w:r w:rsidRPr="0065451E">
        <w:t>There was a difference in the censoring rates between the 2 arms (34.0% v</w:t>
      </w:r>
      <w:r w:rsidR="00EA4E92">
        <w:t>ersus</w:t>
      </w:r>
      <w:r w:rsidRPr="0065451E">
        <w:t xml:space="preserve"> 52.6%)</w:t>
      </w:r>
      <w:r w:rsidR="00EA4E92">
        <w:t>.</w:t>
      </w:r>
      <w:r w:rsidRPr="0065451E">
        <w:t xml:space="preserve"> </w:t>
      </w:r>
      <w:r w:rsidR="00EA4E92">
        <w:t>T</w:t>
      </w:r>
      <w:r w:rsidRPr="0065451E">
        <w:t>he clinical evaluat</w:t>
      </w:r>
      <w:r w:rsidR="00EA4E92">
        <w:t>ion</w:t>
      </w:r>
      <w:r w:rsidRPr="0065451E">
        <w:t xml:space="preserve"> noted that despite the change in analysis population, the </w:t>
      </w:r>
      <w:proofErr w:type="spellStart"/>
      <w:r w:rsidRPr="0065451E">
        <w:t>rPFS</w:t>
      </w:r>
      <w:proofErr w:type="spellEnd"/>
      <w:r w:rsidRPr="0065451E">
        <w:t xml:space="preserve"> data analysis was still subject to unbalanced censoring rates</w:t>
      </w:r>
      <w:r w:rsidR="007434D5">
        <w:t>.</w:t>
      </w:r>
    </w:p>
    <w:p w14:paraId="08CEC83F" w14:textId="1CE04A21" w:rsidR="00204B7C" w:rsidRDefault="00100C65" w:rsidP="00AF5D56">
      <w:pPr>
        <w:pStyle w:val="FigureTitle"/>
      </w:pPr>
      <w:r>
        <w:lastRenderedPageBreak/>
        <w:t xml:space="preserve">Figure </w:t>
      </w:r>
      <w:r>
        <w:fldChar w:fldCharType="begin"/>
      </w:r>
      <w:r>
        <w:instrText xml:space="preserve"> SEQ Figure \* ARABIC </w:instrText>
      </w:r>
      <w:r>
        <w:fldChar w:fldCharType="separate"/>
      </w:r>
      <w:r w:rsidR="00AB77D0">
        <w:rPr>
          <w:noProof/>
        </w:rPr>
        <w:t>3</w:t>
      </w:r>
      <w:r>
        <w:fldChar w:fldCharType="end"/>
      </w:r>
      <w:r>
        <w:t xml:space="preserve">: </w:t>
      </w:r>
      <w:r w:rsidRPr="00100C65">
        <w:t xml:space="preserve">Kaplan-Meier plot of </w:t>
      </w:r>
      <w:r>
        <w:t xml:space="preserve">radiographic progression-free survival </w:t>
      </w:r>
      <w:r w:rsidRPr="00100C65">
        <w:t>per independent central review (</w:t>
      </w:r>
      <w:r w:rsidR="00991AFA">
        <w:t>progression-</w:t>
      </w:r>
      <w:r w:rsidR="00991AFA" w:rsidRPr="00AF5D56">
        <w:t>free</w:t>
      </w:r>
      <w:r w:rsidR="00991AFA">
        <w:t xml:space="preserve"> survival – full analysis set</w:t>
      </w:r>
      <w:r w:rsidRPr="00100C65">
        <w:t>)</w:t>
      </w:r>
    </w:p>
    <w:p w14:paraId="3DAEDF27" w14:textId="5920E96B" w:rsidR="007434D5" w:rsidRPr="0065451E" w:rsidRDefault="00AB11A5" w:rsidP="00AF5D56">
      <w:r w:rsidRPr="00AB11A5">
        <w:rPr>
          <w:noProof/>
        </w:rPr>
        <w:drawing>
          <wp:inline distT="0" distB="0" distL="0" distR="0" wp14:anchorId="5EA78B9B" wp14:editId="0D572511">
            <wp:extent cx="5124450" cy="4133850"/>
            <wp:effectExtent l="0" t="0" r="0" b="0"/>
            <wp:docPr id="2015989722" name="Picture 1" descr="Figure 3: Kaplan-Meier plot of radiographic progression-free survival per independent central review (progression-free survival –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89722" name="Picture 1" descr="Figure 3: Kaplan-Meier plot of radiographic progression-free survival per independent central review (progression-free survival – full analysis set)"/>
                    <pic:cNvPicPr/>
                  </pic:nvPicPr>
                  <pic:blipFill rotWithShape="1">
                    <a:blip r:embed="rId24"/>
                    <a:srcRect l="4941" r="3407"/>
                    <a:stretch>
                      <a:fillRect/>
                    </a:stretch>
                  </pic:blipFill>
                  <pic:spPr bwMode="auto">
                    <a:xfrm>
                      <a:off x="0" y="0"/>
                      <a:ext cx="5125165" cy="4134427"/>
                    </a:xfrm>
                    <a:prstGeom prst="rect">
                      <a:avLst/>
                    </a:prstGeom>
                    <a:ln>
                      <a:noFill/>
                    </a:ln>
                    <a:extLst>
                      <a:ext uri="{53640926-AAD7-44D8-BBD7-CCE9431645EC}">
                        <a14:shadowObscured xmlns:a14="http://schemas.microsoft.com/office/drawing/2010/main"/>
                      </a:ext>
                    </a:extLst>
                  </pic:spPr>
                </pic:pic>
              </a:graphicData>
            </a:graphic>
          </wp:inline>
        </w:drawing>
      </w:r>
    </w:p>
    <w:p w14:paraId="1792CD04" w14:textId="6D18D4ED" w:rsidR="00481356" w:rsidRPr="004D7708" w:rsidRDefault="00481356" w:rsidP="00AF5D56">
      <w:r w:rsidRPr="004D7708">
        <w:t xml:space="preserve">The median OS in the </w:t>
      </w:r>
      <w:proofErr w:type="spellStart"/>
      <w:r w:rsidRPr="004D7708">
        <w:rPr>
          <w:vertAlign w:val="superscript"/>
        </w:rPr>
        <w:t>177</w:t>
      </w:r>
      <w:r w:rsidRPr="004D7708">
        <w:t>LuPSMA</w:t>
      </w:r>
      <w:proofErr w:type="spellEnd"/>
      <w:r w:rsidRPr="004D7708">
        <w:t>-617</w:t>
      </w:r>
      <w:r w:rsidR="00E0466A">
        <w:t xml:space="preserve"> plus </w:t>
      </w:r>
      <w:r w:rsidRPr="004D7708">
        <w:t>BSC/</w:t>
      </w:r>
      <w:proofErr w:type="spellStart"/>
      <w:r w:rsidRPr="004D7708">
        <w:t>BSoC</w:t>
      </w:r>
      <w:proofErr w:type="spellEnd"/>
      <w:r w:rsidRPr="004D7708">
        <w:t xml:space="preserve"> group was 15.3 months (95% CI: 14.2, 16.9) compared to 11.3 months (95% CI: 9.8, 13.5) in the BSC/</w:t>
      </w:r>
      <w:proofErr w:type="spellStart"/>
      <w:r w:rsidRPr="004D7708">
        <w:t>BSoC</w:t>
      </w:r>
      <w:proofErr w:type="spellEnd"/>
      <w:r w:rsidRPr="004D7708">
        <w:t xml:space="preserve"> only group, an increase of 4.0 months</w:t>
      </w:r>
    </w:p>
    <w:p w14:paraId="75CFD403" w14:textId="7FCE0757" w:rsidR="00481356" w:rsidRPr="004D7708" w:rsidRDefault="00481356" w:rsidP="004D7708">
      <w:r w:rsidRPr="004D7708">
        <w:t>The median OS follow-up times were similar between groups (20.3 v</w:t>
      </w:r>
      <w:r w:rsidR="00E0466A">
        <w:t>ersus</w:t>
      </w:r>
      <w:r w:rsidRPr="004D7708">
        <w:t xml:space="preserve"> 19.8 months). The risk reduction in death was 38% with a HR of 0.62 (95% CI: 0.52, 0.74, stratified log rank test p</w:t>
      </w:r>
      <w:r w:rsidR="00E0466A">
        <w:t> </w:t>
      </w:r>
      <w:r w:rsidRPr="004D7708">
        <w:t>&lt;</w:t>
      </w:r>
      <w:r w:rsidR="00E0466A">
        <w:t> </w:t>
      </w:r>
      <w:r w:rsidRPr="004D7708">
        <w:t>0.001)</w:t>
      </w:r>
      <w:r w:rsidR="00E0466A">
        <w:t>.</w:t>
      </w:r>
    </w:p>
    <w:p w14:paraId="410574D2" w14:textId="61386EE8" w:rsidR="00481356" w:rsidRDefault="00481356" w:rsidP="004D7708">
      <w:r w:rsidRPr="004D7708">
        <w:t>Censoring rates for OS were 37.7% v</w:t>
      </w:r>
      <w:r w:rsidR="00E0466A">
        <w:t xml:space="preserve">ersus </w:t>
      </w:r>
      <w:r w:rsidRPr="004D7708">
        <w:t>33.2% in the respective groups.</w:t>
      </w:r>
    </w:p>
    <w:p w14:paraId="21DCA6D1" w14:textId="2769A856" w:rsidR="00E0466A" w:rsidRDefault="00E0466A" w:rsidP="00AF5D56">
      <w:pPr>
        <w:pStyle w:val="FigureTitle"/>
      </w:pPr>
      <w:r>
        <w:lastRenderedPageBreak/>
        <w:t xml:space="preserve">Figure </w:t>
      </w:r>
      <w:r>
        <w:fldChar w:fldCharType="begin"/>
      </w:r>
      <w:r>
        <w:instrText xml:space="preserve"> SEQ Figure \* ARABIC </w:instrText>
      </w:r>
      <w:r>
        <w:fldChar w:fldCharType="separate"/>
      </w:r>
      <w:r w:rsidR="00AB77D0">
        <w:rPr>
          <w:noProof/>
        </w:rPr>
        <w:t>4</w:t>
      </w:r>
      <w:r>
        <w:fldChar w:fldCharType="end"/>
      </w:r>
      <w:r>
        <w:t>:</w:t>
      </w:r>
      <w:r w:rsidR="00230E64" w:rsidRPr="00230E64">
        <w:t xml:space="preserve"> Kaplan-Meier plot of </w:t>
      </w:r>
      <w:r w:rsidR="00230E64" w:rsidRPr="00AF5D56">
        <w:t>overall</w:t>
      </w:r>
      <w:r w:rsidR="00230E64">
        <w:t xml:space="preserve"> survival </w:t>
      </w:r>
      <w:r w:rsidR="00230E64" w:rsidRPr="00230E64">
        <w:t>(</w:t>
      </w:r>
      <w:r w:rsidR="00230E64">
        <w:t>full analysis set</w:t>
      </w:r>
      <w:r w:rsidR="00230E64" w:rsidRPr="00230E64">
        <w:t>)</w:t>
      </w:r>
    </w:p>
    <w:p w14:paraId="768E7F07" w14:textId="30B97630" w:rsidR="000C4C36" w:rsidRPr="004D7708" w:rsidRDefault="000C4C36" w:rsidP="00AF5D56">
      <w:r w:rsidRPr="000C4C36">
        <w:rPr>
          <w:noProof/>
        </w:rPr>
        <w:drawing>
          <wp:inline distT="0" distB="0" distL="0" distR="0" wp14:anchorId="55F7DFD6" wp14:editId="3D2198F9">
            <wp:extent cx="5287113" cy="4163006"/>
            <wp:effectExtent l="0" t="0" r="8890" b="9525"/>
            <wp:docPr id="1166403688" name="Picture 1" descr="Figure 4: Kaplan-Meier plot of overall survival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03688" name="Picture 1" descr="Figure 4: Kaplan-Meier plot of overall survival (full analysis set)"/>
                    <pic:cNvPicPr/>
                  </pic:nvPicPr>
                  <pic:blipFill>
                    <a:blip r:embed="rId25"/>
                    <a:stretch>
                      <a:fillRect/>
                    </a:stretch>
                  </pic:blipFill>
                  <pic:spPr>
                    <a:xfrm>
                      <a:off x="0" y="0"/>
                      <a:ext cx="5287113" cy="4163006"/>
                    </a:xfrm>
                    <a:prstGeom prst="rect">
                      <a:avLst/>
                    </a:prstGeom>
                  </pic:spPr>
                </pic:pic>
              </a:graphicData>
            </a:graphic>
          </wp:inline>
        </w:drawing>
      </w:r>
    </w:p>
    <w:p w14:paraId="6B138843" w14:textId="2928E9C1" w:rsidR="00481356" w:rsidRPr="00D23097" w:rsidRDefault="00D23097" w:rsidP="00AF5D56">
      <w:r>
        <w:t>T</w:t>
      </w:r>
      <w:r w:rsidR="00481356" w:rsidRPr="00D23097">
        <w:t xml:space="preserve">he sponsor undertook further sensitivity analyses to assess the impact of censoring due to </w:t>
      </w:r>
      <w:proofErr w:type="gramStart"/>
      <w:r w:rsidR="00481356" w:rsidRPr="00D23097">
        <w:t>drop</w:t>
      </w:r>
      <w:r w:rsidR="00E43F5D">
        <w:t xml:space="preserve"> </w:t>
      </w:r>
      <w:r w:rsidR="00481356" w:rsidRPr="00D23097">
        <w:t>outs</w:t>
      </w:r>
      <w:proofErr w:type="gramEnd"/>
      <w:r w:rsidR="00481356" w:rsidRPr="00D23097">
        <w:t xml:space="preserve">. The extreme case analysis considered all </w:t>
      </w:r>
      <w:proofErr w:type="gramStart"/>
      <w:r w:rsidR="00481356" w:rsidRPr="00D23097">
        <w:t>drop</w:t>
      </w:r>
      <w:r w:rsidR="00E43F5D">
        <w:t xml:space="preserve"> </w:t>
      </w:r>
      <w:r w:rsidR="00481356" w:rsidRPr="00D23097">
        <w:t>outs</w:t>
      </w:r>
      <w:proofErr w:type="gramEnd"/>
      <w:r w:rsidR="00481356" w:rsidRPr="00D23097">
        <w:t xml:space="preserve"> in the </w:t>
      </w:r>
      <w:r w:rsidR="00481356" w:rsidRPr="00142484">
        <w:rPr>
          <w:vertAlign w:val="superscript"/>
        </w:rPr>
        <w:t>177</w:t>
      </w:r>
      <w:r w:rsidR="00481356" w:rsidRPr="00D23097">
        <w:t>Lu-PSMA-617</w:t>
      </w:r>
      <w:r w:rsidR="00142484">
        <w:t xml:space="preserve"> plus </w:t>
      </w:r>
      <w:r w:rsidR="00481356" w:rsidRPr="00D23097">
        <w:t>BSC/</w:t>
      </w:r>
      <w:proofErr w:type="spellStart"/>
      <w:r w:rsidR="00481356" w:rsidRPr="00D23097">
        <w:t>BSoC</w:t>
      </w:r>
      <w:proofErr w:type="spellEnd"/>
      <w:r w:rsidR="00481356" w:rsidRPr="00D23097">
        <w:t xml:space="preserve"> arm as events. The two best case analyses imputed data for </w:t>
      </w:r>
      <w:proofErr w:type="gramStart"/>
      <w:r w:rsidR="00481356" w:rsidRPr="00D23097">
        <w:t>drop</w:t>
      </w:r>
      <w:r w:rsidR="00E43F5D">
        <w:t xml:space="preserve"> </w:t>
      </w:r>
      <w:r w:rsidR="00481356" w:rsidRPr="00D23097">
        <w:t>outs</w:t>
      </w:r>
      <w:proofErr w:type="gramEnd"/>
      <w:r w:rsidR="00481356" w:rsidRPr="00D23097">
        <w:t xml:space="preserve"> in the control arm based on the HR in the 20% of patients with the longest survival either overall or in the BSC/</w:t>
      </w:r>
      <w:proofErr w:type="spellStart"/>
      <w:r w:rsidR="00481356" w:rsidRPr="00D23097">
        <w:t>BSoC</w:t>
      </w:r>
      <w:proofErr w:type="spellEnd"/>
      <w:r w:rsidR="00481356" w:rsidRPr="00D23097">
        <w:t xml:space="preserve"> only arm. Results of these analyses for </w:t>
      </w:r>
      <w:proofErr w:type="spellStart"/>
      <w:r w:rsidR="00481356" w:rsidRPr="00D23097">
        <w:t>rPFS</w:t>
      </w:r>
      <w:proofErr w:type="spellEnd"/>
      <w:r w:rsidR="00481356" w:rsidRPr="00D23097">
        <w:t xml:space="preserve"> and OS showed consistency with the primary analysis</w:t>
      </w:r>
    </w:p>
    <w:p w14:paraId="675F5F49" w14:textId="4672B35A" w:rsidR="00481356" w:rsidRPr="00D23097" w:rsidRDefault="00142484" w:rsidP="00D23097">
      <w:r>
        <w:t>T</w:t>
      </w:r>
      <w:r w:rsidR="00481356" w:rsidRPr="00D23097">
        <w:t>he clinical evaluat</w:t>
      </w:r>
      <w:r>
        <w:t>ion</w:t>
      </w:r>
      <w:r w:rsidR="00481356" w:rsidRPr="00D23097">
        <w:t xml:space="preserve"> noted that upon review of the disproportionate drop out in the </w:t>
      </w:r>
      <w:proofErr w:type="spellStart"/>
      <w:r w:rsidR="00481356" w:rsidRPr="00D23097">
        <w:t>BSoC</w:t>
      </w:r>
      <w:proofErr w:type="spellEnd"/>
      <w:r w:rsidR="00481356" w:rsidRPr="00D23097">
        <w:t xml:space="preserve"> arm compared to the </w:t>
      </w:r>
      <w:r w:rsidR="00481356" w:rsidRPr="00E43F5D">
        <w:rPr>
          <w:vertAlign w:val="superscript"/>
        </w:rPr>
        <w:t>177</w:t>
      </w:r>
      <w:r w:rsidR="00481356" w:rsidRPr="00D23097">
        <w:t xml:space="preserve">Lu-PSMA-617, ascertainment of many of the OS events from withdrawn patients as well as multiple sensitivity analyses that considered extreme cases and the possibility of informative censoring continued to support the statistically significant primary analysis results for both OS and </w:t>
      </w:r>
      <w:proofErr w:type="spellStart"/>
      <w:r w:rsidR="00481356" w:rsidRPr="00D23097">
        <w:t>rPFS</w:t>
      </w:r>
      <w:proofErr w:type="spellEnd"/>
    </w:p>
    <w:p w14:paraId="66085FFC" w14:textId="4B9739EB" w:rsidR="00481356" w:rsidRDefault="008B3F65" w:rsidP="00481356">
      <w:r>
        <w:t>There</w:t>
      </w:r>
      <w:r w:rsidR="00481356">
        <w:t xml:space="preserve"> was no formal statistical testing for </w:t>
      </w:r>
      <w:r>
        <w:t>s</w:t>
      </w:r>
      <w:r w:rsidRPr="008B3F65">
        <w:t xml:space="preserve">ub-group analyses </w:t>
      </w:r>
      <w:r w:rsidR="00481356">
        <w:t>and the numbers in some groups were small.</w:t>
      </w:r>
    </w:p>
    <w:p w14:paraId="6ED41B63" w14:textId="1C254FFD" w:rsidR="000B2114" w:rsidRDefault="000B2114" w:rsidP="000B2114">
      <w:pPr>
        <w:pStyle w:val="Heading5"/>
      </w:pPr>
      <w:r>
        <w:t>Efficacy conclusion</w:t>
      </w:r>
    </w:p>
    <w:p w14:paraId="35DB0C7D" w14:textId="1066333A" w:rsidR="00481356" w:rsidRDefault="00481356" w:rsidP="00AF5D56">
      <w:r>
        <w:rPr>
          <w:lang w:eastAsia="ja-JP"/>
        </w:rPr>
        <w:t xml:space="preserve">The efficacy of </w:t>
      </w:r>
      <w:r w:rsidRPr="00454249">
        <w:rPr>
          <w:vertAlign w:val="superscript"/>
          <w:lang w:eastAsia="ja-JP"/>
        </w:rPr>
        <w:t>177</w:t>
      </w:r>
      <w:r>
        <w:rPr>
          <w:lang w:eastAsia="ja-JP"/>
        </w:rPr>
        <w:t xml:space="preserve">Lu-PSMA-617 was based on a single, </w:t>
      </w:r>
      <w:r w:rsidR="00454249">
        <w:rPr>
          <w:lang w:eastAsia="ja-JP"/>
        </w:rPr>
        <w:t>P</w:t>
      </w:r>
      <w:r>
        <w:rPr>
          <w:lang w:eastAsia="ja-JP"/>
        </w:rPr>
        <w:t xml:space="preserve">hase </w:t>
      </w:r>
      <w:r w:rsidR="00454249">
        <w:rPr>
          <w:lang w:eastAsia="ja-JP"/>
        </w:rPr>
        <w:t>III</w:t>
      </w:r>
      <w:r>
        <w:rPr>
          <w:lang w:eastAsia="ja-JP"/>
        </w:rPr>
        <w:t xml:space="preserve">, randomised, controlled study. The study was </w:t>
      </w:r>
      <w:r>
        <w:t>open label due to anticipated toxicity.</w:t>
      </w:r>
      <w:r w:rsidR="0009061D">
        <w:rPr>
          <w:rStyle w:val="FootnoteReference"/>
        </w:rPr>
        <w:footnoteReference w:id="8"/>
      </w:r>
    </w:p>
    <w:p w14:paraId="2F7AEB7B" w14:textId="61A0B9D0" w:rsidR="00481356" w:rsidRDefault="00481356" w:rsidP="00AF5D56">
      <w:r w:rsidRPr="0091038D">
        <w:t xml:space="preserve">The patient population was those with progressive </w:t>
      </w:r>
      <w:proofErr w:type="spellStart"/>
      <w:r w:rsidRPr="0091038D">
        <w:t>mCRPC</w:t>
      </w:r>
      <w:proofErr w:type="spellEnd"/>
      <w:r w:rsidRPr="0091038D">
        <w:t xml:space="preserve"> who have previously received treatment with </w:t>
      </w:r>
      <w:proofErr w:type="spellStart"/>
      <w:r w:rsidRPr="0091038D">
        <w:t>taxane</w:t>
      </w:r>
      <w:proofErr w:type="spellEnd"/>
      <w:r w:rsidRPr="0091038D">
        <w:t xml:space="preserve"> chemotherapy (at least one but not more than two regimens) and at least one novel anti-androgen drug. The inclusion criteria are consistent with the proposed</w:t>
      </w:r>
      <w:r>
        <w:t xml:space="preserve"> </w:t>
      </w:r>
      <w:r w:rsidRPr="0091038D">
        <w:t>indication metastatic castration-resistant prostate cancer (</w:t>
      </w:r>
      <w:proofErr w:type="spellStart"/>
      <w:r w:rsidRPr="0091038D">
        <w:t>mCRPC</w:t>
      </w:r>
      <w:proofErr w:type="spellEnd"/>
      <w:r w:rsidRPr="0091038D">
        <w:t xml:space="preserve">) who have been treated with androgen receptor (AR) pathway inhibition and </w:t>
      </w:r>
      <w:proofErr w:type="spellStart"/>
      <w:r w:rsidRPr="0091038D">
        <w:t>taxane</w:t>
      </w:r>
      <w:proofErr w:type="spellEnd"/>
      <w:r w:rsidRPr="0091038D">
        <w:t xml:space="preserve">-based chemotherapy. However, the proposed </w:t>
      </w:r>
      <w:r w:rsidRPr="0091038D">
        <w:lastRenderedPageBreak/>
        <w:t xml:space="preserve">indication includes patients who are not medically suitable for </w:t>
      </w:r>
      <w:proofErr w:type="spellStart"/>
      <w:proofErr w:type="gramStart"/>
      <w:r w:rsidRPr="0091038D">
        <w:t>taxanes</w:t>
      </w:r>
      <w:proofErr w:type="spellEnd"/>
      <w:proofErr w:type="gramEnd"/>
      <w:r w:rsidRPr="0091038D">
        <w:t xml:space="preserve"> and this group was not included in the clinical trial.</w:t>
      </w:r>
    </w:p>
    <w:p w14:paraId="19A89FE2" w14:textId="7999C889" w:rsidR="00481356" w:rsidRDefault="00481356" w:rsidP="00481356">
      <w:r>
        <w:t>Trial patients had a 68Ga-PSMA-11 PET/CT scan at screening and were only included if this was positive as determined by a central reader. The criteria were strict and excluded patients if one lesion was not PSMA positive.</w:t>
      </w:r>
      <w:r w:rsidR="0009061D">
        <w:rPr>
          <w:rStyle w:val="FootnoteReference"/>
        </w:rPr>
        <w:footnoteReference w:id="9"/>
      </w:r>
      <w:r>
        <w:t xml:space="preserve"> There were no data on the efficacy of the product in patients with PSMA-negative lesions and the sponsor has a US post marketing commitment to assess this population.</w:t>
      </w:r>
    </w:p>
    <w:p w14:paraId="750A5E8A" w14:textId="59615A6F" w:rsidR="00481356" w:rsidRDefault="00481356" w:rsidP="00481356">
      <w:r>
        <w:t xml:space="preserve">The study was positive with improvement on both </w:t>
      </w:r>
      <w:r w:rsidR="0009061D">
        <w:t>alternate</w:t>
      </w:r>
      <w:r>
        <w:t xml:space="preserve"> endpoints of </w:t>
      </w:r>
      <w:proofErr w:type="spellStart"/>
      <w:r>
        <w:t>rPFS</w:t>
      </w:r>
      <w:proofErr w:type="spellEnd"/>
      <w:r>
        <w:t xml:space="preserve"> by blinded independent central review and OS. Results were supported by key secondary endpoints of ORR, DCR and </w:t>
      </w:r>
      <w:r w:rsidR="0009061D">
        <w:t xml:space="preserve">time to first </w:t>
      </w:r>
      <w:r>
        <w:t xml:space="preserve">SSE, by subgroup analyses </w:t>
      </w:r>
      <w:proofErr w:type="gramStart"/>
      <w:r>
        <w:t>and also</w:t>
      </w:r>
      <w:proofErr w:type="gramEnd"/>
      <w:r>
        <w:t xml:space="preserve"> multiple sensitivity analyses. There was a complete response rate of 5.6% (v</w:t>
      </w:r>
      <w:r w:rsidR="00A65A7F">
        <w:t>ersus</w:t>
      </w:r>
      <w:r>
        <w:t xml:space="preserve"> 0% in the control group).</w:t>
      </w:r>
    </w:p>
    <w:p w14:paraId="29D9D23D" w14:textId="21ED7FFC" w:rsidR="00481356" w:rsidRDefault="00481356" w:rsidP="00AF5D56">
      <w:r>
        <w:t xml:space="preserve">Overall survival is a robust and clinically relevant endpoint and changes in the analysis strategy and populations relating to </w:t>
      </w:r>
      <w:proofErr w:type="spellStart"/>
      <w:r>
        <w:t>rPFS</w:t>
      </w:r>
      <w:proofErr w:type="spellEnd"/>
      <w:r>
        <w:t xml:space="preserve"> would not necessarily impact on its reliability given the ascertainment of survival status in the full population. The 4.0 months (11.3 to 15.3 months) improvement in median OS is felt clinically meaningful. The data on </w:t>
      </w:r>
      <w:proofErr w:type="spellStart"/>
      <w:r>
        <w:t>rPFS</w:t>
      </w:r>
      <w:proofErr w:type="spellEnd"/>
      <w:r>
        <w:t xml:space="preserve"> are not felt to be as reliable due to the smaller analysis population, the high degree of censoring (even with the change in analysis population) and the lesser meaningfulness of the outcome. It is noted in the </w:t>
      </w:r>
      <w:r w:rsidR="00957727">
        <w:t>overseas regulator</w:t>
      </w:r>
      <w:r>
        <w:t xml:space="preserve"> review that the focus on efficacy was also on the OS </w:t>
      </w:r>
      <w:proofErr w:type="gramStart"/>
      <w:r>
        <w:t>end</w:t>
      </w:r>
      <w:r w:rsidRPr="000232F3">
        <w:t>point</w:t>
      </w:r>
      <w:proofErr w:type="gramEnd"/>
      <w:r w:rsidRPr="000232F3">
        <w:t xml:space="preserve"> and the US label does not include the </w:t>
      </w:r>
      <w:proofErr w:type="spellStart"/>
      <w:r w:rsidRPr="000232F3">
        <w:t>rPFS</w:t>
      </w:r>
      <w:proofErr w:type="spellEnd"/>
      <w:r w:rsidRPr="000232F3">
        <w:t xml:space="preserve"> data.</w:t>
      </w:r>
    </w:p>
    <w:p w14:paraId="24633C9D" w14:textId="7C47A86F" w:rsidR="00481356" w:rsidRDefault="00481356" w:rsidP="00481356">
      <w:r>
        <w:t>The time to first SSE (endpoint includes SSE and deaths) hazard ratio was driven by the differential in overall survival. The rate of non-death SSE was 15.</w:t>
      </w:r>
      <w:r w:rsidR="00546F8E">
        <w:t>6</w:t>
      </w:r>
      <w:r>
        <w:t xml:space="preserve">% and 17.3% in the respective groups. Given this, the actual effect of </w:t>
      </w:r>
      <w:r w:rsidRPr="000232F3">
        <w:t xml:space="preserve">treatment on time to symptomatic skeletal events is less clear and its inclusion in the draft </w:t>
      </w:r>
      <w:r w:rsidR="00B97CE0">
        <w:t>P</w:t>
      </w:r>
      <w:r w:rsidR="0030558A">
        <w:t xml:space="preserve">roduct </w:t>
      </w:r>
      <w:r w:rsidR="00B97CE0">
        <w:t>I</w:t>
      </w:r>
      <w:r w:rsidR="0030558A">
        <w:t xml:space="preserve">nformation </w:t>
      </w:r>
      <w:r w:rsidR="0030558A" w:rsidRPr="00C56DBA">
        <w:t>(</w:t>
      </w:r>
      <w:r w:rsidRPr="00C56DBA">
        <w:t>PI</w:t>
      </w:r>
      <w:r w:rsidR="0030558A" w:rsidRPr="00C56DBA">
        <w:t>)</w:t>
      </w:r>
      <w:r w:rsidRPr="000232F3">
        <w:t xml:space="preserve"> is not supported.</w:t>
      </w:r>
    </w:p>
    <w:p w14:paraId="0E190D55" w14:textId="77777777" w:rsidR="00481356" w:rsidRDefault="00481356" w:rsidP="00481356">
      <w:pPr>
        <w:pStyle w:val="Heading4"/>
        <w:rPr>
          <w:sz w:val="24"/>
          <w:szCs w:val="24"/>
        </w:rPr>
      </w:pPr>
      <w:bookmarkStart w:id="53" w:name="_Toc213751010"/>
      <w:r w:rsidRPr="008601C7">
        <w:rPr>
          <w:sz w:val="24"/>
          <w:szCs w:val="24"/>
        </w:rPr>
        <w:t>Safety</w:t>
      </w:r>
      <w:bookmarkEnd w:id="53"/>
    </w:p>
    <w:p w14:paraId="677904F3" w14:textId="727B9105" w:rsidR="005303BB" w:rsidRDefault="005303BB" w:rsidP="00AF5D56">
      <w:pPr>
        <w:rPr>
          <w:lang w:eastAsia="ja-JP"/>
        </w:rPr>
      </w:pPr>
      <w:r>
        <w:rPr>
          <w:lang w:eastAsia="ja-JP"/>
        </w:rPr>
        <w:t xml:space="preserve">The safety evaluation for </w:t>
      </w:r>
      <w:r w:rsidRPr="00C53D45">
        <w:rPr>
          <w:vertAlign w:val="superscript"/>
          <w:lang w:eastAsia="ja-JP"/>
        </w:rPr>
        <w:t>177</w:t>
      </w:r>
      <w:r>
        <w:rPr>
          <w:lang w:eastAsia="ja-JP"/>
        </w:rPr>
        <w:t>Lu-PSMA-617 was primarily based on data from the single, open</w:t>
      </w:r>
      <w:r w:rsidR="00AE2C58">
        <w:rPr>
          <w:lang w:eastAsia="ja-JP"/>
        </w:rPr>
        <w:noBreakHyphen/>
      </w:r>
      <w:r>
        <w:rPr>
          <w:lang w:eastAsia="ja-JP"/>
        </w:rPr>
        <w:t xml:space="preserve">label, randomised </w:t>
      </w:r>
      <w:r w:rsidR="00AE2C58">
        <w:rPr>
          <w:lang w:eastAsia="ja-JP"/>
        </w:rPr>
        <w:t>P</w:t>
      </w:r>
      <w:r>
        <w:rPr>
          <w:lang w:eastAsia="ja-JP"/>
        </w:rPr>
        <w:t>hase</w:t>
      </w:r>
      <w:r w:rsidR="00AE2C58">
        <w:rPr>
          <w:lang w:eastAsia="ja-JP"/>
        </w:rPr>
        <w:t xml:space="preserve"> III</w:t>
      </w:r>
      <w:r>
        <w:rPr>
          <w:lang w:eastAsia="ja-JP"/>
        </w:rPr>
        <w:t xml:space="preserve"> </w:t>
      </w:r>
      <w:r w:rsidR="00AE2C58">
        <w:rPr>
          <w:lang w:eastAsia="ja-JP"/>
        </w:rPr>
        <w:t>S</w:t>
      </w:r>
      <w:r>
        <w:rPr>
          <w:lang w:eastAsia="ja-JP"/>
        </w:rPr>
        <w:t xml:space="preserve">tudy PSMA-617-01 in patients with </w:t>
      </w:r>
      <w:proofErr w:type="spellStart"/>
      <w:r>
        <w:rPr>
          <w:lang w:eastAsia="ja-JP"/>
        </w:rPr>
        <w:t>PSMA</w:t>
      </w:r>
      <w:proofErr w:type="spellEnd"/>
      <w:r>
        <w:rPr>
          <w:lang w:eastAsia="ja-JP"/>
        </w:rPr>
        <w:t xml:space="preserve">-positive </w:t>
      </w:r>
      <w:proofErr w:type="spellStart"/>
      <w:r>
        <w:rPr>
          <w:lang w:eastAsia="ja-JP"/>
        </w:rPr>
        <w:t>mCRPC</w:t>
      </w:r>
      <w:proofErr w:type="spellEnd"/>
      <w:r>
        <w:rPr>
          <w:lang w:eastAsia="ja-JP"/>
        </w:rPr>
        <w:t xml:space="preserve">. Safety data was derived from 529 patients who received from 1 to 6 doses of the 7.4 </w:t>
      </w:r>
      <w:proofErr w:type="spellStart"/>
      <w:r>
        <w:rPr>
          <w:lang w:eastAsia="ja-JP"/>
        </w:rPr>
        <w:t>GBq</w:t>
      </w:r>
      <w:proofErr w:type="spellEnd"/>
      <w:r>
        <w:rPr>
          <w:lang w:eastAsia="ja-JP"/>
        </w:rPr>
        <w:t xml:space="preserve"> </w:t>
      </w:r>
      <w:r w:rsidRPr="00AE2C58">
        <w:rPr>
          <w:vertAlign w:val="superscript"/>
          <w:lang w:eastAsia="ja-JP"/>
        </w:rPr>
        <w:t>177</w:t>
      </w:r>
      <w:r>
        <w:rPr>
          <w:lang w:eastAsia="ja-JP"/>
        </w:rPr>
        <w:t>Lu</w:t>
      </w:r>
      <w:r w:rsidR="00AE2C58">
        <w:rPr>
          <w:lang w:eastAsia="ja-JP"/>
        </w:rPr>
        <w:noBreakHyphen/>
      </w:r>
      <w:r>
        <w:rPr>
          <w:lang w:eastAsia="ja-JP"/>
        </w:rPr>
        <w:t>PSMA-617 on top of BSC/</w:t>
      </w:r>
      <w:proofErr w:type="spellStart"/>
      <w:r>
        <w:rPr>
          <w:lang w:eastAsia="ja-JP"/>
        </w:rPr>
        <w:t>BSoC</w:t>
      </w:r>
      <w:proofErr w:type="spellEnd"/>
      <w:r>
        <w:rPr>
          <w:lang w:eastAsia="ja-JP"/>
        </w:rPr>
        <w:t xml:space="preserve">. The median duration of exposure to </w:t>
      </w:r>
      <w:r w:rsidRPr="00AE2C58">
        <w:rPr>
          <w:vertAlign w:val="superscript"/>
          <w:lang w:eastAsia="ja-JP"/>
        </w:rPr>
        <w:t>177</w:t>
      </w:r>
      <w:r>
        <w:rPr>
          <w:lang w:eastAsia="ja-JP"/>
        </w:rPr>
        <w:t>Lu-PSM-617 was 6.9 months (mean 6.3 months, range 0.3-10.2 months). By comparison, the median duration of exposure to BSC/</w:t>
      </w:r>
      <w:proofErr w:type="spellStart"/>
      <w:r>
        <w:rPr>
          <w:lang w:eastAsia="ja-JP"/>
        </w:rPr>
        <w:t>BSoC</w:t>
      </w:r>
      <w:proofErr w:type="spellEnd"/>
      <w:r>
        <w:rPr>
          <w:lang w:eastAsia="ja-JP"/>
        </w:rPr>
        <w:t xml:space="preserve"> in the control group was 2.1 months (mean 3.5 months, range 0 to 26</w:t>
      </w:r>
      <w:r w:rsidR="00327EEC">
        <w:rPr>
          <w:lang w:eastAsia="ja-JP"/>
        </w:rPr>
        <w:t> </w:t>
      </w:r>
      <w:r>
        <w:rPr>
          <w:lang w:eastAsia="ja-JP"/>
        </w:rPr>
        <w:t>months) and this could bias to a more favourable outcome in the BSC/</w:t>
      </w:r>
      <w:proofErr w:type="spellStart"/>
      <w:r>
        <w:rPr>
          <w:lang w:eastAsia="ja-JP"/>
        </w:rPr>
        <w:t>BSoC</w:t>
      </w:r>
      <w:proofErr w:type="spellEnd"/>
      <w:r>
        <w:rPr>
          <w:lang w:eastAsia="ja-JP"/>
        </w:rPr>
        <w:t xml:space="preserve"> only group.</w:t>
      </w:r>
    </w:p>
    <w:p w14:paraId="28BFDE68" w14:textId="152CE18D" w:rsidR="005303BB" w:rsidRDefault="005303BB" w:rsidP="005303BB">
      <w:pPr>
        <w:rPr>
          <w:lang w:eastAsia="ja-JP"/>
        </w:rPr>
      </w:pPr>
      <w:r>
        <w:rPr>
          <w:lang w:eastAsia="ja-JP"/>
        </w:rPr>
        <w:t xml:space="preserve">The sample size is felt to be sufficient for this evaluation. The open label nature of the study may have affected the reporting of safety data particularly the assessment of relatedness to treatment. In addition, safety of </w:t>
      </w:r>
      <w:r w:rsidRPr="00327EEC">
        <w:rPr>
          <w:vertAlign w:val="superscript"/>
          <w:lang w:eastAsia="ja-JP"/>
        </w:rPr>
        <w:t>177</w:t>
      </w:r>
      <w:r>
        <w:rPr>
          <w:lang w:eastAsia="ja-JP"/>
        </w:rPr>
        <w:t>Lu-PSMA-617 was assessed while patients received concomitant anti-cancer therapies and the imbalance in the use of certain therapies, in particular anti-androgens (mainly enzalutamide 30% v</w:t>
      </w:r>
      <w:r w:rsidR="00CE3094">
        <w:rPr>
          <w:lang w:eastAsia="ja-JP"/>
        </w:rPr>
        <w:t>ersus</w:t>
      </w:r>
      <w:r>
        <w:rPr>
          <w:lang w:eastAsia="ja-JP"/>
        </w:rPr>
        <w:t xml:space="preserve"> 43%) could have had some impact on results in favour of the </w:t>
      </w:r>
      <w:r w:rsidRPr="00CE3094">
        <w:rPr>
          <w:vertAlign w:val="superscript"/>
          <w:lang w:eastAsia="ja-JP"/>
        </w:rPr>
        <w:t>177</w:t>
      </w:r>
      <w:r>
        <w:rPr>
          <w:lang w:eastAsia="ja-JP"/>
        </w:rPr>
        <w:t>Lu-PSMA-617 group.</w:t>
      </w:r>
    </w:p>
    <w:p w14:paraId="63C4067C" w14:textId="76FF9686" w:rsidR="005303BB" w:rsidRDefault="005303BB" w:rsidP="005303BB">
      <w:pPr>
        <w:rPr>
          <w:lang w:eastAsia="ja-JP"/>
        </w:rPr>
      </w:pPr>
      <w:r>
        <w:rPr>
          <w:lang w:eastAsia="ja-JP"/>
        </w:rPr>
        <w:t xml:space="preserve">The safety data from the </w:t>
      </w:r>
      <w:r w:rsidR="00CE3094">
        <w:rPr>
          <w:lang w:eastAsia="ja-JP"/>
        </w:rPr>
        <w:t>P</w:t>
      </w:r>
      <w:r>
        <w:rPr>
          <w:lang w:eastAsia="ja-JP"/>
        </w:rPr>
        <w:t xml:space="preserve">hase </w:t>
      </w:r>
      <w:r w:rsidR="00CE3094">
        <w:rPr>
          <w:lang w:eastAsia="ja-JP"/>
        </w:rPr>
        <w:t>II</w:t>
      </w:r>
      <w:r>
        <w:rPr>
          <w:lang w:eastAsia="ja-JP"/>
        </w:rPr>
        <w:t xml:space="preserve"> </w:t>
      </w:r>
      <w:r w:rsidR="00CE3094">
        <w:rPr>
          <w:lang w:eastAsia="ja-JP"/>
        </w:rPr>
        <w:t>S</w:t>
      </w:r>
      <w:r>
        <w:rPr>
          <w:lang w:eastAsia="ja-JP"/>
        </w:rPr>
        <w:t xml:space="preserve">tudy PSMA-617-02, which assessed 6.0 and 7.4 </w:t>
      </w:r>
      <w:proofErr w:type="spellStart"/>
      <w:r>
        <w:rPr>
          <w:lang w:eastAsia="ja-JP"/>
        </w:rPr>
        <w:t>GBq</w:t>
      </w:r>
      <w:proofErr w:type="spellEnd"/>
      <w:r>
        <w:rPr>
          <w:lang w:eastAsia="ja-JP"/>
        </w:rPr>
        <w:t xml:space="preserve"> doses, were not pooled with the </w:t>
      </w:r>
      <w:r w:rsidR="00CE3094">
        <w:rPr>
          <w:lang w:eastAsia="ja-JP"/>
        </w:rPr>
        <w:t>P</w:t>
      </w:r>
      <w:r>
        <w:rPr>
          <w:lang w:eastAsia="ja-JP"/>
        </w:rPr>
        <w:t xml:space="preserve">hase </w:t>
      </w:r>
      <w:r w:rsidR="00CE3094">
        <w:rPr>
          <w:lang w:eastAsia="ja-JP"/>
        </w:rPr>
        <w:t>III</w:t>
      </w:r>
      <w:r>
        <w:rPr>
          <w:lang w:eastAsia="ja-JP"/>
        </w:rPr>
        <w:t xml:space="preserve"> study and provided little additional value due to the design differences and methodological issues (small sample size, inconsistent use of concomitant best standard of care, variable collection of laboratory data, differing classification of AEs and early </w:t>
      </w:r>
      <w:r>
        <w:rPr>
          <w:lang w:eastAsia="ja-JP"/>
        </w:rPr>
        <w:lastRenderedPageBreak/>
        <w:t>termination). Consequently, it is not possible to comment reliably on the comparative safety of the two doses.</w:t>
      </w:r>
    </w:p>
    <w:p w14:paraId="7239A08E" w14:textId="12C1EDB7" w:rsidR="005303BB" w:rsidRPr="00E91400" w:rsidRDefault="005303BB" w:rsidP="00AF5D56">
      <w:pPr>
        <w:rPr>
          <w:lang w:eastAsia="ja-JP"/>
        </w:rPr>
      </w:pPr>
      <w:r w:rsidRPr="00E91400">
        <w:rPr>
          <w:lang w:eastAsia="ja-JP"/>
        </w:rPr>
        <w:t xml:space="preserve">In the </w:t>
      </w:r>
      <w:r w:rsidR="008C0C3A">
        <w:rPr>
          <w:lang w:eastAsia="ja-JP"/>
        </w:rPr>
        <w:t>P</w:t>
      </w:r>
      <w:r w:rsidRPr="00E91400">
        <w:rPr>
          <w:lang w:eastAsia="ja-JP"/>
        </w:rPr>
        <w:t xml:space="preserve">hase </w:t>
      </w:r>
      <w:r w:rsidR="008C0C3A">
        <w:rPr>
          <w:lang w:eastAsia="ja-JP"/>
        </w:rPr>
        <w:t>III</w:t>
      </w:r>
      <w:r w:rsidRPr="00E91400">
        <w:rPr>
          <w:lang w:eastAsia="ja-JP"/>
        </w:rPr>
        <w:t xml:space="preserve"> study, 67.7% of patients received at least 4 cycles of </w:t>
      </w:r>
      <w:r w:rsidRPr="008C0C3A">
        <w:rPr>
          <w:vertAlign w:val="superscript"/>
          <w:lang w:eastAsia="ja-JP"/>
        </w:rPr>
        <w:t>177</w:t>
      </w:r>
      <w:r w:rsidRPr="00E91400">
        <w:rPr>
          <w:lang w:eastAsia="ja-JP"/>
        </w:rPr>
        <w:t>L</w:t>
      </w:r>
      <w:r>
        <w:rPr>
          <w:lang w:eastAsia="ja-JP"/>
        </w:rPr>
        <w:t>u</w:t>
      </w:r>
      <w:r w:rsidRPr="00E91400">
        <w:rPr>
          <w:lang w:eastAsia="ja-JP"/>
        </w:rPr>
        <w:t>-PSMA-617 while 46.5% of patients received 6 cycles</w:t>
      </w:r>
      <w:r>
        <w:rPr>
          <w:lang w:eastAsia="ja-JP"/>
        </w:rPr>
        <w:t>. Overall, there was no specific safety concerns in patients who received the higher number of treatment cycles</w:t>
      </w:r>
      <w:r w:rsidRPr="00C25DDB">
        <w:rPr>
          <w:lang w:eastAsia="ja-JP"/>
        </w:rPr>
        <w:t xml:space="preserve"> </w:t>
      </w:r>
      <w:r>
        <w:rPr>
          <w:lang w:eastAsia="ja-JP"/>
        </w:rPr>
        <w:t>compared to those who received ≤</w:t>
      </w:r>
      <w:r w:rsidR="00A063B9">
        <w:rPr>
          <w:lang w:eastAsia="ja-JP"/>
        </w:rPr>
        <w:t> </w:t>
      </w:r>
      <w:r>
        <w:rPr>
          <w:lang w:eastAsia="ja-JP"/>
        </w:rPr>
        <w:t xml:space="preserve">4 cycles. However, due to patients requiring tolerability to progress to </w:t>
      </w:r>
      <w:r w:rsidR="00A063B9">
        <w:rPr>
          <w:lang w:eastAsia="ja-JP"/>
        </w:rPr>
        <w:t>C</w:t>
      </w:r>
      <w:r>
        <w:rPr>
          <w:lang w:eastAsia="ja-JP"/>
        </w:rPr>
        <w:t>ycle 5 and 6, a comparison between these patients may be biased. In addition, given the drop off in patient numbers, the safety profile presented may not be an accurate reflection on the safety of a full 6 cycles of therapy that are proposed in the posology in draft product information.</w:t>
      </w:r>
    </w:p>
    <w:p w14:paraId="27D15BCD" w14:textId="117D6282" w:rsidR="005303BB" w:rsidRDefault="005303BB" w:rsidP="00AF5D56">
      <w:r>
        <w:rPr>
          <w:lang w:eastAsia="ja-JP"/>
        </w:rPr>
        <w:t>The data provided did not sufficiently address the long</w:t>
      </w:r>
      <w:r w:rsidR="00E44961">
        <w:rPr>
          <w:lang w:eastAsia="ja-JP"/>
        </w:rPr>
        <w:t>-</w:t>
      </w:r>
      <w:r>
        <w:rPr>
          <w:lang w:eastAsia="ja-JP"/>
        </w:rPr>
        <w:t xml:space="preserve">term safety of the product and this has been queried. The </w:t>
      </w:r>
      <w:r>
        <w:t xml:space="preserve">median duration of follow up for OS in the </w:t>
      </w:r>
      <w:r w:rsidR="00C56DBA">
        <w:t>full analysis set</w:t>
      </w:r>
      <w:r>
        <w:t xml:space="preserve"> was 20.3 months in the </w:t>
      </w:r>
      <w:r w:rsidRPr="00E44961">
        <w:rPr>
          <w:vertAlign w:val="superscript"/>
        </w:rPr>
        <w:t>177</w:t>
      </w:r>
      <w:r>
        <w:t>Lu</w:t>
      </w:r>
      <w:r w:rsidR="00E44961">
        <w:noBreakHyphen/>
      </w:r>
      <w:r>
        <w:t>PSMA-617</w:t>
      </w:r>
      <w:r w:rsidR="00E44961">
        <w:t xml:space="preserve"> plus </w:t>
      </w:r>
      <w:r>
        <w:t>BSC/</w:t>
      </w:r>
      <w:proofErr w:type="spellStart"/>
      <w:r>
        <w:t>BSoC</w:t>
      </w:r>
      <w:proofErr w:type="spellEnd"/>
      <w:r>
        <w:t xml:space="preserve"> group. This timeframe may not be sufficient time to assess delayed effects of radiation </w:t>
      </w:r>
      <w:r w:rsidRPr="002E4D46">
        <w:t>exposure (</w:t>
      </w:r>
      <w:r w:rsidR="002E4D46" w:rsidRPr="002E4D46">
        <w:t>for example</w:t>
      </w:r>
      <w:r w:rsidRPr="002E4D46">
        <w:t>, nephrotoxicity, development of myelodysplastic syndrome or second primary malignancies).</w:t>
      </w:r>
      <w:r>
        <w:t xml:space="preserve"> Assessment of long-term safety may need to be conducted in patients with longer life expectancy </w:t>
      </w:r>
      <w:r w:rsidR="002E4D46">
        <w:t>that is</w:t>
      </w:r>
      <w:r>
        <w:t xml:space="preserve">, in an earlier disease setting. It is noted there is a post marketing requirement from the </w:t>
      </w:r>
      <w:r w:rsidR="002E4D46">
        <w:t>overseas regulator</w:t>
      </w:r>
      <w:r>
        <w:t xml:space="preserve"> for further characterisation of long</w:t>
      </w:r>
      <w:r w:rsidR="00C56DBA">
        <w:t>-</w:t>
      </w:r>
      <w:r>
        <w:t>term safety as spontaneous post-marketing reports are not deemed sufficient to assess the serious risks of the therapy.</w:t>
      </w:r>
    </w:p>
    <w:p w14:paraId="25BB96D3" w14:textId="293FB9FC" w:rsidR="005303BB" w:rsidRDefault="005303BB" w:rsidP="005303BB">
      <w:pPr>
        <w:rPr>
          <w:lang w:eastAsia="ja-JP"/>
        </w:rPr>
      </w:pPr>
      <w:r>
        <w:rPr>
          <w:lang w:eastAsia="ja-JP"/>
        </w:rPr>
        <w:t xml:space="preserve">As expected, the addition of </w:t>
      </w:r>
      <w:r w:rsidRPr="00655CE0">
        <w:rPr>
          <w:vertAlign w:val="superscript"/>
          <w:lang w:eastAsia="ja-JP"/>
        </w:rPr>
        <w:t>177</w:t>
      </w:r>
      <w:r>
        <w:rPr>
          <w:lang w:eastAsia="ja-JP"/>
        </w:rPr>
        <w:t>Lu-PSMA-617 on top of BSC/</w:t>
      </w:r>
      <w:proofErr w:type="spellStart"/>
      <w:r>
        <w:rPr>
          <w:lang w:eastAsia="ja-JP"/>
        </w:rPr>
        <w:t>BSoC</w:t>
      </w:r>
      <w:proofErr w:type="spellEnd"/>
      <w:r>
        <w:rPr>
          <w:lang w:eastAsia="ja-JP"/>
        </w:rPr>
        <w:t xml:space="preserve"> led to higher rates of </w:t>
      </w:r>
      <w:r w:rsidR="00655CE0">
        <w:rPr>
          <w:lang w:eastAsia="ja-JP"/>
        </w:rPr>
        <w:t xml:space="preserve">treatment </w:t>
      </w:r>
      <w:r w:rsidR="00655CE0" w:rsidRPr="000F4EA0">
        <w:rPr>
          <w:lang w:eastAsia="ja-JP"/>
        </w:rPr>
        <w:t>emergent adverse events (</w:t>
      </w:r>
      <w:r w:rsidRPr="000F4EA0">
        <w:rPr>
          <w:lang w:eastAsia="ja-JP"/>
        </w:rPr>
        <w:t>TEAEs</w:t>
      </w:r>
      <w:r w:rsidR="00655CE0" w:rsidRPr="000F4EA0">
        <w:rPr>
          <w:lang w:eastAsia="ja-JP"/>
        </w:rPr>
        <w:t>)</w:t>
      </w:r>
      <w:r w:rsidRPr="000F4EA0">
        <w:rPr>
          <w:lang w:eastAsia="ja-JP"/>
        </w:rPr>
        <w:t xml:space="preserve">, </w:t>
      </w:r>
      <w:r w:rsidR="00D22CE4" w:rsidRPr="000F4EA0">
        <w:rPr>
          <w:lang w:eastAsia="ja-JP"/>
        </w:rPr>
        <w:t>G</w:t>
      </w:r>
      <w:r w:rsidRPr="000F4EA0">
        <w:rPr>
          <w:lang w:eastAsia="ja-JP"/>
        </w:rPr>
        <w:t>rade ≥</w:t>
      </w:r>
      <w:r w:rsidR="00655CE0" w:rsidRPr="000F4EA0">
        <w:rPr>
          <w:lang w:eastAsia="ja-JP"/>
        </w:rPr>
        <w:t> </w:t>
      </w:r>
      <w:r w:rsidRPr="000F4EA0">
        <w:rPr>
          <w:lang w:eastAsia="ja-JP"/>
        </w:rPr>
        <w:t xml:space="preserve">3 TEAEs, treatment-related TEAEs and </w:t>
      </w:r>
      <w:r w:rsidR="00655CE0" w:rsidRPr="000F4EA0">
        <w:rPr>
          <w:lang w:eastAsia="ja-JP"/>
        </w:rPr>
        <w:t>serious adverse events (</w:t>
      </w:r>
      <w:r w:rsidRPr="000F4EA0">
        <w:rPr>
          <w:lang w:eastAsia="ja-JP"/>
        </w:rPr>
        <w:t>SAEs</w:t>
      </w:r>
      <w:r w:rsidR="00655CE0" w:rsidRPr="000F4EA0">
        <w:rPr>
          <w:lang w:eastAsia="ja-JP"/>
        </w:rPr>
        <w:t>)</w:t>
      </w:r>
      <w:r w:rsidRPr="000F4EA0">
        <w:rPr>
          <w:lang w:eastAsia="ja-JP"/>
        </w:rPr>
        <w:t>.</w:t>
      </w:r>
    </w:p>
    <w:p w14:paraId="7D83F355" w14:textId="39185953" w:rsidR="00BE73CB" w:rsidRDefault="00BE73CB" w:rsidP="00AF5D56">
      <w:pPr>
        <w:pStyle w:val="TableTitle"/>
        <w:rPr>
          <w:lang w:eastAsia="ja-JP"/>
        </w:rPr>
      </w:pPr>
      <w:r>
        <w:t xml:space="preserve">Table </w:t>
      </w:r>
      <w:r>
        <w:fldChar w:fldCharType="begin"/>
      </w:r>
      <w:r>
        <w:instrText xml:space="preserve"> SEQ Table \* ARABIC </w:instrText>
      </w:r>
      <w:r>
        <w:fldChar w:fldCharType="separate"/>
      </w:r>
      <w:r w:rsidR="00AB77D0">
        <w:rPr>
          <w:noProof/>
        </w:rPr>
        <w:t>3</w:t>
      </w:r>
      <w:r>
        <w:fldChar w:fldCharType="end"/>
      </w:r>
      <w:r>
        <w:t xml:space="preserve">: </w:t>
      </w:r>
      <w:r>
        <w:rPr>
          <w:lang w:eastAsia="ja-JP"/>
        </w:rPr>
        <w:t xml:space="preserve">Overview of treatment emergent </w:t>
      </w:r>
      <w:r w:rsidRPr="00AF5D56">
        <w:t>adverse</w:t>
      </w:r>
      <w:r>
        <w:rPr>
          <w:lang w:eastAsia="ja-JP"/>
        </w:rPr>
        <w:t xml:space="preserve"> events during randomised treatment in VISION</w:t>
      </w:r>
    </w:p>
    <w:p w14:paraId="50166AC2" w14:textId="3CFB369D" w:rsidR="00BE73CB" w:rsidRDefault="00BE73CB" w:rsidP="00AF5D56">
      <w:pPr>
        <w:rPr>
          <w:lang w:eastAsia="ja-JP"/>
        </w:rPr>
      </w:pPr>
      <w:r w:rsidRPr="00E61B6D">
        <w:rPr>
          <w:noProof/>
          <w:lang w:eastAsia="ja-JP"/>
        </w:rPr>
        <w:drawing>
          <wp:inline distT="0" distB="0" distL="0" distR="0" wp14:anchorId="0C6AED1F" wp14:editId="08F9C87B">
            <wp:extent cx="5086350" cy="2897068"/>
            <wp:effectExtent l="0" t="0" r="0" b="0"/>
            <wp:docPr id="1198586091" name="Picture 1" descr="Table 3: Overview of treatment emergent adverse events during randomised treatment in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86091" name="Picture 1" descr="Table 3: Overview of treatment emergent adverse events during randomised treatment in VISION"/>
                    <pic:cNvPicPr/>
                  </pic:nvPicPr>
                  <pic:blipFill>
                    <a:blip r:embed="rId26"/>
                    <a:stretch>
                      <a:fillRect/>
                    </a:stretch>
                  </pic:blipFill>
                  <pic:spPr>
                    <a:xfrm>
                      <a:off x="0" y="0"/>
                      <a:ext cx="5115712" cy="2913792"/>
                    </a:xfrm>
                    <a:prstGeom prst="rect">
                      <a:avLst/>
                    </a:prstGeom>
                  </pic:spPr>
                </pic:pic>
              </a:graphicData>
            </a:graphic>
          </wp:inline>
        </w:drawing>
      </w:r>
    </w:p>
    <w:p w14:paraId="2895DDD7" w14:textId="77777777" w:rsidR="005303BB" w:rsidRDefault="005303BB" w:rsidP="00AF5D56">
      <w:r>
        <w:rPr>
          <w:lang w:eastAsia="ja-JP"/>
        </w:rPr>
        <w:t xml:space="preserve">The most notable TEAEs that were more common in the </w:t>
      </w:r>
      <w:r w:rsidRPr="00BE73CB">
        <w:rPr>
          <w:vertAlign w:val="superscript"/>
          <w:lang w:eastAsia="ja-JP"/>
        </w:rPr>
        <w:t>177</w:t>
      </w:r>
      <w:r>
        <w:rPr>
          <w:lang w:eastAsia="ja-JP"/>
        </w:rPr>
        <w:t>Lu-PSMA-617 group were f</w:t>
      </w:r>
      <w:r>
        <w:t xml:space="preserve">atigue, dry mouth, nausea, anaemia, diarrhoea, vomiting, thrombocytopaenia, </w:t>
      </w:r>
      <w:proofErr w:type="spellStart"/>
      <w:r>
        <w:t>lymphopaenia</w:t>
      </w:r>
      <w:proofErr w:type="spellEnd"/>
      <w:r>
        <w:t xml:space="preserve">, </w:t>
      </w:r>
      <w:proofErr w:type="spellStart"/>
      <w:r>
        <w:t>leukopaenia</w:t>
      </w:r>
      <w:proofErr w:type="spellEnd"/>
      <w:r>
        <w:t xml:space="preserve"> and urinary tract infection. </w:t>
      </w:r>
      <w:r w:rsidRPr="00A4032F">
        <w:t xml:space="preserve">Exposure-adjusted incidence rates were calculated and there remained higher rates in the </w:t>
      </w:r>
      <w:r w:rsidRPr="00D22CE4">
        <w:rPr>
          <w:vertAlign w:val="superscript"/>
        </w:rPr>
        <w:t>177</w:t>
      </w:r>
      <w:r w:rsidRPr="00A4032F">
        <w:t xml:space="preserve">Lu-PSMA-617 group </w:t>
      </w:r>
      <w:r>
        <w:t>for</w:t>
      </w:r>
      <w:r w:rsidRPr="00A4032F">
        <w:t xml:space="preserve"> all these events apart from fatigue</w:t>
      </w:r>
      <w:r>
        <w:t>.</w:t>
      </w:r>
    </w:p>
    <w:p w14:paraId="186C5BFF" w14:textId="0998309A" w:rsidR="005303BB" w:rsidRDefault="005303BB" w:rsidP="005303BB">
      <w:r>
        <w:rPr>
          <w:lang w:eastAsia="ja-JP"/>
        </w:rPr>
        <w:t>The highest absorbed dose of radiation from the dosimetry data was in the lacrimal gland followed, at a lower level, by the salivary glands. The rate of dry eyes</w:t>
      </w:r>
      <w:r>
        <w:t xml:space="preserve"> was less than might be expected (3.0% v</w:t>
      </w:r>
      <w:r w:rsidR="00D22CE4">
        <w:t>ersus</w:t>
      </w:r>
      <w:r>
        <w:t xml:space="preserve"> 1.0%) and all but one case </w:t>
      </w:r>
      <w:proofErr w:type="gramStart"/>
      <w:r>
        <w:t>were</w:t>
      </w:r>
      <w:proofErr w:type="gramEnd"/>
      <w:r>
        <w:t xml:space="preserve"> </w:t>
      </w:r>
      <w:r w:rsidR="00D22CE4">
        <w:t>G</w:t>
      </w:r>
      <w:r>
        <w:t xml:space="preserve">rade 1 in severity. By contrast, dry </w:t>
      </w:r>
      <w:r>
        <w:lastRenderedPageBreak/>
        <w:t>mo</w:t>
      </w:r>
      <w:r w:rsidR="00381486">
        <w:t>u</w:t>
      </w:r>
      <w:r>
        <w:t>th was frequent (39.3% v</w:t>
      </w:r>
      <w:r w:rsidR="00D22CE4">
        <w:t>ersus</w:t>
      </w:r>
      <w:r>
        <w:t xml:space="preserve"> 1.0%), although severity was </w:t>
      </w:r>
      <w:r w:rsidR="00D22CE4">
        <w:t>G</w:t>
      </w:r>
      <w:r>
        <w:t>rade 1 or 2 and it rarely led to dose reduction or discontinuation.</w:t>
      </w:r>
    </w:p>
    <w:p w14:paraId="101205C7" w14:textId="1E692C21" w:rsidR="005303BB" w:rsidRDefault="005303BB" w:rsidP="00AF5D56">
      <w:r>
        <w:t xml:space="preserve">The most common treatment-related adverse events occurring at a higher incidence in patients who received </w:t>
      </w:r>
      <w:r w:rsidRPr="00B263D9">
        <w:rPr>
          <w:vertAlign w:val="superscript"/>
        </w:rPr>
        <w:t>177</w:t>
      </w:r>
      <w:r>
        <w:t>Lu-PSMA-617 plus BSC/</w:t>
      </w:r>
      <w:proofErr w:type="spellStart"/>
      <w:r>
        <w:t>BSoC</w:t>
      </w:r>
      <w:proofErr w:type="spellEnd"/>
      <w:r>
        <w:t xml:space="preserve"> </w:t>
      </w:r>
      <w:r w:rsidR="00CC7D68">
        <w:t>were</w:t>
      </w:r>
      <w:r>
        <w:t xml:space="preserve"> dry mouth, fatigue, nausea, anaemia, thrombocytopaenia, decreased appetite and vomiting. </w:t>
      </w:r>
      <w:r>
        <w:rPr>
          <w:lang w:eastAsia="ja-JP"/>
        </w:rPr>
        <w:t xml:space="preserve">The rate of </w:t>
      </w:r>
      <w:r w:rsidR="00B263D9">
        <w:rPr>
          <w:lang w:eastAsia="ja-JP"/>
        </w:rPr>
        <w:t>G</w:t>
      </w:r>
      <w:r>
        <w:rPr>
          <w:lang w:eastAsia="ja-JP"/>
        </w:rPr>
        <w:t>rade ≥</w:t>
      </w:r>
      <w:r w:rsidR="00B263D9">
        <w:rPr>
          <w:lang w:eastAsia="ja-JP"/>
        </w:rPr>
        <w:t> </w:t>
      </w:r>
      <w:r>
        <w:rPr>
          <w:lang w:eastAsia="ja-JP"/>
        </w:rPr>
        <w:t xml:space="preserve">3 treatment related </w:t>
      </w:r>
      <w:r w:rsidR="0066367E">
        <w:rPr>
          <w:lang w:eastAsia="ja-JP"/>
        </w:rPr>
        <w:t>adverse events (</w:t>
      </w:r>
      <w:r>
        <w:rPr>
          <w:lang w:eastAsia="ja-JP"/>
        </w:rPr>
        <w:t>AEs</w:t>
      </w:r>
      <w:r w:rsidR="0066367E">
        <w:rPr>
          <w:lang w:eastAsia="ja-JP"/>
        </w:rPr>
        <w:t>)</w:t>
      </w:r>
      <w:r>
        <w:rPr>
          <w:lang w:eastAsia="ja-JP"/>
        </w:rPr>
        <w:t xml:space="preserve"> was higher in the </w:t>
      </w:r>
      <w:r w:rsidRPr="00B263D9">
        <w:rPr>
          <w:vertAlign w:val="superscript"/>
          <w:lang w:eastAsia="ja-JP"/>
        </w:rPr>
        <w:t>177</w:t>
      </w:r>
      <w:r>
        <w:rPr>
          <w:lang w:eastAsia="ja-JP"/>
        </w:rPr>
        <w:t>Lu-PSMA-617 group (28.4% v</w:t>
      </w:r>
      <w:r w:rsidR="00B263D9">
        <w:rPr>
          <w:lang w:eastAsia="ja-JP"/>
        </w:rPr>
        <w:t>ersus</w:t>
      </w:r>
      <w:r>
        <w:rPr>
          <w:lang w:eastAsia="ja-JP"/>
        </w:rPr>
        <w:t xml:space="preserve"> 3.9%) and </w:t>
      </w:r>
      <w:r w:rsidR="00B263D9">
        <w:rPr>
          <w:lang w:eastAsia="ja-JP"/>
        </w:rPr>
        <w:t>G</w:t>
      </w:r>
      <w:r>
        <w:rPr>
          <w:lang w:eastAsia="ja-JP"/>
        </w:rPr>
        <w:t>rade ≥</w:t>
      </w:r>
      <w:r w:rsidR="00B263D9">
        <w:rPr>
          <w:lang w:eastAsia="ja-JP"/>
        </w:rPr>
        <w:t> </w:t>
      </w:r>
      <w:r>
        <w:rPr>
          <w:lang w:eastAsia="ja-JP"/>
        </w:rPr>
        <w:t xml:space="preserve">3 events of note included </w:t>
      </w:r>
      <w:r>
        <w:t>anaemia (9.6% v</w:t>
      </w:r>
      <w:r w:rsidR="00B263D9">
        <w:t>ersus</w:t>
      </w:r>
      <w:r>
        <w:t xml:space="preserve"> 0.5%), thrombocytopenia and lymphopenia (6.8% v</w:t>
      </w:r>
      <w:r w:rsidR="00B263D9">
        <w:t>ersus</w:t>
      </w:r>
      <w:r>
        <w:t xml:space="preserve"> 0% each).</w:t>
      </w:r>
    </w:p>
    <w:p w14:paraId="1E74695A" w14:textId="6A9305E3" w:rsidR="005303BB" w:rsidRDefault="005303BB" w:rsidP="005303BB">
      <w:r>
        <w:t xml:space="preserve">Most deaths while on randomised treatment were related to disease progression. </w:t>
      </w:r>
      <w:r w:rsidR="00F05D0C">
        <w:t>Serious adverse events</w:t>
      </w:r>
      <w:r>
        <w:t xml:space="preserve"> with a fatal outcome were slightly more frequent in the </w:t>
      </w:r>
      <w:r w:rsidRPr="00F05D0C">
        <w:rPr>
          <w:vertAlign w:val="superscript"/>
        </w:rPr>
        <w:t>177</w:t>
      </w:r>
      <w:r>
        <w:t>Lu-PSMA-617 group (3.</w:t>
      </w:r>
      <w:r w:rsidR="00381486">
        <w:t>6</w:t>
      </w:r>
      <w:r>
        <w:t>% v</w:t>
      </w:r>
      <w:r w:rsidR="00F05D0C">
        <w:t>ersus</w:t>
      </w:r>
      <w:r>
        <w:t xml:space="preserve"> 2.</w:t>
      </w:r>
      <w:r w:rsidR="00381486">
        <w:t>9</w:t>
      </w:r>
      <w:r>
        <w:t>%). There were three fatal AEs associated with concomitant myelosuppression and two due to bleeding (intracranial haemorrhage and subdural haematoma) in patients with concurrent thrombocytopaenia.</w:t>
      </w:r>
    </w:p>
    <w:p w14:paraId="72FA752A" w14:textId="33CBA3A4" w:rsidR="005303BB" w:rsidRDefault="005303BB" w:rsidP="005303BB">
      <w:r>
        <w:t xml:space="preserve">A higher rate of SAEs occurred in the </w:t>
      </w:r>
      <w:r w:rsidRPr="0018350E">
        <w:rPr>
          <w:vertAlign w:val="superscript"/>
        </w:rPr>
        <w:t>177</w:t>
      </w:r>
      <w:r>
        <w:t>Lu-PSMA-617 arm compared to the BSC group (36.3% v</w:t>
      </w:r>
      <w:r w:rsidR="0018350E">
        <w:t>ersus</w:t>
      </w:r>
      <w:r>
        <w:t xml:space="preserve"> 27.8%) with treatment-related SAEs in also more frequent (9.3% v</w:t>
      </w:r>
      <w:r w:rsidR="0018350E">
        <w:t>ersus</w:t>
      </w:r>
      <w:r>
        <w:t xml:space="preserve"> 2.4%). The most common SAEs in the </w:t>
      </w:r>
      <w:r w:rsidRPr="0018350E">
        <w:rPr>
          <w:vertAlign w:val="superscript"/>
          <w:lang w:eastAsia="ja-JP"/>
        </w:rPr>
        <w:t>1</w:t>
      </w:r>
      <w:r w:rsidRPr="0018350E">
        <w:rPr>
          <w:vertAlign w:val="superscript"/>
        </w:rPr>
        <w:t>77</w:t>
      </w:r>
      <w:r>
        <w:t>Lu-PSMA-617</w:t>
      </w:r>
      <w:r w:rsidR="0018350E">
        <w:t xml:space="preserve"> plus </w:t>
      </w:r>
      <w:r>
        <w:t>BSC/</w:t>
      </w:r>
      <w:proofErr w:type="spellStart"/>
      <w:r>
        <w:t>BSoC</w:t>
      </w:r>
      <w:proofErr w:type="spellEnd"/>
      <w:r>
        <w:t xml:space="preserve"> group were anaemia (2.8% v</w:t>
      </w:r>
      <w:r w:rsidR="0018350E">
        <w:t>ersus</w:t>
      </w:r>
      <w:r>
        <w:t xml:space="preserve"> 0.5%), </w:t>
      </w:r>
      <w:r w:rsidR="0018350E">
        <w:t>urinary tract infection</w:t>
      </w:r>
      <w:r>
        <w:t xml:space="preserve"> (2.5% v</w:t>
      </w:r>
      <w:r w:rsidR="0018350E">
        <w:t>ersus</w:t>
      </w:r>
      <w:r>
        <w:t xml:space="preserve"> 0.5%) and haematuria (2.1% v</w:t>
      </w:r>
      <w:r w:rsidR="0018350E">
        <w:t xml:space="preserve">ersus </w:t>
      </w:r>
      <w:r>
        <w:t>0.5%). There was higher rate of spinal cord compression in the BSC/</w:t>
      </w:r>
      <w:proofErr w:type="spellStart"/>
      <w:r>
        <w:t>BSoC</w:t>
      </w:r>
      <w:proofErr w:type="spellEnd"/>
      <w:r>
        <w:t xml:space="preserve"> group (1.1% v</w:t>
      </w:r>
      <w:r w:rsidR="0018350E">
        <w:t>ersus</w:t>
      </w:r>
      <w:r>
        <w:t xml:space="preserve"> 4.9%).</w:t>
      </w:r>
    </w:p>
    <w:p w14:paraId="0D6DB370" w14:textId="5B4FA257" w:rsidR="005303BB" w:rsidRDefault="005303BB" w:rsidP="005303BB">
      <w:r>
        <w:rPr>
          <w:lang w:eastAsia="ja-JP"/>
        </w:rPr>
        <w:t xml:space="preserve">Discontinuation of </w:t>
      </w:r>
      <w:r w:rsidRPr="0018350E">
        <w:rPr>
          <w:vertAlign w:val="superscript"/>
          <w:lang w:eastAsia="ja-JP"/>
        </w:rPr>
        <w:t>177</w:t>
      </w:r>
      <w:r>
        <w:rPr>
          <w:lang w:eastAsia="ja-JP"/>
        </w:rPr>
        <w:t xml:space="preserve">Lu-PSMA-617 due to a TEAE occurred in 12% of patients and was generally related to myelosuppression - </w:t>
      </w:r>
      <w:r>
        <w:t xml:space="preserve">anaemia (2.8%), thrombocytopaenia (2.8%), </w:t>
      </w:r>
      <w:proofErr w:type="spellStart"/>
      <w:r>
        <w:t>leukopaenia</w:t>
      </w:r>
      <w:proofErr w:type="spellEnd"/>
      <w:r>
        <w:t xml:space="preserve"> (1.3%), </w:t>
      </w:r>
      <w:proofErr w:type="spellStart"/>
      <w:r>
        <w:t>neutropaenia</w:t>
      </w:r>
      <w:proofErr w:type="spellEnd"/>
      <w:r>
        <w:t xml:space="preserve"> (0.8%) and </w:t>
      </w:r>
      <w:proofErr w:type="spellStart"/>
      <w:r>
        <w:t>pancytopaenia</w:t>
      </w:r>
      <w:proofErr w:type="spellEnd"/>
      <w:r>
        <w:t xml:space="preserve"> (0.6%)</w:t>
      </w:r>
      <w:r>
        <w:rPr>
          <w:lang w:eastAsia="ja-JP"/>
        </w:rPr>
        <w:t>. D</w:t>
      </w:r>
      <w:r>
        <w:t>ose interruption was necessary in 16.1% and dose reduction in 5.7%, with haematologic adverse events being the main reason.</w:t>
      </w:r>
    </w:p>
    <w:p w14:paraId="448987CF" w14:textId="795DF8D3" w:rsidR="005303BB" w:rsidRDefault="005303BB" w:rsidP="005303BB">
      <w:r>
        <w:t xml:space="preserve">The most common laboratory abnormalities that worsened from </w:t>
      </w:r>
      <w:r w:rsidR="00A772EE">
        <w:t>B</w:t>
      </w:r>
      <w:r>
        <w:t xml:space="preserve">aseline in the </w:t>
      </w:r>
      <w:proofErr w:type="spellStart"/>
      <w:r w:rsidRPr="00A772EE">
        <w:rPr>
          <w:vertAlign w:val="superscript"/>
        </w:rPr>
        <w:t>177</w:t>
      </w:r>
      <w:r>
        <w:t>LuPSMA</w:t>
      </w:r>
      <w:proofErr w:type="spellEnd"/>
      <w:r>
        <w:t xml:space="preserve">-617 </w:t>
      </w:r>
      <w:r w:rsidR="00A772EE">
        <w:t xml:space="preserve">plus </w:t>
      </w:r>
      <w:r>
        <w:t>BSC/</w:t>
      </w:r>
      <w:proofErr w:type="spellStart"/>
      <w:r>
        <w:t>BSoC</w:t>
      </w:r>
      <w:proofErr w:type="spellEnd"/>
      <w:r>
        <w:t xml:space="preserve"> group were decreases in haemoglobin, lymphocytes, leukocytes and platelets. Liver function parameters did not reveal any hepatic safety concerns while there was a slightly higher rate of increased creatinine (29.7% v</w:t>
      </w:r>
      <w:r w:rsidR="00A772EE">
        <w:t>ersus</w:t>
      </w:r>
      <w:r>
        <w:t xml:space="preserve"> 22.9%).</w:t>
      </w:r>
    </w:p>
    <w:p w14:paraId="6B2BEBE9" w14:textId="45FC2D5F" w:rsidR="005303BB" w:rsidRPr="003344C5" w:rsidRDefault="005303BB" w:rsidP="00AF5D56">
      <w:r>
        <w:t xml:space="preserve">Renal events were slightly higher in </w:t>
      </w:r>
      <w:r w:rsidRPr="00A772EE">
        <w:rPr>
          <w:vertAlign w:val="superscript"/>
        </w:rPr>
        <w:t>177</w:t>
      </w:r>
      <w:r>
        <w:t>Lu-PSMA-617 treated patients (8.7% v</w:t>
      </w:r>
      <w:r w:rsidR="00A772EE">
        <w:t>ersus</w:t>
      </w:r>
      <w:r>
        <w:t xml:space="preserve"> 5.9%) although only one led to treatment withdrawal. </w:t>
      </w:r>
      <w:r>
        <w:rPr>
          <w:lang w:eastAsia="ja-JP"/>
        </w:rPr>
        <w:t xml:space="preserve">The kidney is the main route of </w:t>
      </w:r>
      <w:r w:rsidR="000B4ABB">
        <w:rPr>
          <w:lang w:eastAsia="ja-JP"/>
        </w:rPr>
        <w:t>excretion,</w:t>
      </w:r>
      <w:r>
        <w:rPr>
          <w:lang w:eastAsia="ja-JP"/>
        </w:rPr>
        <w:t xml:space="preserve"> and it is also a PSMA expressing </w:t>
      </w:r>
      <w:proofErr w:type="gramStart"/>
      <w:r>
        <w:rPr>
          <w:lang w:eastAsia="ja-JP"/>
        </w:rPr>
        <w:t>tissue</w:t>
      </w:r>
      <w:proofErr w:type="gramEnd"/>
      <w:r>
        <w:rPr>
          <w:lang w:eastAsia="ja-JP"/>
        </w:rPr>
        <w:t xml:space="preserve"> so nephrotoxicity is a potential concern. The </w:t>
      </w:r>
      <w:r w:rsidR="000B4ABB">
        <w:rPr>
          <w:lang w:eastAsia="ja-JP"/>
        </w:rPr>
        <w:t>P</w:t>
      </w:r>
      <w:r>
        <w:rPr>
          <w:lang w:eastAsia="ja-JP"/>
        </w:rPr>
        <w:t xml:space="preserve">hase </w:t>
      </w:r>
      <w:r w:rsidR="000B4ABB">
        <w:rPr>
          <w:lang w:eastAsia="ja-JP"/>
        </w:rPr>
        <w:t>III</w:t>
      </w:r>
      <w:r>
        <w:rPr>
          <w:lang w:eastAsia="ja-JP"/>
        </w:rPr>
        <w:t xml:space="preserve"> study did not include patients with a creatinine clearance of </w:t>
      </w:r>
      <w:r w:rsidRPr="009C7F7F">
        <w:rPr>
          <w:lang w:eastAsia="ja-JP"/>
        </w:rPr>
        <w:t>&lt;</w:t>
      </w:r>
      <w:r w:rsidR="000B4ABB">
        <w:rPr>
          <w:lang w:eastAsia="ja-JP"/>
        </w:rPr>
        <w:t> </w:t>
      </w:r>
      <w:r w:rsidRPr="009C7F7F">
        <w:rPr>
          <w:lang w:eastAsia="ja-JP"/>
        </w:rPr>
        <w:t>50 mL/min</w:t>
      </w:r>
      <w:r>
        <w:rPr>
          <w:lang w:eastAsia="ja-JP"/>
        </w:rPr>
        <w:t xml:space="preserve"> so use in this population, together </w:t>
      </w:r>
      <w:r w:rsidRPr="003344C5">
        <w:rPr>
          <w:lang w:eastAsia="ja-JP"/>
        </w:rPr>
        <w:t>with longer term renal safety</w:t>
      </w:r>
      <w:r>
        <w:rPr>
          <w:lang w:eastAsia="ja-JP"/>
        </w:rPr>
        <w:t>,</w:t>
      </w:r>
      <w:r w:rsidRPr="003344C5">
        <w:rPr>
          <w:lang w:eastAsia="ja-JP"/>
        </w:rPr>
        <w:t xml:space="preserve"> a</w:t>
      </w:r>
      <w:r>
        <w:rPr>
          <w:lang w:eastAsia="ja-JP"/>
        </w:rPr>
        <w:t>re</w:t>
      </w:r>
      <w:r w:rsidRPr="003344C5">
        <w:rPr>
          <w:lang w:eastAsia="ja-JP"/>
        </w:rPr>
        <w:t xml:space="preserve"> important areas of missing safety information. This gap has also been identified by the </w:t>
      </w:r>
      <w:r w:rsidR="000B4ABB">
        <w:rPr>
          <w:lang w:eastAsia="ja-JP"/>
        </w:rPr>
        <w:t>overseas regulator</w:t>
      </w:r>
      <w:r w:rsidR="00E94C5D">
        <w:rPr>
          <w:lang w:eastAsia="ja-JP"/>
        </w:rPr>
        <w:t>.</w:t>
      </w:r>
      <w:r w:rsidRPr="003344C5">
        <w:rPr>
          <w:lang w:eastAsia="ja-JP"/>
        </w:rPr>
        <w:t xml:space="preserve"> </w:t>
      </w:r>
      <w:r w:rsidRPr="003344C5">
        <w:t xml:space="preserve">Therefore, a post marketing study is </w:t>
      </w:r>
      <w:r>
        <w:t xml:space="preserve">required </w:t>
      </w:r>
      <w:r w:rsidRPr="00076C84">
        <w:t>in patients with moderate or severe renal impairment.</w:t>
      </w:r>
    </w:p>
    <w:p w14:paraId="0F063013" w14:textId="5BD8B3E0" w:rsidR="005303BB" w:rsidRDefault="005303BB" w:rsidP="005303BB">
      <w:r>
        <w:t xml:space="preserve">There was a trend for higher incidence and severity of AEs in patients with increasing age, ECOG score of 2, renal impairment, </w:t>
      </w:r>
      <w:r w:rsidRPr="00CE1FD3">
        <w:t xml:space="preserve">abnormal </w:t>
      </w:r>
      <w:r w:rsidR="00E94C5D">
        <w:t>e</w:t>
      </w:r>
      <w:r w:rsidR="00E94C5D" w:rsidRPr="00E94C5D">
        <w:t>pidermal growth factor receptor</w:t>
      </w:r>
      <w:r w:rsidRPr="00CE1FD3">
        <w:t>, proteinuria</w:t>
      </w:r>
      <w:r>
        <w:t xml:space="preserve"> and concurrent radiation therapy.</w:t>
      </w:r>
    </w:p>
    <w:p w14:paraId="7B6F0810" w14:textId="77777777" w:rsidR="005303BB" w:rsidRDefault="005303BB" w:rsidP="005303BB">
      <w:r>
        <w:t>No specific clinical drug-drug interaction studies were conducted. The quoted data were not suggestive of potential interactions.</w:t>
      </w:r>
    </w:p>
    <w:p w14:paraId="6D9552BC" w14:textId="77777777" w:rsidR="005303BB" w:rsidRDefault="005303BB" w:rsidP="005303BB">
      <w:r>
        <w:t xml:space="preserve">The addition of </w:t>
      </w:r>
      <w:r w:rsidRPr="00D26DFD">
        <w:rPr>
          <w:vertAlign w:val="superscript"/>
        </w:rPr>
        <w:t>177</w:t>
      </w:r>
      <w:r>
        <w:t xml:space="preserve">Lu-PSMA-617 to best standard of care in this advanced cancer population was reasonably tolerated. </w:t>
      </w:r>
      <w:r w:rsidRPr="007A0989">
        <w:t>H</w:t>
      </w:r>
      <w:r w:rsidRPr="007A0989">
        <w:rPr>
          <w:lang w:eastAsia="ja-JP"/>
        </w:rPr>
        <w:t xml:space="preserve">aematologic toxicity </w:t>
      </w:r>
      <w:r w:rsidRPr="007A0989">
        <w:t xml:space="preserve">with myelosuppression was </w:t>
      </w:r>
      <w:r>
        <w:t>the</w:t>
      </w:r>
      <w:r w:rsidRPr="007A0989">
        <w:t xml:space="preserve"> most notable safety issue </w:t>
      </w:r>
      <w:r>
        <w:t>particularly as this patient population may have</w:t>
      </w:r>
      <w:r w:rsidRPr="007A0989">
        <w:t xml:space="preserve"> reduced bone marrow reserve due to metastases or prior chemotherapy</w:t>
      </w:r>
      <w:r>
        <w:t>.</w:t>
      </w:r>
    </w:p>
    <w:p w14:paraId="1493D921" w14:textId="308AD8DB" w:rsidR="005303BB" w:rsidRDefault="005303BB" w:rsidP="005303BB">
      <w:r w:rsidRPr="0038231F">
        <w:t xml:space="preserve">Post marketing data to March 2023 reported an estimated 4198 patients exposed to Pluvicto and a cumulative clinical trial exposure of 1330 patients. There have been 1572 cases reported </w:t>
      </w:r>
      <w:r w:rsidR="00381486">
        <w:t>including</w:t>
      </w:r>
      <w:r w:rsidRPr="0038231F">
        <w:t xml:space="preserve"> risks of myelosuppression, renal toxicity and intracranial haemorrhage. Bone and </w:t>
      </w:r>
      <w:r w:rsidRPr="0038231F">
        <w:lastRenderedPageBreak/>
        <w:t xml:space="preserve">fracture events have been </w:t>
      </w:r>
      <w:r w:rsidR="000A06FB" w:rsidRPr="0038231F">
        <w:t>assessed,</w:t>
      </w:r>
      <w:r w:rsidRPr="0038231F">
        <w:t xml:space="preserve"> and risk is difficult to separate from underlying disease. The risks of second primary malignancy and the risk in patients with renal impairment still require further</w:t>
      </w:r>
      <w:r>
        <w:t xml:space="preserve"> data. The potential safety risk of inadvertent radiation exposure has not been reported to date in post marketing data.</w:t>
      </w:r>
    </w:p>
    <w:p w14:paraId="6927E150" w14:textId="59AE154F" w:rsidR="00E93A2C" w:rsidRDefault="00613889" w:rsidP="00613889">
      <w:pPr>
        <w:pStyle w:val="Heading5"/>
      </w:pPr>
      <w:r>
        <w:t>Safe</w:t>
      </w:r>
      <w:r w:rsidR="00381486">
        <w:t>t</w:t>
      </w:r>
      <w:r>
        <w:t>y conclusion</w:t>
      </w:r>
    </w:p>
    <w:p w14:paraId="0B82958A" w14:textId="77777777" w:rsidR="00481356" w:rsidRPr="0038231F" w:rsidRDefault="00481356" w:rsidP="0038231F">
      <w:r w:rsidRPr="0038231F">
        <w:t xml:space="preserve">Treatment with Pluvicto was not without safety risks and 12% of patients discontinued therapy due to an adverse event, with bone marrow toxicity and resultant myelosuppression being the most notable. As the patient population may have diffuse metastatic disease infiltrating the bone marrow, and have all received </w:t>
      </w:r>
      <w:proofErr w:type="spellStart"/>
      <w:r w:rsidRPr="0038231F">
        <w:t>taxane</w:t>
      </w:r>
      <w:proofErr w:type="spellEnd"/>
      <w:r w:rsidRPr="0038231F">
        <w:t xml:space="preserve"> chemotherapy, they would be predisposed to this haematologic toxicity.</w:t>
      </w:r>
    </w:p>
    <w:p w14:paraId="2BAF93EB" w14:textId="22FC6A42" w:rsidR="00481356" w:rsidRPr="0038231F" w:rsidRDefault="00481356" w:rsidP="00AF5D56">
      <w:r w:rsidRPr="0038231F">
        <w:t>Given the renal excretion of the product, the risk of long</w:t>
      </w:r>
      <w:r w:rsidR="003D5FD8" w:rsidRPr="0038231F">
        <w:t>-</w:t>
      </w:r>
      <w:r w:rsidRPr="0038231F">
        <w:t xml:space="preserve">term kidney toxicity, the potential for increased radiation exposure in patients with renal impairment, and the lack of clinical data in this patient group, there is evident need for further assessment in this area. The </w:t>
      </w:r>
      <w:r w:rsidR="003C1CF2" w:rsidRPr="0038231F">
        <w:t>overseas regulator</w:t>
      </w:r>
      <w:r w:rsidRPr="0038231F">
        <w:t xml:space="preserve"> has a post marketing requirement </w:t>
      </w:r>
      <w:r w:rsidR="003C1CF2" w:rsidRPr="0038231F">
        <w:t xml:space="preserve">for </w:t>
      </w:r>
      <w:r w:rsidRPr="0038231F">
        <w:t xml:space="preserve">Study CAAA617A12202, which aims to determine the </w:t>
      </w:r>
      <w:r w:rsidR="00604C5B" w:rsidRPr="0038231F">
        <w:t>‘</w:t>
      </w:r>
      <w:r w:rsidRPr="0038231F">
        <w:t>kidney biodistribution, dosimetry, pharmacokinetics, and safety of lutetium (</w:t>
      </w:r>
      <w:r w:rsidRPr="0038231F">
        <w:rPr>
          <w:vertAlign w:val="superscript"/>
        </w:rPr>
        <w:t>177</w:t>
      </w:r>
      <w:r w:rsidRPr="0038231F">
        <w:t>Lu) vipivotide tetraxetan and assess the potential for higher drug exposure and the resultant risk of increased serious toxicities in patients with moderate and severe renal impairment</w:t>
      </w:r>
      <w:r w:rsidR="00604C5B" w:rsidRPr="0038231F">
        <w:t>’.</w:t>
      </w:r>
      <w:r w:rsidRPr="0038231F">
        <w:t xml:space="preserve"> The study will assess long-term toxicities in these patients and follow all patients until death, loss to follow-up, or for up to 10 years, whichever occurs first. The clinical study report is expected to be available in </w:t>
      </w:r>
      <w:r w:rsidR="00604C5B" w:rsidRPr="0038231F">
        <w:t>quarter 4 of</w:t>
      </w:r>
      <w:r w:rsidRPr="0038231F">
        <w:t xml:space="preserve"> 2026 and data should result in optimisation of the labelling recommendations. Until these data are available, the </w:t>
      </w:r>
      <w:r w:rsidR="00604C5B" w:rsidRPr="0038231F">
        <w:t>P</w:t>
      </w:r>
      <w:r w:rsidRPr="0038231F">
        <w:t xml:space="preserve">roduct </w:t>
      </w:r>
      <w:r w:rsidR="00604C5B" w:rsidRPr="0038231F">
        <w:t>I</w:t>
      </w:r>
      <w:r w:rsidRPr="0038231F">
        <w:t>nformation needs to fully outline the renal risks including the lack of data in patients with creatinine clearance &lt;</w:t>
      </w:r>
      <w:r w:rsidR="00604C5B" w:rsidRPr="0038231F">
        <w:t> </w:t>
      </w:r>
      <w:r w:rsidRPr="0038231F">
        <w:t>50</w:t>
      </w:r>
      <w:r w:rsidR="00604C5B" w:rsidRPr="0038231F">
        <w:t> </w:t>
      </w:r>
      <w:r w:rsidRPr="0038231F">
        <w:t>mL/min.</w:t>
      </w:r>
    </w:p>
    <w:p w14:paraId="05758A76" w14:textId="77777777" w:rsidR="00B23F90" w:rsidRPr="0038231F" w:rsidRDefault="00481356" w:rsidP="0038231F">
      <w:r w:rsidRPr="0038231F">
        <w:t>Given the relatively short follow up of patients in the pivotal study there is a lack of long</w:t>
      </w:r>
      <w:r w:rsidR="00604C5B" w:rsidRPr="0038231F">
        <w:t>-</w:t>
      </w:r>
      <w:r w:rsidRPr="0038231F">
        <w:t xml:space="preserve">term safety data. The </w:t>
      </w:r>
      <w:r w:rsidR="00604C5B" w:rsidRPr="0038231F">
        <w:t>overseas regulator</w:t>
      </w:r>
      <w:r w:rsidRPr="0038231F">
        <w:t xml:space="preserve"> has another post marketing requirement to further delineate potential long</w:t>
      </w:r>
      <w:r w:rsidR="008E1828" w:rsidRPr="0038231F">
        <w:t>-</w:t>
      </w:r>
      <w:r w:rsidRPr="0038231F">
        <w:t>term risks. It was stated that the sponsor needs to</w:t>
      </w:r>
      <w:r w:rsidR="00B23F90" w:rsidRPr="0038231F">
        <w:t>:</w:t>
      </w:r>
    </w:p>
    <w:p w14:paraId="64A68AC0" w14:textId="77777777" w:rsidR="00B23F90" w:rsidRPr="0038231F" w:rsidRDefault="00B23F90" w:rsidP="0038231F">
      <w:pPr>
        <w:ind w:left="720"/>
        <w:rPr>
          <w:i/>
          <w:iCs/>
        </w:rPr>
      </w:pPr>
      <w:r w:rsidRPr="0038231F">
        <w:rPr>
          <w:i/>
          <w:iCs/>
        </w:rPr>
        <w:t>C</w:t>
      </w:r>
      <w:r w:rsidR="00481356" w:rsidRPr="0038231F">
        <w:rPr>
          <w:i/>
          <w:iCs/>
        </w:rPr>
        <w:t>onduct an integrated safety analysis to further characterize the long term outcome of the known serious risk of myelosuppression, renal failure, xerostomia and xerophthalmia and their complications; the potential serious signals of secondary malignancies including myelodysplastic syndrome and acute myeloid leukemia (MDS/AML); and other serious adverse reactions in patients receiving lutetium (</w:t>
      </w:r>
      <w:r w:rsidR="00481356" w:rsidRPr="0038231F">
        <w:rPr>
          <w:i/>
          <w:iCs/>
          <w:vertAlign w:val="superscript"/>
        </w:rPr>
        <w:t>177</w:t>
      </w:r>
      <w:r w:rsidR="00481356" w:rsidRPr="0038231F">
        <w:rPr>
          <w:i/>
          <w:iCs/>
        </w:rPr>
        <w:t>Lu) vipivotide tetraxetan in the VISION study and its sub-study, Trial CAAA617C12301 (NCT04720157), Trial CAAA617B12302 (NCT04689828) and other clinical trials as appropriate. Capture data prospectively in amended case report forms to include incidence, grade, date of onset and resolution of the adverse reaction, predisposing factors and outcomes, date and quantity of red cell and platelet transfusion, use of growth factors for myelosuppression, subsequent antineoplastic therapies, radiation therapy, and hospital admissions. Follow all patients until death, loss to follow-up, or for up to 10 years, whichever occurs first.</w:t>
      </w:r>
    </w:p>
    <w:p w14:paraId="09CA6E79" w14:textId="6425C230" w:rsidR="00481356" w:rsidRPr="0038231F" w:rsidRDefault="00481356" w:rsidP="0038231F">
      <w:r w:rsidRPr="0038231F">
        <w:t>The expected final report is due March 2034.</w:t>
      </w:r>
    </w:p>
    <w:p w14:paraId="368712E2" w14:textId="67CF9ACA" w:rsidR="0072317F" w:rsidRPr="00EF747C" w:rsidRDefault="00481356" w:rsidP="00F03DA1">
      <w:r w:rsidRPr="0038231F">
        <w:t xml:space="preserve">Pluvicto is a radioactive therapeutic agent with a novel mechanism of action targeting an indication where there is a definite unmet clinical need. In patients with progressive, </w:t>
      </w:r>
      <w:proofErr w:type="spellStart"/>
      <w:r w:rsidRPr="0038231F">
        <w:t>PSMA</w:t>
      </w:r>
      <w:proofErr w:type="spellEnd"/>
      <w:r w:rsidR="00CB0D28" w:rsidRPr="0038231F">
        <w:noBreakHyphen/>
      </w:r>
      <w:r w:rsidRPr="0038231F">
        <w:t xml:space="preserve">positive </w:t>
      </w:r>
      <w:proofErr w:type="spellStart"/>
      <w:r w:rsidRPr="0038231F">
        <w:t>mCRPC</w:t>
      </w:r>
      <w:proofErr w:type="spellEnd"/>
      <w:r w:rsidRPr="0038231F">
        <w:t xml:space="preserve"> who have been treated with androgen reception pathway inhibition and </w:t>
      </w:r>
      <w:proofErr w:type="spellStart"/>
      <w:r w:rsidRPr="0038231F">
        <w:t>taxane</w:t>
      </w:r>
      <w:proofErr w:type="spellEnd"/>
      <w:r w:rsidRPr="0038231F">
        <w:t xml:space="preserve">-based chemotherapy, treatment with </w:t>
      </w:r>
      <w:r w:rsidRPr="0038231F">
        <w:rPr>
          <w:vertAlign w:val="superscript"/>
        </w:rPr>
        <w:t>177</w:t>
      </w:r>
      <w:r w:rsidRPr="0038231F">
        <w:t>Lu-PSMA-617 resulted in an improvement in overall survival of four months compared to treatment with best standard of care. While safety risks, particularly bone marrow toxicity, are present, they are outweighed by the potential for clinically meaningful improved survival in this population with a life-threatening condition. As such, the benefit–risk balance is positive.</w:t>
      </w:r>
    </w:p>
    <w:p w14:paraId="2F54408F" w14:textId="73258726" w:rsidR="00C22214" w:rsidRDefault="008C49C6" w:rsidP="00C22214">
      <w:pPr>
        <w:pStyle w:val="Heading4"/>
      </w:pPr>
      <w:bookmarkStart w:id="54" w:name="_Toc213751011"/>
      <w:bookmarkStart w:id="55" w:name="_Toc314842514"/>
      <w:r>
        <w:lastRenderedPageBreak/>
        <w:t>R</w:t>
      </w:r>
      <w:r w:rsidR="00C22214" w:rsidRPr="007B6132">
        <w:t>ecommendation</w:t>
      </w:r>
      <w:r>
        <w:t xml:space="preserve"> following the clinical evaluation</w:t>
      </w:r>
      <w:bookmarkEnd w:id="54"/>
    </w:p>
    <w:p w14:paraId="49F91A25" w14:textId="77777777" w:rsidR="00C45DE9" w:rsidRPr="0038231F" w:rsidRDefault="00C45DE9" w:rsidP="0038231F">
      <w:r w:rsidRPr="0038231F">
        <w:t>Approval of Pluvicto is recommended subject to:</w:t>
      </w:r>
    </w:p>
    <w:p w14:paraId="746CCFB6" w14:textId="2F5CB1B2" w:rsidR="00C45DE9" w:rsidRPr="0038231F" w:rsidRDefault="00C45DE9" w:rsidP="0038231F">
      <w:pPr>
        <w:pStyle w:val="ListBullet"/>
      </w:pPr>
      <w:r w:rsidRPr="0038231F">
        <w:t>Revision of the indication as follows:</w:t>
      </w:r>
    </w:p>
    <w:p w14:paraId="0D6963E5" w14:textId="5A884B28" w:rsidR="00C45DE9" w:rsidRPr="00877BBC" w:rsidRDefault="00C45DE9" w:rsidP="00877BBC">
      <w:pPr>
        <w:ind w:left="360"/>
        <w:rPr>
          <w:i/>
          <w:iCs/>
        </w:rPr>
      </w:pPr>
      <w:r w:rsidRPr="00877BBC">
        <w:rPr>
          <w:i/>
          <w:iCs/>
        </w:rPr>
        <w:t>P</w:t>
      </w:r>
      <w:r w:rsidR="0038231F" w:rsidRPr="00877BBC">
        <w:rPr>
          <w:i/>
          <w:iCs/>
        </w:rPr>
        <w:t>luvicto</w:t>
      </w:r>
      <w:r w:rsidRPr="00877BBC">
        <w:rPr>
          <w:i/>
          <w:iCs/>
        </w:rPr>
        <w:t xml:space="preserve"> is indicated for the treatment of adult patients with prostate-specific membrane antigen (PSMA)-positive metastatic castration-resistant prostate cancer (</w:t>
      </w:r>
      <w:proofErr w:type="spellStart"/>
      <w:r w:rsidRPr="00877BBC">
        <w:rPr>
          <w:i/>
          <w:iCs/>
        </w:rPr>
        <w:t>mCRPC</w:t>
      </w:r>
      <w:proofErr w:type="spellEnd"/>
      <w:r w:rsidRPr="00877BBC">
        <w:rPr>
          <w:i/>
          <w:iCs/>
        </w:rPr>
        <w:t xml:space="preserve">) who have been treated with androgen receptor (AR) pathway inhibition and </w:t>
      </w:r>
      <w:proofErr w:type="spellStart"/>
      <w:r w:rsidRPr="00877BBC">
        <w:rPr>
          <w:i/>
          <w:iCs/>
        </w:rPr>
        <w:t>taxane</w:t>
      </w:r>
      <w:proofErr w:type="spellEnd"/>
      <w:r w:rsidRPr="00877BBC">
        <w:rPr>
          <w:i/>
          <w:iCs/>
        </w:rPr>
        <w:t>-based chemotherapy.</w:t>
      </w:r>
    </w:p>
    <w:p w14:paraId="27BCEB66" w14:textId="77777777" w:rsidR="00C45DE9" w:rsidRPr="00877BBC" w:rsidRDefault="00C45DE9" w:rsidP="00877BBC">
      <w:pPr>
        <w:pStyle w:val="ListBullet"/>
      </w:pPr>
      <w:r w:rsidRPr="00C43D08">
        <w:t xml:space="preserve">Provision of data from the post marketing study in patients with moderate </w:t>
      </w:r>
      <w:r>
        <w:t>or</w:t>
      </w:r>
      <w:r w:rsidRPr="00C43D08">
        <w:t xml:space="preserve"> severe renal impairment</w:t>
      </w:r>
      <w:r>
        <w:t xml:space="preserve"> when available</w:t>
      </w:r>
      <w:r w:rsidRPr="00C43D08">
        <w:t>.</w:t>
      </w:r>
    </w:p>
    <w:p w14:paraId="159F7A1B" w14:textId="4BF9803E" w:rsidR="00C45DE9" w:rsidRPr="00877BBC" w:rsidRDefault="00C45DE9" w:rsidP="00877BBC">
      <w:pPr>
        <w:pStyle w:val="ListBullet"/>
      </w:pPr>
      <w:r w:rsidRPr="00C43D08">
        <w:t>Provision of data from the integrated safety analysis</w:t>
      </w:r>
      <w:r>
        <w:t>/post marketing study</w:t>
      </w:r>
      <w:r w:rsidRPr="00C43D08">
        <w:t xml:space="preserve"> characterising the long</w:t>
      </w:r>
      <w:r w:rsidR="00877BBC">
        <w:t>-</w:t>
      </w:r>
      <w:r w:rsidRPr="00C43D08">
        <w:t>term safety of patient</w:t>
      </w:r>
      <w:r>
        <w:t>s</w:t>
      </w:r>
      <w:r w:rsidRPr="00C43D08">
        <w:t xml:space="preserve"> who have received Pluvicto</w:t>
      </w:r>
      <w:r>
        <w:t xml:space="preserve"> when available.</w:t>
      </w:r>
    </w:p>
    <w:p w14:paraId="2858B006" w14:textId="77777777" w:rsidR="00C22214" w:rsidRDefault="00C22214" w:rsidP="00C22214">
      <w:pPr>
        <w:pStyle w:val="Heading3"/>
        <w:rPr>
          <w:lang w:eastAsia="en-AU"/>
        </w:rPr>
      </w:pPr>
      <w:bookmarkStart w:id="56" w:name="_Toc103679298"/>
      <w:bookmarkStart w:id="57" w:name="_Toc213751012"/>
      <w:r>
        <w:rPr>
          <w:lang w:eastAsia="en-AU"/>
        </w:rPr>
        <w:t>Risk management plan</w:t>
      </w:r>
      <w:bookmarkEnd w:id="55"/>
      <w:bookmarkEnd w:id="56"/>
      <w:bookmarkEnd w:id="57"/>
    </w:p>
    <w:p w14:paraId="6B21D3B7" w14:textId="5DCD7D98" w:rsidR="000A7F70" w:rsidRPr="000A7F70" w:rsidRDefault="000A7F70" w:rsidP="00AF5D56">
      <w:pPr>
        <w:rPr>
          <w:szCs w:val="24"/>
        </w:rPr>
      </w:pPr>
      <w:r w:rsidRPr="002B498D">
        <w:t>Novartis Pharmaceuticals Australia Pty Ltd has submitted European Union (EU)- risk management plan (RMP) version 1.2 (date 11 October 2022; data lock point (DLP) 27 January 2021) and Australia</w:t>
      </w:r>
      <w:r w:rsidR="00731F42" w:rsidRPr="002B498D">
        <w:t>n</w:t>
      </w:r>
      <w:r w:rsidR="00B05377" w:rsidRPr="002B498D">
        <w:t>-</w:t>
      </w:r>
      <w:r w:rsidRPr="002B498D">
        <w:t>specific annex (ASA) version 1.0 (dated 20 June 2023) in support of this application.</w:t>
      </w:r>
    </w:p>
    <w:p w14:paraId="39F3CD1D" w14:textId="04D85A69" w:rsidR="0072003B" w:rsidRPr="00BD5DBD" w:rsidRDefault="00C22214" w:rsidP="00C22214">
      <w:pPr>
        <w:rPr>
          <w:szCs w:val="22"/>
        </w:rPr>
      </w:pPr>
      <w:bookmarkStart w:id="58" w:name="_Toc247691531"/>
      <w:bookmarkStart w:id="59" w:name="_Toc314842515"/>
      <w:r w:rsidRPr="00BD5DBD">
        <w:rPr>
          <w:szCs w:val="22"/>
        </w:rPr>
        <w:t>The summary of safety concerns and their associated risk monitoring and mitigation strategies are summarised in</w:t>
      </w:r>
      <w:r w:rsidR="003B149C">
        <w:rPr>
          <w:szCs w:val="22"/>
        </w:rPr>
        <w:t xml:space="preserve"> </w:t>
      </w:r>
      <w:r w:rsidR="003B149C" w:rsidRPr="003B149C">
        <w:rPr>
          <w:szCs w:val="22"/>
        </w:rPr>
        <w:fldChar w:fldCharType="begin"/>
      </w:r>
      <w:r w:rsidR="003B149C" w:rsidRPr="003B149C">
        <w:rPr>
          <w:szCs w:val="22"/>
        </w:rPr>
        <w:instrText xml:space="preserve"> REF _Ref97629131 \h </w:instrText>
      </w:r>
      <w:r w:rsidR="003B149C">
        <w:rPr>
          <w:szCs w:val="22"/>
        </w:rPr>
        <w:instrText xml:space="preserve"> \* MERGEFORMAT </w:instrText>
      </w:r>
      <w:r w:rsidR="003B149C" w:rsidRPr="003B149C">
        <w:rPr>
          <w:szCs w:val="22"/>
        </w:rPr>
      </w:r>
      <w:r w:rsidR="003B149C" w:rsidRPr="003B149C">
        <w:rPr>
          <w:szCs w:val="22"/>
        </w:rPr>
        <w:fldChar w:fldCharType="separate"/>
      </w:r>
      <w:r w:rsidR="00AB77D0" w:rsidRPr="00AB77D0">
        <w:rPr>
          <w:szCs w:val="22"/>
        </w:rPr>
        <w:t xml:space="preserve">Table </w:t>
      </w:r>
      <w:r w:rsidR="00AB77D0" w:rsidRPr="00AB77D0">
        <w:rPr>
          <w:noProof/>
          <w:szCs w:val="22"/>
        </w:rPr>
        <w:t>4</w:t>
      </w:r>
      <w:r w:rsidR="003B149C" w:rsidRPr="003B149C">
        <w:rPr>
          <w:szCs w:val="22"/>
        </w:rPr>
        <w:fldChar w:fldCharType="end"/>
      </w:r>
      <w:r w:rsidR="008C49C6" w:rsidRPr="003B149C">
        <w:rPr>
          <w:szCs w:val="22"/>
        </w:rPr>
        <w:t>.</w:t>
      </w:r>
      <w:r w:rsidR="0072003B" w:rsidRPr="00BD5DBD">
        <w:rPr>
          <w:szCs w:val="22"/>
        </w:rPr>
        <w:t xml:space="preserve"> The TGA</w:t>
      </w:r>
      <w:r w:rsidR="00C07551" w:rsidRPr="00BD5DBD">
        <w:rPr>
          <w:szCs w:val="22"/>
        </w:rPr>
        <w:t xml:space="preserve"> may</w:t>
      </w:r>
      <w:r w:rsidR="0072003B" w:rsidRPr="00BD5DBD">
        <w:rPr>
          <w:szCs w:val="22"/>
        </w:rPr>
        <w:t xml:space="preserve"> request an updated RMP at any stage of a product's </w:t>
      </w:r>
      <w:r w:rsidR="000A7F70" w:rsidRPr="00BD5DBD">
        <w:rPr>
          <w:szCs w:val="22"/>
        </w:rPr>
        <w:t>life cycle</w:t>
      </w:r>
      <w:r w:rsidR="0072003B" w:rsidRPr="00BD5DBD">
        <w:rPr>
          <w:szCs w:val="22"/>
        </w:rPr>
        <w:t>, during both the pre-approval and post-approval phases.</w:t>
      </w:r>
    </w:p>
    <w:p w14:paraId="56B51A93" w14:textId="2857B068" w:rsidR="006A277A" w:rsidRPr="00AF5D56" w:rsidRDefault="00C22214" w:rsidP="00AF5D56">
      <w:pPr>
        <w:pStyle w:val="TableTitle"/>
      </w:pPr>
      <w:bookmarkStart w:id="60" w:name="_Ref97629131"/>
      <w:r w:rsidRPr="00AF5D56">
        <w:t xml:space="preserve">Table </w:t>
      </w:r>
      <w:r w:rsidR="007F1E37" w:rsidRPr="00AF5D56">
        <w:fldChar w:fldCharType="begin"/>
      </w:r>
      <w:r w:rsidR="007F1E37" w:rsidRPr="00AF5D56">
        <w:instrText xml:space="preserve"> SEQ Table \* ARABIC </w:instrText>
      </w:r>
      <w:r w:rsidR="007F1E37" w:rsidRPr="00AF5D56">
        <w:fldChar w:fldCharType="separate"/>
      </w:r>
      <w:r w:rsidR="00AB77D0" w:rsidRPr="00AF5D56">
        <w:t>4</w:t>
      </w:r>
      <w:r w:rsidR="007F1E37" w:rsidRPr="00AF5D56">
        <w:fldChar w:fldCharType="end"/>
      </w:r>
      <w:bookmarkEnd w:id="60"/>
      <w:r w:rsidRPr="00AF5D56">
        <w:t>: Summary of safety concerns</w:t>
      </w:r>
    </w:p>
    <w:tbl>
      <w:tblPr>
        <w:tblStyle w:val="TableTGAblue2023"/>
        <w:tblW w:w="9119" w:type="dxa"/>
        <w:tblLayout w:type="fixed"/>
        <w:tblLook w:val="04A0" w:firstRow="1" w:lastRow="0" w:firstColumn="1" w:lastColumn="0" w:noHBand="0" w:noVBand="1"/>
      </w:tblPr>
      <w:tblGrid>
        <w:gridCol w:w="1696"/>
        <w:gridCol w:w="2127"/>
        <w:gridCol w:w="1275"/>
        <w:gridCol w:w="1418"/>
        <w:gridCol w:w="1134"/>
        <w:gridCol w:w="1469"/>
      </w:tblGrid>
      <w:tr w:rsidR="00050AF8" w:rsidRPr="00AF5D56" w14:paraId="386CF959" w14:textId="77777777" w:rsidTr="00AF5D56">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823" w:type="dxa"/>
            <w:gridSpan w:val="2"/>
            <w:vMerge w:val="restart"/>
          </w:tcPr>
          <w:p w14:paraId="697273E7" w14:textId="77777777" w:rsidR="00050AF8" w:rsidRPr="00AF5D56" w:rsidRDefault="00050AF8" w:rsidP="00AF5D56">
            <w:pPr>
              <w:rPr>
                <w:b w:val="0"/>
                <w:szCs w:val="22"/>
              </w:rPr>
            </w:pPr>
            <w:r w:rsidRPr="00AF5D56">
              <w:rPr>
                <w:szCs w:val="22"/>
              </w:rPr>
              <w:t>Summary of safety concerns</w:t>
            </w:r>
          </w:p>
        </w:tc>
        <w:tc>
          <w:tcPr>
            <w:tcW w:w="2693" w:type="dxa"/>
            <w:gridSpan w:val="2"/>
          </w:tcPr>
          <w:p w14:paraId="66D55336" w14:textId="77777777" w:rsidR="00050AF8" w:rsidRPr="00AF5D56" w:rsidRDefault="00050AF8" w:rsidP="00AF5D56">
            <w:pPr>
              <w:cnfStyle w:val="100000000000" w:firstRow="1" w:lastRow="0" w:firstColumn="0" w:lastColumn="0" w:oddVBand="0" w:evenVBand="0" w:oddHBand="0" w:evenHBand="0" w:firstRowFirstColumn="0" w:firstRowLastColumn="0" w:lastRowFirstColumn="0" w:lastRowLastColumn="0"/>
              <w:rPr>
                <w:b w:val="0"/>
                <w:szCs w:val="22"/>
              </w:rPr>
            </w:pPr>
            <w:r w:rsidRPr="00AF5D56">
              <w:rPr>
                <w:szCs w:val="22"/>
              </w:rPr>
              <w:t>Pharmacovigilance</w:t>
            </w:r>
          </w:p>
        </w:tc>
        <w:tc>
          <w:tcPr>
            <w:tcW w:w="2603" w:type="dxa"/>
            <w:gridSpan w:val="2"/>
          </w:tcPr>
          <w:p w14:paraId="20E626D8" w14:textId="77777777" w:rsidR="00050AF8" w:rsidRPr="00AF5D56" w:rsidRDefault="00050AF8" w:rsidP="00AF5D56">
            <w:pPr>
              <w:cnfStyle w:val="100000000000" w:firstRow="1" w:lastRow="0" w:firstColumn="0" w:lastColumn="0" w:oddVBand="0" w:evenVBand="0" w:oddHBand="0" w:evenHBand="0" w:firstRowFirstColumn="0" w:firstRowLastColumn="0" w:lastRowFirstColumn="0" w:lastRowLastColumn="0"/>
              <w:rPr>
                <w:b w:val="0"/>
                <w:szCs w:val="22"/>
              </w:rPr>
            </w:pPr>
            <w:r w:rsidRPr="00AF5D56">
              <w:rPr>
                <w:szCs w:val="22"/>
              </w:rPr>
              <w:t>Risk Minimisation</w:t>
            </w:r>
          </w:p>
        </w:tc>
      </w:tr>
      <w:tr w:rsidR="00050AF8" w:rsidRPr="00AF5D56" w14:paraId="519DFB50" w14:textId="77777777" w:rsidTr="00AF5D56">
        <w:trPr>
          <w:trHeight w:val="142"/>
        </w:trPr>
        <w:tc>
          <w:tcPr>
            <w:cnfStyle w:val="001000000000" w:firstRow="0" w:lastRow="0" w:firstColumn="1" w:lastColumn="0" w:oddVBand="0" w:evenVBand="0" w:oddHBand="0" w:evenHBand="0" w:firstRowFirstColumn="0" w:firstRowLastColumn="0" w:lastRowFirstColumn="0" w:lastRowLastColumn="0"/>
            <w:tcW w:w="3823" w:type="dxa"/>
            <w:gridSpan w:val="2"/>
            <w:vMerge/>
          </w:tcPr>
          <w:p w14:paraId="47A68CBF" w14:textId="77777777" w:rsidR="00050AF8" w:rsidRPr="00AF5D56" w:rsidRDefault="00050AF8" w:rsidP="00AF5D56">
            <w:pPr>
              <w:rPr>
                <w:b/>
                <w:szCs w:val="22"/>
              </w:rPr>
            </w:pPr>
          </w:p>
        </w:tc>
        <w:tc>
          <w:tcPr>
            <w:tcW w:w="1275" w:type="dxa"/>
          </w:tcPr>
          <w:p w14:paraId="5B7244D1" w14:textId="77777777" w:rsidR="00050AF8" w:rsidRPr="00AF5D56" w:rsidRDefault="00050AF8" w:rsidP="00AF5D56">
            <w:pPr>
              <w:cnfStyle w:val="000000000000" w:firstRow="0" w:lastRow="0" w:firstColumn="0" w:lastColumn="0" w:oddVBand="0" w:evenVBand="0" w:oddHBand="0" w:evenHBand="0" w:firstRowFirstColumn="0" w:firstRowLastColumn="0" w:lastRowFirstColumn="0" w:lastRowLastColumn="0"/>
              <w:rPr>
                <w:b/>
                <w:szCs w:val="22"/>
              </w:rPr>
            </w:pPr>
            <w:r w:rsidRPr="00AF5D56">
              <w:rPr>
                <w:szCs w:val="22"/>
              </w:rPr>
              <w:t>Routine</w:t>
            </w:r>
          </w:p>
        </w:tc>
        <w:tc>
          <w:tcPr>
            <w:tcW w:w="1418" w:type="dxa"/>
          </w:tcPr>
          <w:p w14:paraId="49C6E010" w14:textId="77777777" w:rsidR="00050AF8" w:rsidRPr="00AF5D56" w:rsidRDefault="00050AF8" w:rsidP="00AF5D56">
            <w:pPr>
              <w:cnfStyle w:val="000000000000" w:firstRow="0" w:lastRow="0" w:firstColumn="0" w:lastColumn="0" w:oddVBand="0" w:evenVBand="0" w:oddHBand="0" w:evenHBand="0" w:firstRowFirstColumn="0" w:firstRowLastColumn="0" w:lastRowFirstColumn="0" w:lastRowLastColumn="0"/>
              <w:rPr>
                <w:b/>
                <w:szCs w:val="22"/>
              </w:rPr>
            </w:pPr>
            <w:r w:rsidRPr="00AF5D56">
              <w:rPr>
                <w:szCs w:val="22"/>
              </w:rPr>
              <w:t>Additional</w:t>
            </w:r>
          </w:p>
        </w:tc>
        <w:tc>
          <w:tcPr>
            <w:tcW w:w="1134" w:type="dxa"/>
          </w:tcPr>
          <w:p w14:paraId="6D8EB35B" w14:textId="77777777" w:rsidR="00050AF8" w:rsidRPr="00AF5D56" w:rsidRDefault="00050AF8" w:rsidP="00AF5D56">
            <w:pPr>
              <w:cnfStyle w:val="000000000000" w:firstRow="0" w:lastRow="0" w:firstColumn="0" w:lastColumn="0" w:oddVBand="0" w:evenVBand="0" w:oddHBand="0" w:evenHBand="0" w:firstRowFirstColumn="0" w:firstRowLastColumn="0" w:lastRowFirstColumn="0" w:lastRowLastColumn="0"/>
              <w:rPr>
                <w:b/>
                <w:szCs w:val="22"/>
              </w:rPr>
            </w:pPr>
            <w:r w:rsidRPr="00AF5D56">
              <w:rPr>
                <w:szCs w:val="22"/>
              </w:rPr>
              <w:t>Routine</w:t>
            </w:r>
          </w:p>
        </w:tc>
        <w:tc>
          <w:tcPr>
            <w:tcW w:w="1469" w:type="dxa"/>
          </w:tcPr>
          <w:p w14:paraId="16839954" w14:textId="77777777" w:rsidR="00050AF8" w:rsidRPr="00AF5D56" w:rsidRDefault="00050AF8" w:rsidP="00AF5D56">
            <w:pPr>
              <w:cnfStyle w:val="000000000000" w:firstRow="0" w:lastRow="0" w:firstColumn="0" w:lastColumn="0" w:oddVBand="0" w:evenVBand="0" w:oddHBand="0" w:evenHBand="0" w:firstRowFirstColumn="0" w:firstRowLastColumn="0" w:lastRowFirstColumn="0" w:lastRowLastColumn="0"/>
              <w:rPr>
                <w:b/>
                <w:szCs w:val="22"/>
              </w:rPr>
            </w:pPr>
            <w:r w:rsidRPr="00AF5D56">
              <w:rPr>
                <w:szCs w:val="22"/>
              </w:rPr>
              <w:t>Additional</w:t>
            </w:r>
          </w:p>
        </w:tc>
      </w:tr>
      <w:tr w:rsidR="00050AF8" w:rsidRPr="00BF52F4" w14:paraId="45D92F2D" w14:textId="77777777" w:rsidTr="00AF5D56">
        <w:trPr>
          <w:trHeight w:val="129"/>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34BF1710" w14:textId="77777777" w:rsidR="00050AF8" w:rsidRPr="00BF52F4" w:rsidRDefault="00050AF8" w:rsidP="00AF5D56">
            <w:r w:rsidRPr="00BF52F4">
              <w:t>Important identified risks</w:t>
            </w:r>
          </w:p>
        </w:tc>
        <w:tc>
          <w:tcPr>
            <w:tcW w:w="2127" w:type="dxa"/>
          </w:tcPr>
          <w:p w14:paraId="21E482FA" w14:textId="77777777" w:rsidR="00050AF8" w:rsidRPr="00BF52F4" w:rsidRDefault="00050AF8" w:rsidP="00AF5D56">
            <w:pPr>
              <w:cnfStyle w:val="000000000000" w:firstRow="0" w:lastRow="0" w:firstColumn="0" w:lastColumn="0" w:oddVBand="0" w:evenVBand="0" w:oddHBand="0" w:evenHBand="0" w:firstRowFirstColumn="0" w:firstRowLastColumn="0" w:lastRowFirstColumn="0" w:lastRowLastColumn="0"/>
            </w:pPr>
            <w:r>
              <w:t>Myelosuppression</w:t>
            </w:r>
          </w:p>
        </w:tc>
        <w:tc>
          <w:tcPr>
            <w:tcW w:w="1275" w:type="dxa"/>
          </w:tcPr>
          <w:p w14:paraId="56817335" w14:textId="77777777" w:rsidR="00050AF8" w:rsidRPr="00BF52F4" w:rsidRDefault="00050AF8" w:rsidP="00AF5D56">
            <w:pPr>
              <w:cnfStyle w:val="000000000000" w:firstRow="0" w:lastRow="0" w:firstColumn="0" w:lastColumn="0" w:oddVBand="0" w:evenVBand="0" w:oddHBand="0" w:evenHBand="0" w:firstRowFirstColumn="0" w:firstRowLastColumn="0" w:lastRowFirstColumn="0" w:lastRowLastColumn="0"/>
              <w:rPr>
                <w:color w:val="00B050"/>
              </w:rPr>
            </w:pPr>
            <w:r w:rsidRPr="00A52DAE">
              <w:sym w:font="Wingdings" w:char="F0FC"/>
            </w:r>
          </w:p>
        </w:tc>
        <w:tc>
          <w:tcPr>
            <w:tcW w:w="1418" w:type="dxa"/>
          </w:tcPr>
          <w:p w14:paraId="3F2D8F8C"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t>–</w:t>
            </w:r>
          </w:p>
        </w:tc>
        <w:tc>
          <w:tcPr>
            <w:tcW w:w="1134" w:type="dxa"/>
          </w:tcPr>
          <w:p w14:paraId="51E8B8C9"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sym w:font="Wingdings" w:char="F0FC"/>
            </w:r>
          </w:p>
        </w:tc>
        <w:tc>
          <w:tcPr>
            <w:tcW w:w="1469" w:type="dxa"/>
          </w:tcPr>
          <w:p w14:paraId="6805E96F"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t>-</w:t>
            </w:r>
          </w:p>
        </w:tc>
      </w:tr>
      <w:tr w:rsidR="00050AF8" w:rsidRPr="00BF52F4" w14:paraId="396F2C79" w14:textId="77777777" w:rsidTr="00AF5D56">
        <w:trPr>
          <w:trHeight w:val="249"/>
        </w:trPr>
        <w:tc>
          <w:tcPr>
            <w:cnfStyle w:val="001000000000" w:firstRow="0" w:lastRow="0" w:firstColumn="1" w:lastColumn="0" w:oddVBand="0" w:evenVBand="0" w:oddHBand="0" w:evenHBand="0" w:firstRowFirstColumn="0" w:firstRowLastColumn="0" w:lastRowFirstColumn="0" w:lastRowLastColumn="0"/>
            <w:tcW w:w="1696" w:type="dxa"/>
            <w:vMerge/>
          </w:tcPr>
          <w:p w14:paraId="37F3A1BF" w14:textId="77777777" w:rsidR="00050AF8" w:rsidRPr="00BF52F4" w:rsidRDefault="00050AF8" w:rsidP="00AF5D56"/>
        </w:tc>
        <w:tc>
          <w:tcPr>
            <w:tcW w:w="2127" w:type="dxa"/>
          </w:tcPr>
          <w:p w14:paraId="1890F268" w14:textId="77777777" w:rsidR="00050AF8" w:rsidRPr="00BF52F4" w:rsidRDefault="00050AF8" w:rsidP="00AF5D56">
            <w:pPr>
              <w:cnfStyle w:val="000000000000" w:firstRow="0" w:lastRow="0" w:firstColumn="0" w:lastColumn="0" w:oddVBand="0" w:evenVBand="0" w:oddHBand="0" w:evenHBand="0" w:firstRowFirstColumn="0" w:firstRowLastColumn="0" w:lastRowFirstColumn="0" w:lastRowLastColumn="0"/>
            </w:pPr>
            <w:r>
              <w:t>Renal toxicity</w:t>
            </w:r>
          </w:p>
        </w:tc>
        <w:tc>
          <w:tcPr>
            <w:tcW w:w="1275" w:type="dxa"/>
          </w:tcPr>
          <w:p w14:paraId="0BB04757" w14:textId="77777777" w:rsidR="00050AF8" w:rsidRPr="00BF52F4" w:rsidRDefault="00050AF8" w:rsidP="00AF5D56">
            <w:pPr>
              <w:cnfStyle w:val="000000000000" w:firstRow="0" w:lastRow="0" w:firstColumn="0" w:lastColumn="0" w:oddVBand="0" w:evenVBand="0" w:oddHBand="0" w:evenHBand="0" w:firstRowFirstColumn="0" w:firstRowLastColumn="0" w:lastRowFirstColumn="0" w:lastRowLastColumn="0"/>
              <w:rPr>
                <w:color w:val="00B050"/>
              </w:rPr>
            </w:pPr>
            <w:r w:rsidRPr="00A52DAE">
              <w:sym w:font="Wingdings" w:char="F0FC"/>
            </w:r>
          </w:p>
        </w:tc>
        <w:tc>
          <w:tcPr>
            <w:tcW w:w="1418" w:type="dxa"/>
          </w:tcPr>
          <w:p w14:paraId="04AD99FE"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sym w:font="Wingdings" w:char="F0FC"/>
            </w:r>
            <w:r w:rsidRPr="00A52DAE">
              <w:rPr>
                <w:vertAlign w:val="superscript"/>
              </w:rPr>
              <w:t>†</w:t>
            </w:r>
          </w:p>
        </w:tc>
        <w:tc>
          <w:tcPr>
            <w:tcW w:w="1134" w:type="dxa"/>
          </w:tcPr>
          <w:p w14:paraId="12F96065"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sym w:font="Wingdings" w:char="F0FC"/>
            </w:r>
          </w:p>
        </w:tc>
        <w:tc>
          <w:tcPr>
            <w:tcW w:w="1469" w:type="dxa"/>
          </w:tcPr>
          <w:p w14:paraId="03F3C23C"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t>–</w:t>
            </w:r>
          </w:p>
        </w:tc>
      </w:tr>
      <w:tr w:rsidR="00050AF8" w:rsidRPr="00BF52F4" w14:paraId="6F04FA49" w14:textId="77777777" w:rsidTr="00AF5D56">
        <w:trPr>
          <w:trHeight w:val="150"/>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7909EC07" w14:textId="77777777" w:rsidR="00050AF8" w:rsidRPr="00BF52F4" w:rsidRDefault="00050AF8" w:rsidP="00AF5D56">
            <w:r w:rsidRPr="00BF52F4">
              <w:t>Important potential risks</w:t>
            </w:r>
          </w:p>
        </w:tc>
        <w:tc>
          <w:tcPr>
            <w:tcW w:w="2127" w:type="dxa"/>
          </w:tcPr>
          <w:p w14:paraId="0CB0D317" w14:textId="77777777" w:rsidR="00050AF8" w:rsidRPr="00BF52F4" w:rsidRDefault="00050AF8" w:rsidP="00AF5D56">
            <w:pPr>
              <w:cnfStyle w:val="000000000000" w:firstRow="0" w:lastRow="0" w:firstColumn="0" w:lastColumn="0" w:oddVBand="0" w:evenVBand="0" w:oddHBand="0" w:evenHBand="0" w:firstRowFirstColumn="0" w:firstRowLastColumn="0" w:lastRowFirstColumn="0" w:lastRowLastColumn="0"/>
            </w:pPr>
            <w:r>
              <w:t xml:space="preserve">Intracranial </w:t>
            </w:r>
            <w:proofErr w:type="spellStart"/>
            <w:r>
              <w:t>hemorrhage</w:t>
            </w:r>
            <w:proofErr w:type="spellEnd"/>
          </w:p>
        </w:tc>
        <w:tc>
          <w:tcPr>
            <w:tcW w:w="1275" w:type="dxa"/>
          </w:tcPr>
          <w:p w14:paraId="769EC749"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sym w:font="Wingdings" w:char="F0FC"/>
            </w:r>
            <w:r w:rsidRPr="00A52DAE">
              <w:rPr>
                <w:vertAlign w:val="superscript"/>
              </w:rPr>
              <w:t>*</w:t>
            </w:r>
          </w:p>
        </w:tc>
        <w:tc>
          <w:tcPr>
            <w:tcW w:w="1418" w:type="dxa"/>
          </w:tcPr>
          <w:p w14:paraId="4450229F"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t>–</w:t>
            </w:r>
          </w:p>
        </w:tc>
        <w:tc>
          <w:tcPr>
            <w:tcW w:w="1134" w:type="dxa"/>
          </w:tcPr>
          <w:p w14:paraId="514D0534"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t>-</w:t>
            </w:r>
          </w:p>
        </w:tc>
        <w:tc>
          <w:tcPr>
            <w:tcW w:w="1469" w:type="dxa"/>
          </w:tcPr>
          <w:p w14:paraId="12CD74C2"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t>–</w:t>
            </w:r>
          </w:p>
        </w:tc>
      </w:tr>
      <w:tr w:rsidR="00050AF8" w:rsidRPr="00BF52F4" w14:paraId="612C356B" w14:textId="77777777" w:rsidTr="00AF5D56">
        <w:trPr>
          <w:trHeight w:val="115"/>
        </w:trPr>
        <w:tc>
          <w:tcPr>
            <w:cnfStyle w:val="001000000000" w:firstRow="0" w:lastRow="0" w:firstColumn="1" w:lastColumn="0" w:oddVBand="0" w:evenVBand="0" w:oddHBand="0" w:evenHBand="0" w:firstRowFirstColumn="0" w:firstRowLastColumn="0" w:lastRowFirstColumn="0" w:lastRowLastColumn="0"/>
            <w:tcW w:w="1696" w:type="dxa"/>
            <w:vMerge/>
          </w:tcPr>
          <w:p w14:paraId="2D02AB1F" w14:textId="77777777" w:rsidR="00050AF8" w:rsidRPr="00BF52F4" w:rsidRDefault="00050AF8" w:rsidP="00AF5D56"/>
        </w:tc>
        <w:tc>
          <w:tcPr>
            <w:tcW w:w="2127" w:type="dxa"/>
          </w:tcPr>
          <w:p w14:paraId="5A6B8D9D" w14:textId="77777777" w:rsidR="00050AF8" w:rsidRPr="00BF52F4" w:rsidRDefault="00050AF8" w:rsidP="00AF5D56">
            <w:pPr>
              <w:cnfStyle w:val="000000000000" w:firstRow="0" w:lastRow="0" w:firstColumn="0" w:lastColumn="0" w:oddVBand="0" w:evenVBand="0" w:oddHBand="0" w:evenHBand="0" w:firstRowFirstColumn="0" w:firstRowLastColumn="0" w:lastRowFirstColumn="0" w:lastRowLastColumn="0"/>
            </w:pPr>
            <w:r>
              <w:t>Inadvertent radiation exposure</w:t>
            </w:r>
          </w:p>
        </w:tc>
        <w:tc>
          <w:tcPr>
            <w:tcW w:w="1275" w:type="dxa"/>
          </w:tcPr>
          <w:p w14:paraId="6B24B991"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sym w:font="Wingdings" w:char="F0FC"/>
            </w:r>
          </w:p>
        </w:tc>
        <w:tc>
          <w:tcPr>
            <w:tcW w:w="1418" w:type="dxa"/>
          </w:tcPr>
          <w:p w14:paraId="7AEFE157"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t>-</w:t>
            </w:r>
          </w:p>
        </w:tc>
        <w:tc>
          <w:tcPr>
            <w:tcW w:w="1134" w:type="dxa"/>
          </w:tcPr>
          <w:p w14:paraId="5FA4B593"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sym w:font="Wingdings" w:char="F0FC"/>
            </w:r>
          </w:p>
        </w:tc>
        <w:tc>
          <w:tcPr>
            <w:tcW w:w="1469" w:type="dxa"/>
          </w:tcPr>
          <w:p w14:paraId="4CD6A2B1"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t>–</w:t>
            </w:r>
          </w:p>
        </w:tc>
      </w:tr>
      <w:tr w:rsidR="00050AF8" w:rsidRPr="00BF52F4" w14:paraId="62E82EF1" w14:textId="77777777" w:rsidTr="00AF5D56">
        <w:trPr>
          <w:trHeight w:val="106"/>
        </w:trPr>
        <w:tc>
          <w:tcPr>
            <w:cnfStyle w:val="001000000000" w:firstRow="0" w:lastRow="0" w:firstColumn="1" w:lastColumn="0" w:oddVBand="0" w:evenVBand="0" w:oddHBand="0" w:evenHBand="0" w:firstRowFirstColumn="0" w:firstRowLastColumn="0" w:lastRowFirstColumn="0" w:lastRowLastColumn="0"/>
            <w:tcW w:w="1696" w:type="dxa"/>
            <w:vMerge/>
          </w:tcPr>
          <w:p w14:paraId="780A30E5" w14:textId="77777777" w:rsidR="00050AF8" w:rsidRPr="00BF52F4" w:rsidRDefault="00050AF8" w:rsidP="00AF5D56"/>
        </w:tc>
        <w:tc>
          <w:tcPr>
            <w:tcW w:w="2127" w:type="dxa"/>
          </w:tcPr>
          <w:p w14:paraId="3A02B807" w14:textId="77777777" w:rsidR="00050AF8" w:rsidRPr="00BF52F4" w:rsidRDefault="00050AF8" w:rsidP="00AF5D56">
            <w:pPr>
              <w:cnfStyle w:val="000000000000" w:firstRow="0" w:lastRow="0" w:firstColumn="0" w:lastColumn="0" w:oddVBand="0" w:evenVBand="0" w:oddHBand="0" w:evenHBand="0" w:firstRowFirstColumn="0" w:firstRowLastColumn="0" w:lastRowFirstColumn="0" w:lastRowLastColumn="0"/>
            </w:pPr>
            <w:r>
              <w:t>Second primary malignancies</w:t>
            </w:r>
          </w:p>
        </w:tc>
        <w:tc>
          <w:tcPr>
            <w:tcW w:w="1275" w:type="dxa"/>
          </w:tcPr>
          <w:p w14:paraId="155AC1AF"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sym w:font="Wingdings" w:char="F0FC"/>
            </w:r>
          </w:p>
        </w:tc>
        <w:tc>
          <w:tcPr>
            <w:tcW w:w="1418" w:type="dxa"/>
          </w:tcPr>
          <w:p w14:paraId="55C50195"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sym w:font="Wingdings" w:char="F0FC"/>
            </w:r>
            <w:r w:rsidRPr="00A52DAE">
              <w:rPr>
                <w:vertAlign w:val="superscript"/>
              </w:rPr>
              <w:t>†</w:t>
            </w:r>
          </w:p>
        </w:tc>
        <w:tc>
          <w:tcPr>
            <w:tcW w:w="1134" w:type="dxa"/>
          </w:tcPr>
          <w:p w14:paraId="01DA9503"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t>-</w:t>
            </w:r>
          </w:p>
        </w:tc>
        <w:tc>
          <w:tcPr>
            <w:tcW w:w="1469" w:type="dxa"/>
          </w:tcPr>
          <w:p w14:paraId="39934C70"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t>–</w:t>
            </w:r>
          </w:p>
        </w:tc>
      </w:tr>
      <w:tr w:rsidR="00050AF8" w:rsidRPr="00BF52F4" w14:paraId="1B2B0DD4" w14:textId="77777777" w:rsidTr="00AF5D56">
        <w:trPr>
          <w:trHeight w:val="444"/>
        </w:trPr>
        <w:tc>
          <w:tcPr>
            <w:cnfStyle w:val="001000000000" w:firstRow="0" w:lastRow="0" w:firstColumn="1" w:lastColumn="0" w:oddVBand="0" w:evenVBand="0" w:oddHBand="0" w:evenHBand="0" w:firstRowFirstColumn="0" w:firstRowLastColumn="0" w:lastRowFirstColumn="0" w:lastRowLastColumn="0"/>
            <w:tcW w:w="1696" w:type="dxa"/>
          </w:tcPr>
          <w:p w14:paraId="005DC49F" w14:textId="77777777" w:rsidR="00050AF8" w:rsidRPr="00BF52F4" w:rsidRDefault="00050AF8" w:rsidP="00AF5D56">
            <w:r w:rsidRPr="00BF52F4">
              <w:t>Missing information</w:t>
            </w:r>
          </w:p>
        </w:tc>
        <w:tc>
          <w:tcPr>
            <w:tcW w:w="2127" w:type="dxa"/>
          </w:tcPr>
          <w:p w14:paraId="284CBEE9" w14:textId="77777777" w:rsidR="00050AF8" w:rsidRPr="00BF52F4" w:rsidRDefault="00050AF8" w:rsidP="00AF5D56">
            <w:pPr>
              <w:cnfStyle w:val="000000000000" w:firstRow="0" w:lastRow="0" w:firstColumn="0" w:lastColumn="0" w:oddVBand="0" w:evenVBand="0" w:oddHBand="0" w:evenHBand="0" w:firstRowFirstColumn="0" w:firstRowLastColumn="0" w:lastRowFirstColumn="0" w:lastRowLastColumn="0"/>
            </w:pPr>
            <w:r>
              <w:t>Patients with severe renal impairment</w:t>
            </w:r>
          </w:p>
        </w:tc>
        <w:tc>
          <w:tcPr>
            <w:tcW w:w="1275" w:type="dxa"/>
          </w:tcPr>
          <w:p w14:paraId="2344BE80"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sym w:font="Wingdings" w:char="F0FC"/>
            </w:r>
          </w:p>
        </w:tc>
        <w:tc>
          <w:tcPr>
            <w:tcW w:w="1418" w:type="dxa"/>
          </w:tcPr>
          <w:p w14:paraId="1F4CEBCD"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t>–</w:t>
            </w:r>
          </w:p>
        </w:tc>
        <w:tc>
          <w:tcPr>
            <w:tcW w:w="1134" w:type="dxa"/>
          </w:tcPr>
          <w:p w14:paraId="64FECCE5"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sym w:font="Wingdings" w:char="F0FC"/>
            </w:r>
          </w:p>
        </w:tc>
        <w:tc>
          <w:tcPr>
            <w:tcW w:w="1469" w:type="dxa"/>
          </w:tcPr>
          <w:p w14:paraId="1E075A97" w14:textId="77777777" w:rsidR="00050AF8" w:rsidRPr="00A52DAE" w:rsidRDefault="00050AF8" w:rsidP="00AF5D56">
            <w:pPr>
              <w:cnfStyle w:val="000000000000" w:firstRow="0" w:lastRow="0" w:firstColumn="0" w:lastColumn="0" w:oddVBand="0" w:evenVBand="0" w:oddHBand="0" w:evenHBand="0" w:firstRowFirstColumn="0" w:firstRowLastColumn="0" w:lastRowFirstColumn="0" w:lastRowLastColumn="0"/>
            </w:pPr>
            <w:r w:rsidRPr="00A52DAE">
              <w:t>–</w:t>
            </w:r>
          </w:p>
        </w:tc>
      </w:tr>
    </w:tbl>
    <w:p w14:paraId="5DBE2F9E" w14:textId="561B2B31" w:rsidR="00050AF8" w:rsidRPr="00510C4F" w:rsidRDefault="00050AF8" w:rsidP="00AF5D56">
      <w:pPr>
        <w:pStyle w:val="TableDescription"/>
        <w:rPr>
          <w:sz w:val="22"/>
          <w:szCs w:val="22"/>
        </w:rPr>
      </w:pPr>
      <w:r>
        <w:t>*</w:t>
      </w:r>
      <w:r>
        <w:tab/>
      </w:r>
      <w:r w:rsidRPr="00510C4F">
        <w:t>Targeted follow – up.</w:t>
      </w:r>
    </w:p>
    <w:p w14:paraId="6435A3AD" w14:textId="77777777" w:rsidR="00050AF8" w:rsidRPr="00FF5486" w:rsidRDefault="00050AF8" w:rsidP="00AF5D56">
      <w:pPr>
        <w:pStyle w:val="TableDescription"/>
      </w:pPr>
      <w:r w:rsidRPr="00510C4F">
        <w:t xml:space="preserve">† </w:t>
      </w:r>
      <w:r w:rsidRPr="00510C4F">
        <w:tab/>
      </w:r>
      <w:proofErr w:type="spellStart"/>
      <w:r w:rsidRPr="00AF5D56">
        <w:t>PSMA</w:t>
      </w:r>
      <w:proofErr w:type="spellEnd"/>
      <w:r w:rsidRPr="00510C4F">
        <w:t>-617-01 (VISION) study</w:t>
      </w:r>
    </w:p>
    <w:p w14:paraId="2A0ABE8D" w14:textId="20159D24" w:rsidR="00A8544C" w:rsidRPr="004C167D" w:rsidRDefault="00A8544C" w:rsidP="0060240F">
      <w:r w:rsidRPr="0060240F">
        <w:t>The summary of safety concerns in the ASA aligns with the EU-RMP and is acceptable from an RMP perspective.</w:t>
      </w:r>
    </w:p>
    <w:p w14:paraId="793CFC30" w14:textId="3A41DAC1" w:rsidR="00A8544C" w:rsidRPr="004C167D" w:rsidRDefault="0017014E" w:rsidP="0060240F">
      <w:r w:rsidRPr="004C167D">
        <w:t>T</w:t>
      </w:r>
      <w:r w:rsidR="00A8544C" w:rsidRPr="004C167D">
        <w:t xml:space="preserve">he sponsor has proposed routine pharmacovigilance activities for all safety concerns, which includes a general checklist for cerebral haemorrhage as specific adverse drug reactions follow </w:t>
      </w:r>
      <w:r w:rsidR="00A8544C" w:rsidRPr="004C167D">
        <w:lastRenderedPageBreak/>
        <w:t>up form, for the important potential risk of intracranial haemorrhage. Additional pharmacovigilance activity has been proposed in the form of an extended 12-month long-term follow-up study to assess the survival and new treatment information, adverse events assessment for renal toxicity and secondary malignancies.</w:t>
      </w:r>
      <w:r w:rsidR="007314C5">
        <w:t xml:space="preserve"> T</w:t>
      </w:r>
      <w:r w:rsidR="00A8544C" w:rsidRPr="004C167D">
        <w:t>he sponsor has committed to provide the outcomes of the completed study to the TGA for review when available.</w:t>
      </w:r>
    </w:p>
    <w:p w14:paraId="16E5DFAA" w14:textId="73E8A77D" w:rsidR="00032A0F" w:rsidRPr="0060240F" w:rsidRDefault="00032A0F" w:rsidP="003B149C">
      <w:r>
        <w:t xml:space="preserve">The RMP evaluation recommended conditions of registration relating to the versions of the risk management plan, requirement for periodic safety update reports, and inclusion of the medicine in the Black Triangle </w:t>
      </w:r>
      <w:r w:rsidRPr="0060240F">
        <w:t>Scheme.</w:t>
      </w:r>
    </w:p>
    <w:p w14:paraId="74A4F87F" w14:textId="77777777" w:rsidR="00C22214" w:rsidRDefault="00C22214" w:rsidP="00C22214">
      <w:pPr>
        <w:pStyle w:val="Heading3"/>
      </w:pPr>
      <w:bookmarkStart w:id="61" w:name="_Toc103679299"/>
      <w:bookmarkStart w:id="62" w:name="_Toc213751013"/>
      <w:r>
        <w:t>Risk-benefit analysis</w:t>
      </w:r>
      <w:bookmarkEnd w:id="58"/>
      <w:bookmarkEnd w:id="59"/>
      <w:bookmarkEnd w:id="61"/>
      <w:bookmarkEnd w:id="62"/>
    </w:p>
    <w:p w14:paraId="77DE2655" w14:textId="77777777" w:rsidR="00C22214" w:rsidRDefault="00C22214" w:rsidP="00C22214">
      <w:pPr>
        <w:pStyle w:val="Heading4"/>
      </w:pPr>
      <w:bookmarkStart w:id="63" w:name="_Toc98931932"/>
      <w:bookmarkStart w:id="64" w:name="_Toc213751014"/>
      <w:r>
        <w:t>Delegate’s considerations</w:t>
      </w:r>
      <w:bookmarkEnd w:id="63"/>
      <w:bookmarkEnd w:id="64"/>
    </w:p>
    <w:p w14:paraId="553F0513" w14:textId="77777777" w:rsidR="009A6CF7" w:rsidRPr="009A6CF7" w:rsidRDefault="009A6CF7" w:rsidP="009A6CF7">
      <w:r w:rsidRPr="009A6CF7">
        <w:t xml:space="preserve">Few therapeutic options exist for patients with </w:t>
      </w:r>
      <w:proofErr w:type="spellStart"/>
      <w:r w:rsidRPr="009A6CF7">
        <w:t>mCRPC</w:t>
      </w:r>
      <w:proofErr w:type="spellEnd"/>
      <w:r w:rsidRPr="009A6CF7">
        <w:t xml:space="preserve"> who have previously received a novel androgen receptor inhibitor and </w:t>
      </w:r>
      <w:proofErr w:type="spellStart"/>
      <w:r w:rsidRPr="009A6CF7">
        <w:t>taxane</w:t>
      </w:r>
      <w:proofErr w:type="spellEnd"/>
      <w:r w:rsidRPr="009A6CF7">
        <w:t>-based chemotherapy; there remains an unmet medical need for effective new treatment options in this setting.</w:t>
      </w:r>
    </w:p>
    <w:p w14:paraId="6DB27C8C" w14:textId="01A25654" w:rsidR="009A6CF7" w:rsidRPr="00B67AB8" w:rsidRDefault="009A6CF7" w:rsidP="00B67AB8">
      <w:r w:rsidRPr="00B67AB8">
        <w:t>Lutetium (</w:t>
      </w:r>
      <w:r w:rsidRPr="00B67AB8">
        <w:rPr>
          <w:vertAlign w:val="superscript"/>
        </w:rPr>
        <w:t>177</w:t>
      </w:r>
      <w:r w:rsidRPr="00B67AB8">
        <w:t>Lu) vipivotide tetraxetan (</w:t>
      </w:r>
      <w:r w:rsidRPr="00B67AB8">
        <w:rPr>
          <w:vertAlign w:val="superscript"/>
        </w:rPr>
        <w:t>177</w:t>
      </w:r>
      <w:r w:rsidRPr="00B67AB8">
        <w:t xml:space="preserve">Lu-PSMA-617) is a prostate-specific membrane antigen (PSMA) inhibitor which has been used experimentally for several years for the treatment of patients with </w:t>
      </w:r>
      <w:proofErr w:type="spellStart"/>
      <w:r w:rsidRPr="00B67AB8">
        <w:t>mCRPC</w:t>
      </w:r>
      <w:proofErr w:type="spellEnd"/>
      <w:r w:rsidRPr="00B67AB8">
        <w:t xml:space="preserve">; consequently, published data on efficacy and safety of </w:t>
      </w:r>
      <w:r w:rsidRPr="00B67AB8">
        <w:rPr>
          <w:vertAlign w:val="superscript"/>
        </w:rPr>
        <w:t>177</w:t>
      </w:r>
      <w:r w:rsidRPr="00B67AB8">
        <w:t>Lu</w:t>
      </w:r>
      <w:r w:rsidR="00F139B5">
        <w:noBreakHyphen/>
      </w:r>
      <w:r w:rsidRPr="00B67AB8">
        <w:t xml:space="preserve">PSMA-617 in patients with </w:t>
      </w:r>
      <w:proofErr w:type="spellStart"/>
      <w:r w:rsidRPr="00B67AB8">
        <w:t>mCRPC</w:t>
      </w:r>
      <w:proofErr w:type="spellEnd"/>
      <w:r w:rsidRPr="00B67AB8">
        <w:t xml:space="preserve"> is available from many centres.</w:t>
      </w:r>
    </w:p>
    <w:p w14:paraId="09123F0C" w14:textId="2A207BBE" w:rsidR="009A6CF7" w:rsidRPr="00831F30" w:rsidRDefault="009A6CF7" w:rsidP="00F139B5">
      <w:pPr>
        <w:pStyle w:val="Heading5"/>
      </w:pPr>
      <w:r w:rsidRPr="00831F30">
        <w:t>Benefits</w:t>
      </w:r>
    </w:p>
    <w:p w14:paraId="1C09672F" w14:textId="74C78955" w:rsidR="009A6CF7" w:rsidRPr="00F139B5" w:rsidRDefault="009A6CF7" w:rsidP="0060240F">
      <w:r w:rsidRPr="00F139B5">
        <w:t xml:space="preserve">The pivotal data for efficacy come from Study PSMA-617-01 (VISION). This was a prospective, open-label, multicentre, randomised Phase III study of </w:t>
      </w:r>
      <w:r w:rsidRPr="003F1DB3">
        <w:rPr>
          <w:vertAlign w:val="superscript"/>
        </w:rPr>
        <w:t>177</w:t>
      </w:r>
      <w:r w:rsidRPr="00F139B5">
        <w:t xml:space="preserve">Lu-PSMA-617 in patients with progressive </w:t>
      </w:r>
      <w:proofErr w:type="spellStart"/>
      <w:r w:rsidRPr="00F139B5">
        <w:t>PSMA</w:t>
      </w:r>
      <w:proofErr w:type="spellEnd"/>
      <w:r w:rsidRPr="00F139B5">
        <w:t xml:space="preserve">-positive </w:t>
      </w:r>
      <w:proofErr w:type="spellStart"/>
      <w:r w:rsidRPr="00F139B5">
        <w:t>mCRPC</w:t>
      </w:r>
      <w:proofErr w:type="spellEnd"/>
      <w:r w:rsidRPr="00F139B5">
        <w:t xml:space="preserve"> who had previously received </w:t>
      </w:r>
      <w:proofErr w:type="spellStart"/>
      <w:r w:rsidRPr="00F139B5">
        <w:t>taxane</w:t>
      </w:r>
      <w:proofErr w:type="spellEnd"/>
      <w:r w:rsidRPr="00F139B5">
        <w:t xml:space="preserve">-based chemotherapy regimens and at least </w:t>
      </w:r>
      <w:r w:rsidR="003F1DB3">
        <w:t>one</w:t>
      </w:r>
      <w:r w:rsidRPr="00F139B5">
        <w:t xml:space="preserve"> androgen receptor pathway inhibitor, and who had a 68Ga-PSMA-11 PET/CT scan that determined eligibility for inclusion. Patients were randomi</w:t>
      </w:r>
      <w:r w:rsidR="00AD0A92">
        <w:t>s</w:t>
      </w:r>
      <w:r w:rsidRPr="00F139B5">
        <w:t>ed 2:1 to receive either 7.4</w:t>
      </w:r>
      <w:r w:rsidR="003F1DB3">
        <w:t> </w:t>
      </w:r>
      <w:proofErr w:type="spellStart"/>
      <w:r w:rsidRPr="00F139B5">
        <w:t>GBq</w:t>
      </w:r>
      <w:proofErr w:type="spellEnd"/>
      <w:r w:rsidRPr="00F139B5">
        <w:t xml:space="preserve"> (± 10%) </w:t>
      </w:r>
      <w:r w:rsidRPr="003F1DB3">
        <w:rPr>
          <w:vertAlign w:val="superscript"/>
        </w:rPr>
        <w:t>177</w:t>
      </w:r>
      <w:r w:rsidRPr="00F139B5">
        <w:t>Lu-PSMA-617 plus BSC/</w:t>
      </w:r>
      <w:proofErr w:type="spellStart"/>
      <w:r w:rsidRPr="00F139B5">
        <w:t>BSoC</w:t>
      </w:r>
      <w:proofErr w:type="spellEnd"/>
      <w:r w:rsidRPr="00F139B5">
        <w:t xml:space="preserve"> or to receive BSC/</w:t>
      </w:r>
      <w:proofErr w:type="spellStart"/>
      <w:r w:rsidRPr="00F139B5">
        <w:t>BSoC</w:t>
      </w:r>
      <w:proofErr w:type="spellEnd"/>
      <w:r w:rsidRPr="00F139B5">
        <w:t xml:space="preserve"> only.</w:t>
      </w:r>
    </w:p>
    <w:p w14:paraId="2FC835EA" w14:textId="1EB94678" w:rsidR="009A6CF7" w:rsidRPr="003F1DB3" w:rsidRDefault="009A6CF7" w:rsidP="003F1DB3">
      <w:r w:rsidRPr="003F1DB3">
        <w:t>At final analysis (</w:t>
      </w:r>
      <w:r w:rsidR="00FC5A11">
        <w:t>data cut-off</w:t>
      </w:r>
      <w:r w:rsidRPr="003F1DB3">
        <w:t xml:space="preserve"> 27</w:t>
      </w:r>
      <w:r w:rsidR="00FC5A11">
        <w:t> </w:t>
      </w:r>
      <w:r w:rsidRPr="003F1DB3">
        <w:t>Jan</w:t>
      </w:r>
      <w:r w:rsidR="00FC5A11">
        <w:t>uary </w:t>
      </w:r>
      <w:r w:rsidRPr="003F1DB3">
        <w:t xml:space="preserve">2021), with a median follow-up time for OS of approximately 20 months, both alternate primary efficacy objectives in the VISION study of </w:t>
      </w:r>
      <w:proofErr w:type="spellStart"/>
      <w:r w:rsidRPr="003F1DB3">
        <w:t>rPFS</w:t>
      </w:r>
      <w:proofErr w:type="spellEnd"/>
      <w:r w:rsidRPr="003F1DB3">
        <w:t xml:space="preserve"> and OS were met.</w:t>
      </w:r>
    </w:p>
    <w:p w14:paraId="2EC9228F" w14:textId="2E8A6C6B" w:rsidR="009A6CF7" w:rsidRPr="009635C0" w:rsidRDefault="009A6CF7" w:rsidP="009635C0">
      <w:r w:rsidRPr="009635C0">
        <w:t xml:space="preserve">Treatment with </w:t>
      </w:r>
      <w:r w:rsidRPr="009635C0">
        <w:rPr>
          <w:vertAlign w:val="superscript"/>
        </w:rPr>
        <w:t>177</w:t>
      </w:r>
      <w:r w:rsidRPr="009635C0">
        <w:t xml:space="preserve">Lu-PSMA-617 showed an improvement in both primary endpoints of </w:t>
      </w:r>
      <w:proofErr w:type="spellStart"/>
      <w:r w:rsidRPr="009635C0">
        <w:t>rPFS</w:t>
      </w:r>
      <w:proofErr w:type="spellEnd"/>
      <w:r w:rsidRPr="009635C0">
        <w:t xml:space="preserve"> by </w:t>
      </w:r>
      <w:r w:rsidR="008F1F49">
        <w:t>b</w:t>
      </w:r>
      <w:r w:rsidR="008F1F49" w:rsidRPr="008F1F49">
        <w:t xml:space="preserve">linded </w:t>
      </w:r>
      <w:r w:rsidR="008F1F49">
        <w:t>i</w:t>
      </w:r>
      <w:r w:rsidR="008F1F49" w:rsidRPr="008F1F49">
        <w:t xml:space="preserve">ndependent </w:t>
      </w:r>
      <w:r w:rsidR="008F1F49">
        <w:t>c</w:t>
      </w:r>
      <w:r w:rsidR="008F1F49" w:rsidRPr="008F1F49">
        <w:t xml:space="preserve">entral </w:t>
      </w:r>
      <w:r w:rsidR="008F1F49">
        <w:t>r</w:t>
      </w:r>
      <w:r w:rsidR="008F1F49" w:rsidRPr="008F1F49">
        <w:t>eview</w:t>
      </w:r>
      <w:r w:rsidRPr="009635C0">
        <w:t xml:space="preserve"> and OS compared with treatment with BSC/</w:t>
      </w:r>
      <w:proofErr w:type="spellStart"/>
      <w:r w:rsidRPr="009635C0">
        <w:t>BSoC</w:t>
      </w:r>
      <w:proofErr w:type="spellEnd"/>
      <w:r w:rsidRPr="009635C0">
        <w:t>, of which the OS benefit is considered clinically relevant.</w:t>
      </w:r>
    </w:p>
    <w:p w14:paraId="20F2E4D0" w14:textId="06746A0B" w:rsidR="009A6CF7" w:rsidRPr="00895800" w:rsidRDefault="00381486" w:rsidP="00895800">
      <w:pPr>
        <w:pStyle w:val="ListBullet"/>
      </w:pPr>
      <w:proofErr w:type="spellStart"/>
      <w:r>
        <w:t>r</w:t>
      </w:r>
      <w:r w:rsidR="009A6CF7" w:rsidRPr="00895800">
        <w:t>PFS</w:t>
      </w:r>
      <w:proofErr w:type="spellEnd"/>
      <w:r w:rsidR="009A6CF7" w:rsidRPr="00895800">
        <w:t xml:space="preserve">: treatment with </w:t>
      </w:r>
      <w:r w:rsidR="009A6CF7" w:rsidRPr="00895800">
        <w:rPr>
          <w:vertAlign w:val="superscript"/>
        </w:rPr>
        <w:t>177</w:t>
      </w:r>
      <w:r w:rsidR="009A6CF7" w:rsidRPr="00895800">
        <w:t xml:space="preserve">Lu-PSMA-617 showed a statistically significant improvement in </w:t>
      </w:r>
      <w:proofErr w:type="spellStart"/>
      <w:r w:rsidR="009A6CF7" w:rsidRPr="00895800">
        <w:t>rPFS</w:t>
      </w:r>
      <w:proofErr w:type="spellEnd"/>
      <w:r w:rsidR="009A6CF7" w:rsidRPr="00895800">
        <w:t xml:space="preserve"> compared with BSC/</w:t>
      </w:r>
      <w:proofErr w:type="spellStart"/>
      <w:r w:rsidR="009A6CF7" w:rsidRPr="00895800">
        <w:t>BSoC</w:t>
      </w:r>
      <w:proofErr w:type="spellEnd"/>
      <w:r w:rsidR="009A6CF7" w:rsidRPr="00895800">
        <w:t xml:space="preserve">: HR = 0.40 (99.2% CI: 0.29, 0.57); p &lt; 0.001; median </w:t>
      </w:r>
      <w:proofErr w:type="spellStart"/>
      <w:r w:rsidR="009A6CF7" w:rsidRPr="00895800">
        <w:t>rPFS</w:t>
      </w:r>
      <w:proofErr w:type="spellEnd"/>
      <w:r w:rsidR="009A6CF7" w:rsidRPr="00895800">
        <w:t xml:space="preserve"> 8.</w:t>
      </w:r>
      <w:r w:rsidR="00895800">
        <w:t>7 </w:t>
      </w:r>
      <w:r w:rsidR="009A6CF7" w:rsidRPr="00895800">
        <w:t>months (95% CI: 7.9; 10.8) v</w:t>
      </w:r>
      <w:r w:rsidR="00895800">
        <w:t>ersus</w:t>
      </w:r>
      <w:r w:rsidR="009A6CF7" w:rsidRPr="00895800">
        <w:t xml:space="preserve"> 3.4 months (95% CI: 2.4; 4.0).</w:t>
      </w:r>
    </w:p>
    <w:p w14:paraId="2140C5C6" w14:textId="320F6C15" w:rsidR="009A6CF7" w:rsidRPr="00895800" w:rsidRDefault="009A6CF7" w:rsidP="00895800">
      <w:pPr>
        <w:pStyle w:val="ListBullet"/>
      </w:pPr>
      <w:r w:rsidRPr="00895800">
        <w:t xml:space="preserve">OS: treatment with </w:t>
      </w:r>
      <w:r w:rsidRPr="00895800">
        <w:rPr>
          <w:vertAlign w:val="superscript"/>
        </w:rPr>
        <w:t>177</w:t>
      </w:r>
      <w:r w:rsidRPr="00895800">
        <w:t>Lu-PSMA-617 showed a statistically significant improvement in OS compared with BSC/</w:t>
      </w:r>
      <w:proofErr w:type="spellStart"/>
      <w:r w:rsidRPr="00895800">
        <w:t>BSoC</w:t>
      </w:r>
      <w:proofErr w:type="spellEnd"/>
      <w:r w:rsidRPr="00895800">
        <w:t>: HR = 0.62 (95% CI: 0.52; 0.74); p &lt; 0.001; median OS 15.3 months (95% CI: 14.2; 16.9) v</w:t>
      </w:r>
      <w:r w:rsidR="00FB2209">
        <w:t>ersus</w:t>
      </w:r>
      <w:r w:rsidRPr="00895800">
        <w:t xml:space="preserve"> 11.3 months (95% CI: 9.8; 13.5).</w:t>
      </w:r>
    </w:p>
    <w:p w14:paraId="4CEFF7F9" w14:textId="77777777" w:rsidR="009A6CF7" w:rsidRPr="00FB2209" w:rsidRDefault="009A6CF7" w:rsidP="00FB2209">
      <w:r w:rsidRPr="00FB2209">
        <w:t>All performed sensitivity/supportive analyses support the OS primary analysis and subgroup analyses for OS provided results consistent with this analysis.</w:t>
      </w:r>
    </w:p>
    <w:p w14:paraId="2D08EA65" w14:textId="4EE72811" w:rsidR="009A6CF7" w:rsidRPr="00FB2209" w:rsidRDefault="009A6CF7" w:rsidP="00FB2209">
      <w:r w:rsidRPr="00FB2209">
        <w:t xml:space="preserve">For the key secondary endpoints (ORR, DCR and </w:t>
      </w:r>
      <w:r w:rsidR="00381486">
        <w:t xml:space="preserve">time to first </w:t>
      </w:r>
      <w:r w:rsidRPr="00FB2209">
        <w:t xml:space="preserve">SSE), treatment with </w:t>
      </w:r>
      <w:r w:rsidRPr="00FB2209">
        <w:rPr>
          <w:vertAlign w:val="superscript"/>
        </w:rPr>
        <w:t>177</w:t>
      </w:r>
      <w:r w:rsidRPr="00FB2209">
        <w:t>Lu-PSMA-617 showed a statistically significant improvement compared with BSC/</w:t>
      </w:r>
      <w:proofErr w:type="spellStart"/>
      <w:r w:rsidRPr="00FB2209">
        <w:t>BSoC</w:t>
      </w:r>
      <w:proofErr w:type="spellEnd"/>
      <w:r w:rsidRPr="00FB2209">
        <w:t xml:space="preserve">; the </w:t>
      </w:r>
      <w:proofErr w:type="spellStart"/>
      <w:r w:rsidRPr="00FB2209">
        <w:t>rPFS</w:t>
      </w:r>
      <w:proofErr w:type="spellEnd"/>
      <w:r w:rsidRPr="00FB2209">
        <w:t xml:space="preserve"> result and the results for the key secondary endpoints provide support for the OS result.</w:t>
      </w:r>
    </w:p>
    <w:p w14:paraId="4A14DD7D" w14:textId="3DAD82E8" w:rsidR="009A6CF7" w:rsidRPr="00AE1C05" w:rsidRDefault="009A6CF7" w:rsidP="001D7F83">
      <w:pPr>
        <w:pStyle w:val="Heading6"/>
      </w:pPr>
      <w:r w:rsidRPr="00AE1C05">
        <w:lastRenderedPageBreak/>
        <w:t>Uncertainties of benefit</w:t>
      </w:r>
    </w:p>
    <w:p w14:paraId="1D81D21D" w14:textId="35FC5FC8" w:rsidR="009A6CF7" w:rsidRPr="001D7F83" w:rsidRDefault="009A6CF7" w:rsidP="001D7F83">
      <w:r w:rsidRPr="001D7F83">
        <w:t xml:space="preserve">The reliability of reported </w:t>
      </w:r>
      <w:r w:rsidR="00AA604F">
        <w:t>patient reported outcome (PRO)</w:t>
      </w:r>
      <w:r w:rsidRPr="001D7F83">
        <w:t xml:space="preserve"> results which favoured treatment with </w:t>
      </w:r>
      <w:r w:rsidRPr="00EE08FF">
        <w:rPr>
          <w:vertAlign w:val="superscript"/>
        </w:rPr>
        <w:t>177</w:t>
      </w:r>
      <w:r w:rsidRPr="001D7F83">
        <w:t>Lu-PSMA-617</w:t>
      </w:r>
      <w:r w:rsidR="00EE08FF">
        <w:t xml:space="preserve"> plus </w:t>
      </w:r>
      <w:r w:rsidRPr="001D7F83">
        <w:t>BSC/</w:t>
      </w:r>
      <w:proofErr w:type="spellStart"/>
      <w:r w:rsidRPr="001D7F83">
        <w:t>BSoC</w:t>
      </w:r>
      <w:proofErr w:type="spellEnd"/>
      <w:r w:rsidRPr="001D7F83">
        <w:t xml:space="preserve"> is low, in view of the lower recurrence rate of the PROs</w:t>
      </w:r>
      <w:r w:rsidR="002570B3">
        <w:noBreakHyphen/>
        <w:t>q</w:t>
      </w:r>
      <w:r w:rsidRPr="001D7F83">
        <w:t xml:space="preserve">uestionnaires and the open design, limiting the interpretation of the effect on </w:t>
      </w:r>
      <w:r w:rsidR="002570B3">
        <w:t>quality of life</w:t>
      </w:r>
      <w:r w:rsidRPr="001D7F83">
        <w:t xml:space="preserve"> for the treatment regimen.</w:t>
      </w:r>
    </w:p>
    <w:p w14:paraId="186663E0" w14:textId="2BF50874" w:rsidR="009A6CF7" w:rsidRPr="002570B3" w:rsidRDefault="009A6CF7" w:rsidP="002570B3">
      <w:r w:rsidRPr="002570B3">
        <w:t xml:space="preserve">Homogeneity and consistency of the alternate primary endpoints </w:t>
      </w:r>
      <w:proofErr w:type="spellStart"/>
      <w:r w:rsidRPr="002570B3">
        <w:t>rPFS</w:t>
      </w:r>
      <w:proofErr w:type="spellEnd"/>
      <w:r w:rsidRPr="002570B3">
        <w:t xml:space="preserve"> and OS was not demonstrated across patient subgroups of Asians, African Americans or Blacks, and baseline </w:t>
      </w:r>
      <w:r w:rsidR="00BD5767">
        <w:t xml:space="preserve">prostate specific antigen doubling time </w:t>
      </w:r>
      <w:r w:rsidRPr="002570B3">
        <w:t>&gt;</w:t>
      </w:r>
      <w:r w:rsidR="00B91286">
        <w:t> </w:t>
      </w:r>
      <w:r w:rsidRPr="002570B3">
        <w:t>9 months, due to small patient numbers.</w:t>
      </w:r>
    </w:p>
    <w:p w14:paraId="2B124AD7" w14:textId="2A301CFF" w:rsidR="009A6CF7" w:rsidRPr="00935334" w:rsidRDefault="009A6CF7" w:rsidP="00C016B4">
      <w:pPr>
        <w:pStyle w:val="Heading5"/>
      </w:pPr>
      <w:r w:rsidRPr="00935334">
        <w:t>Risk</w:t>
      </w:r>
      <w:r w:rsidR="00762B4F">
        <w:t>s</w:t>
      </w:r>
    </w:p>
    <w:p w14:paraId="77CDD200" w14:textId="01B4E8E0" w:rsidR="009A6CF7" w:rsidRPr="000B4718" w:rsidRDefault="009A6CF7" w:rsidP="000B4718">
      <w:r w:rsidRPr="000B4718">
        <w:t>The main safety evaluation was based on safety data from Study PSMA-617-01 (VISION)</w:t>
      </w:r>
      <w:r w:rsidR="000B4718">
        <w:t xml:space="preserve">. </w:t>
      </w:r>
      <w:r w:rsidR="003F2B78">
        <w:t>S</w:t>
      </w:r>
      <w:r w:rsidRPr="000B4718">
        <w:t xml:space="preserve">upportive safety data are derived from the </w:t>
      </w:r>
      <w:r w:rsidR="000B4718">
        <w:t>P</w:t>
      </w:r>
      <w:r w:rsidRPr="000B4718">
        <w:t xml:space="preserve">hase </w:t>
      </w:r>
      <w:r w:rsidR="000B4718">
        <w:t>II</w:t>
      </w:r>
      <w:r w:rsidRPr="000B4718">
        <w:t xml:space="preserve"> </w:t>
      </w:r>
      <w:r w:rsidR="000B4718">
        <w:t>S</w:t>
      </w:r>
      <w:r w:rsidRPr="000B4718">
        <w:t>tudy PSMA-617-02 using a different dose regimen (6.0</w:t>
      </w:r>
      <w:r w:rsidR="000B4718">
        <w:t> </w:t>
      </w:r>
      <w:proofErr w:type="spellStart"/>
      <w:r w:rsidRPr="000B4718">
        <w:t>GBq</w:t>
      </w:r>
      <w:proofErr w:type="spellEnd"/>
      <w:r w:rsidRPr="000B4718">
        <w:t xml:space="preserve"> or 7.4</w:t>
      </w:r>
      <w:r w:rsidR="000B4718">
        <w:t> </w:t>
      </w:r>
      <w:proofErr w:type="spellStart"/>
      <w:r w:rsidRPr="000B4718">
        <w:t>GBq</w:t>
      </w:r>
      <w:proofErr w:type="spellEnd"/>
      <w:r w:rsidRPr="000B4718">
        <w:t>, every 8 weeks for 4 cycles).</w:t>
      </w:r>
    </w:p>
    <w:p w14:paraId="2DFE372C" w14:textId="559697F2" w:rsidR="009A6CF7" w:rsidRPr="000B4718" w:rsidRDefault="009A6CF7" w:rsidP="000B4718">
      <w:r w:rsidRPr="000B4718">
        <w:t xml:space="preserve">Adding </w:t>
      </w:r>
      <w:r w:rsidRPr="003F2B78">
        <w:rPr>
          <w:vertAlign w:val="superscript"/>
        </w:rPr>
        <w:t>177</w:t>
      </w:r>
      <w:r w:rsidRPr="000B4718">
        <w:t>Lu-PSMA-617 to BSC leads to a more unfavourable safety profile compared with BSC alone, with higher numbers of treatment-related AEs, severe AEs, SAEs, and treatment-related deaths. This may partly be attributed to the imbalance in treatment duration with a significantly shorter treatment exposure in the BSC/</w:t>
      </w:r>
      <w:proofErr w:type="spellStart"/>
      <w:r w:rsidRPr="000B4718">
        <w:t>BSoC</w:t>
      </w:r>
      <w:proofErr w:type="spellEnd"/>
      <w:r w:rsidRPr="000B4718">
        <w:t xml:space="preserve"> arm, leading to a bias to the disadvantage of </w:t>
      </w:r>
      <w:r w:rsidRPr="00025004">
        <w:rPr>
          <w:vertAlign w:val="superscript"/>
        </w:rPr>
        <w:t>177</w:t>
      </w:r>
      <w:r w:rsidR="003A4B1A">
        <w:noBreakHyphen/>
      </w:r>
      <w:r w:rsidRPr="000B4718">
        <w:t>Lu</w:t>
      </w:r>
      <w:r w:rsidR="003A4B1A">
        <w:noBreakHyphen/>
      </w:r>
      <w:r w:rsidRPr="000B4718">
        <w:t>PSMA</w:t>
      </w:r>
      <w:r w:rsidR="003A4B1A">
        <w:noBreakHyphen/>
      </w:r>
      <w:r w:rsidRPr="000B4718">
        <w:t>617.</w:t>
      </w:r>
    </w:p>
    <w:p w14:paraId="0C975F7D" w14:textId="44A6D906" w:rsidR="009A6CF7" w:rsidRPr="003A4B1A" w:rsidRDefault="00E72C44" w:rsidP="003A4B1A">
      <w:r>
        <w:t>Serious adverse events</w:t>
      </w:r>
      <w:r w:rsidR="009A6CF7" w:rsidRPr="003A4B1A">
        <w:t>:</w:t>
      </w:r>
    </w:p>
    <w:p w14:paraId="26370359" w14:textId="1FCAEE20" w:rsidR="009A6CF7" w:rsidRPr="003A4B1A" w:rsidRDefault="009A6CF7" w:rsidP="003A4B1A">
      <w:pPr>
        <w:pStyle w:val="ListBullet"/>
      </w:pPr>
      <w:r w:rsidRPr="003A4B1A">
        <w:t>PSMA:</w:t>
      </w:r>
      <w:r w:rsidR="003A4B1A">
        <w:t xml:space="preserve"> </w:t>
      </w:r>
      <w:r w:rsidRPr="003A4B1A">
        <w:t>36.3% v</w:t>
      </w:r>
      <w:r w:rsidR="003A4B1A">
        <w:t>ersus</w:t>
      </w:r>
      <w:r w:rsidRPr="003A4B1A">
        <w:t xml:space="preserve"> BSC: 27.8%</w:t>
      </w:r>
      <w:r w:rsidR="003A4B1A">
        <w:t>.</w:t>
      </w:r>
    </w:p>
    <w:p w14:paraId="27882501" w14:textId="471E176B" w:rsidR="009A6CF7" w:rsidRPr="003A4B1A" w:rsidRDefault="009A6CF7" w:rsidP="003A4B1A">
      <w:r w:rsidRPr="003A4B1A">
        <w:t>Drug-related SAEs:</w:t>
      </w:r>
    </w:p>
    <w:p w14:paraId="2D006FA1" w14:textId="6A4A587D" w:rsidR="009A6CF7" w:rsidRPr="003A4B1A" w:rsidRDefault="009A6CF7" w:rsidP="003A4B1A">
      <w:pPr>
        <w:pStyle w:val="ListBullet"/>
      </w:pPr>
      <w:r w:rsidRPr="003A4B1A">
        <w:t>PSMA: 9.3% v</w:t>
      </w:r>
      <w:r w:rsidR="003A4B1A">
        <w:t>ersus</w:t>
      </w:r>
      <w:r w:rsidRPr="003A4B1A">
        <w:t xml:space="preserve"> BSC: 2.4%</w:t>
      </w:r>
      <w:r w:rsidR="003A4B1A">
        <w:t>.</w:t>
      </w:r>
    </w:p>
    <w:p w14:paraId="04C74C48" w14:textId="41319C76" w:rsidR="009A6CF7" w:rsidRPr="003A4B1A" w:rsidRDefault="009A6CF7" w:rsidP="003A4B1A">
      <w:r w:rsidRPr="003A4B1A">
        <w:t>Grade 3 or higher AEs:</w:t>
      </w:r>
    </w:p>
    <w:p w14:paraId="6CC622FF" w14:textId="0D6FB740" w:rsidR="009A6CF7" w:rsidRPr="003A4B1A" w:rsidRDefault="00922999" w:rsidP="00922999">
      <w:pPr>
        <w:pStyle w:val="ListBullet"/>
      </w:pPr>
      <w:r>
        <w:t>M</w:t>
      </w:r>
      <w:r w:rsidR="009A6CF7" w:rsidRPr="003A4B1A">
        <w:t>ainly haematological events</w:t>
      </w:r>
      <w:r>
        <w:t>.</w:t>
      </w:r>
    </w:p>
    <w:p w14:paraId="08397D5D" w14:textId="0A3AEB53" w:rsidR="009A6CF7" w:rsidRPr="003A4B1A" w:rsidRDefault="009A6CF7" w:rsidP="00922999">
      <w:pPr>
        <w:pStyle w:val="ListBullet"/>
      </w:pPr>
      <w:r w:rsidRPr="003A4B1A">
        <w:t>PSMA: 52.7% v</w:t>
      </w:r>
      <w:r w:rsidR="00922999">
        <w:t>ersus</w:t>
      </w:r>
      <w:r w:rsidRPr="003A4B1A">
        <w:t xml:space="preserve"> BSC: 38.0%</w:t>
      </w:r>
      <w:r w:rsidR="00922999">
        <w:t>.</w:t>
      </w:r>
    </w:p>
    <w:p w14:paraId="208AFB7B" w14:textId="6E2AC524" w:rsidR="009A6CF7" w:rsidRPr="003A4B1A" w:rsidRDefault="009A6CF7" w:rsidP="00922999">
      <w:pPr>
        <w:pStyle w:val="ListBullet"/>
      </w:pPr>
      <w:r w:rsidRPr="003A4B1A">
        <w:t xml:space="preserve">Drug related </w:t>
      </w:r>
      <w:r w:rsidR="00922999">
        <w:t>G</w:t>
      </w:r>
      <w:r w:rsidRPr="003A4B1A">
        <w:t>rade 3 or higher AEs: 28.4% v</w:t>
      </w:r>
      <w:r w:rsidR="00922999">
        <w:t>ersus</w:t>
      </w:r>
      <w:r w:rsidRPr="003A4B1A">
        <w:t xml:space="preserve"> 3.9%</w:t>
      </w:r>
    </w:p>
    <w:p w14:paraId="0EDE54FC" w14:textId="4F37D773" w:rsidR="009A6CF7" w:rsidRPr="003A4B1A" w:rsidRDefault="00922999" w:rsidP="00922999">
      <w:pPr>
        <w:pStyle w:val="ListBullet"/>
      </w:pPr>
      <w:r>
        <w:t>I</w:t>
      </w:r>
      <w:r w:rsidR="009A6CF7" w:rsidRPr="003A4B1A">
        <w:t xml:space="preserve">ncidence of each individual </w:t>
      </w:r>
      <w:r>
        <w:t>G</w:t>
      </w:r>
      <w:r w:rsidR="009A6CF7" w:rsidRPr="003A4B1A">
        <w:t>rade ≥</w:t>
      </w:r>
      <w:r>
        <w:t> </w:t>
      </w:r>
      <w:r w:rsidR="009A6CF7" w:rsidRPr="003A4B1A">
        <w:t>3 AE was low.</w:t>
      </w:r>
    </w:p>
    <w:p w14:paraId="026EFCFA" w14:textId="2C5147D8" w:rsidR="009A6CF7" w:rsidRPr="003A4B1A" w:rsidRDefault="009A6CF7" w:rsidP="003A4B1A">
      <w:r w:rsidRPr="003A4B1A">
        <w:t>Deaths:</w:t>
      </w:r>
    </w:p>
    <w:p w14:paraId="76EBA37C" w14:textId="668BCDF7" w:rsidR="009A6CF7" w:rsidRPr="003A4B1A" w:rsidRDefault="009A6CF7" w:rsidP="00922999">
      <w:pPr>
        <w:pStyle w:val="ListBullet"/>
      </w:pPr>
      <w:r w:rsidRPr="003A4B1A">
        <w:t>85 patients died while on-treatment</w:t>
      </w:r>
      <w:r w:rsidR="00A53E66">
        <w:t>.</w:t>
      </w:r>
    </w:p>
    <w:p w14:paraId="48EBD3BE" w14:textId="1B987CF1" w:rsidR="009A6CF7" w:rsidRPr="003A4B1A" w:rsidRDefault="009A6CF7" w:rsidP="00922999">
      <w:pPr>
        <w:pStyle w:val="ListBullet"/>
      </w:pPr>
      <w:r w:rsidRPr="003A4B1A">
        <w:t>PSMA: 12.5% v</w:t>
      </w:r>
      <w:r w:rsidR="00A53E66">
        <w:t xml:space="preserve">ersus </w:t>
      </w:r>
      <w:r w:rsidRPr="003A4B1A">
        <w:t>BSC: 9.3%</w:t>
      </w:r>
      <w:r w:rsidR="00A53E66">
        <w:t>.</w:t>
      </w:r>
    </w:p>
    <w:p w14:paraId="1A270EFF" w14:textId="2122E0E6" w:rsidR="009A6CF7" w:rsidRPr="003A4B1A" w:rsidRDefault="00A53E66" w:rsidP="00922999">
      <w:pPr>
        <w:pStyle w:val="ListBullet"/>
      </w:pPr>
      <w:r>
        <w:t>M</w:t>
      </w:r>
      <w:r w:rsidR="009A6CF7" w:rsidRPr="003A4B1A">
        <w:t>ost deaths were due to disease progression (PSMA: 8.3% v</w:t>
      </w:r>
      <w:r>
        <w:t>ersus</w:t>
      </w:r>
      <w:r w:rsidR="009A6CF7" w:rsidRPr="003A4B1A">
        <w:t xml:space="preserve"> BSC: 6.8%)</w:t>
      </w:r>
      <w:r>
        <w:t>.</w:t>
      </w:r>
    </w:p>
    <w:p w14:paraId="6777007C" w14:textId="0F6B216A" w:rsidR="009A6CF7" w:rsidRPr="00A53E66" w:rsidRDefault="009A6CF7" w:rsidP="00A53E66">
      <w:pPr>
        <w:pStyle w:val="ListBullet"/>
      </w:pPr>
      <w:r w:rsidRPr="00A53E66">
        <w:t xml:space="preserve">However, three deaths were reported to be related to study treatment by the </w:t>
      </w:r>
      <w:r w:rsidR="00A53E66">
        <w:t>i</w:t>
      </w:r>
      <w:r w:rsidRPr="00A53E66">
        <w:t>nvestigator: 2</w:t>
      </w:r>
      <w:r w:rsidR="001B39B0">
        <w:t> </w:t>
      </w:r>
      <w:r w:rsidRPr="00A53E66">
        <w:t xml:space="preserve">deaths due to pancytopenia and </w:t>
      </w:r>
      <w:r w:rsidR="001B39B0">
        <w:t>one</w:t>
      </w:r>
      <w:r w:rsidRPr="00A53E66">
        <w:t xml:space="preserve"> death due to bone marrow failure, all in the PSMA arm. In a trial with a comparison with BSC/</w:t>
      </w:r>
      <w:proofErr w:type="spellStart"/>
      <w:r w:rsidRPr="00A53E66">
        <w:t>BSoC</w:t>
      </w:r>
      <w:proofErr w:type="spellEnd"/>
      <w:r w:rsidRPr="00A53E66">
        <w:t xml:space="preserve"> this may be </w:t>
      </w:r>
      <w:r w:rsidR="001B39B0" w:rsidRPr="00A53E66">
        <w:t>expected but</w:t>
      </w:r>
      <w:r w:rsidRPr="00A53E66">
        <w:t xml:space="preserve"> may indicate also a higher risk due to the additional treatment.</w:t>
      </w:r>
    </w:p>
    <w:p w14:paraId="5B5A898F" w14:textId="1BED9EAD" w:rsidR="009A6CF7" w:rsidRPr="001B39B0" w:rsidRDefault="009A6CF7" w:rsidP="001B39B0">
      <w:r w:rsidRPr="001B39B0">
        <w:t>Dose reduction due to TEAE:</w:t>
      </w:r>
    </w:p>
    <w:p w14:paraId="3B5C1E19" w14:textId="2FD534BB" w:rsidR="009A6CF7" w:rsidRPr="001B39B0" w:rsidRDefault="009A6CF7" w:rsidP="001B39B0">
      <w:pPr>
        <w:pStyle w:val="ListBullet"/>
      </w:pPr>
      <w:r w:rsidRPr="001B39B0">
        <w:t>5.7% of patients in the PSMA arm had TEAEs that led to dose reduction</w:t>
      </w:r>
      <w:r w:rsidR="001B39B0">
        <w:t>.</w:t>
      </w:r>
    </w:p>
    <w:p w14:paraId="57FB752E" w14:textId="2DDA793B" w:rsidR="009A6CF7" w:rsidRPr="001B39B0" w:rsidRDefault="009A6CF7" w:rsidP="001B39B0">
      <w:r w:rsidRPr="001B39B0">
        <w:t>Treatment discontinuation due to TEAE:</w:t>
      </w:r>
    </w:p>
    <w:p w14:paraId="64CB4637" w14:textId="31699112" w:rsidR="009A6CF7" w:rsidRPr="001B39B0" w:rsidRDefault="009A6CF7" w:rsidP="001B39B0">
      <w:pPr>
        <w:pStyle w:val="ListBullet"/>
      </w:pPr>
      <w:r w:rsidRPr="001B39B0">
        <w:t xml:space="preserve">11.9% of the patients discontinued </w:t>
      </w:r>
      <w:r w:rsidRPr="001B39B0">
        <w:rPr>
          <w:vertAlign w:val="superscript"/>
        </w:rPr>
        <w:t>177</w:t>
      </w:r>
      <w:r w:rsidRPr="001B39B0">
        <w:t>Lu-PSMA-617 due to TEAEs.</w:t>
      </w:r>
    </w:p>
    <w:p w14:paraId="6551AA62" w14:textId="05798197" w:rsidR="009A6CF7" w:rsidRPr="001B39B0" w:rsidRDefault="001B39B0" w:rsidP="001B39B0">
      <w:pPr>
        <w:pStyle w:val="ListBullet"/>
      </w:pPr>
      <w:r>
        <w:lastRenderedPageBreak/>
        <w:t>T</w:t>
      </w:r>
      <w:r w:rsidR="009A6CF7" w:rsidRPr="001B39B0">
        <w:t xml:space="preserve">he most frequent TEAEs leading to discontinuation of </w:t>
      </w:r>
      <w:r w:rsidR="009A6CF7" w:rsidRPr="001B39B0">
        <w:rPr>
          <w:vertAlign w:val="superscript"/>
        </w:rPr>
        <w:t>177</w:t>
      </w:r>
      <w:r w:rsidR="009A6CF7" w:rsidRPr="001B39B0">
        <w:t>Lu-PSMA-617 were related to myelosuppression</w:t>
      </w:r>
      <w:r>
        <w:t>.</w:t>
      </w:r>
    </w:p>
    <w:p w14:paraId="09025BDB" w14:textId="780A64B0" w:rsidR="009A6CF7" w:rsidRPr="005C3FD6" w:rsidRDefault="009A6CF7" w:rsidP="005C3FD6">
      <w:r w:rsidRPr="005C3FD6">
        <w:t>A</w:t>
      </w:r>
      <w:r w:rsidR="005C3FD6" w:rsidRPr="005C3FD6">
        <w:t>dverse events</w:t>
      </w:r>
      <w:r w:rsidR="005723C4">
        <w:t>: t</w:t>
      </w:r>
      <w:r w:rsidRPr="005C3FD6">
        <w:t>he greatest differences (≥</w:t>
      </w:r>
      <w:r w:rsidR="005C3FD6" w:rsidRPr="005C3FD6">
        <w:t> </w:t>
      </w:r>
      <w:r w:rsidRPr="005C3FD6">
        <w:t xml:space="preserve">20%) between the </w:t>
      </w:r>
      <w:r w:rsidR="005C3FD6" w:rsidRPr="005C3FD6">
        <w:t>two</w:t>
      </w:r>
      <w:r w:rsidRPr="005C3FD6">
        <w:t xml:space="preserve"> treatment arms were observed for:</w:t>
      </w:r>
    </w:p>
    <w:p w14:paraId="3A8A8367" w14:textId="3B79EB78" w:rsidR="009A6CF7" w:rsidRPr="005C3FD6" w:rsidRDefault="005C3FD6" w:rsidP="005C3FD6">
      <w:pPr>
        <w:pStyle w:val="ListBullet"/>
      </w:pPr>
      <w:r>
        <w:t>G</w:t>
      </w:r>
      <w:r w:rsidR="009A6CF7" w:rsidRPr="005C3FD6">
        <w:t>astrointestinal disorders (PSMA: 75.4% v</w:t>
      </w:r>
      <w:r>
        <w:t>ersus</w:t>
      </w:r>
      <w:r w:rsidR="009A6CF7" w:rsidRPr="005C3FD6">
        <w:t xml:space="preserve"> BSC: 31.7%)</w:t>
      </w:r>
      <w:r>
        <w:t>.</w:t>
      </w:r>
    </w:p>
    <w:p w14:paraId="6EDFCBA6" w14:textId="22354945" w:rsidR="009A6CF7" w:rsidRPr="005C3FD6" w:rsidRDefault="005C3FD6" w:rsidP="005C3FD6">
      <w:pPr>
        <w:pStyle w:val="ListBullet"/>
      </w:pPr>
      <w:r>
        <w:t>G</w:t>
      </w:r>
      <w:r w:rsidR="009A6CF7" w:rsidRPr="005C3FD6">
        <w:t>eneral disorders and administration site conditions (PSMA: 61.2% v</w:t>
      </w:r>
      <w:r>
        <w:t>ersus</w:t>
      </w:r>
      <w:r w:rsidR="009A6CF7" w:rsidRPr="005C3FD6">
        <w:t xml:space="preserve"> BSC: 38.5%)</w:t>
      </w:r>
      <w:r>
        <w:t>.</w:t>
      </w:r>
    </w:p>
    <w:p w14:paraId="1A949937" w14:textId="1540810F" w:rsidR="009A6CF7" w:rsidRPr="005C3FD6" w:rsidRDefault="005C3FD6" w:rsidP="005C3FD6">
      <w:pPr>
        <w:pStyle w:val="ListBullet"/>
      </w:pPr>
      <w:r>
        <w:t>B</w:t>
      </w:r>
      <w:r w:rsidR="009A6CF7" w:rsidRPr="005C3FD6">
        <w:t>lood and lymphatic system disorders (PSMA: 47.8% v</w:t>
      </w:r>
      <w:r>
        <w:t>ersus</w:t>
      </w:r>
      <w:r w:rsidR="009A6CF7" w:rsidRPr="005C3FD6">
        <w:t xml:space="preserve"> BSC: 18.0%)</w:t>
      </w:r>
      <w:r>
        <w:t>.</w:t>
      </w:r>
    </w:p>
    <w:p w14:paraId="51C69AD6" w14:textId="2305C503" w:rsidR="009A6CF7" w:rsidRPr="005C3FD6" w:rsidRDefault="005C3FD6" w:rsidP="005C3FD6">
      <w:pPr>
        <w:pStyle w:val="ListBullet"/>
      </w:pPr>
      <w:r>
        <w:t>U</w:t>
      </w:r>
      <w:r w:rsidR="009A6CF7" w:rsidRPr="005C3FD6">
        <w:t>rinary tract infections were also more frequent (PSMA: 11.0% v</w:t>
      </w:r>
      <w:r>
        <w:t>ersus</w:t>
      </w:r>
      <w:r w:rsidR="009A6CF7" w:rsidRPr="005C3FD6">
        <w:t xml:space="preserve"> BCS: 1.0%).</w:t>
      </w:r>
    </w:p>
    <w:p w14:paraId="4B2EE500" w14:textId="36F7698B" w:rsidR="009A6CF7" w:rsidRPr="005C3FD6" w:rsidRDefault="005C3FD6" w:rsidP="005C3FD6">
      <w:r w:rsidRPr="005C3FD6">
        <w:t xml:space="preserve">Adverse events of special interest </w:t>
      </w:r>
      <w:r w:rsidR="009A6CF7" w:rsidRPr="005C3FD6">
        <w:t>included:</w:t>
      </w:r>
    </w:p>
    <w:p w14:paraId="611401FF" w14:textId="0524A13A" w:rsidR="009A6CF7" w:rsidRPr="005C3FD6" w:rsidRDefault="005C3FD6" w:rsidP="005C3FD6">
      <w:pPr>
        <w:pStyle w:val="ListBullet"/>
      </w:pPr>
      <w:r>
        <w:t>F</w:t>
      </w:r>
      <w:r w:rsidR="009A6CF7" w:rsidRPr="005C3FD6">
        <w:t>atigue (PSMA: 49.1% patients v</w:t>
      </w:r>
      <w:r>
        <w:t xml:space="preserve">ersus </w:t>
      </w:r>
      <w:r w:rsidR="009A6CF7" w:rsidRPr="005C3FD6">
        <w:t>BSC: 29.3% patients)</w:t>
      </w:r>
      <w:r>
        <w:t>.</w:t>
      </w:r>
    </w:p>
    <w:p w14:paraId="579D7B09" w14:textId="54A3AD60" w:rsidR="009A6CF7" w:rsidRPr="005C3FD6" w:rsidRDefault="00A676D8" w:rsidP="005C3FD6">
      <w:pPr>
        <w:pStyle w:val="ListBullet"/>
      </w:pPr>
      <w:r>
        <w:t>M</w:t>
      </w:r>
      <w:r w:rsidR="009A6CF7" w:rsidRPr="005C3FD6">
        <w:t xml:space="preserve">yelosuppression (47.4% patients </w:t>
      </w:r>
      <w:r>
        <w:t>versus</w:t>
      </w:r>
      <w:r w:rsidR="009A6CF7" w:rsidRPr="005C3FD6">
        <w:t xml:space="preserve"> 17.6% patients) (Grade ≥</w:t>
      </w:r>
      <w:r>
        <w:t> </w:t>
      </w:r>
      <w:r w:rsidR="009A6CF7" w:rsidRPr="005C3FD6">
        <w:t>3: 23.4% v</w:t>
      </w:r>
      <w:r>
        <w:t>ersus</w:t>
      </w:r>
      <w:r w:rsidR="009A6CF7" w:rsidRPr="005C3FD6">
        <w:t xml:space="preserve"> 6.8%)</w:t>
      </w:r>
      <w:r w:rsidR="000B3EAA">
        <w:t>.</w:t>
      </w:r>
    </w:p>
    <w:p w14:paraId="4F85FB95" w14:textId="5173702F" w:rsidR="009A6CF7" w:rsidRPr="005C3FD6" w:rsidRDefault="000B3EAA" w:rsidP="005C3FD6">
      <w:pPr>
        <w:pStyle w:val="ListBullet"/>
      </w:pPr>
      <w:r>
        <w:t>D</w:t>
      </w:r>
      <w:r w:rsidR="009A6CF7" w:rsidRPr="005C3FD6">
        <w:t>ry mouth (39.3% patients v</w:t>
      </w:r>
      <w:r>
        <w:t>ersus</w:t>
      </w:r>
      <w:r w:rsidR="009A6CF7" w:rsidRPr="005C3FD6">
        <w:t xml:space="preserve"> 1.0% patients)</w:t>
      </w:r>
      <w:r>
        <w:t>.</w:t>
      </w:r>
    </w:p>
    <w:p w14:paraId="7FD60F49" w14:textId="0A1BDDEA" w:rsidR="00A574C7" w:rsidRPr="00656FDC" w:rsidRDefault="000B3EAA" w:rsidP="00656FDC">
      <w:pPr>
        <w:pStyle w:val="ListBullet"/>
      </w:pPr>
      <w:r>
        <w:t>N</w:t>
      </w:r>
      <w:r w:rsidR="009A6CF7" w:rsidRPr="005C3FD6">
        <w:t>ausea and vomiting (39.3% patients v</w:t>
      </w:r>
      <w:r>
        <w:t>ersus</w:t>
      </w:r>
      <w:r w:rsidR="009A6CF7" w:rsidRPr="005C3FD6">
        <w:t xml:space="preserve"> 17.1% patients).</w:t>
      </w:r>
    </w:p>
    <w:p w14:paraId="524A63AF" w14:textId="7772E187" w:rsidR="009A6CF7" w:rsidRPr="00656FDC" w:rsidRDefault="00F1735C" w:rsidP="00656FDC">
      <w:r w:rsidRPr="00656FDC">
        <w:t xml:space="preserve">Drug related TEAEs </w:t>
      </w:r>
      <w:r w:rsidR="009A6CF7" w:rsidRPr="00656FDC">
        <w:t xml:space="preserve">(as assessed by the </w:t>
      </w:r>
      <w:r w:rsidRPr="00656FDC">
        <w:t>i</w:t>
      </w:r>
      <w:r w:rsidR="009A6CF7" w:rsidRPr="00656FDC">
        <w:t>nvestigator) were clearly more frequent in the PSMA arm (85.3% patients) as compared to the BSC arm (28.8% patients) as would be expected</w:t>
      </w:r>
      <w:r w:rsidR="00674DDA">
        <w:t>:</w:t>
      </w:r>
    </w:p>
    <w:p w14:paraId="0ADF0B17" w14:textId="0AD18EC3" w:rsidR="009A6CF7" w:rsidRPr="004830DB" w:rsidRDefault="004830DB" w:rsidP="005723C4">
      <w:pPr>
        <w:pStyle w:val="ListBullet"/>
      </w:pPr>
      <w:r>
        <w:t>H</w:t>
      </w:r>
      <w:r w:rsidR="009A6CF7" w:rsidRPr="004830DB">
        <w:t xml:space="preserve">igh </w:t>
      </w:r>
      <w:r>
        <w:t>G</w:t>
      </w:r>
      <w:r w:rsidR="009A6CF7" w:rsidRPr="004830DB">
        <w:t>rade (≥</w:t>
      </w:r>
      <w:r>
        <w:t> </w:t>
      </w:r>
      <w:r w:rsidR="009A6CF7" w:rsidRPr="004830DB">
        <w:t>3) events were reported with highest incidence in this arm for anaemia (9.6% patients), thrombocytopenia and lymphocytopenia (6.8% each)</w:t>
      </w:r>
      <w:r>
        <w:t>.</w:t>
      </w:r>
    </w:p>
    <w:p w14:paraId="29B93504" w14:textId="005F3D61" w:rsidR="009A6CF7" w:rsidRPr="004830DB" w:rsidRDefault="004830DB" w:rsidP="005723C4">
      <w:pPr>
        <w:pStyle w:val="ListBullet"/>
      </w:pPr>
      <w:r>
        <w:t>D</w:t>
      </w:r>
      <w:r w:rsidR="009A6CF7" w:rsidRPr="004830DB">
        <w:t>ry mouth, fatigue and nausea, that were the most reported drug-related events in this arm, were usually low grade (≤</w:t>
      </w:r>
      <w:r w:rsidR="005C73D8">
        <w:t> </w:t>
      </w:r>
      <w:r w:rsidR="009A6CF7" w:rsidRPr="004830DB">
        <w:t xml:space="preserve">2) in severity and only led to permanent discontinuation of </w:t>
      </w:r>
      <w:r w:rsidR="009A6CF7" w:rsidRPr="005C73D8">
        <w:rPr>
          <w:vertAlign w:val="superscript"/>
        </w:rPr>
        <w:t>177</w:t>
      </w:r>
      <w:r w:rsidR="009A6CF7" w:rsidRPr="004830DB">
        <w:t>Lu</w:t>
      </w:r>
      <w:r w:rsidR="005C73D8">
        <w:noBreakHyphen/>
      </w:r>
      <w:r w:rsidR="009A6CF7" w:rsidRPr="004830DB">
        <w:t>PSMA-617 in ≤</w:t>
      </w:r>
      <w:r w:rsidR="005C73D8">
        <w:t> </w:t>
      </w:r>
      <w:r w:rsidR="009A6CF7" w:rsidRPr="004830DB">
        <w:t>0.5% of patients.</w:t>
      </w:r>
    </w:p>
    <w:p w14:paraId="4133B51E" w14:textId="79EB4B2C" w:rsidR="009A6CF7" w:rsidRPr="004830DB" w:rsidRDefault="005C73D8" w:rsidP="005723C4">
      <w:pPr>
        <w:pStyle w:val="ListBullet"/>
      </w:pPr>
      <w:r>
        <w:t>M</w:t>
      </w:r>
      <w:r w:rsidR="009A6CF7" w:rsidRPr="004830DB">
        <w:t>yelosuppression</w:t>
      </w:r>
      <w:r>
        <w:t>,</w:t>
      </w:r>
      <w:r w:rsidR="009A6CF7" w:rsidRPr="004830DB">
        <w:t xml:space="preserve"> this is a known risk for </w:t>
      </w:r>
      <w:r w:rsidR="009A6CF7" w:rsidRPr="005C73D8">
        <w:rPr>
          <w:vertAlign w:val="superscript"/>
        </w:rPr>
        <w:t>177</w:t>
      </w:r>
      <w:r w:rsidR="009A6CF7" w:rsidRPr="004830DB">
        <w:t>Lu-PSMA-617; myelosuppression-related events (including anaemia, thrombocytopenia, lymphocytopenia, leukopenia, neutropenia) was consistently higher in the PSMA arm (47.4%) compared with the BSC arm (17.6%)</w:t>
      </w:r>
      <w:r w:rsidR="00715DF6">
        <w:t>.</w:t>
      </w:r>
    </w:p>
    <w:p w14:paraId="77B8117E" w14:textId="7289DE07" w:rsidR="009A6CF7" w:rsidRPr="004830DB" w:rsidRDefault="009A6CF7" w:rsidP="005723C4">
      <w:pPr>
        <w:pStyle w:val="ListBullet"/>
      </w:pPr>
      <w:r w:rsidRPr="004830DB">
        <w:t xml:space="preserve">Renal toxicity is also a known risk for </w:t>
      </w:r>
      <w:r w:rsidRPr="00715DF6">
        <w:rPr>
          <w:vertAlign w:val="superscript"/>
        </w:rPr>
        <w:t>177</w:t>
      </w:r>
      <w:r w:rsidRPr="004830DB">
        <w:t xml:space="preserve">Lu-PSMA-617; renal events in general were observed slightly more frequent with 8.7% of patients in the PSMA arm than in the BSC arm (5.9%). Renal toxicity was predominantly low-grade comprising creatinine increases that were manageable and reversible. Nevertheless, </w:t>
      </w:r>
      <w:proofErr w:type="gramStart"/>
      <w:r w:rsidR="00715DF6">
        <w:t>G</w:t>
      </w:r>
      <w:r w:rsidRPr="004830DB">
        <w:t>rade</w:t>
      </w:r>
      <w:proofErr w:type="gramEnd"/>
      <w:r w:rsidRPr="004830DB">
        <w:t xml:space="preserve"> ≥</w:t>
      </w:r>
      <w:r w:rsidR="00715DF6">
        <w:t> </w:t>
      </w:r>
      <w:r w:rsidRPr="004830DB">
        <w:t>3 events were reported.</w:t>
      </w:r>
    </w:p>
    <w:p w14:paraId="6B84078E" w14:textId="41C1DE87" w:rsidR="009A6CF7" w:rsidRPr="00935334" w:rsidRDefault="009A6CF7" w:rsidP="005723C4">
      <w:pPr>
        <w:pStyle w:val="ListBullet"/>
        <w:rPr>
          <w:rFonts w:asciiTheme="minorHAnsi" w:eastAsia="Times New Roman" w:hAnsiTheme="minorHAnsi"/>
          <w:color w:val="000000"/>
          <w:szCs w:val="22"/>
        </w:rPr>
      </w:pPr>
      <w:r w:rsidRPr="004830DB">
        <w:t>Patients with moderate renal impairment (</w:t>
      </w:r>
      <w:proofErr w:type="spellStart"/>
      <w:r w:rsidR="00D11047">
        <w:t>CrCl</w:t>
      </w:r>
      <w:proofErr w:type="spellEnd"/>
      <w:r w:rsidRPr="004830DB">
        <w:t xml:space="preserve"> &lt;</w:t>
      </w:r>
      <w:r w:rsidR="00D11047">
        <w:t> </w:t>
      </w:r>
      <w:r w:rsidRPr="004830DB">
        <w:t xml:space="preserve">50 mL/min) may bear an inherent risk of increase in AEs and treatment with </w:t>
      </w:r>
      <w:r w:rsidRPr="00D11047">
        <w:rPr>
          <w:vertAlign w:val="superscript"/>
        </w:rPr>
        <w:t>177</w:t>
      </w:r>
      <w:r w:rsidRPr="004830DB">
        <w:t>Lu-PSMA-617 is not recommended in this population. The differences between renally impaired versus non-impaired groups were greater for high grade TEAEs (77.4% patients v</w:t>
      </w:r>
      <w:r w:rsidR="006E431A">
        <w:t>ersus</w:t>
      </w:r>
      <w:r w:rsidRPr="004830DB">
        <w:t xml:space="preserve"> 50.5% patients), and serious TEAEs (67.7% patients v</w:t>
      </w:r>
      <w:r w:rsidR="006E431A">
        <w:t>ersus</w:t>
      </w:r>
      <w:r w:rsidRPr="004830DB">
        <w:t xml:space="preserve"> 32.9% patients). Similar difference (50.0% patients v</w:t>
      </w:r>
      <w:r w:rsidR="006E431A">
        <w:t>ersus</w:t>
      </w:r>
      <w:r w:rsidRPr="004830DB">
        <w:t xml:space="preserve"> 26.4% patients) was noted in the BSC/</w:t>
      </w:r>
      <w:proofErr w:type="spellStart"/>
      <w:r w:rsidRPr="004830DB">
        <w:t>BSoC</w:t>
      </w:r>
      <w:proofErr w:type="spellEnd"/>
      <w:r w:rsidRPr="004830DB">
        <w:t xml:space="preserve"> only arm for the serious TEAEs. The incidence of fatal TEAEs, though low in number overall, was 4 times more in the impaired group as compared with the non-impaired (12.9% patients v</w:t>
      </w:r>
      <w:r w:rsidR="006E431A">
        <w:t>ersus</w:t>
      </w:r>
      <w:r w:rsidRPr="004830DB">
        <w:t xml:space="preserve"> 3.0% patients) in the PSMA arm and more than 2 times in the impaired group as compared with the non-impaired in the BSC arm (7.1% patients v</w:t>
      </w:r>
      <w:r w:rsidR="006E431A">
        <w:t>ersus</w:t>
      </w:r>
      <w:r w:rsidRPr="004830DB">
        <w:t xml:space="preserve"> 2.7% patients)</w:t>
      </w:r>
      <w:r w:rsidR="006E431A">
        <w:t>.</w:t>
      </w:r>
    </w:p>
    <w:p w14:paraId="4322CB4C" w14:textId="274FD1BC" w:rsidR="009A6CF7" w:rsidRPr="006E431A" w:rsidRDefault="009A6CF7" w:rsidP="005723C4">
      <w:pPr>
        <w:pStyle w:val="ListBullet"/>
      </w:pPr>
      <w:r w:rsidRPr="006E431A">
        <w:t>Hepatotoxicity was slightly higher for the PSMA arm (PSMA: 10.2% v</w:t>
      </w:r>
      <w:r w:rsidR="006E431A">
        <w:t>ersus</w:t>
      </w:r>
      <w:r w:rsidRPr="006E431A">
        <w:t xml:space="preserve"> BSC: 7.8%)</w:t>
      </w:r>
      <w:r w:rsidR="006E431A">
        <w:t>.</w:t>
      </w:r>
    </w:p>
    <w:p w14:paraId="28DDEE10" w14:textId="13686FFB" w:rsidR="009A6CF7" w:rsidRPr="006E431A" w:rsidRDefault="009A6CF7" w:rsidP="005723C4">
      <w:pPr>
        <w:pStyle w:val="ListBullet"/>
      </w:pPr>
      <w:r w:rsidRPr="006E431A">
        <w:t>Non-haematological TEAEs: although the TEAEs such as dry mouth (38.8% v</w:t>
      </w:r>
      <w:r w:rsidR="00D95032">
        <w:t>ersus</w:t>
      </w:r>
      <w:r w:rsidRPr="006E431A">
        <w:t xml:space="preserve"> 0</w:t>
      </w:r>
      <w:r w:rsidR="00F6301F">
        <w:t>.5</w:t>
      </w:r>
      <w:r w:rsidRPr="006E431A">
        <w:t>%), nausea (</w:t>
      </w:r>
      <w:r w:rsidR="00F6301F">
        <w:t>3</w:t>
      </w:r>
      <w:r w:rsidRPr="006E431A">
        <w:t>5.</w:t>
      </w:r>
      <w:r w:rsidR="00F6301F">
        <w:t>3</w:t>
      </w:r>
      <w:r w:rsidRPr="006E431A">
        <w:t>% v</w:t>
      </w:r>
      <w:r w:rsidR="00D95032">
        <w:t>ersus</w:t>
      </w:r>
      <w:r w:rsidRPr="006E431A">
        <w:t xml:space="preserve"> 16.6%), diarrhea (18.9% v</w:t>
      </w:r>
      <w:r w:rsidR="00D95032">
        <w:t xml:space="preserve">ersus </w:t>
      </w:r>
      <w:r w:rsidRPr="006E431A">
        <w:t>2.9%), vomiting (18.9 v</w:t>
      </w:r>
      <w:r w:rsidR="00D95032">
        <w:t>ersus</w:t>
      </w:r>
      <w:r w:rsidRPr="006E431A">
        <w:t xml:space="preserve"> 6.3%) and urinary tract infections (11% v</w:t>
      </w:r>
      <w:r w:rsidR="00D95032">
        <w:t>ersus</w:t>
      </w:r>
      <w:r w:rsidRPr="006E431A">
        <w:t xml:space="preserve"> 1%) were also more frequent in the </w:t>
      </w:r>
      <w:r w:rsidRPr="00D95032">
        <w:rPr>
          <w:vertAlign w:val="superscript"/>
        </w:rPr>
        <w:lastRenderedPageBreak/>
        <w:t>177</w:t>
      </w:r>
      <w:r w:rsidRPr="006E431A">
        <w:t>Lu</w:t>
      </w:r>
      <w:r w:rsidR="00D95032">
        <w:noBreakHyphen/>
      </w:r>
      <w:r w:rsidRPr="006E431A">
        <w:t>PSMA</w:t>
      </w:r>
      <w:r w:rsidR="00D95032">
        <w:noBreakHyphen/>
      </w:r>
      <w:r w:rsidRPr="006E431A">
        <w:t>617</w:t>
      </w:r>
      <w:r w:rsidR="00D95032">
        <w:t xml:space="preserve"> plus </w:t>
      </w:r>
      <w:r w:rsidRPr="006E431A">
        <w:t>BSC/</w:t>
      </w:r>
      <w:proofErr w:type="spellStart"/>
      <w:r w:rsidRPr="006E431A">
        <w:t>BSoC</w:t>
      </w:r>
      <w:proofErr w:type="spellEnd"/>
      <w:r w:rsidRPr="006E431A">
        <w:t xml:space="preserve"> arm; however, they were usually low grade (≤</w:t>
      </w:r>
      <w:r w:rsidR="00D95032">
        <w:t> </w:t>
      </w:r>
      <w:r w:rsidRPr="006E431A">
        <w:t xml:space="preserve">2) in severity, and only led to permanent discontinuation of </w:t>
      </w:r>
      <w:r w:rsidRPr="00D95032">
        <w:rPr>
          <w:vertAlign w:val="superscript"/>
        </w:rPr>
        <w:t>177</w:t>
      </w:r>
      <w:r w:rsidRPr="006E431A">
        <w:t>Lu-PSMA-617 in ≤</w:t>
      </w:r>
      <w:r w:rsidR="00D95032">
        <w:t> </w:t>
      </w:r>
      <w:r w:rsidRPr="006E431A">
        <w:t>0.5% of patients.</w:t>
      </w:r>
    </w:p>
    <w:p w14:paraId="6502B247" w14:textId="11762262" w:rsidR="009A6CF7" w:rsidRPr="006E431A" w:rsidRDefault="009A6CF7" w:rsidP="005723C4">
      <w:pPr>
        <w:pStyle w:val="ListBullet"/>
      </w:pPr>
      <w:r w:rsidRPr="006E431A">
        <w:t xml:space="preserve">Despite the high apparent radiation exposure, incidences of lacrimal toxicities, </w:t>
      </w:r>
      <w:r w:rsidR="00D95032">
        <w:t>that is</w:t>
      </w:r>
      <w:r w:rsidRPr="006E431A">
        <w:t>, dry eye and blurred vision were infrequent and were mostly low grade (</w:t>
      </w:r>
      <w:r w:rsidR="00660B0D">
        <w:t>G</w:t>
      </w:r>
      <w:r w:rsidRPr="006E431A">
        <w:t>rade 1-2) in the PSMA</w:t>
      </w:r>
      <w:r w:rsidR="00660B0D">
        <w:noBreakHyphen/>
      </w:r>
      <w:r w:rsidRPr="006E431A">
        <w:t>617-01 study. Two (0.4%) patients in the PSMA arm had high grade (≥</w:t>
      </w:r>
      <w:r w:rsidR="00660B0D">
        <w:t> </w:t>
      </w:r>
      <w:r w:rsidRPr="006E431A">
        <w:t>3) events of blurred vision.</w:t>
      </w:r>
    </w:p>
    <w:p w14:paraId="337E3F29" w14:textId="4D86682B" w:rsidR="009A6CF7" w:rsidRPr="006E431A" w:rsidRDefault="009A6CF7" w:rsidP="005723C4">
      <w:pPr>
        <w:pStyle w:val="ListBullet"/>
      </w:pPr>
      <w:r w:rsidRPr="006E431A">
        <w:t xml:space="preserve">Second </w:t>
      </w:r>
      <w:r w:rsidR="00660B0D">
        <w:t>p</w:t>
      </w:r>
      <w:r w:rsidRPr="006E431A">
        <w:t xml:space="preserve">rimary </w:t>
      </w:r>
      <w:r w:rsidR="00660B0D">
        <w:t>m</w:t>
      </w:r>
      <w:r w:rsidRPr="006E431A">
        <w:t>alignancies as consequence of the radiation were infrequent events in both arms (2.1% patients v</w:t>
      </w:r>
      <w:r w:rsidR="00660B0D">
        <w:t>ersus</w:t>
      </w:r>
      <w:r w:rsidRPr="006E431A">
        <w:t xml:space="preserve"> 1.0% patient). The events were skin cancers and metastases to the brain or meninges. However, one case of acute myeloid leuke</w:t>
      </w:r>
      <w:r w:rsidRPr="00E52E67">
        <w:t>mia (AML)</w:t>
      </w:r>
      <w:r w:rsidRPr="006E431A">
        <w:t xml:space="preserve"> was reported outside of the treatment emergent period, after the 30-day post-treatment follow-up, but before capture of long-term follow-up events.</w:t>
      </w:r>
    </w:p>
    <w:p w14:paraId="0D49DAEB" w14:textId="77777777" w:rsidR="009A6CF7" w:rsidRPr="00AE1C05" w:rsidRDefault="009A6CF7" w:rsidP="00656FDC">
      <w:pPr>
        <w:pStyle w:val="Heading6"/>
      </w:pPr>
      <w:r w:rsidRPr="00AE1C05">
        <w:t>Uncertainties of risk</w:t>
      </w:r>
    </w:p>
    <w:p w14:paraId="656026BC" w14:textId="289CBA5D" w:rsidR="009A6CF7" w:rsidRPr="00307A7B" w:rsidRDefault="009A6CF7" w:rsidP="00307A7B">
      <w:r w:rsidRPr="00307A7B">
        <w:t xml:space="preserve">The safety profile presented may not fully reflect the treatment risks of the applied posology, as more than the half of the </w:t>
      </w:r>
      <w:r w:rsidR="00761B3D">
        <w:t>full analysis set s</w:t>
      </w:r>
      <w:r w:rsidRPr="00307A7B">
        <w:t xml:space="preserve">afety population included in this assessment was not exposed to the planned treatment course of 6 cycles and the intended full dose of </w:t>
      </w:r>
      <w:r w:rsidRPr="00761B3D">
        <w:rPr>
          <w:vertAlign w:val="superscript"/>
        </w:rPr>
        <w:t>177</w:t>
      </w:r>
      <w:r w:rsidRPr="00307A7B">
        <w:t>Lu</w:t>
      </w:r>
      <w:r w:rsidR="00761B3D">
        <w:noBreakHyphen/>
      </w:r>
      <w:r w:rsidRPr="00307A7B">
        <w:t>PSMA</w:t>
      </w:r>
      <w:r w:rsidR="00761B3D">
        <w:noBreakHyphen/>
      </w:r>
      <w:r w:rsidRPr="00307A7B">
        <w:t xml:space="preserve">617. An underestimation of the toxicity may even be presumed also, since frequency and particularly severity of </w:t>
      </w:r>
      <w:r w:rsidR="00491F2A">
        <w:t xml:space="preserve">adverse events of special </w:t>
      </w:r>
      <w:r w:rsidR="003A1012">
        <w:t xml:space="preserve">interest </w:t>
      </w:r>
      <w:r w:rsidR="003A1012" w:rsidRPr="00307A7B">
        <w:t>are</w:t>
      </w:r>
      <w:r w:rsidRPr="00307A7B">
        <w:t xml:space="preserve"> likely to depend on the total dose administered and may increase during longer treatment.</w:t>
      </w:r>
    </w:p>
    <w:p w14:paraId="34BAF16F" w14:textId="402952D9" w:rsidR="009A6CF7" w:rsidRPr="00307A7B" w:rsidRDefault="009A6CF7" w:rsidP="00307A7B">
      <w:r w:rsidRPr="00307A7B">
        <w:t xml:space="preserve">The open-label design of the pivotal study may have affected safety reporting, and the imbalance of drug-related AEs, as assessed by the </w:t>
      </w:r>
      <w:r w:rsidR="003A1012">
        <w:t>i</w:t>
      </w:r>
      <w:r w:rsidRPr="00307A7B">
        <w:t>nvestigator, needs to be interpreted with caution. Many patients were already receiving BSC/</w:t>
      </w:r>
      <w:proofErr w:type="spellStart"/>
      <w:r w:rsidRPr="00307A7B">
        <w:t>BSoC</w:t>
      </w:r>
      <w:proofErr w:type="spellEnd"/>
      <w:r w:rsidRPr="00307A7B">
        <w:t xml:space="preserve"> before randomi</w:t>
      </w:r>
      <w:r w:rsidR="003A1012">
        <w:t>s</w:t>
      </w:r>
      <w:r w:rsidRPr="00307A7B">
        <w:t xml:space="preserve">ation and standard of care might have not been systematically considered as </w:t>
      </w:r>
      <w:r w:rsidR="003A1012">
        <w:t>s</w:t>
      </w:r>
      <w:r w:rsidRPr="00307A7B">
        <w:t xml:space="preserve">tudy </w:t>
      </w:r>
      <w:r w:rsidR="003A1012">
        <w:t>d</w:t>
      </w:r>
      <w:r w:rsidRPr="00307A7B">
        <w:t xml:space="preserve">rug by some </w:t>
      </w:r>
      <w:r w:rsidR="003A1012">
        <w:t>i</w:t>
      </w:r>
      <w:r w:rsidRPr="00307A7B">
        <w:t>nvestigators.</w:t>
      </w:r>
    </w:p>
    <w:p w14:paraId="02CD01D3" w14:textId="02383DED" w:rsidR="009A6CF7" w:rsidRPr="00307A7B" w:rsidRDefault="009A6CF7" w:rsidP="00307A7B">
      <w:r w:rsidRPr="00307A7B">
        <w:t>The uncertainty that there may be a potential for ameliorated tolerability at a lower dose level remains. However, it is unknown whether this would maintain similar clinical benefit.</w:t>
      </w:r>
    </w:p>
    <w:p w14:paraId="0DCBAE9B" w14:textId="23D09F5E" w:rsidR="009A6CF7" w:rsidRPr="00307A7B" w:rsidRDefault="009A6CF7" w:rsidP="00307A7B">
      <w:r w:rsidRPr="00307A7B">
        <w:t xml:space="preserve">Myelosuppression events in the </w:t>
      </w:r>
      <w:r w:rsidRPr="00482860">
        <w:rPr>
          <w:vertAlign w:val="superscript"/>
        </w:rPr>
        <w:t>177</w:t>
      </w:r>
      <w:r w:rsidRPr="00307A7B">
        <w:t xml:space="preserve">Lu-PSMA-617 arm occurred frequently and these events have a large impact on the toxicity, tolerability and on treatment-related deaths. It is unclear whether risk </w:t>
      </w:r>
      <w:proofErr w:type="spellStart"/>
      <w:r w:rsidRPr="00307A7B">
        <w:t>minimali</w:t>
      </w:r>
      <w:r w:rsidR="00482860">
        <w:t>s</w:t>
      </w:r>
      <w:r w:rsidRPr="00307A7B">
        <w:t>ation</w:t>
      </w:r>
      <w:proofErr w:type="spellEnd"/>
      <w:r w:rsidRPr="00307A7B">
        <w:t xml:space="preserve"> measures were taken/were effective on this subject.</w:t>
      </w:r>
    </w:p>
    <w:p w14:paraId="59F63791" w14:textId="757A8C61" w:rsidR="009A6CF7" w:rsidRPr="00307A7B" w:rsidRDefault="009A6CF7" w:rsidP="00307A7B">
      <w:r w:rsidRPr="00307A7B">
        <w:t>The risk of haematological malignancies particularly for leukemia/</w:t>
      </w:r>
      <w:r w:rsidR="00000CB4">
        <w:t>m</w:t>
      </w:r>
      <w:r w:rsidR="00000CB4" w:rsidRPr="00000CB4">
        <w:t xml:space="preserve">yelodysplastic </w:t>
      </w:r>
      <w:r w:rsidR="00000CB4">
        <w:t>s</w:t>
      </w:r>
      <w:r w:rsidR="00000CB4" w:rsidRPr="00000CB4">
        <w:t>yndromes</w:t>
      </w:r>
      <w:r w:rsidRPr="00307A7B">
        <w:t xml:space="preserve"> and other malignancies is clearly a well-known complication of all types of radiation treatment and probably beside the risks derived from bone marrow impairment (</w:t>
      </w:r>
      <w:r w:rsidR="009B7961">
        <w:t>b</w:t>
      </w:r>
      <w:r w:rsidRPr="00307A7B">
        <w:t xml:space="preserve">leeding, </w:t>
      </w:r>
      <w:r w:rsidR="009B7961">
        <w:t>i</w:t>
      </w:r>
      <w:r w:rsidRPr="00307A7B">
        <w:t>nfection) the most severe adverse event of</w:t>
      </w:r>
      <w:r w:rsidR="008169CF">
        <w:t xml:space="preserve"> </w:t>
      </w:r>
      <w:r w:rsidR="00EA4A4B">
        <w:t>RLT</w:t>
      </w:r>
      <w:r w:rsidRPr="00307A7B">
        <w:t xml:space="preserve">. A case of AML is already reported. However, it is acknowledged that in patients with </w:t>
      </w:r>
      <w:proofErr w:type="spellStart"/>
      <w:r w:rsidRPr="00307A7B">
        <w:t>mCRPC</w:t>
      </w:r>
      <w:proofErr w:type="spellEnd"/>
      <w:r w:rsidRPr="00307A7B">
        <w:t xml:space="preserve"> with a limited life-expectancy the relevance of these events may reasonably be balanced by the improvement in overall survival. As in other</w:t>
      </w:r>
      <w:r w:rsidR="001E4D5F">
        <w:t xml:space="preserve"> </w:t>
      </w:r>
      <w:r w:rsidR="002E60D2">
        <w:t>RLTs</w:t>
      </w:r>
      <w:r w:rsidRPr="00307A7B">
        <w:t xml:space="preserve"> before this important risk remains not fully evaluable from the data submitted</w:t>
      </w:r>
      <w:r w:rsidR="001E4D5F">
        <w:t>,</w:t>
      </w:r>
      <w:r w:rsidRPr="00307A7B">
        <w:t xml:space="preserve"> further data from longer follow-up is recommended</w:t>
      </w:r>
      <w:r w:rsidR="001E4D5F">
        <w:t>.</w:t>
      </w:r>
    </w:p>
    <w:p w14:paraId="55BE9C8D" w14:textId="4927C7B3" w:rsidR="009A6CF7" w:rsidRPr="00307A7B" w:rsidRDefault="009A6CF7" w:rsidP="00307A7B">
      <w:r w:rsidRPr="00307A7B">
        <w:t xml:space="preserve">It is not known whether AEs related to the safety topics resolved over time as these data were not collected by the </w:t>
      </w:r>
      <w:r w:rsidR="003577CF">
        <w:t>s</w:t>
      </w:r>
      <w:r w:rsidRPr="00307A7B">
        <w:t xml:space="preserve">ponsor. The </w:t>
      </w:r>
      <w:r w:rsidR="003577CF">
        <w:t>s</w:t>
      </w:r>
      <w:r w:rsidRPr="00307A7B">
        <w:t>ponsor has meanwhile committed that these data will be submitted at the time they become available via the post-marketing requirement of the</w:t>
      </w:r>
      <w:r w:rsidR="003577CF">
        <w:t xml:space="preserve"> overseas regulator</w:t>
      </w:r>
      <w:r w:rsidRPr="00307A7B">
        <w:t>, which is intended to collect data including the risks of myelosuppression, renal failure, xerostomia and xerophthalmia and their complications, and potential of secondary malignancies.</w:t>
      </w:r>
    </w:p>
    <w:p w14:paraId="0C88B620" w14:textId="77777777" w:rsidR="009A6CF7" w:rsidRPr="0007164F" w:rsidRDefault="009A6CF7" w:rsidP="00345C18">
      <w:pPr>
        <w:pStyle w:val="Heading5"/>
        <w:rPr>
          <w:lang w:eastAsia="en-AU"/>
        </w:rPr>
      </w:pPr>
      <w:r w:rsidRPr="0007164F">
        <w:rPr>
          <w:lang w:eastAsia="en-AU"/>
        </w:rPr>
        <w:t>Benefit/Risk balance</w:t>
      </w:r>
    </w:p>
    <w:p w14:paraId="73BFA87D" w14:textId="6D510E58" w:rsidR="009A6CF7" w:rsidRPr="00345C18" w:rsidRDefault="009A6CF7" w:rsidP="00345C18">
      <w:r w:rsidRPr="00345C18">
        <w:t xml:space="preserve">The benefit-risk balance </w:t>
      </w:r>
      <w:proofErr w:type="gramStart"/>
      <w:r w:rsidRPr="00345C18">
        <w:t>is considered to be</w:t>
      </w:r>
      <w:proofErr w:type="gramEnd"/>
      <w:r w:rsidRPr="00345C18">
        <w:t xml:space="preserve"> favourable in patients with progressive, </w:t>
      </w:r>
      <w:proofErr w:type="spellStart"/>
      <w:r w:rsidRPr="00345C18">
        <w:t>PSMA</w:t>
      </w:r>
      <w:proofErr w:type="spellEnd"/>
      <w:r w:rsidR="00345C18">
        <w:noBreakHyphen/>
      </w:r>
      <w:r w:rsidRPr="00345C18">
        <w:t xml:space="preserve">positive </w:t>
      </w:r>
      <w:proofErr w:type="spellStart"/>
      <w:r w:rsidRPr="00345C18">
        <w:t>mCRPC</w:t>
      </w:r>
      <w:proofErr w:type="spellEnd"/>
      <w:r w:rsidRPr="00345C18">
        <w:t>, who have received ≥ 1 novel androgen receptor inhibitor and had previously been treated with 1</w:t>
      </w:r>
      <w:r w:rsidR="0045765A">
        <w:t xml:space="preserve"> to </w:t>
      </w:r>
      <w:r w:rsidRPr="00345C18">
        <w:t xml:space="preserve">2 </w:t>
      </w:r>
      <w:proofErr w:type="spellStart"/>
      <w:r w:rsidRPr="00345C18">
        <w:t>taxane</w:t>
      </w:r>
      <w:proofErr w:type="spellEnd"/>
      <w:r w:rsidRPr="00345C18">
        <w:t xml:space="preserve">-based chemotherapy regimens, treatment with </w:t>
      </w:r>
      <w:r w:rsidRPr="0045765A">
        <w:rPr>
          <w:vertAlign w:val="superscript"/>
        </w:rPr>
        <w:lastRenderedPageBreak/>
        <w:t>177</w:t>
      </w:r>
      <w:r w:rsidRPr="00345C18">
        <w:t>Lu</w:t>
      </w:r>
      <w:r w:rsidR="0045765A">
        <w:noBreakHyphen/>
      </w:r>
      <w:r w:rsidRPr="00345C18">
        <w:t>PSMA-617 showed a statistically significant and clinically relevant improvement in OS compared to treatment with BSC/</w:t>
      </w:r>
      <w:proofErr w:type="spellStart"/>
      <w:r w:rsidRPr="00345C18">
        <w:t>BSoC</w:t>
      </w:r>
      <w:proofErr w:type="spellEnd"/>
      <w:r w:rsidRPr="00345C18">
        <w:t>.</w:t>
      </w:r>
    </w:p>
    <w:p w14:paraId="6077F7D1" w14:textId="78996CE0" w:rsidR="009A6CF7" w:rsidRPr="0007164F" w:rsidRDefault="009A6CF7" w:rsidP="009A6CF7">
      <w:pPr>
        <w:rPr>
          <w:rFonts w:asciiTheme="minorHAnsi" w:hAnsiTheme="minorHAnsi"/>
        </w:rPr>
      </w:pPr>
      <w:r w:rsidRPr="00345C18">
        <w:t xml:space="preserve">As expected, a more unfavourable safety profile was reported for patients in the </w:t>
      </w:r>
      <w:r w:rsidRPr="0045765A">
        <w:rPr>
          <w:vertAlign w:val="superscript"/>
        </w:rPr>
        <w:t>177</w:t>
      </w:r>
      <w:r w:rsidRPr="00345C18">
        <w:t>Lu-PSMA-617 arm compared to those who received BSC/</w:t>
      </w:r>
      <w:proofErr w:type="spellStart"/>
      <w:r w:rsidRPr="00345C18">
        <w:t>BSoC</w:t>
      </w:r>
      <w:proofErr w:type="spellEnd"/>
      <w:r w:rsidRPr="00345C18">
        <w:t xml:space="preserve"> alone. However, the safety profile of </w:t>
      </w:r>
      <w:r w:rsidRPr="0045765A">
        <w:rPr>
          <w:vertAlign w:val="superscript"/>
        </w:rPr>
        <w:t>177</w:t>
      </w:r>
      <w:r w:rsidRPr="00345C18">
        <w:t>Lu</w:t>
      </w:r>
      <w:r w:rsidR="0045765A">
        <w:noBreakHyphen/>
      </w:r>
      <w:r w:rsidRPr="00345C18">
        <w:t>PSMA-617, although non-negligible, is outweighed by the efficacy outcomes in the context of this disease setting and patient population.</w:t>
      </w:r>
    </w:p>
    <w:p w14:paraId="756AFBAB" w14:textId="1803F0D2" w:rsidR="009A6CF7" w:rsidRPr="003723DD" w:rsidRDefault="009A6CF7" w:rsidP="003723DD">
      <w:r w:rsidRPr="003723DD">
        <w:t>The clinical evaluat</w:t>
      </w:r>
      <w:r w:rsidR="003723DD">
        <w:t>ion</w:t>
      </w:r>
      <w:r w:rsidRPr="003723DD">
        <w:t xml:space="preserve"> has recommended removing the phrase </w:t>
      </w:r>
      <w:r w:rsidR="003723DD">
        <w:t>‘</w:t>
      </w:r>
      <w:r w:rsidRPr="003723DD">
        <w:t xml:space="preserve">who are not medically suitable for </w:t>
      </w:r>
      <w:proofErr w:type="spellStart"/>
      <w:r w:rsidRPr="003723DD">
        <w:t>taxanes</w:t>
      </w:r>
      <w:proofErr w:type="spellEnd"/>
      <w:r w:rsidR="003723DD">
        <w:t>’</w:t>
      </w:r>
      <w:r w:rsidRPr="003723DD">
        <w:t xml:space="preserve"> from the indication, as the VISION trial did not include this patient group.</w:t>
      </w:r>
      <w:r w:rsidR="00F6301F">
        <w:t xml:space="preserve"> The sponsor did not agree.</w:t>
      </w:r>
    </w:p>
    <w:p w14:paraId="214725DF" w14:textId="62AEB318" w:rsidR="009A6CF7" w:rsidRPr="004A6D06" w:rsidRDefault="009A6CF7" w:rsidP="004A6D06">
      <w:r w:rsidRPr="004A6D06">
        <w:t xml:space="preserve">In theory, there does not appear to be any biologic reason to suggest that the efficacy or safety of </w:t>
      </w:r>
      <w:r w:rsidRPr="004A6D06">
        <w:rPr>
          <w:vertAlign w:val="superscript"/>
        </w:rPr>
        <w:t>177</w:t>
      </w:r>
      <w:r w:rsidRPr="004A6D06">
        <w:t xml:space="preserve">Lu-PSMA-617 in patients who are unsuitable for </w:t>
      </w:r>
      <w:proofErr w:type="spellStart"/>
      <w:r w:rsidRPr="004A6D06">
        <w:t>taxanes</w:t>
      </w:r>
      <w:proofErr w:type="spellEnd"/>
      <w:r w:rsidRPr="004A6D06">
        <w:t xml:space="preserve"> would be significantly different to patients who have previously received these agents in this context. However, the intended population of VISION was that of patients with progressive disease following previous treatment with an androgen receptor pathway inhibitor and docetaxel +/- </w:t>
      </w:r>
      <w:proofErr w:type="spellStart"/>
      <w:r w:rsidRPr="004A6D06">
        <w:t>cabazitaxel</w:t>
      </w:r>
      <w:proofErr w:type="spellEnd"/>
      <w:r w:rsidRPr="004A6D06">
        <w:t xml:space="preserve"> (</w:t>
      </w:r>
      <w:r w:rsidR="003C320B">
        <w:t>that is</w:t>
      </w:r>
      <w:r w:rsidRPr="004A6D06">
        <w:t>, those who have no other (currently) available life-prolonging therapeutic options)</w:t>
      </w:r>
      <w:r w:rsidR="003C320B">
        <w:t xml:space="preserve">, </w:t>
      </w:r>
      <w:r w:rsidRPr="004A6D06">
        <w:t>this is reflected in the VISION inclusion criteria. As such, there is no trial data to support a favourable clinical benefit</w:t>
      </w:r>
      <w:r w:rsidR="003C320B">
        <w:noBreakHyphen/>
      </w:r>
      <w:r w:rsidRPr="004A6D06">
        <w:t xml:space="preserve">risk profile of this therapy, at present, for the patient group </w:t>
      </w:r>
      <w:r w:rsidR="006A4DF9">
        <w:t>‘</w:t>
      </w:r>
      <w:r w:rsidRPr="004A6D06">
        <w:t xml:space="preserve">who are not medically suitable for </w:t>
      </w:r>
      <w:proofErr w:type="spellStart"/>
      <w:r w:rsidRPr="004A6D06">
        <w:t>taxanes</w:t>
      </w:r>
      <w:proofErr w:type="spellEnd"/>
      <w:r w:rsidR="006A4DF9">
        <w:t>’</w:t>
      </w:r>
      <w:r w:rsidRPr="004A6D06">
        <w:t>.</w:t>
      </w:r>
    </w:p>
    <w:p w14:paraId="4184B28E" w14:textId="79132CEB" w:rsidR="009A6CF7" w:rsidRPr="006A4DF9" w:rsidRDefault="009A6CF7" w:rsidP="006A4DF9">
      <w:r w:rsidRPr="006A4DF9">
        <w:t xml:space="preserve">The </w:t>
      </w:r>
      <w:r w:rsidR="006A4DF9">
        <w:t>D</w:t>
      </w:r>
      <w:r w:rsidRPr="006A4DF9">
        <w:t>elegate awaits with interest the results of currently active trials (</w:t>
      </w:r>
      <w:r w:rsidR="006A4DF9">
        <w:t>that is</w:t>
      </w:r>
      <w:r w:rsidRPr="006A4DF9">
        <w:t xml:space="preserve">, </w:t>
      </w:r>
      <w:proofErr w:type="spellStart"/>
      <w:r w:rsidRPr="006A4DF9">
        <w:t>PSMAfore</w:t>
      </w:r>
      <w:proofErr w:type="spellEnd"/>
      <w:r w:rsidRPr="006A4DF9">
        <w:t xml:space="preserve"> </w:t>
      </w:r>
      <w:proofErr w:type="spellStart"/>
      <w:r w:rsidRPr="006A4DF9">
        <w:t>NCT04689828</w:t>
      </w:r>
      <w:proofErr w:type="spellEnd"/>
      <w:r w:rsidRPr="006A4DF9">
        <w:t xml:space="preserve">, patients with </w:t>
      </w:r>
      <w:proofErr w:type="spellStart"/>
      <w:r w:rsidRPr="006A4DF9">
        <w:t>mCRPC</w:t>
      </w:r>
      <w:proofErr w:type="spellEnd"/>
      <w:r w:rsidRPr="006A4DF9">
        <w:t xml:space="preserve"> with progressive disease following one prior second generation androgen receptor inhibitor therapy; </w:t>
      </w:r>
      <w:proofErr w:type="spellStart"/>
      <w:r w:rsidRPr="006A4DF9">
        <w:t>PSMAddition</w:t>
      </w:r>
      <w:proofErr w:type="spellEnd"/>
      <w:r w:rsidRPr="006A4DF9">
        <w:t xml:space="preserve"> </w:t>
      </w:r>
      <w:proofErr w:type="spellStart"/>
      <w:r w:rsidRPr="006A4DF9">
        <w:t>NCT04720157</w:t>
      </w:r>
      <w:proofErr w:type="spellEnd"/>
      <w:r w:rsidRPr="006A4DF9">
        <w:t>) which is expected to provide information on the clinical efficacy and safety of Pluvicto in an earlier treatment setting for patients with metastatic prostate cancer.</w:t>
      </w:r>
    </w:p>
    <w:p w14:paraId="1B012CED" w14:textId="77777777" w:rsidR="00CE6D07" w:rsidRPr="00CE6D07" w:rsidRDefault="009A6CF7" w:rsidP="00CE6D07">
      <w:r w:rsidRPr="00CE6D07">
        <w:t>Given the lack of clinical data in the chemotherapy naïve population, the delegate’s preliminary (pre</w:t>
      </w:r>
      <w:r w:rsidR="00CE6D07" w:rsidRPr="00CE6D07">
        <w:noBreakHyphen/>
      </w:r>
      <w:r w:rsidRPr="00CE6D07">
        <w:t>ACM) view is in alignment with the recommendation with the clinical evaluat</w:t>
      </w:r>
      <w:r w:rsidR="00CE6D07" w:rsidRPr="00CE6D07">
        <w:t>ion</w:t>
      </w:r>
      <w:r w:rsidRPr="00CE6D07">
        <w:t xml:space="preserve">, with support for the following indication: </w:t>
      </w:r>
    </w:p>
    <w:p w14:paraId="1AC2C38F" w14:textId="1CC74D85" w:rsidR="009A6CF7" w:rsidRPr="00CE6D07" w:rsidRDefault="009A6CF7" w:rsidP="00CE6D07">
      <w:pPr>
        <w:ind w:left="720"/>
        <w:rPr>
          <w:i/>
          <w:iCs/>
        </w:rPr>
      </w:pPr>
      <w:r w:rsidRPr="00CE6D07">
        <w:rPr>
          <w:i/>
          <w:iCs/>
        </w:rPr>
        <w:t>P</w:t>
      </w:r>
      <w:r w:rsidR="00CE6D07" w:rsidRPr="00CE6D07">
        <w:rPr>
          <w:i/>
          <w:iCs/>
        </w:rPr>
        <w:t>luvicto</w:t>
      </w:r>
      <w:r w:rsidRPr="00CE6D07">
        <w:rPr>
          <w:i/>
          <w:iCs/>
        </w:rPr>
        <w:t xml:space="preserve"> is indicated for the treatment of adult patients with prostate-specific membrane antigen (PSMA)-positive metastatic castrate-resistant prostate cancer (</w:t>
      </w:r>
      <w:proofErr w:type="spellStart"/>
      <w:r w:rsidRPr="00CE6D07">
        <w:rPr>
          <w:i/>
          <w:iCs/>
        </w:rPr>
        <w:t>mCRPC</w:t>
      </w:r>
      <w:proofErr w:type="spellEnd"/>
      <w:r w:rsidRPr="00CE6D07">
        <w:rPr>
          <w:i/>
          <w:iCs/>
        </w:rPr>
        <w:t xml:space="preserve">) who have been treated with androgen receptor (AR) pathway inhibition and </w:t>
      </w:r>
      <w:proofErr w:type="spellStart"/>
      <w:r w:rsidRPr="00CE6D07">
        <w:rPr>
          <w:i/>
          <w:iCs/>
        </w:rPr>
        <w:t>taxane</w:t>
      </w:r>
      <w:proofErr w:type="spellEnd"/>
      <w:r w:rsidRPr="00CE6D07">
        <w:rPr>
          <w:i/>
          <w:iCs/>
        </w:rPr>
        <w:t>-based chemotherapy.</w:t>
      </w:r>
    </w:p>
    <w:p w14:paraId="77DF86B0" w14:textId="09BF6356" w:rsidR="009A6CF7" w:rsidRPr="009A6CF7" w:rsidRDefault="009A6CF7" w:rsidP="009A6CF7">
      <w:r w:rsidRPr="00C10C18">
        <w:t xml:space="preserve">The </w:t>
      </w:r>
      <w:r w:rsidR="00204BCC">
        <w:t>D</w:t>
      </w:r>
      <w:r w:rsidRPr="00C10C18">
        <w:t>elegate will refer this issue to the A</w:t>
      </w:r>
      <w:r w:rsidR="00C10C18" w:rsidRPr="00C10C18">
        <w:t>CM</w:t>
      </w:r>
      <w:r w:rsidRPr="00C10C18">
        <w:t xml:space="preserve"> to seek their view on whether they support the use of Pluvicto in the Australian clinical setting for the less restrictive indication as proposed by the sponsor.</w:t>
      </w:r>
    </w:p>
    <w:p w14:paraId="3916F296" w14:textId="35091E54" w:rsidR="00C22214" w:rsidRDefault="00C22214" w:rsidP="00C22214">
      <w:pPr>
        <w:pStyle w:val="Heading4"/>
      </w:pPr>
      <w:bookmarkStart w:id="65" w:name="_Toc98931933"/>
      <w:bookmarkStart w:id="66" w:name="_Toc213751015"/>
      <w:r w:rsidRPr="00D23139">
        <w:t>Proposed action</w:t>
      </w:r>
      <w:bookmarkEnd w:id="65"/>
      <w:bookmarkEnd w:id="66"/>
    </w:p>
    <w:p w14:paraId="39DD5D19" w14:textId="1C983385" w:rsidR="000144D9" w:rsidRDefault="000144D9" w:rsidP="000144D9">
      <w:r>
        <w:t xml:space="preserve">The benefit risk assessment for Pluvicto </w:t>
      </w:r>
      <w:proofErr w:type="gramStart"/>
      <w:r>
        <w:t>is considered to be</w:t>
      </w:r>
      <w:proofErr w:type="gramEnd"/>
      <w:r>
        <w:t xml:space="preserve"> favourable; the </w:t>
      </w:r>
      <w:r w:rsidR="00E878AE">
        <w:t>D</w:t>
      </w:r>
      <w:r>
        <w:t>elegate supports registration of Pluvicto for the following indication:</w:t>
      </w:r>
    </w:p>
    <w:p w14:paraId="7C496716" w14:textId="7A241902" w:rsidR="000144D9" w:rsidRPr="00E878AE" w:rsidRDefault="000144D9" w:rsidP="00E878AE">
      <w:pPr>
        <w:ind w:left="720"/>
        <w:rPr>
          <w:i/>
          <w:iCs/>
        </w:rPr>
      </w:pPr>
      <w:r w:rsidRPr="00E878AE">
        <w:rPr>
          <w:i/>
          <w:iCs/>
        </w:rPr>
        <w:t>P</w:t>
      </w:r>
      <w:r w:rsidR="00E878AE" w:rsidRPr="00E878AE">
        <w:rPr>
          <w:i/>
          <w:iCs/>
        </w:rPr>
        <w:t>luvicto</w:t>
      </w:r>
      <w:r w:rsidRPr="00E878AE">
        <w:rPr>
          <w:i/>
          <w:iCs/>
        </w:rPr>
        <w:t xml:space="preserve"> is indicated for the treatment of adult patients with prostate-specific membrane antigen (PSMA)-positive metastatic castrate-resistant prostate cancer (</w:t>
      </w:r>
      <w:proofErr w:type="spellStart"/>
      <w:r w:rsidRPr="00E878AE">
        <w:rPr>
          <w:i/>
          <w:iCs/>
        </w:rPr>
        <w:t>mCRPC</w:t>
      </w:r>
      <w:proofErr w:type="spellEnd"/>
      <w:r w:rsidRPr="00E878AE">
        <w:rPr>
          <w:i/>
          <w:iCs/>
        </w:rPr>
        <w:t xml:space="preserve">) who have been treated with androgen receptor (AR) pathway inhibition and </w:t>
      </w:r>
      <w:proofErr w:type="spellStart"/>
      <w:r w:rsidRPr="00E878AE">
        <w:rPr>
          <w:i/>
          <w:iCs/>
        </w:rPr>
        <w:t>taxane</w:t>
      </w:r>
      <w:proofErr w:type="spellEnd"/>
      <w:r w:rsidRPr="00E878AE">
        <w:rPr>
          <w:i/>
          <w:iCs/>
        </w:rPr>
        <w:t>-based chemotherapy</w:t>
      </w:r>
    </w:p>
    <w:p w14:paraId="318CFABC" w14:textId="250DB8A9" w:rsidR="00C22214" w:rsidRPr="00F73346" w:rsidRDefault="00C22214" w:rsidP="00C22214">
      <w:pPr>
        <w:pStyle w:val="Heading4"/>
      </w:pPr>
      <w:bookmarkStart w:id="67" w:name="_Toc98931936"/>
      <w:bookmarkStart w:id="68" w:name="_Toc213751016"/>
      <w:bookmarkStart w:id="69" w:name="_Toc247691532"/>
      <w:bookmarkStart w:id="70" w:name="_Toc314842516"/>
      <w:r w:rsidRPr="00F73346">
        <w:t xml:space="preserve">Advisory </w:t>
      </w:r>
      <w:r w:rsidR="003464B9">
        <w:t>c</w:t>
      </w:r>
      <w:r w:rsidRPr="00F73346">
        <w:t>ommittee considerations</w:t>
      </w:r>
      <w:bookmarkEnd w:id="67"/>
      <w:bookmarkEnd w:id="68"/>
    </w:p>
    <w:p w14:paraId="087BB9CB" w14:textId="5CDEAFF0" w:rsidR="00C22214" w:rsidRPr="00BD5DBD" w:rsidRDefault="00C22214" w:rsidP="00C22214">
      <w:pPr>
        <w:rPr>
          <w:bCs/>
          <w:szCs w:val="22"/>
        </w:rPr>
      </w:pPr>
      <w:r w:rsidRPr="00BD5DBD">
        <w:rPr>
          <w:bCs/>
          <w:szCs w:val="22"/>
        </w:rPr>
        <w:t xml:space="preserve">The </w:t>
      </w:r>
      <w:hyperlink r:id="rId27" w:history="1">
        <w:r w:rsidRPr="00BD5DBD">
          <w:rPr>
            <w:rStyle w:val="Hyperlink"/>
            <w:szCs w:val="22"/>
          </w:rPr>
          <w:t>Advisory Committee on Medicines (ACM)</w:t>
        </w:r>
      </w:hyperlink>
      <w:r w:rsidRPr="00BD5DBD">
        <w:rPr>
          <w:szCs w:val="22"/>
        </w:rPr>
        <w:t>,</w:t>
      </w:r>
      <w:r w:rsidRPr="00BD5DBD">
        <w:rPr>
          <w:bCs/>
          <w:szCs w:val="22"/>
        </w:rPr>
        <w:t xml:space="preserve"> having considered the evaluations and the Delegate’s overview, as well as the sponsor’s response to these documents, advised the following.</w:t>
      </w:r>
    </w:p>
    <w:p w14:paraId="0D935CC4" w14:textId="77777777" w:rsidR="00C22214" w:rsidRPr="00F73346" w:rsidRDefault="00C22214" w:rsidP="00C22214">
      <w:pPr>
        <w:pStyle w:val="Heading5"/>
      </w:pPr>
      <w:r w:rsidRPr="00F73346">
        <w:lastRenderedPageBreak/>
        <w:t>Specific advice to the Delegate</w:t>
      </w:r>
    </w:p>
    <w:p w14:paraId="1F9688F4" w14:textId="77777777" w:rsidR="000E400E" w:rsidRPr="000E400E" w:rsidRDefault="000E400E" w:rsidP="000E400E">
      <w:r w:rsidRPr="000E400E">
        <w:t>The ACM advised the following in response to the Delegate’s specific request for advice:</w:t>
      </w:r>
    </w:p>
    <w:p w14:paraId="6D10B508" w14:textId="695D5D95" w:rsidR="000E400E" w:rsidRPr="000E400E" w:rsidRDefault="000E400E" w:rsidP="000E400E">
      <w:pPr>
        <w:pStyle w:val="Numberbullet0"/>
        <w:rPr>
          <w:b/>
          <w:bCs/>
          <w:i/>
          <w:iCs/>
        </w:rPr>
      </w:pPr>
      <w:r w:rsidRPr="000E400E">
        <w:rPr>
          <w:b/>
          <w:bCs/>
          <w:i/>
          <w:iCs/>
        </w:rPr>
        <w:t xml:space="preserve">Does ACM support the use of Pluvicto in the Australian clinical setting for the less restrictive indication as proposed by the </w:t>
      </w:r>
      <w:r>
        <w:rPr>
          <w:b/>
          <w:bCs/>
          <w:i/>
          <w:iCs/>
        </w:rPr>
        <w:t>s</w:t>
      </w:r>
      <w:r w:rsidRPr="000E400E">
        <w:rPr>
          <w:b/>
          <w:bCs/>
          <w:i/>
          <w:iCs/>
        </w:rPr>
        <w:t>ponsor (</w:t>
      </w:r>
      <w:r>
        <w:rPr>
          <w:b/>
          <w:bCs/>
          <w:i/>
          <w:iCs/>
        </w:rPr>
        <w:t>that is</w:t>
      </w:r>
      <w:r w:rsidRPr="000E400E">
        <w:rPr>
          <w:b/>
          <w:bCs/>
          <w:i/>
          <w:iCs/>
        </w:rPr>
        <w:t xml:space="preserve">, for the treatment of adult patients with </w:t>
      </w:r>
      <w:proofErr w:type="spellStart"/>
      <w:r w:rsidRPr="000E400E">
        <w:rPr>
          <w:b/>
          <w:bCs/>
          <w:i/>
          <w:iCs/>
        </w:rPr>
        <w:t>PSMA</w:t>
      </w:r>
      <w:proofErr w:type="spellEnd"/>
      <w:r w:rsidRPr="000E400E">
        <w:rPr>
          <w:b/>
          <w:bCs/>
          <w:i/>
          <w:iCs/>
        </w:rPr>
        <w:t xml:space="preserve"> positive </w:t>
      </w:r>
      <w:proofErr w:type="spellStart"/>
      <w:r w:rsidRPr="000E400E">
        <w:rPr>
          <w:b/>
          <w:bCs/>
          <w:i/>
          <w:iCs/>
        </w:rPr>
        <w:t>mCRPC</w:t>
      </w:r>
      <w:proofErr w:type="spellEnd"/>
      <w:r w:rsidRPr="000E400E">
        <w:rPr>
          <w:b/>
          <w:bCs/>
          <w:i/>
          <w:iCs/>
        </w:rPr>
        <w:t xml:space="preserve"> who have been treated with AR pathway inhibition and </w:t>
      </w:r>
      <w:proofErr w:type="spellStart"/>
      <w:r w:rsidRPr="000E400E">
        <w:rPr>
          <w:b/>
          <w:bCs/>
          <w:i/>
          <w:iCs/>
        </w:rPr>
        <w:t>taxane</w:t>
      </w:r>
      <w:proofErr w:type="spellEnd"/>
      <w:r w:rsidRPr="000E400E">
        <w:rPr>
          <w:b/>
          <w:bCs/>
          <w:i/>
          <w:iCs/>
        </w:rPr>
        <w:t xml:space="preserve">-based chemotherapy or who are not medically suitable for </w:t>
      </w:r>
      <w:proofErr w:type="spellStart"/>
      <w:r w:rsidRPr="000E400E">
        <w:rPr>
          <w:b/>
          <w:bCs/>
          <w:i/>
          <w:iCs/>
        </w:rPr>
        <w:t>taxanes</w:t>
      </w:r>
      <w:proofErr w:type="spellEnd"/>
      <w:r w:rsidRPr="000E400E">
        <w:rPr>
          <w:b/>
          <w:bCs/>
          <w:i/>
          <w:iCs/>
        </w:rPr>
        <w:t>)?</w:t>
      </w:r>
    </w:p>
    <w:p w14:paraId="34FDE8AF" w14:textId="77777777" w:rsidR="000E400E" w:rsidRPr="00B81341" w:rsidRDefault="000E400E" w:rsidP="00B81341">
      <w:r w:rsidRPr="00B81341">
        <w:t xml:space="preserve">The ACM advised that the VISION trial included only patients who had had prior treatment with androgen receptor pathway inhibition and a </w:t>
      </w:r>
      <w:proofErr w:type="spellStart"/>
      <w:r w:rsidRPr="00B81341">
        <w:t>taxane</w:t>
      </w:r>
      <w:proofErr w:type="spellEnd"/>
      <w:r w:rsidRPr="00B81341">
        <w:t>.</w:t>
      </w:r>
    </w:p>
    <w:p w14:paraId="0BD44BAF" w14:textId="77777777" w:rsidR="000E400E" w:rsidRPr="00B81341" w:rsidRDefault="000E400E" w:rsidP="00B81341">
      <w:r w:rsidRPr="00B81341">
        <w:t xml:space="preserve">The ACM considered that it was likely that patients considered ‘not medically suitable for a </w:t>
      </w:r>
      <w:proofErr w:type="spellStart"/>
      <w:r w:rsidRPr="00B81341">
        <w:t>taxane</w:t>
      </w:r>
      <w:proofErr w:type="spellEnd"/>
      <w:r w:rsidRPr="00B81341">
        <w:t>’ would likely have failed other inclusion criteria for the VISION trial.</w:t>
      </w:r>
    </w:p>
    <w:p w14:paraId="6A681E56" w14:textId="77777777" w:rsidR="000E400E" w:rsidRPr="00B81341" w:rsidRDefault="000E400E" w:rsidP="00B81341">
      <w:r w:rsidRPr="00B81341">
        <w:t>The ACM noted that long-term toxicity (such as radiation risk and second cancers) from Pluvicto is unknown and risk may increase with longer survival if Pluvicto is used earlier in the course of the disease.</w:t>
      </w:r>
    </w:p>
    <w:p w14:paraId="5F021FDB" w14:textId="3760B810" w:rsidR="000E400E" w:rsidRPr="00B81341" w:rsidRDefault="000E400E" w:rsidP="00B81341">
      <w:r w:rsidRPr="00B81341">
        <w:t xml:space="preserve">While it is likely clinical benefit would be seen in the ‘not medically suitable for a </w:t>
      </w:r>
      <w:proofErr w:type="spellStart"/>
      <w:r w:rsidRPr="00B81341">
        <w:t>taxane</w:t>
      </w:r>
      <w:proofErr w:type="spellEnd"/>
      <w:r w:rsidRPr="00B81341">
        <w:t>’ patients, benefit over risk has not been established, and more data are required.</w:t>
      </w:r>
    </w:p>
    <w:p w14:paraId="5291EA2A" w14:textId="41383B92" w:rsidR="00C22214" w:rsidRPr="00F73346" w:rsidRDefault="008D56CA" w:rsidP="00C22214">
      <w:pPr>
        <w:pStyle w:val="Heading5"/>
      </w:pPr>
      <w:r>
        <w:t>A</w:t>
      </w:r>
      <w:r w:rsidR="004A45D4">
        <w:t>dvisory committee c</w:t>
      </w:r>
      <w:r w:rsidR="00C22214" w:rsidRPr="00F73346">
        <w:t>onclusion</w:t>
      </w:r>
    </w:p>
    <w:p w14:paraId="3AB8F0CE" w14:textId="77777777" w:rsidR="00040CF0" w:rsidRPr="00040CF0" w:rsidRDefault="00040CF0" w:rsidP="00040CF0">
      <w:r w:rsidRPr="00040CF0">
        <w:t>The ACM considered this product to have an overall positive benefit-risk profile for the indication:</w:t>
      </w:r>
    </w:p>
    <w:p w14:paraId="00438E5B" w14:textId="5DC40C42" w:rsidR="00040CF0" w:rsidRPr="00040CF0" w:rsidRDefault="00040CF0" w:rsidP="00040CF0">
      <w:pPr>
        <w:ind w:left="720"/>
        <w:rPr>
          <w:i/>
          <w:iCs/>
        </w:rPr>
      </w:pPr>
      <w:r w:rsidRPr="00040CF0">
        <w:rPr>
          <w:i/>
          <w:iCs/>
        </w:rPr>
        <w:t>Pluvicto is indicated for the treatment of adult patients with prostate-specific membrane antigen (PSMA)-positive metastatic castrate-resistant prostate cancer (</w:t>
      </w:r>
      <w:proofErr w:type="spellStart"/>
      <w:r w:rsidRPr="00040CF0">
        <w:rPr>
          <w:i/>
          <w:iCs/>
        </w:rPr>
        <w:t>mCRPC</w:t>
      </w:r>
      <w:proofErr w:type="spellEnd"/>
      <w:r w:rsidRPr="00040CF0">
        <w:rPr>
          <w:i/>
          <w:iCs/>
        </w:rPr>
        <w:t xml:space="preserve">) who have been treated with androgen receptor (AR) pathway inhibition and </w:t>
      </w:r>
      <w:proofErr w:type="spellStart"/>
      <w:r w:rsidRPr="00040CF0">
        <w:rPr>
          <w:i/>
          <w:iCs/>
        </w:rPr>
        <w:t>taxane</w:t>
      </w:r>
      <w:proofErr w:type="spellEnd"/>
      <w:r w:rsidRPr="00040CF0">
        <w:rPr>
          <w:i/>
          <w:iCs/>
        </w:rPr>
        <w:t>-based chemotherapy.</w:t>
      </w:r>
    </w:p>
    <w:p w14:paraId="307F236C" w14:textId="7FD19BD3" w:rsidR="00C22214" w:rsidRPr="002E238E" w:rsidRDefault="0046285C" w:rsidP="00C22214">
      <w:pPr>
        <w:pStyle w:val="Heading2"/>
      </w:pPr>
      <w:bookmarkStart w:id="71" w:name="_Toc103679300"/>
      <w:bookmarkStart w:id="72" w:name="_Toc213751017"/>
      <w:r>
        <w:t>Assessment</w:t>
      </w:r>
      <w:r w:rsidR="00190853">
        <w:t xml:space="preserve"> </w:t>
      </w:r>
      <w:r>
        <w:t>o</w:t>
      </w:r>
      <w:r w:rsidR="00C22214">
        <w:t>utcome</w:t>
      </w:r>
      <w:bookmarkEnd w:id="69"/>
      <w:bookmarkEnd w:id="70"/>
      <w:bookmarkEnd w:id="71"/>
      <w:bookmarkEnd w:id="72"/>
    </w:p>
    <w:p w14:paraId="4EF22939" w14:textId="4EEC0A10" w:rsidR="00C22214" w:rsidRDefault="00C22214" w:rsidP="0006104E">
      <w:r w:rsidRPr="0017005C">
        <w:t xml:space="preserve">Based on a review of quality, safety, and efficacy, the TGA </w:t>
      </w:r>
      <w:r w:rsidR="00B46DFB">
        <w:t>decided to</w:t>
      </w:r>
      <w:r w:rsidRPr="0017005C">
        <w:t xml:space="preserve"> regist</w:t>
      </w:r>
      <w:r w:rsidR="00B46DFB">
        <w:t>er</w:t>
      </w:r>
      <w:r w:rsidRPr="0017005C">
        <w:t xml:space="preserve"> </w:t>
      </w:r>
      <w:r w:rsidR="00D20138">
        <w:t>Pluvicto (l</w:t>
      </w:r>
      <w:r w:rsidR="00D20138" w:rsidRPr="007C51EB">
        <w:t>utetium (</w:t>
      </w:r>
      <w:r w:rsidR="00D20138" w:rsidRPr="000A7607">
        <w:rPr>
          <w:vertAlign w:val="superscript"/>
        </w:rPr>
        <w:t>177</w:t>
      </w:r>
      <w:r w:rsidR="00D20138" w:rsidRPr="007C51EB">
        <w:t>Lu) vipivotide tetraxetan</w:t>
      </w:r>
      <w:r w:rsidR="00D20138">
        <w:t>) 1000 MBq/mL, solution for injection, vial</w:t>
      </w:r>
      <w:r w:rsidRPr="0017005C">
        <w:t xml:space="preserve"> indicated for:</w:t>
      </w:r>
    </w:p>
    <w:p w14:paraId="07F2153D" w14:textId="1D27E8CF" w:rsidR="00C22214" w:rsidRPr="00593ACA" w:rsidRDefault="00593ACA" w:rsidP="00593ACA">
      <w:pPr>
        <w:ind w:left="720"/>
        <w:rPr>
          <w:i/>
          <w:iCs/>
        </w:rPr>
      </w:pPr>
      <w:r w:rsidRPr="00593ACA">
        <w:rPr>
          <w:i/>
          <w:iCs/>
        </w:rPr>
        <w:t>Pluvicto is indicated for the treatment of adult patients with prostate-specific membrane antigen (PSMA)-positive metastatic castration-resistant prostate cancer (</w:t>
      </w:r>
      <w:proofErr w:type="spellStart"/>
      <w:r w:rsidRPr="00593ACA">
        <w:rPr>
          <w:i/>
          <w:iCs/>
        </w:rPr>
        <w:t>mCRPC</w:t>
      </w:r>
      <w:proofErr w:type="spellEnd"/>
      <w:r w:rsidRPr="00593ACA">
        <w:rPr>
          <w:i/>
          <w:iCs/>
        </w:rPr>
        <w:t xml:space="preserve">) who have been treated with androgen receptor (AR) pathway inhibition and </w:t>
      </w:r>
      <w:proofErr w:type="spellStart"/>
      <w:r w:rsidRPr="00593ACA">
        <w:rPr>
          <w:i/>
          <w:iCs/>
        </w:rPr>
        <w:t>taxane</w:t>
      </w:r>
      <w:proofErr w:type="spellEnd"/>
      <w:r w:rsidRPr="00593ACA">
        <w:rPr>
          <w:i/>
          <w:iCs/>
        </w:rPr>
        <w:t>-based chemotherapy</w:t>
      </w:r>
      <w:r w:rsidR="00D057A2">
        <w:rPr>
          <w:i/>
          <w:iCs/>
        </w:rPr>
        <w:t>.</w:t>
      </w:r>
    </w:p>
    <w:p w14:paraId="0D732DA4" w14:textId="1A71F786" w:rsidR="00854D98" w:rsidRPr="00D23139" w:rsidRDefault="00854D98" w:rsidP="00906C74">
      <w:pPr>
        <w:pStyle w:val="Heading2"/>
      </w:pPr>
      <w:bookmarkStart w:id="73" w:name="_Toc103679301"/>
      <w:bookmarkStart w:id="74" w:name="_Toc213751018"/>
      <w:r w:rsidRPr="00D23139">
        <w:t>Specific conditions of registration</w:t>
      </w:r>
      <w:bookmarkEnd w:id="73"/>
      <w:bookmarkEnd w:id="74"/>
    </w:p>
    <w:p w14:paraId="1706B4F4" w14:textId="25EC6C81" w:rsidR="00C64315" w:rsidRPr="00C64315" w:rsidRDefault="00C64315" w:rsidP="00C64315">
      <w:pPr>
        <w:pStyle w:val="ListBullet"/>
      </w:pPr>
      <w:r w:rsidRPr="00C64315">
        <w:t>P</w:t>
      </w:r>
      <w:r>
        <w:t>luvicto</w:t>
      </w:r>
      <w:r w:rsidRPr="00C64315">
        <w:t xml:space="preserve"> (Lutetium (</w:t>
      </w:r>
      <w:r w:rsidRPr="00AD0A92">
        <w:rPr>
          <w:vertAlign w:val="superscript"/>
        </w:rPr>
        <w:t>177</w:t>
      </w:r>
      <w:r w:rsidRPr="00C64315">
        <w:t>Lu) vipivotide tetraxetan) is to be included in the Black Triangle Scheme. The PI and CMI for P</w:t>
      </w:r>
      <w:r>
        <w:t>luvicto</w:t>
      </w:r>
      <w:r w:rsidRPr="00C64315">
        <w:t xml:space="preserve"> must include the black triangle symbol and mandatory accompanying text for five years, which starts from the date that the sponsor notifies the TGA of supply of the product.</w:t>
      </w:r>
    </w:p>
    <w:p w14:paraId="1E16E581" w14:textId="19F6EECF" w:rsidR="00C64315" w:rsidRPr="00C64315" w:rsidRDefault="00C64315" w:rsidP="00A47ED0">
      <w:pPr>
        <w:pStyle w:val="ListBullet"/>
      </w:pPr>
      <w:r w:rsidRPr="00C64315">
        <w:t>The P</w:t>
      </w:r>
      <w:r w:rsidR="00A47ED0">
        <w:t>luvicto</w:t>
      </w:r>
      <w:r w:rsidRPr="00C64315">
        <w:t xml:space="preserve"> EU-Risk Management Plan (RMP) (version 1.2, dated 11 October 2022, </w:t>
      </w:r>
      <w:proofErr w:type="gramStart"/>
      <w:r w:rsidRPr="00C64315">
        <w:t>and,</w:t>
      </w:r>
      <w:proofErr w:type="gramEnd"/>
      <w:r w:rsidRPr="00C64315">
        <w:t xml:space="preserve"> DLP 27 January 2021), with Australian </w:t>
      </w:r>
      <w:r w:rsidR="00B65201">
        <w:t>s</w:t>
      </w:r>
      <w:r w:rsidRPr="00C64315">
        <w:t xml:space="preserve">pecific </w:t>
      </w:r>
      <w:r w:rsidR="00B65201">
        <w:t>a</w:t>
      </w:r>
      <w:r w:rsidRPr="00C64315">
        <w:t>nnex (version 1.0, dated 20 June 2023), included with submission PM-2023-02254-1-4, and any subsequent revisions, as agreed with the TGA will be implemented in Australia.</w:t>
      </w:r>
    </w:p>
    <w:p w14:paraId="3949445E" w14:textId="77777777" w:rsidR="00AD0A92" w:rsidRDefault="00C64315" w:rsidP="00A47ED0">
      <w:pPr>
        <w:pStyle w:val="ListBullet"/>
        <w:numPr>
          <w:ilvl w:val="0"/>
          <w:numId w:val="0"/>
        </w:numPr>
        <w:ind w:left="360"/>
      </w:pPr>
      <w:r w:rsidRPr="00C64315">
        <w:t>An obligatory component of risk management plans is routine pharmacovigilance. Routine pharmacovigilance includes the submission of periodic safety update reports (PSURs)</w:t>
      </w:r>
      <w:r w:rsidR="00AD0A92">
        <w:t>.</w:t>
      </w:r>
    </w:p>
    <w:p w14:paraId="1D305FA7" w14:textId="278F2348" w:rsidR="00C64315" w:rsidRPr="00C64315" w:rsidRDefault="00C64315" w:rsidP="003464B9">
      <w:pPr>
        <w:pStyle w:val="ListBullet"/>
      </w:pPr>
      <w:r w:rsidRPr="00C64315">
        <w:lastRenderedPageBreak/>
        <w:t>Reports are to be provided in line with the current published list of EU reference dates and frequency of submission of PSURs until the period covered by such reports is not less than three years from the date of th</w:t>
      </w:r>
      <w:r w:rsidR="00B65201">
        <w:t>e</w:t>
      </w:r>
      <w:r w:rsidRPr="00C64315">
        <w:t xml:space="preserve"> approval letter. Each report must be submitted within ninety calendar days of the data lock point for that report.</w:t>
      </w:r>
    </w:p>
    <w:p w14:paraId="63D25438" w14:textId="6E2CD3D5" w:rsidR="00C64315" w:rsidRPr="00C64315" w:rsidRDefault="00C64315" w:rsidP="003464B9">
      <w:pPr>
        <w:pStyle w:val="ListBullet"/>
      </w:pPr>
      <w:r w:rsidRPr="00C64315">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16F5DE49" w14:textId="11EE8B70" w:rsidR="00C64315" w:rsidRPr="00C64315" w:rsidRDefault="00C64315" w:rsidP="004C4F2C">
      <w:pPr>
        <w:pStyle w:val="ListBullet"/>
      </w:pPr>
      <w:r w:rsidRPr="00C64315">
        <w:t>Conduct an integrated safety analysis to further characteri</w:t>
      </w:r>
      <w:r w:rsidR="004C4F2C">
        <w:t>s</w:t>
      </w:r>
      <w:r w:rsidRPr="00C64315">
        <w:t>e the long term outcome of the known serious risk of myelosuppression, renal failure, xerostomia and xerophthalmia and their complications; the potential serious signals of secondary malignancies including myelodysplastic syndrome and acute myeloid leukemia (MDS/AML); and other serious adverse reactions in patients receiving lutetium (</w:t>
      </w:r>
      <w:r w:rsidRPr="00F90985">
        <w:rPr>
          <w:vertAlign w:val="superscript"/>
        </w:rPr>
        <w:t>177</w:t>
      </w:r>
      <w:r w:rsidRPr="00C64315">
        <w:t>Lu) vipivotide tetraxetan in the VISION study and its sub-study, Trial CAAA617C12301 (NCT04720157), Trial CAAA617B12302 (NCT04689828) and other clinical trials as appropriate. Capture data prospectively in amended case report forms to include incidence, grade, date of onset and resolution of the adverse reaction, predisposing factors and outcomes, date and quantity of red cell and platelet transfusion, use of growth factors for myelosuppression, subsequent antineoplastic therapies, radiation therapy, and hospital admissions. Follow all patients until death, loss to follow-up, or for up to 10 years, whichever occurs first.</w:t>
      </w:r>
    </w:p>
    <w:p w14:paraId="715D463F" w14:textId="45A6528F" w:rsidR="00C64315" w:rsidRPr="00C64315" w:rsidRDefault="00C64315" w:rsidP="003464B9">
      <w:pPr>
        <w:pStyle w:val="ListBullet"/>
      </w:pPr>
      <w:r w:rsidRPr="00C64315">
        <w:t>Conduct a clinical trial to determine the kidney biodistribution, dosimetry, pharmacokinetics, and safety of lutetium (</w:t>
      </w:r>
      <w:r w:rsidRPr="00335098">
        <w:rPr>
          <w:vertAlign w:val="superscript"/>
        </w:rPr>
        <w:t>177</w:t>
      </w:r>
      <w:r w:rsidRPr="00C64315">
        <w:t xml:space="preserve">Lu) vipivotide tetraxetan and assess the potential for higher drug exposure and the resultant risk of increased serious toxicities in patients with moderate and severe renal impairment. </w:t>
      </w:r>
      <w:r w:rsidRPr="003464B9">
        <w:t>Assess</w:t>
      </w:r>
      <w:r w:rsidRPr="00C64315">
        <w:t xml:space="preserve"> long-term toxicities in these patients. Follow all patients until death, loss to follow-up, or for up to 10 years, whichever occurs first. Include risk mitigation strategies to reduce potential toxicities in the final report. Design and conduct the trial in accordance with FDA Guidance for Industry titled Pharmacokinetics in Patients with Impaired Renal Function: Study Design, Data Analysis, and Impact on Dosing.</w:t>
      </w:r>
    </w:p>
    <w:p w14:paraId="4B92BB34" w14:textId="4AEE8D2C" w:rsidR="00C64315" w:rsidRPr="004C4F2C" w:rsidRDefault="00C64315" w:rsidP="003464B9">
      <w:pPr>
        <w:pStyle w:val="ListBullet"/>
      </w:pPr>
      <w:r w:rsidRPr="004C4F2C">
        <w:t>Conduct a clinical trial to evaluate the efficacy and safety of lutetium (</w:t>
      </w:r>
      <w:r w:rsidRPr="00281726">
        <w:rPr>
          <w:vertAlign w:val="superscript"/>
        </w:rPr>
        <w:t>177</w:t>
      </w:r>
      <w:r w:rsidRPr="004C4F2C">
        <w:t>Lu) vipivotide tetraxetan in patients with advanced/</w:t>
      </w:r>
      <w:r w:rsidRPr="003464B9">
        <w:t>metastatic</w:t>
      </w:r>
      <w:r w:rsidRPr="004C4F2C">
        <w:t xml:space="preserve"> prostate cancer who have at least one lesion with PSMA expression higher than that in normal liver parenchyma on PSMA-11 PET scan and at least one lesion with PSMA expression less than or equal to uptake in normal liver, with the following size criteria in short axis: size criteria in short axis: organs &gt;</w:t>
      </w:r>
      <w:r w:rsidR="00CF3D7C">
        <w:t> </w:t>
      </w:r>
      <w:r w:rsidRPr="004C4F2C">
        <w:t>1 cm, lymph nodes &gt;</w:t>
      </w:r>
      <w:r w:rsidR="00CF3D7C">
        <w:t> </w:t>
      </w:r>
      <w:r w:rsidRPr="004C4F2C">
        <w:t>2.5 cm, bones (soft tissue component) &gt;</w:t>
      </w:r>
      <w:r w:rsidR="00CF3D7C">
        <w:t> </w:t>
      </w:r>
      <w:r w:rsidRPr="004C4F2C">
        <w:t>1cm. Alternatively, add cohorts of these patients to ongoing trials. Include an analysis of these safety and efficacy data.</w:t>
      </w:r>
    </w:p>
    <w:p w14:paraId="0F9C1952" w14:textId="244E900A" w:rsidR="00BA657C" w:rsidRPr="00BA657C" w:rsidRDefault="00BA657C" w:rsidP="00CC6EC3">
      <w:pPr>
        <w:pStyle w:val="Heading3"/>
      </w:pPr>
      <w:bookmarkStart w:id="75" w:name="_Toc196738290"/>
      <w:bookmarkStart w:id="76" w:name="_Toc213751019"/>
      <w:r w:rsidRPr="00BA657C">
        <w:t>Product Information and Consumer Medicine Information</w:t>
      </w:r>
      <w:bookmarkEnd w:id="75"/>
      <w:bookmarkEnd w:id="76"/>
    </w:p>
    <w:p w14:paraId="53357BF3" w14:textId="2177C893" w:rsidR="00C22214" w:rsidRDefault="004D0933" w:rsidP="00C22214">
      <w:pPr>
        <w:sectPr w:rsidR="00C22214" w:rsidSect="007452E8">
          <w:headerReference w:type="default" r:id="rId28"/>
          <w:footerReference w:type="default" r:id="rId29"/>
          <w:pgSz w:w="11906" w:h="16838" w:code="9"/>
          <w:pgMar w:top="1134" w:right="1418" w:bottom="1361" w:left="1418" w:header="573" w:footer="567" w:gutter="0"/>
          <w:cols w:space="708"/>
          <w:docGrid w:linePitch="360"/>
        </w:sectPr>
      </w:pPr>
      <w:bookmarkStart w:id="77" w:name="_Hlk200021736"/>
      <w:r w:rsidRPr="004D0933">
        <w:t xml:space="preserve">For the most recent Product Information (PI) and Consumer Medicine Information (CMI), please refer to the TGA </w:t>
      </w:r>
      <w:hyperlink r:id="rId30" w:history="1">
        <w:r w:rsidRPr="004D0933">
          <w:rPr>
            <w:rStyle w:val="Hyperlink"/>
          </w:rPr>
          <w:t>PI/CMI search facility.</w:t>
        </w:r>
      </w:hyperlink>
      <w:bookmarkEnd w:id="77"/>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5"/>
          <w:bookmarkEnd w:id="6"/>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683A7D87" w:rsidR="00F02AEC" w:rsidRDefault="00F02AEC">
            <w:pPr>
              <w:pStyle w:val="Address"/>
              <w:jc w:val="center"/>
              <w:rPr>
                <w:sz w:val="22"/>
                <w:szCs w:val="22"/>
              </w:rPr>
            </w:pPr>
            <w:r w:rsidRPr="00215D48">
              <w:t xml:space="preserve">Email: </w:t>
            </w:r>
            <w:hyperlink r:id="rId31" w:history="1">
              <w:r w:rsidRPr="00215D48">
                <w:rPr>
                  <w:rStyle w:val="Hyperlink"/>
                </w:rPr>
                <w:t>info@tga.gov.au</w:t>
              </w:r>
            </w:hyperlink>
            <w:r w:rsidR="00AD0A92">
              <w:t xml:space="preserve"> </w:t>
            </w:r>
            <w:r w:rsidRPr="00215D48">
              <w:t xml:space="preserve">Phone: 1800 020 653 Fax: </w:t>
            </w:r>
            <w:r w:rsidRPr="00BA0DFC">
              <w:t>02 6203 1605</w:t>
            </w:r>
          </w:p>
          <w:p w14:paraId="4533D80F" w14:textId="283A6370" w:rsidR="00F02AEC" w:rsidRPr="00215D48" w:rsidRDefault="00F02AEC">
            <w:pPr>
              <w:pStyle w:val="Address"/>
              <w:jc w:val="center"/>
              <w:rPr>
                <w:rStyle w:val="Hyperlink"/>
                <w:b/>
                <w:color w:val="auto"/>
                <w:sz w:val="22"/>
              </w:rPr>
            </w:pPr>
            <w:hyperlink r:id="rId32" w:history="1">
              <w:r w:rsidRPr="00C4721A">
                <w:rPr>
                  <w:rStyle w:val="Hyperlink"/>
                  <w:b/>
                </w:rPr>
                <w:t>https://www.tga.gov.au</w:t>
              </w:r>
            </w:hyperlink>
          </w:p>
        </w:tc>
      </w:tr>
    </w:tbl>
    <w:p w14:paraId="788B80FD" w14:textId="77777777" w:rsidR="007452E8" w:rsidRDefault="007452E8"/>
    <w:sectPr w:rsidR="007452E8" w:rsidSect="007452E8">
      <w:headerReference w:type="first" r:id="rId33"/>
      <w:footerReference w:type="first" r:id="rId3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06ACE" w14:textId="77777777" w:rsidR="00AB1E9B" w:rsidRDefault="00AB1E9B" w:rsidP="00F02AEC">
      <w:pPr>
        <w:spacing w:after="0" w:line="240" w:lineRule="auto"/>
      </w:pPr>
      <w:r>
        <w:separator/>
      </w:r>
    </w:p>
  </w:endnote>
  <w:endnote w:type="continuationSeparator" w:id="0">
    <w:p w14:paraId="39D31E49" w14:textId="77777777" w:rsidR="00AB1E9B" w:rsidRDefault="00AB1E9B"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5C29" w14:textId="3DC63EF5" w:rsidR="00924058" w:rsidRDefault="00924058">
    <w:pPr>
      <w:pStyle w:val="Footer"/>
    </w:pPr>
    <w:r>
      <w:rPr>
        <w:noProof/>
      </w:rPr>
      <mc:AlternateContent>
        <mc:Choice Requires="wps">
          <w:drawing>
            <wp:anchor distT="0" distB="0" distL="0" distR="0" simplePos="0" relativeHeight="251667456" behindDoc="0" locked="0" layoutInCell="1" allowOverlap="1" wp14:anchorId="796A0010" wp14:editId="4A864F73">
              <wp:simplePos x="635" y="635"/>
              <wp:positionH relativeFrom="page">
                <wp:align>center</wp:align>
              </wp:positionH>
              <wp:positionV relativeFrom="page">
                <wp:align>bottom</wp:align>
              </wp:positionV>
              <wp:extent cx="551815" cy="391160"/>
              <wp:effectExtent l="0" t="0" r="635" b="0"/>
              <wp:wrapNone/>
              <wp:docPr id="206221278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086EFFF" w14:textId="73B1D084"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6A0010" id="_x0000_t202" coordsize="21600,21600" o:spt="202" path="m,l,21600r21600,l21600,xe">
              <v:stroke joinstyle="miter"/>
              <v:path gradientshapeok="t" o:connecttype="rect"/>
            </v:shapetype>
            <v:shape id="Text Box 7" o:spid="_x0000_s1028" type="#_x0000_t202" alt="OFFICIAL" style="position:absolute;margin-left:0;margin-top:0;width:43.45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2086EFFF" w14:textId="73B1D084"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0B896975" w:rsidR="007452E8" w:rsidRDefault="00924058" w:rsidP="007452E8">
          <w:pPr>
            <w:pStyle w:val="Footer"/>
          </w:pPr>
          <w:r>
            <w:rPr>
              <w:noProof/>
            </w:rPr>
            <mc:AlternateContent>
              <mc:Choice Requires="wps">
                <w:drawing>
                  <wp:anchor distT="0" distB="0" distL="0" distR="0" simplePos="0" relativeHeight="251668480" behindDoc="0" locked="0" layoutInCell="1" allowOverlap="1" wp14:anchorId="319F6FE4" wp14:editId="76174329">
                    <wp:simplePos x="635" y="635"/>
                    <wp:positionH relativeFrom="page">
                      <wp:align>center</wp:align>
                    </wp:positionH>
                    <wp:positionV relativeFrom="page">
                      <wp:align>bottom</wp:align>
                    </wp:positionV>
                    <wp:extent cx="551815" cy="391160"/>
                    <wp:effectExtent l="0" t="0" r="635" b="0"/>
                    <wp:wrapNone/>
                    <wp:docPr id="1128627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54190DB" w14:textId="0F5EE320"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9F6FE4" id="_x0000_t202" coordsize="21600,21600" o:spt="202" path="m,l,21600r21600,l21600,xe">
                    <v:stroke joinstyle="miter"/>
                    <v:path gradientshapeok="t" o:connecttype="rect"/>
                  </v:shapetype>
                  <v:shape id="Text Box 8" o:spid="_x0000_s1029" type="#_x0000_t202" alt="OFFICIAL" style="position:absolute;margin-left:0;margin-top:0;width:43.45pt;height:30.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154190DB" w14:textId="0F5EE320"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v:textbox>
                    <w10:wrap anchorx="page" anchory="page"/>
                  </v:shape>
                </w:pict>
              </mc:Fallback>
            </mc:AlternateContent>
          </w: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7F1E37">
                <w:fldChar w:fldCharType="begin"/>
              </w:r>
              <w:r w:rsidR="007F1E37">
                <w:instrText xml:space="preserve"> NUMPAGES  </w:instrText>
              </w:r>
              <w:r w:rsidR="007F1E37">
                <w:fldChar w:fldCharType="separate"/>
              </w:r>
              <w:r>
                <w:rPr>
                  <w:noProof/>
                </w:rPr>
                <w:t>2</w:t>
              </w:r>
              <w:r w:rsidR="007F1E37">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proofErr w:type="spellStart"/>
          <w:r w:rsidRPr="00257138">
            <w:t>V1.0</w:t>
          </w:r>
          <w:proofErr w:type="spellEnd"/>
          <w:r w:rsidRPr="00257138">
            <w:t xml:space="preserve">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13C72F37" w:rsidR="007452E8" w:rsidRDefault="00924058" w:rsidP="007452E8">
    <w:pPr>
      <w:pStyle w:val="Footer"/>
      <w:ind w:left="-1701"/>
    </w:pPr>
    <w:r>
      <w:rPr>
        <w:noProof/>
      </w:rPr>
      <mc:AlternateContent>
        <mc:Choice Requires="wps">
          <w:drawing>
            <wp:anchor distT="0" distB="0" distL="0" distR="0" simplePos="0" relativeHeight="251666432" behindDoc="0" locked="0" layoutInCell="1" allowOverlap="1" wp14:anchorId="5B6B1743" wp14:editId="2899321C">
              <wp:simplePos x="914400" y="10115550"/>
              <wp:positionH relativeFrom="page">
                <wp:align>center</wp:align>
              </wp:positionH>
              <wp:positionV relativeFrom="page">
                <wp:align>bottom</wp:align>
              </wp:positionV>
              <wp:extent cx="551815" cy="391160"/>
              <wp:effectExtent l="0" t="0" r="635" b="0"/>
              <wp:wrapNone/>
              <wp:docPr id="103724550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F015CC8" w14:textId="12512ED7"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6B1743" id="_x0000_t202" coordsize="21600,21600" o:spt="202" path="m,l,21600r21600,l21600,xe">
              <v:stroke joinstyle="miter"/>
              <v:path gradientshapeok="t" o:connecttype="rect"/>
            </v:shapetype>
            <v:shape id="Text Box 6" o:spid="_x0000_s1031" type="#_x0000_t202" alt="OFFICIAL" style="position:absolute;left:0;text-align:left;margin-left:0;margin-top:0;width:43.45pt;height:30.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1F015CC8" w14:textId="12512ED7"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v:textbox>
              <w10:wrap anchorx="page" anchory="page"/>
            </v:shape>
          </w:pict>
        </mc:Fallback>
      </mc:AlternateContent>
    </w:r>
    <w:r w:rsidR="007452E8"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45E4EDE2" w:rsidR="007452E8" w:rsidRPr="004A3084" w:rsidRDefault="00924058" w:rsidP="007452E8">
          <w:pPr>
            <w:pStyle w:val="Footer"/>
          </w:pPr>
          <w:r>
            <w:rPr>
              <w:noProof/>
            </w:rPr>
            <mc:AlternateContent>
              <mc:Choice Requires="wps">
                <w:drawing>
                  <wp:anchor distT="0" distB="0" distL="0" distR="0" simplePos="0" relativeHeight="251669504" behindDoc="0" locked="0" layoutInCell="1" allowOverlap="1" wp14:anchorId="30C02549" wp14:editId="142CFD76">
                    <wp:simplePos x="0" y="0"/>
                    <wp:positionH relativeFrom="margin">
                      <wp:posOffset>2533650</wp:posOffset>
                    </wp:positionH>
                    <wp:positionV relativeFrom="page">
                      <wp:posOffset>395412</wp:posOffset>
                    </wp:positionV>
                    <wp:extent cx="551815" cy="391160"/>
                    <wp:effectExtent l="0" t="0" r="635" b="0"/>
                    <wp:wrapNone/>
                    <wp:docPr id="61467381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DDF621E" w14:textId="6DC3EF4A"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02549" id="_x0000_t202" coordsize="21600,21600" o:spt="202" path="m,l,21600r21600,l21600,xe">
                    <v:stroke joinstyle="miter"/>
                    <v:path gradientshapeok="t" o:connecttype="rect"/>
                  </v:shapetype>
                  <v:shape id="Text Box 9" o:spid="_x0000_s1033" type="#_x0000_t202" alt="OFFICIAL" style="position:absolute;margin-left:199.5pt;margin-top:31.15pt;width:43.45pt;height:30.8pt;z-index:251669504;visibility:visible;mso-wrap-style:none;mso-wrap-distance-left:0;mso-wrap-distance-top:0;mso-wrap-distance-right:0;mso-wrap-distance-bottom:0;mso-position-horizontal:absolute;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u+DwIAABwEAAAOAAAAZHJzL2Uyb0RvYy54bWysU01v2zAMvQ/YfxB0X2x3SNc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" filled="f" stroked="f">
                    <v:textbox style="mso-fit-shape-to-text:t" inset="0,0,0,15pt">
                      <w:txbxContent>
                        <w:p w14:paraId="2DDF621E" w14:textId="6DC3EF4A"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v:textbox>
                    <w10:wrap anchorx="margin" anchory="page"/>
                  </v:shape>
                </w:pict>
              </mc:Fallback>
            </mc:AlternateContent>
          </w:r>
          <w:proofErr w:type="spellStart"/>
          <w:r w:rsidR="007452E8" w:rsidRPr="00487162">
            <w:t>AusPA</w:t>
          </w:r>
          <w:r w:rsidR="007452E8">
            <w:t>R</w:t>
          </w:r>
          <w:proofErr w:type="spellEnd"/>
          <w:r w:rsidR="007452E8">
            <w:t xml:space="preserve"> - </w:t>
          </w:r>
          <w:proofErr w:type="spellStart"/>
          <w:r w:rsidR="002043A6">
            <w:rPr>
              <w:rFonts w:cstheme="minorHAnsi"/>
            </w:rPr>
            <w:t>Pluvicto</w:t>
          </w:r>
          <w:proofErr w:type="spellEnd"/>
          <w:r w:rsidR="002043A6" w:rsidRPr="005F5051">
            <w:rPr>
              <w:rFonts w:cstheme="minorHAnsi"/>
            </w:rPr>
            <w:t xml:space="preserve"> </w:t>
          </w:r>
          <w:r w:rsidR="002043A6">
            <w:rPr>
              <w:rFonts w:cstheme="minorHAnsi"/>
            </w:rPr>
            <w:t>- l</w:t>
          </w:r>
          <w:r w:rsidR="002043A6" w:rsidRPr="00937CA2">
            <w:rPr>
              <w:rFonts w:cstheme="minorHAnsi"/>
            </w:rPr>
            <w:t>utetium (</w:t>
          </w:r>
          <w:proofErr w:type="spellStart"/>
          <w:r w:rsidR="002043A6" w:rsidRPr="000A7607">
            <w:rPr>
              <w:rFonts w:cstheme="minorHAnsi"/>
              <w:vertAlign w:val="superscript"/>
            </w:rPr>
            <w:t>177</w:t>
          </w:r>
          <w:r w:rsidR="002043A6" w:rsidRPr="00937CA2">
            <w:rPr>
              <w:rFonts w:cstheme="minorHAnsi"/>
            </w:rPr>
            <w:t>Lu</w:t>
          </w:r>
          <w:proofErr w:type="spellEnd"/>
          <w:r w:rsidR="002043A6" w:rsidRPr="00937CA2">
            <w:rPr>
              <w:rFonts w:cstheme="minorHAnsi"/>
            </w:rPr>
            <w:t xml:space="preserve">) </w:t>
          </w:r>
          <w:proofErr w:type="spellStart"/>
          <w:r w:rsidR="002043A6" w:rsidRPr="00937CA2">
            <w:rPr>
              <w:rFonts w:cstheme="minorHAnsi"/>
            </w:rPr>
            <w:t>vipivotide</w:t>
          </w:r>
          <w:proofErr w:type="spellEnd"/>
          <w:r w:rsidR="002043A6" w:rsidRPr="00937CA2">
            <w:rPr>
              <w:rFonts w:cstheme="minorHAnsi"/>
            </w:rPr>
            <w:t xml:space="preserve"> tetraxetan</w:t>
          </w:r>
          <w:r w:rsidR="002043A6" w:rsidRPr="00F10C4B">
            <w:rPr>
              <w:rFonts w:cstheme="minorHAnsi"/>
            </w:rPr>
            <w:t xml:space="preserve"> </w:t>
          </w:r>
          <w:r w:rsidR="002043A6" w:rsidRPr="005F5051">
            <w:rPr>
              <w:rFonts w:cstheme="minorHAnsi"/>
            </w:rPr>
            <w:t xml:space="preserve">- </w:t>
          </w:r>
          <w:r w:rsidR="002043A6" w:rsidRPr="003A1D7A">
            <w:rPr>
              <w:rFonts w:cstheme="minorHAnsi"/>
            </w:rPr>
            <w:t xml:space="preserve">Novartis Pharmaceuticals Australia Pty Ltd </w:t>
          </w:r>
          <w:r w:rsidR="002043A6" w:rsidRPr="005F5051">
            <w:rPr>
              <w:rFonts w:cstheme="minorHAnsi"/>
            </w:rPr>
            <w:t xml:space="preserve">- </w:t>
          </w:r>
          <w:r w:rsidR="002043A6" w:rsidRPr="00D05600">
            <w:rPr>
              <w:rFonts w:cstheme="minorHAnsi"/>
            </w:rPr>
            <w:t>PM-2023-02254-1-4</w:t>
          </w:r>
          <w:r w:rsidR="007452E8">
            <w:br/>
          </w:r>
          <w:r w:rsidR="00784CA1">
            <w:t>Final</w:t>
          </w:r>
          <w:r w:rsidR="00CF3D7C">
            <w:t xml:space="preserve"> </w:t>
          </w:r>
          <w:r w:rsidR="00784CA1">
            <w:t>2</w:t>
          </w:r>
          <w:r w:rsidR="00AB77D0">
            <w:t>7</w:t>
          </w:r>
          <w:r w:rsidR="008B23AD">
            <w:t xml:space="preserve"> </w:t>
          </w:r>
          <w:r w:rsidR="00784CA1">
            <w:t>October</w:t>
          </w:r>
          <w:r w:rsidR="008B23AD">
            <w:t xml:space="preserve"> 2025</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7F1E37">
                <w:fldChar w:fldCharType="begin"/>
              </w:r>
              <w:r w:rsidR="007F1E37">
                <w:instrText xml:space="preserve"> NUMPAGES  </w:instrText>
              </w:r>
              <w:r w:rsidR="007F1E37">
                <w:fldChar w:fldCharType="separate"/>
              </w:r>
              <w:r w:rsidR="006D6B44">
                <w:rPr>
                  <w:noProof/>
                </w:rPr>
                <w:t>17</w:t>
              </w:r>
              <w:r w:rsidR="007F1E37">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31199A97" w:rsidR="007452E8" w:rsidRPr="008E3C43" w:rsidRDefault="00924058" w:rsidP="007452E8">
    <w:pPr>
      <w:pStyle w:val="Footer"/>
    </w:pPr>
    <w:r>
      <w:rPr>
        <w:noProof/>
      </w:rPr>
      <mc:AlternateContent>
        <mc:Choice Requires="wps">
          <w:drawing>
            <wp:anchor distT="0" distB="0" distL="0" distR="0" simplePos="0" relativeHeight="251670528" behindDoc="0" locked="0" layoutInCell="1" allowOverlap="1" wp14:anchorId="3E4C552B" wp14:editId="21537A6E">
              <wp:simplePos x="635" y="635"/>
              <wp:positionH relativeFrom="page">
                <wp:align>center</wp:align>
              </wp:positionH>
              <wp:positionV relativeFrom="page">
                <wp:align>bottom</wp:align>
              </wp:positionV>
              <wp:extent cx="551815" cy="391160"/>
              <wp:effectExtent l="0" t="0" r="635" b="0"/>
              <wp:wrapNone/>
              <wp:docPr id="138741507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5B20B69" w14:textId="3A6C804E"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4C552B" id="_x0000_t202" coordsize="21600,21600" o:spt="202" path="m,l,21600r21600,l21600,xe">
              <v:stroke joinstyle="miter"/>
              <v:path gradientshapeok="t" o:connecttype="rect"/>
            </v:shapetype>
            <v:shape id="Text Box 10" o:spid="_x0000_s1035" type="#_x0000_t202" alt="OFFICIAL" style="position:absolute;margin-left:0;margin-top:0;width:43.45pt;height:30.8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DspmAFDgIAABwE&#10;AAAOAAAAAAAAAAAAAAAAAC4CAABkcnMvZTJvRG9jLnhtbFBLAQItABQABgAIAAAAIQDLo44Q2gAA&#10;AAMBAAAPAAAAAAAAAAAAAAAAAGgEAABkcnMvZG93bnJldi54bWxQSwUGAAAAAAQABADzAAAAbwUA&#10;AAAA&#10;" filled="f" stroked="f">
              <v:textbox style="mso-fit-shape-to-text:t" inset="0,0,0,15pt">
                <w:txbxContent>
                  <w:p w14:paraId="25B20B69" w14:textId="3A6C804E"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08DC" w14:textId="77777777" w:rsidR="00AB1E9B" w:rsidRDefault="00AB1E9B" w:rsidP="00F02AEC">
      <w:pPr>
        <w:spacing w:after="0" w:line="240" w:lineRule="auto"/>
      </w:pPr>
      <w:r>
        <w:separator/>
      </w:r>
    </w:p>
  </w:footnote>
  <w:footnote w:type="continuationSeparator" w:id="0">
    <w:p w14:paraId="19EADE34" w14:textId="77777777" w:rsidR="00AB1E9B" w:rsidRDefault="00AB1E9B" w:rsidP="00F02AEC">
      <w:pPr>
        <w:spacing w:after="0" w:line="240" w:lineRule="auto"/>
      </w:pPr>
      <w:r>
        <w:continuationSeparator/>
      </w:r>
    </w:p>
  </w:footnote>
  <w:footnote w:id="1">
    <w:p w14:paraId="68402A9B" w14:textId="42E6F8E0" w:rsidR="007452E8" w:rsidRPr="00A93DC6" w:rsidRDefault="007452E8">
      <w:pPr>
        <w:pStyle w:val="FootnoteText"/>
        <w:rPr>
          <w:lang w:val="en-GB"/>
        </w:rPr>
      </w:pPr>
      <w:r>
        <w:rPr>
          <w:rStyle w:val="FootnoteReference"/>
        </w:rPr>
        <w:footnoteRef/>
      </w:r>
      <w:r>
        <w:t xml:space="preserve"> </w:t>
      </w:r>
      <w:r w:rsidR="00FB236E">
        <w:t>This is the original indication proposed by the 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2">
    <w:p w14:paraId="146EF88F" w14:textId="3EB21E33" w:rsidR="00CA496C" w:rsidRPr="0065132A" w:rsidRDefault="00CA496C">
      <w:pPr>
        <w:pStyle w:val="FootnoteText"/>
      </w:pPr>
      <w:r>
        <w:rPr>
          <w:rStyle w:val="FootnoteReference"/>
        </w:rPr>
        <w:footnoteRef/>
      </w:r>
      <w:r>
        <w:t xml:space="preserve"> </w:t>
      </w:r>
      <w:r w:rsidR="00040281">
        <w:t>Nassbaum</w:t>
      </w:r>
      <w:r w:rsidR="007575E8">
        <w:t xml:space="preserve">, N. et al. </w:t>
      </w:r>
      <w:r w:rsidR="00CA20C7">
        <w:t>Patient experience in the treatment of metastatic castration-resistant prostate cancer: state of the science</w:t>
      </w:r>
      <w:r w:rsidR="00DE4A5D">
        <w:t xml:space="preserve">, </w:t>
      </w:r>
      <w:r w:rsidR="001F1831">
        <w:rPr>
          <w:i/>
          <w:iCs/>
        </w:rPr>
        <w:t>Prostate Cancer and Prostatic Diseases</w:t>
      </w:r>
      <w:r w:rsidR="0065132A">
        <w:t>, 2016; 19</w:t>
      </w:r>
      <w:r w:rsidR="00A93B1B">
        <w:t>: 111-121.</w:t>
      </w:r>
    </w:p>
  </w:footnote>
  <w:footnote w:id="3">
    <w:p w14:paraId="625F3A09" w14:textId="56EFAB6A" w:rsidR="00B569E3" w:rsidRPr="00A35401" w:rsidRDefault="00B569E3" w:rsidP="00BD768D">
      <w:pPr>
        <w:pStyle w:val="FootnoteText"/>
      </w:pPr>
      <w:r>
        <w:rPr>
          <w:rStyle w:val="FootnoteReference"/>
        </w:rPr>
        <w:footnoteRef/>
      </w:r>
      <w:r w:rsidRPr="006D34B3">
        <w:rPr>
          <w:lang w:val="nl-BE"/>
        </w:rPr>
        <w:t xml:space="preserve"> </w:t>
      </w:r>
      <w:r w:rsidR="00952FE0" w:rsidRPr="006D34B3">
        <w:rPr>
          <w:lang w:val="nl-BE"/>
        </w:rPr>
        <w:t>Ra</w:t>
      </w:r>
      <w:r w:rsidR="00BD768D" w:rsidRPr="006D34B3">
        <w:rPr>
          <w:lang w:val="nl-BE"/>
        </w:rPr>
        <w:t xml:space="preserve">jasekaran, S.A. et al. </w:t>
      </w:r>
      <w:r w:rsidR="00BD768D">
        <w:t xml:space="preserve">A Novel Cytoplasmic Tail MXXXL Motif Mediates the Internalization of Prostate-specific Membrane Antigen, </w:t>
      </w:r>
      <w:r w:rsidR="00BD768D">
        <w:rPr>
          <w:i/>
          <w:iCs/>
        </w:rPr>
        <w:t>Molecular Biolog</w:t>
      </w:r>
      <w:r w:rsidR="00A35401">
        <w:rPr>
          <w:i/>
          <w:iCs/>
        </w:rPr>
        <w:t>y of the Cell</w:t>
      </w:r>
      <w:r w:rsidR="00A35401">
        <w:t>, 2003; 14: 4835-4845.</w:t>
      </w:r>
    </w:p>
  </w:footnote>
  <w:footnote w:id="4">
    <w:p w14:paraId="750B3EB3" w14:textId="24EF2BCB" w:rsidR="00B569E3" w:rsidRPr="0017188F" w:rsidRDefault="00B569E3" w:rsidP="00273F63">
      <w:pPr>
        <w:pStyle w:val="FootnoteText"/>
      </w:pPr>
      <w:r>
        <w:rPr>
          <w:rStyle w:val="FootnoteReference"/>
        </w:rPr>
        <w:footnoteRef/>
      </w:r>
      <w:r>
        <w:t xml:space="preserve"> </w:t>
      </w:r>
      <w:r w:rsidR="00D437C8" w:rsidRPr="00D437C8">
        <w:t>Benešová, M. et al.</w:t>
      </w:r>
      <w:r w:rsidR="00D437C8">
        <w:rPr>
          <w:i/>
          <w:iCs/>
        </w:rPr>
        <w:t xml:space="preserve"> </w:t>
      </w:r>
      <w:r w:rsidR="00273F63" w:rsidRPr="00273F63">
        <w:t>Preclinical Evaluation of a Tailor-Made DOTA-Conjugated PSMA Inhibitor with Optimized Linker Moiety for Imaging and Endoradiotherapy of Prostate Cancer</w:t>
      </w:r>
      <w:r w:rsidR="00380B5F">
        <w:t xml:space="preserve">, </w:t>
      </w:r>
      <w:r w:rsidR="00A80E1C">
        <w:rPr>
          <w:i/>
          <w:iCs/>
        </w:rPr>
        <w:t xml:space="preserve">Journal of </w:t>
      </w:r>
      <w:r w:rsidR="0017188F">
        <w:rPr>
          <w:i/>
          <w:iCs/>
        </w:rPr>
        <w:t>N</w:t>
      </w:r>
      <w:r w:rsidR="00A80E1C">
        <w:rPr>
          <w:i/>
          <w:iCs/>
        </w:rPr>
        <w:t xml:space="preserve">uclear </w:t>
      </w:r>
      <w:r w:rsidR="0017188F">
        <w:rPr>
          <w:i/>
          <w:iCs/>
        </w:rPr>
        <w:t>M</w:t>
      </w:r>
      <w:r w:rsidR="00A80E1C">
        <w:rPr>
          <w:i/>
          <w:iCs/>
        </w:rPr>
        <w:t>edicine</w:t>
      </w:r>
      <w:r w:rsidR="0017188F">
        <w:rPr>
          <w:i/>
          <w:iCs/>
        </w:rPr>
        <w:t>,</w:t>
      </w:r>
      <w:r w:rsidR="0017188F">
        <w:t xml:space="preserve"> 2</w:t>
      </w:r>
      <w:r w:rsidR="00540346">
        <w:t>015; 56: 914-920.</w:t>
      </w:r>
    </w:p>
  </w:footnote>
  <w:footnote w:id="5">
    <w:p w14:paraId="50E69499" w14:textId="26ABAA61" w:rsidR="00F0131C" w:rsidRPr="00852B2C" w:rsidRDefault="00F0131C">
      <w:pPr>
        <w:pStyle w:val="FootnoteText"/>
      </w:pPr>
      <w:r>
        <w:rPr>
          <w:rStyle w:val="FootnoteReference"/>
        </w:rPr>
        <w:footnoteRef/>
      </w:r>
      <w:r>
        <w:t xml:space="preserve"> </w:t>
      </w:r>
      <w:r w:rsidR="00EC504A">
        <w:t xml:space="preserve">Haberkorn, U. et al. </w:t>
      </w:r>
      <w:r w:rsidR="00482930">
        <w:t>New Strategies in Prostate Cancer: Prostate-Specific Membrane Antigen</w:t>
      </w:r>
      <w:r w:rsidR="0099147C">
        <w:t xml:space="preserve"> (PSMA) Ligands for Diagnosis and Therapy, </w:t>
      </w:r>
      <w:r w:rsidR="00765EB3">
        <w:rPr>
          <w:i/>
          <w:iCs/>
        </w:rPr>
        <w:t>Clinical Cancer Research</w:t>
      </w:r>
      <w:r w:rsidR="00852B2C">
        <w:rPr>
          <w:i/>
          <w:iCs/>
        </w:rPr>
        <w:t xml:space="preserve">, </w:t>
      </w:r>
      <w:r w:rsidR="00852B2C">
        <w:t xml:space="preserve">2016; 22: </w:t>
      </w:r>
      <w:r w:rsidR="00693D8B">
        <w:t>9-15.</w:t>
      </w:r>
    </w:p>
  </w:footnote>
  <w:footnote w:id="6">
    <w:p w14:paraId="40CB571C" w14:textId="77777777" w:rsidR="00AD0A92" w:rsidRDefault="00015140" w:rsidP="00F71207">
      <w:pPr>
        <w:pStyle w:val="FootnoteText"/>
      </w:pPr>
      <w:r>
        <w:rPr>
          <w:rStyle w:val="FootnoteReference"/>
        </w:rPr>
        <w:footnoteRef/>
      </w:r>
      <w:r>
        <w:t xml:space="preserve"> </w:t>
      </w:r>
      <w:r w:rsidR="00A22475">
        <w:t>S</w:t>
      </w:r>
      <w:r w:rsidR="00F71207">
        <w:t>gouros, G. et al. Radiopharmaceutical therapy in cancer: clinical advances and challenges</w:t>
      </w:r>
      <w:r w:rsidR="000D1F99">
        <w:t xml:space="preserve">, </w:t>
      </w:r>
      <w:r w:rsidR="000D1F99">
        <w:rPr>
          <w:i/>
          <w:iCs/>
        </w:rPr>
        <w:t>Nature</w:t>
      </w:r>
      <w:r w:rsidR="00F8424A">
        <w:t xml:space="preserve">, 2020; 19: </w:t>
      </w:r>
      <w:r w:rsidR="00E42479">
        <w:t>589-608</w:t>
      </w:r>
      <w:r w:rsidR="00AD0A92">
        <w:t>.</w:t>
      </w:r>
    </w:p>
    <w:p w14:paraId="0AA8772E" w14:textId="4AD0A15D" w:rsidR="00015140" w:rsidRPr="00F8424A" w:rsidRDefault="00015140" w:rsidP="00F71207">
      <w:pPr>
        <w:pStyle w:val="FootnoteText"/>
      </w:pPr>
    </w:p>
  </w:footnote>
  <w:footnote w:id="7">
    <w:p w14:paraId="5E6FD742" w14:textId="7ABE0A1A" w:rsidR="00002226" w:rsidRDefault="00002226">
      <w:pPr>
        <w:pStyle w:val="FootnoteText"/>
      </w:pPr>
      <w:r>
        <w:rPr>
          <w:rStyle w:val="FootnoteReference"/>
        </w:rPr>
        <w:footnoteRef/>
      </w:r>
      <w:r>
        <w:t xml:space="preserve"> </w:t>
      </w:r>
      <w:r w:rsidRPr="00002226">
        <w:t xml:space="preserve">Sartor O, et al. VISION Investigators. Lutetium-177-PSMA-617 for Metastatic Castration-Resistant Prostate Cancer. </w:t>
      </w:r>
      <w:r w:rsidRPr="00872B25">
        <w:rPr>
          <w:i/>
          <w:iCs/>
        </w:rPr>
        <w:t>N Engl J Med</w:t>
      </w:r>
      <w:r w:rsidR="00872B25">
        <w:rPr>
          <w:i/>
          <w:iCs/>
        </w:rPr>
        <w:t xml:space="preserve">. </w:t>
      </w:r>
      <w:r w:rsidRPr="00002226">
        <w:t>2021;</w:t>
      </w:r>
      <w:r w:rsidR="00637E75">
        <w:t xml:space="preserve"> </w:t>
      </w:r>
      <w:r w:rsidRPr="00002226">
        <w:t>385(12):</w:t>
      </w:r>
      <w:r w:rsidR="00637E75">
        <w:t xml:space="preserve"> </w:t>
      </w:r>
      <w:r w:rsidRPr="00002226">
        <w:t>1091-1103. doi: 10.1056/NEJMoa2107322.</w:t>
      </w:r>
    </w:p>
  </w:footnote>
  <w:footnote w:id="8">
    <w:p w14:paraId="3BC7FBE2" w14:textId="64F08135" w:rsidR="0009061D" w:rsidRDefault="0009061D">
      <w:pPr>
        <w:pStyle w:val="FootnoteText"/>
      </w:pPr>
      <w:r>
        <w:rPr>
          <w:rStyle w:val="FootnoteReference"/>
        </w:rPr>
        <w:footnoteRef/>
      </w:r>
      <w:r>
        <w:t xml:space="preserve"> Sponsor clarification: The study was open label </w:t>
      </w:r>
      <w:r w:rsidRPr="0009061D">
        <w:t>because blinding of the investigational agent was not feasible due to the ease with which both patients and site personnel may be able to determine if they were receiving a radioactive dose.</w:t>
      </w:r>
    </w:p>
  </w:footnote>
  <w:footnote w:id="9">
    <w:p w14:paraId="1BAF1A65" w14:textId="09FB95C1" w:rsidR="0009061D" w:rsidRDefault="0009061D">
      <w:pPr>
        <w:pStyle w:val="FootnoteText"/>
      </w:pPr>
      <w:r>
        <w:rPr>
          <w:rStyle w:val="FootnoteReference"/>
        </w:rPr>
        <w:footnoteRef/>
      </w:r>
      <w:r>
        <w:t xml:space="preserve"> Sponsor clarification: </w:t>
      </w:r>
      <w:r w:rsidRPr="0009061D">
        <w:rPr>
          <w:lang w:val="en"/>
        </w:rPr>
        <w:t xml:space="preserve">Patients should be considered eligible for lutetium Lu 177 vipivotide tetraxetan therapy if at least one tumor lesion is positive and all lesions on anatomical imaging larger in short axis than size criteria are also positive </w:t>
      </w:r>
      <w:r>
        <w:rPr>
          <w:lang w:val="en"/>
        </w:rPr>
        <w:t>(</w:t>
      </w:r>
      <w:r w:rsidRPr="0009061D">
        <w:rPr>
          <w:lang w:val="en"/>
        </w:rPr>
        <w:t>size criteria: organs ≥ 1 cm, lymph nodes ≥ 2.5 cm, bones (soft tissue component) ≥ 1 cm</w:t>
      </w:r>
      <w:r>
        <w:rPr>
          <w:lang w:val="en"/>
        </w:rPr>
        <w:t>)</w:t>
      </w:r>
      <w:r w:rsidRPr="0009061D">
        <w:rPr>
          <w:lang w:val="en"/>
        </w:rPr>
        <w:t>. Patients should be considered ineligible for lutetium Lu 177 vipivotide tetraxetan therapy if all lesions are negative or any one lesion larger than size criteria is negative.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F2C4" w14:textId="60616EDD" w:rsidR="00924058" w:rsidRDefault="00924058">
    <w:pPr>
      <w:pStyle w:val="Header"/>
    </w:pPr>
    <w:r>
      <w:rPr>
        <w:noProof/>
      </w:rPr>
      <mc:AlternateContent>
        <mc:Choice Requires="wps">
          <w:drawing>
            <wp:anchor distT="0" distB="0" distL="0" distR="0" simplePos="0" relativeHeight="251662336" behindDoc="0" locked="0" layoutInCell="1" allowOverlap="1" wp14:anchorId="14E6F1A6" wp14:editId="18D0AD41">
              <wp:simplePos x="635" y="635"/>
              <wp:positionH relativeFrom="page">
                <wp:align>center</wp:align>
              </wp:positionH>
              <wp:positionV relativeFrom="page">
                <wp:align>top</wp:align>
              </wp:positionV>
              <wp:extent cx="551815" cy="391160"/>
              <wp:effectExtent l="0" t="0" r="635" b="8890"/>
              <wp:wrapNone/>
              <wp:docPr id="6702575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81B9BC2" w14:textId="2633212B"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E6F1A6"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81B9BC2" w14:textId="2633212B"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65D322EC" w:rsidR="007452E8" w:rsidRPr="00CB0550" w:rsidRDefault="00924058" w:rsidP="00CB0550">
    <w:pPr>
      <w:pStyle w:val="Header"/>
      <w:jc w:val="left"/>
    </w:pPr>
    <w:r>
      <w:rPr>
        <w:noProof/>
      </w:rPr>
      <mc:AlternateContent>
        <mc:Choice Requires="wps">
          <w:drawing>
            <wp:anchor distT="0" distB="0" distL="0" distR="0" simplePos="0" relativeHeight="251663360" behindDoc="0" locked="0" layoutInCell="1" allowOverlap="1" wp14:anchorId="6FEFA14E" wp14:editId="36086034">
              <wp:simplePos x="635" y="635"/>
              <wp:positionH relativeFrom="page">
                <wp:align>center</wp:align>
              </wp:positionH>
              <wp:positionV relativeFrom="page">
                <wp:align>top</wp:align>
              </wp:positionV>
              <wp:extent cx="551815" cy="391160"/>
              <wp:effectExtent l="0" t="0" r="635" b="8890"/>
              <wp:wrapNone/>
              <wp:docPr id="97403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458B60D" w14:textId="1A4CF834"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EFA14E"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458B60D" w14:textId="1A4CF834"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EB03D8E" w:rsidR="007452E8" w:rsidRPr="002B29B2" w:rsidRDefault="00924058" w:rsidP="007452E8">
          <w:pPr>
            <w:ind w:left="-57"/>
            <w:rPr>
              <w:noProof/>
            </w:rPr>
          </w:pPr>
          <w:r>
            <w:rPr>
              <w:noProof/>
            </w:rPr>
            <mc:AlternateContent>
              <mc:Choice Requires="wps">
                <w:drawing>
                  <wp:anchor distT="0" distB="0" distL="0" distR="0" simplePos="0" relativeHeight="251661312" behindDoc="0" locked="0" layoutInCell="1" allowOverlap="1" wp14:anchorId="4A367C41" wp14:editId="3A2BABE1">
                    <wp:simplePos x="0" y="5124450"/>
                    <wp:positionH relativeFrom="page">
                      <wp:align>center</wp:align>
                    </wp:positionH>
                    <wp:positionV relativeFrom="page">
                      <wp:align>top</wp:align>
                    </wp:positionV>
                    <wp:extent cx="551815" cy="391160"/>
                    <wp:effectExtent l="0" t="0" r="635" b="8890"/>
                    <wp:wrapNone/>
                    <wp:docPr id="3851928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8752E92" w14:textId="02886113"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367C41"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38752E92" w14:textId="02886113"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v:textbox>
                    <w10:wrap anchorx="page" anchory="page"/>
                  </v:shape>
                </w:pict>
              </mc:Fallback>
            </mc:AlternateContent>
          </w: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60288"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39B0D6EE" w:rsidR="007452E8" w:rsidRDefault="00924058" w:rsidP="007452E8">
    <w:pPr>
      <w:pStyle w:val="Header"/>
    </w:pPr>
    <w:r>
      <w:rPr>
        <w:noProof/>
      </w:rPr>
      <mc:AlternateContent>
        <mc:Choice Requires="wps">
          <w:drawing>
            <wp:anchor distT="0" distB="0" distL="0" distR="0" simplePos="0" relativeHeight="251664384" behindDoc="0" locked="0" layoutInCell="1" allowOverlap="1" wp14:anchorId="50324166" wp14:editId="29D642B8">
              <wp:simplePos x="635" y="635"/>
              <wp:positionH relativeFrom="margin">
                <wp:align>center</wp:align>
              </wp:positionH>
              <wp:positionV relativeFrom="page">
                <wp:align>top</wp:align>
              </wp:positionV>
              <wp:extent cx="551815" cy="391160"/>
              <wp:effectExtent l="0" t="0" r="635" b="8890"/>
              <wp:wrapNone/>
              <wp:docPr id="128903584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4D7ECAC" w14:textId="2A9F5223"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324166" id="_x0000_t202" coordsize="21600,21600" o:spt="202" path="m,l,21600r21600,l21600,xe">
              <v:stroke joinstyle="miter"/>
              <v:path gradientshapeok="t" o:connecttype="rect"/>
            </v:shapetype>
            <v:shape id="Text Box 4" o:spid="_x0000_s1032" type="#_x0000_t202" alt="OFFICIAL" style="position:absolute;left:0;text-align:left;margin-left:0;margin-top:0;width:43.45pt;height:30.8pt;z-index:251664384;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textbox style="mso-fit-shape-to-text:t" inset="0,15pt,0,0">
                <w:txbxContent>
                  <w:p w14:paraId="44D7ECAC" w14:textId="2A9F5223"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v:textbox>
              <w10:wrap anchorx="margin" anchory="page"/>
            </v:shape>
          </w:pict>
        </mc:Fallback>
      </mc:AlternateContent>
    </w:r>
    <w:r w:rsidR="007452E8"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68629454" w:rsidR="007452E8" w:rsidRPr="00FE501F" w:rsidRDefault="00924058" w:rsidP="007452E8">
    <w:pPr>
      <w:pStyle w:val="Headernoline"/>
    </w:pPr>
    <w:r>
      <w:rPr>
        <w:noProof/>
      </w:rPr>
      <mc:AlternateContent>
        <mc:Choice Requires="wps">
          <w:drawing>
            <wp:anchor distT="0" distB="0" distL="0" distR="0" simplePos="0" relativeHeight="251665408" behindDoc="0" locked="0" layoutInCell="1" allowOverlap="1" wp14:anchorId="28E159D2" wp14:editId="616C3F36">
              <wp:simplePos x="635" y="635"/>
              <wp:positionH relativeFrom="page">
                <wp:align>center</wp:align>
              </wp:positionH>
              <wp:positionV relativeFrom="page">
                <wp:align>top</wp:align>
              </wp:positionV>
              <wp:extent cx="551815" cy="391160"/>
              <wp:effectExtent l="0" t="0" r="635" b="8890"/>
              <wp:wrapNone/>
              <wp:docPr id="82751559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F87FEC2" w14:textId="4F454E7D"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159D2" id="_x0000_t202" coordsize="21600,21600" o:spt="202" path="m,l,21600r21600,l21600,xe">
              <v:stroke joinstyle="miter"/>
              <v:path gradientshapeok="t" o:connecttype="rect"/>
            </v:shapetype>
            <v:shape id="Text Box 5" o:spid="_x0000_s1034" type="#_x0000_t202" alt="OFFICIAL" style="position:absolute;left:0;text-align:left;margin-left:0;margin-top:0;width:43.45pt;height:30.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OMDgIAABwEAAAOAAAAZHJzL2Uyb0RvYy54bWysU01v2zAMvQ/YfxB0X2x3SJ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t8VxW2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B/eg4wOAgAAHAQA&#10;AA4AAAAAAAAAAAAAAAAALgIAAGRycy9lMm9Eb2MueG1sUEsBAi0AFAAGAAgAAAAhAChQUq/ZAAAA&#10;AwEAAA8AAAAAAAAAAAAAAAAAaAQAAGRycy9kb3ducmV2LnhtbFBLBQYAAAAABAAEAPMAAABuBQAA&#10;AAA=&#10;" filled="f" stroked="f">
              <v:textbox style="mso-fit-shape-to-text:t" inset="0,15pt,0,0">
                <w:txbxContent>
                  <w:p w14:paraId="6F87FEC2" w14:textId="4F454E7D" w:rsidR="00924058" w:rsidRPr="00924058" w:rsidRDefault="00924058" w:rsidP="00924058">
                    <w:pPr>
                      <w:spacing w:after="0"/>
                      <w:rPr>
                        <w:rFonts w:ascii="Calibri" w:eastAsia="Calibri" w:hAnsi="Calibri" w:cs="Calibri"/>
                        <w:noProof/>
                        <w:color w:val="FF0000"/>
                        <w:sz w:val="24"/>
                        <w:szCs w:val="24"/>
                      </w:rPr>
                    </w:pPr>
                    <w:r w:rsidRPr="00924058">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6D6B"/>
    <w:multiLevelType w:val="hybridMultilevel"/>
    <w:tmpl w:val="FF0C3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6F12FC"/>
    <w:multiLevelType w:val="hybridMultilevel"/>
    <w:tmpl w:val="B9BCE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EB6721"/>
    <w:multiLevelType w:val="hybridMultilevel"/>
    <w:tmpl w:val="66AE8E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9108CD"/>
    <w:multiLevelType w:val="hybridMultilevel"/>
    <w:tmpl w:val="443051EA"/>
    <w:lvl w:ilvl="0" w:tplc="13AAC98E">
      <w:start w:val="1"/>
      <w:numFmt w:val="bullet"/>
      <w:pStyle w:val="Bulletlis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703DC"/>
    <w:multiLevelType w:val="hybridMultilevel"/>
    <w:tmpl w:val="84182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7" w15:restartNumberingAfterBreak="0">
    <w:nsid w:val="12EB6AF5"/>
    <w:multiLevelType w:val="hybridMultilevel"/>
    <w:tmpl w:val="07408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7793A19"/>
    <w:multiLevelType w:val="hybridMultilevel"/>
    <w:tmpl w:val="5D5600F6"/>
    <w:lvl w:ilvl="0" w:tplc="520602E4">
      <w:numFmt w:val="bullet"/>
      <w:lvlText w:val="-"/>
      <w:lvlJc w:val="left"/>
      <w:pPr>
        <w:ind w:left="720" w:hanging="360"/>
      </w:pPr>
      <w:rPr>
        <w:rFonts w:ascii="Verdana" w:eastAsia="Calibri" w:hAnsi="Verdana" w:cs="Verdana"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12" w15:restartNumberingAfterBreak="0">
    <w:nsid w:val="1A363AE5"/>
    <w:multiLevelType w:val="hybridMultilevel"/>
    <w:tmpl w:val="58FE8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B97563"/>
    <w:multiLevelType w:val="hybridMultilevel"/>
    <w:tmpl w:val="E124D60E"/>
    <w:lvl w:ilvl="0" w:tplc="E38044A4">
      <w:numFmt w:val="bullet"/>
      <w:lvlText w:val="*"/>
      <w:lvlJc w:val="left"/>
      <w:pPr>
        <w:ind w:left="720" w:hanging="360"/>
      </w:pPr>
      <w:rPr>
        <w:rFonts w:ascii="Cambria" w:eastAsia="Times New Roman" w:hAnsi="Cambria"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29304114"/>
    <w:multiLevelType w:val="hybridMultilevel"/>
    <w:tmpl w:val="ADD07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C17CB3"/>
    <w:multiLevelType w:val="hybridMultilevel"/>
    <w:tmpl w:val="8F32DC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46E1CEC"/>
    <w:multiLevelType w:val="hybridMultilevel"/>
    <w:tmpl w:val="6764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DA7D84"/>
    <w:multiLevelType w:val="hybridMultilevel"/>
    <w:tmpl w:val="2D880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8B2806"/>
    <w:multiLevelType w:val="hybridMultilevel"/>
    <w:tmpl w:val="47D8B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21" w15:restartNumberingAfterBreak="0">
    <w:nsid w:val="488C5BF5"/>
    <w:multiLevelType w:val="hybridMultilevel"/>
    <w:tmpl w:val="919A3160"/>
    <w:lvl w:ilvl="0" w:tplc="FFFFFFFF">
      <w:start w:val="1"/>
      <w:numFmt w:val="bullet"/>
      <w:lvlText w:val=""/>
      <w:lvlJc w:val="left"/>
      <w:pPr>
        <w:ind w:left="360" w:hanging="360"/>
      </w:pPr>
      <w:rPr>
        <w:rFonts w:ascii="Symbol" w:hAnsi="Symbol" w:hint="default"/>
      </w:rPr>
    </w:lvl>
    <w:lvl w:ilvl="1" w:tplc="EBE2CB92">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C9404BD"/>
    <w:multiLevelType w:val="hybridMultilevel"/>
    <w:tmpl w:val="04E03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1F2E1A"/>
    <w:multiLevelType w:val="hybridMultilevel"/>
    <w:tmpl w:val="D33E6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5"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26" w15:restartNumberingAfterBreak="0">
    <w:nsid w:val="500E7AC6"/>
    <w:multiLevelType w:val="hybridMultilevel"/>
    <w:tmpl w:val="45787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5830F9"/>
    <w:multiLevelType w:val="hybridMultilevel"/>
    <w:tmpl w:val="0CAC6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290A1B"/>
    <w:multiLevelType w:val="hybridMultilevel"/>
    <w:tmpl w:val="B8AAE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575053"/>
    <w:multiLevelType w:val="hybridMultilevel"/>
    <w:tmpl w:val="6C125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933C03"/>
    <w:multiLevelType w:val="hybridMultilevel"/>
    <w:tmpl w:val="C19AD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33" w15:restartNumberingAfterBreak="0">
    <w:nsid w:val="5A7157F8"/>
    <w:multiLevelType w:val="hybridMultilevel"/>
    <w:tmpl w:val="8E168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8856D4"/>
    <w:multiLevelType w:val="hybridMultilevel"/>
    <w:tmpl w:val="A7086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FC0F6B"/>
    <w:multiLevelType w:val="hybridMultilevel"/>
    <w:tmpl w:val="470AD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5C58CA"/>
    <w:multiLevelType w:val="hybridMultilevel"/>
    <w:tmpl w:val="0580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6C7F8A"/>
    <w:multiLevelType w:val="hybridMultilevel"/>
    <w:tmpl w:val="3A7C3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D8130D"/>
    <w:multiLevelType w:val="hybridMultilevel"/>
    <w:tmpl w:val="2D8A9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3C2A9C"/>
    <w:multiLevelType w:val="hybridMultilevel"/>
    <w:tmpl w:val="CF021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9"/>
  </w:num>
  <w:num w:numId="2" w16cid:durableId="1856573705">
    <w:abstractNumId w:val="5"/>
  </w:num>
  <w:num w:numId="3" w16cid:durableId="357703499">
    <w:abstractNumId w:val="8"/>
  </w:num>
  <w:num w:numId="4" w16cid:durableId="1869176708">
    <w:abstractNumId w:val="27"/>
  </w:num>
  <w:num w:numId="5" w16cid:durableId="1652950129">
    <w:abstractNumId w:val="14"/>
  </w:num>
  <w:num w:numId="6" w16cid:durableId="1053193207">
    <w:abstractNumId w:val="24"/>
  </w:num>
  <w:num w:numId="7" w16cid:durableId="201135927">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25"/>
  </w:num>
  <w:num w:numId="9" w16cid:durableId="173421270">
    <w:abstractNumId w:val="6"/>
  </w:num>
  <w:num w:numId="10" w16cid:durableId="2108043357">
    <w:abstractNumId w:val="11"/>
  </w:num>
  <w:num w:numId="11" w16cid:durableId="1725904230">
    <w:abstractNumId w:val="20"/>
  </w:num>
  <w:num w:numId="12" w16cid:durableId="141579354">
    <w:abstractNumId w:val="32"/>
  </w:num>
  <w:num w:numId="13" w16cid:durableId="283735081">
    <w:abstractNumId w:val="40"/>
  </w:num>
  <w:num w:numId="14" w16cid:durableId="1801612952">
    <w:abstractNumId w:val="4"/>
  </w:num>
  <w:num w:numId="15" w16cid:durableId="174661903">
    <w:abstractNumId w:val="2"/>
  </w:num>
  <w:num w:numId="16" w16cid:durableId="1940601175">
    <w:abstractNumId w:val="21"/>
  </w:num>
  <w:num w:numId="17" w16cid:durableId="1461148933">
    <w:abstractNumId w:val="33"/>
  </w:num>
  <w:num w:numId="18" w16cid:durableId="1273786993">
    <w:abstractNumId w:val="26"/>
  </w:num>
  <w:num w:numId="19" w16cid:durableId="895358224">
    <w:abstractNumId w:val="31"/>
  </w:num>
  <w:num w:numId="20" w16cid:durableId="1302005790">
    <w:abstractNumId w:val="12"/>
  </w:num>
  <w:num w:numId="21" w16cid:durableId="1944530959">
    <w:abstractNumId w:val="34"/>
  </w:num>
  <w:num w:numId="22" w16cid:durableId="516384957">
    <w:abstractNumId w:val="38"/>
  </w:num>
  <w:num w:numId="23" w16cid:durableId="1507403430">
    <w:abstractNumId w:val="36"/>
  </w:num>
  <w:num w:numId="24" w16cid:durableId="871266745">
    <w:abstractNumId w:val="7"/>
  </w:num>
  <w:num w:numId="25" w16cid:durableId="999311200">
    <w:abstractNumId w:val="39"/>
  </w:num>
  <w:num w:numId="26" w16cid:durableId="914825056">
    <w:abstractNumId w:val="35"/>
  </w:num>
  <w:num w:numId="27" w16cid:durableId="2065979201">
    <w:abstractNumId w:val="15"/>
  </w:num>
  <w:num w:numId="28" w16cid:durableId="972364232">
    <w:abstractNumId w:val="18"/>
  </w:num>
  <w:num w:numId="29" w16cid:durableId="97263641">
    <w:abstractNumId w:val="0"/>
  </w:num>
  <w:num w:numId="30" w16cid:durableId="965500975">
    <w:abstractNumId w:val="17"/>
  </w:num>
  <w:num w:numId="31" w16cid:durableId="932976759">
    <w:abstractNumId w:val="22"/>
  </w:num>
  <w:num w:numId="32" w16cid:durableId="588513681">
    <w:abstractNumId w:val="29"/>
  </w:num>
  <w:num w:numId="33" w16cid:durableId="524906986">
    <w:abstractNumId w:val="37"/>
  </w:num>
  <w:num w:numId="34" w16cid:durableId="178393912">
    <w:abstractNumId w:val="3"/>
  </w:num>
  <w:num w:numId="35" w16cid:durableId="177698441">
    <w:abstractNumId w:val="13"/>
  </w:num>
  <w:num w:numId="36" w16cid:durableId="2015911547">
    <w:abstractNumId w:val="10"/>
  </w:num>
  <w:num w:numId="37" w16cid:durableId="1868328759">
    <w:abstractNumId w:val="28"/>
  </w:num>
  <w:num w:numId="38" w16cid:durableId="312805154">
    <w:abstractNumId w:val="23"/>
  </w:num>
  <w:num w:numId="39" w16cid:durableId="1125780504">
    <w:abstractNumId w:val="16"/>
  </w:num>
  <w:num w:numId="40" w16cid:durableId="959340555">
    <w:abstractNumId w:val="30"/>
  </w:num>
  <w:num w:numId="41" w16cid:durableId="971717987">
    <w:abstractNumId w:val="19"/>
  </w:num>
  <w:num w:numId="42" w16cid:durableId="1796409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CB4"/>
    <w:rsid w:val="00000E6E"/>
    <w:rsid w:val="00002226"/>
    <w:rsid w:val="00004431"/>
    <w:rsid w:val="00005062"/>
    <w:rsid w:val="00005DFC"/>
    <w:rsid w:val="0001064C"/>
    <w:rsid w:val="0001384A"/>
    <w:rsid w:val="000144D9"/>
    <w:rsid w:val="00015140"/>
    <w:rsid w:val="00015DA8"/>
    <w:rsid w:val="0002042E"/>
    <w:rsid w:val="00021C13"/>
    <w:rsid w:val="0002367A"/>
    <w:rsid w:val="0002401E"/>
    <w:rsid w:val="000247CA"/>
    <w:rsid w:val="00025004"/>
    <w:rsid w:val="00030BB1"/>
    <w:rsid w:val="00032A0F"/>
    <w:rsid w:val="00033E0D"/>
    <w:rsid w:val="000344AF"/>
    <w:rsid w:val="000374FD"/>
    <w:rsid w:val="00040281"/>
    <w:rsid w:val="00040CF0"/>
    <w:rsid w:val="00040D8D"/>
    <w:rsid w:val="00045B71"/>
    <w:rsid w:val="00046423"/>
    <w:rsid w:val="000477F5"/>
    <w:rsid w:val="00050AF8"/>
    <w:rsid w:val="0006104E"/>
    <w:rsid w:val="000640BD"/>
    <w:rsid w:val="00065839"/>
    <w:rsid w:val="00065FDF"/>
    <w:rsid w:val="0006693A"/>
    <w:rsid w:val="00074A0C"/>
    <w:rsid w:val="00077844"/>
    <w:rsid w:val="0008218F"/>
    <w:rsid w:val="00083763"/>
    <w:rsid w:val="00090510"/>
    <w:rsid w:val="0009061D"/>
    <w:rsid w:val="000917AE"/>
    <w:rsid w:val="00094B81"/>
    <w:rsid w:val="00095C6A"/>
    <w:rsid w:val="000975AA"/>
    <w:rsid w:val="000A06FB"/>
    <w:rsid w:val="000A23BE"/>
    <w:rsid w:val="000A7607"/>
    <w:rsid w:val="000A7F70"/>
    <w:rsid w:val="000B2114"/>
    <w:rsid w:val="000B3EAA"/>
    <w:rsid w:val="000B4718"/>
    <w:rsid w:val="000B4ABB"/>
    <w:rsid w:val="000B6B15"/>
    <w:rsid w:val="000C0D7C"/>
    <w:rsid w:val="000C2509"/>
    <w:rsid w:val="000C25A7"/>
    <w:rsid w:val="000C4C36"/>
    <w:rsid w:val="000D0818"/>
    <w:rsid w:val="000D1F99"/>
    <w:rsid w:val="000D78EC"/>
    <w:rsid w:val="000D7934"/>
    <w:rsid w:val="000E2434"/>
    <w:rsid w:val="000E2597"/>
    <w:rsid w:val="000E400E"/>
    <w:rsid w:val="000E504E"/>
    <w:rsid w:val="000E6746"/>
    <w:rsid w:val="000F1E7D"/>
    <w:rsid w:val="000F4EA0"/>
    <w:rsid w:val="000F7B51"/>
    <w:rsid w:val="00100C65"/>
    <w:rsid w:val="00101BEE"/>
    <w:rsid w:val="00101CE6"/>
    <w:rsid w:val="00101FB1"/>
    <w:rsid w:val="0010558A"/>
    <w:rsid w:val="001101FF"/>
    <w:rsid w:val="00111989"/>
    <w:rsid w:val="00113F9F"/>
    <w:rsid w:val="00114025"/>
    <w:rsid w:val="0011712E"/>
    <w:rsid w:val="0012473C"/>
    <w:rsid w:val="00127A74"/>
    <w:rsid w:val="0013132F"/>
    <w:rsid w:val="00131B1B"/>
    <w:rsid w:val="00132582"/>
    <w:rsid w:val="0013306D"/>
    <w:rsid w:val="001350A8"/>
    <w:rsid w:val="0013528C"/>
    <w:rsid w:val="00142330"/>
    <w:rsid w:val="00142484"/>
    <w:rsid w:val="00143D1D"/>
    <w:rsid w:val="001442A2"/>
    <w:rsid w:val="00144EA9"/>
    <w:rsid w:val="001468CA"/>
    <w:rsid w:val="001500A8"/>
    <w:rsid w:val="00150608"/>
    <w:rsid w:val="00153861"/>
    <w:rsid w:val="00153E47"/>
    <w:rsid w:val="00155D85"/>
    <w:rsid w:val="00165D28"/>
    <w:rsid w:val="0017005C"/>
    <w:rsid w:val="0017014E"/>
    <w:rsid w:val="001706EF"/>
    <w:rsid w:val="0017188F"/>
    <w:rsid w:val="00175CD8"/>
    <w:rsid w:val="00182BD8"/>
    <w:rsid w:val="001830FC"/>
    <w:rsid w:val="0018350E"/>
    <w:rsid w:val="00184DA2"/>
    <w:rsid w:val="00190853"/>
    <w:rsid w:val="001A6567"/>
    <w:rsid w:val="001A76F9"/>
    <w:rsid w:val="001B06FF"/>
    <w:rsid w:val="001B1703"/>
    <w:rsid w:val="001B39B0"/>
    <w:rsid w:val="001C06A0"/>
    <w:rsid w:val="001C1C2E"/>
    <w:rsid w:val="001C31A1"/>
    <w:rsid w:val="001C3FA2"/>
    <w:rsid w:val="001C5EE2"/>
    <w:rsid w:val="001D0077"/>
    <w:rsid w:val="001D2587"/>
    <w:rsid w:val="001D7F83"/>
    <w:rsid w:val="001E1ACC"/>
    <w:rsid w:val="001E407B"/>
    <w:rsid w:val="001E4D5F"/>
    <w:rsid w:val="001E7FC6"/>
    <w:rsid w:val="001F1831"/>
    <w:rsid w:val="001F1AF4"/>
    <w:rsid w:val="001F2502"/>
    <w:rsid w:val="001F6D10"/>
    <w:rsid w:val="001F70A5"/>
    <w:rsid w:val="00201AE4"/>
    <w:rsid w:val="0020235D"/>
    <w:rsid w:val="0020369B"/>
    <w:rsid w:val="002043A6"/>
    <w:rsid w:val="00204B7C"/>
    <w:rsid w:val="00204BCC"/>
    <w:rsid w:val="00205E14"/>
    <w:rsid w:val="002067CC"/>
    <w:rsid w:val="00207B4D"/>
    <w:rsid w:val="00207FAA"/>
    <w:rsid w:val="00210F9B"/>
    <w:rsid w:val="002117B1"/>
    <w:rsid w:val="00215338"/>
    <w:rsid w:val="00217A6C"/>
    <w:rsid w:val="00217CCE"/>
    <w:rsid w:val="002203B1"/>
    <w:rsid w:val="002244DF"/>
    <w:rsid w:val="00226F39"/>
    <w:rsid w:val="0023055D"/>
    <w:rsid w:val="002307FC"/>
    <w:rsid w:val="00230E64"/>
    <w:rsid w:val="002334AD"/>
    <w:rsid w:val="002354E7"/>
    <w:rsid w:val="0023694E"/>
    <w:rsid w:val="00240D60"/>
    <w:rsid w:val="00241B60"/>
    <w:rsid w:val="00253073"/>
    <w:rsid w:val="002570B3"/>
    <w:rsid w:val="0025785B"/>
    <w:rsid w:val="00257969"/>
    <w:rsid w:val="00264021"/>
    <w:rsid w:val="00265CD1"/>
    <w:rsid w:val="0026606B"/>
    <w:rsid w:val="00273F63"/>
    <w:rsid w:val="00276E6B"/>
    <w:rsid w:val="00280048"/>
    <w:rsid w:val="00281726"/>
    <w:rsid w:val="0028489E"/>
    <w:rsid w:val="002848DE"/>
    <w:rsid w:val="0028740A"/>
    <w:rsid w:val="0028794E"/>
    <w:rsid w:val="0029733B"/>
    <w:rsid w:val="00297604"/>
    <w:rsid w:val="002A1AD5"/>
    <w:rsid w:val="002A1BB4"/>
    <w:rsid w:val="002A21CB"/>
    <w:rsid w:val="002A5841"/>
    <w:rsid w:val="002B1EDF"/>
    <w:rsid w:val="002B2061"/>
    <w:rsid w:val="002B33C3"/>
    <w:rsid w:val="002B498D"/>
    <w:rsid w:val="002C1232"/>
    <w:rsid w:val="002C1E44"/>
    <w:rsid w:val="002C20C6"/>
    <w:rsid w:val="002C5C92"/>
    <w:rsid w:val="002C5E29"/>
    <w:rsid w:val="002D0478"/>
    <w:rsid w:val="002D7127"/>
    <w:rsid w:val="002D7F34"/>
    <w:rsid w:val="002E4D46"/>
    <w:rsid w:val="002E60D2"/>
    <w:rsid w:val="002F599E"/>
    <w:rsid w:val="003008D8"/>
    <w:rsid w:val="00301D9A"/>
    <w:rsid w:val="00303959"/>
    <w:rsid w:val="0030558A"/>
    <w:rsid w:val="00306395"/>
    <w:rsid w:val="00306E72"/>
    <w:rsid w:val="00307A7B"/>
    <w:rsid w:val="00307C47"/>
    <w:rsid w:val="003107C0"/>
    <w:rsid w:val="00312AC3"/>
    <w:rsid w:val="00314430"/>
    <w:rsid w:val="003163BC"/>
    <w:rsid w:val="003212D9"/>
    <w:rsid w:val="0032351A"/>
    <w:rsid w:val="00324B33"/>
    <w:rsid w:val="00327488"/>
    <w:rsid w:val="00327EEC"/>
    <w:rsid w:val="00332CF2"/>
    <w:rsid w:val="00334D8F"/>
    <w:rsid w:val="00335098"/>
    <w:rsid w:val="00336FE1"/>
    <w:rsid w:val="00337BD8"/>
    <w:rsid w:val="00342D56"/>
    <w:rsid w:val="003456E7"/>
    <w:rsid w:val="00345C18"/>
    <w:rsid w:val="003464B9"/>
    <w:rsid w:val="00346EC2"/>
    <w:rsid w:val="003477F9"/>
    <w:rsid w:val="0035444D"/>
    <w:rsid w:val="00356D62"/>
    <w:rsid w:val="003577CF"/>
    <w:rsid w:val="00357DB9"/>
    <w:rsid w:val="00361544"/>
    <w:rsid w:val="00363EE3"/>
    <w:rsid w:val="00367869"/>
    <w:rsid w:val="003723DD"/>
    <w:rsid w:val="003735F3"/>
    <w:rsid w:val="00374729"/>
    <w:rsid w:val="00380B5F"/>
    <w:rsid w:val="00381486"/>
    <w:rsid w:val="0038231F"/>
    <w:rsid w:val="00387298"/>
    <w:rsid w:val="00387984"/>
    <w:rsid w:val="00395140"/>
    <w:rsid w:val="003A1012"/>
    <w:rsid w:val="003A2422"/>
    <w:rsid w:val="003A4B1A"/>
    <w:rsid w:val="003B149C"/>
    <w:rsid w:val="003B336C"/>
    <w:rsid w:val="003C0FDB"/>
    <w:rsid w:val="003C1192"/>
    <w:rsid w:val="003C1CF2"/>
    <w:rsid w:val="003C320B"/>
    <w:rsid w:val="003C55E2"/>
    <w:rsid w:val="003C63D5"/>
    <w:rsid w:val="003C7AA8"/>
    <w:rsid w:val="003D5FD8"/>
    <w:rsid w:val="003D6660"/>
    <w:rsid w:val="003D6897"/>
    <w:rsid w:val="003D71A1"/>
    <w:rsid w:val="003E5F8C"/>
    <w:rsid w:val="003F1DB3"/>
    <w:rsid w:val="003F2B78"/>
    <w:rsid w:val="003F3127"/>
    <w:rsid w:val="003F546C"/>
    <w:rsid w:val="003F5860"/>
    <w:rsid w:val="003F6F0B"/>
    <w:rsid w:val="004069D8"/>
    <w:rsid w:val="00411755"/>
    <w:rsid w:val="004151B2"/>
    <w:rsid w:val="0041688F"/>
    <w:rsid w:val="00417226"/>
    <w:rsid w:val="0042376F"/>
    <w:rsid w:val="004246B8"/>
    <w:rsid w:val="004248F1"/>
    <w:rsid w:val="004257D0"/>
    <w:rsid w:val="00433318"/>
    <w:rsid w:val="00435EE1"/>
    <w:rsid w:val="0043708D"/>
    <w:rsid w:val="004411D9"/>
    <w:rsid w:val="00442A56"/>
    <w:rsid w:val="004444B0"/>
    <w:rsid w:val="004454B8"/>
    <w:rsid w:val="0045060B"/>
    <w:rsid w:val="00454249"/>
    <w:rsid w:val="0045765A"/>
    <w:rsid w:val="004609B0"/>
    <w:rsid w:val="004626FF"/>
    <w:rsid w:val="0046285C"/>
    <w:rsid w:val="00470A52"/>
    <w:rsid w:val="00471829"/>
    <w:rsid w:val="00471BD5"/>
    <w:rsid w:val="00477C4E"/>
    <w:rsid w:val="00477F07"/>
    <w:rsid w:val="00481356"/>
    <w:rsid w:val="00481503"/>
    <w:rsid w:val="00481D12"/>
    <w:rsid w:val="00482860"/>
    <w:rsid w:val="00482930"/>
    <w:rsid w:val="004830DB"/>
    <w:rsid w:val="004854A6"/>
    <w:rsid w:val="00490148"/>
    <w:rsid w:val="00491A55"/>
    <w:rsid w:val="00491F2A"/>
    <w:rsid w:val="00494C3E"/>
    <w:rsid w:val="00496F8C"/>
    <w:rsid w:val="004975C8"/>
    <w:rsid w:val="00497DF1"/>
    <w:rsid w:val="004A11A5"/>
    <w:rsid w:val="004A318E"/>
    <w:rsid w:val="004A45D4"/>
    <w:rsid w:val="004A4629"/>
    <w:rsid w:val="004A57E8"/>
    <w:rsid w:val="004A6D06"/>
    <w:rsid w:val="004A70C7"/>
    <w:rsid w:val="004B3081"/>
    <w:rsid w:val="004B4A09"/>
    <w:rsid w:val="004B539D"/>
    <w:rsid w:val="004B6319"/>
    <w:rsid w:val="004C167D"/>
    <w:rsid w:val="004C41CE"/>
    <w:rsid w:val="004C425C"/>
    <w:rsid w:val="004C4F24"/>
    <w:rsid w:val="004C4F2C"/>
    <w:rsid w:val="004C631B"/>
    <w:rsid w:val="004D0933"/>
    <w:rsid w:val="004D2F00"/>
    <w:rsid w:val="004D31D8"/>
    <w:rsid w:val="004D35D1"/>
    <w:rsid w:val="004D4AD5"/>
    <w:rsid w:val="004D5183"/>
    <w:rsid w:val="004D5388"/>
    <w:rsid w:val="004D6042"/>
    <w:rsid w:val="004D7708"/>
    <w:rsid w:val="004E7F16"/>
    <w:rsid w:val="004F07B4"/>
    <w:rsid w:val="004F108F"/>
    <w:rsid w:val="004F18EC"/>
    <w:rsid w:val="004F1927"/>
    <w:rsid w:val="004F4420"/>
    <w:rsid w:val="004F62DD"/>
    <w:rsid w:val="00500D68"/>
    <w:rsid w:val="0051043E"/>
    <w:rsid w:val="00521F2A"/>
    <w:rsid w:val="0052417E"/>
    <w:rsid w:val="005246D2"/>
    <w:rsid w:val="0052602B"/>
    <w:rsid w:val="005300DD"/>
    <w:rsid w:val="005303BB"/>
    <w:rsid w:val="0053377D"/>
    <w:rsid w:val="00534956"/>
    <w:rsid w:val="00535DFE"/>
    <w:rsid w:val="005373B5"/>
    <w:rsid w:val="00537AB7"/>
    <w:rsid w:val="00540346"/>
    <w:rsid w:val="005458E7"/>
    <w:rsid w:val="0054669B"/>
    <w:rsid w:val="00546F8E"/>
    <w:rsid w:val="00547338"/>
    <w:rsid w:val="00547578"/>
    <w:rsid w:val="00552CB4"/>
    <w:rsid w:val="00553E41"/>
    <w:rsid w:val="00556348"/>
    <w:rsid w:val="00557684"/>
    <w:rsid w:val="00560401"/>
    <w:rsid w:val="00560EC1"/>
    <w:rsid w:val="005610D1"/>
    <w:rsid w:val="00562F42"/>
    <w:rsid w:val="00565739"/>
    <w:rsid w:val="0056766D"/>
    <w:rsid w:val="00567E90"/>
    <w:rsid w:val="005723C4"/>
    <w:rsid w:val="00575215"/>
    <w:rsid w:val="005775D0"/>
    <w:rsid w:val="00581138"/>
    <w:rsid w:val="0058575E"/>
    <w:rsid w:val="0058783C"/>
    <w:rsid w:val="00587BCF"/>
    <w:rsid w:val="005911AE"/>
    <w:rsid w:val="005926E2"/>
    <w:rsid w:val="0059313A"/>
    <w:rsid w:val="00593ACA"/>
    <w:rsid w:val="005A54EA"/>
    <w:rsid w:val="005A7CFB"/>
    <w:rsid w:val="005B023F"/>
    <w:rsid w:val="005B02A2"/>
    <w:rsid w:val="005B1417"/>
    <w:rsid w:val="005B69CF"/>
    <w:rsid w:val="005C3F07"/>
    <w:rsid w:val="005C3FD6"/>
    <w:rsid w:val="005C4B46"/>
    <w:rsid w:val="005C5DC5"/>
    <w:rsid w:val="005C73D8"/>
    <w:rsid w:val="005D0041"/>
    <w:rsid w:val="005D0E1E"/>
    <w:rsid w:val="005D2089"/>
    <w:rsid w:val="005D506D"/>
    <w:rsid w:val="005D7514"/>
    <w:rsid w:val="005E0FC6"/>
    <w:rsid w:val="005E1A7B"/>
    <w:rsid w:val="005E231F"/>
    <w:rsid w:val="005E2B07"/>
    <w:rsid w:val="005E5161"/>
    <w:rsid w:val="0060240F"/>
    <w:rsid w:val="00602D6E"/>
    <w:rsid w:val="00604C5B"/>
    <w:rsid w:val="00605C05"/>
    <w:rsid w:val="00611351"/>
    <w:rsid w:val="0061217D"/>
    <w:rsid w:val="006129AE"/>
    <w:rsid w:val="00613889"/>
    <w:rsid w:val="00624671"/>
    <w:rsid w:val="006277A1"/>
    <w:rsid w:val="00631774"/>
    <w:rsid w:val="00633BD7"/>
    <w:rsid w:val="00634580"/>
    <w:rsid w:val="00634884"/>
    <w:rsid w:val="006351D9"/>
    <w:rsid w:val="00637130"/>
    <w:rsid w:val="00637E75"/>
    <w:rsid w:val="00637F0E"/>
    <w:rsid w:val="006423F2"/>
    <w:rsid w:val="006428C5"/>
    <w:rsid w:val="00650234"/>
    <w:rsid w:val="0065132A"/>
    <w:rsid w:val="006524D9"/>
    <w:rsid w:val="0065451E"/>
    <w:rsid w:val="00655CE0"/>
    <w:rsid w:val="00656FDC"/>
    <w:rsid w:val="0066044B"/>
    <w:rsid w:val="00660B0D"/>
    <w:rsid w:val="006630AA"/>
    <w:rsid w:val="00663544"/>
    <w:rsid w:val="0066367E"/>
    <w:rsid w:val="006639AD"/>
    <w:rsid w:val="006658A1"/>
    <w:rsid w:val="00666539"/>
    <w:rsid w:val="006667AB"/>
    <w:rsid w:val="00666911"/>
    <w:rsid w:val="00667B01"/>
    <w:rsid w:val="00674DDA"/>
    <w:rsid w:val="00675F81"/>
    <w:rsid w:val="0068143E"/>
    <w:rsid w:val="0068507D"/>
    <w:rsid w:val="00691AF2"/>
    <w:rsid w:val="00692B80"/>
    <w:rsid w:val="00692CCD"/>
    <w:rsid w:val="00692D51"/>
    <w:rsid w:val="00693D8B"/>
    <w:rsid w:val="00694DD7"/>
    <w:rsid w:val="0069636B"/>
    <w:rsid w:val="006A1762"/>
    <w:rsid w:val="006A19CE"/>
    <w:rsid w:val="006A1F0B"/>
    <w:rsid w:val="006A277A"/>
    <w:rsid w:val="006A4DF9"/>
    <w:rsid w:val="006A5973"/>
    <w:rsid w:val="006A720B"/>
    <w:rsid w:val="006A7DEF"/>
    <w:rsid w:val="006B04F3"/>
    <w:rsid w:val="006B2A72"/>
    <w:rsid w:val="006B5E64"/>
    <w:rsid w:val="006B7126"/>
    <w:rsid w:val="006C6B86"/>
    <w:rsid w:val="006D34B3"/>
    <w:rsid w:val="006D4553"/>
    <w:rsid w:val="006D4A35"/>
    <w:rsid w:val="006D6B44"/>
    <w:rsid w:val="006E0F71"/>
    <w:rsid w:val="006E27FE"/>
    <w:rsid w:val="006E431A"/>
    <w:rsid w:val="006F01F2"/>
    <w:rsid w:val="00701110"/>
    <w:rsid w:val="007012AC"/>
    <w:rsid w:val="00702E91"/>
    <w:rsid w:val="0070330F"/>
    <w:rsid w:val="00703624"/>
    <w:rsid w:val="007038D5"/>
    <w:rsid w:val="007046ED"/>
    <w:rsid w:val="0070541F"/>
    <w:rsid w:val="007072A1"/>
    <w:rsid w:val="0071060C"/>
    <w:rsid w:val="00710BC5"/>
    <w:rsid w:val="007115A4"/>
    <w:rsid w:val="007121CA"/>
    <w:rsid w:val="00715DF6"/>
    <w:rsid w:val="0072003B"/>
    <w:rsid w:val="00721059"/>
    <w:rsid w:val="007211E6"/>
    <w:rsid w:val="007220C4"/>
    <w:rsid w:val="0072317F"/>
    <w:rsid w:val="00726F99"/>
    <w:rsid w:val="00727E32"/>
    <w:rsid w:val="007305ED"/>
    <w:rsid w:val="007311B9"/>
    <w:rsid w:val="007314C5"/>
    <w:rsid w:val="00731F42"/>
    <w:rsid w:val="00732361"/>
    <w:rsid w:val="007356D8"/>
    <w:rsid w:val="007357B9"/>
    <w:rsid w:val="00736E47"/>
    <w:rsid w:val="00741AB9"/>
    <w:rsid w:val="00742D03"/>
    <w:rsid w:val="007434D5"/>
    <w:rsid w:val="00744216"/>
    <w:rsid w:val="007452E8"/>
    <w:rsid w:val="00746990"/>
    <w:rsid w:val="00746C47"/>
    <w:rsid w:val="00747093"/>
    <w:rsid w:val="00750D70"/>
    <w:rsid w:val="00751ADF"/>
    <w:rsid w:val="00756BBC"/>
    <w:rsid w:val="007575D0"/>
    <w:rsid w:val="007575E8"/>
    <w:rsid w:val="00757A43"/>
    <w:rsid w:val="00761B3D"/>
    <w:rsid w:val="00762B4F"/>
    <w:rsid w:val="00765EB3"/>
    <w:rsid w:val="007662E0"/>
    <w:rsid w:val="00772713"/>
    <w:rsid w:val="00776E9C"/>
    <w:rsid w:val="00777A8C"/>
    <w:rsid w:val="007816D8"/>
    <w:rsid w:val="007821F9"/>
    <w:rsid w:val="007826C2"/>
    <w:rsid w:val="00784150"/>
    <w:rsid w:val="00784CA1"/>
    <w:rsid w:val="00785CC3"/>
    <w:rsid w:val="00787617"/>
    <w:rsid w:val="00790863"/>
    <w:rsid w:val="00793272"/>
    <w:rsid w:val="0079499A"/>
    <w:rsid w:val="00794B64"/>
    <w:rsid w:val="007967C3"/>
    <w:rsid w:val="007A0A33"/>
    <w:rsid w:val="007A1659"/>
    <w:rsid w:val="007A2967"/>
    <w:rsid w:val="007B04DE"/>
    <w:rsid w:val="007B0736"/>
    <w:rsid w:val="007B0AE6"/>
    <w:rsid w:val="007C0EE4"/>
    <w:rsid w:val="007C0F0B"/>
    <w:rsid w:val="007C15F2"/>
    <w:rsid w:val="007C51EB"/>
    <w:rsid w:val="007C523C"/>
    <w:rsid w:val="007C57BC"/>
    <w:rsid w:val="007D04CA"/>
    <w:rsid w:val="007D0A2B"/>
    <w:rsid w:val="007D12A1"/>
    <w:rsid w:val="007D2F2E"/>
    <w:rsid w:val="007D40E5"/>
    <w:rsid w:val="007D4138"/>
    <w:rsid w:val="007E4178"/>
    <w:rsid w:val="007E6443"/>
    <w:rsid w:val="007F0085"/>
    <w:rsid w:val="007F0A77"/>
    <w:rsid w:val="007F1E37"/>
    <w:rsid w:val="007F3862"/>
    <w:rsid w:val="007F50D3"/>
    <w:rsid w:val="007F6B1F"/>
    <w:rsid w:val="007F7484"/>
    <w:rsid w:val="008013F0"/>
    <w:rsid w:val="00803926"/>
    <w:rsid w:val="00804897"/>
    <w:rsid w:val="00806156"/>
    <w:rsid w:val="008159EB"/>
    <w:rsid w:val="008169CF"/>
    <w:rsid w:val="00823A6A"/>
    <w:rsid w:val="00826774"/>
    <w:rsid w:val="00826BDF"/>
    <w:rsid w:val="008329DB"/>
    <w:rsid w:val="008361C5"/>
    <w:rsid w:val="0083628F"/>
    <w:rsid w:val="00837AB9"/>
    <w:rsid w:val="00841407"/>
    <w:rsid w:val="00841A79"/>
    <w:rsid w:val="00850637"/>
    <w:rsid w:val="00850A12"/>
    <w:rsid w:val="00852B2C"/>
    <w:rsid w:val="00854D98"/>
    <w:rsid w:val="0085751E"/>
    <w:rsid w:val="00860B29"/>
    <w:rsid w:val="008622E8"/>
    <w:rsid w:val="00862FF7"/>
    <w:rsid w:val="0086322C"/>
    <w:rsid w:val="008645EE"/>
    <w:rsid w:val="00870144"/>
    <w:rsid w:val="0087072C"/>
    <w:rsid w:val="00871312"/>
    <w:rsid w:val="00872B25"/>
    <w:rsid w:val="00873D7A"/>
    <w:rsid w:val="008745F5"/>
    <w:rsid w:val="00877AC2"/>
    <w:rsid w:val="00877BBC"/>
    <w:rsid w:val="00877CB3"/>
    <w:rsid w:val="008804CF"/>
    <w:rsid w:val="00882D58"/>
    <w:rsid w:val="00882F19"/>
    <w:rsid w:val="00883D35"/>
    <w:rsid w:val="00884569"/>
    <w:rsid w:val="0088638F"/>
    <w:rsid w:val="00887A51"/>
    <w:rsid w:val="0089038A"/>
    <w:rsid w:val="00890D9B"/>
    <w:rsid w:val="0089165A"/>
    <w:rsid w:val="00891C6C"/>
    <w:rsid w:val="008932AD"/>
    <w:rsid w:val="00893CCD"/>
    <w:rsid w:val="00895800"/>
    <w:rsid w:val="008964B3"/>
    <w:rsid w:val="00897794"/>
    <w:rsid w:val="00897EAA"/>
    <w:rsid w:val="008A5965"/>
    <w:rsid w:val="008B1CB5"/>
    <w:rsid w:val="008B23AD"/>
    <w:rsid w:val="008B3F65"/>
    <w:rsid w:val="008B5467"/>
    <w:rsid w:val="008C0864"/>
    <w:rsid w:val="008C0C3A"/>
    <w:rsid w:val="008C2D69"/>
    <w:rsid w:val="008C49C6"/>
    <w:rsid w:val="008C5311"/>
    <w:rsid w:val="008C754C"/>
    <w:rsid w:val="008D56C9"/>
    <w:rsid w:val="008D56CA"/>
    <w:rsid w:val="008D6A54"/>
    <w:rsid w:val="008E1828"/>
    <w:rsid w:val="008E2585"/>
    <w:rsid w:val="008E2D7A"/>
    <w:rsid w:val="008E73B9"/>
    <w:rsid w:val="008F1F49"/>
    <w:rsid w:val="008F3215"/>
    <w:rsid w:val="008F4A62"/>
    <w:rsid w:val="008F7256"/>
    <w:rsid w:val="009002CA"/>
    <w:rsid w:val="0090424C"/>
    <w:rsid w:val="0090605E"/>
    <w:rsid w:val="00906C74"/>
    <w:rsid w:val="0091038D"/>
    <w:rsid w:val="009108CE"/>
    <w:rsid w:val="00913E9E"/>
    <w:rsid w:val="00915A9F"/>
    <w:rsid w:val="00922999"/>
    <w:rsid w:val="009236B7"/>
    <w:rsid w:val="00924058"/>
    <w:rsid w:val="00930D58"/>
    <w:rsid w:val="00931BBF"/>
    <w:rsid w:val="0093332A"/>
    <w:rsid w:val="00935AAA"/>
    <w:rsid w:val="0095031E"/>
    <w:rsid w:val="00951341"/>
    <w:rsid w:val="00952FE0"/>
    <w:rsid w:val="00954297"/>
    <w:rsid w:val="009552D8"/>
    <w:rsid w:val="00957727"/>
    <w:rsid w:val="00960A56"/>
    <w:rsid w:val="00963041"/>
    <w:rsid w:val="009635C0"/>
    <w:rsid w:val="00966EF1"/>
    <w:rsid w:val="00967223"/>
    <w:rsid w:val="009751F7"/>
    <w:rsid w:val="009768DD"/>
    <w:rsid w:val="0098168B"/>
    <w:rsid w:val="00983437"/>
    <w:rsid w:val="0098350E"/>
    <w:rsid w:val="00983A7E"/>
    <w:rsid w:val="00990C12"/>
    <w:rsid w:val="0099147C"/>
    <w:rsid w:val="00991AFA"/>
    <w:rsid w:val="00992C59"/>
    <w:rsid w:val="0099404F"/>
    <w:rsid w:val="00994635"/>
    <w:rsid w:val="00996FA5"/>
    <w:rsid w:val="009978A0"/>
    <w:rsid w:val="009A6CF7"/>
    <w:rsid w:val="009B340A"/>
    <w:rsid w:val="009B5662"/>
    <w:rsid w:val="009B7961"/>
    <w:rsid w:val="009C0741"/>
    <w:rsid w:val="009C2211"/>
    <w:rsid w:val="009C40E8"/>
    <w:rsid w:val="009C45C5"/>
    <w:rsid w:val="009C5E31"/>
    <w:rsid w:val="009D3814"/>
    <w:rsid w:val="009D5E8C"/>
    <w:rsid w:val="009E6858"/>
    <w:rsid w:val="009E6F8C"/>
    <w:rsid w:val="009F0272"/>
    <w:rsid w:val="009F405F"/>
    <w:rsid w:val="009F7219"/>
    <w:rsid w:val="00A01C56"/>
    <w:rsid w:val="00A063B9"/>
    <w:rsid w:val="00A173C8"/>
    <w:rsid w:val="00A216A3"/>
    <w:rsid w:val="00A22475"/>
    <w:rsid w:val="00A312FF"/>
    <w:rsid w:val="00A3285B"/>
    <w:rsid w:val="00A32C50"/>
    <w:rsid w:val="00A34860"/>
    <w:rsid w:val="00A351FC"/>
    <w:rsid w:val="00A35401"/>
    <w:rsid w:val="00A358E7"/>
    <w:rsid w:val="00A3635C"/>
    <w:rsid w:val="00A4380B"/>
    <w:rsid w:val="00A47735"/>
    <w:rsid w:val="00A47ED0"/>
    <w:rsid w:val="00A50BD9"/>
    <w:rsid w:val="00A51A2D"/>
    <w:rsid w:val="00A535AE"/>
    <w:rsid w:val="00A53E66"/>
    <w:rsid w:val="00A5596B"/>
    <w:rsid w:val="00A574C7"/>
    <w:rsid w:val="00A63C07"/>
    <w:rsid w:val="00A63D9B"/>
    <w:rsid w:val="00A64EB7"/>
    <w:rsid w:val="00A65A7F"/>
    <w:rsid w:val="00A676D8"/>
    <w:rsid w:val="00A704DC"/>
    <w:rsid w:val="00A7189C"/>
    <w:rsid w:val="00A75FDD"/>
    <w:rsid w:val="00A764CB"/>
    <w:rsid w:val="00A772EE"/>
    <w:rsid w:val="00A80E1C"/>
    <w:rsid w:val="00A82B56"/>
    <w:rsid w:val="00A8544C"/>
    <w:rsid w:val="00A87201"/>
    <w:rsid w:val="00A93B1B"/>
    <w:rsid w:val="00A93DC6"/>
    <w:rsid w:val="00A9411A"/>
    <w:rsid w:val="00AA4A4B"/>
    <w:rsid w:val="00AA4DDD"/>
    <w:rsid w:val="00AA604F"/>
    <w:rsid w:val="00AA6682"/>
    <w:rsid w:val="00AB05D6"/>
    <w:rsid w:val="00AB0613"/>
    <w:rsid w:val="00AB11A5"/>
    <w:rsid w:val="00AB1E9B"/>
    <w:rsid w:val="00AB74BF"/>
    <w:rsid w:val="00AB77D0"/>
    <w:rsid w:val="00AB7C5C"/>
    <w:rsid w:val="00AB7CBF"/>
    <w:rsid w:val="00AD0111"/>
    <w:rsid w:val="00AD0A92"/>
    <w:rsid w:val="00AD0B68"/>
    <w:rsid w:val="00AD40C3"/>
    <w:rsid w:val="00AD4C72"/>
    <w:rsid w:val="00AD5451"/>
    <w:rsid w:val="00AD752A"/>
    <w:rsid w:val="00AE1947"/>
    <w:rsid w:val="00AE2C58"/>
    <w:rsid w:val="00AE77A1"/>
    <w:rsid w:val="00AF1C8B"/>
    <w:rsid w:val="00AF299B"/>
    <w:rsid w:val="00AF5D56"/>
    <w:rsid w:val="00AF7E43"/>
    <w:rsid w:val="00B02AE0"/>
    <w:rsid w:val="00B03F25"/>
    <w:rsid w:val="00B05326"/>
    <w:rsid w:val="00B05377"/>
    <w:rsid w:val="00B13217"/>
    <w:rsid w:val="00B13785"/>
    <w:rsid w:val="00B139E3"/>
    <w:rsid w:val="00B14545"/>
    <w:rsid w:val="00B14E60"/>
    <w:rsid w:val="00B16746"/>
    <w:rsid w:val="00B17BA2"/>
    <w:rsid w:val="00B23F90"/>
    <w:rsid w:val="00B263D9"/>
    <w:rsid w:val="00B26DC3"/>
    <w:rsid w:val="00B30B9D"/>
    <w:rsid w:val="00B424D7"/>
    <w:rsid w:val="00B4574D"/>
    <w:rsid w:val="00B468E1"/>
    <w:rsid w:val="00B46BC0"/>
    <w:rsid w:val="00B46DFB"/>
    <w:rsid w:val="00B5141B"/>
    <w:rsid w:val="00B519D5"/>
    <w:rsid w:val="00B55681"/>
    <w:rsid w:val="00B56950"/>
    <w:rsid w:val="00B569E3"/>
    <w:rsid w:val="00B57AAD"/>
    <w:rsid w:val="00B60785"/>
    <w:rsid w:val="00B6374E"/>
    <w:rsid w:val="00B65201"/>
    <w:rsid w:val="00B67AB8"/>
    <w:rsid w:val="00B72B16"/>
    <w:rsid w:val="00B80408"/>
    <w:rsid w:val="00B81341"/>
    <w:rsid w:val="00B81397"/>
    <w:rsid w:val="00B82DCA"/>
    <w:rsid w:val="00B91286"/>
    <w:rsid w:val="00B925DB"/>
    <w:rsid w:val="00B967FF"/>
    <w:rsid w:val="00B974B9"/>
    <w:rsid w:val="00B97CE0"/>
    <w:rsid w:val="00BA3F6D"/>
    <w:rsid w:val="00BA4BE6"/>
    <w:rsid w:val="00BA4FC0"/>
    <w:rsid w:val="00BA61E0"/>
    <w:rsid w:val="00BA657C"/>
    <w:rsid w:val="00BA7CBD"/>
    <w:rsid w:val="00BA7F7D"/>
    <w:rsid w:val="00BB1C14"/>
    <w:rsid w:val="00BB26BF"/>
    <w:rsid w:val="00BB6847"/>
    <w:rsid w:val="00BB7F8F"/>
    <w:rsid w:val="00BC2FC8"/>
    <w:rsid w:val="00BC3C9A"/>
    <w:rsid w:val="00BC716A"/>
    <w:rsid w:val="00BD07DF"/>
    <w:rsid w:val="00BD26F4"/>
    <w:rsid w:val="00BD5767"/>
    <w:rsid w:val="00BD5DBD"/>
    <w:rsid w:val="00BD5DF6"/>
    <w:rsid w:val="00BD768D"/>
    <w:rsid w:val="00BE0041"/>
    <w:rsid w:val="00BE4CB3"/>
    <w:rsid w:val="00BE640F"/>
    <w:rsid w:val="00BE6D2A"/>
    <w:rsid w:val="00BE73CB"/>
    <w:rsid w:val="00BE7AF8"/>
    <w:rsid w:val="00BF05E0"/>
    <w:rsid w:val="00BF15BC"/>
    <w:rsid w:val="00BF4638"/>
    <w:rsid w:val="00BF5130"/>
    <w:rsid w:val="00C00844"/>
    <w:rsid w:val="00C016B4"/>
    <w:rsid w:val="00C059D0"/>
    <w:rsid w:val="00C07551"/>
    <w:rsid w:val="00C10C18"/>
    <w:rsid w:val="00C1109F"/>
    <w:rsid w:val="00C12D65"/>
    <w:rsid w:val="00C133AB"/>
    <w:rsid w:val="00C140F0"/>
    <w:rsid w:val="00C205AE"/>
    <w:rsid w:val="00C20B56"/>
    <w:rsid w:val="00C21937"/>
    <w:rsid w:val="00C22214"/>
    <w:rsid w:val="00C229F9"/>
    <w:rsid w:val="00C26F72"/>
    <w:rsid w:val="00C30663"/>
    <w:rsid w:val="00C309A7"/>
    <w:rsid w:val="00C3184B"/>
    <w:rsid w:val="00C335AB"/>
    <w:rsid w:val="00C407AB"/>
    <w:rsid w:val="00C40CFE"/>
    <w:rsid w:val="00C41249"/>
    <w:rsid w:val="00C4146A"/>
    <w:rsid w:val="00C45DE9"/>
    <w:rsid w:val="00C51CA7"/>
    <w:rsid w:val="00C52B7B"/>
    <w:rsid w:val="00C53D45"/>
    <w:rsid w:val="00C547CD"/>
    <w:rsid w:val="00C56DBA"/>
    <w:rsid w:val="00C570FF"/>
    <w:rsid w:val="00C57CEA"/>
    <w:rsid w:val="00C60FEC"/>
    <w:rsid w:val="00C62B1C"/>
    <w:rsid w:val="00C64315"/>
    <w:rsid w:val="00C6574E"/>
    <w:rsid w:val="00C663D1"/>
    <w:rsid w:val="00C707FD"/>
    <w:rsid w:val="00C76DEB"/>
    <w:rsid w:val="00C811D8"/>
    <w:rsid w:val="00C816C6"/>
    <w:rsid w:val="00C838D7"/>
    <w:rsid w:val="00C863A7"/>
    <w:rsid w:val="00C90219"/>
    <w:rsid w:val="00C912F4"/>
    <w:rsid w:val="00C9156F"/>
    <w:rsid w:val="00C9581A"/>
    <w:rsid w:val="00C95D92"/>
    <w:rsid w:val="00C97D29"/>
    <w:rsid w:val="00CA20C7"/>
    <w:rsid w:val="00CA496C"/>
    <w:rsid w:val="00CB0550"/>
    <w:rsid w:val="00CB0D28"/>
    <w:rsid w:val="00CB2F19"/>
    <w:rsid w:val="00CB398F"/>
    <w:rsid w:val="00CB4D03"/>
    <w:rsid w:val="00CB6813"/>
    <w:rsid w:val="00CC6B75"/>
    <w:rsid w:val="00CC6EC3"/>
    <w:rsid w:val="00CC7D68"/>
    <w:rsid w:val="00CD45AA"/>
    <w:rsid w:val="00CE1FD3"/>
    <w:rsid w:val="00CE3094"/>
    <w:rsid w:val="00CE545D"/>
    <w:rsid w:val="00CE6AFF"/>
    <w:rsid w:val="00CE6D07"/>
    <w:rsid w:val="00CF3D7C"/>
    <w:rsid w:val="00CF6A55"/>
    <w:rsid w:val="00CF6DC6"/>
    <w:rsid w:val="00CF6DCF"/>
    <w:rsid w:val="00D00866"/>
    <w:rsid w:val="00D01DDB"/>
    <w:rsid w:val="00D057A2"/>
    <w:rsid w:val="00D066E9"/>
    <w:rsid w:val="00D078BE"/>
    <w:rsid w:val="00D11047"/>
    <w:rsid w:val="00D127BE"/>
    <w:rsid w:val="00D13F8A"/>
    <w:rsid w:val="00D16F60"/>
    <w:rsid w:val="00D20138"/>
    <w:rsid w:val="00D22981"/>
    <w:rsid w:val="00D22CE4"/>
    <w:rsid w:val="00D23097"/>
    <w:rsid w:val="00D26DFD"/>
    <w:rsid w:val="00D2755B"/>
    <w:rsid w:val="00D3349B"/>
    <w:rsid w:val="00D424A8"/>
    <w:rsid w:val="00D429D2"/>
    <w:rsid w:val="00D437C8"/>
    <w:rsid w:val="00D53A93"/>
    <w:rsid w:val="00D6036F"/>
    <w:rsid w:val="00D62877"/>
    <w:rsid w:val="00D63760"/>
    <w:rsid w:val="00D63D32"/>
    <w:rsid w:val="00D6703F"/>
    <w:rsid w:val="00D734EB"/>
    <w:rsid w:val="00D82060"/>
    <w:rsid w:val="00D82713"/>
    <w:rsid w:val="00D86F00"/>
    <w:rsid w:val="00D918D5"/>
    <w:rsid w:val="00D94ADC"/>
    <w:rsid w:val="00D94C8E"/>
    <w:rsid w:val="00D95032"/>
    <w:rsid w:val="00D95E04"/>
    <w:rsid w:val="00DB1372"/>
    <w:rsid w:val="00DB192C"/>
    <w:rsid w:val="00DB1CF3"/>
    <w:rsid w:val="00DB5425"/>
    <w:rsid w:val="00DB72A6"/>
    <w:rsid w:val="00DB7348"/>
    <w:rsid w:val="00DC33AF"/>
    <w:rsid w:val="00DC6611"/>
    <w:rsid w:val="00DD5AFB"/>
    <w:rsid w:val="00DD7C63"/>
    <w:rsid w:val="00DE1344"/>
    <w:rsid w:val="00DE4A5D"/>
    <w:rsid w:val="00DF1CFD"/>
    <w:rsid w:val="00DF5A07"/>
    <w:rsid w:val="00DF5BFE"/>
    <w:rsid w:val="00E00FEB"/>
    <w:rsid w:val="00E0466A"/>
    <w:rsid w:val="00E0523F"/>
    <w:rsid w:val="00E07E25"/>
    <w:rsid w:val="00E11EF9"/>
    <w:rsid w:val="00E12446"/>
    <w:rsid w:val="00E20784"/>
    <w:rsid w:val="00E20CB0"/>
    <w:rsid w:val="00E23E50"/>
    <w:rsid w:val="00E26213"/>
    <w:rsid w:val="00E26805"/>
    <w:rsid w:val="00E274DF"/>
    <w:rsid w:val="00E34D66"/>
    <w:rsid w:val="00E362C4"/>
    <w:rsid w:val="00E42479"/>
    <w:rsid w:val="00E43648"/>
    <w:rsid w:val="00E43F5D"/>
    <w:rsid w:val="00E44961"/>
    <w:rsid w:val="00E46CC2"/>
    <w:rsid w:val="00E47E0C"/>
    <w:rsid w:val="00E51813"/>
    <w:rsid w:val="00E52C0B"/>
    <w:rsid w:val="00E52E67"/>
    <w:rsid w:val="00E53D3F"/>
    <w:rsid w:val="00E5579B"/>
    <w:rsid w:val="00E56179"/>
    <w:rsid w:val="00E57FF4"/>
    <w:rsid w:val="00E6164D"/>
    <w:rsid w:val="00E631C6"/>
    <w:rsid w:val="00E66990"/>
    <w:rsid w:val="00E679D1"/>
    <w:rsid w:val="00E67C1C"/>
    <w:rsid w:val="00E72C44"/>
    <w:rsid w:val="00E8169C"/>
    <w:rsid w:val="00E83263"/>
    <w:rsid w:val="00E878AE"/>
    <w:rsid w:val="00E91F11"/>
    <w:rsid w:val="00E93A2C"/>
    <w:rsid w:val="00E94C5D"/>
    <w:rsid w:val="00E9706D"/>
    <w:rsid w:val="00EA0BCA"/>
    <w:rsid w:val="00EA3AF4"/>
    <w:rsid w:val="00EA4A4B"/>
    <w:rsid w:val="00EA4E92"/>
    <w:rsid w:val="00EA7F1A"/>
    <w:rsid w:val="00EC1A23"/>
    <w:rsid w:val="00EC504A"/>
    <w:rsid w:val="00ED0660"/>
    <w:rsid w:val="00ED13CA"/>
    <w:rsid w:val="00EE08FF"/>
    <w:rsid w:val="00EE4B01"/>
    <w:rsid w:val="00EE61CB"/>
    <w:rsid w:val="00EF3F0B"/>
    <w:rsid w:val="00EF4FD5"/>
    <w:rsid w:val="00EF5583"/>
    <w:rsid w:val="00EF747C"/>
    <w:rsid w:val="00F0131C"/>
    <w:rsid w:val="00F0289D"/>
    <w:rsid w:val="00F02AEC"/>
    <w:rsid w:val="00F03DA1"/>
    <w:rsid w:val="00F05D0C"/>
    <w:rsid w:val="00F06D89"/>
    <w:rsid w:val="00F07572"/>
    <w:rsid w:val="00F117A5"/>
    <w:rsid w:val="00F1187D"/>
    <w:rsid w:val="00F11E4D"/>
    <w:rsid w:val="00F139B5"/>
    <w:rsid w:val="00F157FC"/>
    <w:rsid w:val="00F1735C"/>
    <w:rsid w:val="00F222BF"/>
    <w:rsid w:val="00F24DB5"/>
    <w:rsid w:val="00F25029"/>
    <w:rsid w:val="00F30AF3"/>
    <w:rsid w:val="00F43CD1"/>
    <w:rsid w:val="00F45AE0"/>
    <w:rsid w:val="00F4769C"/>
    <w:rsid w:val="00F55660"/>
    <w:rsid w:val="00F60B5A"/>
    <w:rsid w:val="00F60CF2"/>
    <w:rsid w:val="00F62457"/>
    <w:rsid w:val="00F6301F"/>
    <w:rsid w:val="00F657B4"/>
    <w:rsid w:val="00F71207"/>
    <w:rsid w:val="00F72725"/>
    <w:rsid w:val="00F7649F"/>
    <w:rsid w:val="00F8083B"/>
    <w:rsid w:val="00F82D1B"/>
    <w:rsid w:val="00F8424A"/>
    <w:rsid w:val="00F8568E"/>
    <w:rsid w:val="00F865A7"/>
    <w:rsid w:val="00F87EC5"/>
    <w:rsid w:val="00F90985"/>
    <w:rsid w:val="00FA0754"/>
    <w:rsid w:val="00FA1BC9"/>
    <w:rsid w:val="00FA49C3"/>
    <w:rsid w:val="00FB2209"/>
    <w:rsid w:val="00FB236E"/>
    <w:rsid w:val="00FB3F7B"/>
    <w:rsid w:val="00FB4C2A"/>
    <w:rsid w:val="00FC07E3"/>
    <w:rsid w:val="00FC2107"/>
    <w:rsid w:val="00FC48FE"/>
    <w:rsid w:val="00FC5A11"/>
    <w:rsid w:val="00FC6F56"/>
    <w:rsid w:val="00FC79AD"/>
    <w:rsid w:val="00FD1D26"/>
    <w:rsid w:val="00FE087C"/>
    <w:rsid w:val="00FE4C65"/>
    <w:rsid w:val="00FE72B8"/>
    <w:rsid w:val="00FE79A0"/>
    <w:rsid w:val="00FF0939"/>
    <w:rsid w:val="00FF3F6C"/>
    <w:rsid w:val="00FF57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B9"/>
    <w:rPr>
      <w:rFonts w:ascii="Cambria" w:hAnsi="Cambria"/>
      <w:sz w:val="22"/>
    </w:rPr>
  </w:style>
  <w:style w:type="paragraph" w:styleId="Heading1">
    <w:name w:val="heading 1"/>
    <w:basedOn w:val="Normal"/>
    <w:next w:val="Normal"/>
    <w:link w:val="Heading1Char"/>
    <w:uiPriority w:val="9"/>
    <w:qFormat/>
    <w:rsid w:val="00A64E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unhideWhenUsed/>
    <w:qFormat/>
    <w:rsid w:val="004D7708"/>
    <w:pPr>
      <w:keepNext/>
      <w:keepLines/>
      <w:spacing w:before="40"/>
      <w:outlineLvl w:val="6"/>
    </w:pPr>
    <w:rPr>
      <w:rFonts w:ascii="Arial" w:eastAsiaTheme="majorEastAsia" w:hAnsi="Arial" w:cstheme="majorBidi"/>
      <w:b/>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paragraph" w:styleId="NoSpacing">
    <w:name w:val="No Spacing"/>
    <w:uiPriority w:val="1"/>
    <w:qFormat/>
    <w:rsid w:val="00481356"/>
    <w:pPr>
      <w:spacing w:after="0" w:line="240" w:lineRule="auto"/>
    </w:pPr>
    <w:rPr>
      <w:sz w:val="22"/>
      <w:szCs w:val="22"/>
    </w:rPr>
  </w:style>
  <w:style w:type="character" w:customStyle="1" w:styleId="Heading1Char">
    <w:name w:val="Heading 1 Char"/>
    <w:basedOn w:val="DefaultParagraphFont"/>
    <w:link w:val="Heading1"/>
    <w:uiPriority w:val="9"/>
    <w:rsid w:val="00A64EB7"/>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
    <w:rsid w:val="004D7708"/>
    <w:rPr>
      <w:rFonts w:ascii="Arial" w:eastAsiaTheme="majorEastAsia" w:hAnsi="Arial" w:cstheme="majorBidi"/>
      <w:b/>
      <w:i/>
      <w:iCs/>
      <w:color w:val="1F3763" w:themeColor="accent1" w:themeShade="7F"/>
      <w:sz w:val="22"/>
    </w:rPr>
  </w:style>
  <w:style w:type="paragraph" w:customStyle="1" w:styleId="Comment1">
    <w:name w:val="Comment 1"/>
    <w:basedOn w:val="Normal"/>
    <w:next w:val="Normal"/>
    <w:qFormat/>
    <w:rsid w:val="00BE4CB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ind w:left="1134" w:hanging="1134"/>
    </w:pPr>
    <w:rPr>
      <w:rFonts w:ascii="Calibri" w:eastAsia="Times New Roman" w:hAnsi="Calibri" w:cs="Arial"/>
      <w:kern w:val="16"/>
      <w:lang w:eastAsia="en-AU"/>
    </w:rPr>
  </w:style>
  <w:style w:type="paragraph" w:customStyle="1" w:styleId="Bulletlist">
    <w:name w:val="Bullet list"/>
    <w:basedOn w:val="Normal"/>
    <w:link w:val="BulletlistChar"/>
    <w:qFormat/>
    <w:rsid w:val="000A7F70"/>
    <w:pPr>
      <w:numPr>
        <w:numId w:val="34"/>
      </w:numPr>
      <w:spacing w:after="180" w:line="252" w:lineRule="auto"/>
    </w:pPr>
    <w:rPr>
      <w:rFonts w:eastAsia="Times New Roman" w:cs="Times New Roman"/>
      <w:snapToGrid w:val="0"/>
      <w:kern w:val="2"/>
      <w:sz w:val="23"/>
      <w:szCs w:val="22"/>
    </w:rPr>
  </w:style>
  <w:style w:type="character" w:customStyle="1" w:styleId="BulletlistChar">
    <w:name w:val="Bullet list Char"/>
    <w:basedOn w:val="DefaultParagraphFont"/>
    <w:link w:val="Bulletlist"/>
    <w:rsid w:val="000A7F70"/>
    <w:rPr>
      <w:rFonts w:ascii="Cambria" w:eastAsia="Times New Roman" w:hAnsi="Cambria" w:cs="Times New Roman"/>
      <w:snapToGrid w:val="0"/>
      <w:kern w:val="2"/>
      <w:sz w:val="23"/>
      <w:szCs w:val="22"/>
    </w:rPr>
  </w:style>
  <w:style w:type="paragraph" w:customStyle="1" w:styleId="Tabletext0">
    <w:name w:val="Table text"/>
    <w:basedOn w:val="Normal"/>
    <w:link w:val="TabletextChar"/>
    <w:qFormat/>
    <w:rsid w:val="00050AF8"/>
    <w:pPr>
      <w:spacing w:before="120" w:line="240" w:lineRule="atLeast"/>
    </w:pPr>
    <w:rPr>
      <w:rFonts w:eastAsia="Cambria" w:cs="Times New Roman"/>
      <w:kern w:val="16"/>
      <w:sz w:val="19"/>
      <w:szCs w:val="22"/>
    </w:rPr>
  </w:style>
  <w:style w:type="paragraph" w:customStyle="1" w:styleId="Standard">
    <w:name w:val="Standard"/>
    <w:basedOn w:val="Normal"/>
    <w:link w:val="StandardChar"/>
    <w:qFormat/>
    <w:rsid w:val="00050AF8"/>
    <w:pPr>
      <w:spacing w:after="220" w:line="252" w:lineRule="auto"/>
    </w:pPr>
    <w:rPr>
      <w:rFonts w:eastAsia="Times New Roman" w:cs="Times New Roman"/>
      <w:snapToGrid w:val="0"/>
      <w:kern w:val="16"/>
      <w:sz w:val="23"/>
      <w:szCs w:val="24"/>
    </w:rPr>
  </w:style>
  <w:style w:type="character" w:customStyle="1" w:styleId="StandardChar">
    <w:name w:val="Standard Char"/>
    <w:basedOn w:val="DefaultParagraphFont"/>
    <w:link w:val="Standard"/>
    <w:rsid w:val="00050AF8"/>
    <w:rPr>
      <w:rFonts w:ascii="Cambria" w:eastAsia="Times New Roman" w:hAnsi="Cambria" w:cs="Times New Roman"/>
      <w:snapToGrid w:val="0"/>
      <w:kern w:val="16"/>
      <w:sz w:val="23"/>
      <w:szCs w:val="24"/>
    </w:rPr>
  </w:style>
  <w:style w:type="character" w:customStyle="1" w:styleId="TabletextChar">
    <w:name w:val="Table text Char"/>
    <w:basedOn w:val="StandardChar"/>
    <w:link w:val="Tabletext0"/>
    <w:rsid w:val="00050AF8"/>
    <w:rPr>
      <w:rFonts w:ascii="Cambria" w:eastAsia="Cambria" w:hAnsi="Cambria" w:cs="Times New Roman"/>
      <w:snapToGrid/>
      <w:kern w:val="16"/>
      <w:sz w:val="19"/>
      <w:szCs w:val="22"/>
    </w:rPr>
  </w:style>
  <w:style w:type="paragraph" w:styleId="EndnoteText">
    <w:name w:val="endnote text"/>
    <w:basedOn w:val="Normal"/>
    <w:link w:val="EndnoteTextChar"/>
    <w:uiPriority w:val="99"/>
    <w:semiHidden/>
    <w:unhideWhenUsed/>
    <w:rsid w:val="0009061D"/>
    <w:pPr>
      <w:spacing w:after="0" w:line="240" w:lineRule="auto"/>
    </w:pPr>
    <w:rPr>
      <w:sz w:val="20"/>
    </w:rPr>
  </w:style>
  <w:style w:type="character" w:customStyle="1" w:styleId="EndnoteTextChar">
    <w:name w:val="Endnote Text Char"/>
    <w:basedOn w:val="DefaultParagraphFont"/>
    <w:link w:val="EndnoteText"/>
    <w:uiPriority w:val="99"/>
    <w:semiHidden/>
    <w:rsid w:val="0009061D"/>
    <w:rPr>
      <w:rFonts w:ascii="Cambria" w:hAnsi="Cambria"/>
    </w:rPr>
  </w:style>
  <w:style w:type="character" w:styleId="EndnoteReference">
    <w:name w:val="endnote reference"/>
    <w:basedOn w:val="DefaultParagraphFont"/>
    <w:uiPriority w:val="99"/>
    <w:semiHidden/>
    <w:unhideWhenUsed/>
    <w:rsid w:val="000906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14631336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tga.gov.au/products/medicines/find-information-about-medicine/prescribing-medicines-pregnancy-database"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tga.gov.au/how-we-regulate/supply-therapeutic-good-0/supply-prescription-medicine/application-process/prescription-medicines-registration-process"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ga.gov.au/black-triangle-scheme" TargetMode="External"/><Relationship Id="rId25" Type="http://schemas.openxmlformats.org/officeDocument/2006/relationships/image" Target="media/image7.png"/><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tga.copyright@tga.gov.au" TargetMode="External"/><Relationship Id="rId20" Type="http://schemas.openxmlformats.org/officeDocument/2006/relationships/hyperlink" Target="https://www.tga.gov.au/project-orbi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https://www.tga.gov.au/australian-public-assessment-report-auspar-guidance" TargetMode="External"/><Relationship Id="rId23" Type="http://schemas.openxmlformats.org/officeDocument/2006/relationships/image" Target="media/image5.png"/><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tga.gov.au/obstetric-drug-information-services" TargetMode="External"/><Relationship Id="rId31"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ga.gov.au/" TargetMode="External"/><Relationship Id="rId22" Type="http://schemas.openxmlformats.org/officeDocument/2006/relationships/image" Target="media/image4.png"/><Relationship Id="rId27" Type="http://schemas.openxmlformats.org/officeDocument/2006/relationships/hyperlink" Target="https://www.tga.gov.au/committee/advisory-committee-medicines-acm" TargetMode="External"/><Relationship Id="rId30" Type="http://schemas.openxmlformats.org/officeDocument/2006/relationships/hyperlink" Target="https://www.ebs.tga.gov.au/" TargetMode="External"/><Relationship Id="rId35" Type="http://schemas.openxmlformats.org/officeDocument/2006/relationships/fontTable" Target="fontTable.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34</Pages>
  <Words>11271</Words>
  <Characters>65659</Characters>
  <Application>Microsoft Office Word</Application>
  <DocSecurity>0</DocSecurity>
  <Lines>1312</Lines>
  <Paragraphs>567</Paragraphs>
  <ScaleCrop>false</ScaleCrop>
  <HeadingPairs>
    <vt:vector size="2" baseType="variant">
      <vt:variant>
        <vt:lpstr>Title</vt:lpstr>
      </vt:variant>
      <vt:variant>
        <vt:i4>1</vt:i4>
      </vt:variant>
    </vt:vector>
  </HeadingPairs>
  <TitlesOfParts>
    <vt:vector size="1" baseType="lpstr">
      <vt:lpstr>Australian Public Assessment Report for Pluvicto</vt:lpstr>
    </vt:vector>
  </TitlesOfParts>
  <Company>Department of Health, Disability and Ageing</Company>
  <LinksUpToDate>false</LinksUpToDate>
  <CharactersWithSpaces>76442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Pluvicto</dc:title>
  <dc:subject>Prescription medicines</dc:subject>
  <dc:creator>Therapeutic Goods Administration</dc:creator>
  <cp:keywords/>
  <dc:description/>
  <dcterms:created xsi:type="dcterms:W3CDTF">2025-11-10T01:09:00Z</dcterms:created>
  <dcterms:modified xsi:type="dcterms:W3CDTF">2025-11-11T00:45:00Z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16f59384,27f351b2,94a048,4cd52043,3152e2cd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3dd31c45,7aeadead,ac3707,24a32d95,52b24620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2025-09-05T01:08:24Z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e0c2896f-06f8-4c33-860b-14913c70e42a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