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E3B7D21" w:rsidR="00F02AEC" w:rsidRPr="00215D48" w:rsidRDefault="00346EC2" w:rsidP="007452E8">
            <w:pPr>
              <w:pStyle w:val="Title"/>
            </w:pPr>
            <w:r w:rsidRPr="00346EC2">
              <w:t xml:space="preserve">Australian Public Assessment Report for </w:t>
            </w:r>
            <w:bookmarkStart w:id="0" w:name="_Hlk213751854"/>
            <w:r w:rsidR="00203706">
              <w:t>Eydenzelt</w:t>
            </w:r>
            <w:bookmarkEnd w:id="0"/>
          </w:p>
        </w:tc>
      </w:tr>
      <w:tr w:rsidR="00F02AEC" w:rsidRPr="00215D48" w14:paraId="318A40A3" w14:textId="77777777" w:rsidTr="00346EC2">
        <w:trPr>
          <w:trHeight w:val="995"/>
        </w:trPr>
        <w:tc>
          <w:tcPr>
            <w:tcW w:w="8720" w:type="dxa"/>
          </w:tcPr>
          <w:p w14:paraId="1AA7C701" w14:textId="409CF2F2" w:rsidR="00F02AEC" w:rsidRPr="00215D48" w:rsidRDefault="00346EC2" w:rsidP="007452E8">
            <w:pPr>
              <w:pStyle w:val="Subtitle"/>
              <w:ind w:left="0"/>
            </w:pPr>
            <w:r w:rsidRPr="00346EC2">
              <w:t>Active ingredient:</w:t>
            </w:r>
            <w:r w:rsidR="00E8459F">
              <w:t xml:space="preserve"> </w:t>
            </w:r>
            <w:bookmarkStart w:id="1" w:name="_Hlk213751903"/>
            <w:r w:rsidR="000F2B34">
              <w:t>A</w:t>
            </w:r>
            <w:r w:rsidR="00E8459F" w:rsidRPr="00E8459F">
              <w:t>flibercept</w:t>
            </w:r>
            <w:bookmarkEnd w:id="1"/>
          </w:p>
        </w:tc>
      </w:tr>
      <w:tr w:rsidR="00346EC2" w:rsidRPr="00215D48" w14:paraId="362CCAE4" w14:textId="77777777" w:rsidTr="007452E8">
        <w:trPr>
          <w:trHeight w:val="1916"/>
        </w:trPr>
        <w:tc>
          <w:tcPr>
            <w:tcW w:w="8720" w:type="dxa"/>
          </w:tcPr>
          <w:p w14:paraId="709C45C0" w14:textId="009FE850" w:rsidR="00346EC2" w:rsidRPr="00215D48" w:rsidRDefault="00346EC2" w:rsidP="007452E8">
            <w:pPr>
              <w:pStyle w:val="Subtitle"/>
              <w:ind w:left="0"/>
            </w:pPr>
            <w:r w:rsidRPr="00346EC2">
              <w:t>Sponsor:</w:t>
            </w:r>
            <w:r w:rsidR="00003100">
              <w:t xml:space="preserve"> </w:t>
            </w:r>
            <w:bookmarkStart w:id="2" w:name="_Hlk213751918"/>
            <w:r w:rsidR="00003100" w:rsidRPr="00003100">
              <w:t>Celltrion Healthcare Australia Pty Ltd</w:t>
            </w:r>
            <w:bookmarkEnd w:id="2"/>
          </w:p>
        </w:tc>
      </w:tr>
      <w:tr w:rsidR="00F02AEC" w:rsidRPr="00215D48" w14:paraId="37F2AA1F" w14:textId="77777777" w:rsidTr="007452E8">
        <w:tc>
          <w:tcPr>
            <w:tcW w:w="8720" w:type="dxa"/>
          </w:tcPr>
          <w:p w14:paraId="1FDE8DCD" w14:textId="404CEAAB" w:rsidR="00F02AEC" w:rsidRPr="00215D48" w:rsidRDefault="00003100" w:rsidP="007452E8">
            <w:pPr>
              <w:pStyle w:val="Date"/>
            </w:pPr>
            <w:r>
              <w:t>October</w:t>
            </w:r>
            <w:r w:rsidR="00F02AEC" w:rsidRPr="00215D48">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rFonts w:eastAsiaTheme="minorEastAsia"/>
          <w:szCs w:val="20"/>
        </w:rPr>
      </w:sdtEndPr>
      <w:sdtContent>
        <w:p w14:paraId="0A6ADA2B" w14:textId="77777777" w:rsidR="00F02AEC" w:rsidRPr="00215D48" w:rsidRDefault="00F02AEC" w:rsidP="007452E8">
          <w:pPr>
            <w:pStyle w:val="NonTOCheading2"/>
          </w:pPr>
          <w:r w:rsidRPr="00215D48">
            <w:t>Contents</w:t>
          </w:r>
        </w:p>
        <w:p w14:paraId="1DE67D00" w14:textId="28948FA7" w:rsidR="009711F7"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3760470" w:history="1">
            <w:r w:rsidR="009711F7" w:rsidRPr="00502EF1">
              <w:rPr>
                <w:rStyle w:val="Hyperlink"/>
                <w:noProof/>
              </w:rPr>
              <w:t>List of abbreviations</w:t>
            </w:r>
            <w:r w:rsidR="009711F7">
              <w:rPr>
                <w:noProof/>
                <w:webHidden/>
              </w:rPr>
              <w:tab/>
            </w:r>
            <w:r w:rsidR="009711F7">
              <w:rPr>
                <w:noProof/>
                <w:webHidden/>
              </w:rPr>
              <w:fldChar w:fldCharType="begin"/>
            </w:r>
            <w:r w:rsidR="009711F7">
              <w:rPr>
                <w:noProof/>
                <w:webHidden/>
              </w:rPr>
              <w:instrText xml:space="preserve"> PAGEREF _Toc213760470 \h </w:instrText>
            </w:r>
            <w:r w:rsidR="009711F7">
              <w:rPr>
                <w:noProof/>
                <w:webHidden/>
              </w:rPr>
            </w:r>
            <w:r w:rsidR="009711F7">
              <w:rPr>
                <w:noProof/>
                <w:webHidden/>
              </w:rPr>
              <w:fldChar w:fldCharType="separate"/>
            </w:r>
            <w:r w:rsidR="009711F7">
              <w:rPr>
                <w:noProof/>
                <w:webHidden/>
              </w:rPr>
              <w:t>4</w:t>
            </w:r>
            <w:r w:rsidR="009711F7">
              <w:rPr>
                <w:noProof/>
                <w:webHidden/>
              </w:rPr>
              <w:fldChar w:fldCharType="end"/>
            </w:r>
          </w:hyperlink>
        </w:p>
        <w:p w14:paraId="2E563C19" w14:textId="5226363A" w:rsidR="009711F7" w:rsidRDefault="009711F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760471" w:history="1">
            <w:r w:rsidRPr="00502EF1">
              <w:rPr>
                <w:rStyle w:val="Hyperlink"/>
                <w:noProof/>
              </w:rPr>
              <w:t>Product submission</w:t>
            </w:r>
            <w:r>
              <w:rPr>
                <w:noProof/>
                <w:webHidden/>
              </w:rPr>
              <w:tab/>
            </w:r>
            <w:r>
              <w:rPr>
                <w:noProof/>
                <w:webHidden/>
              </w:rPr>
              <w:fldChar w:fldCharType="begin"/>
            </w:r>
            <w:r>
              <w:rPr>
                <w:noProof/>
                <w:webHidden/>
              </w:rPr>
              <w:instrText xml:space="preserve"> PAGEREF _Toc213760471 \h </w:instrText>
            </w:r>
            <w:r>
              <w:rPr>
                <w:noProof/>
                <w:webHidden/>
              </w:rPr>
            </w:r>
            <w:r>
              <w:rPr>
                <w:noProof/>
                <w:webHidden/>
              </w:rPr>
              <w:fldChar w:fldCharType="separate"/>
            </w:r>
            <w:r>
              <w:rPr>
                <w:noProof/>
                <w:webHidden/>
              </w:rPr>
              <w:t>5</w:t>
            </w:r>
            <w:r>
              <w:rPr>
                <w:noProof/>
                <w:webHidden/>
              </w:rPr>
              <w:fldChar w:fldCharType="end"/>
            </w:r>
          </w:hyperlink>
        </w:p>
        <w:p w14:paraId="3D4C4F6B" w14:textId="23EA497E"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72" w:history="1">
            <w:r w:rsidRPr="00502EF1">
              <w:rPr>
                <w:rStyle w:val="Hyperlink"/>
                <w:noProof/>
                <w:lang w:eastAsia="en-AU"/>
              </w:rPr>
              <w:t>Submission details</w:t>
            </w:r>
            <w:r>
              <w:rPr>
                <w:noProof/>
                <w:webHidden/>
              </w:rPr>
              <w:tab/>
            </w:r>
            <w:r>
              <w:rPr>
                <w:noProof/>
                <w:webHidden/>
              </w:rPr>
              <w:fldChar w:fldCharType="begin"/>
            </w:r>
            <w:r>
              <w:rPr>
                <w:noProof/>
                <w:webHidden/>
              </w:rPr>
              <w:instrText xml:space="preserve"> PAGEREF _Toc213760472 \h </w:instrText>
            </w:r>
            <w:r>
              <w:rPr>
                <w:noProof/>
                <w:webHidden/>
              </w:rPr>
            </w:r>
            <w:r>
              <w:rPr>
                <w:noProof/>
                <w:webHidden/>
              </w:rPr>
              <w:fldChar w:fldCharType="separate"/>
            </w:r>
            <w:r>
              <w:rPr>
                <w:noProof/>
                <w:webHidden/>
              </w:rPr>
              <w:t>5</w:t>
            </w:r>
            <w:r>
              <w:rPr>
                <w:noProof/>
                <w:webHidden/>
              </w:rPr>
              <w:fldChar w:fldCharType="end"/>
            </w:r>
          </w:hyperlink>
        </w:p>
        <w:p w14:paraId="338F8886" w14:textId="4929880A"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73" w:history="1">
            <w:r w:rsidRPr="00502EF1">
              <w:rPr>
                <w:rStyle w:val="Hyperlink"/>
                <w:noProof/>
              </w:rPr>
              <w:t>Product background</w:t>
            </w:r>
            <w:r>
              <w:rPr>
                <w:noProof/>
                <w:webHidden/>
              </w:rPr>
              <w:tab/>
            </w:r>
            <w:r>
              <w:rPr>
                <w:noProof/>
                <w:webHidden/>
              </w:rPr>
              <w:fldChar w:fldCharType="begin"/>
            </w:r>
            <w:r>
              <w:rPr>
                <w:noProof/>
                <w:webHidden/>
              </w:rPr>
              <w:instrText xml:space="preserve"> PAGEREF _Toc213760473 \h </w:instrText>
            </w:r>
            <w:r>
              <w:rPr>
                <w:noProof/>
                <w:webHidden/>
              </w:rPr>
            </w:r>
            <w:r>
              <w:rPr>
                <w:noProof/>
                <w:webHidden/>
              </w:rPr>
              <w:fldChar w:fldCharType="separate"/>
            </w:r>
            <w:r>
              <w:rPr>
                <w:noProof/>
                <w:webHidden/>
              </w:rPr>
              <w:t>6</w:t>
            </w:r>
            <w:r>
              <w:rPr>
                <w:noProof/>
                <w:webHidden/>
              </w:rPr>
              <w:fldChar w:fldCharType="end"/>
            </w:r>
          </w:hyperlink>
        </w:p>
        <w:p w14:paraId="24754F8D" w14:textId="254F7C75"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74" w:history="1">
            <w:r w:rsidRPr="00502EF1">
              <w:rPr>
                <w:rStyle w:val="Hyperlink"/>
                <w:noProof/>
              </w:rPr>
              <w:t>Disease or condition</w:t>
            </w:r>
            <w:r>
              <w:rPr>
                <w:noProof/>
                <w:webHidden/>
              </w:rPr>
              <w:tab/>
            </w:r>
            <w:r>
              <w:rPr>
                <w:noProof/>
                <w:webHidden/>
              </w:rPr>
              <w:fldChar w:fldCharType="begin"/>
            </w:r>
            <w:r>
              <w:rPr>
                <w:noProof/>
                <w:webHidden/>
              </w:rPr>
              <w:instrText xml:space="preserve"> PAGEREF _Toc213760474 \h </w:instrText>
            </w:r>
            <w:r>
              <w:rPr>
                <w:noProof/>
                <w:webHidden/>
              </w:rPr>
            </w:r>
            <w:r>
              <w:rPr>
                <w:noProof/>
                <w:webHidden/>
              </w:rPr>
              <w:fldChar w:fldCharType="separate"/>
            </w:r>
            <w:r>
              <w:rPr>
                <w:noProof/>
                <w:webHidden/>
              </w:rPr>
              <w:t>6</w:t>
            </w:r>
            <w:r>
              <w:rPr>
                <w:noProof/>
                <w:webHidden/>
              </w:rPr>
              <w:fldChar w:fldCharType="end"/>
            </w:r>
          </w:hyperlink>
        </w:p>
        <w:p w14:paraId="4379AA04" w14:textId="71376A98"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75" w:history="1">
            <w:r w:rsidRPr="00502EF1">
              <w:rPr>
                <w:rStyle w:val="Hyperlink"/>
                <w:noProof/>
              </w:rPr>
              <w:t>Current treatment options</w:t>
            </w:r>
            <w:r>
              <w:rPr>
                <w:noProof/>
                <w:webHidden/>
              </w:rPr>
              <w:tab/>
            </w:r>
            <w:r>
              <w:rPr>
                <w:noProof/>
                <w:webHidden/>
              </w:rPr>
              <w:fldChar w:fldCharType="begin"/>
            </w:r>
            <w:r>
              <w:rPr>
                <w:noProof/>
                <w:webHidden/>
              </w:rPr>
              <w:instrText xml:space="preserve"> PAGEREF _Toc213760475 \h </w:instrText>
            </w:r>
            <w:r>
              <w:rPr>
                <w:noProof/>
                <w:webHidden/>
              </w:rPr>
            </w:r>
            <w:r>
              <w:rPr>
                <w:noProof/>
                <w:webHidden/>
              </w:rPr>
              <w:fldChar w:fldCharType="separate"/>
            </w:r>
            <w:r>
              <w:rPr>
                <w:noProof/>
                <w:webHidden/>
              </w:rPr>
              <w:t>6</w:t>
            </w:r>
            <w:r>
              <w:rPr>
                <w:noProof/>
                <w:webHidden/>
              </w:rPr>
              <w:fldChar w:fldCharType="end"/>
            </w:r>
          </w:hyperlink>
        </w:p>
        <w:p w14:paraId="2D7C3478" w14:textId="2676B381"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76" w:history="1">
            <w:r w:rsidRPr="00502EF1">
              <w:rPr>
                <w:rStyle w:val="Hyperlink"/>
                <w:noProof/>
              </w:rPr>
              <w:t>Clinical rationale</w:t>
            </w:r>
            <w:r>
              <w:rPr>
                <w:noProof/>
                <w:webHidden/>
              </w:rPr>
              <w:tab/>
            </w:r>
            <w:r>
              <w:rPr>
                <w:noProof/>
                <w:webHidden/>
              </w:rPr>
              <w:fldChar w:fldCharType="begin"/>
            </w:r>
            <w:r>
              <w:rPr>
                <w:noProof/>
                <w:webHidden/>
              </w:rPr>
              <w:instrText xml:space="preserve"> PAGEREF _Toc213760476 \h </w:instrText>
            </w:r>
            <w:r>
              <w:rPr>
                <w:noProof/>
                <w:webHidden/>
              </w:rPr>
            </w:r>
            <w:r>
              <w:rPr>
                <w:noProof/>
                <w:webHidden/>
              </w:rPr>
              <w:fldChar w:fldCharType="separate"/>
            </w:r>
            <w:r>
              <w:rPr>
                <w:noProof/>
                <w:webHidden/>
              </w:rPr>
              <w:t>7</w:t>
            </w:r>
            <w:r>
              <w:rPr>
                <w:noProof/>
                <w:webHidden/>
              </w:rPr>
              <w:fldChar w:fldCharType="end"/>
            </w:r>
          </w:hyperlink>
        </w:p>
        <w:p w14:paraId="10F5B158" w14:textId="1EEF0D19"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77" w:history="1">
            <w:r w:rsidRPr="00502EF1">
              <w:rPr>
                <w:rStyle w:val="Hyperlink"/>
                <w:noProof/>
              </w:rPr>
              <w:t>Regulatory status</w:t>
            </w:r>
            <w:r>
              <w:rPr>
                <w:noProof/>
                <w:webHidden/>
              </w:rPr>
              <w:tab/>
            </w:r>
            <w:r>
              <w:rPr>
                <w:noProof/>
                <w:webHidden/>
              </w:rPr>
              <w:fldChar w:fldCharType="begin"/>
            </w:r>
            <w:r>
              <w:rPr>
                <w:noProof/>
                <w:webHidden/>
              </w:rPr>
              <w:instrText xml:space="preserve"> PAGEREF _Toc213760477 \h </w:instrText>
            </w:r>
            <w:r>
              <w:rPr>
                <w:noProof/>
                <w:webHidden/>
              </w:rPr>
            </w:r>
            <w:r>
              <w:rPr>
                <w:noProof/>
                <w:webHidden/>
              </w:rPr>
              <w:fldChar w:fldCharType="separate"/>
            </w:r>
            <w:r>
              <w:rPr>
                <w:noProof/>
                <w:webHidden/>
              </w:rPr>
              <w:t>7</w:t>
            </w:r>
            <w:r>
              <w:rPr>
                <w:noProof/>
                <w:webHidden/>
              </w:rPr>
              <w:fldChar w:fldCharType="end"/>
            </w:r>
          </w:hyperlink>
        </w:p>
        <w:p w14:paraId="3CA136F7" w14:textId="5F31667E"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78" w:history="1">
            <w:r w:rsidRPr="00502EF1">
              <w:rPr>
                <w:rStyle w:val="Hyperlink"/>
                <w:noProof/>
              </w:rPr>
              <w:t>Australian regulatory status</w:t>
            </w:r>
            <w:r>
              <w:rPr>
                <w:noProof/>
                <w:webHidden/>
              </w:rPr>
              <w:tab/>
            </w:r>
            <w:r>
              <w:rPr>
                <w:noProof/>
                <w:webHidden/>
              </w:rPr>
              <w:fldChar w:fldCharType="begin"/>
            </w:r>
            <w:r>
              <w:rPr>
                <w:noProof/>
                <w:webHidden/>
              </w:rPr>
              <w:instrText xml:space="preserve"> PAGEREF _Toc213760478 \h </w:instrText>
            </w:r>
            <w:r>
              <w:rPr>
                <w:noProof/>
                <w:webHidden/>
              </w:rPr>
            </w:r>
            <w:r>
              <w:rPr>
                <w:noProof/>
                <w:webHidden/>
              </w:rPr>
              <w:fldChar w:fldCharType="separate"/>
            </w:r>
            <w:r>
              <w:rPr>
                <w:noProof/>
                <w:webHidden/>
              </w:rPr>
              <w:t>7</w:t>
            </w:r>
            <w:r>
              <w:rPr>
                <w:noProof/>
                <w:webHidden/>
              </w:rPr>
              <w:fldChar w:fldCharType="end"/>
            </w:r>
          </w:hyperlink>
        </w:p>
        <w:p w14:paraId="0FC66BD6" w14:textId="7DA0C564"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79" w:history="1">
            <w:r w:rsidRPr="00502EF1">
              <w:rPr>
                <w:rStyle w:val="Hyperlink"/>
                <w:noProof/>
              </w:rPr>
              <w:t>International regulatory status</w:t>
            </w:r>
            <w:r>
              <w:rPr>
                <w:noProof/>
                <w:webHidden/>
              </w:rPr>
              <w:tab/>
            </w:r>
            <w:r>
              <w:rPr>
                <w:noProof/>
                <w:webHidden/>
              </w:rPr>
              <w:fldChar w:fldCharType="begin"/>
            </w:r>
            <w:r>
              <w:rPr>
                <w:noProof/>
                <w:webHidden/>
              </w:rPr>
              <w:instrText xml:space="preserve"> PAGEREF _Toc213760479 \h </w:instrText>
            </w:r>
            <w:r>
              <w:rPr>
                <w:noProof/>
                <w:webHidden/>
              </w:rPr>
            </w:r>
            <w:r>
              <w:rPr>
                <w:noProof/>
                <w:webHidden/>
              </w:rPr>
              <w:fldChar w:fldCharType="separate"/>
            </w:r>
            <w:r>
              <w:rPr>
                <w:noProof/>
                <w:webHidden/>
              </w:rPr>
              <w:t>7</w:t>
            </w:r>
            <w:r>
              <w:rPr>
                <w:noProof/>
                <w:webHidden/>
              </w:rPr>
              <w:fldChar w:fldCharType="end"/>
            </w:r>
          </w:hyperlink>
        </w:p>
        <w:p w14:paraId="4A23BCDE" w14:textId="6A2EB9DC" w:rsidR="009711F7" w:rsidRDefault="009711F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760480" w:history="1">
            <w:r w:rsidRPr="00502EF1">
              <w:rPr>
                <w:rStyle w:val="Hyperlink"/>
                <w:noProof/>
              </w:rPr>
              <w:t>Registration timeline</w:t>
            </w:r>
            <w:r>
              <w:rPr>
                <w:noProof/>
                <w:webHidden/>
              </w:rPr>
              <w:tab/>
            </w:r>
            <w:r>
              <w:rPr>
                <w:noProof/>
                <w:webHidden/>
              </w:rPr>
              <w:fldChar w:fldCharType="begin"/>
            </w:r>
            <w:r>
              <w:rPr>
                <w:noProof/>
                <w:webHidden/>
              </w:rPr>
              <w:instrText xml:space="preserve"> PAGEREF _Toc213760480 \h </w:instrText>
            </w:r>
            <w:r>
              <w:rPr>
                <w:noProof/>
                <w:webHidden/>
              </w:rPr>
            </w:r>
            <w:r>
              <w:rPr>
                <w:noProof/>
                <w:webHidden/>
              </w:rPr>
              <w:fldChar w:fldCharType="separate"/>
            </w:r>
            <w:r>
              <w:rPr>
                <w:noProof/>
                <w:webHidden/>
              </w:rPr>
              <w:t>9</w:t>
            </w:r>
            <w:r>
              <w:rPr>
                <w:noProof/>
                <w:webHidden/>
              </w:rPr>
              <w:fldChar w:fldCharType="end"/>
            </w:r>
          </w:hyperlink>
        </w:p>
        <w:p w14:paraId="58117F77" w14:textId="2F4C73A8" w:rsidR="009711F7" w:rsidRDefault="009711F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760481" w:history="1">
            <w:r w:rsidRPr="00502EF1">
              <w:rPr>
                <w:rStyle w:val="Hyperlink"/>
                <w:noProof/>
              </w:rPr>
              <w:t>Assessment overview</w:t>
            </w:r>
            <w:r>
              <w:rPr>
                <w:noProof/>
                <w:webHidden/>
              </w:rPr>
              <w:tab/>
            </w:r>
            <w:r>
              <w:rPr>
                <w:noProof/>
                <w:webHidden/>
              </w:rPr>
              <w:fldChar w:fldCharType="begin"/>
            </w:r>
            <w:r>
              <w:rPr>
                <w:noProof/>
                <w:webHidden/>
              </w:rPr>
              <w:instrText xml:space="preserve"> PAGEREF _Toc213760481 \h </w:instrText>
            </w:r>
            <w:r>
              <w:rPr>
                <w:noProof/>
                <w:webHidden/>
              </w:rPr>
            </w:r>
            <w:r>
              <w:rPr>
                <w:noProof/>
                <w:webHidden/>
              </w:rPr>
              <w:fldChar w:fldCharType="separate"/>
            </w:r>
            <w:r>
              <w:rPr>
                <w:noProof/>
                <w:webHidden/>
              </w:rPr>
              <w:t>9</w:t>
            </w:r>
            <w:r>
              <w:rPr>
                <w:noProof/>
                <w:webHidden/>
              </w:rPr>
              <w:fldChar w:fldCharType="end"/>
            </w:r>
          </w:hyperlink>
        </w:p>
        <w:p w14:paraId="3253EADF" w14:textId="7A34FF32"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82" w:history="1">
            <w:r w:rsidRPr="00502EF1">
              <w:rPr>
                <w:rStyle w:val="Hyperlink"/>
                <w:noProof/>
              </w:rPr>
              <w:t>Quality evaluation summary</w:t>
            </w:r>
            <w:r>
              <w:rPr>
                <w:noProof/>
                <w:webHidden/>
              </w:rPr>
              <w:tab/>
            </w:r>
            <w:r>
              <w:rPr>
                <w:noProof/>
                <w:webHidden/>
              </w:rPr>
              <w:fldChar w:fldCharType="begin"/>
            </w:r>
            <w:r>
              <w:rPr>
                <w:noProof/>
                <w:webHidden/>
              </w:rPr>
              <w:instrText xml:space="preserve"> PAGEREF _Toc213760482 \h </w:instrText>
            </w:r>
            <w:r>
              <w:rPr>
                <w:noProof/>
                <w:webHidden/>
              </w:rPr>
            </w:r>
            <w:r>
              <w:rPr>
                <w:noProof/>
                <w:webHidden/>
              </w:rPr>
              <w:fldChar w:fldCharType="separate"/>
            </w:r>
            <w:r>
              <w:rPr>
                <w:noProof/>
                <w:webHidden/>
              </w:rPr>
              <w:t>9</w:t>
            </w:r>
            <w:r>
              <w:rPr>
                <w:noProof/>
                <w:webHidden/>
              </w:rPr>
              <w:fldChar w:fldCharType="end"/>
            </w:r>
          </w:hyperlink>
        </w:p>
        <w:p w14:paraId="58664367" w14:textId="4E14E7DE"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83" w:history="1">
            <w:r w:rsidRPr="00502EF1">
              <w:rPr>
                <w:rStyle w:val="Hyperlink"/>
                <w:noProof/>
              </w:rPr>
              <w:t>Nonclinical evaluation summary</w:t>
            </w:r>
            <w:r>
              <w:rPr>
                <w:noProof/>
                <w:webHidden/>
              </w:rPr>
              <w:tab/>
            </w:r>
            <w:r>
              <w:rPr>
                <w:noProof/>
                <w:webHidden/>
              </w:rPr>
              <w:fldChar w:fldCharType="begin"/>
            </w:r>
            <w:r>
              <w:rPr>
                <w:noProof/>
                <w:webHidden/>
              </w:rPr>
              <w:instrText xml:space="preserve"> PAGEREF _Toc213760483 \h </w:instrText>
            </w:r>
            <w:r>
              <w:rPr>
                <w:noProof/>
                <w:webHidden/>
              </w:rPr>
            </w:r>
            <w:r>
              <w:rPr>
                <w:noProof/>
                <w:webHidden/>
              </w:rPr>
              <w:fldChar w:fldCharType="separate"/>
            </w:r>
            <w:r>
              <w:rPr>
                <w:noProof/>
                <w:webHidden/>
              </w:rPr>
              <w:t>10</w:t>
            </w:r>
            <w:r>
              <w:rPr>
                <w:noProof/>
                <w:webHidden/>
              </w:rPr>
              <w:fldChar w:fldCharType="end"/>
            </w:r>
          </w:hyperlink>
        </w:p>
        <w:p w14:paraId="6634B0D0" w14:textId="69DB6B7C"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84" w:history="1">
            <w:r w:rsidRPr="00502EF1">
              <w:rPr>
                <w:rStyle w:val="Hyperlink"/>
                <w:noProof/>
              </w:rPr>
              <w:t>Clinical evaluation summary</w:t>
            </w:r>
            <w:r>
              <w:rPr>
                <w:noProof/>
                <w:webHidden/>
              </w:rPr>
              <w:tab/>
            </w:r>
            <w:r>
              <w:rPr>
                <w:noProof/>
                <w:webHidden/>
              </w:rPr>
              <w:fldChar w:fldCharType="begin"/>
            </w:r>
            <w:r>
              <w:rPr>
                <w:noProof/>
                <w:webHidden/>
              </w:rPr>
              <w:instrText xml:space="preserve"> PAGEREF _Toc213760484 \h </w:instrText>
            </w:r>
            <w:r>
              <w:rPr>
                <w:noProof/>
                <w:webHidden/>
              </w:rPr>
            </w:r>
            <w:r>
              <w:rPr>
                <w:noProof/>
                <w:webHidden/>
              </w:rPr>
              <w:fldChar w:fldCharType="separate"/>
            </w:r>
            <w:r>
              <w:rPr>
                <w:noProof/>
                <w:webHidden/>
              </w:rPr>
              <w:t>10</w:t>
            </w:r>
            <w:r>
              <w:rPr>
                <w:noProof/>
                <w:webHidden/>
              </w:rPr>
              <w:fldChar w:fldCharType="end"/>
            </w:r>
          </w:hyperlink>
        </w:p>
        <w:p w14:paraId="0E701912" w14:textId="13220D63"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85" w:history="1">
            <w:r w:rsidRPr="00502EF1">
              <w:rPr>
                <w:rStyle w:val="Hyperlink"/>
                <w:noProof/>
              </w:rPr>
              <w:t>Summary of clinical studies</w:t>
            </w:r>
            <w:r>
              <w:rPr>
                <w:noProof/>
                <w:webHidden/>
              </w:rPr>
              <w:tab/>
            </w:r>
            <w:r>
              <w:rPr>
                <w:noProof/>
                <w:webHidden/>
              </w:rPr>
              <w:fldChar w:fldCharType="begin"/>
            </w:r>
            <w:r>
              <w:rPr>
                <w:noProof/>
                <w:webHidden/>
              </w:rPr>
              <w:instrText xml:space="preserve"> PAGEREF _Toc213760485 \h </w:instrText>
            </w:r>
            <w:r>
              <w:rPr>
                <w:noProof/>
                <w:webHidden/>
              </w:rPr>
            </w:r>
            <w:r>
              <w:rPr>
                <w:noProof/>
                <w:webHidden/>
              </w:rPr>
              <w:fldChar w:fldCharType="separate"/>
            </w:r>
            <w:r>
              <w:rPr>
                <w:noProof/>
                <w:webHidden/>
              </w:rPr>
              <w:t>10</w:t>
            </w:r>
            <w:r>
              <w:rPr>
                <w:noProof/>
                <w:webHidden/>
              </w:rPr>
              <w:fldChar w:fldCharType="end"/>
            </w:r>
          </w:hyperlink>
        </w:p>
        <w:p w14:paraId="7D7E8487" w14:textId="6681DDF4"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86" w:history="1">
            <w:r w:rsidRPr="00502EF1">
              <w:rPr>
                <w:rStyle w:val="Hyperlink"/>
                <w:noProof/>
              </w:rPr>
              <w:t>Pharmacology</w:t>
            </w:r>
            <w:r>
              <w:rPr>
                <w:noProof/>
                <w:webHidden/>
              </w:rPr>
              <w:tab/>
            </w:r>
            <w:r>
              <w:rPr>
                <w:noProof/>
                <w:webHidden/>
              </w:rPr>
              <w:fldChar w:fldCharType="begin"/>
            </w:r>
            <w:r>
              <w:rPr>
                <w:noProof/>
                <w:webHidden/>
              </w:rPr>
              <w:instrText xml:space="preserve"> PAGEREF _Toc213760486 \h </w:instrText>
            </w:r>
            <w:r>
              <w:rPr>
                <w:noProof/>
                <w:webHidden/>
              </w:rPr>
            </w:r>
            <w:r>
              <w:rPr>
                <w:noProof/>
                <w:webHidden/>
              </w:rPr>
              <w:fldChar w:fldCharType="separate"/>
            </w:r>
            <w:r>
              <w:rPr>
                <w:noProof/>
                <w:webHidden/>
              </w:rPr>
              <w:t>11</w:t>
            </w:r>
            <w:r>
              <w:rPr>
                <w:noProof/>
                <w:webHidden/>
              </w:rPr>
              <w:fldChar w:fldCharType="end"/>
            </w:r>
          </w:hyperlink>
        </w:p>
        <w:p w14:paraId="79AF29B3" w14:textId="14CDFABE"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87" w:history="1">
            <w:r w:rsidRPr="00502EF1">
              <w:rPr>
                <w:rStyle w:val="Hyperlink"/>
                <w:noProof/>
              </w:rPr>
              <w:t>Efficacy</w:t>
            </w:r>
            <w:r>
              <w:rPr>
                <w:noProof/>
                <w:webHidden/>
              </w:rPr>
              <w:tab/>
            </w:r>
            <w:r>
              <w:rPr>
                <w:noProof/>
                <w:webHidden/>
              </w:rPr>
              <w:fldChar w:fldCharType="begin"/>
            </w:r>
            <w:r>
              <w:rPr>
                <w:noProof/>
                <w:webHidden/>
              </w:rPr>
              <w:instrText xml:space="preserve"> PAGEREF _Toc213760487 \h </w:instrText>
            </w:r>
            <w:r>
              <w:rPr>
                <w:noProof/>
                <w:webHidden/>
              </w:rPr>
            </w:r>
            <w:r>
              <w:rPr>
                <w:noProof/>
                <w:webHidden/>
              </w:rPr>
              <w:fldChar w:fldCharType="separate"/>
            </w:r>
            <w:r>
              <w:rPr>
                <w:noProof/>
                <w:webHidden/>
              </w:rPr>
              <w:t>11</w:t>
            </w:r>
            <w:r>
              <w:rPr>
                <w:noProof/>
                <w:webHidden/>
              </w:rPr>
              <w:fldChar w:fldCharType="end"/>
            </w:r>
          </w:hyperlink>
        </w:p>
        <w:p w14:paraId="4FDF9F34" w14:textId="027DEAF6"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88" w:history="1">
            <w:r w:rsidRPr="00502EF1">
              <w:rPr>
                <w:rStyle w:val="Hyperlink"/>
                <w:noProof/>
              </w:rPr>
              <w:t>Safety</w:t>
            </w:r>
            <w:r>
              <w:rPr>
                <w:noProof/>
                <w:webHidden/>
              </w:rPr>
              <w:tab/>
            </w:r>
            <w:r>
              <w:rPr>
                <w:noProof/>
                <w:webHidden/>
              </w:rPr>
              <w:fldChar w:fldCharType="begin"/>
            </w:r>
            <w:r>
              <w:rPr>
                <w:noProof/>
                <w:webHidden/>
              </w:rPr>
              <w:instrText xml:space="preserve"> PAGEREF _Toc213760488 \h </w:instrText>
            </w:r>
            <w:r>
              <w:rPr>
                <w:noProof/>
                <w:webHidden/>
              </w:rPr>
            </w:r>
            <w:r>
              <w:rPr>
                <w:noProof/>
                <w:webHidden/>
              </w:rPr>
              <w:fldChar w:fldCharType="separate"/>
            </w:r>
            <w:r>
              <w:rPr>
                <w:noProof/>
                <w:webHidden/>
              </w:rPr>
              <w:t>14</w:t>
            </w:r>
            <w:r>
              <w:rPr>
                <w:noProof/>
                <w:webHidden/>
              </w:rPr>
              <w:fldChar w:fldCharType="end"/>
            </w:r>
          </w:hyperlink>
        </w:p>
        <w:p w14:paraId="50EB6C60" w14:textId="57F69C99"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89" w:history="1">
            <w:r w:rsidRPr="00502EF1">
              <w:rPr>
                <w:rStyle w:val="Hyperlink"/>
                <w:noProof/>
                <w:lang w:eastAsia="en-AU"/>
              </w:rPr>
              <w:t>Risk management plan</w:t>
            </w:r>
            <w:r>
              <w:rPr>
                <w:noProof/>
                <w:webHidden/>
              </w:rPr>
              <w:tab/>
            </w:r>
            <w:r>
              <w:rPr>
                <w:noProof/>
                <w:webHidden/>
              </w:rPr>
              <w:fldChar w:fldCharType="begin"/>
            </w:r>
            <w:r>
              <w:rPr>
                <w:noProof/>
                <w:webHidden/>
              </w:rPr>
              <w:instrText xml:space="preserve"> PAGEREF _Toc213760489 \h </w:instrText>
            </w:r>
            <w:r>
              <w:rPr>
                <w:noProof/>
                <w:webHidden/>
              </w:rPr>
            </w:r>
            <w:r>
              <w:rPr>
                <w:noProof/>
                <w:webHidden/>
              </w:rPr>
              <w:fldChar w:fldCharType="separate"/>
            </w:r>
            <w:r>
              <w:rPr>
                <w:noProof/>
                <w:webHidden/>
              </w:rPr>
              <w:t>18</w:t>
            </w:r>
            <w:r>
              <w:rPr>
                <w:noProof/>
                <w:webHidden/>
              </w:rPr>
              <w:fldChar w:fldCharType="end"/>
            </w:r>
          </w:hyperlink>
        </w:p>
        <w:p w14:paraId="72A97A96" w14:textId="50105E43"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90" w:history="1">
            <w:r w:rsidRPr="00502EF1">
              <w:rPr>
                <w:rStyle w:val="Hyperlink"/>
                <w:noProof/>
              </w:rPr>
              <w:t>Risk-benefit analysis</w:t>
            </w:r>
            <w:r>
              <w:rPr>
                <w:noProof/>
                <w:webHidden/>
              </w:rPr>
              <w:tab/>
            </w:r>
            <w:r>
              <w:rPr>
                <w:noProof/>
                <w:webHidden/>
              </w:rPr>
              <w:fldChar w:fldCharType="begin"/>
            </w:r>
            <w:r>
              <w:rPr>
                <w:noProof/>
                <w:webHidden/>
              </w:rPr>
              <w:instrText xml:space="preserve"> PAGEREF _Toc213760490 \h </w:instrText>
            </w:r>
            <w:r>
              <w:rPr>
                <w:noProof/>
                <w:webHidden/>
              </w:rPr>
            </w:r>
            <w:r>
              <w:rPr>
                <w:noProof/>
                <w:webHidden/>
              </w:rPr>
              <w:fldChar w:fldCharType="separate"/>
            </w:r>
            <w:r>
              <w:rPr>
                <w:noProof/>
                <w:webHidden/>
              </w:rPr>
              <w:t>19</w:t>
            </w:r>
            <w:r>
              <w:rPr>
                <w:noProof/>
                <w:webHidden/>
              </w:rPr>
              <w:fldChar w:fldCharType="end"/>
            </w:r>
          </w:hyperlink>
        </w:p>
        <w:p w14:paraId="6AD0B2EB" w14:textId="6EC6BDFF" w:rsidR="009711F7" w:rsidRDefault="009711F7">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760491" w:history="1">
            <w:r w:rsidRPr="00502EF1">
              <w:rPr>
                <w:rStyle w:val="Hyperlink"/>
                <w:noProof/>
              </w:rPr>
              <w:t>Assessment outcome</w:t>
            </w:r>
            <w:r>
              <w:rPr>
                <w:noProof/>
                <w:webHidden/>
              </w:rPr>
              <w:tab/>
            </w:r>
            <w:r>
              <w:rPr>
                <w:noProof/>
                <w:webHidden/>
              </w:rPr>
              <w:fldChar w:fldCharType="begin"/>
            </w:r>
            <w:r>
              <w:rPr>
                <w:noProof/>
                <w:webHidden/>
              </w:rPr>
              <w:instrText xml:space="preserve"> PAGEREF _Toc213760491 \h </w:instrText>
            </w:r>
            <w:r>
              <w:rPr>
                <w:noProof/>
                <w:webHidden/>
              </w:rPr>
            </w:r>
            <w:r>
              <w:rPr>
                <w:noProof/>
                <w:webHidden/>
              </w:rPr>
              <w:fldChar w:fldCharType="separate"/>
            </w:r>
            <w:r>
              <w:rPr>
                <w:noProof/>
                <w:webHidden/>
              </w:rPr>
              <w:t>21</w:t>
            </w:r>
            <w:r>
              <w:rPr>
                <w:noProof/>
                <w:webHidden/>
              </w:rPr>
              <w:fldChar w:fldCharType="end"/>
            </w:r>
          </w:hyperlink>
        </w:p>
        <w:p w14:paraId="636CC6E6" w14:textId="4DCC47F0" w:rsidR="009711F7" w:rsidRDefault="009711F7">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760492" w:history="1">
            <w:r w:rsidRPr="00502EF1">
              <w:rPr>
                <w:rStyle w:val="Hyperlink"/>
                <w:noProof/>
              </w:rPr>
              <w:t>Specific conditions of registration</w:t>
            </w:r>
            <w:r>
              <w:rPr>
                <w:noProof/>
                <w:webHidden/>
              </w:rPr>
              <w:tab/>
            </w:r>
            <w:r>
              <w:rPr>
                <w:noProof/>
                <w:webHidden/>
              </w:rPr>
              <w:fldChar w:fldCharType="begin"/>
            </w:r>
            <w:r>
              <w:rPr>
                <w:noProof/>
                <w:webHidden/>
              </w:rPr>
              <w:instrText xml:space="preserve"> PAGEREF _Toc213760492 \h </w:instrText>
            </w:r>
            <w:r>
              <w:rPr>
                <w:noProof/>
                <w:webHidden/>
              </w:rPr>
            </w:r>
            <w:r>
              <w:rPr>
                <w:noProof/>
                <w:webHidden/>
              </w:rPr>
              <w:fldChar w:fldCharType="separate"/>
            </w:r>
            <w:r>
              <w:rPr>
                <w:noProof/>
                <w:webHidden/>
              </w:rPr>
              <w:t>22</w:t>
            </w:r>
            <w:r>
              <w:rPr>
                <w:noProof/>
                <w:webHidden/>
              </w:rPr>
              <w:fldChar w:fldCharType="end"/>
            </w:r>
          </w:hyperlink>
        </w:p>
        <w:p w14:paraId="5F174430" w14:textId="1A1FE466" w:rsidR="009711F7" w:rsidRDefault="009711F7">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760493" w:history="1">
            <w:r w:rsidRPr="00502EF1">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_Toc213760493 \h </w:instrText>
            </w:r>
            <w:r>
              <w:rPr>
                <w:noProof/>
                <w:webHidden/>
              </w:rPr>
            </w:r>
            <w:r>
              <w:rPr>
                <w:noProof/>
                <w:webHidden/>
              </w:rPr>
              <w:fldChar w:fldCharType="separate"/>
            </w:r>
            <w:r>
              <w:rPr>
                <w:noProof/>
                <w:webHidden/>
              </w:rPr>
              <w:t>22</w:t>
            </w:r>
            <w:r>
              <w:rPr>
                <w:noProof/>
                <w:webHidden/>
              </w:rPr>
              <w:fldChar w:fldCharType="end"/>
            </w:r>
          </w:hyperlink>
        </w:p>
        <w:p w14:paraId="77659F2D" w14:textId="1A9FCF17"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3" w:name="_Toc98931917"/>
      <w:bookmarkStart w:id="4" w:name="_Toc103679287"/>
      <w:bookmarkStart w:id="5" w:name="_Toc213760470"/>
      <w:bookmarkStart w:id="6" w:name="_Toc323739589"/>
      <w:bookmarkStart w:id="7" w:name="_Toc356305216"/>
      <w:r>
        <w:lastRenderedPageBreak/>
        <w:t>List of abbreviations</w:t>
      </w:r>
      <w:bookmarkEnd w:id="3"/>
      <w:bookmarkEnd w:id="4"/>
      <w:bookmarkEnd w:id="5"/>
    </w:p>
    <w:tbl>
      <w:tblPr>
        <w:tblStyle w:val="TableTGAblue2023"/>
        <w:tblW w:w="5000" w:type="pct"/>
        <w:tblLook w:val="04A0" w:firstRow="1" w:lastRow="0" w:firstColumn="1" w:lastColumn="0" w:noHBand="0" w:noVBand="1"/>
      </w:tblPr>
      <w:tblGrid>
        <w:gridCol w:w="2174"/>
        <w:gridCol w:w="6886"/>
      </w:tblGrid>
      <w:tr w:rsidR="006B1B66" w:rsidRPr="00D01DDB" w14:paraId="5EFB0E97" w14:textId="77777777" w:rsidTr="0088214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6873A58" w14:textId="77777777" w:rsidR="006B1B66" w:rsidRPr="00D01DDB" w:rsidRDefault="006B1B66" w:rsidP="00882144">
            <w:pPr>
              <w:rPr>
                <w:szCs w:val="22"/>
              </w:rPr>
            </w:pPr>
            <w:r w:rsidRPr="00D01DDB">
              <w:rPr>
                <w:szCs w:val="22"/>
              </w:rPr>
              <w:t>Abbreviation</w:t>
            </w:r>
          </w:p>
        </w:tc>
        <w:tc>
          <w:tcPr>
            <w:tcW w:w="3800" w:type="pct"/>
          </w:tcPr>
          <w:p w14:paraId="1CD6294C" w14:textId="77777777" w:rsidR="006B1B66" w:rsidRPr="00D01DDB" w:rsidRDefault="006B1B66" w:rsidP="00882144">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B1B66" w:rsidRPr="00D01DDB" w14:paraId="42C8BA1D"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6BA9B8" w14:textId="77777777" w:rsidR="006B1B66" w:rsidRPr="00D01DDB" w:rsidRDefault="006B1B66" w:rsidP="00882144">
            <w:pPr>
              <w:rPr>
                <w:szCs w:val="22"/>
              </w:rPr>
            </w:pPr>
            <w:r w:rsidRPr="009D669E">
              <w:t xml:space="preserve">ADA </w:t>
            </w:r>
          </w:p>
        </w:tc>
        <w:tc>
          <w:tcPr>
            <w:tcW w:w="3800" w:type="pct"/>
          </w:tcPr>
          <w:p w14:paraId="1D5AE325" w14:textId="7256B710"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t>Anti-drug antibodies</w:t>
            </w:r>
          </w:p>
        </w:tc>
      </w:tr>
      <w:tr w:rsidR="006B1B66" w:rsidRPr="00D01DDB" w14:paraId="1F9AEC8C"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998C2CD" w14:textId="77777777" w:rsidR="006B1B66" w:rsidRPr="00D01DDB" w:rsidRDefault="006B1B66" w:rsidP="00882144">
            <w:pPr>
              <w:rPr>
                <w:szCs w:val="22"/>
              </w:rPr>
            </w:pPr>
            <w:r w:rsidRPr="00D01DDB">
              <w:rPr>
                <w:szCs w:val="22"/>
              </w:rPr>
              <w:t>ARTG</w:t>
            </w:r>
          </w:p>
        </w:tc>
        <w:tc>
          <w:tcPr>
            <w:tcW w:w="3800" w:type="pct"/>
          </w:tcPr>
          <w:p w14:paraId="64760B43"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6B1B66" w:rsidRPr="00D01DDB" w14:paraId="78DCC4D7"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717D38" w14:textId="77777777" w:rsidR="006B1B66" w:rsidRPr="00D01DDB" w:rsidRDefault="006B1B66" w:rsidP="00882144">
            <w:pPr>
              <w:rPr>
                <w:szCs w:val="22"/>
              </w:rPr>
            </w:pPr>
            <w:r w:rsidRPr="00D01DDB">
              <w:rPr>
                <w:szCs w:val="22"/>
              </w:rPr>
              <w:t>ASA</w:t>
            </w:r>
          </w:p>
        </w:tc>
        <w:tc>
          <w:tcPr>
            <w:tcW w:w="3800" w:type="pct"/>
          </w:tcPr>
          <w:p w14:paraId="3DDD9653"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Pr>
                <w:szCs w:val="22"/>
              </w:rPr>
              <w:noBreakHyphen/>
            </w:r>
            <w:r w:rsidRPr="00D01DDB">
              <w:rPr>
                <w:szCs w:val="22"/>
              </w:rPr>
              <w:t>specific annex</w:t>
            </w:r>
          </w:p>
        </w:tc>
      </w:tr>
      <w:tr w:rsidR="006B1B66" w:rsidRPr="00D01DDB" w14:paraId="62906B0B"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787260" w14:textId="0C0E72CF" w:rsidR="006B1B66" w:rsidRPr="00D01DDB" w:rsidRDefault="006B1B66" w:rsidP="00882144">
            <w:pPr>
              <w:rPr>
                <w:szCs w:val="22"/>
              </w:rPr>
            </w:pPr>
            <w:r w:rsidRPr="00A91781">
              <w:t>BCVA</w:t>
            </w:r>
          </w:p>
        </w:tc>
        <w:tc>
          <w:tcPr>
            <w:tcW w:w="3800" w:type="pct"/>
          </w:tcPr>
          <w:p w14:paraId="4FC8B9E5" w14:textId="63B323BE"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A91781">
              <w:t>best corrected visual acuity</w:t>
            </w:r>
          </w:p>
        </w:tc>
      </w:tr>
      <w:tr w:rsidR="006B1B66" w:rsidRPr="00D01DDB" w14:paraId="796F698F"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677191" w14:textId="5621E525" w:rsidR="006B1B66" w:rsidRPr="00D01DDB" w:rsidRDefault="006B1B66" w:rsidP="00882144">
            <w:pPr>
              <w:rPr>
                <w:szCs w:val="22"/>
              </w:rPr>
            </w:pPr>
            <w:r w:rsidRPr="001F0600">
              <w:t>C</w:t>
            </w:r>
            <w:r w:rsidRPr="001F0600">
              <w:rPr>
                <w:vertAlign w:val="subscript"/>
              </w:rPr>
              <w:t>max</w:t>
            </w:r>
          </w:p>
        </w:tc>
        <w:tc>
          <w:tcPr>
            <w:tcW w:w="3800" w:type="pct"/>
          </w:tcPr>
          <w:p w14:paraId="707CA914" w14:textId="6AD695B0"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1F0600">
              <w:t>maximum concentration</w:t>
            </w:r>
          </w:p>
        </w:tc>
      </w:tr>
      <w:tr w:rsidR="006B1B66" w:rsidRPr="00D01DDB" w14:paraId="794E897D"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31988C" w14:textId="77777777" w:rsidR="006B1B66" w:rsidRPr="00D01DDB" w:rsidRDefault="006B1B66" w:rsidP="00882144">
            <w:pPr>
              <w:rPr>
                <w:szCs w:val="22"/>
              </w:rPr>
            </w:pPr>
            <w:r w:rsidRPr="00D01DDB">
              <w:rPr>
                <w:szCs w:val="22"/>
              </w:rPr>
              <w:t>CMI</w:t>
            </w:r>
          </w:p>
        </w:tc>
        <w:tc>
          <w:tcPr>
            <w:tcW w:w="3800" w:type="pct"/>
          </w:tcPr>
          <w:p w14:paraId="03B6079B"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6B1B66" w:rsidRPr="00D01DDB" w14:paraId="5C3A5C9D"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FD8BDA" w14:textId="77777777" w:rsidR="006B1B66" w:rsidRPr="00D01DDB" w:rsidRDefault="006B1B66" w:rsidP="00882144">
            <w:pPr>
              <w:rPr>
                <w:szCs w:val="22"/>
              </w:rPr>
            </w:pPr>
            <w:r w:rsidRPr="00B34B1E">
              <w:t>CT-P42</w:t>
            </w:r>
          </w:p>
        </w:tc>
        <w:tc>
          <w:tcPr>
            <w:tcW w:w="3800" w:type="pct"/>
          </w:tcPr>
          <w:p w14:paraId="1DEB0563"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C7439E">
              <w:t>Eydenzelt</w:t>
            </w:r>
          </w:p>
        </w:tc>
      </w:tr>
      <w:tr w:rsidR="006B1B66" w:rsidRPr="00D01DDB" w14:paraId="70C15DAF"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FFCEF9" w14:textId="48161B91" w:rsidR="006B1B66" w:rsidRPr="00D01DDB" w:rsidRDefault="006B1B66" w:rsidP="00882144">
            <w:pPr>
              <w:rPr>
                <w:szCs w:val="22"/>
              </w:rPr>
            </w:pPr>
            <w:r w:rsidRPr="003E38D6">
              <w:t>DM</w:t>
            </w:r>
          </w:p>
        </w:tc>
        <w:tc>
          <w:tcPr>
            <w:tcW w:w="3800" w:type="pct"/>
          </w:tcPr>
          <w:p w14:paraId="01B3FB6E" w14:textId="45519E1A"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t>D</w:t>
            </w:r>
            <w:r w:rsidRPr="003E38D6">
              <w:t>iabetes mellitus</w:t>
            </w:r>
          </w:p>
        </w:tc>
      </w:tr>
      <w:tr w:rsidR="006B1B66" w:rsidRPr="00D01DDB" w14:paraId="1485C9EE"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3401A8" w14:textId="77777777" w:rsidR="006B1B66" w:rsidRPr="00D01DDB" w:rsidRDefault="006B1B66" w:rsidP="00882144">
            <w:pPr>
              <w:rPr>
                <w:szCs w:val="22"/>
              </w:rPr>
            </w:pPr>
            <w:r w:rsidRPr="00D01DDB">
              <w:rPr>
                <w:szCs w:val="22"/>
              </w:rPr>
              <w:t>DLP</w:t>
            </w:r>
          </w:p>
        </w:tc>
        <w:tc>
          <w:tcPr>
            <w:tcW w:w="3800" w:type="pct"/>
          </w:tcPr>
          <w:p w14:paraId="773056FB"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6B1B66" w:rsidRPr="00D01DDB" w14:paraId="22E0B139"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A074EB" w14:textId="601E405B" w:rsidR="006B1B66" w:rsidRPr="00D01DDB" w:rsidRDefault="006B1B66" w:rsidP="00882144">
            <w:pPr>
              <w:rPr>
                <w:szCs w:val="22"/>
              </w:rPr>
            </w:pPr>
            <w:r w:rsidRPr="00C7439E">
              <w:t>DME</w:t>
            </w:r>
          </w:p>
        </w:tc>
        <w:tc>
          <w:tcPr>
            <w:tcW w:w="3800" w:type="pct"/>
          </w:tcPr>
          <w:p w14:paraId="05B243D3" w14:textId="40ED39C8"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402CED">
              <w:t xml:space="preserve">Diabetic macular </w:t>
            </w:r>
            <w:proofErr w:type="spellStart"/>
            <w:r w:rsidRPr="00402CED">
              <w:t>edema</w:t>
            </w:r>
            <w:proofErr w:type="spellEnd"/>
          </w:p>
        </w:tc>
      </w:tr>
      <w:tr w:rsidR="006B1B66" w:rsidRPr="00D01DDB" w14:paraId="5F172724"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FB9AB2" w14:textId="3D0B6294" w:rsidR="006B1B66" w:rsidRPr="00402CED" w:rsidRDefault="006B1B66" w:rsidP="00882144">
            <w:r w:rsidRPr="00C7439E">
              <w:t>DMO</w:t>
            </w:r>
          </w:p>
        </w:tc>
        <w:tc>
          <w:tcPr>
            <w:tcW w:w="3800" w:type="pct"/>
          </w:tcPr>
          <w:p w14:paraId="6F6A60F9" w14:textId="1DCC47DA" w:rsidR="006B1B66" w:rsidRPr="00402CED" w:rsidRDefault="006B1B66" w:rsidP="00882144">
            <w:pPr>
              <w:cnfStyle w:val="000000000000" w:firstRow="0" w:lastRow="0" w:firstColumn="0" w:lastColumn="0" w:oddVBand="0" w:evenVBand="0" w:oddHBand="0" w:evenHBand="0" w:firstRowFirstColumn="0" w:firstRowLastColumn="0" w:lastRowFirstColumn="0" w:lastRowLastColumn="0"/>
            </w:pPr>
            <w:r w:rsidRPr="00C7439E">
              <w:t xml:space="preserve">Diabetic macular </w:t>
            </w:r>
            <w:r>
              <w:t>o</w:t>
            </w:r>
            <w:r w:rsidRPr="00C7439E">
              <w:t xml:space="preserve">edema </w:t>
            </w:r>
          </w:p>
        </w:tc>
      </w:tr>
      <w:tr w:rsidR="006B1B66" w:rsidRPr="00D01DDB" w14:paraId="34146D27"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45857E" w14:textId="78452F69" w:rsidR="006B1B66" w:rsidRPr="00D01DDB" w:rsidRDefault="006B1B66" w:rsidP="00882144">
            <w:pPr>
              <w:rPr>
                <w:szCs w:val="22"/>
              </w:rPr>
            </w:pPr>
            <w:r w:rsidRPr="002A3B80">
              <w:rPr>
                <w:szCs w:val="22"/>
              </w:rPr>
              <w:t>ETDRS</w:t>
            </w:r>
          </w:p>
        </w:tc>
        <w:tc>
          <w:tcPr>
            <w:tcW w:w="3800" w:type="pct"/>
          </w:tcPr>
          <w:p w14:paraId="041EFE74" w14:textId="37E7A524"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2A3B80">
              <w:rPr>
                <w:szCs w:val="22"/>
              </w:rPr>
              <w:t>Early Treatment of Diabetic Retinopathy Study</w:t>
            </w:r>
          </w:p>
        </w:tc>
      </w:tr>
      <w:tr w:rsidR="006B1B66" w:rsidRPr="00D01DDB" w14:paraId="3121C522"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AC2FD0" w14:textId="77777777" w:rsidR="006B1B66" w:rsidRPr="00D01DDB" w:rsidRDefault="006B1B66" w:rsidP="00882144">
            <w:pPr>
              <w:rPr>
                <w:szCs w:val="22"/>
              </w:rPr>
            </w:pPr>
            <w:r w:rsidRPr="002A3B80">
              <w:rPr>
                <w:szCs w:val="22"/>
              </w:rPr>
              <w:t xml:space="preserve">IVT </w:t>
            </w:r>
          </w:p>
        </w:tc>
        <w:tc>
          <w:tcPr>
            <w:tcW w:w="3800" w:type="pct"/>
          </w:tcPr>
          <w:p w14:paraId="7EB2EC57"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Pr>
                <w:szCs w:val="22"/>
              </w:rPr>
              <w:t>Intravitreal</w:t>
            </w:r>
          </w:p>
        </w:tc>
      </w:tr>
      <w:tr w:rsidR="006B1B66" w:rsidRPr="00D01DDB" w14:paraId="2ADAD2C0"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94892F" w14:textId="00CC5943" w:rsidR="006B1B66" w:rsidRPr="00D01DDB" w:rsidRDefault="006B1B66" w:rsidP="00882144">
            <w:pPr>
              <w:rPr>
                <w:szCs w:val="22"/>
              </w:rPr>
            </w:pPr>
            <w:proofErr w:type="spellStart"/>
            <w:r w:rsidRPr="002A3B80">
              <w:rPr>
                <w:szCs w:val="22"/>
              </w:rPr>
              <w:t>mCNV</w:t>
            </w:r>
            <w:proofErr w:type="spellEnd"/>
          </w:p>
        </w:tc>
        <w:tc>
          <w:tcPr>
            <w:tcW w:w="3800" w:type="pct"/>
          </w:tcPr>
          <w:p w14:paraId="185FB621" w14:textId="516E03F4"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6B1B66">
              <w:rPr>
                <w:szCs w:val="22"/>
              </w:rPr>
              <w:t>Myopic choroidal neovascularisation</w:t>
            </w:r>
          </w:p>
        </w:tc>
      </w:tr>
      <w:tr w:rsidR="006B1B66" w:rsidRPr="00D01DDB" w14:paraId="650CEE49"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D3E386" w14:textId="77777777" w:rsidR="006B1B66" w:rsidRPr="002A3B80" w:rsidRDefault="006B1B66" w:rsidP="00882144">
            <w:pPr>
              <w:rPr>
                <w:szCs w:val="22"/>
              </w:rPr>
            </w:pPr>
            <w:proofErr w:type="spellStart"/>
            <w:r>
              <w:rPr>
                <w:szCs w:val="22"/>
              </w:rPr>
              <w:t>nAbs</w:t>
            </w:r>
            <w:proofErr w:type="spellEnd"/>
          </w:p>
        </w:tc>
        <w:tc>
          <w:tcPr>
            <w:tcW w:w="3800" w:type="pct"/>
          </w:tcPr>
          <w:p w14:paraId="06CC4202"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7052D0">
              <w:rPr>
                <w:szCs w:val="22"/>
              </w:rPr>
              <w:t>eutralising antibodies</w:t>
            </w:r>
          </w:p>
        </w:tc>
      </w:tr>
      <w:tr w:rsidR="006B1B66" w:rsidRPr="00D01DDB" w14:paraId="0F5CEE61"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1E6320" w14:textId="77777777" w:rsidR="006B1B66" w:rsidRPr="00D01DDB" w:rsidRDefault="006B1B66" w:rsidP="00882144">
            <w:pPr>
              <w:rPr>
                <w:szCs w:val="22"/>
              </w:rPr>
            </w:pPr>
            <w:r w:rsidRPr="00D01DDB">
              <w:rPr>
                <w:szCs w:val="22"/>
              </w:rPr>
              <w:t>PI</w:t>
            </w:r>
          </w:p>
        </w:tc>
        <w:tc>
          <w:tcPr>
            <w:tcW w:w="3800" w:type="pct"/>
          </w:tcPr>
          <w:p w14:paraId="74CD9F15"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6B1B66" w:rsidRPr="00D01DDB" w14:paraId="7EC8C8A7"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31BB8D" w14:textId="48F1F972" w:rsidR="006B1B66" w:rsidRPr="00D01DDB" w:rsidRDefault="006B1B66" w:rsidP="00882144">
            <w:pPr>
              <w:rPr>
                <w:szCs w:val="22"/>
              </w:rPr>
            </w:pPr>
            <w:proofErr w:type="spellStart"/>
            <w:r w:rsidRPr="00DD3EAD">
              <w:t>PlGF</w:t>
            </w:r>
            <w:proofErr w:type="spellEnd"/>
          </w:p>
        </w:tc>
        <w:tc>
          <w:tcPr>
            <w:tcW w:w="3800" w:type="pct"/>
          </w:tcPr>
          <w:p w14:paraId="3DF518E4" w14:textId="6615BC20"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t>P</w:t>
            </w:r>
            <w:r w:rsidRPr="00DD3EAD">
              <w:t xml:space="preserve">lacental growth factor </w:t>
            </w:r>
          </w:p>
        </w:tc>
      </w:tr>
      <w:tr w:rsidR="006B1B66" w:rsidRPr="00D01DDB" w14:paraId="6D157C99"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1571FE" w14:textId="77777777" w:rsidR="006B1B66" w:rsidRPr="00D01DDB" w:rsidRDefault="006B1B66" w:rsidP="00882144">
            <w:pPr>
              <w:rPr>
                <w:szCs w:val="22"/>
              </w:rPr>
            </w:pPr>
            <w:r w:rsidRPr="00D01DDB">
              <w:rPr>
                <w:szCs w:val="22"/>
              </w:rPr>
              <w:t>RMP</w:t>
            </w:r>
          </w:p>
        </w:tc>
        <w:tc>
          <w:tcPr>
            <w:tcW w:w="3800" w:type="pct"/>
          </w:tcPr>
          <w:p w14:paraId="03C30EA5"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6B1B66" w:rsidRPr="00D01DDB" w14:paraId="6F57C22E"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59DD4F" w14:textId="542DDE85" w:rsidR="006B1B66" w:rsidRPr="00D01DDB" w:rsidRDefault="006B1B66" w:rsidP="00882144">
            <w:pPr>
              <w:rPr>
                <w:szCs w:val="22"/>
              </w:rPr>
            </w:pPr>
            <w:r w:rsidRPr="00AB6CB6">
              <w:t>TEAEs</w:t>
            </w:r>
          </w:p>
        </w:tc>
        <w:tc>
          <w:tcPr>
            <w:tcW w:w="3800" w:type="pct"/>
          </w:tcPr>
          <w:p w14:paraId="4E8C16E9" w14:textId="6AD14C09"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AB6CB6">
              <w:t>Treatment emergent adverse events</w:t>
            </w:r>
          </w:p>
        </w:tc>
      </w:tr>
      <w:tr w:rsidR="006B1B66" w:rsidRPr="00D01DDB" w14:paraId="21DD66F4"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C1613D" w14:textId="77777777" w:rsidR="006B1B66" w:rsidRPr="00D01DDB" w:rsidRDefault="006B1B66" w:rsidP="00882144">
            <w:pPr>
              <w:rPr>
                <w:szCs w:val="22"/>
              </w:rPr>
            </w:pPr>
            <w:r w:rsidRPr="00D01DDB">
              <w:rPr>
                <w:szCs w:val="22"/>
              </w:rPr>
              <w:t>TGA</w:t>
            </w:r>
          </w:p>
        </w:tc>
        <w:tc>
          <w:tcPr>
            <w:tcW w:w="3800" w:type="pct"/>
          </w:tcPr>
          <w:p w14:paraId="59BC24D2" w14:textId="77777777"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6B1B66" w:rsidRPr="00D01DDB" w14:paraId="54C47479"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C3703D" w14:textId="6271304E" w:rsidR="006B1B66" w:rsidRPr="00D01DDB" w:rsidRDefault="006B1B66" w:rsidP="00882144">
            <w:pPr>
              <w:rPr>
                <w:szCs w:val="22"/>
              </w:rPr>
            </w:pPr>
            <w:proofErr w:type="spellStart"/>
            <w:r w:rsidRPr="004E2572">
              <w:t>T</w:t>
            </w:r>
            <w:r w:rsidRPr="004E2572">
              <w:rPr>
                <w:vertAlign w:val="subscript"/>
              </w:rPr>
              <w:t>max</w:t>
            </w:r>
            <w:proofErr w:type="spellEnd"/>
          </w:p>
        </w:tc>
        <w:tc>
          <w:tcPr>
            <w:tcW w:w="3800" w:type="pct"/>
          </w:tcPr>
          <w:p w14:paraId="75B5A694" w14:textId="0137A092"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t>T</w:t>
            </w:r>
            <w:r w:rsidRPr="004E2572">
              <w:t>ime to maximum concentration</w:t>
            </w:r>
          </w:p>
        </w:tc>
      </w:tr>
      <w:tr w:rsidR="006B1B66" w:rsidRPr="00D01DDB" w14:paraId="70BC7D0E" w14:textId="77777777" w:rsidTr="00882144">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B537C7" w14:textId="49AC80FF" w:rsidR="006B1B66" w:rsidRPr="00D01DDB" w:rsidRDefault="006B1B66" w:rsidP="00882144">
            <w:pPr>
              <w:rPr>
                <w:szCs w:val="22"/>
              </w:rPr>
            </w:pPr>
            <w:r w:rsidRPr="00650FB5">
              <w:t>VEGF</w:t>
            </w:r>
          </w:p>
        </w:tc>
        <w:tc>
          <w:tcPr>
            <w:tcW w:w="3800" w:type="pct"/>
          </w:tcPr>
          <w:p w14:paraId="36297D66" w14:textId="6C7B4421" w:rsidR="006B1B66" w:rsidRPr="00D01DDB" w:rsidRDefault="006B1B66" w:rsidP="00882144">
            <w:pPr>
              <w:cnfStyle w:val="000000000000" w:firstRow="0" w:lastRow="0" w:firstColumn="0" w:lastColumn="0" w:oddVBand="0" w:evenVBand="0" w:oddHBand="0" w:evenHBand="0" w:firstRowFirstColumn="0" w:firstRowLastColumn="0" w:lastRowFirstColumn="0" w:lastRowLastColumn="0"/>
              <w:rPr>
                <w:szCs w:val="22"/>
              </w:rPr>
            </w:pPr>
            <w:r w:rsidRPr="00650FB5">
              <w:t>Vascular Endothelial Growth Factor</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8" w:name="_Toc103679288"/>
      <w:bookmarkStart w:id="9" w:name="_Toc213760471"/>
      <w:r>
        <w:lastRenderedPageBreak/>
        <w:t>Product submission</w:t>
      </w:r>
      <w:bookmarkEnd w:id="8"/>
      <w:bookmarkEnd w:id="9"/>
    </w:p>
    <w:p w14:paraId="21D559DF" w14:textId="77777777" w:rsidR="00324B33" w:rsidRDefault="00324B33" w:rsidP="00324B33">
      <w:pPr>
        <w:pStyle w:val="Heading3"/>
        <w:rPr>
          <w:lang w:eastAsia="en-AU"/>
        </w:rPr>
      </w:pPr>
      <w:bookmarkStart w:id="10" w:name="_Toc247691502"/>
      <w:bookmarkStart w:id="11" w:name="_Toc314842483"/>
      <w:bookmarkStart w:id="12" w:name="_Toc103679289"/>
      <w:bookmarkStart w:id="13" w:name="_Toc213760472"/>
      <w:r>
        <w:rPr>
          <w:lang w:eastAsia="en-AU"/>
        </w:rPr>
        <w:t>Submission details</w:t>
      </w:r>
      <w:bookmarkEnd w:id="10"/>
      <w:bookmarkEnd w:id="11"/>
      <w:bookmarkEnd w:id="12"/>
      <w:bookmarkEnd w:id="13"/>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1E0A6A3" w:rsidR="00324B33" w:rsidRPr="00BD5DBD" w:rsidRDefault="00324B33" w:rsidP="007452E8">
            <w:pPr>
              <w:rPr>
                <w:i/>
                <w:szCs w:val="22"/>
              </w:rPr>
            </w:pPr>
            <w:r w:rsidRPr="00BD5DBD">
              <w:rPr>
                <w:i/>
                <w:szCs w:val="22"/>
              </w:rPr>
              <w:t>Type</w:t>
            </w:r>
            <w:r w:rsidR="00CB6813">
              <w:rPr>
                <w:i/>
                <w:szCs w:val="22"/>
              </w:rPr>
              <w:t>s</w:t>
            </w:r>
            <w:r w:rsidRPr="00BD5DBD">
              <w:rPr>
                <w:i/>
                <w:szCs w:val="22"/>
              </w:rPr>
              <w:t xml:space="preserve"> of submission:</w:t>
            </w:r>
          </w:p>
        </w:tc>
        <w:tc>
          <w:tcPr>
            <w:tcW w:w="3423" w:type="pct"/>
          </w:tcPr>
          <w:p w14:paraId="4F07C303" w14:textId="2FF86EE9" w:rsidR="00324B33" w:rsidRPr="00BD5DBD" w:rsidRDefault="00A97C19" w:rsidP="007452E8">
            <w:pPr>
              <w:rPr>
                <w:szCs w:val="22"/>
              </w:rPr>
            </w:pPr>
            <w:bookmarkStart w:id="14" w:name="_Hlk213752009"/>
            <w:r>
              <w:rPr>
                <w:szCs w:val="22"/>
              </w:rPr>
              <w:t>New biosimilar</w:t>
            </w:r>
            <w:bookmarkEnd w:id="14"/>
          </w:p>
        </w:tc>
      </w:tr>
      <w:tr w:rsidR="00324B33" w:rsidRPr="00BD5DBD" w14:paraId="13482B61" w14:textId="77777777" w:rsidTr="00F865A7">
        <w:tc>
          <w:tcPr>
            <w:tcW w:w="1577" w:type="pct"/>
          </w:tcPr>
          <w:p w14:paraId="2C427FCF" w14:textId="5E62BC28" w:rsidR="00324B33" w:rsidRPr="00BD5DBD" w:rsidRDefault="00324B33" w:rsidP="007452E8">
            <w:pPr>
              <w:rPr>
                <w:i/>
                <w:szCs w:val="22"/>
              </w:rPr>
            </w:pPr>
            <w:r w:rsidRPr="00BD5DBD">
              <w:rPr>
                <w:i/>
                <w:szCs w:val="22"/>
              </w:rPr>
              <w:t>Product name:</w:t>
            </w:r>
          </w:p>
        </w:tc>
        <w:tc>
          <w:tcPr>
            <w:tcW w:w="3423" w:type="pct"/>
          </w:tcPr>
          <w:p w14:paraId="0E2DEF76" w14:textId="2EE624A6" w:rsidR="00324B33" w:rsidRPr="00BD5DBD" w:rsidRDefault="00203706" w:rsidP="007452E8">
            <w:pPr>
              <w:rPr>
                <w:szCs w:val="22"/>
              </w:rPr>
            </w:pPr>
            <w:r>
              <w:rPr>
                <w:szCs w:val="22"/>
              </w:rPr>
              <w:t>Eydenzelt</w:t>
            </w:r>
          </w:p>
        </w:tc>
      </w:tr>
      <w:tr w:rsidR="00324B33" w:rsidRPr="00BD5DBD" w14:paraId="01255B5B" w14:textId="77777777" w:rsidTr="00F865A7">
        <w:tc>
          <w:tcPr>
            <w:tcW w:w="1577" w:type="pct"/>
          </w:tcPr>
          <w:p w14:paraId="52B4F3D7" w14:textId="24E87C6D" w:rsidR="00324B33" w:rsidRPr="00BD5DBD" w:rsidRDefault="00324B33" w:rsidP="007452E8">
            <w:pPr>
              <w:rPr>
                <w:i/>
                <w:szCs w:val="22"/>
              </w:rPr>
            </w:pPr>
            <w:r w:rsidRPr="00BD5DBD">
              <w:rPr>
                <w:i/>
                <w:szCs w:val="22"/>
              </w:rPr>
              <w:t>Active ingredient:</w:t>
            </w:r>
          </w:p>
        </w:tc>
        <w:tc>
          <w:tcPr>
            <w:tcW w:w="3423" w:type="pct"/>
          </w:tcPr>
          <w:p w14:paraId="02FB6383" w14:textId="41A48EC6" w:rsidR="00324B33" w:rsidRPr="00BD5DBD" w:rsidRDefault="008F09D9" w:rsidP="007452E8">
            <w:pPr>
              <w:rPr>
                <w:szCs w:val="22"/>
              </w:rPr>
            </w:pPr>
            <w:r w:rsidRPr="008F09D9">
              <w:rPr>
                <w:szCs w:val="22"/>
              </w:rPr>
              <w:t>aflibercept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24B0ACD1"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41208444" w:rsidR="00AE1947" w:rsidRPr="00BD5DBD" w:rsidRDefault="00CB1E25" w:rsidP="00602658">
            <w:pPr>
              <w:rPr>
                <w:szCs w:val="22"/>
              </w:rPr>
            </w:pPr>
            <w:r w:rsidRPr="00CB1E25">
              <w:rPr>
                <w:szCs w:val="22"/>
              </w:rPr>
              <w:t>24 March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73E7E101" w:rsidR="00324B33" w:rsidRPr="00BD5DBD" w:rsidRDefault="00DA6FC4" w:rsidP="007452E8">
            <w:pPr>
              <w:rPr>
                <w:szCs w:val="22"/>
              </w:rPr>
            </w:pPr>
            <w:r w:rsidRPr="00DA6FC4">
              <w:rPr>
                <w:szCs w:val="22"/>
              </w:rPr>
              <w:t>31 March 2025</w:t>
            </w:r>
          </w:p>
        </w:tc>
      </w:tr>
      <w:tr w:rsidR="00324B33" w:rsidRPr="00BD5DBD" w14:paraId="547E08D7" w14:textId="77777777" w:rsidTr="00F865A7">
        <w:tc>
          <w:tcPr>
            <w:tcW w:w="1577" w:type="pct"/>
          </w:tcPr>
          <w:p w14:paraId="5030EF30" w14:textId="7A823ED6" w:rsidR="00324B33" w:rsidRPr="00BD5DBD" w:rsidRDefault="00324B33" w:rsidP="007452E8">
            <w:pPr>
              <w:rPr>
                <w:i/>
                <w:szCs w:val="22"/>
              </w:rPr>
            </w:pPr>
            <w:r w:rsidRPr="00BD5DBD">
              <w:rPr>
                <w:i/>
                <w:szCs w:val="22"/>
              </w:rPr>
              <w:t>ARTG numbers</w:t>
            </w:r>
            <w:r w:rsidR="00DA6FC4">
              <w:rPr>
                <w:i/>
                <w:szCs w:val="22"/>
              </w:rPr>
              <w:t>:</w:t>
            </w:r>
          </w:p>
        </w:tc>
        <w:tc>
          <w:tcPr>
            <w:tcW w:w="3423" w:type="pct"/>
          </w:tcPr>
          <w:p w14:paraId="787BB549" w14:textId="4D009988" w:rsidR="00324B33" w:rsidRDefault="00203706" w:rsidP="007452E8">
            <w:pPr>
              <w:rPr>
                <w:szCs w:val="22"/>
              </w:rPr>
            </w:pPr>
            <w:r>
              <w:rPr>
                <w:szCs w:val="22"/>
              </w:rPr>
              <w:t>Eydenzelt</w:t>
            </w:r>
            <w:r w:rsidR="00DF1DED" w:rsidRPr="00DF1DED">
              <w:rPr>
                <w:szCs w:val="22"/>
              </w:rPr>
              <w:t xml:space="preserve"> aflibercept (</w:t>
            </w:r>
            <w:proofErr w:type="spellStart"/>
            <w:r w:rsidR="00DF1DED" w:rsidRPr="00DF1DED">
              <w:rPr>
                <w:szCs w:val="22"/>
              </w:rPr>
              <w:t>rch</w:t>
            </w:r>
            <w:proofErr w:type="spellEnd"/>
            <w:r w:rsidR="00DF1DED" w:rsidRPr="00DF1DED">
              <w:rPr>
                <w:szCs w:val="22"/>
              </w:rPr>
              <w:t>) 40 mg/mL solution for intravitreal injection pre-filled syringe (</w:t>
            </w:r>
            <w:hyperlink r:id="rId20" w:history="1">
              <w:r w:rsidR="00DF1DED" w:rsidRPr="00DF1DED">
                <w:rPr>
                  <w:rStyle w:val="Hyperlink"/>
                  <w:szCs w:val="22"/>
                </w:rPr>
                <w:t>431931</w:t>
              </w:r>
            </w:hyperlink>
            <w:r w:rsidR="00DF1DED" w:rsidRPr="00DF1DED">
              <w:rPr>
                <w:szCs w:val="22"/>
              </w:rPr>
              <w:t>)</w:t>
            </w:r>
          </w:p>
          <w:p w14:paraId="0054E912" w14:textId="003A6D7B" w:rsidR="00DF1DED" w:rsidRPr="00BD5DBD" w:rsidRDefault="00203706" w:rsidP="007452E8">
            <w:pPr>
              <w:rPr>
                <w:szCs w:val="22"/>
              </w:rPr>
            </w:pPr>
            <w:r>
              <w:rPr>
                <w:szCs w:val="22"/>
              </w:rPr>
              <w:t>Eydenzelt</w:t>
            </w:r>
            <w:r w:rsidR="004D1FC8" w:rsidRPr="004D1FC8">
              <w:rPr>
                <w:szCs w:val="22"/>
              </w:rPr>
              <w:t xml:space="preserve"> aflibercept (</w:t>
            </w:r>
            <w:proofErr w:type="spellStart"/>
            <w:r w:rsidR="004D1FC8" w:rsidRPr="004D1FC8">
              <w:rPr>
                <w:szCs w:val="22"/>
              </w:rPr>
              <w:t>rch</w:t>
            </w:r>
            <w:proofErr w:type="spellEnd"/>
            <w:r w:rsidR="004D1FC8" w:rsidRPr="004D1FC8">
              <w:rPr>
                <w:szCs w:val="22"/>
              </w:rPr>
              <w:t>) 40 mg/mL solution for intravitreal injection vial with needle (</w:t>
            </w:r>
            <w:hyperlink r:id="rId21" w:history="1">
              <w:r w:rsidR="004D1FC8" w:rsidRPr="004D1FC8">
                <w:rPr>
                  <w:rStyle w:val="Hyperlink"/>
                  <w:szCs w:val="22"/>
                </w:rPr>
                <w:t>431932</w:t>
              </w:r>
            </w:hyperlink>
            <w:r w:rsidR="004D1FC8" w:rsidRPr="004D1FC8">
              <w:rPr>
                <w:szCs w:val="22"/>
              </w:rPr>
              <w:t>)</w:t>
            </w:r>
          </w:p>
        </w:tc>
      </w:tr>
      <w:tr w:rsidR="00324B33" w:rsidRPr="00BD5DBD" w14:paraId="7618393F" w14:textId="77777777" w:rsidTr="00F865A7">
        <w:tc>
          <w:tcPr>
            <w:tcW w:w="1577" w:type="pct"/>
          </w:tcPr>
          <w:p w14:paraId="02260DE2" w14:textId="06ABDBFF" w:rsidR="00324B33" w:rsidRPr="00BD5DBD" w:rsidRDefault="00324B33" w:rsidP="00CB1E25">
            <w:pPr>
              <w:rPr>
                <w:i/>
                <w:szCs w:val="22"/>
              </w:rPr>
            </w:pPr>
            <w:r w:rsidRPr="00BD5DBD">
              <w:rPr>
                <w:rFonts w:ascii="Wingdings 3" w:hAnsi="Wingdings 3"/>
                <w:szCs w:val="22"/>
                <w:lang w:eastAsia="en-AU"/>
              </w:rPr>
              <w:t></w:t>
            </w:r>
            <w:hyperlink r:id="rId22" w:history="1">
              <w:r w:rsidRPr="00BD5DBD">
                <w:rPr>
                  <w:rStyle w:val="Hyperlink"/>
                  <w:i/>
                  <w:szCs w:val="22"/>
                </w:rPr>
                <w:t>Black Triangle Scheme</w:t>
              </w:r>
            </w:hyperlink>
          </w:p>
        </w:tc>
        <w:tc>
          <w:tcPr>
            <w:tcW w:w="3423" w:type="pct"/>
          </w:tcPr>
          <w:p w14:paraId="6FF3C6A2" w14:textId="6DDF3A4B" w:rsidR="00324B33" w:rsidRPr="00BD5DBD" w:rsidRDefault="00324B33" w:rsidP="007452E8">
            <w:pPr>
              <w:rPr>
                <w:szCs w:val="22"/>
              </w:rPr>
            </w:pPr>
            <w:r w:rsidRPr="00BD5DBD">
              <w:rPr>
                <w:szCs w:val="22"/>
              </w:rPr>
              <w:t>No</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70964C77" w:rsidR="00324B33" w:rsidRPr="00BD5DBD" w:rsidRDefault="00CD3524" w:rsidP="00CD3524">
            <w:pPr>
              <w:rPr>
                <w:szCs w:val="22"/>
              </w:rPr>
            </w:pPr>
            <w:r w:rsidRPr="00CD3524">
              <w:rPr>
                <w:szCs w:val="22"/>
              </w:rPr>
              <w:t>Celltrion Healthcare Australia Pty Ltd</w:t>
            </w:r>
            <w:r>
              <w:rPr>
                <w:szCs w:val="22"/>
              </w:rPr>
              <w:t>,</w:t>
            </w:r>
            <w:r w:rsidRPr="00CD3524">
              <w:rPr>
                <w:szCs w:val="22"/>
              </w:rPr>
              <w:t xml:space="preserve"> Suite 13.03, 31 Market Street</w:t>
            </w:r>
            <w:r>
              <w:rPr>
                <w:szCs w:val="22"/>
              </w:rPr>
              <w:t xml:space="preserve">, </w:t>
            </w:r>
            <w:r w:rsidRPr="00CD3524">
              <w:rPr>
                <w:szCs w:val="22"/>
              </w:rPr>
              <w:t>Sydney</w:t>
            </w:r>
            <w:r>
              <w:rPr>
                <w:szCs w:val="22"/>
              </w:rPr>
              <w:t>,</w:t>
            </w:r>
            <w:r w:rsidRPr="00CD3524">
              <w:rPr>
                <w:szCs w:val="22"/>
              </w:rPr>
              <w:t xml:space="preserve"> 2000, Australia</w:t>
            </w:r>
          </w:p>
        </w:tc>
      </w:tr>
      <w:tr w:rsidR="00324B33" w:rsidRPr="00BD5DBD" w14:paraId="5322B989" w14:textId="77777777" w:rsidTr="00F865A7">
        <w:tc>
          <w:tcPr>
            <w:tcW w:w="1577" w:type="pct"/>
          </w:tcPr>
          <w:p w14:paraId="24F217E3" w14:textId="2764B3F4" w:rsidR="00324B33" w:rsidRPr="00BD5DBD" w:rsidRDefault="00324B33" w:rsidP="007452E8">
            <w:pPr>
              <w:rPr>
                <w:i/>
                <w:szCs w:val="22"/>
              </w:rPr>
            </w:pPr>
            <w:r w:rsidRPr="00BD5DBD">
              <w:rPr>
                <w:i/>
                <w:szCs w:val="22"/>
              </w:rPr>
              <w:t>Dose form:</w:t>
            </w:r>
          </w:p>
        </w:tc>
        <w:tc>
          <w:tcPr>
            <w:tcW w:w="3423" w:type="pct"/>
          </w:tcPr>
          <w:p w14:paraId="768B254C" w14:textId="089F94B1" w:rsidR="00324B33" w:rsidRPr="00BD5DBD" w:rsidRDefault="000445D7" w:rsidP="007452E8">
            <w:pPr>
              <w:rPr>
                <w:szCs w:val="22"/>
              </w:rPr>
            </w:pPr>
            <w:r w:rsidRPr="000445D7">
              <w:rPr>
                <w:szCs w:val="22"/>
              </w:rPr>
              <w:t>Solution</w:t>
            </w:r>
          </w:p>
        </w:tc>
      </w:tr>
      <w:tr w:rsidR="00324B33" w:rsidRPr="00BD5DBD" w14:paraId="115243E6" w14:textId="77777777" w:rsidTr="00F865A7">
        <w:tc>
          <w:tcPr>
            <w:tcW w:w="1577" w:type="pct"/>
          </w:tcPr>
          <w:p w14:paraId="7634B062" w14:textId="2874E43D" w:rsidR="00324B33" w:rsidRPr="00BD5DBD" w:rsidRDefault="00324B33" w:rsidP="007452E8">
            <w:pPr>
              <w:rPr>
                <w:i/>
                <w:szCs w:val="22"/>
              </w:rPr>
            </w:pPr>
            <w:r w:rsidRPr="00BD5DBD">
              <w:rPr>
                <w:i/>
                <w:szCs w:val="22"/>
              </w:rPr>
              <w:t>Strength:</w:t>
            </w:r>
          </w:p>
        </w:tc>
        <w:tc>
          <w:tcPr>
            <w:tcW w:w="3423" w:type="pct"/>
          </w:tcPr>
          <w:p w14:paraId="5E5F83DB" w14:textId="3476EBB8" w:rsidR="00324B33" w:rsidRPr="00BD5DBD" w:rsidRDefault="00FF3E7B" w:rsidP="007452E8">
            <w:pPr>
              <w:rPr>
                <w:szCs w:val="22"/>
              </w:rPr>
            </w:pPr>
            <w:r w:rsidRPr="00FF3E7B">
              <w:rPr>
                <w:szCs w:val="22"/>
              </w:rPr>
              <w:t xml:space="preserve">Each 1 mL of </w:t>
            </w:r>
            <w:r w:rsidR="00203706">
              <w:rPr>
                <w:szCs w:val="22"/>
              </w:rPr>
              <w:t>Eydenzelt</w:t>
            </w:r>
            <w:r w:rsidRPr="00FF3E7B">
              <w:rPr>
                <w:szCs w:val="22"/>
              </w:rPr>
              <w:t xml:space="preserve"> solution contains 40 mg aflibercept</w:t>
            </w:r>
          </w:p>
        </w:tc>
      </w:tr>
      <w:tr w:rsidR="00324B33" w:rsidRPr="00BD5DBD" w14:paraId="34B07BA6" w14:textId="77777777" w:rsidTr="00F865A7">
        <w:tc>
          <w:tcPr>
            <w:tcW w:w="1577" w:type="pct"/>
          </w:tcPr>
          <w:p w14:paraId="1C039224" w14:textId="3F5B3108" w:rsidR="00324B33" w:rsidRPr="00BD5DBD" w:rsidRDefault="00324B33" w:rsidP="007452E8">
            <w:pPr>
              <w:rPr>
                <w:i/>
                <w:szCs w:val="22"/>
              </w:rPr>
            </w:pPr>
            <w:r w:rsidRPr="00BD5DBD">
              <w:rPr>
                <w:i/>
                <w:szCs w:val="22"/>
              </w:rPr>
              <w:t>Containers:</w:t>
            </w:r>
          </w:p>
        </w:tc>
        <w:tc>
          <w:tcPr>
            <w:tcW w:w="3423" w:type="pct"/>
          </w:tcPr>
          <w:p w14:paraId="369BEFA3" w14:textId="4B0966C1" w:rsidR="00324B33" w:rsidRDefault="00203706" w:rsidP="007452E8">
            <w:pPr>
              <w:rPr>
                <w:szCs w:val="22"/>
              </w:rPr>
            </w:pPr>
            <w:r>
              <w:rPr>
                <w:szCs w:val="22"/>
              </w:rPr>
              <w:t>Eydenzelt</w:t>
            </w:r>
            <w:r w:rsidR="00D32AAD" w:rsidRPr="00D32AAD">
              <w:rPr>
                <w:szCs w:val="22"/>
              </w:rPr>
              <w:t xml:space="preserve"> is supplied in a single-use vial or pre-filled syringe.</w:t>
            </w:r>
          </w:p>
          <w:p w14:paraId="2E2DDFD6" w14:textId="77777777" w:rsidR="002D227A" w:rsidRPr="002D227A" w:rsidRDefault="002D227A" w:rsidP="002D227A">
            <w:pPr>
              <w:rPr>
                <w:b/>
                <w:bCs/>
                <w:szCs w:val="22"/>
              </w:rPr>
            </w:pPr>
            <w:r w:rsidRPr="002D227A">
              <w:rPr>
                <w:b/>
                <w:bCs/>
                <w:szCs w:val="22"/>
              </w:rPr>
              <w:t>Vial</w:t>
            </w:r>
          </w:p>
          <w:p w14:paraId="30F0D149" w14:textId="77777777" w:rsidR="002D227A" w:rsidRPr="002D227A" w:rsidRDefault="002D227A" w:rsidP="002D227A">
            <w:pPr>
              <w:rPr>
                <w:szCs w:val="22"/>
              </w:rPr>
            </w:pPr>
            <w:r w:rsidRPr="002D227A">
              <w:rPr>
                <w:szCs w:val="22"/>
              </w:rPr>
              <w:t xml:space="preserve">Each carton includes a type I glass vial containing approximately 0.1 mL of extractable volume, with an elastomeric rubber stopper, and an 18 G x 38.1 mm </w:t>
            </w:r>
            <w:proofErr w:type="gramStart"/>
            <w:r w:rsidRPr="002D227A">
              <w:rPr>
                <w:szCs w:val="22"/>
              </w:rPr>
              <w:t>5 micron</w:t>
            </w:r>
            <w:proofErr w:type="gramEnd"/>
            <w:r w:rsidRPr="002D227A">
              <w:rPr>
                <w:szCs w:val="22"/>
              </w:rPr>
              <w:t xml:space="preserve"> sterile filter needle for </w:t>
            </w:r>
            <w:proofErr w:type="gramStart"/>
            <w:r w:rsidRPr="002D227A">
              <w:rPr>
                <w:szCs w:val="22"/>
              </w:rPr>
              <w:t>single-use</w:t>
            </w:r>
            <w:proofErr w:type="gramEnd"/>
            <w:r w:rsidRPr="002D227A">
              <w:rPr>
                <w:szCs w:val="22"/>
              </w:rPr>
              <w:t xml:space="preserve"> only.</w:t>
            </w:r>
          </w:p>
          <w:p w14:paraId="6E3D499C" w14:textId="78AFE24A" w:rsidR="00D32AAD" w:rsidRDefault="002D227A" w:rsidP="002D227A">
            <w:pPr>
              <w:rPr>
                <w:szCs w:val="22"/>
              </w:rPr>
            </w:pPr>
            <w:r w:rsidRPr="002D227A">
              <w:rPr>
                <w:szCs w:val="22"/>
              </w:rPr>
              <w:t>The intravitreal injection should be performed with a 30G x 12.7 mm injection needle and 1 mL Luer lock syringe (not included).</w:t>
            </w:r>
          </w:p>
          <w:p w14:paraId="3DA2E978" w14:textId="77777777" w:rsidR="00C1586C" w:rsidRPr="00C1586C" w:rsidRDefault="00C1586C" w:rsidP="00C1586C">
            <w:pPr>
              <w:rPr>
                <w:b/>
                <w:bCs/>
                <w:szCs w:val="22"/>
              </w:rPr>
            </w:pPr>
            <w:r w:rsidRPr="00C1586C">
              <w:rPr>
                <w:b/>
                <w:bCs/>
                <w:szCs w:val="22"/>
              </w:rPr>
              <w:t>Pre-filled syringe</w:t>
            </w:r>
          </w:p>
          <w:p w14:paraId="2DE36B99" w14:textId="77777777" w:rsidR="00C1586C" w:rsidRPr="00C1586C" w:rsidRDefault="00C1586C" w:rsidP="00C1586C">
            <w:pPr>
              <w:rPr>
                <w:szCs w:val="22"/>
              </w:rPr>
            </w:pPr>
            <w:r w:rsidRPr="00C1586C">
              <w:rPr>
                <w:szCs w:val="22"/>
              </w:rPr>
              <w:t>Each carton includes a sealed blister pack with a sterile pre-filled Luer lock syringe, containing approximately 0.09 mL of extractable volume, sealed with an elastomeric plunger stopper and an elastomeric tip cap that is part of a closure system with Luer lock adaptor. The syringe has a pre- attached plunger rod and a finger flange.</w:t>
            </w:r>
          </w:p>
          <w:p w14:paraId="500A42C6" w14:textId="7587B3FE" w:rsidR="002D227A" w:rsidRPr="00BD5DBD" w:rsidRDefault="00C1586C" w:rsidP="00015A47">
            <w:pPr>
              <w:rPr>
                <w:szCs w:val="22"/>
              </w:rPr>
            </w:pPr>
            <w:r w:rsidRPr="00C1586C">
              <w:rPr>
                <w:szCs w:val="22"/>
              </w:rPr>
              <w:t>The intravitreal injection should be performed with a 30-gauge x 12.7 mm sterile injection needle (not</w:t>
            </w:r>
            <w:r>
              <w:rPr>
                <w:szCs w:val="22"/>
              </w:rPr>
              <w:t xml:space="preserve"> </w:t>
            </w:r>
            <w:r w:rsidRPr="00C1586C">
              <w:rPr>
                <w:szCs w:val="22"/>
              </w:rPr>
              <w:t>included).</w:t>
            </w:r>
          </w:p>
        </w:tc>
      </w:tr>
      <w:tr w:rsidR="00324B33" w:rsidRPr="00BD5DBD" w14:paraId="176B6773" w14:textId="77777777" w:rsidTr="00F865A7">
        <w:tc>
          <w:tcPr>
            <w:tcW w:w="1577" w:type="pct"/>
          </w:tcPr>
          <w:p w14:paraId="71846159" w14:textId="2B79F1BA" w:rsidR="00324B33" w:rsidRPr="00BD5DBD" w:rsidRDefault="00324B33" w:rsidP="007452E8">
            <w:pPr>
              <w:rPr>
                <w:i/>
                <w:szCs w:val="22"/>
              </w:rPr>
            </w:pPr>
            <w:r w:rsidRPr="00BD5DBD">
              <w:rPr>
                <w:i/>
                <w:szCs w:val="22"/>
              </w:rPr>
              <w:t>Pack size:</w:t>
            </w:r>
          </w:p>
        </w:tc>
        <w:tc>
          <w:tcPr>
            <w:tcW w:w="3423" w:type="pct"/>
          </w:tcPr>
          <w:p w14:paraId="7E978F8F" w14:textId="5171CE77" w:rsidR="00324B33" w:rsidRPr="00BD5DBD" w:rsidRDefault="00015A47" w:rsidP="007452E8">
            <w:pPr>
              <w:rPr>
                <w:szCs w:val="22"/>
              </w:rPr>
            </w:pPr>
            <w:r>
              <w:rPr>
                <w:szCs w:val="22"/>
              </w:rPr>
              <w:t>One vial</w:t>
            </w:r>
            <w:r w:rsidR="00BC62CF">
              <w:rPr>
                <w:szCs w:val="22"/>
              </w:rPr>
              <w:t xml:space="preserve"> or p</w:t>
            </w:r>
            <w:r w:rsidR="00BC62CF" w:rsidRPr="00BC62CF">
              <w:rPr>
                <w:szCs w:val="22"/>
              </w:rPr>
              <w:t>re-filled syringe</w:t>
            </w:r>
            <w:r w:rsidR="00BC62CF">
              <w:rPr>
                <w:szCs w:val="22"/>
              </w:rPr>
              <w:t xml:space="preserve"> per carton.</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21CC637F" w:rsidR="00324B33" w:rsidRPr="00BD5DBD" w:rsidRDefault="00203706" w:rsidP="00052E53">
            <w:pPr>
              <w:rPr>
                <w:szCs w:val="22"/>
              </w:rPr>
            </w:pPr>
            <w:r>
              <w:rPr>
                <w:szCs w:val="22"/>
              </w:rPr>
              <w:t>Eydenzelt</w:t>
            </w:r>
            <w:r w:rsidR="00052E53" w:rsidRPr="00052E53">
              <w:rPr>
                <w:szCs w:val="22"/>
              </w:rPr>
              <w:t xml:space="preserve"> 2 mg (aflibercept) is indicated in adults for the treatment of</w:t>
            </w:r>
            <w:r w:rsidR="00052E53">
              <w:rPr>
                <w:szCs w:val="22"/>
              </w:rPr>
              <w:t xml:space="preserve"> v</w:t>
            </w:r>
            <w:r w:rsidR="00052E53" w:rsidRPr="00052E53">
              <w:rPr>
                <w:szCs w:val="22"/>
              </w:rPr>
              <w:t>isual impairment due to myopic choroidal neovascularisation (myopic CNV).</w:t>
            </w:r>
          </w:p>
        </w:tc>
      </w:tr>
      <w:tr w:rsidR="00324B33" w:rsidRPr="00BD5DBD" w14:paraId="5AFDEED3" w14:textId="77777777" w:rsidTr="00F865A7">
        <w:tc>
          <w:tcPr>
            <w:tcW w:w="1577" w:type="pct"/>
          </w:tcPr>
          <w:p w14:paraId="03884BD1" w14:textId="5D59F956" w:rsidR="00324B33" w:rsidRPr="00BD5DBD" w:rsidRDefault="00324B33" w:rsidP="007452E8">
            <w:pPr>
              <w:rPr>
                <w:i/>
                <w:szCs w:val="22"/>
              </w:rPr>
            </w:pPr>
            <w:r w:rsidRPr="00BD5DBD">
              <w:rPr>
                <w:i/>
                <w:szCs w:val="22"/>
              </w:rPr>
              <w:lastRenderedPageBreak/>
              <w:t>Routes of administration:</w:t>
            </w:r>
          </w:p>
        </w:tc>
        <w:tc>
          <w:tcPr>
            <w:tcW w:w="3423" w:type="pct"/>
          </w:tcPr>
          <w:p w14:paraId="1ED1357E" w14:textId="681FF59A" w:rsidR="00324B33" w:rsidRPr="00BD5DBD" w:rsidRDefault="000445D7" w:rsidP="007452E8">
            <w:pPr>
              <w:rPr>
                <w:szCs w:val="22"/>
              </w:rPr>
            </w:pPr>
            <w:r>
              <w:rPr>
                <w:szCs w:val="22"/>
              </w:rPr>
              <w:t>I</w:t>
            </w:r>
            <w:r w:rsidRPr="000445D7">
              <w:rPr>
                <w:szCs w:val="22"/>
              </w:rPr>
              <w:t>ntravitreal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77E1187D" w:rsidR="00666911" w:rsidRDefault="00B63D0F" w:rsidP="00B63D0F">
            <w:pPr>
              <w:rPr>
                <w:szCs w:val="22"/>
              </w:rPr>
            </w:pPr>
            <w:r w:rsidRPr="00B63D0F">
              <w:rPr>
                <w:szCs w:val="22"/>
              </w:rPr>
              <w:t xml:space="preserve">The recommended dose for </w:t>
            </w:r>
            <w:r w:rsidR="00203706">
              <w:rPr>
                <w:szCs w:val="22"/>
              </w:rPr>
              <w:t>Eydenzelt</w:t>
            </w:r>
            <w:r w:rsidRPr="00B63D0F">
              <w:rPr>
                <w:szCs w:val="22"/>
              </w:rPr>
              <w:t xml:space="preserve"> is 2 mg aflibercept, equivalent to an injection volume of</w:t>
            </w:r>
            <w:r>
              <w:rPr>
                <w:szCs w:val="22"/>
              </w:rPr>
              <w:t xml:space="preserve"> </w:t>
            </w:r>
            <w:r w:rsidRPr="00B63D0F">
              <w:rPr>
                <w:szCs w:val="22"/>
              </w:rPr>
              <w:t xml:space="preserve">50 </w:t>
            </w:r>
            <w:proofErr w:type="spellStart"/>
            <w:r w:rsidRPr="00B63D0F">
              <w:rPr>
                <w:szCs w:val="22"/>
              </w:rPr>
              <w:t>μL</w:t>
            </w:r>
            <w:proofErr w:type="spellEnd"/>
            <w:r>
              <w:rPr>
                <w:szCs w:val="22"/>
              </w:rPr>
              <w:t xml:space="preserve">. </w:t>
            </w:r>
          </w:p>
          <w:p w14:paraId="3D0B2D5C" w14:textId="4DE94B34" w:rsidR="00324B33" w:rsidRPr="00BD5DBD" w:rsidRDefault="00324B33" w:rsidP="007452E8">
            <w:pPr>
              <w:rPr>
                <w:szCs w:val="22"/>
              </w:rPr>
            </w:pPr>
            <w:r w:rsidRPr="00BD5DBD">
              <w:rPr>
                <w:szCs w:val="22"/>
              </w:rPr>
              <w:t>For further information regarding dosage</w:t>
            </w:r>
            <w:r w:rsidR="006B7126">
              <w:rPr>
                <w:szCs w:val="22"/>
              </w:rPr>
              <w:t xml:space="preserve">,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0F801226" w14:textId="77777777" w:rsidR="00B43BDE" w:rsidRDefault="00B43BDE" w:rsidP="00000E6E">
            <w:r w:rsidRPr="00B43BDE">
              <w:t>Category D</w:t>
            </w:r>
          </w:p>
          <w:p w14:paraId="4817F4F4" w14:textId="46D90ACC" w:rsidR="00000E6E" w:rsidRPr="00BD5DBD" w:rsidRDefault="00B43BDE" w:rsidP="00000E6E">
            <w:pPr>
              <w:rPr>
                <w:szCs w:val="22"/>
              </w:rPr>
            </w:pPr>
            <w:r w:rsidRPr="00B43BDE">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76497789" w14:textId="634DC28C" w:rsidR="0017005C" w:rsidRPr="00BD5DBD" w:rsidRDefault="0070330F"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23"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4"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5" w:name="_Toc247691503"/>
      <w:bookmarkStart w:id="16" w:name="_Toc314842484"/>
      <w:bookmarkStart w:id="17" w:name="_Toc103679290"/>
      <w:bookmarkStart w:id="18" w:name="_Toc213760473"/>
      <w:r>
        <w:t>Product background</w:t>
      </w:r>
      <w:bookmarkEnd w:id="15"/>
      <w:bookmarkEnd w:id="16"/>
      <w:bookmarkEnd w:id="17"/>
      <w:bookmarkEnd w:id="18"/>
    </w:p>
    <w:p w14:paraId="59BF31D1" w14:textId="375AA1A9" w:rsidR="001500A8" w:rsidRDefault="00324B33" w:rsidP="00065839">
      <w:r w:rsidRPr="00065839">
        <w:t xml:space="preserve">This AusPAR describes the submission by </w:t>
      </w:r>
      <w:r w:rsidR="00B43BDE" w:rsidRPr="00B43BDE">
        <w:t xml:space="preserve">Celltrion Healthcare Australia Pty Ltd </w:t>
      </w:r>
      <w:r w:rsidRPr="00065839">
        <w:t xml:space="preserve">(the sponsor) to register </w:t>
      </w:r>
      <w:r w:rsidR="00203706">
        <w:t>Eydenzelt</w:t>
      </w:r>
      <w:r w:rsidR="00B43BDE" w:rsidRPr="00B43BDE">
        <w:t xml:space="preserve"> </w:t>
      </w:r>
      <w:r w:rsidRPr="00065839">
        <w:t>(</w:t>
      </w:r>
      <w:r w:rsidR="00B43BDE" w:rsidRPr="00B43BDE">
        <w:t>aflibercept</w:t>
      </w:r>
      <w:r w:rsidRPr="00065839">
        <w:t>) for the following proposed indication</w:t>
      </w:r>
      <w:r w:rsidR="002B597D">
        <w:t>s</w:t>
      </w:r>
      <w:r w:rsidRPr="00065839">
        <w:t>:</w:t>
      </w:r>
      <w:r w:rsidR="00D63760" w:rsidRPr="00065839">
        <w:rPr>
          <w:vertAlign w:val="superscript"/>
        </w:rPr>
        <w:footnoteReference w:id="1"/>
      </w:r>
    </w:p>
    <w:p w14:paraId="7A9010EF" w14:textId="77777777" w:rsidR="002B597D" w:rsidRDefault="002B597D" w:rsidP="00B721C7">
      <w:pPr>
        <w:pStyle w:val="Indication"/>
      </w:pPr>
      <w:r>
        <w:t>Neovascular (wet) age-related macular degeneration (wet AMD)</w:t>
      </w:r>
    </w:p>
    <w:p w14:paraId="41B3BB9A" w14:textId="2CC21C32" w:rsidR="002B597D" w:rsidRDefault="002B597D" w:rsidP="00B721C7">
      <w:pPr>
        <w:pStyle w:val="Indication"/>
      </w:pPr>
      <w:r>
        <w:t>Visual impairment due to macular oedema secondary to central retinal vein</w:t>
      </w:r>
      <w:r w:rsidR="00B721C7">
        <w:t xml:space="preserve"> </w:t>
      </w:r>
      <w:r>
        <w:t>occlusion (CRVO)</w:t>
      </w:r>
    </w:p>
    <w:p w14:paraId="1A5BE822" w14:textId="2DC08368" w:rsidR="002B597D" w:rsidRDefault="002B597D" w:rsidP="00B721C7">
      <w:pPr>
        <w:pStyle w:val="Indication"/>
      </w:pPr>
      <w:r>
        <w:t>Visual impairment due to macular oedema secondary to branch retinal vein</w:t>
      </w:r>
      <w:r w:rsidR="00B721C7">
        <w:t xml:space="preserve"> </w:t>
      </w:r>
      <w:r>
        <w:t>occlusion (BRVO)</w:t>
      </w:r>
    </w:p>
    <w:p w14:paraId="5FE78229" w14:textId="73357E4B" w:rsidR="00B43BDE" w:rsidRDefault="002B597D" w:rsidP="00B721C7">
      <w:pPr>
        <w:pStyle w:val="Indication"/>
      </w:pPr>
      <w:r>
        <w:t>Diabetic macular oedema (DME)</w:t>
      </w:r>
    </w:p>
    <w:p w14:paraId="5ABE6164" w14:textId="69CBF160" w:rsidR="00B721C7" w:rsidRDefault="00B721C7" w:rsidP="00B721C7">
      <w:pPr>
        <w:pStyle w:val="Indication"/>
      </w:pPr>
      <w:r w:rsidRPr="00B721C7">
        <w:t>Visual impairment due to myopic choroidal neovascularisation (myopic CNV)</w:t>
      </w:r>
    </w:p>
    <w:p w14:paraId="28280BCE" w14:textId="3C9EFFA4" w:rsidR="00047B70" w:rsidRPr="00047B70" w:rsidRDefault="00203706" w:rsidP="00047B70">
      <w:r>
        <w:t>Eydenzelt</w:t>
      </w:r>
      <w:r w:rsidR="008863FF" w:rsidRPr="008863FF">
        <w:t xml:space="preserve"> </w:t>
      </w:r>
      <w:r w:rsidR="008863FF">
        <w:t xml:space="preserve">is a </w:t>
      </w:r>
      <w:r w:rsidR="00047B70" w:rsidRPr="00047B70">
        <w:t xml:space="preserve">biosimilar </w:t>
      </w:r>
      <w:r w:rsidR="008863FF">
        <w:t xml:space="preserve">to the registered </w:t>
      </w:r>
      <w:r w:rsidR="00047B70" w:rsidRPr="00047B70">
        <w:t xml:space="preserve">product </w:t>
      </w:r>
      <w:r w:rsidR="0000101D">
        <w:t>Eylea</w:t>
      </w:r>
      <w:r w:rsidR="008863FF">
        <w:t xml:space="preserve"> </w:t>
      </w:r>
      <w:r w:rsidR="00047B70" w:rsidRPr="00047B70">
        <w:t>(aflibercept)</w:t>
      </w:r>
      <w:r w:rsidR="00047B70">
        <w:t xml:space="preserve">. </w:t>
      </w:r>
    </w:p>
    <w:p w14:paraId="1E63A2AE" w14:textId="5FCD6C6F" w:rsidR="00CB6813" w:rsidRDefault="00005DFC" w:rsidP="00CB6813">
      <w:pPr>
        <w:pStyle w:val="Heading4"/>
      </w:pPr>
      <w:bookmarkStart w:id="19" w:name="_Toc213760474"/>
      <w:bookmarkStart w:id="20" w:name="_Toc314842485"/>
      <w:bookmarkStart w:id="21" w:name="_Toc247691504"/>
      <w:r>
        <w:t>D</w:t>
      </w:r>
      <w:r w:rsidR="00CB6813" w:rsidRPr="00C12D65">
        <w:t>isease</w:t>
      </w:r>
      <w:r w:rsidR="006428C5">
        <w:t xml:space="preserve"> or condition</w:t>
      </w:r>
      <w:bookmarkEnd w:id="19"/>
    </w:p>
    <w:p w14:paraId="2FE6ECA4" w14:textId="0D4AEF28" w:rsidR="009E0971" w:rsidRPr="009E0971" w:rsidRDefault="009E0971" w:rsidP="009E0971">
      <w:r w:rsidRPr="009E0971">
        <w:t>Myopic choroidal neovascularisation (</w:t>
      </w:r>
      <w:proofErr w:type="spellStart"/>
      <w:r w:rsidRPr="009E0971">
        <w:t>mCNV</w:t>
      </w:r>
      <w:proofErr w:type="spellEnd"/>
      <w:r w:rsidRPr="009E0971">
        <w:t xml:space="preserve">) is a complication of pathological myopia and may be vision-threatening. There are 3 main stages of </w:t>
      </w:r>
      <w:proofErr w:type="spellStart"/>
      <w:r w:rsidRPr="009E0971">
        <w:t>mCNV</w:t>
      </w:r>
      <w:proofErr w:type="spellEnd"/>
      <w:r w:rsidRPr="009E0971">
        <w:t xml:space="preserve">: active, scar, and atrophic. The ‘active’ stage is associated with damage to photoreceptors and central visual loss. In the ‘scar’ stage, a fibrous pigmented scar forms (Fuchs’ spot). In the final ‘atrophic’ stage, Finally, </w:t>
      </w:r>
      <w:proofErr w:type="spellStart"/>
      <w:r w:rsidRPr="009E0971">
        <w:t>chorioretinal</w:t>
      </w:r>
      <w:proofErr w:type="spellEnd"/>
      <w:r w:rsidRPr="009E0971">
        <w:t xml:space="preserve"> atrophy forms around the regressed CNV.</w:t>
      </w:r>
    </w:p>
    <w:p w14:paraId="255E083A" w14:textId="77777777" w:rsidR="00CB6813" w:rsidRDefault="00CB6813" w:rsidP="00CB6813">
      <w:pPr>
        <w:pStyle w:val="Heading4"/>
      </w:pPr>
      <w:bookmarkStart w:id="22" w:name="_Toc213760475"/>
      <w:r>
        <w:t>Current treatment options</w:t>
      </w:r>
      <w:bookmarkEnd w:id="22"/>
    </w:p>
    <w:p w14:paraId="678E1FAC" w14:textId="1080717D" w:rsidR="00765193" w:rsidRPr="00765193" w:rsidRDefault="00765193" w:rsidP="00765193">
      <w:r w:rsidRPr="00765193">
        <w:t>Anti-</w:t>
      </w:r>
      <w:r w:rsidR="00D97114" w:rsidRPr="00D97114">
        <w:t xml:space="preserve"> Vascular Endothelial Growth Factor </w:t>
      </w:r>
      <w:r w:rsidR="00D97114">
        <w:t>(</w:t>
      </w:r>
      <w:r w:rsidRPr="00765193">
        <w:t>VEGF</w:t>
      </w:r>
      <w:r w:rsidR="00D97114">
        <w:t>)</w:t>
      </w:r>
      <w:r w:rsidRPr="00765193">
        <w:t xml:space="preserve"> therapy is typically the </w:t>
      </w:r>
      <w:proofErr w:type="gramStart"/>
      <w:r w:rsidRPr="00765193">
        <w:t>first-line</w:t>
      </w:r>
      <w:proofErr w:type="gramEnd"/>
      <w:r w:rsidRPr="00765193">
        <w:t xml:space="preserve"> and preferred treatment for myopic CNV. Photodynamic therapy is an alternative therapy option.</w:t>
      </w:r>
    </w:p>
    <w:p w14:paraId="37C47E09" w14:textId="14D3762D" w:rsidR="00CB6813" w:rsidRDefault="00CB6813" w:rsidP="00CB6813">
      <w:pPr>
        <w:pStyle w:val="Heading4"/>
      </w:pPr>
      <w:bookmarkStart w:id="23" w:name="_Toc213760476"/>
      <w:r>
        <w:lastRenderedPageBreak/>
        <w:t>C</w:t>
      </w:r>
      <w:r w:rsidRPr="00DE1344">
        <w:t>linical rational</w:t>
      </w:r>
      <w:r w:rsidR="0025785B">
        <w:t>e</w:t>
      </w:r>
      <w:bookmarkEnd w:id="23"/>
    </w:p>
    <w:p w14:paraId="0355D490" w14:textId="2BE2003A" w:rsidR="00CD38A9" w:rsidRPr="00CD38A9" w:rsidRDefault="00CD38A9" w:rsidP="00074799">
      <w:r>
        <w:t>Aflibercept is a recombinant fusion protein of portions of human VEGFR-</w:t>
      </w:r>
      <w:proofErr w:type="gramStart"/>
      <w:r>
        <w:t>1</w:t>
      </w:r>
      <w:proofErr w:type="gramEnd"/>
      <w:r>
        <w:t xml:space="preserve"> and VEGFR-2 extracellular domains fused to the Fc portion of human IgG1. Aflibercept exerts its therapeutic effects by binding to VEGF-A and placental growth factor (</w:t>
      </w:r>
      <w:proofErr w:type="spellStart"/>
      <w:r>
        <w:t>PlGF</w:t>
      </w:r>
      <w:proofErr w:type="spellEnd"/>
      <w:r>
        <w:t>) and thereby inhibiting the binding and activation of these cognate VEGFRs.</w:t>
      </w:r>
      <w:r w:rsidR="00074799">
        <w:t xml:space="preserve"> VEGF-A and </w:t>
      </w:r>
      <w:proofErr w:type="spellStart"/>
      <w:r w:rsidR="00074799">
        <w:t>PlGF</w:t>
      </w:r>
      <w:proofErr w:type="spellEnd"/>
      <w:r w:rsidR="00074799">
        <w:t xml:space="preserve"> are members of the VEGF family of angiogenic factors that can act as mitogenic, chemotactic, and vascular permeability factors for endothelial cells. </w:t>
      </w:r>
      <w:r w:rsidR="0000101D">
        <w:t xml:space="preserve">VEGF </w:t>
      </w:r>
      <w:r w:rsidR="00074799">
        <w:t xml:space="preserve">acts via two receptor tyrosine kinases; VEGFR-1 and VEGFR-2, present on the surface of endothelial cells. </w:t>
      </w:r>
      <w:proofErr w:type="spellStart"/>
      <w:r w:rsidR="00074799">
        <w:t>PlGF</w:t>
      </w:r>
      <w:proofErr w:type="spellEnd"/>
      <w:r w:rsidR="00074799">
        <w:t xml:space="preserve"> binds only to VEGFR-1, which is also present on the surface of leucocytes. Excessive activation of these receptors by VEGF-A can result in pathological neovascularization and excessive vascular permeability.</w:t>
      </w:r>
      <w:r w:rsidR="0000101D">
        <w:t xml:space="preserve"> </w:t>
      </w:r>
      <w:proofErr w:type="spellStart"/>
      <w:r w:rsidR="00074799">
        <w:t>PlGF</w:t>
      </w:r>
      <w:proofErr w:type="spellEnd"/>
      <w:r w:rsidR="00074799">
        <w:t xml:space="preserve"> can synergize with VEGF-A in these </w:t>
      </w:r>
      <w:r w:rsidR="00D6499D">
        <w:t>processes and</w:t>
      </w:r>
      <w:r w:rsidR="00074799">
        <w:t xml:space="preserve"> is also known to promote leucocyte infiltration and vascular inflammation. Aflibercept acts as a soluble decoy receptor that binds to VEGF-A, and </w:t>
      </w:r>
      <w:proofErr w:type="spellStart"/>
      <w:r w:rsidR="00074799">
        <w:t>PlGF</w:t>
      </w:r>
      <w:proofErr w:type="spellEnd"/>
      <w:r w:rsidR="00074799">
        <w:t>, and thereby can inhibit the binding and activation of these cognate VEGFRs</w:t>
      </w:r>
      <w:r w:rsidR="0000101D">
        <w:t>.</w:t>
      </w:r>
    </w:p>
    <w:p w14:paraId="0D615854" w14:textId="77777777" w:rsidR="00324B33" w:rsidRPr="003F31A2" w:rsidRDefault="00324B33" w:rsidP="00324B33">
      <w:pPr>
        <w:pStyle w:val="Heading3"/>
      </w:pPr>
      <w:bookmarkStart w:id="24" w:name="_Toc103679291"/>
      <w:bookmarkStart w:id="25" w:name="_Toc213760477"/>
      <w:r>
        <w:t>Regulatory status</w:t>
      </w:r>
      <w:bookmarkEnd w:id="20"/>
      <w:bookmarkEnd w:id="21"/>
      <w:bookmarkEnd w:id="24"/>
      <w:bookmarkEnd w:id="25"/>
    </w:p>
    <w:p w14:paraId="72C889D6" w14:textId="7E200950" w:rsidR="0017005C" w:rsidRPr="00BD5DBD" w:rsidRDefault="0017005C" w:rsidP="00741AB9">
      <w:pPr>
        <w:pStyle w:val="Heading4"/>
      </w:pPr>
      <w:bookmarkStart w:id="26" w:name="_Toc213760478"/>
      <w:r w:rsidRPr="00BD5DBD">
        <w:t>Australian regulatory</w:t>
      </w:r>
      <w:r>
        <w:t xml:space="preserve"> sta</w:t>
      </w:r>
      <w:r w:rsidR="0025785B">
        <w:t>t</w:t>
      </w:r>
      <w:r>
        <w:t>us</w:t>
      </w:r>
      <w:bookmarkEnd w:id="26"/>
    </w:p>
    <w:p w14:paraId="6A8633FA" w14:textId="562DC4FE" w:rsidR="00324B33" w:rsidRDefault="00324B33" w:rsidP="00324B33">
      <w:pPr>
        <w:rPr>
          <w:szCs w:val="22"/>
        </w:rPr>
      </w:pPr>
      <w:r w:rsidRPr="00BD5DBD">
        <w:rPr>
          <w:szCs w:val="22"/>
        </w:rPr>
        <w:t>This product is considered a new biosimilar medicine for Australian regulatory purposes.</w:t>
      </w:r>
    </w:p>
    <w:p w14:paraId="546C1031" w14:textId="4EF98FA1" w:rsidR="0017005C" w:rsidRDefault="00131B1B" w:rsidP="0017005C">
      <w:pPr>
        <w:pStyle w:val="Heading4"/>
      </w:pPr>
      <w:bookmarkStart w:id="27" w:name="_Toc213760479"/>
      <w:r>
        <w:t xml:space="preserve">International </w:t>
      </w:r>
      <w:r w:rsidR="0017005C" w:rsidRPr="00BD5DBD">
        <w:t>regulatory</w:t>
      </w:r>
      <w:r w:rsidR="0017005C">
        <w:t xml:space="preserve"> status</w:t>
      </w:r>
      <w:bookmarkEnd w:id="27"/>
    </w:p>
    <w:p w14:paraId="7FDF4A0B" w14:textId="4AB0A47B"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00101D">
        <w:rPr>
          <w:szCs w:val="22"/>
        </w:rPr>
        <w:t>Table 1</w:t>
      </w:r>
      <w:r w:rsidRPr="00BD5DBD">
        <w:rPr>
          <w:szCs w:val="22"/>
        </w:rPr>
        <w:t xml:space="preserve"> summarises these submissions and provides the indications </w:t>
      </w:r>
      <w:r w:rsidR="00812CE5">
        <w:rPr>
          <w:szCs w:val="22"/>
        </w:rPr>
        <w:t>sought/</w:t>
      </w:r>
      <w:r w:rsidRPr="00BD5DBD">
        <w:rPr>
          <w:szCs w:val="22"/>
        </w:rPr>
        <w:t>approved.</w:t>
      </w:r>
      <w:r>
        <w:rPr>
          <w:szCs w:val="22"/>
        </w:rPr>
        <w:t xml:space="preserve"> </w:t>
      </w:r>
    </w:p>
    <w:p w14:paraId="19B9E0AC" w14:textId="10BE567A" w:rsidR="00324B33" w:rsidRDefault="00324B33" w:rsidP="00324B33">
      <w:pPr>
        <w:pStyle w:val="TableTitle"/>
      </w:pPr>
      <w:bookmarkStart w:id="28" w:name="_Ref99705479"/>
      <w:r>
        <w:t xml:space="preserve">Table </w:t>
      </w:r>
      <w:r w:rsidR="008B1CB5">
        <w:fldChar w:fldCharType="begin"/>
      </w:r>
      <w:r w:rsidR="008B1CB5">
        <w:instrText xml:space="preserve"> SEQ Table \* ARABIC </w:instrText>
      </w:r>
      <w:r w:rsidR="008B1CB5">
        <w:fldChar w:fldCharType="separate"/>
      </w:r>
      <w:r w:rsidR="008B1CB5">
        <w:rPr>
          <w:noProof/>
        </w:rPr>
        <w:t>1</w:t>
      </w:r>
      <w:r w:rsidR="008B1CB5">
        <w:rPr>
          <w:noProof/>
        </w:rPr>
        <w:fldChar w:fldCharType="end"/>
      </w:r>
      <w:bookmarkEnd w:id="28"/>
      <w:r>
        <w:t>: International regulatory status</w:t>
      </w:r>
      <w:r w:rsidR="007C0569">
        <w:t xml:space="preserve"> a</w:t>
      </w:r>
      <w:r w:rsidR="007C0569" w:rsidRPr="007C0569">
        <w:t>t the time the TGA considered this submission</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1AB7F646" w:rsidR="00324B33" w:rsidRPr="00D01DDB" w:rsidRDefault="00812CE5" w:rsidP="003C7895">
            <w:pPr>
              <w:cnfStyle w:val="100000000000" w:firstRow="1" w:lastRow="0" w:firstColumn="0" w:lastColumn="0" w:oddVBand="0" w:evenVBand="0" w:oddHBand="0" w:evenHBand="0" w:firstRowFirstColumn="0" w:firstRowLastColumn="0" w:lastRowFirstColumn="0" w:lastRowLastColumn="0"/>
              <w:rPr>
                <w:szCs w:val="22"/>
              </w:rPr>
            </w:pPr>
            <w:r w:rsidRPr="00812CE5">
              <w:rPr>
                <w:szCs w:val="22"/>
              </w:rPr>
              <w:t>Filing Date for</w:t>
            </w:r>
            <w:r w:rsidR="003C7895">
              <w:rPr>
                <w:szCs w:val="22"/>
              </w:rPr>
              <w:t xml:space="preserve"> </w:t>
            </w:r>
            <w:r w:rsidRPr="00812CE5">
              <w:rPr>
                <w:szCs w:val="22"/>
              </w:rPr>
              <w:t>Marketing</w:t>
            </w:r>
            <w:r w:rsidR="003C7895">
              <w:rPr>
                <w:szCs w:val="22"/>
              </w:rPr>
              <w:t xml:space="preserve"> </w:t>
            </w:r>
            <w:r w:rsidRPr="00812CE5">
              <w:rPr>
                <w:szCs w:val="22"/>
              </w:rPr>
              <w:t>Authori</w:t>
            </w:r>
            <w:r>
              <w:rPr>
                <w:szCs w:val="22"/>
              </w:rPr>
              <w:t>s</w:t>
            </w:r>
            <w:r w:rsidRPr="00812CE5">
              <w:rPr>
                <w:szCs w:val="22"/>
              </w:rPr>
              <w:t>ation</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626AFD2B" w:rsidR="00324B33" w:rsidRPr="00D01DDB" w:rsidRDefault="00812CE5" w:rsidP="00324B33">
            <w:pPr>
              <w:cnfStyle w:val="100000000000" w:firstRow="1" w:lastRow="0" w:firstColumn="0" w:lastColumn="0" w:oddVBand="0" w:evenVBand="0" w:oddHBand="0" w:evenHBand="0" w:firstRowFirstColumn="0" w:firstRowLastColumn="0" w:lastRowFirstColumn="0" w:lastRowLastColumn="0"/>
              <w:rPr>
                <w:szCs w:val="22"/>
              </w:rPr>
            </w:pPr>
            <w:r>
              <w:rPr>
                <w:szCs w:val="22"/>
              </w:rPr>
              <w:t>I</w:t>
            </w:r>
            <w:r w:rsidR="00324B33" w:rsidRPr="00D01DDB">
              <w:rPr>
                <w:szCs w:val="22"/>
              </w:rPr>
              <w:t>ndications</w:t>
            </w:r>
          </w:p>
        </w:tc>
      </w:tr>
      <w:tr w:rsidR="00324B33" w:rsidRPr="007268FE"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488F6EA8" w:rsidR="00324B33" w:rsidRPr="00D01DDB" w:rsidRDefault="00FC01EA" w:rsidP="00FC01EA">
            <w:pPr>
              <w:rPr>
                <w:szCs w:val="22"/>
              </w:rPr>
            </w:pPr>
            <w:r w:rsidRPr="00FC01EA">
              <w:rPr>
                <w:szCs w:val="22"/>
              </w:rPr>
              <w:t>United</w:t>
            </w:r>
            <w:r>
              <w:rPr>
                <w:szCs w:val="22"/>
              </w:rPr>
              <w:t xml:space="preserve"> </w:t>
            </w:r>
            <w:r w:rsidRPr="00FC01EA">
              <w:rPr>
                <w:szCs w:val="22"/>
              </w:rPr>
              <w:t>State</w:t>
            </w:r>
            <w:r>
              <w:rPr>
                <w:szCs w:val="22"/>
              </w:rPr>
              <w:t xml:space="preserve">s </w:t>
            </w:r>
            <w:r w:rsidRPr="00FC01EA">
              <w:rPr>
                <w:szCs w:val="22"/>
              </w:rPr>
              <w:t>(US)</w:t>
            </w:r>
          </w:p>
        </w:tc>
        <w:tc>
          <w:tcPr>
            <w:tcW w:w="1018" w:type="pct"/>
          </w:tcPr>
          <w:p w14:paraId="4FA5DDA9" w14:textId="5FB1DCA5" w:rsidR="00324B33" w:rsidRPr="00D01DDB" w:rsidRDefault="00812CE5" w:rsidP="00324B33">
            <w:pPr>
              <w:cnfStyle w:val="000000000000" w:firstRow="0" w:lastRow="0" w:firstColumn="0" w:lastColumn="0" w:oddVBand="0" w:evenVBand="0" w:oddHBand="0" w:evenHBand="0" w:firstRowFirstColumn="0" w:firstRowLastColumn="0" w:lastRowFirstColumn="0" w:lastRowLastColumn="0"/>
              <w:rPr>
                <w:szCs w:val="22"/>
              </w:rPr>
            </w:pPr>
            <w:r w:rsidRPr="00812CE5">
              <w:rPr>
                <w:szCs w:val="22"/>
              </w:rPr>
              <w:t>29th June 2023</w:t>
            </w:r>
          </w:p>
        </w:tc>
        <w:tc>
          <w:tcPr>
            <w:tcW w:w="1173" w:type="pct"/>
          </w:tcPr>
          <w:p w14:paraId="29358393" w14:textId="47DF1AF9" w:rsidR="00324B33" w:rsidRPr="00D01DDB" w:rsidRDefault="00812CE5" w:rsidP="00324B33">
            <w:pPr>
              <w:cnfStyle w:val="000000000000" w:firstRow="0" w:lastRow="0" w:firstColumn="0" w:lastColumn="0" w:oddVBand="0" w:evenVBand="0" w:oddHBand="0" w:evenHBand="0" w:firstRowFirstColumn="0" w:firstRowLastColumn="0" w:lastRowFirstColumn="0" w:lastRowLastColumn="0"/>
              <w:rPr>
                <w:szCs w:val="22"/>
              </w:rPr>
            </w:pPr>
            <w:r w:rsidRPr="00812CE5">
              <w:rPr>
                <w:szCs w:val="22"/>
              </w:rPr>
              <w:t>Under review</w:t>
            </w:r>
          </w:p>
        </w:tc>
        <w:tc>
          <w:tcPr>
            <w:tcW w:w="1795" w:type="pct"/>
          </w:tcPr>
          <w:p w14:paraId="687A5511" w14:textId="145D1946" w:rsidR="00960302" w:rsidRPr="00960302" w:rsidRDefault="00960302" w:rsidP="00960302">
            <w:pPr>
              <w:cnfStyle w:val="000000000000" w:firstRow="0" w:lastRow="0" w:firstColumn="0" w:lastColumn="0" w:oddVBand="0" w:evenVBand="0" w:oddHBand="0" w:evenHBand="0" w:firstRowFirstColumn="0" w:firstRowLastColumn="0" w:lastRowFirstColumn="0" w:lastRowLastColumn="0"/>
              <w:rPr>
                <w:szCs w:val="22"/>
              </w:rPr>
            </w:pPr>
            <w:r w:rsidRPr="00960302">
              <w:rPr>
                <w:szCs w:val="22"/>
              </w:rPr>
              <w:t>Neovascular (Wet)</w:t>
            </w:r>
            <w:r>
              <w:rPr>
                <w:szCs w:val="22"/>
              </w:rPr>
              <w:t xml:space="preserve"> </w:t>
            </w:r>
            <w:r w:rsidRPr="00960302">
              <w:rPr>
                <w:szCs w:val="22"/>
              </w:rPr>
              <w:t>Age-Related Macular</w:t>
            </w:r>
            <w:r>
              <w:rPr>
                <w:szCs w:val="22"/>
              </w:rPr>
              <w:t xml:space="preserve"> </w:t>
            </w:r>
            <w:r w:rsidRPr="00960302">
              <w:rPr>
                <w:szCs w:val="22"/>
              </w:rPr>
              <w:t>Degeneration (AMD)</w:t>
            </w:r>
          </w:p>
          <w:p w14:paraId="571D6B4D" w14:textId="77777777" w:rsidR="003C7895" w:rsidRDefault="00960302" w:rsidP="00960302">
            <w:pPr>
              <w:cnfStyle w:val="000000000000" w:firstRow="0" w:lastRow="0" w:firstColumn="0" w:lastColumn="0" w:oddVBand="0" w:evenVBand="0" w:oddHBand="0" w:evenHBand="0" w:firstRowFirstColumn="0" w:firstRowLastColumn="0" w:lastRowFirstColumn="0" w:lastRowLastColumn="0"/>
              <w:rPr>
                <w:szCs w:val="22"/>
              </w:rPr>
            </w:pPr>
            <w:r w:rsidRPr="00960302">
              <w:rPr>
                <w:szCs w:val="22"/>
              </w:rPr>
              <w:t xml:space="preserve">Macular </w:t>
            </w:r>
            <w:proofErr w:type="spellStart"/>
            <w:r w:rsidRPr="00960302">
              <w:rPr>
                <w:szCs w:val="22"/>
              </w:rPr>
              <w:t>Edema</w:t>
            </w:r>
            <w:proofErr w:type="spellEnd"/>
            <w:r>
              <w:rPr>
                <w:szCs w:val="22"/>
              </w:rPr>
              <w:t xml:space="preserve"> </w:t>
            </w:r>
            <w:r w:rsidRPr="00960302">
              <w:rPr>
                <w:szCs w:val="22"/>
              </w:rPr>
              <w:t>Following Retinal</w:t>
            </w:r>
            <w:r>
              <w:rPr>
                <w:szCs w:val="22"/>
              </w:rPr>
              <w:t xml:space="preserve"> </w:t>
            </w:r>
            <w:r w:rsidRPr="00960302">
              <w:rPr>
                <w:szCs w:val="22"/>
              </w:rPr>
              <w:t>Vein Occlusion (RVO)</w:t>
            </w:r>
          </w:p>
          <w:p w14:paraId="1A88061D" w14:textId="71E0C61E" w:rsidR="00960302" w:rsidRPr="00002B0A" w:rsidRDefault="00960302" w:rsidP="00960302">
            <w:pPr>
              <w:cnfStyle w:val="000000000000" w:firstRow="0" w:lastRow="0" w:firstColumn="0" w:lastColumn="0" w:oddVBand="0" w:evenVBand="0" w:oddHBand="0" w:evenHBand="0" w:firstRowFirstColumn="0" w:firstRowLastColumn="0" w:lastRowFirstColumn="0" w:lastRowLastColumn="0"/>
              <w:rPr>
                <w:szCs w:val="22"/>
                <w:lang w:val="pt-BR"/>
              </w:rPr>
            </w:pPr>
            <w:r w:rsidRPr="00002B0A">
              <w:rPr>
                <w:szCs w:val="22"/>
                <w:lang w:val="pt-BR"/>
              </w:rPr>
              <w:t>Diabetic Macular Edema (DME)</w:t>
            </w:r>
          </w:p>
          <w:p w14:paraId="05055674" w14:textId="1CDBD637" w:rsidR="00324B33" w:rsidRPr="00002B0A" w:rsidRDefault="00960302" w:rsidP="00960302">
            <w:pPr>
              <w:cnfStyle w:val="000000000000" w:firstRow="0" w:lastRow="0" w:firstColumn="0" w:lastColumn="0" w:oddVBand="0" w:evenVBand="0" w:oddHBand="0" w:evenHBand="0" w:firstRowFirstColumn="0" w:firstRowLastColumn="0" w:lastRowFirstColumn="0" w:lastRowLastColumn="0"/>
              <w:rPr>
                <w:szCs w:val="22"/>
                <w:lang w:val="pt-BR"/>
              </w:rPr>
            </w:pPr>
            <w:r w:rsidRPr="00002B0A">
              <w:rPr>
                <w:szCs w:val="22"/>
                <w:lang w:val="pt-BR"/>
              </w:rPr>
              <w:t>Diabetic Retinopathy (DR)</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11CBAF00" w:rsidR="00324B33" w:rsidRPr="00D01DDB" w:rsidRDefault="00960302" w:rsidP="00324B33">
            <w:pPr>
              <w:rPr>
                <w:szCs w:val="22"/>
              </w:rPr>
            </w:pPr>
            <w:r w:rsidRPr="00960302">
              <w:rPr>
                <w:szCs w:val="22"/>
              </w:rPr>
              <w:lastRenderedPageBreak/>
              <w:t>Korea</w:t>
            </w:r>
          </w:p>
        </w:tc>
        <w:tc>
          <w:tcPr>
            <w:tcW w:w="1018" w:type="pct"/>
          </w:tcPr>
          <w:p w14:paraId="1D871E57" w14:textId="576918FF" w:rsidR="00324B33" w:rsidRPr="00D01DDB" w:rsidRDefault="0068731C" w:rsidP="00324B33">
            <w:pPr>
              <w:cnfStyle w:val="000000000000" w:firstRow="0" w:lastRow="0" w:firstColumn="0" w:lastColumn="0" w:oddVBand="0" w:evenVBand="0" w:oddHBand="0" w:evenHBand="0" w:firstRowFirstColumn="0" w:firstRowLastColumn="0" w:lastRowFirstColumn="0" w:lastRowLastColumn="0"/>
              <w:rPr>
                <w:szCs w:val="22"/>
              </w:rPr>
            </w:pPr>
            <w:r w:rsidRPr="0068731C">
              <w:rPr>
                <w:szCs w:val="22"/>
              </w:rPr>
              <w:t>26th July 2023</w:t>
            </w:r>
          </w:p>
        </w:tc>
        <w:tc>
          <w:tcPr>
            <w:tcW w:w="1173" w:type="pct"/>
          </w:tcPr>
          <w:p w14:paraId="63A3A9D3" w14:textId="2D680BB0" w:rsidR="00324B33" w:rsidRPr="00BB5F37" w:rsidRDefault="0068731C" w:rsidP="00324B33">
            <w:pPr>
              <w:cnfStyle w:val="000000000000" w:firstRow="0" w:lastRow="0" w:firstColumn="0" w:lastColumn="0" w:oddVBand="0" w:evenVBand="0" w:oddHBand="0" w:evenHBand="0" w:firstRowFirstColumn="0" w:firstRowLastColumn="0" w:lastRowFirstColumn="0" w:lastRowLastColumn="0"/>
              <w:rPr>
                <w:rFonts w:eastAsiaTheme="minorEastAsia"/>
                <w:szCs w:val="22"/>
                <w:lang w:eastAsia="ko-KR"/>
              </w:rPr>
            </w:pPr>
            <w:r w:rsidRPr="0068731C">
              <w:rPr>
                <w:szCs w:val="22"/>
              </w:rPr>
              <w:t>Under review</w:t>
            </w:r>
          </w:p>
        </w:tc>
        <w:tc>
          <w:tcPr>
            <w:tcW w:w="1795" w:type="pct"/>
          </w:tcPr>
          <w:p w14:paraId="07B9150B" w14:textId="679B2140" w:rsidR="0068731C" w:rsidRPr="0068731C" w:rsidRDefault="0068731C" w:rsidP="0068731C">
            <w:pPr>
              <w:cnfStyle w:val="000000000000" w:firstRow="0" w:lastRow="0" w:firstColumn="0" w:lastColumn="0" w:oddVBand="0" w:evenVBand="0" w:oddHBand="0" w:evenHBand="0" w:firstRowFirstColumn="0" w:firstRowLastColumn="0" w:lastRowFirstColumn="0" w:lastRowLastColumn="0"/>
              <w:rPr>
                <w:szCs w:val="22"/>
              </w:rPr>
            </w:pPr>
            <w:r w:rsidRPr="0068731C">
              <w:rPr>
                <w:szCs w:val="22"/>
              </w:rPr>
              <w:t>Neovascular (Wet)</w:t>
            </w:r>
            <w:r>
              <w:rPr>
                <w:szCs w:val="22"/>
              </w:rPr>
              <w:t xml:space="preserve"> </w:t>
            </w:r>
            <w:r w:rsidRPr="0068731C">
              <w:rPr>
                <w:szCs w:val="22"/>
              </w:rPr>
              <w:t>Age-Related Macular</w:t>
            </w:r>
            <w:r>
              <w:rPr>
                <w:szCs w:val="22"/>
              </w:rPr>
              <w:t xml:space="preserve"> </w:t>
            </w:r>
            <w:r w:rsidRPr="0068731C">
              <w:rPr>
                <w:szCs w:val="22"/>
              </w:rPr>
              <w:t>Degeneration (AMD)</w:t>
            </w:r>
          </w:p>
          <w:p w14:paraId="56103263" w14:textId="47F04577" w:rsidR="0068731C" w:rsidRPr="0068731C" w:rsidRDefault="0068731C" w:rsidP="0068731C">
            <w:pPr>
              <w:cnfStyle w:val="000000000000" w:firstRow="0" w:lastRow="0" w:firstColumn="0" w:lastColumn="0" w:oddVBand="0" w:evenVBand="0" w:oddHBand="0" w:evenHBand="0" w:firstRowFirstColumn="0" w:firstRowLastColumn="0" w:lastRowFirstColumn="0" w:lastRowLastColumn="0"/>
              <w:rPr>
                <w:szCs w:val="22"/>
              </w:rPr>
            </w:pPr>
            <w:r w:rsidRPr="0068731C">
              <w:rPr>
                <w:szCs w:val="22"/>
              </w:rPr>
              <w:t xml:space="preserve">Macular </w:t>
            </w:r>
            <w:proofErr w:type="spellStart"/>
            <w:r w:rsidRPr="0068731C">
              <w:rPr>
                <w:szCs w:val="22"/>
              </w:rPr>
              <w:t>Edema</w:t>
            </w:r>
            <w:proofErr w:type="spellEnd"/>
            <w:r>
              <w:rPr>
                <w:szCs w:val="22"/>
              </w:rPr>
              <w:t xml:space="preserve"> </w:t>
            </w:r>
            <w:r w:rsidRPr="0068731C">
              <w:rPr>
                <w:szCs w:val="22"/>
              </w:rPr>
              <w:t>Following Retinal</w:t>
            </w:r>
            <w:r>
              <w:rPr>
                <w:szCs w:val="22"/>
              </w:rPr>
              <w:t xml:space="preserve"> </w:t>
            </w:r>
            <w:r w:rsidRPr="0068731C">
              <w:rPr>
                <w:szCs w:val="22"/>
              </w:rPr>
              <w:t>Vein Occlusion (RVO)</w:t>
            </w:r>
          </w:p>
          <w:p w14:paraId="652ECD02" w14:textId="5C3F2A4A" w:rsidR="0068731C" w:rsidRPr="0068731C" w:rsidRDefault="0068731C" w:rsidP="0068731C">
            <w:pPr>
              <w:cnfStyle w:val="000000000000" w:firstRow="0" w:lastRow="0" w:firstColumn="0" w:lastColumn="0" w:oddVBand="0" w:evenVBand="0" w:oddHBand="0" w:evenHBand="0" w:firstRowFirstColumn="0" w:firstRowLastColumn="0" w:lastRowFirstColumn="0" w:lastRowLastColumn="0"/>
              <w:rPr>
                <w:szCs w:val="22"/>
              </w:rPr>
            </w:pPr>
            <w:r w:rsidRPr="0068731C">
              <w:rPr>
                <w:szCs w:val="22"/>
              </w:rPr>
              <w:t>Diabetic Macular</w:t>
            </w:r>
            <w:r>
              <w:rPr>
                <w:szCs w:val="22"/>
              </w:rPr>
              <w:t xml:space="preserve"> </w:t>
            </w:r>
            <w:proofErr w:type="spellStart"/>
            <w:r w:rsidRPr="0068731C">
              <w:rPr>
                <w:szCs w:val="22"/>
              </w:rPr>
              <w:t>Edema</w:t>
            </w:r>
            <w:proofErr w:type="spellEnd"/>
            <w:r w:rsidRPr="0068731C">
              <w:rPr>
                <w:szCs w:val="22"/>
              </w:rPr>
              <w:t xml:space="preserve"> (DME)</w:t>
            </w:r>
          </w:p>
          <w:p w14:paraId="17C650B8" w14:textId="664B526B" w:rsidR="00324B33" w:rsidRPr="00D01DDB" w:rsidRDefault="0068731C" w:rsidP="0068731C">
            <w:pPr>
              <w:cnfStyle w:val="000000000000" w:firstRow="0" w:lastRow="0" w:firstColumn="0" w:lastColumn="0" w:oddVBand="0" w:evenVBand="0" w:oddHBand="0" w:evenHBand="0" w:firstRowFirstColumn="0" w:firstRowLastColumn="0" w:lastRowFirstColumn="0" w:lastRowLastColumn="0"/>
              <w:rPr>
                <w:szCs w:val="22"/>
              </w:rPr>
            </w:pPr>
            <w:r w:rsidRPr="0068731C">
              <w:rPr>
                <w:szCs w:val="22"/>
              </w:rPr>
              <w:t>Myopic choroidal</w:t>
            </w:r>
            <w:r>
              <w:rPr>
                <w:szCs w:val="22"/>
              </w:rPr>
              <w:t xml:space="preserve"> </w:t>
            </w:r>
            <w:r w:rsidRPr="0068731C">
              <w:rPr>
                <w:szCs w:val="22"/>
              </w:rPr>
              <w:t>neovascularisation</w:t>
            </w:r>
            <w:r>
              <w:rPr>
                <w:szCs w:val="22"/>
              </w:rPr>
              <w:t xml:space="preserve"> </w:t>
            </w:r>
            <w:r w:rsidRPr="0068731C">
              <w:rPr>
                <w:szCs w:val="22"/>
              </w:rPr>
              <w:t>(myopic CNV)</w:t>
            </w:r>
          </w:p>
        </w:tc>
      </w:tr>
      <w:tr w:rsidR="00812CE5" w:rsidRPr="00D01DDB" w14:paraId="5078141C"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747BD57" w14:textId="210123A1" w:rsidR="000469B3" w:rsidRPr="000469B3" w:rsidRDefault="007425F7" w:rsidP="003C7895">
            <w:pPr>
              <w:rPr>
                <w:szCs w:val="22"/>
              </w:rPr>
            </w:pPr>
            <w:r w:rsidRPr="007425F7">
              <w:rPr>
                <w:szCs w:val="22"/>
              </w:rPr>
              <w:t>Canada</w:t>
            </w:r>
          </w:p>
        </w:tc>
        <w:tc>
          <w:tcPr>
            <w:tcW w:w="1018" w:type="pct"/>
          </w:tcPr>
          <w:p w14:paraId="76379056" w14:textId="4731B4EA" w:rsidR="00812CE5" w:rsidRPr="00D01DDB" w:rsidRDefault="007425F7" w:rsidP="00324B33">
            <w:pPr>
              <w:cnfStyle w:val="000000000000" w:firstRow="0" w:lastRow="0" w:firstColumn="0" w:lastColumn="0" w:oddVBand="0" w:evenVBand="0" w:oddHBand="0" w:evenHBand="0" w:firstRowFirstColumn="0" w:firstRowLastColumn="0" w:lastRowFirstColumn="0" w:lastRowLastColumn="0"/>
              <w:rPr>
                <w:szCs w:val="22"/>
              </w:rPr>
            </w:pPr>
            <w:r w:rsidRPr="007425F7">
              <w:rPr>
                <w:szCs w:val="22"/>
              </w:rPr>
              <w:t>28th July 2023</w:t>
            </w:r>
          </w:p>
        </w:tc>
        <w:tc>
          <w:tcPr>
            <w:tcW w:w="1173" w:type="pct"/>
          </w:tcPr>
          <w:p w14:paraId="4CA93C5C" w14:textId="71624C25" w:rsidR="00812CE5" w:rsidRPr="00D01DDB" w:rsidRDefault="007425F7" w:rsidP="00324B33">
            <w:pPr>
              <w:cnfStyle w:val="000000000000" w:firstRow="0" w:lastRow="0" w:firstColumn="0" w:lastColumn="0" w:oddVBand="0" w:evenVBand="0" w:oddHBand="0" w:evenHBand="0" w:firstRowFirstColumn="0" w:firstRowLastColumn="0" w:lastRowFirstColumn="0" w:lastRowLastColumn="0"/>
              <w:rPr>
                <w:szCs w:val="22"/>
              </w:rPr>
            </w:pPr>
            <w:r w:rsidRPr="007425F7">
              <w:rPr>
                <w:szCs w:val="22"/>
              </w:rPr>
              <w:t>Under review</w:t>
            </w:r>
          </w:p>
        </w:tc>
        <w:tc>
          <w:tcPr>
            <w:tcW w:w="1795" w:type="pct"/>
          </w:tcPr>
          <w:p w14:paraId="134923B6" w14:textId="273A0DB3" w:rsidR="00812CE5" w:rsidRDefault="008702A7" w:rsidP="007425F7">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7425F7" w:rsidRPr="007425F7">
              <w:rPr>
                <w:szCs w:val="22"/>
              </w:rPr>
              <w:t>he treatment of</w:t>
            </w:r>
            <w:r w:rsidR="007425F7">
              <w:rPr>
                <w:szCs w:val="22"/>
              </w:rPr>
              <w:t xml:space="preserve"> </w:t>
            </w:r>
            <w:r w:rsidR="007425F7" w:rsidRPr="007425F7">
              <w:rPr>
                <w:szCs w:val="22"/>
              </w:rPr>
              <w:t>neovascular (wet) age</w:t>
            </w:r>
            <w:r w:rsidR="007425F7">
              <w:rPr>
                <w:szCs w:val="22"/>
              </w:rPr>
              <w:t>-</w:t>
            </w:r>
            <w:r w:rsidR="007425F7" w:rsidRPr="007425F7">
              <w:rPr>
                <w:szCs w:val="22"/>
              </w:rPr>
              <w:t>related</w:t>
            </w:r>
            <w:r w:rsidR="007425F7">
              <w:rPr>
                <w:szCs w:val="22"/>
              </w:rPr>
              <w:t xml:space="preserve"> </w:t>
            </w:r>
            <w:r w:rsidR="007425F7" w:rsidRPr="007425F7">
              <w:rPr>
                <w:szCs w:val="22"/>
              </w:rPr>
              <w:t>macular</w:t>
            </w:r>
            <w:r w:rsidR="007425F7">
              <w:rPr>
                <w:szCs w:val="22"/>
              </w:rPr>
              <w:t xml:space="preserve"> </w:t>
            </w:r>
            <w:proofErr w:type="gramStart"/>
            <w:r w:rsidR="007425F7" w:rsidRPr="007425F7">
              <w:rPr>
                <w:szCs w:val="22"/>
              </w:rPr>
              <w:t>degeneration(</w:t>
            </w:r>
            <w:proofErr w:type="gramEnd"/>
            <w:r w:rsidR="007425F7" w:rsidRPr="007425F7">
              <w:rPr>
                <w:szCs w:val="22"/>
              </w:rPr>
              <w:t>AMD)</w:t>
            </w:r>
          </w:p>
          <w:p w14:paraId="44FC7D02" w14:textId="376F45C5" w:rsidR="00C3771D" w:rsidRPr="00C3771D" w:rsidRDefault="008702A7" w:rsidP="00C3771D">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C3771D" w:rsidRPr="00C3771D">
              <w:rPr>
                <w:szCs w:val="22"/>
              </w:rPr>
              <w:t>he treatment of</w:t>
            </w:r>
            <w:r w:rsidR="00C3771D">
              <w:rPr>
                <w:szCs w:val="22"/>
              </w:rPr>
              <w:t xml:space="preserve"> </w:t>
            </w:r>
            <w:r w:rsidR="00C3771D" w:rsidRPr="00C3771D">
              <w:rPr>
                <w:szCs w:val="22"/>
              </w:rPr>
              <w:t>visual impairment due</w:t>
            </w:r>
            <w:r w:rsidR="00C3771D">
              <w:rPr>
                <w:szCs w:val="22"/>
              </w:rPr>
              <w:t xml:space="preserve"> </w:t>
            </w:r>
            <w:r w:rsidR="00C3771D" w:rsidRPr="00C3771D">
              <w:rPr>
                <w:szCs w:val="22"/>
              </w:rPr>
              <w:t xml:space="preserve">to macular </w:t>
            </w:r>
            <w:proofErr w:type="spellStart"/>
            <w:r w:rsidR="00C3771D" w:rsidRPr="00C3771D">
              <w:rPr>
                <w:szCs w:val="22"/>
              </w:rPr>
              <w:t>edema</w:t>
            </w:r>
            <w:proofErr w:type="spellEnd"/>
            <w:r w:rsidR="00C3771D">
              <w:rPr>
                <w:szCs w:val="22"/>
              </w:rPr>
              <w:t xml:space="preserve"> </w:t>
            </w:r>
            <w:r w:rsidR="00C3771D" w:rsidRPr="00C3771D">
              <w:rPr>
                <w:szCs w:val="22"/>
              </w:rPr>
              <w:t>secondary to central</w:t>
            </w:r>
            <w:r w:rsidR="00C3771D">
              <w:rPr>
                <w:szCs w:val="22"/>
              </w:rPr>
              <w:t xml:space="preserve"> </w:t>
            </w:r>
            <w:r w:rsidR="00C3771D" w:rsidRPr="00C3771D">
              <w:rPr>
                <w:szCs w:val="22"/>
              </w:rPr>
              <w:t>retinal vein occlusion</w:t>
            </w:r>
            <w:r w:rsidR="00C3771D">
              <w:rPr>
                <w:szCs w:val="22"/>
              </w:rPr>
              <w:t xml:space="preserve"> </w:t>
            </w:r>
            <w:r w:rsidR="00C3771D" w:rsidRPr="00C3771D">
              <w:rPr>
                <w:szCs w:val="22"/>
              </w:rPr>
              <w:t>(CRVO)</w:t>
            </w:r>
          </w:p>
          <w:p w14:paraId="5874CEBC" w14:textId="69342B1C" w:rsidR="00C3771D" w:rsidRPr="00C3771D" w:rsidRDefault="008702A7" w:rsidP="00C3771D">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C3771D" w:rsidRPr="00C3771D">
              <w:rPr>
                <w:szCs w:val="22"/>
              </w:rPr>
              <w:t>he treatment of</w:t>
            </w:r>
            <w:r w:rsidR="00C3771D">
              <w:rPr>
                <w:szCs w:val="22"/>
              </w:rPr>
              <w:t xml:space="preserve"> </w:t>
            </w:r>
            <w:r w:rsidR="00C3771D" w:rsidRPr="00C3771D">
              <w:rPr>
                <w:szCs w:val="22"/>
              </w:rPr>
              <w:t>visual impairment due</w:t>
            </w:r>
            <w:r w:rsidR="00C3771D">
              <w:rPr>
                <w:szCs w:val="22"/>
              </w:rPr>
              <w:t xml:space="preserve"> </w:t>
            </w:r>
            <w:r w:rsidR="00C3771D" w:rsidRPr="00C3771D">
              <w:rPr>
                <w:szCs w:val="22"/>
              </w:rPr>
              <w:t xml:space="preserve">to macular </w:t>
            </w:r>
            <w:proofErr w:type="spellStart"/>
            <w:r w:rsidR="00C3771D" w:rsidRPr="00C3771D">
              <w:rPr>
                <w:szCs w:val="22"/>
              </w:rPr>
              <w:t>edema</w:t>
            </w:r>
            <w:proofErr w:type="spellEnd"/>
            <w:r w:rsidR="00C3771D">
              <w:rPr>
                <w:szCs w:val="22"/>
              </w:rPr>
              <w:t xml:space="preserve"> </w:t>
            </w:r>
            <w:r w:rsidR="00C3771D" w:rsidRPr="00C3771D">
              <w:rPr>
                <w:szCs w:val="22"/>
              </w:rPr>
              <w:t>secondary to branch</w:t>
            </w:r>
            <w:r w:rsidR="00C3771D">
              <w:rPr>
                <w:szCs w:val="22"/>
              </w:rPr>
              <w:t xml:space="preserve"> </w:t>
            </w:r>
            <w:r w:rsidR="00C3771D" w:rsidRPr="00C3771D">
              <w:rPr>
                <w:szCs w:val="22"/>
              </w:rPr>
              <w:t>retinal vein occlusion</w:t>
            </w:r>
            <w:r w:rsidR="00C3771D">
              <w:rPr>
                <w:szCs w:val="22"/>
              </w:rPr>
              <w:t xml:space="preserve"> </w:t>
            </w:r>
            <w:r w:rsidR="00C3771D" w:rsidRPr="00C3771D">
              <w:rPr>
                <w:szCs w:val="22"/>
              </w:rPr>
              <w:t>(BRVO)</w:t>
            </w:r>
          </w:p>
          <w:p w14:paraId="28595052" w14:textId="2C8D0ED0" w:rsidR="00C3771D" w:rsidRPr="00C3771D" w:rsidRDefault="008702A7" w:rsidP="00C3771D">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C3771D" w:rsidRPr="00C3771D">
              <w:rPr>
                <w:szCs w:val="22"/>
              </w:rPr>
              <w:t>he treatment of</w:t>
            </w:r>
            <w:r w:rsidR="00C3771D">
              <w:rPr>
                <w:szCs w:val="22"/>
              </w:rPr>
              <w:t xml:space="preserve"> </w:t>
            </w:r>
            <w:r w:rsidR="00C3771D" w:rsidRPr="00C3771D">
              <w:rPr>
                <w:szCs w:val="22"/>
              </w:rPr>
              <w:t>diabetic macular</w:t>
            </w:r>
            <w:r w:rsidR="00C3771D">
              <w:rPr>
                <w:szCs w:val="22"/>
              </w:rPr>
              <w:t xml:space="preserve"> </w:t>
            </w:r>
            <w:proofErr w:type="spellStart"/>
            <w:r w:rsidR="00C3771D" w:rsidRPr="00C3771D">
              <w:rPr>
                <w:szCs w:val="22"/>
              </w:rPr>
              <w:t>edema</w:t>
            </w:r>
            <w:proofErr w:type="spellEnd"/>
            <w:r w:rsidR="00C3771D" w:rsidRPr="00C3771D">
              <w:rPr>
                <w:szCs w:val="22"/>
              </w:rPr>
              <w:t xml:space="preserve"> (DME)</w:t>
            </w:r>
          </w:p>
          <w:p w14:paraId="137D7ED9" w14:textId="3D1AEBD4" w:rsidR="007425F7" w:rsidRPr="00D01DDB" w:rsidRDefault="008702A7" w:rsidP="0000101D">
            <w:pPr>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C3771D" w:rsidRPr="00C3771D">
              <w:rPr>
                <w:szCs w:val="22"/>
              </w:rPr>
              <w:t>he treatment of</w:t>
            </w:r>
            <w:r w:rsidR="00C3771D">
              <w:rPr>
                <w:szCs w:val="22"/>
              </w:rPr>
              <w:t xml:space="preserve"> </w:t>
            </w:r>
            <w:r w:rsidR="00C3771D" w:rsidRPr="00C3771D">
              <w:rPr>
                <w:szCs w:val="22"/>
              </w:rPr>
              <w:t>myopic choroidal</w:t>
            </w:r>
            <w:r w:rsidR="00C3771D">
              <w:rPr>
                <w:szCs w:val="22"/>
              </w:rPr>
              <w:t xml:space="preserve"> </w:t>
            </w:r>
            <w:r w:rsidR="00C3771D" w:rsidRPr="00C3771D">
              <w:rPr>
                <w:szCs w:val="22"/>
              </w:rPr>
              <w:t>neovascularization</w:t>
            </w:r>
            <w:r w:rsidR="00C3771D">
              <w:rPr>
                <w:szCs w:val="22"/>
              </w:rPr>
              <w:t xml:space="preserve"> </w:t>
            </w:r>
            <w:r w:rsidR="00C3771D" w:rsidRPr="00C3771D">
              <w:rPr>
                <w:szCs w:val="22"/>
              </w:rPr>
              <w:t>(myopic CNV)</w:t>
            </w:r>
          </w:p>
        </w:tc>
      </w:tr>
      <w:tr w:rsidR="00812CE5" w:rsidRPr="00D01DDB" w14:paraId="302475E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9A868BD" w14:textId="43C08F63" w:rsidR="000469B3" w:rsidRPr="000469B3" w:rsidRDefault="007C161E" w:rsidP="003C7895">
            <w:pPr>
              <w:rPr>
                <w:szCs w:val="22"/>
              </w:rPr>
            </w:pPr>
            <w:r w:rsidRPr="007C161E">
              <w:rPr>
                <w:szCs w:val="22"/>
              </w:rPr>
              <w:t>European</w:t>
            </w:r>
            <w:r>
              <w:rPr>
                <w:szCs w:val="22"/>
              </w:rPr>
              <w:t xml:space="preserve"> </w:t>
            </w:r>
            <w:r w:rsidRPr="007C161E">
              <w:rPr>
                <w:szCs w:val="22"/>
              </w:rPr>
              <w:t>Union</w:t>
            </w:r>
            <w:r>
              <w:rPr>
                <w:szCs w:val="22"/>
              </w:rPr>
              <w:t xml:space="preserve"> </w:t>
            </w:r>
            <w:r w:rsidRPr="007C161E">
              <w:rPr>
                <w:szCs w:val="22"/>
              </w:rPr>
              <w:t>(EU)</w:t>
            </w:r>
          </w:p>
        </w:tc>
        <w:tc>
          <w:tcPr>
            <w:tcW w:w="1018" w:type="pct"/>
          </w:tcPr>
          <w:p w14:paraId="3CC6EA16" w14:textId="49F1D067" w:rsidR="00812CE5" w:rsidRPr="00D01DDB" w:rsidRDefault="007C161E" w:rsidP="007C161E">
            <w:pPr>
              <w:cnfStyle w:val="000000000000" w:firstRow="0" w:lastRow="0" w:firstColumn="0" w:lastColumn="0" w:oddVBand="0" w:evenVBand="0" w:oddHBand="0" w:evenHBand="0" w:firstRowFirstColumn="0" w:firstRowLastColumn="0" w:lastRowFirstColumn="0" w:lastRowLastColumn="0"/>
              <w:rPr>
                <w:szCs w:val="22"/>
              </w:rPr>
            </w:pPr>
            <w:r w:rsidRPr="007C161E">
              <w:rPr>
                <w:szCs w:val="22"/>
              </w:rPr>
              <w:t>23rd November</w:t>
            </w:r>
            <w:r>
              <w:rPr>
                <w:szCs w:val="22"/>
              </w:rPr>
              <w:t xml:space="preserve"> </w:t>
            </w:r>
            <w:r w:rsidRPr="007C161E">
              <w:rPr>
                <w:szCs w:val="22"/>
              </w:rPr>
              <w:t>2023</w:t>
            </w:r>
          </w:p>
        </w:tc>
        <w:tc>
          <w:tcPr>
            <w:tcW w:w="1173" w:type="pct"/>
          </w:tcPr>
          <w:p w14:paraId="360F1626" w14:textId="3F498F9D" w:rsidR="00812CE5" w:rsidRPr="00BB5F37" w:rsidRDefault="007C161E" w:rsidP="00324B33">
            <w:pPr>
              <w:cnfStyle w:val="000000000000" w:firstRow="0" w:lastRow="0" w:firstColumn="0" w:lastColumn="0" w:oddVBand="0" w:evenVBand="0" w:oddHBand="0" w:evenHBand="0" w:firstRowFirstColumn="0" w:firstRowLastColumn="0" w:lastRowFirstColumn="0" w:lastRowLastColumn="0"/>
              <w:rPr>
                <w:rFonts w:eastAsiaTheme="minorEastAsia"/>
                <w:szCs w:val="22"/>
                <w:lang w:eastAsia="ko-KR"/>
              </w:rPr>
            </w:pPr>
            <w:r w:rsidRPr="007C161E">
              <w:rPr>
                <w:szCs w:val="22"/>
              </w:rPr>
              <w:t>Under review</w:t>
            </w:r>
          </w:p>
        </w:tc>
        <w:tc>
          <w:tcPr>
            <w:tcW w:w="1795" w:type="pct"/>
          </w:tcPr>
          <w:p w14:paraId="733ED843" w14:textId="7D0FA7F5" w:rsidR="008702A7" w:rsidRPr="008702A7" w:rsidRDefault="008702A7" w:rsidP="008702A7">
            <w:pPr>
              <w:cnfStyle w:val="000000000000" w:firstRow="0" w:lastRow="0" w:firstColumn="0" w:lastColumn="0" w:oddVBand="0" w:evenVBand="0" w:oddHBand="0" w:evenHBand="0" w:firstRowFirstColumn="0" w:firstRowLastColumn="0" w:lastRowFirstColumn="0" w:lastRowLastColumn="0"/>
              <w:rPr>
                <w:szCs w:val="22"/>
              </w:rPr>
            </w:pPr>
            <w:r>
              <w:rPr>
                <w:szCs w:val="22"/>
              </w:rPr>
              <w:t>N</w:t>
            </w:r>
            <w:r w:rsidRPr="008702A7">
              <w:rPr>
                <w:szCs w:val="22"/>
              </w:rPr>
              <w:t>eovascular (wet)</w:t>
            </w:r>
            <w:r>
              <w:rPr>
                <w:szCs w:val="22"/>
              </w:rPr>
              <w:t xml:space="preserve"> </w:t>
            </w:r>
            <w:r w:rsidRPr="008702A7">
              <w:rPr>
                <w:szCs w:val="22"/>
              </w:rPr>
              <w:t>age-related macular</w:t>
            </w:r>
            <w:r>
              <w:rPr>
                <w:szCs w:val="22"/>
              </w:rPr>
              <w:t xml:space="preserve"> </w:t>
            </w:r>
            <w:r w:rsidRPr="008702A7">
              <w:rPr>
                <w:szCs w:val="22"/>
              </w:rPr>
              <w:t>degeneration (AMD)</w:t>
            </w:r>
          </w:p>
          <w:p w14:paraId="0A321EE4" w14:textId="29702D92" w:rsidR="008702A7" w:rsidRPr="008702A7" w:rsidRDefault="008702A7" w:rsidP="008702A7">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8702A7">
              <w:rPr>
                <w:szCs w:val="22"/>
              </w:rPr>
              <w:t>isual impairment</w:t>
            </w:r>
            <w:r>
              <w:rPr>
                <w:szCs w:val="22"/>
              </w:rPr>
              <w:t xml:space="preserve"> </w:t>
            </w:r>
            <w:r w:rsidRPr="008702A7">
              <w:rPr>
                <w:szCs w:val="22"/>
              </w:rPr>
              <w:t>due to macular oedema</w:t>
            </w:r>
            <w:r>
              <w:rPr>
                <w:szCs w:val="22"/>
              </w:rPr>
              <w:t xml:space="preserve"> </w:t>
            </w:r>
            <w:r w:rsidRPr="008702A7">
              <w:rPr>
                <w:szCs w:val="22"/>
              </w:rPr>
              <w:t>secondary to retinal</w:t>
            </w:r>
            <w:r>
              <w:rPr>
                <w:szCs w:val="22"/>
              </w:rPr>
              <w:t xml:space="preserve"> </w:t>
            </w:r>
            <w:r w:rsidRPr="008702A7">
              <w:rPr>
                <w:szCs w:val="22"/>
              </w:rPr>
              <w:t>vein occlusion (branch</w:t>
            </w:r>
            <w:r>
              <w:rPr>
                <w:szCs w:val="22"/>
              </w:rPr>
              <w:t xml:space="preserve"> </w:t>
            </w:r>
            <w:r w:rsidRPr="008702A7">
              <w:rPr>
                <w:szCs w:val="22"/>
              </w:rPr>
              <w:t>RVO or central RVO)</w:t>
            </w:r>
          </w:p>
          <w:p w14:paraId="70563376" w14:textId="4BFD2FE0" w:rsidR="008702A7" w:rsidRPr="00002B0A" w:rsidRDefault="008702A7" w:rsidP="008702A7">
            <w:pPr>
              <w:cnfStyle w:val="000000000000" w:firstRow="0" w:lastRow="0" w:firstColumn="0" w:lastColumn="0" w:oddVBand="0" w:evenVBand="0" w:oddHBand="0" w:evenHBand="0" w:firstRowFirstColumn="0" w:firstRowLastColumn="0" w:lastRowFirstColumn="0" w:lastRowLastColumn="0"/>
              <w:rPr>
                <w:szCs w:val="22"/>
                <w:lang w:val="pt-BR"/>
              </w:rPr>
            </w:pPr>
            <w:r w:rsidRPr="00002B0A">
              <w:rPr>
                <w:szCs w:val="22"/>
                <w:lang w:val="pt-BR"/>
              </w:rPr>
              <w:t xml:space="preserve">Visual impairment due to diabetic macular oedema (DME) </w:t>
            </w:r>
          </w:p>
          <w:p w14:paraId="7BD18691" w14:textId="327FDAF7" w:rsidR="00812CE5" w:rsidRPr="00D01DDB" w:rsidRDefault="008702A7" w:rsidP="008702A7">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8702A7">
              <w:rPr>
                <w:szCs w:val="22"/>
              </w:rPr>
              <w:t>isual impairment</w:t>
            </w:r>
            <w:r>
              <w:rPr>
                <w:szCs w:val="22"/>
              </w:rPr>
              <w:t xml:space="preserve"> </w:t>
            </w:r>
            <w:r w:rsidRPr="008702A7">
              <w:rPr>
                <w:szCs w:val="22"/>
              </w:rPr>
              <w:t>due to myopic</w:t>
            </w:r>
            <w:r>
              <w:rPr>
                <w:szCs w:val="22"/>
              </w:rPr>
              <w:t xml:space="preserve"> </w:t>
            </w:r>
            <w:r w:rsidRPr="008702A7">
              <w:rPr>
                <w:szCs w:val="22"/>
              </w:rPr>
              <w:t>choroidal</w:t>
            </w:r>
            <w:r>
              <w:rPr>
                <w:szCs w:val="22"/>
              </w:rPr>
              <w:t xml:space="preserve"> </w:t>
            </w:r>
            <w:r w:rsidRPr="008702A7">
              <w:rPr>
                <w:szCs w:val="22"/>
              </w:rPr>
              <w:t>neovascularisation</w:t>
            </w:r>
            <w:r>
              <w:rPr>
                <w:szCs w:val="22"/>
              </w:rPr>
              <w:t xml:space="preserve"> </w:t>
            </w:r>
            <w:r w:rsidRPr="008702A7">
              <w:rPr>
                <w:szCs w:val="22"/>
              </w:rPr>
              <w:t>(myopic CNV)</w:t>
            </w:r>
          </w:p>
        </w:tc>
      </w:tr>
    </w:tbl>
    <w:p w14:paraId="6D92589C" w14:textId="09786CEF" w:rsidR="00324B33" w:rsidRDefault="00324B33" w:rsidP="00324B33">
      <w:pPr>
        <w:pStyle w:val="Heading2"/>
      </w:pPr>
      <w:bookmarkStart w:id="29" w:name="_Toc504480011"/>
      <w:bookmarkStart w:id="30" w:name="_Toc103679293"/>
      <w:bookmarkStart w:id="31" w:name="_Toc213760480"/>
      <w:r>
        <w:lastRenderedPageBreak/>
        <w:t>Registration timeline</w:t>
      </w:r>
      <w:bookmarkEnd w:id="29"/>
      <w:bookmarkEnd w:id="30"/>
      <w:bookmarkEnd w:id="31"/>
    </w:p>
    <w:p w14:paraId="225E3D87" w14:textId="7D390B6E" w:rsidR="00324B33" w:rsidRPr="00BD5DBD" w:rsidRDefault="0000101D" w:rsidP="00324B33">
      <w:pPr>
        <w:rPr>
          <w:szCs w:val="22"/>
        </w:rPr>
      </w:pPr>
      <w:r>
        <w:rPr>
          <w:szCs w:val="22"/>
        </w:rPr>
        <w:t>Table 2</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44628C5F" w14:textId="2685BFCE" w:rsidR="00324B33" w:rsidRDefault="00324B33" w:rsidP="002C1232">
      <w:pPr>
        <w:pStyle w:val="TableTitle"/>
      </w:pPr>
      <w:r w:rsidRPr="002C1232">
        <w:t xml:space="preserve">Table </w:t>
      </w:r>
      <w:r w:rsidR="008B1CB5">
        <w:fldChar w:fldCharType="begin"/>
      </w:r>
      <w:r w:rsidR="008B1CB5">
        <w:instrText xml:space="preserve"> SEQ Table \* ARABIC </w:instrText>
      </w:r>
      <w:r w:rsidR="008B1CB5">
        <w:fldChar w:fldCharType="separate"/>
      </w:r>
      <w:r w:rsidR="008B1CB5" w:rsidRPr="002C1232">
        <w:t>2</w:t>
      </w:r>
      <w:r w:rsidR="008B1CB5">
        <w:fldChar w:fldCharType="end"/>
      </w:r>
      <w:r w:rsidRPr="002C1232">
        <w:t xml:space="preserve">: Timeline for </w:t>
      </w:r>
      <w:r w:rsidR="00203706">
        <w:t>Eydenzelt</w:t>
      </w:r>
      <w:r w:rsidR="000469B3">
        <w:t xml:space="preserve"> submission</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3C78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3C7895">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5F9936ED" w:rsidR="00324B33" w:rsidRPr="00D01DDB" w:rsidRDefault="004A7F1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2024</w:t>
            </w:r>
          </w:p>
        </w:tc>
      </w:tr>
      <w:tr w:rsidR="00803926" w:rsidRPr="00D01DDB" w14:paraId="16D13F79" w14:textId="77777777" w:rsidTr="003C7895">
        <w:tc>
          <w:tcPr>
            <w:cnfStyle w:val="001000000000" w:firstRow="0" w:lastRow="0" w:firstColumn="1" w:lastColumn="0" w:oddVBand="0" w:evenVBand="0" w:oddHBand="0" w:evenHBand="0" w:firstRowFirstColumn="0" w:firstRowLastColumn="0" w:lastRowFirstColumn="0" w:lastRowLastColumn="0"/>
            <w:tcW w:w="6232" w:type="dxa"/>
          </w:tcPr>
          <w:p w14:paraId="6858B45A" w14:textId="2617AA7E" w:rsidR="00803926" w:rsidRPr="00E679D1" w:rsidDel="00C62B1C" w:rsidRDefault="00803926" w:rsidP="00E679D1">
            <w:r>
              <w:t>Evaluation completed</w:t>
            </w:r>
          </w:p>
        </w:tc>
        <w:tc>
          <w:tcPr>
            <w:tcW w:w="2410" w:type="dxa"/>
          </w:tcPr>
          <w:p w14:paraId="2E0BD403" w14:textId="080B8DCA" w:rsidR="00803926" w:rsidRPr="00D01DDB" w:rsidRDefault="000469B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29 November 2024</w:t>
            </w:r>
          </w:p>
        </w:tc>
      </w:tr>
      <w:tr w:rsidR="00324B33" w:rsidRPr="00D01DDB" w14:paraId="6E5D32FE" w14:textId="77777777" w:rsidTr="003C7895">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56B83D96" w:rsidR="00324B33" w:rsidRPr="00D01DDB" w:rsidRDefault="000A6EC2" w:rsidP="00324B33">
            <w:pPr>
              <w:cnfStyle w:val="000000000000" w:firstRow="0" w:lastRow="0" w:firstColumn="0" w:lastColumn="0" w:oddVBand="0" w:evenVBand="0" w:oddHBand="0" w:evenHBand="0" w:firstRowFirstColumn="0" w:firstRowLastColumn="0" w:lastRowFirstColumn="0" w:lastRowLastColumn="0"/>
              <w:rPr>
                <w:szCs w:val="22"/>
              </w:rPr>
            </w:pPr>
            <w:r w:rsidRPr="000A6EC2">
              <w:rPr>
                <w:szCs w:val="22"/>
              </w:rPr>
              <w:t>24 March 2025</w:t>
            </w:r>
          </w:p>
        </w:tc>
      </w:tr>
      <w:tr w:rsidR="00324B33" w:rsidRPr="00D01DDB" w14:paraId="6DDCDDA4" w14:textId="77777777" w:rsidTr="003C7895">
        <w:tc>
          <w:tcPr>
            <w:cnfStyle w:val="001000000000" w:firstRow="0" w:lastRow="0" w:firstColumn="1" w:lastColumn="0" w:oddVBand="0" w:evenVBand="0" w:oddHBand="0" w:evenHBand="0" w:firstRowFirstColumn="0" w:firstRowLastColumn="0" w:lastRowFirstColumn="0" w:lastRowLastColumn="0"/>
            <w:tcW w:w="6232" w:type="dxa"/>
          </w:tcPr>
          <w:p w14:paraId="192FD19D" w14:textId="55871674" w:rsidR="00324B33" w:rsidRPr="00E679D1" w:rsidRDefault="0013132F" w:rsidP="007311B9">
            <w:pPr>
              <w:ind w:left="0"/>
            </w:pPr>
            <w:r w:rsidRPr="00E679D1">
              <w:t xml:space="preserve"> </w:t>
            </w:r>
            <w:r w:rsidR="00E55229">
              <w:t xml:space="preserve"> </w:t>
            </w:r>
            <w:r w:rsidR="00C00844">
              <w:t>R</w:t>
            </w:r>
            <w:r w:rsidRPr="00E679D1">
              <w:t xml:space="preserve">egistration </w:t>
            </w:r>
            <w:r w:rsidR="005C4B46" w:rsidRPr="00E679D1">
              <w:t xml:space="preserve">in </w:t>
            </w:r>
            <w:r w:rsidRPr="00E679D1">
              <w:t>the ARTG completed</w:t>
            </w:r>
          </w:p>
        </w:tc>
        <w:tc>
          <w:tcPr>
            <w:tcW w:w="2410" w:type="dxa"/>
          </w:tcPr>
          <w:p w14:paraId="5A8923FD" w14:textId="7AEC8321" w:rsidR="00324B33" w:rsidRPr="00D01DDB" w:rsidRDefault="00CB0E3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w:t>
            </w:r>
            <w:r w:rsidRPr="00CB0E30">
              <w:rPr>
                <w:szCs w:val="22"/>
              </w:rPr>
              <w:t xml:space="preserve"> March 2025</w:t>
            </w:r>
          </w:p>
        </w:tc>
      </w:tr>
      <w:tr w:rsidR="00324B33" w:rsidRPr="00D01DDB" w14:paraId="56D922E2" w14:textId="77777777" w:rsidTr="003C7895">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01FE7DD6" w:rsidR="00324B33" w:rsidRPr="00D01DDB" w:rsidRDefault="00422FA2" w:rsidP="00324B33">
            <w:pPr>
              <w:cnfStyle w:val="000000000000" w:firstRow="0" w:lastRow="0" w:firstColumn="0" w:lastColumn="0" w:oddVBand="0" w:evenVBand="0" w:oddHBand="0" w:evenHBand="0" w:firstRowFirstColumn="0" w:firstRowLastColumn="0" w:lastRowFirstColumn="0" w:lastRowLastColumn="0"/>
              <w:rPr>
                <w:szCs w:val="22"/>
              </w:rPr>
            </w:pPr>
            <w:r w:rsidRPr="00422FA2">
              <w:rPr>
                <w:szCs w:val="22"/>
              </w:rPr>
              <w:t>292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2" w:name="_Toc213760481"/>
      <w:bookmarkStart w:id="33" w:name="_Toc196046504"/>
      <w:bookmarkStart w:id="34" w:name="_Toc247691527"/>
      <w:bookmarkStart w:id="35" w:name="_Toc314842510"/>
      <w:bookmarkStart w:id="36" w:name="_Toc103679294"/>
      <w:r>
        <w:t xml:space="preserve">Assessment </w:t>
      </w:r>
      <w:r w:rsidR="00C22214" w:rsidRPr="00006FAB">
        <w:t>overview</w:t>
      </w:r>
      <w:bookmarkEnd w:id="32"/>
      <w:r w:rsidR="00C22214" w:rsidRPr="00006FAB">
        <w:t xml:space="preserve"> </w:t>
      </w:r>
      <w:bookmarkEnd w:id="33"/>
      <w:bookmarkEnd w:id="34"/>
      <w:bookmarkEnd w:id="35"/>
      <w:bookmarkEnd w:id="36"/>
    </w:p>
    <w:p w14:paraId="37F5A1C0" w14:textId="5D3D5FE0" w:rsidR="00C22214" w:rsidRDefault="00095C6A" w:rsidP="00C22214">
      <w:pPr>
        <w:pStyle w:val="Heading3"/>
      </w:pPr>
      <w:bookmarkStart w:id="37" w:name="_Toc247691528"/>
      <w:bookmarkStart w:id="38" w:name="_Toc314842511"/>
      <w:bookmarkStart w:id="39" w:name="_Toc103679295"/>
      <w:bookmarkStart w:id="40" w:name="_Toc213760482"/>
      <w:r>
        <w:t>Q</w:t>
      </w:r>
      <w:r w:rsidR="00C22214">
        <w:t>uality</w:t>
      </w:r>
      <w:bookmarkEnd w:id="37"/>
      <w:bookmarkEnd w:id="38"/>
      <w:bookmarkEnd w:id="39"/>
      <w:r w:rsidR="007E6443">
        <w:t xml:space="preserve"> evaluation</w:t>
      </w:r>
      <w:r>
        <w:t xml:space="preserve"> summary</w:t>
      </w:r>
      <w:bookmarkEnd w:id="40"/>
    </w:p>
    <w:p w14:paraId="513AD2A8" w14:textId="6E3E19DE" w:rsidR="00C34077" w:rsidRDefault="00D12D59" w:rsidP="00D12D59">
      <w:r w:rsidRPr="00D12D59">
        <w:t>Aflibercept is a recombinant fusion protein combining domains of human VEGFR-1 and VEGFR-2 fused to human IgG1 Fc, acting as a soluble decoy receptor inhibiting VEGF-A and placental growth factor</w:t>
      </w:r>
      <w:r w:rsidR="00386164">
        <w:t xml:space="preserve">. </w:t>
      </w:r>
      <w:r w:rsidR="00203706">
        <w:t>Eydenzelt</w:t>
      </w:r>
      <w:r w:rsidR="00386164" w:rsidRPr="00386164">
        <w:t xml:space="preserve"> contains aflibercept produced from a Chinese Hamster Ovary (CHO-K1) cell line, formulated with </w:t>
      </w:r>
      <w:r w:rsidR="00386164">
        <w:t xml:space="preserve">the </w:t>
      </w:r>
      <w:proofErr w:type="gramStart"/>
      <w:r w:rsidR="00386164" w:rsidRPr="00386164">
        <w:t>excipients</w:t>
      </w:r>
      <w:proofErr w:type="gramEnd"/>
      <w:r w:rsidR="00386164" w:rsidRPr="00386164">
        <w:t xml:space="preserve"> histidine, sodium chloride, trehalose</w:t>
      </w:r>
      <w:r w:rsidR="00386164">
        <w:t xml:space="preserve"> and</w:t>
      </w:r>
      <w:r w:rsidR="00386164" w:rsidRPr="00386164">
        <w:t xml:space="preserve"> polysorbate 20</w:t>
      </w:r>
      <w:r w:rsidR="00386164">
        <w:t xml:space="preserve">. </w:t>
      </w:r>
      <w:r w:rsidR="00E72C38" w:rsidRPr="00E72C38">
        <w:t xml:space="preserve">Two drug product presentations are manufactured: vials filled in Type I glass with filter needles, and silicon oil-free </w:t>
      </w:r>
      <w:proofErr w:type="spellStart"/>
      <w:r w:rsidR="00E72C38" w:rsidRPr="00E72C38">
        <w:t>cyclo</w:t>
      </w:r>
      <w:proofErr w:type="spellEnd"/>
      <w:r w:rsidR="00E72C38" w:rsidRPr="00E72C38">
        <w:t xml:space="preserve"> olefin polymer pre-filled syringes </w:t>
      </w:r>
      <w:r w:rsidR="00FC18A7">
        <w:t xml:space="preserve">(PFS) </w:t>
      </w:r>
      <w:r w:rsidR="00E72C38" w:rsidRPr="00E72C38">
        <w:t>with chlorinated butyl rubber stoppers</w:t>
      </w:r>
      <w:r w:rsidR="0004699A">
        <w:t xml:space="preserve">. </w:t>
      </w:r>
      <w:r w:rsidR="008E0418" w:rsidRPr="008E0418">
        <w:t>Compatibility studies confirmed no adverse impact on product quality</w:t>
      </w:r>
      <w:r w:rsidR="008E0418">
        <w:t xml:space="preserve">. </w:t>
      </w:r>
    </w:p>
    <w:p w14:paraId="6500BD52" w14:textId="56EEDF04" w:rsidR="00D12D59" w:rsidRDefault="0004699A" w:rsidP="00D12D59">
      <w:r w:rsidRPr="0004699A">
        <w:t>Manufacturing involve</w:t>
      </w:r>
      <w:r>
        <w:t>d</w:t>
      </w:r>
      <w:r w:rsidRPr="0004699A">
        <w:t xml:space="preserve"> </w:t>
      </w:r>
      <w:r>
        <w:t>p</w:t>
      </w:r>
      <w:r w:rsidRPr="0004699A">
        <w:t xml:space="preserve">rocesses with defined critical process parameters and validated in-process controls </w:t>
      </w:r>
      <w:r>
        <w:t>that</w:t>
      </w:r>
      <w:r w:rsidRPr="0004699A">
        <w:t xml:space="preserve"> ensure</w:t>
      </w:r>
      <w:r>
        <w:t>d</w:t>
      </w:r>
      <w:r w:rsidRPr="0004699A">
        <w:t xml:space="preserve"> consistent quality. Process validation included multiple consecutive commercial-scale batches demonstrating robustness and impurity clearance, including residual host cell proteins, DNA, and endotoxins</w:t>
      </w:r>
      <w:r>
        <w:t xml:space="preserve">. </w:t>
      </w:r>
      <w:r w:rsidR="003C463B" w:rsidRPr="003C463B">
        <w:t>Control strategies define</w:t>
      </w:r>
      <w:r w:rsidR="003C463B">
        <w:t>d</w:t>
      </w:r>
      <w:r w:rsidR="003C463B" w:rsidRPr="003C463B">
        <w:t xml:space="preserve"> critical quality attributes </w:t>
      </w:r>
      <w:r w:rsidR="003C463B">
        <w:t>that</w:t>
      </w:r>
      <w:r w:rsidR="003C463B" w:rsidRPr="003C463B">
        <w:t xml:space="preserve"> includ</w:t>
      </w:r>
      <w:r w:rsidR="003C463B">
        <w:t>ed</w:t>
      </w:r>
      <w:r w:rsidR="003C463B" w:rsidRPr="003C463B">
        <w:t xml:space="preserve"> aggregation, glycosylation, charge variants, potency, and residual impurities. Specifications for drug substance and product include</w:t>
      </w:r>
      <w:r w:rsidR="003C463B">
        <w:t>d</w:t>
      </w:r>
      <w:r w:rsidR="003C463B" w:rsidRPr="003C463B">
        <w:t xml:space="preserve"> tests for identity, purity, biological activity, and stability, validated per ICH Q2 guidelines.</w:t>
      </w:r>
      <w:r w:rsidR="00454872">
        <w:rPr>
          <w:rStyle w:val="FootnoteReference"/>
        </w:rPr>
        <w:footnoteReference w:id="2"/>
      </w:r>
      <w:r w:rsidR="003C463B" w:rsidRPr="003C463B">
        <w:t xml:space="preserve"> </w:t>
      </w:r>
    </w:p>
    <w:p w14:paraId="2B7DACEE" w14:textId="4AD64527" w:rsidR="00252519" w:rsidRDefault="00252519" w:rsidP="00D12D59">
      <w:r w:rsidRPr="00252519">
        <w:t>Drug substance stability supports a proposed 36-month shelf life at -75±15°C</w:t>
      </w:r>
      <w:r w:rsidR="00615056">
        <w:t xml:space="preserve">. </w:t>
      </w:r>
      <w:r w:rsidR="00615056" w:rsidRPr="00615056">
        <w:t>Drug product stability studies for vial and PFS presentations include long-term, accelerated, stressed, and photostability tests</w:t>
      </w:r>
      <w:r w:rsidR="001350BE">
        <w:t xml:space="preserve"> and support a shelf life of 12 months </w:t>
      </w:r>
      <w:r w:rsidR="007A36EE">
        <w:t>at 2</w:t>
      </w:r>
      <w:r w:rsidR="007A36EE" w:rsidRPr="007A36EE">
        <w:t>-</w:t>
      </w:r>
      <w:r w:rsidR="007A36EE">
        <w:t>8</w:t>
      </w:r>
      <w:r w:rsidR="007A36EE" w:rsidRPr="007A36EE">
        <w:t>°C</w:t>
      </w:r>
      <w:r w:rsidR="007A36EE">
        <w:t xml:space="preserve">. </w:t>
      </w:r>
    </w:p>
    <w:p w14:paraId="4796F75C" w14:textId="4397B80D" w:rsidR="00C22085" w:rsidRDefault="00C22085" w:rsidP="00C22085">
      <w:r>
        <w:t xml:space="preserve">Extensive analytical characterization comparing </w:t>
      </w:r>
      <w:r w:rsidR="00203706">
        <w:t>Eydenzelt</w:t>
      </w:r>
      <w:r w:rsidRPr="00C22085">
        <w:t xml:space="preserve"> </w:t>
      </w:r>
      <w:r>
        <w:t xml:space="preserve">and EU-approved </w:t>
      </w:r>
      <w:r w:rsidR="0000101D">
        <w:t>Eylea</w:t>
      </w:r>
      <w:r>
        <w:t xml:space="preserve"> demonstrated high similarity in primary structure, post-translational modifications, higher order structure, and biological activity. Minor differences were observed in charge variants, glycation, and glycosylation patterns, but these are </w:t>
      </w:r>
      <w:r w:rsidR="00893BEC">
        <w:t>reconciled</w:t>
      </w:r>
      <w:r>
        <w:t xml:space="preserve"> due to the mechanism of action and in vitro functional equivalence.</w:t>
      </w:r>
    </w:p>
    <w:p w14:paraId="796DF762" w14:textId="2CB0DF68" w:rsidR="00C22085" w:rsidRDefault="00C22085" w:rsidP="00C22085">
      <w:r>
        <w:lastRenderedPageBreak/>
        <w:t xml:space="preserve">Functional assays confirmed comparable VEGF binding and blockade across isoforms, </w:t>
      </w:r>
      <w:proofErr w:type="spellStart"/>
      <w:r>
        <w:t>PlGF</w:t>
      </w:r>
      <w:proofErr w:type="spellEnd"/>
      <w:r>
        <w:t xml:space="preserve"> binding, and Galectin-1 interactions. Differences in Fc receptor binding affinities were attributed to glycan variations but considered not to affect therapeutic activity. </w:t>
      </w:r>
      <w:r w:rsidR="00203706">
        <w:t>Eydenzelt</w:t>
      </w:r>
      <w:r w:rsidR="006F4E46" w:rsidRPr="006F4E46">
        <w:t xml:space="preserve"> </w:t>
      </w:r>
      <w:r>
        <w:t xml:space="preserve">exhibited slightly higher monomer content and lower high molecular weight species and impurities than </w:t>
      </w:r>
      <w:r w:rsidR="0000101D">
        <w:t>Eylea</w:t>
      </w:r>
      <w:r>
        <w:t xml:space="preserve">, </w:t>
      </w:r>
      <w:r w:rsidR="006F4E46">
        <w:t xml:space="preserve">which is </w:t>
      </w:r>
      <w:r>
        <w:t>considered a favo</w:t>
      </w:r>
      <w:r w:rsidR="006F4E46">
        <w:t>u</w:t>
      </w:r>
      <w:r>
        <w:t>rable attribute.</w:t>
      </w:r>
    </w:p>
    <w:p w14:paraId="4314970C" w14:textId="7ACA6EAF" w:rsidR="005B7CD3" w:rsidRDefault="00566AFA" w:rsidP="00C22085">
      <w:r w:rsidRPr="00566AFA">
        <w:t>Product names and labe</w:t>
      </w:r>
      <w:r w:rsidR="008F2B92">
        <w:t>l</w:t>
      </w:r>
      <w:r w:rsidRPr="00566AFA">
        <w:t>ling for vial and PFS presentations</w:t>
      </w:r>
      <w:r>
        <w:t xml:space="preserve"> conformed </w:t>
      </w:r>
      <w:r w:rsidR="008F2B92">
        <w:t xml:space="preserve">with </w:t>
      </w:r>
      <w:r w:rsidR="00C90D53" w:rsidRPr="00C90D53">
        <w:t>Therapeutic Goods Order 91.</w:t>
      </w:r>
    </w:p>
    <w:p w14:paraId="61A6FF56" w14:textId="51D001A3" w:rsidR="005E2453" w:rsidRPr="00D12D59" w:rsidRDefault="005E2453" w:rsidP="00C22085">
      <w:r w:rsidRPr="005E2453">
        <w:t xml:space="preserve">There were no objections to </w:t>
      </w:r>
      <w:r>
        <w:t xml:space="preserve">the </w:t>
      </w:r>
      <w:r w:rsidRPr="005E2453">
        <w:t xml:space="preserve">registration </w:t>
      </w:r>
      <w:r>
        <w:t xml:space="preserve">of </w:t>
      </w:r>
      <w:r w:rsidR="00203706">
        <w:t>Eydenzelt</w:t>
      </w:r>
      <w:r w:rsidRPr="005E2453">
        <w:t xml:space="preserve"> from a quality perspective.</w:t>
      </w:r>
    </w:p>
    <w:p w14:paraId="2BE90AAE" w14:textId="35796FD3" w:rsidR="00C22214" w:rsidRDefault="00C22214" w:rsidP="00C22214">
      <w:pPr>
        <w:pStyle w:val="Heading3"/>
      </w:pPr>
      <w:bookmarkStart w:id="41" w:name="_Toc314842512"/>
      <w:bookmarkStart w:id="42" w:name="_Toc103679296"/>
      <w:bookmarkStart w:id="43" w:name="_Toc213760483"/>
      <w:r>
        <w:t>Nonclinical</w:t>
      </w:r>
      <w:bookmarkEnd w:id="41"/>
      <w:bookmarkEnd w:id="42"/>
      <w:r w:rsidR="007E6443">
        <w:t xml:space="preserve"> evaluation</w:t>
      </w:r>
      <w:r w:rsidR="00095C6A">
        <w:t xml:space="preserve"> summary</w:t>
      </w:r>
      <w:bookmarkEnd w:id="43"/>
    </w:p>
    <w:p w14:paraId="020C39B9" w14:textId="637A36C6" w:rsidR="00392A28" w:rsidRDefault="00392A28" w:rsidP="00392A28">
      <w:r>
        <w:t xml:space="preserve">The nonclinical dossier contained a comparative repeat-dose toxicity study following </w:t>
      </w:r>
      <w:r w:rsidR="0000101D">
        <w:t>intravitreal (</w:t>
      </w:r>
      <w:r>
        <w:t>IVT</w:t>
      </w:r>
      <w:r w:rsidR="0000101D">
        <w:t>)</w:t>
      </w:r>
      <w:r>
        <w:t xml:space="preserve"> dosing. The scope of the nonclinical program is adequate under the relevant EU guideline. These studies were conducted using EU-sourced </w:t>
      </w:r>
      <w:r w:rsidR="0000101D">
        <w:t>Eylea</w:t>
      </w:r>
      <w:r>
        <w:t xml:space="preserve"> as the reference product.</w:t>
      </w:r>
    </w:p>
    <w:p w14:paraId="2A0F2E33" w14:textId="69AE7788" w:rsidR="00392A28" w:rsidRDefault="00392A28" w:rsidP="00392A28">
      <w:r>
        <w:t xml:space="preserve">No significant differences between toxicity profiles of </w:t>
      </w:r>
      <w:r w:rsidR="00203706">
        <w:t>Eydenzelt</w:t>
      </w:r>
      <w:r>
        <w:t xml:space="preserve"> and </w:t>
      </w:r>
      <w:r w:rsidR="0000101D">
        <w:t>Eylea</w:t>
      </w:r>
      <w:r>
        <w:t xml:space="preserve"> were observed in the comparative repeat-dose toxicity study in monkeys. Notable findings in the study comprised ophthalmic inflammation, with slightly less inflammation with </w:t>
      </w:r>
      <w:r w:rsidR="00203706">
        <w:t>Eydenzelt</w:t>
      </w:r>
      <w:r>
        <w:t xml:space="preserve"> cf. </w:t>
      </w:r>
      <w:r w:rsidR="0000101D">
        <w:t>Eylea</w:t>
      </w:r>
      <w:r>
        <w:t xml:space="preserve">. Systemic and local aflibercept exposures were comparable following treatment with </w:t>
      </w:r>
      <w:r w:rsidR="00203706">
        <w:t>Eydenzelt</w:t>
      </w:r>
      <w:r>
        <w:t xml:space="preserve"> and </w:t>
      </w:r>
      <w:r w:rsidR="0000101D">
        <w:t>Eylea</w:t>
      </w:r>
      <w:r>
        <w:t xml:space="preserve">. In the vitreous </w:t>
      </w:r>
      <w:proofErr w:type="spellStart"/>
      <w:r>
        <w:t>humor</w:t>
      </w:r>
      <w:proofErr w:type="spellEnd"/>
      <w:r>
        <w:t xml:space="preserve">, higher aflibercept concentrations were observed in males cf. females. Due to high interindividual variability in vitreous </w:t>
      </w:r>
      <w:proofErr w:type="spellStart"/>
      <w:r>
        <w:t>humor</w:t>
      </w:r>
      <w:proofErr w:type="spellEnd"/>
      <w:r>
        <w:t xml:space="preserve"> concentrations, any difference between </w:t>
      </w:r>
      <w:r w:rsidR="00203706">
        <w:t>Eydenzelt</w:t>
      </w:r>
      <w:r>
        <w:t xml:space="preserve"> and </w:t>
      </w:r>
      <w:r w:rsidR="0000101D">
        <w:t>Eylea</w:t>
      </w:r>
      <w:r>
        <w:t xml:space="preserve"> was not obvious.</w:t>
      </w:r>
    </w:p>
    <w:p w14:paraId="236C12A7" w14:textId="5F733AFB" w:rsidR="00392A28" w:rsidRDefault="00392A28" w:rsidP="00392A28">
      <w:r>
        <w:t xml:space="preserve">The Sponsor confirmed that the </w:t>
      </w:r>
      <w:r w:rsidR="00203706">
        <w:t>Eydenzelt</w:t>
      </w:r>
      <w:r>
        <w:t xml:space="preserve"> formulation has remained identical during manufacturing process development. While manufacturing Process A was used for the DS used in the nonclinical studies, Process C was optimised for proposed commercialisation. The Sponsor stated that the changes during the manufacturing development process did not adversely impact product quality. Although differences in the batches from different processes d</w:t>
      </w:r>
      <w:r w:rsidR="009645EE">
        <w:t>id</w:t>
      </w:r>
      <w:r>
        <w:t xml:space="preserve"> not affect the quality of </w:t>
      </w:r>
      <w:r w:rsidR="00203706">
        <w:t>Eydenzelt</w:t>
      </w:r>
      <w:r>
        <w:t xml:space="preserve">, its impact on the pharmacokinetics and safety </w:t>
      </w:r>
      <w:r w:rsidR="009645EE">
        <w:t>could not</w:t>
      </w:r>
      <w:r>
        <w:t xml:space="preserve"> be determined. Additionally, toxicity studies in non-human primates </w:t>
      </w:r>
      <w:r w:rsidR="009645EE">
        <w:t>had</w:t>
      </w:r>
      <w:r>
        <w:t xml:space="preserve"> limited relevance due to the small group sizes and high interindividual variability. Therefore, comparability </w:t>
      </w:r>
      <w:proofErr w:type="gramStart"/>
      <w:r>
        <w:t>in regard to</w:t>
      </w:r>
      <w:proofErr w:type="gramEnd"/>
      <w:r>
        <w:t xml:space="preserve"> safety between the proposed biosimilar product, </w:t>
      </w:r>
      <w:r w:rsidR="00203706">
        <w:t>Eydenzelt</w:t>
      </w:r>
      <w:r>
        <w:t xml:space="preserve"> and the reference product, </w:t>
      </w:r>
      <w:r w:rsidR="0000101D">
        <w:t>Eylea</w:t>
      </w:r>
      <w:r>
        <w:t xml:space="preserve"> </w:t>
      </w:r>
      <w:r w:rsidR="00EB4046">
        <w:t>relied</w:t>
      </w:r>
      <w:r>
        <w:t xml:space="preserve"> solely on the clinical evaluation.</w:t>
      </w:r>
    </w:p>
    <w:p w14:paraId="344BA0C6" w14:textId="07E7DFBE" w:rsidR="00D5140B" w:rsidRDefault="00D5140B" w:rsidP="00392A28">
      <w:r w:rsidRPr="00D5140B">
        <w:t xml:space="preserve">The ability of the nonclinical studies to support comparability to Australian </w:t>
      </w:r>
      <w:r w:rsidR="0000101D">
        <w:t>Eylea</w:t>
      </w:r>
      <w:r w:rsidRPr="00D5140B">
        <w:t xml:space="preserve"> depend</w:t>
      </w:r>
      <w:r>
        <w:t>ed</w:t>
      </w:r>
      <w:r w:rsidRPr="00D5140B">
        <w:t xml:space="preserve"> on the conclusion of the </w:t>
      </w:r>
      <w:r>
        <w:t>quality</w:t>
      </w:r>
      <w:r w:rsidRPr="00D5140B">
        <w:t xml:space="preserve"> Evaluator regarding the identity of </w:t>
      </w:r>
      <w:r w:rsidR="0000101D">
        <w:t>Eylea</w:t>
      </w:r>
      <w:r w:rsidRPr="00D5140B">
        <w:t xml:space="preserve"> products across jurisdictions. </w:t>
      </w:r>
      <w:r>
        <w:t xml:space="preserve">Given that </w:t>
      </w:r>
      <w:r w:rsidRPr="00D5140B">
        <w:t xml:space="preserve">EU-sourced </w:t>
      </w:r>
      <w:r w:rsidR="0000101D">
        <w:t>Eylea</w:t>
      </w:r>
      <w:r w:rsidRPr="00D5140B">
        <w:t xml:space="preserve"> </w:t>
      </w:r>
      <w:proofErr w:type="gramStart"/>
      <w:r>
        <w:t>was</w:t>
      </w:r>
      <w:r w:rsidRPr="00D5140B">
        <w:t xml:space="preserve"> considered to be</w:t>
      </w:r>
      <w:proofErr w:type="gramEnd"/>
      <w:r w:rsidRPr="00D5140B">
        <w:t xml:space="preserve"> identical or highly comparable to the Australian product, there </w:t>
      </w:r>
      <w:r>
        <w:t>were</w:t>
      </w:r>
      <w:r w:rsidRPr="00D5140B">
        <w:t xml:space="preserve"> no nonclinical objections to the registration of </w:t>
      </w:r>
      <w:r w:rsidR="00203706">
        <w:t>Eydenzelt</w:t>
      </w:r>
    </w:p>
    <w:p w14:paraId="35B580A5" w14:textId="40B226DC" w:rsidR="00C22214" w:rsidRDefault="00C22214" w:rsidP="008804CF">
      <w:pPr>
        <w:pStyle w:val="Heading3"/>
      </w:pPr>
      <w:bookmarkStart w:id="44" w:name="_Toc247691530"/>
      <w:bookmarkStart w:id="45" w:name="_Toc314842513"/>
      <w:bookmarkStart w:id="46" w:name="_Toc103679297"/>
      <w:bookmarkStart w:id="47" w:name="_Toc213760484"/>
      <w:r>
        <w:t>Clinical</w:t>
      </w:r>
      <w:bookmarkEnd w:id="44"/>
      <w:bookmarkEnd w:id="45"/>
      <w:bookmarkEnd w:id="46"/>
      <w:r w:rsidR="00095C6A">
        <w:t xml:space="preserve"> evaluation summary</w:t>
      </w:r>
      <w:bookmarkEnd w:id="47"/>
    </w:p>
    <w:p w14:paraId="32B0DEDA" w14:textId="77777777" w:rsidR="00C22214" w:rsidRDefault="00C22214" w:rsidP="00433318">
      <w:pPr>
        <w:pStyle w:val="Heading4"/>
      </w:pPr>
      <w:bookmarkStart w:id="48" w:name="_Toc98931928"/>
      <w:bookmarkStart w:id="49" w:name="_Toc213760485"/>
      <w:r>
        <w:t>Summary of clinical studies</w:t>
      </w:r>
      <w:bookmarkEnd w:id="48"/>
      <w:bookmarkEnd w:id="49"/>
    </w:p>
    <w:p w14:paraId="67FF11E2" w14:textId="4ED09545" w:rsidR="00966A0E" w:rsidRDefault="00966A0E" w:rsidP="00C701AE">
      <w:r w:rsidRPr="00966A0E">
        <w:t xml:space="preserve">The clinical development program for the proposed </w:t>
      </w:r>
      <w:r w:rsidR="00203706">
        <w:t>Eydenzelt</w:t>
      </w:r>
      <w:r w:rsidRPr="00966A0E">
        <w:t xml:space="preserve"> biosimilar consisted of one Phase</w:t>
      </w:r>
      <w:r w:rsidR="00C701AE">
        <w:rPr>
          <w:lang w:val="en-US" w:eastAsia="ko-KR"/>
        </w:rPr>
        <w:t> </w:t>
      </w:r>
      <w:r w:rsidRPr="00966A0E">
        <w:t xml:space="preserve">3 therapeutic similarity study </w:t>
      </w:r>
      <w:r w:rsidR="00B94BAD">
        <w:t xml:space="preserve">(Table </w:t>
      </w:r>
      <w:r w:rsidR="007B0DE0">
        <w:t>3</w:t>
      </w:r>
      <w:r w:rsidR="00B94BAD">
        <w:t xml:space="preserve">) </w:t>
      </w:r>
      <w:r w:rsidRPr="00966A0E">
        <w:t>conducted in patients with diabetic macular oedema DME (Study CT-P42 3.1).</w:t>
      </w:r>
    </w:p>
    <w:p w14:paraId="7B99FE2D" w14:textId="5F46D6A0" w:rsidR="00B94BAD" w:rsidRDefault="00B94BAD" w:rsidP="00662914">
      <w:pPr>
        <w:pStyle w:val="TableTitle"/>
      </w:pPr>
      <w:r>
        <w:lastRenderedPageBreak/>
        <w:t xml:space="preserve">Table </w:t>
      </w:r>
      <w:r w:rsidR="007B0DE0">
        <w:t>3</w:t>
      </w:r>
      <w:r>
        <w:t xml:space="preserve">. </w:t>
      </w:r>
      <w:r w:rsidR="00662914" w:rsidRPr="00662914">
        <w:t>Overview of clinical stud</w:t>
      </w:r>
      <w:r w:rsidR="00662914">
        <w:t xml:space="preserve">y </w:t>
      </w:r>
      <w:r w:rsidR="00662914" w:rsidRPr="00662914">
        <w:t>CT-P42 3.1</w:t>
      </w:r>
    </w:p>
    <w:p w14:paraId="3F231C8B" w14:textId="050BD647" w:rsidR="00B94BAD" w:rsidRDefault="00B94BAD" w:rsidP="00966A0E">
      <w:r w:rsidRPr="00B94BAD">
        <w:rPr>
          <w:noProof/>
        </w:rPr>
        <w:drawing>
          <wp:inline distT="0" distB="0" distL="0" distR="0" wp14:anchorId="32280FBA" wp14:editId="17E1806D">
            <wp:extent cx="5759450" cy="1936115"/>
            <wp:effectExtent l="0" t="0" r="0" b="6985"/>
            <wp:docPr id="2128186029" name="Picture 1" descr="A close-up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6029" name="Picture 1" descr="A close-up of a white sheet&#10;&#10;AI-generated content may be incorrect."/>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759450" cy="1936115"/>
                    </a:xfrm>
                    <a:prstGeom prst="rect">
                      <a:avLst/>
                    </a:prstGeom>
                  </pic:spPr>
                </pic:pic>
              </a:graphicData>
            </a:graphic>
          </wp:inline>
        </w:drawing>
      </w:r>
    </w:p>
    <w:p w14:paraId="0DDE628B" w14:textId="6345216F" w:rsidR="00C761EE" w:rsidRDefault="00C761EE" w:rsidP="001C7BBA">
      <w:pPr>
        <w:pStyle w:val="TableDescription"/>
      </w:pPr>
      <w:r>
        <w:t>1</w:t>
      </w:r>
      <w:r w:rsidR="001C7BBA">
        <w:t>.</w:t>
      </w:r>
      <w:r>
        <w:t xml:space="preserve"> After the completion of Main Study Period, a total of 31 patients from Main Study </w:t>
      </w:r>
      <w:proofErr w:type="gramStart"/>
      <w:r>
        <w:t>Period</w:t>
      </w:r>
      <w:r w:rsidR="0024419F">
        <w:rPr>
          <w:rFonts w:eastAsiaTheme="minorEastAsia" w:hint="eastAsia"/>
          <w:lang w:eastAsia="ko-KR"/>
        </w:rPr>
        <w:t xml:space="preserve"> </w:t>
      </w:r>
      <w:r>
        <w:t xml:space="preserve"> regardless</w:t>
      </w:r>
      <w:proofErr w:type="gramEnd"/>
      <w:r>
        <w:t xml:space="preserve"> of the treatment group in Main Study Period. were enrolled in a 4-week open-label. single-arm extension study to evaluate the </w:t>
      </w:r>
      <w:proofErr w:type="gramStart"/>
      <w:r>
        <w:t>usability</w:t>
      </w:r>
      <w:r w:rsidR="0024419F">
        <w:rPr>
          <w:rFonts w:eastAsiaTheme="minorEastAsia" w:hint="eastAsia"/>
          <w:lang w:eastAsia="ko-KR"/>
        </w:rPr>
        <w:t xml:space="preserve"> </w:t>
      </w:r>
      <w:r>
        <w:t xml:space="preserve"> efficacy</w:t>
      </w:r>
      <w:proofErr w:type="gramEnd"/>
      <w:r>
        <w:t xml:space="preserve"> and safety of CT-P42.</w:t>
      </w:r>
    </w:p>
    <w:p w14:paraId="6B211EB3" w14:textId="5E9B2FA1" w:rsidR="00C761EE" w:rsidRDefault="00C761EE" w:rsidP="001C7BBA">
      <w:pPr>
        <w:pStyle w:val="TableDescription"/>
      </w:pPr>
      <w:r>
        <w:t>Abbreviations: BCVA</w:t>
      </w:r>
      <w:r w:rsidR="0024419F">
        <w:rPr>
          <w:rFonts w:eastAsiaTheme="minorEastAsia" w:hint="eastAsia"/>
          <w:lang w:eastAsia="ko-KR"/>
        </w:rPr>
        <w:t>,</w:t>
      </w:r>
      <w:r>
        <w:t xml:space="preserve"> best corrected visual acuity</w:t>
      </w:r>
      <w:r w:rsidR="001C7BBA">
        <w:t>;</w:t>
      </w:r>
      <w:r>
        <w:t xml:space="preserve"> CSR. clinical study report</w:t>
      </w:r>
      <w:r w:rsidR="001C7BBA">
        <w:t>;</w:t>
      </w:r>
      <w:r>
        <w:t xml:space="preserve"> DME</w:t>
      </w:r>
      <w:r w:rsidR="001C7BBA">
        <w:t xml:space="preserve">, </w:t>
      </w:r>
      <w:r>
        <w:t>diabetic macular oedema: ETDRS</w:t>
      </w:r>
      <w:r w:rsidR="001C7BBA">
        <w:t>,</w:t>
      </w:r>
      <w:r>
        <w:t xml:space="preserve"> Early Treatment of Diabetic Retinopathy Study</w:t>
      </w:r>
      <w:r w:rsidR="001C7BBA">
        <w:t>;</w:t>
      </w:r>
      <w:r>
        <w:t xml:space="preserve"> IVT</w:t>
      </w:r>
      <w:r w:rsidR="001C7BBA">
        <w:t>,</w:t>
      </w:r>
      <w:r>
        <w:t xml:space="preserve"> intravitreal</w:t>
      </w:r>
      <w:r w:rsidR="001C7BBA">
        <w:t>;</w:t>
      </w:r>
      <w:r>
        <w:t xml:space="preserve"> PFS</w:t>
      </w:r>
      <w:r w:rsidR="001C7BBA">
        <w:t xml:space="preserve">, </w:t>
      </w:r>
      <w:r>
        <w:t>pre-filled syringe</w:t>
      </w:r>
      <w:r w:rsidR="001C7BBA">
        <w:t>;</w:t>
      </w:r>
      <w:r>
        <w:t xml:space="preserve"> PK</w:t>
      </w:r>
      <w:r w:rsidR="001C7BBA">
        <w:t xml:space="preserve">, </w:t>
      </w:r>
      <w:r>
        <w:t>pharmacokinetics</w:t>
      </w:r>
      <w:r w:rsidR="001C7BBA">
        <w:t xml:space="preserve">. </w:t>
      </w:r>
    </w:p>
    <w:p w14:paraId="1A114EEE" w14:textId="14EE715B" w:rsidR="00D31B37" w:rsidRDefault="00D31B37" w:rsidP="00D31B37">
      <w:pPr>
        <w:pStyle w:val="Heading4"/>
      </w:pPr>
      <w:bookmarkStart w:id="50" w:name="_Toc213760486"/>
      <w:r>
        <w:t>Pharmacology</w:t>
      </w:r>
      <w:bookmarkEnd w:id="50"/>
    </w:p>
    <w:p w14:paraId="41FFDB4B" w14:textId="7AB82783" w:rsidR="00D31B37" w:rsidRDefault="00D31B37" w:rsidP="00D31B37">
      <w:r>
        <w:t xml:space="preserve">No clinical Phase 1 </w:t>
      </w:r>
      <w:r w:rsidR="007B0DE0">
        <w:t>pharmacokinetic (</w:t>
      </w:r>
      <w:r>
        <w:t>PK</w:t>
      </w:r>
      <w:r w:rsidR="007B0DE0">
        <w:t>)</w:t>
      </w:r>
      <w:r>
        <w:t xml:space="preserve"> studies (e.g. bioequivalence studies) were conducted. This was justified by the applicant with the low systemic exposure of IVT aflibercept, and the potential ethical issues regarding invasiveness of IVT injections in healthy volunteers.</w:t>
      </w:r>
    </w:p>
    <w:p w14:paraId="0F8CB42D" w14:textId="379DD990" w:rsidR="00D31B37" w:rsidRDefault="00D31B37" w:rsidP="00D31B37">
      <w:r>
        <w:t>The PK profile of CT-P42 (</w:t>
      </w:r>
      <w:r w:rsidR="00203706">
        <w:t>Eydenzelt</w:t>
      </w:r>
      <w:r>
        <w:t xml:space="preserve">) and </w:t>
      </w:r>
      <w:r w:rsidR="0000101D">
        <w:t>Eylea</w:t>
      </w:r>
      <w:r>
        <w:t xml:space="preserve"> were evaluated in a subset of patients in the clinical Phase 3 Study CT-P42 3.1. Study CT-P42 3.1 provided plasma concentration data following the first and fifth </w:t>
      </w:r>
      <w:r w:rsidR="00CB1746">
        <w:t>IVT</w:t>
      </w:r>
      <w:r>
        <w:t xml:space="preserve"> injections.</w:t>
      </w:r>
    </w:p>
    <w:p w14:paraId="23E8D35A" w14:textId="29034F7E" w:rsidR="00D31B37" w:rsidRDefault="00D31B37" w:rsidP="00D31B37">
      <w:r>
        <w:t>Secondary PK endpoints were maximum concentration (C</w:t>
      </w:r>
      <w:r w:rsidRPr="0058309E">
        <w:rPr>
          <w:vertAlign w:val="subscript"/>
        </w:rPr>
        <w:t>max</w:t>
      </w:r>
      <w:r>
        <w:t>) and time to maximum concentration (</w:t>
      </w:r>
      <w:proofErr w:type="spellStart"/>
      <w:r>
        <w:t>T</w:t>
      </w:r>
      <w:r w:rsidRPr="0058309E">
        <w:rPr>
          <w:vertAlign w:val="subscript"/>
        </w:rPr>
        <w:t>max</w:t>
      </w:r>
      <w:proofErr w:type="spellEnd"/>
      <w:r>
        <w:t>) for free VEGF-unbound) aflibercept in plasma, which were measured at pre-defined intervals after the first (C</w:t>
      </w:r>
      <w:r w:rsidRPr="0058309E">
        <w:rPr>
          <w:vertAlign w:val="subscript"/>
        </w:rPr>
        <w:t>max1</w:t>
      </w:r>
      <w:r>
        <w:t xml:space="preserve"> and T</w:t>
      </w:r>
      <w:r w:rsidRPr="0058309E">
        <w:rPr>
          <w:vertAlign w:val="subscript"/>
        </w:rPr>
        <w:t>max1</w:t>
      </w:r>
      <w:r>
        <w:t>) and fifth (C</w:t>
      </w:r>
      <w:r w:rsidRPr="0058309E">
        <w:rPr>
          <w:vertAlign w:val="subscript"/>
        </w:rPr>
        <w:t>max2</w:t>
      </w:r>
      <w:r>
        <w:t xml:space="preserve"> and T</w:t>
      </w:r>
      <w:r w:rsidRPr="0058309E">
        <w:rPr>
          <w:vertAlign w:val="subscript"/>
        </w:rPr>
        <w:t>max2</w:t>
      </w:r>
      <w:r>
        <w:t xml:space="preserve">) </w:t>
      </w:r>
      <w:r w:rsidR="00CB1746">
        <w:t>IVT</w:t>
      </w:r>
      <w:r>
        <w:t xml:space="preserve"> injections.</w:t>
      </w:r>
    </w:p>
    <w:p w14:paraId="5078EAC3" w14:textId="646E97F7" w:rsidR="00D31B37" w:rsidRDefault="00D31B37" w:rsidP="00D31B37">
      <w:r>
        <w:t xml:space="preserve">Regarding immunogenicity, </w:t>
      </w:r>
      <w:r w:rsidR="00A26359">
        <w:t xml:space="preserve">anti-drug antibodies </w:t>
      </w:r>
      <w:r w:rsidR="00FF2FCC">
        <w:t xml:space="preserve">(ADAs) </w:t>
      </w:r>
      <w:r w:rsidR="00A26359">
        <w:t xml:space="preserve">and neutralising antibodies </w:t>
      </w:r>
      <w:r w:rsidR="00FF2FCC">
        <w:t>(</w:t>
      </w:r>
      <w:proofErr w:type="spellStart"/>
      <w:r w:rsidR="00FF2FCC">
        <w:t>nAbs</w:t>
      </w:r>
      <w:proofErr w:type="spellEnd"/>
      <w:r w:rsidR="00FF2FCC">
        <w:t xml:space="preserve">) </w:t>
      </w:r>
      <w:r>
        <w:t>incidence was assessed during Study CT-P42 3.1 in the Safety Set.</w:t>
      </w:r>
    </w:p>
    <w:p w14:paraId="4F2482DC" w14:textId="43C6C1C5" w:rsidR="006141BA" w:rsidRDefault="006141BA" w:rsidP="006141BA">
      <w:pPr>
        <w:pStyle w:val="Heading4"/>
      </w:pPr>
      <w:bookmarkStart w:id="51" w:name="_Toc213760487"/>
      <w:r>
        <w:t>Efficacy</w:t>
      </w:r>
      <w:bookmarkEnd w:id="51"/>
    </w:p>
    <w:p w14:paraId="46BD132E" w14:textId="448CBB2A" w:rsidR="006141BA" w:rsidRDefault="006141BA" w:rsidP="006141BA">
      <w:pPr>
        <w:pStyle w:val="Heading5"/>
      </w:pPr>
      <w:r>
        <w:t>Pivotal phase 3 Study CT-P42 3.1</w:t>
      </w:r>
    </w:p>
    <w:p w14:paraId="5E959CB5" w14:textId="77777777" w:rsidR="006141BA" w:rsidRDefault="006141BA" w:rsidP="006141BA">
      <w:pPr>
        <w:pStyle w:val="Heading6"/>
      </w:pPr>
      <w:r>
        <w:t>Design</w:t>
      </w:r>
    </w:p>
    <w:p w14:paraId="2CA9B328" w14:textId="38AB8E6E" w:rsidR="006141BA" w:rsidRDefault="006141BA" w:rsidP="006141BA">
      <w:r>
        <w:t>Phase 3, double-masked, randomised, active-controlled, parallel-group (1:1) 52-week clinical equivalence study to compare efficacy and safety of CT-P42 and EU-</w:t>
      </w:r>
      <w:r w:rsidR="0000101D">
        <w:t>Eylea</w:t>
      </w:r>
      <w:r w:rsidRPr="001320D3">
        <w:rPr>
          <w:vertAlign w:val="superscript"/>
        </w:rPr>
        <w:t>®</w:t>
      </w:r>
      <w:r>
        <w:t xml:space="preserve"> in 348 adult patients with diabetic macular oedema.</w:t>
      </w:r>
    </w:p>
    <w:p w14:paraId="054AD27D" w14:textId="77777777" w:rsidR="006141BA" w:rsidRDefault="006141BA" w:rsidP="006141BA">
      <w:r>
        <w:t>The study was performed at 83 centres across Czech Republic, Estonia, Germany, Hungary, Latvia, Lithuania, Poland, Russia, Slovakia, Spain, Ukraine, Republic of Korea, and India. The study period was 22 July 2021 (first participant assigned) to 24 April 2023 (last participant last visit).</w:t>
      </w:r>
    </w:p>
    <w:p w14:paraId="2279A76E" w14:textId="650BAAE6" w:rsidR="006141BA" w:rsidRDefault="006141BA" w:rsidP="006141BA">
      <w:r w:rsidRPr="005623B7">
        <w:rPr>
          <w:b/>
          <w:bCs/>
        </w:rPr>
        <w:t>Primary efficacy objective</w:t>
      </w:r>
      <w:r>
        <w:t xml:space="preserve">: to demonstrate similarity in efficacy between </w:t>
      </w:r>
      <w:r w:rsidR="00203706">
        <w:t>Eydenzelt</w:t>
      </w:r>
      <w:r>
        <w:t xml:space="preserve"> and </w:t>
      </w:r>
      <w:r w:rsidR="0000101D">
        <w:t>Eylea</w:t>
      </w:r>
      <w:r>
        <w:t xml:space="preserve"> in terms of clinical response as determined by the mean change from baseline at week 8 in best corrected visual acuity (BCVA) using the Early Treatment of Diabetic Retinopathy Study (ETDRS) score.</w:t>
      </w:r>
    </w:p>
    <w:p w14:paraId="2F1220D9" w14:textId="1B6EE75A" w:rsidR="006141BA" w:rsidRDefault="006141BA" w:rsidP="006141BA">
      <w:r w:rsidRPr="005623B7">
        <w:rPr>
          <w:b/>
          <w:bCs/>
        </w:rPr>
        <w:lastRenderedPageBreak/>
        <w:t>Secondary efficacy objective</w:t>
      </w:r>
      <w:r>
        <w:t xml:space="preserve">: to evaluate additional efficacy parameters, PK, usability, and overall safety including immunogenicity of </w:t>
      </w:r>
      <w:r w:rsidR="00203706">
        <w:t>Eydenzelt</w:t>
      </w:r>
      <w:r>
        <w:t>.</w:t>
      </w:r>
    </w:p>
    <w:p w14:paraId="1C40774C" w14:textId="6379A8CF" w:rsidR="00685BD0" w:rsidRDefault="005C2BCE" w:rsidP="005C2BCE">
      <w:pPr>
        <w:pStyle w:val="FigureTitle"/>
      </w:pPr>
      <w:r w:rsidRPr="005C2BCE">
        <w:t>Figure 1. Study CT-P42 3.1. Study design schema.</w:t>
      </w:r>
    </w:p>
    <w:p w14:paraId="60729476" w14:textId="4EDE826A" w:rsidR="00685BD0" w:rsidRDefault="00685BD0" w:rsidP="006141BA">
      <w:r w:rsidRPr="00685BD0">
        <w:rPr>
          <w:noProof/>
        </w:rPr>
        <w:drawing>
          <wp:inline distT="0" distB="0" distL="0" distR="0" wp14:anchorId="592194A8" wp14:editId="1EFCB324">
            <wp:extent cx="5759450" cy="3473450"/>
            <wp:effectExtent l="0" t="0" r="0" b="0"/>
            <wp:docPr id="191815431"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5431" name="Picture 1" descr="A screenshot of a medical report&#10;&#10;AI-generated content may be incorrect."/>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5759450" cy="3473450"/>
                    </a:xfrm>
                    <a:prstGeom prst="rect">
                      <a:avLst/>
                    </a:prstGeom>
                  </pic:spPr>
                </pic:pic>
              </a:graphicData>
            </a:graphic>
          </wp:inline>
        </w:drawing>
      </w:r>
    </w:p>
    <w:p w14:paraId="20BAF887" w14:textId="6BF2058A" w:rsidR="005C2BCE" w:rsidRDefault="005C2BCE" w:rsidP="005C2BCE">
      <w:pPr>
        <w:pStyle w:val="FigureDescription"/>
      </w:pPr>
      <w:r>
        <w:t>Abbreviations: BCVA, Best Corrected Visual Acuity; EOS1, first end-of-study; EOS2, second end-of-study; Ext 0, Extension Week 0; Ext 4, Extension Week 4; EU, European Union; N, number of patients; PFS, prefilled syringe; PK, pharmacokinetics.</w:t>
      </w:r>
    </w:p>
    <w:p w14:paraId="2646279C" w14:textId="77777777" w:rsidR="00103E9D" w:rsidRPr="00103E9D" w:rsidRDefault="00103E9D" w:rsidP="00103E9D">
      <w:r w:rsidRPr="00103E9D">
        <w:t>Key inclusion criteria included:</w:t>
      </w:r>
    </w:p>
    <w:p w14:paraId="6C6A4A62" w14:textId="77777777" w:rsidR="00103E9D" w:rsidRPr="00103E9D" w:rsidRDefault="00103E9D" w:rsidP="00103E9D">
      <w:pPr>
        <w:pStyle w:val="ListBullet"/>
      </w:pPr>
      <w:r w:rsidRPr="00103E9D">
        <w:t>male or female adults aged ≥18 years of age</w:t>
      </w:r>
    </w:p>
    <w:p w14:paraId="44B49314" w14:textId="77777777" w:rsidR="00103E9D" w:rsidRPr="00103E9D" w:rsidRDefault="00103E9D" w:rsidP="00103E9D">
      <w:pPr>
        <w:pStyle w:val="ListBullet"/>
      </w:pPr>
      <w:r w:rsidRPr="00103E9D">
        <w:t>type 1 or type 2 diabetes mellitus (DM)</w:t>
      </w:r>
    </w:p>
    <w:p w14:paraId="5E7B3B4F" w14:textId="6E3D060E" w:rsidR="00103E9D" w:rsidRPr="00103E9D" w:rsidRDefault="00C701AE" w:rsidP="00103E9D">
      <w:pPr>
        <w:pStyle w:val="ListBullet"/>
      </w:pPr>
      <w:r>
        <w:rPr>
          <w:rFonts w:eastAsiaTheme="minorEastAsia" w:hint="eastAsia"/>
          <w:lang w:eastAsia="ko-KR"/>
        </w:rPr>
        <w:t>DME</w:t>
      </w:r>
      <w:r w:rsidR="00103E9D" w:rsidRPr="00103E9D">
        <w:t xml:space="preserve"> secondary to DM involving the centre of the macula (defined as the optical coherence tomography (OCT) central subfield) in the study eye</w:t>
      </w:r>
    </w:p>
    <w:p w14:paraId="389F25C2" w14:textId="77777777" w:rsidR="00103E9D" w:rsidRPr="00103E9D" w:rsidRDefault="00103E9D" w:rsidP="00103E9D">
      <w:pPr>
        <w:pStyle w:val="ListBullet"/>
      </w:pPr>
      <w:r w:rsidRPr="00103E9D">
        <w:t>central subretinal thickness ≥350µm as assessed by OCT, based on central results in the study eye at Screening</w:t>
      </w:r>
    </w:p>
    <w:p w14:paraId="4C785812" w14:textId="77777777" w:rsidR="00103E9D" w:rsidRPr="00103E9D" w:rsidRDefault="00103E9D" w:rsidP="00103E9D">
      <w:pPr>
        <w:pStyle w:val="ListBullet"/>
      </w:pPr>
      <w:r w:rsidRPr="00103E9D">
        <w:t>BCVA by ETDRS score of 73 to 34 (approximately equivalent to a US Snellen score of 20/40 to 20/200</w:t>
      </w:r>
      <w:r w:rsidRPr="00103E9D">
        <w:rPr>
          <w:vertAlign w:val="superscript"/>
        </w:rPr>
        <w:footnoteReference w:id="3"/>
      </w:r>
      <w:r w:rsidRPr="00103E9D">
        <w:t>) at Screening and Day 1</w:t>
      </w:r>
    </w:p>
    <w:p w14:paraId="3FD78727" w14:textId="4D4138C0" w:rsidR="00103E9D" w:rsidRPr="00103E9D" w:rsidRDefault="00103E9D" w:rsidP="00103E9D">
      <w:pPr>
        <w:pStyle w:val="ListBullet"/>
      </w:pPr>
      <w:r w:rsidRPr="00103E9D">
        <w:t xml:space="preserve">decrease in vision determined to be primarily the result of </w:t>
      </w:r>
      <w:r w:rsidR="00B83444">
        <w:rPr>
          <w:rFonts w:eastAsiaTheme="minorEastAsia"/>
          <w:lang w:eastAsia="ko-KR"/>
        </w:rPr>
        <w:t>DME</w:t>
      </w:r>
      <w:r w:rsidR="00B83444">
        <w:t xml:space="preserve"> i</w:t>
      </w:r>
      <w:r w:rsidRPr="00103E9D">
        <w:t>n the study eye</w:t>
      </w:r>
    </w:p>
    <w:p w14:paraId="4A68AA20" w14:textId="77777777" w:rsidR="00103E9D" w:rsidRPr="00103E9D" w:rsidRDefault="00103E9D" w:rsidP="00103E9D">
      <w:r w:rsidRPr="00103E9D">
        <w:t>Key exclusion criteria included:</w:t>
      </w:r>
    </w:p>
    <w:p w14:paraId="2C5367FD" w14:textId="77777777" w:rsidR="00103E9D" w:rsidRPr="00103E9D" w:rsidRDefault="00103E9D" w:rsidP="00103E9D">
      <w:pPr>
        <w:pStyle w:val="ListBullet"/>
      </w:pPr>
      <w:r w:rsidRPr="00103E9D">
        <w:t>only one functional eye</w:t>
      </w:r>
    </w:p>
    <w:p w14:paraId="16C93100" w14:textId="21212171" w:rsidR="00103E9D" w:rsidRPr="00103E9D" w:rsidRDefault="00103E9D" w:rsidP="00103E9D">
      <w:pPr>
        <w:pStyle w:val="ListBullet"/>
      </w:pPr>
      <w:r w:rsidRPr="00103E9D">
        <w:t>a history (at the time of enrolment) of one or more ocular conditions, not including DM</w:t>
      </w:r>
      <w:r w:rsidR="001320D3">
        <w:t>E</w:t>
      </w:r>
      <w:r w:rsidRPr="00103E9D">
        <w:t>, as listed in the study protocol that may affect visual acuity, the ability to assess the eye, affect interpretation of the results, or that may result in the requirement for medical or surgical intervention during the study.</w:t>
      </w:r>
    </w:p>
    <w:p w14:paraId="3F69898B" w14:textId="77777777" w:rsidR="00103E9D" w:rsidRPr="00103E9D" w:rsidRDefault="00103E9D" w:rsidP="00103E9D">
      <w:pPr>
        <w:pStyle w:val="ListBullet"/>
      </w:pPr>
      <w:r w:rsidRPr="00103E9D">
        <w:lastRenderedPageBreak/>
        <w:t>a history of, or current (at the time of enrolment) systemic condition as listed in the protocol, including uncontrolled DM</w:t>
      </w:r>
    </w:p>
    <w:p w14:paraId="4ECE6A58" w14:textId="77777777" w:rsidR="00103E9D" w:rsidRPr="00103E9D" w:rsidRDefault="00103E9D" w:rsidP="00103E9D">
      <w:pPr>
        <w:pStyle w:val="ListBullet"/>
      </w:pPr>
      <w:r w:rsidRPr="00103E9D">
        <w:t>previous or concomitant treatment with aflibercept (systemic or ocular), other ocular anti-angiogenic agents, intraocular or periocular corticosteroids within 180 days or fluocinolone acetonide implant within 36 months, laser photocoagulation in the study eye within 90 days, history of vitreoretinal or any intraocular surgery in the study eye within 90 days, yttrium-aluminium-garnet capsulotomy in the study eye within 30 days, treatment with any investigational medicinal product/device within 30 days or 5 half lives</w:t>
      </w:r>
    </w:p>
    <w:p w14:paraId="5FD28B6E" w14:textId="77777777" w:rsidR="00103E9D" w:rsidRPr="00103E9D" w:rsidRDefault="00103E9D" w:rsidP="00103E9D">
      <w:pPr>
        <w:pStyle w:val="ListBullet"/>
      </w:pPr>
      <w:r w:rsidRPr="00103E9D">
        <w:t>pregnant or breastfeeding</w:t>
      </w:r>
    </w:p>
    <w:p w14:paraId="2B3BF685" w14:textId="63CD03D8" w:rsidR="00103E9D" w:rsidRPr="00103E9D" w:rsidRDefault="00103E9D" w:rsidP="00103E9D">
      <w:pPr>
        <w:pStyle w:val="Heading6"/>
      </w:pPr>
      <w:r w:rsidRPr="00103E9D">
        <w:t>Treatments</w:t>
      </w:r>
    </w:p>
    <w:p w14:paraId="366D13F3" w14:textId="4A2239AF" w:rsidR="00103E9D" w:rsidRPr="00103E9D" w:rsidRDefault="00103E9D" w:rsidP="00103E9D">
      <w:r w:rsidRPr="00103E9D">
        <w:rPr>
          <w:b/>
          <w:bCs/>
        </w:rPr>
        <w:t>Main study period</w:t>
      </w:r>
      <w:r w:rsidRPr="00103E9D">
        <w:t xml:space="preserve">: Participants received either 2 mg (in 0.05 mL) </w:t>
      </w:r>
      <w:r w:rsidR="00203706">
        <w:t>Eydenzelt</w:t>
      </w:r>
      <w:r w:rsidRPr="00103E9D">
        <w:t xml:space="preserve"> or </w:t>
      </w:r>
      <w:r w:rsidR="0000101D">
        <w:t>Eylea</w:t>
      </w:r>
      <w:r w:rsidRPr="00103E9D">
        <w:t xml:space="preserve"> single dose vial via IVT injection every 4 weeks for 5 doses, then every 8 weeks for 4 doses, up to Week 52. No dose was given at Week 52</w:t>
      </w:r>
    </w:p>
    <w:p w14:paraId="11A31DA2" w14:textId="0640DAA7" w:rsidR="00103E9D" w:rsidRPr="00103E9D" w:rsidRDefault="00103E9D" w:rsidP="00103E9D">
      <w:r w:rsidRPr="00103E9D">
        <w:rPr>
          <w:b/>
          <w:bCs/>
        </w:rPr>
        <w:t>Open-label extension study period:</w:t>
      </w:r>
      <w:r w:rsidRPr="00103E9D">
        <w:t xml:space="preserve"> 31 participants who completed the main study period up to Week 52, regardless of initial randomisation, were assigned to receive a single dose of 2 mg (in 0.05 mL) </w:t>
      </w:r>
      <w:r w:rsidR="00203706">
        <w:t>Eydenzelt</w:t>
      </w:r>
      <w:r w:rsidRPr="00103E9D">
        <w:t xml:space="preserve"> at study visit 10 / Extension Week 0 (eight weeks after the last dose at the investigator’s discretion).</w:t>
      </w:r>
    </w:p>
    <w:p w14:paraId="39B486DA" w14:textId="49375AAA" w:rsidR="00103E9D" w:rsidRPr="00103E9D" w:rsidRDefault="00103E9D" w:rsidP="00103E9D">
      <w:pPr>
        <w:pStyle w:val="Heading6"/>
      </w:pPr>
      <w:r w:rsidRPr="00103E9D">
        <w:t xml:space="preserve">Randomisation and masking </w:t>
      </w:r>
    </w:p>
    <w:p w14:paraId="5DA6191C" w14:textId="77777777" w:rsidR="00103E9D" w:rsidRPr="00103E9D" w:rsidRDefault="00103E9D" w:rsidP="00103E9D">
      <w:r w:rsidRPr="00103E9D">
        <w:rPr>
          <w:b/>
          <w:bCs/>
        </w:rPr>
        <w:t>Main study period:</w:t>
      </w:r>
      <w:r w:rsidRPr="00103E9D">
        <w:t xml:space="preserve"> Randomisation using an interactive web response system. Baseline BCVA (&lt;55 letters versus ≥55 letters) and country were used as stratification factors. The overall randomisation code was broken on 20 January 2023 for reporting, after the database lock for data up to Week 24 for all participants. Unmasked analyses were performed as outlined in SAP version 1. Investigators, participants, and predefined masked staff remained masked to the randomisation codes until all participants completed the </w:t>
      </w:r>
      <w:proofErr w:type="gramStart"/>
      <w:r w:rsidRPr="00103E9D">
        <w:t>study</w:t>
      </w:r>
      <w:proofErr w:type="gramEnd"/>
      <w:r w:rsidRPr="00103E9D">
        <w:t xml:space="preserve"> and the database was locked for the final CSR. Once all participants completed the study, a database lock for the whole study period was performed on 21 July 2023 to allow analysis for the final CSR as per SAP version 2.0.</w:t>
      </w:r>
    </w:p>
    <w:p w14:paraId="481E1EB0" w14:textId="022BCE83" w:rsidR="00103E9D" w:rsidRPr="00103E9D" w:rsidRDefault="00103E9D" w:rsidP="00103E9D">
      <w:r w:rsidRPr="00103E9D">
        <w:rPr>
          <w:b/>
          <w:bCs/>
        </w:rPr>
        <w:t>Extension study period:</w:t>
      </w:r>
      <w:r w:rsidRPr="00103E9D">
        <w:t xml:space="preserve"> This study period was open-label and consisted of only the </w:t>
      </w:r>
      <w:r w:rsidR="00203706">
        <w:t>Eydenzelt</w:t>
      </w:r>
      <w:r w:rsidRPr="00103E9D">
        <w:t xml:space="preserve"> (PFS) treatment arm.</w:t>
      </w:r>
    </w:p>
    <w:p w14:paraId="156A1E3A" w14:textId="77777777" w:rsidR="00103E9D" w:rsidRDefault="00103E9D" w:rsidP="00103E9D">
      <w:pPr>
        <w:pStyle w:val="Heading6"/>
      </w:pPr>
      <w:r w:rsidRPr="00103E9D">
        <w:t>Baseline characteristics</w:t>
      </w:r>
    </w:p>
    <w:p w14:paraId="468C25C5" w14:textId="0BCEBE60" w:rsidR="00103E9D" w:rsidRPr="00103E9D" w:rsidRDefault="00103E9D" w:rsidP="00103E9D">
      <w:r w:rsidRPr="00103E9D">
        <w:t>In both studies, demographics and baseline characteristics were reasonably balanced between groups:</w:t>
      </w:r>
    </w:p>
    <w:p w14:paraId="0991DC9F" w14:textId="5AF4272C" w:rsidR="00103E9D" w:rsidRPr="00103E9D" w:rsidRDefault="00103E9D" w:rsidP="00103E9D">
      <w:r w:rsidRPr="00103E9D">
        <w:rPr>
          <w:b/>
          <w:bCs/>
        </w:rPr>
        <w:t>Patient demographics</w:t>
      </w:r>
      <w:r w:rsidRPr="00103E9D">
        <w:t xml:space="preserve">: The mean (SD) age for the </w:t>
      </w:r>
      <w:r w:rsidR="00203706">
        <w:t>Eydenzelt</w:t>
      </w:r>
      <w:r w:rsidRPr="00103E9D">
        <w:t xml:space="preserve"> group was 62.5 (9.6) years, and 62.9 (10.3) years for the </w:t>
      </w:r>
      <w:r w:rsidR="0000101D">
        <w:t>Eylea</w:t>
      </w:r>
      <w:r w:rsidRPr="00103E9D">
        <w:t xml:space="preserve"> group. The majority were male for both the </w:t>
      </w:r>
      <w:r w:rsidR="00203706">
        <w:t>Eydenzelt</w:t>
      </w:r>
      <w:r w:rsidRPr="00103E9D">
        <w:t xml:space="preserve"> group (61.3%) and </w:t>
      </w:r>
      <w:r w:rsidR="0000101D">
        <w:t>Eylea</w:t>
      </w:r>
      <w:r w:rsidRPr="00103E9D">
        <w:t xml:space="preserve"> group (55.4%). Most patients were White (</w:t>
      </w:r>
      <w:r w:rsidR="00203706">
        <w:t>Eydenzelt</w:t>
      </w:r>
      <w:r w:rsidRPr="00103E9D">
        <w:t xml:space="preserve"> 64.7%; </w:t>
      </w:r>
      <w:r w:rsidR="0000101D">
        <w:t>Eylea</w:t>
      </w:r>
      <w:r w:rsidRPr="00103E9D">
        <w:t xml:space="preserve"> 64.0%) or Asian (</w:t>
      </w:r>
      <w:r w:rsidR="00203706">
        <w:t>Eydenzelt</w:t>
      </w:r>
      <w:r w:rsidRPr="00103E9D">
        <w:t xml:space="preserve"> 35.3%; </w:t>
      </w:r>
      <w:r w:rsidR="0000101D">
        <w:t>Eylea</w:t>
      </w:r>
      <w:r w:rsidRPr="00103E9D">
        <w:t xml:space="preserve"> 36.0%). The mean (SD) age in the extension study period (SS-E set) was 64.7 (10.8) years, with 58.1% male and all were White.</w:t>
      </w:r>
    </w:p>
    <w:p w14:paraId="3BC98260" w14:textId="5AFCC4E2" w:rsidR="00103E9D" w:rsidRPr="00103E9D" w:rsidRDefault="00103E9D" w:rsidP="00CB787D">
      <w:r w:rsidRPr="00103E9D">
        <w:rPr>
          <w:b/>
          <w:bCs/>
        </w:rPr>
        <w:t>Disease characteristics</w:t>
      </w:r>
      <w:r w:rsidRPr="00103E9D">
        <w:t xml:space="preserve">: The mean (SD) duration of DM for participants in the main study period (ITT set) was 13.599 (8.8011) years in the </w:t>
      </w:r>
      <w:r w:rsidR="00203706">
        <w:t>Eydenzelt</w:t>
      </w:r>
      <w:r w:rsidRPr="00103E9D">
        <w:t xml:space="preserve"> group and 14.0202 (9.5446) years in the </w:t>
      </w:r>
      <w:r w:rsidR="0000101D">
        <w:t>Eylea</w:t>
      </w:r>
      <w:r w:rsidRPr="00103E9D">
        <w:t xml:space="preserve"> group. The mean (SD) duration of DME was 0.5913 (1.4285) years for the </w:t>
      </w:r>
      <w:r w:rsidR="00203706">
        <w:t>Eydenzelt</w:t>
      </w:r>
      <w:r w:rsidRPr="00103E9D">
        <w:t xml:space="preserve"> group, and 0.8395 (1.9134) years for the </w:t>
      </w:r>
      <w:r w:rsidR="0000101D">
        <w:t>Eylea</w:t>
      </w:r>
      <w:r w:rsidRPr="00103E9D">
        <w:t xml:space="preserve"> group (range: 0 to 14 years for both groups). Most participants had a HbA1c ≤8% (</w:t>
      </w:r>
      <w:r w:rsidR="00203706">
        <w:t>Eydenzelt</w:t>
      </w:r>
      <w:r w:rsidRPr="00103E9D">
        <w:t xml:space="preserve"> 65.3%; </w:t>
      </w:r>
      <w:r w:rsidR="0000101D">
        <w:t>Eylea</w:t>
      </w:r>
      <w:r w:rsidRPr="00103E9D">
        <w:t xml:space="preserve"> 66.3%), and a BCVA ETDRS score of ≥55 letters at baseline (</w:t>
      </w:r>
      <w:r w:rsidR="00203706">
        <w:t>Eydenzelt</w:t>
      </w:r>
      <w:r w:rsidRPr="00103E9D">
        <w:t xml:space="preserve"> 71.7%; </w:t>
      </w:r>
      <w:r w:rsidR="0000101D">
        <w:t>Eylea</w:t>
      </w:r>
      <w:r w:rsidRPr="00103E9D">
        <w:t xml:space="preserve"> 73.7%). Overall, 93.1% of participants had diagnosed Type II DM, 75.6% had bilateral DM</w:t>
      </w:r>
      <w:r w:rsidR="001320D3">
        <w:t>E</w:t>
      </w:r>
      <w:r w:rsidR="00FB6B85">
        <w:t xml:space="preserve">. </w:t>
      </w:r>
    </w:p>
    <w:p w14:paraId="3C9B62B5" w14:textId="77777777" w:rsidR="00103E9D" w:rsidRDefault="00103E9D" w:rsidP="00103E9D">
      <w:r w:rsidRPr="00103E9D">
        <w:lastRenderedPageBreak/>
        <w:t>The baseline HbA1c in the extension study period was similarly distributed across the cut-off, with 51.6% of participants having a baseline HbA1c of ≤8%. Most (77.4%) participants had a baseline BCVA ETDRS score ≥55 letters.</w:t>
      </w:r>
    </w:p>
    <w:p w14:paraId="3D7583FA" w14:textId="63F19B6F" w:rsidR="00F77082" w:rsidRDefault="00F77082" w:rsidP="00F77082">
      <w:pPr>
        <w:pStyle w:val="Heading6"/>
      </w:pPr>
      <w:r w:rsidRPr="00F77082">
        <w:t>Magnitude of the treatment effect and its clinical significance</w:t>
      </w:r>
    </w:p>
    <w:p w14:paraId="25674C85" w14:textId="56984964" w:rsidR="00A7529F" w:rsidRDefault="00A7529F" w:rsidP="00A7529F">
      <w:r w:rsidRPr="00B83444">
        <w:rPr>
          <w:b/>
          <w:bCs/>
        </w:rPr>
        <w:t xml:space="preserve">The primary efficacy </w:t>
      </w:r>
      <w:r>
        <w:t>endpoint was the mean change from baseline in BCVA using the ETDRS eye chart at Week 8 (main study period). The least squares (LS) mean (standard error (SE)) change from baseline in BCVA</w:t>
      </w:r>
      <w:r w:rsidR="0024419F">
        <w:rPr>
          <w:rFonts w:hint="eastAsia"/>
          <w:lang w:eastAsia="ko-KR"/>
        </w:rPr>
        <w:t xml:space="preserve"> </w:t>
      </w:r>
      <w:r w:rsidR="0024419F" w:rsidRPr="0024419F">
        <w:t>at week 8</w:t>
      </w:r>
      <w:r>
        <w:t xml:space="preserve"> was 9.43 (0.798) letters in the </w:t>
      </w:r>
      <w:r w:rsidR="00203706">
        <w:t>Eydenzelt</w:t>
      </w:r>
      <w:r>
        <w:t xml:space="preserve"> group, and 8.85 (0.775) letters in the </w:t>
      </w:r>
      <w:r w:rsidR="0000101D">
        <w:t>Eylea</w:t>
      </w:r>
      <w:r>
        <w:t xml:space="preserve"> group. The estimated LS mean treatment difference (95% CI) was:</w:t>
      </w:r>
    </w:p>
    <w:p w14:paraId="06EF510D" w14:textId="2FA00DB8" w:rsidR="00A7529F" w:rsidRDefault="00A7529F" w:rsidP="00A7529F">
      <w:pPr>
        <w:pStyle w:val="ListBullet"/>
      </w:pPr>
      <w:r>
        <w:t>0.58 (-0.73, 1.88) (FAS)</w:t>
      </w:r>
    </w:p>
    <w:p w14:paraId="2605252F" w14:textId="3AB135C8" w:rsidR="00A7529F" w:rsidRDefault="00A7529F" w:rsidP="00A7529F">
      <w:pPr>
        <w:pStyle w:val="ListBullet"/>
      </w:pPr>
      <w:r>
        <w:t>0.38 (-0.90. 1.66) (PPS)</w:t>
      </w:r>
    </w:p>
    <w:p w14:paraId="38F8E88C" w14:textId="13FC39C5" w:rsidR="00A7529F" w:rsidRDefault="00A7529F" w:rsidP="00A7529F">
      <w:r>
        <w:t>This was within the pre-defined equivalence margin of ±3 letters (-3.0, 3.0) with the 95% CI</w:t>
      </w:r>
      <w:r w:rsidR="0024419F">
        <w:rPr>
          <w:rFonts w:hint="eastAsia"/>
          <w:lang w:eastAsia="ko-KR"/>
        </w:rPr>
        <w:t xml:space="preserve"> </w:t>
      </w:r>
      <w:r w:rsidR="0024419F" w:rsidRPr="0024419F">
        <w:rPr>
          <w:lang w:eastAsia="ko-KR"/>
        </w:rPr>
        <w:t>for the estimate of treatment difference in LS means</w:t>
      </w:r>
      <w:r>
        <w:t xml:space="preserve"> including 0 for both FAS and PPS.</w:t>
      </w:r>
    </w:p>
    <w:p w14:paraId="05BBCE1B" w14:textId="166AB2BC" w:rsidR="000A07FE" w:rsidRDefault="000A07FE" w:rsidP="000A07FE">
      <w:pPr>
        <w:pStyle w:val="TableTitle"/>
      </w:pPr>
      <w:r w:rsidRPr="000A07FE">
        <w:t xml:space="preserve">Table </w:t>
      </w:r>
      <w:r w:rsidR="009E1052">
        <w:t>4</w:t>
      </w:r>
      <w:r w:rsidRPr="000A07FE">
        <w:t>. Study CT-P42 3.1. Primary efficacy endpoint: Mean change from baseline in BCVA at Week 8 (FAS and PPS).</w:t>
      </w:r>
    </w:p>
    <w:p w14:paraId="4F341FF1" w14:textId="1DBA32E6" w:rsidR="00433CF6" w:rsidRPr="00A7529F" w:rsidRDefault="00433CF6" w:rsidP="00A7529F">
      <w:r w:rsidRPr="00E4062D">
        <w:rPr>
          <w:noProof/>
          <w:lang w:eastAsia="ja-JP"/>
        </w:rPr>
        <w:drawing>
          <wp:inline distT="0" distB="0" distL="0" distR="0" wp14:anchorId="0B3F6CF0" wp14:editId="2EF2E846">
            <wp:extent cx="5731510" cy="1333500"/>
            <wp:effectExtent l="0" t="0" r="2540" b="0"/>
            <wp:docPr id="9" name="Picture 9"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able with numbers and text&#10;&#10;AI-generated content may be incorrect."/>
                    <pic:cNvPicPr/>
                  </pic:nvPicPr>
                  <pic:blipFill rotWithShape="1">
                    <a:blip r:embed="rId30"/>
                    <a:srcRect b="38308"/>
                    <a:stretch>
                      <a:fillRect/>
                    </a:stretch>
                  </pic:blipFill>
                  <pic:spPr bwMode="auto">
                    <a:xfrm>
                      <a:off x="0" y="0"/>
                      <a:ext cx="5731510" cy="1333500"/>
                    </a:xfrm>
                    <a:prstGeom prst="rect">
                      <a:avLst/>
                    </a:prstGeom>
                    <a:ln>
                      <a:noFill/>
                    </a:ln>
                    <a:extLst>
                      <a:ext uri="{53640926-AAD7-44D8-BBD7-CCE9431645EC}">
                        <a14:shadowObscured xmlns:a14="http://schemas.microsoft.com/office/drawing/2010/main"/>
                      </a:ext>
                    </a:extLst>
                  </pic:spPr>
                </pic:pic>
              </a:graphicData>
            </a:graphic>
          </wp:inline>
        </w:drawing>
      </w:r>
    </w:p>
    <w:p w14:paraId="7AC4E162" w14:textId="361E36A8" w:rsidR="00DB672D" w:rsidRDefault="00DB672D" w:rsidP="00DB672D">
      <w:pPr>
        <w:pStyle w:val="TableDescription"/>
      </w:pPr>
      <w:r>
        <w:t>Abbreviations: ANCOVA, analysis of covariance: BCVA</w:t>
      </w:r>
      <w:r w:rsidR="00F165A0">
        <w:rPr>
          <w:rFonts w:eastAsiaTheme="minorEastAsia" w:hint="eastAsia"/>
          <w:lang w:eastAsia="ko-KR"/>
        </w:rPr>
        <w:t>,</w:t>
      </w:r>
      <w:r w:rsidR="00F165A0">
        <w:t xml:space="preserve"> </w:t>
      </w:r>
      <w:r>
        <w:t>Best Corrected Visual Acuity: FAS. full analysis set: LS, least squares; n. number of patients with BCVA score at Week 8; PP, per-protocol: SE. standard error.</w:t>
      </w:r>
    </w:p>
    <w:p w14:paraId="049C8764" w14:textId="29686ED0" w:rsidR="00103E9D" w:rsidRDefault="00DB672D" w:rsidP="00DB672D">
      <w:pPr>
        <w:pStyle w:val="TableDescription"/>
      </w:pPr>
      <w:r>
        <w:t>Notes: An ANCOVA was performed with change from baseline in BCVA at Week 8 as the dependent variable, treatment as a factor. and baseline BCVA and country as covariates. Statistical analyses for primary efficacy endpoint were conducted only for the study eye.</w:t>
      </w:r>
    </w:p>
    <w:p w14:paraId="4A74F466" w14:textId="5C68CDCE" w:rsidR="0013706E" w:rsidRDefault="0013706E" w:rsidP="00FB6B85">
      <w:r>
        <w:t>The sensitivity analysis of the primary endpoint which used multiple imputations and the missing at random assumption yielded a comparative result</w:t>
      </w:r>
      <w:r w:rsidR="008B27DE">
        <w:t>.</w:t>
      </w:r>
    </w:p>
    <w:p w14:paraId="03D0C89F" w14:textId="3BAC2D1B" w:rsidR="0013706E" w:rsidRDefault="0013706E" w:rsidP="00FB6B85">
      <w:r>
        <w:t>Subgroup analyses of the primary endpoint were generally consistent with the main analysis.</w:t>
      </w:r>
    </w:p>
    <w:p w14:paraId="7BAD2DE3" w14:textId="3B77B29F" w:rsidR="0013706E" w:rsidRDefault="0013706E" w:rsidP="00FB6B85">
      <w:r w:rsidRPr="00B83444">
        <w:rPr>
          <w:b/>
          <w:bCs/>
        </w:rPr>
        <w:t>Change from baseline in BCVA at Week 52</w:t>
      </w:r>
      <w:r>
        <w:t xml:space="preserve">: The least squares (LS) mean (standard error (SE)) change from baseline in BCVA was 12.1 (8.9) letters in the </w:t>
      </w:r>
      <w:r w:rsidR="00203706">
        <w:t>Eydenzelt</w:t>
      </w:r>
      <w:r>
        <w:t xml:space="preserve"> group, and 11.1 (9.9) letters in the </w:t>
      </w:r>
      <w:r w:rsidR="0000101D">
        <w:t>Eylea</w:t>
      </w:r>
      <w:r>
        <w:t xml:space="preserve"> group.</w:t>
      </w:r>
    </w:p>
    <w:p w14:paraId="7B3E3ABC" w14:textId="1903492B" w:rsidR="0013706E" w:rsidRDefault="0013706E" w:rsidP="008B27DE">
      <w:pPr>
        <w:pStyle w:val="Heading4"/>
      </w:pPr>
      <w:bookmarkStart w:id="52" w:name="_Toc213760488"/>
      <w:r>
        <w:t>Safety</w:t>
      </w:r>
      <w:bookmarkEnd w:id="52"/>
    </w:p>
    <w:p w14:paraId="1D602C25" w14:textId="77777777" w:rsidR="0013706E" w:rsidRDefault="0013706E" w:rsidP="00FB6B85">
      <w:r>
        <w:t xml:space="preserve">Study CT-P42 3.1 provided safety data for the main study period and the extension study period. The Safety Set for Main Study Period (primary set for safety analysis) was defined as all randomly assigned patients who received at least 1 full or partial dose of study drug in Main Study Period. Patients were analysed based on the treatment </w:t>
      </w:r>
      <w:proofErr w:type="gramStart"/>
      <w:r>
        <w:t>actually received</w:t>
      </w:r>
      <w:proofErr w:type="gramEnd"/>
      <w:r>
        <w:t>.</w:t>
      </w:r>
    </w:p>
    <w:p w14:paraId="0D8A4603" w14:textId="77777777" w:rsidR="0013706E" w:rsidRDefault="0013706E" w:rsidP="008B27DE">
      <w:pPr>
        <w:pStyle w:val="Heading5"/>
      </w:pPr>
      <w:r>
        <w:t>Exposure</w:t>
      </w:r>
    </w:p>
    <w:p w14:paraId="0CAC87E8" w14:textId="4375E456" w:rsidR="0013706E" w:rsidRDefault="0013706E" w:rsidP="00FB6B85">
      <w:r>
        <w:t xml:space="preserve">The extent of exposure to aflibercept in Study CT-P42 3.1 for the </w:t>
      </w:r>
      <w:r w:rsidR="00C1348C">
        <w:rPr>
          <w:rFonts w:hint="eastAsia"/>
          <w:lang w:eastAsia="ko-KR"/>
        </w:rPr>
        <w:t>summary</w:t>
      </w:r>
      <w:r>
        <w:t xml:space="preserve"> is shown in Table </w:t>
      </w:r>
      <w:r w:rsidR="009E1052">
        <w:t>5</w:t>
      </w:r>
      <w:r>
        <w:t xml:space="preserve">. During the extension study period, all 31 enrolled participants received a single dose of 2 mg </w:t>
      </w:r>
      <w:r w:rsidR="00203706">
        <w:t>Eydenzelt</w:t>
      </w:r>
      <w:r>
        <w:t xml:space="preserve"> PFS at extension Week 0. </w:t>
      </w:r>
      <w:proofErr w:type="gramStart"/>
      <w:r>
        <w:t>The majority of</w:t>
      </w:r>
      <w:proofErr w:type="gramEnd"/>
      <w:r>
        <w:t xml:space="preserve"> participants completed all nine injections during the main study period.</w:t>
      </w:r>
    </w:p>
    <w:p w14:paraId="4E5795E2" w14:textId="1724E622" w:rsidR="00206139" w:rsidRPr="00206139" w:rsidRDefault="0013706E" w:rsidP="00206139">
      <w:r>
        <w:lastRenderedPageBreak/>
        <w:t>348 patients with DME received 2 mg/0.05 mL of CT-P42 or EU-</w:t>
      </w:r>
      <w:r w:rsidR="0000101D">
        <w:t>Eylea</w:t>
      </w:r>
      <w:r>
        <w:t xml:space="preserve"> IVT injection every 4 weeks for 5 doses, and, then every 8 weeks for 4 doses: 174 patients were exposed to CT-</w:t>
      </w:r>
      <w:proofErr w:type="gramStart"/>
      <w:r>
        <w:t>P42</w:t>
      </w:r>
      <w:proofErr w:type="gramEnd"/>
      <w:r>
        <w:t xml:space="preserve"> and 174 patients were exposed to EU-</w:t>
      </w:r>
      <w:r w:rsidR="0000101D">
        <w:t>Eylea</w:t>
      </w:r>
      <w:r>
        <w:t>.</w:t>
      </w:r>
      <w:r w:rsidR="00206139">
        <w:rPr>
          <w:rFonts w:hint="eastAsia"/>
          <w:lang w:eastAsia="ko-KR"/>
        </w:rPr>
        <w:t xml:space="preserve"> </w:t>
      </w:r>
      <w:r w:rsidR="00206139" w:rsidRPr="00206139">
        <w:t>During the extension study period, 16 participants</w:t>
      </w:r>
      <w:r w:rsidR="00206139">
        <w:rPr>
          <w:rFonts w:hint="eastAsia"/>
          <w:lang w:eastAsia="ko-KR"/>
        </w:rPr>
        <w:t xml:space="preserve"> </w:t>
      </w:r>
      <w:r w:rsidR="00206139" w:rsidRPr="00206139">
        <w:t>received a single dose of CT-P42 after administration of EU-Eylea in the main study period.</w:t>
      </w:r>
    </w:p>
    <w:p w14:paraId="2F861378" w14:textId="16EAC8CC" w:rsidR="0013706E" w:rsidRDefault="0013706E" w:rsidP="00126C69">
      <w:pPr>
        <w:pStyle w:val="TableTitle"/>
      </w:pPr>
      <w:r>
        <w:t xml:space="preserve">Table </w:t>
      </w:r>
      <w:r w:rsidR="00D216C1">
        <w:t>5</w:t>
      </w:r>
      <w:r>
        <w:t>. Study CT-P42 3.1. Duration of exposure.</w:t>
      </w:r>
    </w:p>
    <w:p w14:paraId="3C4785C8" w14:textId="7CC8FDED" w:rsidR="00853754" w:rsidRDefault="00853754" w:rsidP="009711F7">
      <w:r w:rsidRPr="00056B0D">
        <w:rPr>
          <w:noProof/>
        </w:rPr>
        <w:drawing>
          <wp:inline distT="0" distB="0" distL="0" distR="0" wp14:anchorId="30A89704" wp14:editId="3B9A1EE8">
            <wp:extent cx="5731510" cy="3013364"/>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9935"/>
                    <a:stretch>
                      <a:fillRect/>
                    </a:stretch>
                  </pic:blipFill>
                  <pic:spPr bwMode="auto">
                    <a:xfrm>
                      <a:off x="0" y="0"/>
                      <a:ext cx="5731510" cy="3013364"/>
                    </a:xfrm>
                    <a:prstGeom prst="rect">
                      <a:avLst/>
                    </a:prstGeom>
                    <a:ln>
                      <a:noFill/>
                    </a:ln>
                    <a:extLst>
                      <a:ext uri="{53640926-AAD7-44D8-BBD7-CCE9431645EC}">
                        <a14:shadowObscured xmlns:a14="http://schemas.microsoft.com/office/drawing/2010/main"/>
                      </a:ext>
                    </a:extLst>
                  </pic:spPr>
                </pic:pic>
              </a:graphicData>
            </a:graphic>
          </wp:inline>
        </w:drawing>
      </w:r>
    </w:p>
    <w:p w14:paraId="171B376C" w14:textId="77777777" w:rsidR="00126C69" w:rsidRPr="00126C69" w:rsidRDefault="00126C69" w:rsidP="00126C69">
      <w:pPr>
        <w:pStyle w:val="TableDescription"/>
      </w:pPr>
      <w:r w:rsidRPr="00126C69">
        <w:t xml:space="preserve">Protocol Number: CT-P42 3.1. </w:t>
      </w:r>
    </w:p>
    <w:p w14:paraId="057CDAC8" w14:textId="14EB0493" w:rsidR="00126C69" w:rsidRPr="00126C69" w:rsidRDefault="00126C69" w:rsidP="00126C69">
      <w:pPr>
        <w:pStyle w:val="TableDescription"/>
      </w:pPr>
      <w:r w:rsidRPr="00126C69">
        <w:t>Abbreviation: n=number of patients.</w:t>
      </w:r>
    </w:p>
    <w:p w14:paraId="45CF287F" w14:textId="77777777" w:rsidR="00126C69" w:rsidRPr="00126C69" w:rsidRDefault="00126C69" w:rsidP="00126C69">
      <w:pPr>
        <w:pStyle w:val="TableDescription"/>
      </w:pPr>
      <w:r w:rsidRPr="00126C69">
        <w:t>*Patients who received a single dose of CT-P42 in the extension study period after administration of aflibercept reference product in the main study period.</w:t>
      </w:r>
    </w:p>
    <w:p w14:paraId="647D2E8F" w14:textId="78235B15" w:rsidR="00126C69" w:rsidRPr="00126C69" w:rsidRDefault="00126C69" w:rsidP="00126C69">
      <w:pPr>
        <w:pStyle w:val="TableDescription"/>
      </w:pPr>
      <w:r w:rsidRPr="00126C69">
        <w:t>**Patients exposed to aflibercept reference product during main study period is included in this column. Person time (days) for each arm is calculated as follows.</w:t>
      </w:r>
    </w:p>
    <w:p w14:paraId="31701A30" w14:textId="77777777" w:rsidR="00126C69" w:rsidRPr="00126C69" w:rsidRDefault="00126C69" w:rsidP="00126C69">
      <w:pPr>
        <w:pStyle w:val="TableDescription"/>
      </w:pPr>
      <w:r w:rsidRPr="00126C69">
        <w:t>CT-P42 only: Date of Last Exposure to Treatment — Date of First Exposure to Treatment + 1.</w:t>
      </w:r>
    </w:p>
    <w:p w14:paraId="34A96F0B" w14:textId="77777777" w:rsidR="00126C69" w:rsidRPr="00126C69" w:rsidRDefault="00126C69" w:rsidP="00126C69">
      <w:pPr>
        <w:pStyle w:val="TableDescription"/>
      </w:pPr>
      <w:r w:rsidRPr="00126C69">
        <w:t>CT-P42 after administration of aflibercept reference product: Date of Last Exposure to CT-P42 Treatment —</w:t>
      </w:r>
    </w:p>
    <w:p w14:paraId="6315B709" w14:textId="77777777" w:rsidR="00126C69" w:rsidRPr="00126C69" w:rsidRDefault="00126C69" w:rsidP="00126C69">
      <w:pPr>
        <w:pStyle w:val="TableDescription"/>
      </w:pPr>
      <w:r w:rsidRPr="00126C69">
        <w:t>Date of First Exposure to CT-P42 Treatment + 1.</w:t>
      </w:r>
    </w:p>
    <w:p w14:paraId="531BBD65" w14:textId="77777777" w:rsidR="00126C69" w:rsidRPr="00126C69" w:rsidRDefault="00126C69" w:rsidP="00126C69">
      <w:pPr>
        <w:pStyle w:val="TableDescription"/>
      </w:pPr>
      <w:r w:rsidRPr="00126C69">
        <w:t>CT-P42 total: Duration from ‘CT-P42 only’ and ‘CT-P42 after administration of aflibercept reference product’.</w:t>
      </w:r>
    </w:p>
    <w:p w14:paraId="6A3D9F76" w14:textId="77777777" w:rsidR="00126C69" w:rsidRPr="00126C69" w:rsidRDefault="00126C69" w:rsidP="00126C69">
      <w:pPr>
        <w:pStyle w:val="TableDescription"/>
      </w:pPr>
      <w:r w:rsidRPr="00126C69">
        <w:t>Aflibercept reference product: (Date of Last Exposure to Treatment — Date of First Exposure to Treatment + 1)</w:t>
      </w:r>
    </w:p>
    <w:p w14:paraId="3F52EEAC" w14:textId="591B4E8D" w:rsidR="00126C69" w:rsidRDefault="00126C69" w:rsidP="00126C69">
      <w:pPr>
        <w:pStyle w:val="TableDescription"/>
      </w:pPr>
      <w:r w:rsidRPr="00126C69">
        <w:t>or ([Date of First Exposure of CT-P42] — [Date of First Exposure to Treatment]).</w:t>
      </w:r>
    </w:p>
    <w:p w14:paraId="64B57DDF" w14:textId="77777777" w:rsidR="00E20DB7" w:rsidRPr="00E20DB7" w:rsidRDefault="00E20DB7" w:rsidP="00E20DB7">
      <w:pPr>
        <w:pStyle w:val="Heading5"/>
        <w:rPr>
          <w:rFonts w:eastAsia="Cambria"/>
          <w:i w:val="0"/>
          <w:iCs/>
        </w:rPr>
      </w:pPr>
      <w:r w:rsidRPr="00E20DB7">
        <w:rPr>
          <w:rFonts w:eastAsia="Cambria"/>
          <w:i w:val="0"/>
          <w:iCs/>
        </w:rPr>
        <w:t>Adverse event overview</w:t>
      </w:r>
    </w:p>
    <w:p w14:paraId="21AAB7E5" w14:textId="3200C9F9" w:rsidR="00E20DB7" w:rsidRPr="00E20DB7" w:rsidRDefault="00E20DB7" w:rsidP="00E20DB7">
      <w:bookmarkStart w:id="53" w:name="_Toc179549415"/>
      <w:r w:rsidRPr="00E20DB7">
        <w:t>Treatment emergent adverse events (TEAEs) regardless of causality are summarised in</w:t>
      </w:r>
      <w:r w:rsidR="00FF2FCC">
        <w:t xml:space="preserve"> Table 6</w:t>
      </w:r>
      <w:r w:rsidRPr="00E20DB7">
        <w:t xml:space="preserve">. </w:t>
      </w:r>
      <w:r w:rsidR="00F165A0">
        <w:rPr>
          <w:rFonts w:hint="eastAsia"/>
          <w:lang w:eastAsia="ko-KR"/>
        </w:rPr>
        <w:t xml:space="preserve">Overall, </w:t>
      </w:r>
      <w:r w:rsidRPr="00E20DB7">
        <w:t xml:space="preserve">226 (64.9%) participants reported at least one TEAE, with a similar proportion between groups (62.6% and 67.2% participants in the </w:t>
      </w:r>
      <w:r w:rsidR="00203706">
        <w:t>Eydenzelt</w:t>
      </w:r>
      <w:r w:rsidRPr="00E20DB7">
        <w:t xml:space="preserve"> and </w:t>
      </w:r>
      <w:r w:rsidR="0000101D">
        <w:t>Eylea</w:t>
      </w:r>
      <w:r w:rsidRPr="00E20DB7">
        <w:t xml:space="preserve"> treatment groups, respectively). A total of 587 TEAEs were reported, with 269 TEAEs in the </w:t>
      </w:r>
      <w:r w:rsidR="00203706">
        <w:t>Eydenzelt</w:t>
      </w:r>
      <w:r w:rsidRPr="00E20DB7">
        <w:t xml:space="preserve"> group, and 318 in the </w:t>
      </w:r>
      <w:r w:rsidR="0000101D">
        <w:t>Eylea</w:t>
      </w:r>
      <w:r w:rsidRPr="00E20DB7">
        <w:t xml:space="preserve"> group. Most participants experienced TEAEs of grade 1 or 2 in severity intensity. </w:t>
      </w:r>
      <w:r w:rsidRPr="00B528CA">
        <w:t xml:space="preserve">Within the </w:t>
      </w:r>
      <w:r w:rsidR="00203706" w:rsidRPr="00B528CA">
        <w:t>Eydenzelt</w:t>
      </w:r>
      <w:r w:rsidRPr="00B528CA">
        <w:t xml:space="preserve"> treatment group, 32 (18.4%) and 47 (27.0%) participants experienced at least one TEAE of highest severity of grade 1 or grade 2, respectively, regardless of relationship to the study drug. This</w:t>
      </w:r>
      <w:r w:rsidRPr="00E20DB7">
        <w:t xml:space="preserve"> was </w:t>
      </w:r>
      <w:proofErr w:type="gramStart"/>
      <w:r w:rsidRPr="00E20DB7">
        <w:t>similar to</w:t>
      </w:r>
      <w:proofErr w:type="gramEnd"/>
      <w:r w:rsidRPr="00E20DB7">
        <w:t xml:space="preserve"> the </w:t>
      </w:r>
      <w:r w:rsidR="0000101D">
        <w:t>Eylea</w:t>
      </w:r>
      <w:r w:rsidRPr="00E20DB7">
        <w:t xml:space="preserve"> group, with 33 (18.9%) and 47 (27.0%) participants, respectively. Grade 3 TEAEs were reported for </w:t>
      </w:r>
      <w:r w:rsidR="003A5506" w:rsidRPr="00E20DB7">
        <w:t>3</w:t>
      </w:r>
      <w:r w:rsidR="003A5506">
        <w:rPr>
          <w:rFonts w:hint="eastAsia"/>
          <w:lang w:eastAsia="ko-KR"/>
        </w:rPr>
        <w:t>4</w:t>
      </w:r>
      <w:r w:rsidR="003A5506" w:rsidRPr="00E20DB7">
        <w:t xml:space="preserve"> </w:t>
      </w:r>
      <w:r w:rsidRPr="00E20DB7">
        <w:t>(</w:t>
      </w:r>
      <w:r w:rsidR="003A5506">
        <w:rPr>
          <w:rFonts w:hint="eastAsia"/>
          <w:lang w:eastAsia="ko-KR"/>
        </w:rPr>
        <w:t>19</w:t>
      </w:r>
      <w:r w:rsidRPr="00E20DB7">
        <w:t>.</w:t>
      </w:r>
      <w:r w:rsidR="003A5506">
        <w:rPr>
          <w:rFonts w:hint="eastAsia"/>
          <w:lang w:eastAsia="ko-KR"/>
        </w:rPr>
        <w:t>5</w:t>
      </w:r>
      <w:r w:rsidRPr="00E20DB7">
        <w:t xml:space="preserve">%) participants in the </w:t>
      </w:r>
      <w:r w:rsidR="00203706">
        <w:t>Eydenzelt</w:t>
      </w:r>
      <w:r w:rsidRPr="00E20DB7">
        <w:t xml:space="preserve"> group, and for 37 (21.3%) participants in the </w:t>
      </w:r>
      <w:r w:rsidR="0000101D">
        <w:t>Eylea</w:t>
      </w:r>
      <w:r w:rsidRPr="00E20DB7">
        <w:t xml:space="preserve"> group. Overall, five (1.4%) participants experienced a grade 4 TEAE, and five (1.4%) experienced a grade 5 TEAE.</w:t>
      </w:r>
    </w:p>
    <w:p w14:paraId="2D5D848A" w14:textId="2D1816E8" w:rsidR="00E20DB7" w:rsidRPr="00E20DB7" w:rsidRDefault="00E20DB7" w:rsidP="00E20DB7">
      <w:r w:rsidRPr="00E20DB7">
        <w:lastRenderedPageBreak/>
        <w:t xml:space="preserve">The most </w:t>
      </w:r>
      <w:r w:rsidR="00F165A0" w:rsidRPr="00F165A0">
        <w:t xml:space="preserve">frequently </w:t>
      </w:r>
      <w:r w:rsidRPr="00E20DB7">
        <w:t xml:space="preserve">reported TEAEs regardless of causality and by system organ class (SOC), were eye disorders, experienced by 51 (29.3%) participants in the </w:t>
      </w:r>
      <w:r w:rsidR="00203706">
        <w:t>Eydenzelt</w:t>
      </w:r>
      <w:r w:rsidRPr="00E20DB7">
        <w:t xml:space="preserve"> group, and 59 (33.9%) participants in the </w:t>
      </w:r>
      <w:r w:rsidR="0000101D">
        <w:t>Eylea</w:t>
      </w:r>
      <w:r w:rsidRPr="00E20DB7">
        <w:t xml:space="preserve"> group. The most </w:t>
      </w:r>
      <w:r w:rsidR="00F165A0" w:rsidRPr="00F165A0">
        <w:t xml:space="preserve">frequently </w:t>
      </w:r>
      <w:r w:rsidRPr="00E20DB7">
        <w:t>reported TEAE by preferred term was diabetic retinal oedema (17 (9.8%) vs. 23 (13.2%))</w:t>
      </w:r>
      <w:r w:rsidR="00F165A0">
        <w:rPr>
          <w:rFonts w:hint="eastAsia"/>
          <w:lang w:eastAsia="ko-KR"/>
        </w:rPr>
        <w:t xml:space="preserve"> </w:t>
      </w:r>
      <w:r w:rsidR="00F165A0" w:rsidRPr="00F165A0">
        <w:t>for the Eydenzelt group and Eylea group, respectively</w:t>
      </w:r>
      <w:r w:rsidRPr="00E20DB7">
        <w:t>. The most frequently reported grade 3 or higher TEAE by PT was hypertension (2 (1.1%) vs. 4 (2.3%))</w:t>
      </w:r>
      <w:r w:rsidR="00E519C7">
        <w:t xml:space="preserve"> </w:t>
      </w:r>
      <w:r w:rsidR="00F165A0" w:rsidRPr="00F165A0">
        <w:t>for the Eydenzelt group and Eylea group, respectively</w:t>
      </w:r>
      <w:r w:rsidRPr="00E20DB7">
        <w:t>.</w:t>
      </w:r>
    </w:p>
    <w:p w14:paraId="77B26C62" w14:textId="101EB61D" w:rsidR="00E20DB7" w:rsidRPr="00E20DB7" w:rsidRDefault="00E20DB7" w:rsidP="00E20DB7">
      <w:r w:rsidRPr="00E20DB7">
        <w:t xml:space="preserve">At least one non-ocular TEAE was reported by 86 (49.4%) participants in the </w:t>
      </w:r>
      <w:r w:rsidR="00203706">
        <w:t>Eydenzelt</w:t>
      </w:r>
      <w:r w:rsidRPr="00E20DB7">
        <w:t xml:space="preserve"> group, and by 93 (53.4%) participants in the </w:t>
      </w:r>
      <w:r w:rsidR="0000101D">
        <w:t>Eylea</w:t>
      </w:r>
      <w:r w:rsidRPr="00E20DB7">
        <w:t xml:space="preserve"> group. The most frequently reported PT was hypertension experienced by 11 (6.3%) and 16 (9.2%) participants, respectively.</w:t>
      </w:r>
    </w:p>
    <w:p w14:paraId="12F4EC08" w14:textId="0475C1B4" w:rsidR="00E20DB7" w:rsidRDefault="00E20DB7" w:rsidP="00E20DB7">
      <w:r w:rsidRPr="00E20DB7">
        <w:t xml:space="preserve">Ocular TEAEs in the study eye were reported for 31 (17.8%) of participants in the </w:t>
      </w:r>
      <w:r w:rsidR="00203706">
        <w:t>Eydenzelt</w:t>
      </w:r>
      <w:r w:rsidRPr="00E20DB7">
        <w:t xml:space="preserve"> group, and 38 (21.8%) in the </w:t>
      </w:r>
      <w:r w:rsidR="0000101D">
        <w:t>Eylea</w:t>
      </w:r>
      <w:r w:rsidRPr="00E20DB7">
        <w:t xml:space="preserve"> group (</w:t>
      </w:r>
      <w:r w:rsidR="00912B45">
        <w:t>Table 7</w:t>
      </w:r>
      <w:r w:rsidRPr="00E20DB7">
        <w:t>).</w:t>
      </w:r>
    </w:p>
    <w:p w14:paraId="4FB147A7" w14:textId="1D8B33EA" w:rsidR="00F165A0" w:rsidRPr="00E519C7" w:rsidRDefault="00F165A0" w:rsidP="00E519C7">
      <w:pPr>
        <w:pStyle w:val="Heading6"/>
      </w:pPr>
      <w:r w:rsidRPr="00E519C7">
        <w:t>CT-P42 3.1 Final CSR</w:t>
      </w:r>
    </w:p>
    <w:p w14:paraId="3FDC7008" w14:textId="6F507F8D" w:rsidR="00F165A0" w:rsidRPr="00F165A0" w:rsidRDefault="00F165A0" w:rsidP="00E20DB7">
      <w:pPr>
        <w:rPr>
          <w:lang w:eastAsia="ko-KR"/>
        </w:rPr>
      </w:pPr>
      <w:r w:rsidRPr="00F165A0">
        <w:t>During the Main Study Period, the proportion of patients who experienced at least 1 ocular TEAE in the study eye was similar in the CT-P42 group (31 [17.8%] patients) compared with the Eylea group (38 [21.8%] patients).</w:t>
      </w:r>
    </w:p>
    <w:p w14:paraId="590FAF45" w14:textId="078F5645" w:rsidR="00E20DB7" w:rsidRDefault="00E20DB7" w:rsidP="00E20DB7">
      <w:r w:rsidRPr="00E20DB7">
        <w:t xml:space="preserve">Ocular TEAEs in the fellow eye were reported for 37 (21.3%) participants in the </w:t>
      </w:r>
      <w:r w:rsidR="00203706">
        <w:t>Eydenzelt</w:t>
      </w:r>
      <w:r w:rsidRPr="00E20DB7">
        <w:t xml:space="preserve"> group, and 45 (25.9%) participants in the </w:t>
      </w:r>
      <w:r w:rsidR="0000101D">
        <w:t>Eylea</w:t>
      </w:r>
      <w:r w:rsidRPr="00E20DB7">
        <w:t xml:space="preserve"> group. </w:t>
      </w:r>
    </w:p>
    <w:p w14:paraId="6E911AC1" w14:textId="3CD140DD" w:rsidR="00F165A0" w:rsidRPr="00E519C7" w:rsidRDefault="00F165A0" w:rsidP="00E519C7">
      <w:pPr>
        <w:pStyle w:val="Heading6"/>
      </w:pPr>
      <w:r w:rsidRPr="00E519C7">
        <w:t>CT-P42 3.1 Final CSR</w:t>
      </w:r>
    </w:p>
    <w:p w14:paraId="4FBC6270" w14:textId="77777777" w:rsidR="00F165A0" w:rsidRDefault="00F165A0" w:rsidP="00F165A0">
      <w:r w:rsidRPr="00F165A0">
        <w:t>During the Main Study Period, the proportion of patients who experienced at least 1 ocular TEAE in the fellow eye was similar between the 2 treatment groups (37 [21.3%] patients in the CT-P42 group and 45 [25.9%] patients in the Eylea group).</w:t>
      </w:r>
    </w:p>
    <w:p w14:paraId="085F2E5A" w14:textId="77777777" w:rsidR="001D6BE9" w:rsidRPr="00E519C7" w:rsidRDefault="001D6BE9" w:rsidP="00E519C7">
      <w:pPr>
        <w:pStyle w:val="Heading6"/>
      </w:pPr>
      <w:r w:rsidRPr="00E519C7">
        <w:t xml:space="preserve">Extension study period (SS-E) </w:t>
      </w:r>
    </w:p>
    <w:p w14:paraId="6774C9D2" w14:textId="4681F994" w:rsidR="001D6BE9" w:rsidRPr="00F165A0" w:rsidRDefault="001D6BE9" w:rsidP="001D6BE9">
      <w:r w:rsidRPr="001D6BE9">
        <w:rPr>
          <w:lang w:val="en-US"/>
        </w:rPr>
        <w:t xml:space="preserve">Five TEAEs were reported for three (9.7%) participants, all of which were Grade 1 or Grade 2 in severity. One (3.2%) participant reported an ocular TEAE of ‘diabetic retinal oedema’ (Grade 2) in the fellow eye, and two participants reported non-ocular TEAEs of PTs ‘influenza’, ‘blood creatinine increased’, ‘blood uric acid increased’, and ‘glycosylated </w:t>
      </w:r>
      <w:proofErr w:type="spellStart"/>
      <w:r w:rsidRPr="001D6BE9">
        <w:rPr>
          <w:lang w:val="en-US"/>
        </w:rPr>
        <w:t>haemoglobin</w:t>
      </w:r>
      <w:proofErr w:type="spellEnd"/>
      <w:r w:rsidRPr="001D6BE9">
        <w:rPr>
          <w:lang w:val="en-US"/>
        </w:rPr>
        <w:t xml:space="preserve"> increased’. All five TEAEs were considered unrelated to the study drug.</w:t>
      </w:r>
    </w:p>
    <w:p w14:paraId="49C3C507" w14:textId="4FD6C717" w:rsidR="00E20DB7" w:rsidRDefault="00E20DB7" w:rsidP="00E5714D">
      <w:pPr>
        <w:pStyle w:val="TableTitle"/>
      </w:pPr>
      <w:bookmarkStart w:id="54" w:name="_Ref209620027"/>
      <w:r w:rsidRPr="00E20DB7">
        <w:t xml:space="preserve">Table </w:t>
      </w:r>
      <w:bookmarkEnd w:id="54"/>
      <w:r w:rsidR="00912B45">
        <w:t>6</w:t>
      </w:r>
      <w:r w:rsidRPr="00E20DB7">
        <w:t xml:space="preserve">. Study CT-P42 3.1. </w:t>
      </w:r>
      <w:r w:rsidR="00FF754F" w:rsidRPr="00FF754F">
        <w:t>Treatment-Emergent Adverse Events by Relationship and Intensity</w:t>
      </w:r>
      <w:r w:rsidRPr="00E20DB7">
        <w:t>.</w:t>
      </w:r>
      <w:bookmarkEnd w:id="53"/>
      <w:r w:rsidR="00C6189E">
        <w:t xml:space="preserve"> </w:t>
      </w:r>
      <w:r w:rsidR="00C6189E" w:rsidRPr="00C6189E">
        <w:t>Safety Set for Main Study Period</w:t>
      </w:r>
      <w:r w:rsidR="00C6189E">
        <w:t>.</w:t>
      </w:r>
    </w:p>
    <w:p w14:paraId="54BC6659" w14:textId="324C611C" w:rsidR="00E5714D" w:rsidRDefault="009B74DF" w:rsidP="009711F7">
      <w:r w:rsidRPr="009B74DF">
        <w:rPr>
          <w:noProof/>
        </w:rPr>
        <w:drawing>
          <wp:inline distT="0" distB="0" distL="0" distR="0" wp14:anchorId="37363AA0" wp14:editId="35281FB7">
            <wp:extent cx="5759450" cy="1408430"/>
            <wp:effectExtent l="0" t="0" r="0" b="1270"/>
            <wp:docPr id="13113837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83758" name="Picture 1" descr="A screenshot of a computer&#10;&#10;AI-generated content may be incorrect."/>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759450" cy="1408430"/>
                    </a:xfrm>
                    <a:prstGeom prst="rect">
                      <a:avLst/>
                    </a:prstGeom>
                  </pic:spPr>
                </pic:pic>
              </a:graphicData>
            </a:graphic>
          </wp:inline>
        </w:drawing>
      </w:r>
    </w:p>
    <w:p w14:paraId="02AB2E06" w14:textId="3269D46C" w:rsidR="0091242F" w:rsidRPr="0091242F" w:rsidRDefault="0091242F" w:rsidP="0091242F">
      <w:pPr>
        <w:pStyle w:val="TableDescription"/>
      </w:pPr>
      <w:r>
        <w:t>Note: The total number of TEAEs count includes events for all patients in the Safety set for Main Study Period. At each level of summarization, patients are counted once if they reported one or</w:t>
      </w:r>
      <w:r w:rsidR="00F418FF">
        <w:t xml:space="preserve"> </w:t>
      </w:r>
      <w:r>
        <w:t xml:space="preserve">more events. Only the most severe event is counted. The event </w:t>
      </w:r>
      <w:proofErr w:type="gramStart"/>
      <w:r>
        <w:t>is considered to be</w:t>
      </w:r>
      <w:proofErr w:type="gramEnd"/>
      <w:r>
        <w:t xml:space="preserve"> related if the relationship is defined as ‘Possible’, ‘Probable’ and ‘Definite’. The intensity is defined as Grade</w:t>
      </w:r>
      <w:r w:rsidR="00F418FF">
        <w:t xml:space="preserve"> </w:t>
      </w:r>
      <w:r>
        <w:t>1 = Mild, 2 = Moderate, 3 = Severe, 4 = Life-threatening, 5 = Death.</w:t>
      </w:r>
    </w:p>
    <w:p w14:paraId="6A1BFC02" w14:textId="77777777" w:rsidR="009711F7" w:rsidRDefault="00960759" w:rsidP="00960759">
      <w:pPr>
        <w:pStyle w:val="TableTitle"/>
      </w:pPr>
      <w:r w:rsidRPr="00960759">
        <w:lastRenderedPageBreak/>
        <w:t xml:space="preserve">Table </w:t>
      </w:r>
      <w:r w:rsidR="00912B45">
        <w:t>7</w:t>
      </w:r>
      <w:r w:rsidRPr="00960759">
        <w:t>. Study CT-P42 3.1. Ocular (study eye) TEAEs reported for ≥ 1% of participants in any treatment group by PT (Safety Set in main study period).</w:t>
      </w:r>
      <w:bookmarkStart w:id="55" w:name="_Toc314842514"/>
    </w:p>
    <w:p w14:paraId="2F54408F" w14:textId="64C163BB" w:rsidR="00C22214" w:rsidRDefault="00D7142C" w:rsidP="009711F7">
      <w:r w:rsidRPr="00D7142C">
        <w:rPr>
          <w:noProof/>
        </w:rPr>
        <w:drawing>
          <wp:inline distT="0" distB="0" distL="0" distR="0" wp14:anchorId="4E9E3D38" wp14:editId="695BF033">
            <wp:extent cx="5759450" cy="5293995"/>
            <wp:effectExtent l="0" t="0" r="0" b="1905"/>
            <wp:docPr id="48927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1741" name=""/>
                    <pic:cNvPicPr/>
                  </pic:nvPicPr>
                  <pic:blipFill>
                    <a:blip r:embed="rId34"/>
                    <a:stretch>
                      <a:fillRect/>
                    </a:stretch>
                  </pic:blipFill>
                  <pic:spPr>
                    <a:xfrm>
                      <a:off x="0" y="0"/>
                      <a:ext cx="5759450" cy="5293995"/>
                    </a:xfrm>
                    <a:prstGeom prst="rect">
                      <a:avLst/>
                    </a:prstGeom>
                  </pic:spPr>
                </pic:pic>
              </a:graphicData>
            </a:graphic>
          </wp:inline>
        </w:drawing>
      </w:r>
    </w:p>
    <w:p w14:paraId="5C8CEBC7" w14:textId="77777777" w:rsidR="00D66BA1" w:rsidRDefault="00D66BA1" w:rsidP="00D66BA1">
      <w:pPr>
        <w:pStyle w:val="Heading5"/>
        <w:rPr>
          <w:lang w:eastAsia="en-AU"/>
        </w:rPr>
      </w:pPr>
      <w:bookmarkStart w:id="56" w:name="_Toc103679298"/>
      <w:r>
        <w:rPr>
          <w:lang w:eastAsia="en-AU"/>
        </w:rPr>
        <w:t>Treatment related adverse event (adverse drug reaction) overview</w:t>
      </w:r>
    </w:p>
    <w:p w14:paraId="253E2B34" w14:textId="11EC9FE8" w:rsidR="00D66BA1" w:rsidRDefault="00D66BA1" w:rsidP="00D66BA1">
      <w:pPr>
        <w:rPr>
          <w:lang w:eastAsia="en-AU"/>
        </w:rPr>
      </w:pPr>
      <w:r>
        <w:rPr>
          <w:lang w:eastAsia="en-AU"/>
        </w:rPr>
        <w:t xml:space="preserve">Eight (4.6%) participants in the </w:t>
      </w:r>
      <w:r w:rsidR="00203706">
        <w:rPr>
          <w:lang w:eastAsia="en-AU"/>
        </w:rPr>
        <w:t>Eydenzelt</w:t>
      </w:r>
      <w:r>
        <w:rPr>
          <w:lang w:eastAsia="en-AU"/>
        </w:rPr>
        <w:t xml:space="preserve"> group and six (3.4%) participants in the </w:t>
      </w:r>
      <w:r w:rsidR="0000101D">
        <w:rPr>
          <w:lang w:eastAsia="en-AU"/>
        </w:rPr>
        <w:t>Eylea</w:t>
      </w:r>
      <w:r>
        <w:rPr>
          <w:lang w:eastAsia="en-AU"/>
        </w:rPr>
        <w:t xml:space="preserve"> group reported adverse events (AEs) which were considered related to the study treatment.</w:t>
      </w:r>
    </w:p>
    <w:p w14:paraId="045AD2F0" w14:textId="588D4CEC" w:rsidR="00206139" w:rsidRPr="00206139" w:rsidRDefault="00D66BA1" w:rsidP="00206139">
      <w:pPr>
        <w:rPr>
          <w:lang w:val="en-US" w:eastAsia="ko-KR"/>
        </w:rPr>
      </w:pPr>
      <w:r>
        <w:rPr>
          <w:lang w:eastAsia="en-AU"/>
        </w:rPr>
        <w:t xml:space="preserve">Two grade 3 ocular ADRs (epiretinal membrane, macular </w:t>
      </w:r>
      <w:proofErr w:type="spellStart"/>
      <w:r>
        <w:rPr>
          <w:lang w:eastAsia="en-AU"/>
        </w:rPr>
        <w:t>ischaemia</w:t>
      </w:r>
      <w:proofErr w:type="spellEnd"/>
      <w:r>
        <w:rPr>
          <w:lang w:eastAsia="en-AU"/>
        </w:rPr>
        <w:t xml:space="preserve"> (SAE)) and one grade 3 cardiac ADR (myocardial infarction) were reported in the </w:t>
      </w:r>
      <w:r w:rsidR="00203706">
        <w:rPr>
          <w:lang w:eastAsia="en-AU"/>
        </w:rPr>
        <w:t>Eydenzelt</w:t>
      </w:r>
      <w:r>
        <w:rPr>
          <w:lang w:eastAsia="en-AU"/>
        </w:rPr>
        <w:t xml:space="preserve"> group did not occur in the </w:t>
      </w:r>
      <w:r w:rsidR="0000101D">
        <w:rPr>
          <w:lang w:eastAsia="en-AU"/>
        </w:rPr>
        <w:t>Eylea</w:t>
      </w:r>
      <w:r>
        <w:rPr>
          <w:lang w:eastAsia="en-AU"/>
        </w:rPr>
        <w:t xml:space="preserve"> treatment group. However, arterial thromboembolic events after </w:t>
      </w:r>
      <w:r w:rsidR="00CB1746">
        <w:rPr>
          <w:lang w:eastAsia="en-AU"/>
        </w:rPr>
        <w:t>IVT</w:t>
      </w:r>
      <w:r>
        <w:rPr>
          <w:lang w:eastAsia="en-AU"/>
        </w:rPr>
        <w:t xml:space="preserve"> use of VEGF inhibitors are currently described in the reference </w:t>
      </w:r>
      <w:proofErr w:type="gramStart"/>
      <w:r>
        <w:rPr>
          <w:lang w:eastAsia="en-AU"/>
        </w:rPr>
        <w:t>PI.</w:t>
      </w:r>
      <w:r w:rsidR="00206139" w:rsidRPr="00206139">
        <w:rPr>
          <w:lang w:val="en-US" w:eastAsia="ko-KR"/>
        </w:rPr>
        <w:t>Ocular</w:t>
      </w:r>
      <w:proofErr w:type="gramEnd"/>
      <w:r w:rsidR="00206139" w:rsidRPr="00206139">
        <w:rPr>
          <w:lang w:val="en-US" w:eastAsia="ko-KR"/>
        </w:rPr>
        <w:t xml:space="preserve"> ADRs were reported for seven (4.0%) and four (2.3%) participants in the Eydenzelt and Eylea groups, respectively. The reported PTs were under the SOC ‘eye </w:t>
      </w:r>
      <w:proofErr w:type="gramStart"/>
      <w:r w:rsidR="00206139" w:rsidRPr="00206139">
        <w:rPr>
          <w:lang w:val="en-US" w:eastAsia="ko-KR"/>
        </w:rPr>
        <w:t>disorder’,</w:t>
      </w:r>
      <w:proofErr w:type="gramEnd"/>
      <w:r w:rsidR="00206139" w:rsidRPr="00206139">
        <w:rPr>
          <w:lang w:val="en-US" w:eastAsia="ko-KR"/>
        </w:rPr>
        <w:t xml:space="preserve"> and the PT ‘intraocular pressure </w:t>
      </w:r>
      <w:proofErr w:type="gramStart"/>
      <w:r w:rsidR="00206139" w:rsidRPr="00206139">
        <w:rPr>
          <w:lang w:val="en-US" w:eastAsia="ko-KR"/>
        </w:rPr>
        <w:t>increased’.</w:t>
      </w:r>
      <w:proofErr w:type="gramEnd"/>
      <w:r w:rsidR="00206139" w:rsidRPr="00206139">
        <w:rPr>
          <w:lang w:val="en-US" w:eastAsia="ko-KR"/>
        </w:rPr>
        <w:t xml:space="preserve"> No ocular TEAEs reported in the fellow eye were considered related to the study drug, and no ADRs were reported for the extension study period.</w:t>
      </w:r>
    </w:p>
    <w:p w14:paraId="37DA6DC6" w14:textId="77777777" w:rsidR="00D66BA1" w:rsidRDefault="00D66BA1" w:rsidP="00D66BA1">
      <w:pPr>
        <w:pStyle w:val="Heading5"/>
        <w:rPr>
          <w:lang w:eastAsia="en-AU"/>
        </w:rPr>
      </w:pPr>
      <w:r>
        <w:rPr>
          <w:lang w:eastAsia="en-AU"/>
        </w:rPr>
        <w:t>Deaths</w:t>
      </w:r>
    </w:p>
    <w:p w14:paraId="51B21A0C" w14:textId="1CFC1500" w:rsidR="00D66BA1" w:rsidRDefault="00D66BA1" w:rsidP="00D66BA1">
      <w:pPr>
        <w:rPr>
          <w:lang w:eastAsia="en-AU"/>
        </w:rPr>
      </w:pPr>
      <w:r>
        <w:rPr>
          <w:lang w:eastAsia="en-AU"/>
        </w:rPr>
        <w:t>Five participants died</w:t>
      </w:r>
      <w:r w:rsidR="009711F7">
        <w:rPr>
          <w:lang w:eastAsia="en-AU"/>
        </w:rPr>
        <w:t xml:space="preserve"> </w:t>
      </w:r>
      <w:r>
        <w:rPr>
          <w:lang w:eastAsia="en-AU"/>
        </w:rPr>
        <w:t xml:space="preserve">due to TEAEs, with 3 (1.7%) in the </w:t>
      </w:r>
      <w:r w:rsidR="00203706">
        <w:rPr>
          <w:lang w:eastAsia="en-AU"/>
        </w:rPr>
        <w:t>Eydenzelt</w:t>
      </w:r>
      <w:r>
        <w:rPr>
          <w:lang w:eastAsia="en-AU"/>
        </w:rPr>
        <w:t xml:space="preserve"> group and 2 (1.1%) in the </w:t>
      </w:r>
      <w:r w:rsidR="0000101D">
        <w:rPr>
          <w:lang w:eastAsia="en-AU"/>
        </w:rPr>
        <w:t>Eylea</w:t>
      </w:r>
      <w:r>
        <w:rPr>
          <w:lang w:eastAsia="en-AU"/>
        </w:rPr>
        <w:t xml:space="preserve"> group. In all cases, deaths were not considered related to the study drug.</w:t>
      </w:r>
    </w:p>
    <w:p w14:paraId="389E2563" w14:textId="77777777" w:rsidR="00D66BA1" w:rsidRDefault="00D66BA1" w:rsidP="00D66BA1">
      <w:pPr>
        <w:pStyle w:val="Heading5"/>
        <w:rPr>
          <w:lang w:eastAsia="en-AU"/>
        </w:rPr>
      </w:pPr>
      <w:r>
        <w:rPr>
          <w:lang w:eastAsia="en-AU"/>
        </w:rPr>
        <w:lastRenderedPageBreak/>
        <w:t>Serious adverse events</w:t>
      </w:r>
    </w:p>
    <w:p w14:paraId="260D1771" w14:textId="616263B0" w:rsidR="00D66BA1" w:rsidRDefault="00D66BA1" w:rsidP="00D66BA1">
      <w:pPr>
        <w:rPr>
          <w:lang w:eastAsia="en-AU"/>
        </w:rPr>
      </w:pPr>
      <w:r>
        <w:rPr>
          <w:lang w:eastAsia="en-AU"/>
        </w:rPr>
        <w:t>Treatment emergent serious adverse events (</w:t>
      </w:r>
      <w:r w:rsidR="00AC233B">
        <w:rPr>
          <w:rFonts w:hint="eastAsia"/>
          <w:lang w:eastAsia="ko-KR"/>
        </w:rPr>
        <w:t>TE</w:t>
      </w:r>
      <w:r>
        <w:rPr>
          <w:lang w:eastAsia="en-AU"/>
        </w:rPr>
        <w:t xml:space="preserve">SAEs) were reported for 19 (10.9%) participants in the </w:t>
      </w:r>
      <w:r w:rsidR="00203706">
        <w:rPr>
          <w:lang w:eastAsia="en-AU"/>
        </w:rPr>
        <w:t>Eydenzelt</w:t>
      </w:r>
      <w:r>
        <w:rPr>
          <w:lang w:eastAsia="en-AU"/>
        </w:rPr>
        <w:t xml:space="preserve"> group, and 17 (9.8%) participants in the </w:t>
      </w:r>
      <w:r w:rsidR="0000101D">
        <w:rPr>
          <w:lang w:eastAsia="en-AU"/>
        </w:rPr>
        <w:t>Eylea</w:t>
      </w:r>
      <w:r>
        <w:rPr>
          <w:lang w:eastAsia="en-AU"/>
        </w:rPr>
        <w:t xml:space="preserve"> group. Three (1.7%) participants in the </w:t>
      </w:r>
      <w:r w:rsidR="00203706">
        <w:rPr>
          <w:lang w:eastAsia="en-AU"/>
        </w:rPr>
        <w:t>Eydenzelt</w:t>
      </w:r>
      <w:r>
        <w:rPr>
          <w:lang w:eastAsia="en-AU"/>
        </w:rPr>
        <w:t xml:space="preserve"> group and two (1.1%) participants experienced at least one TEAE leading to death.</w:t>
      </w:r>
    </w:p>
    <w:p w14:paraId="5F4900AC" w14:textId="77777777" w:rsidR="00D66BA1" w:rsidRDefault="00D66BA1" w:rsidP="00D66BA1">
      <w:pPr>
        <w:pStyle w:val="Heading5"/>
        <w:rPr>
          <w:lang w:eastAsia="en-AU"/>
        </w:rPr>
      </w:pPr>
      <w:r>
        <w:rPr>
          <w:lang w:eastAsia="en-AU"/>
        </w:rPr>
        <w:t>Adverse events of special interest</w:t>
      </w:r>
    </w:p>
    <w:p w14:paraId="0EABB049" w14:textId="71C9C61A" w:rsidR="00D66BA1" w:rsidRDefault="00D66BA1" w:rsidP="00D66BA1">
      <w:pPr>
        <w:rPr>
          <w:lang w:eastAsia="en-AU"/>
        </w:rPr>
      </w:pPr>
      <w:r>
        <w:rPr>
          <w:lang w:eastAsia="en-AU"/>
        </w:rPr>
        <w:t xml:space="preserve">AEs of special interest (AESIs) included arterial thromboembolic events and </w:t>
      </w:r>
      <w:r w:rsidR="00CB1746">
        <w:rPr>
          <w:lang w:eastAsia="en-AU"/>
        </w:rPr>
        <w:t>IVT</w:t>
      </w:r>
      <w:r>
        <w:rPr>
          <w:lang w:eastAsia="en-AU"/>
        </w:rPr>
        <w:t xml:space="preserve"> therapy injection related reactions. </w:t>
      </w:r>
      <w:r w:rsidR="00F165A0" w:rsidRPr="00F165A0">
        <w:rPr>
          <w:lang w:eastAsia="en-AU"/>
        </w:rPr>
        <w:t>Eight</w:t>
      </w:r>
      <w:r>
        <w:rPr>
          <w:lang w:eastAsia="en-AU"/>
        </w:rPr>
        <w:t xml:space="preserve"> (4.6%) participants from each treatment group reported at least one arterial thromboembolic event. </w:t>
      </w:r>
      <w:r w:rsidR="00CB1746" w:rsidRPr="00CB1746">
        <w:rPr>
          <w:lang w:eastAsia="en-AU"/>
        </w:rPr>
        <w:t>IVT</w:t>
      </w:r>
      <w:r>
        <w:rPr>
          <w:lang w:eastAsia="en-AU"/>
        </w:rPr>
        <w:t xml:space="preserve"> injection procedure </w:t>
      </w:r>
      <w:r w:rsidR="00F165A0" w:rsidRPr="00F165A0">
        <w:rPr>
          <w:lang w:eastAsia="en-AU"/>
        </w:rPr>
        <w:t xml:space="preserve">related </w:t>
      </w:r>
      <w:r>
        <w:rPr>
          <w:lang w:eastAsia="en-AU"/>
        </w:rPr>
        <w:t xml:space="preserve">TEAEs were reported for 7 (4.0%) participants in the </w:t>
      </w:r>
      <w:r w:rsidR="00203706">
        <w:rPr>
          <w:lang w:eastAsia="en-AU"/>
        </w:rPr>
        <w:t>Eydenzelt</w:t>
      </w:r>
      <w:r>
        <w:rPr>
          <w:lang w:eastAsia="en-AU"/>
        </w:rPr>
        <w:t xml:space="preserve"> group, and 16 (9.2%) participants in the </w:t>
      </w:r>
      <w:r w:rsidR="0000101D">
        <w:rPr>
          <w:lang w:eastAsia="en-AU"/>
        </w:rPr>
        <w:t>Eylea</w:t>
      </w:r>
      <w:r>
        <w:rPr>
          <w:lang w:eastAsia="en-AU"/>
        </w:rPr>
        <w:t xml:space="preserve"> group.</w:t>
      </w:r>
    </w:p>
    <w:p w14:paraId="6B96A647" w14:textId="77777777" w:rsidR="00D66BA1" w:rsidRPr="00E519C7" w:rsidRDefault="00D66BA1" w:rsidP="00D66BA1">
      <w:pPr>
        <w:pStyle w:val="Heading5"/>
        <w:rPr>
          <w:rFonts w:eastAsiaTheme="minorEastAsia"/>
          <w:lang w:eastAsia="ko-KR"/>
        </w:rPr>
      </w:pPr>
      <w:r>
        <w:rPr>
          <w:lang w:eastAsia="en-AU"/>
        </w:rPr>
        <w:t>Immunogenicity</w:t>
      </w:r>
    </w:p>
    <w:p w14:paraId="0D75CFC2" w14:textId="2FFD1EA7" w:rsidR="00D66BA1" w:rsidRDefault="00F165A0" w:rsidP="00D66BA1">
      <w:pPr>
        <w:rPr>
          <w:lang w:eastAsia="en-AU"/>
        </w:rPr>
      </w:pPr>
      <w:r w:rsidRPr="00F165A0">
        <w:rPr>
          <w:lang w:eastAsia="en-AU"/>
        </w:rPr>
        <w:t>Three</w:t>
      </w:r>
      <w:r w:rsidR="00D66BA1">
        <w:rPr>
          <w:lang w:eastAsia="en-AU"/>
        </w:rPr>
        <w:t xml:space="preserve"> (1.7%) participants in the </w:t>
      </w:r>
      <w:r w:rsidR="00203706">
        <w:rPr>
          <w:lang w:eastAsia="en-AU"/>
        </w:rPr>
        <w:t>Eydenzelt</w:t>
      </w:r>
      <w:r w:rsidR="00D66BA1">
        <w:rPr>
          <w:lang w:eastAsia="en-AU"/>
        </w:rPr>
        <w:t xml:space="preserve"> group and 2 (1.1%) participants in the </w:t>
      </w:r>
      <w:r w:rsidR="0000101D">
        <w:rPr>
          <w:lang w:eastAsia="en-AU"/>
        </w:rPr>
        <w:t>Eylea</w:t>
      </w:r>
      <w:r w:rsidR="00D66BA1">
        <w:rPr>
          <w:lang w:eastAsia="en-AU"/>
        </w:rPr>
        <w:t xml:space="preserve"> group tested positive for ADA at Week 0 prior to </w:t>
      </w:r>
      <w:r w:rsidRPr="00F165A0">
        <w:rPr>
          <w:lang w:eastAsia="en-AU"/>
        </w:rPr>
        <w:t>first study drug administration</w:t>
      </w:r>
      <w:r w:rsidR="00D66BA1">
        <w:rPr>
          <w:lang w:eastAsia="en-AU"/>
        </w:rPr>
        <w:t>. All 5 participants were negative for NAb.</w:t>
      </w:r>
    </w:p>
    <w:p w14:paraId="7BAFF08F" w14:textId="6F79546B" w:rsidR="00D66BA1" w:rsidRDefault="00D66BA1" w:rsidP="00D66BA1">
      <w:pPr>
        <w:rPr>
          <w:lang w:eastAsia="en-AU"/>
        </w:rPr>
      </w:pPr>
      <w:r>
        <w:rPr>
          <w:lang w:eastAsia="en-AU"/>
        </w:rPr>
        <w:t xml:space="preserve">During the main study period, 169 (97.1%) participants in each treatment group maintained negative ADA results following first study drug administration. 3 (1.7%) participants in the </w:t>
      </w:r>
      <w:r w:rsidR="00203706">
        <w:rPr>
          <w:lang w:eastAsia="en-AU"/>
        </w:rPr>
        <w:t>Eydenzelt</w:t>
      </w:r>
      <w:r>
        <w:rPr>
          <w:lang w:eastAsia="en-AU"/>
        </w:rPr>
        <w:t xml:space="preserve"> group and 4 (2.3%) participants in the </w:t>
      </w:r>
      <w:r w:rsidR="0000101D">
        <w:rPr>
          <w:lang w:eastAsia="en-AU"/>
        </w:rPr>
        <w:t>Eylea</w:t>
      </w:r>
      <w:r>
        <w:rPr>
          <w:lang w:eastAsia="en-AU"/>
        </w:rPr>
        <w:t xml:space="preserve"> group reported at least one ADA positive result after first drug administration. 2 participants in each treatment group reported positive NAb results at post-treatment visits, and one participant in each treatment group were ADA positive at Week 0 and at all post-treatment visits.</w:t>
      </w:r>
    </w:p>
    <w:p w14:paraId="27AC88CC" w14:textId="77777777" w:rsidR="00D66BA1" w:rsidRDefault="00D66BA1" w:rsidP="00D66BA1">
      <w:pPr>
        <w:pStyle w:val="Heading5"/>
        <w:rPr>
          <w:lang w:eastAsia="en-AU"/>
        </w:rPr>
      </w:pPr>
      <w:r>
        <w:rPr>
          <w:lang w:eastAsia="en-AU"/>
        </w:rPr>
        <w:t>Special populations</w:t>
      </w:r>
    </w:p>
    <w:p w14:paraId="2108D4DA" w14:textId="22B70006" w:rsidR="00D66BA1" w:rsidRDefault="00D66BA1" w:rsidP="00D66BA1">
      <w:pPr>
        <w:rPr>
          <w:lang w:eastAsia="en-AU"/>
        </w:rPr>
      </w:pPr>
      <w:r>
        <w:rPr>
          <w:lang w:eastAsia="en-AU"/>
        </w:rPr>
        <w:t xml:space="preserve">The safety profiles of </w:t>
      </w:r>
      <w:r w:rsidR="00203706">
        <w:rPr>
          <w:lang w:eastAsia="en-AU"/>
        </w:rPr>
        <w:t>Eydenzelt</w:t>
      </w:r>
      <w:r>
        <w:rPr>
          <w:lang w:eastAsia="en-AU"/>
        </w:rPr>
        <w:t xml:space="preserve"> and </w:t>
      </w:r>
      <w:r w:rsidR="0000101D">
        <w:rPr>
          <w:lang w:eastAsia="en-AU"/>
        </w:rPr>
        <w:t>Eylea</w:t>
      </w:r>
      <w:r>
        <w:rPr>
          <w:lang w:eastAsia="en-AU"/>
        </w:rPr>
        <w:t xml:space="preserve"> administered to individuals with DME were generally similar across age, race, and sex subgroups in Study CT-P42 3.1. No notable trends were observed.</w:t>
      </w:r>
    </w:p>
    <w:p w14:paraId="6ADA6165" w14:textId="77777777" w:rsidR="00D66BA1" w:rsidRDefault="00D66BA1" w:rsidP="00D66BA1">
      <w:pPr>
        <w:pStyle w:val="Heading5"/>
        <w:rPr>
          <w:lang w:eastAsia="en-AU"/>
        </w:rPr>
      </w:pPr>
      <w:r>
        <w:rPr>
          <w:lang w:eastAsia="en-AU"/>
        </w:rPr>
        <w:t>Human factor/useability sub-study</w:t>
      </w:r>
    </w:p>
    <w:p w14:paraId="56D7545B" w14:textId="0A26F948" w:rsidR="00D66BA1" w:rsidRDefault="00D66BA1" w:rsidP="00D66BA1">
      <w:pPr>
        <w:rPr>
          <w:lang w:eastAsia="en-AU"/>
        </w:rPr>
      </w:pPr>
      <w:r>
        <w:rPr>
          <w:lang w:eastAsia="en-AU"/>
        </w:rPr>
        <w:t xml:space="preserve">Usability assessments for the proposed </w:t>
      </w:r>
      <w:r w:rsidR="00203706">
        <w:rPr>
          <w:lang w:eastAsia="en-AU"/>
        </w:rPr>
        <w:t>Eydenzelt</w:t>
      </w:r>
      <w:r>
        <w:rPr>
          <w:lang w:eastAsia="en-AU"/>
        </w:rPr>
        <w:t xml:space="preserve"> vial kit and PFS were incorporated into the main study period (vial kit) and extension study period (PFS) of Study CT-P42 3.1. The aim of was to evaluate the ability of the administering ophthalmologists to follow the instructions for use and administer the </w:t>
      </w:r>
      <w:r w:rsidR="00CB1746" w:rsidRPr="00CB1746">
        <w:rPr>
          <w:lang w:eastAsia="en-AU"/>
        </w:rPr>
        <w:t xml:space="preserve">IVT </w:t>
      </w:r>
      <w:r>
        <w:rPr>
          <w:lang w:eastAsia="en-AU"/>
        </w:rPr>
        <w:t>injection.</w:t>
      </w:r>
    </w:p>
    <w:p w14:paraId="1DCBF9DB" w14:textId="77777777" w:rsidR="00D66BA1" w:rsidRDefault="00D66BA1" w:rsidP="00D66BA1">
      <w:pPr>
        <w:rPr>
          <w:lang w:eastAsia="en-AU"/>
        </w:rPr>
      </w:pPr>
      <w:r>
        <w:rPr>
          <w:lang w:eastAsia="en-AU"/>
        </w:rPr>
        <w:t>A 100% successful injection rate (vial kit) by the healthcare professionals was observed for all 95 participants in the main study period.  A 100% successful injection (PFS) rate by the healthcare professionals was observed for all 30 participants in the extension study period.</w:t>
      </w:r>
    </w:p>
    <w:p w14:paraId="353D1562" w14:textId="77777777" w:rsidR="00D66BA1" w:rsidRDefault="00D66BA1" w:rsidP="00D66BA1">
      <w:pPr>
        <w:pStyle w:val="Heading5"/>
        <w:rPr>
          <w:lang w:eastAsia="en-AU"/>
        </w:rPr>
      </w:pPr>
      <w:r>
        <w:rPr>
          <w:lang w:eastAsia="en-AU"/>
        </w:rPr>
        <w:t>Post-market experience</w:t>
      </w:r>
    </w:p>
    <w:p w14:paraId="54BCB58B" w14:textId="4C9BD937" w:rsidR="00D66BA1" w:rsidRDefault="00D66BA1" w:rsidP="00D66BA1">
      <w:pPr>
        <w:rPr>
          <w:lang w:eastAsia="en-AU"/>
        </w:rPr>
      </w:pPr>
      <w:r>
        <w:rPr>
          <w:lang w:eastAsia="en-AU"/>
        </w:rPr>
        <w:t xml:space="preserve">No post-marketing data are available as </w:t>
      </w:r>
      <w:r w:rsidR="00203706">
        <w:rPr>
          <w:lang w:eastAsia="en-AU"/>
        </w:rPr>
        <w:t>Eydenzelt</w:t>
      </w:r>
      <w:r>
        <w:rPr>
          <w:lang w:eastAsia="en-AU"/>
        </w:rPr>
        <w:t xml:space="preserve"> has not been marketed in any health jurisdiction.</w:t>
      </w:r>
    </w:p>
    <w:p w14:paraId="2858B006" w14:textId="1CCBE27E" w:rsidR="00C22214" w:rsidRDefault="00C22214" w:rsidP="00C22214">
      <w:pPr>
        <w:pStyle w:val="Heading3"/>
        <w:rPr>
          <w:lang w:eastAsia="en-AU"/>
        </w:rPr>
      </w:pPr>
      <w:bookmarkStart w:id="57" w:name="_Toc213760489"/>
      <w:r>
        <w:rPr>
          <w:lang w:eastAsia="en-AU"/>
        </w:rPr>
        <w:t>Risk management plan</w:t>
      </w:r>
      <w:bookmarkEnd w:id="55"/>
      <w:bookmarkEnd w:id="56"/>
      <w:bookmarkEnd w:id="57"/>
    </w:p>
    <w:p w14:paraId="7FB7C241" w14:textId="5FFDDC19" w:rsidR="00CD3C0A" w:rsidRDefault="00CD3C0A" w:rsidP="00C22214">
      <w:pPr>
        <w:rPr>
          <w:szCs w:val="22"/>
        </w:rPr>
      </w:pPr>
      <w:bookmarkStart w:id="58" w:name="_Toc247691531"/>
      <w:bookmarkStart w:id="59" w:name="_Toc314842515"/>
      <w:r w:rsidRPr="00CD3C0A">
        <w:rPr>
          <w:szCs w:val="22"/>
        </w:rPr>
        <w:t xml:space="preserve">Pharma to Market Pty Ltd, on behalf of Celltrion HealthCare Australia Pty Ltd, has submitted EU-RMP version 0.2 (dated 3 November 2023; DLP 21 July 2023) and ASA version 1.0 (dated 13 December 2023) in support of this application. In response to the section 31 request, the sponsor has provided ASA version 1.1 (dated 19 August 2024) in association with the EU-RMP </w:t>
      </w:r>
      <w:r w:rsidRPr="00CD3C0A">
        <w:rPr>
          <w:szCs w:val="22"/>
        </w:rPr>
        <w:lastRenderedPageBreak/>
        <w:t>version 0.3 (dated 12 July 2024; DLP 21 July 2023). In response to the round 2 recommendations, the sponsor has provided ASA version 1.2 (dated 14 October 2024) in association with the previously submitted EU-RMP version 0.3 (dated 12 July 2024; DLP 21 July 2023).</w:t>
      </w:r>
    </w:p>
    <w:p w14:paraId="39F3CD1D" w14:textId="4B432C9F" w:rsidR="0072003B" w:rsidRPr="00BD5DBD" w:rsidRDefault="00C22214" w:rsidP="00C22214">
      <w:pPr>
        <w:rPr>
          <w:szCs w:val="22"/>
        </w:rPr>
      </w:pPr>
      <w:r w:rsidRPr="00BD5DBD">
        <w:rPr>
          <w:szCs w:val="22"/>
        </w:rPr>
        <w:t>The summary of safety concerns and their associated risk monitoring and mitigation strategies are summarised in</w:t>
      </w:r>
      <w:r w:rsidR="00053BFA">
        <w:rPr>
          <w:szCs w:val="22"/>
        </w:rPr>
        <w:t xml:space="preserve"> Table 8</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6CABE71F" w:rsidR="006A277A" w:rsidRDefault="00C22214" w:rsidP="00C22214">
      <w:pPr>
        <w:pStyle w:val="TableTitle"/>
      </w:pPr>
      <w:bookmarkStart w:id="60" w:name="_Ref97629131"/>
      <w:r>
        <w:t xml:space="preserve">Table </w:t>
      </w:r>
      <w:bookmarkEnd w:id="60"/>
      <w:r w:rsidR="00053BFA">
        <w:t>8</w:t>
      </w:r>
      <w:r>
        <w:t>: Summary of safety concerns</w:t>
      </w:r>
    </w:p>
    <w:tbl>
      <w:tblPr>
        <w:tblStyle w:val="TableGrid"/>
        <w:tblW w:w="946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327"/>
        <w:gridCol w:w="4400"/>
        <w:gridCol w:w="851"/>
        <w:gridCol w:w="1020"/>
        <w:gridCol w:w="823"/>
        <w:gridCol w:w="1048"/>
      </w:tblGrid>
      <w:tr w:rsidR="008A32B8" w:rsidRPr="00BF52F4" w14:paraId="314376AB" w14:textId="77777777" w:rsidTr="008A32B8">
        <w:trPr>
          <w:trHeight w:val="131"/>
          <w:jc w:val="center"/>
        </w:trPr>
        <w:tc>
          <w:tcPr>
            <w:tcW w:w="5727" w:type="dxa"/>
            <w:gridSpan w:val="2"/>
            <w:vMerge w:val="restart"/>
            <w:shd w:val="clear" w:color="auto" w:fill="DEEAF6"/>
          </w:tcPr>
          <w:p w14:paraId="0867C1D1" w14:textId="77777777" w:rsidR="008A32B8" w:rsidRPr="008A32B8" w:rsidRDefault="008A32B8" w:rsidP="009711F7">
            <w:r w:rsidRPr="008A32B8">
              <w:t>Summary of safety concerns</w:t>
            </w:r>
          </w:p>
        </w:tc>
        <w:tc>
          <w:tcPr>
            <w:tcW w:w="1871" w:type="dxa"/>
            <w:gridSpan w:val="2"/>
            <w:shd w:val="clear" w:color="auto" w:fill="DEEAF6"/>
          </w:tcPr>
          <w:p w14:paraId="0F8323D4" w14:textId="77777777" w:rsidR="008A32B8" w:rsidRPr="008A32B8" w:rsidRDefault="008A32B8" w:rsidP="009711F7">
            <w:pPr>
              <w:rPr>
                <w:sz w:val="18"/>
              </w:rPr>
            </w:pPr>
            <w:r w:rsidRPr="008A32B8">
              <w:rPr>
                <w:sz w:val="18"/>
              </w:rPr>
              <w:t>Pharmacovigilance</w:t>
            </w:r>
          </w:p>
        </w:tc>
        <w:tc>
          <w:tcPr>
            <w:tcW w:w="1871" w:type="dxa"/>
            <w:gridSpan w:val="2"/>
            <w:shd w:val="clear" w:color="auto" w:fill="DEEAF6"/>
          </w:tcPr>
          <w:p w14:paraId="350238A2" w14:textId="77777777" w:rsidR="008A32B8" w:rsidRPr="008A32B8" w:rsidRDefault="008A32B8" w:rsidP="009711F7">
            <w:pPr>
              <w:rPr>
                <w:sz w:val="18"/>
              </w:rPr>
            </w:pPr>
            <w:r w:rsidRPr="008A32B8">
              <w:rPr>
                <w:sz w:val="18"/>
              </w:rPr>
              <w:t>Risk Minimisation</w:t>
            </w:r>
          </w:p>
        </w:tc>
      </w:tr>
      <w:tr w:rsidR="008A32B8" w:rsidRPr="00BF52F4" w14:paraId="123E5D5D" w14:textId="77777777" w:rsidTr="008A32B8">
        <w:trPr>
          <w:trHeight w:val="150"/>
          <w:jc w:val="center"/>
        </w:trPr>
        <w:tc>
          <w:tcPr>
            <w:tcW w:w="5727" w:type="dxa"/>
            <w:gridSpan w:val="2"/>
            <w:vMerge/>
            <w:shd w:val="clear" w:color="auto" w:fill="DEEAF6"/>
          </w:tcPr>
          <w:p w14:paraId="042C5378" w14:textId="77777777" w:rsidR="008A32B8" w:rsidRPr="008A32B8" w:rsidRDefault="008A32B8" w:rsidP="009711F7"/>
        </w:tc>
        <w:tc>
          <w:tcPr>
            <w:tcW w:w="851" w:type="dxa"/>
            <w:shd w:val="clear" w:color="auto" w:fill="DEEAF6"/>
          </w:tcPr>
          <w:p w14:paraId="338AD1CD" w14:textId="77777777" w:rsidR="008A32B8" w:rsidRPr="008A32B8" w:rsidRDefault="008A32B8" w:rsidP="009711F7">
            <w:pPr>
              <w:rPr>
                <w:sz w:val="18"/>
              </w:rPr>
            </w:pPr>
            <w:r w:rsidRPr="008A32B8">
              <w:rPr>
                <w:sz w:val="18"/>
              </w:rPr>
              <w:t>Routine</w:t>
            </w:r>
          </w:p>
        </w:tc>
        <w:tc>
          <w:tcPr>
            <w:tcW w:w="1020" w:type="dxa"/>
            <w:shd w:val="clear" w:color="auto" w:fill="DEEAF6"/>
          </w:tcPr>
          <w:p w14:paraId="6F9F6994" w14:textId="77777777" w:rsidR="008A32B8" w:rsidRPr="008A32B8" w:rsidRDefault="008A32B8" w:rsidP="009711F7">
            <w:pPr>
              <w:rPr>
                <w:sz w:val="18"/>
              </w:rPr>
            </w:pPr>
            <w:r w:rsidRPr="008A32B8">
              <w:rPr>
                <w:sz w:val="18"/>
              </w:rPr>
              <w:t>Additional</w:t>
            </w:r>
          </w:p>
        </w:tc>
        <w:tc>
          <w:tcPr>
            <w:tcW w:w="823" w:type="dxa"/>
            <w:shd w:val="clear" w:color="auto" w:fill="DEEAF6"/>
          </w:tcPr>
          <w:p w14:paraId="51A2573D" w14:textId="77777777" w:rsidR="008A32B8" w:rsidRPr="008A32B8" w:rsidRDefault="008A32B8" w:rsidP="009711F7">
            <w:pPr>
              <w:rPr>
                <w:sz w:val="18"/>
              </w:rPr>
            </w:pPr>
            <w:r w:rsidRPr="008A32B8">
              <w:rPr>
                <w:sz w:val="18"/>
              </w:rPr>
              <w:t>Routine</w:t>
            </w:r>
          </w:p>
        </w:tc>
        <w:tc>
          <w:tcPr>
            <w:tcW w:w="1048" w:type="dxa"/>
            <w:shd w:val="clear" w:color="auto" w:fill="DEEAF6"/>
          </w:tcPr>
          <w:p w14:paraId="5BF99E65" w14:textId="77777777" w:rsidR="008A32B8" w:rsidRPr="008A32B8" w:rsidRDefault="008A32B8" w:rsidP="009711F7">
            <w:pPr>
              <w:rPr>
                <w:sz w:val="18"/>
              </w:rPr>
            </w:pPr>
            <w:r w:rsidRPr="008A32B8">
              <w:rPr>
                <w:sz w:val="18"/>
              </w:rPr>
              <w:t>Additional</w:t>
            </w:r>
          </w:p>
        </w:tc>
      </w:tr>
      <w:tr w:rsidR="008A32B8" w:rsidRPr="00BF52F4" w14:paraId="6A3C9EDE" w14:textId="77777777" w:rsidTr="008A32B8">
        <w:trPr>
          <w:trHeight w:val="137"/>
          <w:jc w:val="center"/>
        </w:trPr>
        <w:tc>
          <w:tcPr>
            <w:tcW w:w="1327" w:type="dxa"/>
            <w:vMerge w:val="restart"/>
          </w:tcPr>
          <w:p w14:paraId="7D907600" w14:textId="77777777" w:rsidR="008A32B8" w:rsidRPr="00BF52F4" w:rsidRDefault="008A32B8" w:rsidP="009711F7">
            <w:r w:rsidRPr="00BF52F4">
              <w:t>Important identified risks</w:t>
            </w:r>
          </w:p>
        </w:tc>
        <w:tc>
          <w:tcPr>
            <w:tcW w:w="4400" w:type="dxa"/>
          </w:tcPr>
          <w:p w14:paraId="2A0BC733" w14:textId="77777777" w:rsidR="008A32B8" w:rsidRPr="00BF52F4" w:rsidRDefault="008A32B8" w:rsidP="009711F7">
            <w:r>
              <w:t>Endophthalmitis (likely infectious origin)</w:t>
            </w:r>
          </w:p>
        </w:tc>
        <w:tc>
          <w:tcPr>
            <w:tcW w:w="851" w:type="dxa"/>
            <w:vAlign w:val="center"/>
          </w:tcPr>
          <w:p w14:paraId="20E5CA45" w14:textId="77777777" w:rsidR="008A32B8" w:rsidRPr="00CE6B4C" w:rsidRDefault="008A32B8" w:rsidP="009711F7">
            <w:r w:rsidRPr="00CE6B4C">
              <w:sym w:font="Wingdings" w:char="F0FC"/>
            </w:r>
            <w:r w:rsidRPr="00047C6C">
              <w:t>*</w:t>
            </w:r>
          </w:p>
        </w:tc>
        <w:tc>
          <w:tcPr>
            <w:tcW w:w="1020" w:type="dxa"/>
            <w:vAlign w:val="center"/>
          </w:tcPr>
          <w:p w14:paraId="2A8D6B45" w14:textId="77777777" w:rsidR="008A32B8" w:rsidRPr="00CE6B4C" w:rsidRDefault="008A32B8" w:rsidP="009711F7">
            <w:r w:rsidRPr="00CE6B4C">
              <w:t>–</w:t>
            </w:r>
          </w:p>
        </w:tc>
        <w:tc>
          <w:tcPr>
            <w:tcW w:w="823" w:type="dxa"/>
            <w:vAlign w:val="center"/>
          </w:tcPr>
          <w:p w14:paraId="0E59045F" w14:textId="77777777" w:rsidR="008A32B8" w:rsidRPr="00CE6B4C" w:rsidRDefault="008A32B8" w:rsidP="009711F7">
            <w:r w:rsidRPr="00CE6B4C">
              <w:sym w:font="Wingdings" w:char="F0FC"/>
            </w:r>
          </w:p>
        </w:tc>
        <w:tc>
          <w:tcPr>
            <w:tcW w:w="1048" w:type="dxa"/>
            <w:vAlign w:val="center"/>
          </w:tcPr>
          <w:p w14:paraId="08095CDF"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43CBD7D2" w14:textId="77777777" w:rsidTr="008A32B8">
        <w:trPr>
          <w:trHeight w:val="94"/>
          <w:jc w:val="center"/>
        </w:trPr>
        <w:tc>
          <w:tcPr>
            <w:tcW w:w="1327" w:type="dxa"/>
            <w:vMerge/>
          </w:tcPr>
          <w:p w14:paraId="32A78BE8" w14:textId="77777777" w:rsidR="008A32B8" w:rsidRPr="00BF52F4" w:rsidRDefault="008A32B8" w:rsidP="009711F7"/>
        </w:tc>
        <w:tc>
          <w:tcPr>
            <w:tcW w:w="4400" w:type="dxa"/>
          </w:tcPr>
          <w:p w14:paraId="60AF1447" w14:textId="77777777" w:rsidR="008A32B8" w:rsidRPr="00BF52F4" w:rsidRDefault="008A32B8" w:rsidP="009711F7">
            <w:r>
              <w:t>Intraocular inflammation</w:t>
            </w:r>
          </w:p>
        </w:tc>
        <w:tc>
          <w:tcPr>
            <w:tcW w:w="851" w:type="dxa"/>
            <w:vAlign w:val="center"/>
          </w:tcPr>
          <w:p w14:paraId="37A9CF32" w14:textId="77777777" w:rsidR="008A32B8" w:rsidRPr="00CE6B4C" w:rsidRDefault="008A32B8" w:rsidP="009711F7">
            <w:r w:rsidRPr="00CE6B4C">
              <w:sym w:font="Wingdings" w:char="F0FC"/>
            </w:r>
            <w:r w:rsidRPr="00047C6C">
              <w:t>*</w:t>
            </w:r>
          </w:p>
        </w:tc>
        <w:tc>
          <w:tcPr>
            <w:tcW w:w="1020" w:type="dxa"/>
            <w:vAlign w:val="center"/>
          </w:tcPr>
          <w:p w14:paraId="087E7E1E" w14:textId="77777777" w:rsidR="008A32B8" w:rsidRPr="00CE6B4C" w:rsidRDefault="008A32B8" w:rsidP="009711F7">
            <w:r w:rsidRPr="00CE6B4C">
              <w:t>–</w:t>
            </w:r>
          </w:p>
        </w:tc>
        <w:tc>
          <w:tcPr>
            <w:tcW w:w="823" w:type="dxa"/>
            <w:vAlign w:val="center"/>
          </w:tcPr>
          <w:p w14:paraId="77B90D47" w14:textId="77777777" w:rsidR="008A32B8" w:rsidRPr="00CE6B4C" w:rsidRDefault="008A32B8" w:rsidP="009711F7">
            <w:r w:rsidRPr="00CE6B4C">
              <w:sym w:font="Wingdings" w:char="F0FC"/>
            </w:r>
          </w:p>
        </w:tc>
        <w:tc>
          <w:tcPr>
            <w:tcW w:w="1048" w:type="dxa"/>
            <w:vAlign w:val="center"/>
          </w:tcPr>
          <w:p w14:paraId="113F4878"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3144F87C" w14:textId="77777777" w:rsidTr="008A32B8">
        <w:trPr>
          <w:trHeight w:val="94"/>
          <w:jc w:val="center"/>
        </w:trPr>
        <w:tc>
          <w:tcPr>
            <w:tcW w:w="1327" w:type="dxa"/>
            <w:vMerge/>
          </w:tcPr>
          <w:p w14:paraId="7E235DEA" w14:textId="77777777" w:rsidR="008A32B8" w:rsidRPr="00BF52F4" w:rsidRDefault="008A32B8" w:rsidP="009711F7"/>
        </w:tc>
        <w:tc>
          <w:tcPr>
            <w:tcW w:w="4400" w:type="dxa"/>
          </w:tcPr>
          <w:p w14:paraId="2DD6D6EA" w14:textId="77777777" w:rsidR="008A32B8" w:rsidRPr="00BF52F4" w:rsidRDefault="008A32B8" w:rsidP="009711F7">
            <w:r>
              <w:t>Transient intraocular pressure increase</w:t>
            </w:r>
          </w:p>
        </w:tc>
        <w:tc>
          <w:tcPr>
            <w:tcW w:w="851" w:type="dxa"/>
            <w:vAlign w:val="center"/>
          </w:tcPr>
          <w:p w14:paraId="25FFA10E" w14:textId="77777777" w:rsidR="008A32B8" w:rsidRPr="00CE6B4C" w:rsidRDefault="008A32B8" w:rsidP="009711F7">
            <w:r w:rsidRPr="00CE6B4C">
              <w:sym w:font="Wingdings" w:char="F0FC"/>
            </w:r>
            <w:r w:rsidRPr="00047C6C">
              <w:t>*</w:t>
            </w:r>
          </w:p>
        </w:tc>
        <w:tc>
          <w:tcPr>
            <w:tcW w:w="1020" w:type="dxa"/>
            <w:vAlign w:val="center"/>
          </w:tcPr>
          <w:p w14:paraId="5AD26BF4" w14:textId="77777777" w:rsidR="008A32B8" w:rsidRPr="00CE6B4C" w:rsidRDefault="008A32B8" w:rsidP="009711F7">
            <w:r w:rsidRPr="00CE6B4C">
              <w:t>–</w:t>
            </w:r>
          </w:p>
        </w:tc>
        <w:tc>
          <w:tcPr>
            <w:tcW w:w="823" w:type="dxa"/>
            <w:vAlign w:val="center"/>
          </w:tcPr>
          <w:p w14:paraId="55844F9F" w14:textId="77777777" w:rsidR="008A32B8" w:rsidRPr="00CE6B4C" w:rsidRDefault="008A32B8" w:rsidP="009711F7">
            <w:r w:rsidRPr="00CE6B4C">
              <w:sym w:font="Wingdings" w:char="F0FC"/>
            </w:r>
          </w:p>
        </w:tc>
        <w:tc>
          <w:tcPr>
            <w:tcW w:w="1048" w:type="dxa"/>
            <w:vAlign w:val="center"/>
          </w:tcPr>
          <w:p w14:paraId="4FEF7AC0"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1F47BCB8" w14:textId="77777777" w:rsidTr="008A32B8">
        <w:trPr>
          <w:trHeight w:val="94"/>
          <w:jc w:val="center"/>
        </w:trPr>
        <w:tc>
          <w:tcPr>
            <w:tcW w:w="1327" w:type="dxa"/>
            <w:vMerge/>
          </w:tcPr>
          <w:p w14:paraId="3DFD73A1" w14:textId="77777777" w:rsidR="008A32B8" w:rsidRPr="00BF52F4" w:rsidRDefault="008A32B8" w:rsidP="009711F7"/>
        </w:tc>
        <w:tc>
          <w:tcPr>
            <w:tcW w:w="4400" w:type="dxa"/>
          </w:tcPr>
          <w:p w14:paraId="3F49C560" w14:textId="77777777" w:rsidR="008A32B8" w:rsidRPr="00BF52F4" w:rsidRDefault="008A32B8" w:rsidP="009711F7">
            <w:r>
              <w:t>Retinal pigment epithelial tears</w:t>
            </w:r>
          </w:p>
        </w:tc>
        <w:tc>
          <w:tcPr>
            <w:tcW w:w="851" w:type="dxa"/>
            <w:vAlign w:val="center"/>
          </w:tcPr>
          <w:p w14:paraId="0C25BE35" w14:textId="77777777" w:rsidR="008A32B8" w:rsidRPr="00CE6B4C" w:rsidRDefault="008A32B8" w:rsidP="009711F7">
            <w:r w:rsidRPr="00CE6B4C">
              <w:sym w:font="Wingdings" w:char="F0FC"/>
            </w:r>
          </w:p>
        </w:tc>
        <w:tc>
          <w:tcPr>
            <w:tcW w:w="1020" w:type="dxa"/>
            <w:vAlign w:val="center"/>
          </w:tcPr>
          <w:p w14:paraId="1EFEB1ED" w14:textId="77777777" w:rsidR="008A32B8" w:rsidRPr="00CE6B4C" w:rsidRDefault="008A32B8" w:rsidP="009711F7">
            <w:r w:rsidRPr="00CE6B4C">
              <w:t>–</w:t>
            </w:r>
          </w:p>
        </w:tc>
        <w:tc>
          <w:tcPr>
            <w:tcW w:w="823" w:type="dxa"/>
            <w:vAlign w:val="center"/>
          </w:tcPr>
          <w:p w14:paraId="2BFC8D31" w14:textId="77777777" w:rsidR="008A32B8" w:rsidRPr="00CE6B4C" w:rsidRDefault="008A32B8" w:rsidP="009711F7">
            <w:r w:rsidRPr="00CE6B4C">
              <w:sym w:font="Wingdings" w:char="F0FC"/>
            </w:r>
          </w:p>
        </w:tc>
        <w:tc>
          <w:tcPr>
            <w:tcW w:w="1048" w:type="dxa"/>
            <w:vAlign w:val="center"/>
          </w:tcPr>
          <w:p w14:paraId="12C15E34"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0E731313" w14:textId="77777777" w:rsidTr="008A32B8">
        <w:trPr>
          <w:trHeight w:val="187"/>
          <w:jc w:val="center"/>
        </w:trPr>
        <w:tc>
          <w:tcPr>
            <w:tcW w:w="1327" w:type="dxa"/>
            <w:vMerge/>
          </w:tcPr>
          <w:p w14:paraId="1E1FB1CB" w14:textId="77777777" w:rsidR="008A32B8" w:rsidRPr="00BF52F4" w:rsidRDefault="008A32B8" w:rsidP="009711F7"/>
        </w:tc>
        <w:tc>
          <w:tcPr>
            <w:tcW w:w="4400" w:type="dxa"/>
          </w:tcPr>
          <w:p w14:paraId="40F46F25" w14:textId="77777777" w:rsidR="008A32B8" w:rsidRPr="00BF52F4" w:rsidRDefault="008A32B8" w:rsidP="009711F7">
            <w:r>
              <w:t>Cataract (especially of traumatic origin)</w:t>
            </w:r>
          </w:p>
        </w:tc>
        <w:tc>
          <w:tcPr>
            <w:tcW w:w="851" w:type="dxa"/>
            <w:vAlign w:val="center"/>
          </w:tcPr>
          <w:p w14:paraId="7C58B355" w14:textId="77777777" w:rsidR="008A32B8" w:rsidRPr="00CE6B4C" w:rsidRDefault="008A32B8" w:rsidP="009711F7">
            <w:r w:rsidRPr="00CE6B4C">
              <w:sym w:font="Wingdings" w:char="F0FC"/>
            </w:r>
          </w:p>
        </w:tc>
        <w:tc>
          <w:tcPr>
            <w:tcW w:w="1020" w:type="dxa"/>
            <w:vAlign w:val="center"/>
          </w:tcPr>
          <w:p w14:paraId="71E4BC5C" w14:textId="77777777" w:rsidR="008A32B8" w:rsidRPr="00CE6B4C" w:rsidRDefault="008A32B8" w:rsidP="009711F7">
            <w:r w:rsidRPr="00CE6B4C">
              <w:t>–</w:t>
            </w:r>
          </w:p>
        </w:tc>
        <w:tc>
          <w:tcPr>
            <w:tcW w:w="823" w:type="dxa"/>
            <w:vAlign w:val="center"/>
          </w:tcPr>
          <w:p w14:paraId="6F1B189E" w14:textId="77777777" w:rsidR="008A32B8" w:rsidRPr="00CE6B4C" w:rsidRDefault="008A32B8" w:rsidP="009711F7">
            <w:r w:rsidRPr="00CE6B4C">
              <w:sym w:font="Wingdings" w:char="F0FC"/>
            </w:r>
          </w:p>
        </w:tc>
        <w:tc>
          <w:tcPr>
            <w:tcW w:w="1048" w:type="dxa"/>
            <w:vAlign w:val="center"/>
          </w:tcPr>
          <w:p w14:paraId="7D8C67B2"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4F29D86E" w14:textId="77777777" w:rsidTr="008A32B8">
        <w:trPr>
          <w:trHeight w:val="159"/>
          <w:jc w:val="center"/>
        </w:trPr>
        <w:tc>
          <w:tcPr>
            <w:tcW w:w="1327" w:type="dxa"/>
            <w:vMerge w:val="restart"/>
          </w:tcPr>
          <w:p w14:paraId="6FAF79AB" w14:textId="77777777" w:rsidR="008A32B8" w:rsidRPr="00BF52F4" w:rsidRDefault="008A32B8" w:rsidP="009711F7">
            <w:r w:rsidRPr="00BF52F4">
              <w:t>Important potential risks</w:t>
            </w:r>
          </w:p>
        </w:tc>
        <w:tc>
          <w:tcPr>
            <w:tcW w:w="4400" w:type="dxa"/>
          </w:tcPr>
          <w:p w14:paraId="39DB970C" w14:textId="77777777" w:rsidR="008A32B8" w:rsidRPr="00BF52F4" w:rsidRDefault="008A32B8" w:rsidP="009711F7">
            <w:r>
              <w:t>Medication errors</w:t>
            </w:r>
          </w:p>
        </w:tc>
        <w:tc>
          <w:tcPr>
            <w:tcW w:w="851" w:type="dxa"/>
            <w:vAlign w:val="center"/>
          </w:tcPr>
          <w:p w14:paraId="383E8000" w14:textId="77777777" w:rsidR="008A32B8" w:rsidRPr="00CE6B4C" w:rsidRDefault="008A32B8" w:rsidP="009711F7">
            <w:r w:rsidRPr="00CE6B4C">
              <w:sym w:font="Wingdings" w:char="F0FC"/>
            </w:r>
          </w:p>
        </w:tc>
        <w:tc>
          <w:tcPr>
            <w:tcW w:w="1020" w:type="dxa"/>
            <w:vAlign w:val="center"/>
          </w:tcPr>
          <w:p w14:paraId="50C15545" w14:textId="77777777" w:rsidR="008A32B8" w:rsidRPr="00CE6B4C" w:rsidRDefault="008A32B8" w:rsidP="009711F7">
            <w:r w:rsidRPr="00CE6B4C">
              <w:t>–</w:t>
            </w:r>
          </w:p>
        </w:tc>
        <w:tc>
          <w:tcPr>
            <w:tcW w:w="823" w:type="dxa"/>
            <w:vAlign w:val="center"/>
          </w:tcPr>
          <w:p w14:paraId="23F106AB" w14:textId="77777777" w:rsidR="008A32B8" w:rsidRPr="00CE6B4C" w:rsidRDefault="008A32B8" w:rsidP="009711F7">
            <w:r w:rsidRPr="00CE6B4C">
              <w:sym w:font="Wingdings" w:char="F0FC"/>
            </w:r>
          </w:p>
        </w:tc>
        <w:tc>
          <w:tcPr>
            <w:tcW w:w="1048" w:type="dxa"/>
            <w:vAlign w:val="center"/>
          </w:tcPr>
          <w:p w14:paraId="70999659"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30B8C3CD" w14:textId="77777777" w:rsidTr="008A32B8">
        <w:trPr>
          <w:trHeight w:val="122"/>
          <w:jc w:val="center"/>
        </w:trPr>
        <w:tc>
          <w:tcPr>
            <w:tcW w:w="1327" w:type="dxa"/>
            <w:vMerge/>
          </w:tcPr>
          <w:p w14:paraId="1360D6CB" w14:textId="77777777" w:rsidR="008A32B8" w:rsidRPr="00BF52F4" w:rsidRDefault="008A32B8" w:rsidP="009711F7"/>
        </w:tc>
        <w:tc>
          <w:tcPr>
            <w:tcW w:w="4400" w:type="dxa"/>
          </w:tcPr>
          <w:p w14:paraId="051CF3A1" w14:textId="77777777" w:rsidR="008A32B8" w:rsidRPr="00BF52F4" w:rsidRDefault="008A32B8" w:rsidP="009711F7">
            <w:r>
              <w:t>Off-label use and misuse</w:t>
            </w:r>
          </w:p>
        </w:tc>
        <w:tc>
          <w:tcPr>
            <w:tcW w:w="851" w:type="dxa"/>
            <w:vAlign w:val="center"/>
          </w:tcPr>
          <w:p w14:paraId="42BB1EB6" w14:textId="77777777" w:rsidR="008A32B8" w:rsidRPr="00CE6B4C" w:rsidRDefault="008A32B8" w:rsidP="009711F7">
            <w:r w:rsidRPr="00CE6B4C">
              <w:sym w:font="Wingdings" w:char="F0FC"/>
            </w:r>
          </w:p>
        </w:tc>
        <w:tc>
          <w:tcPr>
            <w:tcW w:w="1020" w:type="dxa"/>
            <w:vAlign w:val="center"/>
          </w:tcPr>
          <w:p w14:paraId="1F9600F0" w14:textId="77777777" w:rsidR="008A32B8" w:rsidRPr="00CE6B4C" w:rsidRDefault="008A32B8" w:rsidP="009711F7">
            <w:r w:rsidRPr="00CE6B4C">
              <w:t>–</w:t>
            </w:r>
          </w:p>
        </w:tc>
        <w:tc>
          <w:tcPr>
            <w:tcW w:w="823" w:type="dxa"/>
            <w:vAlign w:val="center"/>
          </w:tcPr>
          <w:p w14:paraId="58AEC257" w14:textId="77777777" w:rsidR="008A32B8" w:rsidRPr="00CE6B4C" w:rsidRDefault="008A32B8" w:rsidP="009711F7">
            <w:r w:rsidRPr="00CE6B4C">
              <w:sym w:font="Wingdings" w:char="F0FC"/>
            </w:r>
          </w:p>
        </w:tc>
        <w:tc>
          <w:tcPr>
            <w:tcW w:w="1048" w:type="dxa"/>
            <w:vAlign w:val="center"/>
          </w:tcPr>
          <w:p w14:paraId="43626490"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22DAFFEA" w14:textId="77777777" w:rsidTr="008A32B8">
        <w:trPr>
          <w:trHeight w:val="112"/>
          <w:jc w:val="center"/>
        </w:trPr>
        <w:tc>
          <w:tcPr>
            <w:tcW w:w="1327" w:type="dxa"/>
            <w:vMerge/>
          </w:tcPr>
          <w:p w14:paraId="3B3C60FF" w14:textId="77777777" w:rsidR="008A32B8" w:rsidRPr="00BF52F4" w:rsidRDefault="008A32B8" w:rsidP="009711F7"/>
        </w:tc>
        <w:tc>
          <w:tcPr>
            <w:tcW w:w="4400" w:type="dxa"/>
          </w:tcPr>
          <w:p w14:paraId="1661E218" w14:textId="77777777" w:rsidR="008A32B8" w:rsidRPr="00BF52F4" w:rsidRDefault="008A32B8" w:rsidP="009711F7">
            <w:r>
              <w:t>Embryo-foetotoxicity</w:t>
            </w:r>
          </w:p>
        </w:tc>
        <w:tc>
          <w:tcPr>
            <w:tcW w:w="851" w:type="dxa"/>
            <w:vAlign w:val="center"/>
          </w:tcPr>
          <w:p w14:paraId="442B62D3" w14:textId="77777777" w:rsidR="008A32B8" w:rsidRPr="00CE6B4C" w:rsidRDefault="008A32B8" w:rsidP="009711F7">
            <w:r w:rsidRPr="00CE6B4C">
              <w:sym w:font="Wingdings" w:char="F0FC"/>
            </w:r>
          </w:p>
        </w:tc>
        <w:tc>
          <w:tcPr>
            <w:tcW w:w="1020" w:type="dxa"/>
            <w:vAlign w:val="center"/>
          </w:tcPr>
          <w:p w14:paraId="4F7B03A8" w14:textId="77777777" w:rsidR="008A32B8" w:rsidRPr="00CE6B4C" w:rsidRDefault="008A32B8" w:rsidP="009711F7">
            <w:r w:rsidRPr="00CE6B4C">
              <w:t>–</w:t>
            </w:r>
          </w:p>
        </w:tc>
        <w:tc>
          <w:tcPr>
            <w:tcW w:w="823" w:type="dxa"/>
            <w:vAlign w:val="center"/>
          </w:tcPr>
          <w:p w14:paraId="3D48170D" w14:textId="77777777" w:rsidR="008A32B8" w:rsidRPr="00CE6B4C" w:rsidRDefault="008A32B8" w:rsidP="009711F7">
            <w:r w:rsidRPr="00CE6B4C">
              <w:sym w:font="Wingdings" w:char="F0FC"/>
            </w:r>
          </w:p>
        </w:tc>
        <w:tc>
          <w:tcPr>
            <w:tcW w:w="1048" w:type="dxa"/>
            <w:vAlign w:val="center"/>
          </w:tcPr>
          <w:p w14:paraId="11A93175" w14:textId="77777777" w:rsidR="008A32B8" w:rsidRPr="00047C6C" w:rsidRDefault="008A32B8" w:rsidP="009711F7">
            <w:r w:rsidRPr="00CE6B4C">
              <w:sym w:font="Wingdings" w:char="F0FC"/>
            </w:r>
            <w:r w:rsidRPr="00794C7B">
              <w:rPr>
                <w:rFonts w:asciiTheme="majorHAnsi" w:hAnsiTheme="majorHAnsi"/>
                <w:szCs w:val="20"/>
                <w:vertAlign w:val="superscript"/>
              </w:rPr>
              <w:t>†</w:t>
            </w:r>
          </w:p>
        </w:tc>
      </w:tr>
      <w:tr w:rsidR="008A32B8" w:rsidRPr="00BF52F4" w14:paraId="4F8C19B6" w14:textId="77777777" w:rsidTr="008A32B8">
        <w:trPr>
          <w:trHeight w:val="449"/>
          <w:jc w:val="center"/>
        </w:trPr>
        <w:tc>
          <w:tcPr>
            <w:tcW w:w="1327" w:type="dxa"/>
          </w:tcPr>
          <w:p w14:paraId="46988681" w14:textId="77777777" w:rsidR="008A32B8" w:rsidRPr="00BF52F4" w:rsidRDefault="008A32B8" w:rsidP="009711F7">
            <w:r w:rsidRPr="00BF52F4">
              <w:t>Missing information</w:t>
            </w:r>
          </w:p>
        </w:tc>
        <w:tc>
          <w:tcPr>
            <w:tcW w:w="4400" w:type="dxa"/>
          </w:tcPr>
          <w:p w14:paraId="646CDC2D" w14:textId="77777777" w:rsidR="008A32B8" w:rsidRPr="00BF52F4" w:rsidRDefault="008A32B8" w:rsidP="009711F7">
            <w:r>
              <w:t>None</w:t>
            </w:r>
          </w:p>
        </w:tc>
        <w:tc>
          <w:tcPr>
            <w:tcW w:w="851" w:type="dxa"/>
            <w:vAlign w:val="center"/>
          </w:tcPr>
          <w:p w14:paraId="3F4797F8" w14:textId="77777777" w:rsidR="008A32B8" w:rsidRPr="00BF52F4" w:rsidRDefault="008A32B8" w:rsidP="009711F7">
            <w:pPr>
              <w:rPr>
                <w:color w:val="00B050"/>
              </w:rPr>
            </w:pPr>
          </w:p>
        </w:tc>
        <w:tc>
          <w:tcPr>
            <w:tcW w:w="1020" w:type="dxa"/>
            <w:vAlign w:val="center"/>
          </w:tcPr>
          <w:p w14:paraId="389DD4F8" w14:textId="77777777" w:rsidR="008A32B8" w:rsidRPr="00BF52F4" w:rsidRDefault="008A32B8" w:rsidP="009711F7">
            <w:pPr>
              <w:rPr>
                <w:color w:val="00B050"/>
              </w:rPr>
            </w:pPr>
          </w:p>
          <w:p w14:paraId="19FFF9B3" w14:textId="77777777" w:rsidR="008A32B8" w:rsidRPr="00BF52F4" w:rsidRDefault="008A32B8" w:rsidP="009711F7">
            <w:pPr>
              <w:rPr>
                <w:color w:val="00B050"/>
              </w:rPr>
            </w:pPr>
          </w:p>
        </w:tc>
        <w:tc>
          <w:tcPr>
            <w:tcW w:w="823" w:type="dxa"/>
            <w:vAlign w:val="center"/>
          </w:tcPr>
          <w:p w14:paraId="0C1B0612" w14:textId="77777777" w:rsidR="008A32B8" w:rsidRPr="00BF52F4" w:rsidRDefault="008A32B8" w:rsidP="009711F7">
            <w:pPr>
              <w:rPr>
                <w:color w:val="00B050"/>
              </w:rPr>
            </w:pPr>
          </w:p>
        </w:tc>
        <w:tc>
          <w:tcPr>
            <w:tcW w:w="1048" w:type="dxa"/>
            <w:vAlign w:val="center"/>
          </w:tcPr>
          <w:p w14:paraId="03C4A34E" w14:textId="77777777" w:rsidR="008A32B8" w:rsidRPr="00BF52F4" w:rsidRDefault="008A32B8" w:rsidP="009711F7">
            <w:pPr>
              <w:rPr>
                <w:color w:val="00B050"/>
              </w:rPr>
            </w:pPr>
          </w:p>
          <w:p w14:paraId="29B994BF" w14:textId="77777777" w:rsidR="008A32B8" w:rsidRPr="00BF52F4" w:rsidRDefault="008A32B8" w:rsidP="009711F7">
            <w:pPr>
              <w:rPr>
                <w:color w:val="00B050"/>
              </w:rPr>
            </w:pPr>
          </w:p>
        </w:tc>
      </w:tr>
    </w:tbl>
    <w:p w14:paraId="6B6CB4F8" w14:textId="77777777" w:rsidR="00C96CF0" w:rsidRDefault="00C96CF0" w:rsidP="00C96CF0">
      <w:pPr>
        <w:pStyle w:val="TableDescription"/>
      </w:pPr>
      <w:r>
        <w:t>*Specific targeted follow-up questionnaires</w:t>
      </w:r>
    </w:p>
    <w:p w14:paraId="21637BCE" w14:textId="446781B5" w:rsidR="008A32B8" w:rsidRDefault="00C96CF0" w:rsidP="00C96CF0">
      <w:pPr>
        <w:pStyle w:val="TableDescription"/>
      </w:pPr>
      <w:r>
        <w:t>† Educational programs for Health Care Professionals (HCPs) and Patients</w:t>
      </w:r>
    </w:p>
    <w:p w14:paraId="4F56FD96" w14:textId="77777777" w:rsidR="00C34C7F" w:rsidRDefault="00C34C7F" w:rsidP="00C34C7F">
      <w:pPr>
        <w:pStyle w:val="Heading5"/>
      </w:pPr>
      <w:r>
        <w:t>Pharmacovigilance plan</w:t>
      </w:r>
    </w:p>
    <w:p w14:paraId="574B3683" w14:textId="77777777" w:rsidR="00C34C7F" w:rsidRDefault="00C34C7F" w:rsidP="00C34C7F">
      <w:r>
        <w:t>The sponsor has proposed routine pharmacovigilance activities for all safety concerns that includes specific targeted follow-up questionnaires for endophthalmitis, intraocular inflammation and transient intraocular pressure increase. The pharmacovigilance plan aligns with the innovator and is acceptable from an RMP perspective.</w:t>
      </w:r>
    </w:p>
    <w:p w14:paraId="7B772351" w14:textId="77777777" w:rsidR="00C34C7F" w:rsidRDefault="00C34C7F" w:rsidP="00C34C7F">
      <w:pPr>
        <w:pStyle w:val="Heading5"/>
      </w:pPr>
      <w:r>
        <w:t>Risk minimisation activities</w:t>
      </w:r>
    </w:p>
    <w:p w14:paraId="6AA77D50" w14:textId="7BA74081" w:rsidR="0016200C" w:rsidRDefault="00C34C7F" w:rsidP="00437FD6">
      <w:r>
        <w:t>The sponsor has proposed routine risk minimisation activities for all safety concerns. Additional risk minimisation activities have been proposed in the form of educational programs for patients for all safety concerns. The sponsor has committed to provide the TGA with copies of the draft educational materials at least 6 weeks prior to commercialisation of the product.</w:t>
      </w:r>
    </w:p>
    <w:p w14:paraId="74A4F87F" w14:textId="77777777" w:rsidR="00C22214" w:rsidRDefault="00C22214" w:rsidP="00C22214">
      <w:pPr>
        <w:pStyle w:val="Heading3"/>
      </w:pPr>
      <w:bookmarkStart w:id="61" w:name="_Toc103679299"/>
      <w:bookmarkStart w:id="62" w:name="_Toc213760490"/>
      <w:r>
        <w:t>Risk-benefit analysis</w:t>
      </w:r>
      <w:bookmarkEnd w:id="58"/>
      <w:bookmarkEnd w:id="59"/>
      <w:bookmarkEnd w:id="61"/>
      <w:bookmarkEnd w:id="62"/>
    </w:p>
    <w:p w14:paraId="142130BC" w14:textId="4EE52FB4" w:rsidR="00062437" w:rsidRDefault="00062437" w:rsidP="00062437">
      <w:pPr>
        <w:pStyle w:val="Heading5"/>
      </w:pPr>
      <w:r>
        <w:t>Clinical trial program</w:t>
      </w:r>
    </w:p>
    <w:p w14:paraId="585761C1" w14:textId="4E9F2332" w:rsidR="00062437" w:rsidRDefault="00062437" w:rsidP="00062437">
      <w:r>
        <w:t xml:space="preserve">The clinical development program for the proposed </w:t>
      </w:r>
      <w:r w:rsidR="00203706">
        <w:t>Eydenzelt</w:t>
      </w:r>
      <w:r>
        <w:t xml:space="preserve"> biosimilar consisted of one Phase 3 therapeutic similarity study conducted in patients with diabetic macular oedema DME (Study CT-P42 3.1). </w:t>
      </w:r>
    </w:p>
    <w:p w14:paraId="2B4E1191" w14:textId="7685D80E" w:rsidR="00062437" w:rsidRDefault="00062437" w:rsidP="00062437">
      <w:r>
        <w:t xml:space="preserve">A clinical Phase 1 PK study was not conducted. This was justified by the applicant with the low systemic exposure of IVT aflibercept, and the potential ethical issues regarding invasiveness of IVT injections in healthy volunteers. The PK profile of </w:t>
      </w:r>
      <w:r w:rsidR="00203706">
        <w:t>Eydenzelt</w:t>
      </w:r>
      <w:r>
        <w:t xml:space="preserve"> were evaluated in a subset of patients in the clinical Phase 3 Study CT-P42 3.1 which provided plasma concentration data following the first and fifth </w:t>
      </w:r>
      <w:r w:rsidR="00CB1746" w:rsidRPr="00CB1746">
        <w:t xml:space="preserve">IVT </w:t>
      </w:r>
      <w:r>
        <w:t>injections.</w:t>
      </w:r>
    </w:p>
    <w:p w14:paraId="6D04A317" w14:textId="77777777" w:rsidR="00062437" w:rsidRDefault="00062437" w:rsidP="00062437">
      <w:pPr>
        <w:pStyle w:val="Heading5"/>
      </w:pPr>
      <w:r>
        <w:lastRenderedPageBreak/>
        <w:t>Quality and bridging</w:t>
      </w:r>
    </w:p>
    <w:p w14:paraId="65F1AB21" w14:textId="3F5D2687" w:rsidR="00062437" w:rsidRDefault="00062437" w:rsidP="00062437">
      <w:r>
        <w:t xml:space="preserve">The clinical trial program used EU-licensed </w:t>
      </w:r>
      <w:r w:rsidR="0000101D">
        <w:t>Eylea</w:t>
      </w:r>
      <w:r>
        <w:t xml:space="preserve"> (rather than AU-licenced </w:t>
      </w:r>
      <w:r w:rsidR="0000101D">
        <w:t>Eylea</w:t>
      </w:r>
      <w:r>
        <w:t xml:space="preserve">). A bridging study demonstrated that the EU-licensed </w:t>
      </w:r>
      <w:r w:rsidR="0000101D">
        <w:t>Eylea</w:t>
      </w:r>
      <w:r>
        <w:t xml:space="preserve"> used in Study CT-P42 3.1 is comparable to AU-licenced </w:t>
      </w:r>
      <w:r w:rsidR="0000101D">
        <w:t>Eylea</w:t>
      </w:r>
      <w:r>
        <w:t>. There were no objections to the selection of tests used in this bridging study. The results of study demonstrated that the EU- and Australian-</w:t>
      </w:r>
      <w:r w:rsidR="0000101D">
        <w:t>Eylea</w:t>
      </w:r>
      <w:r>
        <w:t xml:space="preserve"> were all within similar ranges in all tests with no obvious deviations observed. There were no objections from a quality perspective to the approval of this application.</w:t>
      </w:r>
    </w:p>
    <w:p w14:paraId="033F01E9" w14:textId="17BEF095" w:rsidR="00062437" w:rsidRDefault="00062437" w:rsidP="00062437">
      <w:pPr>
        <w:pStyle w:val="Heading5"/>
      </w:pPr>
      <w:r>
        <w:t>Pharmacology</w:t>
      </w:r>
    </w:p>
    <w:p w14:paraId="2338F0DB" w14:textId="77777777" w:rsidR="00062437" w:rsidRDefault="00062437" w:rsidP="00062437">
      <w:r>
        <w:t>A large PK measurement variation was observed and likely due to the limited number of subjects in the PK Set. However, there was no evidence of relevant systemic exposure with concentrations too low for clinically relevant systemic VEGF binding.</w:t>
      </w:r>
    </w:p>
    <w:p w14:paraId="5A7CD7A7" w14:textId="26EB08F3" w:rsidR="00062437" w:rsidRDefault="00062437" w:rsidP="00062437">
      <w:pPr>
        <w:pStyle w:val="Heading5"/>
      </w:pPr>
      <w:r>
        <w:t>Efficacy</w:t>
      </w:r>
    </w:p>
    <w:p w14:paraId="026A0733" w14:textId="77777777" w:rsidR="00062437" w:rsidRDefault="00062437" w:rsidP="00062437">
      <w:pPr>
        <w:pStyle w:val="Heading6"/>
      </w:pPr>
      <w:r>
        <w:t>Study design</w:t>
      </w:r>
    </w:p>
    <w:p w14:paraId="38A2E7B9" w14:textId="3D30D739" w:rsidR="00062437" w:rsidRDefault="00062437" w:rsidP="00062437">
      <w:r>
        <w:t xml:space="preserve">There are no objections to the study design for the purposes of comparing an aflibercept (rch) biosimilar medicine to the aflibercept (rch) reference product, </w:t>
      </w:r>
      <w:r w:rsidR="0000101D">
        <w:t>Eylea</w:t>
      </w:r>
      <w:r>
        <w:t>.</w:t>
      </w:r>
    </w:p>
    <w:p w14:paraId="5CA086E3" w14:textId="77777777" w:rsidR="00062437" w:rsidRDefault="00062437" w:rsidP="00062437">
      <w:pPr>
        <w:pStyle w:val="Heading6"/>
      </w:pPr>
      <w:r>
        <w:t>Primary endpoint</w:t>
      </w:r>
    </w:p>
    <w:p w14:paraId="1563ABC7" w14:textId="22C464AC" w:rsidR="00062437" w:rsidRDefault="00062437" w:rsidP="00062437">
      <w:r>
        <w:t xml:space="preserve">The BCVA primary efficacy endpoint was measured at Week 8, i.e. after two initiation injections. This </w:t>
      </w:r>
      <w:proofErr w:type="gramStart"/>
      <w:r>
        <w:t>is in contrast to</w:t>
      </w:r>
      <w:proofErr w:type="gramEnd"/>
      <w:r>
        <w:t xml:space="preserve"> the pivotal studies for </w:t>
      </w:r>
      <w:r w:rsidR="0000101D">
        <w:t>Eylea</w:t>
      </w:r>
      <w:r>
        <w:t xml:space="preserve"> (VIVID and VISTA) that used a BCVA primary endpoint at Week 52, and consequently the same endpoint would have been expected for a clinical equivalence study for a biosimilar.</w:t>
      </w:r>
    </w:p>
    <w:p w14:paraId="2BC1A7B1" w14:textId="77777777" w:rsidR="00062437" w:rsidRDefault="00062437" w:rsidP="00062437">
      <w:r>
        <w:t>The Week 8 endpoint was appropriately justified by the applicant with the use of the time point of the time-response graph at which the potential to detect clinically meaningful differences in BCVA is maximised, or at least sufficiently large to establish a difference, or in this case to demonstrate the lack of a difference. This is also important for efficacy extrapolation purposes. In this specific instance, the Week 8 primary BCVA endpoint is considered acceptable, congruent with reasonable scientific evidence. It is noted that Week 52 BCVA data are also available, albeit only using descriptive statistics.</w:t>
      </w:r>
    </w:p>
    <w:p w14:paraId="3F4B0632" w14:textId="77777777" w:rsidR="00062437" w:rsidRDefault="00062437" w:rsidP="00062437">
      <w:pPr>
        <w:pStyle w:val="Heading6"/>
      </w:pPr>
      <w:r>
        <w:t>Equivalence margin</w:t>
      </w:r>
    </w:p>
    <w:p w14:paraId="3C397E49" w14:textId="23A87174" w:rsidR="00062437" w:rsidRDefault="00062437" w:rsidP="00062437">
      <w:r>
        <w:t xml:space="preserve">Therapeutic equivalence was based on whether the primary efficacy endpoint (mean change from baseline in BCVA by ETDRS letter score at Week 8) 2-sided 95% confidence interval of least squares means for the treatment difference between </w:t>
      </w:r>
      <w:r w:rsidR="00203706">
        <w:t>Eydenzelt</w:t>
      </w:r>
      <w:r>
        <w:t xml:space="preserve"> and </w:t>
      </w:r>
      <w:r w:rsidR="0000101D">
        <w:t>Eylea</w:t>
      </w:r>
      <w:r>
        <w:t xml:space="preserve"> falls within the predefined equivalence margin of (-3.0, 3.0) letters.</w:t>
      </w:r>
    </w:p>
    <w:p w14:paraId="04AE935C" w14:textId="77777777" w:rsidR="00062437" w:rsidRDefault="00062437" w:rsidP="00062437">
      <w:r>
        <w:t>The applicant has sufficiently justified the equivalence margin based on the design of the ETDRS chart (5 letters per line), specific regulatory guidance for visual acuity, the aflibercept vs. laser treatment effect size, and previously accepted non-inferiority margins. Overall, the margin is considered acceptable.</w:t>
      </w:r>
    </w:p>
    <w:p w14:paraId="3857E5EC" w14:textId="77777777" w:rsidR="00062437" w:rsidRDefault="00062437" w:rsidP="00062437">
      <w:pPr>
        <w:pStyle w:val="Heading6"/>
      </w:pPr>
      <w:r>
        <w:t>Efficacy results</w:t>
      </w:r>
    </w:p>
    <w:p w14:paraId="1F1C5CBD" w14:textId="1BE7F056" w:rsidR="00062437" w:rsidRDefault="00062437" w:rsidP="00062437">
      <w:r>
        <w:t xml:space="preserve">Based on the equivalence study, Study CT-P42 3.1, similarity between </w:t>
      </w:r>
      <w:r w:rsidR="00203706">
        <w:t>Eydenzelt</w:t>
      </w:r>
      <w:r>
        <w:t xml:space="preserve"> and </w:t>
      </w:r>
      <w:r w:rsidR="0000101D">
        <w:t>Eylea</w:t>
      </w:r>
      <w:r>
        <w:t xml:space="preserve"> was demonstrated for the treatment of diabetic macular oedema, based on the primary efficacy endpoint of change from baseline in BCVA by ETDRS letter score at Week 8, with an equivalence (similarity) margin of ±3 letters. The secondary analyses were </w:t>
      </w:r>
      <w:r w:rsidR="00D6499D">
        <w:t>supportive</w:t>
      </w:r>
      <w:r>
        <w:t>. Extrapolation considerations are discussed further below.</w:t>
      </w:r>
    </w:p>
    <w:p w14:paraId="1E1E7583" w14:textId="24FD3B72" w:rsidR="00062437" w:rsidRDefault="00062437" w:rsidP="00062437">
      <w:pPr>
        <w:pStyle w:val="Heading5"/>
      </w:pPr>
      <w:r>
        <w:lastRenderedPageBreak/>
        <w:t>Safety</w:t>
      </w:r>
    </w:p>
    <w:p w14:paraId="118ED492" w14:textId="6FFC956E" w:rsidR="00062437" w:rsidRDefault="00062437" w:rsidP="00062437">
      <w:r>
        <w:t xml:space="preserve">The safety profile of the reference product </w:t>
      </w:r>
      <w:r w:rsidR="0000101D">
        <w:t>Eylea</w:t>
      </w:r>
      <w:r>
        <w:t xml:space="preserve"> 2 mg is well established.</w:t>
      </w:r>
    </w:p>
    <w:p w14:paraId="2F7D9E6F" w14:textId="77777777" w:rsidR="00062437" w:rsidRDefault="00062437" w:rsidP="00062437">
      <w:pPr>
        <w:pStyle w:val="Heading6"/>
      </w:pPr>
      <w:r>
        <w:t>Safety profile</w:t>
      </w:r>
    </w:p>
    <w:p w14:paraId="0133E76A" w14:textId="6383D40B" w:rsidR="00062437" w:rsidRDefault="00062437" w:rsidP="00062437">
      <w:r>
        <w:t xml:space="preserve">Based on the clinical data provided by the main study period of study CT-P42 3.1, the safety profile of </w:t>
      </w:r>
      <w:r w:rsidR="00203706">
        <w:t>Eydenzelt</w:t>
      </w:r>
      <w:r>
        <w:t xml:space="preserve"> appears generally </w:t>
      </w:r>
      <w:proofErr w:type="gramStart"/>
      <w:r>
        <w:t>similar to</w:t>
      </w:r>
      <w:proofErr w:type="gramEnd"/>
      <w:r>
        <w:t xml:space="preserve"> the reference product. The incidence of TEAEs, ADRs, and SAEs were generally similar between the products. The safety database of 174 patients treated for up to 52 weeks with </w:t>
      </w:r>
      <w:r w:rsidR="00203706">
        <w:t>Eydenzelt</w:t>
      </w:r>
      <w:r>
        <w:t xml:space="preserve"> was considered of sufficient size, but rare adverse effects would not necessarily have been detected. The immunogenicity profile of </w:t>
      </w:r>
      <w:r w:rsidR="00203706">
        <w:t>Eydenzelt</w:t>
      </w:r>
      <w:r>
        <w:t xml:space="preserve"> appears to be </w:t>
      </w:r>
      <w:proofErr w:type="gramStart"/>
      <w:r>
        <w:t>similar to</w:t>
      </w:r>
      <w:proofErr w:type="gramEnd"/>
      <w:r>
        <w:t xml:space="preserve"> that of </w:t>
      </w:r>
      <w:r w:rsidR="0000101D">
        <w:t>Eylea</w:t>
      </w:r>
      <w:r>
        <w:t xml:space="preserve">. </w:t>
      </w:r>
    </w:p>
    <w:p w14:paraId="3F416DE1" w14:textId="77777777" w:rsidR="00062437" w:rsidRDefault="00062437" w:rsidP="00062437">
      <w:pPr>
        <w:pStyle w:val="Heading6"/>
      </w:pPr>
      <w:r>
        <w:t>Human factor study</w:t>
      </w:r>
    </w:p>
    <w:p w14:paraId="4C211633" w14:textId="67B85519" w:rsidR="00062437" w:rsidRDefault="00062437" w:rsidP="00062437">
      <w:r>
        <w:t xml:space="preserve">The usability assessments for the proposed </w:t>
      </w:r>
      <w:r w:rsidR="00203706">
        <w:t>Eydenzelt</w:t>
      </w:r>
      <w:r>
        <w:t xml:space="preserve"> vial kit and PFS to evaluate the ability of the administering ophthalmologists to follow the instructions for use and administer the </w:t>
      </w:r>
      <w:r w:rsidR="00CB1746" w:rsidRPr="00CB1746">
        <w:t xml:space="preserve">IVT </w:t>
      </w:r>
      <w:r>
        <w:t>injection had a favourable outcome.</w:t>
      </w:r>
    </w:p>
    <w:p w14:paraId="2C5D7014" w14:textId="77777777" w:rsidR="00062437" w:rsidRDefault="00062437" w:rsidP="00062437">
      <w:pPr>
        <w:pStyle w:val="Heading5"/>
      </w:pPr>
      <w:r>
        <w:t>Extrapolation to other indications</w:t>
      </w:r>
    </w:p>
    <w:p w14:paraId="17A18908" w14:textId="36B63315" w:rsidR="00062437" w:rsidRDefault="00062437" w:rsidP="00062437">
      <w:r>
        <w:t xml:space="preserve">In the clinical trial program, similarity between </w:t>
      </w:r>
      <w:r w:rsidR="00203706">
        <w:t>Eydenzelt</w:t>
      </w:r>
      <w:r>
        <w:t xml:space="preserve"> and </w:t>
      </w:r>
      <w:r w:rsidR="0000101D">
        <w:t>Eylea</w:t>
      </w:r>
      <w:r>
        <w:t xml:space="preserve"> was demonstrated for the treatment of diabetic macular oedema (DME). </w:t>
      </w:r>
    </w:p>
    <w:p w14:paraId="2B12C29D" w14:textId="4BF38896" w:rsidR="00062437" w:rsidRDefault="00062437" w:rsidP="00062437">
      <w:r>
        <w:t xml:space="preserve">The applicant justified the proposed extrapolation of indications. This is outlined in the CER section 2.1.3. The justification includes a shared mechanism of action between indications, the structural analysis of the biosimilar, and the clinical evidence </w:t>
      </w:r>
      <w:r w:rsidR="00D6499D">
        <w:t>regarding</w:t>
      </w:r>
      <w:r>
        <w:t xml:space="preserve"> PK, efficacy and safety. An extrapolation consideration would typically also consider a shared valid clinical model, a similar dosing regimen, and generalisability (external validity) of the study sample </w:t>
      </w:r>
      <w:r w:rsidR="00D6499D">
        <w:t>regarding</w:t>
      </w:r>
      <w:r>
        <w:t xml:space="preserve"> relevant populations. Based on this an unfavourable impact on clinical efficacy and safety in the extrapolated indications is not expected for the biosimilar.</w:t>
      </w:r>
    </w:p>
    <w:p w14:paraId="09C0B830" w14:textId="429D651C" w:rsidR="00062437" w:rsidRDefault="00062437" w:rsidP="00062437">
      <w:r>
        <w:t>Overall, the extrapolation from DME</w:t>
      </w:r>
      <w:r w:rsidR="00E519C7">
        <w:t xml:space="preserve"> </w:t>
      </w:r>
      <w:r>
        <w:t xml:space="preserve">to all approved indications of </w:t>
      </w:r>
      <w:r w:rsidR="0000101D">
        <w:t>Eylea</w:t>
      </w:r>
      <w:r>
        <w:t xml:space="preserve"> 2 mg was considered acceptable and would have been approved, but the applicant changed their application during the evaluation phase to only one of the reference product indications, namely ‘Visual impairment due to myopic choroidal neovascularisation (myopic CNV)’.</w:t>
      </w:r>
    </w:p>
    <w:p w14:paraId="4166B0ED" w14:textId="71BCA605" w:rsidR="00062437" w:rsidRDefault="00062437" w:rsidP="00062437">
      <w:pPr>
        <w:pStyle w:val="Heading5"/>
      </w:pPr>
      <w:r>
        <w:t>Regulatory considerations and translation to clinical practice</w:t>
      </w:r>
    </w:p>
    <w:p w14:paraId="1B9E4360" w14:textId="77777777" w:rsidR="00062437" w:rsidRDefault="00062437" w:rsidP="00062437">
      <w:pPr>
        <w:pStyle w:val="Heading6"/>
      </w:pPr>
      <w:r>
        <w:t>Product information</w:t>
      </w:r>
    </w:p>
    <w:p w14:paraId="218B7419" w14:textId="6DC979AD" w:rsidR="00062437" w:rsidRDefault="00062437" w:rsidP="00062437">
      <w:r>
        <w:t xml:space="preserve">Given the recent registration of high-dose </w:t>
      </w:r>
      <w:r w:rsidR="0000101D">
        <w:t>Eylea</w:t>
      </w:r>
      <w:r>
        <w:t xml:space="preserve"> 8 mg, appropriate changes in the </w:t>
      </w:r>
      <w:r w:rsidR="00203706">
        <w:t>Eydenzelt</w:t>
      </w:r>
      <w:r>
        <w:t xml:space="preserve"> PI have been implemented </w:t>
      </w:r>
      <w:r w:rsidR="00D6499D">
        <w:t>to</w:t>
      </w:r>
      <w:r>
        <w:t xml:space="preserve"> ensure that it is recognised as a biosimilar to </w:t>
      </w:r>
      <w:r w:rsidR="0000101D">
        <w:t>Eylea</w:t>
      </w:r>
      <w:r>
        <w:t xml:space="preserve"> 2 mg. Furthermore, PI changes to comply with the biosimilar PI guidance were implemented.</w:t>
      </w:r>
    </w:p>
    <w:p w14:paraId="7DF19BB9" w14:textId="77777777" w:rsidR="00062437" w:rsidRDefault="00062437" w:rsidP="000B63A1">
      <w:pPr>
        <w:pStyle w:val="Heading6"/>
      </w:pPr>
      <w:r>
        <w:t>Approval indication</w:t>
      </w:r>
    </w:p>
    <w:p w14:paraId="15F0BF16" w14:textId="38F014B3" w:rsidR="00437FD6" w:rsidRPr="00437FD6" w:rsidRDefault="00062437" w:rsidP="00062437">
      <w:r>
        <w:t>The applicant changed their application during the evaluation phase to only one of the reference product indications, namely ‘Visual impairment due to myopic choroidal neovascularisation (myopic CNV)’. This was accepted.</w:t>
      </w:r>
    </w:p>
    <w:p w14:paraId="307F236C" w14:textId="7FD19BD3" w:rsidR="00C22214" w:rsidRPr="002E238E" w:rsidRDefault="0046285C" w:rsidP="00C22214">
      <w:pPr>
        <w:pStyle w:val="Heading2"/>
      </w:pPr>
      <w:bookmarkStart w:id="63" w:name="_Toc247691532"/>
      <w:bookmarkStart w:id="64" w:name="_Toc314842516"/>
      <w:bookmarkStart w:id="65" w:name="_Toc103679300"/>
      <w:bookmarkStart w:id="66" w:name="_Toc213760491"/>
      <w:r>
        <w:t>Assessment</w:t>
      </w:r>
      <w:r w:rsidR="00190853">
        <w:t xml:space="preserve"> </w:t>
      </w:r>
      <w:r>
        <w:t>o</w:t>
      </w:r>
      <w:r w:rsidR="00C22214">
        <w:t>utcome</w:t>
      </w:r>
      <w:bookmarkEnd w:id="63"/>
      <w:bookmarkEnd w:id="64"/>
      <w:bookmarkEnd w:id="65"/>
      <w:bookmarkEnd w:id="66"/>
    </w:p>
    <w:p w14:paraId="4EF22939" w14:textId="3F30A8FD" w:rsidR="00C22214" w:rsidRPr="0017005C" w:rsidRDefault="00C22214" w:rsidP="0006104E">
      <w:r w:rsidRPr="0017005C">
        <w:t xml:space="preserve">Based on a review of quality, safety, and efficacy, the TGA </w:t>
      </w:r>
      <w:r w:rsidR="00B46DFB">
        <w:t>decided to</w:t>
      </w:r>
      <w:r w:rsidRPr="0017005C">
        <w:t xml:space="preserve"> </w:t>
      </w:r>
      <w:r w:rsidR="00203706">
        <w:t>Eydenzelt</w:t>
      </w:r>
      <w:r w:rsidR="000B63A1">
        <w:t xml:space="preserve"> (</w:t>
      </w:r>
      <w:r w:rsidR="000B63A1" w:rsidRPr="000B63A1">
        <w:t>aflibercept</w:t>
      </w:r>
      <w:r w:rsidR="000B63A1">
        <w:t>)</w:t>
      </w:r>
      <w:r w:rsidR="000B63A1" w:rsidRPr="000B63A1">
        <w:t xml:space="preserve"> </w:t>
      </w:r>
      <w:r w:rsidRPr="0017005C">
        <w:t>for the following extension of indications or change in dose regime:</w:t>
      </w:r>
    </w:p>
    <w:p w14:paraId="3B245AB5" w14:textId="66F0949C" w:rsidR="00C22214" w:rsidRPr="00BD5DBD" w:rsidRDefault="00203706" w:rsidP="006464BC">
      <w:pPr>
        <w:pStyle w:val="Indication"/>
      </w:pPr>
      <w:r>
        <w:lastRenderedPageBreak/>
        <w:t>Eydenzelt</w:t>
      </w:r>
      <w:r w:rsidR="006464BC" w:rsidRPr="006464BC">
        <w:t xml:space="preserve"> </w:t>
      </w:r>
      <w:r w:rsidR="006464BC">
        <w:t>2 mg (aflibercept) is indicated in adults for the treatment of visual impairment due to myopic choroidal neovascularisation (myopic CNV).</w:t>
      </w:r>
    </w:p>
    <w:p w14:paraId="0D732DA4" w14:textId="74882685" w:rsidR="00854D98" w:rsidRDefault="00854D98" w:rsidP="000B63A1">
      <w:pPr>
        <w:pStyle w:val="Heading4"/>
      </w:pPr>
      <w:bookmarkStart w:id="67" w:name="_Toc213760492"/>
      <w:bookmarkStart w:id="68" w:name="_Toc103679301"/>
      <w:r w:rsidRPr="00D23139">
        <w:t>Specific conditions of registration</w:t>
      </w:r>
      <w:bookmarkEnd w:id="67"/>
      <w:r w:rsidRPr="00D23139">
        <w:t xml:space="preserve"> </w:t>
      </w:r>
      <w:bookmarkEnd w:id="68"/>
    </w:p>
    <w:p w14:paraId="2CD8E98E" w14:textId="5ABCEF7B" w:rsidR="00A72104" w:rsidRDefault="00A72104" w:rsidP="00A72104">
      <w:r>
        <w:t>The actual date of commencement of supply is to be notified to the Branch Head, Prescription Medicines Authorisation Branch, TGA. Should it be decided not to proceed to supply, notification to this effect should be provided.</w:t>
      </w:r>
    </w:p>
    <w:p w14:paraId="37CBA022" w14:textId="2D03929B" w:rsidR="00A72104" w:rsidRDefault="00A72104" w:rsidP="00A72104">
      <w:r>
        <w:t xml:space="preserve">The </w:t>
      </w:r>
      <w:r w:rsidR="00203706">
        <w:t>Eydenzelt</w:t>
      </w:r>
      <w:r>
        <w:t xml:space="preserve"> EU-Risk Management Plan (RMP) (version 0.3, dated 12 July 2024, data lock point 21 July 2023), with Australia-Specific Annex (ASA) (version 1.2, dated 14 October 2024), included with submission PM-2023-05951-1-5, and any subsequent revisions, as agreed with the TGA will be implemented in Australia.</w:t>
      </w:r>
    </w:p>
    <w:p w14:paraId="1E96F2B3" w14:textId="46E7A98E" w:rsidR="00A72104" w:rsidRDefault="00A72104" w:rsidP="00A72104">
      <w:r>
        <w:t>This approval does not impose any requirement for the submission of Periodic Safety Update reports. You are reminded that sections 29A and 29AA of the Therapeutic Goods Act 1989 provide for penalties where there has been failure to inform the Secretary in writing, as soon as a person has become aware, of:</w:t>
      </w:r>
    </w:p>
    <w:p w14:paraId="5B87BFC6" w14:textId="16C536B4" w:rsidR="00A72104" w:rsidRDefault="00A72104" w:rsidP="00A72104">
      <w:pPr>
        <w:pStyle w:val="Numberbullet2"/>
      </w:pPr>
      <w:r>
        <w:t xml:space="preserve">information that contradicts information already given by the person under this </w:t>
      </w:r>
      <w:proofErr w:type="gramStart"/>
      <w:r>
        <w:t>Act;</w:t>
      </w:r>
      <w:proofErr w:type="gramEnd"/>
    </w:p>
    <w:p w14:paraId="606B59CE" w14:textId="2AE063AE" w:rsidR="00A72104" w:rsidRDefault="00A72104" w:rsidP="00A72104">
      <w:pPr>
        <w:pStyle w:val="Numberbullet2"/>
      </w:pPr>
      <w:r>
        <w:t xml:space="preserve">information that indicates that the use of the goods in accordance with the recommendations for their use may have an unintended harmful </w:t>
      </w:r>
      <w:proofErr w:type="gramStart"/>
      <w:r>
        <w:t>effect;</w:t>
      </w:r>
      <w:proofErr w:type="gramEnd"/>
      <w:r>
        <w:t xml:space="preserve"> </w:t>
      </w:r>
    </w:p>
    <w:p w14:paraId="11611FF7" w14:textId="3CED502B" w:rsidR="00A72104" w:rsidRDefault="00A72104" w:rsidP="00A72104">
      <w:pPr>
        <w:pStyle w:val="Numberbullet2"/>
      </w:pPr>
      <w:r>
        <w:t xml:space="preserve">information that indicates that the goods, when used in accordance with the recommendations for their use, may not be as effective as the application for registration or listing of the goods or information already given by the person under this Act </w:t>
      </w:r>
      <w:proofErr w:type="gramStart"/>
      <w:r>
        <w:t>suggests;</w:t>
      </w:r>
      <w:proofErr w:type="gramEnd"/>
    </w:p>
    <w:p w14:paraId="5613EEF7" w14:textId="4E34C534" w:rsidR="00A72104" w:rsidRDefault="00A72104" w:rsidP="00A72104">
      <w:pPr>
        <w:pStyle w:val="Numberbullet2"/>
      </w:pPr>
      <w:r>
        <w:t>information that indicates that the quality, safety or efficacy of the goods is unacceptable.</w:t>
      </w:r>
    </w:p>
    <w:p w14:paraId="55C36853" w14:textId="3EB69BB1" w:rsidR="00A72104" w:rsidRDefault="00A72104" w:rsidP="00A72104">
      <w:r>
        <w:t>Laboratory testing &amp; compliance with Certified Product Details (CPD)</w:t>
      </w:r>
    </w:p>
    <w:p w14:paraId="67028838" w14:textId="387E8358" w:rsidR="00A72104" w:rsidRDefault="00A72104" w:rsidP="00A72104">
      <w:pPr>
        <w:pStyle w:val="Numberbullet0"/>
        <w:numPr>
          <w:ilvl w:val="0"/>
          <w:numId w:val="19"/>
        </w:numPr>
      </w:pPr>
      <w:r>
        <w:t xml:space="preserve">All batches of </w:t>
      </w:r>
      <w:r w:rsidR="00203706">
        <w:t>Eydenzelt</w:t>
      </w:r>
      <w:r>
        <w:t xml:space="preserve"> aflibercept supplied in Australia must comply with the product details and specifications approved during evaluation and detailed in the Certified Product Details (CPD).</w:t>
      </w:r>
    </w:p>
    <w:p w14:paraId="52B4501B" w14:textId="5506C620" w:rsidR="00A72104" w:rsidRDefault="00A72104" w:rsidP="00A72104">
      <w:pPr>
        <w:pStyle w:val="Numberbullet0"/>
        <w:numPr>
          <w:ilvl w:val="0"/>
          <w:numId w:val="19"/>
        </w:numPr>
      </w:pPr>
      <w: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301ABC4A" w14:textId="77777777" w:rsidR="00A72104" w:rsidRDefault="00A72104" w:rsidP="00A72104">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0F9C1952" w14:textId="46BD475E" w:rsidR="00BA657C" w:rsidRPr="00BA657C" w:rsidRDefault="00BA657C" w:rsidP="009711F7">
      <w:pPr>
        <w:pStyle w:val="Heading3"/>
      </w:pPr>
      <w:bookmarkStart w:id="69" w:name="_Toc213760493"/>
      <w:bookmarkStart w:id="70" w:name="_Toc196738290"/>
      <w:r w:rsidRPr="00BA657C">
        <w:t>Product Information and Consumer Medicine Information</w:t>
      </w:r>
      <w:bookmarkEnd w:id="69"/>
      <w:r w:rsidRPr="00BA657C">
        <w:t xml:space="preserve"> </w:t>
      </w:r>
      <w:bookmarkEnd w:id="70"/>
    </w:p>
    <w:p w14:paraId="5F276616" w14:textId="6667B73D" w:rsidR="004D0933" w:rsidRPr="004D0933" w:rsidRDefault="004D0933" w:rsidP="004D0933">
      <w:bookmarkStart w:id="71" w:name="_Hlk200021736"/>
      <w:r w:rsidRPr="004D0933">
        <w:t xml:space="preserve">For the most recent Product Information (PI) and Consumer Medicine Information (CMI), please refer to the TGA </w:t>
      </w:r>
      <w:hyperlink r:id="rId35" w:history="1">
        <w:r w:rsidRPr="004D0933">
          <w:rPr>
            <w:rStyle w:val="Hyperlink"/>
          </w:rPr>
          <w:t>PI/CMI search facility.</w:t>
        </w:r>
      </w:hyperlink>
    </w:p>
    <w:bookmarkEnd w:id="71"/>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36"/>
          <w:footerReference w:type="default" r:id="rId3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38"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39"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6B037A4C"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40"/>
      <w:footerReference w:type="first" r:id="rId4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29137" w14:textId="77777777" w:rsidR="003C4B66" w:rsidRDefault="003C4B66" w:rsidP="00F02AEC">
      <w:pPr>
        <w:spacing w:after="0" w:line="240" w:lineRule="auto"/>
      </w:pPr>
      <w:r>
        <w:separator/>
      </w:r>
    </w:p>
  </w:endnote>
  <w:endnote w:type="continuationSeparator" w:id="0">
    <w:p w14:paraId="4C36C8E2" w14:textId="77777777" w:rsidR="003C4B66" w:rsidRDefault="003C4B66"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18C8" w14:textId="3D2A7F12" w:rsidR="007A4A49" w:rsidRDefault="007A4A49">
    <w:pPr>
      <w:pStyle w:val="Footer"/>
    </w:pPr>
    <w:r>
      <w:rPr>
        <w:noProof/>
      </w:rPr>
      <mc:AlternateContent>
        <mc:Choice Requires="wps">
          <w:drawing>
            <wp:anchor distT="0" distB="0" distL="0" distR="0" simplePos="0" relativeHeight="251667456" behindDoc="0" locked="0" layoutInCell="1" allowOverlap="1" wp14:anchorId="2259BBD1" wp14:editId="78C903A3">
              <wp:simplePos x="635" y="635"/>
              <wp:positionH relativeFrom="page">
                <wp:align>center</wp:align>
              </wp:positionH>
              <wp:positionV relativeFrom="page">
                <wp:align>bottom</wp:align>
              </wp:positionV>
              <wp:extent cx="551815" cy="391160"/>
              <wp:effectExtent l="0" t="0" r="635" b="0"/>
              <wp:wrapNone/>
              <wp:docPr id="28157302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F607227" w14:textId="42082B25"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59BBD1"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4F607227" w14:textId="42082B25"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00C564FF" w:rsidR="007452E8" w:rsidRDefault="007A4A49" w:rsidP="007452E8">
          <w:pPr>
            <w:pStyle w:val="Footer"/>
          </w:pPr>
          <w:r>
            <w:rPr>
              <w:noProof/>
            </w:rPr>
            <mc:AlternateContent>
              <mc:Choice Requires="wps">
                <w:drawing>
                  <wp:anchor distT="0" distB="0" distL="0" distR="0" simplePos="0" relativeHeight="251668480" behindDoc="0" locked="0" layoutInCell="1" allowOverlap="1" wp14:anchorId="2FC0496E" wp14:editId="4194924E">
                    <wp:simplePos x="635" y="635"/>
                    <wp:positionH relativeFrom="page">
                      <wp:align>center</wp:align>
                    </wp:positionH>
                    <wp:positionV relativeFrom="page">
                      <wp:align>bottom</wp:align>
                    </wp:positionV>
                    <wp:extent cx="551815" cy="391160"/>
                    <wp:effectExtent l="0" t="0" r="635" b="0"/>
                    <wp:wrapNone/>
                    <wp:docPr id="107142695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718A4F8" w14:textId="077DA63F"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0496E"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7718A4F8" w14:textId="077DA63F"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019535F2"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27E02A2" w:rsidR="007452E8" w:rsidRPr="00C84015" w:rsidRDefault="007452E8" w:rsidP="007452E8">
          <w:pPr>
            <w:pStyle w:val="Footer"/>
          </w:pPr>
          <w:r w:rsidRPr="00C84015">
            <w:t xml:space="preserve">AusPAR - </w:t>
          </w:r>
          <w:r w:rsidR="008702A7" w:rsidRPr="00C84015">
            <w:t>Eydenzelt</w:t>
          </w:r>
          <w:r w:rsidRPr="00C84015">
            <w:t xml:space="preserve"> - </w:t>
          </w:r>
          <w:r w:rsidR="008702A7" w:rsidRPr="00C84015">
            <w:t xml:space="preserve">aflibercept </w:t>
          </w:r>
          <w:r w:rsidR="008C754C" w:rsidRPr="00C84015">
            <w:t>-</w:t>
          </w:r>
          <w:r w:rsidRPr="00C84015">
            <w:t xml:space="preserve"> </w:t>
          </w:r>
          <w:r w:rsidR="008702A7" w:rsidRPr="00C84015">
            <w:t>Celltrion Healthcare Australia Pty Ltd</w:t>
          </w:r>
          <w:r w:rsidRPr="00C84015">
            <w:t xml:space="preserve"> - </w:t>
          </w:r>
          <w:r w:rsidR="008C3C71" w:rsidRPr="00C84015">
            <w:t>PM-2023-05951-1-5</w:t>
          </w:r>
          <w:r w:rsidRPr="00C84015">
            <w:br/>
            <w:t>Date of Finalisation</w:t>
          </w:r>
          <w:r w:rsidR="00C84015" w:rsidRPr="00C84015">
            <w:t>: 24 October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C84015">
                <w:t xml:space="preserve">Page </w:t>
              </w:r>
              <w:r w:rsidRPr="00C84015">
                <w:fldChar w:fldCharType="begin"/>
              </w:r>
              <w:r w:rsidRPr="00C84015">
                <w:instrText xml:space="preserve"> PAGE </w:instrText>
              </w:r>
              <w:r w:rsidRPr="00C84015">
                <w:fldChar w:fldCharType="separate"/>
              </w:r>
              <w:r w:rsidR="006D6B44" w:rsidRPr="00C84015">
                <w:rPr>
                  <w:noProof/>
                </w:rPr>
                <w:t>13</w:t>
              </w:r>
              <w:r w:rsidRPr="00C84015">
                <w:rPr>
                  <w:noProof/>
                </w:rPr>
                <w:fldChar w:fldCharType="end"/>
              </w:r>
              <w:r w:rsidRPr="00C84015">
                <w:t xml:space="preserve"> of </w:t>
              </w:r>
              <w:r w:rsidR="006D6B44" w:rsidRPr="00C84015">
                <w:fldChar w:fldCharType="begin"/>
              </w:r>
              <w:r w:rsidR="006D6B44" w:rsidRPr="00C84015">
                <w:instrText xml:space="preserve"> NUMPAGES  </w:instrText>
              </w:r>
              <w:r w:rsidR="006D6B44" w:rsidRPr="00C84015">
                <w:fldChar w:fldCharType="separate"/>
              </w:r>
              <w:r w:rsidR="006D6B44" w:rsidRPr="00C84015">
                <w:rPr>
                  <w:noProof/>
                </w:rPr>
                <w:t>17</w:t>
              </w:r>
              <w:r w:rsidR="006D6B44" w:rsidRPr="00C84015">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0EC0ED6E"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DF71A" w14:textId="77777777" w:rsidR="003C4B66" w:rsidRDefault="003C4B66" w:rsidP="00F02AEC">
      <w:pPr>
        <w:spacing w:after="0" w:line="240" w:lineRule="auto"/>
      </w:pPr>
      <w:r>
        <w:separator/>
      </w:r>
    </w:p>
  </w:footnote>
  <w:footnote w:type="continuationSeparator" w:id="0">
    <w:p w14:paraId="3DA20F13" w14:textId="77777777" w:rsidR="003C4B66" w:rsidRDefault="003C4B66"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2DD7EBBA" w14:textId="714A80B4" w:rsidR="00454872" w:rsidRDefault="00454872">
      <w:pPr>
        <w:pStyle w:val="FootnoteText"/>
      </w:pPr>
      <w:r>
        <w:rPr>
          <w:rStyle w:val="FootnoteReference"/>
        </w:rPr>
        <w:footnoteRef/>
      </w:r>
      <w:r>
        <w:t xml:space="preserve"> </w:t>
      </w:r>
      <w:r w:rsidRPr="00454872">
        <w:t xml:space="preserve">ICH Q2(R2) </w:t>
      </w:r>
      <w:hyperlink r:id="rId1" w:history="1">
        <w:r w:rsidRPr="00FD14F6">
          <w:rPr>
            <w:rStyle w:val="Hyperlink"/>
          </w:rPr>
          <w:t>Validation of analytical procedures</w:t>
        </w:r>
      </w:hyperlink>
      <w:r>
        <w:t>. 2024</w:t>
      </w:r>
    </w:p>
  </w:footnote>
  <w:footnote w:id="3">
    <w:p w14:paraId="30269EAF" w14:textId="77777777" w:rsidR="00103E9D" w:rsidRDefault="00103E9D" w:rsidP="00103E9D">
      <w:pPr>
        <w:pStyle w:val="FootnoteText"/>
      </w:pPr>
      <w:r>
        <w:rPr>
          <w:rStyle w:val="FootnoteReference"/>
        </w:rPr>
        <w:footnoteRef/>
      </w:r>
      <w:r>
        <w:t xml:space="preserve"> Equivalent to metric Snellen scores of 6/12 to 6/60.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A3B29" w14:textId="065E2D1F" w:rsidR="007A4A49" w:rsidRDefault="007A4A49">
    <w:pPr>
      <w:pStyle w:val="Header"/>
    </w:pPr>
    <w:r>
      <w:rPr>
        <w:noProof/>
      </w:rPr>
      <mc:AlternateContent>
        <mc:Choice Requires="wps">
          <w:drawing>
            <wp:anchor distT="0" distB="0" distL="0" distR="0" simplePos="0" relativeHeight="251662336" behindDoc="0" locked="0" layoutInCell="1" allowOverlap="1" wp14:anchorId="65F5A61F" wp14:editId="41C4E2A7">
              <wp:simplePos x="635" y="635"/>
              <wp:positionH relativeFrom="page">
                <wp:align>center</wp:align>
              </wp:positionH>
              <wp:positionV relativeFrom="page">
                <wp:align>top</wp:align>
              </wp:positionV>
              <wp:extent cx="551815" cy="391160"/>
              <wp:effectExtent l="0" t="0" r="635" b="8890"/>
              <wp:wrapNone/>
              <wp:docPr id="4431449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267CCDD" w14:textId="032B0ECF"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F5A61F"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2267CCDD" w14:textId="032B0ECF"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51BED2F" w:rsidR="007452E8" w:rsidRPr="00CB0550" w:rsidRDefault="007A4A49" w:rsidP="00CB0550">
    <w:pPr>
      <w:pStyle w:val="Header"/>
      <w:jc w:val="left"/>
    </w:pPr>
    <w:r>
      <w:rPr>
        <w:noProof/>
      </w:rPr>
      <mc:AlternateContent>
        <mc:Choice Requires="wps">
          <w:drawing>
            <wp:anchor distT="0" distB="0" distL="0" distR="0" simplePos="0" relativeHeight="251663360" behindDoc="0" locked="0" layoutInCell="1" allowOverlap="1" wp14:anchorId="0B66E1F8" wp14:editId="48D26456">
              <wp:simplePos x="635" y="635"/>
              <wp:positionH relativeFrom="page">
                <wp:align>center</wp:align>
              </wp:positionH>
              <wp:positionV relativeFrom="page">
                <wp:align>top</wp:align>
              </wp:positionV>
              <wp:extent cx="551815" cy="391160"/>
              <wp:effectExtent l="0" t="0" r="635" b="8890"/>
              <wp:wrapNone/>
              <wp:docPr id="9497582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73C2589" w14:textId="5978F41A"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66E1F8"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73C2589" w14:textId="5978F41A"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54433D69" w:rsidR="007452E8" w:rsidRPr="002B29B2" w:rsidRDefault="00481DA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682243214" name="Picture 68224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421628616"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657667869" name="Picture 165766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5737B766"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3568DF0A" w:rsidR="007452E8" w:rsidRPr="00FE501F" w:rsidRDefault="007A4A49" w:rsidP="007452E8">
    <w:pPr>
      <w:pStyle w:val="Headernoline"/>
    </w:pPr>
    <w:r>
      <w:rPr>
        <w:noProof/>
      </w:rPr>
      <mc:AlternateContent>
        <mc:Choice Requires="wps">
          <w:drawing>
            <wp:anchor distT="0" distB="0" distL="0" distR="0" simplePos="0" relativeHeight="251665408" behindDoc="0" locked="0" layoutInCell="1" allowOverlap="1" wp14:anchorId="13414F10" wp14:editId="22CB6B74">
              <wp:simplePos x="635" y="635"/>
              <wp:positionH relativeFrom="page">
                <wp:align>center</wp:align>
              </wp:positionH>
              <wp:positionV relativeFrom="page">
                <wp:align>top</wp:align>
              </wp:positionV>
              <wp:extent cx="551815" cy="391160"/>
              <wp:effectExtent l="0" t="0" r="635" b="8890"/>
              <wp:wrapNone/>
              <wp:docPr id="102170143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C117DAB" w14:textId="260EE582"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414F10" id="_x0000_t202" coordsize="21600,21600" o:spt="202" path="m,l,21600r21600,l21600,xe">
              <v:stroke joinstyle="miter"/>
              <v:path gradientshapeok="t" o:connecttype="rect"/>
            </v:shapetype>
            <v:shape id="Text Box 5" o:spid="_x0000_s1030" type="#_x0000_t202" alt="OFFICIAL" style="position:absolute;left:0;text-align:left;margin-left:0;margin-top:0;width:43.45pt;height:30.8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5C117DAB" w14:textId="260EE582" w:rsidR="007A4A49" w:rsidRPr="007A4A49" w:rsidRDefault="007A4A49" w:rsidP="007A4A49">
                    <w:pPr>
                      <w:spacing w:after="0"/>
                      <w:rPr>
                        <w:rFonts w:ascii="Calibri" w:eastAsia="Calibri" w:hAnsi="Calibri" w:cs="Calibri"/>
                        <w:noProof/>
                        <w:color w:val="FF0000"/>
                        <w:sz w:val="24"/>
                        <w:szCs w:val="24"/>
                      </w:rPr>
                    </w:pPr>
                    <w:r w:rsidRPr="007A4A49">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F0284"/>
    <w:multiLevelType w:val="hybridMultilevel"/>
    <w:tmpl w:val="765AB58A"/>
    <w:lvl w:ilvl="0" w:tplc="FFD41FF6">
      <w:start w:val="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B6675E7"/>
    <w:multiLevelType w:val="hybridMultilevel"/>
    <w:tmpl w:val="FC307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1F85F37"/>
    <w:multiLevelType w:val="hybridMultilevel"/>
    <w:tmpl w:val="42D66870"/>
    <w:lvl w:ilvl="0" w:tplc="64F2ED40">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2D861B58"/>
    <w:multiLevelType w:val="hybridMultilevel"/>
    <w:tmpl w:val="62D60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0E47F5"/>
    <w:multiLevelType w:val="hybridMultilevel"/>
    <w:tmpl w:val="69568060"/>
    <w:lvl w:ilvl="0" w:tplc="F6BE7E58">
      <w:start w:val="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380304E6"/>
    <w:multiLevelType w:val="hybridMultilevel"/>
    <w:tmpl w:val="2584A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7" w15:restartNumberingAfterBreak="0">
    <w:nsid w:val="772B09EA"/>
    <w:multiLevelType w:val="hybridMultilevel"/>
    <w:tmpl w:val="0C94E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9" w15:restartNumberingAfterBreak="0">
    <w:nsid w:val="7A653A49"/>
    <w:multiLevelType w:val="hybridMultilevel"/>
    <w:tmpl w:val="A3905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32997172">
    <w:abstractNumId w:val="5"/>
  </w:num>
  <w:num w:numId="2" w16cid:durableId="1856573705">
    <w:abstractNumId w:val="2"/>
  </w:num>
  <w:num w:numId="3" w16cid:durableId="357703499">
    <w:abstractNumId w:val="4"/>
  </w:num>
  <w:num w:numId="4" w16cid:durableId="1869176708">
    <w:abstractNumId w:val="15"/>
  </w:num>
  <w:num w:numId="5" w16cid:durableId="1652950129">
    <w:abstractNumId w:val="8"/>
  </w:num>
  <w:num w:numId="6" w16cid:durableId="1053193207">
    <w:abstractNumId w:val="13"/>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4"/>
  </w:num>
  <w:num w:numId="9" w16cid:durableId="173421270">
    <w:abstractNumId w:val="3"/>
  </w:num>
  <w:num w:numId="10" w16cid:durableId="2108043357">
    <w:abstractNumId w:val="6"/>
  </w:num>
  <w:num w:numId="11" w16cid:durableId="1725904230">
    <w:abstractNumId w:val="12"/>
  </w:num>
  <w:num w:numId="12" w16cid:durableId="141579354">
    <w:abstractNumId w:val="16"/>
  </w:num>
  <w:num w:numId="13" w16cid:durableId="283735081">
    <w:abstractNumId w:val="18"/>
  </w:num>
  <w:num w:numId="14" w16cid:durableId="402683075">
    <w:abstractNumId w:val="9"/>
  </w:num>
  <w:num w:numId="15" w16cid:durableId="1786190912">
    <w:abstractNumId w:val="1"/>
  </w:num>
  <w:num w:numId="16" w16cid:durableId="1321541486">
    <w:abstractNumId w:val="17"/>
  </w:num>
  <w:num w:numId="17" w16cid:durableId="1684552161">
    <w:abstractNumId w:val="11"/>
  </w:num>
  <w:num w:numId="18" w16cid:durableId="762147166">
    <w:abstractNumId w:val="19"/>
  </w:num>
  <w:num w:numId="19" w16cid:durableId="21448833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1103727">
    <w:abstractNumId w:val="7"/>
  </w:num>
  <w:num w:numId="21" w16cid:durableId="1713263197">
    <w:abstractNumId w:val="0"/>
  </w:num>
  <w:num w:numId="22" w16cid:durableId="20045817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101D"/>
    <w:rsid w:val="00002B0A"/>
    <w:rsid w:val="00003100"/>
    <w:rsid w:val="00004431"/>
    <w:rsid w:val="00005062"/>
    <w:rsid w:val="00005DFC"/>
    <w:rsid w:val="0001064C"/>
    <w:rsid w:val="0001384A"/>
    <w:rsid w:val="00013A2C"/>
    <w:rsid w:val="00015A47"/>
    <w:rsid w:val="00021C13"/>
    <w:rsid w:val="00032A0F"/>
    <w:rsid w:val="00040D8D"/>
    <w:rsid w:val="000445D7"/>
    <w:rsid w:val="00046423"/>
    <w:rsid w:val="0004699A"/>
    <w:rsid w:val="000469B3"/>
    <w:rsid w:val="000477F5"/>
    <w:rsid w:val="00047B70"/>
    <w:rsid w:val="0005067C"/>
    <w:rsid w:val="0005294C"/>
    <w:rsid w:val="00052E53"/>
    <w:rsid w:val="00053BFA"/>
    <w:rsid w:val="0006104E"/>
    <w:rsid w:val="00062437"/>
    <w:rsid w:val="000640BD"/>
    <w:rsid w:val="00065839"/>
    <w:rsid w:val="00065FDF"/>
    <w:rsid w:val="0006693A"/>
    <w:rsid w:val="00074799"/>
    <w:rsid w:val="00077844"/>
    <w:rsid w:val="00083763"/>
    <w:rsid w:val="00090510"/>
    <w:rsid w:val="000917AE"/>
    <w:rsid w:val="00094B81"/>
    <w:rsid w:val="00095C6A"/>
    <w:rsid w:val="000975AA"/>
    <w:rsid w:val="00097C1B"/>
    <w:rsid w:val="00097F70"/>
    <w:rsid w:val="000A07FE"/>
    <w:rsid w:val="000A6EC2"/>
    <w:rsid w:val="000B2549"/>
    <w:rsid w:val="000B63A1"/>
    <w:rsid w:val="000B6B15"/>
    <w:rsid w:val="000C25A7"/>
    <w:rsid w:val="000C3E99"/>
    <w:rsid w:val="000D0E6E"/>
    <w:rsid w:val="000D78EC"/>
    <w:rsid w:val="000D7934"/>
    <w:rsid w:val="000D7C08"/>
    <w:rsid w:val="000E2434"/>
    <w:rsid w:val="000E2597"/>
    <w:rsid w:val="000E504E"/>
    <w:rsid w:val="000E6746"/>
    <w:rsid w:val="000F2B34"/>
    <w:rsid w:val="000F7B51"/>
    <w:rsid w:val="00101BEE"/>
    <w:rsid w:val="00101CE6"/>
    <w:rsid w:val="00101FB1"/>
    <w:rsid w:val="00103E9D"/>
    <w:rsid w:val="0010558A"/>
    <w:rsid w:val="001101FF"/>
    <w:rsid w:val="00111989"/>
    <w:rsid w:val="00113F9F"/>
    <w:rsid w:val="00114025"/>
    <w:rsid w:val="0011797D"/>
    <w:rsid w:val="0012473C"/>
    <w:rsid w:val="00126C69"/>
    <w:rsid w:val="00127A74"/>
    <w:rsid w:val="0013132F"/>
    <w:rsid w:val="00131B1B"/>
    <w:rsid w:val="001320D3"/>
    <w:rsid w:val="0013306D"/>
    <w:rsid w:val="001350BE"/>
    <w:rsid w:val="0013528C"/>
    <w:rsid w:val="00136488"/>
    <w:rsid w:val="0013706E"/>
    <w:rsid w:val="001442A2"/>
    <w:rsid w:val="001468CA"/>
    <w:rsid w:val="001500A8"/>
    <w:rsid w:val="00155D85"/>
    <w:rsid w:val="00156693"/>
    <w:rsid w:val="0016102E"/>
    <w:rsid w:val="0016200C"/>
    <w:rsid w:val="00165D28"/>
    <w:rsid w:val="0017005C"/>
    <w:rsid w:val="00175CD8"/>
    <w:rsid w:val="00182BD8"/>
    <w:rsid w:val="00190853"/>
    <w:rsid w:val="001A0804"/>
    <w:rsid w:val="001A54B3"/>
    <w:rsid w:val="001A76F9"/>
    <w:rsid w:val="001B06FF"/>
    <w:rsid w:val="001B1703"/>
    <w:rsid w:val="001C1C2E"/>
    <w:rsid w:val="001C31A1"/>
    <w:rsid w:val="001C3FA2"/>
    <w:rsid w:val="001C5EE2"/>
    <w:rsid w:val="001C7BBA"/>
    <w:rsid w:val="001D0077"/>
    <w:rsid w:val="001D6BE9"/>
    <w:rsid w:val="001E407B"/>
    <w:rsid w:val="001E7FC6"/>
    <w:rsid w:val="001F2502"/>
    <w:rsid w:val="001F70A5"/>
    <w:rsid w:val="0020235D"/>
    <w:rsid w:val="0020369B"/>
    <w:rsid w:val="00203706"/>
    <w:rsid w:val="00206139"/>
    <w:rsid w:val="00207B4D"/>
    <w:rsid w:val="00210F9B"/>
    <w:rsid w:val="002117B1"/>
    <w:rsid w:val="00217CCE"/>
    <w:rsid w:val="002203B1"/>
    <w:rsid w:val="00226F39"/>
    <w:rsid w:val="00227FDF"/>
    <w:rsid w:val="002334AD"/>
    <w:rsid w:val="00241B60"/>
    <w:rsid w:val="00241C02"/>
    <w:rsid w:val="0024419F"/>
    <w:rsid w:val="00252519"/>
    <w:rsid w:val="0025785B"/>
    <w:rsid w:val="00257969"/>
    <w:rsid w:val="00262136"/>
    <w:rsid w:val="00265CD1"/>
    <w:rsid w:val="002766C5"/>
    <w:rsid w:val="00280048"/>
    <w:rsid w:val="0028489E"/>
    <w:rsid w:val="002848DE"/>
    <w:rsid w:val="0028794E"/>
    <w:rsid w:val="0029733B"/>
    <w:rsid w:val="002A5841"/>
    <w:rsid w:val="002A7010"/>
    <w:rsid w:val="002A7948"/>
    <w:rsid w:val="002B1EDF"/>
    <w:rsid w:val="002B2061"/>
    <w:rsid w:val="002B33C3"/>
    <w:rsid w:val="002B597D"/>
    <w:rsid w:val="002C1232"/>
    <w:rsid w:val="002C1E44"/>
    <w:rsid w:val="002C3F76"/>
    <w:rsid w:val="002C5C92"/>
    <w:rsid w:val="002C5E29"/>
    <w:rsid w:val="002D0478"/>
    <w:rsid w:val="002D227A"/>
    <w:rsid w:val="002D7127"/>
    <w:rsid w:val="002F599E"/>
    <w:rsid w:val="003008D8"/>
    <w:rsid w:val="00301D9A"/>
    <w:rsid w:val="00303959"/>
    <w:rsid w:val="00306683"/>
    <w:rsid w:val="00306E72"/>
    <w:rsid w:val="00312AC3"/>
    <w:rsid w:val="00314430"/>
    <w:rsid w:val="003163BC"/>
    <w:rsid w:val="003212D9"/>
    <w:rsid w:val="0032351A"/>
    <w:rsid w:val="00324B33"/>
    <w:rsid w:val="00327488"/>
    <w:rsid w:val="00336FE1"/>
    <w:rsid w:val="00337BD8"/>
    <w:rsid w:val="00342D56"/>
    <w:rsid w:val="003456E7"/>
    <w:rsid w:val="00346EC2"/>
    <w:rsid w:val="003477F9"/>
    <w:rsid w:val="0035444D"/>
    <w:rsid w:val="00356D62"/>
    <w:rsid w:val="00363EE3"/>
    <w:rsid w:val="003735F3"/>
    <w:rsid w:val="00374729"/>
    <w:rsid w:val="00382F49"/>
    <w:rsid w:val="00386164"/>
    <w:rsid w:val="00387298"/>
    <w:rsid w:val="00387984"/>
    <w:rsid w:val="00392A28"/>
    <w:rsid w:val="00395140"/>
    <w:rsid w:val="003A2422"/>
    <w:rsid w:val="003A5506"/>
    <w:rsid w:val="003B149C"/>
    <w:rsid w:val="003B32DC"/>
    <w:rsid w:val="003B5A24"/>
    <w:rsid w:val="003B7462"/>
    <w:rsid w:val="003C0FDB"/>
    <w:rsid w:val="003C1192"/>
    <w:rsid w:val="003C463B"/>
    <w:rsid w:val="003C4B66"/>
    <w:rsid w:val="003C55E2"/>
    <w:rsid w:val="003C63D5"/>
    <w:rsid w:val="003C7895"/>
    <w:rsid w:val="003C7AA8"/>
    <w:rsid w:val="003D1C28"/>
    <w:rsid w:val="003D71A1"/>
    <w:rsid w:val="0040607A"/>
    <w:rsid w:val="0041688F"/>
    <w:rsid w:val="00422FA2"/>
    <w:rsid w:val="0042376F"/>
    <w:rsid w:val="004246B8"/>
    <w:rsid w:val="004248F1"/>
    <w:rsid w:val="00433318"/>
    <w:rsid w:val="00433CF6"/>
    <w:rsid w:val="00437FD6"/>
    <w:rsid w:val="004411D9"/>
    <w:rsid w:val="00442A56"/>
    <w:rsid w:val="004444B0"/>
    <w:rsid w:val="0045060B"/>
    <w:rsid w:val="00454872"/>
    <w:rsid w:val="004626FF"/>
    <w:rsid w:val="0046285C"/>
    <w:rsid w:val="00470A52"/>
    <w:rsid w:val="00471BD5"/>
    <w:rsid w:val="00477C4E"/>
    <w:rsid w:val="00477F07"/>
    <w:rsid w:val="00481503"/>
    <w:rsid w:val="00481D12"/>
    <w:rsid w:val="00481DA9"/>
    <w:rsid w:val="00483C6E"/>
    <w:rsid w:val="004854A6"/>
    <w:rsid w:val="00491A55"/>
    <w:rsid w:val="00494C3E"/>
    <w:rsid w:val="00497DF1"/>
    <w:rsid w:val="004A09E8"/>
    <w:rsid w:val="004A17B1"/>
    <w:rsid w:val="004A318E"/>
    <w:rsid w:val="004A45D4"/>
    <w:rsid w:val="004A57E8"/>
    <w:rsid w:val="004A7F1E"/>
    <w:rsid w:val="004B3081"/>
    <w:rsid w:val="004B4A09"/>
    <w:rsid w:val="004C41CE"/>
    <w:rsid w:val="004C631B"/>
    <w:rsid w:val="004D0933"/>
    <w:rsid w:val="004D1FC8"/>
    <w:rsid w:val="004D2F00"/>
    <w:rsid w:val="004D31D8"/>
    <w:rsid w:val="004D35D1"/>
    <w:rsid w:val="004D3627"/>
    <w:rsid w:val="004D4782"/>
    <w:rsid w:val="004D4AD5"/>
    <w:rsid w:val="004D5388"/>
    <w:rsid w:val="004E7F16"/>
    <w:rsid w:val="004F18EC"/>
    <w:rsid w:val="00500D68"/>
    <w:rsid w:val="0053377D"/>
    <w:rsid w:val="00535DFE"/>
    <w:rsid w:val="005373B5"/>
    <w:rsid w:val="00537AB7"/>
    <w:rsid w:val="0054669B"/>
    <w:rsid w:val="00557684"/>
    <w:rsid w:val="00560EC1"/>
    <w:rsid w:val="005610D1"/>
    <w:rsid w:val="005623B7"/>
    <w:rsid w:val="00562849"/>
    <w:rsid w:val="00562F42"/>
    <w:rsid w:val="00565739"/>
    <w:rsid w:val="00566AFA"/>
    <w:rsid w:val="0056766D"/>
    <w:rsid w:val="00575215"/>
    <w:rsid w:val="005775D0"/>
    <w:rsid w:val="00581138"/>
    <w:rsid w:val="0058309E"/>
    <w:rsid w:val="0058575E"/>
    <w:rsid w:val="005866F5"/>
    <w:rsid w:val="0058783C"/>
    <w:rsid w:val="005911AE"/>
    <w:rsid w:val="005926E2"/>
    <w:rsid w:val="0059313A"/>
    <w:rsid w:val="005A54EA"/>
    <w:rsid w:val="005B023F"/>
    <w:rsid w:val="005B02A2"/>
    <w:rsid w:val="005B1417"/>
    <w:rsid w:val="005B16D3"/>
    <w:rsid w:val="005B61AF"/>
    <w:rsid w:val="005B69CF"/>
    <w:rsid w:val="005B7CD3"/>
    <w:rsid w:val="005B7E87"/>
    <w:rsid w:val="005C2BCE"/>
    <w:rsid w:val="005C3F07"/>
    <w:rsid w:val="005C4B46"/>
    <w:rsid w:val="005C5DC5"/>
    <w:rsid w:val="005D075E"/>
    <w:rsid w:val="005D0E1E"/>
    <w:rsid w:val="005D2089"/>
    <w:rsid w:val="005D48D5"/>
    <w:rsid w:val="005D7514"/>
    <w:rsid w:val="005E0FC6"/>
    <w:rsid w:val="005E1A7B"/>
    <w:rsid w:val="005E231F"/>
    <w:rsid w:val="005E2453"/>
    <w:rsid w:val="005F164B"/>
    <w:rsid w:val="006010A2"/>
    <w:rsid w:val="0060122A"/>
    <w:rsid w:val="00602D6E"/>
    <w:rsid w:val="00605C05"/>
    <w:rsid w:val="00611351"/>
    <w:rsid w:val="0061217D"/>
    <w:rsid w:val="006129AE"/>
    <w:rsid w:val="006141BA"/>
    <w:rsid w:val="00615056"/>
    <w:rsid w:val="00626524"/>
    <w:rsid w:val="006277A1"/>
    <w:rsid w:val="006331E2"/>
    <w:rsid w:val="00633BD7"/>
    <w:rsid w:val="00634580"/>
    <w:rsid w:val="00634884"/>
    <w:rsid w:val="006351D9"/>
    <w:rsid w:val="00637130"/>
    <w:rsid w:val="00637F0E"/>
    <w:rsid w:val="006423F2"/>
    <w:rsid w:val="006428C5"/>
    <w:rsid w:val="00644B35"/>
    <w:rsid w:val="006464BC"/>
    <w:rsid w:val="00650234"/>
    <w:rsid w:val="0066044B"/>
    <w:rsid w:val="00662914"/>
    <w:rsid w:val="006630AA"/>
    <w:rsid w:val="00663544"/>
    <w:rsid w:val="00666539"/>
    <w:rsid w:val="00666911"/>
    <w:rsid w:val="00675F81"/>
    <w:rsid w:val="0068143E"/>
    <w:rsid w:val="0068507D"/>
    <w:rsid w:val="00685BD0"/>
    <w:rsid w:val="0068731C"/>
    <w:rsid w:val="006903E3"/>
    <w:rsid w:val="00691AF2"/>
    <w:rsid w:val="00692B80"/>
    <w:rsid w:val="00692CCD"/>
    <w:rsid w:val="00692D51"/>
    <w:rsid w:val="00694DD7"/>
    <w:rsid w:val="0069636B"/>
    <w:rsid w:val="006A1762"/>
    <w:rsid w:val="006A19CE"/>
    <w:rsid w:val="006A1F0B"/>
    <w:rsid w:val="006A277A"/>
    <w:rsid w:val="006A39FA"/>
    <w:rsid w:val="006A5973"/>
    <w:rsid w:val="006B04F3"/>
    <w:rsid w:val="006B1B66"/>
    <w:rsid w:val="006B5E64"/>
    <w:rsid w:val="006B7126"/>
    <w:rsid w:val="006C4565"/>
    <w:rsid w:val="006C6B86"/>
    <w:rsid w:val="006D4553"/>
    <w:rsid w:val="006D4A35"/>
    <w:rsid w:val="006D6B44"/>
    <w:rsid w:val="006E0F71"/>
    <w:rsid w:val="006E27FE"/>
    <w:rsid w:val="006E4982"/>
    <w:rsid w:val="006F4E46"/>
    <w:rsid w:val="00701110"/>
    <w:rsid w:val="00702E91"/>
    <w:rsid w:val="0070330F"/>
    <w:rsid w:val="00703624"/>
    <w:rsid w:val="007046ED"/>
    <w:rsid w:val="0070541F"/>
    <w:rsid w:val="007072A1"/>
    <w:rsid w:val="0071060C"/>
    <w:rsid w:val="00710BC5"/>
    <w:rsid w:val="007121CA"/>
    <w:rsid w:val="0071626F"/>
    <w:rsid w:val="0072003B"/>
    <w:rsid w:val="00721059"/>
    <w:rsid w:val="007211E6"/>
    <w:rsid w:val="007220C4"/>
    <w:rsid w:val="00724C69"/>
    <w:rsid w:val="007268FE"/>
    <w:rsid w:val="007305ED"/>
    <w:rsid w:val="007311B9"/>
    <w:rsid w:val="00732361"/>
    <w:rsid w:val="007357B9"/>
    <w:rsid w:val="00741AB9"/>
    <w:rsid w:val="00742376"/>
    <w:rsid w:val="007425F7"/>
    <w:rsid w:val="00742D03"/>
    <w:rsid w:val="00744216"/>
    <w:rsid w:val="007452E8"/>
    <w:rsid w:val="00746990"/>
    <w:rsid w:val="00747093"/>
    <w:rsid w:val="00750D70"/>
    <w:rsid w:val="007575D0"/>
    <w:rsid w:val="00765193"/>
    <w:rsid w:val="007662E0"/>
    <w:rsid w:val="00776E9C"/>
    <w:rsid w:val="007816D8"/>
    <w:rsid w:val="00784150"/>
    <w:rsid w:val="00793272"/>
    <w:rsid w:val="0079499A"/>
    <w:rsid w:val="00794B64"/>
    <w:rsid w:val="007967C3"/>
    <w:rsid w:val="007A0A33"/>
    <w:rsid w:val="007A36EE"/>
    <w:rsid w:val="007A4A49"/>
    <w:rsid w:val="007B04DE"/>
    <w:rsid w:val="007B0AE6"/>
    <w:rsid w:val="007B0DE0"/>
    <w:rsid w:val="007C0569"/>
    <w:rsid w:val="007C0F0B"/>
    <w:rsid w:val="007C161E"/>
    <w:rsid w:val="007C57BC"/>
    <w:rsid w:val="007D04CA"/>
    <w:rsid w:val="007D0A2B"/>
    <w:rsid w:val="007D12A1"/>
    <w:rsid w:val="007D40E5"/>
    <w:rsid w:val="007D4138"/>
    <w:rsid w:val="007E4178"/>
    <w:rsid w:val="007E5701"/>
    <w:rsid w:val="007E6443"/>
    <w:rsid w:val="007F0A77"/>
    <w:rsid w:val="007F1E37"/>
    <w:rsid w:val="007F50D3"/>
    <w:rsid w:val="007F6B1F"/>
    <w:rsid w:val="007F75B3"/>
    <w:rsid w:val="008013F0"/>
    <w:rsid w:val="00803926"/>
    <w:rsid w:val="00804897"/>
    <w:rsid w:val="00812CE5"/>
    <w:rsid w:val="0081464C"/>
    <w:rsid w:val="008329DB"/>
    <w:rsid w:val="008361C5"/>
    <w:rsid w:val="0083628F"/>
    <w:rsid w:val="00837AB9"/>
    <w:rsid w:val="00847C56"/>
    <w:rsid w:val="00850637"/>
    <w:rsid w:val="00852CC2"/>
    <w:rsid w:val="00853754"/>
    <w:rsid w:val="00854D98"/>
    <w:rsid w:val="00856D32"/>
    <w:rsid w:val="0085751E"/>
    <w:rsid w:val="00860B29"/>
    <w:rsid w:val="008622E8"/>
    <w:rsid w:val="00863C8D"/>
    <w:rsid w:val="008645EE"/>
    <w:rsid w:val="00870144"/>
    <w:rsid w:val="008702A7"/>
    <w:rsid w:val="0087072C"/>
    <w:rsid w:val="00871312"/>
    <w:rsid w:val="00873D7A"/>
    <w:rsid w:val="00877CB3"/>
    <w:rsid w:val="008804CF"/>
    <w:rsid w:val="00882D58"/>
    <w:rsid w:val="00882F19"/>
    <w:rsid w:val="00883CAF"/>
    <w:rsid w:val="00883D35"/>
    <w:rsid w:val="00884569"/>
    <w:rsid w:val="008863FF"/>
    <w:rsid w:val="008865D1"/>
    <w:rsid w:val="00887A51"/>
    <w:rsid w:val="0089038A"/>
    <w:rsid w:val="00890D9B"/>
    <w:rsid w:val="00891C6C"/>
    <w:rsid w:val="00893BEC"/>
    <w:rsid w:val="00893CCD"/>
    <w:rsid w:val="008964B3"/>
    <w:rsid w:val="008A32B8"/>
    <w:rsid w:val="008B1CB5"/>
    <w:rsid w:val="008B27DE"/>
    <w:rsid w:val="008C2D69"/>
    <w:rsid w:val="008C3C71"/>
    <w:rsid w:val="008C4579"/>
    <w:rsid w:val="008C49C6"/>
    <w:rsid w:val="008C754C"/>
    <w:rsid w:val="008D56C9"/>
    <w:rsid w:val="008D56CA"/>
    <w:rsid w:val="008D6A54"/>
    <w:rsid w:val="008E0418"/>
    <w:rsid w:val="008E2585"/>
    <w:rsid w:val="008E2D7A"/>
    <w:rsid w:val="008F09D9"/>
    <w:rsid w:val="008F2B92"/>
    <w:rsid w:val="008F2F89"/>
    <w:rsid w:val="008F3215"/>
    <w:rsid w:val="008F4A62"/>
    <w:rsid w:val="008F5C77"/>
    <w:rsid w:val="008F7256"/>
    <w:rsid w:val="0090424C"/>
    <w:rsid w:val="0090605E"/>
    <w:rsid w:val="00906C74"/>
    <w:rsid w:val="00907D43"/>
    <w:rsid w:val="009108CE"/>
    <w:rsid w:val="0091242F"/>
    <w:rsid w:val="00912B45"/>
    <w:rsid w:val="00915A9F"/>
    <w:rsid w:val="00930D58"/>
    <w:rsid w:val="00935AAA"/>
    <w:rsid w:val="009425CF"/>
    <w:rsid w:val="0095031E"/>
    <w:rsid w:val="009536A4"/>
    <w:rsid w:val="00954297"/>
    <w:rsid w:val="00956437"/>
    <w:rsid w:val="00957B64"/>
    <w:rsid w:val="00960302"/>
    <w:rsid w:val="00960759"/>
    <w:rsid w:val="00960A56"/>
    <w:rsid w:val="009645EE"/>
    <w:rsid w:val="00966A0E"/>
    <w:rsid w:val="00966EF1"/>
    <w:rsid w:val="00967223"/>
    <w:rsid w:val="009711F7"/>
    <w:rsid w:val="009751F7"/>
    <w:rsid w:val="0098168B"/>
    <w:rsid w:val="0098350E"/>
    <w:rsid w:val="00990C12"/>
    <w:rsid w:val="0099404F"/>
    <w:rsid w:val="0099609E"/>
    <w:rsid w:val="00996456"/>
    <w:rsid w:val="00996FA5"/>
    <w:rsid w:val="00997444"/>
    <w:rsid w:val="009B5662"/>
    <w:rsid w:val="009B74DF"/>
    <w:rsid w:val="009C2211"/>
    <w:rsid w:val="009C40E8"/>
    <w:rsid w:val="009C45C5"/>
    <w:rsid w:val="009E0971"/>
    <w:rsid w:val="009E1052"/>
    <w:rsid w:val="009E6858"/>
    <w:rsid w:val="009E6F8C"/>
    <w:rsid w:val="009F405F"/>
    <w:rsid w:val="00A01C56"/>
    <w:rsid w:val="00A25B22"/>
    <w:rsid w:val="00A26359"/>
    <w:rsid w:val="00A32C50"/>
    <w:rsid w:val="00A358E7"/>
    <w:rsid w:val="00A410A0"/>
    <w:rsid w:val="00A4380B"/>
    <w:rsid w:val="00A51A2D"/>
    <w:rsid w:val="00A5596B"/>
    <w:rsid w:val="00A63C07"/>
    <w:rsid w:val="00A63D9B"/>
    <w:rsid w:val="00A704DC"/>
    <w:rsid w:val="00A72104"/>
    <w:rsid w:val="00A7529F"/>
    <w:rsid w:val="00A81DEA"/>
    <w:rsid w:val="00A93DC6"/>
    <w:rsid w:val="00A9411A"/>
    <w:rsid w:val="00A97C19"/>
    <w:rsid w:val="00AA4A4B"/>
    <w:rsid w:val="00AA6682"/>
    <w:rsid w:val="00AB0613"/>
    <w:rsid w:val="00AB6D6E"/>
    <w:rsid w:val="00AB7C5C"/>
    <w:rsid w:val="00AB7CBF"/>
    <w:rsid w:val="00AC00FE"/>
    <w:rsid w:val="00AC233B"/>
    <w:rsid w:val="00AD0111"/>
    <w:rsid w:val="00AD0B68"/>
    <w:rsid w:val="00AD40C3"/>
    <w:rsid w:val="00AD4C72"/>
    <w:rsid w:val="00AD5451"/>
    <w:rsid w:val="00AE1947"/>
    <w:rsid w:val="00AE2322"/>
    <w:rsid w:val="00AE6A11"/>
    <w:rsid w:val="00AF068F"/>
    <w:rsid w:val="00AF1C8B"/>
    <w:rsid w:val="00AF299B"/>
    <w:rsid w:val="00AF7E43"/>
    <w:rsid w:val="00B02AE0"/>
    <w:rsid w:val="00B03F25"/>
    <w:rsid w:val="00B05326"/>
    <w:rsid w:val="00B12DB0"/>
    <w:rsid w:val="00B14545"/>
    <w:rsid w:val="00B14E60"/>
    <w:rsid w:val="00B17BA2"/>
    <w:rsid w:val="00B26DC3"/>
    <w:rsid w:val="00B30B9D"/>
    <w:rsid w:val="00B42FA1"/>
    <w:rsid w:val="00B43BDE"/>
    <w:rsid w:val="00B44D97"/>
    <w:rsid w:val="00B4574D"/>
    <w:rsid w:val="00B468E1"/>
    <w:rsid w:val="00B46BC0"/>
    <w:rsid w:val="00B46DFB"/>
    <w:rsid w:val="00B47BE3"/>
    <w:rsid w:val="00B5141B"/>
    <w:rsid w:val="00B528CA"/>
    <w:rsid w:val="00B54BA4"/>
    <w:rsid w:val="00B55681"/>
    <w:rsid w:val="00B57AAD"/>
    <w:rsid w:val="00B624B2"/>
    <w:rsid w:val="00B6374E"/>
    <w:rsid w:val="00B63D0F"/>
    <w:rsid w:val="00B721C7"/>
    <w:rsid w:val="00B72B16"/>
    <w:rsid w:val="00B80408"/>
    <w:rsid w:val="00B81397"/>
    <w:rsid w:val="00B83444"/>
    <w:rsid w:val="00B925DB"/>
    <w:rsid w:val="00B94BAD"/>
    <w:rsid w:val="00B967FF"/>
    <w:rsid w:val="00B974B9"/>
    <w:rsid w:val="00BA3F6D"/>
    <w:rsid w:val="00BA4BE6"/>
    <w:rsid w:val="00BA4FC0"/>
    <w:rsid w:val="00BA61E0"/>
    <w:rsid w:val="00BA657C"/>
    <w:rsid w:val="00BA7F7D"/>
    <w:rsid w:val="00BB1C14"/>
    <w:rsid w:val="00BB5F37"/>
    <w:rsid w:val="00BB6847"/>
    <w:rsid w:val="00BB7F8F"/>
    <w:rsid w:val="00BC62CF"/>
    <w:rsid w:val="00BC716A"/>
    <w:rsid w:val="00BD07DF"/>
    <w:rsid w:val="00BD26F4"/>
    <w:rsid w:val="00BD5DBD"/>
    <w:rsid w:val="00BD5DF6"/>
    <w:rsid w:val="00BE0041"/>
    <w:rsid w:val="00BE640F"/>
    <w:rsid w:val="00BE6D2A"/>
    <w:rsid w:val="00BF0E44"/>
    <w:rsid w:val="00BF4638"/>
    <w:rsid w:val="00BF5130"/>
    <w:rsid w:val="00BF6783"/>
    <w:rsid w:val="00C00844"/>
    <w:rsid w:val="00C059D0"/>
    <w:rsid w:val="00C07551"/>
    <w:rsid w:val="00C1109F"/>
    <w:rsid w:val="00C12D65"/>
    <w:rsid w:val="00C133AB"/>
    <w:rsid w:val="00C1348C"/>
    <w:rsid w:val="00C1586C"/>
    <w:rsid w:val="00C20B56"/>
    <w:rsid w:val="00C22085"/>
    <w:rsid w:val="00C22214"/>
    <w:rsid w:val="00C26F72"/>
    <w:rsid w:val="00C309A7"/>
    <w:rsid w:val="00C335AB"/>
    <w:rsid w:val="00C34077"/>
    <w:rsid w:val="00C346B2"/>
    <w:rsid w:val="00C34C7F"/>
    <w:rsid w:val="00C3771D"/>
    <w:rsid w:val="00C407AB"/>
    <w:rsid w:val="00C463B2"/>
    <w:rsid w:val="00C51672"/>
    <w:rsid w:val="00C52B7B"/>
    <w:rsid w:val="00C547CD"/>
    <w:rsid w:val="00C570FF"/>
    <w:rsid w:val="00C57CEA"/>
    <w:rsid w:val="00C57D49"/>
    <w:rsid w:val="00C6001C"/>
    <w:rsid w:val="00C60FEC"/>
    <w:rsid w:val="00C6189E"/>
    <w:rsid w:val="00C62B1C"/>
    <w:rsid w:val="00C6574E"/>
    <w:rsid w:val="00C66378"/>
    <w:rsid w:val="00C663D1"/>
    <w:rsid w:val="00C701AE"/>
    <w:rsid w:val="00C707FD"/>
    <w:rsid w:val="00C74E4E"/>
    <w:rsid w:val="00C761EE"/>
    <w:rsid w:val="00C76DEB"/>
    <w:rsid w:val="00C811D8"/>
    <w:rsid w:val="00C816C6"/>
    <w:rsid w:val="00C84015"/>
    <w:rsid w:val="00C863A7"/>
    <w:rsid w:val="00C90D53"/>
    <w:rsid w:val="00C912F4"/>
    <w:rsid w:val="00C9156F"/>
    <w:rsid w:val="00C93D1D"/>
    <w:rsid w:val="00C9581A"/>
    <w:rsid w:val="00C96CF0"/>
    <w:rsid w:val="00C97D29"/>
    <w:rsid w:val="00CA7675"/>
    <w:rsid w:val="00CB0550"/>
    <w:rsid w:val="00CB0E30"/>
    <w:rsid w:val="00CB1746"/>
    <w:rsid w:val="00CB1E25"/>
    <w:rsid w:val="00CB6813"/>
    <w:rsid w:val="00CB7505"/>
    <w:rsid w:val="00CB787D"/>
    <w:rsid w:val="00CD3524"/>
    <w:rsid w:val="00CD38A9"/>
    <w:rsid w:val="00CD3C0A"/>
    <w:rsid w:val="00CD421F"/>
    <w:rsid w:val="00CF6A55"/>
    <w:rsid w:val="00CF6DC6"/>
    <w:rsid w:val="00CF6DCF"/>
    <w:rsid w:val="00D01DDB"/>
    <w:rsid w:val="00D078BE"/>
    <w:rsid w:val="00D12D59"/>
    <w:rsid w:val="00D13F8A"/>
    <w:rsid w:val="00D16F60"/>
    <w:rsid w:val="00D216C1"/>
    <w:rsid w:val="00D22981"/>
    <w:rsid w:val="00D31B37"/>
    <w:rsid w:val="00D32AAD"/>
    <w:rsid w:val="00D3349B"/>
    <w:rsid w:val="00D424A8"/>
    <w:rsid w:val="00D5140B"/>
    <w:rsid w:val="00D6036F"/>
    <w:rsid w:val="00D62877"/>
    <w:rsid w:val="00D62D49"/>
    <w:rsid w:val="00D63760"/>
    <w:rsid w:val="00D6499D"/>
    <w:rsid w:val="00D66BA1"/>
    <w:rsid w:val="00D6703F"/>
    <w:rsid w:val="00D7142C"/>
    <w:rsid w:val="00D734EB"/>
    <w:rsid w:val="00D74B54"/>
    <w:rsid w:val="00D75522"/>
    <w:rsid w:val="00D82713"/>
    <w:rsid w:val="00D86F00"/>
    <w:rsid w:val="00D918D5"/>
    <w:rsid w:val="00D94C8E"/>
    <w:rsid w:val="00D953FD"/>
    <w:rsid w:val="00D97114"/>
    <w:rsid w:val="00DA6FC4"/>
    <w:rsid w:val="00DB1372"/>
    <w:rsid w:val="00DB192C"/>
    <w:rsid w:val="00DB1CF3"/>
    <w:rsid w:val="00DB5425"/>
    <w:rsid w:val="00DB672D"/>
    <w:rsid w:val="00DB72A6"/>
    <w:rsid w:val="00DC33AF"/>
    <w:rsid w:val="00DC5DE8"/>
    <w:rsid w:val="00DC6611"/>
    <w:rsid w:val="00DD3238"/>
    <w:rsid w:val="00DD5AFB"/>
    <w:rsid w:val="00DE1344"/>
    <w:rsid w:val="00DF1CFD"/>
    <w:rsid w:val="00DF1DED"/>
    <w:rsid w:val="00DF5BFE"/>
    <w:rsid w:val="00DF6CA5"/>
    <w:rsid w:val="00E0523F"/>
    <w:rsid w:val="00E14D63"/>
    <w:rsid w:val="00E20DB7"/>
    <w:rsid w:val="00E23E50"/>
    <w:rsid w:val="00E26213"/>
    <w:rsid w:val="00E274DF"/>
    <w:rsid w:val="00E31487"/>
    <w:rsid w:val="00E34D66"/>
    <w:rsid w:val="00E362C4"/>
    <w:rsid w:val="00E45913"/>
    <w:rsid w:val="00E46CC2"/>
    <w:rsid w:val="00E47E0C"/>
    <w:rsid w:val="00E51813"/>
    <w:rsid w:val="00E519C7"/>
    <w:rsid w:val="00E52C0B"/>
    <w:rsid w:val="00E53D3F"/>
    <w:rsid w:val="00E55229"/>
    <w:rsid w:val="00E5579B"/>
    <w:rsid w:val="00E5714D"/>
    <w:rsid w:val="00E57FF4"/>
    <w:rsid w:val="00E60177"/>
    <w:rsid w:val="00E61F7D"/>
    <w:rsid w:val="00E65365"/>
    <w:rsid w:val="00E660DE"/>
    <w:rsid w:val="00E67784"/>
    <w:rsid w:val="00E679D1"/>
    <w:rsid w:val="00E67C1C"/>
    <w:rsid w:val="00E72934"/>
    <w:rsid w:val="00E72C38"/>
    <w:rsid w:val="00E8459F"/>
    <w:rsid w:val="00E91F11"/>
    <w:rsid w:val="00E96555"/>
    <w:rsid w:val="00E9706D"/>
    <w:rsid w:val="00EA1C8F"/>
    <w:rsid w:val="00EA3AF4"/>
    <w:rsid w:val="00EB4046"/>
    <w:rsid w:val="00EE4B01"/>
    <w:rsid w:val="00EF3F0B"/>
    <w:rsid w:val="00EF5583"/>
    <w:rsid w:val="00F0289D"/>
    <w:rsid w:val="00F02AEC"/>
    <w:rsid w:val="00F07572"/>
    <w:rsid w:val="00F157FC"/>
    <w:rsid w:val="00F165A0"/>
    <w:rsid w:val="00F3025D"/>
    <w:rsid w:val="00F30AF3"/>
    <w:rsid w:val="00F33C2E"/>
    <w:rsid w:val="00F418FF"/>
    <w:rsid w:val="00F43CD1"/>
    <w:rsid w:val="00F45AE0"/>
    <w:rsid w:val="00F60CF2"/>
    <w:rsid w:val="00F657B4"/>
    <w:rsid w:val="00F72725"/>
    <w:rsid w:val="00F7649F"/>
    <w:rsid w:val="00F77082"/>
    <w:rsid w:val="00F8083B"/>
    <w:rsid w:val="00F82D1B"/>
    <w:rsid w:val="00F8568E"/>
    <w:rsid w:val="00F865A7"/>
    <w:rsid w:val="00F914AC"/>
    <w:rsid w:val="00F94556"/>
    <w:rsid w:val="00FA0754"/>
    <w:rsid w:val="00FA1BC9"/>
    <w:rsid w:val="00FA49C3"/>
    <w:rsid w:val="00FB236E"/>
    <w:rsid w:val="00FB3F7B"/>
    <w:rsid w:val="00FB4C2A"/>
    <w:rsid w:val="00FB6B85"/>
    <w:rsid w:val="00FC01EA"/>
    <w:rsid w:val="00FC18A7"/>
    <w:rsid w:val="00FC2107"/>
    <w:rsid w:val="00FC2783"/>
    <w:rsid w:val="00FC3357"/>
    <w:rsid w:val="00FC48FE"/>
    <w:rsid w:val="00FC6F56"/>
    <w:rsid w:val="00FD14F6"/>
    <w:rsid w:val="00FE087C"/>
    <w:rsid w:val="00FE5757"/>
    <w:rsid w:val="00FE79A0"/>
    <w:rsid w:val="00FF0345"/>
    <w:rsid w:val="00FF0939"/>
    <w:rsid w:val="00FF2FCC"/>
    <w:rsid w:val="00FF3E7B"/>
    <w:rsid w:val="00FF754F"/>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F1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F1DED"/>
    <w:rPr>
      <w:rFonts w:asciiTheme="majorHAnsi" w:eastAsiaTheme="majorEastAsia" w:hAnsiTheme="majorHAnsi" w:cstheme="majorBidi"/>
      <w:color w:val="2F5496" w:themeColor="accent1" w:themeShade="BF"/>
      <w:sz w:val="32"/>
      <w:szCs w:val="32"/>
    </w:rPr>
  </w:style>
  <w:style w:type="paragraph" w:customStyle="1" w:styleId="Tabletext0">
    <w:name w:val="Table text"/>
    <w:basedOn w:val="Normal"/>
    <w:link w:val="TabletextChar"/>
    <w:qFormat/>
    <w:rsid w:val="0016200C"/>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16200C"/>
    <w:rPr>
      <w:rFonts w:ascii="Cambria" w:eastAsia="Times New Roman" w:hAnsi="Cambria" w:cs="Times New Roman"/>
      <w:snapToGrid w:val="0"/>
      <w:kern w:val="16"/>
      <w:szCs w:val="24"/>
    </w:rPr>
  </w:style>
  <w:style w:type="paragraph" w:customStyle="1" w:styleId="TableFootnote">
    <w:name w:val="TableFootnote"/>
    <w:qFormat/>
    <w:rsid w:val="000D0E6E"/>
    <w:pPr>
      <w:keepLines/>
      <w:tabs>
        <w:tab w:val="left" w:pos="349"/>
      </w:tabs>
      <w:spacing w:after="240" w:line="240" w:lineRule="auto"/>
      <w:ind w:left="346" w:hanging="346"/>
      <w:contextualSpacing/>
    </w:pPr>
    <w:rPr>
      <w:rFonts w:ascii="Times New Roman" w:eastAsia="Times New Roman" w:hAnsi="Times New Roman"/>
      <w:szCs w:val="24"/>
      <w:lang w:val="en-US"/>
    </w:rPr>
  </w:style>
  <w:style w:type="paragraph" w:customStyle="1" w:styleId="DocumentText">
    <w:name w:val="Document Text"/>
    <w:basedOn w:val="Normal"/>
    <w:link w:val="DocumentTextChar"/>
    <w:qFormat/>
    <w:rsid w:val="00136488"/>
    <w:pPr>
      <w:spacing w:after="240" w:line="300" w:lineRule="auto"/>
    </w:pPr>
    <w:rPr>
      <w:rFonts w:ascii="Times New Roman" w:eastAsia="Times New Roman" w:hAnsi="Times New Roman" w:cs="Times New Roman"/>
      <w:kern w:val="24"/>
      <w:sz w:val="24"/>
      <w:szCs w:val="24"/>
      <w:lang w:val="en-US"/>
    </w:rPr>
  </w:style>
  <w:style w:type="character" w:customStyle="1" w:styleId="DocumentTextChar">
    <w:name w:val="Document Text Char"/>
    <w:link w:val="DocumentText"/>
    <w:rsid w:val="00136488"/>
    <w:rPr>
      <w:rFonts w:ascii="Times New Roman" w:eastAsia="Times New Roman" w:hAnsi="Times New Roman" w:cs="Times New Roman"/>
      <w:kern w:val="24"/>
      <w:sz w:val="24"/>
      <w:szCs w:val="24"/>
      <w:lang w:val="en-US"/>
    </w:rPr>
  </w:style>
  <w:style w:type="paragraph" w:customStyle="1" w:styleId="BodyText-12pt">
    <w:name w:val="BodyText-12pt"/>
    <w:qFormat/>
    <w:rsid w:val="004D3627"/>
    <w:pPr>
      <w:spacing w:line="276" w:lineRule="auto"/>
    </w:pPr>
    <w:rPr>
      <w:rFonts w:ascii="Times New Roman" w:eastAsia="Times New Roman" w:hAnsi="Times New Roman"/>
      <w:sz w:val="24"/>
      <w:szCs w:val="24"/>
      <w:lang w:val="en-US"/>
    </w:rPr>
  </w:style>
  <w:style w:type="paragraph" w:customStyle="1" w:styleId="CTD">
    <w:name w:val="CTD본문"/>
    <w:basedOn w:val="BodyText2"/>
    <w:link w:val="CTDChar"/>
    <w:qFormat/>
    <w:rsid w:val="00B12DB0"/>
    <w:pPr>
      <w:spacing w:after="240" w:line="240" w:lineRule="auto"/>
      <w:jc w:val="both"/>
    </w:pPr>
    <w:rPr>
      <w:rFonts w:ascii="Times New Roman" w:eastAsia="Times New Roman" w:hAnsi="Times New Roman" w:cs="Times New Roman"/>
      <w:color w:val="000000" w:themeColor="text1"/>
      <w:kern w:val="24"/>
      <w:sz w:val="24"/>
      <w:szCs w:val="24"/>
      <w:lang w:val="en-US"/>
    </w:rPr>
  </w:style>
  <w:style w:type="character" w:customStyle="1" w:styleId="CTDChar">
    <w:name w:val="CTD본문 Char"/>
    <w:link w:val="CTD"/>
    <w:rsid w:val="00B12DB0"/>
    <w:rPr>
      <w:rFonts w:ascii="Times New Roman" w:eastAsia="Times New Roman" w:hAnsi="Times New Roman" w:cs="Times New Roman"/>
      <w:color w:val="000000" w:themeColor="text1"/>
      <w:kern w:val="24"/>
      <w:sz w:val="24"/>
      <w:szCs w:val="24"/>
      <w:lang w:val="en-US"/>
    </w:rPr>
  </w:style>
  <w:style w:type="paragraph" w:styleId="BodyText2">
    <w:name w:val="Body Text 2"/>
    <w:basedOn w:val="Normal"/>
    <w:link w:val="BodyText2Char"/>
    <w:uiPriority w:val="99"/>
    <w:semiHidden/>
    <w:unhideWhenUsed/>
    <w:rsid w:val="00B12DB0"/>
    <w:pPr>
      <w:spacing w:after="180" w:line="480" w:lineRule="auto"/>
    </w:pPr>
  </w:style>
  <w:style w:type="character" w:customStyle="1" w:styleId="BodyText2Char">
    <w:name w:val="Body Text 2 Char"/>
    <w:basedOn w:val="DefaultParagraphFont"/>
    <w:link w:val="BodyText2"/>
    <w:uiPriority w:val="99"/>
    <w:semiHidden/>
    <w:rsid w:val="00B12DB0"/>
    <w:rPr>
      <w:rFonts w:ascii="Cambria" w:hAnsi="Cambri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676154">
      <w:bodyDiv w:val="1"/>
      <w:marLeft w:val="0"/>
      <w:marRight w:val="0"/>
      <w:marTop w:val="0"/>
      <w:marBottom w:val="0"/>
      <w:divBdr>
        <w:top w:val="none" w:sz="0" w:space="0" w:color="auto"/>
        <w:left w:val="none" w:sz="0" w:space="0" w:color="auto"/>
        <w:bottom w:val="none" w:sz="0" w:space="0" w:color="auto"/>
        <w:right w:val="none" w:sz="0" w:space="0" w:color="auto"/>
      </w:divBdr>
      <w:divsChild>
        <w:div w:id="1409230999">
          <w:marLeft w:val="0"/>
          <w:marRight w:val="0"/>
          <w:marTop w:val="0"/>
          <w:marBottom w:val="0"/>
          <w:divBdr>
            <w:top w:val="none" w:sz="0" w:space="0" w:color="auto"/>
            <w:left w:val="none" w:sz="0" w:space="0" w:color="auto"/>
            <w:bottom w:val="none" w:sz="0" w:space="0" w:color="auto"/>
            <w:right w:val="none" w:sz="0" w:space="0" w:color="auto"/>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58530846">
      <w:bodyDiv w:val="1"/>
      <w:marLeft w:val="0"/>
      <w:marRight w:val="0"/>
      <w:marTop w:val="0"/>
      <w:marBottom w:val="0"/>
      <w:divBdr>
        <w:top w:val="none" w:sz="0" w:space="0" w:color="auto"/>
        <w:left w:val="none" w:sz="0" w:space="0" w:color="auto"/>
        <w:bottom w:val="none" w:sz="0" w:space="0" w:color="auto"/>
        <w:right w:val="none" w:sz="0" w:space="0" w:color="auto"/>
      </w:divBdr>
      <w:divsChild>
        <w:div w:id="242371597">
          <w:marLeft w:val="0"/>
          <w:marRight w:val="0"/>
          <w:marTop w:val="0"/>
          <w:marBottom w:val="0"/>
          <w:divBdr>
            <w:top w:val="none" w:sz="0" w:space="0" w:color="auto"/>
            <w:left w:val="none" w:sz="0" w:space="0" w:color="auto"/>
            <w:bottom w:val="none" w:sz="0" w:space="0" w:color="auto"/>
            <w:right w:val="none" w:sz="0" w:space="0" w:color="auto"/>
          </w:divBdr>
          <w:divsChild>
            <w:div w:id="1223442046">
              <w:marLeft w:val="0"/>
              <w:marRight w:val="0"/>
              <w:marTop w:val="0"/>
              <w:marBottom w:val="0"/>
              <w:divBdr>
                <w:top w:val="none" w:sz="0" w:space="0" w:color="auto"/>
                <w:left w:val="none" w:sz="0" w:space="0" w:color="auto"/>
                <w:bottom w:val="none" w:sz="0" w:space="0" w:color="auto"/>
                <w:right w:val="none" w:sz="0" w:space="0" w:color="auto"/>
              </w:divBdr>
              <w:divsChild>
                <w:div w:id="6772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40562">
      <w:bodyDiv w:val="1"/>
      <w:marLeft w:val="0"/>
      <w:marRight w:val="0"/>
      <w:marTop w:val="0"/>
      <w:marBottom w:val="0"/>
      <w:divBdr>
        <w:top w:val="none" w:sz="0" w:space="0" w:color="auto"/>
        <w:left w:val="none" w:sz="0" w:space="0" w:color="auto"/>
        <w:bottom w:val="none" w:sz="0" w:space="0" w:color="auto"/>
        <w:right w:val="none" w:sz="0" w:space="0" w:color="auto"/>
      </w:divBdr>
      <w:divsChild>
        <w:div w:id="1143084789">
          <w:marLeft w:val="0"/>
          <w:marRight w:val="0"/>
          <w:marTop w:val="0"/>
          <w:marBottom w:val="0"/>
          <w:divBdr>
            <w:top w:val="none" w:sz="0" w:space="0" w:color="auto"/>
            <w:left w:val="none" w:sz="0" w:space="0" w:color="auto"/>
            <w:bottom w:val="none" w:sz="0" w:space="0" w:color="auto"/>
            <w:right w:val="none" w:sz="0" w:space="0" w:color="auto"/>
          </w:divBdr>
          <w:divsChild>
            <w:div w:id="1935433399">
              <w:marLeft w:val="0"/>
              <w:marRight w:val="0"/>
              <w:marTop w:val="0"/>
              <w:marBottom w:val="0"/>
              <w:divBdr>
                <w:top w:val="none" w:sz="0" w:space="0" w:color="auto"/>
                <w:left w:val="none" w:sz="0" w:space="0" w:color="auto"/>
                <w:bottom w:val="none" w:sz="0" w:space="0" w:color="auto"/>
                <w:right w:val="none" w:sz="0" w:space="0" w:color="auto"/>
              </w:divBdr>
              <w:divsChild>
                <w:div w:id="5794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62211363">
      <w:bodyDiv w:val="1"/>
      <w:marLeft w:val="0"/>
      <w:marRight w:val="0"/>
      <w:marTop w:val="0"/>
      <w:marBottom w:val="0"/>
      <w:divBdr>
        <w:top w:val="none" w:sz="0" w:space="0" w:color="auto"/>
        <w:left w:val="none" w:sz="0" w:space="0" w:color="auto"/>
        <w:bottom w:val="none" w:sz="0" w:space="0" w:color="auto"/>
        <w:right w:val="none" w:sz="0" w:space="0" w:color="auto"/>
      </w:divBdr>
      <w:divsChild>
        <w:div w:id="1028071495">
          <w:marLeft w:val="0"/>
          <w:marRight w:val="0"/>
          <w:marTop w:val="0"/>
          <w:marBottom w:val="0"/>
          <w:divBdr>
            <w:top w:val="none" w:sz="0" w:space="0" w:color="auto"/>
            <w:left w:val="none" w:sz="0" w:space="0" w:color="auto"/>
            <w:bottom w:val="none" w:sz="0" w:space="0" w:color="auto"/>
            <w:right w:val="none" w:sz="0" w:space="0" w:color="auto"/>
          </w:divBdr>
        </w:div>
      </w:divsChild>
    </w:div>
    <w:div w:id="1733385512">
      <w:bodyDiv w:val="1"/>
      <w:marLeft w:val="0"/>
      <w:marRight w:val="0"/>
      <w:marTop w:val="0"/>
      <w:marBottom w:val="0"/>
      <w:divBdr>
        <w:top w:val="none" w:sz="0" w:space="0" w:color="auto"/>
        <w:left w:val="none" w:sz="0" w:space="0" w:color="auto"/>
        <w:bottom w:val="none" w:sz="0" w:space="0" w:color="auto"/>
        <w:right w:val="none" w:sz="0" w:space="0" w:color="auto"/>
      </w:divBdr>
    </w:div>
    <w:div w:id="1957636140">
      <w:bodyDiv w:val="1"/>
      <w:marLeft w:val="0"/>
      <w:marRight w:val="0"/>
      <w:marTop w:val="0"/>
      <w:marBottom w:val="0"/>
      <w:divBdr>
        <w:top w:val="none" w:sz="0" w:space="0" w:color="auto"/>
        <w:left w:val="none" w:sz="0" w:space="0" w:color="auto"/>
        <w:bottom w:val="none" w:sz="0" w:space="0" w:color="auto"/>
        <w:right w:val="none" w:sz="0" w:space="0" w:color="auto"/>
      </w:divBdr>
    </w:div>
    <w:div w:id="200771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4.png"/><Relationship Id="rId39" Type="http://schemas.openxmlformats.org/officeDocument/2006/relationships/hyperlink" Target="https://www.tga.gov.au" TargetMode="External"/><Relationship Id="rId21" Type="http://schemas.openxmlformats.org/officeDocument/2006/relationships/hyperlink" Target="https://www.tga.gov.au/resources/artg/431932"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tga.gov.au/resources/artg/431931" TargetMode="External"/><Relationship Id="rId29" Type="http://schemas.microsoft.com/office/2007/relationships/hdphoto" Target="media/hdphoto2.wdp"/><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obstetric-drug-information-services" TargetMode="External"/><Relationship Id="rId32" Type="http://schemas.openxmlformats.org/officeDocument/2006/relationships/image" Target="media/image8.png"/><Relationship Id="rId37" Type="http://schemas.openxmlformats.org/officeDocument/2006/relationships/footer" Target="footer4.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ga.gov.au/products/medicines/find-information-about-medicine/prescribing-medicines-pregnancy-database" TargetMode="External"/><Relationship Id="rId28" Type="http://schemas.openxmlformats.org/officeDocument/2006/relationships/image" Target="media/image5.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black-triangle-scheme" TargetMode="External"/><Relationship Id="rId27" Type="http://schemas.microsoft.com/office/2007/relationships/hdphoto" Target="media/hdphoto1.wdp"/><Relationship Id="rId30" Type="http://schemas.openxmlformats.org/officeDocument/2006/relationships/image" Target="media/image6.png"/><Relationship Id="rId35" Type="http://schemas.openxmlformats.org/officeDocument/2006/relationships/hyperlink" Target="https://www.ebs.tga.gov.a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microsoft.com/office/2007/relationships/hdphoto" Target="media/hdphoto3.wdp"/><Relationship Id="rId38"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ich-q2r2-validation-analytical-procedures-scientific-guidel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A129BCCC1E5E9E4B8C742E9DB801BAC1" ma:contentTypeVersion="12" ma:contentTypeDescription="새 문서를 만듭니다." ma:contentTypeScope="" ma:versionID="535a83473d77e1a3aad48dd9517df40d">
  <xsd:schema xmlns:xsd="http://www.w3.org/2001/XMLSchema" xmlns:xs="http://www.w3.org/2001/XMLSchema" xmlns:p="http://schemas.microsoft.com/office/2006/metadata/properties" xmlns:ns3="641ca40c-136a-42ae-9264-08a1203d3800" xmlns:ns4="daffffb8-aa82-4f77-bd3e-716a8a555359" targetNamespace="http://schemas.microsoft.com/office/2006/metadata/properties" ma:root="true" ma:fieldsID="c59b300845f64ee92de95d1ad3d1b73c" ns3:_="" ns4:_="">
    <xsd:import namespace="641ca40c-136a-42ae-9264-08a1203d3800"/>
    <xsd:import namespace="daffffb8-aa82-4f77-bd3e-716a8a55535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ca40c-136a-42ae-9264-08a1203d3800" elementFormDefault="qualified">
    <xsd:import namespace="http://schemas.microsoft.com/office/2006/documentManagement/types"/>
    <xsd:import namespace="http://schemas.microsoft.com/office/infopath/2007/PartnerControls"/>
    <xsd:element name="SharedWithUsers" ma:index="8"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세부 정보 공유" ma:internalName="SharedWithDetails" ma:readOnly="true">
      <xsd:simpleType>
        <xsd:restriction base="dms:Note">
          <xsd:maxLength value="255"/>
        </xsd:restriction>
      </xsd:simpleType>
    </xsd:element>
    <xsd:element name="SharingHintHash" ma:index="10" nillable="true" ma:displayName="힌트 해시 공유"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ffffb8-aa82-4f77-bd3e-716a8a55535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affffb8-aa82-4f77-bd3e-716a8a5553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82F6A5-456F-416B-8744-E2B204174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ca40c-136a-42ae-9264-08a1203d3800"/>
    <ds:schemaRef ds:uri="daffffb8-aa82-4f77-bd3e-716a8a555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3.xml><?xml version="1.0" encoding="utf-8"?>
<ds:datastoreItem xmlns:ds="http://schemas.openxmlformats.org/officeDocument/2006/customXml" ds:itemID="{C4A4973B-C788-4519-A67E-2BE5FB4B175F}">
  <ds:schemaRefs>
    <ds:schemaRef ds:uri="http://schemas.microsoft.com/office/2006/metadata/properties"/>
    <ds:schemaRef ds:uri="http://schemas.microsoft.com/office/infopath/2007/PartnerControls"/>
    <ds:schemaRef ds:uri="daffffb8-aa82-4f77-bd3e-716a8a555359"/>
  </ds:schemaRefs>
</ds:datastoreItem>
</file>

<file path=customXml/itemProps4.xml><?xml version="1.0" encoding="utf-8"?>
<ds:datastoreItem xmlns:ds="http://schemas.openxmlformats.org/officeDocument/2006/customXml" ds:itemID="{052E92DE-1424-4F48-81A8-C1EF48928B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6999</Words>
  <Characters>39916</Characters>
  <Application>Microsoft Office Word</Application>
  <DocSecurity>0</DocSecurity>
  <Lines>867</Lines>
  <Paragraphs>432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Australian public assessment report for Eydenzelt</vt:lpstr>
      <vt:lpstr>Australian public assessment report for</vt:lpstr>
    </vt:vector>
  </TitlesOfParts>
  <Company>Department of Health, Disability and Ageing</Company>
  <LinksUpToDate>false</LinksUpToDate>
  <CharactersWithSpaces>46537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Eydenzelt</dc:title>
  <dc:subject>Prescription medicines</dc:subject>
  <dc:creator>Therapeutic Goods Administration</dc:creator>
  <cp:keywords/>
  <dc:description/>
  <cp:lastModifiedBy>LACK, Janet</cp:lastModifiedBy>
  <cp:revision>4</cp:revision>
  <dcterms:created xsi:type="dcterms:W3CDTF">2025-11-11T02:20:00Z</dcterms:created>
  <dcterms:modified xsi:type="dcterms:W3CDTF">2025-11-11T02:47:00Z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235544be,1a69dac4,389c2938,b501cad,3ce5ed3b</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722f5fc9,10c876a4,3fdcad8a,6f1e7f3c,69d28024</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2025-09-26T01:18:20Z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47081c97-0d38-4778-a2d9-03c0a20b6937</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0x010100A129BCCC1E5E9E4B8C742E9DB801BAC1</vt:lpwstr>
  </property>
</Properties>
</file>