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5C592E4B" w:rsidR="00F02AEC" w:rsidRPr="00215D48" w:rsidRDefault="00346EC2" w:rsidP="007452E8">
            <w:pPr>
              <w:pStyle w:val="Title"/>
            </w:pPr>
            <w:r w:rsidRPr="00346EC2">
              <w:t>Australian Public Assessment Report for</w:t>
            </w:r>
            <w:r w:rsidR="00A363DE" w:rsidRPr="00A363DE">
              <w:rPr>
                <w:rFonts w:ascii="Cambria" w:eastAsiaTheme="minorHAnsi" w:hAnsi="Cambria" w:cs="Cambria"/>
                <w:color w:val="auto"/>
                <w:spacing w:val="0"/>
                <w:kern w:val="0"/>
                <w:sz w:val="22"/>
                <w:szCs w:val="22"/>
                <w:lang w:eastAsia="en-US"/>
              </w:rPr>
              <w:t xml:space="preserve"> </w:t>
            </w:r>
            <w:bookmarkStart w:id="0" w:name="_Hlk213832432"/>
            <w:r w:rsidR="00A363DE" w:rsidRPr="00A363DE">
              <w:t>A</w:t>
            </w:r>
            <w:r w:rsidR="009C62DC">
              <w:t>fqlir</w:t>
            </w:r>
            <w:r w:rsidR="00124A17">
              <w:t xml:space="preserve">; </w:t>
            </w:r>
            <w:r w:rsidR="009C62DC" w:rsidRPr="009C62DC">
              <w:t>E</w:t>
            </w:r>
            <w:r w:rsidR="009C62DC">
              <w:t>nzeevu</w:t>
            </w:r>
            <w:bookmarkEnd w:id="0"/>
          </w:p>
        </w:tc>
      </w:tr>
      <w:tr w:rsidR="00F02AEC" w:rsidRPr="00215D48" w14:paraId="318A40A3" w14:textId="77777777" w:rsidTr="00346EC2">
        <w:trPr>
          <w:trHeight w:val="995"/>
        </w:trPr>
        <w:tc>
          <w:tcPr>
            <w:tcW w:w="8720" w:type="dxa"/>
          </w:tcPr>
          <w:p w14:paraId="1AA7C701" w14:textId="4D9FC18B" w:rsidR="00F02AEC" w:rsidRPr="00215D48" w:rsidRDefault="00346EC2" w:rsidP="007452E8">
            <w:pPr>
              <w:pStyle w:val="Subtitle"/>
              <w:ind w:left="0"/>
            </w:pPr>
            <w:r w:rsidRPr="00346EC2">
              <w:t xml:space="preserve">Active ingredient: </w:t>
            </w:r>
            <w:r w:rsidR="00A16C2E">
              <w:t>A</w:t>
            </w:r>
            <w:r w:rsidR="00A230A2">
              <w:t>flibercept</w:t>
            </w:r>
          </w:p>
        </w:tc>
      </w:tr>
      <w:tr w:rsidR="00346EC2" w:rsidRPr="00215D48" w14:paraId="362CCAE4" w14:textId="77777777" w:rsidTr="007452E8">
        <w:trPr>
          <w:trHeight w:val="1916"/>
        </w:trPr>
        <w:tc>
          <w:tcPr>
            <w:tcW w:w="8720" w:type="dxa"/>
          </w:tcPr>
          <w:p w14:paraId="709C45C0" w14:textId="7704D7C3" w:rsidR="00346EC2" w:rsidRPr="00215D48" w:rsidRDefault="00346EC2" w:rsidP="007452E8">
            <w:pPr>
              <w:pStyle w:val="Subtitle"/>
              <w:ind w:left="0"/>
            </w:pPr>
            <w:r w:rsidRPr="00346EC2">
              <w:t xml:space="preserve">Sponsor: </w:t>
            </w:r>
            <w:bookmarkStart w:id="1" w:name="_Hlk213832494"/>
            <w:r w:rsidR="00A230A2">
              <w:t>Sandoz Pty Ltd</w:t>
            </w:r>
            <w:bookmarkEnd w:id="1"/>
          </w:p>
        </w:tc>
      </w:tr>
      <w:tr w:rsidR="00F02AEC" w:rsidRPr="00215D48" w14:paraId="37F2AA1F" w14:textId="77777777" w:rsidTr="007452E8">
        <w:tc>
          <w:tcPr>
            <w:tcW w:w="8720" w:type="dxa"/>
          </w:tcPr>
          <w:p w14:paraId="1FDE8DCD" w14:textId="707A9804" w:rsidR="00F02AEC" w:rsidRPr="00215D48" w:rsidRDefault="009954CA" w:rsidP="007452E8">
            <w:pPr>
              <w:pStyle w:val="Date"/>
            </w:pPr>
            <w:r>
              <w:t>October 2025</w:t>
            </w:r>
          </w:p>
        </w:tc>
      </w:tr>
    </w:tbl>
    <w:p w14:paraId="73752706" w14:textId="77777777" w:rsidR="00F02AEC" w:rsidRPr="00215D48" w:rsidRDefault="00F02AEC" w:rsidP="007452E8">
      <w:pPr>
        <w:pStyle w:val="ListBullet"/>
        <w:numPr>
          <w:ilvl w:val="0"/>
          <w:numId w:val="0"/>
        </w:numPr>
        <w:sectPr w:rsidR="00F02AEC" w:rsidRPr="00215D48" w:rsidSect="00CB055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038D0DA4" w:rsidR="00346EC2" w:rsidRPr="00391B0C" w:rsidRDefault="00346EC2" w:rsidP="0056766D">
      <w:pPr>
        <w:pStyle w:val="ListBullet"/>
      </w:pPr>
      <w:r w:rsidRPr="00391B0C">
        <w:t xml:space="preserve">The Therapeutic Goods Administration (TGA) is part of the Australian Government </w:t>
      </w:r>
      <w:r w:rsidRPr="00C22214">
        <w:t>Department of Health</w:t>
      </w:r>
      <w:r w:rsidR="0006693A">
        <w:t>, Disability</w:t>
      </w:r>
      <w:r w:rsidRPr="00C22214">
        <w:t xml:space="preserve"> and Ag</w:t>
      </w:r>
      <w:r w:rsidR="0006693A">
        <w:t>eing</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7" w:history="1">
        <w:r w:rsidRPr="00A63C07">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010FE2EE"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8"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796829F4" w:rsidR="00175CD8" w:rsidRPr="00346EC2" w:rsidRDefault="00F02AEC" w:rsidP="00346EC2">
      <w:pPr>
        <w:pStyle w:val="LegalCopy"/>
        <w:rPr>
          <w:rFonts w:cs="Arial"/>
        </w:rPr>
      </w:pPr>
      <w:r w:rsidRPr="00215D48">
        <w:rPr>
          <w:rFonts w:cs="Arial"/>
        </w:rPr>
        <w:t>© Commonwealth of Australia 20</w:t>
      </w:r>
      <w:r>
        <w:rPr>
          <w:rFonts w:cs="Arial"/>
        </w:rPr>
        <w:t>2</w:t>
      </w:r>
      <w:r w:rsidR="00210F9B">
        <w:rPr>
          <w:rFonts w:cs="Arial"/>
        </w:rPr>
        <w:t>5</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9" w:history="1">
        <w:r w:rsidRPr="00215D48">
          <w:rPr>
            <w:rStyle w:val="Hyperlink"/>
            <w:rFonts w:cs="Arial"/>
          </w:rPr>
          <w:t>tga.copyright@tga.gov.au</w:t>
        </w:r>
      </w:hyperlink>
      <w:r w:rsidRPr="00215D48">
        <w:rPr>
          <w:rFonts w:cs="Arial"/>
        </w:rPr>
        <w:t>&gt;.</w:t>
      </w:r>
    </w:p>
    <w:sdt>
      <w:sdtPr>
        <w:rPr>
          <w:rFonts w:ascii="Cambria" w:eastAsiaTheme="minorEastAsia" w:hAnsi="Cambria" w:cstheme="minorBidi"/>
          <w:b w:val="0"/>
          <w:color w:val="auto"/>
          <w:sz w:val="22"/>
          <w:szCs w:val="22"/>
        </w:rPr>
        <w:id w:val="21514769"/>
        <w:docPartObj>
          <w:docPartGallery w:val="Table of Contents"/>
          <w:docPartUnique/>
        </w:docPartObj>
      </w:sdtPr>
      <w:sdtEndPr/>
      <w:sdtContent>
        <w:p w14:paraId="0A6ADA2B" w14:textId="77777777" w:rsidR="00F02AEC" w:rsidRPr="00215D48" w:rsidRDefault="00F02AEC" w:rsidP="007452E8">
          <w:pPr>
            <w:pStyle w:val="NonTOCheading2"/>
          </w:pPr>
          <w:r w:rsidRPr="00215D48">
            <w:t>Contents</w:t>
          </w:r>
        </w:p>
        <w:p w14:paraId="328611D8" w14:textId="040AD4A5" w:rsidR="00027249"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210745486" w:history="1">
            <w:r w:rsidR="00027249" w:rsidRPr="00CA3641">
              <w:rPr>
                <w:rStyle w:val="Hyperlink"/>
                <w:noProof/>
              </w:rPr>
              <w:t>List of abbreviations</w:t>
            </w:r>
            <w:r w:rsidR="00027249">
              <w:rPr>
                <w:noProof/>
                <w:webHidden/>
              </w:rPr>
              <w:tab/>
            </w:r>
            <w:r w:rsidR="00027249">
              <w:rPr>
                <w:noProof/>
                <w:webHidden/>
              </w:rPr>
              <w:fldChar w:fldCharType="begin"/>
            </w:r>
            <w:r w:rsidR="00027249">
              <w:rPr>
                <w:noProof/>
                <w:webHidden/>
              </w:rPr>
              <w:instrText xml:space="preserve"> PAGEREF _Toc210745486 \h </w:instrText>
            </w:r>
            <w:r w:rsidR="00027249">
              <w:rPr>
                <w:noProof/>
                <w:webHidden/>
              </w:rPr>
            </w:r>
            <w:r w:rsidR="00027249">
              <w:rPr>
                <w:noProof/>
                <w:webHidden/>
              </w:rPr>
              <w:fldChar w:fldCharType="separate"/>
            </w:r>
            <w:r w:rsidR="00027249">
              <w:rPr>
                <w:noProof/>
                <w:webHidden/>
              </w:rPr>
              <w:t>4</w:t>
            </w:r>
            <w:r w:rsidR="00027249">
              <w:rPr>
                <w:noProof/>
                <w:webHidden/>
              </w:rPr>
              <w:fldChar w:fldCharType="end"/>
            </w:r>
          </w:hyperlink>
        </w:p>
        <w:p w14:paraId="5C674709" w14:textId="5D01C661" w:rsidR="00027249" w:rsidRDefault="00027249">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0745487" w:history="1">
            <w:r w:rsidRPr="00CA3641">
              <w:rPr>
                <w:rStyle w:val="Hyperlink"/>
                <w:noProof/>
              </w:rPr>
              <w:t>Product submission</w:t>
            </w:r>
            <w:r>
              <w:rPr>
                <w:noProof/>
                <w:webHidden/>
              </w:rPr>
              <w:tab/>
            </w:r>
            <w:r>
              <w:rPr>
                <w:noProof/>
                <w:webHidden/>
              </w:rPr>
              <w:fldChar w:fldCharType="begin"/>
            </w:r>
            <w:r>
              <w:rPr>
                <w:noProof/>
                <w:webHidden/>
              </w:rPr>
              <w:instrText xml:space="preserve"> PAGEREF _Toc210745487 \h </w:instrText>
            </w:r>
            <w:r>
              <w:rPr>
                <w:noProof/>
                <w:webHidden/>
              </w:rPr>
            </w:r>
            <w:r>
              <w:rPr>
                <w:noProof/>
                <w:webHidden/>
              </w:rPr>
              <w:fldChar w:fldCharType="separate"/>
            </w:r>
            <w:r>
              <w:rPr>
                <w:noProof/>
                <w:webHidden/>
              </w:rPr>
              <w:t>6</w:t>
            </w:r>
            <w:r>
              <w:rPr>
                <w:noProof/>
                <w:webHidden/>
              </w:rPr>
              <w:fldChar w:fldCharType="end"/>
            </w:r>
          </w:hyperlink>
        </w:p>
        <w:p w14:paraId="011D0D9F" w14:textId="1466DC85" w:rsidR="00027249" w:rsidRDefault="0002724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0745488" w:history="1">
            <w:r w:rsidRPr="00CA3641">
              <w:rPr>
                <w:rStyle w:val="Hyperlink"/>
                <w:noProof/>
                <w:lang w:eastAsia="en-AU"/>
              </w:rPr>
              <w:t>Submission details</w:t>
            </w:r>
            <w:r>
              <w:rPr>
                <w:noProof/>
                <w:webHidden/>
              </w:rPr>
              <w:tab/>
            </w:r>
            <w:r>
              <w:rPr>
                <w:noProof/>
                <w:webHidden/>
              </w:rPr>
              <w:fldChar w:fldCharType="begin"/>
            </w:r>
            <w:r>
              <w:rPr>
                <w:noProof/>
                <w:webHidden/>
              </w:rPr>
              <w:instrText xml:space="preserve"> PAGEREF _Toc210745488 \h </w:instrText>
            </w:r>
            <w:r>
              <w:rPr>
                <w:noProof/>
                <w:webHidden/>
              </w:rPr>
            </w:r>
            <w:r>
              <w:rPr>
                <w:noProof/>
                <w:webHidden/>
              </w:rPr>
              <w:fldChar w:fldCharType="separate"/>
            </w:r>
            <w:r>
              <w:rPr>
                <w:noProof/>
                <w:webHidden/>
              </w:rPr>
              <w:t>6</w:t>
            </w:r>
            <w:r>
              <w:rPr>
                <w:noProof/>
                <w:webHidden/>
              </w:rPr>
              <w:fldChar w:fldCharType="end"/>
            </w:r>
          </w:hyperlink>
        </w:p>
        <w:p w14:paraId="52A04F13" w14:textId="65FDE338" w:rsidR="00027249" w:rsidRDefault="0002724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0745489" w:history="1">
            <w:r w:rsidRPr="00CA3641">
              <w:rPr>
                <w:rStyle w:val="Hyperlink"/>
                <w:noProof/>
              </w:rPr>
              <w:t>Product background</w:t>
            </w:r>
            <w:r>
              <w:rPr>
                <w:noProof/>
                <w:webHidden/>
              </w:rPr>
              <w:tab/>
            </w:r>
            <w:r>
              <w:rPr>
                <w:noProof/>
                <w:webHidden/>
              </w:rPr>
              <w:fldChar w:fldCharType="begin"/>
            </w:r>
            <w:r>
              <w:rPr>
                <w:noProof/>
                <w:webHidden/>
              </w:rPr>
              <w:instrText xml:space="preserve"> PAGEREF _Toc210745489 \h </w:instrText>
            </w:r>
            <w:r>
              <w:rPr>
                <w:noProof/>
                <w:webHidden/>
              </w:rPr>
            </w:r>
            <w:r>
              <w:rPr>
                <w:noProof/>
                <w:webHidden/>
              </w:rPr>
              <w:fldChar w:fldCharType="separate"/>
            </w:r>
            <w:r>
              <w:rPr>
                <w:noProof/>
                <w:webHidden/>
              </w:rPr>
              <w:t>8</w:t>
            </w:r>
            <w:r>
              <w:rPr>
                <w:noProof/>
                <w:webHidden/>
              </w:rPr>
              <w:fldChar w:fldCharType="end"/>
            </w:r>
          </w:hyperlink>
        </w:p>
        <w:p w14:paraId="6B065C39" w14:textId="7E82947D" w:rsidR="00027249" w:rsidRDefault="0002724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0745490" w:history="1">
            <w:r w:rsidRPr="00CA3641">
              <w:rPr>
                <w:rStyle w:val="Hyperlink"/>
                <w:noProof/>
              </w:rPr>
              <w:t>Disease or condition</w:t>
            </w:r>
            <w:r>
              <w:rPr>
                <w:noProof/>
                <w:webHidden/>
              </w:rPr>
              <w:tab/>
            </w:r>
            <w:r>
              <w:rPr>
                <w:noProof/>
                <w:webHidden/>
              </w:rPr>
              <w:fldChar w:fldCharType="begin"/>
            </w:r>
            <w:r>
              <w:rPr>
                <w:noProof/>
                <w:webHidden/>
              </w:rPr>
              <w:instrText xml:space="preserve"> PAGEREF _Toc210745490 \h </w:instrText>
            </w:r>
            <w:r>
              <w:rPr>
                <w:noProof/>
                <w:webHidden/>
              </w:rPr>
            </w:r>
            <w:r>
              <w:rPr>
                <w:noProof/>
                <w:webHidden/>
              </w:rPr>
              <w:fldChar w:fldCharType="separate"/>
            </w:r>
            <w:r>
              <w:rPr>
                <w:noProof/>
                <w:webHidden/>
              </w:rPr>
              <w:t>8</w:t>
            </w:r>
            <w:r>
              <w:rPr>
                <w:noProof/>
                <w:webHidden/>
              </w:rPr>
              <w:fldChar w:fldCharType="end"/>
            </w:r>
          </w:hyperlink>
        </w:p>
        <w:p w14:paraId="6E0CF795" w14:textId="519C6E33" w:rsidR="00027249" w:rsidRDefault="0002724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0745491" w:history="1">
            <w:r w:rsidRPr="00CA3641">
              <w:rPr>
                <w:rStyle w:val="Hyperlink"/>
                <w:noProof/>
              </w:rPr>
              <w:t>Current treatment options</w:t>
            </w:r>
            <w:r>
              <w:rPr>
                <w:noProof/>
                <w:webHidden/>
              </w:rPr>
              <w:tab/>
            </w:r>
            <w:r>
              <w:rPr>
                <w:noProof/>
                <w:webHidden/>
              </w:rPr>
              <w:fldChar w:fldCharType="begin"/>
            </w:r>
            <w:r>
              <w:rPr>
                <w:noProof/>
                <w:webHidden/>
              </w:rPr>
              <w:instrText xml:space="preserve"> PAGEREF _Toc210745491 \h </w:instrText>
            </w:r>
            <w:r>
              <w:rPr>
                <w:noProof/>
                <w:webHidden/>
              </w:rPr>
            </w:r>
            <w:r>
              <w:rPr>
                <w:noProof/>
                <w:webHidden/>
              </w:rPr>
              <w:fldChar w:fldCharType="separate"/>
            </w:r>
            <w:r>
              <w:rPr>
                <w:noProof/>
                <w:webHidden/>
              </w:rPr>
              <w:t>10</w:t>
            </w:r>
            <w:r>
              <w:rPr>
                <w:noProof/>
                <w:webHidden/>
              </w:rPr>
              <w:fldChar w:fldCharType="end"/>
            </w:r>
          </w:hyperlink>
        </w:p>
        <w:p w14:paraId="0282F928" w14:textId="214E748B" w:rsidR="00027249" w:rsidRDefault="0002724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0745492" w:history="1">
            <w:r w:rsidRPr="00CA3641">
              <w:rPr>
                <w:rStyle w:val="Hyperlink"/>
                <w:noProof/>
              </w:rPr>
              <w:t>Clinical rationale</w:t>
            </w:r>
            <w:r>
              <w:rPr>
                <w:noProof/>
                <w:webHidden/>
              </w:rPr>
              <w:tab/>
            </w:r>
            <w:r>
              <w:rPr>
                <w:noProof/>
                <w:webHidden/>
              </w:rPr>
              <w:fldChar w:fldCharType="begin"/>
            </w:r>
            <w:r>
              <w:rPr>
                <w:noProof/>
                <w:webHidden/>
              </w:rPr>
              <w:instrText xml:space="preserve"> PAGEREF _Toc210745492 \h </w:instrText>
            </w:r>
            <w:r>
              <w:rPr>
                <w:noProof/>
                <w:webHidden/>
              </w:rPr>
            </w:r>
            <w:r>
              <w:rPr>
                <w:noProof/>
                <w:webHidden/>
              </w:rPr>
              <w:fldChar w:fldCharType="separate"/>
            </w:r>
            <w:r>
              <w:rPr>
                <w:noProof/>
                <w:webHidden/>
              </w:rPr>
              <w:t>11</w:t>
            </w:r>
            <w:r>
              <w:rPr>
                <w:noProof/>
                <w:webHidden/>
              </w:rPr>
              <w:fldChar w:fldCharType="end"/>
            </w:r>
          </w:hyperlink>
        </w:p>
        <w:p w14:paraId="759D27E7" w14:textId="126D15AE" w:rsidR="00027249" w:rsidRDefault="0002724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0745493" w:history="1">
            <w:r w:rsidRPr="00CA3641">
              <w:rPr>
                <w:rStyle w:val="Hyperlink"/>
                <w:noProof/>
              </w:rPr>
              <w:t>Regulatory status</w:t>
            </w:r>
            <w:r>
              <w:rPr>
                <w:noProof/>
                <w:webHidden/>
              </w:rPr>
              <w:tab/>
            </w:r>
            <w:r>
              <w:rPr>
                <w:noProof/>
                <w:webHidden/>
              </w:rPr>
              <w:fldChar w:fldCharType="begin"/>
            </w:r>
            <w:r>
              <w:rPr>
                <w:noProof/>
                <w:webHidden/>
              </w:rPr>
              <w:instrText xml:space="preserve"> PAGEREF _Toc210745493 \h </w:instrText>
            </w:r>
            <w:r>
              <w:rPr>
                <w:noProof/>
                <w:webHidden/>
              </w:rPr>
            </w:r>
            <w:r>
              <w:rPr>
                <w:noProof/>
                <w:webHidden/>
              </w:rPr>
              <w:fldChar w:fldCharType="separate"/>
            </w:r>
            <w:r>
              <w:rPr>
                <w:noProof/>
                <w:webHidden/>
              </w:rPr>
              <w:t>11</w:t>
            </w:r>
            <w:r>
              <w:rPr>
                <w:noProof/>
                <w:webHidden/>
              </w:rPr>
              <w:fldChar w:fldCharType="end"/>
            </w:r>
          </w:hyperlink>
        </w:p>
        <w:p w14:paraId="2910C7DA" w14:textId="642C6397" w:rsidR="00027249" w:rsidRDefault="0002724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0745494" w:history="1">
            <w:r w:rsidRPr="00CA3641">
              <w:rPr>
                <w:rStyle w:val="Hyperlink"/>
                <w:noProof/>
              </w:rPr>
              <w:t>Australian regulatory status</w:t>
            </w:r>
            <w:r>
              <w:rPr>
                <w:noProof/>
                <w:webHidden/>
              </w:rPr>
              <w:tab/>
            </w:r>
            <w:r>
              <w:rPr>
                <w:noProof/>
                <w:webHidden/>
              </w:rPr>
              <w:fldChar w:fldCharType="begin"/>
            </w:r>
            <w:r>
              <w:rPr>
                <w:noProof/>
                <w:webHidden/>
              </w:rPr>
              <w:instrText xml:space="preserve"> PAGEREF _Toc210745494 \h </w:instrText>
            </w:r>
            <w:r>
              <w:rPr>
                <w:noProof/>
                <w:webHidden/>
              </w:rPr>
            </w:r>
            <w:r>
              <w:rPr>
                <w:noProof/>
                <w:webHidden/>
              </w:rPr>
              <w:fldChar w:fldCharType="separate"/>
            </w:r>
            <w:r>
              <w:rPr>
                <w:noProof/>
                <w:webHidden/>
              </w:rPr>
              <w:t>11</w:t>
            </w:r>
            <w:r>
              <w:rPr>
                <w:noProof/>
                <w:webHidden/>
              </w:rPr>
              <w:fldChar w:fldCharType="end"/>
            </w:r>
          </w:hyperlink>
        </w:p>
        <w:p w14:paraId="03CFB537" w14:textId="08A0D718" w:rsidR="00027249" w:rsidRDefault="0002724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0745495" w:history="1">
            <w:r w:rsidRPr="00CA3641">
              <w:rPr>
                <w:rStyle w:val="Hyperlink"/>
                <w:noProof/>
              </w:rPr>
              <w:t>International regulatory status</w:t>
            </w:r>
            <w:r>
              <w:rPr>
                <w:noProof/>
                <w:webHidden/>
              </w:rPr>
              <w:tab/>
            </w:r>
            <w:r>
              <w:rPr>
                <w:noProof/>
                <w:webHidden/>
              </w:rPr>
              <w:fldChar w:fldCharType="begin"/>
            </w:r>
            <w:r>
              <w:rPr>
                <w:noProof/>
                <w:webHidden/>
              </w:rPr>
              <w:instrText xml:space="preserve"> PAGEREF _Toc210745495 \h </w:instrText>
            </w:r>
            <w:r>
              <w:rPr>
                <w:noProof/>
                <w:webHidden/>
              </w:rPr>
            </w:r>
            <w:r>
              <w:rPr>
                <w:noProof/>
                <w:webHidden/>
              </w:rPr>
              <w:fldChar w:fldCharType="separate"/>
            </w:r>
            <w:r>
              <w:rPr>
                <w:noProof/>
                <w:webHidden/>
              </w:rPr>
              <w:t>12</w:t>
            </w:r>
            <w:r>
              <w:rPr>
                <w:noProof/>
                <w:webHidden/>
              </w:rPr>
              <w:fldChar w:fldCharType="end"/>
            </w:r>
          </w:hyperlink>
        </w:p>
        <w:p w14:paraId="5267A93D" w14:textId="46F015FF" w:rsidR="00027249" w:rsidRDefault="00027249">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0745496" w:history="1">
            <w:r w:rsidRPr="00CA3641">
              <w:rPr>
                <w:rStyle w:val="Hyperlink"/>
                <w:noProof/>
              </w:rPr>
              <w:t>Registration timeline</w:t>
            </w:r>
            <w:r>
              <w:rPr>
                <w:noProof/>
                <w:webHidden/>
              </w:rPr>
              <w:tab/>
            </w:r>
            <w:r>
              <w:rPr>
                <w:noProof/>
                <w:webHidden/>
              </w:rPr>
              <w:fldChar w:fldCharType="begin"/>
            </w:r>
            <w:r>
              <w:rPr>
                <w:noProof/>
                <w:webHidden/>
              </w:rPr>
              <w:instrText xml:space="preserve"> PAGEREF _Toc210745496 \h </w:instrText>
            </w:r>
            <w:r>
              <w:rPr>
                <w:noProof/>
                <w:webHidden/>
              </w:rPr>
            </w:r>
            <w:r>
              <w:rPr>
                <w:noProof/>
                <w:webHidden/>
              </w:rPr>
              <w:fldChar w:fldCharType="separate"/>
            </w:r>
            <w:r>
              <w:rPr>
                <w:noProof/>
                <w:webHidden/>
              </w:rPr>
              <w:t>12</w:t>
            </w:r>
            <w:r>
              <w:rPr>
                <w:noProof/>
                <w:webHidden/>
              </w:rPr>
              <w:fldChar w:fldCharType="end"/>
            </w:r>
          </w:hyperlink>
        </w:p>
        <w:p w14:paraId="6DD47415" w14:textId="2B7284FF" w:rsidR="00027249" w:rsidRDefault="00027249">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0745497" w:history="1">
            <w:r w:rsidRPr="00CA3641">
              <w:rPr>
                <w:rStyle w:val="Hyperlink"/>
                <w:noProof/>
              </w:rPr>
              <w:t>Assessment overview</w:t>
            </w:r>
            <w:r>
              <w:rPr>
                <w:noProof/>
                <w:webHidden/>
              </w:rPr>
              <w:tab/>
            </w:r>
            <w:r>
              <w:rPr>
                <w:noProof/>
                <w:webHidden/>
              </w:rPr>
              <w:fldChar w:fldCharType="begin"/>
            </w:r>
            <w:r>
              <w:rPr>
                <w:noProof/>
                <w:webHidden/>
              </w:rPr>
              <w:instrText xml:space="preserve"> PAGEREF _Toc210745497 \h </w:instrText>
            </w:r>
            <w:r>
              <w:rPr>
                <w:noProof/>
                <w:webHidden/>
              </w:rPr>
            </w:r>
            <w:r>
              <w:rPr>
                <w:noProof/>
                <w:webHidden/>
              </w:rPr>
              <w:fldChar w:fldCharType="separate"/>
            </w:r>
            <w:r>
              <w:rPr>
                <w:noProof/>
                <w:webHidden/>
              </w:rPr>
              <w:t>13</w:t>
            </w:r>
            <w:r>
              <w:rPr>
                <w:noProof/>
                <w:webHidden/>
              </w:rPr>
              <w:fldChar w:fldCharType="end"/>
            </w:r>
          </w:hyperlink>
        </w:p>
        <w:p w14:paraId="0A762B30" w14:textId="34E553F1" w:rsidR="00027249" w:rsidRDefault="0002724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0745498" w:history="1">
            <w:r w:rsidRPr="00CA3641">
              <w:rPr>
                <w:rStyle w:val="Hyperlink"/>
                <w:noProof/>
              </w:rPr>
              <w:t>Quality evaluation summary</w:t>
            </w:r>
            <w:r>
              <w:rPr>
                <w:noProof/>
                <w:webHidden/>
              </w:rPr>
              <w:tab/>
            </w:r>
            <w:r>
              <w:rPr>
                <w:noProof/>
                <w:webHidden/>
              </w:rPr>
              <w:fldChar w:fldCharType="begin"/>
            </w:r>
            <w:r>
              <w:rPr>
                <w:noProof/>
                <w:webHidden/>
              </w:rPr>
              <w:instrText xml:space="preserve"> PAGEREF _Toc210745498 \h </w:instrText>
            </w:r>
            <w:r>
              <w:rPr>
                <w:noProof/>
                <w:webHidden/>
              </w:rPr>
            </w:r>
            <w:r>
              <w:rPr>
                <w:noProof/>
                <w:webHidden/>
              </w:rPr>
              <w:fldChar w:fldCharType="separate"/>
            </w:r>
            <w:r>
              <w:rPr>
                <w:noProof/>
                <w:webHidden/>
              </w:rPr>
              <w:t>13</w:t>
            </w:r>
            <w:r>
              <w:rPr>
                <w:noProof/>
                <w:webHidden/>
              </w:rPr>
              <w:fldChar w:fldCharType="end"/>
            </w:r>
          </w:hyperlink>
        </w:p>
        <w:p w14:paraId="72639718" w14:textId="037D38A9" w:rsidR="00027249" w:rsidRDefault="0002724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0745499" w:history="1">
            <w:r w:rsidRPr="00CA3641">
              <w:rPr>
                <w:rStyle w:val="Hyperlink"/>
                <w:noProof/>
              </w:rPr>
              <w:t>Nonclinical evaluation summary</w:t>
            </w:r>
            <w:r>
              <w:rPr>
                <w:noProof/>
                <w:webHidden/>
              </w:rPr>
              <w:tab/>
            </w:r>
            <w:r>
              <w:rPr>
                <w:noProof/>
                <w:webHidden/>
              </w:rPr>
              <w:fldChar w:fldCharType="begin"/>
            </w:r>
            <w:r>
              <w:rPr>
                <w:noProof/>
                <w:webHidden/>
              </w:rPr>
              <w:instrText xml:space="preserve"> PAGEREF _Toc210745499 \h </w:instrText>
            </w:r>
            <w:r>
              <w:rPr>
                <w:noProof/>
                <w:webHidden/>
              </w:rPr>
            </w:r>
            <w:r>
              <w:rPr>
                <w:noProof/>
                <w:webHidden/>
              </w:rPr>
              <w:fldChar w:fldCharType="separate"/>
            </w:r>
            <w:r>
              <w:rPr>
                <w:noProof/>
                <w:webHidden/>
              </w:rPr>
              <w:t>13</w:t>
            </w:r>
            <w:r>
              <w:rPr>
                <w:noProof/>
                <w:webHidden/>
              </w:rPr>
              <w:fldChar w:fldCharType="end"/>
            </w:r>
          </w:hyperlink>
        </w:p>
        <w:p w14:paraId="71A85892" w14:textId="13B6AC42" w:rsidR="00027249" w:rsidRDefault="0002724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0745500" w:history="1">
            <w:r w:rsidRPr="00CA3641">
              <w:rPr>
                <w:rStyle w:val="Hyperlink"/>
                <w:noProof/>
              </w:rPr>
              <w:t>Clinical evaluation summary</w:t>
            </w:r>
            <w:r>
              <w:rPr>
                <w:noProof/>
                <w:webHidden/>
              </w:rPr>
              <w:tab/>
            </w:r>
            <w:r>
              <w:rPr>
                <w:noProof/>
                <w:webHidden/>
              </w:rPr>
              <w:fldChar w:fldCharType="begin"/>
            </w:r>
            <w:r>
              <w:rPr>
                <w:noProof/>
                <w:webHidden/>
              </w:rPr>
              <w:instrText xml:space="preserve"> PAGEREF _Toc210745500 \h </w:instrText>
            </w:r>
            <w:r>
              <w:rPr>
                <w:noProof/>
                <w:webHidden/>
              </w:rPr>
            </w:r>
            <w:r>
              <w:rPr>
                <w:noProof/>
                <w:webHidden/>
              </w:rPr>
              <w:fldChar w:fldCharType="separate"/>
            </w:r>
            <w:r>
              <w:rPr>
                <w:noProof/>
                <w:webHidden/>
              </w:rPr>
              <w:t>14</w:t>
            </w:r>
            <w:r>
              <w:rPr>
                <w:noProof/>
                <w:webHidden/>
              </w:rPr>
              <w:fldChar w:fldCharType="end"/>
            </w:r>
          </w:hyperlink>
        </w:p>
        <w:p w14:paraId="625AC5C2" w14:textId="77CA1EF3" w:rsidR="00027249" w:rsidRDefault="0002724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0745501" w:history="1">
            <w:r w:rsidRPr="00CA3641">
              <w:rPr>
                <w:rStyle w:val="Hyperlink"/>
                <w:noProof/>
              </w:rPr>
              <w:t>Summary of clinical studies</w:t>
            </w:r>
            <w:r>
              <w:rPr>
                <w:noProof/>
                <w:webHidden/>
              </w:rPr>
              <w:tab/>
            </w:r>
            <w:r>
              <w:rPr>
                <w:noProof/>
                <w:webHidden/>
              </w:rPr>
              <w:fldChar w:fldCharType="begin"/>
            </w:r>
            <w:r>
              <w:rPr>
                <w:noProof/>
                <w:webHidden/>
              </w:rPr>
              <w:instrText xml:space="preserve"> PAGEREF _Toc210745501 \h </w:instrText>
            </w:r>
            <w:r>
              <w:rPr>
                <w:noProof/>
                <w:webHidden/>
              </w:rPr>
            </w:r>
            <w:r>
              <w:rPr>
                <w:noProof/>
                <w:webHidden/>
              </w:rPr>
              <w:fldChar w:fldCharType="separate"/>
            </w:r>
            <w:r>
              <w:rPr>
                <w:noProof/>
                <w:webHidden/>
              </w:rPr>
              <w:t>14</w:t>
            </w:r>
            <w:r>
              <w:rPr>
                <w:noProof/>
                <w:webHidden/>
              </w:rPr>
              <w:fldChar w:fldCharType="end"/>
            </w:r>
          </w:hyperlink>
        </w:p>
        <w:p w14:paraId="4F6192E5" w14:textId="76593673" w:rsidR="00027249" w:rsidRDefault="0002724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0745502" w:history="1">
            <w:r w:rsidRPr="00CA3641">
              <w:rPr>
                <w:rStyle w:val="Hyperlink"/>
                <w:noProof/>
              </w:rPr>
              <w:t>Pharmacology</w:t>
            </w:r>
            <w:r>
              <w:rPr>
                <w:noProof/>
                <w:webHidden/>
              </w:rPr>
              <w:tab/>
            </w:r>
            <w:r>
              <w:rPr>
                <w:noProof/>
                <w:webHidden/>
              </w:rPr>
              <w:fldChar w:fldCharType="begin"/>
            </w:r>
            <w:r>
              <w:rPr>
                <w:noProof/>
                <w:webHidden/>
              </w:rPr>
              <w:instrText xml:space="preserve"> PAGEREF _Toc210745502 \h </w:instrText>
            </w:r>
            <w:r>
              <w:rPr>
                <w:noProof/>
                <w:webHidden/>
              </w:rPr>
            </w:r>
            <w:r>
              <w:rPr>
                <w:noProof/>
                <w:webHidden/>
              </w:rPr>
              <w:fldChar w:fldCharType="separate"/>
            </w:r>
            <w:r>
              <w:rPr>
                <w:noProof/>
                <w:webHidden/>
              </w:rPr>
              <w:t>15</w:t>
            </w:r>
            <w:r>
              <w:rPr>
                <w:noProof/>
                <w:webHidden/>
              </w:rPr>
              <w:fldChar w:fldCharType="end"/>
            </w:r>
          </w:hyperlink>
        </w:p>
        <w:p w14:paraId="6D4D38D9" w14:textId="036C3449" w:rsidR="00027249" w:rsidRDefault="0002724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0745503" w:history="1">
            <w:r w:rsidRPr="00CA3641">
              <w:rPr>
                <w:rStyle w:val="Hyperlink"/>
                <w:noProof/>
              </w:rPr>
              <w:t>Efficacy</w:t>
            </w:r>
            <w:r>
              <w:rPr>
                <w:noProof/>
                <w:webHidden/>
              </w:rPr>
              <w:tab/>
            </w:r>
            <w:r>
              <w:rPr>
                <w:noProof/>
                <w:webHidden/>
              </w:rPr>
              <w:fldChar w:fldCharType="begin"/>
            </w:r>
            <w:r>
              <w:rPr>
                <w:noProof/>
                <w:webHidden/>
              </w:rPr>
              <w:instrText xml:space="preserve"> PAGEREF _Toc210745503 \h </w:instrText>
            </w:r>
            <w:r>
              <w:rPr>
                <w:noProof/>
                <w:webHidden/>
              </w:rPr>
            </w:r>
            <w:r>
              <w:rPr>
                <w:noProof/>
                <w:webHidden/>
              </w:rPr>
              <w:fldChar w:fldCharType="separate"/>
            </w:r>
            <w:r>
              <w:rPr>
                <w:noProof/>
                <w:webHidden/>
              </w:rPr>
              <w:t>16</w:t>
            </w:r>
            <w:r>
              <w:rPr>
                <w:noProof/>
                <w:webHidden/>
              </w:rPr>
              <w:fldChar w:fldCharType="end"/>
            </w:r>
          </w:hyperlink>
        </w:p>
        <w:p w14:paraId="468ADEFB" w14:textId="5134CBC0" w:rsidR="00027249" w:rsidRDefault="0002724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0745504" w:history="1">
            <w:r w:rsidRPr="00CA3641">
              <w:rPr>
                <w:rStyle w:val="Hyperlink"/>
                <w:noProof/>
              </w:rPr>
              <w:t>Safety</w:t>
            </w:r>
            <w:r>
              <w:rPr>
                <w:noProof/>
                <w:webHidden/>
              </w:rPr>
              <w:tab/>
            </w:r>
            <w:r>
              <w:rPr>
                <w:noProof/>
                <w:webHidden/>
              </w:rPr>
              <w:fldChar w:fldCharType="begin"/>
            </w:r>
            <w:r>
              <w:rPr>
                <w:noProof/>
                <w:webHidden/>
              </w:rPr>
              <w:instrText xml:space="preserve"> PAGEREF _Toc210745504 \h </w:instrText>
            </w:r>
            <w:r>
              <w:rPr>
                <w:noProof/>
                <w:webHidden/>
              </w:rPr>
            </w:r>
            <w:r>
              <w:rPr>
                <w:noProof/>
                <w:webHidden/>
              </w:rPr>
              <w:fldChar w:fldCharType="separate"/>
            </w:r>
            <w:r>
              <w:rPr>
                <w:noProof/>
                <w:webHidden/>
              </w:rPr>
              <w:t>19</w:t>
            </w:r>
            <w:r>
              <w:rPr>
                <w:noProof/>
                <w:webHidden/>
              </w:rPr>
              <w:fldChar w:fldCharType="end"/>
            </w:r>
          </w:hyperlink>
        </w:p>
        <w:p w14:paraId="589930A7" w14:textId="59DAE542" w:rsidR="00027249" w:rsidRDefault="0002724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0745505" w:history="1">
            <w:r w:rsidRPr="00CA3641">
              <w:rPr>
                <w:rStyle w:val="Hyperlink"/>
                <w:noProof/>
                <w:lang w:eastAsia="en-AU"/>
              </w:rPr>
              <w:t>Risk management plan</w:t>
            </w:r>
            <w:r>
              <w:rPr>
                <w:noProof/>
                <w:webHidden/>
              </w:rPr>
              <w:tab/>
            </w:r>
            <w:r>
              <w:rPr>
                <w:noProof/>
                <w:webHidden/>
              </w:rPr>
              <w:fldChar w:fldCharType="begin"/>
            </w:r>
            <w:r>
              <w:rPr>
                <w:noProof/>
                <w:webHidden/>
              </w:rPr>
              <w:instrText xml:space="preserve"> PAGEREF _Toc210745505 \h </w:instrText>
            </w:r>
            <w:r>
              <w:rPr>
                <w:noProof/>
                <w:webHidden/>
              </w:rPr>
            </w:r>
            <w:r>
              <w:rPr>
                <w:noProof/>
                <w:webHidden/>
              </w:rPr>
              <w:fldChar w:fldCharType="separate"/>
            </w:r>
            <w:r>
              <w:rPr>
                <w:noProof/>
                <w:webHidden/>
              </w:rPr>
              <w:t>22</w:t>
            </w:r>
            <w:r>
              <w:rPr>
                <w:noProof/>
                <w:webHidden/>
              </w:rPr>
              <w:fldChar w:fldCharType="end"/>
            </w:r>
          </w:hyperlink>
        </w:p>
        <w:p w14:paraId="07EC5EF9" w14:textId="55549AA2" w:rsidR="00027249" w:rsidRDefault="0002724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0745506" w:history="1">
            <w:r w:rsidRPr="00CA3641">
              <w:rPr>
                <w:rStyle w:val="Hyperlink"/>
                <w:noProof/>
              </w:rPr>
              <w:t>Risk-benefit analysis</w:t>
            </w:r>
            <w:r>
              <w:rPr>
                <w:noProof/>
                <w:webHidden/>
              </w:rPr>
              <w:tab/>
            </w:r>
            <w:r>
              <w:rPr>
                <w:noProof/>
                <w:webHidden/>
              </w:rPr>
              <w:fldChar w:fldCharType="begin"/>
            </w:r>
            <w:r>
              <w:rPr>
                <w:noProof/>
                <w:webHidden/>
              </w:rPr>
              <w:instrText xml:space="preserve"> PAGEREF _Toc210745506 \h </w:instrText>
            </w:r>
            <w:r>
              <w:rPr>
                <w:noProof/>
                <w:webHidden/>
              </w:rPr>
            </w:r>
            <w:r>
              <w:rPr>
                <w:noProof/>
                <w:webHidden/>
              </w:rPr>
              <w:fldChar w:fldCharType="separate"/>
            </w:r>
            <w:r>
              <w:rPr>
                <w:noProof/>
                <w:webHidden/>
              </w:rPr>
              <w:t>24</w:t>
            </w:r>
            <w:r>
              <w:rPr>
                <w:noProof/>
                <w:webHidden/>
              </w:rPr>
              <w:fldChar w:fldCharType="end"/>
            </w:r>
          </w:hyperlink>
        </w:p>
        <w:p w14:paraId="120423F1" w14:textId="54A2AC0F" w:rsidR="00027249" w:rsidRDefault="0002724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0745507" w:history="1">
            <w:r w:rsidRPr="00CA3641">
              <w:rPr>
                <w:rStyle w:val="Hyperlink"/>
                <w:noProof/>
              </w:rPr>
              <w:t>Delegate’s considerations</w:t>
            </w:r>
            <w:r>
              <w:rPr>
                <w:noProof/>
                <w:webHidden/>
              </w:rPr>
              <w:tab/>
            </w:r>
            <w:r>
              <w:rPr>
                <w:noProof/>
                <w:webHidden/>
              </w:rPr>
              <w:fldChar w:fldCharType="begin"/>
            </w:r>
            <w:r>
              <w:rPr>
                <w:noProof/>
                <w:webHidden/>
              </w:rPr>
              <w:instrText xml:space="preserve"> PAGEREF _Toc210745507 \h </w:instrText>
            </w:r>
            <w:r>
              <w:rPr>
                <w:noProof/>
                <w:webHidden/>
              </w:rPr>
            </w:r>
            <w:r>
              <w:rPr>
                <w:noProof/>
                <w:webHidden/>
              </w:rPr>
              <w:fldChar w:fldCharType="separate"/>
            </w:r>
            <w:r>
              <w:rPr>
                <w:noProof/>
                <w:webHidden/>
              </w:rPr>
              <w:t>24</w:t>
            </w:r>
            <w:r>
              <w:rPr>
                <w:noProof/>
                <w:webHidden/>
              </w:rPr>
              <w:fldChar w:fldCharType="end"/>
            </w:r>
          </w:hyperlink>
        </w:p>
        <w:p w14:paraId="43E391D8" w14:textId="101B713F" w:rsidR="00027249" w:rsidRDefault="0002724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0745508" w:history="1">
            <w:r w:rsidRPr="00CA3641">
              <w:rPr>
                <w:rStyle w:val="Hyperlink"/>
                <w:noProof/>
              </w:rPr>
              <w:t>Proposed action</w:t>
            </w:r>
            <w:r>
              <w:rPr>
                <w:noProof/>
                <w:webHidden/>
              </w:rPr>
              <w:tab/>
            </w:r>
            <w:r>
              <w:rPr>
                <w:noProof/>
                <w:webHidden/>
              </w:rPr>
              <w:fldChar w:fldCharType="begin"/>
            </w:r>
            <w:r>
              <w:rPr>
                <w:noProof/>
                <w:webHidden/>
              </w:rPr>
              <w:instrText xml:space="preserve"> PAGEREF _Toc210745508 \h </w:instrText>
            </w:r>
            <w:r>
              <w:rPr>
                <w:noProof/>
                <w:webHidden/>
              </w:rPr>
            </w:r>
            <w:r>
              <w:rPr>
                <w:noProof/>
                <w:webHidden/>
              </w:rPr>
              <w:fldChar w:fldCharType="separate"/>
            </w:r>
            <w:r>
              <w:rPr>
                <w:noProof/>
                <w:webHidden/>
              </w:rPr>
              <w:t>24</w:t>
            </w:r>
            <w:r>
              <w:rPr>
                <w:noProof/>
                <w:webHidden/>
              </w:rPr>
              <w:fldChar w:fldCharType="end"/>
            </w:r>
          </w:hyperlink>
        </w:p>
        <w:p w14:paraId="0C5ED547" w14:textId="714B9BE7" w:rsidR="00027249" w:rsidRDefault="00027249">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0745509" w:history="1">
            <w:r w:rsidRPr="00CA3641">
              <w:rPr>
                <w:rStyle w:val="Hyperlink"/>
                <w:noProof/>
              </w:rPr>
              <w:t>Assessment outcome</w:t>
            </w:r>
            <w:r>
              <w:rPr>
                <w:noProof/>
                <w:webHidden/>
              </w:rPr>
              <w:tab/>
            </w:r>
            <w:r>
              <w:rPr>
                <w:noProof/>
                <w:webHidden/>
              </w:rPr>
              <w:fldChar w:fldCharType="begin"/>
            </w:r>
            <w:r>
              <w:rPr>
                <w:noProof/>
                <w:webHidden/>
              </w:rPr>
              <w:instrText xml:space="preserve"> PAGEREF _Toc210745509 \h </w:instrText>
            </w:r>
            <w:r>
              <w:rPr>
                <w:noProof/>
                <w:webHidden/>
              </w:rPr>
            </w:r>
            <w:r>
              <w:rPr>
                <w:noProof/>
                <w:webHidden/>
              </w:rPr>
              <w:fldChar w:fldCharType="separate"/>
            </w:r>
            <w:r>
              <w:rPr>
                <w:noProof/>
                <w:webHidden/>
              </w:rPr>
              <w:t>25</w:t>
            </w:r>
            <w:r>
              <w:rPr>
                <w:noProof/>
                <w:webHidden/>
              </w:rPr>
              <w:fldChar w:fldCharType="end"/>
            </w:r>
          </w:hyperlink>
        </w:p>
        <w:p w14:paraId="2D28B50C" w14:textId="78894567" w:rsidR="00027249" w:rsidRDefault="0002724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0745510" w:history="1">
            <w:r w:rsidRPr="00CA3641">
              <w:rPr>
                <w:rStyle w:val="Hyperlink"/>
                <w:noProof/>
              </w:rPr>
              <w:t>Specific conditions of registration</w:t>
            </w:r>
            <w:r>
              <w:rPr>
                <w:noProof/>
                <w:webHidden/>
              </w:rPr>
              <w:tab/>
            </w:r>
            <w:r>
              <w:rPr>
                <w:noProof/>
                <w:webHidden/>
              </w:rPr>
              <w:fldChar w:fldCharType="begin"/>
            </w:r>
            <w:r>
              <w:rPr>
                <w:noProof/>
                <w:webHidden/>
              </w:rPr>
              <w:instrText xml:space="preserve"> PAGEREF _Toc210745510 \h </w:instrText>
            </w:r>
            <w:r>
              <w:rPr>
                <w:noProof/>
                <w:webHidden/>
              </w:rPr>
            </w:r>
            <w:r>
              <w:rPr>
                <w:noProof/>
                <w:webHidden/>
              </w:rPr>
              <w:fldChar w:fldCharType="separate"/>
            </w:r>
            <w:r>
              <w:rPr>
                <w:noProof/>
                <w:webHidden/>
              </w:rPr>
              <w:t>25</w:t>
            </w:r>
            <w:r>
              <w:rPr>
                <w:noProof/>
                <w:webHidden/>
              </w:rPr>
              <w:fldChar w:fldCharType="end"/>
            </w:r>
          </w:hyperlink>
        </w:p>
        <w:p w14:paraId="0DB6664D" w14:textId="20020FAC" w:rsidR="00027249" w:rsidRDefault="0002724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0745511" w:history="1">
            <w:r w:rsidRPr="00CA3641">
              <w:rPr>
                <w:rStyle w:val="Hyperlink"/>
                <w:noProof/>
              </w:rPr>
              <w:t>Product Information and Consumer Medicine Information</w:t>
            </w:r>
            <w:r>
              <w:rPr>
                <w:noProof/>
                <w:webHidden/>
              </w:rPr>
              <w:tab/>
            </w:r>
            <w:r>
              <w:rPr>
                <w:noProof/>
                <w:webHidden/>
              </w:rPr>
              <w:fldChar w:fldCharType="begin"/>
            </w:r>
            <w:r>
              <w:rPr>
                <w:noProof/>
                <w:webHidden/>
              </w:rPr>
              <w:instrText xml:space="preserve"> PAGEREF _Toc210745511 \h </w:instrText>
            </w:r>
            <w:r>
              <w:rPr>
                <w:noProof/>
                <w:webHidden/>
              </w:rPr>
            </w:r>
            <w:r>
              <w:rPr>
                <w:noProof/>
                <w:webHidden/>
              </w:rPr>
              <w:fldChar w:fldCharType="separate"/>
            </w:r>
            <w:r>
              <w:rPr>
                <w:noProof/>
                <w:webHidden/>
              </w:rPr>
              <w:t>26</w:t>
            </w:r>
            <w:r>
              <w:rPr>
                <w:noProof/>
                <w:webHidden/>
              </w:rPr>
              <w:fldChar w:fldCharType="end"/>
            </w:r>
          </w:hyperlink>
        </w:p>
        <w:p w14:paraId="77659F2D" w14:textId="297F62C1"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324B33">
      <w:pPr>
        <w:pStyle w:val="Heading2"/>
      </w:pPr>
      <w:bookmarkStart w:id="2" w:name="_Toc98931917"/>
      <w:bookmarkStart w:id="3" w:name="_Toc103679287"/>
      <w:bookmarkStart w:id="4" w:name="_Toc210745486"/>
      <w:bookmarkStart w:id="5" w:name="_Toc323739589"/>
      <w:bookmarkStart w:id="6" w:name="_Toc356305216"/>
      <w:r>
        <w:lastRenderedPageBreak/>
        <w:t>List of abbreviations</w:t>
      </w:r>
      <w:bookmarkEnd w:id="2"/>
      <w:bookmarkEnd w:id="3"/>
      <w:bookmarkEnd w:id="4"/>
    </w:p>
    <w:p w14:paraId="58578454" w14:textId="3A721BB9" w:rsidR="00324B33" w:rsidRDefault="00324B33" w:rsidP="00324B33">
      <w:pPr>
        <w:rPr>
          <w:i/>
          <w:color w:val="007099"/>
        </w:rPr>
      </w:pPr>
    </w:p>
    <w:tbl>
      <w:tblPr>
        <w:tblStyle w:val="TableTGAblue2023"/>
        <w:tblW w:w="5000" w:type="pct"/>
        <w:tblLook w:val="04A0" w:firstRow="1" w:lastRow="0" w:firstColumn="1" w:lastColumn="0" w:noHBand="0" w:noVBand="1"/>
      </w:tblPr>
      <w:tblGrid>
        <w:gridCol w:w="2174"/>
        <w:gridCol w:w="6886"/>
      </w:tblGrid>
      <w:tr w:rsidR="00324B33" w:rsidRPr="00D01DDB" w14:paraId="2117AEF6" w14:textId="77777777" w:rsidTr="00BD5DBD">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1207B6A7" w14:textId="67F7D360" w:rsidR="00324B33" w:rsidRPr="00D01DDB" w:rsidRDefault="00324B33" w:rsidP="00324B33">
            <w:pPr>
              <w:rPr>
                <w:szCs w:val="22"/>
              </w:rPr>
            </w:pPr>
            <w:r w:rsidRPr="00D01DDB">
              <w:rPr>
                <w:szCs w:val="22"/>
              </w:rPr>
              <w:t>Abbreviation</w:t>
            </w:r>
          </w:p>
        </w:tc>
        <w:tc>
          <w:tcPr>
            <w:tcW w:w="3800" w:type="pct"/>
          </w:tcPr>
          <w:p w14:paraId="4CF6D0CD" w14:textId="2974FA0B"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Meaning</w:t>
            </w:r>
          </w:p>
        </w:tc>
      </w:tr>
      <w:tr w:rsidR="00324B33" w:rsidRPr="00D01DDB" w14:paraId="16C5C8C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6DE09A4" w14:textId="07A94E9E" w:rsidR="00324B33" w:rsidRPr="00D01DDB" w:rsidRDefault="00324B33" w:rsidP="00324B33">
            <w:pPr>
              <w:rPr>
                <w:szCs w:val="22"/>
              </w:rPr>
            </w:pPr>
            <w:r w:rsidRPr="00D01DDB">
              <w:rPr>
                <w:szCs w:val="22"/>
              </w:rPr>
              <w:t>ACM</w:t>
            </w:r>
          </w:p>
        </w:tc>
        <w:tc>
          <w:tcPr>
            <w:tcW w:w="3800" w:type="pct"/>
          </w:tcPr>
          <w:p w14:paraId="4F24A873" w14:textId="0539B5FB"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Advisory Committee on Medicines</w:t>
            </w:r>
          </w:p>
        </w:tc>
      </w:tr>
      <w:tr w:rsidR="00324B33" w:rsidRPr="00D01DDB" w14:paraId="35340A5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D8B9F80" w14:textId="287DC0CA" w:rsidR="00324B33" w:rsidRPr="00D01DDB" w:rsidRDefault="00324B33" w:rsidP="00324B33">
            <w:pPr>
              <w:rPr>
                <w:szCs w:val="22"/>
              </w:rPr>
            </w:pPr>
            <w:r w:rsidRPr="00D01DDB">
              <w:rPr>
                <w:szCs w:val="22"/>
              </w:rPr>
              <w:t>ACV</w:t>
            </w:r>
          </w:p>
        </w:tc>
        <w:tc>
          <w:tcPr>
            <w:tcW w:w="3800" w:type="pct"/>
          </w:tcPr>
          <w:p w14:paraId="5072E244" w14:textId="7B59D1A8"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Advisory Committee on Vaccines</w:t>
            </w:r>
          </w:p>
        </w:tc>
      </w:tr>
      <w:tr w:rsidR="00A27869" w:rsidRPr="00D01DDB" w14:paraId="40354681" w14:textId="77777777" w:rsidTr="00D0710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56402F0A" w14:textId="4AE8336B" w:rsidR="00A27869" w:rsidRPr="00D01DDB" w:rsidRDefault="00A27869" w:rsidP="00A27869">
            <w:pPr>
              <w:rPr>
                <w:szCs w:val="22"/>
              </w:rPr>
            </w:pPr>
            <w:r>
              <w:t>ADA</w:t>
            </w:r>
          </w:p>
        </w:tc>
        <w:tc>
          <w:tcPr>
            <w:tcW w:w="3800" w:type="pct"/>
            <w:shd w:val="clear" w:color="auto" w:fill="auto"/>
          </w:tcPr>
          <w:p w14:paraId="7759844C" w14:textId="49096EBB" w:rsidR="00A27869" w:rsidRPr="00D01DDB" w:rsidRDefault="00A27869" w:rsidP="00A27869">
            <w:pPr>
              <w:cnfStyle w:val="000000000000" w:firstRow="0" w:lastRow="0" w:firstColumn="0" w:lastColumn="0" w:oddVBand="0" w:evenVBand="0" w:oddHBand="0" w:evenHBand="0" w:firstRowFirstColumn="0" w:firstRowLastColumn="0" w:lastRowFirstColumn="0" w:lastRowLastColumn="0"/>
              <w:rPr>
                <w:szCs w:val="22"/>
              </w:rPr>
            </w:pPr>
            <w:r>
              <w:t>Anti-drug antibody</w:t>
            </w:r>
          </w:p>
        </w:tc>
      </w:tr>
      <w:tr w:rsidR="00A27869" w:rsidRPr="00D01DDB" w14:paraId="003D66B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CD69371" w14:textId="423B88BD" w:rsidR="00A27869" w:rsidRPr="00D01DDB" w:rsidRDefault="00A27869" w:rsidP="00A27869">
            <w:pPr>
              <w:rPr>
                <w:szCs w:val="22"/>
              </w:rPr>
            </w:pPr>
            <w:r>
              <w:rPr>
                <w:szCs w:val="22"/>
              </w:rPr>
              <w:t>AMD</w:t>
            </w:r>
          </w:p>
        </w:tc>
        <w:tc>
          <w:tcPr>
            <w:tcW w:w="3800" w:type="pct"/>
          </w:tcPr>
          <w:p w14:paraId="4EE34791" w14:textId="14D6100F" w:rsidR="00A27869" w:rsidRPr="000E7FDF" w:rsidRDefault="00A27869" w:rsidP="00A27869">
            <w:pPr>
              <w:cnfStyle w:val="000000000000" w:firstRow="0" w:lastRow="0" w:firstColumn="0" w:lastColumn="0" w:oddVBand="0" w:evenVBand="0" w:oddHBand="0" w:evenHBand="0" w:firstRowFirstColumn="0" w:firstRowLastColumn="0" w:lastRowFirstColumn="0" w:lastRowLastColumn="0"/>
              <w:rPr>
                <w:szCs w:val="22"/>
              </w:rPr>
            </w:pPr>
            <w:r>
              <w:rPr>
                <w:szCs w:val="22"/>
              </w:rPr>
              <w:t>A</w:t>
            </w:r>
            <w:r w:rsidRPr="000E7FDF">
              <w:rPr>
                <w:szCs w:val="22"/>
              </w:rPr>
              <w:t>ge-related macular degeneration</w:t>
            </w:r>
          </w:p>
        </w:tc>
      </w:tr>
      <w:tr w:rsidR="00A27869" w:rsidRPr="00D01DDB" w14:paraId="6965466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43A7AEA" w14:textId="6D49EBE6" w:rsidR="00A27869" w:rsidRPr="00D01DDB" w:rsidRDefault="00A27869" w:rsidP="00A27869">
            <w:pPr>
              <w:rPr>
                <w:szCs w:val="22"/>
              </w:rPr>
            </w:pPr>
            <w:r w:rsidRPr="00D01DDB">
              <w:rPr>
                <w:szCs w:val="22"/>
              </w:rPr>
              <w:t>ARTG</w:t>
            </w:r>
          </w:p>
        </w:tc>
        <w:tc>
          <w:tcPr>
            <w:tcW w:w="3800" w:type="pct"/>
          </w:tcPr>
          <w:p w14:paraId="228A203A" w14:textId="47EBCFA3" w:rsidR="00A27869" w:rsidRPr="00D01DDB" w:rsidRDefault="00A27869" w:rsidP="00A27869">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Australian Register of Therapeutic Goods</w:t>
            </w:r>
          </w:p>
        </w:tc>
      </w:tr>
      <w:tr w:rsidR="00A27869" w:rsidRPr="00D01DDB" w14:paraId="0536676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0516A80" w14:textId="1329E9D5" w:rsidR="00A27869" w:rsidRPr="00D01DDB" w:rsidRDefault="00A27869" w:rsidP="00A27869">
            <w:pPr>
              <w:rPr>
                <w:szCs w:val="22"/>
              </w:rPr>
            </w:pPr>
            <w:r w:rsidRPr="00D01DDB">
              <w:rPr>
                <w:szCs w:val="22"/>
              </w:rPr>
              <w:t>ASA</w:t>
            </w:r>
          </w:p>
        </w:tc>
        <w:tc>
          <w:tcPr>
            <w:tcW w:w="3800" w:type="pct"/>
          </w:tcPr>
          <w:p w14:paraId="4E6F5284" w14:textId="21C063B1" w:rsidR="00A27869" w:rsidRPr="00D01DDB" w:rsidRDefault="00A27869" w:rsidP="00A27869">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w:t>
            </w:r>
            <w:r>
              <w:rPr>
                <w:szCs w:val="22"/>
              </w:rPr>
              <w:noBreakHyphen/>
            </w:r>
            <w:r w:rsidRPr="00D01DDB">
              <w:rPr>
                <w:szCs w:val="22"/>
              </w:rPr>
              <w:t>specific annex</w:t>
            </w:r>
          </w:p>
        </w:tc>
      </w:tr>
      <w:tr w:rsidR="00A27869" w:rsidRPr="00D01DDB" w14:paraId="0C4915F3" w14:textId="77777777" w:rsidTr="00D0710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1EA7B42E" w14:textId="6FCC778C" w:rsidR="00A27869" w:rsidRPr="00D01DDB" w:rsidRDefault="00A27869" w:rsidP="00A27869">
            <w:pPr>
              <w:rPr>
                <w:szCs w:val="22"/>
              </w:rPr>
            </w:pPr>
            <w:r>
              <w:t>BCVA</w:t>
            </w:r>
          </w:p>
        </w:tc>
        <w:tc>
          <w:tcPr>
            <w:tcW w:w="3800" w:type="pct"/>
            <w:shd w:val="clear" w:color="auto" w:fill="auto"/>
          </w:tcPr>
          <w:p w14:paraId="22B81D4F" w14:textId="1213165F" w:rsidR="00A27869" w:rsidRPr="00D01DDB" w:rsidRDefault="00A27869" w:rsidP="00A27869">
            <w:pPr>
              <w:cnfStyle w:val="000000000000" w:firstRow="0" w:lastRow="0" w:firstColumn="0" w:lastColumn="0" w:oddVBand="0" w:evenVBand="0" w:oddHBand="0" w:evenHBand="0" w:firstRowFirstColumn="0" w:firstRowLastColumn="0" w:lastRowFirstColumn="0" w:lastRowLastColumn="0"/>
              <w:rPr>
                <w:szCs w:val="22"/>
              </w:rPr>
            </w:pPr>
            <w:r w:rsidRPr="00F90FDD">
              <w:t>Best-corrected visual acuity</w:t>
            </w:r>
          </w:p>
        </w:tc>
      </w:tr>
      <w:tr w:rsidR="00A27869" w:rsidRPr="00D01DDB" w14:paraId="1F122F7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A93E4C2" w14:textId="2846515D" w:rsidR="00A27869" w:rsidRPr="00D01DDB" w:rsidRDefault="00A27869" w:rsidP="00A27869">
            <w:pPr>
              <w:rPr>
                <w:szCs w:val="22"/>
              </w:rPr>
            </w:pPr>
            <w:r>
              <w:rPr>
                <w:szCs w:val="22"/>
              </w:rPr>
              <w:t>BRVO</w:t>
            </w:r>
          </w:p>
        </w:tc>
        <w:tc>
          <w:tcPr>
            <w:tcW w:w="3800" w:type="pct"/>
          </w:tcPr>
          <w:p w14:paraId="76BBD61E" w14:textId="3CF1ADD5" w:rsidR="00A27869" w:rsidRPr="00F04972" w:rsidRDefault="00A27869" w:rsidP="00A27869">
            <w:pPr>
              <w:cnfStyle w:val="000000000000" w:firstRow="0" w:lastRow="0" w:firstColumn="0" w:lastColumn="0" w:oddVBand="0" w:evenVBand="0" w:oddHBand="0" w:evenHBand="0" w:firstRowFirstColumn="0" w:firstRowLastColumn="0" w:lastRowFirstColumn="0" w:lastRowLastColumn="0"/>
              <w:rPr>
                <w:szCs w:val="22"/>
              </w:rPr>
            </w:pPr>
            <w:r w:rsidRPr="00F04972">
              <w:rPr>
                <w:szCs w:val="22"/>
              </w:rPr>
              <w:t>Branch retinal vein occlusion</w:t>
            </w:r>
          </w:p>
        </w:tc>
      </w:tr>
      <w:tr w:rsidR="00A27869" w:rsidRPr="00D01DDB" w14:paraId="7FAAA60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B00CE0F" w14:textId="623A2A82" w:rsidR="00A27869" w:rsidRDefault="00A27869" w:rsidP="00A27869">
            <w:pPr>
              <w:rPr>
                <w:szCs w:val="22"/>
              </w:rPr>
            </w:pPr>
            <w:r>
              <w:rPr>
                <w:szCs w:val="22"/>
              </w:rPr>
              <w:t>CHO</w:t>
            </w:r>
          </w:p>
        </w:tc>
        <w:tc>
          <w:tcPr>
            <w:tcW w:w="3800" w:type="pct"/>
          </w:tcPr>
          <w:p w14:paraId="18EE0E63" w14:textId="6D1E7B73" w:rsidR="00A27869" w:rsidRPr="00F04972" w:rsidRDefault="00A27869" w:rsidP="00A27869">
            <w:pPr>
              <w:cnfStyle w:val="000000000000" w:firstRow="0" w:lastRow="0" w:firstColumn="0" w:lastColumn="0" w:oddVBand="0" w:evenVBand="0" w:oddHBand="0" w:evenHBand="0" w:firstRowFirstColumn="0" w:firstRowLastColumn="0" w:lastRowFirstColumn="0" w:lastRowLastColumn="0"/>
              <w:rPr>
                <w:szCs w:val="22"/>
              </w:rPr>
            </w:pPr>
            <w:r w:rsidRPr="005B0694">
              <w:rPr>
                <w:szCs w:val="22"/>
              </w:rPr>
              <w:t>Chinese hamster ovary</w:t>
            </w:r>
          </w:p>
        </w:tc>
      </w:tr>
      <w:tr w:rsidR="00A27869" w:rsidRPr="00D01DDB" w14:paraId="7694A4E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AC18809" w14:textId="14711A93" w:rsidR="00A27869" w:rsidRPr="00D01DDB" w:rsidRDefault="00A27869" w:rsidP="00A27869">
            <w:pPr>
              <w:rPr>
                <w:szCs w:val="22"/>
              </w:rPr>
            </w:pPr>
            <w:r w:rsidRPr="00D01DDB">
              <w:rPr>
                <w:szCs w:val="22"/>
              </w:rPr>
              <w:t>CMI</w:t>
            </w:r>
          </w:p>
        </w:tc>
        <w:tc>
          <w:tcPr>
            <w:tcW w:w="3800" w:type="pct"/>
          </w:tcPr>
          <w:p w14:paraId="5D8C9DF5" w14:textId="60C23379" w:rsidR="00A27869" w:rsidRPr="00D01DDB" w:rsidRDefault="00A27869" w:rsidP="00A27869">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Consumer Medicines Information</w:t>
            </w:r>
          </w:p>
        </w:tc>
      </w:tr>
      <w:tr w:rsidR="00A27869" w:rsidRPr="00D01DDB" w14:paraId="39774A0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78B5296" w14:textId="1E61B9A2" w:rsidR="00A27869" w:rsidRPr="00D01DDB" w:rsidRDefault="00A27869" w:rsidP="00A27869">
            <w:pPr>
              <w:rPr>
                <w:szCs w:val="22"/>
              </w:rPr>
            </w:pPr>
            <w:r>
              <w:rPr>
                <w:szCs w:val="22"/>
              </w:rPr>
              <w:t>CNV</w:t>
            </w:r>
          </w:p>
        </w:tc>
        <w:tc>
          <w:tcPr>
            <w:tcW w:w="3800" w:type="pct"/>
          </w:tcPr>
          <w:p w14:paraId="56EC11E4" w14:textId="57DD86B4" w:rsidR="00A27869" w:rsidRPr="00D01DDB" w:rsidRDefault="00A27869" w:rsidP="00A27869">
            <w:pPr>
              <w:cnfStyle w:val="000000000000" w:firstRow="0" w:lastRow="0" w:firstColumn="0" w:lastColumn="0" w:oddVBand="0" w:evenVBand="0" w:oddHBand="0" w:evenHBand="0" w:firstRowFirstColumn="0" w:firstRowLastColumn="0" w:lastRowFirstColumn="0" w:lastRowLastColumn="0"/>
              <w:rPr>
                <w:szCs w:val="22"/>
              </w:rPr>
            </w:pPr>
            <w:r>
              <w:rPr>
                <w:szCs w:val="22"/>
              </w:rPr>
              <w:t>C</w:t>
            </w:r>
            <w:r w:rsidRPr="00667739">
              <w:rPr>
                <w:szCs w:val="22"/>
              </w:rPr>
              <w:t xml:space="preserve">horoidal neovascularisation </w:t>
            </w:r>
          </w:p>
        </w:tc>
      </w:tr>
      <w:tr w:rsidR="00A27869" w:rsidRPr="00D01DDB" w14:paraId="13E923E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A664174" w14:textId="20EA4ED8" w:rsidR="00A27869" w:rsidRPr="00D01DDB" w:rsidRDefault="00A27869" w:rsidP="00A27869">
            <w:pPr>
              <w:rPr>
                <w:szCs w:val="22"/>
              </w:rPr>
            </w:pPr>
            <w:r>
              <w:rPr>
                <w:szCs w:val="22"/>
              </w:rPr>
              <w:t>CRVO</w:t>
            </w:r>
          </w:p>
        </w:tc>
        <w:tc>
          <w:tcPr>
            <w:tcW w:w="3800" w:type="pct"/>
          </w:tcPr>
          <w:p w14:paraId="0FE9B59E" w14:textId="5A589C33" w:rsidR="00A27869" w:rsidRPr="009A68FC" w:rsidRDefault="00A27869" w:rsidP="00A27869">
            <w:pPr>
              <w:cnfStyle w:val="000000000000" w:firstRow="0" w:lastRow="0" w:firstColumn="0" w:lastColumn="0" w:oddVBand="0" w:evenVBand="0" w:oddHBand="0" w:evenHBand="0" w:firstRowFirstColumn="0" w:firstRowLastColumn="0" w:lastRowFirstColumn="0" w:lastRowLastColumn="0"/>
              <w:rPr>
                <w:szCs w:val="22"/>
              </w:rPr>
            </w:pPr>
            <w:r>
              <w:rPr>
                <w:szCs w:val="22"/>
              </w:rPr>
              <w:t>C</w:t>
            </w:r>
            <w:r w:rsidRPr="009A68FC">
              <w:rPr>
                <w:szCs w:val="22"/>
              </w:rPr>
              <w:t xml:space="preserve">entral retinal vein occlusion </w:t>
            </w:r>
          </w:p>
        </w:tc>
      </w:tr>
      <w:tr w:rsidR="00A27869" w:rsidRPr="00D01DDB" w14:paraId="1F0FCE1F" w14:textId="77777777" w:rsidTr="00D0710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07D4D5CD" w14:textId="63B2701F" w:rsidR="00A27869" w:rsidRDefault="00A27869" w:rsidP="00A27869">
            <w:pPr>
              <w:rPr>
                <w:szCs w:val="22"/>
              </w:rPr>
            </w:pPr>
            <w:r>
              <w:t>CSFT</w:t>
            </w:r>
          </w:p>
        </w:tc>
        <w:tc>
          <w:tcPr>
            <w:tcW w:w="3800" w:type="pct"/>
            <w:shd w:val="clear" w:color="auto" w:fill="auto"/>
          </w:tcPr>
          <w:p w14:paraId="0B1AD2A6" w14:textId="4F842F53" w:rsidR="00A27869" w:rsidRDefault="00A27869" w:rsidP="00A27869">
            <w:pPr>
              <w:cnfStyle w:val="000000000000" w:firstRow="0" w:lastRow="0" w:firstColumn="0" w:lastColumn="0" w:oddVBand="0" w:evenVBand="0" w:oddHBand="0" w:evenHBand="0" w:firstRowFirstColumn="0" w:firstRowLastColumn="0" w:lastRowFirstColumn="0" w:lastRowLastColumn="0"/>
              <w:rPr>
                <w:szCs w:val="22"/>
              </w:rPr>
            </w:pPr>
            <w:r w:rsidRPr="008E2D3C">
              <w:t>Central subfield thickness</w:t>
            </w:r>
          </w:p>
        </w:tc>
      </w:tr>
      <w:tr w:rsidR="00A27869" w:rsidRPr="00D01DDB" w14:paraId="7B87377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CE05B04" w14:textId="0D6731AA" w:rsidR="00A27869" w:rsidRPr="00D01DDB" w:rsidRDefault="00A27869" w:rsidP="00A27869">
            <w:pPr>
              <w:rPr>
                <w:szCs w:val="22"/>
              </w:rPr>
            </w:pPr>
            <w:r w:rsidRPr="00D01DDB">
              <w:rPr>
                <w:szCs w:val="22"/>
              </w:rPr>
              <w:t>DLP</w:t>
            </w:r>
          </w:p>
        </w:tc>
        <w:tc>
          <w:tcPr>
            <w:tcW w:w="3800" w:type="pct"/>
          </w:tcPr>
          <w:p w14:paraId="26109D0B" w14:textId="4AE8F60A" w:rsidR="00A27869" w:rsidRPr="00D01DDB" w:rsidRDefault="00A27869" w:rsidP="00A27869">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Data lock point</w:t>
            </w:r>
          </w:p>
        </w:tc>
      </w:tr>
      <w:tr w:rsidR="00A27869" w:rsidRPr="00D01DDB" w14:paraId="40F8671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C4E7D3D" w14:textId="1DC5E496" w:rsidR="00A27869" w:rsidRPr="00D01DDB" w:rsidRDefault="00A27869" w:rsidP="00A27869">
            <w:pPr>
              <w:rPr>
                <w:szCs w:val="22"/>
              </w:rPr>
            </w:pPr>
            <w:r>
              <w:rPr>
                <w:szCs w:val="22"/>
              </w:rPr>
              <w:t>DME</w:t>
            </w:r>
          </w:p>
        </w:tc>
        <w:tc>
          <w:tcPr>
            <w:tcW w:w="3800" w:type="pct"/>
          </w:tcPr>
          <w:p w14:paraId="2A274E6D" w14:textId="2E7DD322" w:rsidR="00A27869" w:rsidRPr="00F04972" w:rsidRDefault="00A27869" w:rsidP="00A27869">
            <w:pPr>
              <w:cnfStyle w:val="000000000000" w:firstRow="0" w:lastRow="0" w:firstColumn="0" w:lastColumn="0" w:oddVBand="0" w:evenVBand="0" w:oddHBand="0" w:evenHBand="0" w:firstRowFirstColumn="0" w:firstRowLastColumn="0" w:lastRowFirstColumn="0" w:lastRowLastColumn="0"/>
              <w:rPr>
                <w:szCs w:val="22"/>
              </w:rPr>
            </w:pPr>
            <w:r w:rsidRPr="00F04972">
              <w:rPr>
                <w:szCs w:val="22"/>
              </w:rPr>
              <w:t xml:space="preserve">Diabetic macular oedema </w:t>
            </w:r>
          </w:p>
        </w:tc>
      </w:tr>
      <w:tr w:rsidR="00A27869" w:rsidRPr="00D01DDB" w14:paraId="0E84FC3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81D083E" w14:textId="30BD90C5" w:rsidR="00A27869" w:rsidRDefault="00A27869" w:rsidP="00A27869">
            <w:pPr>
              <w:rPr>
                <w:szCs w:val="22"/>
              </w:rPr>
            </w:pPr>
            <w:r>
              <w:rPr>
                <w:szCs w:val="22"/>
              </w:rPr>
              <w:t>DMO</w:t>
            </w:r>
          </w:p>
        </w:tc>
        <w:tc>
          <w:tcPr>
            <w:tcW w:w="3800" w:type="pct"/>
          </w:tcPr>
          <w:p w14:paraId="2CD1FA88" w14:textId="237E59B8" w:rsidR="00A27869" w:rsidRPr="00F04972" w:rsidRDefault="00A27869" w:rsidP="00A27869">
            <w:pPr>
              <w:cnfStyle w:val="000000000000" w:firstRow="0" w:lastRow="0" w:firstColumn="0" w:lastColumn="0" w:oddVBand="0" w:evenVBand="0" w:oddHBand="0" w:evenHBand="0" w:firstRowFirstColumn="0" w:firstRowLastColumn="0" w:lastRowFirstColumn="0" w:lastRowLastColumn="0"/>
              <w:rPr>
                <w:szCs w:val="22"/>
              </w:rPr>
            </w:pPr>
            <w:r>
              <w:rPr>
                <w:szCs w:val="22"/>
              </w:rPr>
              <w:t>D</w:t>
            </w:r>
            <w:r w:rsidRPr="00D65C46">
              <w:rPr>
                <w:szCs w:val="22"/>
              </w:rPr>
              <w:t>iabetic macular oedema</w:t>
            </w:r>
          </w:p>
        </w:tc>
      </w:tr>
      <w:tr w:rsidR="00A27869" w:rsidRPr="00D01DDB" w14:paraId="0DA1985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2D64588" w14:textId="2B8ABB17" w:rsidR="00A27869" w:rsidRDefault="00A27869" w:rsidP="00A27869">
            <w:pPr>
              <w:rPr>
                <w:szCs w:val="22"/>
              </w:rPr>
            </w:pPr>
            <w:r>
              <w:rPr>
                <w:szCs w:val="22"/>
              </w:rPr>
              <w:t>DR</w:t>
            </w:r>
          </w:p>
        </w:tc>
        <w:tc>
          <w:tcPr>
            <w:tcW w:w="3800" w:type="pct"/>
          </w:tcPr>
          <w:p w14:paraId="31365D2F" w14:textId="7FE3651F" w:rsidR="00A27869" w:rsidRDefault="00A27869" w:rsidP="00A27869">
            <w:pPr>
              <w:cnfStyle w:val="000000000000" w:firstRow="0" w:lastRow="0" w:firstColumn="0" w:lastColumn="0" w:oddVBand="0" w:evenVBand="0" w:oddHBand="0" w:evenHBand="0" w:firstRowFirstColumn="0" w:firstRowLastColumn="0" w:lastRowFirstColumn="0" w:lastRowLastColumn="0"/>
              <w:rPr>
                <w:szCs w:val="22"/>
              </w:rPr>
            </w:pPr>
            <w:r w:rsidRPr="00D65C46">
              <w:rPr>
                <w:szCs w:val="22"/>
              </w:rPr>
              <w:t xml:space="preserve">Diabetic retinopathy </w:t>
            </w:r>
          </w:p>
        </w:tc>
      </w:tr>
      <w:tr w:rsidR="00A27869" w:rsidRPr="00D01DDB" w14:paraId="17ABED7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D8DBF6F" w14:textId="632B9B2E" w:rsidR="00A27869" w:rsidRDefault="00A27869" w:rsidP="00A27869">
            <w:pPr>
              <w:rPr>
                <w:szCs w:val="22"/>
              </w:rPr>
            </w:pPr>
            <w:r>
              <w:rPr>
                <w:szCs w:val="22"/>
              </w:rPr>
              <w:t>EMA</w:t>
            </w:r>
          </w:p>
        </w:tc>
        <w:tc>
          <w:tcPr>
            <w:tcW w:w="3800" w:type="pct"/>
          </w:tcPr>
          <w:p w14:paraId="41F60F0B" w14:textId="755864BE" w:rsidR="00A27869" w:rsidRPr="00D65C46" w:rsidRDefault="00A27869" w:rsidP="00A27869">
            <w:pPr>
              <w:cnfStyle w:val="000000000000" w:firstRow="0" w:lastRow="0" w:firstColumn="0" w:lastColumn="0" w:oddVBand="0" w:evenVBand="0" w:oddHBand="0" w:evenHBand="0" w:firstRowFirstColumn="0" w:firstRowLastColumn="0" w:lastRowFirstColumn="0" w:lastRowLastColumn="0"/>
              <w:rPr>
                <w:szCs w:val="22"/>
              </w:rPr>
            </w:pPr>
            <w:r>
              <w:rPr>
                <w:szCs w:val="22"/>
              </w:rPr>
              <w:t>European Medicines Agency</w:t>
            </w:r>
          </w:p>
        </w:tc>
      </w:tr>
      <w:tr w:rsidR="00A27869" w:rsidRPr="00D01DDB" w14:paraId="4D7ADCC8" w14:textId="77777777" w:rsidTr="00D0710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7B2A512F" w14:textId="4BC07EC6" w:rsidR="00A27869" w:rsidRDefault="00A27869" w:rsidP="00A27869">
            <w:pPr>
              <w:rPr>
                <w:szCs w:val="22"/>
              </w:rPr>
            </w:pPr>
            <w:r>
              <w:t>ETDRS</w:t>
            </w:r>
          </w:p>
        </w:tc>
        <w:tc>
          <w:tcPr>
            <w:tcW w:w="3800" w:type="pct"/>
            <w:shd w:val="clear" w:color="auto" w:fill="auto"/>
          </w:tcPr>
          <w:p w14:paraId="217981F2" w14:textId="32CC5B5B" w:rsidR="00A27869" w:rsidRDefault="00A27869" w:rsidP="00A27869">
            <w:pPr>
              <w:cnfStyle w:val="000000000000" w:firstRow="0" w:lastRow="0" w:firstColumn="0" w:lastColumn="0" w:oddVBand="0" w:evenVBand="0" w:oddHBand="0" w:evenHBand="0" w:firstRowFirstColumn="0" w:firstRowLastColumn="0" w:lastRowFirstColumn="0" w:lastRowLastColumn="0"/>
              <w:rPr>
                <w:szCs w:val="22"/>
              </w:rPr>
            </w:pPr>
            <w:r w:rsidRPr="002553FD">
              <w:t>Early treatment diabetic retinopathy study</w:t>
            </w:r>
          </w:p>
        </w:tc>
      </w:tr>
      <w:tr w:rsidR="00A27869" w:rsidRPr="00D01DDB" w14:paraId="2137A0E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35E4EBF" w14:textId="3906A6F0" w:rsidR="00A27869" w:rsidRDefault="00A27869" w:rsidP="00A27869">
            <w:pPr>
              <w:rPr>
                <w:szCs w:val="22"/>
              </w:rPr>
            </w:pPr>
            <w:r>
              <w:rPr>
                <w:szCs w:val="22"/>
              </w:rPr>
              <w:t>EU</w:t>
            </w:r>
          </w:p>
        </w:tc>
        <w:tc>
          <w:tcPr>
            <w:tcW w:w="3800" w:type="pct"/>
          </w:tcPr>
          <w:p w14:paraId="23FFA3B2" w14:textId="50945DC0" w:rsidR="00A27869" w:rsidRPr="00D65C46" w:rsidRDefault="00A27869" w:rsidP="00A27869">
            <w:pPr>
              <w:cnfStyle w:val="000000000000" w:firstRow="0" w:lastRow="0" w:firstColumn="0" w:lastColumn="0" w:oddVBand="0" w:evenVBand="0" w:oddHBand="0" w:evenHBand="0" w:firstRowFirstColumn="0" w:firstRowLastColumn="0" w:lastRowFirstColumn="0" w:lastRowLastColumn="0"/>
              <w:rPr>
                <w:szCs w:val="22"/>
              </w:rPr>
            </w:pPr>
            <w:r w:rsidRPr="005B0694">
              <w:rPr>
                <w:szCs w:val="22"/>
              </w:rPr>
              <w:t>European Union</w:t>
            </w:r>
          </w:p>
        </w:tc>
      </w:tr>
      <w:tr w:rsidR="00A27869" w:rsidRPr="00D01DDB" w14:paraId="1ED6D45A" w14:textId="77777777" w:rsidTr="00D0710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1086A49F" w14:textId="700A796F" w:rsidR="00A27869" w:rsidRDefault="00A27869" w:rsidP="00A27869">
            <w:pPr>
              <w:rPr>
                <w:szCs w:val="22"/>
              </w:rPr>
            </w:pPr>
            <w:r>
              <w:t>FAS</w:t>
            </w:r>
          </w:p>
        </w:tc>
        <w:tc>
          <w:tcPr>
            <w:tcW w:w="3800" w:type="pct"/>
            <w:shd w:val="clear" w:color="auto" w:fill="auto"/>
          </w:tcPr>
          <w:p w14:paraId="18661240" w14:textId="5CE18624" w:rsidR="00A27869" w:rsidRPr="005B0694" w:rsidRDefault="00A27869" w:rsidP="00A27869">
            <w:pPr>
              <w:cnfStyle w:val="000000000000" w:firstRow="0" w:lastRow="0" w:firstColumn="0" w:lastColumn="0" w:oddVBand="0" w:evenVBand="0" w:oddHBand="0" w:evenHBand="0" w:firstRowFirstColumn="0" w:firstRowLastColumn="0" w:lastRowFirstColumn="0" w:lastRowLastColumn="0"/>
              <w:rPr>
                <w:szCs w:val="22"/>
              </w:rPr>
            </w:pPr>
            <w:r>
              <w:t>Full analysis set</w:t>
            </w:r>
          </w:p>
        </w:tc>
      </w:tr>
      <w:tr w:rsidR="00A27869" w:rsidRPr="00D01DDB" w14:paraId="4CE2E1C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D258317" w14:textId="36FCFADE" w:rsidR="00A27869" w:rsidRDefault="00A27869" w:rsidP="00A27869">
            <w:pPr>
              <w:rPr>
                <w:szCs w:val="22"/>
              </w:rPr>
            </w:pPr>
            <w:r w:rsidRPr="00EA273B">
              <w:rPr>
                <w:szCs w:val="22"/>
              </w:rPr>
              <w:t>Fc</w:t>
            </w:r>
          </w:p>
        </w:tc>
        <w:tc>
          <w:tcPr>
            <w:tcW w:w="3800" w:type="pct"/>
          </w:tcPr>
          <w:p w14:paraId="6322E61D" w14:textId="04080BD6" w:rsidR="00A27869" w:rsidRPr="005B0694" w:rsidRDefault="00A27869" w:rsidP="00A27869">
            <w:pPr>
              <w:cnfStyle w:val="000000000000" w:firstRow="0" w:lastRow="0" w:firstColumn="0" w:lastColumn="0" w:oddVBand="0" w:evenVBand="0" w:oddHBand="0" w:evenHBand="0" w:firstRowFirstColumn="0" w:firstRowLastColumn="0" w:lastRowFirstColumn="0" w:lastRowLastColumn="0"/>
              <w:rPr>
                <w:szCs w:val="22"/>
              </w:rPr>
            </w:pPr>
            <w:r w:rsidRPr="00EA273B">
              <w:rPr>
                <w:szCs w:val="22"/>
              </w:rPr>
              <w:t>Fragment crystallisable</w:t>
            </w:r>
          </w:p>
        </w:tc>
      </w:tr>
      <w:tr w:rsidR="00A27869" w:rsidRPr="00D01DDB" w14:paraId="509E050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8B1D056" w14:textId="4291E0F2" w:rsidR="00A27869" w:rsidRDefault="00A27869" w:rsidP="00A27869">
            <w:pPr>
              <w:rPr>
                <w:szCs w:val="22"/>
              </w:rPr>
            </w:pPr>
            <w:r>
              <w:rPr>
                <w:szCs w:val="22"/>
              </w:rPr>
              <w:t>FDA</w:t>
            </w:r>
          </w:p>
        </w:tc>
        <w:tc>
          <w:tcPr>
            <w:tcW w:w="3800" w:type="pct"/>
          </w:tcPr>
          <w:p w14:paraId="68925399" w14:textId="7A288889" w:rsidR="00A27869" w:rsidRPr="005B0694" w:rsidRDefault="00A27869" w:rsidP="00A27869">
            <w:pPr>
              <w:cnfStyle w:val="000000000000" w:firstRow="0" w:lastRow="0" w:firstColumn="0" w:lastColumn="0" w:oddVBand="0" w:evenVBand="0" w:oddHBand="0" w:evenHBand="0" w:firstRowFirstColumn="0" w:firstRowLastColumn="0" w:lastRowFirstColumn="0" w:lastRowLastColumn="0"/>
              <w:rPr>
                <w:szCs w:val="22"/>
              </w:rPr>
            </w:pPr>
            <w:r w:rsidRPr="005B0694">
              <w:rPr>
                <w:szCs w:val="22"/>
              </w:rPr>
              <w:t>Food and Drug Administration (United States of America)</w:t>
            </w:r>
          </w:p>
        </w:tc>
      </w:tr>
      <w:tr w:rsidR="00A27869" w:rsidRPr="00D01DDB" w14:paraId="211D3ED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63015F9" w14:textId="7120EA62" w:rsidR="00A27869" w:rsidRPr="00D01DDB" w:rsidRDefault="00A27869" w:rsidP="00A27869">
            <w:pPr>
              <w:rPr>
                <w:szCs w:val="22"/>
              </w:rPr>
            </w:pPr>
            <w:r>
              <w:rPr>
                <w:szCs w:val="22"/>
              </w:rPr>
              <w:t>HRVO</w:t>
            </w:r>
          </w:p>
        </w:tc>
        <w:tc>
          <w:tcPr>
            <w:tcW w:w="3800" w:type="pct"/>
          </w:tcPr>
          <w:p w14:paraId="6DC7B2A4" w14:textId="0097BD9A" w:rsidR="00A27869" w:rsidRPr="00D01DDB" w:rsidRDefault="00A27869" w:rsidP="00A27869">
            <w:pPr>
              <w:cnfStyle w:val="000000000000" w:firstRow="0" w:lastRow="0" w:firstColumn="0" w:lastColumn="0" w:oddVBand="0" w:evenVBand="0" w:oddHBand="0" w:evenHBand="0" w:firstRowFirstColumn="0" w:firstRowLastColumn="0" w:lastRowFirstColumn="0" w:lastRowLastColumn="0"/>
              <w:rPr>
                <w:szCs w:val="22"/>
              </w:rPr>
            </w:pPr>
            <w:proofErr w:type="spellStart"/>
            <w:r>
              <w:rPr>
                <w:szCs w:val="22"/>
              </w:rPr>
              <w:t>H</w:t>
            </w:r>
            <w:r w:rsidRPr="004B04D6">
              <w:rPr>
                <w:szCs w:val="22"/>
              </w:rPr>
              <w:t>emiretinal</w:t>
            </w:r>
            <w:proofErr w:type="spellEnd"/>
            <w:r w:rsidRPr="004B04D6">
              <w:rPr>
                <w:szCs w:val="22"/>
              </w:rPr>
              <w:t xml:space="preserve"> vein occlusion</w:t>
            </w:r>
          </w:p>
        </w:tc>
      </w:tr>
      <w:tr w:rsidR="00A27869" w:rsidRPr="00D01DDB" w14:paraId="2FF75FE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5632E0E" w14:textId="4026B4B3" w:rsidR="00A27869" w:rsidRDefault="00A27869" w:rsidP="00A27869">
            <w:pPr>
              <w:rPr>
                <w:szCs w:val="22"/>
              </w:rPr>
            </w:pPr>
            <w:r w:rsidRPr="001417DC">
              <w:rPr>
                <w:szCs w:val="22"/>
                <w:lang w:val="en-GB"/>
              </w:rPr>
              <w:t>IgG1</w:t>
            </w:r>
          </w:p>
        </w:tc>
        <w:tc>
          <w:tcPr>
            <w:tcW w:w="3800" w:type="pct"/>
          </w:tcPr>
          <w:p w14:paraId="08EABA3D" w14:textId="6AD93755" w:rsidR="00A27869" w:rsidRDefault="00A27869" w:rsidP="00A27869">
            <w:pPr>
              <w:cnfStyle w:val="000000000000" w:firstRow="0" w:lastRow="0" w:firstColumn="0" w:lastColumn="0" w:oddVBand="0" w:evenVBand="0" w:oddHBand="0" w:evenHBand="0" w:firstRowFirstColumn="0" w:firstRowLastColumn="0" w:lastRowFirstColumn="0" w:lastRowLastColumn="0"/>
              <w:rPr>
                <w:szCs w:val="22"/>
              </w:rPr>
            </w:pPr>
            <w:r w:rsidRPr="001417DC">
              <w:rPr>
                <w:szCs w:val="22"/>
              </w:rPr>
              <w:t>Immunoglobulin G</w:t>
            </w:r>
            <w:r>
              <w:rPr>
                <w:szCs w:val="22"/>
              </w:rPr>
              <w:t xml:space="preserve">, Subtype 1. </w:t>
            </w:r>
          </w:p>
        </w:tc>
      </w:tr>
      <w:tr w:rsidR="00813030" w:rsidRPr="00D01DDB" w14:paraId="768B2DFE" w14:textId="77777777" w:rsidTr="00D0710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19E3ABB9" w14:textId="6F2E233F" w:rsidR="00813030" w:rsidRPr="001417DC" w:rsidRDefault="00813030" w:rsidP="00813030">
            <w:pPr>
              <w:rPr>
                <w:szCs w:val="22"/>
                <w:lang w:val="en-GB"/>
              </w:rPr>
            </w:pPr>
            <w:r>
              <w:t>IOP</w:t>
            </w:r>
          </w:p>
        </w:tc>
        <w:tc>
          <w:tcPr>
            <w:tcW w:w="3800" w:type="pct"/>
            <w:shd w:val="clear" w:color="auto" w:fill="auto"/>
          </w:tcPr>
          <w:p w14:paraId="4E3F8982" w14:textId="580B1AC0" w:rsidR="00813030" w:rsidRPr="001417DC" w:rsidRDefault="00813030" w:rsidP="00813030">
            <w:pPr>
              <w:cnfStyle w:val="000000000000" w:firstRow="0" w:lastRow="0" w:firstColumn="0" w:lastColumn="0" w:oddVBand="0" w:evenVBand="0" w:oddHBand="0" w:evenHBand="0" w:firstRowFirstColumn="0" w:firstRowLastColumn="0" w:lastRowFirstColumn="0" w:lastRowLastColumn="0"/>
              <w:rPr>
                <w:szCs w:val="22"/>
              </w:rPr>
            </w:pPr>
            <w:r>
              <w:t>Intraocular pressure</w:t>
            </w:r>
          </w:p>
        </w:tc>
      </w:tr>
      <w:tr w:rsidR="00813030" w:rsidRPr="00D01DDB" w14:paraId="5426E75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6949DDB" w14:textId="57E6BA10" w:rsidR="00813030" w:rsidRPr="001417DC" w:rsidRDefault="00813030" w:rsidP="00813030">
            <w:pPr>
              <w:rPr>
                <w:szCs w:val="22"/>
                <w:lang w:val="en-GB"/>
              </w:rPr>
            </w:pPr>
            <w:r>
              <w:rPr>
                <w:szCs w:val="22"/>
                <w:lang w:val="en-GB"/>
              </w:rPr>
              <w:t>IVT</w:t>
            </w:r>
          </w:p>
        </w:tc>
        <w:tc>
          <w:tcPr>
            <w:tcW w:w="3800" w:type="pct"/>
          </w:tcPr>
          <w:p w14:paraId="5E789CDE" w14:textId="24621DCB" w:rsidR="00813030" w:rsidRPr="001417DC" w:rsidRDefault="00813030" w:rsidP="00813030">
            <w:pPr>
              <w:cnfStyle w:val="000000000000" w:firstRow="0" w:lastRow="0" w:firstColumn="0" w:lastColumn="0" w:oddVBand="0" w:evenVBand="0" w:oddHBand="0" w:evenHBand="0" w:firstRowFirstColumn="0" w:firstRowLastColumn="0" w:lastRowFirstColumn="0" w:lastRowLastColumn="0"/>
              <w:rPr>
                <w:szCs w:val="22"/>
              </w:rPr>
            </w:pPr>
            <w:r>
              <w:rPr>
                <w:szCs w:val="22"/>
              </w:rPr>
              <w:t>I</w:t>
            </w:r>
            <w:r w:rsidRPr="005B0694">
              <w:rPr>
                <w:szCs w:val="22"/>
              </w:rPr>
              <w:t xml:space="preserve">ntravitreal </w:t>
            </w:r>
          </w:p>
        </w:tc>
      </w:tr>
      <w:tr w:rsidR="009A0B5C" w:rsidRPr="00D01DDB" w14:paraId="6D875D5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F87F66F" w14:textId="61B78C70" w:rsidR="009A0B5C" w:rsidRDefault="009A0B5C" w:rsidP="00813030">
            <w:pPr>
              <w:rPr>
                <w:szCs w:val="22"/>
                <w:lang w:val="en-GB"/>
              </w:rPr>
            </w:pPr>
            <w:r>
              <w:rPr>
                <w:szCs w:val="22"/>
                <w:lang w:val="en-GB"/>
              </w:rPr>
              <w:t>LISY</w:t>
            </w:r>
          </w:p>
        </w:tc>
        <w:tc>
          <w:tcPr>
            <w:tcW w:w="3800" w:type="pct"/>
          </w:tcPr>
          <w:p w14:paraId="6E05BF43" w14:textId="66190459" w:rsidR="009A0B5C" w:rsidRDefault="009A0B5C" w:rsidP="009A0B5C">
            <w:pPr>
              <w:ind w:left="0"/>
              <w:cnfStyle w:val="000000000000" w:firstRow="0" w:lastRow="0" w:firstColumn="0" w:lastColumn="0" w:oddVBand="0" w:evenVBand="0" w:oddHBand="0" w:evenHBand="0" w:firstRowFirstColumn="0" w:firstRowLastColumn="0" w:lastRowFirstColumn="0" w:lastRowLastColumn="0"/>
              <w:rPr>
                <w:szCs w:val="22"/>
              </w:rPr>
            </w:pPr>
            <w:r>
              <w:rPr>
                <w:szCs w:val="22"/>
              </w:rPr>
              <w:t xml:space="preserve">  </w:t>
            </w:r>
            <w:r w:rsidRPr="009A0B5C">
              <w:rPr>
                <w:szCs w:val="22"/>
              </w:rPr>
              <w:t xml:space="preserve">Liquid in (prefilled) syringe </w:t>
            </w:r>
            <w:r>
              <w:rPr>
                <w:szCs w:val="22"/>
              </w:rPr>
              <w:t>(</w:t>
            </w:r>
            <w:r w:rsidRPr="009A0B5C">
              <w:rPr>
                <w:szCs w:val="22"/>
              </w:rPr>
              <w:t>Study 304</w:t>
            </w:r>
            <w:r>
              <w:rPr>
                <w:szCs w:val="22"/>
              </w:rPr>
              <w:t>)</w:t>
            </w:r>
            <w:r w:rsidRPr="009A0B5C">
              <w:rPr>
                <w:szCs w:val="22"/>
              </w:rPr>
              <w:t xml:space="preserve">. </w:t>
            </w:r>
          </w:p>
        </w:tc>
      </w:tr>
      <w:tr w:rsidR="00050012" w:rsidRPr="00D01DDB" w14:paraId="3826661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2906A8B" w14:textId="3AEC23DA" w:rsidR="00050012" w:rsidRDefault="00050012" w:rsidP="00813030">
            <w:pPr>
              <w:rPr>
                <w:szCs w:val="22"/>
                <w:lang w:val="en-GB"/>
              </w:rPr>
            </w:pPr>
            <w:r>
              <w:rPr>
                <w:szCs w:val="22"/>
                <w:lang w:val="en-GB"/>
              </w:rPr>
              <w:t>LIVI</w:t>
            </w:r>
          </w:p>
        </w:tc>
        <w:tc>
          <w:tcPr>
            <w:tcW w:w="3800" w:type="pct"/>
          </w:tcPr>
          <w:p w14:paraId="49540A92" w14:textId="31ACA58B" w:rsidR="00050012" w:rsidRDefault="00050012" w:rsidP="00813030">
            <w:pPr>
              <w:cnfStyle w:val="000000000000" w:firstRow="0" w:lastRow="0" w:firstColumn="0" w:lastColumn="0" w:oddVBand="0" w:evenVBand="0" w:oddHBand="0" w:evenHBand="0" w:firstRowFirstColumn="0" w:firstRowLastColumn="0" w:lastRowFirstColumn="0" w:lastRowLastColumn="0"/>
              <w:rPr>
                <w:szCs w:val="22"/>
              </w:rPr>
            </w:pPr>
            <w:r>
              <w:rPr>
                <w:szCs w:val="22"/>
              </w:rPr>
              <w:t>L</w:t>
            </w:r>
            <w:r w:rsidRPr="00050012">
              <w:rPr>
                <w:szCs w:val="22"/>
              </w:rPr>
              <w:t>iquid-in-</w:t>
            </w:r>
            <w:r>
              <w:rPr>
                <w:szCs w:val="22"/>
              </w:rPr>
              <w:t xml:space="preserve"> a (single use) </w:t>
            </w:r>
            <w:r w:rsidRPr="00050012">
              <w:rPr>
                <w:szCs w:val="22"/>
              </w:rPr>
              <w:t>vial </w:t>
            </w:r>
            <w:r>
              <w:rPr>
                <w:szCs w:val="22"/>
              </w:rPr>
              <w:t>(Study 301)</w:t>
            </w:r>
          </w:p>
        </w:tc>
      </w:tr>
      <w:tr w:rsidR="00050012" w:rsidRPr="00D01DDB" w14:paraId="43F5D04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99D2EC4" w14:textId="21CD7065" w:rsidR="00050012" w:rsidRDefault="00050012" w:rsidP="00813030">
            <w:pPr>
              <w:rPr>
                <w:szCs w:val="22"/>
                <w:lang w:val="en-GB"/>
              </w:rPr>
            </w:pPr>
            <w:r>
              <w:rPr>
                <w:szCs w:val="22"/>
                <w:lang w:val="en-GB"/>
              </w:rPr>
              <w:t>LIVI Kit</w:t>
            </w:r>
          </w:p>
        </w:tc>
        <w:tc>
          <w:tcPr>
            <w:tcW w:w="3800" w:type="pct"/>
          </w:tcPr>
          <w:p w14:paraId="0E17D93E" w14:textId="3857EB5F" w:rsidR="00050012" w:rsidRDefault="00050012" w:rsidP="00050012">
            <w:pPr>
              <w:ind w:left="0"/>
              <w:cnfStyle w:val="000000000000" w:firstRow="0" w:lastRow="0" w:firstColumn="0" w:lastColumn="0" w:oddVBand="0" w:evenVBand="0" w:oddHBand="0" w:evenHBand="0" w:firstRowFirstColumn="0" w:firstRowLastColumn="0" w:lastRowFirstColumn="0" w:lastRowLastColumn="0"/>
              <w:rPr>
                <w:szCs w:val="22"/>
              </w:rPr>
            </w:pPr>
            <w:r>
              <w:rPr>
                <w:szCs w:val="22"/>
              </w:rPr>
              <w:t xml:space="preserve">  One</w:t>
            </w:r>
            <w:r w:rsidRPr="00050012">
              <w:rPr>
                <w:szCs w:val="22"/>
              </w:rPr>
              <w:t xml:space="preserve"> single-use vial, filter needle, injection needle, syringe</w:t>
            </w:r>
            <w:r>
              <w:rPr>
                <w:szCs w:val="22"/>
              </w:rPr>
              <w:t xml:space="preserve"> (</w:t>
            </w:r>
            <w:r w:rsidRPr="00050012">
              <w:rPr>
                <w:szCs w:val="22"/>
              </w:rPr>
              <w:t>Study 303</w:t>
            </w:r>
            <w:r>
              <w:rPr>
                <w:szCs w:val="22"/>
              </w:rPr>
              <w:t>)</w:t>
            </w:r>
          </w:p>
        </w:tc>
      </w:tr>
      <w:tr w:rsidR="00813030" w:rsidRPr="00D01DDB" w14:paraId="1AA9627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2CC4049" w14:textId="70CB2456" w:rsidR="00813030" w:rsidRPr="00D01DDB" w:rsidRDefault="00813030" w:rsidP="00813030">
            <w:pPr>
              <w:rPr>
                <w:szCs w:val="22"/>
              </w:rPr>
            </w:pPr>
            <w:r>
              <w:rPr>
                <w:szCs w:val="22"/>
              </w:rPr>
              <w:t>Myopic CNV</w:t>
            </w:r>
          </w:p>
        </w:tc>
        <w:tc>
          <w:tcPr>
            <w:tcW w:w="3800" w:type="pct"/>
          </w:tcPr>
          <w:p w14:paraId="50CB19CB" w14:textId="50C1FF87" w:rsidR="00813030" w:rsidRPr="00D01DDB" w:rsidRDefault="00813030" w:rsidP="00813030">
            <w:pPr>
              <w:cnfStyle w:val="000000000000" w:firstRow="0" w:lastRow="0" w:firstColumn="0" w:lastColumn="0" w:oddVBand="0" w:evenVBand="0" w:oddHBand="0" w:evenHBand="0" w:firstRowFirstColumn="0" w:firstRowLastColumn="0" w:lastRowFirstColumn="0" w:lastRowLastColumn="0"/>
              <w:rPr>
                <w:szCs w:val="22"/>
              </w:rPr>
            </w:pPr>
            <w:r>
              <w:t>M</w:t>
            </w:r>
            <w:r w:rsidRPr="00B4045B">
              <w:t xml:space="preserve">yopic choroidal neovascularisation </w:t>
            </w:r>
          </w:p>
        </w:tc>
      </w:tr>
      <w:tr w:rsidR="00813030" w:rsidRPr="00D01DDB" w14:paraId="20C0368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5F1717D" w14:textId="28C13ACD" w:rsidR="00813030" w:rsidRDefault="00813030" w:rsidP="00813030">
            <w:pPr>
              <w:rPr>
                <w:szCs w:val="22"/>
              </w:rPr>
            </w:pPr>
            <w:proofErr w:type="spellStart"/>
            <w:r>
              <w:rPr>
                <w:szCs w:val="22"/>
              </w:rPr>
              <w:lastRenderedPageBreak/>
              <w:t>nAb</w:t>
            </w:r>
            <w:proofErr w:type="spellEnd"/>
          </w:p>
        </w:tc>
        <w:tc>
          <w:tcPr>
            <w:tcW w:w="3800" w:type="pct"/>
          </w:tcPr>
          <w:p w14:paraId="5A9BA971" w14:textId="392BDAA9" w:rsidR="00813030" w:rsidRDefault="00813030" w:rsidP="00813030">
            <w:pPr>
              <w:cnfStyle w:val="000000000000" w:firstRow="0" w:lastRow="0" w:firstColumn="0" w:lastColumn="0" w:oddVBand="0" w:evenVBand="0" w:oddHBand="0" w:evenHBand="0" w:firstRowFirstColumn="0" w:firstRowLastColumn="0" w:lastRowFirstColumn="0" w:lastRowLastColumn="0"/>
            </w:pPr>
            <w:r w:rsidRPr="00813030">
              <w:t>Neutralising antibody</w:t>
            </w:r>
          </w:p>
        </w:tc>
      </w:tr>
      <w:tr w:rsidR="00813030" w:rsidRPr="00D01DDB" w14:paraId="38BD86D3" w14:textId="77777777" w:rsidTr="00D0710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3E0CB22C" w14:textId="5AAC4B65" w:rsidR="00813030" w:rsidRDefault="00813030" w:rsidP="00813030">
            <w:pPr>
              <w:rPr>
                <w:szCs w:val="22"/>
              </w:rPr>
            </w:pPr>
            <w:proofErr w:type="spellStart"/>
            <w:r>
              <w:t>nAMD</w:t>
            </w:r>
            <w:proofErr w:type="spellEnd"/>
          </w:p>
        </w:tc>
        <w:tc>
          <w:tcPr>
            <w:tcW w:w="3800" w:type="pct"/>
            <w:shd w:val="clear" w:color="auto" w:fill="auto"/>
          </w:tcPr>
          <w:p w14:paraId="081C177B" w14:textId="1ED541C0" w:rsidR="00813030" w:rsidRDefault="00813030" w:rsidP="00813030">
            <w:pPr>
              <w:cnfStyle w:val="000000000000" w:firstRow="0" w:lastRow="0" w:firstColumn="0" w:lastColumn="0" w:oddVBand="0" w:evenVBand="0" w:oddHBand="0" w:evenHBand="0" w:firstRowFirstColumn="0" w:firstRowLastColumn="0" w:lastRowFirstColumn="0" w:lastRowLastColumn="0"/>
            </w:pPr>
            <w:r>
              <w:t>Neovascular (wet) age-related macular degeneration</w:t>
            </w:r>
          </w:p>
        </w:tc>
      </w:tr>
      <w:tr w:rsidR="00813030" w:rsidRPr="00D01DDB" w14:paraId="06CB384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409FACC" w14:textId="73A4C396" w:rsidR="00813030" w:rsidRPr="00D01DDB" w:rsidRDefault="00813030" w:rsidP="00813030">
            <w:pPr>
              <w:rPr>
                <w:szCs w:val="22"/>
              </w:rPr>
            </w:pPr>
            <w:r>
              <w:rPr>
                <w:szCs w:val="22"/>
              </w:rPr>
              <w:t>NPDR</w:t>
            </w:r>
          </w:p>
        </w:tc>
        <w:tc>
          <w:tcPr>
            <w:tcW w:w="3800" w:type="pct"/>
          </w:tcPr>
          <w:p w14:paraId="5DE72033" w14:textId="60A0F264" w:rsidR="00813030" w:rsidRPr="00D01DDB" w:rsidRDefault="00813030" w:rsidP="00813030">
            <w:pPr>
              <w:cnfStyle w:val="000000000000" w:firstRow="0" w:lastRow="0" w:firstColumn="0" w:lastColumn="0" w:oddVBand="0" w:evenVBand="0" w:oddHBand="0" w:evenHBand="0" w:firstRowFirstColumn="0" w:firstRowLastColumn="0" w:lastRowFirstColumn="0" w:lastRowLastColumn="0"/>
              <w:rPr>
                <w:szCs w:val="22"/>
              </w:rPr>
            </w:pPr>
            <w:r>
              <w:rPr>
                <w:szCs w:val="22"/>
              </w:rPr>
              <w:t>N</w:t>
            </w:r>
            <w:r w:rsidRPr="001C7272">
              <w:rPr>
                <w:szCs w:val="22"/>
              </w:rPr>
              <w:t xml:space="preserve">on-proliferative diabetic retinopathy </w:t>
            </w:r>
          </w:p>
        </w:tc>
      </w:tr>
      <w:tr w:rsidR="00813030" w:rsidRPr="00D01DDB" w14:paraId="5EC9A4F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E3A566A" w14:textId="3821061B" w:rsidR="00813030" w:rsidRDefault="00813030" w:rsidP="00813030">
            <w:pPr>
              <w:rPr>
                <w:szCs w:val="22"/>
              </w:rPr>
            </w:pPr>
            <w:r>
              <w:rPr>
                <w:szCs w:val="22"/>
              </w:rPr>
              <w:t>PD</w:t>
            </w:r>
          </w:p>
        </w:tc>
        <w:tc>
          <w:tcPr>
            <w:tcW w:w="3800" w:type="pct"/>
          </w:tcPr>
          <w:p w14:paraId="2F11F3FB" w14:textId="5C66BE39" w:rsidR="00813030" w:rsidRDefault="00813030" w:rsidP="00813030">
            <w:pPr>
              <w:cnfStyle w:val="000000000000" w:firstRow="0" w:lastRow="0" w:firstColumn="0" w:lastColumn="0" w:oddVBand="0" w:evenVBand="0" w:oddHBand="0" w:evenHBand="0" w:firstRowFirstColumn="0" w:firstRowLastColumn="0" w:lastRowFirstColumn="0" w:lastRowLastColumn="0"/>
              <w:rPr>
                <w:szCs w:val="22"/>
              </w:rPr>
            </w:pPr>
            <w:r w:rsidRPr="00EA273B">
              <w:rPr>
                <w:szCs w:val="22"/>
              </w:rPr>
              <w:t>Pharmacodynamics</w:t>
            </w:r>
          </w:p>
        </w:tc>
      </w:tr>
      <w:tr w:rsidR="00813030" w:rsidRPr="00D01DDB" w14:paraId="40708A3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112AA3C" w14:textId="1212CF59" w:rsidR="00813030" w:rsidRPr="00D01DDB" w:rsidRDefault="00813030" w:rsidP="00813030">
            <w:pPr>
              <w:rPr>
                <w:szCs w:val="22"/>
              </w:rPr>
            </w:pPr>
            <w:r>
              <w:rPr>
                <w:szCs w:val="22"/>
              </w:rPr>
              <w:t>PDR</w:t>
            </w:r>
          </w:p>
        </w:tc>
        <w:tc>
          <w:tcPr>
            <w:tcW w:w="3800" w:type="pct"/>
          </w:tcPr>
          <w:p w14:paraId="64197A2A" w14:textId="309BAE62" w:rsidR="00813030" w:rsidRPr="00D01DDB" w:rsidRDefault="00813030" w:rsidP="00813030">
            <w:pPr>
              <w:cnfStyle w:val="000000000000" w:firstRow="0" w:lastRow="0" w:firstColumn="0" w:lastColumn="0" w:oddVBand="0" w:evenVBand="0" w:oddHBand="0" w:evenHBand="0" w:firstRowFirstColumn="0" w:firstRowLastColumn="0" w:lastRowFirstColumn="0" w:lastRowLastColumn="0"/>
              <w:rPr>
                <w:szCs w:val="22"/>
              </w:rPr>
            </w:pPr>
            <w:r>
              <w:rPr>
                <w:szCs w:val="22"/>
              </w:rPr>
              <w:t>P</w:t>
            </w:r>
            <w:r w:rsidRPr="001C7272">
              <w:rPr>
                <w:szCs w:val="22"/>
              </w:rPr>
              <w:t xml:space="preserve">roliferative diabetic retinopathy </w:t>
            </w:r>
          </w:p>
        </w:tc>
      </w:tr>
      <w:tr w:rsidR="00813030" w:rsidRPr="00D01DDB" w14:paraId="34EB3ED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47369D9" w14:textId="020082CD" w:rsidR="00813030" w:rsidRDefault="00813030" w:rsidP="00813030">
            <w:pPr>
              <w:rPr>
                <w:szCs w:val="22"/>
              </w:rPr>
            </w:pPr>
            <w:r>
              <w:rPr>
                <w:szCs w:val="22"/>
              </w:rPr>
              <w:t>PFS</w:t>
            </w:r>
          </w:p>
        </w:tc>
        <w:tc>
          <w:tcPr>
            <w:tcW w:w="3800" w:type="pct"/>
          </w:tcPr>
          <w:p w14:paraId="0AB09FB3" w14:textId="5A66C19E" w:rsidR="00813030" w:rsidRDefault="00813030" w:rsidP="00813030">
            <w:pPr>
              <w:cnfStyle w:val="000000000000" w:firstRow="0" w:lastRow="0" w:firstColumn="0" w:lastColumn="0" w:oddVBand="0" w:evenVBand="0" w:oddHBand="0" w:evenHBand="0" w:firstRowFirstColumn="0" w:firstRowLastColumn="0" w:lastRowFirstColumn="0" w:lastRowLastColumn="0"/>
              <w:rPr>
                <w:szCs w:val="22"/>
              </w:rPr>
            </w:pPr>
            <w:r>
              <w:rPr>
                <w:szCs w:val="22"/>
              </w:rPr>
              <w:t>P</w:t>
            </w:r>
            <w:r w:rsidRPr="005B0694">
              <w:rPr>
                <w:szCs w:val="22"/>
              </w:rPr>
              <w:t>re-filled syringe</w:t>
            </w:r>
          </w:p>
        </w:tc>
      </w:tr>
      <w:tr w:rsidR="00813030" w:rsidRPr="00D01DDB" w14:paraId="2756B6F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2AA960E" w14:textId="72403C37" w:rsidR="00813030" w:rsidRPr="00D01DDB" w:rsidRDefault="00813030" w:rsidP="00813030">
            <w:pPr>
              <w:rPr>
                <w:szCs w:val="22"/>
              </w:rPr>
            </w:pPr>
            <w:r w:rsidRPr="00D01DDB">
              <w:rPr>
                <w:szCs w:val="22"/>
              </w:rPr>
              <w:t>PI</w:t>
            </w:r>
          </w:p>
        </w:tc>
        <w:tc>
          <w:tcPr>
            <w:tcW w:w="3800" w:type="pct"/>
          </w:tcPr>
          <w:p w14:paraId="354B5DB5" w14:textId="3DAE38C1" w:rsidR="00813030" w:rsidRPr="00D01DDB" w:rsidRDefault="00813030" w:rsidP="00813030">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Product Information</w:t>
            </w:r>
          </w:p>
        </w:tc>
      </w:tr>
      <w:tr w:rsidR="00813030" w:rsidRPr="00D01DDB" w14:paraId="3528C55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53EA7EB" w14:textId="21BC9E01" w:rsidR="00813030" w:rsidRPr="00D01DDB" w:rsidRDefault="00813030" w:rsidP="00813030">
            <w:pPr>
              <w:rPr>
                <w:szCs w:val="22"/>
              </w:rPr>
            </w:pPr>
            <w:r>
              <w:rPr>
                <w:szCs w:val="22"/>
              </w:rPr>
              <w:t>PIGF</w:t>
            </w:r>
          </w:p>
        </w:tc>
        <w:tc>
          <w:tcPr>
            <w:tcW w:w="3800" w:type="pct"/>
          </w:tcPr>
          <w:p w14:paraId="6FBCB2EB" w14:textId="5888AEEF" w:rsidR="00813030" w:rsidRPr="00D01DDB" w:rsidRDefault="00813030" w:rsidP="00813030">
            <w:pPr>
              <w:cnfStyle w:val="000000000000" w:firstRow="0" w:lastRow="0" w:firstColumn="0" w:lastColumn="0" w:oddVBand="0" w:evenVBand="0" w:oddHBand="0" w:evenHBand="0" w:firstRowFirstColumn="0" w:firstRowLastColumn="0" w:lastRowFirstColumn="0" w:lastRowLastColumn="0"/>
              <w:rPr>
                <w:szCs w:val="22"/>
              </w:rPr>
            </w:pPr>
            <w:r>
              <w:rPr>
                <w:szCs w:val="22"/>
                <w:lang w:val="en-GB"/>
              </w:rPr>
              <w:t>P</w:t>
            </w:r>
            <w:r w:rsidRPr="00FB3727">
              <w:rPr>
                <w:szCs w:val="22"/>
                <w:lang w:val="en-GB"/>
              </w:rPr>
              <w:t>lacental growth factor</w:t>
            </w:r>
          </w:p>
        </w:tc>
      </w:tr>
      <w:tr w:rsidR="00813030" w:rsidRPr="00D01DDB" w14:paraId="0CD8C1B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530633A" w14:textId="023A908F" w:rsidR="00813030" w:rsidRDefault="00813030" w:rsidP="00813030">
            <w:pPr>
              <w:rPr>
                <w:szCs w:val="22"/>
              </w:rPr>
            </w:pPr>
            <w:r>
              <w:rPr>
                <w:szCs w:val="22"/>
              </w:rPr>
              <w:t>PK</w:t>
            </w:r>
          </w:p>
        </w:tc>
        <w:tc>
          <w:tcPr>
            <w:tcW w:w="3800" w:type="pct"/>
          </w:tcPr>
          <w:p w14:paraId="6C5B7D09" w14:textId="39590511" w:rsidR="00813030" w:rsidRDefault="00813030" w:rsidP="00813030">
            <w:pPr>
              <w:cnfStyle w:val="000000000000" w:firstRow="0" w:lastRow="0" w:firstColumn="0" w:lastColumn="0" w:oddVBand="0" w:evenVBand="0" w:oddHBand="0" w:evenHBand="0" w:firstRowFirstColumn="0" w:firstRowLastColumn="0" w:lastRowFirstColumn="0" w:lastRowLastColumn="0"/>
              <w:rPr>
                <w:szCs w:val="22"/>
                <w:lang w:val="en-GB"/>
              </w:rPr>
            </w:pPr>
            <w:r w:rsidRPr="00EA273B">
              <w:rPr>
                <w:iCs/>
                <w:szCs w:val="22"/>
              </w:rPr>
              <w:t xml:space="preserve">Pharmacokinetics </w:t>
            </w:r>
          </w:p>
        </w:tc>
      </w:tr>
      <w:tr w:rsidR="00813030" w:rsidRPr="00D01DDB" w14:paraId="226CF3A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067C929" w14:textId="00135179" w:rsidR="00813030" w:rsidRPr="00D01DDB" w:rsidRDefault="00813030" w:rsidP="00813030">
            <w:pPr>
              <w:rPr>
                <w:szCs w:val="22"/>
              </w:rPr>
            </w:pPr>
            <w:r>
              <w:rPr>
                <w:szCs w:val="22"/>
              </w:rPr>
              <w:t>PM</w:t>
            </w:r>
          </w:p>
        </w:tc>
        <w:tc>
          <w:tcPr>
            <w:tcW w:w="3800" w:type="pct"/>
          </w:tcPr>
          <w:p w14:paraId="289CCCE3" w14:textId="5B420F27" w:rsidR="00813030" w:rsidRPr="00D01DDB" w:rsidRDefault="00813030" w:rsidP="00813030">
            <w:pPr>
              <w:cnfStyle w:val="000000000000" w:firstRow="0" w:lastRow="0" w:firstColumn="0" w:lastColumn="0" w:oddVBand="0" w:evenVBand="0" w:oddHBand="0" w:evenHBand="0" w:firstRowFirstColumn="0" w:firstRowLastColumn="0" w:lastRowFirstColumn="0" w:lastRowLastColumn="0"/>
              <w:rPr>
                <w:szCs w:val="22"/>
              </w:rPr>
            </w:pPr>
            <w:r w:rsidRPr="007E2CFA">
              <w:rPr>
                <w:szCs w:val="22"/>
              </w:rPr>
              <w:t>Pathologic myopia</w:t>
            </w:r>
          </w:p>
        </w:tc>
      </w:tr>
      <w:tr w:rsidR="00813030" w:rsidRPr="00D01DDB" w14:paraId="3D3C703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6FC5D65" w14:textId="2915A0B8" w:rsidR="00813030" w:rsidRPr="00D01DDB" w:rsidRDefault="00813030" w:rsidP="00813030">
            <w:pPr>
              <w:rPr>
                <w:szCs w:val="22"/>
              </w:rPr>
            </w:pPr>
            <w:r w:rsidRPr="00D01DDB">
              <w:rPr>
                <w:szCs w:val="22"/>
              </w:rPr>
              <w:t>PSUR</w:t>
            </w:r>
          </w:p>
        </w:tc>
        <w:tc>
          <w:tcPr>
            <w:tcW w:w="3800" w:type="pct"/>
          </w:tcPr>
          <w:p w14:paraId="4A97D112" w14:textId="3DC38D82" w:rsidR="00813030" w:rsidRPr="00D01DDB" w:rsidRDefault="00813030" w:rsidP="00813030">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Periodic safety update report</w:t>
            </w:r>
          </w:p>
        </w:tc>
      </w:tr>
      <w:tr w:rsidR="00813030" w:rsidRPr="00D01DDB" w14:paraId="07F3695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390BCA" w14:textId="201D691B" w:rsidR="00813030" w:rsidRPr="00D01DDB" w:rsidRDefault="00813030" w:rsidP="00813030">
            <w:pPr>
              <w:rPr>
                <w:szCs w:val="22"/>
              </w:rPr>
            </w:pPr>
            <w:r w:rsidRPr="00D01DDB">
              <w:rPr>
                <w:szCs w:val="22"/>
              </w:rPr>
              <w:t>RMP</w:t>
            </w:r>
          </w:p>
        </w:tc>
        <w:tc>
          <w:tcPr>
            <w:tcW w:w="3800" w:type="pct"/>
          </w:tcPr>
          <w:p w14:paraId="2C862F75" w14:textId="2355E842" w:rsidR="00813030" w:rsidRPr="00D01DDB" w:rsidRDefault="00813030" w:rsidP="00813030">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Risk management plan</w:t>
            </w:r>
          </w:p>
        </w:tc>
      </w:tr>
      <w:tr w:rsidR="00813030" w:rsidRPr="00D01DDB" w14:paraId="440278C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E0231DB" w14:textId="4B79AFC1" w:rsidR="00813030" w:rsidRPr="00D01DDB" w:rsidRDefault="00813030" w:rsidP="00813030">
            <w:pPr>
              <w:rPr>
                <w:szCs w:val="22"/>
              </w:rPr>
            </w:pPr>
            <w:r>
              <w:rPr>
                <w:szCs w:val="22"/>
              </w:rPr>
              <w:t>RPE</w:t>
            </w:r>
          </w:p>
        </w:tc>
        <w:tc>
          <w:tcPr>
            <w:tcW w:w="3800" w:type="pct"/>
          </w:tcPr>
          <w:p w14:paraId="153F99F8" w14:textId="56819880" w:rsidR="00813030" w:rsidRPr="00D01DDB" w:rsidRDefault="00813030" w:rsidP="00813030">
            <w:pPr>
              <w:cnfStyle w:val="000000000000" w:firstRow="0" w:lastRow="0" w:firstColumn="0" w:lastColumn="0" w:oddVBand="0" w:evenVBand="0" w:oddHBand="0" w:evenHBand="0" w:firstRowFirstColumn="0" w:firstRowLastColumn="0" w:lastRowFirstColumn="0" w:lastRowLastColumn="0"/>
              <w:rPr>
                <w:szCs w:val="22"/>
              </w:rPr>
            </w:pPr>
            <w:r>
              <w:rPr>
                <w:szCs w:val="22"/>
              </w:rPr>
              <w:t>R</w:t>
            </w:r>
            <w:r w:rsidRPr="001E02D4">
              <w:rPr>
                <w:szCs w:val="22"/>
              </w:rPr>
              <w:t>etinal pigment epithelium</w:t>
            </w:r>
          </w:p>
        </w:tc>
      </w:tr>
      <w:tr w:rsidR="00813030" w:rsidRPr="00D01DDB" w14:paraId="72DAB1C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EED5828" w14:textId="5EA3FA6D" w:rsidR="00813030" w:rsidRDefault="00813030" w:rsidP="00813030">
            <w:pPr>
              <w:rPr>
                <w:szCs w:val="22"/>
              </w:rPr>
            </w:pPr>
            <w:r w:rsidRPr="00D35491">
              <w:rPr>
                <w:szCs w:val="22"/>
              </w:rPr>
              <w:t>RVO</w:t>
            </w:r>
          </w:p>
        </w:tc>
        <w:tc>
          <w:tcPr>
            <w:tcW w:w="3800" w:type="pct"/>
          </w:tcPr>
          <w:p w14:paraId="625BB279" w14:textId="2CF39BC0" w:rsidR="00813030" w:rsidRDefault="00813030" w:rsidP="00813030">
            <w:pPr>
              <w:cnfStyle w:val="000000000000" w:firstRow="0" w:lastRow="0" w:firstColumn="0" w:lastColumn="0" w:oddVBand="0" w:evenVBand="0" w:oddHBand="0" w:evenHBand="0" w:firstRowFirstColumn="0" w:firstRowLastColumn="0" w:lastRowFirstColumn="0" w:lastRowLastColumn="0"/>
              <w:rPr>
                <w:szCs w:val="22"/>
              </w:rPr>
            </w:pPr>
            <w:r w:rsidRPr="00D35491">
              <w:rPr>
                <w:szCs w:val="22"/>
              </w:rPr>
              <w:t xml:space="preserve">Retinal vein occlusion </w:t>
            </w:r>
          </w:p>
        </w:tc>
      </w:tr>
      <w:tr w:rsidR="00813030" w:rsidRPr="00D01DDB" w14:paraId="2B07E7D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33D7CF8" w14:textId="166999D8" w:rsidR="00813030" w:rsidRPr="00D35491" w:rsidRDefault="00813030" w:rsidP="00813030">
            <w:pPr>
              <w:rPr>
                <w:szCs w:val="22"/>
              </w:rPr>
            </w:pPr>
            <w:r>
              <w:rPr>
                <w:szCs w:val="22"/>
              </w:rPr>
              <w:t>SAE</w:t>
            </w:r>
          </w:p>
        </w:tc>
        <w:tc>
          <w:tcPr>
            <w:tcW w:w="3800" w:type="pct"/>
          </w:tcPr>
          <w:p w14:paraId="78F0054A" w14:textId="0DD7FB4F" w:rsidR="00813030" w:rsidRPr="00D35491" w:rsidRDefault="00813030" w:rsidP="00813030">
            <w:pPr>
              <w:cnfStyle w:val="000000000000" w:firstRow="0" w:lastRow="0" w:firstColumn="0" w:lastColumn="0" w:oddVBand="0" w:evenVBand="0" w:oddHBand="0" w:evenHBand="0" w:firstRowFirstColumn="0" w:firstRowLastColumn="0" w:lastRowFirstColumn="0" w:lastRowLastColumn="0"/>
              <w:rPr>
                <w:szCs w:val="22"/>
              </w:rPr>
            </w:pPr>
            <w:r>
              <w:rPr>
                <w:szCs w:val="22"/>
              </w:rPr>
              <w:t>S</w:t>
            </w:r>
            <w:r w:rsidRPr="00A27869">
              <w:rPr>
                <w:szCs w:val="22"/>
              </w:rPr>
              <w:t>erious adverse event</w:t>
            </w:r>
          </w:p>
        </w:tc>
      </w:tr>
      <w:tr w:rsidR="00813030" w:rsidRPr="00D01DDB" w14:paraId="287206F8" w14:textId="77777777" w:rsidTr="00D0710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72A583AC" w14:textId="3339AE7E" w:rsidR="00813030" w:rsidRPr="00D35491" w:rsidRDefault="00813030" w:rsidP="00813030">
            <w:pPr>
              <w:rPr>
                <w:szCs w:val="22"/>
              </w:rPr>
            </w:pPr>
            <w:r>
              <w:t>SD</w:t>
            </w:r>
          </w:p>
        </w:tc>
        <w:tc>
          <w:tcPr>
            <w:tcW w:w="3800" w:type="pct"/>
            <w:shd w:val="clear" w:color="auto" w:fill="auto"/>
          </w:tcPr>
          <w:p w14:paraId="52B943FC" w14:textId="46E7D43E" w:rsidR="00813030" w:rsidRPr="00D35491" w:rsidRDefault="00813030" w:rsidP="00813030">
            <w:pPr>
              <w:cnfStyle w:val="000000000000" w:firstRow="0" w:lastRow="0" w:firstColumn="0" w:lastColumn="0" w:oddVBand="0" w:evenVBand="0" w:oddHBand="0" w:evenHBand="0" w:firstRowFirstColumn="0" w:firstRowLastColumn="0" w:lastRowFirstColumn="0" w:lastRowLastColumn="0"/>
              <w:rPr>
                <w:szCs w:val="22"/>
              </w:rPr>
            </w:pPr>
            <w:r>
              <w:t>Standard deviation</w:t>
            </w:r>
          </w:p>
        </w:tc>
      </w:tr>
      <w:tr w:rsidR="00813030" w:rsidRPr="00D01DDB" w14:paraId="0BCE6BAF" w14:textId="77777777" w:rsidTr="00D0710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62336DA9" w14:textId="6D0965F2" w:rsidR="00813030" w:rsidRPr="00D35491" w:rsidRDefault="00813030" w:rsidP="00813030">
            <w:pPr>
              <w:rPr>
                <w:szCs w:val="22"/>
              </w:rPr>
            </w:pPr>
            <w:r>
              <w:t xml:space="preserve">SOK583/ </w:t>
            </w:r>
            <w:r w:rsidRPr="005A4903">
              <w:rPr>
                <w:lang w:eastAsia="ja-JP"/>
              </w:rPr>
              <w:t>SOK583A1</w:t>
            </w:r>
          </w:p>
        </w:tc>
        <w:tc>
          <w:tcPr>
            <w:tcW w:w="3800" w:type="pct"/>
            <w:shd w:val="clear" w:color="auto" w:fill="auto"/>
          </w:tcPr>
          <w:p w14:paraId="6A02E314" w14:textId="74A9E901" w:rsidR="00813030" w:rsidRPr="00D35491" w:rsidRDefault="00813030" w:rsidP="00813030">
            <w:pPr>
              <w:cnfStyle w:val="000000000000" w:firstRow="0" w:lastRow="0" w:firstColumn="0" w:lastColumn="0" w:oddVBand="0" w:evenVBand="0" w:oddHBand="0" w:evenHBand="0" w:firstRowFirstColumn="0" w:firstRowLastColumn="0" w:lastRowFirstColumn="0" w:lastRowLastColumn="0"/>
              <w:rPr>
                <w:szCs w:val="22"/>
              </w:rPr>
            </w:pPr>
            <w:r>
              <w:t>Afqlir/</w:t>
            </w:r>
            <w:r w:rsidRPr="00FB3727">
              <w:rPr>
                <w:rFonts w:eastAsiaTheme="minorHAnsi" w:cstheme="minorBidi"/>
                <w:color w:val="auto"/>
                <w:szCs w:val="22"/>
                <w:lang w:eastAsia="en-US"/>
              </w:rPr>
              <w:t xml:space="preserve"> </w:t>
            </w:r>
            <w:r w:rsidRPr="00FB3727">
              <w:t>Enzeevu</w:t>
            </w:r>
            <w:r>
              <w:t>; Sponsor’s proposed biosimilar to Eylea (aflibercept)</w:t>
            </w:r>
          </w:p>
        </w:tc>
      </w:tr>
      <w:tr w:rsidR="00813030" w:rsidRPr="00D01DDB" w14:paraId="1C64487E" w14:textId="77777777" w:rsidTr="00D0710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4563C412" w14:textId="18F07386" w:rsidR="00813030" w:rsidRDefault="00813030" w:rsidP="00813030">
            <w:r w:rsidRPr="004D6DD0">
              <w:t>TEAE</w:t>
            </w:r>
          </w:p>
        </w:tc>
        <w:tc>
          <w:tcPr>
            <w:tcW w:w="3800" w:type="pct"/>
            <w:shd w:val="clear" w:color="auto" w:fill="auto"/>
          </w:tcPr>
          <w:p w14:paraId="1F65B883" w14:textId="0A3BB878" w:rsidR="00813030" w:rsidRDefault="00813030" w:rsidP="00813030">
            <w:pPr>
              <w:cnfStyle w:val="000000000000" w:firstRow="0" w:lastRow="0" w:firstColumn="0" w:lastColumn="0" w:oddVBand="0" w:evenVBand="0" w:oddHBand="0" w:evenHBand="0" w:firstRowFirstColumn="0" w:firstRowLastColumn="0" w:lastRowFirstColumn="0" w:lastRowLastColumn="0"/>
            </w:pPr>
            <w:r w:rsidRPr="004D6DD0">
              <w:t>Treatment-emergent adverse event</w:t>
            </w:r>
          </w:p>
        </w:tc>
      </w:tr>
      <w:tr w:rsidR="00813030" w:rsidRPr="00D01DDB" w14:paraId="254AC9B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74FC2A0" w14:textId="41297C79" w:rsidR="00813030" w:rsidRPr="00D01DDB" w:rsidRDefault="00813030" w:rsidP="00813030">
            <w:pPr>
              <w:rPr>
                <w:szCs w:val="22"/>
              </w:rPr>
            </w:pPr>
            <w:r w:rsidRPr="00D01DDB">
              <w:rPr>
                <w:szCs w:val="22"/>
              </w:rPr>
              <w:t>TGA</w:t>
            </w:r>
          </w:p>
        </w:tc>
        <w:tc>
          <w:tcPr>
            <w:tcW w:w="3800" w:type="pct"/>
          </w:tcPr>
          <w:p w14:paraId="29EA6BA3" w14:textId="6F99059F" w:rsidR="00813030" w:rsidRPr="00D01DDB" w:rsidRDefault="00813030" w:rsidP="00813030">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Therapeutic Goods Administration</w:t>
            </w:r>
          </w:p>
        </w:tc>
      </w:tr>
      <w:tr w:rsidR="00813030" w:rsidRPr="00D01DDB" w14:paraId="00F1A0D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35E9A04" w14:textId="2DAB7A4B" w:rsidR="00813030" w:rsidRPr="00D01DDB" w:rsidRDefault="00813030" w:rsidP="00813030">
            <w:pPr>
              <w:rPr>
                <w:szCs w:val="22"/>
              </w:rPr>
            </w:pPr>
            <w:r>
              <w:rPr>
                <w:szCs w:val="22"/>
              </w:rPr>
              <w:t>VEGF</w:t>
            </w:r>
          </w:p>
        </w:tc>
        <w:tc>
          <w:tcPr>
            <w:tcW w:w="3800" w:type="pct"/>
          </w:tcPr>
          <w:p w14:paraId="4F4764C4" w14:textId="3F26DCA6" w:rsidR="00813030" w:rsidRPr="00D01DDB" w:rsidRDefault="00813030" w:rsidP="00813030">
            <w:pPr>
              <w:cnfStyle w:val="000000000000" w:firstRow="0" w:lastRow="0" w:firstColumn="0" w:lastColumn="0" w:oddVBand="0" w:evenVBand="0" w:oddHBand="0" w:evenHBand="0" w:firstRowFirstColumn="0" w:firstRowLastColumn="0" w:lastRowFirstColumn="0" w:lastRowLastColumn="0"/>
              <w:rPr>
                <w:szCs w:val="22"/>
              </w:rPr>
            </w:pPr>
            <w:r w:rsidRPr="00A41569">
              <w:rPr>
                <w:szCs w:val="22"/>
              </w:rPr>
              <w:t xml:space="preserve">Vascular endothelial-derived growth factor </w:t>
            </w:r>
          </w:p>
        </w:tc>
      </w:tr>
    </w:tbl>
    <w:p w14:paraId="7378F926" w14:textId="77777777" w:rsidR="00324B33" w:rsidRDefault="00324B33" w:rsidP="00324B33"/>
    <w:p w14:paraId="02FB1F38" w14:textId="77777777" w:rsidR="00324B33" w:rsidRPr="00FD119B" w:rsidRDefault="00324B33" w:rsidP="00324B33">
      <w:pPr>
        <w:spacing w:after="200" w:line="0" w:lineRule="auto"/>
        <w:rPr>
          <w:b/>
          <w:i/>
          <w:sz w:val="24"/>
          <w:szCs w:val="24"/>
        </w:rPr>
      </w:pPr>
      <w:r w:rsidRPr="00FD119B">
        <w:rPr>
          <w:b/>
          <w:i/>
          <w:sz w:val="24"/>
          <w:szCs w:val="24"/>
        </w:rPr>
        <w:br w:type="page"/>
      </w:r>
    </w:p>
    <w:p w14:paraId="44C2A39C" w14:textId="77777777" w:rsidR="00324B33" w:rsidRDefault="00324B33" w:rsidP="00324B33">
      <w:pPr>
        <w:pStyle w:val="Heading2"/>
      </w:pPr>
      <w:bookmarkStart w:id="7" w:name="_Toc103679288"/>
      <w:bookmarkStart w:id="8" w:name="_Toc210745487"/>
      <w:r>
        <w:lastRenderedPageBreak/>
        <w:t>Product submission</w:t>
      </w:r>
      <w:bookmarkEnd w:id="7"/>
      <w:bookmarkEnd w:id="8"/>
    </w:p>
    <w:p w14:paraId="21D559DF" w14:textId="77777777" w:rsidR="00324B33" w:rsidRDefault="00324B33" w:rsidP="00324B33">
      <w:pPr>
        <w:pStyle w:val="Heading3"/>
        <w:rPr>
          <w:lang w:eastAsia="en-AU"/>
        </w:rPr>
      </w:pPr>
      <w:bookmarkStart w:id="9" w:name="_Toc247691502"/>
      <w:bookmarkStart w:id="10" w:name="_Toc314842483"/>
      <w:bookmarkStart w:id="11" w:name="_Toc103679289"/>
      <w:bookmarkStart w:id="12" w:name="_Toc210745488"/>
      <w:r>
        <w:rPr>
          <w:lang w:eastAsia="en-AU"/>
        </w:rPr>
        <w:t>Submission details</w:t>
      </w:r>
      <w:bookmarkEnd w:id="9"/>
      <w:bookmarkEnd w:id="10"/>
      <w:bookmarkEnd w:id="11"/>
      <w:bookmarkEnd w:id="12"/>
    </w:p>
    <w:tbl>
      <w:tblPr>
        <w:tblW w:w="5000" w:type="pct"/>
        <w:tblLook w:val="01E0" w:firstRow="1" w:lastRow="1" w:firstColumn="1" w:lastColumn="1" w:noHBand="0" w:noVBand="0"/>
      </w:tblPr>
      <w:tblGrid>
        <w:gridCol w:w="2861"/>
        <w:gridCol w:w="6209"/>
      </w:tblGrid>
      <w:tr w:rsidR="00324B33" w:rsidRPr="00BD5DBD" w14:paraId="77D11C95" w14:textId="77777777" w:rsidTr="52659129">
        <w:tc>
          <w:tcPr>
            <w:tcW w:w="1577" w:type="pct"/>
          </w:tcPr>
          <w:p w14:paraId="10E57D62" w14:textId="31F9098A" w:rsidR="00324B33" w:rsidRPr="00BD5DBD" w:rsidRDefault="00324B33" w:rsidP="007452E8">
            <w:pPr>
              <w:rPr>
                <w:i/>
                <w:szCs w:val="22"/>
              </w:rPr>
            </w:pPr>
            <w:r w:rsidRPr="00BD5DBD">
              <w:rPr>
                <w:i/>
                <w:szCs w:val="22"/>
              </w:rPr>
              <w:t>Type of submission:</w:t>
            </w:r>
          </w:p>
        </w:tc>
        <w:tc>
          <w:tcPr>
            <w:tcW w:w="3423" w:type="pct"/>
          </w:tcPr>
          <w:p w14:paraId="4F07C303" w14:textId="00C95A69" w:rsidR="00324B33" w:rsidRPr="00BD5DBD" w:rsidRDefault="00324B33" w:rsidP="007452E8">
            <w:pPr>
              <w:rPr>
                <w:szCs w:val="22"/>
              </w:rPr>
            </w:pPr>
            <w:bookmarkStart w:id="13" w:name="_Hlk213832588"/>
            <w:r w:rsidRPr="00BD5DBD">
              <w:rPr>
                <w:szCs w:val="22"/>
              </w:rPr>
              <w:t xml:space="preserve">New </w:t>
            </w:r>
            <w:r w:rsidR="005A78AC">
              <w:rPr>
                <w:szCs w:val="22"/>
              </w:rPr>
              <w:t xml:space="preserve">biosimilar </w:t>
            </w:r>
            <w:r w:rsidRPr="00BD5DBD">
              <w:rPr>
                <w:szCs w:val="22"/>
              </w:rPr>
              <w:t xml:space="preserve">entity </w:t>
            </w:r>
            <w:bookmarkEnd w:id="13"/>
          </w:p>
        </w:tc>
      </w:tr>
      <w:tr w:rsidR="00324B33" w:rsidRPr="00BD5DBD" w14:paraId="13482B61" w14:textId="77777777" w:rsidTr="52659129">
        <w:tc>
          <w:tcPr>
            <w:tcW w:w="1577" w:type="pct"/>
          </w:tcPr>
          <w:p w14:paraId="2C427FCF" w14:textId="0428F2BA" w:rsidR="00324B33" w:rsidRPr="00BD5DBD" w:rsidRDefault="00324B33" w:rsidP="007452E8">
            <w:pPr>
              <w:rPr>
                <w:i/>
                <w:szCs w:val="22"/>
              </w:rPr>
            </w:pPr>
            <w:r w:rsidRPr="00BD5DBD">
              <w:rPr>
                <w:i/>
                <w:szCs w:val="22"/>
              </w:rPr>
              <w:t>Product names:</w:t>
            </w:r>
          </w:p>
        </w:tc>
        <w:tc>
          <w:tcPr>
            <w:tcW w:w="3423" w:type="pct"/>
          </w:tcPr>
          <w:p w14:paraId="0E2DEF76" w14:textId="53068AEA" w:rsidR="00324B33" w:rsidRPr="00BD5DBD" w:rsidRDefault="0059618B" w:rsidP="007452E8">
            <w:pPr>
              <w:rPr>
                <w:szCs w:val="22"/>
              </w:rPr>
            </w:pPr>
            <w:r>
              <w:rPr>
                <w:szCs w:val="22"/>
              </w:rPr>
              <w:t>Afqlir</w:t>
            </w:r>
            <w:r w:rsidR="00CF3F42">
              <w:rPr>
                <w:szCs w:val="22"/>
              </w:rPr>
              <w:t>;</w:t>
            </w:r>
            <w:r>
              <w:rPr>
                <w:szCs w:val="22"/>
              </w:rPr>
              <w:t xml:space="preserve"> Enzeevu</w:t>
            </w:r>
          </w:p>
        </w:tc>
      </w:tr>
      <w:tr w:rsidR="00324B33" w:rsidRPr="00BD5DBD" w14:paraId="01255B5B" w14:textId="77777777" w:rsidTr="52659129">
        <w:tc>
          <w:tcPr>
            <w:tcW w:w="1577" w:type="pct"/>
          </w:tcPr>
          <w:p w14:paraId="52B4F3D7" w14:textId="57B6408F" w:rsidR="00324B33" w:rsidRPr="00BD5DBD" w:rsidRDefault="00324B33" w:rsidP="007452E8">
            <w:pPr>
              <w:rPr>
                <w:i/>
                <w:szCs w:val="22"/>
              </w:rPr>
            </w:pPr>
            <w:r w:rsidRPr="00BD5DBD">
              <w:rPr>
                <w:i/>
                <w:szCs w:val="22"/>
              </w:rPr>
              <w:t>Active ingredient:</w:t>
            </w:r>
          </w:p>
        </w:tc>
        <w:tc>
          <w:tcPr>
            <w:tcW w:w="3423" w:type="pct"/>
          </w:tcPr>
          <w:p w14:paraId="02FB6383" w14:textId="4426003D" w:rsidR="00324B33" w:rsidRPr="00BD5DBD" w:rsidRDefault="00471920" w:rsidP="007452E8">
            <w:pPr>
              <w:rPr>
                <w:szCs w:val="22"/>
              </w:rPr>
            </w:pPr>
            <w:r>
              <w:rPr>
                <w:szCs w:val="22"/>
              </w:rPr>
              <w:t>A</w:t>
            </w:r>
            <w:r w:rsidR="0059618B">
              <w:rPr>
                <w:szCs w:val="22"/>
              </w:rPr>
              <w:t>f</w:t>
            </w:r>
            <w:r w:rsidR="00B275BE">
              <w:rPr>
                <w:szCs w:val="22"/>
              </w:rPr>
              <w:t>libercept</w:t>
            </w:r>
          </w:p>
        </w:tc>
      </w:tr>
      <w:tr w:rsidR="00324B33" w:rsidRPr="00BD5DBD" w14:paraId="219A281B" w14:textId="77777777" w:rsidTr="52659129">
        <w:tc>
          <w:tcPr>
            <w:tcW w:w="1577" w:type="pct"/>
          </w:tcPr>
          <w:p w14:paraId="112E5F78" w14:textId="77777777" w:rsidR="00324B33" w:rsidRPr="00BD5DBD" w:rsidRDefault="00324B33" w:rsidP="007452E8">
            <w:pPr>
              <w:rPr>
                <w:i/>
                <w:szCs w:val="22"/>
              </w:rPr>
            </w:pPr>
            <w:r w:rsidRPr="00BD5DBD">
              <w:rPr>
                <w:i/>
                <w:szCs w:val="22"/>
              </w:rPr>
              <w:t>Decision:</w:t>
            </w:r>
          </w:p>
        </w:tc>
        <w:tc>
          <w:tcPr>
            <w:tcW w:w="3423" w:type="pct"/>
          </w:tcPr>
          <w:p w14:paraId="3B114BEA" w14:textId="4520C3EE" w:rsidR="00324B33" w:rsidRPr="00BD5DBD" w:rsidRDefault="00324B33" w:rsidP="007452E8">
            <w:pPr>
              <w:rPr>
                <w:szCs w:val="22"/>
              </w:rPr>
            </w:pPr>
            <w:r w:rsidRPr="00BD5DBD">
              <w:rPr>
                <w:szCs w:val="22"/>
              </w:rPr>
              <w:t xml:space="preserve">Approved </w:t>
            </w:r>
          </w:p>
        </w:tc>
      </w:tr>
      <w:tr w:rsidR="00AE1947" w:rsidRPr="00BD5DBD" w14:paraId="32B72632" w14:textId="77777777" w:rsidTr="52659129">
        <w:tc>
          <w:tcPr>
            <w:tcW w:w="1577" w:type="pct"/>
          </w:tcPr>
          <w:p w14:paraId="332A5CD5" w14:textId="65682B5F" w:rsidR="00AE1947" w:rsidRPr="00BD5DBD" w:rsidRDefault="00AE1947" w:rsidP="007F1E37">
            <w:r w:rsidRPr="00BD5DBD">
              <w:rPr>
                <w:i/>
                <w:szCs w:val="22"/>
              </w:rPr>
              <w:t>Date of decision:</w:t>
            </w:r>
          </w:p>
        </w:tc>
        <w:tc>
          <w:tcPr>
            <w:tcW w:w="3423" w:type="pct"/>
          </w:tcPr>
          <w:p w14:paraId="7B381CD6" w14:textId="0FF9768D" w:rsidR="00AE1947" w:rsidRPr="00BD5DBD" w:rsidRDefault="00630B69" w:rsidP="00D0710D">
            <w:pPr>
              <w:rPr>
                <w:szCs w:val="22"/>
              </w:rPr>
            </w:pPr>
            <w:r>
              <w:rPr>
                <w:szCs w:val="22"/>
              </w:rPr>
              <w:t>15 May 2025</w:t>
            </w:r>
          </w:p>
        </w:tc>
      </w:tr>
      <w:tr w:rsidR="00324B33" w:rsidRPr="00BD5DBD" w14:paraId="60A25F5A" w14:textId="77777777" w:rsidTr="52659129">
        <w:tc>
          <w:tcPr>
            <w:tcW w:w="1577" w:type="pct"/>
          </w:tcPr>
          <w:p w14:paraId="5C5E4CBA" w14:textId="77777777" w:rsidR="00324B33" w:rsidRPr="00BD5DBD" w:rsidRDefault="00324B33" w:rsidP="007452E8">
            <w:pPr>
              <w:rPr>
                <w:i/>
                <w:szCs w:val="22"/>
              </w:rPr>
            </w:pPr>
            <w:r w:rsidRPr="00BD5DBD">
              <w:rPr>
                <w:i/>
                <w:szCs w:val="22"/>
              </w:rPr>
              <w:t>Date of entry onto ARTG:</w:t>
            </w:r>
          </w:p>
        </w:tc>
        <w:tc>
          <w:tcPr>
            <w:tcW w:w="3423" w:type="pct"/>
          </w:tcPr>
          <w:p w14:paraId="28B270E9" w14:textId="5944F2BB" w:rsidR="00324B33" w:rsidRPr="00BD5DBD" w:rsidRDefault="004E427F" w:rsidP="007452E8">
            <w:pPr>
              <w:rPr>
                <w:szCs w:val="22"/>
              </w:rPr>
            </w:pPr>
            <w:r>
              <w:rPr>
                <w:szCs w:val="22"/>
              </w:rPr>
              <w:t>27 May 2025</w:t>
            </w:r>
          </w:p>
        </w:tc>
      </w:tr>
      <w:tr w:rsidR="00324B33" w:rsidRPr="00BD5DBD" w14:paraId="547E08D7" w14:textId="77777777" w:rsidTr="52659129">
        <w:tc>
          <w:tcPr>
            <w:tcW w:w="1577" w:type="pct"/>
          </w:tcPr>
          <w:p w14:paraId="5030EF30" w14:textId="4701F98D" w:rsidR="00324B33" w:rsidRPr="00BD5DBD" w:rsidRDefault="00324B33" w:rsidP="007452E8">
            <w:pPr>
              <w:rPr>
                <w:i/>
                <w:szCs w:val="22"/>
              </w:rPr>
            </w:pPr>
            <w:r w:rsidRPr="00BD5DBD">
              <w:rPr>
                <w:i/>
                <w:szCs w:val="22"/>
              </w:rPr>
              <w:t>ARTG numbers:</w:t>
            </w:r>
          </w:p>
        </w:tc>
        <w:tc>
          <w:tcPr>
            <w:tcW w:w="3423" w:type="pct"/>
          </w:tcPr>
          <w:p w14:paraId="2AF3DE36" w14:textId="6B3A1522" w:rsidR="002D3AB9" w:rsidRPr="002D3AB9" w:rsidRDefault="002D3AB9" w:rsidP="002D3AB9">
            <w:pPr>
              <w:rPr>
                <w:szCs w:val="22"/>
              </w:rPr>
            </w:pPr>
            <w:r w:rsidRPr="002D3AB9">
              <w:rPr>
                <w:szCs w:val="22"/>
              </w:rPr>
              <w:t xml:space="preserve">445957 </w:t>
            </w:r>
            <w:r w:rsidR="00682AF7">
              <w:rPr>
                <w:szCs w:val="22"/>
              </w:rPr>
              <w:t>–</w:t>
            </w:r>
            <w:r w:rsidRPr="002D3AB9">
              <w:rPr>
                <w:szCs w:val="22"/>
              </w:rPr>
              <w:t xml:space="preserve"> E</w:t>
            </w:r>
            <w:r>
              <w:rPr>
                <w:szCs w:val="22"/>
              </w:rPr>
              <w:t>n</w:t>
            </w:r>
            <w:r w:rsidR="00682AF7">
              <w:rPr>
                <w:szCs w:val="22"/>
              </w:rPr>
              <w:t>zeevu (</w:t>
            </w:r>
            <w:r w:rsidRPr="002D3AB9">
              <w:rPr>
                <w:szCs w:val="22"/>
              </w:rPr>
              <w:t>aflibercept</w:t>
            </w:r>
            <w:r w:rsidR="00682AF7">
              <w:rPr>
                <w:szCs w:val="22"/>
              </w:rPr>
              <w:t>)</w:t>
            </w:r>
            <w:r w:rsidRPr="002D3AB9">
              <w:rPr>
                <w:szCs w:val="22"/>
              </w:rPr>
              <w:t xml:space="preserve"> 40 mg/mL solution for intravitreal injection </w:t>
            </w:r>
            <w:r w:rsidR="008B5A02">
              <w:rPr>
                <w:szCs w:val="22"/>
              </w:rPr>
              <w:t>(</w:t>
            </w:r>
            <w:r w:rsidRPr="002D3AB9">
              <w:rPr>
                <w:szCs w:val="22"/>
              </w:rPr>
              <w:t>pre-filled</w:t>
            </w:r>
            <w:r w:rsidR="008B5A02">
              <w:rPr>
                <w:szCs w:val="22"/>
              </w:rPr>
              <w:t xml:space="preserve"> </w:t>
            </w:r>
            <w:r w:rsidRPr="002D3AB9">
              <w:rPr>
                <w:szCs w:val="22"/>
              </w:rPr>
              <w:t>syringe</w:t>
            </w:r>
            <w:r w:rsidR="008B5A02">
              <w:rPr>
                <w:szCs w:val="22"/>
              </w:rPr>
              <w:t>)</w:t>
            </w:r>
          </w:p>
          <w:p w14:paraId="70F6B6AB" w14:textId="65BAAF23" w:rsidR="002D3AB9" w:rsidRPr="002D3AB9" w:rsidRDefault="002D3AB9" w:rsidP="002D3AB9">
            <w:pPr>
              <w:rPr>
                <w:szCs w:val="22"/>
              </w:rPr>
            </w:pPr>
            <w:r w:rsidRPr="002D3AB9">
              <w:rPr>
                <w:szCs w:val="22"/>
              </w:rPr>
              <w:t xml:space="preserve">445958 </w:t>
            </w:r>
            <w:r w:rsidR="008B5A02">
              <w:rPr>
                <w:szCs w:val="22"/>
              </w:rPr>
              <w:t>–</w:t>
            </w:r>
            <w:r w:rsidRPr="002D3AB9">
              <w:rPr>
                <w:szCs w:val="22"/>
              </w:rPr>
              <w:t xml:space="preserve"> E</w:t>
            </w:r>
            <w:r w:rsidR="008B5A02">
              <w:rPr>
                <w:szCs w:val="22"/>
              </w:rPr>
              <w:t>nzeevu (</w:t>
            </w:r>
            <w:r w:rsidRPr="002D3AB9">
              <w:rPr>
                <w:szCs w:val="22"/>
              </w:rPr>
              <w:t>aflibercept</w:t>
            </w:r>
            <w:r w:rsidR="008B5A02">
              <w:rPr>
                <w:szCs w:val="22"/>
              </w:rPr>
              <w:t>)</w:t>
            </w:r>
            <w:r w:rsidRPr="002D3AB9">
              <w:rPr>
                <w:szCs w:val="22"/>
              </w:rPr>
              <w:t xml:space="preserve"> 40 mg/mL solution for intravitreal injection vial with</w:t>
            </w:r>
            <w:r w:rsidR="008B5A02">
              <w:rPr>
                <w:szCs w:val="22"/>
              </w:rPr>
              <w:t xml:space="preserve"> </w:t>
            </w:r>
            <w:r w:rsidRPr="002D3AB9">
              <w:rPr>
                <w:szCs w:val="22"/>
              </w:rPr>
              <w:t>needle</w:t>
            </w:r>
          </w:p>
          <w:p w14:paraId="52DD7485" w14:textId="4134BF83" w:rsidR="002D3AB9" w:rsidRPr="002D3AB9" w:rsidRDefault="002D3AB9" w:rsidP="002D3AB9">
            <w:pPr>
              <w:rPr>
                <w:szCs w:val="22"/>
              </w:rPr>
            </w:pPr>
            <w:r w:rsidRPr="002D3AB9">
              <w:rPr>
                <w:szCs w:val="22"/>
              </w:rPr>
              <w:t>445959 - A</w:t>
            </w:r>
            <w:r w:rsidR="008B5A02">
              <w:rPr>
                <w:szCs w:val="22"/>
              </w:rPr>
              <w:t>fqlir</w:t>
            </w:r>
            <w:r w:rsidRPr="002D3AB9">
              <w:rPr>
                <w:szCs w:val="22"/>
              </w:rPr>
              <w:t xml:space="preserve"> </w:t>
            </w:r>
            <w:r w:rsidR="002360C2">
              <w:rPr>
                <w:szCs w:val="22"/>
              </w:rPr>
              <w:t>(</w:t>
            </w:r>
            <w:r w:rsidRPr="002D3AB9">
              <w:rPr>
                <w:szCs w:val="22"/>
              </w:rPr>
              <w:t>aflibercept</w:t>
            </w:r>
            <w:r w:rsidR="002360C2">
              <w:rPr>
                <w:szCs w:val="22"/>
              </w:rPr>
              <w:t>)</w:t>
            </w:r>
            <w:r w:rsidRPr="002D3AB9">
              <w:rPr>
                <w:szCs w:val="22"/>
              </w:rPr>
              <w:t xml:space="preserve"> 40 mg/mL solution for intravitreal injection </w:t>
            </w:r>
            <w:r w:rsidR="002360C2">
              <w:rPr>
                <w:szCs w:val="22"/>
              </w:rPr>
              <w:t>(</w:t>
            </w:r>
            <w:r w:rsidRPr="002D3AB9">
              <w:rPr>
                <w:szCs w:val="22"/>
              </w:rPr>
              <w:t>pre-filled</w:t>
            </w:r>
            <w:r w:rsidR="002360C2">
              <w:rPr>
                <w:szCs w:val="22"/>
              </w:rPr>
              <w:t xml:space="preserve"> </w:t>
            </w:r>
            <w:r w:rsidRPr="002D3AB9">
              <w:rPr>
                <w:szCs w:val="22"/>
              </w:rPr>
              <w:t>syringe</w:t>
            </w:r>
            <w:r w:rsidR="002360C2">
              <w:rPr>
                <w:szCs w:val="22"/>
              </w:rPr>
              <w:t>)</w:t>
            </w:r>
          </w:p>
          <w:p w14:paraId="0054E912" w14:textId="361D6A89" w:rsidR="00324B33" w:rsidRPr="00BD5DBD" w:rsidRDefault="002D3AB9" w:rsidP="002360C2">
            <w:pPr>
              <w:rPr>
                <w:szCs w:val="22"/>
              </w:rPr>
            </w:pPr>
            <w:r w:rsidRPr="002D3AB9">
              <w:rPr>
                <w:szCs w:val="22"/>
              </w:rPr>
              <w:t xml:space="preserve">445960 </w:t>
            </w:r>
            <w:r w:rsidR="002360C2">
              <w:rPr>
                <w:szCs w:val="22"/>
              </w:rPr>
              <w:t>–</w:t>
            </w:r>
            <w:r w:rsidRPr="002D3AB9">
              <w:rPr>
                <w:szCs w:val="22"/>
              </w:rPr>
              <w:t xml:space="preserve"> A</w:t>
            </w:r>
            <w:r w:rsidR="002360C2">
              <w:rPr>
                <w:szCs w:val="22"/>
              </w:rPr>
              <w:t>fqlir (</w:t>
            </w:r>
            <w:r w:rsidRPr="002D3AB9">
              <w:rPr>
                <w:szCs w:val="22"/>
              </w:rPr>
              <w:t>aflibercept</w:t>
            </w:r>
            <w:r w:rsidR="002360C2">
              <w:rPr>
                <w:szCs w:val="22"/>
              </w:rPr>
              <w:t>)</w:t>
            </w:r>
            <w:r w:rsidRPr="002D3AB9">
              <w:rPr>
                <w:szCs w:val="22"/>
              </w:rPr>
              <w:t xml:space="preserve"> 40 mg/mL solution for intravitreal injection vial with</w:t>
            </w:r>
            <w:r w:rsidR="002360C2">
              <w:rPr>
                <w:szCs w:val="22"/>
              </w:rPr>
              <w:t xml:space="preserve"> </w:t>
            </w:r>
            <w:r w:rsidRPr="002D3AB9">
              <w:rPr>
                <w:szCs w:val="22"/>
              </w:rPr>
              <w:t>needle</w:t>
            </w:r>
          </w:p>
        </w:tc>
      </w:tr>
      <w:tr w:rsidR="00324B33" w:rsidRPr="00BD5DBD" w14:paraId="7618393F" w14:textId="77777777" w:rsidTr="52659129">
        <w:tc>
          <w:tcPr>
            <w:tcW w:w="1577" w:type="pct"/>
          </w:tcPr>
          <w:p w14:paraId="6C24CEB6" w14:textId="6A7FE944" w:rsidR="00E47E0C" w:rsidRPr="00BD5DBD" w:rsidRDefault="00324B33" w:rsidP="007452E8">
            <w:pPr>
              <w:rPr>
                <w:rStyle w:val="Hyperlink"/>
                <w:i/>
                <w:szCs w:val="22"/>
              </w:rPr>
            </w:pPr>
            <w:r w:rsidRPr="00BD5DBD">
              <w:rPr>
                <w:rFonts w:ascii="Wingdings 3" w:hAnsi="Wingdings 3"/>
                <w:szCs w:val="22"/>
                <w:lang w:eastAsia="en-AU"/>
              </w:rPr>
              <w:t></w:t>
            </w:r>
            <w:hyperlink r:id="rId20" w:history="1">
              <w:r w:rsidRPr="00BD5DBD">
                <w:rPr>
                  <w:rStyle w:val="Hyperlink"/>
                  <w:i/>
                  <w:szCs w:val="22"/>
                </w:rPr>
                <w:t>Black Triangle Scheme</w:t>
              </w:r>
            </w:hyperlink>
          </w:p>
          <w:p w14:paraId="02260DE2" w14:textId="1FC334AE" w:rsidR="00324B33" w:rsidRPr="00BD5DBD" w:rsidRDefault="00E47E0C" w:rsidP="007452E8">
            <w:pPr>
              <w:rPr>
                <w:i/>
                <w:szCs w:val="22"/>
              </w:rPr>
            </w:pPr>
            <w:r w:rsidRPr="00BD5DBD">
              <w:rPr>
                <w:i/>
                <w:szCs w:val="22"/>
              </w:rPr>
              <w:t xml:space="preserve">for </w:t>
            </w:r>
            <w:r w:rsidR="007B04DE" w:rsidRPr="00BD5DBD">
              <w:rPr>
                <w:i/>
                <w:szCs w:val="22"/>
              </w:rPr>
              <w:t>the current</w:t>
            </w:r>
            <w:r w:rsidRPr="00BD5DBD">
              <w:rPr>
                <w:i/>
                <w:szCs w:val="22"/>
              </w:rPr>
              <w:t xml:space="preserve"> submission</w:t>
            </w:r>
            <w:r w:rsidR="00324B33" w:rsidRPr="00BD5DBD">
              <w:rPr>
                <w:i/>
                <w:szCs w:val="22"/>
              </w:rPr>
              <w:t>:</w:t>
            </w:r>
          </w:p>
        </w:tc>
        <w:tc>
          <w:tcPr>
            <w:tcW w:w="3423" w:type="pct"/>
          </w:tcPr>
          <w:p w14:paraId="6FF3C6A2" w14:textId="6F8B9BED" w:rsidR="00324B33" w:rsidRPr="00BD5DBD" w:rsidRDefault="00324B33" w:rsidP="007452E8">
            <w:pPr>
              <w:rPr>
                <w:szCs w:val="22"/>
              </w:rPr>
            </w:pPr>
            <w:r w:rsidRPr="00BD5DBD">
              <w:rPr>
                <w:szCs w:val="22"/>
              </w:rPr>
              <w:t>N</w:t>
            </w:r>
            <w:r w:rsidR="00F25E22">
              <w:rPr>
                <w:szCs w:val="22"/>
              </w:rPr>
              <w:t>o</w:t>
            </w:r>
          </w:p>
        </w:tc>
      </w:tr>
      <w:tr w:rsidR="00324B33" w:rsidRPr="00BD5DBD" w14:paraId="179E09FE" w14:textId="77777777" w:rsidTr="00776AA2">
        <w:trPr>
          <w:trHeight w:val="1161"/>
        </w:trPr>
        <w:tc>
          <w:tcPr>
            <w:tcW w:w="1577" w:type="pct"/>
          </w:tcPr>
          <w:p w14:paraId="1A592498" w14:textId="77777777" w:rsidR="00324B33" w:rsidRPr="00BD5DBD" w:rsidRDefault="00324B33" w:rsidP="007452E8">
            <w:pPr>
              <w:rPr>
                <w:i/>
                <w:szCs w:val="22"/>
              </w:rPr>
            </w:pPr>
            <w:r w:rsidRPr="00BD5DBD">
              <w:rPr>
                <w:i/>
                <w:szCs w:val="22"/>
              </w:rPr>
              <w:t>Sponsor’s name and address:</w:t>
            </w:r>
          </w:p>
        </w:tc>
        <w:tc>
          <w:tcPr>
            <w:tcW w:w="3423" w:type="pct"/>
          </w:tcPr>
          <w:p w14:paraId="6280313B" w14:textId="77777777" w:rsidR="00324B33" w:rsidRDefault="007849A6" w:rsidP="007452E8">
            <w:pPr>
              <w:rPr>
                <w:szCs w:val="22"/>
              </w:rPr>
            </w:pPr>
            <w:r>
              <w:rPr>
                <w:szCs w:val="22"/>
              </w:rPr>
              <w:t>Sandoz Pty Ltd</w:t>
            </w:r>
          </w:p>
          <w:p w14:paraId="1925C7DF" w14:textId="77777777" w:rsidR="0074545F" w:rsidRPr="0074545F" w:rsidRDefault="0074545F" w:rsidP="0074545F">
            <w:pPr>
              <w:rPr>
                <w:szCs w:val="22"/>
              </w:rPr>
            </w:pPr>
            <w:r w:rsidRPr="0074545F">
              <w:rPr>
                <w:szCs w:val="22"/>
              </w:rPr>
              <w:t>100 Pacific Highway</w:t>
            </w:r>
          </w:p>
          <w:p w14:paraId="68DD94B0" w14:textId="12044F43" w:rsidR="008F7B65" w:rsidRPr="00BD5DBD" w:rsidRDefault="0074545F" w:rsidP="0074545F">
            <w:pPr>
              <w:rPr>
                <w:szCs w:val="22"/>
              </w:rPr>
            </w:pPr>
            <w:r w:rsidRPr="0074545F">
              <w:rPr>
                <w:szCs w:val="22"/>
              </w:rPr>
              <w:t>North Sydney, NSW 2060</w:t>
            </w:r>
          </w:p>
        </w:tc>
      </w:tr>
      <w:tr w:rsidR="00324B33" w:rsidRPr="00BD5DBD" w14:paraId="5322B989" w14:textId="77777777" w:rsidTr="52659129">
        <w:tc>
          <w:tcPr>
            <w:tcW w:w="1577" w:type="pct"/>
          </w:tcPr>
          <w:p w14:paraId="24F217E3" w14:textId="02A17CF5" w:rsidR="00324B33" w:rsidRPr="00BD5DBD" w:rsidRDefault="00324B33" w:rsidP="007452E8">
            <w:pPr>
              <w:rPr>
                <w:i/>
                <w:szCs w:val="22"/>
              </w:rPr>
            </w:pPr>
            <w:r w:rsidRPr="00BD5DBD">
              <w:rPr>
                <w:i/>
                <w:szCs w:val="22"/>
              </w:rPr>
              <w:t>Dose forms:</w:t>
            </w:r>
          </w:p>
        </w:tc>
        <w:tc>
          <w:tcPr>
            <w:tcW w:w="3423" w:type="pct"/>
          </w:tcPr>
          <w:p w14:paraId="768B254C" w14:textId="3E69E476" w:rsidR="00324B33" w:rsidRPr="00BD5DBD" w:rsidRDefault="00F9519D" w:rsidP="00F9519D">
            <w:pPr>
              <w:rPr>
                <w:szCs w:val="22"/>
              </w:rPr>
            </w:pPr>
            <w:r w:rsidRPr="00F9519D">
              <w:rPr>
                <w:szCs w:val="22"/>
              </w:rPr>
              <w:t xml:space="preserve">2 mg aflibercept, injection volume of 50 </w:t>
            </w:r>
            <w:proofErr w:type="spellStart"/>
            <w:r w:rsidRPr="00F9519D">
              <w:rPr>
                <w:szCs w:val="22"/>
              </w:rPr>
              <w:t>μL</w:t>
            </w:r>
            <w:proofErr w:type="spellEnd"/>
            <w:r w:rsidRPr="00F9519D">
              <w:rPr>
                <w:szCs w:val="22"/>
              </w:rPr>
              <w:t>.</w:t>
            </w:r>
          </w:p>
        </w:tc>
      </w:tr>
      <w:tr w:rsidR="00324B33" w:rsidRPr="00BD5DBD" w14:paraId="115243E6" w14:textId="77777777" w:rsidTr="52659129">
        <w:tc>
          <w:tcPr>
            <w:tcW w:w="1577" w:type="pct"/>
          </w:tcPr>
          <w:p w14:paraId="7634B062" w14:textId="3F9FA194" w:rsidR="00324B33" w:rsidRPr="00BD5DBD" w:rsidRDefault="00324B33" w:rsidP="007452E8">
            <w:pPr>
              <w:rPr>
                <w:i/>
                <w:szCs w:val="22"/>
              </w:rPr>
            </w:pPr>
            <w:r w:rsidRPr="00BD5DBD">
              <w:rPr>
                <w:i/>
                <w:szCs w:val="22"/>
              </w:rPr>
              <w:t>Strength:</w:t>
            </w:r>
          </w:p>
        </w:tc>
        <w:tc>
          <w:tcPr>
            <w:tcW w:w="3423" w:type="pct"/>
          </w:tcPr>
          <w:p w14:paraId="5E5F83DB" w14:textId="689CAF67" w:rsidR="00324B33" w:rsidRPr="00BD5DBD" w:rsidRDefault="69ACD2BF" w:rsidP="5CBFEC6C">
            <w:r>
              <w:t>40</w:t>
            </w:r>
            <w:r w:rsidR="5796ED25">
              <w:t xml:space="preserve"> </w:t>
            </w:r>
            <w:r>
              <w:t>mg</w:t>
            </w:r>
            <w:r w:rsidR="00C34240">
              <w:t>/mL</w:t>
            </w:r>
          </w:p>
        </w:tc>
      </w:tr>
      <w:tr w:rsidR="00324B33" w:rsidRPr="00BD5DBD" w14:paraId="34B07BA6" w14:textId="77777777" w:rsidTr="52659129">
        <w:tc>
          <w:tcPr>
            <w:tcW w:w="1577" w:type="pct"/>
          </w:tcPr>
          <w:p w14:paraId="1C039224" w14:textId="15CF6EDB" w:rsidR="00324B33" w:rsidRPr="00BD5DBD" w:rsidRDefault="00324B33" w:rsidP="007452E8">
            <w:pPr>
              <w:rPr>
                <w:i/>
                <w:szCs w:val="22"/>
              </w:rPr>
            </w:pPr>
            <w:r w:rsidRPr="00BD5DBD">
              <w:rPr>
                <w:i/>
                <w:szCs w:val="22"/>
              </w:rPr>
              <w:t>Containers:</w:t>
            </w:r>
          </w:p>
        </w:tc>
        <w:tc>
          <w:tcPr>
            <w:tcW w:w="3423" w:type="pct"/>
          </w:tcPr>
          <w:p w14:paraId="500A42C6" w14:textId="2AD201B5" w:rsidR="00324B33" w:rsidRPr="00BD5DBD" w:rsidRDefault="00632248" w:rsidP="007452E8">
            <w:pPr>
              <w:rPr>
                <w:szCs w:val="22"/>
              </w:rPr>
            </w:pPr>
            <w:r>
              <w:rPr>
                <w:szCs w:val="22"/>
              </w:rPr>
              <w:t>S</w:t>
            </w:r>
            <w:r w:rsidRPr="00632248">
              <w:rPr>
                <w:szCs w:val="22"/>
              </w:rPr>
              <w:t>ingle-use vial or pre-filled syringe</w:t>
            </w:r>
            <w:r w:rsidR="005B0694">
              <w:rPr>
                <w:szCs w:val="22"/>
              </w:rPr>
              <w:t xml:space="preserve"> (PFS)</w:t>
            </w:r>
            <w:r w:rsidR="0068472D">
              <w:rPr>
                <w:szCs w:val="22"/>
              </w:rPr>
              <w:t>.</w:t>
            </w:r>
          </w:p>
        </w:tc>
      </w:tr>
      <w:tr w:rsidR="00324B33" w:rsidRPr="00BD5DBD" w14:paraId="176B6773" w14:textId="77777777" w:rsidTr="52659129">
        <w:tc>
          <w:tcPr>
            <w:tcW w:w="1577" w:type="pct"/>
          </w:tcPr>
          <w:p w14:paraId="71846159" w14:textId="21DF759D" w:rsidR="00324B33" w:rsidRPr="00BD5DBD" w:rsidRDefault="00324B33" w:rsidP="007452E8">
            <w:pPr>
              <w:rPr>
                <w:i/>
                <w:szCs w:val="22"/>
              </w:rPr>
            </w:pPr>
            <w:r w:rsidRPr="00BD5DBD">
              <w:rPr>
                <w:i/>
                <w:szCs w:val="22"/>
              </w:rPr>
              <w:t>Pack sizes:</w:t>
            </w:r>
          </w:p>
        </w:tc>
        <w:tc>
          <w:tcPr>
            <w:tcW w:w="3423" w:type="pct"/>
          </w:tcPr>
          <w:p w14:paraId="7E978F8F" w14:textId="3C0BAA0E" w:rsidR="00324B33" w:rsidRPr="00BD5DBD" w:rsidRDefault="00C86549" w:rsidP="007452E8">
            <w:pPr>
              <w:rPr>
                <w:szCs w:val="22"/>
              </w:rPr>
            </w:pPr>
            <w:r w:rsidRPr="00C86549">
              <w:rPr>
                <w:szCs w:val="22"/>
              </w:rPr>
              <w:t>Each carton includes a</w:t>
            </w:r>
            <w:r w:rsidR="0068472D">
              <w:rPr>
                <w:szCs w:val="22"/>
              </w:rPr>
              <w:t xml:space="preserve"> single </w:t>
            </w:r>
            <w:r w:rsidR="00C15EDD" w:rsidRPr="00C15EDD">
              <w:rPr>
                <w:szCs w:val="22"/>
              </w:rPr>
              <w:t xml:space="preserve">type I glass vial </w:t>
            </w:r>
            <w:r w:rsidR="00C15EDD">
              <w:rPr>
                <w:szCs w:val="22"/>
              </w:rPr>
              <w:t xml:space="preserve">or a </w:t>
            </w:r>
            <w:r w:rsidRPr="00C86549">
              <w:rPr>
                <w:szCs w:val="22"/>
              </w:rPr>
              <w:t>sealed blister pack with a sterile pre-filled type I glass syringe</w:t>
            </w:r>
            <w:r w:rsidR="00C15EDD">
              <w:rPr>
                <w:szCs w:val="22"/>
              </w:rPr>
              <w:t>.</w:t>
            </w:r>
          </w:p>
        </w:tc>
      </w:tr>
      <w:tr w:rsidR="00324B33" w:rsidRPr="00BD5DBD" w14:paraId="19A2544A" w14:textId="77777777" w:rsidTr="52659129">
        <w:tc>
          <w:tcPr>
            <w:tcW w:w="1577" w:type="pct"/>
          </w:tcPr>
          <w:p w14:paraId="0E6C5C0E" w14:textId="7DB3FC66" w:rsidR="00324B33" w:rsidRPr="00BD5DBD" w:rsidRDefault="00324B33" w:rsidP="007452E8">
            <w:pPr>
              <w:rPr>
                <w:i/>
                <w:szCs w:val="22"/>
              </w:rPr>
            </w:pPr>
            <w:r w:rsidRPr="00BD5DBD">
              <w:rPr>
                <w:i/>
                <w:szCs w:val="22"/>
              </w:rPr>
              <w:t>Approved therapeutic use</w:t>
            </w:r>
            <w:r w:rsidR="00E47E0C" w:rsidRPr="00BD5DBD">
              <w:rPr>
                <w:i/>
                <w:szCs w:val="22"/>
              </w:rPr>
              <w:t xml:space="preserve"> </w:t>
            </w:r>
            <w:r w:rsidR="007B04DE" w:rsidRPr="00BD5DBD">
              <w:rPr>
                <w:i/>
                <w:szCs w:val="22"/>
              </w:rPr>
              <w:t>for the current</w:t>
            </w:r>
            <w:r w:rsidR="00E47E0C" w:rsidRPr="00BD5DBD">
              <w:rPr>
                <w:i/>
                <w:szCs w:val="22"/>
              </w:rPr>
              <w:t xml:space="preserve"> submission</w:t>
            </w:r>
            <w:r w:rsidRPr="00BD5DBD">
              <w:rPr>
                <w:i/>
                <w:szCs w:val="22"/>
              </w:rPr>
              <w:t>:</w:t>
            </w:r>
          </w:p>
        </w:tc>
        <w:tc>
          <w:tcPr>
            <w:tcW w:w="3423" w:type="pct"/>
          </w:tcPr>
          <w:p w14:paraId="45B430A3" w14:textId="77777777" w:rsidR="00560DA8" w:rsidRPr="00815B80" w:rsidRDefault="00692C10" w:rsidP="00560DA8">
            <w:pPr>
              <w:rPr>
                <w:i/>
                <w:iCs/>
                <w:szCs w:val="22"/>
              </w:rPr>
            </w:pPr>
            <w:r w:rsidRPr="00815B80">
              <w:rPr>
                <w:i/>
                <w:iCs/>
                <w:szCs w:val="22"/>
              </w:rPr>
              <w:t xml:space="preserve">Afqlir/ </w:t>
            </w:r>
            <w:r w:rsidRPr="002D3AB9">
              <w:rPr>
                <w:i/>
                <w:iCs/>
                <w:szCs w:val="22"/>
              </w:rPr>
              <w:t>E</w:t>
            </w:r>
            <w:r w:rsidRPr="00815B80">
              <w:rPr>
                <w:i/>
                <w:iCs/>
                <w:szCs w:val="22"/>
              </w:rPr>
              <w:t xml:space="preserve">nzeevu </w:t>
            </w:r>
            <w:r w:rsidR="00560DA8" w:rsidRPr="00815B80">
              <w:rPr>
                <w:i/>
                <w:iCs/>
                <w:szCs w:val="22"/>
              </w:rPr>
              <w:t>(aflibercept) 2 mg is indicated in adults for the treatment of:</w:t>
            </w:r>
          </w:p>
          <w:p w14:paraId="2CBAA85F" w14:textId="4749A07D" w:rsidR="00560DA8" w:rsidRPr="00815B80" w:rsidRDefault="00560DA8" w:rsidP="00560DA8">
            <w:pPr>
              <w:pStyle w:val="ListBullet"/>
              <w:rPr>
                <w:i/>
                <w:iCs/>
              </w:rPr>
            </w:pPr>
            <w:r w:rsidRPr="00815B80">
              <w:rPr>
                <w:i/>
                <w:iCs/>
              </w:rPr>
              <w:t>neovascular (wet) age-related macular degeneration (wet AMD)</w:t>
            </w:r>
          </w:p>
          <w:p w14:paraId="391C8A4C" w14:textId="1B6446A2" w:rsidR="00560DA8" w:rsidRPr="00815B80" w:rsidRDefault="00560DA8" w:rsidP="00D0710D">
            <w:pPr>
              <w:pStyle w:val="ListBullet"/>
              <w:rPr>
                <w:i/>
                <w:iCs/>
              </w:rPr>
            </w:pPr>
            <w:r w:rsidRPr="00815B80">
              <w:rPr>
                <w:i/>
                <w:iCs/>
              </w:rPr>
              <w:t>visual impairment due to macular oedema secondary to central retinal vein occlusion</w:t>
            </w:r>
            <w:r w:rsidR="00C802DD" w:rsidRPr="00815B80">
              <w:rPr>
                <w:i/>
                <w:iCs/>
              </w:rPr>
              <w:t xml:space="preserve"> </w:t>
            </w:r>
            <w:r w:rsidRPr="00815B80">
              <w:rPr>
                <w:i/>
                <w:iCs/>
              </w:rPr>
              <w:t>(CRVO)</w:t>
            </w:r>
          </w:p>
          <w:p w14:paraId="6A057ECD" w14:textId="6405921E" w:rsidR="00560DA8" w:rsidRPr="00815B80" w:rsidRDefault="00560DA8" w:rsidP="00D0710D">
            <w:pPr>
              <w:pStyle w:val="ListBullet"/>
              <w:rPr>
                <w:i/>
                <w:iCs/>
              </w:rPr>
            </w:pPr>
            <w:r w:rsidRPr="00815B80">
              <w:rPr>
                <w:i/>
                <w:iCs/>
              </w:rPr>
              <w:t>visual impairment due to macular oedema secondary to branch retinal vein occlusion</w:t>
            </w:r>
            <w:r w:rsidR="00C802DD" w:rsidRPr="00815B80">
              <w:rPr>
                <w:i/>
                <w:iCs/>
              </w:rPr>
              <w:t xml:space="preserve"> </w:t>
            </w:r>
            <w:r w:rsidRPr="00815B80">
              <w:rPr>
                <w:i/>
                <w:iCs/>
              </w:rPr>
              <w:t>(BRVO)</w:t>
            </w:r>
          </w:p>
          <w:p w14:paraId="6FDE7B4D" w14:textId="17426EBE" w:rsidR="00560DA8" w:rsidRPr="00815B80" w:rsidRDefault="00560DA8" w:rsidP="00560DA8">
            <w:pPr>
              <w:pStyle w:val="ListBullet"/>
              <w:rPr>
                <w:i/>
                <w:iCs/>
              </w:rPr>
            </w:pPr>
            <w:r w:rsidRPr="00815B80">
              <w:rPr>
                <w:i/>
                <w:iCs/>
              </w:rPr>
              <w:t>diabetic macular oedema (DME)</w:t>
            </w:r>
          </w:p>
          <w:p w14:paraId="6E143E2E" w14:textId="7AADD6A9" w:rsidR="00324B33" w:rsidRPr="00BD5DBD" w:rsidRDefault="00560DA8" w:rsidP="00815B80">
            <w:pPr>
              <w:pStyle w:val="ListBullet"/>
            </w:pPr>
            <w:r w:rsidRPr="00815B80">
              <w:rPr>
                <w:i/>
                <w:iCs/>
              </w:rPr>
              <w:t>visual impairment due to myopic choroidal neovascularisation (myopic CNV).</w:t>
            </w:r>
          </w:p>
        </w:tc>
      </w:tr>
      <w:tr w:rsidR="00324B33" w:rsidRPr="00BD5DBD" w14:paraId="5AFDEED3" w14:textId="77777777" w:rsidTr="52659129">
        <w:tc>
          <w:tcPr>
            <w:tcW w:w="1577" w:type="pct"/>
          </w:tcPr>
          <w:p w14:paraId="03884BD1" w14:textId="02550064" w:rsidR="00324B33" w:rsidRPr="00BD5DBD" w:rsidRDefault="00324B33" w:rsidP="007452E8">
            <w:pPr>
              <w:rPr>
                <w:i/>
                <w:szCs w:val="22"/>
              </w:rPr>
            </w:pPr>
            <w:r w:rsidRPr="00BD5DBD">
              <w:rPr>
                <w:i/>
                <w:szCs w:val="22"/>
              </w:rPr>
              <w:lastRenderedPageBreak/>
              <w:t>Route of administration:</w:t>
            </w:r>
          </w:p>
        </w:tc>
        <w:tc>
          <w:tcPr>
            <w:tcW w:w="3423" w:type="pct"/>
          </w:tcPr>
          <w:p w14:paraId="466CCEC1" w14:textId="77777777" w:rsidR="00324B33" w:rsidRDefault="00BC13EC" w:rsidP="007452E8">
            <w:pPr>
              <w:rPr>
                <w:szCs w:val="22"/>
              </w:rPr>
            </w:pPr>
            <w:r>
              <w:rPr>
                <w:rFonts w:cs="TimesNewRomanPSMT"/>
                <w:szCs w:val="24"/>
              </w:rPr>
              <w:t>I</w:t>
            </w:r>
            <w:r w:rsidRPr="00BC13EC">
              <w:rPr>
                <w:szCs w:val="22"/>
              </w:rPr>
              <w:t>ntravitreal injection</w:t>
            </w:r>
          </w:p>
          <w:p w14:paraId="1ED1357E" w14:textId="36EC5C25" w:rsidR="008519E1" w:rsidRPr="00BD5DBD" w:rsidRDefault="008519E1" w:rsidP="008519E1">
            <w:pPr>
              <w:rPr>
                <w:szCs w:val="22"/>
              </w:rPr>
            </w:pPr>
            <w:r w:rsidRPr="008519E1">
              <w:rPr>
                <w:szCs w:val="22"/>
              </w:rPr>
              <w:t>It must only be administered by a qualified ophthalmologist experienced in administering</w:t>
            </w:r>
            <w:r>
              <w:rPr>
                <w:szCs w:val="22"/>
              </w:rPr>
              <w:t xml:space="preserve"> </w:t>
            </w:r>
            <w:r w:rsidRPr="008519E1">
              <w:rPr>
                <w:szCs w:val="22"/>
              </w:rPr>
              <w:t>intravitreal injections.</w:t>
            </w:r>
          </w:p>
        </w:tc>
      </w:tr>
      <w:tr w:rsidR="00324B33" w:rsidRPr="00BD5DBD" w14:paraId="70D7E9FA" w14:textId="77777777" w:rsidTr="52659129">
        <w:tc>
          <w:tcPr>
            <w:tcW w:w="1577" w:type="pct"/>
          </w:tcPr>
          <w:p w14:paraId="5ABFFC80" w14:textId="77777777" w:rsidR="00324B33" w:rsidRPr="00BD5DBD" w:rsidRDefault="00324B33" w:rsidP="007452E8">
            <w:pPr>
              <w:rPr>
                <w:i/>
                <w:szCs w:val="22"/>
              </w:rPr>
            </w:pPr>
            <w:r w:rsidRPr="00BD5DBD">
              <w:rPr>
                <w:i/>
                <w:szCs w:val="22"/>
              </w:rPr>
              <w:t>Dosage:</w:t>
            </w:r>
          </w:p>
        </w:tc>
        <w:tc>
          <w:tcPr>
            <w:tcW w:w="3423" w:type="pct"/>
          </w:tcPr>
          <w:p w14:paraId="3F335DB9" w14:textId="77777777" w:rsidR="005955CB" w:rsidRPr="005955CB" w:rsidRDefault="005955CB" w:rsidP="005955CB">
            <w:pPr>
              <w:rPr>
                <w:b/>
                <w:bCs/>
                <w:i/>
                <w:iCs/>
                <w:szCs w:val="22"/>
              </w:rPr>
            </w:pPr>
            <w:r w:rsidRPr="005955CB">
              <w:rPr>
                <w:b/>
                <w:bCs/>
                <w:i/>
                <w:iCs/>
                <w:szCs w:val="22"/>
              </w:rPr>
              <w:t>Treatment of neovascular (wet) age-related macular degeneration (wet AMD)</w:t>
            </w:r>
          </w:p>
          <w:p w14:paraId="3C1BC449" w14:textId="3F8BBDCE" w:rsidR="005955CB" w:rsidRDefault="00184BD0" w:rsidP="005955CB">
            <w:pPr>
              <w:rPr>
                <w:szCs w:val="22"/>
              </w:rPr>
            </w:pPr>
            <w:r>
              <w:rPr>
                <w:szCs w:val="22"/>
              </w:rPr>
              <w:t xml:space="preserve">Afqlir/ </w:t>
            </w:r>
            <w:r w:rsidRPr="00184BD0">
              <w:rPr>
                <w:szCs w:val="22"/>
              </w:rPr>
              <w:t>Enzeevu</w:t>
            </w:r>
            <w:r w:rsidR="005955CB" w:rsidRPr="005955CB">
              <w:rPr>
                <w:szCs w:val="22"/>
              </w:rPr>
              <w:t xml:space="preserve"> 2 mg treatment is initiated with one </w:t>
            </w:r>
            <w:r>
              <w:rPr>
                <w:szCs w:val="22"/>
              </w:rPr>
              <w:t xml:space="preserve">Afqlir/ </w:t>
            </w:r>
            <w:r w:rsidRPr="00184BD0">
              <w:rPr>
                <w:szCs w:val="22"/>
              </w:rPr>
              <w:t>Enzeevu</w:t>
            </w:r>
            <w:r w:rsidR="005955CB" w:rsidRPr="005955CB">
              <w:rPr>
                <w:szCs w:val="22"/>
              </w:rPr>
              <w:t xml:space="preserve"> 2 mg injection per month for three</w:t>
            </w:r>
            <w:r w:rsidR="005955CB">
              <w:rPr>
                <w:szCs w:val="22"/>
              </w:rPr>
              <w:t xml:space="preserve"> </w:t>
            </w:r>
            <w:r w:rsidR="005955CB" w:rsidRPr="005955CB">
              <w:rPr>
                <w:szCs w:val="22"/>
              </w:rPr>
              <w:t>consecutive months, followed by one injection every two months.</w:t>
            </w:r>
          </w:p>
          <w:p w14:paraId="46F19DCA" w14:textId="1D86F2A7" w:rsidR="000C6381" w:rsidRPr="000C6381" w:rsidRDefault="000C6381" w:rsidP="000C6381">
            <w:pPr>
              <w:rPr>
                <w:b/>
                <w:bCs/>
                <w:i/>
                <w:iCs/>
                <w:szCs w:val="22"/>
              </w:rPr>
            </w:pPr>
            <w:r w:rsidRPr="000C6381">
              <w:rPr>
                <w:b/>
                <w:bCs/>
                <w:i/>
                <w:iCs/>
                <w:szCs w:val="22"/>
              </w:rPr>
              <w:t>Treatment of visual impairment due to macular oedema secondary to central retinal vein</w:t>
            </w:r>
            <w:r>
              <w:rPr>
                <w:b/>
                <w:bCs/>
                <w:i/>
                <w:iCs/>
                <w:szCs w:val="22"/>
              </w:rPr>
              <w:t xml:space="preserve"> </w:t>
            </w:r>
            <w:r w:rsidRPr="000C6381">
              <w:rPr>
                <w:b/>
                <w:bCs/>
                <w:i/>
                <w:iCs/>
                <w:szCs w:val="22"/>
              </w:rPr>
              <w:t>occlusion (CRVO)</w:t>
            </w:r>
          </w:p>
          <w:p w14:paraId="7D52E029" w14:textId="51E6CD0D" w:rsidR="000C6381" w:rsidRDefault="00184BD0" w:rsidP="000C6381">
            <w:pPr>
              <w:rPr>
                <w:szCs w:val="22"/>
              </w:rPr>
            </w:pPr>
            <w:r>
              <w:rPr>
                <w:szCs w:val="22"/>
              </w:rPr>
              <w:t xml:space="preserve">Afqlir/ </w:t>
            </w:r>
            <w:r w:rsidRPr="00184BD0">
              <w:rPr>
                <w:szCs w:val="22"/>
              </w:rPr>
              <w:t xml:space="preserve">Enzeevu </w:t>
            </w:r>
            <w:r w:rsidR="000C6381" w:rsidRPr="000C6381">
              <w:rPr>
                <w:szCs w:val="22"/>
              </w:rPr>
              <w:t xml:space="preserve">2 mg treatment is initiated with one </w:t>
            </w:r>
            <w:r>
              <w:rPr>
                <w:szCs w:val="22"/>
              </w:rPr>
              <w:t>Afqlir/</w:t>
            </w:r>
            <w:r w:rsidRPr="00184BD0">
              <w:rPr>
                <w:szCs w:val="22"/>
              </w:rPr>
              <w:t xml:space="preserve"> Enzeevu</w:t>
            </w:r>
            <w:r>
              <w:rPr>
                <w:szCs w:val="22"/>
              </w:rPr>
              <w:t xml:space="preserve"> </w:t>
            </w:r>
            <w:r w:rsidR="000C6381" w:rsidRPr="000C6381">
              <w:rPr>
                <w:szCs w:val="22"/>
              </w:rPr>
              <w:t>2 mg injection per month for three</w:t>
            </w:r>
            <w:r w:rsidR="000C6381">
              <w:rPr>
                <w:szCs w:val="22"/>
              </w:rPr>
              <w:t xml:space="preserve"> </w:t>
            </w:r>
            <w:r w:rsidR="000C6381" w:rsidRPr="000C6381">
              <w:rPr>
                <w:szCs w:val="22"/>
              </w:rPr>
              <w:t>consecutive months. After the first three monthly injections, the treatment interval may be</w:t>
            </w:r>
            <w:r w:rsidR="000C6381">
              <w:rPr>
                <w:szCs w:val="22"/>
              </w:rPr>
              <w:t xml:space="preserve"> </w:t>
            </w:r>
            <w:r w:rsidR="000C6381" w:rsidRPr="000C6381">
              <w:rPr>
                <w:szCs w:val="22"/>
              </w:rPr>
              <w:t>adjusted based on visual and/or anatomic outcomes.</w:t>
            </w:r>
          </w:p>
          <w:p w14:paraId="05915714" w14:textId="32ACA671" w:rsidR="00156BC1" w:rsidRPr="00156BC1" w:rsidRDefault="00156BC1" w:rsidP="00156BC1">
            <w:pPr>
              <w:rPr>
                <w:b/>
                <w:bCs/>
                <w:i/>
                <w:iCs/>
                <w:szCs w:val="22"/>
              </w:rPr>
            </w:pPr>
            <w:r w:rsidRPr="00156BC1">
              <w:rPr>
                <w:b/>
                <w:bCs/>
                <w:i/>
                <w:iCs/>
                <w:szCs w:val="22"/>
              </w:rPr>
              <w:t>Treatment of visual impairment due to macular oedema secondary to branch retinal vein</w:t>
            </w:r>
            <w:r>
              <w:rPr>
                <w:b/>
                <w:bCs/>
                <w:i/>
                <w:iCs/>
                <w:szCs w:val="22"/>
              </w:rPr>
              <w:t xml:space="preserve"> </w:t>
            </w:r>
            <w:r w:rsidRPr="00156BC1">
              <w:rPr>
                <w:b/>
                <w:bCs/>
                <w:i/>
                <w:iCs/>
                <w:szCs w:val="22"/>
              </w:rPr>
              <w:t>occlusion (BRVO)</w:t>
            </w:r>
          </w:p>
          <w:p w14:paraId="37C22E56" w14:textId="4643F06F" w:rsidR="00156BC1" w:rsidRDefault="00184BD0" w:rsidP="00156BC1">
            <w:pPr>
              <w:rPr>
                <w:szCs w:val="22"/>
              </w:rPr>
            </w:pPr>
            <w:r>
              <w:rPr>
                <w:szCs w:val="22"/>
              </w:rPr>
              <w:t>Afqlir/</w:t>
            </w:r>
            <w:r w:rsidRPr="00184BD0">
              <w:rPr>
                <w:szCs w:val="22"/>
              </w:rPr>
              <w:t xml:space="preserve"> Enzeevu</w:t>
            </w:r>
            <w:r w:rsidR="00156BC1" w:rsidRPr="00156BC1">
              <w:rPr>
                <w:szCs w:val="22"/>
              </w:rPr>
              <w:t xml:space="preserve"> 2 mg treatment is initiated with one </w:t>
            </w:r>
            <w:r>
              <w:rPr>
                <w:szCs w:val="22"/>
              </w:rPr>
              <w:t>Afqlir/</w:t>
            </w:r>
            <w:r w:rsidRPr="00184BD0">
              <w:rPr>
                <w:szCs w:val="22"/>
              </w:rPr>
              <w:t xml:space="preserve"> Enzeevu</w:t>
            </w:r>
            <w:r w:rsidR="00156BC1" w:rsidRPr="00156BC1">
              <w:rPr>
                <w:szCs w:val="22"/>
              </w:rPr>
              <w:t xml:space="preserve"> 2 mg injection per month for three</w:t>
            </w:r>
            <w:r w:rsidR="00156BC1">
              <w:rPr>
                <w:szCs w:val="22"/>
              </w:rPr>
              <w:t xml:space="preserve"> </w:t>
            </w:r>
            <w:r w:rsidR="00156BC1" w:rsidRPr="00156BC1">
              <w:rPr>
                <w:szCs w:val="22"/>
              </w:rPr>
              <w:t>consecutive months. After the first three monthly injections, the treatment interval may be</w:t>
            </w:r>
            <w:r w:rsidR="00156BC1">
              <w:rPr>
                <w:szCs w:val="22"/>
              </w:rPr>
              <w:t xml:space="preserve"> </w:t>
            </w:r>
            <w:r w:rsidR="00156BC1" w:rsidRPr="00156BC1">
              <w:rPr>
                <w:szCs w:val="22"/>
              </w:rPr>
              <w:t>adjusted based on visual and/or anatomic outcomes.</w:t>
            </w:r>
          </w:p>
          <w:p w14:paraId="022CFE56" w14:textId="77777777" w:rsidR="006D1623" w:rsidRPr="006D1623" w:rsidRDefault="006D1623" w:rsidP="006D1623">
            <w:pPr>
              <w:rPr>
                <w:b/>
                <w:bCs/>
                <w:i/>
                <w:iCs/>
                <w:szCs w:val="22"/>
              </w:rPr>
            </w:pPr>
            <w:r w:rsidRPr="006D1623">
              <w:rPr>
                <w:b/>
                <w:bCs/>
                <w:i/>
                <w:iCs/>
                <w:szCs w:val="22"/>
              </w:rPr>
              <w:t>Treatment of diabetic macular oedema (DME)</w:t>
            </w:r>
          </w:p>
          <w:p w14:paraId="3BC6D416" w14:textId="08491CB2" w:rsidR="00156BC1" w:rsidRDefault="00184BD0" w:rsidP="006D1623">
            <w:pPr>
              <w:rPr>
                <w:szCs w:val="22"/>
              </w:rPr>
            </w:pPr>
            <w:r>
              <w:rPr>
                <w:szCs w:val="22"/>
              </w:rPr>
              <w:t xml:space="preserve">Afqlir/ </w:t>
            </w:r>
            <w:r w:rsidRPr="00184BD0">
              <w:rPr>
                <w:szCs w:val="22"/>
              </w:rPr>
              <w:t>Enzeevu</w:t>
            </w:r>
            <w:r w:rsidR="006D1623" w:rsidRPr="006D1623">
              <w:rPr>
                <w:szCs w:val="22"/>
              </w:rPr>
              <w:t xml:space="preserve"> 2 mg treatment is initiated with one </w:t>
            </w:r>
            <w:r>
              <w:rPr>
                <w:szCs w:val="22"/>
              </w:rPr>
              <w:t xml:space="preserve">Afqlir/ </w:t>
            </w:r>
            <w:r w:rsidRPr="00184BD0">
              <w:rPr>
                <w:szCs w:val="22"/>
              </w:rPr>
              <w:t>Enzeevu</w:t>
            </w:r>
            <w:r w:rsidR="006D1623" w:rsidRPr="006D1623">
              <w:rPr>
                <w:szCs w:val="22"/>
              </w:rPr>
              <w:t xml:space="preserve"> 2 mg injection per month for five</w:t>
            </w:r>
            <w:r w:rsidR="006D1623">
              <w:rPr>
                <w:szCs w:val="22"/>
              </w:rPr>
              <w:t xml:space="preserve"> </w:t>
            </w:r>
            <w:r w:rsidR="006D1623" w:rsidRPr="006D1623">
              <w:rPr>
                <w:szCs w:val="22"/>
              </w:rPr>
              <w:t>consecutive months.</w:t>
            </w:r>
          </w:p>
          <w:p w14:paraId="4D89332A" w14:textId="3BD7BEB9" w:rsidR="00CF6BB8" w:rsidRPr="00CF6BB8" w:rsidRDefault="00CF6BB8" w:rsidP="00CF6BB8">
            <w:pPr>
              <w:rPr>
                <w:b/>
                <w:bCs/>
                <w:i/>
                <w:iCs/>
                <w:szCs w:val="22"/>
              </w:rPr>
            </w:pPr>
            <w:r w:rsidRPr="00CF6BB8">
              <w:rPr>
                <w:b/>
                <w:bCs/>
                <w:i/>
                <w:iCs/>
                <w:szCs w:val="22"/>
              </w:rPr>
              <w:t>Treatment of visual impairment due to myopic choroidal neovascularisation (myopic</w:t>
            </w:r>
            <w:r>
              <w:rPr>
                <w:b/>
                <w:bCs/>
                <w:i/>
                <w:iCs/>
                <w:szCs w:val="22"/>
              </w:rPr>
              <w:t xml:space="preserve"> </w:t>
            </w:r>
            <w:r w:rsidRPr="00CF6BB8">
              <w:rPr>
                <w:b/>
                <w:bCs/>
                <w:i/>
                <w:iCs/>
                <w:szCs w:val="22"/>
              </w:rPr>
              <w:t>CNV)</w:t>
            </w:r>
          </w:p>
          <w:p w14:paraId="384BA308" w14:textId="6FB196DF" w:rsidR="00156BC1" w:rsidRDefault="00184BD0" w:rsidP="00CF6BB8">
            <w:pPr>
              <w:rPr>
                <w:szCs w:val="22"/>
              </w:rPr>
            </w:pPr>
            <w:r>
              <w:rPr>
                <w:szCs w:val="22"/>
              </w:rPr>
              <w:t xml:space="preserve">Afqlir/ </w:t>
            </w:r>
            <w:r w:rsidRPr="00184BD0">
              <w:rPr>
                <w:szCs w:val="22"/>
              </w:rPr>
              <w:t>Enzeevu</w:t>
            </w:r>
            <w:r w:rsidR="00CF6BB8" w:rsidRPr="00CF6BB8">
              <w:rPr>
                <w:szCs w:val="22"/>
              </w:rPr>
              <w:t xml:space="preserve"> 2 mg treatment is initiated with one </w:t>
            </w:r>
            <w:r>
              <w:rPr>
                <w:szCs w:val="22"/>
              </w:rPr>
              <w:t xml:space="preserve">Afqlir/ </w:t>
            </w:r>
            <w:r w:rsidRPr="00184BD0">
              <w:rPr>
                <w:szCs w:val="22"/>
              </w:rPr>
              <w:t>Enzeevu</w:t>
            </w:r>
            <w:r w:rsidR="00CF6BB8" w:rsidRPr="00CF6BB8">
              <w:rPr>
                <w:szCs w:val="22"/>
              </w:rPr>
              <w:t xml:space="preserve"> 2 mg injection (equivalent to 50 </w:t>
            </w:r>
            <w:proofErr w:type="spellStart"/>
            <w:r w:rsidR="00CF6BB8" w:rsidRPr="00CF6BB8">
              <w:rPr>
                <w:szCs w:val="22"/>
              </w:rPr>
              <w:t>μL</w:t>
            </w:r>
            <w:proofErr w:type="spellEnd"/>
            <w:r w:rsidR="00CF6BB8" w:rsidRPr="00CF6BB8">
              <w:rPr>
                <w:szCs w:val="22"/>
              </w:rPr>
              <w:t>).</w:t>
            </w:r>
          </w:p>
          <w:p w14:paraId="3D0B2D5C" w14:textId="1B523C62" w:rsidR="00324B33" w:rsidRPr="00BD5DBD" w:rsidRDefault="00324B33" w:rsidP="006A646B">
            <w:pPr>
              <w:rPr>
                <w:szCs w:val="22"/>
              </w:rPr>
            </w:pPr>
            <w:r w:rsidRPr="00BD5DBD">
              <w:rPr>
                <w:szCs w:val="22"/>
              </w:rPr>
              <w:t xml:space="preserve">For further information regarding dosage, </w:t>
            </w:r>
            <w:r w:rsidR="006B7126">
              <w:rPr>
                <w:szCs w:val="22"/>
              </w:rPr>
              <w:t xml:space="preserve">such as dosage modifications to manage adverse reactions, </w:t>
            </w:r>
            <w:r w:rsidRPr="00BD5DBD">
              <w:rPr>
                <w:szCs w:val="22"/>
              </w:rPr>
              <w:t>refer to the Product Information.</w:t>
            </w:r>
          </w:p>
        </w:tc>
      </w:tr>
      <w:tr w:rsidR="0017005C" w:rsidRPr="00BD5DBD" w14:paraId="7B7BB6AE" w14:textId="77777777" w:rsidTr="52659129">
        <w:tc>
          <w:tcPr>
            <w:tcW w:w="1577" w:type="pct"/>
          </w:tcPr>
          <w:p w14:paraId="3A76AFF7" w14:textId="7C436DD9" w:rsidR="0017005C" w:rsidRPr="00F8083B" w:rsidRDefault="0070330F" w:rsidP="0017005C">
            <w:r w:rsidRPr="00BD5DBD">
              <w:rPr>
                <w:i/>
                <w:szCs w:val="22"/>
              </w:rPr>
              <w:t>Pregnancy category:</w:t>
            </w:r>
          </w:p>
        </w:tc>
        <w:tc>
          <w:tcPr>
            <w:tcW w:w="3423" w:type="pct"/>
          </w:tcPr>
          <w:p w14:paraId="53C79A83" w14:textId="1FEBC57E" w:rsidR="00EC7725" w:rsidRPr="00EC7725" w:rsidRDefault="00EC7725" w:rsidP="00EC7725">
            <w:r w:rsidRPr="00EC7725">
              <w:t>Category D</w:t>
            </w:r>
          </w:p>
          <w:p w14:paraId="2E0D5F10" w14:textId="5D598417" w:rsidR="00EC7725" w:rsidRPr="00EC7725" w:rsidRDefault="00EC7725" w:rsidP="00EC7725">
            <w:r w:rsidRPr="00EC7725">
              <w:t>There are limited data on the use of aflibercept in pregnant women. Women of childbearing</w:t>
            </w:r>
            <w:r>
              <w:t xml:space="preserve"> </w:t>
            </w:r>
            <w:r w:rsidRPr="00EC7725">
              <w:t xml:space="preserve">potential </w:t>
            </w:r>
            <w:proofErr w:type="gramStart"/>
            <w:r w:rsidRPr="00EC7725">
              <w:t>have to</w:t>
            </w:r>
            <w:proofErr w:type="gramEnd"/>
            <w:r w:rsidRPr="00EC7725">
              <w:t xml:space="preserve"> use effective contraception during treatment and for at least 3 months after</w:t>
            </w:r>
            <w:r>
              <w:t xml:space="preserve"> </w:t>
            </w:r>
            <w:r w:rsidRPr="00EC7725">
              <w:t>the last intravitreal injection of aflibercept 2 mg.</w:t>
            </w:r>
          </w:p>
          <w:p w14:paraId="638338BB" w14:textId="2502CF94" w:rsidR="00EC7725" w:rsidRPr="00EC7725" w:rsidRDefault="00FC4F1B" w:rsidP="00EC7725">
            <w:r>
              <w:t>Enzeevu</w:t>
            </w:r>
            <w:r w:rsidR="00EC7725" w:rsidRPr="00EC7725">
              <w:t xml:space="preserve"> should not be used during pregnancy unless the potential benefit outweighs the</w:t>
            </w:r>
            <w:r w:rsidR="00EC7725">
              <w:t xml:space="preserve"> </w:t>
            </w:r>
            <w:r w:rsidR="00EC7725" w:rsidRPr="00EC7725">
              <w:t>potential risk to the foetus. The treating ophthalmologist in consultation with the treating</w:t>
            </w:r>
            <w:r w:rsidR="00EC7725">
              <w:t xml:space="preserve"> </w:t>
            </w:r>
            <w:r w:rsidR="00EC7725" w:rsidRPr="00EC7725">
              <w:t>obstetrician need to consider the individual benefit-risk balance for each patient. This includes</w:t>
            </w:r>
            <w:r w:rsidR="00EC7725">
              <w:t xml:space="preserve"> </w:t>
            </w:r>
            <w:r w:rsidR="00EC7725" w:rsidRPr="00EC7725">
              <w:t>a consideration of timing of treatment, delaying treatment and other potential treatment options.</w:t>
            </w:r>
          </w:p>
          <w:p w14:paraId="4817F4F4" w14:textId="1A04201D" w:rsidR="00000E6E" w:rsidRPr="00BD5DBD" w:rsidRDefault="00EC7725" w:rsidP="00EC7725">
            <w:pPr>
              <w:rPr>
                <w:szCs w:val="22"/>
              </w:rPr>
            </w:pPr>
            <w:r w:rsidRPr="00EC7725">
              <w:lastRenderedPageBreak/>
              <w:t>Studies in animals have shown reproductive toxicity, including a series of external, visceral,</w:t>
            </w:r>
            <w:r w:rsidR="00CE7AF0">
              <w:t xml:space="preserve"> </w:t>
            </w:r>
            <w:r w:rsidRPr="00EC7725">
              <w:t>skeletal malformations, after systemic administration.</w:t>
            </w:r>
          </w:p>
          <w:p w14:paraId="76497789" w14:textId="634DC28C" w:rsidR="0017005C" w:rsidRPr="00BD5DBD" w:rsidRDefault="0070330F" w:rsidP="00306E72">
            <w:pPr>
              <w:rPr>
                <w:szCs w:val="22"/>
              </w:rPr>
            </w:pPr>
            <w:r w:rsidRPr="00BD5DBD">
              <w:rPr>
                <w:szCs w:val="22"/>
              </w:rPr>
              <w:t xml:space="preserve">The use of any medicine during pregnancy requires careful consideration of both risks and benefits by the treating health professional. </w:t>
            </w:r>
            <w:r w:rsidR="00721059">
              <w:rPr>
                <w:szCs w:val="22"/>
              </w:rPr>
              <w:t xml:space="preserve">The </w:t>
            </w:r>
            <w:hyperlink r:id="rId21" w:history="1">
              <w:r w:rsidR="00721059" w:rsidRPr="00065FDF">
                <w:rPr>
                  <w:rStyle w:val="Hyperlink"/>
                  <w:szCs w:val="22"/>
                </w:rPr>
                <w:t>pregnancy database</w:t>
              </w:r>
            </w:hyperlink>
            <w:r w:rsidR="00387984">
              <w:t xml:space="preserve"> </w:t>
            </w:r>
            <w:r w:rsidRPr="00BD5DBD">
              <w:rPr>
                <w:szCs w:val="22"/>
              </w:rPr>
              <w:t xml:space="preserve">must not be used as the sole basis of decision making in the use of medicines during pregnancy. The TGA does not provide advice on the use of medicines in pregnancy for specific cases. More information is available from </w:t>
            </w:r>
            <w:hyperlink r:id="rId22" w:history="1">
              <w:r w:rsidRPr="00C059D0">
                <w:rPr>
                  <w:rStyle w:val="Hyperlink"/>
                  <w:szCs w:val="22"/>
                </w:rPr>
                <w:t>obstetric drug information services</w:t>
              </w:r>
            </w:hyperlink>
            <w:r w:rsidRPr="00BD5DBD">
              <w:rPr>
                <w:szCs w:val="22"/>
              </w:rPr>
              <w:t xml:space="preserve"> in your </w:t>
            </w:r>
            <w:r w:rsidR="00306E72">
              <w:rPr>
                <w:szCs w:val="22"/>
              </w:rPr>
              <w:t>s</w:t>
            </w:r>
            <w:r w:rsidRPr="00BD5DBD">
              <w:rPr>
                <w:szCs w:val="22"/>
              </w:rPr>
              <w:t xml:space="preserve">tate or </w:t>
            </w:r>
            <w:r w:rsidR="00306E72">
              <w:rPr>
                <w:szCs w:val="22"/>
              </w:rPr>
              <w:t>t</w:t>
            </w:r>
            <w:r w:rsidRPr="00BD5DBD">
              <w:rPr>
                <w:szCs w:val="22"/>
              </w:rPr>
              <w:t>erritory.</w:t>
            </w:r>
          </w:p>
        </w:tc>
      </w:tr>
    </w:tbl>
    <w:p w14:paraId="51F2479F" w14:textId="1E34B277" w:rsidR="00324B33" w:rsidRDefault="00324B33" w:rsidP="00324B33">
      <w:pPr>
        <w:pStyle w:val="Heading3"/>
      </w:pPr>
      <w:bookmarkStart w:id="14" w:name="_Toc247691503"/>
      <w:bookmarkStart w:id="15" w:name="_Toc314842484"/>
      <w:bookmarkStart w:id="16" w:name="_Toc103679290"/>
      <w:bookmarkStart w:id="17" w:name="_Toc210745489"/>
      <w:r>
        <w:lastRenderedPageBreak/>
        <w:t>Product background</w:t>
      </w:r>
      <w:bookmarkEnd w:id="14"/>
      <w:bookmarkEnd w:id="15"/>
      <w:bookmarkEnd w:id="16"/>
      <w:bookmarkEnd w:id="17"/>
    </w:p>
    <w:p w14:paraId="59BF31D1" w14:textId="60521CF5" w:rsidR="001500A8" w:rsidRPr="00065839" w:rsidRDefault="00324B33" w:rsidP="00044999">
      <w:r w:rsidRPr="00065839">
        <w:t xml:space="preserve">This AusPAR describes the submission by </w:t>
      </w:r>
      <w:r w:rsidR="00E346A5">
        <w:t xml:space="preserve">Sandoz Pty Ltd </w:t>
      </w:r>
      <w:r w:rsidRPr="00065839">
        <w:t xml:space="preserve">to register </w:t>
      </w:r>
      <w:r w:rsidR="00FA15AD" w:rsidRPr="00FA15AD">
        <w:t>Afqlir</w:t>
      </w:r>
      <w:r w:rsidR="008C2121">
        <w:t xml:space="preserve"> and</w:t>
      </w:r>
      <w:r w:rsidR="00FA15AD" w:rsidRPr="00FA15AD">
        <w:t xml:space="preserve"> Enzeevu</w:t>
      </w:r>
      <w:r w:rsidRPr="00065839">
        <w:t xml:space="preserve"> (</w:t>
      </w:r>
      <w:r w:rsidR="00A50F53" w:rsidRPr="00A50F53">
        <w:t>aflibercept</w:t>
      </w:r>
      <w:r w:rsidRPr="00065839">
        <w:t xml:space="preserve">) </w:t>
      </w:r>
      <w:r w:rsidR="00044999" w:rsidRPr="00044999">
        <w:t xml:space="preserve">40 mg/mL, </w:t>
      </w:r>
      <w:r w:rsidR="00044999">
        <w:t>in a v</w:t>
      </w:r>
      <w:r w:rsidR="00044999" w:rsidRPr="00044999">
        <w:t xml:space="preserve">ial containing 50 </w:t>
      </w:r>
      <w:proofErr w:type="spellStart"/>
      <w:r w:rsidR="00044999" w:rsidRPr="00044999">
        <w:t>μL</w:t>
      </w:r>
      <w:proofErr w:type="spellEnd"/>
      <w:r w:rsidR="00044999" w:rsidRPr="00044999">
        <w:t xml:space="preserve"> (2 mg)</w:t>
      </w:r>
      <w:r w:rsidR="00044999">
        <w:t xml:space="preserve"> </w:t>
      </w:r>
      <w:r w:rsidR="00044999" w:rsidRPr="00044999">
        <w:t>aflibercept</w:t>
      </w:r>
      <w:r w:rsidR="00044999">
        <w:t xml:space="preserve"> or a p</w:t>
      </w:r>
      <w:r w:rsidR="00044999" w:rsidRPr="00044999">
        <w:t xml:space="preserve">re-filled syringe containing 50 </w:t>
      </w:r>
      <w:proofErr w:type="spellStart"/>
      <w:r w:rsidR="00FF5243" w:rsidRPr="00FF5243">
        <w:t>μL</w:t>
      </w:r>
      <w:proofErr w:type="spellEnd"/>
      <w:r w:rsidR="00FF5243" w:rsidRPr="00FF5243">
        <w:t xml:space="preserve"> </w:t>
      </w:r>
      <w:r w:rsidR="00044999" w:rsidRPr="00044999">
        <w:t xml:space="preserve">(2 mg) aflibercept </w:t>
      </w:r>
      <w:r w:rsidRPr="00065839">
        <w:t>for the following proposed indication</w:t>
      </w:r>
      <w:r w:rsidR="00CF3F42">
        <w:t>s</w:t>
      </w:r>
      <w:r w:rsidRPr="00065839">
        <w:t>:</w:t>
      </w:r>
      <w:r w:rsidR="00D63760" w:rsidRPr="00065839">
        <w:rPr>
          <w:vertAlign w:val="superscript"/>
        </w:rPr>
        <w:footnoteReference w:id="1"/>
      </w:r>
    </w:p>
    <w:p w14:paraId="345315A3" w14:textId="7E58B21B" w:rsidR="00CC7707" w:rsidRPr="004855AB" w:rsidRDefault="00E35226" w:rsidP="006338F0">
      <w:pPr>
        <w:rPr>
          <w:i/>
          <w:iCs/>
        </w:rPr>
      </w:pPr>
      <w:r w:rsidRPr="00E35226">
        <w:rPr>
          <w:i/>
          <w:iCs/>
        </w:rPr>
        <w:t>Afqlir</w:t>
      </w:r>
      <w:r w:rsidR="00DA44C7">
        <w:rPr>
          <w:i/>
          <w:iCs/>
        </w:rPr>
        <w:t>/</w:t>
      </w:r>
      <w:r w:rsidRPr="00E35226">
        <w:rPr>
          <w:i/>
          <w:iCs/>
        </w:rPr>
        <w:t xml:space="preserve"> Enzeevu </w:t>
      </w:r>
      <w:r>
        <w:rPr>
          <w:i/>
          <w:iCs/>
        </w:rPr>
        <w:t>are i</w:t>
      </w:r>
      <w:r w:rsidR="00CC7707" w:rsidRPr="004855AB">
        <w:rPr>
          <w:i/>
          <w:iCs/>
        </w:rPr>
        <w:t xml:space="preserve">ndicated in adults for the treatment of: </w:t>
      </w:r>
    </w:p>
    <w:p w14:paraId="7271E9D9" w14:textId="2BB5B8EF" w:rsidR="00CC7707" w:rsidRPr="006338F0" w:rsidRDefault="00CC7707" w:rsidP="006338F0">
      <w:pPr>
        <w:pStyle w:val="ListBullet"/>
        <w:rPr>
          <w:i/>
          <w:iCs/>
        </w:rPr>
      </w:pPr>
      <w:r w:rsidRPr="006338F0">
        <w:rPr>
          <w:i/>
          <w:iCs/>
        </w:rPr>
        <w:t>neovascular (wet) age-related macular degeneration (wet AMD)</w:t>
      </w:r>
      <w:r w:rsidR="00DA44C7" w:rsidRPr="006338F0">
        <w:rPr>
          <w:i/>
          <w:iCs/>
        </w:rPr>
        <w:t>,</w:t>
      </w:r>
      <w:r w:rsidRPr="006338F0">
        <w:rPr>
          <w:i/>
          <w:iCs/>
        </w:rPr>
        <w:t xml:space="preserve"> </w:t>
      </w:r>
    </w:p>
    <w:p w14:paraId="17252FA8" w14:textId="75847DDD" w:rsidR="00CC7707" w:rsidRPr="006338F0" w:rsidRDefault="00CC7707" w:rsidP="006338F0">
      <w:pPr>
        <w:pStyle w:val="ListBullet"/>
        <w:rPr>
          <w:i/>
          <w:iCs/>
        </w:rPr>
      </w:pPr>
      <w:r w:rsidRPr="006338F0">
        <w:rPr>
          <w:i/>
          <w:iCs/>
        </w:rPr>
        <w:t>visual impairment due to macular oedema secondary to central retinal vein occlusion (CRVO)</w:t>
      </w:r>
      <w:r w:rsidR="00DA44C7" w:rsidRPr="006338F0">
        <w:rPr>
          <w:i/>
          <w:iCs/>
        </w:rPr>
        <w:t>,</w:t>
      </w:r>
    </w:p>
    <w:p w14:paraId="08A20365" w14:textId="76DD8DB4" w:rsidR="00CC7707" w:rsidRPr="006338F0" w:rsidRDefault="00CC7707" w:rsidP="006338F0">
      <w:pPr>
        <w:pStyle w:val="ListBullet"/>
        <w:rPr>
          <w:i/>
          <w:iCs/>
        </w:rPr>
      </w:pPr>
      <w:r w:rsidRPr="006338F0">
        <w:rPr>
          <w:i/>
          <w:iCs/>
        </w:rPr>
        <w:t>visual impairment due to macular oedema secondary to branch retinal vein occlusion (BRVO)</w:t>
      </w:r>
      <w:r w:rsidR="00DA44C7" w:rsidRPr="006338F0">
        <w:rPr>
          <w:i/>
          <w:iCs/>
        </w:rPr>
        <w:t>,</w:t>
      </w:r>
      <w:r w:rsidRPr="006338F0">
        <w:rPr>
          <w:i/>
          <w:iCs/>
        </w:rPr>
        <w:t xml:space="preserve"> </w:t>
      </w:r>
    </w:p>
    <w:p w14:paraId="61B6C7D9" w14:textId="77777777" w:rsidR="00CA5A55" w:rsidRPr="006338F0" w:rsidRDefault="00CC7707" w:rsidP="006338F0">
      <w:pPr>
        <w:pStyle w:val="ListBullet"/>
        <w:rPr>
          <w:i/>
          <w:iCs/>
        </w:rPr>
      </w:pPr>
      <w:r w:rsidRPr="006338F0">
        <w:rPr>
          <w:i/>
          <w:iCs/>
        </w:rPr>
        <w:t xml:space="preserve">diabetic macular oedema (DME) </w:t>
      </w:r>
    </w:p>
    <w:p w14:paraId="381168C4" w14:textId="75F561D3" w:rsidR="00CC7707" w:rsidRPr="006338F0" w:rsidRDefault="00CC7707" w:rsidP="006338F0">
      <w:pPr>
        <w:pStyle w:val="ListBullet"/>
        <w:rPr>
          <w:i/>
          <w:iCs/>
        </w:rPr>
      </w:pPr>
      <w:r w:rsidRPr="006338F0">
        <w:rPr>
          <w:i/>
          <w:iCs/>
        </w:rPr>
        <w:t xml:space="preserve">visual impairment due to myopic choroidal neovascularisation (myopic CNV). </w:t>
      </w:r>
    </w:p>
    <w:p w14:paraId="6A176BAB" w14:textId="3F79DB6F" w:rsidR="00621F42" w:rsidRDefault="00621F42" w:rsidP="00621F42">
      <w:pPr>
        <w:pStyle w:val="ListBullet"/>
        <w:numPr>
          <w:ilvl w:val="0"/>
          <w:numId w:val="0"/>
        </w:numPr>
      </w:pPr>
      <w:r w:rsidRPr="00AD3869">
        <w:t>This is a Category 1 Type A submission for a biosimilar product. The proposed drug</w:t>
      </w:r>
      <w:r w:rsidR="00FC4F1B">
        <w:t>s</w:t>
      </w:r>
      <w:r w:rsidRPr="00AD3869">
        <w:t xml:space="preserve"> </w:t>
      </w:r>
      <w:bookmarkStart w:id="18" w:name="_Hlk192517788"/>
      <w:r w:rsidR="00184BD0">
        <w:t>Afqlir</w:t>
      </w:r>
      <w:r w:rsidR="00FC4F1B">
        <w:t>/</w:t>
      </w:r>
      <w:r w:rsidRPr="00AD3869">
        <w:t xml:space="preserve"> </w:t>
      </w:r>
      <w:r w:rsidR="00FC4F1B">
        <w:t>Enzeevu</w:t>
      </w:r>
      <w:r w:rsidRPr="00AD3869">
        <w:t xml:space="preserve"> </w:t>
      </w:r>
      <w:bookmarkEnd w:id="18"/>
      <w:r w:rsidRPr="00AD3869">
        <w:t>(also referred to as SOK583) contain aflibercept 2mg as the active ingredient. The Australian (AU) reference product is E</w:t>
      </w:r>
      <w:r w:rsidR="00E93ABA">
        <w:t>ylea</w:t>
      </w:r>
      <w:r w:rsidRPr="00AD3869">
        <w:t xml:space="preserve"> 2mg (aflibercept).</w:t>
      </w:r>
    </w:p>
    <w:p w14:paraId="1E63A2AE" w14:textId="5FCD6C6F" w:rsidR="00CB6813" w:rsidRDefault="00005DFC" w:rsidP="00CB6813">
      <w:pPr>
        <w:pStyle w:val="Heading4"/>
      </w:pPr>
      <w:bookmarkStart w:id="19" w:name="_Toc210745490"/>
      <w:bookmarkStart w:id="20" w:name="_Toc314842485"/>
      <w:bookmarkStart w:id="21" w:name="_Toc247691504"/>
      <w:r>
        <w:t>D</w:t>
      </w:r>
      <w:r w:rsidR="00CB6813" w:rsidRPr="00C12D65">
        <w:t>isease</w:t>
      </w:r>
      <w:r w:rsidR="006428C5">
        <w:t xml:space="preserve"> or condition</w:t>
      </w:r>
      <w:bookmarkEnd w:id="19"/>
    </w:p>
    <w:p w14:paraId="5D81D141" w14:textId="77777777" w:rsidR="00054F5D" w:rsidRPr="00054F5D" w:rsidRDefault="00054F5D" w:rsidP="00D8493C">
      <w:pPr>
        <w:pStyle w:val="Heading6"/>
      </w:pPr>
      <w:r w:rsidRPr="00054F5D">
        <w:t>Neovascular age-related macular degeneration</w:t>
      </w:r>
    </w:p>
    <w:p w14:paraId="5845A01A" w14:textId="04F858A8" w:rsidR="00054F5D" w:rsidRPr="00054F5D" w:rsidRDefault="00054F5D" w:rsidP="00054F5D">
      <w:r w:rsidRPr="00054F5D">
        <w:t>Age-related macular degeneration (AMD) is a progressive degenerative disease of the photoreceptors of the macula and the supporting retinal pigment epithelium. The disease is characterised by loss of central vision and is the most common cause of severe central vision loss and legal blindness among adults in the Western world. An estimated 15% of people with AMD progress to legal blindness. Age related macular degeneration (AMD) is a leading cause of irreversible blindness among the elderly population in Australia, and internationally</w:t>
      </w:r>
      <w:r w:rsidR="00D5068D" w:rsidRPr="001024FD">
        <w:rPr>
          <w:rStyle w:val="FootnoteReference"/>
        </w:rPr>
        <w:footnoteReference w:id="2"/>
      </w:r>
      <w:r w:rsidR="001024FD" w:rsidRPr="001024FD">
        <w:rPr>
          <w:vertAlign w:val="superscript"/>
        </w:rPr>
        <w:t>,</w:t>
      </w:r>
      <w:r w:rsidR="00672832" w:rsidRPr="001024FD">
        <w:rPr>
          <w:rStyle w:val="FootnoteReference"/>
        </w:rPr>
        <w:footnoteReference w:id="3"/>
      </w:r>
      <w:r w:rsidRPr="00054F5D">
        <w:t xml:space="preserve"> and is likely to increase as the population ages. It poses a significant financial burden to the Australia economy.</w:t>
      </w:r>
    </w:p>
    <w:p w14:paraId="021BD818" w14:textId="77777777" w:rsidR="00054F5D" w:rsidRPr="00054F5D" w:rsidRDefault="00054F5D" w:rsidP="00054F5D">
      <w:r w:rsidRPr="00054F5D">
        <w:lastRenderedPageBreak/>
        <w:t xml:space="preserve">Whilst pathogenesis is not well understood, it is thought to be multifactorial and polygenic, with age as the single most important risk factor. AMD occurs in two forms, non-neovascular (also known as dry, or non-exudative) and neovascular (also known as wet, or exudative). Non-neovascular AMD is the more common form, occurring in 75% of AMD patients, and can progress to neovascular AMD in a minority of patients. The non-neovascular form is characterized by yellow deposits under the retina (drusen), changes in the retinal pigment epithelium (RPE) and geographic atrophy. </w:t>
      </w:r>
    </w:p>
    <w:p w14:paraId="013DD19C" w14:textId="77777777" w:rsidR="00054F5D" w:rsidRPr="00054F5D" w:rsidRDefault="00054F5D" w:rsidP="00054F5D">
      <w:r w:rsidRPr="00054F5D">
        <w:t xml:space="preserve">Neovascular AMD occurs when neovascular vessels from the choroid grow through defects in Bruch’s membrane and proliferate underneath the retinal pigment epithelium or the retina. The exudate from these vessels results in the elevation of the retina due to oedema resulting in visual distortion. Repeated haemorrhages can lead to fibrosis, macular scar formation, and permanent vision loss. </w:t>
      </w:r>
    </w:p>
    <w:p w14:paraId="3B9F0CB1" w14:textId="6773E593" w:rsidR="00054F5D" w:rsidRPr="00054F5D" w:rsidRDefault="00054F5D" w:rsidP="00054F5D">
      <w:r w:rsidRPr="00054F5D">
        <w:t xml:space="preserve">First line treatment involves intravitreal injections of </w:t>
      </w:r>
      <w:r w:rsidR="004B08C3">
        <w:t>anti-v</w:t>
      </w:r>
      <w:r w:rsidR="00D25D1D" w:rsidRPr="00D25D1D">
        <w:t>ascular endothelial-derived growth factor</w:t>
      </w:r>
      <w:r w:rsidR="004B08C3">
        <w:t xml:space="preserve"> (</w:t>
      </w:r>
      <w:r w:rsidRPr="00054F5D">
        <w:t>anti-VEGF</w:t>
      </w:r>
      <w:r w:rsidR="004B08C3">
        <w:t>)</w:t>
      </w:r>
      <w:r w:rsidRPr="00054F5D">
        <w:t xml:space="preserve"> agents, which causes regression of neovascular membranes and improves visual acuity. Photodynamic therapy is an alternative treatment option.</w:t>
      </w:r>
      <w:r w:rsidR="00615740" w:rsidRPr="00615740">
        <w:rPr>
          <w:vertAlign w:val="superscript"/>
        </w:rPr>
        <w:t>2,</w:t>
      </w:r>
      <w:r w:rsidR="00411849">
        <w:rPr>
          <w:rStyle w:val="FootnoteReference"/>
        </w:rPr>
        <w:footnoteReference w:id="4"/>
      </w:r>
      <w:r w:rsidR="00615740">
        <w:rPr>
          <w:vertAlign w:val="superscript"/>
        </w:rPr>
        <w:t>,</w:t>
      </w:r>
      <w:r w:rsidR="00615740">
        <w:rPr>
          <w:rStyle w:val="FootnoteReference"/>
        </w:rPr>
        <w:footnoteReference w:id="5"/>
      </w:r>
      <w:r w:rsidRPr="00054F5D">
        <w:t xml:space="preserve"> </w:t>
      </w:r>
    </w:p>
    <w:p w14:paraId="5FB6A38E" w14:textId="77777777" w:rsidR="00054F5D" w:rsidRPr="00EE2AB1" w:rsidRDefault="00054F5D" w:rsidP="00D8493C">
      <w:pPr>
        <w:pStyle w:val="Heading6"/>
      </w:pPr>
      <w:r w:rsidRPr="00EE2AB1">
        <w:t>Macular oedema secondary to retinal vein occlusion (branch or central)</w:t>
      </w:r>
    </w:p>
    <w:p w14:paraId="7CAD73B2" w14:textId="0A62B2DF" w:rsidR="00054F5D" w:rsidRPr="00054F5D" w:rsidRDefault="00054F5D" w:rsidP="00054F5D">
      <w:r w:rsidRPr="00054F5D">
        <w:t xml:space="preserve">Retinal vein occlusion (RVO) is an important cause of visual loss globally; the prevalence increases with age. Classification depends on the anatomic location of the occlusion, with branch vein occlusion (BRVO) occurring more commonly than central retinal vein occlusion (CRVO), and </w:t>
      </w:r>
      <w:proofErr w:type="spellStart"/>
      <w:r w:rsidRPr="00054F5D">
        <w:t>hemiretinal</w:t>
      </w:r>
      <w:proofErr w:type="spellEnd"/>
      <w:r w:rsidRPr="00054F5D">
        <w:t xml:space="preserve"> vein occlusion (HRVO) being the least frequent form. Pathophysiology differs between BRVO and CRVO. BRVO is thought to be due an atherosclerotic arteriole occluding a vein at an arteriovenous crossing, whereas CRVO is thought to be due to primary formation of a thrombus occurring </w:t>
      </w:r>
      <w:r w:rsidR="00D65C46">
        <w:t>because</w:t>
      </w:r>
      <w:r w:rsidRPr="00054F5D">
        <w:t xml:space="preserve"> of impaired venous drainage. The effect of a RVO on visual acuity depends on the type and location of the occlusion, and the development of macular oedema. Other complications of a RVO can include neovascularisation and vitreous haemorrhage</w:t>
      </w:r>
      <w:r w:rsidR="00571D1D">
        <w:t>.</w:t>
      </w:r>
      <w:r w:rsidR="00571D1D">
        <w:rPr>
          <w:rStyle w:val="FootnoteReference"/>
        </w:rPr>
        <w:footnoteReference w:id="6"/>
      </w:r>
      <w:r w:rsidRPr="00054F5D">
        <w:t xml:space="preserve"> </w:t>
      </w:r>
      <w:r w:rsidR="00C02B31">
        <w:t>V</w:t>
      </w:r>
      <w:r w:rsidR="00C02B31" w:rsidRPr="00C02B31">
        <w:t xml:space="preserve">ascular endothelial-derived growth factor </w:t>
      </w:r>
      <w:r w:rsidR="00C02B31">
        <w:t>(</w:t>
      </w:r>
      <w:r w:rsidRPr="00054F5D">
        <w:t>VEGF</w:t>
      </w:r>
      <w:r w:rsidR="00C02B31">
        <w:t>)</w:t>
      </w:r>
      <w:r w:rsidRPr="00054F5D">
        <w:t xml:space="preserve"> is a cytokine released by hypoxic cells. It increases vascular permeability and leads to the development of macular oedema in vein occlusions.</w:t>
      </w:r>
    </w:p>
    <w:p w14:paraId="253C7032" w14:textId="31AB5019" w:rsidR="00054F5D" w:rsidRPr="00054F5D" w:rsidRDefault="00054F5D" w:rsidP="00054F5D">
      <w:r w:rsidRPr="00054F5D">
        <w:t>Anti-VEGF agents are the first-line therapy for macular oedema secondary to BRVO or CRVO. Second-line treatments include intravitreal glucocorticoid injection or laser photocoagulation</w:t>
      </w:r>
      <w:r w:rsidR="00450460">
        <w:t>.</w:t>
      </w:r>
      <w:r w:rsidR="00950F7E">
        <w:rPr>
          <w:rStyle w:val="FootnoteReference"/>
        </w:rPr>
        <w:footnoteReference w:id="7"/>
      </w:r>
      <w:r w:rsidRPr="00054F5D">
        <w:t xml:space="preserve"> </w:t>
      </w:r>
    </w:p>
    <w:p w14:paraId="1AA903CF" w14:textId="643B32D5" w:rsidR="00054F5D" w:rsidRPr="00EE2AB1" w:rsidRDefault="00054F5D" w:rsidP="00D8493C">
      <w:pPr>
        <w:pStyle w:val="Heading6"/>
      </w:pPr>
      <w:r w:rsidRPr="00EE2AB1">
        <w:t>Diabetic macular oedema</w:t>
      </w:r>
    </w:p>
    <w:p w14:paraId="6103E747" w14:textId="62C816FC" w:rsidR="00054F5D" w:rsidRPr="00054F5D" w:rsidRDefault="00054F5D" w:rsidP="00054F5D">
      <w:r w:rsidRPr="00054F5D">
        <w:t>Diabetic retinopathy (DR) is the principal cause of impaired vision in people aged between 25 and 74 years, with visual loss occurring due to macular oedema, haemorrhage, retinal detachment, or neovascular glaucoma. DR occurs as either a non-proliferative type or a proliferative (neovascular) type. Diabetic macular oedema can occur at any stage or severity of DR across both type</w:t>
      </w:r>
      <w:r w:rsidR="00D65C46">
        <w:t>s</w:t>
      </w:r>
      <w:r w:rsidR="00447875">
        <w:t>.</w:t>
      </w:r>
      <w:r w:rsidR="00447875">
        <w:rPr>
          <w:rStyle w:val="FootnoteReference"/>
        </w:rPr>
        <w:footnoteReference w:id="8"/>
      </w:r>
      <w:r w:rsidRPr="00054F5D">
        <w:t xml:space="preserve">  </w:t>
      </w:r>
    </w:p>
    <w:p w14:paraId="6DCC68C8" w14:textId="1177CCF1" w:rsidR="00054F5D" w:rsidRPr="00054F5D" w:rsidRDefault="00054F5D" w:rsidP="00054F5D">
      <w:r w:rsidRPr="00054F5D">
        <w:lastRenderedPageBreak/>
        <w:t xml:space="preserve">The physiopathology of DR and diabetic macular oedema (DMO) is complex and poorly understood. High levels of VEGF-A have been identified in the retina and vitreous of patients with DMO and DR. This signal protein increases vascular permeability and progression from non-proliferative diabetic retinopathy (NPDR) to proliferative diabetic retinopathy (PDR).  </w:t>
      </w:r>
    </w:p>
    <w:p w14:paraId="55DCA044" w14:textId="2BE30AB8" w:rsidR="00054F5D" w:rsidRPr="00054F5D" w:rsidRDefault="00054F5D" w:rsidP="00054F5D">
      <w:r w:rsidRPr="00054F5D">
        <w:t>Intravitreal anti-VEGF agents are considered the first-line treatment for DMO and can be combined with adjunct laser photocoagulation therapy. Intravitreal glucocorticoids are used first-line in some patient populations, or second line for DMO refractory to anti-VEGF and laser photocoagulation therapy. Vitrectomy is an option for those unresponsive to medical therapy.</w:t>
      </w:r>
      <w:r w:rsidR="00A21F5C">
        <w:rPr>
          <w:rStyle w:val="FootnoteReference"/>
        </w:rPr>
        <w:footnoteReference w:id="9"/>
      </w:r>
      <w:r w:rsidRPr="00054F5D">
        <w:t xml:space="preserve"> </w:t>
      </w:r>
    </w:p>
    <w:p w14:paraId="0BFD21DB" w14:textId="77777777" w:rsidR="00054F5D" w:rsidRPr="00EE2AB1" w:rsidRDefault="00054F5D" w:rsidP="00D8493C">
      <w:pPr>
        <w:pStyle w:val="Heading6"/>
      </w:pPr>
      <w:r w:rsidRPr="00EE2AB1">
        <w:t>Myopic choroidal neovascularisation</w:t>
      </w:r>
    </w:p>
    <w:p w14:paraId="0908772C" w14:textId="26F5EA2F" w:rsidR="00054F5D" w:rsidRPr="00054F5D" w:rsidRDefault="00054F5D" w:rsidP="00054F5D">
      <w:r w:rsidRPr="00054F5D">
        <w:t xml:space="preserve">Pathologic myopia </w:t>
      </w:r>
      <w:r w:rsidR="007E2CFA">
        <w:t xml:space="preserve">(PM) </w:t>
      </w:r>
      <w:r w:rsidRPr="00054F5D">
        <w:t xml:space="preserve">is a possible consequence of myopia, particularly in eyes with high myopia (spherical equivalent of at least 6.0 dioptres). It is characterised with degenerative macular changes that present with different patterns of </w:t>
      </w:r>
      <w:proofErr w:type="spellStart"/>
      <w:r w:rsidRPr="00054F5D">
        <w:t>chorioretinal</w:t>
      </w:r>
      <w:proofErr w:type="spellEnd"/>
      <w:r w:rsidRPr="00054F5D">
        <w:t xml:space="preserve"> atrophy. It has been suggested that PM is characterized by progressive elongation of the globe and abnormal choroidal vasculature with additional degenerative changes. The presence of ‘</w:t>
      </w:r>
      <w:proofErr w:type="spellStart"/>
      <w:r w:rsidRPr="00054F5D">
        <w:t>plus’</w:t>
      </w:r>
      <w:proofErr w:type="spellEnd"/>
      <w:r w:rsidRPr="00054F5D">
        <w:t xml:space="preserve"> lesions, which include lacquer cracks, myopic </w:t>
      </w:r>
      <w:r w:rsidR="00B4045B">
        <w:t>CNV</w:t>
      </w:r>
      <w:r w:rsidRPr="00054F5D">
        <w:t xml:space="preserve">, and Fuchs’ spots, may lead to central vision loss. </w:t>
      </w:r>
    </w:p>
    <w:p w14:paraId="24D097B2" w14:textId="77777777" w:rsidR="00054F5D" w:rsidRPr="00054F5D" w:rsidRDefault="00054F5D" w:rsidP="00054F5D">
      <w:r w:rsidRPr="00054F5D">
        <w:t xml:space="preserve">Myopic CNV recurs frequently, is usually bilateral, and has a poor long-term prognosis even with treatment. Although the pathogenesis of myopic CNV is not entirely clear, VEGF has been shown to be elevated in the aqueous humour and its role implicated in the active stages of the disease characterised by </w:t>
      </w:r>
      <w:proofErr w:type="spellStart"/>
      <w:r w:rsidRPr="00054F5D">
        <w:t>neovessel</w:t>
      </w:r>
      <w:proofErr w:type="spellEnd"/>
      <w:r w:rsidRPr="00054F5D">
        <w:t xml:space="preserve"> formation. </w:t>
      </w:r>
    </w:p>
    <w:p w14:paraId="715850CB" w14:textId="77777777" w:rsidR="00054F5D" w:rsidRPr="00054F5D" w:rsidRDefault="00054F5D" w:rsidP="00054F5D">
      <w:r w:rsidRPr="00054F5D">
        <w:t xml:space="preserve">Anti-VEGF therapy is the first-line treatment for myopic CNV; however, effectiveness can gradually decline after the initial several years of disease treatment. Photodynamic therapy is an alternative but inferior therapy option. </w:t>
      </w:r>
    </w:p>
    <w:p w14:paraId="255E083A" w14:textId="77777777" w:rsidR="00CB6813" w:rsidRDefault="00CB6813" w:rsidP="00CB6813">
      <w:pPr>
        <w:pStyle w:val="Heading4"/>
      </w:pPr>
      <w:bookmarkStart w:id="23" w:name="_Toc210745491"/>
      <w:r>
        <w:t>Current treatment options</w:t>
      </w:r>
      <w:bookmarkEnd w:id="23"/>
    </w:p>
    <w:p w14:paraId="25BD7E53" w14:textId="77777777" w:rsidR="003313C3" w:rsidRPr="003313C3" w:rsidRDefault="003313C3" w:rsidP="003313C3">
      <w:r w:rsidRPr="003313C3">
        <w:t>Anti-VEGF agents currently approved in Australia for the same indications proposed for SOK583 are:</w:t>
      </w:r>
    </w:p>
    <w:p w14:paraId="71A3FC35" w14:textId="0026BCA2" w:rsidR="003313C3" w:rsidRPr="003313C3" w:rsidRDefault="003313C3" w:rsidP="003313C3">
      <w:pPr>
        <w:pStyle w:val="ListBullet"/>
      </w:pPr>
      <w:r w:rsidRPr="003313C3">
        <w:t>aflibercept 2mg (E</w:t>
      </w:r>
      <w:r w:rsidR="002F7767">
        <w:t>ylea</w:t>
      </w:r>
      <w:r w:rsidRPr="003313C3">
        <w:t>), and aflibercept 2mg (</w:t>
      </w:r>
      <w:proofErr w:type="spellStart"/>
      <w:r w:rsidRPr="003313C3">
        <w:t>P</w:t>
      </w:r>
      <w:r w:rsidR="002F7767">
        <w:t>avblu</w:t>
      </w:r>
      <w:proofErr w:type="spellEnd"/>
      <w:r w:rsidRPr="003313C3">
        <w:t>/</w:t>
      </w:r>
      <w:r w:rsidR="002F7767">
        <w:t xml:space="preserve"> </w:t>
      </w:r>
      <w:proofErr w:type="spellStart"/>
      <w:r w:rsidRPr="003313C3">
        <w:t>E</w:t>
      </w:r>
      <w:r w:rsidR="002F7767">
        <w:t>yzurci</w:t>
      </w:r>
      <w:proofErr w:type="spellEnd"/>
      <w:r w:rsidRPr="003313C3">
        <w:t xml:space="preserve">) approved for: </w:t>
      </w:r>
    </w:p>
    <w:p w14:paraId="3B0F7717" w14:textId="77777777" w:rsidR="003313C3" w:rsidRPr="003313C3" w:rsidRDefault="003313C3" w:rsidP="003313C3">
      <w:pPr>
        <w:pStyle w:val="ListBullet2"/>
      </w:pPr>
      <w:r w:rsidRPr="003313C3">
        <w:t>neovascular AMD</w:t>
      </w:r>
    </w:p>
    <w:p w14:paraId="5B586E51" w14:textId="77777777" w:rsidR="003313C3" w:rsidRPr="003313C3" w:rsidRDefault="003313C3" w:rsidP="003313C3">
      <w:pPr>
        <w:pStyle w:val="ListBullet2"/>
      </w:pPr>
      <w:r w:rsidRPr="003313C3">
        <w:t>macular oedema secondary to BRVO or CRVO</w:t>
      </w:r>
    </w:p>
    <w:p w14:paraId="6A8D05C5" w14:textId="3AA637B4" w:rsidR="003313C3" w:rsidRPr="003313C3" w:rsidRDefault="003313C3" w:rsidP="003313C3">
      <w:pPr>
        <w:pStyle w:val="ListBullet2"/>
      </w:pPr>
      <w:r w:rsidRPr="003313C3">
        <w:t>DM</w:t>
      </w:r>
      <w:r w:rsidR="00271D09">
        <w:t>E</w:t>
      </w:r>
    </w:p>
    <w:p w14:paraId="3F23496F" w14:textId="77777777" w:rsidR="003313C3" w:rsidRPr="003313C3" w:rsidRDefault="003313C3" w:rsidP="003313C3">
      <w:pPr>
        <w:pStyle w:val="ListBullet2"/>
      </w:pPr>
      <w:r w:rsidRPr="003313C3">
        <w:t>myopic choroidal neovascularisation</w:t>
      </w:r>
    </w:p>
    <w:p w14:paraId="47C4EC42" w14:textId="3C170EBE" w:rsidR="003313C3" w:rsidRPr="003313C3" w:rsidRDefault="003313C3" w:rsidP="003313C3">
      <w:pPr>
        <w:pStyle w:val="ListBullet"/>
      </w:pPr>
      <w:r w:rsidRPr="003313C3">
        <w:t>ranibizumab (L</w:t>
      </w:r>
      <w:r w:rsidR="00741C0B">
        <w:t>ucentis</w:t>
      </w:r>
      <w:r w:rsidRPr="003313C3">
        <w:t>), approved for:</w:t>
      </w:r>
    </w:p>
    <w:p w14:paraId="68A87E02" w14:textId="77777777" w:rsidR="003313C3" w:rsidRPr="003313C3" w:rsidRDefault="003313C3" w:rsidP="003313C3">
      <w:pPr>
        <w:pStyle w:val="ListBullet2"/>
      </w:pPr>
      <w:r w:rsidRPr="003313C3">
        <w:t>neovascular AMD</w:t>
      </w:r>
    </w:p>
    <w:p w14:paraId="22F7115C" w14:textId="0505A4F4" w:rsidR="003313C3" w:rsidRPr="003313C3" w:rsidRDefault="003313C3" w:rsidP="003313C3">
      <w:pPr>
        <w:pStyle w:val="ListBullet2"/>
      </w:pPr>
      <w:r w:rsidRPr="003313C3">
        <w:t>DM</w:t>
      </w:r>
      <w:r w:rsidR="00271D09">
        <w:t>E</w:t>
      </w:r>
    </w:p>
    <w:p w14:paraId="7B61A8D8" w14:textId="77777777" w:rsidR="003313C3" w:rsidRPr="003313C3" w:rsidRDefault="003313C3" w:rsidP="003313C3">
      <w:pPr>
        <w:pStyle w:val="ListBullet2"/>
      </w:pPr>
      <w:r w:rsidRPr="003313C3">
        <w:t>choroidal neovascularisation secondary to pathologic myopia</w:t>
      </w:r>
    </w:p>
    <w:p w14:paraId="6C977009" w14:textId="77777777" w:rsidR="003313C3" w:rsidRPr="003313C3" w:rsidRDefault="003313C3" w:rsidP="003313C3">
      <w:pPr>
        <w:pStyle w:val="ListBullet2"/>
      </w:pPr>
      <w:r w:rsidRPr="003313C3">
        <w:t>macular oedema secondary to RVO</w:t>
      </w:r>
    </w:p>
    <w:p w14:paraId="08B1F5FF" w14:textId="7281B1CE" w:rsidR="003313C3" w:rsidRPr="003313C3" w:rsidRDefault="003313C3" w:rsidP="003313C3">
      <w:pPr>
        <w:pStyle w:val="ListBullet"/>
      </w:pPr>
      <w:proofErr w:type="spellStart"/>
      <w:r w:rsidRPr="003313C3">
        <w:lastRenderedPageBreak/>
        <w:t>faricimab</w:t>
      </w:r>
      <w:proofErr w:type="spellEnd"/>
      <w:r w:rsidRPr="003313C3">
        <w:t xml:space="preserve"> (</w:t>
      </w:r>
      <w:proofErr w:type="spellStart"/>
      <w:r w:rsidRPr="003313C3">
        <w:t>V</w:t>
      </w:r>
      <w:r w:rsidR="00741C0B">
        <w:t>abysmo</w:t>
      </w:r>
      <w:proofErr w:type="spellEnd"/>
      <w:r w:rsidRPr="003313C3">
        <w:t>)</w:t>
      </w:r>
    </w:p>
    <w:p w14:paraId="2E36DA54" w14:textId="77777777" w:rsidR="003313C3" w:rsidRPr="003313C3" w:rsidRDefault="003313C3" w:rsidP="003313C3">
      <w:pPr>
        <w:pStyle w:val="ListBullet2"/>
      </w:pPr>
      <w:r w:rsidRPr="003313C3">
        <w:t>neovascular AMD</w:t>
      </w:r>
    </w:p>
    <w:p w14:paraId="0962A62E" w14:textId="4495CD2D" w:rsidR="003313C3" w:rsidRPr="003313C3" w:rsidRDefault="003313C3" w:rsidP="003313C3">
      <w:pPr>
        <w:pStyle w:val="ListBullet2"/>
      </w:pPr>
      <w:r w:rsidRPr="003313C3">
        <w:t>DM</w:t>
      </w:r>
      <w:r w:rsidR="00271D09">
        <w:t>E</w:t>
      </w:r>
    </w:p>
    <w:p w14:paraId="288DE823" w14:textId="05DAD971" w:rsidR="003313C3" w:rsidRPr="003313C3" w:rsidRDefault="003313C3" w:rsidP="003313C3">
      <w:pPr>
        <w:pStyle w:val="ListBullet"/>
      </w:pPr>
      <w:r w:rsidRPr="003313C3">
        <w:t>brolucizumab (</w:t>
      </w:r>
      <w:proofErr w:type="spellStart"/>
      <w:r w:rsidRPr="003313C3">
        <w:t>B</w:t>
      </w:r>
      <w:r w:rsidR="00741C0B">
        <w:t>eovu</w:t>
      </w:r>
      <w:proofErr w:type="spellEnd"/>
      <w:r w:rsidRPr="003313C3">
        <w:t>)</w:t>
      </w:r>
    </w:p>
    <w:p w14:paraId="670F4DBF" w14:textId="77777777" w:rsidR="003313C3" w:rsidRPr="003313C3" w:rsidRDefault="003313C3" w:rsidP="003313C3">
      <w:pPr>
        <w:pStyle w:val="ListBullet2"/>
      </w:pPr>
      <w:r w:rsidRPr="003313C3">
        <w:t>neovascular AMD</w:t>
      </w:r>
    </w:p>
    <w:p w14:paraId="512679B8" w14:textId="41ED1B74" w:rsidR="003313C3" w:rsidRPr="003313C3" w:rsidRDefault="003313C3" w:rsidP="003313C3">
      <w:pPr>
        <w:pStyle w:val="ListBullet2"/>
      </w:pPr>
      <w:r w:rsidRPr="003313C3">
        <w:t>DM</w:t>
      </w:r>
      <w:r w:rsidR="00271D09">
        <w:t>E</w:t>
      </w:r>
    </w:p>
    <w:p w14:paraId="37C47E09" w14:textId="14D3762D" w:rsidR="00CB6813" w:rsidRDefault="00CB6813" w:rsidP="00CB6813">
      <w:pPr>
        <w:pStyle w:val="Heading4"/>
      </w:pPr>
      <w:bookmarkStart w:id="24" w:name="_Toc210745492"/>
      <w:r>
        <w:t>C</w:t>
      </w:r>
      <w:r w:rsidRPr="00DE1344">
        <w:t>linical rational</w:t>
      </w:r>
      <w:r w:rsidR="0025785B">
        <w:t>e</w:t>
      </w:r>
      <w:bookmarkEnd w:id="24"/>
    </w:p>
    <w:p w14:paraId="2E12C329" w14:textId="3E202E47" w:rsidR="000D0591" w:rsidRPr="000D0591" w:rsidRDefault="000D0591" w:rsidP="00C63B13">
      <w:r w:rsidRPr="000D0591">
        <w:t>Vascular endothelial-derived growth factor (VEGF) plays an important role in maintaining the physiological condition of the retina under normal conditions. Dysregulation of VEGF can result in pathological alterations including hyperpermeability of the retinal capillaries and migration and proliferation of retinal endothelial cells and is thought to be important in the pathogenesis of neovascular eye disease.</w:t>
      </w:r>
      <w:r w:rsidR="002D106E" w:rsidRPr="002D106E">
        <w:rPr>
          <w:vertAlign w:val="superscript"/>
        </w:rPr>
        <w:t>4,5</w:t>
      </w:r>
      <w:r w:rsidRPr="000D0591">
        <w:t xml:space="preserve"> </w:t>
      </w:r>
      <w:r w:rsidR="00C63B13" w:rsidRPr="00C63B13">
        <w:t>A variety of ocular</w:t>
      </w:r>
      <w:r w:rsidR="00C63B13">
        <w:t xml:space="preserve"> </w:t>
      </w:r>
      <w:r w:rsidR="00C63B13" w:rsidRPr="00C63B13">
        <w:t xml:space="preserve">diseases </w:t>
      </w:r>
      <w:r w:rsidR="006A0D6C">
        <w:t>are</w:t>
      </w:r>
      <w:r w:rsidR="00C63B13" w:rsidRPr="00C63B13">
        <w:t xml:space="preserve"> associated with pathologic neovascularisation and vascular leakage, and/or can</w:t>
      </w:r>
      <w:r w:rsidR="006A0D6C">
        <w:t xml:space="preserve"> </w:t>
      </w:r>
      <w:r w:rsidR="00C63B13" w:rsidRPr="00C63B13">
        <w:t>result in thickening and oedema of the retina, which is thought to contribute to vision loss.</w:t>
      </w:r>
    </w:p>
    <w:p w14:paraId="20D5CDDF" w14:textId="265AEF69" w:rsidR="000D0591" w:rsidRPr="000D0591" w:rsidRDefault="000D0591" w:rsidP="000D0591">
      <w:r w:rsidRPr="000D0591">
        <w:t>Aflibercept is a soluble decoy receptor that binds vascular endothelial growth factor-A (VEGF-A), VEGF-B, and placental growth factor (PIGF) with a greater affinity than the body’s native receptors. It is called a decoy receptor since VEGF does not bind to its original receptors and mistakenly binds with aflibercept, thereby reducing VEGF activity.</w:t>
      </w:r>
      <w:r w:rsidR="002D106E">
        <w:rPr>
          <w:rStyle w:val="FootnoteReference"/>
        </w:rPr>
        <w:footnoteReference w:id="10"/>
      </w:r>
      <w:r w:rsidRPr="000D0591">
        <w:t xml:space="preserve"> </w:t>
      </w:r>
    </w:p>
    <w:p w14:paraId="4547A38D" w14:textId="77777777" w:rsidR="000D0591" w:rsidRPr="000D0591" w:rsidRDefault="000D0591" w:rsidP="000D0591">
      <w:r>
        <w:t>Aflibercept is administered by intravitreal injection into the eye. Recommended dosing schedules depend on the indicated condition being treated and maintenance dosing regimens are physician determined and are guided by visual and/or anatomic outcomes. The minimum interval between doses into the same eye is one month.</w:t>
      </w:r>
    </w:p>
    <w:p w14:paraId="0D615854" w14:textId="77777777" w:rsidR="00324B33" w:rsidRPr="003F31A2" w:rsidRDefault="00324B33" w:rsidP="00324B33">
      <w:pPr>
        <w:pStyle w:val="Heading3"/>
      </w:pPr>
      <w:bookmarkStart w:id="25" w:name="_Toc103679291"/>
      <w:bookmarkStart w:id="26" w:name="_Toc210745493"/>
      <w:r>
        <w:t>Regulatory status</w:t>
      </w:r>
      <w:bookmarkEnd w:id="20"/>
      <w:bookmarkEnd w:id="21"/>
      <w:bookmarkEnd w:id="25"/>
      <w:bookmarkEnd w:id="26"/>
    </w:p>
    <w:p w14:paraId="72C889D6" w14:textId="7E200950" w:rsidR="0017005C" w:rsidRPr="00BD5DBD" w:rsidRDefault="0017005C" w:rsidP="00741AB9">
      <w:pPr>
        <w:pStyle w:val="Heading4"/>
      </w:pPr>
      <w:bookmarkStart w:id="27" w:name="_Toc210745494"/>
      <w:r w:rsidRPr="00BD5DBD">
        <w:t>Australian regulatory</w:t>
      </w:r>
      <w:r>
        <w:t xml:space="preserve"> sta</w:t>
      </w:r>
      <w:r w:rsidR="0025785B">
        <w:t>t</w:t>
      </w:r>
      <w:r>
        <w:t>us</w:t>
      </w:r>
      <w:bookmarkEnd w:id="27"/>
    </w:p>
    <w:p w14:paraId="6A8633FA" w14:textId="4BFFC4F5" w:rsidR="00324B33" w:rsidRDefault="00324B33" w:rsidP="00324B33">
      <w:pPr>
        <w:rPr>
          <w:szCs w:val="22"/>
        </w:rPr>
      </w:pPr>
      <w:r w:rsidRPr="00BD5DBD">
        <w:rPr>
          <w:szCs w:val="22"/>
        </w:rPr>
        <w:t xml:space="preserve">This product is considered a </w:t>
      </w:r>
      <w:r w:rsidR="008C754C" w:rsidRPr="00BD5DBD">
        <w:rPr>
          <w:szCs w:val="22"/>
        </w:rPr>
        <w:t xml:space="preserve">new </w:t>
      </w:r>
      <w:r w:rsidRPr="00BD5DBD">
        <w:rPr>
          <w:szCs w:val="22"/>
        </w:rPr>
        <w:t>biosimilar medicine for Australian regulatory purposes.</w:t>
      </w:r>
    </w:p>
    <w:p w14:paraId="1818FFB1" w14:textId="77777777" w:rsidR="003F1AAC" w:rsidRPr="003F1AAC" w:rsidRDefault="003F1AAC" w:rsidP="003F1AAC">
      <w:pPr>
        <w:rPr>
          <w:szCs w:val="22"/>
        </w:rPr>
      </w:pPr>
      <w:r w:rsidRPr="003F1AAC">
        <w:rPr>
          <w:szCs w:val="22"/>
        </w:rPr>
        <w:t>The ARTG start date for the reference product, Eylea, was 7 March 2012.</w:t>
      </w:r>
    </w:p>
    <w:p w14:paraId="546C1031" w14:textId="4EF98FA1" w:rsidR="0017005C" w:rsidRDefault="00131B1B" w:rsidP="0017005C">
      <w:pPr>
        <w:pStyle w:val="Heading4"/>
      </w:pPr>
      <w:bookmarkStart w:id="28" w:name="_Toc210745495"/>
      <w:r>
        <w:t xml:space="preserve">International </w:t>
      </w:r>
      <w:r w:rsidR="0017005C" w:rsidRPr="00BD5DBD">
        <w:t>regulatory</w:t>
      </w:r>
      <w:r w:rsidR="0017005C">
        <w:t xml:space="preserve"> status</w:t>
      </w:r>
      <w:bookmarkEnd w:id="28"/>
    </w:p>
    <w:p w14:paraId="7FDF4A0B" w14:textId="26A4F06B" w:rsidR="008F4A62" w:rsidRPr="0017005C" w:rsidRDefault="008F4A62" w:rsidP="008F4A62">
      <w:r w:rsidRPr="00BD5DBD">
        <w:rPr>
          <w:szCs w:val="22"/>
        </w:rPr>
        <w:t xml:space="preserve">At the time the TGA considered this submission, a similar submission had been </w:t>
      </w:r>
      <w:r>
        <w:rPr>
          <w:szCs w:val="22"/>
        </w:rPr>
        <w:t xml:space="preserve">considered by other regulatory agencies. </w:t>
      </w:r>
      <w:r w:rsidRPr="00BD5DBD">
        <w:rPr>
          <w:szCs w:val="22"/>
        </w:rPr>
        <w:t>The following table summarises these submissions and provides the indications where approved.</w:t>
      </w:r>
      <w:r>
        <w:rPr>
          <w:szCs w:val="22"/>
        </w:rPr>
        <w:t xml:space="preserve"> </w:t>
      </w:r>
    </w:p>
    <w:p w14:paraId="19B9E0AC" w14:textId="61A31825" w:rsidR="00324B33" w:rsidRDefault="00324B33" w:rsidP="00324B33">
      <w:pPr>
        <w:pStyle w:val="TableTitle"/>
      </w:pPr>
      <w:bookmarkStart w:id="29" w:name="_Ref99705479"/>
      <w:r>
        <w:lastRenderedPageBreak/>
        <w:t xml:space="preserve">Table </w:t>
      </w:r>
      <w:r w:rsidR="007F1E37">
        <w:fldChar w:fldCharType="begin"/>
      </w:r>
      <w:r w:rsidR="007F1E37">
        <w:instrText xml:space="preserve"> SEQ Table \* ARABIC </w:instrText>
      </w:r>
      <w:r w:rsidR="007F1E37">
        <w:fldChar w:fldCharType="separate"/>
      </w:r>
      <w:r w:rsidR="008B1CB5">
        <w:rPr>
          <w:noProof/>
        </w:rPr>
        <w:t>1</w:t>
      </w:r>
      <w:r w:rsidR="007F1E37">
        <w:rPr>
          <w:noProof/>
        </w:rPr>
        <w:fldChar w:fldCharType="end"/>
      </w:r>
      <w:bookmarkEnd w:id="29"/>
      <w:r>
        <w:t>: International regulatory status</w:t>
      </w:r>
    </w:p>
    <w:tbl>
      <w:tblPr>
        <w:tblStyle w:val="TableTGAblue2023"/>
        <w:tblW w:w="5000" w:type="pct"/>
        <w:tblLook w:val="04A0" w:firstRow="1" w:lastRow="0" w:firstColumn="1" w:lastColumn="0" w:noHBand="0" w:noVBand="1"/>
      </w:tblPr>
      <w:tblGrid>
        <w:gridCol w:w="1555"/>
        <w:gridCol w:w="2127"/>
        <w:gridCol w:w="2125"/>
        <w:gridCol w:w="3253"/>
      </w:tblGrid>
      <w:tr w:rsidR="00324B33" w:rsidRPr="00D01DDB" w14:paraId="405E5D78" w14:textId="16839333" w:rsidTr="006338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tcPr>
          <w:p w14:paraId="185B099B" w14:textId="7A4C0E6C" w:rsidR="00324B33" w:rsidRPr="00D01DDB" w:rsidRDefault="00324B33" w:rsidP="00324B33">
            <w:pPr>
              <w:rPr>
                <w:szCs w:val="22"/>
              </w:rPr>
            </w:pPr>
            <w:r w:rsidRPr="00D01DDB">
              <w:rPr>
                <w:szCs w:val="22"/>
              </w:rPr>
              <w:t>Region</w:t>
            </w:r>
          </w:p>
        </w:tc>
        <w:tc>
          <w:tcPr>
            <w:tcW w:w="1174" w:type="pct"/>
          </w:tcPr>
          <w:p w14:paraId="778C35C7" w14:textId="52D23C8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Submission date</w:t>
            </w:r>
          </w:p>
        </w:tc>
        <w:tc>
          <w:tcPr>
            <w:tcW w:w="1173" w:type="pct"/>
          </w:tcPr>
          <w:p w14:paraId="58F81584" w14:textId="66689ABF"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Status</w:t>
            </w:r>
          </w:p>
        </w:tc>
        <w:tc>
          <w:tcPr>
            <w:tcW w:w="1795" w:type="pct"/>
          </w:tcPr>
          <w:p w14:paraId="50B2D435" w14:textId="560588D2"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Approved indications</w:t>
            </w:r>
          </w:p>
        </w:tc>
      </w:tr>
      <w:tr w:rsidR="00324B33" w:rsidRPr="00D01DDB" w14:paraId="38D24E86" w14:textId="77777777" w:rsidTr="006338F0">
        <w:tc>
          <w:tcPr>
            <w:cnfStyle w:val="001000000000" w:firstRow="0" w:lastRow="0" w:firstColumn="1" w:lastColumn="0" w:oddVBand="0" w:evenVBand="0" w:oddHBand="0" w:evenHBand="0" w:firstRowFirstColumn="0" w:firstRowLastColumn="0" w:lastRowFirstColumn="0" w:lastRowLastColumn="0"/>
            <w:tcW w:w="858" w:type="pct"/>
          </w:tcPr>
          <w:p w14:paraId="4C540DE5" w14:textId="401EBC98" w:rsidR="00324B33" w:rsidRPr="00D01DDB" w:rsidRDefault="00F91CEA" w:rsidP="00324B33">
            <w:pPr>
              <w:rPr>
                <w:szCs w:val="22"/>
              </w:rPr>
            </w:pPr>
            <w:r>
              <w:rPr>
                <w:szCs w:val="22"/>
              </w:rPr>
              <w:t>United States (FDA)</w:t>
            </w:r>
          </w:p>
        </w:tc>
        <w:tc>
          <w:tcPr>
            <w:tcW w:w="1174" w:type="pct"/>
          </w:tcPr>
          <w:p w14:paraId="4FA5DDA9" w14:textId="02767EB2" w:rsidR="00324B33" w:rsidRPr="00D01DDB" w:rsidRDefault="0026011B"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10 August 2023</w:t>
            </w:r>
          </w:p>
        </w:tc>
        <w:tc>
          <w:tcPr>
            <w:tcW w:w="1173" w:type="pct"/>
          </w:tcPr>
          <w:p w14:paraId="29358393" w14:textId="7C23E5B2"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 xml:space="preserve">Approved on </w:t>
            </w:r>
            <w:r w:rsidR="009526A0">
              <w:rPr>
                <w:szCs w:val="22"/>
              </w:rPr>
              <w:t xml:space="preserve">9 </w:t>
            </w:r>
            <w:r w:rsidR="00A355E1">
              <w:rPr>
                <w:szCs w:val="22"/>
              </w:rPr>
              <w:t>August 2024</w:t>
            </w:r>
          </w:p>
        </w:tc>
        <w:tc>
          <w:tcPr>
            <w:tcW w:w="1795" w:type="pct"/>
          </w:tcPr>
          <w:p w14:paraId="05055674" w14:textId="00EB67B4" w:rsidR="00324B33" w:rsidRPr="00FB3727" w:rsidRDefault="00FC4F1B" w:rsidP="00324B33">
            <w:pPr>
              <w:cnfStyle w:val="000000000000" w:firstRow="0" w:lastRow="0" w:firstColumn="0" w:lastColumn="0" w:oddVBand="0" w:evenVBand="0" w:oddHBand="0" w:evenHBand="0" w:firstRowFirstColumn="0" w:firstRowLastColumn="0" w:lastRowFirstColumn="0" w:lastRowLastColumn="0"/>
              <w:rPr>
                <w:i/>
                <w:iCs/>
                <w:szCs w:val="22"/>
              </w:rPr>
            </w:pPr>
            <w:r w:rsidRPr="00FB3727">
              <w:rPr>
                <w:i/>
                <w:iCs/>
                <w:szCs w:val="22"/>
              </w:rPr>
              <w:t>Enzeevu</w:t>
            </w:r>
            <w:r w:rsidR="00895D24" w:rsidRPr="00FB3727">
              <w:rPr>
                <w:i/>
                <w:iCs/>
                <w:szCs w:val="22"/>
              </w:rPr>
              <w:t xml:space="preserve"> (aflibercept-</w:t>
            </w:r>
            <w:proofErr w:type="spellStart"/>
            <w:r w:rsidR="00895D24" w:rsidRPr="00FB3727">
              <w:rPr>
                <w:i/>
                <w:iCs/>
                <w:szCs w:val="22"/>
              </w:rPr>
              <w:t>abzv</w:t>
            </w:r>
            <w:proofErr w:type="spellEnd"/>
            <w:r w:rsidR="00895D24" w:rsidRPr="00FB3727">
              <w:rPr>
                <w:i/>
                <w:iCs/>
                <w:szCs w:val="22"/>
              </w:rPr>
              <w:t xml:space="preserve">) </w:t>
            </w:r>
            <w:r w:rsidR="006C3903" w:rsidRPr="00FB3727">
              <w:rPr>
                <w:i/>
                <w:iCs/>
                <w:szCs w:val="22"/>
              </w:rPr>
              <w:t xml:space="preserve">- </w:t>
            </w:r>
            <w:r w:rsidR="00895D24" w:rsidRPr="00FB3727">
              <w:rPr>
                <w:i/>
                <w:iCs/>
                <w:szCs w:val="22"/>
              </w:rPr>
              <w:t>The indication is the treatment of neovascular (wet) Age-Related Macular Degeneration (AMD)</w:t>
            </w:r>
            <w:r w:rsidR="00E27B20" w:rsidRPr="00FB3727">
              <w:rPr>
                <w:i/>
                <w:iCs/>
                <w:szCs w:val="22"/>
              </w:rPr>
              <w:t>.</w:t>
            </w:r>
          </w:p>
        </w:tc>
      </w:tr>
      <w:tr w:rsidR="00324B33" w:rsidRPr="00D01DDB" w14:paraId="18B6E2AA" w14:textId="7783D66F" w:rsidTr="006338F0">
        <w:tc>
          <w:tcPr>
            <w:cnfStyle w:val="001000000000" w:firstRow="0" w:lastRow="0" w:firstColumn="1" w:lastColumn="0" w:oddVBand="0" w:evenVBand="0" w:oddHBand="0" w:evenHBand="0" w:firstRowFirstColumn="0" w:firstRowLastColumn="0" w:lastRowFirstColumn="0" w:lastRowLastColumn="0"/>
            <w:tcW w:w="858" w:type="pct"/>
          </w:tcPr>
          <w:p w14:paraId="0BE5C05E" w14:textId="3FE23648" w:rsidR="00324B33" w:rsidRDefault="00F91CEA" w:rsidP="00324B33">
            <w:pPr>
              <w:rPr>
                <w:szCs w:val="22"/>
              </w:rPr>
            </w:pPr>
            <w:r>
              <w:rPr>
                <w:szCs w:val="22"/>
              </w:rPr>
              <w:t>Europe</w:t>
            </w:r>
            <w:r w:rsidR="005B0694">
              <w:rPr>
                <w:szCs w:val="22"/>
              </w:rPr>
              <w:t>an Union</w:t>
            </w:r>
          </w:p>
          <w:p w14:paraId="7F348960" w14:textId="18EF9E18" w:rsidR="00F91CEA" w:rsidRPr="00D01DDB" w:rsidRDefault="00F91CEA" w:rsidP="00324B33">
            <w:pPr>
              <w:rPr>
                <w:szCs w:val="22"/>
              </w:rPr>
            </w:pPr>
            <w:r>
              <w:rPr>
                <w:szCs w:val="22"/>
              </w:rPr>
              <w:t>(EMA)</w:t>
            </w:r>
          </w:p>
        </w:tc>
        <w:tc>
          <w:tcPr>
            <w:tcW w:w="1174" w:type="pct"/>
          </w:tcPr>
          <w:p w14:paraId="1D871E57" w14:textId="1D4F9B5D" w:rsidR="00324B33" w:rsidRPr="00D01DDB" w:rsidRDefault="0026011B"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22 August 2023</w:t>
            </w:r>
          </w:p>
        </w:tc>
        <w:tc>
          <w:tcPr>
            <w:tcW w:w="1173" w:type="pct"/>
          </w:tcPr>
          <w:p w14:paraId="63A3A9D3" w14:textId="0D962A7E" w:rsidR="00324B33" w:rsidRPr="00D01DDB" w:rsidRDefault="00411C4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Approved on 19 September 2024.</w:t>
            </w:r>
          </w:p>
        </w:tc>
        <w:tc>
          <w:tcPr>
            <w:tcW w:w="1795" w:type="pct"/>
          </w:tcPr>
          <w:p w14:paraId="6AD5564F" w14:textId="38DABE1A" w:rsidR="008E6D72" w:rsidRPr="008E6D72" w:rsidRDefault="008E6D72" w:rsidP="008E6D72">
            <w:pPr>
              <w:cnfStyle w:val="000000000000" w:firstRow="0" w:lastRow="0" w:firstColumn="0" w:lastColumn="0" w:oddVBand="0" w:evenVBand="0" w:oddHBand="0" w:evenHBand="0" w:firstRowFirstColumn="0" w:firstRowLastColumn="0" w:lastRowFirstColumn="0" w:lastRowLastColumn="0"/>
              <w:rPr>
                <w:i/>
                <w:iCs/>
                <w:szCs w:val="22"/>
              </w:rPr>
            </w:pPr>
            <w:r w:rsidRPr="008E6D72">
              <w:rPr>
                <w:i/>
                <w:iCs/>
                <w:szCs w:val="22"/>
              </w:rPr>
              <w:t>Afqlir</w:t>
            </w:r>
            <w:r w:rsidR="00E225F9">
              <w:rPr>
                <w:i/>
                <w:iCs/>
                <w:szCs w:val="22"/>
              </w:rPr>
              <w:t xml:space="preserve"> -</w:t>
            </w:r>
            <w:r w:rsidRPr="008E6D72">
              <w:rPr>
                <w:i/>
                <w:iCs/>
                <w:szCs w:val="22"/>
              </w:rPr>
              <w:t xml:space="preserve"> indicated in adults for the treatment of: </w:t>
            </w:r>
          </w:p>
          <w:p w14:paraId="155CF669" w14:textId="335D70C7" w:rsidR="008E6D72" w:rsidRPr="0005504C" w:rsidRDefault="008E6D72" w:rsidP="0005504C">
            <w:pPr>
              <w:pStyle w:val="ListBullet"/>
              <w:cnfStyle w:val="000000000000" w:firstRow="0" w:lastRow="0" w:firstColumn="0" w:lastColumn="0" w:oddVBand="0" w:evenVBand="0" w:oddHBand="0" w:evenHBand="0" w:firstRowFirstColumn="0" w:firstRowLastColumn="0" w:lastRowFirstColumn="0" w:lastRowLastColumn="0"/>
              <w:rPr>
                <w:i/>
                <w:iCs/>
              </w:rPr>
            </w:pPr>
            <w:r w:rsidRPr="0005504C">
              <w:rPr>
                <w:i/>
                <w:iCs/>
              </w:rPr>
              <w:t>neovascular (wet) age-related macular degeneration (AMD)</w:t>
            </w:r>
            <w:r w:rsidR="00E225F9" w:rsidRPr="0005504C">
              <w:rPr>
                <w:i/>
                <w:iCs/>
              </w:rPr>
              <w:t>,</w:t>
            </w:r>
            <w:r w:rsidRPr="0005504C">
              <w:rPr>
                <w:i/>
                <w:iCs/>
              </w:rPr>
              <w:t xml:space="preserve"> </w:t>
            </w:r>
          </w:p>
          <w:p w14:paraId="2A65C83A" w14:textId="0C4863A7" w:rsidR="008E6D72" w:rsidRPr="0005504C" w:rsidRDefault="008E6D72" w:rsidP="0005504C">
            <w:pPr>
              <w:pStyle w:val="ListBullet"/>
              <w:cnfStyle w:val="000000000000" w:firstRow="0" w:lastRow="0" w:firstColumn="0" w:lastColumn="0" w:oddVBand="0" w:evenVBand="0" w:oddHBand="0" w:evenHBand="0" w:firstRowFirstColumn="0" w:firstRowLastColumn="0" w:lastRowFirstColumn="0" w:lastRowLastColumn="0"/>
              <w:rPr>
                <w:i/>
                <w:iCs/>
              </w:rPr>
            </w:pPr>
            <w:r w:rsidRPr="0005504C">
              <w:rPr>
                <w:i/>
                <w:iCs/>
              </w:rPr>
              <w:t>visual impairment due to macular oedema secondary to retinal vein occlusion (</w:t>
            </w:r>
            <w:r w:rsidR="009C23E0" w:rsidRPr="0005504C">
              <w:rPr>
                <w:i/>
                <w:iCs/>
              </w:rPr>
              <w:t xml:space="preserve">branch RVO or </w:t>
            </w:r>
            <w:r w:rsidRPr="0005504C">
              <w:rPr>
                <w:i/>
                <w:iCs/>
              </w:rPr>
              <w:t>CRVO)</w:t>
            </w:r>
          </w:p>
          <w:p w14:paraId="1DBF27BF" w14:textId="762AA6D6" w:rsidR="008E6D72" w:rsidRPr="0005504C" w:rsidRDefault="008E6D72" w:rsidP="0005504C">
            <w:pPr>
              <w:pStyle w:val="ListBullet"/>
              <w:cnfStyle w:val="000000000000" w:firstRow="0" w:lastRow="0" w:firstColumn="0" w:lastColumn="0" w:oddVBand="0" w:evenVBand="0" w:oddHBand="0" w:evenHBand="0" w:firstRowFirstColumn="0" w:firstRowLastColumn="0" w:lastRowFirstColumn="0" w:lastRowLastColumn="0"/>
              <w:rPr>
                <w:i/>
                <w:iCs/>
              </w:rPr>
            </w:pPr>
            <w:r w:rsidRPr="0005504C">
              <w:rPr>
                <w:i/>
                <w:iCs/>
              </w:rPr>
              <w:t xml:space="preserve">visual impairment due to </w:t>
            </w:r>
            <w:r w:rsidR="00B22183" w:rsidRPr="0005504C">
              <w:rPr>
                <w:i/>
                <w:iCs/>
              </w:rPr>
              <w:t xml:space="preserve">diabetic </w:t>
            </w:r>
            <w:r w:rsidRPr="0005504C">
              <w:rPr>
                <w:i/>
                <w:iCs/>
              </w:rPr>
              <w:t xml:space="preserve">macular oedema </w:t>
            </w:r>
            <w:r w:rsidR="00B22183" w:rsidRPr="0005504C">
              <w:rPr>
                <w:i/>
                <w:iCs/>
              </w:rPr>
              <w:t>(DME)</w:t>
            </w:r>
          </w:p>
          <w:p w14:paraId="17C650B8" w14:textId="22FA931A" w:rsidR="00324B33" w:rsidRPr="00D01DDB" w:rsidRDefault="00B22183" w:rsidP="0005504C">
            <w:pPr>
              <w:pStyle w:val="ListBullet"/>
              <w:cnfStyle w:val="000000000000" w:firstRow="0" w:lastRow="0" w:firstColumn="0" w:lastColumn="0" w:oddVBand="0" w:evenVBand="0" w:oddHBand="0" w:evenHBand="0" w:firstRowFirstColumn="0" w:firstRowLastColumn="0" w:lastRowFirstColumn="0" w:lastRowLastColumn="0"/>
              <w:rPr>
                <w:szCs w:val="22"/>
              </w:rPr>
            </w:pPr>
            <w:r w:rsidRPr="0005504C">
              <w:rPr>
                <w:i/>
                <w:iCs/>
              </w:rPr>
              <w:t>visual impairment</w:t>
            </w:r>
            <w:r w:rsidR="00827564" w:rsidRPr="0005504C">
              <w:rPr>
                <w:i/>
                <w:iCs/>
              </w:rPr>
              <w:t xml:space="preserve"> due to </w:t>
            </w:r>
            <w:r w:rsidR="008E6D72" w:rsidRPr="0005504C">
              <w:rPr>
                <w:i/>
                <w:iCs/>
              </w:rPr>
              <w:t xml:space="preserve">myopic choroidal neovascularisation (myopic CNV). </w:t>
            </w:r>
          </w:p>
        </w:tc>
      </w:tr>
    </w:tbl>
    <w:p w14:paraId="6D92589C" w14:textId="09786CEF" w:rsidR="00324B33" w:rsidRDefault="00324B33" w:rsidP="00324B33">
      <w:pPr>
        <w:pStyle w:val="Heading2"/>
      </w:pPr>
      <w:bookmarkStart w:id="30" w:name="_Toc504480011"/>
      <w:bookmarkStart w:id="31" w:name="_Toc103679293"/>
      <w:bookmarkStart w:id="32" w:name="_Toc210745496"/>
      <w:r>
        <w:t>Registration timeline</w:t>
      </w:r>
      <w:bookmarkEnd w:id="30"/>
      <w:bookmarkEnd w:id="31"/>
      <w:bookmarkEnd w:id="32"/>
    </w:p>
    <w:p w14:paraId="225E3D87" w14:textId="1F3070CE" w:rsidR="00324B33" w:rsidRPr="00BD5DBD" w:rsidRDefault="00324B33" w:rsidP="00324B33">
      <w:pPr>
        <w:rPr>
          <w:szCs w:val="22"/>
        </w:rPr>
      </w:pPr>
      <w:r w:rsidRPr="00BD5DBD">
        <w:rPr>
          <w:szCs w:val="22"/>
        </w:rPr>
        <w:t>The following table captures the key steps and dates for this submission.</w:t>
      </w:r>
    </w:p>
    <w:p w14:paraId="6BB76942" w14:textId="49C62989" w:rsidR="00477C4E" w:rsidRPr="00BD5DBD" w:rsidRDefault="00477C4E" w:rsidP="00324B33">
      <w:pPr>
        <w:rPr>
          <w:szCs w:val="22"/>
        </w:rPr>
      </w:pPr>
      <w:r w:rsidRPr="00BD5DBD">
        <w:rPr>
          <w:szCs w:val="22"/>
        </w:rPr>
        <w:t xml:space="preserve">This submission was evaluated under the </w:t>
      </w:r>
      <w:hyperlink r:id="rId23" w:history="1">
        <w:r w:rsidRPr="00BD5DBD">
          <w:rPr>
            <w:rStyle w:val="Hyperlink"/>
            <w:szCs w:val="22"/>
          </w:rPr>
          <w:t>standard prescription medicines registration process</w:t>
        </w:r>
      </w:hyperlink>
      <w:r w:rsidRPr="00BD5DBD">
        <w:rPr>
          <w:szCs w:val="22"/>
        </w:rPr>
        <w:t>.</w:t>
      </w:r>
    </w:p>
    <w:p w14:paraId="5263E729" w14:textId="3378C8DA" w:rsidR="005B02A2" w:rsidRPr="003C1192" w:rsidRDefault="00324B33" w:rsidP="0031003A">
      <w:pPr>
        <w:pStyle w:val="TableTitle"/>
        <w:rPr>
          <w:iCs/>
        </w:rPr>
      </w:pPr>
      <w:r w:rsidRPr="002C1232">
        <w:t xml:space="preserve">Table </w:t>
      </w:r>
      <w:r w:rsidR="007F1E37">
        <w:fldChar w:fldCharType="begin"/>
      </w:r>
      <w:r w:rsidR="007F1E37">
        <w:instrText xml:space="preserve"> SEQ Table \* ARABIC </w:instrText>
      </w:r>
      <w:r w:rsidR="007F1E37">
        <w:fldChar w:fldCharType="separate"/>
      </w:r>
      <w:r w:rsidR="008B1CB5" w:rsidRPr="002C1232">
        <w:t>2</w:t>
      </w:r>
      <w:r w:rsidR="007F1E37">
        <w:fldChar w:fldCharType="end"/>
      </w:r>
      <w:r w:rsidRPr="002C1232">
        <w:t>: Timeline for Submission PM-202</w:t>
      </w:r>
      <w:r w:rsidR="00E56263">
        <w:t>4</w:t>
      </w:r>
      <w:r w:rsidRPr="002C1232">
        <w:t>-</w:t>
      </w:r>
      <w:r w:rsidR="00E56263">
        <w:t>01570</w:t>
      </w:r>
      <w:r w:rsidRPr="002C1232">
        <w:t>-1-</w:t>
      </w:r>
      <w:r w:rsidR="00E56263">
        <w:t>5</w:t>
      </w:r>
    </w:p>
    <w:tbl>
      <w:tblPr>
        <w:tblStyle w:val="TableTGAblue2023"/>
        <w:tblW w:w="8642" w:type="dxa"/>
        <w:tblLook w:val="04A0" w:firstRow="1" w:lastRow="0" w:firstColumn="1" w:lastColumn="0" w:noHBand="0" w:noVBand="1"/>
      </w:tblPr>
      <w:tblGrid>
        <w:gridCol w:w="6516"/>
        <w:gridCol w:w="2126"/>
      </w:tblGrid>
      <w:tr w:rsidR="00324B33" w:rsidRPr="00D01DDB" w14:paraId="6C59BE9C" w14:textId="77777777" w:rsidTr="006338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16D80E78" w14:textId="3EC0CCAF" w:rsidR="00324B33" w:rsidRPr="00D01DDB" w:rsidRDefault="00324B33" w:rsidP="00324B33">
            <w:pPr>
              <w:rPr>
                <w:szCs w:val="22"/>
              </w:rPr>
            </w:pPr>
            <w:r w:rsidRPr="00D01DDB">
              <w:rPr>
                <w:szCs w:val="22"/>
              </w:rPr>
              <w:t>Description</w:t>
            </w:r>
          </w:p>
        </w:tc>
        <w:tc>
          <w:tcPr>
            <w:tcW w:w="2126"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23610C53" w14:textId="77777777" w:rsidTr="006338F0">
        <w:tc>
          <w:tcPr>
            <w:cnfStyle w:val="001000000000" w:firstRow="0" w:lastRow="0" w:firstColumn="1" w:lastColumn="0" w:oddVBand="0" w:evenVBand="0" w:oddHBand="0" w:evenHBand="0" w:firstRowFirstColumn="0" w:firstRowLastColumn="0" w:lastRowFirstColumn="0" w:lastRowLastColumn="0"/>
            <w:tcW w:w="6516" w:type="dxa"/>
          </w:tcPr>
          <w:p w14:paraId="759D2A12" w14:textId="0D705F83" w:rsidR="00324B33" w:rsidRPr="00E679D1" w:rsidRDefault="00324B33" w:rsidP="00E679D1">
            <w:r w:rsidRPr="00E679D1">
              <w:t>Submission dossier accepted and first round evaluation commenced</w:t>
            </w:r>
          </w:p>
        </w:tc>
        <w:tc>
          <w:tcPr>
            <w:tcW w:w="2126" w:type="dxa"/>
          </w:tcPr>
          <w:p w14:paraId="2963D9D8" w14:textId="083F9DA3" w:rsidR="00324B33" w:rsidRPr="00D01DDB" w:rsidRDefault="001B235C"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31 May 2024</w:t>
            </w:r>
          </w:p>
        </w:tc>
      </w:tr>
      <w:tr w:rsidR="00803926" w:rsidRPr="00D01DDB" w14:paraId="16D13F79" w14:textId="77777777" w:rsidTr="006338F0">
        <w:tc>
          <w:tcPr>
            <w:cnfStyle w:val="001000000000" w:firstRow="0" w:lastRow="0" w:firstColumn="1" w:lastColumn="0" w:oddVBand="0" w:evenVBand="0" w:oddHBand="0" w:evenHBand="0" w:firstRowFirstColumn="0" w:firstRowLastColumn="0" w:lastRowFirstColumn="0" w:lastRowLastColumn="0"/>
            <w:tcW w:w="6516" w:type="dxa"/>
          </w:tcPr>
          <w:p w14:paraId="6858B45A" w14:textId="615A218B" w:rsidR="00803926" w:rsidRPr="00E679D1" w:rsidDel="00C62B1C" w:rsidRDefault="00803926" w:rsidP="00E679D1">
            <w:r>
              <w:t>Evaluation completed</w:t>
            </w:r>
            <w:r w:rsidR="005775D0">
              <w:t xml:space="preserve"> (End of round </w:t>
            </w:r>
            <w:r w:rsidR="00C00844">
              <w:t>2)</w:t>
            </w:r>
          </w:p>
        </w:tc>
        <w:tc>
          <w:tcPr>
            <w:tcW w:w="2126" w:type="dxa"/>
          </w:tcPr>
          <w:p w14:paraId="2E0BD403" w14:textId="2B597AD4" w:rsidR="00803926" w:rsidRPr="00D01DDB" w:rsidRDefault="00E020ED"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12 February 202</w:t>
            </w:r>
            <w:r w:rsidR="008B5C0D">
              <w:rPr>
                <w:szCs w:val="22"/>
              </w:rPr>
              <w:t>5</w:t>
            </w:r>
          </w:p>
        </w:tc>
      </w:tr>
      <w:tr w:rsidR="00324B33" w:rsidRPr="00D01DDB" w14:paraId="6E5D32FE" w14:textId="77777777" w:rsidTr="006338F0">
        <w:tc>
          <w:tcPr>
            <w:cnfStyle w:val="001000000000" w:firstRow="0" w:lastRow="0" w:firstColumn="1" w:lastColumn="0" w:oddVBand="0" w:evenVBand="0" w:oddHBand="0" w:evenHBand="0" w:firstRowFirstColumn="0" w:firstRowLastColumn="0" w:lastRowFirstColumn="0" w:lastRowLastColumn="0"/>
            <w:tcW w:w="6516" w:type="dxa"/>
          </w:tcPr>
          <w:p w14:paraId="4E95C44C" w14:textId="7A91C710" w:rsidR="00324B33" w:rsidRPr="00E679D1" w:rsidRDefault="00324B33" w:rsidP="00E679D1">
            <w:r w:rsidRPr="00E679D1">
              <w:t>Registration decision (Outcome)</w:t>
            </w:r>
          </w:p>
        </w:tc>
        <w:tc>
          <w:tcPr>
            <w:tcW w:w="2126" w:type="dxa"/>
          </w:tcPr>
          <w:p w14:paraId="62987ABD" w14:textId="779DC79D" w:rsidR="00324B33" w:rsidRPr="00D01DDB" w:rsidRDefault="00C50816"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15 May 2025</w:t>
            </w:r>
          </w:p>
        </w:tc>
      </w:tr>
      <w:tr w:rsidR="00324B33" w:rsidRPr="00D01DDB" w14:paraId="6DDCDDA4" w14:textId="77777777" w:rsidTr="006338F0">
        <w:tc>
          <w:tcPr>
            <w:cnfStyle w:val="001000000000" w:firstRow="0" w:lastRow="0" w:firstColumn="1" w:lastColumn="0" w:oddVBand="0" w:evenVBand="0" w:oddHBand="0" w:evenHBand="0" w:firstRowFirstColumn="0" w:firstRowLastColumn="0" w:lastRowFirstColumn="0" w:lastRowLastColumn="0"/>
            <w:tcW w:w="6516" w:type="dxa"/>
          </w:tcPr>
          <w:p w14:paraId="192FD19D" w14:textId="10C2A7C1" w:rsidR="00324B33" w:rsidRPr="00E679D1" w:rsidRDefault="0013132F" w:rsidP="007311B9">
            <w:pPr>
              <w:ind w:left="0"/>
            </w:pPr>
            <w:r w:rsidRPr="00E679D1">
              <w:t xml:space="preserve"> </w:t>
            </w:r>
            <w:r w:rsidR="00C00844">
              <w:t>R</w:t>
            </w:r>
            <w:r w:rsidRPr="00E679D1">
              <w:t xml:space="preserve">egistration </w:t>
            </w:r>
            <w:r w:rsidR="005C4B46" w:rsidRPr="00E679D1">
              <w:t xml:space="preserve">in </w:t>
            </w:r>
            <w:r w:rsidRPr="00E679D1">
              <w:t>the ARTG completed</w:t>
            </w:r>
          </w:p>
        </w:tc>
        <w:tc>
          <w:tcPr>
            <w:tcW w:w="2126" w:type="dxa"/>
          </w:tcPr>
          <w:p w14:paraId="5A8923FD" w14:textId="6F6AA547" w:rsidR="00324B33" w:rsidRPr="00D01DDB" w:rsidRDefault="00C50816"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27 May 2025</w:t>
            </w:r>
          </w:p>
        </w:tc>
      </w:tr>
      <w:tr w:rsidR="00324B33" w:rsidRPr="00D01DDB" w14:paraId="56D922E2" w14:textId="77777777" w:rsidTr="006338F0">
        <w:tc>
          <w:tcPr>
            <w:cnfStyle w:val="001000000000" w:firstRow="0" w:lastRow="0" w:firstColumn="1" w:lastColumn="0" w:oddVBand="0" w:evenVBand="0" w:oddHBand="0" w:evenHBand="0" w:firstRowFirstColumn="0" w:firstRowLastColumn="0" w:lastRowFirstColumn="0" w:lastRowLastColumn="0"/>
            <w:tcW w:w="6516" w:type="dxa"/>
          </w:tcPr>
          <w:p w14:paraId="787FD8DD" w14:textId="0E0CF97F" w:rsidR="00324B33" w:rsidRPr="00E679D1" w:rsidRDefault="00324B33" w:rsidP="00E679D1">
            <w:r w:rsidRPr="00E679D1">
              <w:t>Number of working days from submission dossier acceptance to registration decision*</w:t>
            </w:r>
          </w:p>
        </w:tc>
        <w:tc>
          <w:tcPr>
            <w:tcW w:w="2126" w:type="dxa"/>
          </w:tcPr>
          <w:p w14:paraId="5BAF9FA1" w14:textId="09B3CF81" w:rsidR="00324B33" w:rsidRPr="00D01DDB" w:rsidRDefault="00343D6C"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200</w:t>
            </w:r>
          </w:p>
        </w:tc>
      </w:tr>
    </w:tbl>
    <w:p w14:paraId="47E88CFC" w14:textId="2BB13B26" w:rsidR="00433318" w:rsidRDefault="00433318" w:rsidP="00343D6C">
      <w:pPr>
        <w:pStyle w:val="TableDescription"/>
      </w:pPr>
      <w:r>
        <w:t>*</w:t>
      </w:r>
      <w:r w:rsidRPr="00BF3774">
        <w:t xml:space="preserve">Statutory </w:t>
      </w:r>
      <w:r>
        <w:t>timeframe for standard submissions is 255 working days</w:t>
      </w:r>
    </w:p>
    <w:p w14:paraId="220925F1" w14:textId="75C7430A" w:rsidR="00C22214" w:rsidRPr="00792A32" w:rsidRDefault="00083763" w:rsidP="00C22214">
      <w:pPr>
        <w:pStyle w:val="Heading2"/>
      </w:pPr>
      <w:bookmarkStart w:id="33" w:name="_Toc210745497"/>
      <w:bookmarkStart w:id="34" w:name="_Toc196046504"/>
      <w:bookmarkStart w:id="35" w:name="_Toc247691527"/>
      <w:bookmarkStart w:id="36" w:name="_Toc314842510"/>
      <w:bookmarkStart w:id="37" w:name="_Toc103679294"/>
      <w:r>
        <w:lastRenderedPageBreak/>
        <w:t xml:space="preserve">Assessment </w:t>
      </w:r>
      <w:r w:rsidR="00C22214" w:rsidRPr="00006FAB">
        <w:t>overview</w:t>
      </w:r>
      <w:bookmarkEnd w:id="33"/>
      <w:r w:rsidR="00C22214" w:rsidRPr="00006FAB">
        <w:t xml:space="preserve"> </w:t>
      </w:r>
      <w:bookmarkEnd w:id="34"/>
      <w:bookmarkEnd w:id="35"/>
      <w:bookmarkEnd w:id="36"/>
      <w:bookmarkEnd w:id="37"/>
    </w:p>
    <w:p w14:paraId="540151FC" w14:textId="77777777" w:rsidR="00C22214" w:rsidRPr="00BD5DBD" w:rsidRDefault="00C22214" w:rsidP="00BD5DBD">
      <w:pPr>
        <w:rPr>
          <w:szCs w:val="22"/>
        </w:rPr>
      </w:pPr>
      <w:bookmarkStart w:id="38" w:name="_Toc247691528"/>
      <w:bookmarkStart w:id="39" w:name="_Toc314842511"/>
      <w:r w:rsidRPr="00BD5DBD">
        <w:rPr>
          <w:szCs w:val="22"/>
        </w:rPr>
        <w:t>A summary of the TGA’s assessment for this submission is provided below.</w:t>
      </w:r>
    </w:p>
    <w:p w14:paraId="37F5A1C0" w14:textId="5D3D5FE0" w:rsidR="00C22214" w:rsidRDefault="00095C6A" w:rsidP="00C22214">
      <w:pPr>
        <w:pStyle w:val="Heading3"/>
      </w:pPr>
      <w:bookmarkStart w:id="40" w:name="_Toc103679295"/>
      <w:bookmarkStart w:id="41" w:name="_Toc210745498"/>
      <w:r>
        <w:t>Q</w:t>
      </w:r>
      <w:r w:rsidR="00C22214">
        <w:t>uality</w:t>
      </w:r>
      <w:bookmarkEnd w:id="38"/>
      <w:bookmarkEnd w:id="39"/>
      <w:bookmarkEnd w:id="40"/>
      <w:r w:rsidR="007E6443">
        <w:t xml:space="preserve"> evaluation</w:t>
      </w:r>
      <w:r>
        <w:t xml:space="preserve"> summary</w:t>
      </w:r>
      <w:bookmarkEnd w:id="41"/>
    </w:p>
    <w:p w14:paraId="7C599000" w14:textId="4E2FF60E" w:rsidR="006957C0" w:rsidRPr="006957C0" w:rsidRDefault="006957C0" w:rsidP="006957C0">
      <w:pPr>
        <w:rPr>
          <w:lang w:val="en-GB"/>
        </w:rPr>
      </w:pPr>
      <w:r w:rsidRPr="006957C0">
        <w:t>Aflibercept</w:t>
      </w:r>
      <w:r w:rsidRPr="006957C0">
        <w:rPr>
          <w:lang w:val="en-GB"/>
        </w:rPr>
        <w:t xml:space="preserve"> (SOK583) is a fusion protein consisting of portions of human vascular endothelial growth factor receptors 1 (VEGFR-1) and 2 (VEGFR-2), and the Fc </w:t>
      </w:r>
      <w:r w:rsidR="00EA273B">
        <w:rPr>
          <w:lang w:val="en-GB"/>
        </w:rPr>
        <w:t>(f</w:t>
      </w:r>
      <w:r w:rsidR="00EA273B" w:rsidRPr="00EA273B">
        <w:rPr>
          <w:lang w:val="en-GB"/>
        </w:rPr>
        <w:t>ragment crystallisable</w:t>
      </w:r>
      <w:r w:rsidR="00EA273B">
        <w:rPr>
          <w:lang w:val="en-GB"/>
        </w:rPr>
        <w:t>)</w:t>
      </w:r>
      <w:r w:rsidR="00EA273B" w:rsidRPr="00EA273B">
        <w:rPr>
          <w:lang w:val="en-GB"/>
        </w:rPr>
        <w:t xml:space="preserve"> </w:t>
      </w:r>
      <w:r w:rsidRPr="006957C0">
        <w:rPr>
          <w:lang w:val="en-GB"/>
        </w:rPr>
        <w:t>portion of IgG1; designed to bind (trap) vascular endothelial growth factor-A (VEGF-A), vascular endothelial growth factor-B (VEGF-B), and placental growth factor (</w:t>
      </w:r>
      <w:proofErr w:type="spellStart"/>
      <w:r w:rsidRPr="006957C0">
        <w:rPr>
          <w:lang w:val="en-GB"/>
        </w:rPr>
        <w:t>PlGF</w:t>
      </w:r>
      <w:proofErr w:type="spellEnd"/>
      <w:r w:rsidRPr="006957C0">
        <w:rPr>
          <w:lang w:val="en-GB"/>
        </w:rPr>
        <w:t xml:space="preserve">). </w:t>
      </w:r>
    </w:p>
    <w:p w14:paraId="49F92673" w14:textId="77777777" w:rsidR="001304A7" w:rsidRPr="001304A7" w:rsidRDefault="001304A7" w:rsidP="001304A7">
      <w:r w:rsidRPr="001304A7">
        <w:t xml:space="preserve">The manufacturing process for Aflibercept drug substance uses a recombinant Chinese hamster ovary (CHO) cell line. For manufacture of Aflibercept, a fed-batch process with preceding expansion batches, followed by a primary separation and a series of purification steps, typical for monoclonal antibodies, including chromatography steps as well as virus removal and inactivation steps, has been developed. </w:t>
      </w:r>
    </w:p>
    <w:p w14:paraId="4B60AA1E" w14:textId="77777777" w:rsidR="007C0025" w:rsidRPr="007C0025" w:rsidRDefault="007C0025" w:rsidP="007C0025">
      <w:r w:rsidRPr="007C0025">
        <w:t xml:space="preserve">Stability data have been generated under real time and stressed conditions to characterise the stability profile of the active ingredient and to establish a shelf life. The real time data submitted support a </w:t>
      </w:r>
      <w:r w:rsidRPr="005B0694">
        <w:t>shelf life of 48 months when stored at ≤ -60°C, protected</w:t>
      </w:r>
      <w:r w:rsidRPr="007C0025">
        <w:t xml:space="preserve"> from light.</w:t>
      </w:r>
    </w:p>
    <w:p w14:paraId="29904268" w14:textId="1B647F8A" w:rsidR="003924DF" w:rsidRPr="005B0694" w:rsidRDefault="00184BD0" w:rsidP="003924DF">
      <w:pPr>
        <w:rPr>
          <w:b/>
          <w:bCs/>
        </w:rPr>
      </w:pPr>
      <w:r w:rsidRPr="005B0694">
        <w:rPr>
          <w:b/>
          <w:bCs/>
        </w:rPr>
        <w:t>Afqlir</w:t>
      </w:r>
      <w:r w:rsidR="00B04440">
        <w:rPr>
          <w:b/>
          <w:bCs/>
        </w:rPr>
        <w:t>/Enzeevu vial</w:t>
      </w:r>
    </w:p>
    <w:p w14:paraId="1E504B81" w14:textId="77777777" w:rsidR="003924DF" w:rsidRPr="003924DF" w:rsidRDefault="003924DF" w:rsidP="006F5542">
      <w:pPr>
        <w:pStyle w:val="ListBullet"/>
      </w:pPr>
      <w:r w:rsidRPr="003924DF">
        <w:t>Store at 2°C to 8°C (Refrigerate. Do not freeze).</w:t>
      </w:r>
    </w:p>
    <w:p w14:paraId="096D49ED" w14:textId="77777777" w:rsidR="003924DF" w:rsidRPr="003924DF" w:rsidRDefault="003924DF" w:rsidP="006F5542">
      <w:pPr>
        <w:pStyle w:val="ListBullet"/>
      </w:pPr>
      <w:r w:rsidRPr="003924DF">
        <w:t>Keep vial in the carton to protect from light.</w:t>
      </w:r>
    </w:p>
    <w:p w14:paraId="40B9D1D1" w14:textId="77777777" w:rsidR="003924DF" w:rsidRPr="003924DF" w:rsidRDefault="003924DF" w:rsidP="006F5542">
      <w:pPr>
        <w:pStyle w:val="ListBullet"/>
      </w:pPr>
      <w:r w:rsidRPr="003924DF">
        <w:t>Prior to usage, the unopened vial may be stored at room temperature up to 30°C for up to 14 days.</w:t>
      </w:r>
    </w:p>
    <w:p w14:paraId="77896741" w14:textId="7E4286C3" w:rsidR="003924DF" w:rsidRPr="005B0694" w:rsidRDefault="00B04440" w:rsidP="003924DF">
      <w:pPr>
        <w:rPr>
          <w:b/>
          <w:bCs/>
        </w:rPr>
      </w:pPr>
      <w:r>
        <w:rPr>
          <w:b/>
          <w:bCs/>
        </w:rPr>
        <w:t>Afqlir/</w:t>
      </w:r>
      <w:r w:rsidR="00FC4F1B" w:rsidRPr="005B0694">
        <w:rPr>
          <w:b/>
          <w:bCs/>
        </w:rPr>
        <w:t>Enzeevu</w:t>
      </w:r>
      <w:r w:rsidR="003924DF" w:rsidRPr="005B0694">
        <w:rPr>
          <w:b/>
          <w:bCs/>
        </w:rPr>
        <w:t xml:space="preserve"> </w:t>
      </w:r>
      <w:r>
        <w:rPr>
          <w:b/>
          <w:bCs/>
        </w:rPr>
        <w:t>PFS</w:t>
      </w:r>
    </w:p>
    <w:p w14:paraId="6D4B2405" w14:textId="77777777" w:rsidR="003924DF" w:rsidRPr="003924DF" w:rsidRDefault="003924DF" w:rsidP="006F5542">
      <w:pPr>
        <w:pStyle w:val="ListBullet"/>
      </w:pPr>
      <w:r w:rsidRPr="003924DF">
        <w:t>Store at 2°C to 8°C (Refrigerate. Do not freeze).</w:t>
      </w:r>
    </w:p>
    <w:p w14:paraId="76B1B3F2" w14:textId="77777777" w:rsidR="003924DF" w:rsidRPr="003924DF" w:rsidRDefault="003924DF" w:rsidP="006F5542">
      <w:pPr>
        <w:pStyle w:val="ListBullet"/>
      </w:pPr>
      <w:r w:rsidRPr="003924DF">
        <w:t xml:space="preserve">Store in the original package </w:t>
      </w:r>
      <w:proofErr w:type="gramStart"/>
      <w:r w:rsidRPr="003924DF">
        <w:t>in order to</w:t>
      </w:r>
      <w:proofErr w:type="gramEnd"/>
      <w:r w:rsidRPr="003924DF">
        <w:t xml:space="preserve"> protect from light.</w:t>
      </w:r>
    </w:p>
    <w:p w14:paraId="1A514CEB" w14:textId="77777777" w:rsidR="003924DF" w:rsidRPr="003924DF" w:rsidRDefault="003924DF" w:rsidP="006F5542">
      <w:pPr>
        <w:pStyle w:val="ListBullet"/>
      </w:pPr>
      <w:r w:rsidRPr="003924DF">
        <w:t>Prior to usage, the pre-filled syringe in unopened blister may be stored at room temperature up to 30°C for up to 14 days.</w:t>
      </w:r>
    </w:p>
    <w:p w14:paraId="25ADD536" w14:textId="6C6F912B" w:rsidR="00961AF4" w:rsidRPr="007F275D" w:rsidRDefault="00961AF4" w:rsidP="00961AF4">
      <w:r w:rsidRPr="007F275D">
        <w:t xml:space="preserve">There are no objections on quality grounds to the approval of new strength and formulation of </w:t>
      </w:r>
      <w:r w:rsidR="00184BD0">
        <w:t>Afqlir</w:t>
      </w:r>
      <w:r w:rsidRPr="007F275D">
        <w:t xml:space="preserve"> 40 mg/mL vial, </w:t>
      </w:r>
      <w:r w:rsidR="005B0694">
        <w:t>Enzeevu</w:t>
      </w:r>
      <w:r w:rsidRPr="007F275D">
        <w:t xml:space="preserve"> 40 mg/mL vial</w:t>
      </w:r>
      <w:r w:rsidR="00E82879">
        <w:t>,</w:t>
      </w:r>
      <w:r w:rsidRPr="007F275D">
        <w:t xml:space="preserve"> </w:t>
      </w:r>
      <w:r w:rsidR="00184BD0">
        <w:t>Afqlir</w:t>
      </w:r>
      <w:r w:rsidRPr="007F275D">
        <w:t xml:space="preserve"> 40mg/mL PFS, and </w:t>
      </w:r>
      <w:r w:rsidR="005B0694">
        <w:t>Enzeevu</w:t>
      </w:r>
      <w:r w:rsidRPr="007F275D">
        <w:t xml:space="preserve"> 40 mg/mL PFS</w:t>
      </w:r>
      <w:r w:rsidR="005B0694">
        <w:t>.</w:t>
      </w:r>
      <w:r w:rsidRPr="007F275D">
        <w:t xml:space="preserve"> </w:t>
      </w:r>
    </w:p>
    <w:p w14:paraId="2BE90AAE" w14:textId="35796FD3" w:rsidR="00C22214" w:rsidRDefault="00C22214" w:rsidP="00C22214">
      <w:pPr>
        <w:pStyle w:val="Heading3"/>
      </w:pPr>
      <w:bookmarkStart w:id="42" w:name="_Toc314842512"/>
      <w:bookmarkStart w:id="43" w:name="_Toc103679296"/>
      <w:bookmarkStart w:id="44" w:name="_Toc210745499"/>
      <w:r>
        <w:t>Nonclinical</w:t>
      </w:r>
      <w:bookmarkEnd w:id="42"/>
      <w:bookmarkEnd w:id="43"/>
      <w:r w:rsidR="007E6443">
        <w:t xml:space="preserve"> evaluation</w:t>
      </w:r>
      <w:r w:rsidR="00095C6A">
        <w:t xml:space="preserve"> summary</w:t>
      </w:r>
      <w:bookmarkEnd w:id="44"/>
    </w:p>
    <w:p w14:paraId="191B6390" w14:textId="3C3264A1" w:rsidR="007A7F5F" w:rsidRPr="007A7F5F" w:rsidRDefault="00A5652A" w:rsidP="006D7ED6">
      <w:bookmarkStart w:id="45" w:name="_Toc247691530"/>
      <w:bookmarkStart w:id="46" w:name="_Toc314842513"/>
      <w:bookmarkStart w:id="47" w:name="_Toc103679297"/>
      <w:r>
        <w:t xml:space="preserve">The sponsor, </w:t>
      </w:r>
      <w:r w:rsidR="007A7F5F">
        <w:t>Sandoz Pty Ltd</w:t>
      </w:r>
      <w:r>
        <w:t>,</w:t>
      </w:r>
      <w:r w:rsidR="007A7F5F">
        <w:t xml:space="preserve"> has applied to register Afqlir</w:t>
      </w:r>
      <w:r w:rsidR="00B004CE">
        <w:t xml:space="preserve"> and </w:t>
      </w:r>
      <w:r w:rsidR="007A7F5F">
        <w:t xml:space="preserve">Enzeevu containing </w:t>
      </w:r>
      <w:r>
        <w:t xml:space="preserve">the active ingredient </w:t>
      </w:r>
      <w:r w:rsidR="007A7F5F">
        <w:t>aflibercep</w:t>
      </w:r>
      <w:r>
        <w:t>t</w:t>
      </w:r>
      <w:r w:rsidR="007A7F5F">
        <w:t>, intended as a biosimilar to Eylea 2 mg (40 mg/mL). The proposed indications, intravitreal (IVT) and dosing regimen</w:t>
      </w:r>
      <w:r w:rsidR="005B0694">
        <w:t xml:space="preserve"> and </w:t>
      </w:r>
      <w:r w:rsidR="007A7F5F">
        <w:t>route match those of Eylea. However, the formulation of Afqlir/Enzeevu differs from that for Eylea: trehalose in place of sucrose and sodium chloride, L</w:t>
      </w:r>
      <w:r w:rsidR="62D52E5B">
        <w:t>-</w:t>
      </w:r>
      <w:r w:rsidR="007A7F5F">
        <w:t>histidine and L</w:t>
      </w:r>
      <w:r w:rsidR="1D9275E0">
        <w:t>-</w:t>
      </w:r>
      <w:r w:rsidR="007A7F5F">
        <w:t>histidine hydrochloride monohydrate in place of sodium phosphate monobasic monohydrate and sodium phosphate dibasic heptahydrate.</w:t>
      </w:r>
    </w:p>
    <w:p w14:paraId="4AC74143" w14:textId="20E71C87" w:rsidR="007A7F5F" w:rsidRPr="007A7F5F" w:rsidRDefault="007A7F5F" w:rsidP="006D7ED6">
      <w:r>
        <w:t xml:space="preserve">The nonclinical dossier contained a comparative study on pharmacokinetics (systemic exposure and ocular distribution) following single IVT dosing. The scope of the nonclinical program is adequate under the relevant EU guideline. This study was conducted using EU-sourced Eylea as </w:t>
      </w:r>
      <w:r>
        <w:lastRenderedPageBreak/>
        <w:t>the reference product. No data were provided in Module 4 to verify the comparability of the EU</w:t>
      </w:r>
      <w:r w:rsidR="26B3DCDB">
        <w:t>-</w:t>
      </w:r>
      <w:r>
        <w:t>sourced and Australian-sourced Eylea.</w:t>
      </w:r>
    </w:p>
    <w:p w14:paraId="591F78C9" w14:textId="77777777" w:rsidR="007A7F5F" w:rsidRPr="007A7F5F" w:rsidRDefault="007A7F5F" w:rsidP="006D7ED6">
      <w:r w:rsidRPr="007A7F5F">
        <w:t>In an ocular distribution study in rabbits, there were no significant differences in pharmacokinetic parameters for aflibercept in the vitreous humour following IVT dosing of Afqlir</w:t>
      </w:r>
      <w:r w:rsidRPr="007A7F5F">
        <w:rPr>
          <w:i/>
        </w:rPr>
        <w:t xml:space="preserve"> </w:t>
      </w:r>
      <w:r w:rsidRPr="007A7F5F">
        <w:rPr>
          <w:iCs/>
        </w:rPr>
        <w:t xml:space="preserve">and EU Eylea. </w:t>
      </w:r>
      <w:r w:rsidRPr="007A7F5F">
        <w:t>Systemic aflibercept exposures were also comparable.</w:t>
      </w:r>
    </w:p>
    <w:p w14:paraId="2769A1DE" w14:textId="0061B8F1" w:rsidR="007A7F5F" w:rsidRPr="007A7F5F" w:rsidRDefault="007A7F5F" w:rsidP="006D7ED6">
      <w:r w:rsidRPr="007A7F5F">
        <w:t xml:space="preserve">The ability of the nonclinical studies to support comparability to Australian Eylea depends on the conclusion of the Module 3 Evaluator regarding the identity of Eylea products across jurisdictions. Provided that EU-sourced Eylea </w:t>
      </w:r>
      <w:proofErr w:type="gramStart"/>
      <w:r w:rsidRPr="007A7F5F">
        <w:t>is considered to be</w:t>
      </w:r>
      <w:proofErr w:type="gramEnd"/>
      <w:r w:rsidRPr="007A7F5F">
        <w:t xml:space="preserve"> identical or highly comparable to the Australian product, there are no nonclinical objections to the registration of Afqlir</w:t>
      </w:r>
      <w:r w:rsidR="002000DF">
        <w:t xml:space="preserve"> and </w:t>
      </w:r>
      <w:r w:rsidRPr="007A7F5F">
        <w:t xml:space="preserve">Enzeevu. </w:t>
      </w:r>
    </w:p>
    <w:p w14:paraId="35B580A5" w14:textId="40B226DC" w:rsidR="00C22214" w:rsidRDefault="00C22214" w:rsidP="008804CF">
      <w:pPr>
        <w:pStyle w:val="Heading3"/>
      </w:pPr>
      <w:bookmarkStart w:id="48" w:name="_Toc210745500"/>
      <w:r>
        <w:t>Clinical</w:t>
      </w:r>
      <w:bookmarkEnd w:id="45"/>
      <w:bookmarkEnd w:id="46"/>
      <w:bookmarkEnd w:id="47"/>
      <w:r w:rsidR="00095C6A">
        <w:t xml:space="preserve"> evaluation summary</w:t>
      </w:r>
      <w:bookmarkEnd w:id="48"/>
    </w:p>
    <w:p w14:paraId="32B0DEDA" w14:textId="77777777" w:rsidR="00C22214" w:rsidRPr="00433318" w:rsidRDefault="00C22214" w:rsidP="00433318">
      <w:pPr>
        <w:pStyle w:val="Heading4"/>
      </w:pPr>
      <w:bookmarkStart w:id="49" w:name="_Toc98931928"/>
      <w:bookmarkStart w:id="50" w:name="_Toc210745501"/>
      <w:r>
        <w:t>Summary of clinical studies</w:t>
      </w:r>
      <w:bookmarkEnd w:id="49"/>
      <w:bookmarkEnd w:id="50"/>
    </w:p>
    <w:p w14:paraId="44536194" w14:textId="4D2E3324" w:rsidR="0022064E" w:rsidRPr="0022064E" w:rsidRDefault="0022064E" w:rsidP="0022064E">
      <w:r w:rsidRPr="0022064E">
        <w:t xml:space="preserve">The clinical program includes pivotal comparative clinical study and 2 supportive studies. Study summary details are outlined in table </w:t>
      </w:r>
      <w:r w:rsidR="0052640C">
        <w:t>3</w:t>
      </w:r>
      <w:r w:rsidRPr="0022064E">
        <w:t>. During clinical development, SOK583 was supplied as 3 presentations:</w:t>
      </w:r>
    </w:p>
    <w:p w14:paraId="4DD34EF2" w14:textId="29B88EB5" w:rsidR="0022064E" w:rsidRPr="0022064E" w:rsidRDefault="0022064E" w:rsidP="0022064E">
      <w:pPr>
        <w:pStyle w:val="ListBullet"/>
      </w:pPr>
      <w:r w:rsidRPr="0022064E">
        <w:t>Liquid in a single-use vial (LIVI) used in Study 301</w:t>
      </w:r>
    </w:p>
    <w:p w14:paraId="3E886E22" w14:textId="5C2BAE16" w:rsidR="0022064E" w:rsidRPr="0022064E" w:rsidRDefault="0022064E" w:rsidP="0022064E">
      <w:pPr>
        <w:pStyle w:val="ListBullet"/>
      </w:pPr>
      <w:r w:rsidRPr="0022064E">
        <w:t>LIVI kit (1 single-use vial, filter needle, injection needle, and syringe) used in Study 303</w:t>
      </w:r>
    </w:p>
    <w:p w14:paraId="12F5EE7D" w14:textId="49F8761F" w:rsidR="0022064E" w:rsidRPr="0022064E" w:rsidRDefault="0022064E" w:rsidP="0022064E">
      <w:pPr>
        <w:pStyle w:val="ListBullet"/>
      </w:pPr>
      <w:r w:rsidRPr="0022064E">
        <w:t xml:space="preserve">Liquid in (prefilled) syringe (LISY) used in Study 304. </w:t>
      </w:r>
    </w:p>
    <w:p w14:paraId="6F8BE273" w14:textId="1AFC395E" w:rsidR="0052640C" w:rsidRPr="007A245D" w:rsidRDefault="320F7FD1" w:rsidP="5CBFEC6C">
      <w:pPr>
        <w:pStyle w:val="TableTitle"/>
        <w:rPr>
          <w:i/>
          <w:iCs/>
        </w:rPr>
      </w:pPr>
      <w:r>
        <w:t>Table 3: Overview of clinical studies included in the SOK583 development program</w:t>
      </w:r>
      <w:r w:rsidR="00516F4D">
        <w:t>.</w:t>
      </w:r>
    </w:p>
    <w:p w14:paraId="7D03CFA1" w14:textId="601D6B06" w:rsidR="0022064E" w:rsidRDefault="00212BDD" w:rsidP="00C22214">
      <w:pPr>
        <w:rPr>
          <w:szCs w:val="22"/>
        </w:rPr>
      </w:pPr>
      <w:r>
        <w:rPr>
          <w:noProof/>
        </w:rPr>
        <w:drawing>
          <wp:inline distT="0" distB="0" distL="0" distR="0" wp14:anchorId="639FADB4" wp14:editId="5A628DF8">
            <wp:extent cx="5934075" cy="3095625"/>
            <wp:effectExtent l="0" t="0" r="9525" b="9525"/>
            <wp:docPr id="1323780917" name="Picture 5" descr="Table 3: Overview of clinical studies included in the SOK583 development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80917" name="Picture 5" descr="Table 3: Overview of clinical studies included in the SOK583 development program."/>
                    <pic:cNvPicPr/>
                  </pic:nvPicPr>
                  <pic:blipFill>
                    <a:blip r:embed="rId24">
                      <a:extLst>
                        <a:ext uri="{28A0092B-C50C-407E-A947-70E740481C1C}">
                          <a14:useLocalDpi xmlns:a14="http://schemas.microsoft.com/office/drawing/2010/main" val="0"/>
                        </a:ext>
                      </a:extLst>
                    </a:blip>
                    <a:stretch>
                      <a:fillRect/>
                    </a:stretch>
                  </pic:blipFill>
                  <pic:spPr>
                    <a:xfrm>
                      <a:off x="0" y="0"/>
                      <a:ext cx="5934075" cy="3095625"/>
                    </a:xfrm>
                    <a:prstGeom prst="rect">
                      <a:avLst/>
                    </a:prstGeom>
                  </pic:spPr>
                </pic:pic>
              </a:graphicData>
            </a:graphic>
          </wp:inline>
        </w:drawing>
      </w:r>
    </w:p>
    <w:p w14:paraId="699F5692" w14:textId="77777777" w:rsidR="00190625" w:rsidRPr="00190625" w:rsidRDefault="00190625" w:rsidP="00190625">
      <w:pPr>
        <w:pStyle w:val="Heading4"/>
      </w:pPr>
      <w:bookmarkStart w:id="51" w:name="_Toc210745502"/>
      <w:r w:rsidRPr="00190625">
        <w:t>Pharmacology</w:t>
      </w:r>
      <w:bookmarkEnd w:id="51"/>
      <w:r w:rsidRPr="00190625">
        <w:t xml:space="preserve"> </w:t>
      </w:r>
    </w:p>
    <w:p w14:paraId="20C8FF8D" w14:textId="4547F703" w:rsidR="00190625" w:rsidRPr="00190625" w:rsidRDefault="00190625" w:rsidP="00190625">
      <w:pPr>
        <w:rPr>
          <w:szCs w:val="22"/>
        </w:rPr>
      </w:pPr>
      <w:r w:rsidRPr="00190625">
        <w:rPr>
          <w:szCs w:val="22"/>
        </w:rPr>
        <w:t xml:space="preserve">SOK583 has been developed as a biosimilar to Eylea (aflibercept). Aflibercept is a recombinant fusion protein consisting of portions of human VEGF receptor 1 and 2 extracellular domains fused to the Fc portion of human immunoglobulin G1. It acts as a soluble decoy receptor that binds VEGF-A and </w:t>
      </w:r>
      <w:proofErr w:type="spellStart"/>
      <w:r w:rsidRPr="00190625">
        <w:rPr>
          <w:szCs w:val="22"/>
        </w:rPr>
        <w:t>PlGF</w:t>
      </w:r>
      <w:proofErr w:type="spellEnd"/>
      <w:r w:rsidRPr="00190625">
        <w:rPr>
          <w:szCs w:val="22"/>
        </w:rPr>
        <w:t xml:space="preserve"> with higher affinity than their natural receptors and thereby can inhibit </w:t>
      </w:r>
      <w:r w:rsidRPr="00190625">
        <w:rPr>
          <w:szCs w:val="22"/>
        </w:rPr>
        <w:lastRenderedPageBreak/>
        <w:t xml:space="preserve">the binding and activation of these cognate VEGF receptors. They are both are manufactured by recombinant DNA technology and are expressed in a Chinese hamster ovary cell expression system. </w:t>
      </w:r>
    </w:p>
    <w:p w14:paraId="5A0075E6" w14:textId="77777777" w:rsidR="00190625" w:rsidRPr="00190625" w:rsidRDefault="00190625" w:rsidP="00190625">
      <w:pPr>
        <w:rPr>
          <w:szCs w:val="22"/>
        </w:rPr>
      </w:pPr>
      <w:r w:rsidRPr="00190625">
        <w:rPr>
          <w:szCs w:val="22"/>
        </w:rPr>
        <w:t>Aflibercept is a recombinant fusion protein consisting of portions of human VEGF receptor (VEGFR)-1 and VEGFR-2 extracellular domains fused to the fragment crystallizable portion (Fc) of a human immunoglobulin isotype class G subclass 1 monoclonal antibody. The mechanism of action involves aflibercept acting as a soluble decoy receptor that binds VEGF type A (VEGF-A) and placental growth factor (</w:t>
      </w:r>
      <w:proofErr w:type="spellStart"/>
      <w:r w:rsidRPr="00190625">
        <w:rPr>
          <w:szCs w:val="22"/>
        </w:rPr>
        <w:t>PlGF</w:t>
      </w:r>
      <w:proofErr w:type="spellEnd"/>
      <w:r w:rsidRPr="00190625">
        <w:rPr>
          <w:szCs w:val="22"/>
        </w:rPr>
        <w:t xml:space="preserve">) and thereby inhibiting binding and activation of VEGFR-1 and VEGFR-2. </w:t>
      </w:r>
    </w:p>
    <w:p w14:paraId="5EB7E2CD" w14:textId="77781F69" w:rsidR="00190625" w:rsidRPr="00190625" w:rsidRDefault="00190625" w:rsidP="00190625">
      <w:pPr>
        <w:rPr>
          <w:szCs w:val="22"/>
        </w:rPr>
      </w:pPr>
      <w:r w:rsidRPr="00190625">
        <w:rPr>
          <w:szCs w:val="22"/>
        </w:rPr>
        <w:t>Among the many angiogenic factors identified in vascular regulation, the VEGF superfamily and the VEGFRs play a decisive role in both physiological and pathological angiogenesis, and</w:t>
      </w:r>
      <w:proofErr w:type="gramStart"/>
      <w:r w:rsidRPr="00190625">
        <w:rPr>
          <w:szCs w:val="22"/>
        </w:rPr>
        <w:t>, in particular, vascular</w:t>
      </w:r>
      <w:proofErr w:type="gramEnd"/>
      <w:r w:rsidRPr="00190625">
        <w:rPr>
          <w:szCs w:val="22"/>
        </w:rPr>
        <w:t xml:space="preserve"> permeability. Of the VEGF family members, VEGF-A contributes to angiogenesis, activating quiescent endothelial cells and promoting vascular permeability through VEGFR-1 binding, and stimulating cell proliferation through VEGFR-2 binding. It also plays a role in mobilizing and recruiting endothelial progenitor cells to sites of neovascularization and tissue regeneration.</w:t>
      </w:r>
      <w:r w:rsidR="00EA273B" w:rsidRPr="00EA273B">
        <w:rPr>
          <w:rStyle w:val="FootnoteReference"/>
          <w:szCs w:val="22"/>
        </w:rPr>
        <w:footnoteReference w:id="11"/>
      </w:r>
      <w:r w:rsidR="00EA273B" w:rsidRPr="00EA273B">
        <w:rPr>
          <w:szCs w:val="22"/>
          <w:vertAlign w:val="superscript"/>
        </w:rPr>
        <w:t>,</w:t>
      </w:r>
      <w:r w:rsidR="00EA273B">
        <w:rPr>
          <w:rStyle w:val="FootnoteReference"/>
          <w:szCs w:val="22"/>
        </w:rPr>
        <w:footnoteReference w:id="12"/>
      </w:r>
      <w:r w:rsidRPr="00190625">
        <w:rPr>
          <w:szCs w:val="22"/>
        </w:rPr>
        <w:t xml:space="preserve"> Endothelial cell response to VEGF-A leads to neovascularization and vascular permeability that contribute to disease pathology in neovascular eye disease. VEGF-A levels have been found to be elevated in the vitreous of patients with neovascular (wet) age-related macular degeneration (AMD), diabetic macular oedema, retinal vein occlusion, and myopic choroidal neovascularization.</w:t>
      </w:r>
      <w:r w:rsidR="00EA273B" w:rsidRPr="00EA273B">
        <w:rPr>
          <w:szCs w:val="22"/>
          <w:vertAlign w:val="superscript"/>
        </w:rPr>
        <w:t>10</w:t>
      </w:r>
      <w:r w:rsidRPr="00190625">
        <w:rPr>
          <w:szCs w:val="22"/>
        </w:rPr>
        <w:t xml:space="preserve"> </w:t>
      </w:r>
    </w:p>
    <w:p w14:paraId="4F84C20A" w14:textId="30233336" w:rsidR="00190625" w:rsidRPr="00190625" w:rsidRDefault="00190625" w:rsidP="00190625">
      <w:pPr>
        <w:rPr>
          <w:szCs w:val="22"/>
        </w:rPr>
      </w:pPr>
      <w:r w:rsidRPr="00190625">
        <w:rPr>
          <w:szCs w:val="22"/>
        </w:rPr>
        <w:t>Placental growth factor (</w:t>
      </w:r>
      <w:proofErr w:type="spellStart"/>
      <w:r w:rsidRPr="00190625">
        <w:rPr>
          <w:szCs w:val="22"/>
        </w:rPr>
        <w:t>PlGF</w:t>
      </w:r>
      <w:proofErr w:type="spellEnd"/>
      <w:r w:rsidRPr="00190625">
        <w:rPr>
          <w:szCs w:val="22"/>
        </w:rPr>
        <w:t xml:space="preserve">) is also implicated in pathological angiogenesis, especially in retinal disorders, and may work synergistically with VEGF. Animal models have shown that </w:t>
      </w:r>
      <w:proofErr w:type="spellStart"/>
      <w:r w:rsidRPr="00190625">
        <w:rPr>
          <w:szCs w:val="22"/>
        </w:rPr>
        <w:t>PlGF</w:t>
      </w:r>
      <w:proofErr w:type="spellEnd"/>
      <w:r w:rsidRPr="00190625">
        <w:rPr>
          <w:szCs w:val="22"/>
        </w:rPr>
        <w:t xml:space="preserve"> mediates permeability and neovascularization and inflammation. However, its contribution in pathological ocular neovascularization in humans has not been fully elucidated, and its role as a potential primary therapeutic target is not well understood.</w:t>
      </w:r>
      <w:r w:rsidR="00EA273B" w:rsidRPr="00EA273B">
        <w:rPr>
          <w:szCs w:val="22"/>
          <w:vertAlign w:val="superscript"/>
        </w:rPr>
        <w:t>11</w:t>
      </w:r>
      <w:r w:rsidRPr="00190625">
        <w:rPr>
          <w:szCs w:val="22"/>
        </w:rPr>
        <w:t xml:space="preserve"> </w:t>
      </w:r>
    </w:p>
    <w:p w14:paraId="3314E53B" w14:textId="44ECB5AF" w:rsidR="00190625" w:rsidRPr="00190625" w:rsidRDefault="00190625" w:rsidP="00A37044">
      <w:pPr>
        <w:pStyle w:val="Heading5"/>
      </w:pPr>
      <w:r w:rsidRPr="00190625">
        <w:t xml:space="preserve">Pharmacokinetics (PK) </w:t>
      </w:r>
    </w:p>
    <w:p w14:paraId="43AADBFB" w14:textId="77777777" w:rsidR="00190625" w:rsidRPr="00190625" w:rsidRDefault="00190625" w:rsidP="00190625">
      <w:pPr>
        <w:rPr>
          <w:szCs w:val="22"/>
        </w:rPr>
      </w:pPr>
      <w:r w:rsidRPr="00190625">
        <w:rPr>
          <w:szCs w:val="22"/>
        </w:rPr>
        <w:t xml:space="preserve">Study 301 was the only study in the SOK583 clinical development program that included a PK assessment of SOK583 and Eylea EU in subjects with </w:t>
      </w:r>
      <w:proofErr w:type="spellStart"/>
      <w:r w:rsidRPr="00190625">
        <w:rPr>
          <w:szCs w:val="22"/>
        </w:rPr>
        <w:t>nAMD</w:t>
      </w:r>
      <w:proofErr w:type="spellEnd"/>
      <w:r w:rsidRPr="00190625">
        <w:rPr>
          <w:szCs w:val="22"/>
        </w:rPr>
        <w:t>. 43 patients from study 301 were included in the PK analysis set. PK results are descriptive in nature.</w:t>
      </w:r>
    </w:p>
    <w:p w14:paraId="0CC5F3F8" w14:textId="359615A1" w:rsidR="00190625" w:rsidRPr="00190625" w:rsidRDefault="00190625" w:rsidP="00190625">
      <w:pPr>
        <w:rPr>
          <w:szCs w:val="22"/>
        </w:rPr>
      </w:pPr>
      <w:r w:rsidRPr="00190625">
        <w:rPr>
          <w:szCs w:val="22"/>
        </w:rPr>
        <w:t>Aflibercept is administered intravitreally, directly at the site of action. After IVT administration, aflibercept is temporarily bioavailable in the circulation but the systemic concentrations are highly variable and too low to elicit PD effects, as known from systemic administration of VEGF-inhibitors in oncology. Therefore, no PK similarity study was conducted; rather a PK sub</w:t>
      </w:r>
      <w:r w:rsidR="00A93BF1">
        <w:rPr>
          <w:szCs w:val="22"/>
        </w:rPr>
        <w:t>-</w:t>
      </w:r>
      <w:r w:rsidRPr="00190625">
        <w:rPr>
          <w:szCs w:val="22"/>
        </w:rPr>
        <w:t>study was included in Study 301. Total and free aflibercept concentrations were assessed at baseline (pre-dose) on Day 1 and 24 hours after the first injection (Day 2) and the third injection (Day 58).</w:t>
      </w:r>
    </w:p>
    <w:p w14:paraId="212D2505" w14:textId="4C64F4C0" w:rsidR="00190625" w:rsidRPr="00190625" w:rsidRDefault="00190625" w:rsidP="00190625">
      <w:r>
        <w:t>Free (plasma) and total (serum) aflibercept concentrations were low and comparable between subjects in the SOK583 group and the Eylea EU group at each visit. Results from the PK sub-study showed median free drug serum concentrations at day 58 (week 8) for the SOK583 and aflibercept (EU) treatment groups were 30.5 ng/mL and 2</w:t>
      </w:r>
      <w:r w:rsidR="6BB5DC03">
        <w:t>4</w:t>
      </w:r>
      <w:r>
        <w:t>.</w:t>
      </w:r>
      <w:r w:rsidR="6C499462">
        <w:t>7</w:t>
      </w:r>
      <w:r>
        <w:t xml:space="preserve"> ng/mL, respectively.</w:t>
      </w:r>
    </w:p>
    <w:p w14:paraId="5BF205EF" w14:textId="77777777" w:rsidR="00190625" w:rsidRPr="00190625" w:rsidRDefault="00190625" w:rsidP="00A37044">
      <w:pPr>
        <w:pStyle w:val="Heading5"/>
      </w:pPr>
      <w:r w:rsidRPr="00190625">
        <w:lastRenderedPageBreak/>
        <w:t>Pharmacodynamics (PD)</w:t>
      </w:r>
    </w:p>
    <w:p w14:paraId="6EDA88D9" w14:textId="32CF312F" w:rsidR="00190625" w:rsidRPr="00190625" w:rsidRDefault="00190625" w:rsidP="00190625">
      <w:r>
        <w:t>Evaluation of systemic VEGF-A concentration was an exploratory objective in study 301. This was undertaken once study 301 was already ongoing and thus evaluated at week 48 (pre-dose) and 52 (post dose). Results on retinal thickness and choroidal neovascularization lesion size from study 301 are discussed under the clinical efficacy section.  Systemic VEGF-A concentrations at Week 48 (pre-dose) and Week 52 and changes from Week 48 to Week 52 were comparable between the SOK583 group and the Eylea EU group</w:t>
      </w:r>
      <w:r w:rsidR="10E2130E">
        <w:t>.</w:t>
      </w:r>
    </w:p>
    <w:p w14:paraId="56542E51" w14:textId="2C8ED085" w:rsidR="00A06EC2" w:rsidRPr="00A06EC2" w:rsidRDefault="00A06EC2" w:rsidP="00A06EC2">
      <w:pPr>
        <w:pStyle w:val="Heading4"/>
      </w:pPr>
      <w:bookmarkStart w:id="52" w:name="_Toc210745503"/>
      <w:r w:rsidRPr="00A06EC2">
        <w:t>Efficacy</w:t>
      </w:r>
      <w:bookmarkEnd w:id="52"/>
      <w:r w:rsidRPr="00A06EC2">
        <w:t xml:space="preserve"> </w:t>
      </w:r>
    </w:p>
    <w:p w14:paraId="7681C3BF" w14:textId="77777777" w:rsidR="00A06EC2" w:rsidRPr="00A06EC2" w:rsidRDefault="00A06EC2" w:rsidP="00A06EC2">
      <w:pPr>
        <w:rPr>
          <w:szCs w:val="22"/>
        </w:rPr>
      </w:pPr>
      <w:r w:rsidRPr="00A06EC2">
        <w:rPr>
          <w:szCs w:val="22"/>
        </w:rPr>
        <w:t xml:space="preserve">CSOK583A12301 (Study 301) was the only study submitted containing evaluable efficacy data. </w:t>
      </w:r>
    </w:p>
    <w:p w14:paraId="6B3F6CEC" w14:textId="22F473E2" w:rsidR="00A06EC2" w:rsidRPr="00A06EC2" w:rsidRDefault="00A06EC2" w:rsidP="00A93BF1">
      <w:pPr>
        <w:pStyle w:val="Heading5"/>
      </w:pPr>
      <w:r w:rsidRPr="00A06EC2">
        <w:t>Study 301</w:t>
      </w:r>
      <w:r w:rsidR="009A0B5C">
        <w:rPr>
          <w:rStyle w:val="FootnoteReference"/>
        </w:rPr>
        <w:footnoteReference w:id="13"/>
      </w:r>
    </w:p>
    <w:p w14:paraId="7B42815B" w14:textId="24847E4A" w:rsidR="00A06EC2" w:rsidRPr="00A06EC2" w:rsidRDefault="00A06EC2" w:rsidP="00A06EC2">
      <w:pPr>
        <w:rPr>
          <w:szCs w:val="22"/>
        </w:rPr>
      </w:pPr>
      <w:r w:rsidRPr="00A06EC2">
        <w:rPr>
          <w:szCs w:val="22"/>
        </w:rPr>
        <w:t xml:space="preserve">This study is a phase III, 52-week, multicentre, randomized, double-masked, 2-arm parallel study to compare efficacy, safety and immunogenicity of SOK583A1 to Eylea, administered intravitreally, in anti-VEGF naïve patients with neovascular age-related macular degeneration. See table </w:t>
      </w:r>
      <w:r w:rsidR="00957871">
        <w:rPr>
          <w:szCs w:val="22"/>
        </w:rPr>
        <w:t>4</w:t>
      </w:r>
      <w:r w:rsidRPr="00A06EC2">
        <w:rPr>
          <w:szCs w:val="22"/>
        </w:rPr>
        <w:t xml:space="preserve"> for study objectives and endpoints. The primary efficacy population was the per protocol set. (PPS)</w:t>
      </w:r>
    </w:p>
    <w:p w14:paraId="0B28F0F0" w14:textId="582A2D42" w:rsidR="00957871" w:rsidRPr="00957871" w:rsidRDefault="51C24500" w:rsidP="00957871">
      <w:pPr>
        <w:pStyle w:val="TableTitle"/>
      </w:pPr>
      <w:r>
        <w:t>Table 4: Objectives and related endpoints – study 301</w:t>
      </w:r>
      <w:r w:rsidR="00516F4D">
        <w:t>.</w:t>
      </w:r>
    </w:p>
    <w:p w14:paraId="78027DF5" w14:textId="40122477" w:rsidR="00847244" w:rsidRDefault="0032070F" w:rsidP="006338F0">
      <w:r>
        <w:rPr>
          <w:noProof/>
        </w:rPr>
        <w:drawing>
          <wp:inline distT="0" distB="0" distL="0" distR="0" wp14:anchorId="130DADDE" wp14:editId="10EE97D1">
            <wp:extent cx="4973156" cy="1885205"/>
            <wp:effectExtent l="0" t="0" r="0" b="1270"/>
            <wp:docPr id="1500707696" name="Picture 6" descr="Table 4: Objectives and related endpoints – study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707696" name="Picture 6" descr="Table 4: Objectives and related endpoints – study 301."/>
                    <pic:cNvPicPr/>
                  </pic:nvPicPr>
                  <pic:blipFill>
                    <a:blip r:embed="rId25">
                      <a:extLst>
                        <a:ext uri="{28A0092B-C50C-407E-A947-70E740481C1C}">
                          <a14:useLocalDpi xmlns:a14="http://schemas.microsoft.com/office/drawing/2010/main" val="0"/>
                        </a:ext>
                      </a:extLst>
                    </a:blip>
                    <a:stretch>
                      <a:fillRect/>
                    </a:stretch>
                  </pic:blipFill>
                  <pic:spPr>
                    <a:xfrm>
                      <a:off x="0" y="0"/>
                      <a:ext cx="4985766" cy="1889985"/>
                    </a:xfrm>
                    <a:prstGeom prst="rect">
                      <a:avLst/>
                    </a:prstGeom>
                  </pic:spPr>
                </pic:pic>
              </a:graphicData>
            </a:graphic>
          </wp:inline>
        </w:drawing>
      </w:r>
    </w:p>
    <w:p w14:paraId="0B98D725" w14:textId="01825A72" w:rsidR="00EF366A" w:rsidRPr="00EF366A" w:rsidRDefault="00EF366A" w:rsidP="006338F0">
      <w:r>
        <w:rPr>
          <w:noProof/>
        </w:rPr>
        <w:drawing>
          <wp:inline distT="0" distB="0" distL="0" distR="0" wp14:anchorId="00D47D24" wp14:editId="275601EF">
            <wp:extent cx="5020351" cy="1159592"/>
            <wp:effectExtent l="0" t="0" r="8890" b="2540"/>
            <wp:docPr id="1295730611" name="Picture 7" descr="Table 4: Objectives and related endpoints – study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730611" name="Picture 7" descr="Table 4: Objectives and related endpoints – study 301."/>
                    <pic:cNvPicPr/>
                  </pic:nvPicPr>
                  <pic:blipFill>
                    <a:blip r:embed="rId26">
                      <a:extLst>
                        <a:ext uri="{28A0092B-C50C-407E-A947-70E740481C1C}">
                          <a14:useLocalDpi xmlns:a14="http://schemas.microsoft.com/office/drawing/2010/main" val="0"/>
                        </a:ext>
                      </a:extLst>
                    </a:blip>
                    <a:stretch>
                      <a:fillRect/>
                    </a:stretch>
                  </pic:blipFill>
                  <pic:spPr>
                    <a:xfrm>
                      <a:off x="0" y="0"/>
                      <a:ext cx="5049525" cy="1166330"/>
                    </a:xfrm>
                    <a:prstGeom prst="rect">
                      <a:avLst/>
                    </a:prstGeom>
                  </pic:spPr>
                </pic:pic>
              </a:graphicData>
            </a:graphic>
          </wp:inline>
        </w:drawing>
      </w:r>
    </w:p>
    <w:p w14:paraId="258A5115" w14:textId="06588E83" w:rsidR="0001747C" w:rsidRPr="0001747C" w:rsidRDefault="0001747C" w:rsidP="006338F0">
      <w:pPr>
        <w:pStyle w:val="Heading6"/>
      </w:pPr>
      <w:r w:rsidRPr="0001747C">
        <w:t xml:space="preserve">Study </w:t>
      </w:r>
      <w:r w:rsidR="006338F0">
        <w:t>d</w:t>
      </w:r>
      <w:r w:rsidRPr="0001747C">
        <w:t xml:space="preserve">esign </w:t>
      </w:r>
    </w:p>
    <w:p w14:paraId="46555730" w14:textId="77777777" w:rsidR="0001747C" w:rsidRDefault="0001747C" w:rsidP="0001747C">
      <w:r w:rsidRPr="0001747C">
        <w:t>Participants were randomised to receive SOK583 or the reference product. The study schema is shown in figure 1. The study did not include a treatment transition from Eylea EU to SOK583.</w:t>
      </w:r>
    </w:p>
    <w:p w14:paraId="2446A67A" w14:textId="2994E32D" w:rsidR="00756AB0" w:rsidRPr="00756AB0" w:rsidRDefault="00756AB0" w:rsidP="00756AB0">
      <w:pPr>
        <w:pStyle w:val="FigureTitle"/>
      </w:pPr>
      <w:r w:rsidRPr="00756AB0">
        <w:lastRenderedPageBreak/>
        <w:t>Figure 1: Study design of study 301: pivotal efficacy, safety, and immunogenicity study</w:t>
      </w:r>
      <w:r w:rsidR="00421BC4">
        <w:t>.</w:t>
      </w:r>
    </w:p>
    <w:p w14:paraId="307743D5" w14:textId="767FE5B7" w:rsidR="00847244" w:rsidRDefault="00F53F25" w:rsidP="0001747C">
      <w:r>
        <w:rPr>
          <w:rFonts w:ascii="Calibri" w:hAnsi="Calibri" w:cs="Calibri"/>
          <w:noProof/>
          <w:lang w:eastAsia="ja-JP"/>
        </w:rPr>
        <w:drawing>
          <wp:inline distT="0" distB="0" distL="0" distR="0" wp14:anchorId="239C8B2D" wp14:editId="76209BBE">
            <wp:extent cx="5451004" cy="2328519"/>
            <wp:effectExtent l="0" t="0" r="0" b="0"/>
            <wp:docPr id="542958116" name="Picture 9" descr="Figure 1: Study design of study 301: pivotal efficacy, safety, and immunogenicity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58116" name="Picture 9" descr="Figure 1: Study design of study 301: pivotal efficacy, safety, and immunogenicity study."/>
                    <pic:cNvPicPr/>
                  </pic:nvPicPr>
                  <pic:blipFill>
                    <a:blip r:embed="rId27">
                      <a:extLst>
                        <a:ext uri="{28A0092B-C50C-407E-A947-70E740481C1C}">
                          <a14:useLocalDpi xmlns:a14="http://schemas.microsoft.com/office/drawing/2010/main" val="0"/>
                        </a:ext>
                      </a:extLst>
                    </a:blip>
                    <a:stretch>
                      <a:fillRect/>
                    </a:stretch>
                  </pic:blipFill>
                  <pic:spPr>
                    <a:xfrm>
                      <a:off x="0" y="0"/>
                      <a:ext cx="5457923" cy="2331475"/>
                    </a:xfrm>
                    <a:prstGeom prst="rect">
                      <a:avLst/>
                    </a:prstGeom>
                  </pic:spPr>
                </pic:pic>
              </a:graphicData>
            </a:graphic>
          </wp:inline>
        </w:drawing>
      </w:r>
    </w:p>
    <w:p w14:paraId="28E255AC" w14:textId="4D58A600" w:rsidR="005E39D4" w:rsidRPr="005E39D4" w:rsidRDefault="005E39D4" w:rsidP="005E39D4">
      <w:r w:rsidRPr="005E39D4">
        <w:t xml:space="preserve">Eligible subjects were adults </w:t>
      </w:r>
      <w:r w:rsidR="00A93BF1">
        <w:t xml:space="preserve">aged </w:t>
      </w:r>
      <w:r w:rsidRPr="005E39D4">
        <w:t xml:space="preserve">50 years </w:t>
      </w:r>
      <w:r w:rsidR="00A93BF1">
        <w:t xml:space="preserve">and </w:t>
      </w:r>
      <w:r w:rsidRPr="005E39D4">
        <w:t>old</w:t>
      </w:r>
      <w:r w:rsidR="00A93BF1">
        <w:t>er</w:t>
      </w:r>
      <w:r w:rsidRPr="005E39D4">
        <w:t xml:space="preserve"> with neovascular (wet) AMD in the study eye. Subjects were naïve to anti-VEGF treatment.</w:t>
      </w:r>
    </w:p>
    <w:p w14:paraId="0DFD830D" w14:textId="77777777" w:rsidR="005E39D4" w:rsidRPr="005E39D4" w:rsidRDefault="005E39D4" w:rsidP="005E39D4">
      <w:r w:rsidRPr="005E39D4">
        <w:t xml:space="preserve">Subjects received aflibercept 2mg: SOK583 (40 mg/mL) or Eylea EU (40 mg/mL) every 4 weeks at Baseline, Week 4, and Week 8, and thereafter every 8 weeks at Weeks 16, 24, 32, 40, and 48. Only 1 eye was selected as study eye in each patient. If the fellow eye developed </w:t>
      </w:r>
      <w:proofErr w:type="spellStart"/>
      <w:r w:rsidRPr="005E39D4">
        <w:t>nAMD</w:t>
      </w:r>
      <w:proofErr w:type="spellEnd"/>
      <w:r w:rsidRPr="005E39D4">
        <w:t xml:space="preserve"> or another condition during the study, treatment with standard of care approved in the respective country was at the discretion of the investigator.</w:t>
      </w:r>
    </w:p>
    <w:p w14:paraId="51993BD9" w14:textId="5B916EAC" w:rsidR="005E39D4" w:rsidRPr="005E39D4" w:rsidRDefault="005E39D4" w:rsidP="006338F0">
      <w:pPr>
        <w:pStyle w:val="Heading6"/>
      </w:pPr>
      <w:r w:rsidRPr="005E39D4">
        <w:t xml:space="preserve">Results </w:t>
      </w:r>
    </w:p>
    <w:p w14:paraId="7E99E186" w14:textId="37959E5A" w:rsidR="005E39D4" w:rsidRPr="005E39D4" w:rsidRDefault="005E39D4" w:rsidP="005E39D4">
      <w:r w:rsidRPr="005E39D4">
        <w:t xml:space="preserve">485 subjects were randomized in the study, and 484 (99.8%) subjects received at least 1 dose of SOK583 or Eylea EU. One subject had no post-baseline </w:t>
      </w:r>
      <w:r w:rsidR="00A93BF1">
        <w:t>b</w:t>
      </w:r>
      <w:r w:rsidR="00A93BF1" w:rsidRPr="00A93BF1">
        <w:t xml:space="preserve">est-corrected visual acuity </w:t>
      </w:r>
      <w:r w:rsidR="00A93BF1">
        <w:t>(</w:t>
      </w:r>
      <w:r w:rsidRPr="005E39D4">
        <w:t>BCVA</w:t>
      </w:r>
      <w:r w:rsidR="00A93BF1">
        <w:t>)</w:t>
      </w:r>
      <w:r w:rsidRPr="005E39D4">
        <w:t xml:space="preserve"> assessment, thus leaving 483 subjects in the full analysis set. 431 randomized subjects (88.9%) completed treatment, and 438 subjects (90.3%) completed the study. Most subjects (SOK583: 204 subjects, 83.6%; Eylea EU: 207 subjects, 86.3%) received the maximum number of 8 injections. The mean numbers (SD) of injections were 7.6 (1.17) in the SOK583 group and 7.6 (1.23) in the Eylea EU group</w:t>
      </w:r>
    </w:p>
    <w:p w14:paraId="706DCEE2" w14:textId="22C3D797" w:rsidR="005E39D4" w:rsidRPr="005E39D4" w:rsidRDefault="005E39D4" w:rsidP="005E39D4">
      <w:r w:rsidRPr="005E39D4">
        <w:t xml:space="preserve">There were 483 subjects (n=243 for SOK583, n=240 for Eylea EU in the </w:t>
      </w:r>
      <w:r w:rsidR="00A93BF1">
        <w:t>full analysis set (</w:t>
      </w:r>
      <w:r w:rsidRPr="005E39D4">
        <w:t>FAS</w:t>
      </w:r>
      <w:r w:rsidR="00A93BF1">
        <w:t>)</w:t>
      </w:r>
      <w:r w:rsidRPr="005E39D4">
        <w:t xml:space="preserve"> set. Of these 273 (56.5%) were female, 429 (88.8%) were white, and 450 (93.2%) were not Hispanic or Latino. The mean (SD) age was 75.8 (7.79) years, range 53 to 94 year. The overall mean (SD) BCVA </w:t>
      </w:r>
      <w:r w:rsidR="00A93BF1">
        <w:t>e</w:t>
      </w:r>
      <w:r w:rsidR="00A93BF1" w:rsidRPr="00A93BF1">
        <w:t xml:space="preserve">arly treatment diabetic retinopathy study </w:t>
      </w:r>
      <w:r w:rsidR="00A93BF1">
        <w:t>(</w:t>
      </w:r>
      <w:r w:rsidRPr="005E39D4">
        <w:t>ETDRS</w:t>
      </w:r>
      <w:r w:rsidR="00A93BF1">
        <w:t>)</w:t>
      </w:r>
      <w:r w:rsidRPr="005E39D4">
        <w:t xml:space="preserve"> letter score at baseline was 59.4 (10.37). Demographics and baseline disease characteristics were generally balanced between treatment groups and were similar for the PPS.</w:t>
      </w:r>
    </w:p>
    <w:p w14:paraId="3FA6A206" w14:textId="77777777" w:rsidR="005E39D4" w:rsidRPr="005E39D4" w:rsidRDefault="005E39D4" w:rsidP="006338F0">
      <w:pPr>
        <w:pStyle w:val="Heading6"/>
      </w:pPr>
      <w:r w:rsidRPr="005E39D4">
        <w:t>Primary efficacy endpoint</w:t>
      </w:r>
    </w:p>
    <w:p w14:paraId="76A285A3" w14:textId="77777777" w:rsidR="005E39D4" w:rsidRPr="005E39D4" w:rsidRDefault="005E39D4" w:rsidP="005E39D4">
      <w:r w:rsidRPr="005E39D4">
        <w:t>At week 8, the observed mean (SD) change from baseline in BCVA was 6.5 (8.98) in the SOK583 group and 6.8 (7.46) in the aflibercept EU group. The point estimate of the least squares mean difference in change from baseline in BCVA at week 8 between the treatment groups was -0.3 with a 2-sided 95% CI (-1.8, 1.3) which was within the prespecified similarity margin of (-3.5, 3.5).  Therefore, therapeutic equivalence in terms of change from baseline in BCVA score was concluded.</w:t>
      </w:r>
    </w:p>
    <w:p w14:paraId="53EDA6AA" w14:textId="4E327F11" w:rsidR="005E39D4" w:rsidRPr="005E39D4" w:rsidRDefault="005E39D4" w:rsidP="005E39D4">
      <w:r w:rsidRPr="005E39D4">
        <w:t>Sensitivity analyses were performed using the per-protocol set and FAS based on last observation carried forward imputation and results were consistent with results from the primary efficacy analysis.</w:t>
      </w:r>
    </w:p>
    <w:p w14:paraId="5F1FA9B0" w14:textId="77777777" w:rsidR="005E39D4" w:rsidRPr="005E39D4" w:rsidRDefault="005E39D4" w:rsidP="005E39D4">
      <w:r w:rsidRPr="005E39D4">
        <w:lastRenderedPageBreak/>
        <w:t xml:space="preserve">Results for subgroup analyses were consistent with results from the primary efficacy analysis. Any differences were small and not considered clinically relevant. </w:t>
      </w:r>
    </w:p>
    <w:p w14:paraId="5CBDAE49" w14:textId="72ABAE79" w:rsidR="005E39D4" w:rsidRPr="005E39D4" w:rsidRDefault="005E39D4" w:rsidP="006338F0">
      <w:pPr>
        <w:pStyle w:val="Heading6"/>
      </w:pPr>
      <w:r w:rsidRPr="005E39D4">
        <w:t xml:space="preserve">Secondary </w:t>
      </w:r>
      <w:r w:rsidR="006338F0">
        <w:t>e</w:t>
      </w:r>
      <w:r w:rsidRPr="005E39D4">
        <w:t xml:space="preserve">fficacy </w:t>
      </w:r>
      <w:r w:rsidR="006338F0">
        <w:t>e</w:t>
      </w:r>
      <w:r w:rsidRPr="005E39D4">
        <w:t>ndpoints</w:t>
      </w:r>
    </w:p>
    <w:p w14:paraId="73D40F31" w14:textId="74B23B51" w:rsidR="005E39D4" w:rsidRPr="005E39D4" w:rsidRDefault="005E39D4" w:rsidP="005E39D4">
      <w:r w:rsidRPr="005E39D4">
        <w:t xml:space="preserve">Mean changes from baseline in </w:t>
      </w:r>
      <w:r w:rsidR="001169FB">
        <w:t>c</w:t>
      </w:r>
      <w:r w:rsidR="001169FB" w:rsidRPr="001169FB">
        <w:t xml:space="preserve">entral subfield thickness </w:t>
      </w:r>
      <w:r w:rsidR="001169FB">
        <w:t>(</w:t>
      </w:r>
      <w:r w:rsidRPr="005E39D4">
        <w:t>CSFT</w:t>
      </w:r>
      <w:r w:rsidR="001169FB">
        <w:t>)</w:t>
      </w:r>
      <w:r w:rsidRPr="005E39D4">
        <w:t xml:space="preserve"> using SD-OCT, in CNV lesion size, and in BCVA score were similar between the SOK583 and Eylea EU groups for subjects in the FAS and the PPS. (see figures 2,3) Mean changes from baseline in BCVA score were similar between the SOK583 group and the Eylea EU group for subjects in the FAS and in the PPS at Weeks 24 and 52 and all other time points. (Figure 4)</w:t>
      </w:r>
    </w:p>
    <w:p w14:paraId="2DFA1513" w14:textId="5BF36C5F" w:rsidR="005017B1" w:rsidRPr="005017B1" w:rsidRDefault="005017B1" w:rsidP="00A237B1">
      <w:pPr>
        <w:pStyle w:val="FigureTitle"/>
      </w:pPr>
      <w:r w:rsidRPr="005017B1">
        <w:t>Figure 2: Mean change from baseline (SD) in CSFT using SD-OCT up to Week 52 (FAS)</w:t>
      </w:r>
      <w:r w:rsidR="009D174D">
        <w:t>.</w:t>
      </w:r>
    </w:p>
    <w:p w14:paraId="23209DCE" w14:textId="159D098B" w:rsidR="005E39D4" w:rsidRDefault="007C6207" w:rsidP="005E39D4">
      <w:r w:rsidRPr="00774709">
        <w:rPr>
          <w:rFonts w:ascii="Calibri" w:hAnsi="Calibri" w:cs="Calibri"/>
          <w:b/>
          <w:bCs/>
          <w:noProof/>
        </w:rPr>
        <w:drawing>
          <wp:inline distT="0" distB="0" distL="0" distR="0" wp14:anchorId="4483DE21" wp14:editId="48DDBD34">
            <wp:extent cx="5731510" cy="2679700"/>
            <wp:effectExtent l="0" t="0" r="2540" b="6350"/>
            <wp:docPr id="1087038478" name="Picture 12" descr="Figure 2: Mean change from baseline (SD) in CSFT using SD-OCT up to Week 52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038478" name="Picture 12" descr="Figure 2: Mean change from baseline (SD) in CSFT using SD-OCT up to Week 52 (FA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2679700"/>
                    </a:xfrm>
                    <a:prstGeom prst="rect">
                      <a:avLst/>
                    </a:prstGeom>
                    <a:noFill/>
                    <a:ln>
                      <a:noFill/>
                    </a:ln>
                  </pic:spPr>
                </pic:pic>
              </a:graphicData>
            </a:graphic>
          </wp:inline>
        </w:drawing>
      </w:r>
    </w:p>
    <w:p w14:paraId="5BCB06CA" w14:textId="6DF683DF" w:rsidR="00A237B1" w:rsidRPr="00A237B1" w:rsidRDefault="00A237B1" w:rsidP="00A237B1">
      <w:pPr>
        <w:pStyle w:val="FigureTitle"/>
      </w:pPr>
      <w:r w:rsidRPr="00A237B1">
        <w:t>Figure 3: Mean change from baseline (SD) in CNV lesion size using FA at Weeks 8 and 52 (FAS)</w:t>
      </w:r>
      <w:r w:rsidR="009D174D">
        <w:t>.</w:t>
      </w:r>
    </w:p>
    <w:p w14:paraId="508CC5D2" w14:textId="3DB56069" w:rsidR="005E39D4" w:rsidRDefault="00E73296" w:rsidP="006338F0">
      <w:r w:rsidRPr="00774709">
        <w:rPr>
          <w:noProof/>
        </w:rPr>
        <w:drawing>
          <wp:inline distT="0" distB="0" distL="0" distR="0" wp14:anchorId="72405ED4" wp14:editId="7D2F5AA9">
            <wp:extent cx="5731510" cy="2859405"/>
            <wp:effectExtent l="0" t="0" r="2540" b="0"/>
            <wp:docPr id="600862987" name="Picture 11" descr="Figure 3: Mean change from baseline (SD) in CNV lesion size using FA at Weeks 8 and 52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862987" name="Picture 11" descr="Figure 3: Mean change from baseline (SD) in CNV lesion size using FA at Weeks 8 and 52 (FA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2859405"/>
                    </a:xfrm>
                    <a:prstGeom prst="rect">
                      <a:avLst/>
                    </a:prstGeom>
                    <a:noFill/>
                    <a:ln>
                      <a:noFill/>
                    </a:ln>
                  </pic:spPr>
                </pic:pic>
              </a:graphicData>
            </a:graphic>
          </wp:inline>
        </w:drawing>
      </w:r>
    </w:p>
    <w:p w14:paraId="67419281" w14:textId="5C3DD7B8" w:rsidR="00C61649" w:rsidRPr="00C61649" w:rsidRDefault="00C61649" w:rsidP="00C61649">
      <w:pPr>
        <w:pStyle w:val="FigureTitle"/>
      </w:pPr>
      <w:r w:rsidRPr="00C61649">
        <w:lastRenderedPageBreak/>
        <w:t>Figure 4: Mean change from baseline in BCVA score</w:t>
      </w:r>
      <w:r w:rsidR="00EA3C20">
        <w:t>.</w:t>
      </w:r>
    </w:p>
    <w:p w14:paraId="70B83E79" w14:textId="13C6F15A" w:rsidR="00C61649" w:rsidRPr="00C61649" w:rsidRDefault="00786F0B" w:rsidP="006338F0">
      <w:r w:rsidRPr="00F32E0B">
        <w:rPr>
          <w:noProof/>
        </w:rPr>
        <w:drawing>
          <wp:inline distT="0" distB="0" distL="0" distR="0" wp14:anchorId="5225D05A" wp14:editId="0AE2A1ED">
            <wp:extent cx="5731510" cy="2668270"/>
            <wp:effectExtent l="0" t="0" r="2540" b="0"/>
            <wp:docPr id="905806099" name="Picture 13" descr="Figure 4: Mean change from baseline in BCVA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06099" name="Picture 13" descr="Figure 4: Mean change from baseline in BCVA sco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2668270"/>
                    </a:xfrm>
                    <a:prstGeom prst="rect">
                      <a:avLst/>
                    </a:prstGeom>
                    <a:noFill/>
                    <a:ln>
                      <a:noFill/>
                    </a:ln>
                  </pic:spPr>
                </pic:pic>
              </a:graphicData>
            </a:graphic>
          </wp:inline>
        </w:drawing>
      </w:r>
    </w:p>
    <w:p w14:paraId="66E3A721" w14:textId="77777777" w:rsidR="004478A1" w:rsidRPr="004478A1" w:rsidRDefault="004478A1" w:rsidP="004478A1">
      <w:pPr>
        <w:pStyle w:val="Heading5"/>
        <w:rPr>
          <w:rFonts w:eastAsia="Cambria"/>
        </w:rPr>
      </w:pPr>
      <w:r w:rsidRPr="004478A1">
        <w:rPr>
          <w:rFonts w:eastAsia="Cambria"/>
        </w:rPr>
        <w:t>Efficacy conclusions</w:t>
      </w:r>
    </w:p>
    <w:p w14:paraId="468F8FDA" w14:textId="77777777" w:rsidR="004478A1" w:rsidRPr="004478A1" w:rsidRDefault="004478A1" w:rsidP="004478A1">
      <w:r w:rsidRPr="004478A1">
        <w:t>The results of the Study 301 primary efficacy endpoint analysis demonstrate equivalence between SOK583 and the reference product within the equivalence margin specified by the Sponsor for the treatment of neovascular AMD.</w:t>
      </w:r>
    </w:p>
    <w:p w14:paraId="0C8E897F" w14:textId="77777777" w:rsidR="004478A1" w:rsidRPr="004478A1" w:rsidRDefault="004478A1" w:rsidP="004478A1">
      <w:r w:rsidRPr="004478A1">
        <w:t xml:space="preserve">Persistence of efficacy (through week 52) was observed in Study 301. </w:t>
      </w:r>
    </w:p>
    <w:p w14:paraId="511B0199" w14:textId="51327533" w:rsidR="00865A1B" w:rsidRPr="00865A1B" w:rsidRDefault="00865A1B" w:rsidP="00865A1B">
      <w:pPr>
        <w:pStyle w:val="Heading4"/>
      </w:pPr>
      <w:bookmarkStart w:id="53" w:name="_Toc210745504"/>
      <w:r w:rsidRPr="00865A1B">
        <w:t>Safety</w:t>
      </w:r>
      <w:bookmarkEnd w:id="53"/>
      <w:r w:rsidRPr="00865A1B">
        <w:t xml:space="preserve"> </w:t>
      </w:r>
    </w:p>
    <w:p w14:paraId="14191D15" w14:textId="77777777" w:rsidR="00865A1B" w:rsidRPr="00865A1B" w:rsidRDefault="00865A1B" w:rsidP="00865A1B">
      <w:r w:rsidRPr="00865A1B">
        <w:t>The following studies contributed safety data in the evaluation of SOK583:</w:t>
      </w:r>
    </w:p>
    <w:p w14:paraId="227D6195" w14:textId="1BFA0EA5" w:rsidR="00865A1B" w:rsidRPr="00865A1B" w:rsidRDefault="00865A1B" w:rsidP="00865A1B">
      <w:pPr>
        <w:pStyle w:val="ListBullet"/>
      </w:pPr>
      <w:r w:rsidRPr="00865A1B">
        <w:t xml:space="preserve">Study 301: a confirmatory randomized, double-masked, 2-arm study to compare efficacy, safety, and immunogenicity of SOK583 to Eylea EU in subjects with </w:t>
      </w:r>
      <w:proofErr w:type="spellStart"/>
      <w:r w:rsidRPr="00865A1B">
        <w:t>nAMD</w:t>
      </w:r>
      <w:proofErr w:type="spellEnd"/>
      <w:r w:rsidRPr="00865A1B">
        <w:t>. This study provided most of the safety data for SOK583. The SAF comprises all 484 subjects who were treated.</w:t>
      </w:r>
    </w:p>
    <w:p w14:paraId="3F155863" w14:textId="77777777" w:rsidR="00865A1B" w:rsidRPr="00865A1B" w:rsidRDefault="00865A1B" w:rsidP="00865A1B">
      <w:r w:rsidRPr="00865A1B">
        <w:t>The following 2 studies provided supportive data:</w:t>
      </w:r>
    </w:p>
    <w:p w14:paraId="30EC9DD7" w14:textId="77777777" w:rsidR="00865A1B" w:rsidRPr="00865A1B" w:rsidRDefault="00865A1B" w:rsidP="00865A1B">
      <w:pPr>
        <w:pStyle w:val="ListBullet"/>
      </w:pPr>
      <w:r w:rsidRPr="00865A1B">
        <w:t xml:space="preserve">Study 303: a supportive, open-label, single-arm study in subjects with </w:t>
      </w:r>
      <w:proofErr w:type="spellStart"/>
      <w:r w:rsidRPr="00865A1B">
        <w:t>nAMD</w:t>
      </w:r>
      <w:proofErr w:type="spellEnd"/>
      <w:r w:rsidRPr="00865A1B">
        <w:t xml:space="preserve"> to evaluate the safety of SOK583 (40 mg/mL) provided in a vial kit.</w:t>
      </w:r>
    </w:p>
    <w:p w14:paraId="00700CB6" w14:textId="77777777" w:rsidR="00865A1B" w:rsidRPr="00865A1B" w:rsidRDefault="00865A1B" w:rsidP="00865A1B">
      <w:pPr>
        <w:pStyle w:val="ListBullet"/>
      </w:pPr>
      <w:r w:rsidRPr="00865A1B">
        <w:t xml:space="preserve">Study 304: a supportive, open-label, single-arm study in subjects with </w:t>
      </w:r>
      <w:proofErr w:type="spellStart"/>
      <w:r w:rsidRPr="00865A1B">
        <w:t>nAMD</w:t>
      </w:r>
      <w:proofErr w:type="spellEnd"/>
      <w:r w:rsidRPr="00865A1B">
        <w:t xml:space="preserve"> to evaluate the safety of SOK583 (40 mg/mL) provided in a PFS.</w:t>
      </w:r>
    </w:p>
    <w:p w14:paraId="6E09C7A8" w14:textId="0D463DC2" w:rsidR="00865A1B" w:rsidRPr="00865A1B" w:rsidRDefault="00865A1B" w:rsidP="000C0796">
      <w:pPr>
        <w:pStyle w:val="Heading5"/>
      </w:pPr>
      <w:r w:rsidRPr="00865A1B">
        <w:t>Study 301</w:t>
      </w:r>
      <w:r w:rsidR="00E731CB" w:rsidRPr="00E731CB">
        <w:rPr>
          <w:vertAlign w:val="superscript"/>
        </w:rPr>
        <w:t>13</w:t>
      </w:r>
      <w:r w:rsidRPr="00E731CB">
        <w:rPr>
          <w:vertAlign w:val="superscript"/>
        </w:rPr>
        <w:t xml:space="preserve"> </w:t>
      </w:r>
    </w:p>
    <w:p w14:paraId="083D5745" w14:textId="1378126D" w:rsidR="00865A1B" w:rsidRPr="00865A1B" w:rsidRDefault="00865A1B" w:rsidP="00865A1B">
      <w:r w:rsidRPr="00865A1B">
        <w:t>Of the 484 randomized subjects who had received study treatment (</w:t>
      </w:r>
      <w:r w:rsidR="004D6DD0">
        <w:t>s</w:t>
      </w:r>
      <w:r w:rsidRPr="00865A1B">
        <w:t xml:space="preserve">afety analysis set), 431 (88.9%) completed treatment, and 438 (90.3%) completed the study. A total of 53 (10.9%) discontinued treatment early, and 47 (9.7%) discontinued the study early. Primary reasons for discontinuation were withdrawal by subject (19, 3.9%), </w:t>
      </w:r>
      <w:r w:rsidR="00A27869">
        <w:t>adverse event</w:t>
      </w:r>
      <w:r w:rsidRPr="00865A1B">
        <w:t>s (7, 1.4%), physician decision (7, 1.4%), and death (6 s, 1.2%).</w:t>
      </w:r>
    </w:p>
    <w:p w14:paraId="3449A073" w14:textId="77777777" w:rsidR="00865A1B" w:rsidRPr="00865A1B" w:rsidRDefault="00865A1B" w:rsidP="00865A1B">
      <w:r w:rsidRPr="00865A1B">
        <w:t>Of the safety set (484 patients) there were 244 patients treated with SOK583.</w:t>
      </w:r>
    </w:p>
    <w:p w14:paraId="079D1FF7" w14:textId="3D952820" w:rsidR="00865A1B" w:rsidRPr="00865A1B" w:rsidRDefault="00865A1B" w:rsidP="00865A1B">
      <w:r>
        <w:t>No relevant differences in the exposure to study treatment between treatment groups were observed. Subjects received means (SD) 7.6 (± 1.17) injections in the SOK583 group and 7.6 (± 1.23) injections in the Eylea EU group; 204 (83.6%) in the SOK583 group and 207 (86.3%) in the Eylea EU group received the maximum number of 8 injections.</w:t>
      </w:r>
    </w:p>
    <w:p w14:paraId="31E00572" w14:textId="77777777" w:rsidR="00865A1B" w:rsidRPr="00865A1B" w:rsidRDefault="00865A1B" w:rsidP="006338F0">
      <w:pPr>
        <w:pStyle w:val="Heading6"/>
      </w:pPr>
      <w:r w:rsidRPr="00865A1B">
        <w:lastRenderedPageBreak/>
        <w:t>Adverse events</w:t>
      </w:r>
    </w:p>
    <w:p w14:paraId="7A3DC186" w14:textId="69764116" w:rsidR="00865A1B" w:rsidRPr="00865A1B" w:rsidRDefault="00865A1B" w:rsidP="00865A1B">
      <w:pPr>
        <w:numPr>
          <w:ilvl w:val="0"/>
          <w:numId w:val="25"/>
        </w:numPr>
      </w:pPr>
      <w:r w:rsidRPr="00865A1B">
        <w:t xml:space="preserve">Overall, 353 subjects [179 (73.4%) in SOK583, 174 (72.5%) in Eylea EU] experienced at least 1 </w:t>
      </w:r>
      <w:r w:rsidR="004D6DD0">
        <w:t>t</w:t>
      </w:r>
      <w:r w:rsidR="004D6DD0" w:rsidRPr="004D6DD0">
        <w:t xml:space="preserve">reatment-emergent adverse event </w:t>
      </w:r>
      <w:r w:rsidR="004D6DD0">
        <w:t>(</w:t>
      </w:r>
      <w:r w:rsidRPr="00865A1B">
        <w:t>TEAE</w:t>
      </w:r>
      <w:r w:rsidR="004D6DD0">
        <w:t>)</w:t>
      </w:r>
      <w:r w:rsidRPr="00865A1B">
        <w:t xml:space="preserve">, with a small number (n=6, and n=9) thought to be treatment related. (Table </w:t>
      </w:r>
      <w:r w:rsidR="008958E1">
        <w:t>5</w:t>
      </w:r>
      <w:r w:rsidRPr="00865A1B">
        <w:t>) There were no clinically relevant differences between the SOK583 and Eylea EU groups in ocular TEAEs in the study eye or the fellow eye and in non-ocular TEAEs.</w:t>
      </w:r>
    </w:p>
    <w:p w14:paraId="22998E60" w14:textId="518C08B1" w:rsidR="008958E1" w:rsidRPr="00703372" w:rsidRDefault="008958E1" w:rsidP="008958E1">
      <w:pPr>
        <w:pStyle w:val="TableTitle"/>
        <w:rPr>
          <w:rFonts w:eastAsia="MS Mincho"/>
        </w:rPr>
      </w:pPr>
      <w:bookmarkStart w:id="54" w:name="_Ref169778114"/>
      <w:bookmarkStart w:id="55" w:name="_Toc187332403"/>
      <w:r w:rsidRPr="00703372">
        <w:t>Table</w:t>
      </w:r>
      <w:bookmarkEnd w:id="54"/>
      <w:r w:rsidRPr="00703372">
        <w:t xml:space="preserve"> </w:t>
      </w:r>
      <w:r>
        <w:t>5</w:t>
      </w:r>
      <w:r w:rsidRPr="00703372">
        <w:t xml:space="preserve">: Overview of TEAEs (SAF) – </w:t>
      </w:r>
      <w:r w:rsidRPr="00703372">
        <w:rPr>
          <w:rFonts w:eastAsia="MS Mincho"/>
        </w:rPr>
        <w:t>CSOK583A12301</w:t>
      </w:r>
      <w:bookmarkEnd w:id="55"/>
      <w:r w:rsidR="007A3DAD">
        <w:rPr>
          <w:rFonts w:eastAsia="MS Mincho"/>
        </w:rPr>
        <w:t>.</w:t>
      </w:r>
    </w:p>
    <w:p w14:paraId="3793E08A" w14:textId="63F8B0DC" w:rsidR="005E39D4" w:rsidRDefault="004F5B4B" w:rsidP="004478A1">
      <w:r>
        <w:rPr>
          <w:rFonts w:ascii="Calibri" w:hAnsi="Calibri" w:cs="Calibri"/>
          <w:noProof/>
        </w:rPr>
        <w:drawing>
          <wp:inline distT="0" distB="0" distL="0" distR="0" wp14:anchorId="56A5E6B3" wp14:editId="2EA868D3">
            <wp:extent cx="5543550" cy="2296357"/>
            <wp:effectExtent l="0" t="0" r="0" b="8890"/>
            <wp:docPr id="1499739445" name="Picture 14" descr="Table 5: Overview of TEAEs (SAF) – CSOK583A1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39445" name="Picture 14" descr="Table 5: Overview of TEAEs (SAF) – CSOK583A12301."/>
                    <pic:cNvPicPr/>
                  </pic:nvPicPr>
                  <pic:blipFill>
                    <a:blip r:embed="rId31">
                      <a:extLst>
                        <a:ext uri="{28A0092B-C50C-407E-A947-70E740481C1C}">
                          <a14:useLocalDpi xmlns:a14="http://schemas.microsoft.com/office/drawing/2010/main" val="0"/>
                        </a:ext>
                      </a:extLst>
                    </a:blip>
                    <a:stretch>
                      <a:fillRect/>
                    </a:stretch>
                  </pic:blipFill>
                  <pic:spPr>
                    <a:xfrm>
                      <a:off x="0" y="0"/>
                      <a:ext cx="5553263" cy="2300380"/>
                    </a:xfrm>
                    <a:prstGeom prst="rect">
                      <a:avLst/>
                    </a:prstGeom>
                  </pic:spPr>
                </pic:pic>
              </a:graphicData>
            </a:graphic>
          </wp:inline>
        </w:drawing>
      </w:r>
    </w:p>
    <w:p w14:paraId="721938FD" w14:textId="77777777" w:rsidR="00BE785E" w:rsidRDefault="00BE785E" w:rsidP="00BE785E">
      <w:pPr>
        <w:pStyle w:val="ListBullet"/>
      </w:pPr>
      <w:r w:rsidRPr="006723BB">
        <w:t>The most frequently reported ocular TEAEs in the study eye were visual acuity reduced (SOK583: 10, 4.1%; Eylea EU: 12, 5.0%), retinal pigment epithelial tear (SOK583: 9, 3.7%; Eylea EU: 7, 2.9%), and conjunctival haemorrhage (SOK583: 9, 3.7%; Eylea EU: 4, 1.7%).</w:t>
      </w:r>
    </w:p>
    <w:p w14:paraId="4CAC3A3F" w14:textId="77777777" w:rsidR="00BE785E" w:rsidRDefault="00BE785E" w:rsidP="00BE785E">
      <w:pPr>
        <w:pStyle w:val="ListBullet"/>
      </w:pPr>
      <w:r w:rsidRPr="0012337A">
        <w:t>The most frequently reported non-ocular TEAEs were COVID-19 (SOK583: 19, 7.8%;</w:t>
      </w:r>
      <w:r>
        <w:t xml:space="preserve"> </w:t>
      </w:r>
      <w:r w:rsidRPr="0012337A">
        <w:t>Eylea EU: 24, 10.0%), hypertension (SOK583: 12, 4.9%; Eylea EU: 17, 7.1%), back pain (SOK583: 8, 3.3%; Eylea EU: 7, 2.9%),</w:t>
      </w:r>
      <w:r>
        <w:t xml:space="preserve"> </w:t>
      </w:r>
      <w:r w:rsidRPr="0012337A">
        <w:t>osteoarthritis (SOK583: 2, 0.8%; Eylea EU: 9, 3.8%), atrial fibrillation</w:t>
      </w:r>
      <w:r>
        <w:t xml:space="preserve"> </w:t>
      </w:r>
      <w:r w:rsidRPr="0012337A">
        <w:t>(SOK583: 8, 3.3%; Eylea EU: 2, 0.8%), and nasopharyngitis (SOK583: 7, 2.9%; Eylea EU: 5, 2.1%)</w:t>
      </w:r>
    </w:p>
    <w:p w14:paraId="064351F1" w14:textId="77777777" w:rsidR="00BE785E" w:rsidRPr="00AD5F6B" w:rsidRDefault="00BE785E" w:rsidP="00BE785E">
      <w:pPr>
        <w:pStyle w:val="ListBullet"/>
      </w:pPr>
      <w:r w:rsidRPr="00AD5F6B">
        <w:t>There were no clinically relevant differences between the 2 treatment groups regarding ocular</w:t>
      </w:r>
      <w:r>
        <w:t xml:space="preserve"> </w:t>
      </w:r>
      <w:r w:rsidRPr="00AD5F6B">
        <w:t>TEAEs in the study eye related to study treatment</w:t>
      </w:r>
      <w:r>
        <w:t xml:space="preserve"> or study procedure</w:t>
      </w:r>
      <w:r w:rsidRPr="00AD5F6B">
        <w:t>.</w:t>
      </w:r>
    </w:p>
    <w:p w14:paraId="5FAB2FDD" w14:textId="77777777" w:rsidR="00BE785E" w:rsidRPr="0079505C" w:rsidRDefault="1C060550" w:rsidP="0079505C">
      <w:pPr>
        <w:pStyle w:val="ListBullet"/>
      </w:pPr>
      <w:r>
        <w:t>Most subjects reported ocular and non-ocular TEAEs of mild or moderate severity (SOK583: 159, 65.2%; Eylea EU: 154, 64.2%).</w:t>
      </w:r>
    </w:p>
    <w:p w14:paraId="45581CA8" w14:textId="77777777" w:rsidR="00BE785E" w:rsidRPr="0079505C" w:rsidRDefault="00BE785E" w:rsidP="0079505C">
      <w:pPr>
        <w:pStyle w:val="ListBullet"/>
      </w:pPr>
      <w:r w:rsidRPr="0079505C">
        <w:t xml:space="preserve">The overall proportions of subjects with ocular TEAEs in the fellow eye were comparable between the SOK583 and Eylea EU groups (55, 22.5%, vs. 51, 21.3%). </w:t>
      </w:r>
    </w:p>
    <w:p w14:paraId="60503E08" w14:textId="77777777" w:rsidR="00BE785E" w:rsidRPr="0079505C" w:rsidRDefault="00BE785E" w:rsidP="0079505C">
      <w:pPr>
        <w:pStyle w:val="ListBullet"/>
      </w:pPr>
      <w:r w:rsidRPr="0079505C">
        <w:t>There were no clinically relevant differences between the SOK583 and Eylea EU groups in ocular TEAEs in the study eye or non-ocular TEAEs leading to study discontinuation.</w:t>
      </w:r>
    </w:p>
    <w:p w14:paraId="0168B36B" w14:textId="77777777" w:rsidR="00BE785E" w:rsidRPr="0079505C" w:rsidRDefault="00BE785E" w:rsidP="006338F0">
      <w:pPr>
        <w:pStyle w:val="Heading6"/>
      </w:pPr>
      <w:r w:rsidRPr="0079505C">
        <w:t>Severe adverse events</w:t>
      </w:r>
    </w:p>
    <w:p w14:paraId="28B7C2AD" w14:textId="40AA1704" w:rsidR="00BE785E" w:rsidRPr="0079505C" w:rsidRDefault="005F5EB1" w:rsidP="0079505C">
      <w:pPr>
        <w:pStyle w:val="ListBullet"/>
      </w:pPr>
      <w:r>
        <w:t>Five</w:t>
      </w:r>
      <w:r w:rsidR="00BE785E" w:rsidRPr="0079505C">
        <w:t xml:space="preserve"> subjects reported severe ocular (SOK585: 2, Eylea EU: 3) TEAEs; none thought treatment related.</w:t>
      </w:r>
    </w:p>
    <w:p w14:paraId="2CB4202C" w14:textId="77777777" w:rsidR="00BE785E" w:rsidRPr="0079505C" w:rsidRDefault="00BE785E" w:rsidP="0079505C">
      <w:pPr>
        <w:pStyle w:val="ListBullet"/>
      </w:pPr>
      <w:r w:rsidRPr="0079505C">
        <w:t>No subject in the SOK583 group reported severe ocular TEAEs in the fellow eye. 1 subject (0.4%) in the Eylea EU group reported a severe ocular TEAE of retinal haemorrhage in the fellow eye.</w:t>
      </w:r>
    </w:p>
    <w:p w14:paraId="1542F53E" w14:textId="77777777" w:rsidR="00BE785E" w:rsidRPr="0079505C" w:rsidRDefault="00BE785E" w:rsidP="0079505C">
      <w:pPr>
        <w:pStyle w:val="ListBullet"/>
      </w:pPr>
      <w:r w:rsidRPr="0079505C">
        <w:t>There were no clinically relevant differences between the SOK583 and Eylea EU groups regarding ocular TEAEs in the study eye related to study treatment (SOK583: 6, 2.5%; Eylea EU: 7, 2.9%) or study procedure (SOK583: 28, 11.5%; Eylea EU: 26, 10.8%).</w:t>
      </w:r>
    </w:p>
    <w:p w14:paraId="44C6FEA9" w14:textId="3B743907" w:rsidR="00BE785E" w:rsidRPr="0079505C" w:rsidRDefault="005F5EB1" w:rsidP="0079505C">
      <w:pPr>
        <w:pStyle w:val="ListBullet"/>
      </w:pPr>
      <w:r>
        <w:lastRenderedPageBreak/>
        <w:t>Thirty-four</w:t>
      </w:r>
      <w:r w:rsidR="00BE785E" w:rsidRPr="0079505C">
        <w:t xml:space="preserve"> subjects reported severe non-ocular TEAEs (SOK583: 18, 7.4%; Eylea EU: 16, 6.7%);  most frequently as </w:t>
      </w:r>
      <w:r w:rsidR="00A27869">
        <w:t>c</w:t>
      </w:r>
      <w:r w:rsidR="00BE785E" w:rsidRPr="0079505C">
        <w:t xml:space="preserve">ardiac disorders (SOK583: 3, 1.2%; Eylea EU: 4, 1.7%), </w:t>
      </w:r>
      <w:r w:rsidR="00A27869">
        <w:t>r</w:t>
      </w:r>
      <w:r w:rsidR="00BE785E" w:rsidRPr="0079505C">
        <w:t xml:space="preserve">espiratory, thoracic and mediastinal disorders (SOK583: 3, 1.2%; Eylea EU: 2, 0.8%), </w:t>
      </w:r>
      <w:r w:rsidR="00A27869">
        <w:t>i</w:t>
      </w:r>
      <w:r w:rsidR="00BE785E" w:rsidRPr="0079505C">
        <w:t xml:space="preserve">nfections and infestations (SOK583: 2, 0.8%; Eylea EU: 4, 1.7%) and </w:t>
      </w:r>
      <w:r w:rsidR="00A27869">
        <w:t>n</w:t>
      </w:r>
      <w:r w:rsidR="00BE785E" w:rsidRPr="0079505C">
        <w:t>eoplasms benign, malignant and unspecified (incl cysts and polyps) (SOK583: 2 , 0.8%; Eylea EU: 3, 1.3%)</w:t>
      </w:r>
      <w:r w:rsidR="00A27869">
        <w:t>.</w:t>
      </w:r>
    </w:p>
    <w:p w14:paraId="21248542" w14:textId="774B7657" w:rsidR="00BE785E" w:rsidRPr="0079505C" w:rsidRDefault="00BE785E" w:rsidP="0079505C">
      <w:pPr>
        <w:pStyle w:val="ListBullet"/>
      </w:pPr>
      <w:r w:rsidRPr="0079505C">
        <w:t>One subject in the SOK583 group experienced a non-ocular TEAE (</w:t>
      </w:r>
      <w:r w:rsidR="004D6DD0">
        <w:t>serious adverse event</w:t>
      </w:r>
      <w:r w:rsidR="00A27869">
        <w:t xml:space="preserve"> - SAE</w:t>
      </w:r>
      <w:r w:rsidRPr="0079505C">
        <w:t>) of coronary artery stenosis related to study treatment, which led to treatment interruption.</w:t>
      </w:r>
    </w:p>
    <w:p w14:paraId="1118E755" w14:textId="09B693F1" w:rsidR="00BE785E" w:rsidRPr="0079505C" w:rsidRDefault="00BE785E" w:rsidP="0079505C">
      <w:pPr>
        <w:pStyle w:val="ListBullet"/>
      </w:pPr>
      <w:r w:rsidRPr="0079505C">
        <w:t>A review of arterial thromboembolic events found there were 5 counts of serious cerebral infarction/cerebrovascular accident/ischaemic stroke/transient ischaemic attack in the SOK583 arm, compared to 0 in the Eylea arm. It is noted in the original VIEW 1 and 2 studies for E</w:t>
      </w:r>
      <w:r w:rsidR="004D6DD0">
        <w:t>ylea</w:t>
      </w:r>
      <w:r w:rsidRPr="0079505C">
        <w:t xml:space="preserve"> was 3.3% (E</w:t>
      </w:r>
      <w:r w:rsidR="004D6DD0">
        <w:t>lyea</w:t>
      </w:r>
      <w:r w:rsidRPr="0079505C">
        <w:t xml:space="preserve"> PI)</w:t>
      </w:r>
      <w:r w:rsidR="00A27869">
        <w:t>.</w:t>
      </w:r>
    </w:p>
    <w:p w14:paraId="036F5DC2" w14:textId="77777777" w:rsidR="00BE785E" w:rsidRPr="0079505C" w:rsidRDefault="00BE785E" w:rsidP="006338F0">
      <w:pPr>
        <w:pStyle w:val="Heading6"/>
      </w:pPr>
      <w:r w:rsidRPr="0079505C">
        <w:t>Deaths</w:t>
      </w:r>
    </w:p>
    <w:p w14:paraId="626C7F97" w14:textId="145D2BA1" w:rsidR="00BE785E" w:rsidRDefault="00BE785E" w:rsidP="0079505C">
      <w:r w:rsidRPr="00BD238A">
        <w:rPr>
          <w:lang w:eastAsia="ja-JP"/>
        </w:rPr>
        <w:t xml:space="preserve">There were </w:t>
      </w:r>
      <w:r>
        <w:rPr>
          <w:lang w:eastAsia="ja-JP"/>
        </w:rPr>
        <w:t>5</w:t>
      </w:r>
      <w:r w:rsidRPr="00BD238A">
        <w:rPr>
          <w:lang w:eastAsia="ja-JP"/>
        </w:rPr>
        <w:t xml:space="preserve"> subjects who died during the study, </w:t>
      </w:r>
      <w:r>
        <w:rPr>
          <w:lang w:eastAsia="ja-JP"/>
        </w:rPr>
        <w:t>4</w:t>
      </w:r>
      <w:r w:rsidRPr="00BD238A">
        <w:rPr>
          <w:lang w:eastAsia="ja-JP"/>
        </w:rPr>
        <w:t xml:space="preserve"> subjects (</w:t>
      </w:r>
      <w:r>
        <w:rPr>
          <w:lang w:eastAsia="ja-JP"/>
        </w:rPr>
        <w:t>1.6</w:t>
      </w:r>
      <w:r w:rsidRPr="00BD238A">
        <w:rPr>
          <w:lang w:eastAsia="ja-JP"/>
        </w:rPr>
        <w:t>%) in the SOK583 group and</w:t>
      </w:r>
      <w:r w:rsidRPr="00BD238A">
        <w:t xml:space="preserve"> 1 subject (0.4%) in the Eylea EU group. The deaths were considered not related to study treatment or study procedure by the investigator. One </w:t>
      </w:r>
      <w:r>
        <w:t xml:space="preserve">further </w:t>
      </w:r>
      <w:r w:rsidRPr="00BD238A">
        <w:t>subject in the SOK583 group experienced a fatal SAE not related to study treatment</w:t>
      </w:r>
      <w:r>
        <w:t xml:space="preserve"> (had </w:t>
      </w:r>
      <w:r w:rsidRPr="00BD238A">
        <w:t>missing start date due to a lack of a hospital record</w:t>
      </w:r>
      <w:r>
        <w:t>)</w:t>
      </w:r>
      <w:r w:rsidR="00A27869">
        <w:t>.</w:t>
      </w:r>
    </w:p>
    <w:p w14:paraId="7767B2D2" w14:textId="77777777" w:rsidR="00BE785E" w:rsidRPr="0079505C" w:rsidRDefault="00BE785E" w:rsidP="00A27869">
      <w:pPr>
        <w:pStyle w:val="Heading5"/>
      </w:pPr>
      <w:r w:rsidRPr="0079505C">
        <w:t>Immunogenicity</w:t>
      </w:r>
    </w:p>
    <w:p w14:paraId="604422DD" w14:textId="6FAC1152" w:rsidR="00BE785E" w:rsidRPr="00363EC0" w:rsidRDefault="00BE785E" w:rsidP="0079505C">
      <w:pPr>
        <w:rPr>
          <w:lang w:eastAsia="ja-JP"/>
        </w:rPr>
      </w:pPr>
      <w:r w:rsidRPr="00BB15EA">
        <w:t xml:space="preserve">Immunogenicity was assessed in Study 301 by measuring </w:t>
      </w:r>
      <w:r w:rsidR="00A27869">
        <w:t>anti-drug antibodies (</w:t>
      </w:r>
      <w:r w:rsidRPr="00BB15EA">
        <w:t>ADAs</w:t>
      </w:r>
      <w:r w:rsidR="00A27869">
        <w:t>)</w:t>
      </w:r>
      <w:r w:rsidRPr="00BB15EA">
        <w:t xml:space="preserve"> and </w:t>
      </w:r>
      <w:r w:rsidR="00A27869">
        <w:t>n</w:t>
      </w:r>
      <w:r w:rsidR="00A27869" w:rsidRPr="00A27869">
        <w:t>eutralising antibod</w:t>
      </w:r>
      <w:r w:rsidR="00A27869">
        <w:t>ies (</w:t>
      </w:r>
      <w:r w:rsidRPr="00BB15EA">
        <w:t>N</w:t>
      </w:r>
      <w:r w:rsidR="00A27869" w:rsidRPr="00BB15EA">
        <w:t>a</w:t>
      </w:r>
      <w:r w:rsidRPr="00BB15EA">
        <w:t>bs</w:t>
      </w:r>
      <w:r w:rsidR="00A27869">
        <w:t>)</w:t>
      </w:r>
      <w:r w:rsidRPr="00BB15EA">
        <w:t xml:space="preserve"> in serum</w:t>
      </w:r>
      <w:r w:rsidRPr="00BE07BD">
        <w:t xml:space="preserve"> and included </w:t>
      </w:r>
      <w:r w:rsidRPr="00BE07BD">
        <w:rPr>
          <w:lang w:eastAsia="ja-JP"/>
        </w:rPr>
        <w:t>95.5% and 96.3% of the subjects randomised to receive SOK583 and Eylea EU, respectively</w:t>
      </w:r>
      <w:r w:rsidRPr="00BB15EA">
        <w:t xml:space="preserve">. </w:t>
      </w:r>
    </w:p>
    <w:p w14:paraId="30FA6CCD" w14:textId="77777777" w:rsidR="00BE785E" w:rsidRDefault="00BE785E" w:rsidP="0079505C">
      <w:pPr>
        <w:pStyle w:val="ListBullet"/>
      </w:pPr>
      <w:r w:rsidRPr="00131D9B">
        <w:t xml:space="preserve">Most subjects were ADA negative at each timepoint throughout the study. </w:t>
      </w:r>
    </w:p>
    <w:p w14:paraId="122CB943" w14:textId="77777777" w:rsidR="00BE785E" w:rsidRDefault="00BE785E" w:rsidP="0079505C">
      <w:pPr>
        <w:pStyle w:val="ListBullet"/>
      </w:pPr>
      <w:r w:rsidRPr="00131D9B">
        <w:t>The</w:t>
      </w:r>
      <w:r>
        <w:t xml:space="preserve"> </w:t>
      </w:r>
      <w:r w:rsidRPr="00131D9B">
        <w:t>numbers and proportions of subjects with immune responses post-baseline were small and</w:t>
      </w:r>
      <w:r>
        <w:t xml:space="preserve"> </w:t>
      </w:r>
      <w:r w:rsidRPr="00131D9B">
        <w:t>similar between the SOK583 and Eylea EU groups (2,</w:t>
      </w:r>
      <w:r>
        <w:t xml:space="preserve"> </w:t>
      </w:r>
      <w:r w:rsidRPr="00131D9B">
        <w:t xml:space="preserve">0.9%, vs 6, 2.6%). </w:t>
      </w:r>
    </w:p>
    <w:p w14:paraId="58CBE913" w14:textId="77777777" w:rsidR="00BE785E" w:rsidRDefault="00BE785E" w:rsidP="0079505C">
      <w:pPr>
        <w:pStyle w:val="ListBullet"/>
      </w:pPr>
      <w:r w:rsidRPr="00131D9B">
        <w:t xml:space="preserve">ADAs developed post-baseline were neutralizing. </w:t>
      </w:r>
    </w:p>
    <w:p w14:paraId="21B95E6A" w14:textId="77777777" w:rsidR="00BE785E" w:rsidRDefault="00BE785E" w:rsidP="0079505C">
      <w:pPr>
        <w:pStyle w:val="ListBullet"/>
      </w:pPr>
      <w:r w:rsidRPr="00131D9B">
        <w:t>Most ADA</w:t>
      </w:r>
      <w:r>
        <w:t xml:space="preserve"> </w:t>
      </w:r>
      <w:r w:rsidRPr="00131D9B">
        <w:t>positive samples were titre negative or had a low titre of 1:10</w:t>
      </w:r>
      <w:r>
        <w:t>.</w:t>
      </w:r>
    </w:p>
    <w:p w14:paraId="5F67BA2F" w14:textId="194D6850" w:rsidR="00BE785E" w:rsidRDefault="005F5EB1" w:rsidP="0079505C">
      <w:pPr>
        <w:pStyle w:val="ListBullet"/>
      </w:pPr>
      <w:r>
        <w:t>Four</w:t>
      </w:r>
      <w:r w:rsidR="00BE785E" w:rsidRPr="00B231C8">
        <w:t xml:space="preserve"> subjects (SOK583: 1, 0.4%, Eylea EU: 3, 1.2%) had persistent ADA</w:t>
      </w:r>
      <w:r w:rsidR="00BE785E">
        <w:t xml:space="preserve"> </w:t>
      </w:r>
      <w:r w:rsidR="00BE785E" w:rsidRPr="00B231C8">
        <w:t>responses</w:t>
      </w:r>
      <w:r w:rsidR="00BE785E">
        <w:t>.</w:t>
      </w:r>
    </w:p>
    <w:p w14:paraId="295E8753" w14:textId="77777777" w:rsidR="00BE785E" w:rsidRPr="000F248B" w:rsidRDefault="00BE785E" w:rsidP="0079505C">
      <w:r w:rsidRPr="000F248B">
        <w:t>Ocular TEAEs in the study eye, in the fellow eye, and non-ocular TEAEs were analysed for the following subgroups</w:t>
      </w:r>
      <w:r>
        <w:t>.</w:t>
      </w:r>
    </w:p>
    <w:p w14:paraId="2A7A445C" w14:textId="77777777" w:rsidR="00BE785E" w:rsidRPr="000F248B" w:rsidRDefault="00BE785E" w:rsidP="0079505C">
      <w:pPr>
        <w:pStyle w:val="ListBullet"/>
      </w:pPr>
      <w:r w:rsidRPr="000F248B">
        <w:t>Region (US, Europe, rest of world)</w:t>
      </w:r>
    </w:p>
    <w:p w14:paraId="2F9D42A8" w14:textId="77777777" w:rsidR="00BE785E" w:rsidRPr="000F248B" w:rsidRDefault="00BE785E" w:rsidP="0079505C">
      <w:pPr>
        <w:pStyle w:val="ListBullet"/>
      </w:pPr>
      <w:r w:rsidRPr="000F248B">
        <w:t>Age category (&lt; 75 years, ≥ 75 years)</w:t>
      </w:r>
    </w:p>
    <w:p w14:paraId="3F12FA94" w14:textId="77777777" w:rsidR="00BE785E" w:rsidRPr="000F248B" w:rsidRDefault="00BE785E" w:rsidP="0079505C">
      <w:pPr>
        <w:pStyle w:val="ListBullet"/>
      </w:pPr>
      <w:r w:rsidRPr="000F248B">
        <w:t>Sex (male, female)</w:t>
      </w:r>
    </w:p>
    <w:p w14:paraId="5623C78C" w14:textId="77777777" w:rsidR="00BE785E" w:rsidRDefault="00BE785E" w:rsidP="0079505C">
      <w:pPr>
        <w:pStyle w:val="ListBullet"/>
      </w:pPr>
      <w:r w:rsidRPr="000F248B">
        <w:t>Race (White, other)</w:t>
      </w:r>
    </w:p>
    <w:p w14:paraId="35AB2026" w14:textId="4E129EEC" w:rsidR="00BE785E" w:rsidRPr="001471A2" w:rsidRDefault="00BE785E" w:rsidP="0026698F">
      <w:r w:rsidRPr="001471A2">
        <w:t xml:space="preserve">The most notable result was that SAEs were especially more common in the SOK583 arm in those aged </w:t>
      </w:r>
      <w:r w:rsidR="00813030">
        <w:t xml:space="preserve">under </w:t>
      </w:r>
      <w:r w:rsidRPr="001471A2">
        <w:t>75</w:t>
      </w:r>
      <w:r w:rsidR="00813030">
        <w:t xml:space="preserve"> years</w:t>
      </w:r>
      <w:r w:rsidRPr="001471A2">
        <w:t xml:space="preserve"> (15.5% vs. 8.2%</w:t>
      </w:r>
      <w:r>
        <w:t>)</w:t>
      </w:r>
      <w:r w:rsidR="00813030">
        <w:t>.</w:t>
      </w:r>
    </w:p>
    <w:p w14:paraId="00FD26ED" w14:textId="77777777" w:rsidR="00BE785E" w:rsidRPr="00E214DD" w:rsidRDefault="00BE785E" w:rsidP="0026698F">
      <w:r w:rsidRPr="00E214DD">
        <w:t>No clinically relevant differences between the 2 groups were observed for any laboratory parameters.</w:t>
      </w:r>
    </w:p>
    <w:p w14:paraId="0ACB12C4" w14:textId="21C0DCE1" w:rsidR="00BE785E" w:rsidRPr="00E214DD" w:rsidRDefault="00BE785E" w:rsidP="0026698F">
      <w:r w:rsidRPr="00E214DD">
        <w:t>There were no clinically relevant differences between the SOK583 and Eylea EU groups</w:t>
      </w:r>
      <w:r>
        <w:t xml:space="preserve"> </w:t>
      </w:r>
      <w:r w:rsidRPr="00E214DD">
        <w:t xml:space="preserve">in the vital signs’ parameters or in </w:t>
      </w:r>
      <w:r w:rsidR="00813030">
        <w:t>i</w:t>
      </w:r>
      <w:r w:rsidR="00813030" w:rsidRPr="00813030">
        <w:t xml:space="preserve">ntraocular pressure </w:t>
      </w:r>
      <w:r w:rsidR="00813030">
        <w:t>(</w:t>
      </w:r>
      <w:r w:rsidRPr="00E214DD">
        <w:t>IOP</w:t>
      </w:r>
      <w:r w:rsidR="00813030">
        <w:t>)</w:t>
      </w:r>
      <w:r w:rsidRPr="00E214DD">
        <w:t xml:space="preserve"> at any visit or in changes from baseline in vital signs parameters.</w:t>
      </w:r>
    </w:p>
    <w:p w14:paraId="2B9B9351" w14:textId="77777777" w:rsidR="00BE785E" w:rsidRPr="0026698F" w:rsidRDefault="00BE785E" w:rsidP="000C0796">
      <w:pPr>
        <w:pStyle w:val="Heading5"/>
      </w:pPr>
      <w:r w:rsidRPr="0026698F">
        <w:lastRenderedPageBreak/>
        <w:t>Studies SOK583A12303 (Study 303) and CSOK583A12304 (study 304)</w:t>
      </w:r>
    </w:p>
    <w:p w14:paraId="0A6F4C8E" w14:textId="77777777" w:rsidR="00BE785E" w:rsidRPr="00CD0668" w:rsidRDefault="00BE785E" w:rsidP="0026698F">
      <w:r w:rsidRPr="00CD0668">
        <w:t xml:space="preserve">Studies 303 and 304 are open-label, single-arm, multicentre studies in patients with neovascular age-related macular degeneration to evaluate the safety of SOK583 provided in a vial kit and pre-filled syringe, respectively. </w:t>
      </w:r>
    </w:p>
    <w:p w14:paraId="6AD88F4E" w14:textId="77777777" w:rsidR="00BE785E" w:rsidRPr="00CD0668" w:rsidRDefault="00BE785E" w:rsidP="0026698F">
      <w:r w:rsidRPr="00CD0668">
        <w:t xml:space="preserve">Two reports were provided for each study, a clinical study report that provides data on adverse events, and an observational study report that provides information on the ability of ophthalmologists and assistants to prepare and administer IVT injections using the vial kit or PFS. </w:t>
      </w:r>
    </w:p>
    <w:p w14:paraId="10FE8FDF" w14:textId="19D38471" w:rsidR="00BE785E" w:rsidRPr="00CD0668" w:rsidRDefault="00BE785E" w:rsidP="0026698F">
      <w:pPr>
        <w:rPr>
          <w:sz w:val="23"/>
          <w:szCs w:val="23"/>
        </w:rPr>
      </w:pPr>
      <w:r w:rsidRPr="00CD0668">
        <w:rPr>
          <w:lang w:eastAsia="ja-JP"/>
        </w:rPr>
        <w:t xml:space="preserve">Subjects </w:t>
      </w:r>
      <w:r w:rsidR="00813030">
        <w:rPr>
          <w:lang w:eastAsia="ja-JP"/>
        </w:rPr>
        <w:t xml:space="preserve">aged </w:t>
      </w:r>
      <w:r w:rsidRPr="00CD0668">
        <w:rPr>
          <w:lang w:eastAsia="ja-JP"/>
        </w:rPr>
        <w:t xml:space="preserve">50 years </w:t>
      </w:r>
      <w:r w:rsidR="00813030">
        <w:rPr>
          <w:lang w:eastAsia="ja-JP"/>
        </w:rPr>
        <w:t>and over</w:t>
      </w:r>
      <w:r w:rsidRPr="00CD0668">
        <w:rPr>
          <w:lang w:eastAsia="ja-JP"/>
        </w:rPr>
        <w:t xml:space="preserve">, diagnosed with </w:t>
      </w:r>
      <w:proofErr w:type="spellStart"/>
      <w:r w:rsidRPr="00CD0668">
        <w:rPr>
          <w:lang w:eastAsia="ja-JP"/>
        </w:rPr>
        <w:t>nAMD</w:t>
      </w:r>
      <w:proofErr w:type="spellEnd"/>
      <w:r w:rsidRPr="00CD0668">
        <w:rPr>
          <w:lang w:eastAsia="ja-JP"/>
        </w:rPr>
        <w:t xml:space="preserve"> and already under IVT Eylea treatment were enrolled. A single dose of SOK583 2mg was administered intravitreally on day 1, supplied as a vial kit in study 303 and PFS in study 304. Safety was evaluated on day 1, day 8±2 and day 31±4. </w:t>
      </w:r>
    </w:p>
    <w:p w14:paraId="10E228DE" w14:textId="77777777" w:rsidR="00BE785E" w:rsidRPr="00BA3E66" w:rsidRDefault="00BE785E" w:rsidP="0026698F">
      <w:pPr>
        <w:rPr>
          <w:lang w:eastAsia="ja-JP"/>
        </w:rPr>
      </w:pPr>
      <w:r w:rsidRPr="00CD0668">
        <w:rPr>
          <w:lang w:eastAsia="ja-JP"/>
        </w:rPr>
        <w:t xml:space="preserve">The FAS included 36 subjects in study 303 and 30 subjects in study 304. Mean age was 81 years in study 303 and 79 years in study 304. </w:t>
      </w:r>
    </w:p>
    <w:p w14:paraId="4F4691BB" w14:textId="77777777" w:rsidR="00BE785E" w:rsidRPr="0026698F" w:rsidRDefault="00BE785E" w:rsidP="006338F0">
      <w:pPr>
        <w:pStyle w:val="Heading6"/>
        <w:rPr>
          <w:lang w:eastAsia="ja-JP"/>
        </w:rPr>
      </w:pPr>
      <w:r w:rsidRPr="0026698F">
        <w:rPr>
          <w:lang w:eastAsia="ja-JP"/>
        </w:rPr>
        <w:t>Results</w:t>
      </w:r>
    </w:p>
    <w:p w14:paraId="61519EE7" w14:textId="77777777" w:rsidR="00BE785E" w:rsidRPr="001F0D9C" w:rsidRDefault="00BE785E" w:rsidP="0026698F">
      <w:pPr>
        <w:pStyle w:val="ListBullet"/>
      </w:pPr>
      <w:r w:rsidRPr="001F0D9C">
        <w:t>The observed safety profile of SOK583 was in line with the established safety profile of Eylea.</w:t>
      </w:r>
    </w:p>
    <w:p w14:paraId="1349FA4F" w14:textId="59E55376" w:rsidR="00BE785E" w:rsidRPr="001F0D9C" w:rsidRDefault="00BE785E" w:rsidP="0026698F">
      <w:pPr>
        <w:pStyle w:val="ListBullet"/>
      </w:pPr>
      <w:r>
        <w:t xml:space="preserve">In Study 303, 18 subjects reported ocular or non-ocular TEAEs, most of which were mild and not related to study treatment or study procedure.  Most frequently reported TEAE in the study eye was intraocular pressure </w:t>
      </w:r>
      <w:r w:rsidR="0C2AF7A6">
        <w:t xml:space="preserve">that </w:t>
      </w:r>
      <w:r>
        <w:t>increased</w:t>
      </w:r>
      <w:r w:rsidR="4F40232E">
        <w:t xml:space="preserve"> within 10 minutes after injection</w:t>
      </w:r>
      <w:r>
        <w:t xml:space="preserve">, all </w:t>
      </w:r>
      <w:r w:rsidR="112DFC24">
        <w:t>cases were</w:t>
      </w:r>
      <w:r w:rsidR="53C3A46A">
        <w:t xml:space="preserve"> </w:t>
      </w:r>
      <w:r w:rsidR="5D6BB24A">
        <w:t>resolved</w:t>
      </w:r>
      <w:r>
        <w:t xml:space="preserve"> within 60 minutes after the IVT injection.  2 subjects discontinued the study due to SAEs (arthralgia, cystitis), which were not related to study treatment or study procedure.</w:t>
      </w:r>
    </w:p>
    <w:p w14:paraId="18145BE1" w14:textId="655F07C6" w:rsidR="00BE785E" w:rsidRPr="001F0D9C" w:rsidRDefault="00BE785E" w:rsidP="0026698F">
      <w:pPr>
        <w:pStyle w:val="ListBullet"/>
      </w:pPr>
      <w:r>
        <w:t xml:space="preserve">In Study 304, 3 subjects reported </w:t>
      </w:r>
      <w:r w:rsidR="40E622A7">
        <w:t xml:space="preserve">non-serious </w:t>
      </w:r>
      <w:r>
        <w:t>ocular or non-ocular TEAEs, all of which were mild and not related to study treatment or study procedure.  For 1 subject, a TEAE of intraocular pressure increased was reported</w:t>
      </w:r>
      <w:r w:rsidR="1621DD6B">
        <w:t xml:space="preserve"> 5 minutes after injection'</w:t>
      </w:r>
      <w:r>
        <w:t>, which resolved within 60 minutes after the IVT injection.</w:t>
      </w:r>
    </w:p>
    <w:p w14:paraId="60157C89" w14:textId="4027A0AA" w:rsidR="00BE785E" w:rsidRDefault="005F5EB1" w:rsidP="0026698F">
      <w:pPr>
        <w:pStyle w:val="ListBullet"/>
      </w:pPr>
      <w:r>
        <w:t>Twenty-two</w:t>
      </w:r>
      <w:r w:rsidR="00BE785E">
        <w:t xml:space="preserve"> subjects in Study 303 and 7 subjects in Study 304 experienced transient increases in IOP ≥ 10 mmHg at 5 minutes post injection, which returned to normal </w:t>
      </w:r>
      <w:r w:rsidR="00BF334E">
        <w:t>within</w:t>
      </w:r>
      <w:r w:rsidR="00C763DD">
        <w:t xml:space="preserve"> </w:t>
      </w:r>
      <w:r w:rsidR="00BE785E">
        <w:t>60 minutes postinjection.</w:t>
      </w:r>
    </w:p>
    <w:p w14:paraId="33577DA5" w14:textId="77777777" w:rsidR="00BE785E" w:rsidRDefault="00BE785E" w:rsidP="0026698F">
      <w:pPr>
        <w:pStyle w:val="ListBullet"/>
      </w:pPr>
      <w:r>
        <w:t>No deaths were reported in either study.</w:t>
      </w:r>
    </w:p>
    <w:p w14:paraId="3E7BEFAB" w14:textId="6F1EF545" w:rsidR="00BE785E" w:rsidRPr="00924132" w:rsidRDefault="005F5EB1" w:rsidP="0026698F">
      <w:pPr>
        <w:pStyle w:val="ListBullet"/>
      </w:pPr>
      <w:r>
        <w:t>Seven</w:t>
      </w:r>
      <w:r w:rsidR="00BE785E" w:rsidRPr="00642F7E">
        <w:t xml:space="preserve"> ophthalmologists and 5 assistants administered 36 IVT injections using the vial kit, and 4 ophthalmologists and 3 assistants administered 30 IVT injections using the PFS. One error was observed with the vial kit where the ophthalmologist failed to clean the vial septum before withdrawing the drug, and no errors were observed with the PFS. </w:t>
      </w:r>
    </w:p>
    <w:p w14:paraId="2858B006" w14:textId="77777777" w:rsidR="00C22214" w:rsidRDefault="00C22214" w:rsidP="00C22214">
      <w:pPr>
        <w:pStyle w:val="Heading3"/>
        <w:rPr>
          <w:lang w:eastAsia="en-AU"/>
        </w:rPr>
      </w:pPr>
      <w:bookmarkStart w:id="56" w:name="_Toc314842514"/>
      <w:bookmarkStart w:id="57" w:name="_Toc103679298"/>
      <w:bookmarkStart w:id="58" w:name="_Toc210745505"/>
      <w:r>
        <w:rPr>
          <w:lang w:eastAsia="en-AU"/>
        </w:rPr>
        <w:t>Risk management plan</w:t>
      </w:r>
      <w:bookmarkEnd w:id="56"/>
      <w:bookmarkEnd w:id="57"/>
      <w:bookmarkEnd w:id="58"/>
    </w:p>
    <w:p w14:paraId="5F8A9C69" w14:textId="217BC32C" w:rsidR="00BC56C3" w:rsidRPr="00BC56C3" w:rsidRDefault="009368DA" w:rsidP="00BC56C3">
      <w:pPr>
        <w:rPr>
          <w:szCs w:val="22"/>
        </w:rPr>
      </w:pPr>
      <w:bookmarkStart w:id="59" w:name="_Toc247691531"/>
      <w:bookmarkStart w:id="60" w:name="_Toc314842515"/>
      <w:r>
        <w:rPr>
          <w:szCs w:val="22"/>
        </w:rPr>
        <w:t xml:space="preserve">The sponsor, </w:t>
      </w:r>
      <w:r w:rsidR="00BC56C3" w:rsidRPr="00BC56C3">
        <w:rPr>
          <w:szCs w:val="22"/>
        </w:rPr>
        <w:t>Sandoz Pty Ltd</w:t>
      </w:r>
      <w:r>
        <w:rPr>
          <w:szCs w:val="22"/>
        </w:rPr>
        <w:t>,</w:t>
      </w:r>
      <w:r w:rsidR="00BC56C3" w:rsidRPr="00BC56C3">
        <w:rPr>
          <w:szCs w:val="22"/>
        </w:rPr>
        <w:t xml:space="preserve"> submitted EU-</w:t>
      </w:r>
      <w:r w:rsidR="00BC56C3" w:rsidRPr="00813030">
        <w:rPr>
          <w:szCs w:val="22"/>
        </w:rPr>
        <w:t xml:space="preserve">RMP version 1.1 (dated 19 March </w:t>
      </w:r>
      <w:r w:rsidR="00BC56C3" w:rsidRPr="00BC56C3">
        <w:rPr>
          <w:szCs w:val="22"/>
        </w:rPr>
        <w:t xml:space="preserve">2024; DLP 14 July 2023) and ASA </w:t>
      </w:r>
      <w:r w:rsidR="00BC56C3" w:rsidRPr="00813030">
        <w:rPr>
          <w:szCs w:val="22"/>
        </w:rPr>
        <w:t>version 1.0</w:t>
      </w:r>
      <w:r w:rsidR="00BC56C3" w:rsidRPr="00BC56C3">
        <w:rPr>
          <w:szCs w:val="22"/>
        </w:rPr>
        <w:t xml:space="preserve"> (dated 05 April 2024) in support of this application. </w:t>
      </w:r>
      <w:bookmarkStart w:id="61" w:name="_Hlk185602323"/>
      <w:r w:rsidR="00BC56C3" w:rsidRPr="00BC56C3">
        <w:rPr>
          <w:szCs w:val="22"/>
        </w:rPr>
        <w:t xml:space="preserve">At Round 2, the sponsor submitted </w:t>
      </w:r>
      <w:r>
        <w:rPr>
          <w:szCs w:val="22"/>
        </w:rPr>
        <w:t xml:space="preserve">an </w:t>
      </w:r>
      <w:r w:rsidR="00BC56C3" w:rsidRPr="00BC56C3">
        <w:rPr>
          <w:szCs w:val="22"/>
        </w:rPr>
        <w:t xml:space="preserve">updated ASA </w:t>
      </w:r>
      <w:r w:rsidR="00BC56C3" w:rsidRPr="00813030">
        <w:rPr>
          <w:szCs w:val="22"/>
        </w:rPr>
        <w:t>version 1.1</w:t>
      </w:r>
      <w:r w:rsidR="00BC56C3" w:rsidRPr="00BC56C3">
        <w:rPr>
          <w:szCs w:val="22"/>
        </w:rPr>
        <w:t xml:space="preserve"> (dated 05 December 2024) associated to the EU-RMP </w:t>
      </w:r>
      <w:r w:rsidR="00BC56C3" w:rsidRPr="00813030">
        <w:rPr>
          <w:szCs w:val="22"/>
        </w:rPr>
        <w:t>version 1.2</w:t>
      </w:r>
      <w:r w:rsidR="00BC56C3" w:rsidRPr="00BC56C3">
        <w:rPr>
          <w:szCs w:val="22"/>
        </w:rPr>
        <w:t xml:space="preserve"> (dated 16 July 2024, DLP 14 July 2023).</w:t>
      </w:r>
      <w:bookmarkEnd w:id="61"/>
      <w:r w:rsidR="00BC56C3" w:rsidRPr="00BC56C3">
        <w:rPr>
          <w:szCs w:val="22"/>
        </w:rPr>
        <w:t xml:space="preserve"> At round 3</w:t>
      </w:r>
      <w:r>
        <w:rPr>
          <w:szCs w:val="22"/>
        </w:rPr>
        <w:t>,</w:t>
      </w:r>
      <w:r w:rsidR="00BC56C3" w:rsidRPr="00BC56C3">
        <w:rPr>
          <w:szCs w:val="22"/>
        </w:rPr>
        <w:t xml:space="preserve"> the sponsor submitted updated ASA version 1.2 (dated 13 February 2025).</w:t>
      </w:r>
    </w:p>
    <w:p w14:paraId="39F3CD1D" w14:textId="7A9BD50F" w:rsidR="0072003B" w:rsidRPr="00BD5DBD" w:rsidRDefault="00BC56C3" w:rsidP="00C22214">
      <w:pPr>
        <w:rPr>
          <w:szCs w:val="22"/>
        </w:rPr>
      </w:pPr>
      <w:r w:rsidRPr="00BC56C3">
        <w:rPr>
          <w:szCs w:val="22"/>
        </w:rPr>
        <w:lastRenderedPageBreak/>
        <w:t xml:space="preserve">The summary of </w:t>
      </w:r>
      <w:bookmarkStart w:id="62" w:name="_Hlk173252812"/>
      <w:r w:rsidRPr="00BC56C3">
        <w:rPr>
          <w:szCs w:val="22"/>
        </w:rPr>
        <w:t xml:space="preserve">safety concerns and their associated risk monitoring and mitigation </w:t>
      </w:r>
      <w:bookmarkEnd w:id="62"/>
      <w:r w:rsidRPr="00BC56C3">
        <w:rPr>
          <w:szCs w:val="22"/>
        </w:rPr>
        <w:t xml:space="preserve">strategies are in </w:t>
      </w:r>
      <w:r w:rsidR="009368DA">
        <w:rPr>
          <w:szCs w:val="22"/>
        </w:rPr>
        <w:t>T</w:t>
      </w:r>
      <w:r w:rsidRPr="00BC56C3">
        <w:rPr>
          <w:szCs w:val="22"/>
        </w:rPr>
        <w:t xml:space="preserve">able </w:t>
      </w:r>
      <w:r w:rsidR="00932F57">
        <w:rPr>
          <w:szCs w:val="22"/>
        </w:rPr>
        <w:t>6</w:t>
      </w:r>
      <w:r w:rsidRPr="00BC56C3">
        <w:rPr>
          <w:szCs w:val="22"/>
        </w:rPr>
        <w:t>.</w:t>
      </w:r>
      <w:r w:rsidR="009368DA">
        <w:rPr>
          <w:szCs w:val="22"/>
        </w:rPr>
        <w:t xml:space="preserve"> </w:t>
      </w:r>
      <w:r w:rsidR="0072003B" w:rsidRPr="00BD5DBD">
        <w:rPr>
          <w:szCs w:val="22"/>
        </w:rPr>
        <w:t>The TGA</w:t>
      </w:r>
      <w:r w:rsidR="00C07551" w:rsidRPr="00BD5DBD">
        <w:rPr>
          <w:szCs w:val="22"/>
        </w:rPr>
        <w:t xml:space="preserve"> may</w:t>
      </w:r>
      <w:r w:rsidR="0072003B" w:rsidRPr="00BD5DBD">
        <w:rPr>
          <w:szCs w:val="22"/>
        </w:rPr>
        <w:t xml:space="preserve"> request an updated </w:t>
      </w:r>
      <w:r w:rsidR="009368DA">
        <w:rPr>
          <w:szCs w:val="22"/>
        </w:rPr>
        <w:t>Risk Management Plan (</w:t>
      </w:r>
      <w:r w:rsidR="0072003B" w:rsidRPr="00BD5DBD">
        <w:rPr>
          <w:szCs w:val="22"/>
        </w:rPr>
        <w:t>RMP</w:t>
      </w:r>
      <w:r w:rsidR="009368DA">
        <w:rPr>
          <w:szCs w:val="22"/>
        </w:rPr>
        <w:t>)</w:t>
      </w:r>
      <w:r w:rsidR="0072003B" w:rsidRPr="00BD5DBD">
        <w:rPr>
          <w:szCs w:val="22"/>
        </w:rPr>
        <w:t xml:space="preserve"> at any stage of a product's </w:t>
      </w:r>
      <w:r w:rsidR="00510913" w:rsidRPr="00BD5DBD">
        <w:rPr>
          <w:szCs w:val="22"/>
        </w:rPr>
        <w:t>life cycle</w:t>
      </w:r>
      <w:r w:rsidR="0072003B" w:rsidRPr="00BD5DBD">
        <w:rPr>
          <w:szCs w:val="22"/>
        </w:rPr>
        <w:t>, during both the pre-approval and post-approval phases.</w:t>
      </w:r>
    </w:p>
    <w:p w14:paraId="56B51A93" w14:textId="415AC6BB" w:rsidR="006A277A" w:rsidRDefault="00C22214" w:rsidP="00C22214">
      <w:pPr>
        <w:pStyle w:val="TableTitle"/>
      </w:pPr>
      <w:bookmarkStart w:id="63" w:name="_Ref97629131"/>
      <w:r>
        <w:t xml:space="preserve">Table </w:t>
      </w:r>
      <w:bookmarkEnd w:id="63"/>
      <w:r w:rsidR="00932F57">
        <w:t>6</w:t>
      </w:r>
      <w:r>
        <w:t>: Summary of safety concerns</w:t>
      </w:r>
    </w:p>
    <w:tbl>
      <w:tblPr>
        <w:tblStyle w:val="TableTGAblue2023"/>
        <w:tblW w:w="9918" w:type="dxa"/>
        <w:tblLayout w:type="fixed"/>
        <w:tblLook w:val="04A0" w:firstRow="1" w:lastRow="0" w:firstColumn="1" w:lastColumn="0" w:noHBand="0" w:noVBand="1"/>
      </w:tblPr>
      <w:tblGrid>
        <w:gridCol w:w="1696"/>
        <w:gridCol w:w="3402"/>
        <w:gridCol w:w="1134"/>
        <w:gridCol w:w="1276"/>
        <w:gridCol w:w="1134"/>
        <w:gridCol w:w="1276"/>
      </w:tblGrid>
      <w:tr w:rsidR="009B5B7D" w:rsidRPr="006338F0" w14:paraId="656728E2" w14:textId="77777777" w:rsidTr="009368DA">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5098" w:type="dxa"/>
            <w:gridSpan w:val="2"/>
            <w:vMerge w:val="restart"/>
          </w:tcPr>
          <w:p w14:paraId="728D42A2" w14:textId="77777777" w:rsidR="009B5B7D" w:rsidRPr="006338F0" w:rsidRDefault="009B5B7D" w:rsidP="006338F0">
            <w:pPr>
              <w:rPr>
                <w:b w:val="0"/>
                <w:sz w:val="20"/>
                <w:szCs w:val="20"/>
              </w:rPr>
            </w:pPr>
            <w:r w:rsidRPr="006338F0">
              <w:rPr>
                <w:sz w:val="20"/>
                <w:szCs w:val="20"/>
              </w:rPr>
              <w:t>Summary of safety concerns</w:t>
            </w:r>
          </w:p>
        </w:tc>
        <w:tc>
          <w:tcPr>
            <w:tcW w:w="2410" w:type="dxa"/>
            <w:gridSpan w:val="2"/>
          </w:tcPr>
          <w:p w14:paraId="30424686" w14:textId="77777777" w:rsidR="009B5B7D" w:rsidRPr="006338F0" w:rsidRDefault="009B5B7D" w:rsidP="006338F0">
            <w:pPr>
              <w:cnfStyle w:val="100000000000" w:firstRow="1" w:lastRow="0" w:firstColumn="0" w:lastColumn="0" w:oddVBand="0" w:evenVBand="0" w:oddHBand="0" w:evenHBand="0" w:firstRowFirstColumn="0" w:firstRowLastColumn="0" w:lastRowFirstColumn="0" w:lastRowLastColumn="0"/>
              <w:rPr>
                <w:b w:val="0"/>
                <w:sz w:val="20"/>
                <w:szCs w:val="20"/>
              </w:rPr>
            </w:pPr>
            <w:r w:rsidRPr="006338F0">
              <w:rPr>
                <w:sz w:val="20"/>
                <w:szCs w:val="20"/>
              </w:rPr>
              <w:t>Pharmacovigilance</w:t>
            </w:r>
          </w:p>
        </w:tc>
        <w:tc>
          <w:tcPr>
            <w:tcW w:w="2410" w:type="dxa"/>
            <w:gridSpan w:val="2"/>
          </w:tcPr>
          <w:p w14:paraId="79985E50" w14:textId="77777777" w:rsidR="009B5B7D" w:rsidRPr="006338F0" w:rsidRDefault="009B5B7D" w:rsidP="006338F0">
            <w:pPr>
              <w:cnfStyle w:val="100000000000" w:firstRow="1" w:lastRow="0" w:firstColumn="0" w:lastColumn="0" w:oddVBand="0" w:evenVBand="0" w:oddHBand="0" w:evenHBand="0" w:firstRowFirstColumn="0" w:firstRowLastColumn="0" w:lastRowFirstColumn="0" w:lastRowLastColumn="0"/>
              <w:rPr>
                <w:b w:val="0"/>
                <w:sz w:val="20"/>
                <w:szCs w:val="20"/>
              </w:rPr>
            </w:pPr>
            <w:r w:rsidRPr="006338F0">
              <w:rPr>
                <w:sz w:val="20"/>
                <w:szCs w:val="20"/>
              </w:rPr>
              <w:t>Risk Minimisation</w:t>
            </w:r>
          </w:p>
        </w:tc>
      </w:tr>
      <w:tr w:rsidR="009B5B7D" w:rsidRPr="006338F0" w14:paraId="01C18B4A" w14:textId="77777777" w:rsidTr="009368DA">
        <w:trPr>
          <w:trHeight w:val="150"/>
        </w:trPr>
        <w:tc>
          <w:tcPr>
            <w:cnfStyle w:val="001000000000" w:firstRow="0" w:lastRow="0" w:firstColumn="1" w:lastColumn="0" w:oddVBand="0" w:evenVBand="0" w:oddHBand="0" w:evenHBand="0" w:firstRowFirstColumn="0" w:firstRowLastColumn="0" w:lastRowFirstColumn="0" w:lastRowLastColumn="0"/>
            <w:tcW w:w="5098" w:type="dxa"/>
            <w:gridSpan w:val="2"/>
            <w:vMerge/>
          </w:tcPr>
          <w:p w14:paraId="41984FD3" w14:textId="77777777" w:rsidR="009B5B7D" w:rsidRPr="006338F0" w:rsidRDefault="009B5B7D" w:rsidP="006338F0">
            <w:pPr>
              <w:rPr>
                <w:sz w:val="20"/>
                <w:szCs w:val="20"/>
              </w:rPr>
            </w:pPr>
          </w:p>
        </w:tc>
        <w:tc>
          <w:tcPr>
            <w:tcW w:w="1134" w:type="dxa"/>
          </w:tcPr>
          <w:p w14:paraId="0B3B36CF"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sz w:val="20"/>
                <w:szCs w:val="20"/>
              </w:rPr>
            </w:pPr>
            <w:r w:rsidRPr="006338F0">
              <w:rPr>
                <w:sz w:val="20"/>
                <w:szCs w:val="20"/>
              </w:rPr>
              <w:t>Routine</w:t>
            </w:r>
          </w:p>
        </w:tc>
        <w:tc>
          <w:tcPr>
            <w:tcW w:w="1276" w:type="dxa"/>
          </w:tcPr>
          <w:p w14:paraId="79B25EEA"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sz w:val="20"/>
                <w:szCs w:val="20"/>
              </w:rPr>
            </w:pPr>
            <w:r w:rsidRPr="006338F0">
              <w:rPr>
                <w:sz w:val="20"/>
                <w:szCs w:val="20"/>
              </w:rPr>
              <w:t>Additional</w:t>
            </w:r>
          </w:p>
        </w:tc>
        <w:tc>
          <w:tcPr>
            <w:tcW w:w="1134" w:type="dxa"/>
          </w:tcPr>
          <w:p w14:paraId="4AF02E4B"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sz w:val="20"/>
                <w:szCs w:val="20"/>
              </w:rPr>
            </w:pPr>
            <w:r w:rsidRPr="006338F0">
              <w:rPr>
                <w:sz w:val="20"/>
                <w:szCs w:val="20"/>
              </w:rPr>
              <w:t>Routine</w:t>
            </w:r>
          </w:p>
        </w:tc>
        <w:tc>
          <w:tcPr>
            <w:tcW w:w="1276" w:type="dxa"/>
          </w:tcPr>
          <w:p w14:paraId="7B2CD3AD"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sz w:val="20"/>
                <w:szCs w:val="20"/>
              </w:rPr>
            </w:pPr>
            <w:r w:rsidRPr="006338F0">
              <w:rPr>
                <w:sz w:val="20"/>
                <w:szCs w:val="20"/>
              </w:rPr>
              <w:t>Additional</w:t>
            </w:r>
          </w:p>
        </w:tc>
      </w:tr>
      <w:tr w:rsidR="009B5B7D" w:rsidRPr="006338F0" w14:paraId="7BD03BA1" w14:textId="77777777" w:rsidTr="009368DA">
        <w:trPr>
          <w:trHeight w:val="137"/>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790937AC" w14:textId="77777777" w:rsidR="009B5B7D" w:rsidRPr="006338F0" w:rsidRDefault="009B5B7D" w:rsidP="006338F0">
            <w:pPr>
              <w:rPr>
                <w:sz w:val="20"/>
                <w:szCs w:val="20"/>
              </w:rPr>
            </w:pPr>
            <w:r w:rsidRPr="006338F0">
              <w:rPr>
                <w:sz w:val="20"/>
                <w:szCs w:val="20"/>
              </w:rPr>
              <w:t>Important identified risks</w:t>
            </w:r>
          </w:p>
        </w:tc>
        <w:tc>
          <w:tcPr>
            <w:tcW w:w="3402" w:type="dxa"/>
          </w:tcPr>
          <w:p w14:paraId="71A9BE9D"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sz w:val="20"/>
                <w:szCs w:val="20"/>
              </w:rPr>
            </w:pPr>
            <w:bookmarkStart w:id="64" w:name="_Hlk177403107"/>
            <w:r w:rsidRPr="006338F0">
              <w:rPr>
                <w:sz w:val="20"/>
                <w:szCs w:val="20"/>
              </w:rPr>
              <w:t>Endophthalmitis</w:t>
            </w:r>
            <w:bookmarkEnd w:id="64"/>
            <w:r w:rsidRPr="006338F0">
              <w:rPr>
                <w:sz w:val="20"/>
                <w:szCs w:val="20"/>
              </w:rPr>
              <w:t xml:space="preserve"> (likely infectious origin)</w:t>
            </w:r>
          </w:p>
        </w:tc>
        <w:tc>
          <w:tcPr>
            <w:tcW w:w="1134" w:type="dxa"/>
          </w:tcPr>
          <w:p w14:paraId="18028AFE"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r w:rsidRPr="006338F0">
              <w:rPr>
                <w:rFonts w:asciiTheme="majorHAnsi" w:hAnsiTheme="majorHAnsi"/>
                <w:sz w:val="20"/>
                <w:szCs w:val="20"/>
                <w:vertAlign w:val="superscript"/>
              </w:rPr>
              <w:t>†</w:t>
            </w:r>
          </w:p>
        </w:tc>
        <w:tc>
          <w:tcPr>
            <w:tcW w:w="1276" w:type="dxa"/>
          </w:tcPr>
          <w:p w14:paraId="349AF2CA"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sz w:val="20"/>
                <w:szCs w:val="20"/>
              </w:rPr>
              <w:t>–</w:t>
            </w:r>
          </w:p>
        </w:tc>
        <w:tc>
          <w:tcPr>
            <w:tcW w:w="1134" w:type="dxa"/>
          </w:tcPr>
          <w:p w14:paraId="3760F1EC"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p>
        </w:tc>
        <w:tc>
          <w:tcPr>
            <w:tcW w:w="1276" w:type="dxa"/>
          </w:tcPr>
          <w:p w14:paraId="1D2DA99A"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r w:rsidRPr="006338F0">
              <w:rPr>
                <w:rFonts w:asciiTheme="majorHAnsi" w:hAnsiTheme="majorHAnsi"/>
                <w:sz w:val="20"/>
                <w:szCs w:val="20"/>
              </w:rPr>
              <w:t>*</w:t>
            </w:r>
          </w:p>
        </w:tc>
      </w:tr>
      <w:tr w:rsidR="009B5B7D" w:rsidRPr="006338F0" w14:paraId="197AB023" w14:textId="77777777" w:rsidTr="009368DA">
        <w:trPr>
          <w:trHeight w:val="94"/>
        </w:trPr>
        <w:tc>
          <w:tcPr>
            <w:cnfStyle w:val="001000000000" w:firstRow="0" w:lastRow="0" w:firstColumn="1" w:lastColumn="0" w:oddVBand="0" w:evenVBand="0" w:oddHBand="0" w:evenHBand="0" w:firstRowFirstColumn="0" w:firstRowLastColumn="0" w:lastRowFirstColumn="0" w:lastRowLastColumn="0"/>
            <w:tcW w:w="1696" w:type="dxa"/>
            <w:vMerge/>
          </w:tcPr>
          <w:p w14:paraId="7E8C82A6" w14:textId="77777777" w:rsidR="009B5B7D" w:rsidRPr="006338F0" w:rsidRDefault="009B5B7D" w:rsidP="006338F0">
            <w:pPr>
              <w:rPr>
                <w:sz w:val="20"/>
                <w:szCs w:val="20"/>
              </w:rPr>
            </w:pPr>
          </w:p>
        </w:tc>
        <w:tc>
          <w:tcPr>
            <w:tcW w:w="3402" w:type="dxa"/>
          </w:tcPr>
          <w:p w14:paraId="6F7D218C"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sz w:val="20"/>
                <w:szCs w:val="20"/>
              </w:rPr>
            </w:pPr>
            <w:r w:rsidRPr="006338F0">
              <w:rPr>
                <w:sz w:val="20"/>
                <w:szCs w:val="20"/>
              </w:rPr>
              <w:t>Intraocular inflammation</w:t>
            </w:r>
          </w:p>
        </w:tc>
        <w:tc>
          <w:tcPr>
            <w:tcW w:w="1134" w:type="dxa"/>
          </w:tcPr>
          <w:p w14:paraId="2E7CF2D1"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r w:rsidRPr="006338F0">
              <w:rPr>
                <w:rFonts w:asciiTheme="majorHAnsi" w:hAnsiTheme="majorHAnsi"/>
                <w:sz w:val="20"/>
                <w:szCs w:val="20"/>
                <w:vertAlign w:val="superscript"/>
              </w:rPr>
              <w:t>†</w:t>
            </w:r>
          </w:p>
        </w:tc>
        <w:tc>
          <w:tcPr>
            <w:tcW w:w="1276" w:type="dxa"/>
          </w:tcPr>
          <w:p w14:paraId="0A7C189E"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sz w:val="20"/>
                <w:szCs w:val="20"/>
              </w:rPr>
              <w:t>–</w:t>
            </w:r>
          </w:p>
        </w:tc>
        <w:tc>
          <w:tcPr>
            <w:tcW w:w="1134" w:type="dxa"/>
          </w:tcPr>
          <w:p w14:paraId="55C90CF6"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p>
        </w:tc>
        <w:tc>
          <w:tcPr>
            <w:tcW w:w="1276" w:type="dxa"/>
          </w:tcPr>
          <w:p w14:paraId="1D030F9D"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r w:rsidRPr="006338F0">
              <w:rPr>
                <w:rFonts w:asciiTheme="majorHAnsi" w:hAnsiTheme="majorHAnsi"/>
                <w:sz w:val="20"/>
                <w:szCs w:val="20"/>
              </w:rPr>
              <w:t>*</w:t>
            </w:r>
          </w:p>
        </w:tc>
      </w:tr>
      <w:tr w:rsidR="009B5B7D" w:rsidRPr="006338F0" w14:paraId="344B8379" w14:textId="77777777" w:rsidTr="009368DA">
        <w:trPr>
          <w:trHeight w:val="94"/>
        </w:trPr>
        <w:tc>
          <w:tcPr>
            <w:cnfStyle w:val="001000000000" w:firstRow="0" w:lastRow="0" w:firstColumn="1" w:lastColumn="0" w:oddVBand="0" w:evenVBand="0" w:oddHBand="0" w:evenHBand="0" w:firstRowFirstColumn="0" w:firstRowLastColumn="0" w:lastRowFirstColumn="0" w:lastRowLastColumn="0"/>
            <w:tcW w:w="1696" w:type="dxa"/>
            <w:vMerge/>
          </w:tcPr>
          <w:p w14:paraId="12C3E7BD" w14:textId="77777777" w:rsidR="009B5B7D" w:rsidRPr="006338F0" w:rsidRDefault="009B5B7D" w:rsidP="006338F0">
            <w:pPr>
              <w:rPr>
                <w:sz w:val="20"/>
                <w:szCs w:val="20"/>
              </w:rPr>
            </w:pPr>
          </w:p>
        </w:tc>
        <w:tc>
          <w:tcPr>
            <w:tcW w:w="3402" w:type="dxa"/>
          </w:tcPr>
          <w:p w14:paraId="009DF9E8"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sz w:val="20"/>
                <w:szCs w:val="20"/>
              </w:rPr>
            </w:pPr>
            <w:r w:rsidRPr="006338F0">
              <w:rPr>
                <w:sz w:val="20"/>
                <w:szCs w:val="20"/>
              </w:rPr>
              <w:t>Transient intraocular pressure increase</w:t>
            </w:r>
          </w:p>
        </w:tc>
        <w:tc>
          <w:tcPr>
            <w:tcW w:w="1134" w:type="dxa"/>
          </w:tcPr>
          <w:p w14:paraId="4788EE41"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r w:rsidRPr="006338F0">
              <w:rPr>
                <w:rFonts w:asciiTheme="majorHAnsi" w:hAnsiTheme="majorHAnsi"/>
                <w:sz w:val="20"/>
                <w:szCs w:val="20"/>
                <w:vertAlign w:val="superscript"/>
              </w:rPr>
              <w:t>†</w:t>
            </w:r>
          </w:p>
        </w:tc>
        <w:tc>
          <w:tcPr>
            <w:tcW w:w="1276" w:type="dxa"/>
          </w:tcPr>
          <w:p w14:paraId="6B291D90"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sz w:val="20"/>
                <w:szCs w:val="20"/>
              </w:rPr>
              <w:t>–</w:t>
            </w:r>
          </w:p>
        </w:tc>
        <w:tc>
          <w:tcPr>
            <w:tcW w:w="1134" w:type="dxa"/>
          </w:tcPr>
          <w:p w14:paraId="235FFC79"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p>
        </w:tc>
        <w:tc>
          <w:tcPr>
            <w:tcW w:w="1276" w:type="dxa"/>
          </w:tcPr>
          <w:p w14:paraId="34657BCF"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r w:rsidRPr="006338F0">
              <w:rPr>
                <w:rFonts w:asciiTheme="majorHAnsi" w:hAnsiTheme="majorHAnsi"/>
                <w:sz w:val="20"/>
                <w:szCs w:val="20"/>
              </w:rPr>
              <w:t>*</w:t>
            </w:r>
          </w:p>
        </w:tc>
      </w:tr>
      <w:tr w:rsidR="009B5B7D" w:rsidRPr="006338F0" w14:paraId="3C55AC12" w14:textId="77777777" w:rsidTr="009368DA">
        <w:trPr>
          <w:trHeight w:val="94"/>
        </w:trPr>
        <w:tc>
          <w:tcPr>
            <w:cnfStyle w:val="001000000000" w:firstRow="0" w:lastRow="0" w:firstColumn="1" w:lastColumn="0" w:oddVBand="0" w:evenVBand="0" w:oddHBand="0" w:evenHBand="0" w:firstRowFirstColumn="0" w:firstRowLastColumn="0" w:lastRowFirstColumn="0" w:lastRowLastColumn="0"/>
            <w:tcW w:w="1696" w:type="dxa"/>
            <w:vMerge/>
          </w:tcPr>
          <w:p w14:paraId="4FFF998A" w14:textId="77777777" w:rsidR="009B5B7D" w:rsidRPr="006338F0" w:rsidRDefault="009B5B7D" w:rsidP="006338F0">
            <w:pPr>
              <w:rPr>
                <w:sz w:val="20"/>
                <w:szCs w:val="20"/>
              </w:rPr>
            </w:pPr>
          </w:p>
        </w:tc>
        <w:tc>
          <w:tcPr>
            <w:tcW w:w="3402" w:type="dxa"/>
          </w:tcPr>
          <w:p w14:paraId="1BB22225"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sz w:val="20"/>
                <w:szCs w:val="20"/>
              </w:rPr>
            </w:pPr>
            <w:r w:rsidRPr="006338F0">
              <w:rPr>
                <w:sz w:val="20"/>
                <w:szCs w:val="20"/>
              </w:rPr>
              <w:t>Retinal pigment epithelial tears</w:t>
            </w:r>
          </w:p>
        </w:tc>
        <w:tc>
          <w:tcPr>
            <w:tcW w:w="1134" w:type="dxa"/>
          </w:tcPr>
          <w:p w14:paraId="1BD4A535"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p>
        </w:tc>
        <w:tc>
          <w:tcPr>
            <w:tcW w:w="1276" w:type="dxa"/>
          </w:tcPr>
          <w:p w14:paraId="47D2ABD5"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sz w:val="20"/>
                <w:szCs w:val="20"/>
              </w:rPr>
              <w:t>–</w:t>
            </w:r>
          </w:p>
        </w:tc>
        <w:tc>
          <w:tcPr>
            <w:tcW w:w="1134" w:type="dxa"/>
          </w:tcPr>
          <w:p w14:paraId="7816F274"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p>
        </w:tc>
        <w:tc>
          <w:tcPr>
            <w:tcW w:w="1276" w:type="dxa"/>
          </w:tcPr>
          <w:p w14:paraId="23603172"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r w:rsidRPr="006338F0">
              <w:rPr>
                <w:rFonts w:asciiTheme="majorHAnsi" w:hAnsiTheme="majorHAnsi"/>
                <w:sz w:val="20"/>
                <w:szCs w:val="20"/>
              </w:rPr>
              <w:t>*</w:t>
            </w:r>
          </w:p>
        </w:tc>
      </w:tr>
      <w:tr w:rsidR="009B5B7D" w:rsidRPr="006338F0" w14:paraId="649D303C" w14:textId="77777777" w:rsidTr="009368DA">
        <w:trPr>
          <w:trHeight w:val="187"/>
        </w:trPr>
        <w:tc>
          <w:tcPr>
            <w:cnfStyle w:val="001000000000" w:firstRow="0" w:lastRow="0" w:firstColumn="1" w:lastColumn="0" w:oddVBand="0" w:evenVBand="0" w:oddHBand="0" w:evenHBand="0" w:firstRowFirstColumn="0" w:firstRowLastColumn="0" w:lastRowFirstColumn="0" w:lastRowLastColumn="0"/>
            <w:tcW w:w="1696" w:type="dxa"/>
            <w:vMerge/>
          </w:tcPr>
          <w:p w14:paraId="3DB6F738" w14:textId="77777777" w:rsidR="009B5B7D" w:rsidRPr="006338F0" w:rsidRDefault="009B5B7D" w:rsidP="006338F0">
            <w:pPr>
              <w:rPr>
                <w:sz w:val="20"/>
                <w:szCs w:val="20"/>
              </w:rPr>
            </w:pPr>
          </w:p>
        </w:tc>
        <w:tc>
          <w:tcPr>
            <w:tcW w:w="3402" w:type="dxa"/>
          </w:tcPr>
          <w:p w14:paraId="2F370087"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sz w:val="20"/>
                <w:szCs w:val="20"/>
              </w:rPr>
            </w:pPr>
            <w:r w:rsidRPr="006338F0">
              <w:rPr>
                <w:sz w:val="20"/>
                <w:szCs w:val="20"/>
              </w:rPr>
              <w:t>Cataract (especially of traumatic origin)</w:t>
            </w:r>
          </w:p>
        </w:tc>
        <w:tc>
          <w:tcPr>
            <w:tcW w:w="1134" w:type="dxa"/>
          </w:tcPr>
          <w:p w14:paraId="6C1C0512"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p>
        </w:tc>
        <w:tc>
          <w:tcPr>
            <w:tcW w:w="1276" w:type="dxa"/>
          </w:tcPr>
          <w:p w14:paraId="09FB6F11"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sz w:val="20"/>
                <w:szCs w:val="20"/>
              </w:rPr>
              <w:t>–</w:t>
            </w:r>
          </w:p>
        </w:tc>
        <w:tc>
          <w:tcPr>
            <w:tcW w:w="1134" w:type="dxa"/>
          </w:tcPr>
          <w:p w14:paraId="0DE08578"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p>
        </w:tc>
        <w:tc>
          <w:tcPr>
            <w:tcW w:w="1276" w:type="dxa"/>
          </w:tcPr>
          <w:p w14:paraId="796CF919"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r w:rsidRPr="006338F0">
              <w:rPr>
                <w:rFonts w:asciiTheme="majorHAnsi" w:hAnsiTheme="majorHAnsi"/>
                <w:sz w:val="20"/>
                <w:szCs w:val="20"/>
              </w:rPr>
              <w:t>*</w:t>
            </w:r>
          </w:p>
        </w:tc>
      </w:tr>
      <w:tr w:rsidR="009B5B7D" w:rsidRPr="006338F0" w14:paraId="193E44B4" w14:textId="77777777" w:rsidTr="009368DA">
        <w:trPr>
          <w:trHeight w:val="159"/>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7D506D3F" w14:textId="77777777" w:rsidR="009B5B7D" w:rsidRPr="006338F0" w:rsidRDefault="009B5B7D" w:rsidP="006338F0">
            <w:pPr>
              <w:rPr>
                <w:sz w:val="20"/>
                <w:szCs w:val="20"/>
              </w:rPr>
            </w:pPr>
            <w:r w:rsidRPr="006338F0">
              <w:rPr>
                <w:sz w:val="20"/>
                <w:szCs w:val="20"/>
              </w:rPr>
              <w:t>Important potential risks</w:t>
            </w:r>
          </w:p>
        </w:tc>
        <w:tc>
          <w:tcPr>
            <w:tcW w:w="3402" w:type="dxa"/>
          </w:tcPr>
          <w:p w14:paraId="117C08F8"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sz w:val="20"/>
                <w:szCs w:val="20"/>
              </w:rPr>
            </w:pPr>
            <w:r w:rsidRPr="006338F0">
              <w:rPr>
                <w:sz w:val="20"/>
                <w:szCs w:val="20"/>
              </w:rPr>
              <w:t>Medication errors</w:t>
            </w:r>
          </w:p>
        </w:tc>
        <w:tc>
          <w:tcPr>
            <w:tcW w:w="1134" w:type="dxa"/>
          </w:tcPr>
          <w:p w14:paraId="5E70C7F7"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p>
        </w:tc>
        <w:tc>
          <w:tcPr>
            <w:tcW w:w="1276" w:type="dxa"/>
          </w:tcPr>
          <w:p w14:paraId="27B43F93"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sz w:val="20"/>
                <w:szCs w:val="20"/>
              </w:rPr>
              <w:t>–</w:t>
            </w:r>
          </w:p>
        </w:tc>
        <w:tc>
          <w:tcPr>
            <w:tcW w:w="1134" w:type="dxa"/>
          </w:tcPr>
          <w:p w14:paraId="48F7B302"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p>
        </w:tc>
        <w:tc>
          <w:tcPr>
            <w:tcW w:w="1276" w:type="dxa"/>
          </w:tcPr>
          <w:p w14:paraId="619B2DF0"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r w:rsidRPr="006338F0">
              <w:rPr>
                <w:rFonts w:asciiTheme="majorHAnsi" w:hAnsiTheme="majorHAnsi"/>
                <w:sz w:val="20"/>
                <w:szCs w:val="20"/>
              </w:rPr>
              <w:t>*</w:t>
            </w:r>
          </w:p>
        </w:tc>
      </w:tr>
      <w:tr w:rsidR="009B5B7D" w:rsidRPr="006338F0" w14:paraId="0D94AB80" w14:textId="77777777" w:rsidTr="009368DA">
        <w:trPr>
          <w:trHeight w:val="122"/>
        </w:trPr>
        <w:tc>
          <w:tcPr>
            <w:cnfStyle w:val="001000000000" w:firstRow="0" w:lastRow="0" w:firstColumn="1" w:lastColumn="0" w:oddVBand="0" w:evenVBand="0" w:oddHBand="0" w:evenHBand="0" w:firstRowFirstColumn="0" w:firstRowLastColumn="0" w:lastRowFirstColumn="0" w:lastRowLastColumn="0"/>
            <w:tcW w:w="1696" w:type="dxa"/>
            <w:vMerge/>
          </w:tcPr>
          <w:p w14:paraId="04DE722E" w14:textId="77777777" w:rsidR="009B5B7D" w:rsidRPr="006338F0" w:rsidRDefault="009B5B7D" w:rsidP="006338F0">
            <w:pPr>
              <w:rPr>
                <w:sz w:val="20"/>
                <w:szCs w:val="20"/>
              </w:rPr>
            </w:pPr>
          </w:p>
        </w:tc>
        <w:tc>
          <w:tcPr>
            <w:tcW w:w="3402" w:type="dxa"/>
          </w:tcPr>
          <w:p w14:paraId="64CEF872"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sz w:val="20"/>
                <w:szCs w:val="20"/>
              </w:rPr>
            </w:pPr>
            <w:r w:rsidRPr="006338F0">
              <w:rPr>
                <w:sz w:val="20"/>
                <w:szCs w:val="20"/>
              </w:rPr>
              <w:t>Off-label use and misuse</w:t>
            </w:r>
          </w:p>
        </w:tc>
        <w:tc>
          <w:tcPr>
            <w:tcW w:w="1134" w:type="dxa"/>
          </w:tcPr>
          <w:p w14:paraId="731E0DEB"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p>
        </w:tc>
        <w:tc>
          <w:tcPr>
            <w:tcW w:w="1276" w:type="dxa"/>
          </w:tcPr>
          <w:p w14:paraId="6308EEC6"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sz w:val="20"/>
                <w:szCs w:val="20"/>
              </w:rPr>
              <w:t>–</w:t>
            </w:r>
          </w:p>
        </w:tc>
        <w:tc>
          <w:tcPr>
            <w:tcW w:w="1134" w:type="dxa"/>
          </w:tcPr>
          <w:p w14:paraId="68BD0C40"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p>
        </w:tc>
        <w:tc>
          <w:tcPr>
            <w:tcW w:w="1276" w:type="dxa"/>
          </w:tcPr>
          <w:p w14:paraId="378BE9CA"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r w:rsidRPr="006338F0">
              <w:rPr>
                <w:rFonts w:asciiTheme="majorHAnsi" w:hAnsiTheme="majorHAnsi"/>
                <w:sz w:val="20"/>
                <w:szCs w:val="20"/>
              </w:rPr>
              <w:t>*</w:t>
            </w:r>
          </w:p>
        </w:tc>
      </w:tr>
      <w:tr w:rsidR="009B5B7D" w:rsidRPr="006338F0" w14:paraId="4943755A" w14:textId="77777777" w:rsidTr="009368DA">
        <w:trPr>
          <w:trHeight w:val="112"/>
        </w:trPr>
        <w:tc>
          <w:tcPr>
            <w:cnfStyle w:val="001000000000" w:firstRow="0" w:lastRow="0" w:firstColumn="1" w:lastColumn="0" w:oddVBand="0" w:evenVBand="0" w:oddHBand="0" w:evenHBand="0" w:firstRowFirstColumn="0" w:firstRowLastColumn="0" w:lastRowFirstColumn="0" w:lastRowLastColumn="0"/>
            <w:tcW w:w="1696" w:type="dxa"/>
            <w:vMerge/>
          </w:tcPr>
          <w:p w14:paraId="1B83FB0F" w14:textId="77777777" w:rsidR="009B5B7D" w:rsidRPr="006338F0" w:rsidRDefault="009B5B7D" w:rsidP="006338F0">
            <w:pPr>
              <w:rPr>
                <w:sz w:val="20"/>
                <w:szCs w:val="20"/>
              </w:rPr>
            </w:pPr>
          </w:p>
        </w:tc>
        <w:tc>
          <w:tcPr>
            <w:tcW w:w="3402" w:type="dxa"/>
          </w:tcPr>
          <w:p w14:paraId="314332B6"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sz w:val="20"/>
                <w:szCs w:val="20"/>
              </w:rPr>
            </w:pPr>
            <w:r w:rsidRPr="006338F0">
              <w:rPr>
                <w:sz w:val="20"/>
                <w:szCs w:val="20"/>
              </w:rPr>
              <w:t>Embryo-fetotoxicity</w:t>
            </w:r>
          </w:p>
        </w:tc>
        <w:tc>
          <w:tcPr>
            <w:tcW w:w="1134" w:type="dxa"/>
          </w:tcPr>
          <w:p w14:paraId="79FD35CC"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p>
        </w:tc>
        <w:tc>
          <w:tcPr>
            <w:tcW w:w="1276" w:type="dxa"/>
          </w:tcPr>
          <w:p w14:paraId="0205D078"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sz w:val="20"/>
                <w:szCs w:val="20"/>
              </w:rPr>
              <w:t>–</w:t>
            </w:r>
          </w:p>
        </w:tc>
        <w:tc>
          <w:tcPr>
            <w:tcW w:w="1134" w:type="dxa"/>
          </w:tcPr>
          <w:p w14:paraId="341B3ABA"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p>
        </w:tc>
        <w:tc>
          <w:tcPr>
            <w:tcW w:w="1276" w:type="dxa"/>
          </w:tcPr>
          <w:p w14:paraId="13A8AEB8"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rFonts w:ascii="Wingdings" w:eastAsia="Wingdings" w:hAnsi="Wingdings" w:cs="Wingdings"/>
                <w:sz w:val="20"/>
                <w:szCs w:val="20"/>
              </w:rPr>
              <w:t>ü</w:t>
            </w:r>
            <w:r w:rsidRPr="006338F0">
              <w:rPr>
                <w:rFonts w:asciiTheme="majorHAnsi" w:hAnsiTheme="majorHAnsi"/>
                <w:sz w:val="20"/>
                <w:szCs w:val="20"/>
              </w:rPr>
              <w:t>*</w:t>
            </w:r>
          </w:p>
        </w:tc>
      </w:tr>
      <w:tr w:rsidR="009B5B7D" w:rsidRPr="006338F0" w14:paraId="39712C7D" w14:textId="77777777" w:rsidTr="009368DA">
        <w:trPr>
          <w:trHeight w:val="592"/>
        </w:trPr>
        <w:tc>
          <w:tcPr>
            <w:cnfStyle w:val="001000000000" w:firstRow="0" w:lastRow="0" w:firstColumn="1" w:lastColumn="0" w:oddVBand="0" w:evenVBand="0" w:oddHBand="0" w:evenHBand="0" w:firstRowFirstColumn="0" w:firstRowLastColumn="0" w:lastRowFirstColumn="0" w:lastRowLastColumn="0"/>
            <w:tcW w:w="1696" w:type="dxa"/>
          </w:tcPr>
          <w:p w14:paraId="3BF9D37D" w14:textId="77777777" w:rsidR="009B5B7D" w:rsidRPr="006338F0" w:rsidRDefault="009B5B7D" w:rsidP="006338F0">
            <w:pPr>
              <w:rPr>
                <w:sz w:val="20"/>
                <w:szCs w:val="20"/>
              </w:rPr>
            </w:pPr>
            <w:r w:rsidRPr="006338F0">
              <w:rPr>
                <w:sz w:val="20"/>
                <w:szCs w:val="20"/>
              </w:rPr>
              <w:t>Missing information</w:t>
            </w:r>
          </w:p>
        </w:tc>
        <w:tc>
          <w:tcPr>
            <w:tcW w:w="3402" w:type="dxa"/>
          </w:tcPr>
          <w:p w14:paraId="7A333B6C"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sz w:val="20"/>
                <w:szCs w:val="20"/>
              </w:rPr>
            </w:pPr>
            <w:r w:rsidRPr="006338F0">
              <w:rPr>
                <w:sz w:val="20"/>
                <w:szCs w:val="20"/>
              </w:rPr>
              <w:t>None</w:t>
            </w:r>
          </w:p>
        </w:tc>
        <w:tc>
          <w:tcPr>
            <w:tcW w:w="1134" w:type="dxa"/>
          </w:tcPr>
          <w:p w14:paraId="1A7B9659"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sz w:val="20"/>
                <w:szCs w:val="20"/>
              </w:rPr>
              <w:t>–</w:t>
            </w:r>
          </w:p>
        </w:tc>
        <w:tc>
          <w:tcPr>
            <w:tcW w:w="1276" w:type="dxa"/>
          </w:tcPr>
          <w:p w14:paraId="12438E68"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sz w:val="20"/>
                <w:szCs w:val="20"/>
              </w:rPr>
              <w:t>–</w:t>
            </w:r>
          </w:p>
        </w:tc>
        <w:tc>
          <w:tcPr>
            <w:tcW w:w="1134" w:type="dxa"/>
          </w:tcPr>
          <w:p w14:paraId="44BAD67E"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sz w:val="20"/>
                <w:szCs w:val="20"/>
              </w:rPr>
              <w:t>–</w:t>
            </w:r>
          </w:p>
        </w:tc>
        <w:tc>
          <w:tcPr>
            <w:tcW w:w="1276" w:type="dxa"/>
          </w:tcPr>
          <w:p w14:paraId="4EC367C7" w14:textId="77777777" w:rsidR="009B5B7D" w:rsidRPr="006338F0" w:rsidRDefault="009B5B7D" w:rsidP="006338F0">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6338F0">
              <w:rPr>
                <w:sz w:val="20"/>
                <w:szCs w:val="20"/>
              </w:rPr>
              <w:t>–</w:t>
            </w:r>
          </w:p>
        </w:tc>
      </w:tr>
    </w:tbl>
    <w:p w14:paraId="45C4802A" w14:textId="77777777" w:rsidR="009B5B7D" w:rsidRPr="009E50D0" w:rsidRDefault="009B5B7D" w:rsidP="006338F0">
      <w:pPr>
        <w:pStyle w:val="TableDescription"/>
      </w:pPr>
      <w:r w:rsidRPr="000B6086">
        <w:rPr>
          <w:sz w:val="20"/>
          <w:szCs w:val="20"/>
        </w:rPr>
        <w:t>†</w:t>
      </w:r>
      <w:r w:rsidRPr="000B6086">
        <w:t>Follow-up questionnaires</w:t>
      </w:r>
    </w:p>
    <w:p w14:paraId="1E75B369" w14:textId="77777777" w:rsidR="009B5B7D" w:rsidRPr="00D82EDB" w:rsidRDefault="009B5B7D" w:rsidP="006338F0">
      <w:pPr>
        <w:pStyle w:val="TableDescription"/>
        <w:rPr>
          <w:sz w:val="20"/>
          <w:szCs w:val="20"/>
        </w:rPr>
      </w:pPr>
      <w:r w:rsidRPr="000B6086">
        <w:rPr>
          <w:sz w:val="20"/>
          <w:szCs w:val="20"/>
        </w:rPr>
        <w:t xml:space="preserve">* </w:t>
      </w:r>
      <w:r w:rsidRPr="00D03566">
        <w:rPr>
          <w:sz w:val="20"/>
          <w:szCs w:val="20"/>
        </w:rPr>
        <w:t>Educational material</w:t>
      </w:r>
      <w:r>
        <w:rPr>
          <w:sz w:val="20"/>
          <w:szCs w:val="20"/>
        </w:rPr>
        <w:t xml:space="preserve"> (P</w:t>
      </w:r>
      <w:r w:rsidRPr="00D82EDB">
        <w:rPr>
          <w:sz w:val="20"/>
          <w:szCs w:val="20"/>
        </w:rPr>
        <w:t xml:space="preserve">atient </w:t>
      </w:r>
      <w:r>
        <w:rPr>
          <w:sz w:val="20"/>
          <w:szCs w:val="20"/>
        </w:rPr>
        <w:t>G</w:t>
      </w:r>
      <w:r w:rsidRPr="00D82EDB">
        <w:rPr>
          <w:sz w:val="20"/>
          <w:szCs w:val="20"/>
        </w:rPr>
        <w:t>uide</w:t>
      </w:r>
      <w:r>
        <w:rPr>
          <w:sz w:val="20"/>
          <w:szCs w:val="20"/>
        </w:rPr>
        <w:t xml:space="preserve">) </w:t>
      </w:r>
      <w:r w:rsidRPr="000B6086">
        <w:rPr>
          <w:sz w:val="20"/>
          <w:szCs w:val="20"/>
        </w:rPr>
        <w:t xml:space="preserve"> </w:t>
      </w:r>
    </w:p>
    <w:p w14:paraId="2D86D5A7" w14:textId="19C21220" w:rsidR="009368DA" w:rsidRPr="009368DA" w:rsidRDefault="009368DA" w:rsidP="009368DA">
      <w:pPr>
        <w:rPr>
          <w:b/>
          <w:bCs/>
          <w:i/>
        </w:rPr>
      </w:pPr>
      <w:r w:rsidRPr="009368DA">
        <w:rPr>
          <w:b/>
          <w:bCs/>
          <w:i/>
        </w:rPr>
        <w:t>RMP evaluator recommendations regarding conditions of registration</w:t>
      </w:r>
    </w:p>
    <w:p w14:paraId="51BAAA85" w14:textId="552B6FEF" w:rsidR="001C4F94" w:rsidRPr="001C4F94" w:rsidRDefault="001C4F94" w:rsidP="001C4F94">
      <w:pPr>
        <w:pStyle w:val="ListBullet"/>
      </w:pPr>
      <w:r w:rsidRPr="001C4F94">
        <w:t>The summary of safety concerns of this biosimilar are consistent with the originator, E</w:t>
      </w:r>
      <w:r w:rsidR="009368DA">
        <w:t>ylea</w:t>
      </w:r>
      <w:r w:rsidRPr="001C4F94">
        <w:t xml:space="preserve"> 2mg and is acceptable.</w:t>
      </w:r>
    </w:p>
    <w:p w14:paraId="012C9506" w14:textId="77777777" w:rsidR="001C4F94" w:rsidRPr="001C4F94" w:rsidRDefault="001C4F94" w:rsidP="001C4F94">
      <w:pPr>
        <w:pStyle w:val="ListBullet"/>
      </w:pPr>
      <w:r w:rsidRPr="001C4F94">
        <w:t xml:space="preserve">Routine pharmacovigilance activities only are proposed for all safety concerns, which include specific follow-up questionnaires for the important identified risks of ‘Endophthalmitis (likely infectious origin)’, ‘Intraocular inflammation’ and ‘Transient intraocular pressure increase’. At round 2, the sponsor has also committed to collecting information on Aboriginal and Torres Strait Islander ethnicity with the follow up questionnaires. </w:t>
      </w:r>
    </w:p>
    <w:p w14:paraId="265DBF74" w14:textId="77777777" w:rsidR="001C4F94" w:rsidRPr="001C4F94" w:rsidRDefault="001C4F94" w:rsidP="0070454D">
      <w:pPr>
        <w:pStyle w:val="ListBullet"/>
      </w:pPr>
      <w:r w:rsidRPr="001C4F94">
        <w:t xml:space="preserve">Although the pharmacovigilance plan generally aligns with the originator product, to address the concerns regarding arterial thromboembolic events, PSUR submission is requested, together with a commitment to report all-cause mortality in PSURs. </w:t>
      </w:r>
    </w:p>
    <w:p w14:paraId="7586886D" w14:textId="42B67CEA" w:rsidR="001C4F94" w:rsidRPr="001C4F94" w:rsidRDefault="001C4F94" w:rsidP="0070454D">
      <w:pPr>
        <w:pStyle w:val="ListBullet"/>
      </w:pPr>
      <w:r w:rsidRPr="001C4F94">
        <w:t>Additionally, to align with the innovator Eylea, the sponsor is requested to commit to the use of specific follow up forms for arterial thromboembolic events in Australia, and to report on these events in the Afqlir PSUR. At round 3</w:t>
      </w:r>
      <w:r w:rsidR="009368DA">
        <w:t>,</w:t>
      </w:r>
      <w:r w:rsidRPr="001C4F94">
        <w:t xml:space="preserve"> the sponsor has agreed to these </w:t>
      </w:r>
      <w:r w:rsidR="00813030" w:rsidRPr="001C4F94">
        <w:t>requests,</w:t>
      </w:r>
      <w:r w:rsidRPr="001C4F94">
        <w:t xml:space="preserve"> and the pharmacovigilance plan is acceptable from an RMP perspective.</w:t>
      </w:r>
    </w:p>
    <w:p w14:paraId="452CA749" w14:textId="77777777" w:rsidR="001C4F94" w:rsidRPr="001C4F94" w:rsidRDefault="001C4F94" w:rsidP="0070454D">
      <w:pPr>
        <w:pStyle w:val="ListBullet"/>
      </w:pPr>
      <w:r w:rsidRPr="001C4F94">
        <w:t xml:space="preserve">The sponsor has proposed routine risk minimisation activities for all safety concerns. Additional risk minimisation activities in the form of educational materials that consist of a Prescriber Guide and a Patient Guide were initially proposed for all safety concerns. However, at Round 2, the sponsor confirmed that only the Patient Guide will be implemented in Australia as requested to align with the originator product. The sponsor committed to submitting the Patient Guide to the TGA at least 6 weeks prior to launch for review. </w:t>
      </w:r>
      <w:r w:rsidRPr="001C4F94">
        <w:rPr>
          <w:bCs/>
        </w:rPr>
        <w:t>The CMI has been revised as requested and the risk minimisation plan is acceptable.</w:t>
      </w:r>
    </w:p>
    <w:p w14:paraId="456C7934" w14:textId="5C2BE0D2" w:rsidR="00FA1BC9" w:rsidRDefault="00FA1BC9" w:rsidP="00734285">
      <w:pPr>
        <w:jc w:val="both"/>
        <w:rPr>
          <w:szCs w:val="22"/>
        </w:rPr>
      </w:pPr>
      <w:bookmarkStart w:id="65" w:name="_Toc103679299"/>
      <w:r w:rsidRPr="00BD5DBD">
        <w:rPr>
          <w:szCs w:val="22"/>
        </w:rPr>
        <w:lastRenderedPageBreak/>
        <w:t xml:space="preserve">Further information regarding the TGA’s risk management approach can be found in </w:t>
      </w:r>
      <w:hyperlink r:id="rId32" w:history="1">
        <w:r w:rsidRPr="00BD5DBD">
          <w:rPr>
            <w:rStyle w:val="Hyperlink"/>
            <w:szCs w:val="22"/>
          </w:rPr>
          <w:t>risk management plans for medicines and biologicals</w:t>
        </w:r>
      </w:hyperlink>
      <w:r w:rsidRPr="00BD5DBD">
        <w:rPr>
          <w:szCs w:val="22"/>
        </w:rPr>
        <w:t xml:space="preserve"> and </w:t>
      </w:r>
      <w:hyperlink r:id="rId33" w:history="1">
        <w:r w:rsidRPr="00BD5DBD">
          <w:rPr>
            <w:rStyle w:val="Hyperlink"/>
            <w:szCs w:val="22"/>
          </w:rPr>
          <w:t>the TGA's risk management approach</w:t>
        </w:r>
      </w:hyperlink>
      <w:r w:rsidRPr="00BD5DBD">
        <w:rPr>
          <w:szCs w:val="22"/>
        </w:rPr>
        <w:t xml:space="preserve">. Information on the </w:t>
      </w:r>
      <w:hyperlink r:id="rId34" w:history="1">
        <w:r w:rsidRPr="00BD5DBD">
          <w:rPr>
            <w:rStyle w:val="Hyperlink"/>
            <w:szCs w:val="22"/>
          </w:rPr>
          <w:t>Australia</w:t>
        </w:r>
        <w:r w:rsidR="00C57CEA">
          <w:rPr>
            <w:rStyle w:val="Hyperlink"/>
            <w:szCs w:val="22"/>
          </w:rPr>
          <w:t>-</w:t>
        </w:r>
        <w:r w:rsidRPr="00BD5DBD">
          <w:rPr>
            <w:rStyle w:val="Hyperlink"/>
            <w:szCs w:val="22"/>
          </w:rPr>
          <w:t>specific annex</w:t>
        </w:r>
      </w:hyperlink>
      <w:r w:rsidRPr="00BD5DBD">
        <w:rPr>
          <w:szCs w:val="22"/>
        </w:rPr>
        <w:t xml:space="preserve"> (</w:t>
      </w:r>
      <w:hyperlink r:id="rId35" w:history="1">
        <w:r w:rsidRPr="00BD5DBD">
          <w:rPr>
            <w:rStyle w:val="Hyperlink"/>
            <w:szCs w:val="22"/>
          </w:rPr>
          <w:t>ASA</w:t>
        </w:r>
      </w:hyperlink>
      <w:r w:rsidRPr="00BD5DBD">
        <w:rPr>
          <w:szCs w:val="22"/>
        </w:rPr>
        <w:t>) can be found on the TGA website.</w:t>
      </w:r>
    </w:p>
    <w:p w14:paraId="74A4F87F" w14:textId="77777777" w:rsidR="00C22214" w:rsidRDefault="00C22214" w:rsidP="00C22214">
      <w:pPr>
        <w:pStyle w:val="Heading3"/>
      </w:pPr>
      <w:bookmarkStart w:id="66" w:name="_Toc210745506"/>
      <w:r>
        <w:t>Risk-benefit analysis</w:t>
      </w:r>
      <w:bookmarkEnd w:id="59"/>
      <w:bookmarkEnd w:id="60"/>
      <w:bookmarkEnd w:id="65"/>
      <w:bookmarkEnd w:id="66"/>
    </w:p>
    <w:p w14:paraId="77DE2655" w14:textId="77777777" w:rsidR="00C22214" w:rsidRDefault="00C22214" w:rsidP="00C22214">
      <w:pPr>
        <w:pStyle w:val="Heading4"/>
      </w:pPr>
      <w:bookmarkStart w:id="67" w:name="_Toc98931932"/>
      <w:bookmarkStart w:id="68" w:name="_Toc210745507"/>
      <w:r>
        <w:t>Delegate’s considerations</w:t>
      </w:r>
      <w:bookmarkEnd w:id="67"/>
      <w:bookmarkEnd w:id="68"/>
    </w:p>
    <w:p w14:paraId="6B0805C6" w14:textId="1A19FD55" w:rsidR="00355704" w:rsidRPr="00355704" w:rsidRDefault="00355704" w:rsidP="00355704">
      <w:r w:rsidRPr="00355704">
        <w:t>SOK583 (</w:t>
      </w:r>
      <w:r w:rsidR="00184BD0">
        <w:t>Afqlir</w:t>
      </w:r>
      <w:r w:rsidRPr="00355704">
        <w:t>/</w:t>
      </w:r>
      <w:r w:rsidR="00FC4F1B">
        <w:t>Enzeevu</w:t>
      </w:r>
      <w:r w:rsidRPr="00355704">
        <w:t xml:space="preserve">) has been developed as a biosimilar to Eylea 2mg (aflibercept), with </w:t>
      </w:r>
      <w:bookmarkStart w:id="69" w:name="_Hlk192520864"/>
      <w:r w:rsidRPr="00355704">
        <w:t xml:space="preserve">a similar biochemical structure, biological function and route of administration (intravitreal [IVT] injection). </w:t>
      </w:r>
      <w:bookmarkEnd w:id="69"/>
      <w:r w:rsidRPr="00355704">
        <w:t xml:space="preserve">The medical need for Eylea (aflibercept) in the approved indications is well documented, as it has meaningful benefit to the various patient populations. Comprehensive comparisons of physicochemical and biological quality attributes were undertaken to demonstrate </w:t>
      </w:r>
      <w:proofErr w:type="spellStart"/>
      <w:r w:rsidRPr="00355704">
        <w:t>biosimilarity</w:t>
      </w:r>
      <w:proofErr w:type="spellEnd"/>
      <w:r w:rsidRPr="00355704">
        <w:t xml:space="preserve"> of SOK583 to Eylea (EU). </w:t>
      </w:r>
    </w:p>
    <w:p w14:paraId="2DD264C8" w14:textId="27868861" w:rsidR="00355704" w:rsidRPr="00355704" w:rsidRDefault="00355704" w:rsidP="00355704">
      <w:r w:rsidRPr="00355704">
        <w:t>One comparative clinical study was provided (Study 301) which compared the efficacy of SOK583 to the reference product, E</w:t>
      </w:r>
      <w:r w:rsidR="004D6DD0">
        <w:t>ylea</w:t>
      </w:r>
      <w:r w:rsidRPr="00355704">
        <w:t xml:space="preserve"> licensed in the EU (aflibercept (EU)), as the primary objective, with safety and immunogenicity as secondary objectives This study was a randomized, double-masked, active controlled study in adult subjects with neovascular (wet) AMD. </w:t>
      </w:r>
    </w:p>
    <w:p w14:paraId="7B711D33" w14:textId="0637BBEC" w:rsidR="00355704" w:rsidRPr="00355704" w:rsidRDefault="00355704" w:rsidP="00355704">
      <w:r>
        <w:t xml:space="preserve">Similarity in clinical efficacy was established between SOK583 and aflibercept (EU) based on the 2-sided 95% CI of the mean difference in change from baseline in BCVA (measured by ETDRS letter score) at week 8 and was within the prespecified equivalence margin specified by the sponsor. Furthermore, sensitivity analyses and descriptive analyses of secondary endpoints showed no clinically meaningful differences between SOK583 and Eylea (aflibercept). Persistence of efficacy (through week 52) was observed in </w:t>
      </w:r>
      <w:bookmarkStart w:id="70" w:name="_Hlk175595950"/>
      <w:r>
        <w:t xml:space="preserve">Study </w:t>
      </w:r>
      <w:r w:rsidR="00D0710D">
        <w:t>301</w:t>
      </w:r>
      <w:r>
        <w:t xml:space="preserve"> </w:t>
      </w:r>
      <w:bookmarkEnd w:id="70"/>
      <w:r>
        <w:t xml:space="preserve">and there was no evidence of tolerance. </w:t>
      </w:r>
    </w:p>
    <w:p w14:paraId="3D7A37D8" w14:textId="77777777" w:rsidR="00355704" w:rsidRPr="00355704" w:rsidRDefault="00355704" w:rsidP="00355704">
      <w:r w:rsidRPr="00355704">
        <w:t xml:space="preserve">Studies 303, and 304 showed that that SOK583 in LIVI (single use vial) and LISY (prefilled syringe) can be used effectively and safely by trained retina specialists to administer SOK583 for the proposed indications. </w:t>
      </w:r>
    </w:p>
    <w:p w14:paraId="14BD3F4D" w14:textId="77777777" w:rsidR="00355704" w:rsidRPr="00355704" w:rsidRDefault="00355704" w:rsidP="00355704">
      <w:r w:rsidRPr="00355704">
        <w:t xml:space="preserve">Safety results from Study 301 and Studies 303 and 304 showed no clinically important differences between SOK583 and Eylea 2mg (aflibercept). No new safety signals were identified. A low incidence of binding ADAs was observed for all treatment groups. </w:t>
      </w:r>
    </w:p>
    <w:p w14:paraId="3B321AAE" w14:textId="116EC6D5" w:rsidR="00355704" w:rsidRPr="00355704" w:rsidRDefault="00355704" w:rsidP="00355704">
      <w:r w:rsidRPr="00355704">
        <w:t xml:space="preserve">Results from Study 301 PK </w:t>
      </w:r>
      <w:r w:rsidR="00027249">
        <w:t>s</w:t>
      </w:r>
      <w:r w:rsidR="00027249" w:rsidRPr="00355704">
        <w:t>ub</w:t>
      </w:r>
      <w:r w:rsidR="00027249">
        <w:t>-</w:t>
      </w:r>
      <w:r w:rsidR="00027249" w:rsidRPr="00355704">
        <w:t>study</w:t>
      </w:r>
      <w:r w:rsidRPr="00355704">
        <w:t xml:space="preserve"> confirmed low systemic exposure of unbound (free) drug concentrations following IVT administration of SOK583 or aflibercept (EU) in neovascular (wet) AMD. This is important consideration for the scientific justification for extrapolation to other indications sought in this submission. There is also PD similarity of SOK583 to Eylea (aflibercept) based on the anatomic endpoints of change from baseline in CS</w:t>
      </w:r>
      <w:r w:rsidR="00D8493C">
        <w:t>F</w:t>
      </w:r>
      <w:r w:rsidRPr="00355704">
        <w:t>T and CNV area size over the study duration. Immunogenicity profiles are also similar. Together with the known common mechanism of action across all indications, these data further support similarity between SOK583 and Eylea 2mg (aflibercept) and support the justification to include non-neovascular (wet) AMD in the indications being sought in this submission.</w:t>
      </w:r>
    </w:p>
    <w:p w14:paraId="3916F296" w14:textId="77777777" w:rsidR="00C22214" w:rsidRDefault="00C22214" w:rsidP="00C22214">
      <w:pPr>
        <w:pStyle w:val="Heading4"/>
      </w:pPr>
      <w:bookmarkStart w:id="71" w:name="_Toc98931933"/>
      <w:bookmarkStart w:id="72" w:name="_Toc210745508"/>
      <w:r w:rsidRPr="00D23139">
        <w:t>Proposed action</w:t>
      </w:r>
      <w:bookmarkEnd w:id="71"/>
      <w:bookmarkEnd w:id="72"/>
    </w:p>
    <w:p w14:paraId="2DD8FE2A" w14:textId="21673675" w:rsidR="00355704" w:rsidRPr="00355704" w:rsidRDefault="00355704" w:rsidP="00355704">
      <w:proofErr w:type="spellStart"/>
      <w:r w:rsidRPr="00355704">
        <w:t>Biosimilarity</w:t>
      </w:r>
      <w:proofErr w:type="spellEnd"/>
      <w:r w:rsidRPr="00355704">
        <w:t xml:space="preserve"> of SOK583 to Eylea 2mg (aflibercept) has been demonstrated. </w:t>
      </w:r>
      <w:r w:rsidR="00D8493C">
        <w:t xml:space="preserve">The TGA </w:t>
      </w:r>
      <w:r w:rsidRPr="00355704">
        <w:t>plan</w:t>
      </w:r>
      <w:r w:rsidR="00D8493C">
        <w:t>s</w:t>
      </w:r>
      <w:r w:rsidRPr="00355704">
        <w:t xml:space="preserve"> to approve SOK583 (</w:t>
      </w:r>
      <w:r w:rsidR="00184BD0">
        <w:t>Afqlir</w:t>
      </w:r>
      <w:r w:rsidRPr="00355704">
        <w:t>/</w:t>
      </w:r>
      <w:r w:rsidR="00FC4F1B">
        <w:t>Enzeevu</w:t>
      </w:r>
      <w:r w:rsidRPr="00355704">
        <w:t xml:space="preserve">) containing aflibercept 2mg for the following indications [same as for EYLEA (2mg)]. </w:t>
      </w:r>
    </w:p>
    <w:p w14:paraId="789B4FAC" w14:textId="77777777" w:rsidR="00355704" w:rsidRPr="00355704" w:rsidRDefault="00355704" w:rsidP="00027249">
      <w:pPr>
        <w:ind w:left="360"/>
        <w:rPr>
          <w:i/>
          <w:iCs/>
        </w:rPr>
      </w:pPr>
      <w:r w:rsidRPr="00355704">
        <w:rPr>
          <w:i/>
          <w:iCs/>
        </w:rPr>
        <w:t>For the treatment of the following in adults:</w:t>
      </w:r>
    </w:p>
    <w:p w14:paraId="794C5F15" w14:textId="77777777" w:rsidR="00355704" w:rsidRPr="00355704" w:rsidRDefault="00355704" w:rsidP="00027249">
      <w:pPr>
        <w:numPr>
          <w:ilvl w:val="0"/>
          <w:numId w:val="1"/>
        </w:numPr>
        <w:ind w:left="720"/>
        <w:rPr>
          <w:i/>
          <w:iCs/>
        </w:rPr>
      </w:pPr>
      <w:r w:rsidRPr="00355704">
        <w:rPr>
          <w:i/>
          <w:iCs/>
        </w:rPr>
        <w:lastRenderedPageBreak/>
        <w:t>neovascular (wet) age-related macular degeneration (wet AMD)</w:t>
      </w:r>
    </w:p>
    <w:p w14:paraId="01E8B486" w14:textId="77777777" w:rsidR="00355704" w:rsidRPr="00355704" w:rsidRDefault="00355704" w:rsidP="00027249">
      <w:pPr>
        <w:numPr>
          <w:ilvl w:val="0"/>
          <w:numId w:val="1"/>
        </w:numPr>
        <w:ind w:left="720"/>
        <w:rPr>
          <w:i/>
          <w:iCs/>
        </w:rPr>
      </w:pPr>
      <w:r w:rsidRPr="00355704">
        <w:rPr>
          <w:i/>
          <w:iCs/>
        </w:rPr>
        <w:t>visual impairment due to macular oedema secondary to central retinal vein occlusion (CRVO)</w:t>
      </w:r>
    </w:p>
    <w:p w14:paraId="576230F3" w14:textId="77777777" w:rsidR="00355704" w:rsidRPr="00355704" w:rsidRDefault="00355704" w:rsidP="00027249">
      <w:pPr>
        <w:numPr>
          <w:ilvl w:val="0"/>
          <w:numId w:val="1"/>
        </w:numPr>
        <w:ind w:left="720"/>
        <w:rPr>
          <w:i/>
          <w:iCs/>
        </w:rPr>
      </w:pPr>
      <w:r w:rsidRPr="00355704">
        <w:rPr>
          <w:i/>
          <w:iCs/>
        </w:rPr>
        <w:t>visual impairment due to macular oedema secondary to branch retinal vein occlusion (BRVO)</w:t>
      </w:r>
    </w:p>
    <w:p w14:paraId="6CFCC3ED" w14:textId="71FF56EF" w:rsidR="00355704" w:rsidRPr="00355704" w:rsidRDefault="00355704" w:rsidP="00027249">
      <w:pPr>
        <w:numPr>
          <w:ilvl w:val="0"/>
          <w:numId w:val="1"/>
        </w:numPr>
        <w:ind w:left="720"/>
        <w:rPr>
          <w:i/>
          <w:iCs/>
        </w:rPr>
      </w:pPr>
      <w:r w:rsidRPr="00355704">
        <w:rPr>
          <w:i/>
          <w:iCs/>
        </w:rPr>
        <w:t>diabetic macular oedema (DMO</w:t>
      </w:r>
      <w:r w:rsidR="006265B4">
        <w:rPr>
          <w:i/>
          <w:iCs/>
        </w:rPr>
        <w:t>/DME</w:t>
      </w:r>
      <w:r w:rsidRPr="00355704">
        <w:rPr>
          <w:i/>
          <w:iCs/>
        </w:rPr>
        <w:t>)</w:t>
      </w:r>
    </w:p>
    <w:p w14:paraId="37F55049" w14:textId="77777777" w:rsidR="00355704" w:rsidRPr="00355704" w:rsidRDefault="00355704" w:rsidP="00027249">
      <w:pPr>
        <w:numPr>
          <w:ilvl w:val="0"/>
          <w:numId w:val="1"/>
        </w:numPr>
        <w:ind w:left="720"/>
        <w:rPr>
          <w:i/>
          <w:iCs/>
        </w:rPr>
      </w:pPr>
      <w:r w:rsidRPr="00355704">
        <w:rPr>
          <w:i/>
          <w:iCs/>
        </w:rPr>
        <w:t>visual impairment due to myopic choroidal neovascularisation (myopic CNV)</w:t>
      </w:r>
    </w:p>
    <w:p w14:paraId="5915DDA7" w14:textId="2BD6987D" w:rsidR="00355704" w:rsidRPr="00355704" w:rsidRDefault="00355704" w:rsidP="00355704">
      <w:r w:rsidRPr="00355704">
        <w:t>Approval will depend on satisfactory negotiation of the PI, CMI and the conditions of registration.</w:t>
      </w:r>
    </w:p>
    <w:p w14:paraId="307F236C" w14:textId="7FD19BD3" w:rsidR="00C22214" w:rsidRPr="002E238E" w:rsidRDefault="0046285C" w:rsidP="00C22214">
      <w:pPr>
        <w:pStyle w:val="Heading2"/>
      </w:pPr>
      <w:bookmarkStart w:id="73" w:name="_Toc247691532"/>
      <w:bookmarkStart w:id="74" w:name="_Toc314842516"/>
      <w:bookmarkStart w:id="75" w:name="_Toc103679300"/>
      <w:bookmarkStart w:id="76" w:name="_Toc210745509"/>
      <w:r>
        <w:t>Assessment</w:t>
      </w:r>
      <w:r w:rsidR="00190853">
        <w:t xml:space="preserve"> </w:t>
      </w:r>
      <w:r>
        <w:t>o</w:t>
      </w:r>
      <w:r w:rsidR="00C22214">
        <w:t>utcome</w:t>
      </w:r>
      <w:bookmarkEnd w:id="73"/>
      <w:bookmarkEnd w:id="74"/>
      <w:bookmarkEnd w:id="75"/>
      <w:bookmarkEnd w:id="76"/>
    </w:p>
    <w:p w14:paraId="4EF22939" w14:textId="21B59775" w:rsidR="00C22214" w:rsidRPr="0017005C" w:rsidRDefault="00C22214" w:rsidP="0006104E">
      <w:r w:rsidRPr="0017005C">
        <w:t xml:space="preserve">Based on a review of quality, safety, and efficacy, the TGA </w:t>
      </w:r>
      <w:r w:rsidR="00B46DFB">
        <w:t>decided to</w:t>
      </w:r>
      <w:r w:rsidRPr="0017005C">
        <w:t xml:space="preserve"> regist</w:t>
      </w:r>
      <w:r w:rsidR="00B46DFB">
        <w:t>er</w:t>
      </w:r>
      <w:r w:rsidRPr="0017005C">
        <w:t xml:space="preserve"> </w:t>
      </w:r>
      <w:r w:rsidR="00184BD0">
        <w:t>Afqlir</w:t>
      </w:r>
      <w:r w:rsidR="00444EEE">
        <w:t xml:space="preserve"> and </w:t>
      </w:r>
      <w:r w:rsidR="00FC4F1B">
        <w:t>Enzeevu</w:t>
      </w:r>
      <w:r w:rsidR="00444EEE" w:rsidRPr="00444EEE">
        <w:t xml:space="preserve"> </w:t>
      </w:r>
      <w:r w:rsidRPr="0017005C">
        <w:t>(</w:t>
      </w:r>
      <w:r w:rsidR="00355704" w:rsidRPr="00355704">
        <w:t>aflibercept</w:t>
      </w:r>
      <w:r w:rsidRPr="0017005C">
        <w:t xml:space="preserve">) </w:t>
      </w:r>
      <w:r w:rsidR="007D753F" w:rsidRPr="007D753F">
        <w:t xml:space="preserve">2 mg </w:t>
      </w:r>
      <w:r w:rsidR="00B46B91">
        <w:t xml:space="preserve">for </w:t>
      </w:r>
      <w:r w:rsidR="007D753F" w:rsidRPr="007D753F">
        <w:t xml:space="preserve">injection </w:t>
      </w:r>
      <w:r w:rsidR="00B46B91">
        <w:t>(</w:t>
      </w:r>
      <w:r w:rsidR="007D753F" w:rsidRPr="007D753F">
        <w:t xml:space="preserve">volume of 50 </w:t>
      </w:r>
      <w:proofErr w:type="spellStart"/>
      <w:r w:rsidR="007D753F" w:rsidRPr="007D753F">
        <w:t>μL</w:t>
      </w:r>
      <w:proofErr w:type="spellEnd"/>
      <w:r w:rsidR="00B46B91">
        <w:t>)</w:t>
      </w:r>
      <w:r w:rsidR="007D753F" w:rsidRPr="007D753F">
        <w:t xml:space="preserve"> </w:t>
      </w:r>
      <w:r w:rsidR="00B46B91">
        <w:t>via a s</w:t>
      </w:r>
      <w:r w:rsidR="00B46B91" w:rsidRPr="00B46B91">
        <w:t>ingle-use vial or pre-filled syringe</w:t>
      </w:r>
      <w:r w:rsidRPr="0017005C">
        <w:t>, indicated for:</w:t>
      </w:r>
    </w:p>
    <w:p w14:paraId="37F373BD" w14:textId="242F1F26" w:rsidR="00950D2B" w:rsidRPr="00A42D6A" w:rsidRDefault="00184BD0" w:rsidP="00A42D6A">
      <w:pPr>
        <w:pStyle w:val="ListBullet"/>
        <w:numPr>
          <w:ilvl w:val="0"/>
          <w:numId w:val="0"/>
        </w:numPr>
        <w:ind w:left="720" w:hanging="360"/>
        <w:rPr>
          <w:i/>
          <w:iCs/>
        </w:rPr>
      </w:pPr>
      <w:r>
        <w:rPr>
          <w:i/>
          <w:iCs/>
        </w:rPr>
        <w:t>Afqlir</w:t>
      </w:r>
      <w:r w:rsidR="00A42D6A" w:rsidRPr="00A42D6A">
        <w:rPr>
          <w:i/>
          <w:iCs/>
        </w:rPr>
        <w:t xml:space="preserve">/ </w:t>
      </w:r>
      <w:r w:rsidR="00FC4F1B">
        <w:rPr>
          <w:i/>
          <w:iCs/>
        </w:rPr>
        <w:t>Enzeevu</w:t>
      </w:r>
      <w:r w:rsidR="00A42D6A" w:rsidRPr="00A42D6A">
        <w:rPr>
          <w:i/>
          <w:iCs/>
        </w:rPr>
        <w:t xml:space="preserve"> </w:t>
      </w:r>
      <w:r w:rsidR="00950D2B" w:rsidRPr="00A42D6A">
        <w:rPr>
          <w:i/>
          <w:iCs/>
        </w:rPr>
        <w:t>(aflibercept) 2 mg is indicated in adults for the treatment of:</w:t>
      </w:r>
    </w:p>
    <w:p w14:paraId="11ABDE13" w14:textId="7014C836" w:rsidR="00950D2B" w:rsidRPr="00A42D6A" w:rsidRDefault="00950D2B" w:rsidP="00A42D6A">
      <w:pPr>
        <w:pStyle w:val="ListBullet"/>
        <w:ind w:left="720"/>
        <w:rPr>
          <w:i/>
          <w:iCs/>
        </w:rPr>
      </w:pPr>
      <w:r w:rsidRPr="00A42D6A">
        <w:rPr>
          <w:i/>
          <w:iCs/>
        </w:rPr>
        <w:t>neovascular (wet) age-related macular degeneration (wet AMD)</w:t>
      </w:r>
    </w:p>
    <w:p w14:paraId="2271EFA5" w14:textId="67F51BC5" w:rsidR="00950D2B" w:rsidRPr="00A42D6A" w:rsidRDefault="00950D2B" w:rsidP="00D0710D">
      <w:pPr>
        <w:pStyle w:val="ListBullet"/>
        <w:ind w:left="720"/>
        <w:rPr>
          <w:i/>
          <w:iCs/>
        </w:rPr>
      </w:pPr>
      <w:r w:rsidRPr="00A42D6A">
        <w:rPr>
          <w:i/>
          <w:iCs/>
        </w:rPr>
        <w:t>visual impairment due to macular oedema secondary to central retinal vein occlusion</w:t>
      </w:r>
      <w:r w:rsidR="00A42D6A" w:rsidRPr="00A42D6A">
        <w:rPr>
          <w:i/>
          <w:iCs/>
        </w:rPr>
        <w:t xml:space="preserve"> </w:t>
      </w:r>
      <w:r w:rsidRPr="00A42D6A">
        <w:rPr>
          <w:i/>
          <w:iCs/>
        </w:rPr>
        <w:t>(CRVO)</w:t>
      </w:r>
    </w:p>
    <w:p w14:paraId="04FDFEAB" w14:textId="7D2CBD84" w:rsidR="00950D2B" w:rsidRPr="00A42D6A" w:rsidRDefault="00950D2B" w:rsidP="00D0710D">
      <w:pPr>
        <w:pStyle w:val="ListBullet"/>
        <w:ind w:left="720"/>
        <w:rPr>
          <w:i/>
          <w:iCs/>
        </w:rPr>
      </w:pPr>
      <w:r w:rsidRPr="00A42D6A">
        <w:rPr>
          <w:i/>
          <w:iCs/>
        </w:rPr>
        <w:t>visual impairment due to macular oedema secondary to branch retinal vein occlusion</w:t>
      </w:r>
      <w:r w:rsidR="00A42D6A" w:rsidRPr="00A42D6A">
        <w:rPr>
          <w:i/>
          <w:iCs/>
        </w:rPr>
        <w:t xml:space="preserve"> </w:t>
      </w:r>
      <w:r w:rsidRPr="00A42D6A">
        <w:rPr>
          <w:i/>
          <w:iCs/>
        </w:rPr>
        <w:t>(BRVO)</w:t>
      </w:r>
    </w:p>
    <w:p w14:paraId="1F1FA344" w14:textId="1B81FFAF" w:rsidR="00950D2B" w:rsidRPr="00A42D6A" w:rsidRDefault="00950D2B" w:rsidP="00A42D6A">
      <w:pPr>
        <w:pStyle w:val="ListBullet"/>
        <w:ind w:left="720"/>
        <w:rPr>
          <w:i/>
          <w:iCs/>
        </w:rPr>
      </w:pPr>
      <w:r w:rsidRPr="00A42D6A">
        <w:rPr>
          <w:i/>
          <w:iCs/>
        </w:rPr>
        <w:t>diabetic macular oedema (DME)</w:t>
      </w:r>
    </w:p>
    <w:p w14:paraId="5DE1E055" w14:textId="14BD5CFD" w:rsidR="00950D2B" w:rsidRPr="00A42D6A" w:rsidRDefault="00950D2B" w:rsidP="00A42D6A">
      <w:pPr>
        <w:pStyle w:val="ListBullet"/>
        <w:ind w:left="720"/>
        <w:rPr>
          <w:i/>
          <w:iCs/>
        </w:rPr>
      </w:pPr>
      <w:r w:rsidRPr="00A42D6A">
        <w:rPr>
          <w:i/>
          <w:iCs/>
        </w:rPr>
        <w:t>visual impairment due to myopic choroidal neovascularisation (myopic CNV).</w:t>
      </w:r>
    </w:p>
    <w:p w14:paraId="0D732DA4" w14:textId="74882685" w:rsidR="00854D98" w:rsidRPr="00D23139" w:rsidRDefault="00854D98" w:rsidP="00F27AB1">
      <w:pPr>
        <w:pStyle w:val="Heading3"/>
      </w:pPr>
      <w:bookmarkStart w:id="77" w:name="_Toc210745510"/>
      <w:bookmarkStart w:id="78" w:name="_Toc103679301"/>
      <w:r w:rsidRPr="00D23139">
        <w:t>Specific conditions of registration</w:t>
      </w:r>
      <w:bookmarkEnd w:id="77"/>
      <w:r w:rsidRPr="00D23139">
        <w:t xml:space="preserve"> </w:t>
      </w:r>
      <w:bookmarkEnd w:id="78"/>
    </w:p>
    <w:p w14:paraId="25E37479" w14:textId="031BFC00" w:rsidR="00A15CDD" w:rsidRDefault="00A15CDD" w:rsidP="006A793D">
      <w:pPr>
        <w:pStyle w:val="ListBullet"/>
      </w:pPr>
      <w:r>
        <w:t xml:space="preserve">The </w:t>
      </w:r>
      <w:r w:rsidR="00184BD0">
        <w:t>Afqlir</w:t>
      </w:r>
      <w:r>
        <w:t>/</w:t>
      </w:r>
      <w:r w:rsidR="00FC4F1B">
        <w:t>Enzeevu</w:t>
      </w:r>
      <w:r>
        <w:t xml:space="preserve"> EU-Risk Management Plan (RMP) version 1.2 </w:t>
      </w:r>
      <w:r w:rsidR="000A3CF1">
        <w:t>(</w:t>
      </w:r>
      <w:r>
        <w:t>dated 16 July</w:t>
      </w:r>
      <w:r w:rsidR="000A3CF1">
        <w:t xml:space="preserve"> </w:t>
      </w:r>
      <w:r>
        <w:t>2024, data lock point 14 July 2023), with Australia-Specific Annex (ASA) version 1.2</w:t>
      </w:r>
      <w:r w:rsidR="000A3CF1">
        <w:t xml:space="preserve"> (</w:t>
      </w:r>
      <w:r>
        <w:t>dated 13 February 2025), included with submission PM-2024-01570-1-5, and any</w:t>
      </w:r>
      <w:r w:rsidR="000A3CF1">
        <w:t xml:space="preserve"> </w:t>
      </w:r>
      <w:r>
        <w:t>subsequent revisions, as agreed with the TGA will be implemented in Australia.</w:t>
      </w:r>
    </w:p>
    <w:p w14:paraId="1998FE50" w14:textId="2F305095" w:rsidR="00A15CDD" w:rsidRDefault="00A15CDD" w:rsidP="006A793D">
      <w:pPr>
        <w:pStyle w:val="ListBullet"/>
      </w:pPr>
      <w:r>
        <w:t>An obligatory component of risk management plans is routine pharmacovigilance.</w:t>
      </w:r>
      <w:r w:rsidR="005D4B86">
        <w:t xml:space="preserve"> </w:t>
      </w:r>
      <w:r>
        <w:t>Routine pharmacovigilance includes the submission of periodic safety update reports</w:t>
      </w:r>
      <w:r w:rsidR="005D4B86">
        <w:t xml:space="preserve"> </w:t>
      </w:r>
      <w:r>
        <w:t>(PSURs).</w:t>
      </w:r>
    </w:p>
    <w:p w14:paraId="6BB69D24" w14:textId="1A2B1648" w:rsidR="00A15CDD" w:rsidRDefault="00A15CDD" w:rsidP="00C302A4">
      <w:pPr>
        <w:ind w:left="360"/>
      </w:pPr>
      <w:r>
        <w:t>Reports are to be provided in line with the current published list of EU reference dates</w:t>
      </w:r>
      <w:r w:rsidR="005D4B86">
        <w:t xml:space="preserve"> </w:t>
      </w:r>
      <w:r>
        <w:t>and frequency of submission of PSURs until the period covered by such reports is not</w:t>
      </w:r>
      <w:r w:rsidR="005D4B86">
        <w:t xml:space="preserve"> </w:t>
      </w:r>
      <w:r>
        <w:t>less than three years from the date of this approval letter. Each report must be</w:t>
      </w:r>
      <w:r w:rsidR="00964F82">
        <w:t xml:space="preserve"> </w:t>
      </w:r>
      <w:r>
        <w:t>submitted within ninety calendar days of the data lock point for that report.</w:t>
      </w:r>
    </w:p>
    <w:p w14:paraId="1219FCAB" w14:textId="1224CA66" w:rsidR="00A15CDD" w:rsidRDefault="00A15CDD" w:rsidP="00C302A4">
      <w:pPr>
        <w:ind w:left="360"/>
      </w:pPr>
      <w:r>
        <w:t>The reports are to at least meet the requirements for PSURs as described in the</w:t>
      </w:r>
      <w:r w:rsidR="00964F82">
        <w:t xml:space="preserve"> </w:t>
      </w:r>
      <w:r>
        <w:t>European Medicines Agency’s Guideline on good pharmacovigilance practices (GVP)</w:t>
      </w:r>
      <w:r w:rsidR="00964F82">
        <w:t xml:space="preserve"> </w:t>
      </w:r>
      <w:r>
        <w:t>Module VII-periodic safety update report (Rev 1), Part VII.B Structures and processes.</w:t>
      </w:r>
      <w:r w:rsidR="00964F82">
        <w:t xml:space="preserve"> </w:t>
      </w:r>
      <w:r>
        <w:t>Note that submission of a PSUR does not constitute an application to vary the</w:t>
      </w:r>
      <w:r w:rsidR="00964F82">
        <w:t xml:space="preserve"> </w:t>
      </w:r>
      <w:r>
        <w:t>registration.</w:t>
      </w:r>
    </w:p>
    <w:p w14:paraId="09FEE299" w14:textId="72F5EA19" w:rsidR="00A15CDD" w:rsidRPr="0012439B" w:rsidRDefault="00A15CDD" w:rsidP="0012439B">
      <w:pPr>
        <w:pStyle w:val="ListBullet"/>
        <w:rPr>
          <w:b/>
          <w:bCs/>
        </w:rPr>
      </w:pPr>
      <w:r w:rsidRPr="0012439B">
        <w:rPr>
          <w:b/>
          <w:bCs/>
        </w:rPr>
        <w:t>Laboratory testing &amp; compliance with Certified Product Details (CPD)</w:t>
      </w:r>
    </w:p>
    <w:p w14:paraId="21DEA9B4" w14:textId="6EC34375" w:rsidR="00A15CDD" w:rsidRDefault="00A15CDD" w:rsidP="00A862BE">
      <w:pPr>
        <w:pStyle w:val="ListBullet2"/>
      </w:pPr>
      <w:r>
        <w:lastRenderedPageBreak/>
        <w:t xml:space="preserve">All batches of </w:t>
      </w:r>
      <w:r w:rsidR="00FC4F1B">
        <w:t>Enzeevu</w:t>
      </w:r>
      <w:r>
        <w:t>/</w:t>
      </w:r>
      <w:r w:rsidR="00184BD0">
        <w:t>Afqlir</w:t>
      </w:r>
      <w:r>
        <w:t xml:space="preserve"> aflibercept supplied in Australia must comply with</w:t>
      </w:r>
      <w:r w:rsidR="0012439B">
        <w:t xml:space="preserve"> </w:t>
      </w:r>
      <w:r>
        <w:t>the product details and specifications approved during evaluation and detailed in the</w:t>
      </w:r>
      <w:r w:rsidR="0012439B">
        <w:t xml:space="preserve"> </w:t>
      </w:r>
      <w:r>
        <w:t>Certified Product Details (CPD).</w:t>
      </w:r>
    </w:p>
    <w:p w14:paraId="52DE57B2" w14:textId="4335AF60" w:rsidR="00A15CDD" w:rsidRDefault="00A15CDD" w:rsidP="00A862BE">
      <w:pPr>
        <w:pStyle w:val="ListBullet2"/>
      </w:pPr>
      <w:r>
        <w:t>When requested by the TGA, the Sponsor should be prepared to provide product</w:t>
      </w:r>
      <w:r w:rsidR="004B30DC">
        <w:t xml:space="preserve"> </w:t>
      </w:r>
      <w:r>
        <w:t>samples, specified reference materials and documentary evidence to enable the TGA to</w:t>
      </w:r>
      <w:r w:rsidR="004B30DC">
        <w:t xml:space="preserve"> </w:t>
      </w:r>
      <w:r>
        <w:t>conduct laboratory testing on the Product. Outcomes of laboratory testing are</w:t>
      </w:r>
      <w:r w:rsidR="004B30DC">
        <w:t xml:space="preserve"> </w:t>
      </w:r>
      <w:r>
        <w:t>published biannually in the TGA Database of Laboratory Testing Results</w:t>
      </w:r>
      <w:r w:rsidR="004B30DC">
        <w:t xml:space="preserve"> </w:t>
      </w:r>
      <w:r>
        <w:t>http://www.tga.gov.au/ws-labs-index and periodically in testing reports on the TGA</w:t>
      </w:r>
      <w:r w:rsidR="004B30DC">
        <w:t xml:space="preserve"> </w:t>
      </w:r>
      <w:r>
        <w:t>website.</w:t>
      </w:r>
    </w:p>
    <w:p w14:paraId="36D722C7" w14:textId="66AE93D2" w:rsidR="00A15CDD" w:rsidRPr="004B30DC" w:rsidRDefault="00A15CDD" w:rsidP="004B30DC">
      <w:pPr>
        <w:pStyle w:val="ListBullet"/>
        <w:rPr>
          <w:b/>
          <w:bCs/>
        </w:rPr>
      </w:pPr>
      <w:r w:rsidRPr="004B30DC">
        <w:rPr>
          <w:b/>
          <w:bCs/>
        </w:rPr>
        <w:t xml:space="preserve">Certified </w:t>
      </w:r>
      <w:r w:rsidR="006338F0" w:rsidRPr="004B30DC">
        <w:rPr>
          <w:b/>
          <w:bCs/>
        </w:rPr>
        <w:t>product d</w:t>
      </w:r>
      <w:r w:rsidRPr="004B30DC">
        <w:rPr>
          <w:b/>
          <w:bCs/>
        </w:rPr>
        <w:t>etails</w:t>
      </w:r>
    </w:p>
    <w:p w14:paraId="390C80F3" w14:textId="075B01FE" w:rsidR="00A15CDD" w:rsidRDefault="00A15CDD" w:rsidP="00116F5E">
      <w:pPr>
        <w:ind w:left="360"/>
      </w:pPr>
      <w:r>
        <w:t>The Certified Product Details (CPD), as described in Guidance 7: Certified Product</w:t>
      </w:r>
      <w:r w:rsidR="00116F5E">
        <w:t xml:space="preserve"> </w:t>
      </w:r>
      <w:r>
        <w:t>Details of the Australian Regulatory Guidelines for Prescription Medicines (ARGPM), in</w:t>
      </w:r>
      <w:r w:rsidR="00116F5E">
        <w:t xml:space="preserve"> </w:t>
      </w:r>
      <w:r>
        <w:t>PDF format, for the above products should be provided upon registration of these</w:t>
      </w:r>
      <w:r w:rsidR="00116F5E">
        <w:t xml:space="preserve"> </w:t>
      </w:r>
      <w:r>
        <w:t>therapeutic goods. In addition, an updated CPD should be provided when changes to</w:t>
      </w:r>
      <w:r w:rsidR="00116F5E">
        <w:t xml:space="preserve"> </w:t>
      </w:r>
      <w:r>
        <w:t>finished product specifications and test methods are approved in a Category 3</w:t>
      </w:r>
      <w:r w:rsidR="00116F5E">
        <w:t xml:space="preserve"> </w:t>
      </w:r>
      <w:r>
        <w:t>application or notified through a self-assessable change.</w:t>
      </w:r>
    </w:p>
    <w:p w14:paraId="477FE2E4" w14:textId="2ABFADEC" w:rsidR="00A15CDD" w:rsidRDefault="00A15CDD" w:rsidP="00D12D1B">
      <w:pPr>
        <w:ind w:left="360"/>
      </w:pPr>
      <w:r>
        <w:t>A template for preparation of CPD for biological prescription medicines can be obtained</w:t>
      </w:r>
      <w:r w:rsidR="00116F5E">
        <w:t xml:space="preserve"> </w:t>
      </w:r>
      <w:r>
        <w:t>from the TGA website</w:t>
      </w:r>
      <w:r w:rsidR="00116F5E">
        <w:t xml:space="preserve"> </w:t>
      </w:r>
      <w:r>
        <w:t xml:space="preserve">[for the form] </w:t>
      </w:r>
      <w:hyperlink r:id="rId36" w:history="1">
        <w:r w:rsidR="00D12D1B" w:rsidRPr="00C2251D">
          <w:rPr>
            <w:rStyle w:val="Hyperlink"/>
          </w:rPr>
          <w:t>https://www.tga.gov.au/form/certified-product-details-cpd-biologicalprescription-medicines</w:t>
        </w:r>
      </w:hyperlink>
      <w:r w:rsidR="00D12D1B">
        <w:t xml:space="preserve"> </w:t>
      </w:r>
      <w:r>
        <w:t xml:space="preserve">[for the CPD guidance] </w:t>
      </w:r>
      <w:hyperlink r:id="rId37" w:history="1">
        <w:r w:rsidR="00D12D1B" w:rsidRPr="00C2251D">
          <w:rPr>
            <w:rStyle w:val="Hyperlink"/>
          </w:rPr>
          <w:t>https://www.tga.gov.au/guidance-7-certified-product-details</w:t>
        </w:r>
      </w:hyperlink>
      <w:r w:rsidR="00D12D1B">
        <w:t xml:space="preserve"> </w:t>
      </w:r>
    </w:p>
    <w:p w14:paraId="5F578681" w14:textId="2C53DA29" w:rsidR="00A15CDD" w:rsidRPr="00F73346" w:rsidRDefault="00A15CDD" w:rsidP="00D0710D">
      <w:pPr>
        <w:pStyle w:val="ListBullet"/>
      </w:pPr>
      <w:r>
        <w:t>It is a specific condition of registration for biosimilar medicines that the Product</w:t>
      </w:r>
      <w:r w:rsidR="00D12D1B">
        <w:t xml:space="preserve"> </w:t>
      </w:r>
      <w:r>
        <w:t>Information and Consumer Medicine Information documents be updated within ONE</w:t>
      </w:r>
      <w:r w:rsidR="00D12D1B">
        <w:t xml:space="preserve"> </w:t>
      </w:r>
      <w:r>
        <w:t>month of safety-related changes made by the reference product. It is your responsibility</w:t>
      </w:r>
      <w:r w:rsidR="00D12D1B">
        <w:t xml:space="preserve"> </w:t>
      </w:r>
      <w:r>
        <w:t>to routinely check the TGA website at www.ebs.tga.gov.au for any updates to the</w:t>
      </w:r>
      <w:r w:rsidR="00D12D1B">
        <w:t xml:space="preserve"> </w:t>
      </w:r>
      <w:r>
        <w:t>innovator Product Information.</w:t>
      </w:r>
    </w:p>
    <w:p w14:paraId="0F9C1952" w14:textId="46BD475E" w:rsidR="00BA657C" w:rsidRPr="00F27AB1" w:rsidRDefault="00BA657C" w:rsidP="006338F0">
      <w:pPr>
        <w:pStyle w:val="Heading2"/>
      </w:pPr>
      <w:bookmarkStart w:id="79" w:name="_Toc210745511"/>
      <w:bookmarkStart w:id="80" w:name="_Toc196738290"/>
      <w:r w:rsidRPr="00F27AB1">
        <w:t>Product Information and Consumer Medicine Information</w:t>
      </w:r>
      <w:bookmarkEnd w:id="79"/>
      <w:r w:rsidRPr="00F27AB1">
        <w:t xml:space="preserve"> </w:t>
      </w:r>
      <w:bookmarkEnd w:id="80"/>
    </w:p>
    <w:p w14:paraId="5F276616" w14:textId="6667B73D" w:rsidR="004D0933" w:rsidRPr="004D0933" w:rsidRDefault="004D0933" w:rsidP="004D0933">
      <w:bookmarkStart w:id="81" w:name="_Hlk200021736"/>
      <w:r w:rsidRPr="004D0933">
        <w:t xml:space="preserve">For the most recent Product Information (PI) and Consumer Medicine Information (CMI), please refer to the TGA </w:t>
      </w:r>
      <w:hyperlink r:id="rId38" w:history="1">
        <w:r w:rsidRPr="004D0933">
          <w:rPr>
            <w:rStyle w:val="Hyperlink"/>
          </w:rPr>
          <w:t>PI/CMI search facility.</w:t>
        </w:r>
      </w:hyperlink>
    </w:p>
    <w:bookmarkEnd w:id="81"/>
    <w:p w14:paraId="40740B65" w14:textId="5819D664" w:rsidR="00C22214" w:rsidRPr="008B4DA3" w:rsidRDefault="00C22214" w:rsidP="00C22214">
      <w:pPr>
        <w:autoSpaceDE w:val="0"/>
        <w:autoSpaceDN w:val="0"/>
        <w:adjustRightInd w:val="0"/>
        <w:spacing w:after="0"/>
      </w:pPr>
    </w:p>
    <w:p w14:paraId="53357BF3" w14:textId="276457B5" w:rsidR="00C22214" w:rsidRDefault="00C22214" w:rsidP="00C22214">
      <w:pPr>
        <w:rPr>
          <w:lang w:eastAsia="ja-JP"/>
        </w:rPr>
        <w:sectPr w:rsidR="00C22214" w:rsidSect="007452E8">
          <w:headerReference w:type="default" r:id="rId39"/>
          <w:footerReference w:type="default" r:id="rId40"/>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5"/>
          <w:bookmarkEnd w:id="6"/>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53CB9479" w:rsidR="00F02AEC" w:rsidRDefault="00F02AEC">
            <w:pPr>
              <w:pStyle w:val="Address"/>
              <w:jc w:val="center"/>
              <w:rPr>
                <w:sz w:val="22"/>
                <w:szCs w:val="22"/>
              </w:rPr>
            </w:pPr>
            <w:r w:rsidRPr="00215D48">
              <w:t xml:space="preserve">Email: </w:t>
            </w:r>
            <w:hyperlink r:id="rId41"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533D80F" w14:textId="1519D7A3" w:rsidR="00F02AEC" w:rsidRPr="00215D48" w:rsidRDefault="00F02AEC">
            <w:pPr>
              <w:pStyle w:val="Address"/>
              <w:jc w:val="center"/>
              <w:rPr>
                <w:rStyle w:val="Hyperlink"/>
                <w:b/>
                <w:color w:val="auto"/>
                <w:sz w:val="22"/>
              </w:rPr>
            </w:pPr>
            <w:hyperlink r:id="rId42" w:history="1">
              <w:r w:rsidRPr="00C4721A">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77777777" w:rsidR="00F02AEC" w:rsidRPr="00215D48" w:rsidRDefault="00F02AEC" w:rsidP="007452E8">
            <w:pPr>
              <w:pStyle w:val="Address"/>
              <w:jc w:val="center"/>
            </w:pPr>
            <w:r w:rsidRPr="00215D48">
              <w:t>Reference/Publication #</w:t>
            </w:r>
          </w:p>
        </w:tc>
      </w:tr>
    </w:tbl>
    <w:p w14:paraId="788B80FD" w14:textId="77777777" w:rsidR="007452E8" w:rsidRDefault="007452E8"/>
    <w:sectPr w:rsidR="007452E8" w:rsidSect="007452E8">
      <w:headerReference w:type="first" r:id="rId43"/>
      <w:footerReference w:type="first" r:id="rId44"/>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2FDB9" w14:textId="77777777" w:rsidR="00061A98" w:rsidRDefault="00061A98" w:rsidP="00F02AEC">
      <w:pPr>
        <w:spacing w:after="0" w:line="240" w:lineRule="auto"/>
      </w:pPr>
      <w:r>
        <w:separator/>
      </w:r>
    </w:p>
  </w:endnote>
  <w:endnote w:type="continuationSeparator" w:id="0">
    <w:p w14:paraId="41324FBD" w14:textId="77777777" w:rsidR="00061A98" w:rsidRDefault="00061A98"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TimesNewRomanPSMT">
    <w:altName w:val="MS Gothic"/>
    <w:panose1 w:val="00000000000000000000"/>
    <w:charset w:val="00"/>
    <w:family w:val="roman"/>
    <w:notTrueType/>
    <w:pitch w:val="default"/>
    <w:sig w:usb0="00000003" w:usb1="08070000" w:usb2="00000010" w:usb3="00000000" w:csb0="00020001" w:csb1="00000000"/>
  </w:font>
  <w:font w:name="Noto Sans">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D141" w14:textId="03530754" w:rsidR="00E12C80" w:rsidRDefault="00E12C80">
    <w:pPr>
      <w:pStyle w:val="Footer"/>
    </w:pPr>
    <w:r>
      <w:rPr>
        <w:noProof/>
      </w:rPr>
      <mc:AlternateContent>
        <mc:Choice Requires="wps">
          <w:drawing>
            <wp:anchor distT="0" distB="0" distL="0" distR="0" simplePos="0" relativeHeight="251665408" behindDoc="0" locked="0" layoutInCell="1" allowOverlap="1" wp14:anchorId="234CCCAD" wp14:editId="0647BD46">
              <wp:simplePos x="635" y="635"/>
              <wp:positionH relativeFrom="page">
                <wp:align>center</wp:align>
              </wp:positionH>
              <wp:positionV relativeFrom="page">
                <wp:align>bottom</wp:align>
              </wp:positionV>
              <wp:extent cx="551815" cy="391160"/>
              <wp:effectExtent l="0" t="0" r="635" b="0"/>
              <wp:wrapNone/>
              <wp:docPr id="6984435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7C9865B" w14:textId="2933FE8B" w:rsidR="00E12C80" w:rsidRPr="00E12C80" w:rsidRDefault="00E12C80" w:rsidP="00E12C80">
                          <w:pPr>
                            <w:spacing w:after="0"/>
                            <w:rPr>
                              <w:rFonts w:ascii="Calibri" w:eastAsia="Calibri" w:hAnsi="Calibri" w:cs="Calibri"/>
                              <w:noProof/>
                              <w:color w:val="FF0000"/>
                              <w:sz w:val="24"/>
                              <w:szCs w:val="24"/>
                            </w:rPr>
                          </w:pPr>
                          <w:r w:rsidRPr="00E12C8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4CCCAD" id="_x0000_t202" coordsize="21600,21600" o:spt="202" path="m,l,21600r21600,l21600,xe">
              <v:stroke joinstyle="miter"/>
              <v:path gradientshapeok="t" o:connecttype="rect"/>
            </v:shapetype>
            <v:shape id="Text Box 7" o:spid="_x0000_s1028" type="#_x0000_t202" alt="OFFICIAL" style="position:absolute;margin-left:0;margin-top:0;width:43.45pt;height:30.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17C9865B" w14:textId="2933FE8B" w:rsidR="00E12C80" w:rsidRPr="00E12C80" w:rsidRDefault="00E12C80" w:rsidP="00E12C80">
                    <w:pPr>
                      <w:spacing w:after="0"/>
                      <w:rPr>
                        <w:rFonts w:ascii="Calibri" w:eastAsia="Calibri" w:hAnsi="Calibri" w:cs="Calibri"/>
                        <w:noProof/>
                        <w:color w:val="FF0000"/>
                        <w:sz w:val="24"/>
                        <w:szCs w:val="24"/>
                      </w:rPr>
                    </w:pPr>
                    <w:r w:rsidRPr="00E12C80">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493146A1" w:rsidR="007452E8" w:rsidRDefault="00E12C80" w:rsidP="007452E8">
          <w:pPr>
            <w:pStyle w:val="Footer"/>
          </w:pPr>
          <w:r>
            <w:rPr>
              <w:noProof/>
            </w:rPr>
            <mc:AlternateContent>
              <mc:Choice Requires="wps">
                <w:drawing>
                  <wp:anchor distT="0" distB="0" distL="0" distR="0" simplePos="0" relativeHeight="251666432" behindDoc="0" locked="0" layoutInCell="1" allowOverlap="1" wp14:anchorId="026F676F" wp14:editId="601746EF">
                    <wp:simplePos x="635" y="635"/>
                    <wp:positionH relativeFrom="page">
                      <wp:align>center</wp:align>
                    </wp:positionH>
                    <wp:positionV relativeFrom="page">
                      <wp:align>bottom</wp:align>
                    </wp:positionV>
                    <wp:extent cx="551815" cy="391160"/>
                    <wp:effectExtent l="0" t="0" r="635" b="0"/>
                    <wp:wrapNone/>
                    <wp:docPr id="163712812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18439CD" w14:textId="38AA4B22" w:rsidR="00E12C80" w:rsidRPr="00E12C80" w:rsidRDefault="00E12C80" w:rsidP="00E12C80">
                                <w:pPr>
                                  <w:spacing w:after="0"/>
                                  <w:rPr>
                                    <w:rFonts w:ascii="Calibri" w:eastAsia="Calibri" w:hAnsi="Calibri" w:cs="Calibri"/>
                                    <w:noProof/>
                                    <w:color w:val="FF0000"/>
                                    <w:sz w:val="24"/>
                                    <w:szCs w:val="24"/>
                                  </w:rPr>
                                </w:pPr>
                                <w:r w:rsidRPr="00E12C8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6F676F" id="_x0000_t202" coordsize="21600,21600" o:spt="202" path="m,l,21600r21600,l21600,xe">
                    <v:stroke joinstyle="miter"/>
                    <v:path gradientshapeok="t" o:connecttype="rect"/>
                  </v:shapetype>
                  <v:shape id="Text Box 8" o:spid="_x0000_s1029" type="#_x0000_t202" alt="OFFICIAL" style="position:absolute;margin-left:0;margin-top:0;width:43.45pt;height:30.8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318439CD" w14:textId="38AA4B22" w:rsidR="00E12C80" w:rsidRPr="00E12C80" w:rsidRDefault="00E12C80" w:rsidP="00E12C80">
                          <w:pPr>
                            <w:spacing w:after="0"/>
                            <w:rPr>
                              <w:rFonts w:ascii="Calibri" w:eastAsia="Calibri" w:hAnsi="Calibri" w:cs="Calibri"/>
                              <w:noProof/>
                              <w:color w:val="FF0000"/>
                              <w:sz w:val="24"/>
                              <w:szCs w:val="24"/>
                            </w:rPr>
                          </w:pPr>
                          <w:r w:rsidRPr="00E12C80">
                            <w:rPr>
                              <w:rFonts w:ascii="Calibri" w:eastAsia="Calibri" w:hAnsi="Calibri" w:cs="Calibri"/>
                              <w:noProof/>
                              <w:color w:val="FF0000"/>
                              <w:sz w:val="24"/>
                              <w:szCs w:val="24"/>
                            </w:rPr>
                            <w:t>OFFICIAL</w:t>
                          </w:r>
                        </w:p>
                      </w:txbxContent>
                    </v:textbox>
                    <w10:wrap anchorx="page" anchory="page"/>
                  </v:shape>
                </w:pict>
              </mc:Fallback>
            </mc:AlternateContent>
          </w: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29C" w14:textId="7B1C9D10" w:rsidR="007452E8" w:rsidRDefault="007452E8" w:rsidP="007452E8">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3C421323" w14:textId="5A448D01" w:rsidR="007452E8" w:rsidRPr="004A3084" w:rsidRDefault="007452E8" w:rsidP="007452E8">
          <w:pPr>
            <w:pStyle w:val="Footer"/>
          </w:pPr>
          <w:r w:rsidRPr="00487162">
            <w:t>AusPA</w:t>
          </w:r>
          <w:r>
            <w:t xml:space="preserve">R - </w:t>
          </w:r>
          <w:r w:rsidR="00E35ADD" w:rsidRPr="00E35ADD">
            <w:t xml:space="preserve">AFQLIR; ENZEEVU </w:t>
          </w:r>
          <w:r>
            <w:t>-</w:t>
          </w:r>
          <w:r w:rsidRPr="00460036">
            <w:t xml:space="preserve"> </w:t>
          </w:r>
          <w:r w:rsidR="00F86B96" w:rsidRPr="00F86B96">
            <w:t xml:space="preserve">aflibercept </w:t>
          </w:r>
          <w:r w:rsidR="00F86B96">
            <w:t>–</w:t>
          </w:r>
          <w:r>
            <w:t xml:space="preserve"> S</w:t>
          </w:r>
          <w:r w:rsidR="00F86B96">
            <w:t>andoz Pty Ltd</w:t>
          </w:r>
          <w:r>
            <w:t xml:space="preserve"> - PM-202</w:t>
          </w:r>
          <w:r w:rsidR="00F86B96">
            <w:t>4</w:t>
          </w:r>
          <w:r w:rsidRPr="00487162">
            <w:t>-</w:t>
          </w:r>
          <w:r w:rsidR="007849A6">
            <w:t>01570-1-5</w:t>
          </w:r>
          <w:r>
            <w:br/>
          </w:r>
          <w:r w:rsidR="00936E95">
            <w:t>Final</w:t>
          </w:r>
          <w:r w:rsidR="00F2315D">
            <w:t xml:space="preserve"> </w:t>
          </w:r>
          <w:r w:rsidR="00936E95">
            <w:t>V1</w:t>
          </w:r>
          <w:r w:rsidR="00153540">
            <w:t xml:space="preserve"> -</w:t>
          </w:r>
          <w:r w:rsidR="007849A6">
            <w:t xml:space="preserve"> </w:t>
          </w:r>
          <w:r w:rsidR="00936E95">
            <w:t>29 October 2025</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rsidR="006D6B44">
                <w:fldChar w:fldCharType="begin"/>
              </w:r>
              <w:r w:rsidR="006D6B44">
                <w:instrText xml:space="preserve"> NUMPAGES  </w:instrText>
              </w:r>
              <w:r w:rsidR="006D6B44">
                <w:fldChar w:fldCharType="separate"/>
              </w:r>
              <w:r w:rsidR="006D6B44">
                <w:rPr>
                  <w:noProof/>
                </w:rPr>
                <w:t>17</w:t>
              </w:r>
              <w:r w:rsidR="006D6B44">
                <w:rPr>
                  <w:noProof/>
                </w:rPr>
                <w:fldChar w:fldCharType="end"/>
              </w:r>
            </w:p>
          </w:sdtContent>
        </w:sdt>
      </w:tc>
    </w:tr>
  </w:tbl>
  <w:p w14:paraId="1A4EDE60" w14:textId="7BE26E3F" w:rsidR="007452E8" w:rsidRPr="00826007" w:rsidRDefault="007452E8" w:rsidP="007452E8">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F70A" w14:textId="7B3A4280"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3924" w14:textId="77777777" w:rsidR="00061A98" w:rsidRDefault="00061A98" w:rsidP="00F02AEC">
      <w:pPr>
        <w:spacing w:after="0" w:line="240" w:lineRule="auto"/>
      </w:pPr>
      <w:r>
        <w:separator/>
      </w:r>
    </w:p>
  </w:footnote>
  <w:footnote w:type="continuationSeparator" w:id="0">
    <w:p w14:paraId="56313136" w14:textId="77777777" w:rsidR="00061A98" w:rsidRDefault="00061A98" w:rsidP="00F02AEC">
      <w:pPr>
        <w:spacing w:after="0" w:line="240" w:lineRule="auto"/>
      </w:pPr>
      <w:r>
        <w:continuationSeparator/>
      </w:r>
    </w:p>
  </w:footnote>
  <w:footnote w:id="1">
    <w:p w14:paraId="68402A9B" w14:textId="410D1471" w:rsidR="007452E8" w:rsidRPr="00A93DC6" w:rsidRDefault="007452E8">
      <w:pPr>
        <w:pStyle w:val="FootnoteText"/>
        <w:rPr>
          <w:lang w:val="en-GB"/>
        </w:rPr>
      </w:pPr>
      <w:r>
        <w:rPr>
          <w:rStyle w:val="FootnoteReference"/>
        </w:rPr>
        <w:footnoteRef/>
      </w:r>
      <w:r>
        <w:t xml:space="preserve"> </w:t>
      </w:r>
      <w:r w:rsidR="00FB236E">
        <w:t>This is the original indication proposed by the sponsor</w:t>
      </w:r>
      <w:r w:rsidR="00FB236E">
        <w:rPr>
          <w:lang w:val="en-GB"/>
        </w:rPr>
        <w:t xml:space="preserve"> when the TGA commenced the</w:t>
      </w:r>
      <w:r w:rsidR="0033039C">
        <w:rPr>
          <w:lang w:val="en-GB"/>
        </w:rPr>
        <w:t xml:space="preserve"> assessment</w:t>
      </w:r>
      <w:r w:rsidR="00FB236E">
        <w:rPr>
          <w:lang w:val="en-GB"/>
        </w:rPr>
        <w:t xml:space="preserve"> of this submission. It </w:t>
      </w:r>
      <w:r w:rsidRPr="007452E8">
        <w:rPr>
          <w:lang w:val="en-GB"/>
        </w:rPr>
        <w:t xml:space="preserve">may </w:t>
      </w:r>
      <w:r w:rsidR="00FB236E">
        <w:rPr>
          <w:lang w:val="en-GB"/>
        </w:rPr>
        <w:t>differ</w:t>
      </w:r>
      <w:r w:rsidRPr="007452E8">
        <w:rPr>
          <w:lang w:val="en-GB"/>
        </w:rPr>
        <w:t xml:space="preserve"> to the final indication approved by th</w:t>
      </w:r>
      <w:r w:rsidR="00FB236E">
        <w:rPr>
          <w:lang w:val="en-GB"/>
        </w:rPr>
        <w:t xml:space="preserve">e TGA and registered </w:t>
      </w:r>
      <w:r w:rsidR="005C4B46">
        <w:rPr>
          <w:lang w:val="en-GB"/>
        </w:rPr>
        <w:t xml:space="preserve">in </w:t>
      </w:r>
      <w:r w:rsidR="00FB236E">
        <w:rPr>
          <w:lang w:val="en-GB"/>
        </w:rPr>
        <w:t>the Australian Register of Therapeutic Goods.</w:t>
      </w:r>
    </w:p>
  </w:footnote>
  <w:footnote w:id="2">
    <w:p w14:paraId="6A6040DD" w14:textId="6EEAFB07" w:rsidR="00D5068D" w:rsidRPr="00676D0E" w:rsidRDefault="00D5068D">
      <w:pPr>
        <w:pStyle w:val="FootnoteText"/>
        <w:rPr>
          <w:sz w:val="16"/>
          <w:szCs w:val="16"/>
        </w:rPr>
      </w:pPr>
      <w:r w:rsidRPr="00676D0E">
        <w:rPr>
          <w:rStyle w:val="FootnoteReference"/>
          <w:sz w:val="16"/>
          <w:szCs w:val="16"/>
        </w:rPr>
        <w:footnoteRef/>
      </w:r>
      <w:r w:rsidRPr="00D5047C">
        <w:rPr>
          <w:sz w:val="16"/>
          <w:szCs w:val="16"/>
          <w:lang w:val="de-DE"/>
        </w:rPr>
        <w:t xml:space="preserve"> </w:t>
      </w:r>
      <w:r w:rsidR="00D1766E" w:rsidRPr="00D5047C">
        <w:rPr>
          <w:sz w:val="16"/>
          <w:szCs w:val="16"/>
          <w:lang w:val="de-DE"/>
        </w:rPr>
        <w:t xml:space="preserve">Fleckenstein, M., Schmitz-Valckenberg, S., &amp; Chakravarthy, U. (2024). </w:t>
      </w:r>
      <w:r w:rsidR="00D1766E" w:rsidRPr="00676D0E">
        <w:rPr>
          <w:sz w:val="16"/>
          <w:szCs w:val="16"/>
        </w:rPr>
        <w:t>Age-Related Macular Degeneration: A Review. </w:t>
      </w:r>
      <w:r w:rsidR="00D1766E" w:rsidRPr="00676D0E">
        <w:rPr>
          <w:i/>
          <w:iCs/>
          <w:sz w:val="16"/>
          <w:szCs w:val="16"/>
        </w:rPr>
        <w:t>JAMA</w:t>
      </w:r>
      <w:r w:rsidR="00D1766E" w:rsidRPr="00676D0E">
        <w:rPr>
          <w:sz w:val="16"/>
          <w:szCs w:val="16"/>
        </w:rPr>
        <w:t>, </w:t>
      </w:r>
      <w:r w:rsidR="00D1766E" w:rsidRPr="00676D0E">
        <w:rPr>
          <w:i/>
          <w:iCs/>
          <w:sz w:val="16"/>
          <w:szCs w:val="16"/>
        </w:rPr>
        <w:t>331</w:t>
      </w:r>
      <w:r w:rsidR="00D1766E" w:rsidRPr="00676D0E">
        <w:rPr>
          <w:sz w:val="16"/>
          <w:szCs w:val="16"/>
        </w:rPr>
        <w:t xml:space="preserve">(2), 147–157. </w:t>
      </w:r>
      <w:hyperlink r:id="rId1" w:history="1">
        <w:r w:rsidR="00DD21B9" w:rsidRPr="00676D0E">
          <w:rPr>
            <w:rStyle w:val="Hyperlink"/>
            <w:sz w:val="16"/>
            <w:szCs w:val="16"/>
          </w:rPr>
          <w:t>https://doi.org/10.1001/jama.2023.26074</w:t>
        </w:r>
      </w:hyperlink>
      <w:r w:rsidR="00DD21B9" w:rsidRPr="00676D0E">
        <w:rPr>
          <w:sz w:val="16"/>
          <w:szCs w:val="16"/>
        </w:rPr>
        <w:t xml:space="preserve"> </w:t>
      </w:r>
    </w:p>
  </w:footnote>
  <w:footnote w:id="3">
    <w:p w14:paraId="1ECE82A9" w14:textId="72EF01FB" w:rsidR="00672832" w:rsidRPr="00676D0E" w:rsidRDefault="00672832">
      <w:pPr>
        <w:pStyle w:val="FootnoteText"/>
        <w:rPr>
          <w:sz w:val="16"/>
          <w:szCs w:val="16"/>
        </w:rPr>
      </w:pPr>
      <w:r w:rsidRPr="00676D0E">
        <w:rPr>
          <w:rStyle w:val="FootnoteReference"/>
          <w:sz w:val="16"/>
          <w:szCs w:val="16"/>
        </w:rPr>
        <w:footnoteRef/>
      </w:r>
      <w:r w:rsidRPr="00676D0E">
        <w:rPr>
          <w:sz w:val="16"/>
          <w:szCs w:val="16"/>
        </w:rPr>
        <w:t xml:space="preserve"> </w:t>
      </w:r>
      <w:r w:rsidR="00DD21B9" w:rsidRPr="00676D0E">
        <w:rPr>
          <w:sz w:val="16"/>
          <w:szCs w:val="16"/>
        </w:rPr>
        <w:t>Keel, S., Xie, J., Foreman, J., van Wijngaarden, P., Taylor, H. R., &amp; Dirani, M. (2017). Prevalence of Age-Related Macular Degeneration in Australia: The Australian National Eye Health Survey. </w:t>
      </w:r>
      <w:r w:rsidR="00DD21B9" w:rsidRPr="00676D0E">
        <w:rPr>
          <w:i/>
          <w:iCs/>
          <w:sz w:val="16"/>
          <w:szCs w:val="16"/>
        </w:rPr>
        <w:t>JAMA ophthalmology</w:t>
      </w:r>
      <w:r w:rsidR="00DD21B9" w:rsidRPr="00676D0E">
        <w:rPr>
          <w:sz w:val="16"/>
          <w:szCs w:val="16"/>
        </w:rPr>
        <w:t>, </w:t>
      </w:r>
      <w:r w:rsidR="00DD21B9" w:rsidRPr="00676D0E">
        <w:rPr>
          <w:i/>
          <w:iCs/>
          <w:sz w:val="16"/>
          <w:szCs w:val="16"/>
        </w:rPr>
        <w:t>135</w:t>
      </w:r>
      <w:r w:rsidR="00DD21B9" w:rsidRPr="00676D0E">
        <w:rPr>
          <w:sz w:val="16"/>
          <w:szCs w:val="16"/>
        </w:rPr>
        <w:t xml:space="preserve">(11), 1242–1249. </w:t>
      </w:r>
      <w:hyperlink r:id="rId2" w:history="1">
        <w:r w:rsidR="00DD21B9" w:rsidRPr="00676D0E">
          <w:rPr>
            <w:rStyle w:val="Hyperlink"/>
            <w:sz w:val="16"/>
            <w:szCs w:val="16"/>
          </w:rPr>
          <w:t>https://doi.org/10.1001/jamaophthalmol.2017.4182</w:t>
        </w:r>
      </w:hyperlink>
      <w:r w:rsidR="00DD21B9" w:rsidRPr="00676D0E">
        <w:rPr>
          <w:sz w:val="16"/>
          <w:szCs w:val="16"/>
        </w:rPr>
        <w:t xml:space="preserve"> </w:t>
      </w:r>
    </w:p>
  </w:footnote>
  <w:footnote w:id="4">
    <w:p w14:paraId="37767AE3" w14:textId="2B14A161" w:rsidR="00411849" w:rsidRPr="00676D0E" w:rsidRDefault="00411849">
      <w:pPr>
        <w:pStyle w:val="FootnoteText"/>
        <w:rPr>
          <w:sz w:val="16"/>
          <w:szCs w:val="16"/>
        </w:rPr>
      </w:pPr>
      <w:r w:rsidRPr="00676D0E">
        <w:rPr>
          <w:rStyle w:val="FootnoteReference"/>
          <w:sz w:val="16"/>
          <w:szCs w:val="16"/>
        </w:rPr>
        <w:footnoteRef/>
      </w:r>
      <w:r w:rsidRPr="00676D0E">
        <w:rPr>
          <w:sz w:val="16"/>
          <w:szCs w:val="16"/>
        </w:rPr>
        <w:t xml:space="preserve"> Anguita, R., Tasiopoulou, A., Shahid, S., Roth, J., Sim, S. Y., &amp; Patel, P. J. (2021). A Review of Aflibercept Treatment for Macular Disease. </w:t>
      </w:r>
      <w:r w:rsidRPr="00676D0E">
        <w:rPr>
          <w:i/>
          <w:iCs/>
          <w:sz w:val="16"/>
          <w:szCs w:val="16"/>
        </w:rPr>
        <w:t>Ophthalmology and therapy</w:t>
      </w:r>
      <w:r w:rsidRPr="00676D0E">
        <w:rPr>
          <w:sz w:val="16"/>
          <w:szCs w:val="16"/>
        </w:rPr>
        <w:t>, </w:t>
      </w:r>
      <w:r w:rsidRPr="00676D0E">
        <w:rPr>
          <w:i/>
          <w:iCs/>
          <w:sz w:val="16"/>
          <w:szCs w:val="16"/>
        </w:rPr>
        <w:t>10</w:t>
      </w:r>
      <w:r w:rsidRPr="00676D0E">
        <w:rPr>
          <w:sz w:val="16"/>
          <w:szCs w:val="16"/>
        </w:rPr>
        <w:t xml:space="preserve">(3), 413–428. </w:t>
      </w:r>
      <w:hyperlink r:id="rId3" w:history="1">
        <w:r w:rsidRPr="00676D0E">
          <w:rPr>
            <w:rStyle w:val="Hyperlink"/>
            <w:sz w:val="16"/>
            <w:szCs w:val="16"/>
          </w:rPr>
          <w:t>https://doi.org/10.1007/s40123-021-00354-1</w:t>
        </w:r>
      </w:hyperlink>
      <w:r w:rsidRPr="00676D0E">
        <w:rPr>
          <w:sz w:val="16"/>
          <w:szCs w:val="16"/>
        </w:rPr>
        <w:t xml:space="preserve"> </w:t>
      </w:r>
    </w:p>
  </w:footnote>
  <w:footnote w:id="5">
    <w:p w14:paraId="39677E5D" w14:textId="182F45F1" w:rsidR="00615740" w:rsidRPr="00676D0E" w:rsidRDefault="00615740">
      <w:pPr>
        <w:pStyle w:val="FootnoteText"/>
        <w:rPr>
          <w:sz w:val="16"/>
          <w:szCs w:val="16"/>
        </w:rPr>
      </w:pPr>
      <w:r w:rsidRPr="00676D0E">
        <w:rPr>
          <w:rStyle w:val="FootnoteReference"/>
          <w:sz w:val="16"/>
          <w:szCs w:val="16"/>
        </w:rPr>
        <w:footnoteRef/>
      </w:r>
      <w:r w:rsidRPr="00676D0E">
        <w:rPr>
          <w:sz w:val="16"/>
          <w:szCs w:val="16"/>
        </w:rPr>
        <w:t xml:space="preserve"> </w:t>
      </w:r>
      <w:r w:rsidR="001C2328" w:rsidRPr="00676D0E">
        <w:rPr>
          <w:sz w:val="16"/>
          <w:szCs w:val="16"/>
        </w:rPr>
        <w:t>Vavvas, D.G (</w:t>
      </w:r>
      <w:r w:rsidR="0005467F">
        <w:rPr>
          <w:sz w:val="16"/>
          <w:szCs w:val="16"/>
        </w:rPr>
        <w:t>2023</w:t>
      </w:r>
      <w:r w:rsidR="00F467EC" w:rsidRPr="00676D0E">
        <w:rPr>
          <w:sz w:val="16"/>
          <w:szCs w:val="16"/>
        </w:rPr>
        <w:t>) Age</w:t>
      </w:r>
      <w:r w:rsidR="001E58E0" w:rsidRPr="00676D0E">
        <w:rPr>
          <w:sz w:val="16"/>
          <w:szCs w:val="16"/>
        </w:rPr>
        <w:t>-</w:t>
      </w:r>
      <w:r w:rsidR="00F467EC" w:rsidRPr="00676D0E">
        <w:rPr>
          <w:sz w:val="16"/>
          <w:szCs w:val="16"/>
        </w:rPr>
        <w:t>related macular degeneration. Up to Date</w:t>
      </w:r>
      <w:r w:rsidR="00C665BE">
        <w:rPr>
          <w:sz w:val="16"/>
          <w:szCs w:val="16"/>
        </w:rPr>
        <w:t>;</w:t>
      </w:r>
      <w:r w:rsidR="00F467EC" w:rsidRPr="00676D0E">
        <w:rPr>
          <w:sz w:val="16"/>
          <w:szCs w:val="16"/>
        </w:rPr>
        <w:t xml:space="preserve"> </w:t>
      </w:r>
      <w:r w:rsidR="0005467F">
        <w:rPr>
          <w:sz w:val="16"/>
          <w:szCs w:val="16"/>
        </w:rPr>
        <w:t xml:space="preserve">Updated </w:t>
      </w:r>
      <w:r w:rsidR="001E58E0" w:rsidRPr="00676D0E">
        <w:rPr>
          <w:sz w:val="16"/>
          <w:szCs w:val="16"/>
        </w:rPr>
        <w:t xml:space="preserve">August 28, 2025. </w:t>
      </w:r>
      <w:hyperlink r:id="rId4" w:history="1">
        <w:r w:rsidR="001E58E0" w:rsidRPr="00676D0E">
          <w:rPr>
            <w:rStyle w:val="Hyperlink"/>
            <w:sz w:val="16"/>
            <w:szCs w:val="16"/>
          </w:rPr>
          <w:t>https://www.uptodate.com/contents/age-related-macular-degeneration</w:t>
        </w:r>
      </w:hyperlink>
      <w:r w:rsidR="001E58E0" w:rsidRPr="00676D0E">
        <w:rPr>
          <w:sz w:val="16"/>
          <w:szCs w:val="16"/>
        </w:rPr>
        <w:t xml:space="preserve"> </w:t>
      </w:r>
    </w:p>
  </w:footnote>
  <w:footnote w:id="6">
    <w:p w14:paraId="756E75BF" w14:textId="01F4C3B7" w:rsidR="00571D1D" w:rsidRPr="00676D0E" w:rsidRDefault="00571D1D">
      <w:pPr>
        <w:pStyle w:val="FootnoteText"/>
        <w:rPr>
          <w:sz w:val="16"/>
          <w:szCs w:val="16"/>
        </w:rPr>
      </w:pPr>
      <w:r w:rsidRPr="00676D0E">
        <w:rPr>
          <w:rStyle w:val="FootnoteReference"/>
          <w:sz w:val="16"/>
          <w:szCs w:val="16"/>
        </w:rPr>
        <w:footnoteRef/>
      </w:r>
      <w:r w:rsidRPr="00676D0E">
        <w:rPr>
          <w:sz w:val="16"/>
          <w:szCs w:val="16"/>
        </w:rPr>
        <w:t xml:space="preserve"> Han, </w:t>
      </w:r>
      <w:r w:rsidR="007D19FC" w:rsidRPr="00676D0E">
        <w:rPr>
          <w:sz w:val="16"/>
          <w:szCs w:val="16"/>
        </w:rPr>
        <w:t>D.</w:t>
      </w:r>
      <w:r w:rsidR="00450460" w:rsidRPr="00676D0E">
        <w:rPr>
          <w:sz w:val="16"/>
          <w:szCs w:val="16"/>
        </w:rPr>
        <w:t>P</w:t>
      </w:r>
      <w:r w:rsidR="007D19FC" w:rsidRPr="00676D0E">
        <w:rPr>
          <w:sz w:val="16"/>
          <w:szCs w:val="16"/>
        </w:rPr>
        <w:t>. &amp; Ahmad, B. (</w:t>
      </w:r>
      <w:r w:rsidR="000265AC">
        <w:rPr>
          <w:sz w:val="16"/>
          <w:szCs w:val="16"/>
        </w:rPr>
        <w:t>2023</w:t>
      </w:r>
      <w:r w:rsidR="007D19FC" w:rsidRPr="00676D0E">
        <w:rPr>
          <w:sz w:val="16"/>
          <w:szCs w:val="16"/>
        </w:rPr>
        <w:t>)</w:t>
      </w:r>
      <w:r w:rsidR="00950F7E" w:rsidRPr="00676D0E">
        <w:rPr>
          <w:sz w:val="16"/>
          <w:szCs w:val="16"/>
        </w:rPr>
        <w:t>.</w:t>
      </w:r>
      <w:r w:rsidR="007D19FC" w:rsidRPr="00676D0E">
        <w:rPr>
          <w:sz w:val="16"/>
          <w:szCs w:val="16"/>
        </w:rPr>
        <w:t xml:space="preserve"> </w:t>
      </w:r>
      <w:r w:rsidR="008B3355" w:rsidRPr="00676D0E">
        <w:rPr>
          <w:sz w:val="16"/>
          <w:szCs w:val="16"/>
        </w:rPr>
        <w:t>Retinal vein occlusion: Epidemiology, clinical manifestations, and diagnosis. Up to Date</w:t>
      </w:r>
      <w:r w:rsidR="00C665BE">
        <w:rPr>
          <w:sz w:val="16"/>
          <w:szCs w:val="16"/>
        </w:rPr>
        <w:t>;</w:t>
      </w:r>
      <w:r w:rsidR="008B3355" w:rsidRPr="00676D0E">
        <w:rPr>
          <w:sz w:val="16"/>
          <w:szCs w:val="16"/>
        </w:rPr>
        <w:t xml:space="preserve"> </w:t>
      </w:r>
      <w:r w:rsidR="000265AC">
        <w:rPr>
          <w:sz w:val="16"/>
          <w:szCs w:val="16"/>
        </w:rPr>
        <w:t xml:space="preserve">Updated </w:t>
      </w:r>
      <w:r w:rsidR="008B3355" w:rsidRPr="00676D0E">
        <w:rPr>
          <w:sz w:val="16"/>
          <w:szCs w:val="16"/>
        </w:rPr>
        <w:t xml:space="preserve">June 23, 2025. </w:t>
      </w:r>
      <w:hyperlink r:id="rId5" w:history="1">
        <w:r w:rsidR="00450460" w:rsidRPr="00676D0E">
          <w:rPr>
            <w:rStyle w:val="Hyperlink"/>
            <w:sz w:val="16"/>
            <w:szCs w:val="16"/>
          </w:rPr>
          <w:t>https://www.uptodate.com/contents/retinal-vein-occlusion-epidemiology-clinical-manifestations-and-diagnosis</w:t>
        </w:r>
      </w:hyperlink>
      <w:r w:rsidR="00450460" w:rsidRPr="00676D0E">
        <w:rPr>
          <w:sz w:val="16"/>
          <w:szCs w:val="16"/>
        </w:rPr>
        <w:t xml:space="preserve"> </w:t>
      </w:r>
    </w:p>
  </w:footnote>
  <w:footnote w:id="7">
    <w:p w14:paraId="2ADDC37D" w14:textId="2582BB52" w:rsidR="00950F7E" w:rsidRPr="00676D0E" w:rsidRDefault="00950F7E">
      <w:pPr>
        <w:pStyle w:val="FootnoteText"/>
        <w:rPr>
          <w:sz w:val="16"/>
          <w:szCs w:val="16"/>
        </w:rPr>
      </w:pPr>
      <w:r w:rsidRPr="00676D0E">
        <w:rPr>
          <w:rStyle w:val="FootnoteReference"/>
          <w:sz w:val="16"/>
          <w:szCs w:val="16"/>
        </w:rPr>
        <w:footnoteRef/>
      </w:r>
      <w:r w:rsidRPr="00676D0E">
        <w:rPr>
          <w:sz w:val="16"/>
          <w:szCs w:val="16"/>
        </w:rPr>
        <w:t xml:space="preserve"> Han, D.P. &amp; Ahmad, B. (</w:t>
      </w:r>
      <w:r w:rsidR="000265AC">
        <w:rPr>
          <w:sz w:val="16"/>
          <w:szCs w:val="16"/>
        </w:rPr>
        <w:t>2023</w:t>
      </w:r>
      <w:r w:rsidRPr="00676D0E">
        <w:rPr>
          <w:sz w:val="16"/>
          <w:szCs w:val="16"/>
        </w:rPr>
        <w:t xml:space="preserve">). </w:t>
      </w:r>
      <w:r w:rsidR="008A7B97" w:rsidRPr="00676D0E">
        <w:rPr>
          <w:sz w:val="16"/>
          <w:szCs w:val="16"/>
        </w:rPr>
        <w:t xml:space="preserve">Retinal vein occlusion: Treatment. </w:t>
      </w:r>
      <w:r w:rsidR="002C7ACC" w:rsidRPr="00676D0E">
        <w:rPr>
          <w:sz w:val="16"/>
          <w:szCs w:val="16"/>
        </w:rPr>
        <w:t xml:space="preserve">Up to Date; </w:t>
      </w:r>
      <w:r w:rsidR="000265AC">
        <w:rPr>
          <w:sz w:val="16"/>
          <w:szCs w:val="16"/>
        </w:rPr>
        <w:t xml:space="preserve">Updated </w:t>
      </w:r>
      <w:r w:rsidR="002C7ACC" w:rsidRPr="00676D0E">
        <w:rPr>
          <w:sz w:val="16"/>
          <w:szCs w:val="16"/>
        </w:rPr>
        <w:t xml:space="preserve">October 29, 2024. </w:t>
      </w:r>
      <w:hyperlink r:id="rId6" w:history="1">
        <w:r w:rsidR="00676D0E" w:rsidRPr="00676D0E">
          <w:rPr>
            <w:rStyle w:val="Hyperlink"/>
            <w:sz w:val="16"/>
            <w:szCs w:val="16"/>
          </w:rPr>
          <w:t>https://www.uptodate.com/contents/retinal-vein-occlusion-treatment</w:t>
        </w:r>
      </w:hyperlink>
      <w:r w:rsidR="00676D0E" w:rsidRPr="00676D0E">
        <w:rPr>
          <w:sz w:val="16"/>
          <w:szCs w:val="16"/>
        </w:rPr>
        <w:t xml:space="preserve"> </w:t>
      </w:r>
    </w:p>
  </w:footnote>
  <w:footnote w:id="8">
    <w:p w14:paraId="681415CA" w14:textId="097D829C" w:rsidR="00447875" w:rsidRPr="008A4C25" w:rsidRDefault="00447875">
      <w:pPr>
        <w:pStyle w:val="FootnoteText"/>
        <w:rPr>
          <w:sz w:val="16"/>
          <w:szCs w:val="16"/>
        </w:rPr>
      </w:pPr>
      <w:r>
        <w:rPr>
          <w:rStyle w:val="FootnoteReference"/>
        </w:rPr>
        <w:footnoteRef/>
      </w:r>
      <w:r>
        <w:t xml:space="preserve"> </w:t>
      </w:r>
      <w:r w:rsidR="00FE69C4" w:rsidRPr="008A4C25">
        <w:rPr>
          <w:sz w:val="16"/>
          <w:szCs w:val="16"/>
        </w:rPr>
        <w:t>D'Amico D</w:t>
      </w:r>
      <w:r w:rsidR="00DE7991" w:rsidRPr="008A4C25">
        <w:rPr>
          <w:sz w:val="16"/>
          <w:szCs w:val="16"/>
        </w:rPr>
        <w:t>.</w:t>
      </w:r>
      <w:r w:rsidR="00FE69C4" w:rsidRPr="008A4C25">
        <w:rPr>
          <w:sz w:val="16"/>
          <w:szCs w:val="16"/>
        </w:rPr>
        <w:t>J</w:t>
      </w:r>
      <w:r w:rsidR="00DE7991" w:rsidRPr="008A4C25">
        <w:rPr>
          <w:sz w:val="16"/>
          <w:szCs w:val="16"/>
        </w:rPr>
        <w:t>. &amp;</w:t>
      </w:r>
      <w:r w:rsidR="00FE69C4" w:rsidRPr="008A4C25">
        <w:rPr>
          <w:sz w:val="16"/>
          <w:szCs w:val="16"/>
        </w:rPr>
        <w:t xml:space="preserve"> Shah A</w:t>
      </w:r>
      <w:r w:rsidR="00DE7991" w:rsidRPr="008A4C25">
        <w:rPr>
          <w:sz w:val="16"/>
          <w:szCs w:val="16"/>
        </w:rPr>
        <w:t>.</w:t>
      </w:r>
      <w:r w:rsidR="00FE69C4" w:rsidRPr="008A4C25">
        <w:rPr>
          <w:sz w:val="16"/>
          <w:szCs w:val="16"/>
        </w:rPr>
        <w:t xml:space="preserve">R. </w:t>
      </w:r>
      <w:r w:rsidR="00DE7991" w:rsidRPr="008A4C25">
        <w:rPr>
          <w:sz w:val="16"/>
          <w:szCs w:val="16"/>
        </w:rPr>
        <w:t>(</w:t>
      </w:r>
      <w:r w:rsidR="00EB3449" w:rsidRPr="008A4C25">
        <w:rPr>
          <w:sz w:val="16"/>
          <w:szCs w:val="16"/>
        </w:rPr>
        <w:t>2023</w:t>
      </w:r>
      <w:r w:rsidR="00DE7991" w:rsidRPr="008A4C25">
        <w:rPr>
          <w:sz w:val="16"/>
          <w:szCs w:val="16"/>
        </w:rPr>
        <w:t xml:space="preserve">) </w:t>
      </w:r>
      <w:r w:rsidR="00FE69C4" w:rsidRPr="008A4C25">
        <w:rPr>
          <w:sz w:val="16"/>
          <w:szCs w:val="16"/>
        </w:rPr>
        <w:t xml:space="preserve">Diabetic retinopathy: Classification and clinical features. </w:t>
      </w:r>
      <w:bookmarkStart w:id="22" w:name="_Hlk210050431"/>
      <w:r w:rsidR="00630735" w:rsidRPr="008A4C25">
        <w:rPr>
          <w:sz w:val="16"/>
          <w:szCs w:val="16"/>
        </w:rPr>
        <w:t>Updated</w:t>
      </w:r>
      <w:r w:rsidR="00AA1398" w:rsidRPr="008A4C25">
        <w:rPr>
          <w:sz w:val="16"/>
          <w:szCs w:val="16"/>
        </w:rPr>
        <w:t xml:space="preserve"> </w:t>
      </w:r>
      <w:r w:rsidR="002414D4" w:rsidRPr="008A4C25">
        <w:rPr>
          <w:sz w:val="16"/>
          <w:szCs w:val="16"/>
        </w:rPr>
        <w:t>March</w:t>
      </w:r>
      <w:r w:rsidR="00AA1398" w:rsidRPr="008A4C25">
        <w:rPr>
          <w:sz w:val="16"/>
          <w:szCs w:val="16"/>
        </w:rPr>
        <w:t xml:space="preserve"> 20</w:t>
      </w:r>
      <w:r w:rsidR="000A4BD3" w:rsidRPr="008A4C25">
        <w:rPr>
          <w:sz w:val="16"/>
          <w:szCs w:val="16"/>
        </w:rPr>
        <w:t xml:space="preserve">, </w:t>
      </w:r>
      <w:r w:rsidR="002414D4" w:rsidRPr="008A4C25">
        <w:rPr>
          <w:sz w:val="16"/>
          <w:szCs w:val="16"/>
        </w:rPr>
        <w:t>202</w:t>
      </w:r>
      <w:r w:rsidR="003A6E24" w:rsidRPr="008A4C25">
        <w:rPr>
          <w:sz w:val="16"/>
          <w:szCs w:val="16"/>
        </w:rPr>
        <w:t>5</w:t>
      </w:r>
      <w:r w:rsidR="00630735" w:rsidRPr="008A4C25">
        <w:rPr>
          <w:sz w:val="16"/>
          <w:szCs w:val="16"/>
        </w:rPr>
        <w:t xml:space="preserve">. </w:t>
      </w:r>
      <w:bookmarkEnd w:id="22"/>
      <w:r w:rsidR="002E069F">
        <w:rPr>
          <w:sz w:val="16"/>
          <w:szCs w:val="16"/>
        </w:rPr>
        <w:fldChar w:fldCharType="begin"/>
      </w:r>
      <w:r w:rsidR="002E069F">
        <w:rPr>
          <w:sz w:val="16"/>
          <w:szCs w:val="16"/>
        </w:rPr>
        <w:instrText>HYPERLINK "</w:instrText>
      </w:r>
      <w:r w:rsidR="002E069F" w:rsidRPr="008A4C25">
        <w:rPr>
          <w:sz w:val="16"/>
          <w:szCs w:val="16"/>
        </w:rPr>
        <w:instrText>https://www.uptodate.com/contents/diabetic-retinopathy-classification-and-clinical-features</w:instrText>
      </w:r>
      <w:r w:rsidR="002E069F">
        <w:rPr>
          <w:sz w:val="16"/>
          <w:szCs w:val="16"/>
        </w:rPr>
        <w:instrText>"</w:instrText>
      </w:r>
      <w:r w:rsidR="002E069F">
        <w:rPr>
          <w:sz w:val="16"/>
          <w:szCs w:val="16"/>
        </w:rPr>
      </w:r>
      <w:r w:rsidR="002E069F">
        <w:rPr>
          <w:sz w:val="16"/>
          <w:szCs w:val="16"/>
        </w:rPr>
        <w:fldChar w:fldCharType="separate"/>
      </w:r>
      <w:r w:rsidR="002E069F" w:rsidRPr="00C2251D">
        <w:rPr>
          <w:rStyle w:val="Hyperlink"/>
          <w:sz w:val="16"/>
          <w:szCs w:val="16"/>
        </w:rPr>
        <w:t>https://www.uptodate.com/contents/diabetic-retinopathy-classification-and-clinical-features</w:t>
      </w:r>
      <w:r w:rsidR="002E069F">
        <w:rPr>
          <w:sz w:val="16"/>
          <w:szCs w:val="16"/>
        </w:rPr>
        <w:fldChar w:fldCharType="end"/>
      </w:r>
      <w:r w:rsidR="00FE69C4" w:rsidRPr="008A4C25">
        <w:rPr>
          <w:sz w:val="16"/>
          <w:szCs w:val="16"/>
        </w:rPr>
        <w:t>.</w:t>
      </w:r>
    </w:p>
  </w:footnote>
  <w:footnote w:id="9">
    <w:p w14:paraId="331CDDB9" w14:textId="12A71554" w:rsidR="00A21F5C" w:rsidRDefault="00A21F5C">
      <w:pPr>
        <w:pStyle w:val="FootnoteText"/>
      </w:pPr>
      <w:r w:rsidRPr="008A4C25">
        <w:rPr>
          <w:rStyle w:val="FootnoteReference"/>
          <w:sz w:val="16"/>
          <w:szCs w:val="16"/>
        </w:rPr>
        <w:footnoteRef/>
      </w:r>
      <w:r w:rsidRPr="008A4C25">
        <w:rPr>
          <w:sz w:val="16"/>
          <w:szCs w:val="16"/>
        </w:rPr>
        <w:t xml:space="preserve"> D'Amico D.J. &amp; Shah A.R. (2023) Diabetic retinopathy:</w:t>
      </w:r>
      <w:r w:rsidR="008A4C25" w:rsidRPr="008A4C25">
        <w:rPr>
          <w:rFonts w:ascii="Noto Sans" w:eastAsiaTheme="minorHAnsi" w:hAnsi="Noto Sans" w:cs="Noto Sans"/>
          <w:color w:val="232323"/>
          <w:sz w:val="16"/>
          <w:szCs w:val="16"/>
          <w:shd w:val="clear" w:color="auto" w:fill="F6F6F6"/>
        </w:rPr>
        <w:t xml:space="preserve"> </w:t>
      </w:r>
      <w:r w:rsidR="008A4C25" w:rsidRPr="008A4C25">
        <w:rPr>
          <w:sz w:val="16"/>
          <w:szCs w:val="16"/>
        </w:rPr>
        <w:t>Prevention and treatment</w:t>
      </w:r>
      <w:r w:rsidR="008A4C25">
        <w:rPr>
          <w:sz w:val="16"/>
          <w:szCs w:val="16"/>
        </w:rPr>
        <w:t xml:space="preserve">. </w:t>
      </w:r>
      <w:r w:rsidR="008A4C25" w:rsidRPr="008A4C25">
        <w:rPr>
          <w:sz w:val="16"/>
          <w:szCs w:val="16"/>
        </w:rPr>
        <w:t xml:space="preserve">Updated </w:t>
      </w:r>
      <w:r w:rsidR="008A4C25">
        <w:rPr>
          <w:sz w:val="16"/>
          <w:szCs w:val="16"/>
        </w:rPr>
        <w:t xml:space="preserve">June 11, </w:t>
      </w:r>
      <w:r w:rsidR="008A4C25" w:rsidRPr="008A4C25">
        <w:rPr>
          <w:sz w:val="16"/>
          <w:szCs w:val="16"/>
        </w:rPr>
        <w:t>2025.</w:t>
      </w:r>
      <w:r w:rsidR="002B58CE" w:rsidRPr="002B58CE">
        <w:t xml:space="preserve"> </w:t>
      </w:r>
      <w:hyperlink r:id="rId7" w:history="1">
        <w:r w:rsidR="002E069F" w:rsidRPr="00C2251D">
          <w:rPr>
            <w:rStyle w:val="Hyperlink"/>
            <w:sz w:val="16"/>
            <w:szCs w:val="16"/>
          </w:rPr>
          <w:t>https://www.uptodate.com/contents/diabetic-retinopathy-prevention-and-treatment?search=Diabetic%20macular%20oedema%20&amp;source=search_result&amp;selectedTitle=1~14&amp;usage_type=default&amp;display_rank=1</w:t>
        </w:r>
      </w:hyperlink>
      <w:r w:rsidR="002E069F">
        <w:rPr>
          <w:sz w:val="16"/>
          <w:szCs w:val="16"/>
        </w:rPr>
        <w:t xml:space="preserve"> </w:t>
      </w:r>
    </w:p>
  </w:footnote>
  <w:footnote w:id="10">
    <w:p w14:paraId="2017EE9D" w14:textId="716F03CB" w:rsidR="002D106E" w:rsidRDefault="002D106E">
      <w:pPr>
        <w:pStyle w:val="FootnoteText"/>
      </w:pPr>
      <w:r>
        <w:rPr>
          <w:rStyle w:val="FootnoteReference"/>
        </w:rPr>
        <w:footnoteRef/>
      </w:r>
      <w:r>
        <w:t xml:space="preserve"> </w:t>
      </w:r>
      <w:r w:rsidRPr="00FB3727">
        <w:rPr>
          <w:sz w:val="16"/>
          <w:szCs w:val="16"/>
        </w:rPr>
        <w:t>Karth, P.A. &amp; Swinney, C. (</w:t>
      </w:r>
      <w:r w:rsidR="00FB3727" w:rsidRPr="00FB3727">
        <w:rPr>
          <w:sz w:val="16"/>
          <w:szCs w:val="16"/>
        </w:rPr>
        <w:t xml:space="preserve">2015) Aflibercept. EyeWiki: American Academy of Ophthalmology. Updated January 27, 2025. </w:t>
      </w:r>
      <w:hyperlink r:id="rId8" w:history="1">
        <w:r w:rsidR="00FB3727" w:rsidRPr="00FB3727">
          <w:rPr>
            <w:rStyle w:val="Hyperlink"/>
            <w:sz w:val="16"/>
            <w:szCs w:val="16"/>
          </w:rPr>
          <w:t>https://eyewiki.org/Aflibercept</w:t>
        </w:r>
      </w:hyperlink>
      <w:r w:rsidR="00FB3727">
        <w:t xml:space="preserve"> </w:t>
      </w:r>
    </w:p>
  </w:footnote>
  <w:footnote w:id="11">
    <w:p w14:paraId="3111C8BF" w14:textId="26FCB8B0" w:rsidR="00EA273B" w:rsidRDefault="00EA273B">
      <w:pPr>
        <w:pStyle w:val="FootnoteText"/>
      </w:pPr>
      <w:r>
        <w:rPr>
          <w:rStyle w:val="FootnoteReference"/>
        </w:rPr>
        <w:footnoteRef/>
      </w:r>
      <w:r>
        <w:t xml:space="preserve"> </w:t>
      </w:r>
      <w:r w:rsidRPr="00EA273B">
        <w:rPr>
          <w:sz w:val="16"/>
          <w:szCs w:val="16"/>
        </w:rPr>
        <w:t>Nguyen, Q. D., De Falco, S., Behar-Cohen, F., Lam, W. C., Li, X., Reichhart, N., Ricci, F., Pluim, J., &amp; Li, W. W. (2018). Placental growth factor and its potential role in diabetic retinopathy and other ocular neovascular diseases. </w:t>
      </w:r>
      <w:r w:rsidRPr="00EA273B">
        <w:rPr>
          <w:i/>
          <w:iCs/>
          <w:sz w:val="16"/>
          <w:szCs w:val="16"/>
        </w:rPr>
        <w:t>Acta ophthalmologica</w:t>
      </w:r>
      <w:r w:rsidRPr="00EA273B">
        <w:rPr>
          <w:sz w:val="16"/>
          <w:szCs w:val="16"/>
        </w:rPr>
        <w:t>, </w:t>
      </w:r>
      <w:r w:rsidRPr="00EA273B">
        <w:rPr>
          <w:i/>
          <w:iCs/>
          <w:sz w:val="16"/>
          <w:szCs w:val="16"/>
        </w:rPr>
        <w:t>96</w:t>
      </w:r>
      <w:r w:rsidRPr="00EA273B">
        <w:rPr>
          <w:sz w:val="16"/>
          <w:szCs w:val="16"/>
        </w:rPr>
        <w:t xml:space="preserve">(1), e1–e9. </w:t>
      </w:r>
      <w:hyperlink r:id="rId9" w:history="1">
        <w:r w:rsidRPr="00EA273B">
          <w:rPr>
            <w:rStyle w:val="Hyperlink"/>
            <w:sz w:val="16"/>
            <w:szCs w:val="16"/>
          </w:rPr>
          <w:t>https://doi.org/10.1111/aos.13325</w:t>
        </w:r>
      </w:hyperlink>
      <w:r>
        <w:t xml:space="preserve"> </w:t>
      </w:r>
    </w:p>
  </w:footnote>
  <w:footnote w:id="12">
    <w:p w14:paraId="13C2046B" w14:textId="61478E32" w:rsidR="00EA273B" w:rsidRDefault="00EA273B">
      <w:pPr>
        <w:pStyle w:val="FootnoteText"/>
      </w:pPr>
      <w:r>
        <w:rPr>
          <w:rStyle w:val="FootnoteReference"/>
        </w:rPr>
        <w:footnoteRef/>
      </w:r>
      <w:r>
        <w:t xml:space="preserve"> </w:t>
      </w:r>
      <w:r w:rsidRPr="00EA273B">
        <w:rPr>
          <w:sz w:val="16"/>
          <w:szCs w:val="16"/>
        </w:rPr>
        <w:t>Shibuya M. (2014). VEGF-VEGFR Signals in Health and Disease. </w:t>
      </w:r>
      <w:r w:rsidRPr="00EA273B">
        <w:rPr>
          <w:i/>
          <w:iCs/>
          <w:sz w:val="16"/>
          <w:szCs w:val="16"/>
        </w:rPr>
        <w:t>Biomolecules &amp; therapeutics</w:t>
      </w:r>
      <w:r w:rsidRPr="00EA273B">
        <w:rPr>
          <w:sz w:val="16"/>
          <w:szCs w:val="16"/>
        </w:rPr>
        <w:t>, </w:t>
      </w:r>
      <w:r w:rsidRPr="00EA273B">
        <w:rPr>
          <w:i/>
          <w:iCs/>
          <w:sz w:val="16"/>
          <w:szCs w:val="16"/>
        </w:rPr>
        <w:t>22</w:t>
      </w:r>
      <w:r w:rsidRPr="00EA273B">
        <w:rPr>
          <w:sz w:val="16"/>
          <w:szCs w:val="16"/>
        </w:rPr>
        <w:t xml:space="preserve">(1), 1–9. </w:t>
      </w:r>
      <w:hyperlink r:id="rId10" w:history="1">
        <w:r w:rsidRPr="00C2251D">
          <w:rPr>
            <w:rStyle w:val="Hyperlink"/>
            <w:sz w:val="16"/>
            <w:szCs w:val="16"/>
          </w:rPr>
          <w:t>https://doi.org/10.4062/biomolther.2013.113</w:t>
        </w:r>
      </w:hyperlink>
      <w:r>
        <w:rPr>
          <w:sz w:val="16"/>
          <w:szCs w:val="16"/>
        </w:rPr>
        <w:t xml:space="preserve"> </w:t>
      </w:r>
    </w:p>
  </w:footnote>
  <w:footnote w:id="13">
    <w:p w14:paraId="170E5CA0" w14:textId="41192184" w:rsidR="009A0B5C" w:rsidRDefault="009A0B5C">
      <w:pPr>
        <w:pStyle w:val="FootnoteText"/>
      </w:pPr>
      <w:r>
        <w:rPr>
          <w:rStyle w:val="FootnoteReference"/>
        </w:rPr>
        <w:footnoteRef/>
      </w:r>
      <w:r w:rsidRPr="00C43A9C">
        <w:rPr>
          <w:lang w:val="de-DE"/>
        </w:rPr>
        <w:t xml:space="preserve"> Bordon, A. F., Kaiser, P. K., Wolf, A., Cen, L., Heyn, J., Urosevic, D., Dodeller, F., Allmannsberger, L., &amp; Silva, R. (2024). </w:t>
      </w:r>
      <w:r w:rsidRPr="009A0B5C">
        <w:t>E</w:t>
      </w:r>
      <w:r>
        <w:t xml:space="preserve">fficacy and safety of the proposed biosimilar aflibercept, SDZ-AFL, in patients with neovascular age related macular degeneration: 52-week results from the Phase 3 Mylight Study. </w:t>
      </w:r>
      <w:r w:rsidRPr="009A0B5C">
        <w:rPr>
          <w:i/>
          <w:iCs/>
        </w:rPr>
        <w:t>Retina (Philadelphia, Pa.)</w:t>
      </w:r>
      <w:r w:rsidRPr="009A0B5C">
        <w:t>, </w:t>
      </w:r>
      <w:r w:rsidRPr="009A0B5C">
        <w:rPr>
          <w:i/>
          <w:iCs/>
        </w:rPr>
        <w:t>44</w:t>
      </w:r>
      <w:r w:rsidRPr="009A0B5C">
        <w:t xml:space="preserve">(10), 1704–1713. </w:t>
      </w:r>
      <w:hyperlink r:id="rId11" w:history="1">
        <w:r w:rsidRPr="009859E8">
          <w:rPr>
            <w:rStyle w:val="Hyperlink"/>
          </w:rPr>
          <w:t>https://doi.org/10.1097/IAE.0000000000004174</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D825" w14:textId="7E041BEF" w:rsidR="00E12C80" w:rsidRDefault="00E12C80">
    <w:pPr>
      <w:pStyle w:val="Header"/>
    </w:pPr>
    <w:r>
      <w:rPr>
        <w:noProof/>
      </w:rPr>
      <mc:AlternateContent>
        <mc:Choice Requires="wps">
          <w:drawing>
            <wp:anchor distT="0" distB="0" distL="0" distR="0" simplePos="0" relativeHeight="251660288" behindDoc="0" locked="0" layoutInCell="1" allowOverlap="1" wp14:anchorId="7EB0A63E" wp14:editId="5B0C1054">
              <wp:simplePos x="635" y="635"/>
              <wp:positionH relativeFrom="page">
                <wp:align>center</wp:align>
              </wp:positionH>
              <wp:positionV relativeFrom="page">
                <wp:align>top</wp:align>
              </wp:positionV>
              <wp:extent cx="551815" cy="391160"/>
              <wp:effectExtent l="0" t="0" r="635" b="8890"/>
              <wp:wrapNone/>
              <wp:docPr id="6503333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4B88837" w14:textId="664EA37C" w:rsidR="00E12C80" w:rsidRPr="00E12C80" w:rsidRDefault="00E12C80" w:rsidP="00E12C80">
                          <w:pPr>
                            <w:spacing w:after="0"/>
                            <w:rPr>
                              <w:rFonts w:ascii="Calibri" w:eastAsia="Calibri" w:hAnsi="Calibri" w:cs="Calibri"/>
                              <w:noProof/>
                              <w:color w:val="FF0000"/>
                              <w:sz w:val="24"/>
                              <w:szCs w:val="24"/>
                            </w:rPr>
                          </w:pPr>
                          <w:r w:rsidRPr="00E12C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B0A63E"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4B88837" w14:textId="664EA37C" w:rsidR="00E12C80" w:rsidRPr="00E12C80" w:rsidRDefault="00E12C80" w:rsidP="00E12C80">
                    <w:pPr>
                      <w:spacing w:after="0"/>
                      <w:rPr>
                        <w:rFonts w:ascii="Calibri" w:eastAsia="Calibri" w:hAnsi="Calibri" w:cs="Calibri"/>
                        <w:noProof/>
                        <w:color w:val="FF0000"/>
                        <w:sz w:val="24"/>
                        <w:szCs w:val="24"/>
                      </w:rPr>
                    </w:pPr>
                    <w:r w:rsidRPr="00E12C80">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517" w14:textId="0E7A3226" w:rsidR="007452E8" w:rsidRPr="00CB0550" w:rsidRDefault="00E12C80" w:rsidP="00CB0550">
    <w:pPr>
      <w:pStyle w:val="Header"/>
      <w:jc w:val="left"/>
    </w:pPr>
    <w:r>
      <w:rPr>
        <w:noProof/>
      </w:rPr>
      <mc:AlternateContent>
        <mc:Choice Requires="wps">
          <w:drawing>
            <wp:anchor distT="0" distB="0" distL="0" distR="0" simplePos="0" relativeHeight="251661312" behindDoc="0" locked="0" layoutInCell="1" allowOverlap="1" wp14:anchorId="00E2894A" wp14:editId="785EE806">
              <wp:simplePos x="635" y="635"/>
              <wp:positionH relativeFrom="page">
                <wp:align>center</wp:align>
              </wp:positionH>
              <wp:positionV relativeFrom="page">
                <wp:align>top</wp:align>
              </wp:positionV>
              <wp:extent cx="551815" cy="391160"/>
              <wp:effectExtent l="0" t="0" r="635" b="8890"/>
              <wp:wrapNone/>
              <wp:docPr id="6068262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B094349" w14:textId="3D672F1C" w:rsidR="00E12C80" w:rsidRPr="00E12C80" w:rsidRDefault="00E12C80" w:rsidP="00E12C80">
                          <w:pPr>
                            <w:spacing w:after="0"/>
                            <w:rPr>
                              <w:rFonts w:ascii="Calibri" w:eastAsia="Calibri" w:hAnsi="Calibri" w:cs="Calibri"/>
                              <w:noProof/>
                              <w:color w:val="FF0000"/>
                              <w:sz w:val="24"/>
                              <w:szCs w:val="24"/>
                            </w:rPr>
                          </w:pPr>
                          <w:r w:rsidRPr="00E12C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E2894A"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4B094349" w14:textId="3D672F1C" w:rsidR="00E12C80" w:rsidRPr="00E12C80" w:rsidRDefault="00E12C80" w:rsidP="00E12C80">
                    <w:pPr>
                      <w:spacing w:after="0"/>
                      <w:rPr>
                        <w:rFonts w:ascii="Calibri" w:eastAsia="Calibri" w:hAnsi="Calibri" w:cs="Calibri"/>
                        <w:noProof/>
                        <w:color w:val="FF0000"/>
                        <w:sz w:val="24"/>
                        <w:szCs w:val="24"/>
                      </w:rPr>
                    </w:pPr>
                    <w:r w:rsidRPr="00E12C80">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4E3C51D8" w:rsidR="007452E8" w:rsidRPr="002B29B2" w:rsidRDefault="00101F04"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38802056" w:rsidR="007452E8" w:rsidRDefault="0006693A" w:rsidP="007452E8">
    <w:pPr>
      <w:rPr>
        <w:noProof/>
      </w:rPr>
    </w:pPr>
    <w:r>
      <w:rPr>
        <w:noProof/>
      </w:rPr>
      <w:drawing>
        <wp:inline distT="0" distB="0" distL="0" distR="0" wp14:anchorId="26654E9F" wp14:editId="78E105AB">
          <wp:extent cx="3344545" cy="694055"/>
          <wp:effectExtent l="0" t="0" r="8255" b="0"/>
          <wp:docPr id="159602786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7861" name="Picture 2"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007452E8" w:rsidRPr="002B29B2">
      <w:rPr>
        <w:noProof/>
        <w:lang w:val="en-GB" w:eastAsia="en-GB"/>
      </w:rPr>
      <w:drawing>
        <wp:anchor distT="0" distB="0" distL="114300" distR="114300" simplePos="0" relativeHeight="251658240" behindDoc="0" locked="0" layoutInCell="0" allowOverlap="1" wp14:anchorId="14BBEAC1" wp14:editId="5D9F0498">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632D" w14:textId="1FBDC507" w:rsidR="007452E8" w:rsidRDefault="007452E8" w:rsidP="007452E8">
    <w:pPr>
      <w:pStyle w:val="Header"/>
    </w:pPr>
    <w:r w:rsidRPr="000F5176">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477B" w14:textId="1529AF64"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7B1"/>
    <w:multiLevelType w:val="hybridMultilevel"/>
    <w:tmpl w:val="5A8E7D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0053F11"/>
    <w:multiLevelType w:val="multilevel"/>
    <w:tmpl w:val="9B4A173E"/>
    <w:styleLink w:val="NumberBullet"/>
    <w:lvl w:ilvl="0">
      <w:start w:val="1"/>
      <w:numFmt w:val="decimal"/>
      <w:pStyle w:val="Numberbullet0"/>
      <w:lvlText w:val="%1."/>
      <w:lvlJc w:val="left"/>
      <w:pPr>
        <w:ind w:left="720" w:hanging="360"/>
      </w:pPr>
      <w:rPr>
        <w:rFonts w:ascii="Arial" w:hAnsi="Arial" w:hint="default"/>
      </w:rPr>
    </w:lvl>
    <w:lvl w:ilvl="1">
      <w:start w:val="1"/>
      <w:numFmt w:val="lowerLetter"/>
      <w:pStyle w:val="Numberbullet2"/>
      <w:lvlText w:val="%2."/>
      <w:lvlJc w:val="left"/>
      <w:pPr>
        <w:ind w:left="1211" w:hanging="426"/>
      </w:pPr>
      <w:rPr>
        <w:rFonts w:hint="default"/>
      </w:rPr>
    </w:lvl>
    <w:lvl w:ilvl="2">
      <w:start w:val="1"/>
      <w:numFmt w:val="lowerRoman"/>
      <w:lvlText w:val="%3."/>
      <w:lvlJc w:val="left"/>
      <w:pPr>
        <w:ind w:left="1636" w:hanging="425"/>
      </w:pPr>
      <w:rPr>
        <w:rFonts w:hint="default"/>
      </w:rPr>
    </w:lvl>
    <w:lvl w:ilvl="3">
      <w:start w:val="1"/>
      <w:numFmt w:val="none"/>
      <w:lvlText w:val=""/>
      <w:lvlJc w:val="left"/>
      <w:pPr>
        <w:ind w:left="1636" w:hanging="425"/>
      </w:pPr>
      <w:rPr>
        <w:rFonts w:hint="default"/>
      </w:rPr>
    </w:lvl>
    <w:lvl w:ilvl="4">
      <w:start w:val="1"/>
      <w:numFmt w:val="none"/>
      <w:lvlText w:val=""/>
      <w:lvlJc w:val="left"/>
      <w:pPr>
        <w:ind w:left="1636" w:hanging="425"/>
      </w:pPr>
      <w:rPr>
        <w:rFonts w:hint="default"/>
      </w:rPr>
    </w:lvl>
    <w:lvl w:ilvl="5">
      <w:start w:val="1"/>
      <w:numFmt w:val="none"/>
      <w:lvlText w:val=""/>
      <w:lvlJc w:val="left"/>
      <w:pPr>
        <w:ind w:left="1636" w:hanging="425"/>
      </w:pPr>
      <w:rPr>
        <w:rFonts w:hint="default"/>
      </w:rPr>
    </w:lvl>
    <w:lvl w:ilvl="6">
      <w:start w:val="1"/>
      <w:numFmt w:val="none"/>
      <w:lvlText w:val="%7"/>
      <w:lvlJc w:val="left"/>
      <w:pPr>
        <w:ind w:left="1636" w:hanging="425"/>
      </w:pPr>
      <w:rPr>
        <w:rFonts w:hint="default"/>
      </w:rPr>
    </w:lvl>
    <w:lvl w:ilvl="7">
      <w:start w:val="1"/>
      <w:numFmt w:val="none"/>
      <w:lvlText w:val=""/>
      <w:lvlJc w:val="left"/>
      <w:pPr>
        <w:ind w:left="1636" w:hanging="425"/>
      </w:pPr>
      <w:rPr>
        <w:rFonts w:hint="default"/>
      </w:rPr>
    </w:lvl>
    <w:lvl w:ilvl="8">
      <w:start w:val="1"/>
      <w:numFmt w:val="none"/>
      <w:lvlText w:val=""/>
      <w:lvlJc w:val="left"/>
      <w:pPr>
        <w:ind w:left="1636" w:hanging="425"/>
      </w:pPr>
      <w:rPr>
        <w:rFonts w:hint="default"/>
      </w:rPr>
    </w:lvl>
  </w:abstractNum>
  <w:abstractNum w:abstractNumId="2"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3" w15:restartNumberingAfterBreak="0">
    <w:nsid w:val="136D7891"/>
    <w:multiLevelType w:val="hybridMultilevel"/>
    <w:tmpl w:val="5B7C2C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7181DFE"/>
    <w:multiLevelType w:val="hybridMultilevel"/>
    <w:tmpl w:val="90EE8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A12105"/>
    <w:multiLevelType w:val="hybridMultilevel"/>
    <w:tmpl w:val="E3FAA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9" w15:restartNumberingAfterBreak="0">
    <w:nsid w:val="1BA23A7A"/>
    <w:multiLevelType w:val="hybridMultilevel"/>
    <w:tmpl w:val="290AB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DB1C12"/>
    <w:multiLevelType w:val="hybridMultilevel"/>
    <w:tmpl w:val="26AA8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E92619"/>
    <w:multiLevelType w:val="hybridMultilevel"/>
    <w:tmpl w:val="6C5A35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E486CE4"/>
    <w:multiLevelType w:val="hybridMultilevel"/>
    <w:tmpl w:val="8EE80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1C25AF7"/>
    <w:multiLevelType w:val="hybridMultilevel"/>
    <w:tmpl w:val="C69A866E"/>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5" w15:restartNumberingAfterBreak="0">
    <w:nsid w:val="2E570C6F"/>
    <w:multiLevelType w:val="hybridMultilevel"/>
    <w:tmpl w:val="5A9EBA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CB50B4"/>
    <w:multiLevelType w:val="hybridMultilevel"/>
    <w:tmpl w:val="961A0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684380"/>
    <w:multiLevelType w:val="hybridMultilevel"/>
    <w:tmpl w:val="721C21CA"/>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19" w15:restartNumberingAfterBreak="0">
    <w:nsid w:val="49212D59"/>
    <w:multiLevelType w:val="hybridMultilevel"/>
    <w:tmpl w:val="D50A74AC"/>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E932124"/>
    <w:multiLevelType w:val="hybridMultilevel"/>
    <w:tmpl w:val="33DE1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2"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23"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C009D3"/>
    <w:multiLevelType w:val="hybridMultilevel"/>
    <w:tmpl w:val="3446E5C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26" w15:restartNumberingAfterBreak="0">
    <w:nsid w:val="7A526472"/>
    <w:multiLevelType w:val="hybridMultilevel"/>
    <w:tmpl w:val="0D7470C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1032997172">
    <w:abstractNumId w:val="5"/>
  </w:num>
  <w:num w:numId="2" w16cid:durableId="1856573705">
    <w:abstractNumId w:val="1"/>
  </w:num>
  <w:num w:numId="3" w16cid:durableId="357703499">
    <w:abstractNumId w:val="4"/>
  </w:num>
  <w:num w:numId="4" w16cid:durableId="1869176708">
    <w:abstractNumId w:val="23"/>
  </w:num>
  <w:num w:numId="5" w16cid:durableId="1652950129">
    <w:abstractNumId w:val="14"/>
  </w:num>
  <w:num w:numId="6" w16cid:durableId="1053193207">
    <w:abstractNumId w:val="21"/>
  </w:num>
  <w:num w:numId="7" w16cid:durableId="201135927">
    <w:abstractNumId w:val="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22"/>
  </w:num>
  <w:num w:numId="9" w16cid:durableId="173421270">
    <w:abstractNumId w:val="2"/>
  </w:num>
  <w:num w:numId="10" w16cid:durableId="2108043357">
    <w:abstractNumId w:val="8"/>
  </w:num>
  <w:num w:numId="11" w16cid:durableId="1725904230">
    <w:abstractNumId w:val="18"/>
  </w:num>
  <w:num w:numId="12" w16cid:durableId="141579354">
    <w:abstractNumId w:val="25"/>
  </w:num>
  <w:num w:numId="13" w16cid:durableId="283735081">
    <w:abstractNumId w:val="27"/>
  </w:num>
  <w:num w:numId="14" w16cid:durableId="1601716782">
    <w:abstractNumId w:val="9"/>
  </w:num>
  <w:num w:numId="15" w16cid:durableId="171797975">
    <w:abstractNumId w:val="26"/>
  </w:num>
  <w:num w:numId="16" w16cid:durableId="909541315">
    <w:abstractNumId w:val="17"/>
  </w:num>
  <w:num w:numId="17" w16cid:durableId="1956211784">
    <w:abstractNumId w:val="13"/>
  </w:num>
  <w:num w:numId="18" w16cid:durableId="1724862104">
    <w:abstractNumId w:val="24"/>
  </w:num>
  <w:num w:numId="19" w16cid:durableId="1661883433">
    <w:abstractNumId w:val="19"/>
  </w:num>
  <w:num w:numId="20" w16cid:durableId="497159550">
    <w:abstractNumId w:val="20"/>
  </w:num>
  <w:num w:numId="21" w16cid:durableId="1269043891">
    <w:abstractNumId w:val="6"/>
  </w:num>
  <w:num w:numId="22" w16cid:durableId="121847748">
    <w:abstractNumId w:val="0"/>
  </w:num>
  <w:num w:numId="23" w16cid:durableId="633557081">
    <w:abstractNumId w:val="11"/>
  </w:num>
  <w:num w:numId="24" w16cid:durableId="1320353821">
    <w:abstractNumId w:val="3"/>
  </w:num>
  <w:num w:numId="25" w16cid:durableId="247933951">
    <w:abstractNumId w:val="12"/>
  </w:num>
  <w:num w:numId="26" w16cid:durableId="888879875">
    <w:abstractNumId w:val="16"/>
  </w:num>
  <w:num w:numId="27" w16cid:durableId="549192951">
    <w:abstractNumId w:val="7"/>
  </w:num>
  <w:num w:numId="28" w16cid:durableId="1972974055">
    <w:abstractNumId w:val="10"/>
  </w:num>
  <w:num w:numId="29" w16cid:durableId="5925865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E6E"/>
    <w:rsid w:val="00004431"/>
    <w:rsid w:val="00005062"/>
    <w:rsid w:val="00005DFC"/>
    <w:rsid w:val="0001064C"/>
    <w:rsid w:val="00013110"/>
    <w:rsid w:val="0001384A"/>
    <w:rsid w:val="0001747C"/>
    <w:rsid w:val="00021A82"/>
    <w:rsid w:val="00021C13"/>
    <w:rsid w:val="00023BF5"/>
    <w:rsid w:val="000265AC"/>
    <w:rsid w:val="00027249"/>
    <w:rsid w:val="00030D1F"/>
    <w:rsid w:val="00032A0F"/>
    <w:rsid w:val="00040D8D"/>
    <w:rsid w:val="00044999"/>
    <w:rsid w:val="00046423"/>
    <w:rsid w:val="000477F5"/>
    <w:rsid w:val="00050012"/>
    <w:rsid w:val="0005467F"/>
    <w:rsid w:val="00054F5D"/>
    <w:rsid w:val="0005504C"/>
    <w:rsid w:val="0006104E"/>
    <w:rsid w:val="00061A98"/>
    <w:rsid w:val="000640BD"/>
    <w:rsid w:val="00065839"/>
    <w:rsid w:val="00065FDF"/>
    <w:rsid w:val="0006693A"/>
    <w:rsid w:val="0007250B"/>
    <w:rsid w:val="00075C59"/>
    <w:rsid w:val="00077844"/>
    <w:rsid w:val="00083763"/>
    <w:rsid w:val="00090510"/>
    <w:rsid w:val="000917AE"/>
    <w:rsid w:val="00092E19"/>
    <w:rsid w:val="00094B81"/>
    <w:rsid w:val="00095C6A"/>
    <w:rsid w:val="000975AA"/>
    <w:rsid w:val="000A29A9"/>
    <w:rsid w:val="000A3CF1"/>
    <w:rsid w:val="000A4BD3"/>
    <w:rsid w:val="000B6B15"/>
    <w:rsid w:val="000B7311"/>
    <w:rsid w:val="000C0796"/>
    <w:rsid w:val="000C21F0"/>
    <w:rsid w:val="000C25A7"/>
    <w:rsid w:val="000C50EF"/>
    <w:rsid w:val="000C5A22"/>
    <w:rsid w:val="000C6076"/>
    <w:rsid w:val="000C6381"/>
    <w:rsid w:val="000D0591"/>
    <w:rsid w:val="000D78EC"/>
    <w:rsid w:val="000D7934"/>
    <w:rsid w:val="000E13DA"/>
    <w:rsid w:val="000E2434"/>
    <w:rsid w:val="000E2597"/>
    <w:rsid w:val="000E4FC6"/>
    <w:rsid w:val="000E504E"/>
    <w:rsid w:val="000E6746"/>
    <w:rsid w:val="000E777A"/>
    <w:rsid w:val="000E7FDF"/>
    <w:rsid w:val="000F55D1"/>
    <w:rsid w:val="000F7B51"/>
    <w:rsid w:val="00101BEE"/>
    <w:rsid w:val="00101CE6"/>
    <w:rsid w:val="00101FB1"/>
    <w:rsid w:val="001024FD"/>
    <w:rsid w:val="0010558A"/>
    <w:rsid w:val="001101FF"/>
    <w:rsid w:val="00111989"/>
    <w:rsid w:val="00111EA4"/>
    <w:rsid w:val="00113F9F"/>
    <w:rsid w:val="00114025"/>
    <w:rsid w:val="001169FB"/>
    <w:rsid w:val="00116F5E"/>
    <w:rsid w:val="0012439B"/>
    <w:rsid w:val="0012473C"/>
    <w:rsid w:val="00124A17"/>
    <w:rsid w:val="001270B6"/>
    <w:rsid w:val="00127A74"/>
    <w:rsid w:val="001304A7"/>
    <w:rsid w:val="0013132F"/>
    <w:rsid w:val="00131B1B"/>
    <w:rsid w:val="0013306D"/>
    <w:rsid w:val="0013528C"/>
    <w:rsid w:val="00140338"/>
    <w:rsid w:val="001417DC"/>
    <w:rsid w:val="001442A2"/>
    <w:rsid w:val="00145BE8"/>
    <w:rsid w:val="001468CA"/>
    <w:rsid w:val="001500A8"/>
    <w:rsid w:val="00153540"/>
    <w:rsid w:val="00155D85"/>
    <w:rsid w:val="00156BC1"/>
    <w:rsid w:val="00165D28"/>
    <w:rsid w:val="0017005C"/>
    <w:rsid w:val="001753A3"/>
    <w:rsid w:val="00175AE4"/>
    <w:rsid w:val="00175CD8"/>
    <w:rsid w:val="00182BD8"/>
    <w:rsid w:val="00184BD0"/>
    <w:rsid w:val="00190625"/>
    <w:rsid w:val="00190853"/>
    <w:rsid w:val="001A76F9"/>
    <w:rsid w:val="001B06FF"/>
    <w:rsid w:val="001B1703"/>
    <w:rsid w:val="001B235C"/>
    <w:rsid w:val="001B6150"/>
    <w:rsid w:val="001C1C2E"/>
    <w:rsid w:val="001C2328"/>
    <w:rsid w:val="001C31A1"/>
    <w:rsid w:val="001C3FA2"/>
    <w:rsid w:val="001C4F94"/>
    <w:rsid w:val="001C5EE2"/>
    <w:rsid w:val="001C7272"/>
    <w:rsid w:val="001D0077"/>
    <w:rsid w:val="001E02D4"/>
    <w:rsid w:val="001E407B"/>
    <w:rsid w:val="001E58E0"/>
    <w:rsid w:val="001E7FC6"/>
    <w:rsid w:val="001F2502"/>
    <w:rsid w:val="001F70A5"/>
    <w:rsid w:val="002000DF"/>
    <w:rsid w:val="0020235D"/>
    <w:rsid w:val="0020369B"/>
    <w:rsid w:val="00207B4D"/>
    <w:rsid w:val="00210F9B"/>
    <w:rsid w:val="002117B1"/>
    <w:rsid w:val="00212BDD"/>
    <w:rsid w:val="00216274"/>
    <w:rsid w:val="00217CCE"/>
    <w:rsid w:val="002203B1"/>
    <w:rsid w:val="0022064E"/>
    <w:rsid w:val="0022194E"/>
    <w:rsid w:val="0022634A"/>
    <w:rsid w:val="0022658E"/>
    <w:rsid w:val="00226F39"/>
    <w:rsid w:val="002334AD"/>
    <w:rsid w:val="002360C2"/>
    <w:rsid w:val="002414D4"/>
    <w:rsid w:val="00241B60"/>
    <w:rsid w:val="0025785B"/>
    <w:rsid w:val="00257969"/>
    <w:rsid w:val="0026011B"/>
    <w:rsid w:val="00262D7E"/>
    <w:rsid w:val="00265CD1"/>
    <w:rsid w:val="0026698F"/>
    <w:rsid w:val="00271D09"/>
    <w:rsid w:val="00280048"/>
    <w:rsid w:val="0028489E"/>
    <w:rsid w:val="002848DE"/>
    <w:rsid w:val="00284FE6"/>
    <w:rsid w:val="0028794E"/>
    <w:rsid w:val="00296B8C"/>
    <w:rsid w:val="0029733B"/>
    <w:rsid w:val="002A5841"/>
    <w:rsid w:val="002A5E61"/>
    <w:rsid w:val="002B1EDF"/>
    <w:rsid w:val="002B1FCF"/>
    <w:rsid w:val="002B2061"/>
    <w:rsid w:val="002B33C3"/>
    <w:rsid w:val="002B58CE"/>
    <w:rsid w:val="002C1232"/>
    <w:rsid w:val="002C1E44"/>
    <w:rsid w:val="002C5C92"/>
    <w:rsid w:val="002C5E29"/>
    <w:rsid w:val="002C7ACC"/>
    <w:rsid w:val="002D0478"/>
    <w:rsid w:val="002D106E"/>
    <w:rsid w:val="002D3AB9"/>
    <w:rsid w:val="002D7127"/>
    <w:rsid w:val="002E069F"/>
    <w:rsid w:val="002F599E"/>
    <w:rsid w:val="002F7767"/>
    <w:rsid w:val="003008D8"/>
    <w:rsid w:val="00301D9A"/>
    <w:rsid w:val="0030287F"/>
    <w:rsid w:val="00303959"/>
    <w:rsid w:val="00306928"/>
    <w:rsid w:val="00306E72"/>
    <w:rsid w:val="00307F3F"/>
    <w:rsid w:val="0031003A"/>
    <w:rsid w:val="00312AC3"/>
    <w:rsid w:val="00314430"/>
    <w:rsid w:val="00315F81"/>
    <w:rsid w:val="003163BC"/>
    <w:rsid w:val="0032070F"/>
    <w:rsid w:val="003212D9"/>
    <w:rsid w:val="00322B5B"/>
    <w:rsid w:val="0032351A"/>
    <w:rsid w:val="00324B33"/>
    <w:rsid w:val="00325ECE"/>
    <w:rsid w:val="00327488"/>
    <w:rsid w:val="0033039C"/>
    <w:rsid w:val="003313C3"/>
    <w:rsid w:val="003315B6"/>
    <w:rsid w:val="00336FE1"/>
    <w:rsid w:val="00337BD8"/>
    <w:rsid w:val="00342D56"/>
    <w:rsid w:val="00343D6C"/>
    <w:rsid w:val="003456E7"/>
    <w:rsid w:val="00346EC2"/>
    <w:rsid w:val="003477F9"/>
    <w:rsid w:val="00353479"/>
    <w:rsid w:val="0035444D"/>
    <w:rsid w:val="00355704"/>
    <w:rsid w:val="00356D62"/>
    <w:rsid w:val="0036179A"/>
    <w:rsid w:val="00361A7F"/>
    <w:rsid w:val="00363EE3"/>
    <w:rsid w:val="003735F3"/>
    <w:rsid w:val="00374729"/>
    <w:rsid w:val="00387298"/>
    <w:rsid w:val="00387984"/>
    <w:rsid w:val="003924DF"/>
    <w:rsid w:val="00394673"/>
    <w:rsid w:val="00394E27"/>
    <w:rsid w:val="00395140"/>
    <w:rsid w:val="003A2422"/>
    <w:rsid w:val="003A6D60"/>
    <w:rsid w:val="003A6E24"/>
    <w:rsid w:val="003B149C"/>
    <w:rsid w:val="003C0FDB"/>
    <w:rsid w:val="003C1192"/>
    <w:rsid w:val="003C55E2"/>
    <w:rsid w:val="003C63D5"/>
    <w:rsid w:val="003C77D6"/>
    <w:rsid w:val="003C7AA8"/>
    <w:rsid w:val="003D289F"/>
    <w:rsid w:val="003D71A1"/>
    <w:rsid w:val="003E0E6E"/>
    <w:rsid w:val="003F1AAC"/>
    <w:rsid w:val="0040293D"/>
    <w:rsid w:val="0040496B"/>
    <w:rsid w:val="00405947"/>
    <w:rsid w:val="00411849"/>
    <w:rsid w:val="00411C4F"/>
    <w:rsid w:val="0041688F"/>
    <w:rsid w:val="00421BC4"/>
    <w:rsid w:val="0042376F"/>
    <w:rsid w:val="004246B8"/>
    <w:rsid w:val="004248F1"/>
    <w:rsid w:val="00432D80"/>
    <w:rsid w:val="00433318"/>
    <w:rsid w:val="00435399"/>
    <w:rsid w:val="004411D9"/>
    <w:rsid w:val="00442A56"/>
    <w:rsid w:val="004444B0"/>
    <w:rsid w:val="00444EEE"/>
    <w:rsid w:val="00447875"/>
    <w:rsid w:val="004478A1"/>
    <w:rsid w:val="00450460"/>
    <w:rsid w:val="0045060B"/>
    <w:rsid w:val="004626FF"/>
    <w:rsid w:val="0046285C"/>
    <w:rsid w:val="0046746C"/>
    <w:rsid w:val="00470A52"/>
    <w:rsid w:val="00471920"/>
    <w:rsid w:val="00471BD5"/>
    <w:rsid w:val="00473B30"/>
    <w:rsid w:val="00477C4E"/>
    <w:rsid w:val="00477F07"/>
    <w:rsid w:val="00481503"/>
    <w:rsid w:val="00481D12"/>
    <w:rsid w:val="004854A6"/>
    <w:rsid w:val="004855AB"/>
    <w:rsid w:val="00491A55"/>
    <w:rsid w:val="00494C3E"/>
    <w:rsid w:val="00497DF1"/>
    <w:rsid w:val="004A2601"/>
    <w:rsid w:val="004A318E"/>
    <w:rsid w:val="004A45D4"/>
    <w:rsid w:val="004A57E8"/>
    <w:rsid w:val="004B04D6"/>
    <w:rsid w:val="004B08C3"/>
    <w:rsid w:val="004B3081"/>
    <w:rsid w:val="004B30DC"/>
    <w:rsid w:val="004B4A09"/>
    <w:rsid w:val="004C41CE"/>
    <w:rsid w:val="004C631B"/>
    <w:rsid w:val="004D0933"/>
    <w:rsid w:val="004D2F00"/>
    <w:rsid w:val="004D31D8"/>
    <w:rsid w:val="004D35D1"/>
    <w:rsid w:val="004D4AD5"/>
    <w:rsid w:val="004D5388"/>
    <w:rsid w:val="004D6DD0"/>
    <w:rsid w:val="004D722E"/>
    <w:rsid w:val="004E427F"/>
    <w:rsid w:val="004E7F16"/>
    <w:rsid w:val="004F18EC"/>
    <w:rsid w:val="004F3C27"/>
    <w:rsid w:val="004F5B4B"/>
    <w:rsid w:val="004F68FB"/>
    <w:rsid w:val="00500D68"/>
    <w:rsid w:val="005017B1"/>
    <w:rsid w:val="00505490"/>
    <w:rsid w:val="00510913"/>
    <w:rsid w:val="00514ECF"/>
    <w:rsid w:val="00514F5F"/>
    <w:rsid w:val="00516F4D"/>
    <w:rsid w:val="0052640C"/>
    <w:rsid w:val="0053377D"/>
    <w:rsid w:val="00535DFE"/>
    <w:rsid w:val="005373B5"/>
    <w:rsid w:val="00537AB7"/>
    <w:rsid w:val="0054669B"/>
    <w:rsid w:val="00557684"/>
    <w:rsid w:val="00560DA8"/>
    <w:rsid w:val="00560EC1"/>
    <w:rsid w:val="005610D1"/>
    <w:rsid w:val="00562F42"/>
    <w:rsid w:val="00565739"/>
    <w:rsid w:val="0056766D"/>
    <w:rsid w:val="00571D1D"/>
    <w:rsid w:val="00575215"/>
    <w:rsid w:val="00576791"/>
    <w:rsid w:val="005775D0"/>
    <w:rsid w:val="00581138"/>
    <w:rsid w:val="0058575E"/>
    <w:rsid w:val="0058783C"/>
    <w:rsid w:val="005911AE"/>
    <w:rsid w:val="005926E2"/>
    <w:rsid w:val="0059313A"/>
    <w:rsid w:val="005955CB"/>
    <w:rsid w:val="0059618B"/>
    <w:rsid w:val="005A379B"/>
    <w:rsid w:val="005A54EA"/>
    <w:rsid w:val="005A6AA0"/>
    <w:rsid w:val="005A78AC"/>
    <w:rsid w:val="005B023F"/>
    <w:rsid w:val="005B02A2"/>
    <w:rsid w:val="005B0694"/>
    <w:rsid w:val="005B1417"/>
    <w:rsid w:val="005B25A7"/>
    <w:rsid w:val="005B69CF"/>
    <w:rsid w:val="005C3F07"/>
    <w:rsid w:val="005C4B46"/>
    <w:rsid w:val="005C5DC5"/>
    <w:rsid w:val="005C73E3"/>
    <w:rsid w:val="005C7F86"/>
    <w:rsid w:val="005D0E1E"/>
    <w:rsid w:val="005D2089"/>
    <w:rsid w:val="005D4B86"/>
    <w:rsid w:val="005D7514"/>
    <w:rsid w:val="005E0FC6"/>
    <w:rsid w:val="005E1A7B"/>
    <w:rsid w:val="005E231F"/>
    <w:rsid w:val="005E39D4"/>
    <w:rsid w:val="005F5EB1"/>
    <w:rsid w:val="005F6933"/>
    <w:rsid w:val="00602906"/>
    <w:rsid w:val="00602D6E"/>
    <w:rsid w:val="00605C05"/>
    <w:rsid w:val="00605E03"/>
    <w:rsid w:val="00611351"/>
    <w:rsid w:val="0061217D"/>
    <w:rsid w:val="006129AE"/>
    <w:rsid w:val="00615740"/>
    <w:rsid w:val="00621F42"/>
    <w:rsid w:val="00625DBB"/>
    <w:rsid w:val="006265B4"/>
    <w:rsid w:val="006277A1"/>
    <w:rsid w:val="00630735"/>
    <w:rsid w:val="00630B69"/>
    <w:rsid w:val="00632248"/>
    <w:rsid w:val="006338F0"/>
    <w:rsid w:val="00633BD7"/>
    <w:rsid w:val="00634580"/>
    <w:rsid w:val="00634884"/>
    <w:rsid w:val="006351D9"/>
    <w:rsid w:val="00637130"/>
    <w:rsid w:val="00637F0E"/>
    <w:rsid w:val="006423F2"/>
    <w:rsid w:val="006428C5"/>
    <w:rsid w:val="00645A72"/>
    <w:rsid w:val="00650234"/>
    <w:rsid w:val="00660288"/>
    <w:rsid w:val="0066044B"/>
    <w:rsid w:val="00660E07"/>
    <w:rsid w:val="00662842"/>
    <w:rsid w:val="006630AA"/>
    <w:rsid w:val="00663544"/>
    <w:rsid w:val="006639E6"/>
    <w:rsid w:val="00666539"/>
    <w:rsid w:val="00666911"/>
    <w:rsid w:val="00667739"/>
    <w:rsid w:val="00672832"/>
    <w:rsid w:val="00673838"/>
    <w:rsid w:val="00675F81"/>
    <w:rsid w:val="00676D0E"/>
    <w:rsid w:val="0068143E"/>
    <w:rsid w:val="00682AF7"/>
    <w:rsid w:val="00684553"/>
    <w:rsid w:val="0068472D"/>
    <w:rsid w:val="0068507D"/>
    <w:rsid w:val="006853B2"/>
    <w:rsid w:val="00691AF2"/>
    <w:rsid w:val="00692B80"/>
    <w:rsid w:val="00692C10"/>
    <w:rsid w:val="00692CCD"/>
    <w:rsid w:val="00692D51"/>
    <w:rsid w:val="00694DD7"/>
    <w:rsid w:val="006957C0"/>
    <w:rsid w:val="0069636B"/>
    <w:rsid w:val="006A0D6C"/>
    <w:rsid w:val="006A1762"/>
    <w:rsid w:val="006A1954"/>
    <w:rsid w:val="006A19CE"/>
    <w:rsid w:val="006A1F0B"/>
    <w:rsid w:val="006A277A"/>
    <w:rsid w:val="006A2DD4"/>
    <w:rsid w:val="006A5973"/>
    <w:rsid w:val="006A646B"/>
    <w:rsid w:val="006A793D"/>
    <w:rsid w:val="006B04F3"/>
    <w:rsid w:val="006B0CFB"/>
    <w:rsid w:val="006B5E64"/>
    <w:rsid w:val="006B7126"/>
    <w:rsid w:val="006B76CE"/>
    <w:rsid w:val="006C3903"/>
    <w:rsid w:val="006C6B86"/>
    <w:rsid w:val="006D1623"/>
    <w:rsid w:val="006D4553"/>
    <w:rsid w:val="006D4A35"/>
    <w:rsid w:val="006D6B44"/>
    <w:rsid w:val="006D7ED6"/>
    <w:rsid w:val="006E0F71"/>
    <w:rsid w:val="006E27FE"/>
    <w:rsid w:val="006F5542"/>
    <w:rsid w:val="00701110"/>
    <w:rsid w:val="00702E91"/>
    <w:rsid w:val="0070330F"/>
    <w:rsid w:val="00703624"/>
    <w:rsid w:val="0070454D"/>
    <w:rsid w:val="007046ED"/>
    <w:rsid w:val="0070541F"/>
    <w:rsid w:val="007072A1"/>
    <w:rsid w:val="00710189"/>
    <w:rsid w:val="0071060C"/>
    <w:rsid w:val="00710BC5"/>
    <w:rsid w:val="007121CA"/>
    <w:rsid w:val="0072003B"/>
    <w:rsid w:val="00721059"/>
    <w:rsid w:val="007211E6"/>
    <w:rsid w:val="007220C4"/>
    <w:rsid w:val="0072408B"/>
    <w:rsid w:val="007246EF"/>
    <w:rsid w:val="007305ED"/>
    <w:rsid w:val="007311B9"/>
    <w:rsid w:val="00732361"/>
    <w:rsid w:val="00734285"/>
    <w:rsid w:val="007357B9"/>
    <w:rsid w:val="00741AB9"/>
    <w:rsid w:val="00741C0B"/>
    <w:rsid w:val="00742D03"/>
    <w:rsid w:val="00744216"/>
    <w:rsid w:val="007452E8"/>
    <w:rsid w:val="0074545F"/>
    <w:rsid w:val="00746990"/>
    <w:rsid w:val="00747093"/>
    <w:rsid w:val="00750D70"/>
    <w:rsid w:val="007545B9"/>
    <w:rsid w:val="00756AB0"/>
    <w:rsid w:val="007575D0"/>
    <w:rsid w:val="0076453C"/>
    <w:rsid w:val="007662E0"/>
    <w:rsid w:val="00766C5F"/>
    <w:rsid w:val="00773621"/>
    <w:rsid w:val="00776563"/>
    <w:rsid w:val="00776AA2"/>
    <w:rsid w:val="00776E9C"/>
    <w:rsid w:val="007816D8"/>
    <w:rsid w:val="00784150"/>
    <w:rsid w:val="007849A6"/>
    <w:rsid w:val="00786F0B"/>
    <w:rsid w:val="00787128"/>
    <w:rsid w:val="00793272"/>
    <w:rsid w:val="0079499A"/>
    <w:rsid w:val="00794B64"/>
    <w:rsid w:val="0079505C"/>
    <w:rsid w:val="007967C3"/>
    <w:rsid w:val="007A0A33"/>
    <w:rsid w:val="007A0B37"/>
    <w:rsid w:val="007A3DAD"/>
    <w:rsid w:val="007A7F5F"/>
    <w:rsid w:val="007B04DE"/>
    <w:rsid w:val="007B0AE6"/>
    <w:rsid w:val="007B78E0"/>
    <w:rsid w:val="007C0025"/>
    <w:rsid w:val="007C0F0B"/>
    <w:rsid w:val="007C57BC"/>
    <w:rsid w:val="007C6207"/>
    <w:rsid w:val="007D04CA"/>
    <w:rsid w:val="007D0A2B"/>
    <w:rsid w:val="007D12A1"/>
    <w:rsid w:val="007D19FC"/>
    <w:rsid w:val="007D40E5"/>
    <w:rsid w:val="007D4138"/>
    <w:rsid w:val="007D753F"/>
    <w:rsid w:val="007E0AC2"/>
    <w:rsid w:val="007E2CFA"/>
    <w:rsid w:val="007E4178"/>
    <w:rsid w:val="007E6443"/>
    <w:rsid w:val="007F0A77"/>
    <w:rsid w:val="007F1E37"/>
    <w:rsid w:val="007F50D3"/>
    <w:rsid w:val="007F6B1F"/>
    <w:rsid w:val="008013F0"/>
    <w:rsid w:val="00803926"/>
    <w:rsid w:val="00804897"/>
    <w:rsid w:val="00813030"/>
    <w:rsid w:val="00813C30"/>
    <w:rsid w:val="00815B80"/>
    <w:rsid w:val="00820FA5"/>
    <w:rsid w:val="0082588B"/>
    <w:rsid w:val="00827564"/>
    <w:rsid w:val="0083039D"/>
    <w:rsid w:val="008329DB"/>
    <w:rsid w:val="008361C5"/>
    <w:rsid w:val="0083628F"/>
    <w:rsid w:val="00837AB9"/>
    <w:rsid w:val="008407EB"/>
    <w:rsid w:val="00847244"/>
    <w:rsid w:val="00850637"/>
    <w:rsid w:val="008519E1"/>
    <w:rsid w:val="00854D98"/>
    <w:rsid w:val="0085751E"/>
    <w:rsid w:val="00860B29"/>
    <w:rsid w:val="008622E8"/>
    <w:rsid w:val="008645EE"/>
    <w:rsid w:val="00865A1B"/>
    <w:rsid w:val="00870144"/>
    <w:rsid w:val="0087072C"/>
    <w:rsid w:val="00871312"/>
    <w:rsid w:val="00873D7A"/>
    <w:rsid w:val="00877CB3"/>
    <w:rsid w:val="008804CF"/>
    <w:rsid w:val="008816BF"/>
    <w:rsid w:val="0088171B"/>
    <w:rsid w:val="00882D58"/>
    <w:rsid w:val="00882F19"/>
    <w:rsid w:val="00883D35"/>
    <w:rsid w:val="00884569"/>
    <w:rsid w:val="00887A51"/>
    <w:rsid w:val="0089038A"/>
    <w:rsid w:val="00890D9B"/>
    <w:rsid w:val="00891C6C"/>
    <w:rsid w:val="00893CCD"/>
    <w:rsid w:val="008958E1"/>
    <w:rsid w:val="00895D24"/>
    <w:rsid w:val="008964B3"/>
    <w:rsid w:val="008A4C25"/>
    <w:rsid w:val="008A7B97"/>
    <w:rsid w:val="008B1CB5"/>
    <w:rsid w:val="008B2F5D"/>
    <w:rsid w:val="008B3355"/>
    <w:rsid w:val="008B5A02"/>
    <w:rsid w:val="008B5C0D"/>
    <w:rsid w:val="008B6ACE"/>
    <w:rsid w:val="008C14EC"/>
    <w:rsid w:val="008C2121"/>
    <w:rsid w:val="008C2D69"/>
    <w:rsid w:val="008C40EF"/>
    <w:rsid w:val="008C49C6"/>
    <w:rsid w:val="008C754C"/>
    <w:rsid w:val="008D56C9"/>
    <w:rsid w:val="008D56CA"/>
    <w:rsid w:val="008D6A54"/>
    <w:rsid w:val="008E2585"/>
    <w:rsid w:val="008E2D7A"/>
    <w:rsid w:val="008E4966"/>
    <w:rsid w:val="008E6D72"/>
    <w:rsid w:val="008F3215"/>
    <w:rsid w:val="008F4A62"/>
    <w:rsid w:val="008F56B8"/>
    <w:rsid w:val="008F7256"/>
    <w:rsid w:val="008F7B65"/>
    <w:rsid w:val="0090424C"/>
    <w:rsid w:val="0090605E"/>
    <w:rsid w:val="00906C74"/>
    <w:rsid w:val="009108CE"/>
    <w:rsid w:val="00915A9F"/>
    <w:rsid w:val="00930D58"/>
    <w:rsid w:val="00932F57"/>
    <w:rsid w:val="00933848"/>
    <w:rsid w:val="00935AAA"/>
    <w:rsid w:val="009368DA"/>
    <w:rsid w:val="00936E95"/>
    <w:rsid w:val="0095031E"/>
    <w:rsid w:val="00950B69"/>
    <w:rsid w:val="00950D2B"/>
    <w:rsid w:val="00950F7E"/>
    <w:rsid w:val="009526A0"/>
    <w:rsid w:val="00953596"/>
    <w:rsid w:val="00954297"/>
    <w:rsid w:val="00957871"/>
    <w:rsid w:val="00960A56"/>
    <w:rsid w:val="00961AF4"/>
    <w:rsid w:val="00963C75"/>
    <w:rsid w:val="00964F82"/>
    <w:rsid w:val="00966EF1"/>
    <w:rsid w:val="00967223"/>
    <w:rsid w:val="009751F7"/>
    <w:rsid w:val="009775CC"/>
    <w:rsid w:val="0098168B"/>
    <w:rsid w:val="0098350E"/>
    <w:rsid w:val="00990C12"/>
    <w:rsid w:val="00992B0E"/>
    <w:rsid w:val="0099404F"/>
    <w:rsid w:val="009954CA"/>
    <w:rsid w:val="00996FA5"/>
    <w:rsid w:val="009A0B5C"/>
    <w:rsid w:val="009A68FC"/>
    <w:rsid w:val="009B5662"/>
    <w:rsid w:val="009B5B7D"/>
    <w:rsid w:val="009C2211"/>
    <w:rsid w:val="009C23E0"/>
    <w:rsid w:val="009C40E8"/>
    <w:rsid w:val="009C45C5"/>
    <w:rsid w:val="009C62DC"/>
    <w:rsid w:val="009D174D"/>
    <w:rsid w:val="009E072E"/>
    <w:rsid w:val="009E6858"/>
    <w:rsid w:val="009E6F8C"/>
    <w:rsid w:val="009F1FB1"/>
    <w:rsid w:val="009F405F"/>
    <w:rsid w:val="009F55D3"/>
    <w:rsid w:val="00A01C56"/>
    <w:rsid w:val="00A0539A"/>
    <w:rsid w:val="00A06EC2"/>
    <w:rsid w:val="00A15CDD"/>
    <w:rsid w:val="00A16C2E"/>
    <w:rsid w:val="00A21F5C"/>
    <w:rsid w:val="00A230A2"/>
    <w:rsid w:val="00A237B1"/>
    <w:rsid w:val="00A27869"/>
    <w:rsid w:val="00A30B41"/>
    <w:rsid w:val="00A32C50"/>
    <w:rsid w:val="00A32E0B"/>
    <w:rsid w:val="00A355E1"/>
    <w:rsid w:val="00A358E7"/>
    <w:rsid w:val="00A363DE"/>
    <w:rsid w:val="00A37044"/>
    <w:rsid w:val="00A41569"/>
    <w:rsid w:val="00A42D6A"/>
    <w:rsid w:val="00A4380B"/>
    <w:rsid w:val="00A50F53"/>
    <w:rsid w:val="00A51A2D"/>
    <w:rsid w:val="00A5596B"/>
    <w:rsid w:val="00A5626E"/>
    <w:rsid w:val="00A5652A"/>
    <w:rsid w:val="00A63C07"/>
    <w:rsid w:val="00A63D9B"/>
    <w:rsid w:val="00A704DC"/>
    <w:rsid w:val="00A71D4D"/>
    <w:rsid w:val="00A85D9A"/>
    <w:rsid w:val="00A862BE"/>
    <w:rsid w:val="00A93BF1"/>
    <w:rsid w:val="00A93DC6"/>
    <w:rsid w:val="00A9411A"/>
    <w:rsid w:val="00A967A3"/>
    <w:rsid w:val="00AA1398"/>
    <w:rsid w:val="00AA4A4B"/>
    <w:rsid w:val="00AA6682"/>
    <w:rsid w:val="00AB0613"/>
    <w:rsid w:val="00AB4C4A"/>
    <w:rsid w:val="00AB7C5C"/>
    <w:rsid w:val="00AB7CBF"/>
    <w:rsid w:val="00AD0111"/>
    <w:rsid w:val="00AD0B68"/>
    <w:rsid w:val="00AD11EA"/>
    <w:rsid w:val="00AD3869"/>
    <w:rsid w:val="00AD40C3"/>
    <w:rsid w:val="00AD4C72"/>
    <w:rsid w:val="00AD5451"/>
    <w:rsid w:val="00AE1947"/>
    <w:rsid w:val="00AE277A"/>
    <w:rsid w:val="00AF1C8B"/>
    <w:rsid w:val="00AF1F65"/>
    <w:rsid w:val="00AF299B"/>
    <w:rsid w:val="00AF7E43"/>
    <w:rsid w:val="00B004CE"/>
    <w:rsid w:val="00B009CE"/>
    <w:rsid w:val="00B02AE0"/>
    <w:rsid w:val="00B03F25"/>
    <w:rsid w:val="00B04440"/>
    <w:rsid w:val="00B05326"/>
    <w:rsid w:val="00B14545"/>
    <w:rsid w:val="00B14E60"/>
    <w:rsid w:val="00B156DE"/>
    <w:rsid w:val="00B17BA2"/>
    <w:rsid w:val="00B22183"/>
    <w:rsid w:val="00B26DC3"/>
    <w:rsid w:val="00B27523"/>
    <w:rsid w:val="00B275BE"/>
    <w:rsid w:val="00B30B9D"/>
    <w:rsid w:val="00B4045B"/>
    <w:rsid w:val="00B4574D"/>
    <w:rsid w:val="00B468E1"/>
    <w:rsid w:val="00B46B91"/>
    <w:rsid w:val="00B46BC0"/>
    <w:rsid w:val="00B46DFB"/>
    <w:rsid w:val="00B5141B"/>
    <w:rsid w:val="00B547CA"/>
    <w:rsid w:val="00B55681"/>
    <w:rsid w:val="00B57AAD"/>
    <w:rsid w:val="00B6374E"/>
    <w:rsid w:val="00B72B16"/>
    <w:rsid w:val="00B74A83"/>
    <w:rsid w:val="00B80408"/>
    <w:rsid w:val="00B81397"/>
    <w:rsid w:val="00B925DB"/>
    <w:rsid w:val="00B967FF"/>
    <w:rsid w:val="00B974B9"/>
    <w:rsid w:val="00BA3F6D"/>
    <w:rsid w:val="00BA4BE6"/>
    <w:rsid w:val="00BA4FC0"/>
    <w:rsid w:val="00BA61E0"/>
    <w:rsid w:val="00BA657C"/>
    <w:rsid w:val="00BA7F7D"/>
    <w:rsid w:val="00BB1C14"/>
    <w:rsid w:val="00BB6847"/>
    <w:rsid w:val="00BB7F8F"/>
    <w:rsid w:val="00BC13EC"/>
    <w:rsid w:val="00BC56C3"/>
    <w:rsid w:val="00BC716A"/>
    <w:rsid w:val="00BD07DF"/>
    <w:rsid w:val="00BD26F4"/>
    <w:rsid w:val="00BD5DBD"/>
    <w:rsid w:val="00BD5DF6"/>
    <w:rsid w:val="00BE0041"/>
    <w:rsid w:val="00BE640F"/>
    <w:rsid w:val="00BE6D2A"/>
    <w:rsid w:val="00BE785E"/>
    <w:rsid w:val="00BF334E"/>
    <w:rsid w:val="00BF4638"/>
    <w:rsid w:val="00BF5130"/>
    <w:rsid w:val="00C00844"/>
    <w:rsid w:val="00C02B31"/>
    <w:rsid w:val="00C059D0"/>
    <w:rsid w:val="00C0663D"/>
    <w:rsid w:val="00C07551"/>
    <w:rsid w:val="00C1109F"/>
    <w:rsid w:val="00C12D65"/>
    <w:rsid w:val="00C133AB"/>
    <w:rsid w:val="00C15EDD"/>
    <w:rsid w:val="00C20B56"/>
    <w:rsid w:val="00C22214"/>
    <w:rsid w:val="00C26F72"/>
    <w:rsid w:val="00C302A4"/>
    <w:rsid w:val="00C309A7"/>
    <w:rsid w:val="00C32969"/>
    <w:rsid w:val="00C335AB"/>
    <w:rsid w:val="00C34240"/>
    <w:rsid w:val="00C36409"/>
    <w:rsid w:val="00C407AB"/>
    <w:rsid w:val="00C43A9C"/>
    <w:rsid w:val="00C45BC8"/>
    <w:rsid w:val="00C50816"/>
    <w:rsid w:val="00C52B7B"/>
    <w:rsid w:val="00C547CD"/>
    <w:rsid w:val="00C570FF"/>
    <w:rsid w:val="00C57CEA"/>
    <w:rsid w:val="00C60FEC"/>
    <w:rsid w:val="00C61649"/>
    <w:rsid w:val="00C62B1C"/>
    <w:rsid w:val="00C63B13"/>
    <w:rsid w:val="00C63B42"/>
    <w:rsid w:val="00C6574E"/>
    <w:rsid w:val="00C663D1"/>
    <w:rsid w:val="00C665BE"/>
    <w:rsid w:val="00C707FD"/>
    <w:rsid w:val="00C714AE"/>
    <w:rsid w:val="00C763DD"/>
    <w:rsid w:val="00C768CB"/>
    <w:rsid w:val="00C76DEB"/>
    <w:rsid w:val="00C802DD"/>
    <w:rsid w:val="00C811D8"/>
    <w:rsid w:val="00C816C6"/>
    <w:rsid w:val="00C863A7"/>
    <w:rsid w:val="00C86549"/>
    <w:rsid w:val="00C912F4"/>
    <w:rsid w:val="00C9156F"/>
    <w:rsid w:val="00C9581A"/>
    <w:rsid w:val="00C97D29"/>
    <w:rsid w:val="00CA5A55"/>
    <w:rsid w:val="00CB0550"/>
    <w:rsid w:val="00CB3F49"/>
    <w:rsid w:val="00CB6813"/>
    <w:rsid w:val="00CC7707"/>
    <w:rsid w:val="00CD7603"/>
    <w:rsid w:val="00CE7AF0"/>
    <w:rsid w:val="00CF21F7"/>
    <w:rsid w:val="00CF3F42"/>
    <w:rsid w:val="00CF6A55"/>
    <w:rsid w:val="00CF6BB8"/>
    <w:rsid w:val="00CF6DC6"/>
    <w:rsid w:val="00CF6DCF"/>
    <w:rsid w:val="00D01DDB"/>
    <w:rsid w:val="00D0710D"/>
    <w:rsid w:val="00D078BE"/>
    <w:rsid w:val="00D12D1B"/>
    <w:rsid w:val="00D13F8A"/>
    <w:rsid w:val="00D16F60"/>
    <w:rsid w:val="00D1766E"/>
    <w:rsid w:val="00D22981"/>
    <w:rsid w:val="00D25D1D"/>
    <w:rsid w:val="00D3349B"/>
    <w:rsid w:val="00D35491"/>
    <w:rsid w:val="00D424A8"/>
    <w:rsid w:val="00D449AD"/>
    <w:rsid w:val="00D5047C"/>
    <w:rsid w:val="00D5068D"/>
    <w:rsid w:val="00D6036F"/>
    <w:rsid w:val="00D62877"/>
    <w:rsid w:val="00D63760"/>
    <w:rsid w:val="00D65C46"/>
    <w:rsid w:val="00D6703F"/>
    <w:rsid w:val="00D676CF"/>
    <w:rsid w:val="00D734EB"/>
    <w:rsid w:val="00D80771"/>
    <w:rsid w:val="00D82713"/>
    <w:rsid w:val="00D8493C"/>
    <w:rsid w:val="00D86F00"/>
    <w:rsid w:val="00D918D5"/>
    <w:rsid w:val="00D92B65"/>
    <w:rsid w:val="00D94A1E"/>
    <w:rsid w:val="00D94C8E"/>
    <w:rsid w:val="00DA44C7"/>
    <w:rsid w:val="00DB0D1D"/>
    <w:rsid w:val="00DB1372"/>
    <w:rsid w:val="00DB192C"/>
    <w:rsid w:val="00DB1CF3"/>
    <w:rsid w:val="00DB3AB5"/>
    <w:rsid w:val="00DB5425"/>
    <w:rsid w:val="00DB72A6"/>
    <w:rsid w:val="00DB7E3F"/>
    <w:rsid w:val="00DC33AF"/>
    <w:rsid w:val="00DC53AD"/>
    <w:rsid w:val="00DC6611"/>
    <w:rsid w:val="00DD21B9"/>
    <w:rsid w:val="00DD4DCE"/>
    <w:rsid w:val="00DD5AFB"/>
    <w:rsid w:val="00DE1344"/>
    <w:rsid w:val="00DE7991"/>
    <w:rsid w:val="00DF1CFD"/>
    <w:rsid w:val="00DF5BFE"/>
    <w:rsid w:val="00E020ED"/>
    <w:rsid w:val="00E02501"/>
    <w:rsid w:val="00E02DEF"/>
    <w:rsid w:val="00E0523F"/>
    <w:rsid w:val="00E06053"/>
    <w:rsid w:val="00E06B53"/>
    <w:rsid w:val="00E07279"/>
    <w:rsid w:val="00E12C80"/>
    <w:rsid w:val="00E1762D"/>
    <w:rsid w:val="00E225F9"/>
    <w:rsid w:val="00E23E50"/>
    <w:rsid w:val="00E26213"/>
    <w:rsid w:val="00E274DF"/>
    <w:rsid w:val="00E27B20"/>
    <w:rsid w:val="00E336D1"/>
    <w:rsid w:val="00E346A5"/>
    <w:rsid w:val="00E34D66"/>
    <w:rsid w:val="00E35226"/>
    <w:rsid w:val="00E35ADD"/>
    <w:rsid w:val="00E362C4"/>
    <w:rsid w:val="00E46444"/>
    <w:rsid w:val="00E46CC2"/>
    <w:rsid w:val="00E47E0C"/>
    <w:rsid w:val="00E51813"/>
    <w:rsid w:val="00E52C0B"/>
    <w:rsid w:val="00E53D3F"/>
    <w:rsid w:val="00E5579B"/>
    <w:rsid w:val="00E56263"/>
    <w:rsid w:val="00E573C1"/>
    <w:rsid w:val="00E57FF4"/>
    <w:rsid w:val="00E61C7A"/>
    <w:rsid w:val="00E65057"/>
    <w:rsid w:val="00E679D1"/>
    <w:rsid w:val="00E67C1C"/>
    <w:rsid w:val="00E731CB"/>
    <w:rsid w:val="00E73296"/>
    <w:rsid w:val="00E76C0E"/>
    <w:rsid w:val="00E82879"/>
    <w:rsid w:val="00E91F11"/>
    <w:rsid w:val="00E93ABA"/>
    <w:rsid w:val="00E93D77"/>
    <w:rsid w:val="00E9706D"/>
    <w:rsid w:val="00EA273B"/>
    <w:rsid w:val="00EA2E61"/>
    <w:rsid w:val="00EA3AF4"/>
    <w:rsid w:val="00EA3C20"/>
    <w:rsid w:val="00EB3449"/>
    <w:rsid w:val="00EC7725"/>
    <w:rsid w:val="00EE2AB1"/>
    <w:rsid w:val="00EE4B01"/>
    <w:rsid w:val="00EF366A"/>
    <w:rsid w:val="00EF3F0B"/>
    <w:rsid w:val="00EF5583"/>
    <w:rsid w:val="00F0289D"/>
    <w:rsid w:val="00F02AEC"/>
    <w:rsid w:val="00F04972"/>
    <w:rsid w:val="00F0579F"/>
    <w:rsid w:val="00F07572"/>
    <w:rsid w:val="00F157FC"/>
    <w:rsid w:val="00F20178"/>
    <w:rsid w:val="00F2315D"/>
    <w:rsid w:val="00F25E22"/>
    <w:rsid w:val="00F27AB1"/>
    <w:rsid w:val="00F30AF3"/>
    <w:rsid w:val="00F43CD1"/>
    <w:rsid w:val="00F45AE0"/>
    <w:rsid w:val="00F467EC"/>
    <w:rsid w:val="00F53F25"/>
    <w:rsid w:val="00F60CF2"/>
    <w:rsid w:val="00F657B4"/>
    <w:rsid w:val="00F66BDA"/>
    <w:rsid w:val="00F67102"/>
    <w:rsid w:val="00F72725"/>
    <w:rsid w:val="00F7649F"/>
    <w:rsid w:val="00F8083B"/>
    <w:rsid w:val="00F82D1B"/>
    <w:rsid w:val="00F8568E"/>
    <w:rsid w:val="00F865A7"/>
    <w:rsid w:val="00F86B96"/>
    <w:rsid w:val="00F91CEA"/>
    <w:rsid w:val="00F9519D"/>
    <w:rsid w:val="00FA0754"/>
    <w:rsid w:val="00FA15AD"/>
    <w:rsid w:val="00FA1BC9"/>
    <w:rsid w:val="00FA49C3"/>
    <w:rsid w:val="00FB236E"/>
    <w:rsid w:val="00FB3727"/>
    <w:rsid w:val="00FB3F7B"/>
    <w:rsid w:val="00FB4C2A"/>
    <w:rsid w:val="00FC2107"/>
    <w:rsid w:val="00FC48FE"/>
    <w:rsid w:val="00FC4F1B"/>
    <w:rsid w:val="00FC6F56"/>
    <w:rsid w:val="00FE087C"/>
    <w:rsid w:val="00FE69C4"/>
    <w:rsid w:val="00FE79A0"/>
    <w:rsid w:val="00FF0939"/>
    <w:rsid w:val="00FF372C"/>
    <w:rsid w:val="00FF5243"/>
    <w:rsid w:val="00FF55E1"/>
    <w:rsid w:val="0130DAAD"/>
    <w:rsid w:val="0345D12A"/>
    <w:rsid w:val="07BF817C"/>
    <w:rsid w:val="085FB787"/>
    <w:rsid w:val="0C2AF7A6"/>
    <w:rsid w:val="10E2130E"/>
    <w:rsid w:val="112DFC24"/>
    <w:rsid w:val="116E6C2E"/>
    <w:rsid w:val="15EF230B"/>
    <w:rsid w:val="1606A42B"/>
    <w:rsid w:val="1621DD6B"/>
    <w:rsid w:val="18467A80"/>
    <w:rsid w:val="1A024C82"/>
    <w:rsid w:val="1C060550"/>
    <w:rsid w:val="1D9275E0"/>
    <w:rsid w:val="213B0299"/>
    <w:rsid w:val="25BB0353"/>
    <w:rsid w:val="26882DC4"/>
    <w:rsid w:val="26B3DCDB"/>
    <w:rsid w:val="320F7FD1"/>
    <w:rsid w:val="3543FA3F"/>
    <w:rsid w:val="3D3D4267"/>
    <w:rsid w:val="40E622A7"/>
    <w:rsid w:val="4109CCB3"/>
    <w:rsid w:val="43068CBF"/>
    <w:rsid w:val="47D4153B"/>
    <w:rsid w:val="49A293ED"/>
    <w:rsid w:val="4B8BCF42"/>
    <w:rsid w:val="4D4F6D3C"/>
    <w:rsid w:val="4F40232E"/>
    <w:rsid w:val="50733C78"/>
    <w:rsid w:val="51C24500"/>
    <w:rsid w:val="52659129"/>
    <w:rsid w:val="526EC110"/>
    <w:rsid w:val="53C3A46A"/>
    <w:rsid w:val="5796ED25"/>
    <w:rsid w:val="5853AECD"/>
    <w:rsid w:val="5CBFEC6C"/>
    <w:rsid w:val="5D605D00"/>
    <w:rsid w:val="5D6BB24A"/>
    <w:rsid w:val="6091E3E8"/>
    <w:rsid w:val="62D52E5B"/>
    <w:rsid w:val="64E49AE9"/>
    <w:rsid w:val="655AF97D"/>
    <w:rsid w:val="69ACD2BF"/>
    <w:rsid w:val="6BB5DC03"/>
    <w:rsid w:val="6C499462"/>
    <w:rsid w:val="6F179134"/>
    <w:rsid w:val="7035FA82"/>
    <w:rsid w:val="7251A00E"/>
    <w:rsid w:val="75F743BB"/>
    <w:rsid w:val="78AF7597"/>
    <w:rsid w:val="799D79D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D8EAC5F6-90B2-43BD-9D84-F3F1488D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9C"/>
    <w:rPr>
      <w:rFonts w:ascii="Cambria" w:hAnsi="Cambria"/>
      <w:sz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unhideWhenUsed/>
    <w:qFormat/>
    <w:rsid w:val="005F5EB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AB0613"/>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99"/>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table" w:customStyle="1" w:styleId="TableGrid1">
    <w:name w:val="Table Grid1"/>
    <w:basedOn w:val="TableNormal"/>
    <w:next w:val="TableGrid"/>
    <w:uiPriority w:val="59"/>
    <w:rsid w:val="0030692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link w:val="TabletextChar"/>
    <w:qFormat/>
    <w:rsid w:val="00306928"/>
    <w:pPr>
      <w:spacing w:before="20" w:after="20" w:line="252" w:lineRule="auto"/>
    </w:pPr>
    <w:rPr>
      <w:rFonts w:eastAsia="Times New Roman" w:cs="Times New Roman"/>
      <w:snapToGrid w:val="0"/>
      <w:kern w:val="16"/>
      <w:sz w:val="20"/>
      <w:szCs w:val="24"/>
    </w:rPr>
  </w:style>
  <w:style w:type="character" w:customStyle="1" w:styleId="TabletextChar">
    <w:name w:val="Table text Char"/>
    <w:basedOn w:val="DefaultParagraphFont"/>
    <w:link w:val="Tabletext0"/>
    <w:rsid w:val="00306928"/>
    <w:rPr>
      <w:rFonts w:ascii="Cambria" w:eastAsia="Times New Roman" w:hAnsi="Cambria" w:cs="Times New Roman"/>
      <w:snapToGrid w:val="0"/>
      <w:kern w:val="16"/>
      <w:szCs w:val="24"/>
    </w:rPr>
  </w:style>
  <w:style w:type="paragraph" w:customStyle="1" w:styleId="Standard">
    <w:name w:val="Standard"/>
    <w:basedOn w:val="Normal"/>
    <w:link w:val="StandardChar"/>
    <w:qFormat/>
    <w:rsid w:val="009B5B7D"/>
    <w:pPr>
      <w:spacing w:after="220" w:line="252" w:lineRule="auto"/>
    </w:pPr>
    <w:rPr>
      <w:rFonts w:eastAsia="Times New Roman" w:cs="Times New Roman"/>
      <w:snapToGrid w:val="0"/>
      <w:kern w:val="16"/>
      <w:sz w:val="23"/>
      <w:szCs w:val="24"/>
    </w:rPr>
  </w:style>
  <w:style w:type="character" w:customStyle="1" w:styleId="StandardChar">
    <w:name w:val="Standard Char"/>
    <w:basedOn w:val="DefaultParagraphFont"/>
    <w:link w:val="Standard"/>
    <w:rsid w:val="009B5B7D"/>
    <w:rPr>
      <w:rFonts w:ascii="Cambria" w:eastAsia="Times New Roman" w:hAnsi="Cambria" w:cs="Times New Roman"/>
      <w:snapToGrid w:val="0"/>
      <w:kern w:val="16"/>
      <w:sz w:val="23"/>
      <w:szCs w:val="24"/>
    </w:rPr>
  </w:style>
  <w:style w:type="character" w:customStyle="1" w:styleId="Heading7Char">
    <w:name w:val="Heading 7 Char"/>
    <w:basedOn w:val="DefaultParagraphFont"/>
    <w:link w:val="Heading7"/>
    <w:uiPriority w:val="9"/>
    <w:rsid w:val="005F5EB1"/>
    <w:rPr>
      <w:rFonts w:asciiTheme="majorHAnsi" w:eastAsiaTheme="majorEastAsia" w:hAnsiTheme="majorHAnsi" w:cstheme="majorBidi"/>
      <w:i/>
      <w:iCs/>
      <w:color w:val="1F3763" w:themeColor="accent1" w:themeShade="7F"/>
      <w:sz w:val="22"/>
    </w:rPr>
  </w:style>
  <w:style w:type="character" w:styleId="Mention">
    <w:name w:val="Mention"/>
    <w:basedOn w:val="DefaultParagraphFont"/>
    <w:uiPriority w:val="99"/>
    <w:unhideWhenUsed/>
    <w:rsid w:val="000C60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49055">
      <w:bodyDiv w:val="1"/>
      <w:marLeft w:val="0"/>
      <w:marRight w:val="0"/>
      <w:marTop w:val="0"/>
      <w:marBottom w:val="0"/>
      <w:divBdr>
        <w:top w:val="none" w:sz="0" w:space="0" w:color="auto"/>
        <w:left w:val="none" w:sz="0" w:space="0" w:color="auto"/>
        <w:bottom w:val="none" w:sz="0" w:space="0" w:color="auto"/>
        <w:right w:val="none" w:sz="0" w:space="0" w:color="auto"/>
      </w:divBdr>
    </w:div>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ga.gov.au/australian-public-assessment-report-auspar-guidance" TargetMode="External"/><Relationship Id="rId26" Type="http://schemas.openxmlformats.org/officeDocument/2006/relationships/image" Target="media/image6.tmp"/><Relationship Id="rId39" Type="http://schemas.openxmlformats.org/officeDocument/2006/relationships/header" Target="header4.xml"/><Relationship Id="rId21" Type="http://schemas.openxmlformats.org/officeDocument/2006/relationships/hyperlink" Target="https://www.tga.gov.au/products/medicines/find-information-about-medicine/prescribing-medicines-pregnancy-database" TargetMode="External"/><Relationship Id="rId34" Type="http://schemas.openxmlformats.org/officeDocument/2006/relationships/hyperlink" Target="https://www.tga.gov.au/resources/resource/guidance/risk-management-plans-medicines-and-biologicals/australia-specific-annex-eu-rmp" TargetMode="External"/><Relationship Id="rId42" Type="http://schemas.openxmlformats.org/officeDocument/2006/relationships/hyperlink" Target="https://www.tga.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tmp"/><Relationship Id="rId32" Type="http://schemas.openxmlformats.org/officeDocument/2006/relationships/hyperlink" Target="https://www.tga.gov.au/publication/risk-management-plans-medicines-and-biologicals" TargetMode="External"/><Relationship Id="rId37" Type="http://schemas.openxmlformats.org/officeDocument/2006/relationships/hyperlink" Target="https://www.tga.gov.au/guidance-7-certified-product-details" TargetMode="External"/><Relationship Id="rId40" Type="http://schemas.openxmlformats.org/officeDocument/2006/relationships/footer" Target="footer4.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tga.gov.au/how-we-regulate/supply-therapeutic-good-0/supply-prescription-medicine/application-process/prescription-medicines-registration-process" TargetMode="External"/><Relationship Id="rId28" Type="http://schemas.openxmlformats.org/officeDocument/2006/relationships/image" Target="media/image8.emf"/><Relationship Id="rId36" Type="http://schemas.openxmlformats.org/officeDocument/2006/relationships/hyperlink" Target="https://www.tga.gov.au/form/certified-product-details-cpd-biologicalprescription-medicines" TargetMode="External"/><Relationship Id="rId10" Type="http://schemas.openxmlformats.org/officeDocument/2006/relationships/endnotes" Target="endnotes.xml"/><Relationship Id="rId19" Type="http://schemas.openxmlformats.org/officeDocument/2006/relationships/hyperlink" Target="mailto:tga.copyright@tga.gov.au" TargetMode="External"/><Relationship Id="rId31" Type="http://schemas.openxmlformats.org/officeDocument/2006/relationships/image" Target="media/image11.tmp"/><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ga.gov.au/obstetric-drug-information-services" TargetMode="External"/><Relationship Id="rId27" Type="http://schemas.openxmlformats.org/officeDocument/2006/relationships/image" Target="media/image7.tmp"/><Relationship Id="rId30" Type="http://schemas.openxmlformats.org/officeDocument/2006/relationships/image" Target="media/image10.emf"/><Relationship Id="rId35" Type="http://schemas.openxmlformats.org/officeDocument/2006/relationships/hyperlink" Target="https://www.tga.gov.au/resources/resource/guidance/risk-management-plans-medicines-and-biologicals/australia-specific-annex-eu-rmp" TargetMode="External"/><Relationship Id="rId43"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tga.gov.au/" TargetMode="External"/><Relationship Id="rId25" Type="http://schemas.openxmlformats.org/officeDocument/2006/relationships/image" Target="media/image5.tmp"/><Relationship Id="rId33" Type="http://schemas.openxmlformats.org/officeDocument/2006/relationships/hyperlink" Target="https://www.tga.gov.au/tgas-risk-management-approach" TargetMode="External"/><Relationship Id="rId38" Type="http://schemas.openxmlformats.org/officeDocument/2006/relationships/hyperlink" Target="https://www.ebs.tga.gov.au/" TargetMode="External"/><Relationship Id="rId46" Type="http://schemas.openxmlformats.org/officeDocument/2006/relationships/theme" Target="theme/theme1.xml"/><Relationship Id="rId20" Type="http://schemas.openxmlformats.org/officeDocument/2006/relationships/hyperlink" Target="https://www.tga.gov.au/black-triangle-scheme" TargetMode="External"/><Relationship Id="rId4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yewiki.org/Aflibercept" TargetMode="External"/><Relationship Id="rId3" Type="http://schemas.openxmlformats.org/officeDocument/2006/relationships/hyperlink" Target="https://doi.org/10.1007/s40123-021-00354-1" TargetMode="External"/><Relationship Id="rId7" Type="http://schemas.openxmlformats.org/officeDocument/2006/relationships/hyperlink" Target="https://www.uptodate.com/contents/diabetic-retinopathy-prevention-and-treatment?search=Diabetic%20macular%20oedema%20&amp;source=search_result&amp;selectedTitle=1~14&amp;usage_type=default&amp;display_rank=1" TargetMode="External"/><Relationship Id="rId2" Type="http://schemas.openxmlformats.org/officeDocument/2006/relationships/hyperlink" Target="https://doi.org/10.1001/jamaophthalmol.2017.4182" TargetMode="External"/><Relationship Id="rId1" Type="http://schemas.openxmlformats.org/officeDocument/2006/relationships/hyperlink" Target="https://doi.org/10.1001/jama.2023.26074" TargetMode="External"/><Relationship Id="rId6" Type="http://schemas.openxmlformats.org/officeDocument/2006/relationships/hyperlink" Target="https://www.uptodate.com/contents/retinal-vein-occlusion-treatment" TargetMode="External"/><Relationship Id="rId11" Type="http://schemas.openxmlformats.org/officeDocument/2006/relationships/hyperlink" Target="https://doi.org/10.1097/IAE.0000000000004174" TargetMode="External"/><Relationship Id="rId5" Type="http://schemas.openxmlformats.org/officeDocument/2006/relationships/hyperlink" Target="https://www.uptodate.com/contents/retinal-vein-occlusion-epidemiology-clinical-manifestations-and-diagnosis" TargetMode="External"/><Relationship Id="rId10" Type="http://schemas.openxmlformats.org/officeDocument/2006/relationships/hyperlink" Target="https://doi.org/10.4062/biomolther.2013.113" TargetMode="External"/><Relationship Id="rId4" Type="http://schemas.openxmlformats.org/officeDocument/2006/relationships/hyperlink" Target="https://www.uptodate.com/contents/age-related-macular-degeneration" TargetMode="External"/><Relationship Id="rId9" Type="http://schemas.openxmlformats.org/officeDocument/2006/relationships/hyperlink" Target="https://doi.org/10.1111/aos.13325"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8474D29EBCF459563F4CAD7BD190A" ma:contentTypeVersion="8" ma:contentTypeDescription="Create a new document." ma:contentTypeScope="" ma:versionID="4c02c3663d66ad0e304bf0b94d8f8313">
  <xsd:schema xmlns:xsd="http://www.w3.org/2001/XMLSchema" xmlns:xs="http://www.w3.org/2001/XMLSchema" xmlns:p="http://schemas.microsoft.com/office/2006/metadata/properties" xmlns:ns2="dac219a0-55d9-4723-865b-815d798d7333" targetNamespace="http://schemas.microsoft.com/office/2006/metadata/properties" ma:root="true" ma:fieldsID="23907e271cc648d9669c49736fb3249b" ns2:_="">
    <xsd:import namespace="dac219a0-55d9-4723-865b-815d798d73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219a0-55d9-4723-865b-815d798d733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B13D6A-C176-4301-B1B9-29062A47D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219a0-55d9-4723-865b-815d798d7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D5C5C-3A44-44F7-976F-C5DE4A909CCF}">
  <ds:schemaRefs>
    <ds:schemaRef ds:uri="http://schemas.microsoft.com/sharepoint/v3/contenttype/forms"/>
  </ds:schemaRefs>
</ds:datastoreItem>
</file>

<file path=customXml/itemProps3.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customXml/itemProps4.xml><?xml version="1.0" encoding="utf-8"?>
<ds:datastoreItem xmlns:ds="http://schemas.openxmlformats.org/officeDocument/2006/customXml" ds:itemID="{21230985-1A83-4C11-AF91-EB5BE963D19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dcd08ae-1359-412b-948b-ab375616dfe7}" enabled="1" method="Standard" siteId="{15eae2cb-1c94-4d1f-804f-cb0c347dbdad}"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27</Pages>
  <Words>7725</Words>
  <Characters>44392</Characters>
  <Application>Microsoft Office Word</Application>
  <DocSecurity>0</DocSecurity>
  <Lines>995</Lines>
  <Paragraphs>518</Paragraphs>
  <ScaleCrop>false</ScaleCrop>
  <HeadingPairs>
    <vt:vector size="2" baseType="variant">
      <vt:variant>
        <vt:lpstr>Title</vt:lpstr>
      </vt:variant>
      <vt:variant>
        <vt:i4>1</vt:i4>
      </vt:variant>
    </vt:vector>
  </HeadingPairs>
  <TitlesOfParts>
    <vt:vector size="1" baseType="lpstr">
      <vt:lpstr>Australian public assessment report for Afqlir; Enzeevu</vt:lpstr>
    </vt:vector>
  </TitlesOfParts>
  <Company>Department of Health and Aged Care</Company>
  <LinksUpToDate>false</LinksUpToDate>
  <CharactersWithSpaces>51794</CharactersWithSpaces>
  <SharedDoc>false</SharedDoc>
  <HLinks>
    <vt:vector size="330" baseType="variant">
      <vt:variant>
        <vt:i4>3473445</vt:i4>
      </vt:variant>
      <vt:variant>
        <vt:i4>210</vt:i4>
      </vt:variant>
      <vt:variant>
        <vt:i4>0</vt:i4>
      </vt:variant>
      <vt:variant>
        <vt:i4>5</vt:i4>
      </vt:variant>
      <vt:variant>
        <vt:lpwstr>https://www.tga.gov.au/</vt:lpwstr>
      </vt:variant>
      <vt:variant>
        <vt:lpwstr/>
      </vt:variant>
      <vt:variant>
        <vt:i4>5242926</vt:i4>
      </vt:variant>
      <vt:variant>
        <vt:i4>207</vt:i4>
      </vt:variant>
      <vt:variant>
        <vt:i4>0</vt:i4>
      </vt:variant>
      <vt:variant>
        <vt:i4>5</vt:i4>
      </vt:variant>
      <vt:variant>
        <vt:lpwstr>mailto:info@tga.gov.au</vt:lpwstr>
      </vt:variant>
      <vt:variant>
        <vt:lpwstr/>
      </vt:variant>
      <vt:variant>
        <vt:i4>7929907</vt:i4>
      </vt:variant>
      <vt:variant>
        <vt:i4>204</vt:i4>
      </vt:variant>
      <vt:variant>
        <vt:i4>0</vt:i4>
      </vt:variant>
      <vt:variant>
        <vt:i4>5</vt:i4>
      </vt:variant>
      <vt:variant>
        <vt:lpwstr>https://www.ebs.tga.gov.au/</vt:lpwstr>
      </vt:variant>
      <vt:variant>
        <vt:lpwstr/>
      </vt:variant>
      <vt:variant>
        <vt:i4>3538997</vt:i4>
      </vt:variant>
      <vt:variant>
        <vt:i4>201</vt:i4>
      </vt:variant>
      <vt:variant>
        <vt:i4>0</vt:i4>
      </vt:variant>
      <vt:variant>
        <vt:i4>5</vt:i4>
      </vt:variant>
      <vt:variant>
        <vt:lpwstr>https://www.tga.gov.au/guidance-7-certified-product-details</vt:lpwstr>
      </vt:variant>
      <vt:variant>
        <vt:lpwstr/>
      </vt:variant>
      <vt:variant>
        <vt:i4>7274541</vt:i4>
      </vt:variant>
      <vt:variant>
        <vt:i4>198</vt:i4>
      </vt:variant>
      <vt:variant>
        <vt:i4>0</vt:i4>
      </vt:variant>
      <vt:variant>
        <vt:i4>5</vt:i4>
      </vt:variant>
      <vt:variant>
        <vt:lpwstr>https://www.tga.gov.au/form/certified-product-details-cpd-biologicalprescription-medicines</vt:lpwstr>
      </vt:variant>
      <vt:variant>
        <vt:lpwstr/>
      </vt:variant>
      <vt:variant>
        <vt:i4>2424877</vt:i4>
      </vt:variant>
      <vt:variant>
        <vt:i4>195</vt:i4>
      </vt:variant>
      <vt:variant>
        <vt:i4>0</vt:i4>
      </vt:variant>
      <vt:variant>
        <vt:i4>5</vt:i4>
      </vt:variant>
      <vt:variant>
        <vt:lpwstr>https://www.tga.gov.au/resources/resource/guidance/risk-management-plans-medicines-and-biologicals/australia-specific-annex-eu-rmp</vt:lpwstr>
      </vt:variant>
      <vt:variant>
        <vt:lpwstr/>
      </vt:variant>
      <vt:variant>
        <vt:i4>2424877</vt:i4>
      </vt:variant>
      <vt:variant>
        <vt:i4>192</vt:i4>
      </vt:variant>
      <vt:variant>
        <vt:i4>0</vt:i4>
      </vt:variant>
      <vt:variant>
        <vt:i4>5</vt:i4>
      </vt:variant>
      <vt:variant>
        <vt:lpwstr>https://www.tga.gov.au/resources/resource/guidance/risk-management-plans-medicines-and-biologicals/australia-specific-annex-eu-rmp</vt:lpwstr>
      </vt:variant>
      <vt:variant>
        <vt:lpwstr/>
      </vt:variant>
      <vt:variant>
        <vt:i4>5111899</vt:i4>
      </vt:variant>
      <vt:variant>
        <vt:i4>189</vt:i4>
      </vt:variant>
      <vt:variant>
        <vt:i4>0</vt:i4>
      </vt:variant>
      <vt:variant>
        <vt:i4>5</vt:i4>
      </vt:variant>
      <vt:variant>
        <vt:lpwstr>https://www.tga.gov.au/tgas-risk-management-approach</vt:lpwstr>
      </vt:variant>
      <vt:variant>
        <vt:lpwstr/>
      </vt:variant>
      <vt:variant>
        <vt:i4>7929888</vt:i4>
      </vt:variant>
      <vt:variant>
        <vt:i4>186</vt:i4>
      </vt:variant>
      <vt:variant>
        <vt:i4>0</vt:i4>
      </vt:variant>
      <vt:variant>
        <vt:i4>5</vt:i4>
      </vt:variant>
      <vt:variant>
        <vt:lpwstr>https://www.tga.gov.au/publication/risk-management-plans-medicines-and-biologicals</vt:lpwstr>
      </vt:variant>
      <vt:variant>
        <vt:lpwstr/>
      </vt:variant>
      <vt:variant>
        <vt:i4>1835097</vt:i4>
      </vt:variant>
      <vt:variant>
        <vt:i4>180</vt:i4>
      </vt:variant>
      <vt:variant>
        <vt:i4>0</vt:i4>
      </vt:variant>
      <vt:variant>
        <vt:i4>5</vt:i4>
      </vt:variant>
      <vt:variant>
        <vt:lpwstr>https://www.tga.gov.au/how-we-regulate/supply-therapeutic-good-0/supply-prescription-medicine/application-process/prescription-medicines-registration-process</vt:lpwstr>
      </vt:variant>
      <vt:variant>
        <vt:lpwstr/>
      </vt:variant>
      <vt:variant>
        <vt:i4>3670063</vt:i4>
      </vt:variant>
      <vt:variant>
        <vt:i4>174</vt:i4>
      </vt:variant>
      <vt:variant>
        <vt:i4>0</vt:i4>
      </vt:variant>
      <vt:variant>
        <vt:i4>5</vt:i4>
      </vt:variant>
      <vt:variant>
        <vt:lpwstr>https://www.tga.gov.au/obstetric-drug-information-services</vt:lpwstr>
      </vt:variant>
      <vt:variant>
        <vt:lpwstr/>
      </vt:variant>
      <vt:variant>
        <vt:i4>2949173</vt:i4>
      </vt:variant>
      <vt:variant>
        <vt:i4>171</vt:i4>
      </vt:variant>
      <vt:variant>
        <vt:i4>0</vt:i4>
      </vt:variant>
      <vt:variant>
        <vt:i4>5</vt:i4>
      </vt:variant>
      <vt:variant>
        <vt:lpwstr>https://www.tga.gov.au/products/medicines/find-information-about-medicine/prescribing-medicines-pregnancy-database</vt:lpwstr>
      </vt:variant>
      <vt:variant>
        <vt:lpwstr/>
      </vt:variant>
      <vt:variant>
        <vt:i4>786511</vt:i4>
      </vt:variant>
      <vt:variant>
        <vt:i4>168</vt:i4>
      </vt:variant>
      <vt:variant>
        <vt:i4>0</vt:i4>
      </vt:variant>
      <vt:variant>
        <vt:i4>5</vt:i4>
      </vt:variant>
      <vt:variant>
        <vt:lpwstr>https://www.tga.gov.au/black-triangle-scheme</vt:lpwstr>
      </vt:variant>
      <vt:variant>
        <vt:lpwstr/>
      </vt:variant>
      <vt:variant>
        <vt:i4>1376307</vt:i4>
      </vt:variant>
      <vt:variant>
        <vt:i4>161</vt:i4>
      </vt:variant>
      <vt:variant>
        <vt:i4>0</vt:i4>
      </vt:variant>
      <vt:variant>
        <vt:i4>5</vt:i4>
      </vt:variant>
      <vt:variant>
        <vt:lpwstr/>
      </vt:variant>
      <vt:variant>
        <vt:lpwstr>_Toc210745511</vt:lpwstr>
      </vt:variant>
      <vt:variant>
        <vt:i4>1376307</vt:i4>
      </vt:variant>
      <vt:variant>
        <vt:i4>155</vt:i4>
      </vt:variant>
      <vt:variant>
        <vt:i4>0</vt:i4>
      </vt:variant>
      <vt:variant>
        <vt:i4>5</vt:i4>
      </vt:variant>
      <vt:variant>
        <vt:lpwstr/>
      </vt:variant>
      <vt:variant>
        <vt:lpwstr>_Toc210745510</vt:lpwstr>
      </vt:variant>
      <vt:variant>
        <vt:i4>1310771</vt:i4>
      </vt:variant>
      <vt:variant>
        <vt:i4>149</vt:i4>
      </vt:variant>
      <vt:variant>
        <vt:i4>0</vt:i4>
      </vt:variant>
      <vt:variant>
        <vt:i4>5</vt:i4>
      </vt:variant>
      <vt:variant>
        <vt:lpwstr/>
      </vt:variant>
      <vt:variant>
        <vt:lpwstr>_Toc210745509</vt:lpwstr>
      </vt:variant>
      <vt:variant>
        <vt:i4>1310771</vt:i4>
      </vt:variant>
      <vt:variant>
        <vt:i4>143</vt:i4>
      </vt:variant>
      <vt:variant>
        <vt:i4>0</vt:i4>
      </vt:variant>
      <vt:variant>
        <vt:i4>5</vt:i4>
      </vt:variant>
      <vt:variant>
        <vt:lpwstr/>
      </vt:variant>
      <vt:variant>
        <vt:lpwstr>_Toc210745508</vt:lpwstr>
      </vt:variant>
      <vt:variant>
        <vt:i4>1310771</vt:i4>
      </vt:variant>
      <vt:variant>
        <vt:i4>137</vt:i4>
      </vt:variant>
      <vt:variant>
        <vt:i4>0</vt:i4>
      </vt:variant>
      <vt:variant>
        <vt:i4>5</vt:i4>
      </vt:variant>
      <vt:variant>
        <vt:lpwstr/>
      </vt:variant>
      <vt:variant>
        <vt:lpwstr>_Toc210745507</vt:lpwstr>
      </vt:variant>
      <vt:variant>
        <vt:i4>1310771</vt:i4>
      </vt:variant>
      <vt:variant>
        <vt:i4>131</vt:i4>
      </vt:variant>
      <vt:variant>
        <vt:i4>0</vt:i4>
      </vt:variant>
      <vt:variant>
        <vt:i4>5</vt:i4>
      </vt:variant>
      <vt:variant>
        <vt:lpwstr/>
      </vt:variant>
      <vt:variant>
        <vt:lpwstr>_Toc210745506</vt:lpwstr>
      </vt:variant>
      <vt:variant>
        <vt:i4>1310771</vt:i4>
      </vt:variant>
      <vt:variant>
        <vt:i4>125</vt:i4>
      </vt:variant>
      <vt:variant>
        <vt:i4>0</vt:i4>
      </vt:variant>
      <vt:variant>
        <vt:i4>5</vt:i4>
      </vt:variant>
      <vt:variant>
        <vt:lpwstr/>
      </vt:variant>
      <vt:variant>
        <vt:lpwstr>_Toc210745505</vt:lpwstr>
      </vt:variant>
      <vt:variant>
        <vt:i4>1310771</vt:i4>
      </vt:variant>
      <vt:variant>
        <vt:i4>119</vt:i4>
      </vt:variant>
      <vt:variant>
        <vt:i4>0</vt:i4>
      </vt:variant>
      <vt:variant>
        <vt:i4>5</vt:i4>
      </vt:variant>
      <vt:variant>
        <vt:lpwstr/>
      </vt:variant>
      <vt:variant>
        <vt:lpwstr>_Toc210745504</vt:lpwstr>
      </vt:variant>
      <vt:variant>
        <vt:i4>1310771</vt:i4>
      </vt:variant>
      <vt:variant>
        <vt:i4>113</vt:i4>
      </vt:variant>
      <vt:variant>
        <vt:i4>0</vt:i4>
      </vt:variant>
      <vt:variant>
        <vt:i4>5</vt:i4>
      </vt:variant>
      <vt:variant>
        <vt:lpwstr/>
      </vt:variant>
      <vt:variant>
        <vt:lpwstr>_Toc210745503</vt:lpwstr>
      </vt:variant>
      <vt:variant>
        <vt:i4>1310771</vt:i4>
      </vt:variant>
      <vt:variant>
        <vt:i4>107</vt:i4>
      </vt:variant>
      <vt:variant>
        <vt:i4>0</vt:i4>
      </vt:variant>
      <vt:variant>
        <vt:i4>5</vt:i4>
      </vt:variant>
      <vt:variant>
        <vt:lpwstr/>
      </vt:variant>
      <vt:variant>
        <vt:lpwstr>_Toc210745502</vt:lpwstr>
      </vt:variant>
      <vt:variant>
        <vt:i4>1310771</vt:i4>
      </vt:variant>
      <vt:variant>
        <vt:i4>101</vt:i4>
      </vt:variant>
      <vt:variant>
        <vt:i4>0</vt:i4>
      </vt:variant>
      <vt:variant>
        <vt:i4>5</vt:i4>
      </vt:variant>
      <vt:variant>
        <vt:lpwstr/>
      </vt:variant>
      <vt:variant>
        <vt:lpwstr>_Toc210745501</vt:lpwstr>
      </vt:variant>
      <vt:variant>
        <vt:i4>1310771</vt:i4>
      </vt:variant>
      <vt:variant>
        <vt:i4>95</vt:i4>
      </vt:variant>
      <vt:variant>
        <vt:i4>0</vt:i4>
      </vt:variant>
      <vt:variant>
        <vt:i4>5</vt:i4>
      </vt:variant>
      <vt:variant>
        <vt:lpwstr/>
      </vt:variant>
      <vt:variant>
        <vt:lpwstr>_Toc210745500</vt:lpwstr>
      </vt:variant>
      <vt:variant>
        <vt:i4>1900594</vt:i4>
      </vt:variant>
      <vt:variant>
        <vt:i4>89</vt:i4>
      </vt:variant>
      <vt:variant>
        <vt:i4>0</vt:i4>
      </vt:variant>
      <vt:variant>
        <vt:i4>5</vt:i4>
      </vt:variant>
      <vt:variant>
        <vt:lpwstr/>
      </vt:variant>
      <vt:variant>
        <vt:lpwstr>_Toc210745499</vt:lpwstr>
      </vt:variant>
      <vt:variant>
        <vt:i4>1900594</vt:i4>
      </vt:variant>
      <vt:variant>
        <vt:i4>83</vt:i4>
      </vt:variant>
      <vt:variant>
        <vt:i4>0</vt:i4>
      </vt:variant>
      <vt:variant>
        <vt:i4>5</vt:i4>
      </vt:variant>
      <vt:variant>
        <vt:lpwstr/>
      </vt:variant>
      <vt:variant>
        <vt:lpwstr>_Toc210745498</vt:lpwstr>
      </vt:variant>
      <vt:variant>
        <vt:i4>1900594</vt:i4>
      </vt:variant>
      <vt:variant>
        <vt:i4>77</vt:i4>
      </vt:variant>
      <vt:variant>
        <vt:i4>0</vt:i4>
      </vt:variant>
      <vt:variant>
        <vt:i4>5</vt:i4>
      </vt:variant>
      <vt:variant>
        <vt:lpwstr/>
      </vt:variant>
      <vt:variant>
        <vt:lpwstr>_Toc210745497</vt:lpwstr>
      </vt:variant>
      <vt:variant>
        <vt:i4>1900594</vt:i4>
      </vt:variant>
      <vt:variant>
        <vt:i4>71</vt:i4>
      </vt:variant>
      <vt:variant>
        <vt:i4>0</vt:i4>
      </vt:variant>
      <vt:variant>
        <vt:i4>5</vt:i4>
      </vt:variant>
      <vt:variant>
        <vt:lpwstr/>
      </vt:variant>
      <vt:variant>
        <vt:lpwstr>_Toc210745496</vt:lpwstr>
      </vt:variant>
      <vt:variant>
        <vt:i4>1900594</vt:i4>
      </vt:variant>
      <vt:variant>
        <vt:i4>65</vt:i4>
      </vt:variant>
      <vt:variant>
        <vt:i4>0</vt:i4>
      </vt:variant>
      <vt:variant>
        <vt:i4>5</vt:i4>
      </vt:variant>
      <vt:variant>
        <vt:lpwstr/>
      </vt:variant>
      <vt:variant>
        <vt:lpwstr>_Toc210745495</vt:lpwstr>
      </vt:variant>
      <vt:variant>
        <vt:i4>1900594</vt:i4>
      </vt:variant>
      <vt:variant>
        <vt:i4>59</vt:i4>
      </vt:variant>
      <vt:variant>
        <vt:i4>0</vt:i4>
      </vt:variant>
      <vt:variant>
        <vt:i4>5</vt:i4>
      </vt:variant>
      <vt:variant>
        <vt:lpwstr/>
      </vt:variant>
      <vt:variant>
        <vt:lpwstr>_Toc210745494</vt:lpwstr>
      </vt:variant>
      <vt:variant>
        <vt:i4>1900594</vt:i4>
      </vt:variant>
      <vt:variant>
        <vt:i4>53</vt:i4>
      </vt:variant>
      <vt:variant>
        <vt:i4>0</vt:i4>
      </vt:variant>
      <vt:variant>
        <vt:i4>5</vt:i4>
      </vt:variant>
      <vt:variant>
        <vt:lpwstr/>
      </vt:variant>
      <vt:variant>
        <vt:lpwstr>_Toc210745493</vt:lpwstr>
      </vt:variant>
      <vt:variant>
        <vt:i4>1900594</vt:i4>
      </vt:variant>
      <vt:variant>
        <vt:i4>47</vt:i4>
      </vt:variant>
      <vt:variant>
        <vt:i4>0</vt:i4>
      </vt:variant>
      <vt:variant>
        <vt:i4>5</vt:i4>
      </vt:variant>
      <vt:variant>
        <vt:lpwstr/>
      </vt:variant>
      <vt:variant>
        <vt:lpwstr>_Toc210745492</vt:lpwstr>
      </vt:variant>
      <vt:variant>
        <vt:i4>1900594</vt:i4>
      </vt:variant>
      <vt:variant>
        <vt:i4>41</vt:i4>
      </vt:variant>
      <vt:variant>
        <vt:i4>0</vt:i4>
      </vt:variant>
      <vt:variant>
        <vt:i4>5</vt:i4>
      </vt:variant>
      <vt:variant>
        <vt:lpwstr/>
      </vt:variant>
      <vt:variant>
        <vt:lpwstr>_Toc210745491</vt:lpwstr>
      </vt:variant>
      <vt:variant>
        <vt:i4>1900594</vt:i4>
      </vt:variant>
      <vt:variant>
        <vt:i4>35</vt:i4>
      </vt:variant>
      <vt:variant>
        <vt:i4>0</vt:i4>
      </vt:variant>
      <vt:variant>
        <vt:i4>5</vt:i4>
      </vt:variant>
      <vt:variant>
        <vt:lpwstr/>
      </vt:variant>
      <vt:variant>
        <vt:lpwstr>_Toc210745490</vt:lpwstr>
      </vt:variant>
      <vt:variant>
        <vt:i4>1835058</vt:i4>
      </vt:variant>
      <vt:variant>
        <vt:i4>29</vt:i4>
      </vt:variant>
      <vt:variant>
        <vt:i4>0</vt:i4>
      </vt:variant>
      <vt:variant>
        <vt:i4>5</vt:i4>
      </vt:variant>
      <vt:variant>
        <vt:lpwstr/>
      </vt:variant>
      <vt:variant>
        <vt:lpwstr>_Toc210745489</vt:lpwstr>
      </vt:variant>
      <vt:variant>
        <vt:i4>1835058</vt:i4>
      </vt:variant>
      <vt:variant>
        <vt:i4>23</vt:i4>
      </vt:variant>
      <vt:variant>
        <vt:i4>0</vt:i4>
      </vt:variant>
      <vt:variant>
        <vt:i4>5</vt:i4>
      </vt:variant>
      <vt:variant>
        <vt:lpwstr/>
      </vt:variant>
      <vt:variant>
        <vt:lpwstr>_Toc210745488</vt:lpwstr>
      </vt:variant>
      <vt:variant>
        <vt:i4>1835058</vt:i4>
      </vt:variant>
      <vt:variant>
        <vt:i4>17</vt:i4>
      </vt:variant>
      <vt:variant>
        <vt:i4>0</vt:i4>
      </vt:variant>
      <vt:variant>
        <vt:i4>5</vt:i4>
      </vt:variant>
      <vt:variant>
        <vt:lpwstr/>
      </vt:variant>
      <vt:variant>
        <vt:lpwstr>_Toc210745487</vt:lpwstr>
      </vt:variant>
      <vt:variant>
        <vt:i4>1835058</vt:i4>
      </vt:variant>
      <vt:variant>
        <vt:i4>11</vt:i4>
      </vt:variant>
      <vt:variant>
        <vt:i4>0</vt:i4>
      </vt:variant>
      <vt:variant>
        <vt:i4>5</vt:i4>
      </vt:variant>
      <vt:variant>
        <vt:lpwstr/>
      </vt:variant>
      <vt:variant>
        <vt:lpwstr>_Toc210745486</vt:lpwstr>
      </vt:variant>
      <vt:variant>
        <vt:i4>6291548</vt:i4>
      </vt:variant>
      <vt:variant>
        <vt:i4>6</vt:i4>
      </vt:variant>
      <vt:variant>
        <vt:i4>0</vt:i4>
      </vt:variant>
      <vt:variant>
        <vt:i4>5</vt:i4>
      </vt:variant>
      <vt:variant>
        <vt:lpwstr>mailto:tga.copyright@tga.gov.au</vt:lpwstr>
      </vt:variant>
      <vt:variant>
        <vt:lpwstr/>
      </vt:variant>
      <vt:variant>
        <vt:i4>7995497</vt:i4>
      </vt:variant>
      <vt:variant>
        <vt:i4>3</vt:i4>
      </vt:variant>
      <vt:variant>
        <vt:i4>0</vt:i4>
      </vt:variant>
      <vt:variant>
        <vt:i4>5</vt:i4>
      </vt:variant>
      <vt:variant>
        <vt:lpwstr>https://www.tga.gov.au/australian-public-assessment-report-auspar-guidance</vt:lpwstr>
      </vt:variant>
      <vt:variant>
        <vt:lpwstr/>
      </vt:variant>
      <vt:variant>
        <vt:i4>3473445</vt:i4>
      </vt:variant>
      <vt:variant>
        <vt:i4>0</vt:i4>
      </vt:variant>
      <vt:variant>
        <vt:i4>0</vt:i4>
      </vt:variant>
      <vt:variant>
        <vt:i4>5</vt:i4>
      </vt:variant>
      <vt:variant>
        <vt:lpwstr>https://www.tga.gov.au/</vt:lpwstr>
      </vt:variant>
      <vt:variant>
        <vt:lpwstr/>
      </vt:variant>
      <vt:variant>
        <vt:i4>5242962</vt:i4>
      </vt:variant>
      <vt:variant>
        <vt:i4>33</vt:i4>
      </vt:variant>
      <vt:variant>
        <vt:i4>0</vt:i4>
      </vt:variant>
      <vt:variant>
        <vt:i4>5</vt:i4>
      </vt:variant>
      <vt:variant>
        <vt:lpwstr>https://doi.org/10.1097/IAE.0000000000004174</vt:lpwstr>
      </vt:variant>
      <vt:variant>
        <vt:lpwstr/>
      </vt:variant>
      <vt:variant>
        <vt:i4>8257591</vt:i4>
      </vt:variant>
      <vt:variant>
        <vt:i4>30</vt:i4>
      </vt:variant>
      <vt:variant>
        <vt:i4>0</vt:i4>
      </vt:variant>
      <vt:variant>
        <vt:i4>5</vt:i4>
      </vt:variant>
      <vt:variant>
        <vt:lpwstr>https://doi.org/10.4062/biomolther.2013.113</vt:lpwstr>
      </vt:variant>
      <vt:variant>
        <vt:lpwstr/>
      </vt:variant>
      <vt:variant>
        <vt:i4>5374026</vt:i4>
      </vt:variant>
      <vt:variant>
        <vt:i4>27</vt:i4>
      </vt:variant>
      <vt:variant>
        <vt:i4>0</vt:i4>
      </vt:variant>
      <vt:variant>
        <vt:i4>5</vt:i4>
      </vt:variant>
      <vt:variant>
        <vt:lpwstr>https://doi.org/10.1111/aos.13325</vt:lpwstr>
      </vt:variant>
      <vt:variant>
        <vt:lpwstr/>
      </vt:variant>
      <vt:variant>
        <vt:i4>8257584</vt:i4>
      </vt:variant>
      <vt:variant>
        <vt:i4>24</vt:i4>
      </vt:variant>
      <vt:variant>
        <vt:i4>0</vt:i4>
      </vt:variant>
      <vt:variant>
        <vt:i4>5</vt:i4>
      </vt:variant>
      <vt:variant>
        <vt:lpwstr>https://eyewiki.org/Aflibercept</vt:lpwstr>
      </vt:variant>
      <vt:variant>
        <vt:lpwstr/>
      </vt:variant>
      <vt:variant>
        <vt:i4>2359376</vt:i4>
      </vt:variant>
      <vt:variant>
        <vt:i4>21</vt:i4>
      </vt:variant>
      <vt:variant>
        <vt:i4>0</vt:i4>
      </vt:variant>
      <vt:variant>
        <vt:i4>5</vt:i4>
      </vt:variant>
      <vt:variant>
        <vt:lpwstr>https://www.uptodate.com/contents/diabetic-retinopathy-prevention-and-treatment?search=Diabetic%20macular%20oedema%20&amp;source=search_result&amp;selectedTitle=1~14&amp;usage_type=default&amp;display_rank=1</vt:lpwstr>
      </vt:variant>
      <vt:variant>
        <vt:lpwstr/>
      </vt:variant>
      <vt:variant>
        <vt:i4>8126570</vt:i4>
      </vt:variant>
      <vt:variant>
        <vt:i4>18</vt:i4>
      </vt:variant>
      <vt:variant>
        <vt:i4>0</vt:i4>
      </vt:variant>
      <vt:variant>
        <vt:i4>5</vt:i4>
      </vt:variant>
      <vt:variant>
        <vt:lpwstr>https://www.uptodate.com/contents/diabetic-retinopathy-classification-and-clinical-features</vt:lpwstr>
      </vt:variant>
      <vt:variant>
        <vt:lpwstr/>
      </vt:variant>
      <vt:variant>
        <vt:i4>3080225</vt:i4>
      </vt:variant>
      <vt:variant>
        <vt:i4>15</vt:i4>
      </vt:variant>
      <vt:variant>
        <vt:i4>0</vt:i4>
      </vt:variant>
      <vt:variant>
        <vt:i4>5</vt:i4>
      </vt:variant>
      <vt:variant>
        <vt:lpwstr>https://www.uptodate.com/contents/retinal-vein-occlusion-treatment</vt:lpwstr>
      </vt:variant>
      <vt:variant>
        <vt:lpwstr/>
      </vt:variant>
      <vt:variant>
        <vt:i4>6684786</vt:i4>
      </vt:variant>
      <vt:variant>
        <vt:i4>12</vt:i4>
      </vt:variant>
      <vt:variant>
        <vt:i4>0</vt:i4>
      </vt:variant>
      <vt:variant>
        <vt:i4>5</vt:i4>
      </vt:variant>
      <vt:variant>
        <vt:lpwstr>https://www.uptodate.com/contents/retinal-vein-occlusion-epidemiology-clinical-manifestations-and-diagnosis</vt:lpwstr>
      </vt:variant>
      <vt:variant>
        <vt:lpwstr/>
      </vt:variant>
      <vt:variant>
        <vt:i4>3342375</vt:i4>
      </vt:variant>
      <vt:variant>
        <vt:i4>9</vt:i4>
      </vt:variant>
      <vt:variant>
        <vt:i4>0</vt:i4>
      </vt:variant>
      <vt:variant>
        <vt:i4>5</vt:i4>
      </vt:variant>
      <vt:variant>
        <vt:lpwstr>https://www.uptodate.com/contents/age-related-macular-degeneration</vt:lpwstr>
      </vt:variant>
      <vt:variant>
        <vt:lpwstr/>
      </vt:variant>
      <vt:variant>
        <vt:i4>2228278</vt:i4>
      </vt:variant>
      <vt:variant>
        <vt:i4>6</vt:i4>
      </vt:variant>
      <vt:variant>
        <vt:i4>0</vt:i4>
      </vt:variant>
      <vt:variant>
        <vt:i4>5</vt:i4>
      </vt:variant>
      <vt:variant>
        <vt:lpwstr>https://doi.org/10.1007/s40123-021-00354-1</vt:lpwstr>
      </vt:variant>
      <vt:variant>
        <vt:lpwstr/>
      </vt:variant>
      <vt:variant>
        <vt:i4>5832725</vt:i4>
      </vt:variant>
      <vt:variant>
        <vt:i4>3</vt:i4>
      </vt:variant>
      <vt:variant>
        <vt:i4>0</vt:i4>
      </vt:variant>
      <vt:variant>
        <vt:i4>5</vt:i4>
      </vt:variant>
      <vt:variant>
        <vt:lpwstr>https://doi.org/10.1001/jamaophthalmol.2017.4182</vt:lpwstr>
      </vt:variant>
      <vt:variant>
        <vt:lpwstr/>
      </vt:variant>
      <vt:variant>
        <vt:i4>3932275</vt:i4>
      </vt:variant>
      <vt:variant>
        <vt:i4>0</vt:i4>
      </vt:variant>
      <vt:variant>
        <vt:i4>0</vt:i4>
      </vt:variant>
      <vt:variant>
        <vt:i4>5</vt:i4>
      </vt:variant>
      <vt:variant>
        <vt:lpwstr>https://doi.org/10.1001/jama.2023.26074</vt:lpwstr>
      </vt:variant>
      <vt:variant>
        <vt:lpwstr/>
      </vt:variant>
      <vt:variant>
        <vt:i4>5570604</vt:i4>
      </vt:variant>
      <vt:variant>
        <vt:i4>0</vt:i4>
      </vt:variant>
      <vt:variant>
        <vt:i4>0</vt:i4>
      </vt:variant>
      <vt:variant>
        <vt:i4>5</vt:i4>
      </vt:variant>
      <vt:variant>
        <vt:lpwstr>mailto:SEBALJO1@sandoz.net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Afqlir; Enzeevu</dc:title>
  <dc:subject>Prescription medicines</dc:subject>
  <dc:creator>Therapeutic Goods Administration</dc:creator>
  <cp:keywords/>
  <dc:description/>
  <cp:lastModifiedBy>LACK, Janet</cp:lastModifiedBy>
  <cp:revision>6</cp:revision>
  <dcterms:created xsi:type="dcterms:W3CDTF">2025-11-11T22:44:00Z</dcterms:created>
  <dcterms:modified xsi:type="dcterms:W3CDTF">2025-11-11T23:49:00Z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0x0101003D38474D29EBCF459563F4CAD7BD190A</vt:lpwstr>
  </property>
  <property fmtid="{D5CDD505-2E9C-101B-9397-08002B2CF9AE}" pid="3" name="ClassificationContentMarkingHeaderShapeIds">
    <vt:lpwstr>775a2159,26c34cad,242b6eeb,738d64e4,5dc962da</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5b2d90f9,429bd7f,619497bf,48ac41b5,6e75858c</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2025-10-28T01:42:14Z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002d4ebe-b99f-4ce8-98b1-4221a79db2a9</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