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2FAD6471" w:rsidR="00F02AEC" w:rsidRPr="00215D48" w:rsidRDefault="00346EC2" w:rsidP="007452E8">
            <w:pPr>
              <w:pStyle w:val="Title"/>
            </w:pPr>
            <w:r w:rsidRPr="00346EC2">
              <w:t>Australian Public Assessment Report for</w:t>
            </w:r>
            <w:r w:rsidR="00207474">
              <w:t xml:space="preserve"> </w:t>
            </w:r>
            <w:r w:rsidR="00554EAE">
              <w:t>Lazcluze</w:t>
            </w:r>
          </w:p>
        </w:tc>
      </w:tr>
      <w:tr w:rsidR="00F02AEC" w:rsidRPr="00215D48" w14:paraId="318A40A3" w14:textId="77777777" w:rsidTr="00346EC2">
        <w:trPr>
          <w:trHeight w:val="995"/>
        </w:trPr>
        <w:tc>
          <w:tcPr>
            <w:tcW w:w="8720" w:type="dxa"/>
          </w:tcPr>
          <w:p w14:paraId="1AA7C701" w14:textId="162CF45B" w:rsidR="00F02AEC" w:rsidRPr="00215D48" w:rsidRDefault="00346EC2" w:rsidP="007452E8">
            <w:pPr>
              <w:pStyle w:val="Subtitle"/>
              <w:ind w:left="0"/>
            </w:pPr>
            <w:r w:rsidRPr="00346EC2">
              <w:t>Active ingredient:</w:t>
            </w:r>
            <w:r w:rsidR="00BF46DC">
              <w:t xml:space="preserve"> </w:t>
            </w:r>
            <w:bookmarkStart w:id="0" w:name="_Hlk210211456"/>
            <w:r w:rsidR="00B10DCB">
              <w:t>L</w:t>
            </w:r>
            <w:r w:rsidR="006E6321">
              <w:t>azertinib</w:t>
            </w:r>
            <w:bookmarkEnd w:id="0"/>
          </w:p>
        </w:tc>
      </w:tr>
      <w:tr w:rsidR="00346EC2" w:rsidRPr="000D3BF4" w14:paraId="362CCAE4" w14:textId="77777777" w:rsidTr="007452E8">
        <w:trPr>
          <w:trHeight w:val="1916"/>
        </w:trPr>
        <w:tc>
          <w:tcPr>
            <w:tcW w:w="8720" w:type="dxa"/>
          </w:tcPr>
          <w:p w14:paraId="709C45C0" w14:textId="4817AA32" w:rsidR="00346EC2" w:rsidRPr="009C09FF" w:rsidRDefault="00346EC2" w:rsidP="007452E8">
            <w:pPr>
              <w:pStyle w:val="Subtitle"/>
              <w:ind w:left="0"/>
              <w:rPr>
                <w:lang w:val="nl-BE"/>
              </w:rPr>
            </w:pPr>
            <w:r w:rsidRPr="009C09FF">
              <w:rPr>
                <w:lang w:val="nl-BE"/>
              </w:rPr>
              <w:t>Sponsor:</w:t>
            </w:r>
            <w:r w:rsidR="00C77B19" w:rsidRPr="009C09FF">
              <w:rPr>
                <w:lang w:val="nl-BE"/>
              </w:rPr>
              <w:t xml:space="preserve"> </w:t>
            </w:r>
            <w:bookmarkStart w:id="1" w:name="_Hlk210211492"/>
            <w:r w:rsidR="00824E93" w:rsidRPr="009C09FF">
              <w:rPr>
                <w:lang w:val="nl-BE"/>
              </w:rPr>
              <w:t>Janssen-Cilag Pty Ltd</w:t>
            </w:r>
            <w:bookmarkEnd w:id="1"/>
          </w:p>
        </w:tc>
      </w:tr>
      <w:tr w:rsidR="00F02AEC" w:rsidRPr="00215D48" w14:paraId="37F2AA1F" w14:textId="77777777" w:rsidTr="007452E8">
        <w:tc>
          <w:tcPr>
            <w:tcW w:w="8720" w:type="dxa"/>
          </w:tcPr>
          <w:p w14:paraId="1FDE8DCD" w14:textId="10AC5772" w:rsidR="00F02AEC" w:rsidRPr="00215D48" w:rsidRDefault="00824E93" w:rsidP="007452E8">
            <w:pPr>
              <w:pStyle w:val="Date"/>
            </w:pPr>
            <w:r>
              <w:t>August</w:t>
            </w:r>
            <w:r w:rsidR="004960BD">
              <w:t xml:space="preserve"> </w:t>
            </w:r>
            <w:r>
              <w:t>2025</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038D0DA4"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2"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3"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796829F4" w:rsidR="00175CD8" w:rsidRPr="00346EC2" w:rsidRDefault="00F02AEC" w:rsidP="00346EC2">
      <w:pPr>
        <w:pStyle w:val="LegalCopy"/>
        <w:rPr>
          <w:rFonts w:cs="Arial"/>
        </w:rPr>
      </w:pPr>
      <w:r w:rsidRPr="00215D48">
        <w:rPr>
          <w:rFonts w:cs="Arial"/>
        </w:rPr>
        <w:t>© Commonwealth of Australia 20</w:t>
      </w:r>
      <w:r>
        <w:rPr>
          <w:rFonts w:cs="Arial"/>
        </w:rPr>
        <w:t>2</w:t>
      </w:r>
      <w:r w:rsidR="00210F9B">
        <w:rPr>
          <w:rFonts w:cs="Arial"/>
        </w:rPr>
        <w:t>5</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215D48">
          <w:rPr>
            <w:rStyle w:val="Hyperlink"/>
            <w:rFonts w:cs="Arial"/>
          </w:rPr>
          <w:t>tga.copyright@tga.gov.au</w:t>
        </w:r>
      </w:hyperlink>
      <w:r w:rsidRPr="00215D48">
        <w:rPr>
          <w:rFonts w:cs="Arial"/>
        </w:rPr>
        <w:t>&gt;.</w:t>
      </w:r>
    </w:p>
    <w:sdt>
      <w:sdtPr>
        <w:rPr>
          <w:rFonts w:ascii="Cambria" w:eastAsiaTheme="minorEastAsia" w:hAnsi="Cambria" w:cstheme="minorBidi"/>
          <w:b w:val="0"/>
          <w:color w:val="auto"/>
          <w:sz w:val="22"/>
          <w:szCs w:val="22"/>
        </w:rPr>
        <w:id w:val="21514769"/>
        <w:docPartObj>
          <w:docPartGallery w:val="Table of Contents"/>
          <w:docPartUnique/>
        </w:docPartObj>
      </w:sdtPr>
      <w:sdtEndPr/>
      <w:sdtContent>
        <w:p w14:paraId="0A6ADA2B" w14:textId="77777777" w:rsidR="00F02AEC" w:rsidRPr="00215D48" w:rsidRDefault="00F02AEC" w:rsidP="007452E8">
          <w:pPr>
            <w:pStyle w:val="NonTOCheading2"/>
          </w:pPr>
          <w:r w:rsidRPr="00215D48">
            <w:t>Contents</w:t>
          </w:r>
        </w:p>
        <w:p w14:paraId="553CAE93" w14:textId="21059A88" w:rsidR="00554EAE" w:rsidRDefault="00F02AEC">
          <w:pPr>
            <w:pStyle w:val="TOC2"/>
            <w:rPr>
              <w:rFonts w:asciiTheme="minorHAnsi" w:eastAsiaTheme="minorEastAsia" w:hAnsiTheme="minorHAnsi" w:cstheme="minorBidi"/>
              <w:b w:val="0"/>
              <w:noProof/>
              <w:color w:val="auto"/>
              <w:kern w:val="2"/>
              <w:sz w:val="24"/>
              <w:szCs w:val="24"/>
              <w:lang w:eastAsia="en-AU"/>
              <w14:ligatures w14:val="standardContextual"/>
            </w:rPr>
          </w:pPr>
          <w:r w:rsidRPr="00215D48">
            <w:rPr>
              <w:sz w:val="32"/>
            </w:rPr>
            <w:fldChar w:fldCharType="begin"/>
          </w:r>
          <w:r w:rsidRPr="00215D48">
            <w:instrText xml:space="preserve"> TOC \h \z \u \t "Heading 2,1,Heading 3,2,Heading 4,3" </w:instrText>
          </w:r>
          <w:r w:rsidRPr="00215D48">
            <w:rPr>
              <w:sz w:val="32"/>
            </w:rPr>
            <w:fldChar w:fldCharType="separate"/>
          </w:r>
          <w:hyperlink w:anchor="_Toc209441285" w:history="1">
            <w:r w:rsidR="00554EAE" w:rsidRPr="004E5829">
              <w:rPr>
                <w:rStyle w:val="Hyperlink"/>
                <w:noProof/>
              </w:rPr>
              <w:t>List of abbreviations</w:t>
            </w:r>
            <w:r w:rsidR="00554EAE">
              <w:rPr>
                <w:noProof/>
                <w:webHidden/>
              </w:rPr>
              <w:tab/>
            </w:r>
            <w:r w:rsidR="00554EAE">
              <w:rPr>
                <w:noProof/>
                <w:webHidden/>
              </w:rPr>
              <w:fldChar w:fldCharType="begin"/>
            </w:r>
            <w:r w:rsidR="00554EAE">
              <w:rPr>
                <w:noProof/>
                <w:webHidden/>
              </w:rPr>
              <w:instrText xml:space="preserve"> PAGEREF _Toc209441285 \h </w:instrText>
            </w:r>
            <w:r w:rsidR="00554EAE">
              <w:rPr>
                <w:noProof/>
                <w:webHidden/>
              </w:rPr>
            </w:r>
            <w:r w:rsidR="00554EAE">
              <w:rPr>
                <w:noProof/>
                <w:webHidden/>
              </w:rPr>
              <w:fldChar w:fldCharType="separate"/>
            </w:r>
            <w:r w:rsidR="00554EAE">
              <w:rPr>
                <w:noProof/>
                <w:webHidden/>
              </w:rPr>
              <w:t>4</w:t>
            </w:r>
            <w:r w:rsidR="00554EAE">
              <w:rPr>
                <w:noProof/>
                <w:webHidden/>
              </w:rPr>
              <w:fldChar w:fldCharType="end"/>
            </w:r>
          </w:hyperlink>
        </w:p>
        <w:p w14:paraId="14021F43" w14:textId="571488D2" w:rsidR="00554EAE" w:rsidRDefault="00554EAE">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9441286" w:history="1">
            <w:r w:rsidRPr="004E5829">
              <w:rPr>
                <w:rStyle w:val="Hyperlink"/>
                <w:noProof/>
              </w:rPr>
              <w:t>Lazcluze (lazertinib) submission</w:t>
            </w:r>
            <w:r>
              <w:rPr>
                <w:noProof/>
                <w:webHidden/>
              </w:rPr>
              <w:tab/>
            </w:r>
            <w:r>
              <w:rPr>
                <w:noProof/>
                <w:webHidden/>
              </w:rPr>
              <w:fldChar w:fldCharType="begin"/>
            </w:r>
            <w:r>
              <w:rPr>
                <w:noProof/>
                <w:webHidden/>
              </w:rPr>
              <w:instrText xml:space="preserve"> PAGEREF _Toc209441286 \h </w:instrText>
            </w:r>
            <w:r>
              <w:rPr>
                <w:noProof/>
                <w:webHidden/>
              </w:rPr>
            </w:r>
            <w:r>
              <w:rPr>
                <w:noProof/>
                <w:webHidden/>
              </w:rPr>
              <w:fldChar w:fldCharType="separate"/>
            </w:r>
            <w:r>
              <w:rPr>
                <w:noProof/>
                <w:webHidden/>
              </w:rPr>
              <w:t>5</w:t>
            </w:r>
            <w:r>
              <w:rPr>
                <w:noProof/>
                <w:webHidden/>
              </w:rPr>
              <w:fldChar w:fldCharType="end"/>
            </w:r>
          </w:hyperlink>
        </w:p>
        <w:p w14:paraId="3076095C" w14:textId="113CAEDE" w:rsidR="00554EAE" w:rsidRDefault="00554EA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9441287" w:history="1">
            <w:r w:rsidRPr="004E5829">
              <w:rPr>
                <w:rStyle w:val="Hyperlink"/>
                <w:noProof/>
              </w:rPr>
              <w:t>Proposed indication</w:t>
            </w:r>
            <w:r>
              <w:rPr>
                <w:noProof/>
                <w:webHidden/>
              </w:rPr>
              <w:tab/>
            </w:r>
            <w:r>
              <w:rPr>
                <w:noProof/>
                <w:webHidden/>
              </w:rPr>
              <w:fldChar w:fldCharType="begin"/>
            </w:r>
            <w:r>
              <w:rPr>
                <w:noProof/>
                <w:webHidden/>
              </w:rPr>
              <w:instrText xml:space="preserve"> PAGEREF _Toc209441287 \h </w:instrText>
            </w:r>
            <w:r>
              <w:rPr>
                <w:noProof/>
                <w:webHidden/>
              </w:rPr>
            </w:r>
            <w:r>
              <w:rPr>
                <w:noProof/>
                <w:webHidden/>
              </w:rPr>
              <w:fldChar w:fldCharType="separate"/>
            </w:r>
            <w:r>
              <w:rPr>
                <w:noProof/>
                <w:webHidden/>
              </w:rPr>
              <w:t>6</w:t>
            </w:r>
            <w:r>
              <w:rPr>
                <w:noProof/>
                <w:webHidden/>
              </w:rPr>
              <w:fldChar w:fldCharType="end"/>
            </w:r>
          </w:hyperlink>
        </w:p>
        <w:p w14:paraId="3B51D4DB" w14:textId="7350A312" w:rsidR="00554EAE" w:rsidRDefault="00554EA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9441288" w:history="1">
            <w:r w:rsidRPr="004E5829">
              <w:rPr>
                <w:rStyle w:val="Hyperlink"/>
                <w:noProof/>
              </w:rPr>
              <w:t>The condition</w:t>
            </w:r>
            <w:r>
              <w:rPr>
                <w:noProof/>
                <w:webHidden/>
              </w:rPr>
              <w:tab/>
            </w:r>
            <w:r>
              <w:rPr>
                <w:noProof/>
                <w:webHidden/>
              </w:rPr>
              <w:fldChar w:fldCharType="begin"/>
            </w:r>
            <w:r>
              <w:rPr>
                <w:noProof/>
                <w:webHidden/>
              </w:rPr>
              <w:instrText xml:space="preserve"> PAGEREF _Toc209441288 \h </w:instrText>
            </w:r>
            <w:r>
              <w:rPr>
                <w:noProof/>
                <w:webHidden/>
              </w:rPr>
            </w:r>
            <w:r>
              <w:rPr>
                <w:noProof/>
                <w:webHidden/>
              </w:rPr>
              <w:fldChar w:fldCharType="separate"/>
            </w:r>
            <w:r>
              <w:rPr>
                <w:noProof/>
                <w:webHidden/>
              </w:rPr>
              <w:t>6</w:t>
            </w:r>
            <w:r>
              <w:rPr>
                <w:noProof/>
                <w:webHidden/>
              </w:rPr>
              <w:fldChar w:fldCharType="end"/>
            </w:r>
          </w:hyperlink>
        </w:p>
        <w:p w14:paraId="4D5FA582" w14:textId="7479E98F" w:rsidR="00554EAE" w:rsidRDefault="00554EA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9441289" w:history="1">
            <w:r w:rsidRPr="004E5829">
              <w:rPr>
                <w:rStyle w:val="Hyperlink"/>
                <w:noProof/>
              </w:rPr>
              <w:t>Current treatment options</w:t>
            </w:r>
            <w:r>
              <w:rPr>
                <w:noProof/>
                <w:webHidden/>
              </w:rPr>
              <w:tab/>
            </w:r>
            <w:r>
              <w:rPr>
                <w:noProof/>
                <w:webHidden/>
              </w:rPr>
              <w:fldChar w:fldCharType="begin"/>
            </w:r>
            <w:r>
              <w:rPr>
                <w:noProof/>
                <w:webHidden/>
              </w:rPr>
              <w:instrText xml:space="preserve"> PAGEREF _Toc209441289 \h </w:instrText>
            </w:r>
            <w:r>
              <w:rPr>
                <w:noProof/>
                <w:webHidden/>
              </w:rPr>
            </w:r>
            <w:r>
              <w:rPr>
                <w:noProof/>
                <w:webHidden/>
              </w:rPr>
              <w:fldChar w:fldCharType="separate"/>
            </w:r>
            <w:r>
              <w:rPr>
                <w:noProof/>
                <w:webHidden/>
              </w:rPr>
              <w:t>6</w:t>
            </w:r>
            <w:r>
              <w:rPr>
                <w:noProof/>
                <w:webHidden/>
              </w:rPr>
              <w:fldChar w:fldCharType="end"/>
            </w:r>
          </w:hyperlink>
        </w:p>
        <w:p w14:paraId="695D3ECC" w14:textId="5EBC8FE1" w:rsidR="00554EAE" w:rsidRDefault="00554EA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9441290" w:history="1">
            <w:r w:rsidRPr="004E5829">
              <w:rPr>
                <w:rStyle w:val="Hyperlink"/>
                <w:noProof/>
              </w:rPr>
              <w:t>Clinical rationale</w:t>
            </w:r>
            <w:r>
              <w:rPr>
                <w:noProof/>
                <w:webHidden/>
              </w:rPr>
              <w:tab/>
            </w:r>
            <w:r>
              <w:rPr>
                <w:noProof/>
                <w:webHidden/>
              </w:rPr>
              <w:fldChar w:fldCharType="begin"/>
            </w:r>
            <w:r>
              <w:rPr>
                <w:noProof/>
                <w:webHidden/>
              </w:rPr>
              <w:instrText xml:space="preserve"> PAGEREF _Toc209441290 \h </w:instrText>
            </w:r>
            <w:r>
              <w:rPr>
                <w:noProof/>
                <w:webHidden/>
              </w:rPr>
            </w:r>
            <w:r>
              <w:rPr>
                <w:noProof/>
                <w:webHidden/>
              </w:rPr>
              <w:fldChar w:fldCharType="separate"/>
            </w:r>
            <w:r>
              <w:rPr>
                <w:noProof/>
                <w:webHidden/>
              </w:rPr>
              <w:t>7</w:t>
            </w:r>
            <w:r>
              <w:rPr>
                <w:noProof/>
                <w:webHidden/>
              </w:rPr>
              <w:fldChar w:fldCharType="end"/>
            </w:r>
          </w:hyperlink>
        </w:p>
        <w:p w14:paraId="393EF865" w14:textId="2EFBFEE0" w:rsidR="00554EAE" w:rsidRDefault="00554EA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9441291" w:history="1">
            <w:r w:rsidRPr="004E5829">
              <w:rPr>
                <w:rStyle w:val="Hyperlink"/>
                <w:noProof/>
              </w:rPr>
              <w:t>Regulatory status</w:t>
            </w:r>
            <w:r>
              <w:rPr>
                <w:noProof/>
                <w:webHidden/>
              </w:rPr>
              <w:tab/>
            </w:r>
            <w:r>
              <w:rPr>
                <w:noProof/>
                <w:webHidden/>
              </w:rPr>
              <w:fldChar w:fldCharType="begin"/>
            </w:r>
            <w:r>
              <w:rPr>
                <w:noProof/>
                <w:webHidden/>
              </w:rPr>
              <w:instrText xml:space="preserve"> PAGEREF _Toc209441291 \h </w:instrText>
            </w:r>
            <w:r>
              <w:rPr>
                <w:noProof/>
                <w:webHidden/>
              </w:rPr>
            </w:r>
            <w:r>
              <w:rPr>
                <w:noProof/>
                <w:webHidden/>
              </w:rPr>
              <w:fldChar w:fldCharType="separate"/>
            </w:r>
            <w:r>
              <w:rPr>
                <w:noProof/>
                <w:webHidden/>
              </w:rPr>
              <w:t>7</w:t>
            </w:r>
            <w:r>
              <w:rPr>
                <w:noProof/>
                <w:webHidden/>
              </w:rPr>
              <w:fldChar w:fldCharType="end"/>
            </w:r>
          </w:hyperlink>
        </w:p>
        <w:p w14:paraId="3FCBFDD4" w14:textId="4EAD59BC" w:rsidR="00554EAE" w:rsidRDefault="00554EAE">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9441292" w:history="1">
            <w:r w:rsidRPr="004E5829">
              <w:rPr>
                <w:rStyle w:val="Hyperlink"/>
                <w:noProof/>
              </w:rPr>
              <w:t>Registration timeline</w:t>
            </w:r>
            <w:r>
              <w:rPr>
                <w:noProof/>
                <w:webHidden/>
              </w:rPr>
              <w:tab/>
            </w:r>
            <w:r>
              <w:rPr>
                <w:noProof/>
                <w:webHidden/>
              </w:rPr>
              <w:fldChar w:fldCharType="begin"/>
            </w:r>
            <w:r>
              <w:rPr>
                <w:noProof/>
                <w:webHidden/>
              </w:rPr>
              <w:instrText xml:space="preserve"> PAGEREF _Toc209441292 \h </w:instrText>
            </w:r>
            <w:r>
              <w:rPr>
                <w:noProof/>
                <w:webHidden/>
              </w:rPr>
            </w:r>
            <w:r>
              <w:rPr>
                <w:noProof/>
                <w:webHidden/>
              </w:rPr>
              <w:fldChar w:fldCharType="separate"/>
            </w:r>
            <w:r>
              <w:rPr>
                <w:noProof/>
                <w:webHidden/>
              </w:rPr>
              <w:t>9</w:t>
            </w:r>
            <w:r>
              <w:rPr>
                <w:noProof/>
                <w:webHidden/>
              </w:rPr>
              <w:fldChar w:fldCharType="end"/>
            </w:r>
          </w:hyperlink>
        </w:p>
        <w:p w14:paraId="0FD57E44" w14:textId="3687EC94" w:rsidR="00554EAE" w:rsidRDefault="00554EAE">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9441293" w:history="1">
            <w:r w:rsidRPr="004E5829">
              <w:rPr>
                <w:rStyle w:val="Hyperlink"/>
                <w:noProof/>
              </w:rPr>
              <w:t>Assessment overview</w:t>
            </w:r>
            <w:r>
              <w:rPr>
                <w:noProof/>
                <w:webHidden/>
              </w:rPr>
              <w:tab/>
            </w:r>
            <w:r>
              <w:rPr>
                <w:noProof/>
                <w:webHidden/>
              </w:rPr>
              <w:fldChar w:fldCharType="begin"/>
            </w:r>
            <w:r>
              <w:rPr>
                <w:noProof/>
                <w:webHidden/>
              </w:rPr>
              <w:instrText xml:space="preserve"> PAGEREF _Toc209441293 \h </w:instrText>
            </w:r>
            <w:r>
              <w:rPr>
                <w:noProof/>
                <w:webHidden/>
              </w:rPr>
            </w:r>
            <w:r>
              <w:rPr>
                <w:noProof/>
                <w:webHidden/>
              </w:rPr>
              <w:fldChar w:fldCharType="separate"/>
            </w:r>
            <w:r>
              <w:rPr>
                <w:noProof/>
                <w:webHidden/>
              </w:rPr>
              <w:t>9</w:t>
            </w:r>
            <w:r>
              <w:rPr>
                <w:noProof/>
                <w:webHidden/>
              </w:rPr>
              <w:fldChar w:fldCharType="end"/>
            </w:r>
          </w:hyperlink>
        </w:p>
        <w:p w14:paraId="0C59BECA" w14:textId="678B6699" w:rsidR="00554EAE" w:rsidRDefault="00554EA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9441294" w:history="1">
            <w:r w:rsidRPr="004E5829">
              <w:rPr>
                <w:rStyle w:val="Hyperlink"/>
                <w:noProof/>
              </w:rPr>
              <w:t>Quality evaluation summary</w:t>
            </w:r>
            <w:r>
              <w:rPr>
                <w:noProof/>
                <w:webHidden/>
              </w:rPr>
              <w:tab/>
            </w:r>
            <w:r>
              <w:rPr>
                <w:noProof/>
                <w:webHidden/>
              </w:rPr>
              <w:fldChar w:fldCharType="begin"/>
            </w:r>
            <w:r>
              <w:rPr>
                <w:noProof/>
                <w:webHidden/>
              </w:rPr>
              <w:instrText xml:space="preserve"> PAGEREF _Toc209441294 \h </w:instrText>
            </w:r>
            <w:r>
              <w:rPr>
                <w:noProof/>
                <w:webHidden/>
              </w:rPr>
            </w:r>
            <w:r>
              <w:rPr>
                <w:noProof/>
                <w:webHidden/>
              </w:rPr>
              <w:fldChar w:fldCharType="separate"/>
            </w:r>
            <w:r>
              <w:rPr>
                <w:noProof/>
                <w:webHidden/>
              </w:rPr>
              <w:t>9</w:t>
            </w:r>
            <w:r>
              <w:rPr>
                <w:noProof/>
                <w:webHidden/>
              </w:rPr>
              <w:fldChar w:fldCharType="end"/>
            </w:r>
          </w:hyperlink>
        </w:p>
        <w:p w14:paraId="69F8F4D1" w14:textId="1D215FF4" w:rsidR="00554EAE" w:rsidRDefault="00554EA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9441295" w:history="1">
            <w:r w:rsidRPr="004E5829">
              <w:rPr>
                <w:rStyle w:val="Hyperlink"/>
                <w:noProof/>
              </w:rPr>
              <w:t>Nonclinical evaluation summary</w:t>
            </w:r>
            <w:r>
              <w:rPr>
                <w:noProof/>
                <w:webHidden/>
              </w:rPr>
              <w:tab/>
            </w:r>
            <w:r>
              <w:rPr>
                <w:noProof/>
                <w:webHidden/>
              </w:rPr>
              <w:fldChar w:fldCharType="begin"/>
            </w:r>
            <w:r>
              <w:rPr>
                <w:noProof/>
                <w:webHidden/>
              </w:rPr>
              <w:instrText xml:space="preserve"> PAGEREF _Toc209441295 \h </w:instrText>
            </w:r>
            <w:r>
              <w:rPr>
                <w:noProof/>
                <w:webHidden/>
              </w:rPr>
            </w:r>
            <w:r>
              <w:rPr>
                <w:noProof/>
                <w:webHidden/>
              </w:rPr>
              <w:fldChar w:fldCharType="separate"/>
            </w:r>
            <w:r>
              <w:rPr>
                <w:noProof/>
                <w:webHidden/>
              </w:rPr>
              <w:t>10</w:t>
            </w:r>
            <w:r>
              <w:rPr>
                <w:noProof/>
                <w:webHidden/>
              </w:rPr>
              <w:fldChar w:fldCharType="end"/>
            </w:r>
          </w:hyperlink>
        </w:p>
        <w:p w14:paraId="0ED4E0ED" w14:textId="30908E1F" w:rsidR="00554EAE" w:rsidRDefault="00554EA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9441296" w:history="1">
            <w:r w:rsidRPr="004E5829">
              <w:rPr>
                <w:rStyle w:val="Hyperlink"/>
                <w:noProof/>
              </w:rPr>
              <w:t>Clinical evaluation summary</w:t>
            </w:r>
            <w:r>
              <w:rPr>
                <w:noProof/>
                <w:webHidden/>
              </w:rPr>
              <w:tab/>
            </w:r>
            <w:r>
              <w:rPr>
                <w:noProof/>
                <w:webHidden/>
              </w:rPr>
              <w:fldChar w:fldCharType="begin"/>
            </w:r>
            <w:r>
              <w:rPr>
                <w:noProof/>
                <w:webHidden/>
              </w:rPr>
              <w:instrText xml:space="preserve"> PAGEREF _Toc209441296 \h </w:instrText>
            </w:r>
            <w:r>
              <w:rPr>
                <w:noProof/>
                <w:webHidden/>
              </w:rPr>
            </w:r>
            <w:r>
              <w:rPr>
                <w:noProof/>
                <w:webHidden/>
              </w:rPr>
              <w:fldChar w:fldCharType="separate"/>
            </w:r>
            <w:r>
              <w:rPr>
                <w:noProof/>
                <w:webHidden/>
              </w:rPr>
              <w:t>11</w:t>
            </w:r>
            <w:r>
              <w:rPr>
                <w:noProof/>
                <w:webHidden/>
              </w:rPr>
              <w:fldChar w:fldCharType="end"/>
            </w:r>
          </w:hyperlink>
        </w:p>
        <w:p w14:paraId="17C5A643" w14:textId="548D2446" w:rsidR="00554EAE" w:rsidRDefault="00554EA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9441297" w:history="1">
            <w:r w:rsidRPr="004E5829">
              <w:rPr>
                <w:rStyle w:val="Hyperlink"/>
                <w:noProof/>
              </w:rPr>
              <w:t>Pharmacology</w:t>
            </w:r>
            <w:r>
              <w:rPr>
                <w:noProof/>
                <w:webHidden/>
              </w:rPr>
              <w:tab/>
            </w:r>
            <w:r>
              <w:rPr>
                <w:noProof/>
                <w:webHidden/>
              </w:rPr>
              <w:fldChar w:fldCharType="begin"/>
            </w:r>
            <w:r>
              <w:rPr>
                <w:noProof/>
                <w:webHidden/>
              </w:rPr>
              <w:instrText xml:space="preserve"> PAGEREF _Toc209441297 \h </w:instrText>
            </w:r>
            <w:r>
              <w:rPr>
                <w:noProof/>
                <w:webHidden/>
              </w:rPr>
            </w:r>
            <w:r>
              <w:rPr>
                <w:noProof/>
                <w:webHidden/>
              </w:rPr>
              <w:fldChar w:fldCharType="separate"/>
            </w:r>
            <w:r>
              <w:rPr>
                <w:noProof/>
                <w:webHidden/>
              </w:rPr>
              <w:t>11</w:t>
            </w:r>
            <w:r>
              <w:rPr>
                <w:noProof/>
                <w:webHidden/>
              </w:rPr>
              <w:fldChar w:fldCharType="end"/>
            </w:r>
          </w:hyperlink>
        </w:p>
        <w:p w14:paraId="14881ABB" w14:textId="5C5F820C" w:rsidR="00554EAE" w:rsidRDefault="00554EA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9441298" w:history="1">
            <w:r w:rsidRPr="004E5829">
              <w:rPr>
                <w:rStyle w:val="Hyperlink"/>
                <w:noProof/>
              </w:rPr>
              <w:t>Efficacy</w:t>
            </w:r>
            <w:r>
              <w:rPr>
                <w:noProof/>
                <w:webHidden/>
              </w:rPr>
              <w:tab/>
            </w:r>
            <w:r>
              <w:rPr>
                <w:noProof/>
                <w:webHidden/>
              </w:rPr>
              <w:fldChar w:fldCharType="begin"/>
            </w:r>
            <w:r>
              <w:rPr>
                <w:noProof/>
                <w:webHidden/>
              </w:rPr>
              <w:instrText xml:space="preserve"> PAGEREF _Toc209441298 \h </w:instrText>
            </w:r>
            <w:r>
              <w:rPr>
                <w:noProof/>
                <w:webHidden/>
              </w:rPr>
            </w:r>
            <w:r>
              <w:rPr>
                <w:noProof/>
                <w:webHidden/>
              </w:rPr>
              <w:fldChar w:fldCharType="separate"/>
            </w:r>
            <w:r>
              <w:rPr>
                <w:noProof/>
                <w:webHidden/>
              </w:rPr>
              <w:t>14</w:t>
            </w:r>
            <w:r>
              <w:rPr>
                <w:noProof/>
                <w:webHidden/>
              </w:rPr>
              <w:fldChar w:fldCharType="end"/>
            </w:r>
          </w:hyperlink>
        </w:p>
        <w:p w14:paraId="447628DD" w14:textId="258304DF" w:rsidR="00554EAE" w:rsidRDefault="00554EA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9441299" w:history="1">
            <w:r w:rsidRPr="004E5829">
              <w:rPr>
                <w:rStyle w:val="Hyperlink"/>
                <w:noProof/>
              </w:rPr>
              <w:t>Safety</w:t>
            </w:r>
            <w:r>
              <w:rPr>
                <w:noProof/>
                <w:webHidden/>
              </w:rPr>
              <w:tab/>
            </w:r>
            <w:r>
              <w:rPr>
                <w:noProof/>
                <w:webHidden/>
              </w:rPr>
              <w:fldChar w:fldCharType="begin"/>
            </w:r>
            <w:r>
              <w:rPr>
                <w:noProof/>
                <w:webHidden/>
              </w:rPr>
              <w:instrText xml:space="preserve"> PAGEREF _Toc209441299 \h </w:instrText>
            </w:r>
            <w:r>
              <w:rPr>
                <w:noProof/>
                <w:webHidden/>
              </w:rPr>
            </w:r>
            <w:r>
              <w:rPr>
                <w:noProof/>
                <w:webHidden/>
              </w:rPr>
              <w:fldChar w:fldCharType="separate"/>
            </w:r>
            <w:r>
              <w:rPr>
                <w:noProof/>
                <w:webHidden/>
              </w:rPr>
              <w:t>19</w:t>
            </w:r>
            <w:r>
              <w:rPr>
                <w:noProof/>
                <w:webHidden/>
              </w:rPr>
              <w:fldChar w:fldCharType="end"/>
            </w:r>
          </w:hyperlink>
        </w:p>
        <w:p w14:paraId="040A7138" w14:textId="00906FC5" w:rsidR="00554EAE" w:rsidRDefault="00554EA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9441300" w:history="1">
            <w:r w:rsidRPr="004E5829">
              <w:rPr>
                <w:rStyle w:val="Hyperlink"/>
                <w:noProof/>
                <w:lang w:eastAsia="en-AU"/>
              </w:rPr>
              <w:t>Risk management plan evaluation summary</w:t>
            </w:r>
            <w:r>
              <w:rPr>
                <w:noProof/>
                <w:webHidden/>
              </w:rPr>
              <w:tab/>
            </w:r>
            <w:r>
              <w:rPr>
                <w:noProof/>
                <w:webHidden/>
              </w:rPr>
              <w:fldChar w:fldCharType="begin"/>
            </w:r>
            <w:r>
              <w:rPr>
                <w:noProof/>
                <w:webHidden/>
              </w:rPr>
              <w:instrText xml:space="preserve"> PAGEREF _Toc209441300 \h </w:instrText>
            </w:r>
            <w:r>
              <w:rPr>
                <w:noProof/>
                <w:webHidden/>
              </w:rPr>
            </w:r>
            <w:r>
              <w:rPr>
                <w:noProof/>
                <w:webHidden/>
              </w:rPr>
              <w:fldChar w:fldCharType="separate"/>
            </w:r>
            <w:r>
              <w:rPr>
                <w:noProof/>
                <w:webHidden/>
              </w:rPr>
              <w:t>22</w:t>
            </w:r>
            <w:r>
              <w:rPr>
                <w:noProof/>
                <w:webHidden/>
              </w:rPr>
              <w:fldChar w:fldCharType="end"/>
            </w:r>
          </w:hyperlink>
        </w:p>
        <w:p w14:paraId="1FA61709" w14:textId="241DFDB0" w:rsidR="00554EAE" w:rsidRDefault="00554EA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9441301" w:history="1">
            <w:r w:rsidRPr="004E5829">
              <w:rPr>
                <w:rStyle w:val="Hyperlink"/>
                <w:noProof/>
              </w:rPr>
              <w:t>Risk-benefit analysis</w:t>
            </w:r>
            <w:r>
              <w:rPr>
                <w:noProof/>
                <w:webHidden/>
              </w:rPr>
              <w:tab/>
            </w:r>
            <w:r>
              <w:rPr>
                <w:noProof/>
                <w:webHidden/>
              </w:rPr>
              <w:fldChar w:fldCharType="begin"/>
            </w:r>
            <w:r>
              <w:rPr>
                <w:noProof/>
                <w:webHidden/>
              </w:rPr>
              <w:instrText xml:space="preserve"> PAGEREF _Toc209441301 \h </w:instrText>
            </w:r>
            <w:r>
              <w:rPr>
                <w:noProof/>
                <w:webHidden/>
              </w:rPr>
            </w:r>
            <w:r>
              <w:rPr>
                <w:noProof/>
                <w:webHidden/>
              </w:rPr>
              <w:fldChar w:fldCharType="separate"/>
            </w:r>
            <w:r>
              <w:rPr>
                <w:noProof/>
                <w:webHidden/>
              </w:rPr>
              <w:t>23</w:t>
            </w:r>
            <w:r>
              <w:rPr>
                <w:noProof/>
                <w:webHidden/>
              </w:rPr>
              <w:fldChar w:fldCharType="end"/>
            </w:r>
          </w:hyperlink>
        </w:p>
        <w:p w14:paraId="41CE75C2" w14:textId="079A9E81" w:rsidR="00554EAE" w:rsidRDefault="00554EAE">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9441302" w:history="1">
            <w:r w:rsidRPr="004E5829">
              <w:rPr>
                <w:rStyle w:val="Hyperlink"/>
                <w:noProof/>
              </w:rPr>
              <w:t>Advisory Committee considerations</w:t>
            </w:r>
            <w:r>
              <w:rPr>
                <w:noProof/>
                <w:webHidden/>
              </w:rPr>
              <w:tab/>
            </w:r>
            <w:r>
              <w:rPr>
                <w:noProof/>
                <w:webHidden/>
              </w:rPr>
              <w:fldChar w:fldCharType="begin"/>
            </w:r>
            <w:r>
              <w:rPr>
                <w:noProof/>
                <w:webHidden/>
              </w:rPr>
              <w:instrText xml:space="preserve"> PAGEREF _Toc209441302 \h </w:instrText>
            </w:r>
            <w:r>
              <w:rPr>
                <w:noProof/>
                <w:webHidden/>
              </w:rPr>
            </w:r>
            <w:r>
              <w:rPr>
                <w:noProof/>
                <w:webHidden/>
              </w:rPr>
              <w:fldChar w:fldCharType="separate"/>
            </w:r>
            <w:r>
              <w:rPr>
                <w:noProof/>
                <w:webHidden/>
              </w:rPr>
              <w:t>29</w:t>
            </w:r>
            <w:r>
              <w:rPr>
                <w:noProof/>
                <w:webHidden/>
              </w:rPr>
              <w:fldChar w:fldCharType="end"/>
            </w:r>
          </w:hyperlink>
        </w:p>
        <w:p w14:paraId="288863E0" w14:textId="35A00C4F" w:rsidR="00554EAE" w:rsidRDefault="00554EAE">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9441303" w:history="1">
            <w:r w:rsidRPr="004E5829">
              <w:rPr>
                <w:rStyle w:val="Hyperlink"/>
                <w:noProof/>
              </w:rPr>
              <w:t>Assessment outcome</w:t>
            </w:r>
            <w:r>
              <w:rPr>
                <w:noProof/>
                <w:webHidden/>
              </w:rPr>
              <w:tab/>
            </w:r>
            <w:r>
              <w:rPr>
                <w:noProof/>
                <w:webHidden/>
              </w:rPr>
              <w:fldChar w:fldCharType="begin"/>
            </w:r>
            <w:r>
              <w:rPr>
                <w:noProof/>
                <w:webHidden/>
              </w:rPr>
              <w:instrText xml:space="preserve"> PAGEREF _Toc209441303 \h </w:instrText>
            </w:r>
            <w:r>
              <w:rPr>
                <w:noProof/>
                <w:webHidden/>
              </w:rPr>
            </w:r>
            <w:r>
              <w:rPr>
                <w:noProof/>
                <w:webHidden/>
              </w:rPr>
              <w:fldChar w:fldCharType="separate"/>
            </w:r>
            <w:r>
              <w:rPr>
                <w:noProof/>
                <w:webHidden/>
              </w:rPr>
              <w:t>30</w:t>
            </w:r>
            <w:r>
              <w:rPr>
                <w:noProof/>
                <w:webHidden/>
              </w:rPr>
              <w:fldChar w:fldCharType="end"/>
            </w:r>
          </w:hyperlink>
        </w:p>
        <w:p w14:paraId="136C5E65" w14:textId="5185E0EC" w:rsidR="00554EAE" w:rsidRDefault="00554EA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9441304" w:history="1">
            <w:r w:rsidRPr="004E5829">
              <w:rPr>
                <w:rStyle w:val="Hyperlink"/>
                <w:noProof/>
              </w:rPr>
              <w:t>Specific conditions of registration</w:t>
            </w:r>
            <w:r>
              <w:rPr>
                <w:noProof/>
                <w:webHidden/>
              </w:rPr>
              <w:tab/>
            </w:r>
            <w:r>
              <w:rPr>
                <w:noProof/>
                <w:webHidden/>
              </w:rPr>
              <w:fldChar w:fldCharType="begin"/>
            </w:r>
            <w:r>
              <w:rPr>
                <w:noProof/>
                <w:webHidden/>
              </w:rPr>
              <w:instrText xml:space="preserve"> PAGEREF _Toc209441304 \h </w:instrText>
            </w:r>
            <w:r>
              <w:rPr>
                <w:noProof/>
                <w:webHidden/>
              </w:rPr>
            </w:r>
            <w:r>
              <w:rPr>
                <w:noProof/>
                <w:webHidden/>
              </w:rPr>
              <w:fldChar w:fldCharType="separate"/>
            </w:r>
            <w:r>
              <w:rPr>
                <w:noProof/>
                <w:webHidden/>
              </w:rPr>
              <w:t>30</w:t>
            </w:r>
            <w:r>
              <w:rPr>
                <w:noProof/>
                <w:webHidden/>
              </w:rPr>
              <w:fldChar w:fldCharType="end"/>
            </w:r>
          </w:hyperlink>
        </w:p>
        <w:p w14:paraId="3F6E1040" w14:textId="1B42601B" w:rsidR="00554EAE" w:rsidRDefault="00554EAE">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9441305" w:history="1">
            <w:r w:rsidRPr="004E5829">
              <w:rPr>
                <w:rStyle w:val="Hyperlink"/>
                <w:noProof/>
              </w:rPr>
              <w:t>Product Information and Consumer Medicines Information</w:t>
            </w:r>
            <w:r>
              <w:rPr>
                <w:noProof/>
                <w:webHidden/>
              </w:rPr>
              <w:tab/>
            </w:r>
            <w:r>
              <w:rPr>
                <w:noProof/>
                <w:webHidden/>
              </w:rPr>
              <w:fldChar w:fldCharType="begin"/>
            </w:r>
            <w:r>
              <w:rPr>
                <w:noProof/>
                <w:webHidden/>
              </w:rPr>
              <w:instrText xml:space="preserve"> PAGEREF _Toc209441305 \h </w:instrText>
            </w:r>
            <w:r>
              <w:rPr>
                <w:noProof/>
                <w:webHidden/>
              </w:rPr>
            </w:r>
            <w:r>
              <w:rPr>
                <w:noProof/>
                <w:webHidden/>
              </w:rPr>
              <w:fldChar w:fldCharType="separate"/>
            </w:r>
            <w:r>
              <w:rPr>
                <w:noProof/>
                <w:webHidden/>
              </w:rPr>
              <w:t>31</w:t>
            </w:r>
            <w:r>
              <w:rPr>
                <w:noProof/>
                <w:webHidden/>
              </w:rPr>
              <w:fldChar w:fldCharType="end"/>
            </w:r>
          </w:hyperlink>
        </w:p>
        <w:p w14:paraId="77659F2D" w14:textId="7C722CA1"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256193">
      <w:pPr>
        <w:pStyle w:val="Heading3"/>
      </w:pPr>
      <w:bookmarkStart w:id="2" w:name="_Toc98931917"/>
      <w:bookmarkStart w:id="3" w:name="_Toc103679287"/>
      <w:bookmarkStart w:id="4" w:name="_Toc209441285"/>
      <w:bookmarkStart w:id="5" w:name="_Toc323739589"/>
      <w:bookmarkStart w:id="6" w:name="_Toc356305216"/>
      <w:r>
        <w:lastRenderedPageBreak/>
        <w:t>List of abbreviations</w:t>
      </w:r>
      <w:bookmarkEnd w:id="2"/>
      <w:bookmarkEnd w:id="3"/>
      <w:bookmarkEnd w:id="4"/>
    </w:p>
    <w:tbl>
      <w:tblPr>
        <w:tblStyle w:val="TableTGAblue2023"/>
        <w:tblW w:w="5000" w:type="pct"/>
        <w:tblLook w:val="04A0" w:firstRow="1" w:lastRow="0" w:firstColumn="1" w:lastColumn="0" w:noHBand="0" w:noVBand="1"/>
      </w:tblPr>
      <w:tblGrid>
        <w:gridCol w:w="2174"/>
        <w:gridCol w:w="6886"/>
      </w:tblGrid>
      <w:tr w:rsidR="005848E9" w:rsidRPr="00DE7813" w14:paraId="2EA67C29" w14:textId="77777777" w:rsidTr="00E32F13">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473B57D1" w14:textId="77777777" w:rsidR="005848E9" w:rsidRPr="00DE7813" w:rsidRDefault="005848E9" w:rsidP="00E32F13">
            <w:pPr>
              <w:rPr>
                <w:szCs w:val="22"/>
              </w:rPr>
            </w:pPr>
            <w:r w:rsidRPr="00DE7813">
              <w:rPr>
                <w:szCs w:val="22"/>
              </w:rPr>
              <w:t>Abbreviation</w:t>
            </w:r>
          </w:p>
        </w:tc>
        <w:tc>
          <w:tcPr>
            <w:tcW w:w="3800" w:type="pct"/>
          </w:tcPr>
          <w:p w14:paraId="4AA4C857" w14:textId="77777777" w:rsidR="005848E9" w:rsidRPr="00DE7813" w:rsidRDefault="005848E9" w:rsidP="00E32F13">
            <w:pPr>
              <w:cnfStyle w:val="100000000000" w:firstRow="1" w:lastRow="0" w:firstColumn="0" w:lastColumn="0" w:oddVBand="0" w:evenVBand="0" w:oddHBand="0" w:evenHBand="0" w:firstRowFirstColumn="0" w:firstRowLastColumn="0" w:lastRowFirstColumn="0" w:lastRowLastColumn="0"/>
              <w:rPr>
                <w:szCs w:val="22"/>
              </w:rPr>
            </w:pPr>
            <w:r w:rsidRPr="00DE7813">
              <w:rPr>
                <w:szCs w:val="22"/>
              </w:rPr>
              <w:t>Meaning</w:t>
            </w:r>
          </w:p>
        </w:tc>
      </w:tr>
      <w:tr w:rsidR="005848E9" w:rsidRPr="00DE7813" w14:paraId="02851B77" w14:textId="77777777" w:rsidTr="00E32F13">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3F60078" w14:textId="77777777" w:rsidR="005848E9" w:rsidRPr="00DE7813" w:rsidRDefault="005848E9" w:rsidP="00E32F13">
            <w:pPr>
              <w:rPr>
                <w:szCs w:val="22"/>
              </w:rPr>
            </w:pPr>
            <w:r w:rsidRPr="00DE7813">
              <w:rPr>
                <w:szCs w:val="22"/>
              </w:rPr>
              <w:t>ACM</w:t>
            </w:r>
          </w:p>
        </w:tc>
        <w:tc>
          <w:tcPr>
            <w:tcW w:w="3800" w:type="pct"/>
          </w:tcPr>
          <w:p w14:paraId="4F7CD1B0" w14:textId="77777777" w:rsidR="005848E9" w:rsidRPr="00DE7813" w:rsidRDefault="005848E9" w:rsidP="00E32F13">
            <w:pPr>
              <w:cnfStyle w:val="000000000000" w:firstRow="0" w:lastRow="0" w:firstColumn="0" w:lastColumn="0" w:oddVBand="0" w:evenVBand="0" w:oddHBand="0" w:evenHBand="0" w:firstRowFirstColumn="0" w:firstRowLastColumn="0" w:lastRowFirstColumn="0" w:lastRowLastColumn="0"/>
              <w:rPr>
                <w:szCs w:val="22"/>
              </w:rPr>
            </w:pPr>
            <w:r w:rsidRPr="00DE7813">
              <w:rPr>
                <w:szCs w:val="22"/>
              </w:rPr>
              <w:t>Advisory Committee on Medicines</w:t>
            </w:r>
          </w:p>
        </w:tc>
      </w:tr>
      <w:tr w:rsidR="005848E9" w:rsidRPr="00DE7813" w14:paraId="41143DDF" w14:textId="77777777" w:rsidTr="00E32F13">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77B657E" w14:textId="77777777" w:rsidR="005848E9" w:rsidRPr="00DE7813" w:rsidRDefault="005848E9" w:rsidP="00E32F13">
            <w:pPr>
              <w:rPr>
                <w:szCs w:val="22"/>
              </w:rPr>
            </w:pPr>
            <w:r w:rsidRPr="00DE7813">
              <w:rPr>
                <w:szCs w:val="22"/>
              </w:rPr>
              <w:t>AE</w:t>
            </w:r>
          </w:p>
        </w:tc>
        <w:tc>
          <w:tcPr>
            <w:tcW w:w="3800" w:type="pct"/>
          </w:tcPr>
          <w:p w14:paraId="63F174A1" w14:textId="7C4A9768" w:rsidR="005848E9" w:rsidRPr="00DE7813" w:rsidRDefault="00A713D5" w:rsidP="00E32F13">
            <w:pPr>
              <w:cnfStyle w:val="000000000000" w:firstRow="0" w:lastRow="0" w:firstColumn="0" w:lastColumn="0" w:oddVBand="0" w:evenVBand="0" w:oddHBand="0" w:evenHBand="0" w:firstRowFirstColumn="0" w:firstRowLastColumn="0" w:lastRowFirstColumn="0" w:lastRowLastColumn="0"/>
              <w:rPr>
                <w:szCs w:val="22"/>
              </w:rPr>
            </w:pPr>
            <w:r>
              <w:rPr>
                <w:szCs w:val="22"/>
              </w:rPr>
              <w:t>a</w:t>
            </w:r>
            <w:r w:rsidR="005848E9" w:rsidRPr="00DE7813">
              <w:rPr>
                <w:szCs w:val="22"/>
              </w:rPr>
              <w:t>dverse event(s)</w:t>
            </w:r>
          </w:p>
        </w:tc>
      </w:tr>
      <w:tr w:rsidR="005848E9" w:rsidRPr="00DE7813" w14:paraId="2EFF589B" w14:textId="77777777" w:rsidTr="00E32F13">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09677BE" w14:textId="77777777" w:rsidR="005848E9" w:rsidRPr="00DE7813" w:rsidRDefault="005848E9" w:rsidP="00E32F13">
            <w:pPr>
              <w:rPr>
                <w:szCs w:val="22"/>
              </w:rPr>
            </w:pPr>
            <w:r w:rsidRPr="00DE7813">
              <w:rPr>
                <w:szCs w:val="22"/>
              </w:rPr>
              <w:t>ARTG</w:t>
            </w:r>
          </w:p>
        </w:tc>
        <w:tc>
          <w:tcPr>
            <w:tcW w:w="3800" w:type="pct"/>
          </w:tcPr>
          <w:p w14:paraId="677C84CB" w14:textId="77777777" w:rsidR="005848E9" w:rsidRPr="00DE7813" w:rsidRDefault="005848E9" w:rsidP="00E32F13">
            <w:pPr>
              <w:cnfStyle w:val="000000000000" w:firstRow="0" w:lastRow="0" w:firstColumn="0" w:lastColumn="0" w:oddVBand="0" w:evenVBand="0" w:oddHBand="0" w:evenHBand="0" w:firstRowFirstColumn="0" w:firstRowLastColumn="0" w:lastRowFirstColumn="0" w:lastRowLastColumn="0"/>
              <w:rPr>
                <w:szCs w:val="22"/>
              </w:rPr>
            </w:pPr>
            <w:r w:rsidRPr="00DE7813">
              <w:rPr>
                <w:szCs w:val="22"/>
              </w:rPr>
              <w:t>Australian Register of Therapeutic Goods</w:t>
            </w:r>
          </w:p>
        </w:tc>
      </w:tr>
      <w:tr w:rsidR="005848E9" w:rsidRPr="00DE7813" w14:paraId="7A323F79" w14:textId="77777777" w:rsidTr="00E32F13">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F70BA0" w14:textId="77777777" w:rsidR="005848E9" w:rsidRPr="00DE7813" w:rsidRDefault="005848E9" w:rsidP="00E32F13">
            <w:pPr>
              <w:rPr>
                <w:szCs w:val="22"/>
              </w:rPr>
            </w:pPr>
            <w:r w:rsidRPr="00DE7813">
              <w:rPr>
                <w:szCs w:val="22"/>
              </w:rPr>
              <w:t>AUC</w:t>
            </w:r>
          </w:p>
        </w:tc>
        <w:tc>
          <w:tcPr>
            <w:tcW w:w="3800" w:type="pct"/>
          </w:tcPr>
          <w:p w14:paraId="6485C061" w14:textId="519827DA" w:rsidR="005848E9" w:rsidRPr="00DE7813" w:rsidRDefault="005848E9" w:rsidP="00E32F13">
            <w:pPr>
              <w:cnfStyle w:val="000000000000" w:firstRow="0" w:lastRow="0" w:firstColumn="0" w:lastColumn="0" w:oddVBand="0" w:evenVBand="0" w:oddHBand="0" w:evenHBand="0" w:firstRowFirstColumn="0" w:firstRowLastColumn="0" w:lastRowFirstColumn="0" w:lastRowLastColumn="0"/>
              <w:rPr>
                <w:szCs w:val="22"/>
              </w:rPr>
            </w:pPr>
            <w:r w:rsidRPr="00DE7813">
              <w:rPr>
                <w:szCs w:val="22"/>
              </w:rPr>
              <w:t xml:space="preserve">area under the </w:t>
            </w:r>
            <w:r w:rsidR="00A06933">
              <w:rPr>
                <w:szCs w:val="22"/>
              </w:rPr>
              <w:t>plasma</w:t>
            </w:r>
            <w:r w:rsidR="00A06933" w:rsidRPr="00DE7813">
              <w:rPr>
                <w:szCs w:val="22"/>
              </w:rPr>
              <w:t xml:space="preserve"> </w:t>
            </w:r>
            <w:r w:rsidRPr="00DE7813">
              <w:rPr>
                <w:szCs w:val="22"/>
              </w:rPr>
              <w:t>concentration-time curve</w:t>
            </w:r>
          </w:p>
        </w:tc>
      </w:tr>
      <w:tr w:rsidR="005848E9" w:rsidRPr="00DE7813" w14:paraId="200927CA" w14:textId="77777777" w:rsidTr="00E32F13">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4B9F6EC" w14:textId="77777777" w:rsidR="005848E9" w:rsidRPr="00DE7813" w:rsidRDefault="005848E9" w:rsidP="00E32F13">
            <w:pPr>
              <w:rPr>
                <w:szCs w:val="22"/>
              </w:rPr>
            </w:pPr>
            <w:r w:rsidRPr="00DE7813">
              <w:rPr>
                <w:szCs w:val="22"/>
              </w:rPr>
              <w:t>BICR</w:t>
            </w:r>
          </w:p>
        </w:tc>
        <w:tc>
          <w:tcPr>
            <w:tcW w:w="3800" w:type="pct"/>
          </w:tcPr>
          <w:p w14:paraId="1D42A037" w14:textId="77777777" w:rsidR="005848E9" w:rsidRPr="00DE7813" w:rsidRDefault="005848E9" w:rsidP="00E32F13">
            <w:pPr>
              <w:cnfStyle w:val="000000000000" w:firstRow="0" w:lastRow="0" w:firstColumn="0" w:lastColumn="0" w:oddVBand="0" w:evenVBand="0" w:oddHBand="0" w:evenHBand="0" w:firstRowFirstColumn="0" w:firstRowLastColumn="0" w:lastRowFirstColumn="0" w:lastRowLastColumn="0"/>
              <w:rPr>
                <w:szCs w:val="22"/>
              </w:rPr>
            </w:pPr>
            <w:r w:rsidRPr="00DE7813">
              <w:rPr>
                <w:szCs w:val="22"/>
              </w:rPr>
              <w:t>blinded independent central review</w:t>
            </w:r>
          </w:p>
        </w:tc>
      </w:tr>
      <w:tr w:rsidR="005848E9" w:rsidRPr="00DE7813" w14:paraId="4242574F" w14:textId="77777777" w:rsidTr="00E32F13">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A4820A4" w14:textId="77777777" w:rsidR="005848E9" w:rsidRPr="00DE7813" w:rsidRDefault="005848E9" w:rsidP="00E32F13">
            <w:pPr>
              <w:rPr>
                <w:szCs w:val="22"/>
              </w:rPr>
            </w:pPr>
            <w:r w:rsidRPr="00DE7813">
              <w:rPr>
                <w:szCs w:val="22"/>
              </w:rPr>
              <w:t xml:space="preserve">CI </w:t>
            </w:r>
          </w:p>
        </w:tc>
        <w:tc>
          <w:tcPr>
            <w:tcW w:w="3800" w:type="pct"/>
          </w:tcPr>
          <w:p w14:paraId="5C18E627" w14:textId="77777777" w:rsidR="005848E9" w:rsidRPr="00DE7813" w:rsidRDefault="005848E9" w:rsidP="00E32F13">
            <w:pPr>
              <w:cnfStyle w:val="000000000000" w:firstRow="0" w:lastRow="0" w:firstColumn="0" w:lastColumn="0" w:oddVBand="0" w:evenVBand="0" w:oddHBand="0" w:evenHBand="0" w:firstRowFirstColumn="0" w:firstRowLastColumn="0" w:lastRowFirstColumn="0" w:lastRowLastColumn="0"/>
              <w:rPr>
                <w:szCs w:val="22"/>
              </w:rPr>
            </w:pPr>
            <w:r w:rsidRPr="00DE7813">
              <w:rPr>
                <w:szCs w:val="22"/>
              </w:rPr>
              <w:t>confidence interval</w:t>
            </w:r>
          </w:p>
        </w:tc>
      </w:tr>
      <w:tr w:rsidR="005848E9" w:rsidRPr="00DE7813" w14:paraId="3ED57AB3" w14:textId="77777777" w:rsidTr="00E32F13">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61C562F" w14:textId="77777777" w:rsidR="005848E9" w:rsidRPr="00DE7813" w:rsidRDefault="005848E9" w:rsidP="00E32F13">
            <w:pPr>
              <w:rPr>
                <w:szCs w:val="22"/>
              </w:rPr>
            </w:pPr>
            <w:r w:rsidRPr="00DE7813">
              <w:rPr>
                <w:szCs w:val="22"/>
              </w:rPr>
              <w:t>C</w:t>
            </w:r>
            <w:r w:rsidRPr="00DE7813">
              <w:rPr>
                <w:szCs w:val="22"/>
                <w:vertAlign w:val="subscript"/>
              </w:rPr>
              <w:t>max</w:t>
            </w:r>
          </w:p>
        </w:tc>
        <w:tc>
          <w:tcPr>
            <w:tcW w:w="3800" w:type="pct"/>
          </w:tcPr>
          <w:p w14:paraId="0822EC72" w14:textId="77777777" w:rsidR="005848E9" w:rsidRPr="00DE7813" w:rsidRDefault="005848E9" w:rsidP="00E32F13">
            <w:pPr>
              <w:cnfStyle w:val="000000000000" w:firstRow="0" w:lastRow="0" w:firstColumn="0" w:lastColumn="0" w:oddVBand="0" w:evenVBand="0" w:oddHBand="0" w:evenHBand="0" w:firstRowFirstColumn="0" w:firstRowLastColumn="0" w:lastRowFirstColumn="0" w:lastRowLastColumn="0"/>
              <w:rPr>
                <w:szCs w:val="22"/>
              </w:rPr>
            </w:pPr>
            <w:r w:rsidRPr="00DE7813">
              <w:rPr>
                <w:szCs w:val="22"/>
              </w:rPr>
              <w:t>maximum concentration</w:t>
            </w:r>
          </w:p>
        </w:tc>
      </w:tr>
      <w:tr w:rsidR="005848E9" w:rsidRPr="00DE7813" w14:paraId="578C587A" w14:textId="77777777" w:rsidTr="00E32F13">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ED10217" w14:textId="77777777" w:rsidR="005848E9" w:rsidRPr="00DE7813" w:rsidRDefault="005848E9" w:rsidP="00E32F13">
            <w:pPr>
              <w:rPr>
                <w:szCs w:val="22"/>
              </w:rPr>
            </w:pPr>
            <w:r w:rsidRPr="00DE7813">
              <w:rPr>
                <w:szCs w:val="22"/>
              </w:rPr>
              <w:t>DoR</w:t>
            </w:r>
          </w:p>
        </w:tc>
        <w:tc>
          <w:tcPr>
            <w:tcW w:w="3800" w:type="pct"/>
          </w:tcPr>
          <w:p w14:paraId="5349F6C2" w14:textId="77777777" w:rsidR="005848E9" w:rsidRPr="00DE7813" w:rsidRDefault="005848E9" w:rsidP="00E32F13">
            <w:pPr>
              <w:cnfStyle w:val="000000000000" w:firstRow="0" w:lastRow="0" w:firstColumn="0" w:lastColumn="0" w:oddVBand="0" w:evenVBand="0" w:oddHBand="0" w:evenHBand="0" w:firstRowFirstColumn="0" w:firstRowLastColumn="0" w:lastRowFirstColumn="0" w:lastRowLastColumn="0"/>
              <w:rPr>
                <w:szCs w:val="22"/>
              </w:rPr>
            </w:pPr>
            <w:r w:rsidRPr="00DE7813">
              <w:rPr>
                <w:szCs w:val="22"/>
              </w:rPr>
              <w:t>duration of response</w:t>
            </w:r>
          </w:p>
        </w:tc>
      </w:tr>
      <w:tr w:rsidR="005848E9" w:rsidRPr="00DE7813" w14:paraId="22142D82" w14:textId="77777777" w:rsidTr="00E32F13">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E2B1EA8" w14:textId="77777777" w:rsidR="005848E9" w:rsidRPr="00DE7813" w:rsidRDefault="005848E9" w:rsidP="00E32F13">
            <w:pPr>
              <w:rPr>
                <w:szCs w:val="22"/>
              </w:rPr>
            </w:pPr>
            <w:r w:rsidRPr="00DE7813">
              <w:rPr>
                <w:szCs w:val="22"/>
              </w:rPr>
              <w:t>EGFR</w:t>
            </w:r>
          </w:p>
        </w:tc>
        <w:tc>
          <w:tcPr>
            <w:tcW w:w="3800" w:type="pct"/>
          </w:tcPr>
          <w:p w14:paraId="1743E0CF" w14:textId="77777777" w:rsidR="005848E9" w:rsidRPr="00DE7813" w:rsidRDefault="005848E9" w:rsidP="00E32F13">
            <w:pPr>
              <w:cnfStyle w:val="000000000000" w:firstRow="0" w:lastRow="0" w:firstColumn="0" w:lastColumn="0" w:oddVBand="0" w:evenVBand="0" w:oddHBand="0" w:evenHBand="0" w:firstRowFirstColumn="0" w:firstRowLastColumn="0" w:lastRowFirstColumn="0" w:lastRowLastColumn="0"/>
              <w:rPr>
                <w:szCs w:val="22"/>
              </w:rPr>
            </w:pPr>
            <w:r w:rsidRPr="00DE7813">
              <w:rPr>
                <w:szCs w:val="22"/>
              </w:rPr>
              <w:t>epidermal growth factor receptor</w:t>
            </w:r>
          </w:p>
        </w:tc>
      </w:tr>
      <w:tr w:rsidR="005848E9" w:rsidRPr="00DE7813" w14:paraId="3B4EF76C" w14:textId="77777777" w:rsidTr="00E32F13">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B229290" w14:textId="77777777" w:rsidR="005848E9" w:rsidRPr="00DE7813" w:rsidRDefault="005848E9" w:rsidP="00E32F13">
            <w:pPr>
              <w:rPr>
                <w:szCs w:val="22"/>
              </w:rPr>
            </w:pPr>
            <w:r w:rsidRPr="00DE7813">
              <w:rPr>
                <w:szCs w:val="22"/>
              </w:rPr>
              <w:t>NSCLC</w:t>
            </w:r>
          </w:p>
        </w:tc>
        <w:tc>
          <w:tcPr>
            <w:tcW w:w="3800" w:type="pct"/>
          </w:tcPr>
          <w:p w14:paraId="785DA34F" w14:textId="77777777" w:rsidR="005848E9" w:rsidRPr="00DE7813" w:rsidRDefault="005848E9" w:rsidP="00E32F13">
            <w:pPr>
              <w:cnfStyle w:val="000000000000" w:firstRow="0" w:lastRow="0" w:firstColumn="0" w:lastColumn="0" w:oddVBand="0" w:evenVBand="0" w:oddHBand="0" w:evenHBand="0" w:firstRowFirstColumn="0" w:firstRowLastColumn="0" w:lastRowFirstColumn="0" w:lastRowLastColumn="0"/>
              <w:rPr>
                <w:szCs w:val="22"/>
              </w:rPr>
            </w:pPr>
            <w:r w:rsidRPr="00DE7813">
              <w:rPr>
                <w:szCs w:val="22"/>
              </w:rPr>
              <w:t>non-small cell lung cancer</w:t>
            </w:r>
          </w:p>
        </w:tc>
      </w:tr>
      <w:tr w:rsidR="005848E9" w:rsidRPr="00DE7813" w14:paraId="1BD2662D" w14:textId="77777777" w:rsidTr="00E32F13">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F76CF76" w14:textId="77777777" w:rsidR="005848E9" w:rsidRPr="00DE7813" w:rsidRDefault="005848E9" w:rsidP="00E32F13">
            <w:pPr>
              <w:rPr>
                <w:szCs w:val="22"/>
              </w:rPr>
            </w:pPr>
            <w:r w:rsidRPr="00DE7813">
              <w:rPr>
                <w:szCs w:val="22"/>
              </w:rPr>
              <w:t>ORR</w:t>
            </w:r>
          </w:p>
        </w:tc>
        <w:tc>
          <w:tcPr>
            <w:tcW w:w="3800" w:type="pct"/>
          </w:tcPr>
          <w:p w14:paraId="6C01CAEA" w14:textId="77777777" w:rsidR="005848E9" w:rsidRPr="00DE7813" w:rsidRDefault="005848E9" w:rsidP="00E32F13">
            <w:pPr>
              <w:cnfStyle w:val="000000000000" w:firstRow="0" w:lastRow="0" w:firstColumn="0" w:lastColumn="0" w:oddVBand="0" w:evenVBand="0" w:oddHBand="0" w:evenHBand="0" w:firstRowFirstColumn="0" w:firstRowLastColumn="0" w:lastRowFirstColumn="0" w:lastRowLastColumn="0"/>
              <w:rPr>
                <w:szCs w:val="22"/>
              </w:rPr>
            </w:pPr>
            <w:r w:rsidRPr="00DE7813">
              <w:rPr>
                <w:szCs w:val="22"/>
              </w:rPr>
              <w:t>objective response rate</w:t>
            </w:r>
          </w:p>
        </w:tc>
      </w:tr>
      <w:tr w:rsidR="005848E9" w:rsidRPr="00DE7813" w14:paraId="79359243" w14:textId="77777777" w:rsidTr="00E32F13">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1A686DD" w14:textId="77777777" w:rsidR="005848E9" w:rsidRPr="00DE7813" w:rsidRDefault="005848E9" w:rsidP="00E32F13">
            <w:pPr>
              <w:rPr>
                <w:szCs w:val="22"/>
              </w:rPr>
            </w:pPr>
            <w:r w:rsidRPr="00DE7813">
              <w:rPr>
                <w:szCs w:val="22"/>
              </w:rPr>
              <w:t>OS</w:t>
            </w:r>
          </w:p>
        </w:tc>
        <w:tc>
          <w:tcPr>
            <w:tcW w:w="3800" w:type="pct"/>
          </w:tcPr>
          <w:p w14:paraId="1C90C72C" w14:textId="77777777" w:rsidR="005848E9" w:rsidRPr="00DE7813" w:rsidRDefault="005848E9" w:rsidP="00E32F13">
            <w:pPr>
              <w:cnfStyle w:val="000000000000" w:firstRow="0" w:lastRow="0" w:firstColumn="0" w:lastColumn="0" w:oddVBand="0" w:evenVBand="0" w:oddHBand="0" w:evenHBand="0" w:firstRowFirstColumn="0" w:firstRowLastColumn="0" w:lastRowFirstColumn="0" w:lastRowLastColumn="0"/>
              <w:rPr>
                <w:szCs w:val="22"/>
              </w:rPr>
            </w:pPr>
            <w:r w:rsidRPr="00DE7813">
              <w:rPr>
                <w:szCs w:val="22"/>
              </w:rPr>
              <w:t>overall survival</w:t>
            </w:r>
          </w:p>
        </w:tc>
      </w:tr>
      <w:tr w:rsidR="005848E9" w:rsidRPr="00DE7813" w14:paraId="645B904A" w14:textId="77777777" w:rsidTr="00E32F13">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73905C9" w14:textId="77777777" w:rsidR="005848E9" w:rsidRPr="00DE7813" w:rsidRDefault="005848E9" w:rsidP="00E32F13">
            <w:pPr>
              <w:rPr>
                <w:szCs w:val="22"/>
              </w:rPr>
            </w:pPr>
            <w:r w:rsidRPr="00DE7813">
              <w:rPr>
                <w:szCs w:val="22"/>
              </w:rPr>
              <w:t>PD</w:t>
            </w:r>
          </w:p>
        </w:tc>
        <w:tc>
          <w:tcPr>
            <w:tcW w:w="3800" w:type="pct"/>
          </w:tcPr>
          <w:p w14:paraId="019FA3CD" w14:textId="7EA30781" w:rsidR="005848E9" w:rsidRPr="00DE7813" w:rsidRDefault="00A06933" w:rsidP="00E32F13">
            <w:pPr>
              <w:cnfStyle w:val="000000000000" w:firstRow="0" w:lastRow="0" w:firstColumn="0" w:lastColumn="0" w:oddVBand="0" w:evenVBand="0" w:oddHBand="0" w:evenHBand="0" w:firstRowFirstColumn="0" w:firstRowLastColumn="0" w:lastRowFirstColumn="0" w:lastRowLastColumn="0"/>
              <w:rPr>
                <w:szCs w:val="22"/>
              </w:rPr>
            </w:pPr>
            <w:r>
              <w:rPr>
                <w:szCs w:val="22"/>
              </w:rPr>
              <w:t>progressive disease</w:t>
            </w:r>
          </w:p>
        </w:tc>
      </w:tr>
      <w:tr w:rsidR="005848E9" w:rsidRPr="00DE7813" w14:paraId="620C0C12" w14:textId="77777777" w:rsidTr="00E32F13">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7BB5628" w14:textId="77777777" w:rsidR="005848E9" w:rsidRPr="00DE7813" w:rsidRDefault="005848E9" w:rsidP="00E32F13">
            <w:pPr>
              <w:rPr>
                <w:szCs w:val="22"/>
              </w:rPr>
            </w:pPr>
            <w:r w:rsidRPr="00DE7813">
              <w:rPr>
                <w:szCs w:val="22"/>
              </w:rPr>
              <w:t>PI</w:t>
            </w:r>
          </w:p>
        </w:tc>
        <w:tc>
          <w:tcPr>
            <w:tcW w:w="3800" w:type="pct"/>
          </w:tcPr>
          <w:p w14:paraId="58E4F15B" w14:textId="77777777" w:rsidR="005848E9" w:rsidRPr="00DE7813" w:rsidRDefault="005848E9" w:rsidP="00E32F13">
            <w:pPr>
              <w:cnfStyle w:val="000000000000" w:firstRow="0" w:lastRow="0" w:firstColumn="0" w:lastColumn="0" w:oddVBand="0" w:evenVBand="0" w:oddHBand="0" w:evenHBand="0" w:firstRowFirstColumn="0" w:firstRowLastColumn="0" w:lastRowFirstColumn="0" w:lastRowLastColumn="0"/>
              <w:rPr>
                <w:szCs w:val="22"/>
              </w:rPr>
            </w:pPr>
            <w:r w:rsidRPr="00DE7813">
              <w:rPr>
                <w:szCs w:val="22"/>
              </w:rPr>
              <w:t>Product Information</w:t>
            </w:r>
          </w:p>
        </w:tc>
      </w:tr>
      <w:tr w:rsidR="005848E9" w:rsidRPr="00DE7813" w14:paraId="785C32F9" w14:textId="77777777" w:rsidTr="00E32F13">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337EA7B" w14:textId="77777777" w:rsidR="005848E9" w:rsidRPr="00DE7813" w:rsidRDefault="005848E9" w:rsidP="00E32F13">
            <w:pPr>
              <w:rPr>
                <w:szCs w:val="22"/>
              </w:rPr>
            </w:pPr>
            <w:r w:rsidRPr="00DE7813">
              <w:rPr>
                <w:szCs w:val="22"/>
              </w:rPr>
              <w:t>PK</w:t>
            </w:r>
          </w:p>
        </w:tc>
        <w:tc>
          <w:tcPr>
            <w:tcW w:w="3800" w:type="pct"/>
          </w:tcPr>
          <w:p w14:paraId="132B1F4B" w14:textId="77777777" w:rsidR="005848E9" w:rsidRPr="00DE7813" w:rsidRDefault="005848E9" w:rsidP="00E32F13">
            <w:pPr>
              <w:cnfStyle w:val="000000000000" w:firstRow="0" w:lastRow="0" w:firstColumn="0" w:lastColumn="0" w:oddVBand="0" w:evenVBand="0" w:oddHBand="0" w:evenHBand="0" w:firstRowFirstColumn="0" w:firstRowLastColumn="0" w:lastRowFirstColumn="0" w:lastRowLastColumn="0"/>
              <w:rPr>
                <w:szCs w:val="22"/>
              </w:rPr>
            </w:pPr>
            <w:r w:rsidRPr="00DE7813">
              <w:rPr>
                <w:szCs w:val="22"/>
              </w:rPr>
              <w:t>pharmacokinetic(s)</w:t>
            </w:r>
          </w:p>
        </w:tc>
      </w:tr>
      <w:tr w:rsidR="005848E9" w:rsidRPr="00DE7813" w14:paraId="2C6AF76A" w14:textId="77777777" w:rsidTr="00E32F13">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88C262F" w14:textId="77777777" w:rsidR="005848E9" w:rsidRPr="00DE7813" w:rsidRDefault="005848E9" w:rsidP="00E32F13">
            <w:pPr>
              <w:rPr>
                <w:szCs w:val="22"/>
              </w:rPr>
            </w:pPr>
            <w:r w:rsidRPr="00DE7813">
              <w:rPr>
                <w:szCs w:val="22"/>
              </w:rPr>
              <w:t>PFS</w:t>
            </w:r>
          </w:p>
        </w:tc>
        <w:tc>
          <w:tcPr>
            <w:tcW w:w="3800" w:type="pct"/>
          </w:tcPr>
          <w:p w14:paraId="43A1ACB2" w14:textId="77777777" w:rsidR="005848E9" w:rsidRPr="00DE7813" w:rsidRDefault="005848E9" w:rsidP="00E32F13">
            <w:pPr>
              <w:cnfStyle w:val="000000000000" w:firstRow="0" w:lastRow="0" w:firstColumn="0" w:lastColumn="0" w:oddVBand="0" w:evenVBand="0" w:oddHBand="0" w:evenHBand="0" w:firstRowFirstColumn="0" w:firstRowLastColumn="0" w:lastRowFirstColumn="0" w:lastRowLastColumn="0"/>
              <w:rPr>
                <w:szCs w:val="22"/>
              </w:rPr>
            </w:pPr>
            <w:r w:rsidRPr="00DE7813">
              <w:rPr>
                <w:szCs w:val="22"/>
              </w:rPr>
              <w:t>progression-free survival</w:t>
            </w:r>
          </w:p>
        </w:tc>
      </w:tr>
      <w:tr w:rsidR="005848E9" w:rsidRPr="00DE7813" w14:paraId="026DB21D" w14:textId="77777777" w:rsidTr="00E32F13">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EA273AD" w14:textId="77777777" w:rsidR="005848E9" w:rsidRPr="00DE7813" w:rsidRDefault="005848E9" w:rsidP="00E32F13">
            <w:pPr>
              <w:rPr>
                <w:szCs w:val="22"/>
              </w:rPr>
            </w:pPr>
            <w:r w:rsidRPr="00DE7813">
              <w:rPr>
                <w:szCs w:val="22"/>
              </w:rPr>
              <w:t>PFS2</w:t>
            </w:r>
          </w:p>
        </w:tc>
        <w:tc>
          <w:tcPr>
            <w:tcW w:w="3800" w:type="pct"/>
          </w:tcPr>
          <w:p w14:paraId="593C8957" w14:textId="77777777" w:rsidR="005848E9" w:rsidRPr="00DE7813" w:rsidRDefault="005848E9" w:rsidP="00E32F13">
            <w:pPr>
              <w:cnfStyle w:val="000000000000" w:firstRow="0" w:lastRow="0" w:firstColumn="0" w:lastColumn="0" w:oddVBand="0" w:evenVBand="0" w:oddHBand="0" w:evenHBand="0" w:firstRowFirstColumn="0" w:firstRowLastColumn="0" w:lastRowFirstColumn="0" w:lastRowLastColumn="0"/>
              <w:rPr>
                <w:szCs w:val="22"/>
              </w:rPr>
            </w:pPr>
            <w:r w:rsidRPr="00DE7813">
              <w:rPr>
                <w:szCs w:val="22"/>
              </w:rPr>
              <w:t>progression-free survival after first subsequent therapy</w:t>
            </w:r>
          </w:p>
        </w:tc>
      </w:tr>
      <w:tr w:rsidR="005848E9" w:rsidRPr="00DE7813" w14:paraId="655516FC" w14:textId="77777777" w:rsidTr="00E32F13">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556BE67" w14:textId="77777777" w:rsidR="005848E9" w:rsidRPr="00DE7813" w:rsidRDefault="005848E9" w:rsidP="00E32F13">
            <w:pPr>
              <w:rPr>
                <w:szCs w:val="22"/>
              </w:rPr>
            </w:pPr>
            <w:r w:rsidRPr="00DE7813">
              <w:rPr>
                <w:szCs w:val="22"/>
              </w:rPr>
              <w:t>RMP</w:t>
            </w:r>
          </w:p>
        </w:tc>
        <w:tc>
          <w:tcPr>
            <w:tcW w:w="3800" w:type="pct"/>
          </w:tcPr>
          <w:p w14:paraId="2BD35448" w14:textId="77777777" w:rsidR="005848E9" w:rsidRPr="00DE7813" w:rsidRDefault="005848E9" w:rsidP="00E32F13">
            <w:pPr>
              <w:cnfStyle w:val="000000000000" w:firstRow="0" w:lastRow="0" w:firstColumn="0" w:lastColumn="0" w:oddVBand="0" w:evenVBand="0" w:oddHBand="0" w:evenHBand="0" w:firstRowFirstColumn="0" w:firstRowLastColumn="0" w:lastRowFirstColumn="0" w:lastRowLastColumn="0"/>
              <w:rPr>
                <w:szCs w:val="22"/>
              </w:rPr>
            </w:pPr>
            <w:r w:rsidRPr="00DE7813">
              <w:rPr>
                <w:szCs w:val="22"/>
              </w:rPr>
              <w:t>risk management plan</w:t>
            </w:r>
          </w:p>
        </w:tc>
      </w:tr>
      <w:tr w:rsidR="005848E9" w:rsidRPr="00DE7813" w14:paraId="56981D8D" w14:textId="77777777" w:rsidTr="00E32F13">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C5FB0AB" w14:textId="77777777" w:rsidR="005848E9" w:rsidRPr="00DE7813" w:rsidRDefault="005848E9" w:rsidP="00E32F13">
            <w:pPr>
              <w:rPr>
                <w:szCs w:val="22"/>
              </w:rPr>
            </w:pPr>
            <w:r w:rsidRPr="00DE7813">
              <w:rPr>
                <w:szCs w:val="22"/>
              </w:rPr>
              <w:t>TEAE</w:t>
            </w:r>
          </w:p>
        </w:tc>
        <w:tc>
          <w:tcPr>
            <w:tcW w:w="3800" w:type="pct"/>
          </w:tcPr>
          <w:p w14:paraId="4E0951E8" w14:textId="77777777" w:rsidR="005848E9" w:rsidRPr="00DE7813" w:rsidRDefault="005848E9" w:rsidP="00E32F13">
            <w:pPr>
              <w:cnfStyle w:val="000000000000" w:firstRow="0" w:lastRow="0" w:firstColumn="0" w:lastColumn="0" w:oddVBand="0" w:evenVBand="0" w:oddHBand="0" w:evenHBand="0" w:firstRowFirstColumn="0" w:firstRowLastColumn="0" w:lastRowFirstColumn="0" w:lastRowLastColumn="0"/>
              <w:rPr>
                <w:szCs w:val="22"/>
              </w:rPr>
            </w:pPr>
            <w:r w:rsidRPr="00DE7813">
              <w:rPr>
                <w:szCs w:val="22"/>
              </w:rPr>
              <w:t>treatment emergent adverse event</w:t>
            </w:r>
          </w:p>
        </w:tc>
      </w:tr>
      <w:tr w:rsidR="005848E9" w:rsidRPr="00DE7813" w14:paraId="19B7BD17" w14:textId="77777777" w:rsidTr="00E32F13">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4B2961F" w14:textId="77777777" w:rsidR="005848E9" w:rsidRPr="00DE7813" w:rsidRDefault="005848E9" w:rsidP="00E32F13">
            <w:pPr>
              <w:rPr>
                <w:szCs w:val="22"/>
              </w:rPr>
            </w:pPr>
            <w:r w:rsidRPr="00DE7813">
              <w:rPr>
                <w:szCs w:val="22"/>
              </w:rPr>
              <w:t>TGA</w:t>
            </w:r>
          </w:p>
        </w:tc>
        <w:tc>
          <w:tcPr>
            <w:tcW w:w="3800" w:type="pct"/>
          </w:tcPr>
          <w:p w14:paraId="7235EC50" w14:textId="77777777" w:rsidR="005848E9" w:rsidRPr="00DE7813" w:rsidRDefault="005848E9" w:rsidP="00E32F13">
            <w:pPr>
              <w:cnfStyle w:val="000000000000" w:firstRow="0" w:lastRow="0" w:firstColumn="0" w:lastColumn="0" w:oddVBand="0" w:evenVBand="0" w:oddHBand="0" w:evenHBand="0" w:firstRowFirstColumn="0" w:firstRowLastColumn="0" w:lastRowFirstColumn="0" w:lastRowLastColumn="0"/>
              <w:rPr>
                <w:szCs w:val="22"/>
              </w:rPr>
            </w:pPr>
            <w:r w:rsidRPr="00DE7813">
              <w:rPr>
                <w:szCs w:val="22"/>
              </w:rPr>
              <w:t>Therapeutic Goods Administration</w:t>
            </w:r>
          </w:p>
        </w:tc>
      </w:tr>
      <w:tr w:rsidR="005848E9" w:rsidRPr="00DE7813" w14:paraId="474DC80D" w14:textId="77777777" w:rsidTr="00E32F13">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8DDD0EE" w14:textId="77777777" w:rsidR="005848E9" w:rsidRPr="00DE7813" w:rsidRDefault="005848E9" w:rsidP="00E32F13">
            <w:pPr>
              <w:rPr>
                <w:szCs w:val="22"/>
              </w:rPr>
            </w:pPr>
            <w:r w:rsidRPr="00DE7813">
              <w:rPr>
                <w:szCs w:val="22"/>
              </w:rPr>
              <w:t>TKI</w:t>
            </w:r>
          </w:p>
        </w:tc>
        <w:tc>
          <w:tcPr>
            <w:tcW w:w="3800" w:type="pct"/>
          </w:tcPr>
          <w:p w14:paraId="30A50F6E" w14:textId="77777777" w:rsidR="005848E9" w:rsidRPr="00DE7813" w:rsidRDefault="005848E9" w:rsidP="00E32F13">
            <w:pPr>
              <w:cnfStyle w:val="000000000000" w:firstRow="0" w:lastRow="0" w:firstColumn="0" w:lastColumn="0" w:oddVBand="0" w:evenVBand="0" w:oddHBand="0" w:evenHBand="0" w:firstRowFirstColumn="0" w:firstRowLastColumn="0" w:lastRowFirstColumn="0" w:lastRowLastColumn="0"/>
              <w:rPr>
                <w:szCs w:val="22"/>
              </w:rPr>
            </w:pPr>
            <w:r w:rsidRPr="00DE7813">
              <w:rPr>
                <w:szCs w:val="22"/>
              </w:rPr>
              <w:t>tyrosine kinase inhibitor</w:t>
            </w:r>
          </w:p>
        </w:tc>
      </w:tr>
      <w:tr w:rsidR="005848E9" w:rsidRPr="00DE7813" w14:paraId="7B8E2D93" w14:textId="77777777" w:rsidTr="00E32F13">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E007371" w14:textId="77777777" w:rsidR="005848E9" w:rsidRPr="00DE7813" w:rsidRDefault="005848E9" w:rsidP="00E32F13">
            <w:pPr>
              <w:rPr>
                <w:szCs w:val="22"/>
              </w:rPr>
            </w:pPr>
            <w:r w:rsidRPr="00DE7813">
              <w:rPr>
                <w:szCs w:val="22"/>
              </w:rPr>
              <w:t>T</w:t>
            </w:r>
            <w:r w:rsidRPr="00DE7813">
              <w:rPr>
                <w:szCs w:val="22"/>
                <w:vertAlign w:val="subscript"/>
              </w:rPr>
              <w:t>max</w:t>
            </w:r>
            <w:r w:rsidRPr="00DE7813">
              <w:rPr>
                <w:szCs w:val="22"/>
              </w:rPr>
              <w:t xml:space="preserve"> </w:t>
            </w:r>
          </w:p>
        </w:tc>
        <w:tc>
          <w:tcPr>
            <w:tcW w:w="3800" w:type="pct"/>
          </w:tcPr>
          <w:p w14:paraId="42596BED" w14:textId="77777777" w:rsidR="005848E9" w:rsidRPr="00DE7813" w:rsidRDefault="005848E9" w:rsidP="00E32F13">
            <w:pPr>
              <w:cnfStyle w:val="000000000000" w:firstRow="0" w:lastRow="0" w:firstColumn="0" w:lastColumn="0" w:oddVBand="0" w:evenVBand="0" w:oddHBand="0" w:evenHBand="0" w:firstRowFirstColumn="0" w:firstRowLastColumn="0" w:lastRowFirstColumn="0" w:lastRowLastColumn="0"/>
              <w:rPr>
                <w:szCs w:val="22"/>
              </w:rPr>
            </w:pPr>
            <w:r w:rsidRPr="00DE7813">
              <w:rPr>
                <w:szCs w:val="22"/>
              </w:rPr>
              <w:t>time to reach the maximum plasma concentration</w:t>
            </w:r>
          </w:p>
        </w:tc>
      </w:tr>
      <w:tr w:rsidR="005848E9" w:rsidRPr="00DE7813" w14:paraId="35469298" w14:textId="77777777" w:rsidTr="00E32F13">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8774F60" w14:textId="77777777" w:rsidR="005848E9" w:rsidRPr="00DE7813" w:rsidRDefault="005848E9" w:rsidP="00E32F13">
            <w:pPr>
              <w:rPr>
                <w:szCs w:val="22"/>
              </w:rPr>
            </w:pPr>
            <w:r w:rsidRPr="00DE7813">
              <w:rPr>
                <w:szCs w:val="22"/>
              </w:rPr>
              <w:t xml:space="preserve">TTSP </w:t>
            </w:r>
          </w:p>
        </w:tc>
        <w:tc>
          <w:tcPr>
            <w:tcW w:w="3800" w:type="pct"/>
          </w:tcPr>
          <w:p w14:paraId="342CC9CD" w14:textId="77777777" w:rsidR="005848E9" w:rsidRPr="00DE7813" w:rsidRDefault="005848E9" w:rsidP="00E32F13">
            <w:pPr>
              <w:cnfStyle w:val="000000000000" w:firstRow="0" w:lastRow="0" w:firstColumn="0" w:lastColumn="0" w:oddVBand="0" w:evenVBand="0" w:oddHBand="0" w:evenHBand="0" w:firstRowFirstColumn="0" w:firstRowLastColumn="0" w:lastRowFirstColumn="0" w:lastRowLastColumn="0"/>
              <w:rPr>
                <w:szCs w:val="22"/>
              </w:rPr>
            </w:pPr>
            <w:r w:rsidRPr="00DE7813">
              <w:rPr>
                <w:szCs w:val="22"/>
              </w:rPr>
              <w:t>time to symptomatic progression</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5FCB2C8B" w:rsidR="00324B33" w:rsidRDefault="00554EAE" w:rsidP="00324B33">
      <w:pPr>
        <w:pStyle w:val="Heading2"/>
      </w:pPr>
      <w:bookmarkStart w:id="7" w:name="_Toc209441286"/>
      <w:r>
        <w:lastRenderedPageBreak/>
        <w:t>Lazcluze</w:t>
      </w:r>
      <w:r w:rsidR="00824E93" w:rsidRPr="00824E93">
        <w:t xml:space="preserve"> </w:t>
      </w:r>
      <w:r w:rsidR="001B5CA6" w:rsidRPr="001B5CA6">
        <w:t>(</w:t>
      </w:r>
      <w:r w:rsidR="006E6321">
        <w:t>lazertinib</w:t>
      </w:r>
      <w:r w:rsidR="001B5CA6" w:rsidRPr="001B5CA6">
        <w:t>) submission</w:t>
      </w:r>
      <w:bookmarkEnd w:id="7"/>
    </w:p>
    <w:tbl>
      <w:tblPr>
        <w:tblW w:w="5001" w:type="pct"/>
        <w:tblLook w:val="01E0" w:firstRow="1" w:lastRow="1" w:firstColumn="1" w:lastColumn="1" w:noHBand="0" w:noVBand="0"/>
      </w:tblPr>
      <w:tblGrid>
        <w:gridCol w:w="2863"/>
        <w:gridCol w:w="6209"/>
      </w:tblGrid>
      <w:tr w:rsidR="004C5054" w:rsidRPr="00BD5DBD" w14:paraId="54BF6BCA" w14:textId="77777777" w:rsidTr="004C5054">
        <w:tc>
          <w:tcPr>
            <w:tcW w:w="1578" w:type="pct"/>
          </w:tcPr>
          <w:p w14:paraId="0DF11F98" w14:textId="6ED5779B" w:rsidR="004C5054" w:rsidRPr="00BD5DBD" w:rsidRDefault="004C5054" w:rsidP="00AB4EC2">
            <w:pPr>
              <w:rPr>
                <w:i/>
                <w:szCs w:val="22"/>
              </w:rPr>
            </w:pPr>
            <w:r w:rsidRPr="00BD5DBD">
              <w:rPr>
                <w:i/>
                <w:szCs w:val="22"/>
              </w:rPr>
              <w:t>Type of submission:</w:t>
            </w:r>
          </w:p>
        </w:tc>
        <w:tc>
          <w:tcPr>
            <w:tcW w:w="3422" w:type="pct"/>
          </w:tcPr>
          <w:p w14:paraId="7655CDA7" w14:textId="2485E99A" w:rsidR="004C5054" w:rsidRPr="00BD5DBD" w:rsidRDefault="004C5054" w:rsidP="00AB4EC2">
            <w:pPr>
              <w:rPr>
                <w:szCs w:val="22"/>
              </w:rPr>
            </w:pPr>
            <w:bookmarkStart w:id="8" w:name="_Hlk210211521"/>
            <w:r w:rsidRPr="00BD5DBD">
              <w:rPr>
                <w:szCs w:val="22"/>
              </w:rPr>
              <w:t>New chemical</w:t>
            </w:r>
            <w:r>
              <w:rPr>
                <w:szCs w:val="22"/>
              </w:rPr>
              <w:t xml:space="preserve"> </w:t>
            </w:r>
            <w:r w:rsidRPr="00BD5DBD">
              <w:rPr>
                <w:szCs w:val="22"/>
              </w:rPr>
              <w:t>entity</w:t>
            </w:r>
            <w:bookmarkEnd w:id="8"/>
          </w:p>
        </w:tc>
      </w:tr>
      <w:tr w:rsidR="004C5054" w:rsidRPr="00BD5DBD" w14:paraId="6D006681" w14:textId="77777777" w:rsidTr="004C5054">
        <w:tc>
          <w:tcPr>
            <w:tcW w:w="1578" w:type="pct"/>
          </w:tcPr>
          <w:p w14:paraId="4E97026B" w14:textId="268831F5" w:rsidR="004C5054" w:rsidRPr="00BD5DBD" w:rsidRDefault="004C5054" w:rsidP="00AB4EC2">
            <w:pPr>
              <w:rPr>
                <w:i/>
                <w:szCs w:val="22"/>
              </w:rPr>
            </w:pPr>
            <w:r w:rsidRPr="00BD5DBD">
              <w:rPr>
                <w:i/>
                <w:szCs w:val="22"/>
              </w:rPr>
              <w:t>Product name</w:t>
            </w:r>
            <w:r>
              <w:rPr>
                <w:i/>
                <w:szCs w:val="22"/>
              </w:rPr>
              <w:t>:</w:t>
            </w:r>
          </w:p>
        </w:tc>
        <w:tc>
          <w:tcPr>
            <w:tcW w:w="3422" w:type="pct"/>
          </w:tcPr>
          <w:p w14:paraId="12449B24" w14:textId="0B81C799" w:rsidR="004C5054" w:rsidRPr="00BD5DBD" w:rsidRDefault="00554EAE" w:rsidP="00AB4EC2">
            <w:pPr>
              <w:rPr>
                <w:szCs w:val="22"/>
              </w:rPr>
            </w:pPr>
            <w:r>
              <w:rPr>
                <w:szCs w:val="22"/>
              </w:rPr>
              <w:t>Lazcluze</w:t>
            </w:r>
          </w:p>
        </w:tc>
      </w:tr>
      <w:tr w:rsidR="004C5054" w:rsidRPr="00BD5DBD" w14:paraId="1BF3CE8A" w14:textId="77777777" w:rsidTr="004C5054">
        <w:tc>
          <w:tcPr>
            <w:tcW w:w="1578" w:type="pct"/>
          </w:tcPr>
          <w:p w14:paraId="43694612" w14:textId="4A5C4790" w:rsidR="004C5054" w:rsidRPr="00BD5DBD" w:rsidRDefault="004C5054" w:rsidP="00AB4EC2">
            <w:pPr>
              <w:rPr>
                <w:i/>
                <w:szCs w:val="22"/>
              </w:rPr>
            </w:pPr>
            <w:r w:rsidRPr="00BD5DBD">
              <w:rPr>
                <w:i/>
                <w:szCs w:val="22"/>
              </w:rPr>
              <w:t>Active ingredient:</w:t>
            </w:r>
          </w:p>
        </w:tc>
        <w:tc>
          <w:tcPr>
            <w:tcW w:w="3422" w:type="pct"/>
          </w:tcPr>
          <w:p w14:paraId="38B1E6E6" w14:textId="0EF20B04" w:rsidR="004C5054" w:rsidRPr="00BD5DBD" w:rsidRDefault="006E6321" w:rsidP="00AB4EC2">
            <w:pPr>
              <w:rPr>
                <w:szCs w:val="22"/>
              </w:rPr>
            </w:pPr>
            <w:r>
              <w:rPr>
                <w:szCs w:val="22"/>
              </w:rPr>
              <w:t>lazertinib</w:t>
            </w:r>
          </w:p>
        </w:tc>
      </w:tr>
      <w:tr w:rsidR="004C5054" w:rsidRPr="00BD5DBD" w14:paraId="5EA402F3" w14:textId="77777777" w:rsidTr="004C5054">
        <w:tc>
          <w:tcPr>
            <w:tcW w:w="1578" w:type="pct"/>
          </w:tcPr>
          <w:p w14:paraId="73473475" w14:textId="77777777" w:rsidR="004C5054" w:rsidRPr="00BD5DBD" w:rsidRDefault="004C5054" w:rsidP="00AB4EC2">
            <w:pPr>
              <w:rPr>
                <w:i/>
                <w:szCs w:val="22"/>
              </w:rPr>
            </w:pPr>
            <w:r w:rsidRPr="00BD5DBD">
              <w:rPr>
                <w:i/>
                <w:szCs w:val="22"/>
              </w:rPr>
              <w:t>Decision:</w:t>
            </w:r>
          </w:p>
        </w:tc>
        <w:tc>
          <w:tcPr>
            <w:tcW w:w="3422" w:type="pct"/>
          </w:tcPr>
          <w:p w14:paraId="0DB472C7" w14:textId="63195F16" w:rsidR="004C5054" w:rsidRPr="00BD5DBD" w:rsidRDefault="004C5054" w:rsidP="00AB4EC2">
            <w:pPr>
              <w:rPr>
                <w:szCs w:val="22"/>
              </w:rPr>
            </w:pPr>
            <w:r w:rsidRPr="00BD5DBD">
              <w:rPr>
                <w:szCs w:val="22"/>
              </w:rPr>
              <w:t>Approved</w:t>
            </w:r>
          </w:p>
        </w:tc>
      </w:tr>
      <w:tr w:rsidR="004C5054" w:rsidRPr="00BD5DBD" w14:paraId="6A62065B" w14:textId="77777777" w:rsidTr="004C5054">
        <w:tc>
          <w:tcPr>
            <w:tcW w:w="1578" w:type="pct"/>
          </w:tcPr>
          <w:p w14:paraId="55120921" w14:textId="77777777" w:rsidR="004C5054" w:rsidRPr="00BD5DBD" w:rsidRDefault="004C5054" w:rsidP="00AB4EC2">
            <w:r w:rsidRPr="00BD5DBD">
              <w:rPr>
                <w:i/>
                <w:szCs w:val="22"/>
              </w:rPr>
              <w:t>Date of decision:</w:t>
            </w:r>
          </w:p>
        </w:tc>
        <w:tc>
          <w:tcPr>
            <w:tcW w:w="3422" w:type="pct"/>
          </w:tcPr>
          <w:p w14:paraId="2FF52390" w14:textId="2CC07281" w:rsidR="004C5054" w:rsidRPr="00BD5DBD" w:rsidRDefault="00824E93" w:rsidP="00AB4EC2">
            <w:pPr>
              <w:rPr>
                <w:szCs w:val="22"/>
              </w:rPr>
            </w:pPr>
            <w:r w:rsidRPr="00824E93">
              <w:rPr>
                <w:szCs w:val="22"/>
              </w:rPr>
              <w:t>9 April 2025</w:t>
            </w:r>
          </w:p>
        </w:tc>
      </w:tr>
      <w:tr w:rsidR="004C5054" w:rsidRPr="00BD5DBD" w14:paraId="7D32D925" w14:textId="77777777" w:rsidTr="004C5054">
        <w:tc>
          <w:tcPr>
            <w:tcW w:w="1578" w:type="pct"/>
          </w:tcPr>
          <w:p w14:paraId="44D415C2" w14:textId="57F1659D" w:rsidR="004C5054" w:rsidRPr="00BD5DBD" w:rsidRDefault="004C5054" w:rsidP="004C5054">
            <w:pPr>
              <w:rPr>
                <w:i/>
                <w:szCs w:val="22"/>
              </w:rPr>
            </w:pPr>
            <w:r w:rsidRPr="00BD5DBD">
              <w:rPr>
                <w:i/>
                <w:szCs w:val="22"/>
              </w:rPr>
              <w:t>Approved therapeutic use for the current submission:</w:t>
            </w:r>
          </w:p>
        </w:tc>
        <w:tc>
          <w:tcPr>
            <w:tcW w:w="3422" w:type="pct"/>
          </w:tcPr>
          <w:p w14:paraId="17539975" w14:textId="11EAB64E" w:rsidR="004C5054" w:rsidRPr="00BD5DBD" w:rsidRDefault="00554EAE" w:rsidP="004C5054">
            <w:pPr>
              <w:rPr>
                <w:szCs w:val="22"/>
              </w:rPr>
            </w:pPr>
            <w:r>
              <w:rPr>
                <w:szCs w:val="22"/>
              </w:rPr>
              <w:t>Lazcluze</w:t>
            </w:r>
            <w:r w:rsidR="006B7EBF" w:rsidRPr="006B7EBF">
              <w:rPr>
                <w:szCs w:val="22"/>
              </w:rPr>
              <w:t xml:space="preserve"> in combination with amivantamab is indicated for the first-line treatment of adult patients with locally advanced or metastatic non-small cell lung cancer (NSCLC) with epidermal growth factor receptor (EGFR) exon 19 deletions or exon 21 L858R substitution mutations.</w:t>
            </w:r>
          </w:p>
        </w:tc>
      </w:tr>
      <w:tr w:rsidR="004C5054" w:rsidRPr="00BD5DBD" w14:paraId="63F08B44" w14:textId="77777777" w:rsidTr="004C5054">
        <w:tc>
          <w:tcPr>
            <w:tcW w:w="1578" w:type="pct"/>
          </w:tcPr>
          <w:p w14:paraId="3465F4E3" w14:textId="77777777" w:rsidR="004C5054" w:rsidRPr="00BD5DBD" w:rsidRDefault="004C5054" w:rsidP="004C5054">
            <w:pPr>
              <w:rPr>
                <w:i/>
                <w:szCs w:val="22"/>
              </w:rPr>
            </w:pPr>
            <w:r w:rsidRPr="00BD5DBD">
              <w:rPr>
                <w:i/>
                <w:szCs w:val="22"/>
              </w:rPr>
              <w:t>Date of entry onto ARTG:</w:t>
            </w:r>
          </w:p>
        </w:tc>
        <w:tc>
          <w:tcPr>
            <w:tcW w:w="3422" w:type="pct"/>
          </w:tcPr>
          <w:p w14:paraId="46707976" w14:textId="018C3FDB" w:rsidR="004C5054" w:rsidRPr="00BD5DBD" w:rsidRDefault="00824E93" w:rsidP="004C5054">
            <w:pPr>
              <w:rPr>
                <w:szCs w:val="22"/>
              </w:rPr>
            </w:pPr>
            <w:r w:rsidRPr="00824E93">
              <w:rPr>
                <w:szCs w:val="22"/>
              </w:rPr>
              <w:t>15 April 2025</w:t>
            </w:r>
          </w:p>
        </w:tc>
      </w:tr>
      <w:tr w:rsidR="004C5054" w:rsidRPr="00BD5DBD" w14:paraId="1938CCD7" w14:textId="77777777" w:rsidTr="004C5054">
        <w:tc>
          <w:tcPr>
            <w:tcW w:w="1578" w:type="pct"/>
          </w:tcPr>
          <w:p w14:paraId="1E1BA305" w14:textId="32F00486" w:rsidR="004C5054" w:rsidRPr="00BD5DBD" w:rsidRDefault="004C5054" w:rsidP="004C5054">
            <w:pPr>
              <w:rPr>
                <w:i/>
                <w:szCs w:val="22"/>
              </w:rPr>
            </w:pPr>
            <w:r w:rsidRPr="00BD5DBD">
              <w:rPr>
                <w:i/>
                <w:szCs w:val="22"/>
              </w:rPr>
              <w:t>ARTG numbers:</w:t>
            </w:r>
          </w:p>
        </w:tc>
        <w:tc>
          <w:tcPr>
            <w:tcW w:w="3422" w:type="pct"/>
          </w:tcPr>
          <w:p w14:paraId="1574195F" w14:textId="38EA517F" w:rsidR="004C5054" w:rsidRDefault="00554EAE" w:rsidP="004C5054">
            <w:pPr>
              <w:rPr>
                <w:szCs w:val="22"/>
              </w:rPr>
            </w:pPr>
            <w:r>
              <w:rPr>
                <w:szCs w:val="22"/>
              </w:rPr>
              <w:t>Lazcluze</w:t>
            </w:r>
            <w:r w:rsidR="00824E93" w:rsidRPr="00824E93">
              <w:rPr>
                <w:szCs w:val="22"/>
              </w:rPr>
              <w:t xml:space="preserve"> </w:t>
            </w:r>
            <w:r w:rsidR="006E6321">
              <w:rPr>
                <w:szCs w:val="22"/>
              </w:rPr>
              <w:t>lazertinib</w:t>
            </w:r>
            <w:r w:rsidR="00824E93" w:rsidRPr="00824E93">
              <w:rPr>
                <w:szCs w:val="22"/>
              </w:rPr>
              <w:t xml:space="preserve"> 240 mg film-coated tablets blister pack (</w:t>
            </w:r>
            <w:hyperlink r:id="rId15" w:history="1">
              <w:r w:rsidR="00824E93" w:rsidRPr="00824E93">
                <w:rPr>
                  <w:rStyle w:val="Hyperlink"/>
                  <w:szCs w:val="22"/>
                </w:rPr>
                <w:t>444770</w:t>
              </w:r>
            </w:hyperlink>
            <w:r w:rsidR="00824E93" w:rsidRPr="00824E93">
              <w:rPr>
                <w:szCs w:val="22"/>
              </w:rPr>
              <w:t>)</w:t>
            </w:r>
          </w:p>
          <w:p w14:paraId="0360C829" w14:textId="4ED3D467" w:rsidR="00824E93" w:rsidRDefault="00554EAE" w:rsidP="004C5054">
            <w:pPr>
              <w:rPr>
                <w:szCs w:val="22"/>
              </w:rPr>
            </w:pPr>
            <w:r>
              <w:rPr>
                <w:szCs w:val="22"/>
              </w:rPr>
              <w:t>Lazcluze</w:t>
            </w:r>
            <w:r w:rsidR="00824E93" w:rsidRPr="00824E93">
              <w:rPr>
                <w:szCs w:val="22"/>
              </w:rPr>
              <w:t xml:space="preserve"> </w:t>
            </w:r>
            <w:r w:rsidR="006E6321">
              <w:rPr>
                <w:szCs w:val="22"/>
              </w:rPr>
              <w:t>lazertinib</w:t>
            </w:r>
            <w:r w:rsidR="00824E93" w:rsidRPr="00824E93">
              <w:rPr>
                <w:szCs w:val="22"/>
              </w:rPr>
              <w:t xml:space="preserve"> 240 mg film-coated tablets bottle (</w:t>
            </w:r>
            <w:hyperlink r:id="rId16" w:history="1">
              <w:r w:rsidR="00824E93" w:rsidRPr="00824E93">
                <w:rPr>
                  <w:rStyle w:val="Hyperlink"/>
                  <w:szCs w:val="22"/>
                </w:rPr>
                <w:t>444771</w:t>
              </w:r>
            </w:hyperlink>
            <w:r w:rsidR="00824E93" w:rsidRPr="00824E93">
              <w:rPr>
                <w:szCs w:val="22"/>
              </w:rPr>
              <w:t>)</w:t>
            </w:r>
          </w:p>
          <w:p w14:paraId="4428FADD" w14:textId="1E89864D" w:rsidR="00824E93" w:rsidRDefault="00554EAE" w:rsidP="004C5054">
            <w:pPr>
              <w:rPr>
                <w:szCs w:val="22"/>
              </w:rPr>
            </w:pPr>
            <w:r>
              <w:rPr>
                <w:szCs w:val="22"/>
              </w:rPr>
              <w:t>Lazcluze</w:t>
            </w:r>
            <w:r w:rsidR="00824E93" w:rsidRPr="00824E93">
              <w:rPr>
                <w:szCs w:val="22"/>
              </w:rPr>
              <w:t xml:space="preserve"> </w:t>
            </w:r>
            <w:r w:rsidR="006E6321">
              <w:rPr>
                <w:szCs w:val="22"/>
              </w:rPr>
              <w:t>lazertinib</w:t>
            </w:r>
            <w:r w:rsidR="00824E93" w:rsidRPr="00824E93">
              <w:rPr>
                <w:szCs w:val="22"/>
              </w:rPr>
              <w:t xml:space="preserve"> 80 mg film-coated tablets blister pack (</w:t>
            </w:r>
            <w:hyperlink r:id="rId17" w:history="1">
              <w:r w:rsidR="00824E93" w:rsidRPr="00824E93">
                <w:rPr>
                  <w:rStyle w:val="Hyperlink"/>
                  <w:szCs w:val="22"/>
                </w:rPr>
                <w:t>444772</w:t>
              </w:r>
            </w:hyperlink>
            <w:r w:rsidR="00824E93" w:rsidRPr="00824E93">
              <w:rPr>
                <w:szCs w:val="22"/>
              </w:rPr>
              <w:t>)</w:t>
            </w:r>
          </w:p>
          <w:p w14:paraId="2549BF33" w14:textId="0A9A0D28" w:rsidR="00824E93" w:rsidRPr="00BD5DBD" w:rsidRDefault="00554EAE" w:rsidP="004C5054">
            <w:pPr>
              <w:rPr>
                <w:szCs w:val="22"/>
              </w:rPr>
            </w:pPr>
            <w:r>
              <w:rPr>
                <w:szCs w:val="22"/>
              </w:rPr>
              <w:t>Lazcluze</w:t>
            </w:r>
            <w:r w:rsidR="00824E93" w:rsidRPr="00824E93">
              <w:rPr>
                <w:szCs w:val="22"/>
              </w:rPr>
              <w:t xml:space="preserve"> </w:t>
            </w:r>
            <w:r w:rsidR="006E6321">
              <w:rPr>
                <w:szCs w:val="22"/>
              </w:rPr>
              <w:t>lazertinib</w:t>
            </w:r>
            <w:r w:rsidR="00824E93" w:rsidRPr="00824E93">
              <w:rPr>
                <w:szCs w:val="22"/>
              </w:rPr>
              <w:t xml:space="preserve"> 80 mg film-coated tablets bottle (</w:t>
            </w:r>
            <w:hyperlink r:id="rId18" w:history="1">
              <w:r w:rsidR="00824E93" w:rsidRPr="00824E93">
                <w:rPr>
                  <w:rStyle w:val="Hyperlink"/>
                  <w:szCs w:val="22"/>
                </w:rPr>
                <w:t>444773</w:t>
              </w:r>
            </w:hyperlink>
            <w:r w:rsidR="00824E93" w:rsidRPr="00824E93">
              <w:rPr>
                <w:szCs w:val="22"/>
              </w:rPr>
              <w:t>)</w:t>
            </w:r>
          </w:p>
        </w:tc>
      </w:tr>
      <w:tr w:rsidR="004C5054" w:rsidRPr="00BD5DBD" w14:paraId="2D0A9B56" w14:textId="77777777" w:rsidTr="004C5054">
        <w:tc>
          <w:tcPr>
            <w:tcW w:w="1578" w:type="pct"/>
          </w:tcPr>
          <w:p w14:paraId="15A48FA4" w14:textId="0F571744" w:rsidR="004C5054" w:rsidRPr="00BD5DBD" w:rsidRDefault="004C5054" w:rsidP="004C5054">
            <w:pPr>
              <w:rPr>
                <w:i/>
                <w:szCs w:val="22"/>
              </w:rPr>
            </w:pPr>
            <w:r w:rsidRPr="00BD5DBD">
              <w:rPr>
                <w:rFonts w:ascii="Wingdings 3" w:hAnsi="Wingdings 3"/>
                <w:szCs w:val="22"/>
                <w:lang w:eastAsia="en-AU"/>
              </w:rPr>
              <w:t></w:t>
            </w:r>
            <w:hyperlink r:id="rId19" w:history="1">
              <w:r w:rsidRPr="00BD5DBD">
                <w:rPr>
                  <w:rStyle w:val="Hyperlink"/>
                  <w:i/>
                  <w:szCs w:val="22"/>
                </w:rPr>
                <w:t>Black Triangle Scheme</w:t>
              </w:r>
            </w:hyperlink>
            <w:r w:rsidRPr="00BD5DBD">
              <w:rPr>
                <w:i/>
                <w:szCs w:val="22"/>
              </w:rPr>
              <w:t>:</w:t>
            </w:r>
          </w:p>
        </w:tc>
        <w:tc>
          <w:tcPr>
            <w:tcW w:w="3422" w:type="pct"/>
          </w:tcPr>
          <w:p w14:paraId="65273AE0" w14:textId="73B6839C" w:rsidR="004C5054" w:rsidRPr="00BD5DBD" w:rsidRDefault="004C5054" w:rsidP="004C5054">
            <w:pPr>
              <w:rPr>
                <w:szCs w:val="22"/>
              </w:rPr>
            </w:pPr>
            <w:r w:rsidRPr="00BD5DBD">
              <w:rPr>
                <w:szCs w:val="22"/>
              </w:rPr>
              <w:t>Yes</w:t>
            </w:r>
          </w:p>
        </w:tc>
      </w:tr>
      <w:tr w:rsidR="004C5054" w:rsidRPr="00BD5DBD" w14:paraId="5F5F972F" w14:textId="77777777" w:rsidTr="004C5054">
        <w:tc>
          <w:tcPr>
            <w:tcW w:w="1578" w:type="pct"/>
          </w:tcPr>
          <w:p w14:paraId="0AF604AB" w14:textId="77777777" w:rsidR="004C5054" w:rsidRPr="00BD5DBD" w:rsidRDefault="004C5054" w:rsidP="004C5054">
            <w:pPr>
              <w:rPr>
                <w:i/>
                <w:szCs w:val="22"/>
              </w:rPr>
            </w:pPr>
            <w:r w:rsidRPr="00BD5DBD">
              <w:rPr>
                <w:i/>
                <w:szCs w:val="22"/>
              </w:rPr>
              <w:t>Sponsor’s name and address:</w:t>
            </w:r>
          </w:p>
        </w:tc>
        <w:tc>
          <w:tcPr>
            <w:tcW w:w="3422" w:type="pct"/>
          </w:tcPr>
          <w:p w14:paraId="1B1DC01B" w14:textId="58F5E3BC" w:rsidR="004C5054" w:rsidRPr="00BD5DBD" w:rsidRDefault="00824E93" w:rsidP="00824E93">
            <w:pPr>
              <w:rPr>
                <w:szCs w:val="22"/>
              </w:rPr>
            </w:pPr>
            <w:r w:rsidRPr="00824E93">
              <w:rPr>
                <w:szCs w:val="22"/>
              </w:rPr>
              <w:t>Janssen-Cilag Pty Ltd</w:t>
            </w:r>
            <w:r>
              <w:rPr>
                <w:szCs w:val="22"/>
              </w:rPr>
              <w:t xml:space="preserve">, </w:t>
            </w:r>
            <w:r w:rsidRPr="00824E93">
              <w:rPr>
                <w:szCs w:val="22"/>
              </w:rPr>
              <w:t>1-5 Khartoum Road</w:t>
            </w:r>
            <w:r>
              <w:rPr>
                <w:szCs w:val="22"/>
              </w:rPr>
              <w:t xml:space="preserve">, </w:t>
            </w:r>
            <w:r w:rsidRPr="00824E93">
              <w:rPr>
                <w:szCs w:val="22"/>
              </w:rPr>
              <w:t>Macquarie Park</w:t>
            </w:r>
            <w:r>
              <w:rPr>
                <w:szCs w:val="22"/>
              </w:rPr>
              <w:t xml:space="preserve"> </w:t>
            </w:r>
            <w:r w:rsidRPr="00824E93">
              <w:rPr>
                <w:szCs w:val="22"/>
              </w:rPr>
              <w:t>NSW</w:t>
            </w:r>
            <w:r>
              <w:rPr>
                <w:szCs w:val="22"/>
              </w:rPr>
              <w:t>,</w:t>
            </w:r>
            <w:r w:rsidRPr="00824E93">
              <w:rPr>
                <w:szCs w:val="22"/>
              </w:rPr>
              <w:t xml:space="preserve"> 2113</w:t>
            </w:r>
          </w:p>
        </w:tc>
      </w:tr>
      <w:tr w:rsidR="004C5054" w:rsidRPr="00BD5DBD" w14:paraId="3FBEB0B5" w14:textId="77777777" w:rsidTr="004C5054">
        <w:tc>
          <w:tcPr>
            <w:tcW w:w="1578" w:type="pct"/>
          </w:tcPr>
          <w:p w14:paraId="7137DBEF" w14:textId="06CEA376" w:rsidR="004C5054" w:rsidRPr="00BD5DBD" w:rsidRDefault="004C5054" w:rsidP="004C5054">
            <w:pPr>
              <w:rPr>
                <w:i/>
                <w:szCs w:val="22"/>
              </w:rPr>
            </w:pPr>
            <w:r w:rsidRPr="00BD5DBD">
              <w:rPr>
                <w:i/>
                <w:szCs w:val="22"/>
              </w:rPr>
              <w:t>Dose form:</w:t>
            </w:r>
          </w:p>
        </w:tc>
        <w:tc>
          <w:tcPr>
            <w:tcW w:w="3422" w:type="pct"/>
          </w:tcPr>
          <w:p w14:paraId="06FD5551" w14:textId="1B726D40" w:rsidR="004C5054" w:rsidRPr="00BD5DBD" w:rsidRDefault="00824E93" w:rsidP="004C5054">
            <w:pPr>
              <w:rPr>
                <w:szCs w:val="22"/>
              </w:rPr>
            </w:pPr>
            <w:r w:rsidRPr="00824E93">
              <w:rPr>
                <w:szCs w:val="22"/>
              </w:rPr>
              <w:t>film-coated tablet</w:t>
            </w:r>
          </w:p>
        </w:tc>
      </w:tr>
      <w:tr w:rsidR="004C5054" w:rsidRPr="00BD5DBD" w14:paraId="3F5A37A6" w14:textId="77777777" w:rsidTr="004C5054">
        <w:tc>
          <w:tcPr>
            <w:tcW w:w="1578" w:type="pct"/>
          </w:tcPr>
          <w:p w14:paraId="118DF702" w14:textId="40618BB5" w:rsidR="004C5054" w:rsidRPr="00BD5DBD" w:rsidRDefault="004C5054" w:rsidP="004C5054">
            <w:pPr>
              <w:rPr>
                <w:i/>
                <w:szCs w:val="22"/>
              </w:rPr>
            </w:pPr>
            <w:r w:rsidRPr="00BD5DBD">
              <w:rPr>
                <w:i/>
                <w:szCs w:val="22"/>
              </w:rPr>
              <w:t>Strength:</w:t>
            </w:r>
          </w:p>
        </w:tc>
        <w:tc>
          <w:tcPr>
            <w:tcW w:w="3422" w:type="pct"/>
          </w:tcPr>
          <w:p w14:paraId="0E49C6BF" w14:textId="41C2199B" w:rsidR="004C5054" w:rsidRPr="00BD5DBD" w:rsidRDefault="00824E93" w:rsidP="004C5054">
            <w:pPr>
              <w:rPr>
                <w:szCs w:val="22"/>
              </w:rPr>
            </w:pPr>
            <w:r w:rsidRPr="00824E93">
              <w:rPr>
                <w:szCs w:val="22"/>
              </w:rPr>
              <w:t xml:space="preserve">Each film-coated tablet contains 80 mg or 240 mg of </w:t>
            </w:r>
            <w:r w:rsidR="006E6321">
              <w:rPr>
                <w:szCs w:val="22"/>
              </w:rPr>
              <w:t>lazertinib</w:t>
            </w:r>
            <w:r w:rsidRPr="00824E93">
              <w:rPr>
                <w:szCs w:val="22"/>
              </w:rPr>
              <w:t xml:space="preserve"> (as mesilate monohydrate).</w:t>
            </w:r>
          </w:p>
        </w:tc>
      </w:tr>
      <w:tr w:rsidR="004C5054" w:rsidRPr="00BD5DBD" w14:paraId="52199EFA" w14:textId="77777777" w:rsidTr="004C5054">
        <w:tc>
          <w:tcPr>
            <w:tcW w:w="1578" w:type="pct"/>
          </w:tcPr>
          <w:p w14:paraId="03159FDE" w14:textId="5318CF4C" w:rsidR="004C5054" w:rsidRPr="00BD5DBD" w:rsidRDefault="004C5054" w:rsidP="004C5054">
            <w:pPr>
              <w:rPr>
                <w:i/>
                <w:szCs w:val="22"/>
              </w:rPr>
            </w:pPr>
            <w:r w:rsidRPr="00BD5DBD">
              <w:rPr>
                <w:i/>
                <w:szCs w:val="22"/>
              </w:rPr>
              <w:t>Container</w:t>
            </w:r>
            <w:r w:rsidR="00824E93">
              <w:rPr>
                <w:i/>
                <w:szCs w:val="22"/>
              </w:rPr>
              <w:t>/pack sizes</w:t>
            </w:r>
          </w:p>
        </w:tc>
        <w:tc>
          <w:tcPr>
            <w:tcW w:w="3422" w:type="pct"/>
          </w:tcPr>
          <w:p w14:paraId="282A2A95" w14:textId="77777777" w:rsidR="00824E93" w:rsidRPr="00824E93" w:rsidRDefault="00824E93" w:rsidP="00824E93">
            <w:pPr>
              <w:rPr>
                <w:b/>
                <w:bCs/>
                <w:szCs w:val="22"/>
              </w:rPr>
            </w:pPr>
            <w:r w:rsidRPr="00824E93">
              <w:rPr>
                <w:b/>
                <w:bCs/>
                <w:szCs w:val="22"/>
              </w:rPr>
              <w:t xml:space="preserve">Blister pack </w:t>
            </w:r>
          </w:p>
          <w:p w14:paraId="2D154DAD" w14:textId="77777777" w:rsidR="00824E93" w:rsidRPr="00824E93" w:rsidRDefault="00824E93" w:rsidP="00824E93">
            <w:pPr>
              <w:rPr>
                <w:szCs w:val="22"/>
              </w:rPr>
            </w:pPr>
            <w:r w:rsidRPr="00824E93">
              <w:rPr>
                <w:szCs w:val="22"/>
              </w:rPr>
              <w:t>Polyvinyl chloride – polychlorotrifluoroethylene (PVC-PCTFE) film and aluminum push-through foil.</w:t>
            </w:r>
          </w:p>
          <w:p w14:paraId="2551B2CD" w14:textId="5E75CEB7" w:rsidR="00824E93" w:rsidRPr="00824E93" w:rsidRDefault="00824E93" w:rsidP="00824E93">
            <w:pPr>
              <w:pStyle w:val="ListBullet"/>
            </w:pPr>
            <w:r w:rsidRPr="00824E93">
              <w:t>80 mg tablets packaged in 56-count blister pack (2</w:t>
            </w:r>
            <w:r w:rsidR="009039F5">
              <w:t xml:space="preserve"> </w:t>
            </w:r>
            <w:proofErr w:type="spellStart"/>
            <w:r w:rsidRPr="00824E93">
              <w:t>dosepaks</w:t>
            </w:r>
            <w:proofErr w:type="spellEnd"/>
            <w:r w:rsidRPr="00824E93">
              <w:t xml:space="preserve"> containing 28 tablets each).</w:t>
            </w:r>
          </w:p>
          <w:p w14:paraId="4A452ADA" w14:textId="48432C81" w:rsidR="00824E93" w:rsidRPr="00824E93" w:rsidRDefault="00824E93" w:rsidP="00824E93">
            <w:pPr>
              <w:pStyle w:val="ListBullet"/>
            </w:pPr>
            <w:r w:rsidRPr="00824E93">
              <w:t>240 mg tablets packaged in 14-count blister pack (1</w:t>
            </w:r>
            <w:r w:rsidR="009039F5">
              <w:t xml:space="preserve"> </w:t>
            </w:r>
            <w:proofErr w:type="spellStart"/>
            <w:r w:rsidRPr="00824E93">
              <w:t>dosepak</w:t>
            </w:r>
            <w:proofErr w:type="spellEnd"/>
            <w:r w:rsidRPr="00824E93">
              <w:t xml:space="preserve"> containing 14 tablets) or 28-count blister pack (2 </w:t>
            </w:r>
            <w:proofErr w:type="spellStart"/>
            <w:r w:rsidRPr="00824E93">
              <w:t>dosepaks</w:t>
            </w:r>
            <w:proofErr w:type="spellEnd"/>
            <w:r w:rsidRPr="00824E93">
              <w:t xml:space="preserve"> containing 14 tablets each).</w:t>
            </w:r>
          </w:p>
          <w:p w14:paraId="75519729" w14:textId="77777777" w:rsidR="00824E93" w:rsidRPr="00824E93" w:rsidRDefault="00824E93" w:rsidP="00824E93">
            <w:pPr>
              <w:rPr>
                <w:b/>
                <w:bCs/>
                <w:szCs w:val="22"/>
              </w:rPr>
            </w:pPr>
            <w:r w:rsidRPr="00824E93">
              <w:rPr>
                <w:b/>
                <w:bCs/>
                <w:szCs w:val="22"/>
              </w:rPr>
              <w:t>Bottle</w:t>
            </w:r>
          </w:p>
          <w:p w14:paraId="47BAB71C" w14:textId="77777777" w:rsidR="00824E93" w:rsidRPr="00824E93" w:rsidRDefault="00824E93" w:rsidP="00824E93">
            <w:pPr>
              <w:rPr>
                <w:szCs w:val="22"/>
              </w:rPr>
            </w:pPr>
            <w:r w:rsidRPr="00824E93">
              <w:rPr>
                <w:szCs w:val="22"/>
              </w:rPr>
              <w:t>White opaque high-density polyethylene (HDPE) bottle with polypropylene child-resistant closure.</w:t>
            </w:r>
          </w:p>
          <w:p w14:paraId="610F85BC" w14:textId="4181808A" w:rsidR="00824E93" w:rsidRPr="00824E93" w:rsidRDefault="00824E93" w:rsidP="00824E93">
            <w:pPr>
              <w:pStyle w:val="ListBullet"/>
            </w:pPr>
            <w:r w:rsidRPr="00824E93">
              <w:t>80 mg tablets packaged in a 60-count bottle or 90-count bottle.</w:t>
            </w:r>
          </w:p>
          <w:p w14:paraId="6FA2C2D7" w14:textId="786A0637" w:rsidR="004C5054" w:rsidRPr="00BD5DBD" w:rsidRDefault="00824E93" w:rsidP="00824E93">
            <w:pPr>
              <w:pStyle w:val="ListBullet"/>
            </w:pPr>
            <w:r w:rsidRPr="00824E93">
              <w:t>240 mg tablets packaged in a 30-count bottle.</w:t>
            </w:r>
          </w:p>
        </w:tc>
      </w:tr>
      <w:tr w:rsidR="004C5054" w:rsidRPr="00BD5DBD" w14:paraId="72A1822D" w14:textId="77777777" w:rsidTr="004C5054">
        <w:tc>
          <w:tcPr>
            <w:tcW w:w="1578" w:type="pct"/>
          </w:tcPr>
          <w:p w14:paraId="46A8584B" w14:textId="390313A9" w:rsidR="004C5054" w:rsidRPr="00BD5DBD" w:rsidRDefault="004C5054" w:rsidP="004C5054">
            <w:pPr>
              <w:rPr>
                <w:i/>
                <w:szCs w:val="22"/>
              </w:rPr>
            </w:pPr>
            <w:r w:rsidRPr="00BD5DBD">
              <w:rPr>
                <w:i/>
                <w:szCs w:val="22"/>
              </w:rPr>
              <w:t>Route of administration:</w:t>
            </w:r>
          </w:p>
        </w:tc>
        <w:tc>
          <w:tcPr>
            <w:tcW w:w="3422" w:type="pct"/>
          </w:tcPr>
          <w:p w14:paraId="4350177A" w14:textId="65E6F49C" w:rsidR="004C5054" w:rsidRPr="00BD5DBD" w:rsidRDefault="00824E93" w:rsidP="004C5054">
            <w:pPr>
              <w:rPr>
                <w:szCs w:val="22"/>
              </w:rPr>
            </w:pPr>
            <w:r>
              <w:rPr>
                <w:szCs w:val="22"/>
              </w:rPr>
              <w:t>oral</w:t>
            </w:r>
          </w:p>
        </w:tc>
      </w:tr>
      <w:tr w:rsidR="004C5054" w:rsidRPr="00BD5DBD" w14:paraId="6B85C3C8" w14:textId="77777777" w:rsidTr="004C5054">
        <w:tc>
          <w:tcPr>
            <w:tcW w:w="1578" w:type="pct"/>
          </w:tcPr>
          <w:p w14:paraId="390BF6E7" w14:textId="77777777" w:rsidR="004C5054" w:rsidRPr="00BD5DBD" w:rsidRDefault="004C5054" w:rsidP="004C5054">
            <w:pPr>
              <w:rPr>
                <w:i/>
                <w:szCs w:val="22"/>
              </w:rPr>
            </w:pPr>
            <w:r w:rsidRPr="00BD5DBD">
              <w:rPr>
                <w:i/>
                <w:szCs w:val="22"/>
              </w:rPr>
              <w:lastRenderedPageBreak/>
              <w:t>Dosage:</w:t>
            </w:r>
          </w:p>
        </w:tc>
        <w:tc>
          <w:tcPr>
            <w:tcW w:w="3422" w:type="pct"/>
          </w:tcPr>
          <w:p w14:paraId="1B0BCDD1" w14:textId="5A791518" w:rsidR="004C5054" w:rsidRDefault="00824E93" w:rsidP="004C5054">
            <w:pPr>
              <w:rPr>
                <w:szCs w:val="22"/>
              </w:rPr>
            </w:pPr>
            <w:r w:rsidRPr="00824E93">
              <w:rPr>
                <w:szCs w:val="22"/>
              </w:rPr>
              <w:t>240 mg orally once daily in combination with amivantamab until disease progression or no longer tolerated by the patient.</w:t>
            </w:r>
          </w:p>
          <w:p w14:paraId="2EE392DC" w14:textId="5AE51E1E" w:rsidR="004C5054" w:rsidRPr="00BD5DBD" w:rsidRDefault="004C5054" w:rsidP="004C5054">
            <w:pPr>
              <w:rPr>
                <w:szCs w:val="22"/>
              </w:rPr>
            </w:pPr>
            <w:r w:rsidRPr="00BD5DBD">
              <w:rPr>
                <w:szCs w:val="22"/>
              </w:rPr>
              <w:t>For further information regarding dosage</w:t>
            </w:r>
            <w:r>
              <w:rPr>
                <w:szCs w:val="22"/>
              </w:rPr>
              <w:t xml:space="preserve"> r</w:t>
            </w:r>
            <w:r w:rsidRPr="00BD5DBD">
              <w:rPr>
                <w:szCs w:val="22"/>
              </w:rPr>
              <w:t xml:space="preserve">efer to the </w:t>
            </w:r>
            <w:hyperlink r:id="rId20" w:history="1">
              <w:r w:rsidRPr="004C5054">
                <w:rPr>
                  <w:rStyle w:val="Hyperlink"/>
                  <w:szCs w:val="22"/>
                </w:rPr>
                <w:t>Product Information</w:t>
              </w:r>
            </w:hyperlink>
            <w:r w:rsidRPr="00BD5DBD">
              <w:rPr>
                <w:szCs w:val="22"/>
              </w:rPr>
              <w:t>.</w:t>
            </w:r>
          </w:p>
        </w:tc>
      </w:tr>
      <w:tr w:rsidR="004C5054" w:rsidRPr="00BD5DBD" w14:paraId="12E49C21" w14:textId="77777777" w:rsidTr="004C5054">
        <w:tc>
          <w:tcPr>
            <w:tcW w:w="1578" w:type="pct"/>
          </w:tcPr>
          <w:p w14:paraId="05B4C2E6" w14:textId="77777777" w:rsidR="004C5054" w:rsidRPr="00F8083B" w:rsidRDefault="004C5054" w:rsidP="004C5054">
            <w:r w:rsidRPr="00BD5DBD">
              <w:rPr>
                <w:i/>
                <w:szCs w:val="22"/>
              </w:rPr>
              <w:t>Pregnancy category:</w:t>
            </w:r>
          </w:p>
        </w:tc>
        <w:tc>
          <w:tcPr>
            <w:tcW w:w="3422" w:type="pct"/>
          </w:tcPr>
          <w:p w14:paraId="1B80F9B3" w14:textId="77777777" w:rsidR="004C5054" w:rsidRDefault="004C5054" w:rsidP="004C5054">
            <w:r>
              <w:t>Category D</w:t>
            </w:r>
          </w:p>
          <w:p w14:paraId="3DF819D9" w14:textId="77777777" w:rsidR="004C5054" w:rsidRDefault="004C5054" w:rsidP="004C5054">
            <w:r>
              <w:t xml:space="preserve">Drugs which have caused, are suspected to have caused or may be expected to cause, an increased incidence of human fetal malformations or irreversible damage. These drugs may also have adverse pharmacological effects. </w:t>
            </w:r>
          </w:p>
          <w:p w14:paraId="3586E3F9" w14:textId="77777777" w:rsidR="004C5054" w:rsidRPr="00BD5DBD" w:rsidRDefault="004C5054" w:rsidP="004C5054">
            <w:pPr>
              <w:rPr>
                <w:szCs w:val="22"/>
              </w:rPr>
            </w:pPr>
            <w:r w:rsidRPr="00BD5DBD">
              <w:rPr>
                <w:szCs w:val="22"/>
              </w:rPr>
              <w:t xml:space="preserve">The use of any medicine during pregnancy requires careful consideration of both risks and benefits by the treating health professional. </w:t>
            </w:r>
            <w:r>
              <w:rPr>
                <w:szCs w:val="22"/>
              </w:rPr>
              <w:t xml:space="preserve">The </w:t>
            </w:r>
            <w:hyperlink r:id="rId21" w:history="1">
              <w:r w:rsidRPr="00065FDF">
                <w:rPr>
                  <w:rStyle w:val="Hyperlink"/>
                  <w:szCs w:val="22"/>
                </w:rPr>
                <w:t>pregnancy database</w:t>
              </w:r>
            </w:hyperlink>
            <w:r>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2" w:history="1">
              <w:r w:rsidRPr="00C059D0">
                <w:rPr>
                  <w:rStyle w:val="Hyperlink"/>
                  <w:szCs w:val="22"/>
                </w:rPr>
                <w:t>obstetric drug information services</w:t>
              </w:r>
            </w:hyperlink>
            <w:r w:rsidRPr="00BD5DBD">
              <w:rPr>
                <w:szCs w:val="22"/>
              </w:rPr>
              <w:t xml:space="preserve"> in your </w:t>
            </w:r>
            <w:r>
              <w:rPr>
                <w:szCs w:val="22"/>
              </w:rPr>
              <w:t>s</w:t>
            </w:r>
            <w:r w:rsidRPr="00BD5DBD">
              <w:rPr>
                <w:szCs w:val="22"/>
              </w:rPr>
              <w:t xml:space="preserve">tate or </w:t>
            </w:r>
            <w:r>
              <w:rPr>
                <w:szCs w:val="22"/>
              </w:rPr>
              <w:t>t</w:t>
            </w:r>
            <w:r w:rsidRPr="00BD5DBD">
              <w:rPr>
                <w:szCs w:val="22"/>
              </w:rPr>
              <w:t>erritory.</w:t>
            </w:r>
          </w:p>
        </w:tc>
      </w:tr>
    </w:tbl>
    <w:p w14:paraId="51F2479F" w14:textId="4B44F17A" w:rsidR="00324B33" w:rsidRDefault="00574BAB" w:rsidP="009C1E47">
      <w:pPr>
        <w:pStyle w:val="Heading3"/>
      </w:pPr>
      <w:bookmarkStart w:id="9" w:name="_Toc209441287"/>
      <w:r>
        <w:t>P</w:t>
      </w:r>
      <w:r w:rsidR="006D0E86" w:rsidRPr="006D0E86">
        <w:t>roposed indication</w:t>
      </w:r>
      <w:bookmarkEnd w:id="9"/>
    </w:p>
    <w:p w14:paraId="71A53451" w14:textId="78C57DEA" w:rsidR="004C5054" w:rsidRDefault="00324B33" w:rsidP="004C5054">
      <w:r w:rsidRPr="00065839">
        <w:t xml:space="preserve">This AusPAR describes the submission by </w:t>
      </w:r>
      <w:r w:rsidR="00824E93" w:rsidRPr="00824E93">
        <w:t>Janssen-Cilag Pty Ltd</w:t>
      </w:r>
      <w:r w:rsidRPr="00065839">
        <w:t xml:space="preserve"> (the </w:t>
      </w:r>
      <w:r w:rsidR="00417D9A">
        <w:t>S</w:t>
      </w:r>
      <w:r w:rsidRPr="00065839">
        <w:t xml:space="preserve">ponsor) to register </w:t>
      </w:r>
      <w:r w:rsidR="00554EAE">
        <w:t>Lazcluze</w:t>
      </w:r>
      <w:r w:rsidR="00824E93" w:rsidRPr="00824E93">
        <w:t xml:space="preserve"> </w:t>
      </w:r>
      <w:r w:rsidR="00824E93">
        <w:t>(</w:t>
      </w:r>
      <w:r w:rsidR="006E6321">
        <w:t>lazertinib</w:t>
      </w:r>
      <w:r w:rsidR="00824E93">
        <w:t>)</w:t>
      </w:r>
      <w:r w:rsidRPr="00065839">
        <w:t xml:space="preserve"> for the following proposed indication:</w:t>
      </w:r>
      <w:bookmarkStart w:id="10" w:name="_Toc314842485"/>
      <w:bookmarkStart w:id="11" w:name="_Toc247691504"/>
    </w:p>
    <w:p w14:paraId="39628444" w14:textId="7E10A1E6" w:rsidR="00824E93" w:rsidRDefault="00554EAE" w:rsidP="005751A5">
      <w:pPr>
        <w:pStyle w:val="Indication"/>
      </w:pPr>
      <w:r>
        <w:t>Lazcluze</w:t>
      </w:r>
      <w:r w:rsidR="005751A5">
        <w:t xml:space="preserve"> in combination with amivantamab is indicated for the first-line treatment of adult patients with locally advanced or metastatic non-small cell lung cancer (NSCLC) with epidermal growth factor receptor (EGFR) exon 19 deletions or exon 21 L858R substitution mutations.</w:t>
      </w:r>
    </w:p>
    <w:p w14:paraId="4DD1DA7C" w14:textId="4A0C5292" w:rsidR="004C5054" w:rsidRDefault="0033169F" w:rsidP="009C1E47">
      <w:pPr>
        <w:pStyle w:val="Heading3"/>
      </w:pPr>
      <w:bookmarkStart w:id="12" w:name="_Toc209441288"/>
      <w:r w:rsidRPr="0033169F">
        <w:t xml:space="preserve">The </w:t>
      </w:r>
      <w:r w:rsidR="00F008F8">
        <w:t>condition</w:t>
      </w:r>
      <w:bookmarkEnd w:id="12"/>
    </w:p>
    <w:p w14:paraId="28261390" w14:textId="1B979C41" w:rsidR="005751A5" w:rsidRPr="005751A5" w:rsidRDefault="005751A5" w:rsidP="00AB5A4A">
      <w:r w:rsidRPr="005751A5">
        <w:t xml:space="preserve">Lung cancer is one of the most common types of cancer and is the most common cause of death from cancer worldwide. NSCLC accounts for approximately 80-85% of lung cancers. The most prevalent gene mutations that are actionable are those that result in the activation </w:t>
      </w:r>
      <w:r w:rsidR="009039F5">
        <w:t xml:space="preserve">of </w:t>
      </w:r>
      <w:r w:rsidRPr="005751A5">
        <w:t>EGFR. The most frequently identified EGFR mutations, exon 19 deletions and exon 21 L858R substitution mutations, are seen in approximately 85% of patients with NSCLC harbouring activating EGFR mutations.</w:t>
      </w:r>
    </w:p>
    <w:p w14:paraId="3D376116" w14:textId="219669E0" w:rsidR="004C5054" w:rsidRDefault="00480A4C" w:rsidP="00EC51A9">
      <w:pPr>
        <w:pStyle w:val="Heading3"/>
      </w:pPr>
      <w:bookmarkStart w:id="13" w:name="_Toc209441289"/>
      <w:r w:rsidRPr="00480A4C">
        <w:t>Current treatment options</w:t>
      </w:r>
      <w:bookmarkEnd w:id="13"/>
    </w:p>
    <w:p w14:paraId="775A45B4" w14:textId="3A3A7B16" w:rsidR="005751A5" w:rsidRDefault="005751A5" w:rsidP="00AB5A4A">
      <w:r>
        <w:t xml:space="preserve">The current standard of care (SOC) for the first-line treatment of EGFR mutation-positive NSCLC is a third-generation EGFR tyrosine kinase inhibitor (TKI), most commonly </w:t>
      </w:r>
      <w:r w:rsidR="006E6321">
        <w:t>osimertinib</w:t>
      </w:r>
      <w:r>
        <w:t xml:space="preserve">. Despite the improved initial disease control for EGFRm NSCLC, almost all patients treated with first-line </w:t>
      </w:r>
      <w:r w:rsidR="006E6321">
        <w:t>osimertinib</w:t>
      </w:r>
      <w:r>
        <w:t xml:space="preserve"> will develop resistance</w:t>
      </w:r>
      <w:r w:rsidR="00AE3C9A">
        <w:t xml:space="preserve">. </w:t>
      </w:r>
      <w:r w:rsidR="00143B86">
        <w:t>T</w:t>
      </w:r>
      <w:r>
        <w:t>here are currently no approved targeted therapies for treatment of these patients once resistance has developed.</w:t>
      </w:r>
    </w:p>
    <w:p w14:paraId="37C47E09" w14:textId="226868CE" w:rsidR="00CB6813" w:rsidRDefault="002F116C" w:rsidP="009C1E47">
      <w:pPr>
        <w:pStyle w:val="Heading3"/>
      </w:pPr>
      <w:bookmarkStart w:id="14" w:name="_Toc209441290"/>
      <w:r w:rsidRPr="002F116C">
        <w:lastRenderedPageBreak/>
        <w:t>Clinical rationale</w:t>
      </w:r>
      <w:bookmarkEnd w:id="14"/>
    </w:p>
    <w:p w14:paraId="3B3AC7DF" w14:textId="1592AB05" w:rsidR="001808F6" w:rsidRPr="001808F6" w:rsidRDefault="006240C2" w:rsidP="001808F6">
      <w:r>
        <w:t>L</w:t>
      </w:r>
      <w:r w:rsidR="006E6321">
        <w:t>azertinib</w:t>
      </w:r>
      <w:r w:rsidR="001D375E">
        <w:t xml:space="preserve"> </w:t>
      </w:r>
      <w:r w:rsidR="001808F6">
        <w:t xml:space="preserve">is an oral, highly potent, third-generation, EGFR TKI that selectively inhibits both primary activating EGFR mutations (exon 19del and exon 21 L858R substitution) and the EGFR T790M resistance mutation, while having less activity versus wild-type EGFR. Preclinical study results suggest that </w:t>
      </w:r>
      <w:r w:rsidR="006E6321">
        <w:t>lazertinib</w:t>
      </w:r>
      <w:r w:rsidR="001808F6">
        <w:t xml:space="preserve"> is efficacious in a brain metastasis model with NSCLC cells carrying the T790M mutation, as well as demonstrating a favourable blood-brain barrier penetration profile.  </w:t>
      </w:r>
      <w:r w:rsidR="00BE2B3E">
        <w:t>Lazertinib</w:t>
      </w:r>
      <w:r w:rsidR="001808F6">
        <w:t xml:space="preserve">, in combination with amivantamab, a bispecific antibody targeting EGFR and mesenchymal-epithelial transition, have the potential to inhibit the EGFR pathway more potently than either agent alone. The combination of amivantamab and </w:t>
      </w:r>
      <w:r w:rsidR="006E6321">
        <w:t>lazertinib</w:t>
      </w:r>
      <w:r w:rsidR="001808F6">
        <w:t xml:space="preserve"> offers synergistic anti-EGFR activity, targeting EGFR- and MET-based resistance proactively, and the potential recruitment of Fc-bearing immune cells in the anti-tumour response for the treatment of EGFRm NSCLC</w:t>
      </w:r>
      <w:r>
        <w:t>.</w:t>
      </w:r>
    </w:p>
    <w:p w14:paraId="0D615854" w14:textId="77777777" w:rsidR="00324B33" w:rsidRPr="003F31A2" w:rsidRDefault="00324B33" w:rsidP="009C1E47">
      <w:pPr>
        <w:pStyle w:val="Heading3"/>
      </w:pPr>
      <w:bookmarkStart w:id="15" w:name="_Toc103679291"/>
      <w:bookmarkStart w:id="16" w:name="_Toc209441291"/>
      <w:r>
        <w:t>Regulatory status</w:t>
      </w:r>
      <w:bookmarkEnd w:id="10"/>
      <w:bookmarkEnd w:id="11"/>
      <w:bookmarkEnd w:id="15"/>
      <w:bookmarkEnd w:id="16"/>
    </w:p>
    <w:p w14:paraId="72C889D6" w14:textId="7E200950" w:rsidR="0017005C" w:rsidRPr="00BD5DBD" w:rsidRDefault="0017005C" w:rsidP="004C5054">
      <w:pPr>
        <w:pStyle w:val="Heading5"/>
      </w:pPr>
      <w:r w:rsidRPr="00BD5DBD">
        <w:t>Australian regulatory</w:t>
      </w:r>
      <w:r>
        <w:t xml:space="preserve"> sta</w:t>
      </w:r>
      <w:r w:rsidR="0025785B">
        <w:t>t</w:t>
      </w:r>
      <w:r>
        <w:t>us</w:t>
      </w:r>
    </w:p>
    <w:p w14:paraId="6A8633FA" w14:textId="132176F8" w:rsidR="00324B33" w:rsidRDefault="00324B33" w:rsidP="00324B33">
      <w:pPr>
        <w:rPr>
          <w:szCs w:val="22"/>
        </w:rPr>
      </w:pPr>
      <w:r w:rsidRPr="00BD5DBD">
        <w:rPr>
          <w:szCs w:val="22"/>
        </w:rPr>
        <w:t>This product is a new chemical</w:t>
      </w:r>
      <w:r w:rsidR="008C754C" w:rsidRPr="00BD5DBD">
        <w:rPr>
          <w:szCs w:val="22"/>
        </w:rPr>
        <w:t xml:space="preserve"> entity</w:t>
      </w:r>
      <w:r w:rsidRPr="00BD5DBD">
        <w:rPr>
          <w:szCs w:val="22"/>
        </w:rPr>
        <w:t xml:space="preserve"> for Australian regulatory purposes.</w:t>
      </w:r>
      <w:r w:rsidR="005751A5">
        <w:rPr>
          <w:szCs w:val="22"/>
        </w:rPr>
        <w:t xml:space="preserve"> The </w:t>
      </w:r>
      <w:r w:rsidR="005751A5" w:rsidRPr="005751A5">
        <w:rPr>
          <w:szCs w:val="22"/>
        </w:rPr>
        <w:t xml:space="preserve">TGA </w:t>
      </w:r>
      <w:r w:rsidR="005751A5">
        <w:rPr>
          <w:szCs w:val="22"/>
        </w:rPr>
        <w:t xml:space="preserve">has </w:t>
      </w:r>
      <w:r w:rsidR="005751A5" w:rsidRPr="005751A5">
        <w:rPr>
          <w:szCs w:val="22"/>
        </w:rPr>
        <w:t xml:space="preserve">provisionally approved </w:t>
      </w:r>
      <w:r w:rsidR="00953460">
        <w:rPr>
          <w:szCs w:val="22"/>
        </w:rPr>
        <w:t>a</w:t>
      </w:r>
      <w:r w:rsidR="005751A5" w:rsidRPr="005751A5">
        <w:rPr>
          <w:szCs w:val="22"/>
        </w:rPr>
        <w:t>mivantamab (tradename RYBREVANT)</w:t>
      </w:r>
      <w:r w:rsidR="005751A5">
        <w:rPr>
          <w:szCs w:val="22"/>
        </w:rPr>
        <w:t xml:space="preserve">. </w:t>
      </w:r>
    </w:p>
    <w:p w14:paraId="546C1031" w14:textId="4EF98FA1" w:rsidR="0017005C" w:rsidRDefault="00131B1B" w:rsidP="004C5054">
      <w:pPr>
        <w:pStyle w:val="Heading5"/>
      </w:pPr>
      <w:r>
        <w:t xml:space="preserve">International </w:t>
      </w:r>
      <w:r w:rsidR="0017005C" w:rsidRPr="00BD5DBD">
        <w:t>regulatory</w:t>
      </w:r>
      <w:r w:rsidR="0017005C">
        <w:t xml:space="preserve"> status</w:t>
      </w:r>
    </w:p>
    <w:p w14:paraId="5F443006" w14:textId="2BEB8D89" w:rsidR="005751A5" w:rsidRDefault="005751A5" w:rsidP="005751A5">
      <w:pPr>
        <w:rPr>
          <w:b/>
        </w:rPr>
      </w:pPr>
      <w:bookmarkStart w:id="17" w:name="_Ref99705479"/>
      <w:r w:rsidRPr="005751A5">
        <w:t xml:space="preserve">The foreign regulatory status at the commencement of submission </w:t>
      </w:r>
      <w:r>
        <w:t>is shown in Table 1.</w:t>
      </w:r>
    </w:p>
    <w:p w14:paraId="19B9E0AC" w14:textId="3BC8F12B" w:rsidR="00324B33" w:rsidRDefault="00324B33" w:rsidP="00324B33">
      <w:pPr>
        <w:pStyle w:val="TableTitle"/>
      </w:pPr>
      <w:r>
        <w:lastRenderedPageBreak/>
        <w:t xml:space="preserve">Table </w:t>
      </w:r>
      <w:r w:rsidR="007F1E37">
        <w:fldChar w:fldCharType="begin"/>
      </w:r>
      <w:r w:rsidR="007F1E37">
        <w:instrText xml:space="preserve"> SEQ Table \* ARABIC </w:instrText>
      </w:r>
      <w:r w:rsidR="007F1E37">
        <w:fldChar w:fldCharType="separate"/>
      </w:r>
      <w:r w:rsidR="008B1CB5">
        <w:rPr>
          <w:noProof/>
        </w:rPr>
        <w:t>1</w:t>
      </w:r>
      <w:r w:rsidR="007F1E37">
        <w:rPr>
          <w:noProof/>
        </w:rPr>
        <w:fldChar w:fldCharType="end"/>
      </w:r>
      <w:bookmarkEnd w:id="17"/>
      <w:r w:rsidR="000B2260">
        <w:t>.</w:t>
      </w:r>
      <w:r>
        <w:t xml:space="preserve"> International regulatory status</w:t>
      </w:r>
      <w:r w:rsidR="005042C7">
        <w:t xml:space="preserve"> for </w:t>
      </w:r>
      <w:r w:rsidR="00554EAE">
        <w:t>Lazcluze</w:t>
      </w:r>
    </w:p>
    <w:p w14:paraId="5D5C4CC8" w14:textId="77777777" w:rsidR="005751A5" w:rsidRDefault="005751A5" w:rsidP="00AB5A4A">
      <w:r>
        <w:rPr>
          <w:noProof/>
        </w:rPr>
        <w:drawing>
          <wp:inline distT="0" distB="0" distL="0" distR="0" wp14:anchorId="679D2F11" wp14:editId="4D685137">
            <wp:extent cx="4739005" cy="6309360"/>
            <wp:effectExtent l="0" t="0" r="444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rotWithShape="1">
                    <a:blip r:embed="rId23" cstate="print">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l="480" b="991"/>
                    <a:stretch>
                      <a:fillRect/>
                    </a:stretch>
                  </pic:blipFill>
                  <pic:spPr bwMode="auto">
                    <a:xfrm>
                      <a:off x="0" y="0"/>
                      <a:ext cx="4739637" cy="6310201"/>
                    </a:xfrm>
                    <a:prstGeom prst="rect">
                      <a:avLst/>
                    </a:prstGeom>
                    <a:ln>
                      <a:noFill/>
                    </a:ln>
                    <a:extLst>
                      <a:ext uri="{53640926-AAD7-44D8-BBD7-CCE9431645EC}">
                        <a14:shadowObscured xmlns:a14="http://schemas.microsoft.com/office/drawing/2010/main"/>
                      </a:ext>
                    </a:extLst>
                  </pic:spPr>
                </pic:pic>
              </a:graphicData>
            </a:graphic>
          </wp:inline>
        </w:drawing>
      </w:r>
      <w:bookmarkStart w:id="18" w:name="_Toc504480011"/>
      <w:bookmarkStart w:id="19" w:name="_Toc103679293"/>
      <w:r>
        <w:rPr>
          <w:noProof/>
        </w:rPr>
        <w:drawing>
          <wp:inline distT="0" distB="0" distL="0" distR="0" wp14:anchorId="258C8578" wp14:editId="34F912AA">
            <wp:extent cx="4724400" cy="2087880"/>
            <wp:effectExtent l="0" t="0" r="0" b="7620"/>
            <wp:docPr id="10" name="Image 10" descr="A table with a list of medical information&#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A table with a list of medical information&#10;&#10;AI-generated content may be incorrect."/>
                    <pic:cNvPicPr/>
                  </pic:nvPicPr>
                  <pic:blipFill>
                    <a:blip r:embed="rId25" cstate="print">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726013" cy="2088593"/>
                    </a:xfrm>
                    <a:prstGeom prst="rect">
                      <a:avLst/>
                    </a:prstGeom>
                  </pic:spPr>
                </pic:pic>
              </a:graphicData>
            </a:graphic>
          </wp:inline>
        </w:drawing>
      </w:r>
    </w:p>
    <w:p w14:paraId="59035F12" w14:textId="7BDC9567" w:rsidR="005751A5" w:rsidRDefault="00324B33" w:rsidP="005751A5">
      <w:pPr>
        <w:pStyle w:val="Heading2"/>
        <w:rPr>
          <w:szCs w:val="22"/>
        </w:rPr>
      </w:pPr>
      <w:bookmarkStart w:id="20" w:name="_Toc209441292"/>
      <w:r>
        <w:lastRenderedPageBreak/>
        <w:t>Registration timeline</w:t>
      </w:r>
      <w:bookmarkEnd w:id="18"/>
      <w:bookmarkEnd w:id="19"/>
      <w:bookmarkEnd w:id="20"/>
    </w:p>
    <w:p w14:paraId="225E3D87" w14:textId="70AC665F" w:rsidR="00324B33" w:rsidRPr="00BD5DBD" w:rsidRDefault="00BB25A3" w:rsidP="00324B33">
      <w:pPr>
        <w:rPr>
          <w:szCs w:val="22"/>
        </w:rPr>
      </w:pPr>
      <w:r>
        <w:rPr>
          <w:szCs w:val="22"/>
        </w:rPr>
        <w:t>T</w:t>
      </w:r>
      <w:r w:rsidR="00324B33" w:rsidRPr="00BD5DBD">
        <w:rPr>
          <w:szCs w:val="22"/>
        </w:rPr>
        <w:t>able</w:t>
      </w:r>
      <w:r>
        <w:rPr>
          <w:szCs w:val="22"/>
        </w:rPr>
        <w:t xml:space="preserve"> </w:t>
      </w:r>
      <w:r w:rsidR="005751A5">
        <w:rPr>
          <w:szCs w:val="22"/>
        </w:rPr>
        <w:t>2</w:t>
      </w:r>
      <w:r w:rsidR="00324B33" w:rsidRPr="00BD5DBD">
        <w:rPr>
          <w:szCs w:val="22"/>
        </w:rPr>
        <w:t xml:space="preserve"> captures the key steps and dates for this submission.</w:t>
      </w:r>
    </w:p>
    <w:p w14:paraId="6BB76942" w14:textId="6BAC4303" w:rsidR="00477C4E" w:rsidRDefault="00477C4E" w:rsidP="00324B33">
      <w:pPr>
        <w:rPr>
          <w:szCs w:val="22"/>
        </w:rPr>
      </w:pPr>
      <w:r w:rsidRPr="00BD5DBD">
        <w:rPr>
          <w:szCs w:val="22"/>
        </w:rPr>
        <w:t xml:space="preserve">This submission was evaluated under the </w:t>
      </w:r>
      <w:hyperlink r:id="rId27" w:history="1">
        <w:r w:rsidRPr="00BD5DBD">
          <w:rPr>
            <w:rStyle w:val="Hyperlink"/>
            <w:szCs w:val="22"/>
          </w:rPr>
          <w:t>standard prescription medicines registration process</w:t>
        </w:r>
      </w:hyperlink>
      <w:r w:rsidRPr="00BD5DBD">
        <w:rPr>
          <w:szCs w:val="22"/>
        </w:rPr>
        <w:t>.</w:t>
      </w:r>
    </w:p>
    <w:p w14:paraId="20F4EC0A" w14:textId="470054FE" w:rsidR="004C22A9" w:rsidRPr="004C22A9" w:rsidRDefault="004C22A9" w:rsidP="004C22A9">
      <w:pPr>
        <w:rPr>
          <w:szCs w:val="22"/>
        </w:rPr>
      </w:pPr>
      <w:r w:rsidRPr="004C22A9">
        <w:rPr>
          <w:szCs w:val="22"/>
        </w:rPr>
        <w:t xml:space="preserve">This evaluation was facilitated through </w:t>
      </w:r>
      <w:hyperlink r:id="rId28" w:history="1">
        <w:r w:rsidRPr="004C22A9">
          <w:rPr>
            <w:rStyle w:val="Hyperlink"/>
            <w:szCs w:val="22"/>
          </w:rPr>
          <w:t>Project Orbis</w:t>
        </w:r>
      </w:hyperlink>
      <w:r w:rsidRPr="004C22A9">
        <w:rPr>
          <w:szCs w:val="22"/>
        </w:rPr>
        <w:t>, an initiative of the United States Food and Drug Administration (FDA) Oncology Center of Excellence. Under this project, the FDA</w:t>
      </w:r>
      <w:r w:rsidR="001808F6">
        <w:rPr>
          <w:szCs w:val="22"/>
        </w:rPr>
        <w:t xml:space="preserve"> </w:t>
      </w:r>
      <w:r w:rsidRPr="004C22A9">
        <w:rPr>
          <w:szCs w:val="22"/>
        </w:rPr>
        <w:t>and the TGA collaboratively reviewed the submission. This evaluation process provided a framework for process alignment and management of evaluation issues in real-time across jurisdictions. Each regulator made independent decisions regarding approval (market authorisation) of the new medicine.</w:t>
      </w:r>
      <w:r w:rsidR="00F07957">
        <w:rPr>
          <w:szCs w:val="22"/>
        </w:rPr>
        <w:t xml:space="preserve"> </w:t>
      </w:r>
      <w:r w:rsidR="00F07957" w:rsidRPr="00F07957">
        <w:rPr>
          <w:szCs w:val="22"/>
        </w:rPr>
        <w:t xml:space="preserve">The publicly available version of the </w:t>
      </w:r>
      <w:r w:rsidR="00F07957">
        <w:rPr>
          <w:szCs w:val="22"/>
        </w:rPr>
        <w:t xml:space="preserve">FDA’s </w:t>
      </w:r>
      <w:r w:rsidR="00F07957" w:rsidRPr="00F07957">
        <w:rPr>
          <w:szCs w:val="22"/>
        </w:rPr>
        <w:t xml:space="preserve">evaluation report can be found at </w:t>
      </w:r>
      <w:hyperlink r:id="rId29" w:history="1">
        <w:r w:rsidR="00F07957" w:rsidRPr="001F5304">
          <w:rPr>
            <w:rStyle w:val="Hyperlink"/>
            <w:szCs w:val="22"/>
          </w:rPr>
          <w:t>https://www.accessdata.fda.gov/drugsatfda_docs/nda/2024/219008Orig1s000MultidisciplineR.pdf</w:t>
        </w:r>
      </w:hyperlink>
      <w:r w:rsidR="00F07957">
        <w:rPr>
          <w:szCs w:val="22"/>
        </w:rPr>
        <w:t xml:space="preserve"> </w:t>
      </w:r>
    </w:p>
    <w:p w14:paraId="44628C5F" w14:textId="68BB4F9D" w:rsidR="00324B33" w:rsidRDefault="00324B33" w:rsidP="002C1232">
      <w:pPr>
        <w:pStyle w:val="TableTitle"/>
      </w:pPr>
      <w:r w:rsidRPr="002C1232">
        <w:t>Table</w:t>
      </w:r>
      <w:r w:rsidR="00A80F64">
        <w:t xml:space="preserve"> 2.</w:t>
      </w:r>
      <w:r w:rsidRPr="002C1232">
        <w:t xml:space="preserve"> </w:t>
      </w:r>
      <w:r w:rsidR="001A716C" w:rsidRPr="001A716C">
        <w:t>Registration timeline for</w:t>
      </w:r>
      <w:r w:rsidR="001A716C">
        <w:t xml:space="preserve"> </w:t>
      </w:r>
      <w:r w:rsidR="00554EAE">
        <w:t>Lazcluze</w:t>
      </w:r>
    </w:p>
    <w:tbl>
      <w:tblPr>
        <w:tblStyle w:val="TableTGAblue2023"/>
        <w:tblW w:w="8642" w:type="dxa"/>
        <w:tblLook w:val="04A0" w:firstRow="1" w:lastRow="0" w:firstColumn="1" w:lastColumn="0" w:noHBand="0" w:noVBand="1"/>
      </w:tblPr>
      <w:tblGrid>
        <w:gridCol w:w="6374"/>
        <w:gridCol w:w="2268"/>
      </w:tblGrid>
      <w:tr w:rsidR="00324B33" w:rsidRPr="00D01DDB" w14:paraId="6C59BE9C" w14:textId="77777777" w:rsidTr="00AB5A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16D80E78" w14:textId="3EC0CCAF" w:rsidR="00324B33" w:rsidRPr="00D01DDB" w:rsidRDefault="00324B33" w:rsidP="00324B33">
            <w:pPr>
              <w:rPr>
                <w:szCs w:val="22"/>
              </w:rPr>
            </w:pPr>
            <w:r w:rsidRPr="00D01DDB">
              <w:rPr>
                <w:szCs w:val="22"/>
              </w:rPr>
              <w:t>Description</w:t>
            </w:r>
          </w:p>
        </w:tc>
        <w:tc>
          <w:tcPr>
            <w:tcW w:w="2268" w:type="dxa"/>
          </w:tcPr>
          <w:p w14:paraId="79AFDC4B" w14:textId="0579203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324B33" w:rsidRPr="00D01DDB" w14:paraId="23610C53" w14:textId="77777777" w:rsidTr="00AB5A4A">
        <w:tc>
          <w:tcPr>
            <w:cnfStyle w:val="001000000000" w:firstRow="0" w:lastRow="0" w:firstColumn="1" w:lastColumn="0" w:oddVBand="0" w:evenVBand="0" w:oddHBand="0" w:evenHBand="0" w:firstRowFirstColumn="0" w:firstRowLastColumn="0" w:lastRowFirstColumn="0" w:lastRowLastColumn="0"/>
            <w:tcW w:w="6374" w:type="dxa"/>
          </w:tcPr>
          <w:p w14:paraId="759D2A12" w14:textId="4F4E722F" w:rsidR="00324B33" w:rsidRPr="00E679D1" w:rsidRDefault="00324B33" w:rsidP="00133F91">
            <w:pPr>
              <w:ind w:left="71"/>
            </w:pPr>
            <w:r w:rsidRPr="00E679D1">
              <w:t>Submission dossier accepted and evaluation commenced</w:t>
            </w:r>
          </w:p>
        </w:tc>
        <w:tc>
          <w:tcPr>
            <w:tcW w:w="2268" w:type="dxa"/>
          </w:tcPr>
          <w:p w14:paraId="2963D9D8" w14:textId="0CFE06F2" w:rsidR="00324B33" w:rsidRPr="00D01DDB" w:rsidRDefault="001808F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30 April 2024</w:t>
            </w:r>
          </w:p>
        </w:tc>
      </w:tr>
      <w:tr w:rsidR="00803926" w:rsidRPr="00D01DDB" w14:paraId="16D13F79" w14:textId="77777777" w:rsidTr="00AB5A4A">
        <w:tc>
          <w:tcPr>
            <w:cnfStyle w:val="001000000000" w:firstRow="0" w:lastRow="0" w:firstColumn="1" w:lastColumn="0" w:oddVBand="0" w:evenVBand="0" w:oddHBand="0" w:evenHBand="0" w:firstRowFirstColumn="0" w:firstRowLastColumn="0" w:lastRowFirstColumn="0" w:lastRowLastColumn="0"/>
            <w:tcW w:w="6374" w:type="dxa"/>
          </w:tcPr>
          <w:p w14:paraId="6858B45A" w14:textId="4A6E19A0" w:rsidR="00803926" w:rsidRPr="00E679D1" w:rsidDel="00C62B1C" w:rsidRDefault="00803926" w:rsidP="00133F91">
            <w:pPr>
              <w:ind w:left="71"/>
            </w:pPr>
            <w:r>
              <w:t>Evaluation completed</w:t>
            </w:r>
          </w:p>
        </w:tc>
        <w:tc>
          <w:tcPr>
            <w:tcW w:w="2268" w:type="dxa"/>
          </w:tcPr>
          <w:p w14:paraId="2E0BD403" w14:textId="1C60E5E4" w:rsidR="00803926" w:rsidRPr="00D01DDB" w:rsidRDefault="001808F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 December 2023</w:t>
            </w:r>
          </w:p>
        </w:tc>
      </w:tr>
      <w:tr w:rsidR="00324B33" w:rsidRPr="00D01DDB" w14:paraId="5754F7AC" w14:textId="77777777" w:rsidTr="00AB5A4A">
        <w:tc>
          <w:tcPr>
            <w:cnfStyle w:val="001000000000" w:firstRow="0" w:lastRow="0" w:firstColumn="1" w:lastColumn="0" w:oddVBand="0" w:evenVBand="0" w:oddHBand="0" w:evenHBand="0" w:firstRowFirstColumn="0" w:firstRowLastColumn="0" w:lastRowFirstColumn="0" w:lastRowLastColumn="0"/>
            <w:tcW w:w="6374" w:type="dxa"/>
          </w:tcPr>
          <w:p w14:paraId="789DE187" w14:textId="5F489E13" w:rsidR="00324B33" w:rsidRPr="00E679D1" w:rsidRDefault="00324B33" w:rsidP="00133F91">
            <w:pPr>
              <w:ind w:left="71"/>
            </w:pPr>
            <w:r w:rsidRPr="00E679D1">
              <w:t xml:space="preserve">Advisory </w:t>
            </w:r>
            <w:r w:rsidR="00F8568E">
              <w:t>c</w:t>
            </w:r>
            <w:r w:rsidRPr="00E679D1">
              <w:t>ommittee meeting</w:t>
            </w:r>
          </w:p>
        </w:tc>
        <w:tc>
          <w:tcPr>
            <w:tcW w:w="2268" w:type="dxa"/>
          </w:tcPr>
          <w:p w14:paraId="5BE1EDE7" w14:textId="35490A43" w:rsidR="00324B33" w:rsidRPr="00D01DDB" w:rsidRDefault="001808F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7 February 2025</w:t>
            </w:r>
          </w:p>
        </w:tc>
      </w:tr>
      <w:tr w:rsidR="00324B33" w:rsidRPr="00D01DDB" w14:paraId="6E5D32FE" w14:textId="77777777" w:rsidTr="00AB5A4A">
        <w:tc>
          <w:tcPr>
            <w:cnfStyle w:val="001000000000" w:firstRow="0" w:lastRow="0" w:firstColumn="1" w:lastColumn="0" w:oddVBand="0" w:evenVBand="0" w:oddHBand="0" w:evenHBand="0" w:firstRowFirstColumn="0" w:firstRowLastColumn="0" w:lastRowFirstColumn="0" w:lastRowLastColumn="0"/>
            <w:tcW w:w="6374" w:type="dxa"/>
          </w:tcPr>
          <w:p w14:paraId="4E95C44C" w14:textId="7A91C710" w:rsidR="00324B33" w:rsidRPr="00E679D1" w:rsidRDefault="00324B33" w:rsidP="00133F91">
            <w:pPr>
              <w:ind w:left="71"/>
            </w:pPr>
            <w:r w:rsidRPr="00E679D1">
              <w:t>Registration decision (Outcome)</w:t>
            </w:r>
          </w:p>
        </w:tc>
        <w:tc>
          <w:tcPr>
            <w:tcW w:w="2268" w:type="dxa"/>
          </w:tcPr>
          <w:p w14:paraId="62987ABD" w14:textId="748D18A4" w:rsidR="00324B33" w:rsidRPr="00D01DDB" w:rsidRDefault="00824E93" w:rsidP="00324B33">
            <w:pPr>
              <w:cnfStyle w:val="000000000000" w:firstRow="0" w:lastRow="0" w:firstColumn="0" w:lastColumn="0" w:oddVBand="0" w:evenVBand="0" w:oddHBand="0" w:evenHBand="0" w:firstRowFirstColumn="0" w:firstRowLastColumn="0" w:lastRowFirstColumn="0" w:lastRowLastColumn="0"/>
              <w:rPr>
                <w:szCs w:val="22"/>
              </w:rPr>
            </w:pPr>
            <w:r w:rsidRPr="00824E93">
              <w:rPr>
                <w:szCs w:val="22"/>
              </w:rPr>
              <w:t>9 April 2025</w:t>
            </w:r>
          </w:p>
        </w:tc>
      </w:tr>
      <w:tr w:rsidR="00324B33" w:rsidRPr="00D01DDB" w14:paraId="6DDCDDA4" w14:textId="77777777" w:rsidTr="00AB5A4A">
        <w:tc>
          <w:tcPr>
            <w:cnfStyle w:val="001000000000" w:firstRow="0" w:lastRow="0" w:firstColumn="1" w:lastColumn="0" w:oddVBand="0" w:evenVBand="0" w:oddHBand="0" w:evenHBand="0" w:firstRowFirstColumn="0" w:firstRowLastColumn="0" w:lastRowFirstColumn="0" w:lastRowLastColumn="0"/>
            <w:tcW w:w="6374" w:type="dxa"/>
          </w:tcPr>
          <w:p w14:paraId="192FD19D" w14:textId="336B85B1" w:rsidR="00324B33" w:rsidRPr="00E679D1" w:rsidRDefault="00C00844" w:rsidP="00133F91">
            <w:pPr>
              <w:ind w:left="71"/>
            </w:pPr>
            <w:r>
              <w:t>R</w:t>
            </w:r>
            <w:r w:rsidR="0013132F" w:rsidRPr="00E679D1">
              <w:t xml:space="preserve">egistration </w:t>
            </w:r>
            <w:r w:rsidR="005C4B46" w:rsidRPr="00E679D1">
              <w:t xml:space="preserve">in </w:t>
            </w:r>
            <w:r w:rsidR="0013132F" w:rsidRPr="00E679D1">
              <w:t>the ARTG completed</w:t>
            </w:r>
          </w:p>
        </w:tc>
        <w:tc>
          <w:tcPr>
            <w:tcW w:w="2268" w:type="dxa"/>
          </w:tcPr>
          <w:p w14:paraId="5A8923FD" w14:textId="3A884C7A" w:rsidR="00324B33" w:rsidRPr="00D01DDB" w:rsidRDefault="00824E93" w:rsidP="00324B33">
            <w:pPr>
              <w:cnfStyle w:val="000000000000" w:firstRow="0" w:lastRow="0" w:firstColumn="0" w:lastColumn="0" w:oddVBand="0" w:evenVBand="0" w:oddHBand="0" w:evenHBand="0" w:firstRowFirstColumn="0" w:firstRowLastColumn="0" w:lastRowFirstColumn="0" w:lastRowLastColumn="0"/>
              <w:rPr>
                <w:szCs w:val="22"/>
              </w:rPr>
            </w:pPr>
            <w:r w:rsidRPr="00824E93">
              <w:rPr>
                <w:szCs w:val="22"/>
              </w:rPr>
              <w:t>15 April 2025</w:t>
            </w:r>
          </w:p>
        </w:tc>
      </w:tr>
      <w:tr w:rsidR="00324B33" w:rsidRPr="00D01DDB" w14:paraId="56D922E2" w14:textId="77777777" w:rsidTr="00AB5A4A">
        <w:tc>
          <w:tcPr>
            <w:cnfStyle w:val="001000000000" w:firstRow="0" w:lastRow="0" w:firstColumn="1" w:lastColumn="0" w:oddVBand="0" w:evenVBand="0" w:oddHBand="0" w:evenHBand="0" w:firstRowFirstColumn="0" w:firstRowLastColumn="0" w:lastRowFirstColumn="0" w:lastRowLastColumn="0"/>
            <w:tcW w:w="6374" w:type="dxa"/>
          </w:tcPr>
          <w:p w14:paraId="787FD8DD" w14:textId="0E0CF97F" w:rsidR="00324B33" w:rsidRPr="00E679D1" w:rsidRDefault="00324B33" w:rsidP="00133F91">
            <w:pPr>
              <w:ind w:left="71"/>
            </w:pPr>
            <w:r w:rsidRPr="00E679D1">
              <w:t>Number of working days from submission dossier acceptance to registration decision*</w:t>
            </w:r>
          </w:p>
        </w:tc>
        <w:tc>
          <w:tcPr>
            <w:tcW w:w="2268" w:type="dxa"/>
          </w:tcPr>
          <w:p w14:paraId="5BAF9FA1" w14:textId="1F46C042" w:rsidR="00324B33" w:rsidRPr="00D01DDB" w:rsidRDefault="00EA456F" w:rsidP="00324B33">
            <w:pPr>
              <w:cnfStyle w:val="000000000000" w:firstRow="0" w:lastRow="0" w:firstColumn="0" w:lastColumn="0" w:oddVBand="0" w:evenVBand="0" w:oddHBand="0" w:evenHBand="0" w:firstRowFirstColumn="0" w:firstRowLastColumn="0" w:lastRowFirstColumn="0" w:lastRowLastColumn="0"/>
              <w:rPr>
                <w:szCs w:val="22"/>
              </w:rPr>
            </w:pPr>
            <w:r w:rsidRPr="00EA456F">
              <w:rPr>
                <w:szCs w:val="22"/>
              </w:rPr>
              <w:t>243 days</w:t>
            </w:r>
          </w:p>
        </w:tc>
      </w:tr>
    </w:tbl>
    <w:p w14:paraId="7B02554C" w14:textId="77777777" w:rsidR="00433318" w:rsidRDefault="00433318" w:rsidP="00433318">
      <w:pPr>
        <w:pStyle w:val="TableDescription"/>
      </w:pPr>
      <w:r>
        <w:t>*</w:t>
      </w:r>
      <w:r w:rsidRPr="00BF3774">
        <w:t xml:space="preserve">Statutory </w:t>
      </w:r>
      <w:r>
        <w:t>timeframe for standard submissions is 255 working days</w:t>
      </w:r>
    </w:p>
    <w:p w14:paraId="220925F1" w14:textId="46787B76" w:rsidR="00C22214" w:rsidRPr="00792A32" w:rsidRDefault="00083763" w:rsidP="00C22214">
      <w:pPr>
        <w:pStyle w:val="Heading2"/>
      </w:pPr>
      <w:bookmarkStart w:id="21" w:name="_Toc209441293"/>
      <w:bookmarkStart w:id="22" w:name="_Toc196046504"/>
      <w:bookmarkStart w:id="23" w:name="_Toc247691527"/>
      <w:bookmarkStart w:id="24" w:name="_Toc314842510"/>
      <w:bookmarkStart w:id="25" w:name="_Toc103679294"/>
      <w:r>
        <w:t xml:space="preserve">Assessment </w:t>
      </w:r>
      <w:r w:rsidR="00C22214" w:rsidRPr="00006FAB">
        <w:t>overview</w:t>
      </w:r>
      <w:bookmarkEnd w:id="21"/>
      <w:r w:rsidR="00C22214" w:rsidRPr="00006FAB">
        <w:t xml:space="preserve"> </w:t>
      </w:r>
      <w:bookmarkEnd w:id="22"/>
      <w:bookmarkEnd w:id="23"/>
      <w:bookmarkEnd w:id="24"/>
      <w:bookmarkEnd w:id="25"/>
    </w:p>
    <w:p w14:paraId="37F5A1C0" w14:textId="24C35B4E" w:rsidR="00C22214" w:rsidRDefault="00095C6A" w:rsidP="00C22214">
      <w:pPr>
        <w:pStyle w:val="Heading3"/>
      </w:pPr>
      <w:bookmarkStart w:id="26" w:name="_Toc247691528"/>
      <w:bookmarkStart w:id="27" w:name="_Toc314842511"/>
      <w:bookmarkStart w:id="28" w:name="_Toc103679295"/>
      <w:bookmarkStart w:id="29" w:name="_Toc209441294"/>
      <w:r>
        <w:t>Q</w:t>
      </w:r>
      <w:r w:rsidR="00C22214">
        <w:t>uality</w:t>
      </w:r>
      <w:bookmarkEnd w:id="26"/>
      <w:bookmarkEnd w:id="27"/>
      <w:bookmarkEnd w:id="28"/>
      <w:r w:rsidR="007E6443">
        <w:t xml:space="preserve"> evaluation</w:t>
      </w:r>
      <w:r>
        <w:t xml:space="preserve"> summary</w:t>
      </w:r>
      <w:bookmarkEnd w:id="29"/>
    </w:p>
    <w:p w14:paraId="76C57F1C" w14:textId="77777777" w:rsidR="00B535F8" w:rsidRPr="00B535F8" w:rsidRDefault="00B535F8" w:rsidP="00EA456F">
      <w:bookmarkStart w:id="30" w:name="_Hlk205801218"/>
      <w:r w:rsidRPr="00B535F8">
        <w:t xml:space="preserve">There were no significant issues identified from the quality evaluation of the submitted data that would indicate the product should not be registered </w:t>
      </w:r>
      <w:proofErr w:type="gramStart"/>
      <w:r w:rsidRPr="00B535F8">
        <w:t>on the basis of</w:t>
      </w:r>
      <w:proofErr w:type="gramEnd"/>
      <w:r w:rsidRPr="00B535F8">
        <w:t xml:space="preserve"> quality, or safety-related issues arising from the quality of the product. The Sponsor has satisfied all requirements with respect to: </w:t>
      </w:r>
    </w:p>
    <w:p w14:paraId="11AA5EE5" w14:textId="6E20E74F" w:rsidR="00B535F8" w:rsidRPr="00B535F8" w:rsidRDefault="00B535F8" w:rsidP="00EA456F">
      <w:pPr>
        <w:pStyle w:val="ListBullet"/>
      </w:pPr>
      <w:r w:rsidRPr="00B535F8">
        <w:t xml:space="preserve">Good Manufacturing Practice compliance, </w:t>
      </w:r>
    </w:p>
    <w:p w14:paraId="50072546" w14:textId="3DB5B41D" w:rsidR="00B535F8" w:rsidRPr="00B535F8" w:rsidRDefault="00B535F8" w:rsidP="00EA456F">
      <w:pPr>
        <w:pStyle w:val="ListBullet"/>
      </w:pPr>
      <w:r w:rsidRPr="00B535F8">
        <w:t xml:space="preserve">stability and release specifications, </w:t>
      </w:r>
    </w:p>
    <w:p w14:paraId="3D2DBD1B" w14:textId="60525534" w:rsidR="00B535F8" w:rsidRPr="00B535F8" w:rsidRDefault="00B535F8" w:rsidP="00EA456F">
      <w:pPr>
        <w:pStyle w:val="ListBullet"/>
      </w:pPr>
      <w:r w:rsidRPr="00B535F8">
        <w:t xml:space="preserve">history, control and traceability of cell lines/cell banks, </w:t>
      </w:r>
    </w:p>
    <w:p w14:paraId="1EBC8403" w14:textId="5AE3F4E0" w:rsidR="00B535F8" w:rsidRPr="00B535F8" w:rsidRDefault="00B535F8" w:rsidP="00EA456F">
      <w:pPr>
        <w:pStyle w:val="ListBullet"/>
      </w:pPr>
      <w:r w:rsidRPr="00B535F8">
        <w:t xml:space="preserve">validation of analytical procedures, </w:t>
      </w:r>
    </w:p>
    <w:p w14:paraId="41211A57" w14:textId="130F415D" w:rsidR="00B535F8" w:rsidRPr="00B535F8" w:rsidRDefault="00B535F8" w:rsidP="00EA456F">
      <w:pPr>
        <w:pStyle w:val="ListBullet"/>
      </w:pPr>
      <w:r w:rsidRPr="00B535F8">
        <w:t xml:space="preserve">appropriate choice/synthesis and validation of reference materials, </w:t>
      </w:r>
    </w:p>
    <w:p w14:paraId="2DFC5EBD" w14:textId="206EA1B4" w:rsidR="00B535F8" w:rsidRPr="00B535F8" w:rsidRDefault="00B535F8" w:rsidP="00EA456F">
      <w:pPr>
        <w:pStyle w:val="ListBullet"/>
      </w:pPr>
      <w:r w:rsidRPr="00B535F8">
        <w:t xml:space="preserve">appropriate in-process controls within the manufacturing process and identification of critical manufacturing steps, </w:t>
      </w:r>
    </w:p>
    <w:p w14:paraId="45CB380D" w14:textId="22F50BFD" w:rsidR="00B535F8" w:rsidRPr="00B535F8" w:rsidRDefault="00B535F8" w:rsidP="00EA456F">
      <w:pPr>
        <w:pStyle w:val="ListBullet"/>
      </w:pPr>
      <w:r w:rsidRPr="00B535F8">
        <w:t xml:space="preserve">consistency of medicine manufacture verified by process validation and demonstrated through batch analysis, </w:t>
      </w:r>
    </w:p>
    <w:p w14:paraId="203217D3" w14:textId="142E2727" w:rsidR="00B535F8" w:rsidRPr="00B535F8" w:rsidRDefault="00B535F8" w:rsidP="00EA456F">
      <w:pPr>
        <w:pStyle w:val="ListBullet"/>
      </w:pPr>
      <w:r w:rsidRPr="00B535F8">
        <w:lastRenderedPageBreak/>
        <w:t xml:space="preserve">satisfactory control of impurities, </w:t>
      </w:r>
    </w:p>
    <w:p w14:paraId="3CC8CFF8" w14:textId="35BF6749" w:rsidR="00B535F8" w:rsidRPr="00B535F8" w:rsidRDefault="00B535F8" w:rsidP="00EA456F">
      <w:pPr>
        <w:pStyle w:val="ListBullet"/>
      </w:pPr>
      <w:r w:rsidRPr="00B535F8">
        <w:t xml:space="preserve">adequate characterisation and justification of excipients, </w:t>
      </w:r>
    </w:p>
    <w:p w14:paraId="7EDF4085" w14:textId="565E5879" w:rsidR="00B535F8" w:rsidRPr="00B535F8" w:rsidRDefault="00B535F8" w:rsidP="00EA456F">
      <w:pPr>
        <w:pStyle w:val="ListBullet"/>
      </w:pPr>
      <w:r w:rsidRPr="00B535F8">
        <w:t>medicine sterility/appropriate control of infectious disease &amp; adventitious agents,</w:t>
      </w:r>
    </w:p>
    <w:p w14:paraId="55BB2FF1" w14:textId="2D9CEC13" w:rsidR="00B535F8" w:rsidRPr="00B535F8" w:rsidRDefault="00B535F8" w:rsidP="00EA456F">
      <w:pPr>
        <w:pStyle w:val="ListBullet"/>
      </w:pPr>
      <w:r w:rsidRPr="00B535F8">
        <w:t xml:space="preserve">appropriate/compatible container closure systems and </w:t>
      </w:r>
    </w:p>
    <w:p w14:paraId="092B13AF" w14:textId="255A9B8C" w:rsidR="00B535F8" w:rsidRPr="00B535F8" w:rsidRDefault="00EA456F" w:rsidP="00EA456F">
      <w:pPr>
        <w:pStyle w:val="ListBullet"/>
      </w:pPr>
      <w:r>
        <w:t>l</w:t>
      </w:r>
      <w:r w:rsidR="00B535F8" w:rsidRPr="00B535F8">
        <w:t xml:space="preserve">abelling that conformed to Therapeutic Goods Order 91. </w:t>
      </w:r>
    </w:p>
    <w:p w14:paraId="4749ABA1" w14:textId="549EDFF6" w:rsidR="00317CE3" w:rsidRPr="00317CE3" w:rsidRDefault="00B535F8" w:rsidP="00EA456F">
      <w:pPr>
        <w:pStyle w:val="ListBullet"/>
      </w:pPr>
      <w:r w:rsidRPr="00B535F8">
        <w:t>There were no objections to registration from a quality perspective.</w:t>
      </w:r>
      <w:r w:rsidR="00317CE3" w:rsidRPr="00317CE3">
        <w:t xml:space="preserve"> </w:t>
      </w:r>
    </w:p>
    <w:p w14:paraId="2BE90AAE" w14:textId="35796FD3" w:rsidR="00C22214" w:rsidRDefault="00C22214" w:rsidP="00C22214">
      <w:pPr>
        <w:pStyle w:val="Heading3"/>
      </w:pPr>
      <w:bookmarkStart w:id="31" w:name="_Toc314842512"/>
      <w:bookmarkStart w:id="32" w:name="_Toc103679296"/>
      <w:bookmarkStart w:id="33" w:name="_Toc209441295"/>
      <w:bookmarkEnd w:id="30"/>
      <w:r>
        <w:t>Nonclinical</w:t>
      </w:r>
      <w:bookmarkEnd w:id="31"/>
      <w:bookmarkEnd w:id="32"/>
      <w:r w:rsidR="007E6443">
        <w:t xml:space="preserve"> evaluation</w:t>
      </w:r>
      <w:r w:rsidR="00095C6A">
        <w:t xml:space="preserve"> summary</w:t>
      </w:r>
      <w:bookmarkEnd w:id="33"/>
    </w:p>
    <w:p w14:paraId="0FFA6DCF" w14:textId="43CF5BF8" w:rsidR="00EA456F" w:rsidRDefault="00E66FC4" w:rsidP="00EA456F">
      <w:r>
        <w:t>Th</w:t>
      </w:r>
      <w:r w:rsidR="00EA456F">
        <w:t xml:space="preserve">e submitted </w:t>
      </w:r>
      <w:r>
        <w:t>nonclinical</w:t>
      </w:r>
      <w:r w:rsidR="00EA456F">
        <w:t xml:space="preserve"> dossier was in accordance with the relevant ICH guideline for the nonclinical assessment of anticancer pharmaceuticals (ICH S9)</w:t>
      </w:r>
      <w:r w:rsidR="00CA5271">
        <w:rPr>
          <w:rStyle w:val="FootnoteReference"/>
        </w:rPr>
        <w:footnoteReference w:id="1"/>
      </w:r>
      <w:r w:rsidR="00EA456F">
        <w:t xml:space="preserve">. The overall quality of the nonclinical dossier was high. All pivotal safety-related studies were </w:t>
      </w:r>
      <w:r w:rsidR="00AB5A4A" w:rsidRPr="00C821B9">
        <w:t>good</w:t>
      </w:r>
      <w:r w:rsidR="00C821B9" w:rsidRPr="00C821B9">
        <w:t xml:space="preserve"> laboratory </w:t>
      </w:r>
      <w:r w:rsidR="00AB5A4A">
        <w:t>p</w:t>
      </w:r>
      <w:r w:rsidR="00C821B9" w:rsidRPr="00C821B9">
        <w:t>ractice (GLP)-compliant</w:t>
      </w:r>
      <w:r w:rsidR="00EA456F">
        <w:t>.</w:t>
      </w:r>
    </w:p>
    <w:p w14:paraId="15534E62" w14:textId="025FB92B" w:rsidR="00EA456F" w:rsidRDefault="00EA456F" w:rsidP="00EA456F">
      <w:r>
        <w:t xml:space="preserve">In vitro, </w:t>
      </w:r>
      <w:r w:rsidR="006E6321">
        <w:t>lazertinib</w:t>
      </w:r>
      <w:r>
        <w:t xml:space="preserve"> covalently binds to the cysteine residue 797 in mutant EGFR, with nanomolar affinity and selective for mutant cf wild-type EGFR (IC50 values for EGFR with del19, L858R, T790M, del19/T790M and L858R/T790M mu</w:t>
      </w:r>
      <w:r w:rsidR="00E66FC4">
        <w:t>t</w:t>
      </w:r>
      <w:r>
        <w:t xml:space="preserve">ations 1.7-20.6 nM cf. 25.2 nM for wild type cellular EGFR). Xenografts in immunocompromised mice of human NSCLC-derived cell lines expressing mutant EGFR showed dose-dependent tumour regression, whereas xenografts expressing wild-type EGFR showed only modest responses to </w:t>
      </w:r>
      <w:r w:rsidR="006E6321">
        <w:t>lazertinib</w:t>
      </w:r>
      <w:r>
        <w:t xml:space="preserve"> dosing. The combination therapy of </w:t>
      </w:r>
      <w:r w:rsidR="006E6321">
        <w:t>lazertinib</w:t>
      </w:r>
      <w:r>
        <w:t xml:space="preserve"> and amivantamab also demonstrated better anti-tumour response in NSCLC xenografts.</w:t>
      </w:r>
    </w:p>
    <w:p w14:paraId="37F2B136" w14:textId="5823840C" w:rsidR="00EA456F" w:rsidRDefault="00EA456F" w:rsidP="00EA456F">
      <w:r>
        <w:t xml:space="preserve">Secondary pharmacodynamics studies did not reveal any clinically relevant interactions with transmembrane and soluble receptors, ion channels or transporters. In a kinase panel screen </w:t>
      </w:r>
      <w:r w:rsidR="006E6321">
        <w:t>lazertinib</w:t>
      </w:r>
      <w:r>
        <w:t xml:space="preserve"> exhibited moderate inhibitory activity against MLK1, which is involved in the MEK/ERK pathway.</w:t>
      </w:r>
    </w:p>
    <w:p w14:paraId="74853384" w14:textId="3C6510A1" w:rsidR="00EA456F" w:rsidRDefault="00EA456F" w:rsidP="00EA456F">
      <w:r>
        <w:t>Safety pharmacology studies assessed effects on the cardiovascular, respiratory and central nervous systems. No significant adverse effects were seen on cardiovascular function in dogs, or on respiratory and central nervous systems in rats. No significant inhibition of hERG channel current was observed at clinically relevant concentrations.</w:t>
      </w:r>
    </w:p>
    <w:p w14:paraId="3516330F" w14:textId="2A63D611" w:rsidR="00EA456F" w:rsidRDefault="006706A1" w:rsidP="00EA456F">
      <w:r>
        <w:t>L</w:t>
      </w:r>
      <w:r w:rsidR="006E6321">
        <w:t>azertinib</w:t>
      </w:r>
      <w:r w:rsidR="00EA456F">
        <w:t xml:space="preserve"> was rapidly absorbed with similar T</w:t>
      </w:r>
      <w:r w:rsidR="00EA456F" w:rsidRPr="00E66FC4">
        <w:rPr>
          <w:vertAlign w:val="subscript"/>
        </w:rPr>
        <w:t>max</w:t>
      </w:r>
      <w:r w:rsidR="00EA456F">
        <w:t xml:space="preserve"> in all species. Bioavailability is low in rats (34-48%), moderate in dogs (58-78%) and high in mice (75-80%). Plasma half-life (t</w:t>
      </w:r>
      <w:r w:rsidR="00EA456F" w:rsidRPr="00E66FC4">
        <w:rPr>
          <w:vertAlign w:val="subscript"/>
        </w:rPr>
        <w:t>1/2</w:t>
      </w:r>
      <w:r w:rsidR="00EA456F">
        <w:t xml:space="preserve">) of </w:t>
      </w:r>
      <w:r w:rsidR="006E6321">
        <w:t>lazertinib</w:t>
      </w:r>
      <w:r w:rsidR="00EA456F">
        <w:t xml:space="preserve"> was longer in humans compared to animal species (~70 hours cf. ~5 -13 h, respectively). Plasma protein binding of </w:t>
      </w:r>
      <w:r w:rsidR="006E6321">
        <w:t>lazertinib</w:t>
      </w:r>
      <w:r w:rsidR="00EA456F">
        <w:t xml:space="preserve"> was high in all animal species and humans, while tissue distribution studies in rats found high distribution of </w:t>
      </w:r>
      <w:r w:rsidR="006E6321">
        <w:t>lazertinib</w:t>
      </w:r>
      <w:r w:rsidR="00EA456F">
        <w:t xml:space="preserve">-related radioactivity concentrations to the liver, adrenal gland, Harderian gland, lung, and melanin-containing structures of the eye. Studies with human NSCLC-derived xenografts in mice showed that </w:t>
      </w:r>
      <w:r w:rsidR="006E6321">
        <w:t>lazertinib</w:t>
      </w:r>
      <w:r w:rsidR="00EA456F">
        <w:t xml:space="preserve"> distributed into both subcutaneous tumours and brain metastases. </w:t>
      </w:r>
      <w:r w:rsidR="006E6321">
        <w:t>lazertinib</w:t>
      </w:r>
      <w:r w:rsidR="00EA456F">
        <w:t xml:space="preserve"> undergoes glutathione (GSH) conjugation, primarily by </w:t>
      </w:r>
      <w:r w:rsidR="002C1F5D">
        <w:t>glutathione s-transferase</w:t>
      </w:r>
      <w:r w:rsidR="00EA456F">
        <w:t xml:space="preserve"> M1-1, while oxidative metabolism, primarily by CYP3A4 is a minor pathway. Unchanged </w:t>
      </w:r>
      <w:r w:rsidR="006E6321">
        <w:t>lazertinib</w:t>
      </w:r>
      <w:r w:rsidR="00EA456F">
        <w:t xml:space="preserve"> was the dominant circulating species across all species. Circulating metabolites included GSH adduct (M11), and cysteinylglycine and cysteine conjugates (M12 and M14, respectively). Route of excretion of </w:t>
      </w:r>
      <w:r w:rsidR="006E6321">
        <w:t>lazertinib</w:t>
      </w:r>
      <w:r w:rsidR="00EA456F">
        <w:t xml:space="preserve"> was predominantly via faeces in humans, rats and dogs. Overall, the pharmacokinetic studies suggested that rats and dogs are reasonable models of human exposure to </w:t>
      </w:r>
      <w:r w:rsidR="006E6321">
        <w:t>lazertinib</w:t>
      </w:r>
      <w:r w:rsidR="00EA456F">
        <w:t>.</w:t>
      </w:r>
    </w:p>
    <w:p w14:paraId="2FB193B4" w14:textId="359D4789" w:rsidR="00EA456F" w:rsidRDefault="005513DD" w:rsidP="00EA456F">
      <w:r>
        <w:lastRenderedPageBreak/>
        <w:t>L</w:t>
      </w:r>
      <w:r w:rsidR="006E6321">
        <w:t>azertinib</w:t>
      </w:r>
      <w:r w:rsidR="00EA456F">
        <w:t xml:space="preserve"> is a substrate of P-g</w:t>
      </w:r>
      <w:r w:rsidR="006706A1">
        <w:t>lycoprotein</w:t>
      </w:r>
      <w:r w:rsidR="00EA456F">
        <w:t xml:space="preserve"> but with efflux ratio of &lt; 2</w:t>
      </w:r>
      <w:r w:rsidR="00D34862">
        <w:t>;</w:t>
      </w:r>
      <w:r w:rsidR="00EA456F">
        <w:t xml:space="preserve"> active transport does not seem clinically relevant. </w:t>
      </w:r>
      <w:r w:rsidR="006706A1">
        <w:t>L</w:t>
      </w:r>
      <w:r w:rsidR="006E6321">
        <w:t>azertinib</w:t>
      </w:r>
      <w:r w:rsidR="00EA456F">
        <w:t xml:space="preserve"> is also a substrate of CYP3A4; </w:t>
      </w:r>
      <w:r>
        <w:t>thus,</w:t>
      </w:r>
      <w:r w:rsidR="00EA456F">
        <w:t xml:space="preserve"> inhibitors and inducers of 3A4 may affect </w:t>
      </w:r>
      <w:r w:rsidR="006E6321">
        <w:t>lazertinib</w:t>
      </w:r>
      <w:r w:rsidR="00EA456F">
        <w:t xml:space="preserve"> exposures. </w:t>
      </w:r>
      <w:r w:rsidR="006706A1">
        <w:t>L</w:t>
      </w:r>
      <w:r w:rsidR="006E6321">
        <w:t>azertinib</w:t>
      </w:r>
      <w:r w:rsidR="00EA456F">
        <w:t xml:space="preserve"> moderately inhibited CYP3A4/5 at clinically relevant concentrations, suggesting possible effects on systemic exposures to CYP3A4/5 substrates. </w:t>
      </w:r>
      <w:r w:rsidR="006706A1">
        <w:t>L</w:t>
      </w:r>
      <w:r w:rsidR="006E6321">
        <w:t>azertinib</w:t>
      </w:r>
      <w:r w:rsidR="00EA456F">
        <w:t xml:space="preserve"> also inhibited efflux and uptake transporters BCRP and OCT1, respectively, at clinically relevant concentrations, suggesting that </w:t>
      </w:r>
      <w:r w:rsidR="006E6321">
        <w:t>lazertinib</w:t>
      </w:r>
      <w:r w:rsidR="00EA456F">
        <w:t xml:space="preserve"> may increase exposures to co-administered substrates of these transporters.</w:t>
      </w:r>
    </w:p>
    <w:p w14:paraId="4A7C1E48" w14:textId="079911C0" w:rsidR="00EA456F" w:rsidRDefault="00EA456F" w:rsidP="00EA456F">
      <w:r>
        <w:t xml:space="preserve">The maximum non-lethal dose of orally administered </w:t>
      </w:r>
      <w:r w:rsidR="006E6321">
        <w:t>lazertinib</w:t>
      </w:r>
      <w:r>
        <w:t xml:space="preserve"> in dogs was around 20 mg/kg and 600 mg/kg in rats, suggesting that the </w:t>
      </w:r>
      <w:r w:rsidR="006E6321">
        <w:t>lazertinib</w:t>
      </w:r>
      <w:r>
        <w:t xml:space="preserve"> is of moderate toxicity.</w:t>
      </w:r>
    </w:p>
    <w:p w14:paraId="16A28B59" w14:textId="4836D7FC" w:rsidR="00EA456F" w:rsidRDefault="00EA456F" w:rsidP="00EA456F">
      <w:r>
        <w:t xml:space="preserve">Repeat-dose toxicity studies using daily oral dosing up to 3 months, were conducted in rats and dogs. Exposure ratios (as AUC) achieved at the highest dose in the pivotal studies were low (&lt; 4). Histological changes (degeneration and inflammation), noted in rats and dogs following dosing, were commonly associated with the epithelium lining organs such as skin, eye, lung, kidney, liver, heart and the gastrointestinal and reproductive tracts. Inflammation was a prominent finding and appeared to be secondary to </w:t>
      </w:r>
      <w:r w:rsidR="006E6321">
        <w:t>lazertinib</w:t>
      </w:r>
      <w:r>
        <w:t xml:space="preserve"> induced changes to epithelial structures. There were also treatment-related decreases in RBC, haemoglobin, haematocrit and reticulocytes, lower albumin concentration, lower albumin/globulin ratio, and higher globulin concentration. Most treatment-related effects were partially or completely reversible during drug-free recovery period.</w:t>
      </w:r>
    </w:p>
    <w:p w14:paraId="74C88AFA" w14:textId="4AC15919" w:rsidR="00EA456F" w:rsidRDefault="006706A1" w:rsidP="00EA456F">
      <w:r>
        <w:t>L</w:t>
      </w:r>
      <w:r w:rsidR="006E6321">
        <w:t>azertinib</w:t>
      </w:r>
      <w:r w:rsidR="00EA456F">
        <w:t xml:space="preserve"> was not mutagenic in the bacterial reverse mutation assay or clastogenic in the in vitro mammalian chromosomal aberration assay or the in vivo rat micronucleus test. No carcinogenicity studies were conducted, which is considered acceptable.</w:t>
      </w:r>
    </w:p>
    <w:p w14:paraId="4C889B1F" w14:textId="36415AEE" w:rsidR="00EA456F" w:rsidRDefault="00EA456F" w:rsidP="00EA456F">
      <w:r>
        <w:t xml:space="preserve">Male rats and dogs in the 4-week repeat dose toxicity studies, showed tubular degeneration, epididymis luminal cellular debris, reduced sperm in epididymis (in dog only) and decreased prostate secretion (in dog only) at low relative exposures. In females, decreased corpora lutea, and atrophy of uterus and vagina were observed. In the dedicated rat fertility study, higher incidences of early reabsorption and post-implantation loss were observed, which led to decrease in number of live fetuses. </w:t>
      </w:r>
      <w:r w:rsidR="006E6321">
        <w:t>lazertinib</w:t>
      </w:r>
      <w:r>
        <w:t xml:space="preserve"> dosing of pregnant rats and pregnant rabbits was associated with increased pre-/post-implantation loss and decreased fetal weight in rats, and increased incidence of skeletal abnormalities in rabbits at low to subclinical exposure, respectively.</w:t>
      </w:r>
    </w:p>
    <w:p w14:paraId="2FB3C94F" w14:textId="3FC0F798" w:rsidR="00EA456F" w:rsidRDefault="006706A1" w:rsidP="00EA456F">
      <w:r>
        <w:t>L</w:t>
      </w:r>
      <w:r w:rsidR="006E6321">
        <w:t>azertinib</w:t>
      </w:r>
      <w:r w:rsidR="00EA456F">
        <w:t xml:space="preserve"> was not phototoxic in in vitro and in vivo (pigmented rats).</w:t>
      </w:r>
    </w:p>
    <w:p w14:paraId="1F3E9565" w14:textId="0EE5FB93" w:rsidR="00EA456F" w:rsidRDefault="006706A1" w:rsidP="00EA456F">
      <w:r>
        <w:t>L</w:t>
      </w:r>
      <w:r w:rsidR="006E6321">
        <w:t>azertinib</w:t>
      </w:r>
      <w:r w:rsidR="00EA456F">
        <w:t xml:space="preserve"> is classified as a skin sensitizer with a stimulation index 3 based on an estimated concentration of 3.6% of </w:t>
      </w:r>
      <w:r w:rsidR="006E6321">
        <w:t>lazertinib</w:t>
      </w:r>
      <w:r w:rsidR="00EA456F">
        <w:t>.</w:t>
      </w:r>
    </w:p>
    <w:p w14:paraId="02C8F296" w14:textId="583CE260" w:rsidR="00EA456F" w:rsidRDefault="00EA456F" w:rsidP="00EA456F">
      <w:r>
        <w:t>Two specified impurities proposed at levels above the ICH qualification threshold are considered adequately qualified by toxicity data.</w:t>
      </w:r>
    </w:p>
    <w:p w14:paraId="1382688B" w14:textId="6BE20B22" w:rsidR="00C821B9" w:rsidRPr="00EA456F" w:rsidRDefault="00C821B9" w:rsidP="00EA456F">
      <w:r>
        <w:t xml:space="preserve">There </w:t>
      </w:r>
      <w:r w:rsidR="001E62F7">
        <w:t xml:space="preserve">were no objections to registration from a nonclinical perspective. </w:t>
      </w:r>
    </w:p>
    <w:p w14:paraId="35B580A5" w14:textId="40B226DC" w:rsidR="00C22214" w:rsidRDefault="00C22214" w:rsidP="008804CF">
      <w:pPr>
        <w:pStyle w:val="Heading3"/>
      </w:pPr>
      <w:bookmarkStart w:id="35" w:name="_Toc247691530"/>
      <w:bookmarkStart w:id="36" w:name="_Toc314842513"/>
      <w:bookmarkStart w:id="37" w:name="_Toc103679297"/>
      <w:bookmarkStart w:id="38" w:name="_Toc209441296"/>
      <w:r>
        <w:t>Clinical</w:t>
      </w:r>
      <w:bookmarkEnd w:id="35"/>
      <w:bookmarkEnd w:id="36"/>
      <w:bookmarkEnd w:id="37"/>
      <w:r w:rsidR="00095C6A">
        <w:t xml:space="preserve"> evaluation summary</w:t>
      </w:r>
      <w:bookmarkEnd w:id="38"/>
    </w:p>
    <w:p w14:paraId="765C01DC" w14:textId="6134F469" w:rsidR="00F11564" w:rsidRDefault="00F11564" w:rsidP="00F11564">
      <w:pPr>
        <w:pStyle w:val="Heading4"/>
      </w:pPr>
      <w:bookmarkStart w:id="39" w:name="_Toc209441297"/>
      <w:r>
        <w:t>Pharmacology</w:t>
      </w:r>
      <w:bookmarkEnd w:id="39"/>
    </w:p>
    <w:p w14:paraId="46CEEB6C" w14:textId="302B3C49" w:rsidR="00F11564" w:rsidRDefault="00F11564" w:rsidP="00A92F02">
      <w:pPr>
        <w:pStyle w:val="ListBullet"/>
      </w:pPr>
      <w:r>
        <w:t>The primary evidence of efficacy and safety is provided by a randomized Study 73841937NSC3003 (MARIPOSA)</w:t>
      </w:r>
    </w:p>
    <w:p w14:paraId="0B2A7869" w14:textId="1C2A9860" w:rsidR="00F11564" w:rsidRDefault="00F11564" w:rsidP="00A92F02">
      <w:pPr>
        <w:pStyle w:val="ListBullet"/>
      </w:pPr>
      <w:r>
        <w:t xml:space="preserve">The recommended dosage regimen of </w:t>
      </w:r>
      <w:r w:rsidR="006E6321">
        <w:t>lazertinib</w:t>
      </w:r>
      <w:r>
        <w:t xml:space="preserve"> in combination with amivantamab in the proposed population (as outlined in the proposed Australian PI) is acceptable based on the </w:t>
      </w:r>
      <w:r>
        <w:lastRenderedPageBreak/>
        <w:t>clinical pharmacology review considerations</w:t>
      </w:r>
      <w:r w:rsidR="006706A1">
        <w:t>.</w:t>
      </w:r>
      <w:r>
        <w:t xml:space="preserve"> Based on available data from MARIPOSA at only one dose level, there are no apparent exposure-response relationships for efficacy or safety for both </w:t>
      </w:r>
      <w:r w:rsidR="006E6321">
        <w:t>lazertinib</w:t>
      </w:r>
      <w:r>
        <w:t xml:space="preserve"> and amivantamab.</w:t>
      </w:r>
    </w:p>
    <w:p w14:paraId="775A1661" w14:textId="2EDA866D" w:rsidR="00F11564" w:rsidRDefault="00F11564" w:rsidP="00DE6C69">
      <w:pPr>
        <w:pStyle w:val="Heading5"/>
      </w:pPr>
      <w:r>
        <w:t>Efficacy</w:t>
      </w:r>
    </w:p>
    <w:p w14:paraId="561976F5" w14:textId="3EBC5D2B" w:rsidR="00F11564" w:rsidRDefault="00F11564" w:rsidP="00F11564">
      <w:r>
        <w:t xml:space="preserve">The rationale of adding amivantamab to </w:t>
      </w:r>
      <w:r w:rsidR="006E6321">
        <w:t>lazertinib</w:t>
      </w:r>
      <w:r>
        <w:t xml:space="preserve"> is to broaden coverage against the development of resistance pathways, such as MET amplification, in EGFR mt NSCLC. The proposed dosage of amivantamab in combination with </w:t>
      </w:r>
      <w:r w:rsidR="006E6321">
        <w:t>lazertinib</w:t>
      </w:r>
      <w:r>
        <w:t xml:space="preserve"> is the same as the approved monotherapy dosage of amivantamab for EGFR ex20ins NSCLC</w:t>
      </w:r>
      <w:r w:rsidR="002D4EFC">
        <w:t>, whose disease has progressed on or after platinum-based chemotherapy</w:t>
      </w:r>
      <w:r>
        <w:t>.</w:t>
      </w:r>
    </w:p>
    <w:p w14:paraId="29F56840" w14:textId="6B67AE10" w:rsidR="00F11564" w:rsidRDefault="00AF6865" w:rsidP="006904CE">
      <w:pPr>
        <w:pStyle w:val="ListBullet"/>
      </w:pPr>
      <w:r>
        <w:t>L</w:t>
      </w:r>
      <w:r w:rsidR="006E6321">
        <w:t>azertinib</w:t>
      </w:r>
      <w:r w:rsidR="00F11564">
        <w:t xml:space="preserve"> monotherapy was studied over a dose range of 20-320 mg administered once daily, and the data showed positive exposure-response relationships for efficacy, supporting selection of 240 mg QD as the </w:t>
      </w:r>
      <w:r w:rsidR="006E6321">
        <w:t>lazertinib</w:t>
      </w:r>
      <w:r w:rsidR="00F11564">
        <w:t xml:space="preserve"> monotherapy dosage for the proposed patient population</w:t>
      </w:r>
      <w:r>
        <w:t>.</w:t>
      </w:r>
    </w:p>
    <w:p w14:paraId="46AD3185" w14:textId="1273DEDC" w:rsidR="00F11564" w:rsidRDefault="00F11564" w:rsidP="006904CE">
      <w:pPr>
        <w:pStyle w:val="ListBullet"/>
      </w:pPr>
      <w:r>
        <w:t xml:space="preserve">In the MARIPOSA study, a substantial improvement in </w:t>
      </w:r>
      <w:r w:rsidR="009D1A39">
        <w:t>progression-free survival (</w:t>
      </w:r>
      <w:r>
        <w:t>PFS</w:t>
      </w:r>
      <w:r w:rsidR="009D1A39">
        <w:t>)</w:t>
      </w:r>
      <w:r>
        <w:t xml:space="preserve"> was observed in the combination arm compared to the </w:t>
      </w:r>
      <w:r w:rsidR="006E6321">
        <w:t>osimertinib</w:t>
      </w:r>
      <w:r>
        <w:t xml:space="preserve"> or </w:t>
      </w:r>
      <w:r w:rsidR="006E6321">
        <w:t>lazertinib</w:t>
      </w:r>
      <w:r>
        <w:t xml:space="preserve"> monotherapy arms</w:t>
      </w:r>
      <w:r w:rsidR="00AF6865">
        <w:t>.</w:t>
      </w:r>
    </w:p>
    <w:p w14:paraId="7D51A616" w14:textId="02394DBB" w:rsidR="00F11564" w:rsidRDefault="00AF6865" w:rsidP="006904CE">
      <w:pPr>
        <w:pStyle w:val="ListBullet"/>
      </w:pPr>
      <w:r>
        <w:t>L</w:t>
      </w:r>
      <w:r w:rsidR="006E6321">
        <w:t>azertinib</w:t>
      </w:r>
      <w:r w:rsidR="00F11564">
        <w:t xml:space="preserve"> 240 mg QD monotherapy showed similar efficacy and safety profiles compared to </w:t>
      </w:r>
      <w:r w:rsidR="006E6321">
        <w:t>osimertinib</w:t>
      </w:r>
      <w:r w:rsidR="00F11564">
        <w:t xml:space="preserve"> monotherapy</w:t>
      </w:r>
      <w:r>
        <w:t>.</w:t>
      </w:r>
    </w:p>
    <w:p w14:paraId="405D93FA" w14:textId="26C72CE0" w:rsidR="00F11564" w:rsidRDefault="00F11564" w:rsidP="00DE6C69">
      <w:pPr>
        <w:pStyle w:val="Heading5"/>
      </w:pPr>
      <w:r>
        <w:t>Safety</w:t>
      </w:r>
    </w:p>
    <w:p w14:paraId="6102AC91" w14:textId="70F7CC84" w:rsidR="00F11564" w:rsidRDefault="00F11564" w:rsidP="006904CE">
      <w:pPr>
        <w:pStyle w:val="ListBullet"/>
      </w:pPr>
      <w:r>
        <w:t>An approximately 2-fold exposure (e.g., C</w:t>
      </w:r>
      <w:r w:rsidRPr="002B55A7">
        <w:rPr>
          <w:vertAlign w:val="subscript"/>
        </w:rPr>
        <w:t>max</w:t>
      </w:r>
      <w:r>
        <w:t xml:space="preserve"> and C</w:t>
      </w:r>
      <w:r w:rsidRPr="002B55A7">
        <w:rPr>
          <w:vertAlign w:val="subscript"/>
        </w:rPr>
        <w:t>trough</w:t>
      </w:r>
      <w:r>
        <w:t xml:space="preserve">) difference in </w:t>
      </w:r>
      <w:r w:rsidR="006E6321">
        <w:t>lazertinib</w:t>
      </w:r>
      <w:r>
        <w:t xml:space="preserve"> was observed in patients due to the glutathione-S-transferase mu 1 (GSTM1) polymorphism. Despite 2-fold difference in </w:t>
      </w:r>
      <w:r w:rsidR="006E6321">
        <w:t>lazertinib</w:t>
      </w:r>
      <w:r>
        <w:t xml:space="preserve"> exposure between GSTM1 non-null (i.e., with at least one GSTM1 normal function allele) and null (i.e., with two GSTM1 no-function alleles, no enzyme activities) groups, there were similar incidences of dosage modifications and discontinuations between the two groups in the combination arm</w:t>
      </w:r>
      <w:r w:rsidR="00AF6865">
        <w:t>.</w:t>
      </w:r>
    </w:p>
    <w:p w14:paraId="3EA33335" w14:textId="53760056" w:rsidR="00F11564" w:rsidRDefault="00F11564" w:rsidP="006904CE">
      <w:pPr>
        <w:pStyle w:val="ListBullet"/>
      </w:pPr>
      <w:r>
        <w:t xml:space="preserve">Although higher incidences of </w:t>
      </w:r>
      <w:r w:rsidR="006706A1">
        <w:t>adverse events (</w:t>
      </w:r>
      <w:r>
        <w:t>A</w:t>
      </w:r>
      <w:r w:rsidR="006706A1">
        <w:t>E)</w:t>
      </w:r>
      <w:r>
        <w:t xml:space="preserve"> were observed in combination arm, a lower dose of </w:t>
      </w:r>
      <w:r w:rsidR="006E6321">
        <w:t>lazertinib</w:t>
      </w:r>
      <w:r>
        <w:t xml:space="preserve"> with the same dose of amivantamab may not improve safety due to synergistic EGFR-associated toxicities</w:t>
      </w:r>
      <w:r w:rsidR="00AF6865">
        <w:t>.</w:t>
      </w:r>
    </w:p>
    <w:p w14:paraId="15F04DC0" w14:textId="0D847FE6" w:rsidR="00F11564" w:rsidRDefault="006904CE" w:rsidP="006904CE">
      <w:pPr>
        <w:pStyle w:val="Heading5"/>
      </w:pPr>
      <w:r>
        <w:t>D</w:t>
      </w:r>
      <w:r w:rsidR="00F11564">
        <w:t>osing in patient subgroups – intrinsic and extrinsic factors</w:t>
      </w:r>
    </w:p>
    <w:p w14:paraId="3EE37BE4" w14:textId="0A17F09A" w:rsidR="00F11564" w:rsidRDefault="00F11564" w:rsidP="006904CE">
      <w:pPr>
        <w:pStyle w:val="ListBullet"/>
      </w:pPr>
      <w:r>
        <w:t>No dose adjustment is recommended in patients with renal impairment</w:t>
      </w:r>
      <w:r w:rsidR="00AF6865">
        <w:t>.</w:t>
      </w:r>
    </w:p>
    <w:p w14:paraId="3814BC0F" w14:textId="6D6DC5A8" w:rsidR="00F11564" w:rsidRDefault="00F11564" w:rsidP="006904CE">
      <w:pPr>
        <w:pStyle w:val="ListBullet"/>
      </w:pPr>
      <w:r>
        <w:t>No dose adjustment is recommended in patients with mild or moderate hepatic impairment</w:t>
      </w:r>
      <w:r w:rsidR="00AF6865">
        <w:t>.</w:t>
      </w:r>
    </w:p>
    <w:p w14:paraId="0E7F6A50" w14:textId="2744B8D7" w:rsidR="00F11564" w:rsidRDefault="00F11564" w:rsidP="006904CE">
      <w:pPr>
        <w:pStyle w:val="ListBullet"/>
      </w:pPr>
      <w:r>
        <w:t>No dose adjustment is required based on age, sex, body weight and GSTM1 genotype</w:t>
      </w:r>
      <w:r w:rsidR="00AF6865">
        <w:t>.</w:t>
      </w:r>
    </w:p>
    <w:p w14:paraId="491E30E4" w14:textId="41DA5305" w:rsidR="00F11564" w:rsidRDefault="00F11564" w:rsidP="006904CE">
      <w:pPr>
        <w:pStyle w:val="Heading5"/>
      </w:pPr>
      <w:r>
        <w:t>D</w:t>
      </w:r>
      <w:r w:rsidR="005B3A6E">
        <w:t>rug-drug interactions</w:t>
      </w:r>
    </w:p>
    <w:p w14:paraId="26466CA7" w14:textId="558F675C" w:rsidR="00F11564" w:rsidRDefault="00F11564" w:rsidP="006904CE">
      <w:pPr>
        <w:pStyle w:val="ListBullet"/>
      </w:pPr>
      <w:r>
        <w:t xml:space="preserve">The current submission adequately addressed </w:t>
      </w:r>
      <w:r w:rsidR="006E6321">
        <w:t>lazertinib</w:t>
      </w:r>
      <w:r>
        <w:t>’s potential for drug-drug interactions. Adequate dosage recommendations for patients receiving strong, moderate, or weak CYP3A inducers are included in the PI.</w:t>
      </w:r>
    </w:p>
    <w:p w14:paraId="76C303A1" w14:textId="168F63FC" w:rsidR="00F11564" w:rsidRDefault="00F11564" w:rsidP="006904CE">
      <w:pPr>
        <w:pStyle w:val="ListBullet"/>
      </w:pPr>
      <w:r>
        <w:t xml:space="preserve">There were no clinically significant differences in </w:t>
      </w:r>
      <w:r w:rsidR="006E6321">
        <w:t>lazertinib</w:t>
      </w:r>
      <w:r>
        <w:t xml:space="preserve"> PK when used concomitantly with gastric acid-reducing agents.</w:t>
      </w:r>
    </w:p>
    <w:p w14:paraId="326F23D6" w14:textId="0F9F9965" w:rsidR="00F11564" w:rsidRDefault="00F11564" w:rsidP="006904CE">
      <w:pPr>
        <w:pStyle w:val="ListBullet"/>
      </w:pPr>
      <w:r>
        <w:t>Avoid concomitant use with strong or moderate CYP3A inducers</w:t>
      </w:r>
    </w:p>
    <w:p w14:paraId="6CBE9564" w14:textId="37CD40A2" w:rsidR="00F11564" w:rsidRDefault="00F11564" w:rsidP="006904CE">
      <w:pPr>
        <w:pStyle w:val="ListBullet"/>
      </w:pPr>
      <w:r>
        <w:t xml:space="preserve">Monitor for adverse reactions associated with a CYP3A substrate where minimal concentration changes may lead to serious adverse reactions as recommended in the approved product </w:t>
      </w:r>
      <w:r w:rsidR="005513DD">
        <w:t>labelling</w:t>
      </w:r>
      <w:r>
        <w:t xml:space="preserve"> for the CYP3A substrate.</w:t>
      </w:r>
    </w:p>
    <w:p w14:paraId="374521FA" w14:textId="32F22E36" w:rsidR="00F11564" w:rsidRDefault="00F11564" w:rsidP="00AB5A4A">
      <w:pPr>
        <w:pStyle w:val="ListBullet"/>
      </w:pPr>
      <w:r>
        <w:lastRenderedPageBreak/>
        <w:t xml:space="preserve">Monitor for adverse reactions associated with a BCRP substrate where minimal concentration changes may lead to serious adverse reactions as recommended in the approved product </w:t>
      </w:r>
      <w:r w:rsidR="005513DD">
        <w:t>labelling</w:t>
      </w:r>
      <w:r>
        <w:t xml:space="preserve"> for the BCRP </w:t>
      </w:r>
      <w:r w:rsidR="00AB5A4A">
        <w:t>substrate pharmacokinetics</w:t>
      </w:r>
      <w:r w:rsidR="00A00169">
        <w:t xml:space="preserve"> </w:t>
      </w:r>
    </w:p>
    <w:p w14:paraId="72354005" w14:textId="64F2A76B" w:rsidR="00F11564" w:rsidRDefault="00F11564" w:rsidP="002A1FB0">
      <w:pPr>
        <w:pStyle w:val="Heading6"/>
      </w:pPr>
      <w:r>
        <w:t>M</w:t>
      </w:r>
      <w:r w:rsidR="009C0A3F">
        <w:t>echanism of action</w:t>
      </w:r>
    </w:p>
    <w:p w14:paraId="7FE5F59A" w14:textId="17FF9E80" w:rsidR="00F11564" w:rsidRDefault="00F11564" w:rsidP="002A1FB0">
      <w:pPr>
        <w:pStyle w:val="ListBullet"/>
      </w:pPr>
      <w:r>
        <w:t>Amivantamab is a bispecific antibody that binds to the extracellular domains of EGFR and MET. In in vitro and in vivo studies amivantamab was able to disrupt EGFR and MET signal</w:t>
      </w:r>
      <w:r w:rsidR="002D4EFC">
        <w:t>l</w:t>
      </w:r>
      <w:r>
        <w:t>ing functions in mutation models of exon 19 deletions, exon 21 L858R substitutions, and exon 20 insertions through blocking ligand binding or degradation of EGFR and MET.</w:t>
      </w:r>
    </w:p>
    <w:p w14:paraId="340C0377" w14:textId="5F3D8834" w:rsidR="00F11564" w:rsidRDefault="00A81653" w:rsidP="002A1FB0">
      <w:pPr>
        <w:pStyle w:val="ListBullet"/>
      </w:pPr>
      <w:r>
        <w:t>L</w:t>
      </w:r>
      <w:r w:rsidR="006E6321">
        <w:t>azertinib</w:t>
      </w:r>
      <w:r w:rsidR="00F11564">
        <w:t xml:space="preserve"> is a third generation, EGFR TKI. It inhibits both primary activating EGFR mutations (exon 19 deletions and exon 21 L858R substitution mutations) and the EGFR T790M resistance mutation</w:t>
      </w:r>
    </w:p>
    <w:p w14:paraId="4BEDC312" w14:textId="0B3AC840" w:rsidR="00F11564" w:rsidRDefault="00F11564" w:rsidP="00342A7D">
      <w:pPr>
        <w:pStyle w:val="Heading6"/>
      </w:pPr>
      <w:r>
        <w:t>Dose proportionality</w:t>
      </w:r>
    </w:p>
    <w:p w14:paraId="7B617761" w14:textId="5C67312A" w:rsidR="00F11564" w:rsidRDefault="00A13586" w:rsidP="00A9496F">
      <w:pPr>
        <w:pStyle w:val="ListBullet"/>
      </w:pPr>
      <w:r>
        <w:t>L</w:t>
      </w:r>
      <w:r w:rsidR="006E6321">
        <w:t>azertinib</w:t>
      </w:r>
      <w:r w:rsidR="00F11564">
        <w:t xml:space="preserve"> showed dose proportional increase in AUC and C</w:t>
      </w:r>
      <w:r w:rsidR="00F11564" w:rsidRPr="00A9496F">
        <w:rPr>
          <w:vertAlign w:val="subscript"/>
        </w:rPr>
        <w:t>max</w:t>
      </w:r>
      <w:r w:rsidR="00F11564">
        <w:t xml:space="preserve"> across 20-320 mg dose </w:t>
      </w:r>
      <w:r w:rsidR="00A9496F">
        <w:t>r</w:t>
      </w:r>
      <w:r w:rsidR="00F11564">
        <w:t>ange</w:t>
      </w:r>
    </w:p>
    <w:p w14:paraId="652DCF61" w14:textId="6BD701AB" w:rsidR="00F11564" w:rsidRDefault="00F11564" w:rsidP="00342A7D">
      <w:pPr>
        <w:pStyle w:val="Heading6"/>
      </w:pPr>
      <w:r>
        <w:t>Accumulation</w:t>
      </w:r>
    </w:p>
    <w:p w14:paraId="2979A1EB" w14:textId="78F73166" w:rsidR="00F11564" w:rsidRPr="00A9496F" w:rsidRDefault="00F11564" w:rsidP="00A9496F">
      <w:pPr>
        <w:pStyle w:val="ListBullet"/>
      </w:pPr>
      <w:r>
        <w:t xml:space="preserve">Approximately 2-fold accumulation was observed at steady state with </w:t>
      </w:r>
      <w:r w:rsidR="006E6321">
        <w:t>lazertinib</w:t>
      </w:r>
      <w:r>
        <w:t xml:space="preserve"> 240mg QD </w:t>
      </w:r>
      <w:r w:rsidRPr="00A9496F">
        <w:t>dose</w:t>
      </w:r>
    </w:p>
    <w:p w14:paraId="3A457A81" w14:textId="114AF1C6" w:rsidR="00F11564" w:rsidRDefault="00F11564" w:rsidP="00342A7D">
      <w:pPr>
        <w:pStyle w:val="Heading6"/>
      </w:pPr>
      <w:r>
        <w:t>Absorption</w:t>
      </w:r>
    </w:p>
    <w:p w14:paraId="1679814E" w14:textId="47B2162E" w:rsidR="00F11564" w:rsidRDefault="00F11564" w:rsidP="00A9496F">
      <w:pPr>
        <w:pStyle w:val="ListBullet"/>
      </w:pPr>
      <w:r>
        <w:t>The median time to reach single dose and steady state C</w:t>
      </w:r>
      <w:r w:rsidRPr="00A9496F">
        <w:rPr>
          <w:vertAlign w:val="subscript"/>
        </w:rPr>
        <w:t>max</w:t>
      </w:r>
      <w:r>
        <w:t xml:space="preserve"> was comparable and ranged from 2 to 4 hours. Following administration of 240 mg </w:t>
      </w:r>
      <w:r w:rsidR="006E6321">
        <w:t>lazertinib</w:t>
      </w:r>
      <w:r>
        <w:t xml:space="preserve"> with a high-fat meal, the C</w:t>
      </w:r>
      <w:r w:rsidRPr="00A9496F">
        <w:rPr>
          <w:vertAlign w:val="subscript"/>
        </w:rPr>
        <w:t>max</w:t>
      </w:r>
      <w:r>
        <w:t xml:space="preserve"> and AUC of </w:t>
      </w:r>
      <w:r w:rsidR="006E6321">
        <w:t>lazertinib</w:t>
      </w:r>
      <w:r>
        <w:t xml:space="preserve"> were comparable to that under fasting conditions.</w:t>
      </w:r>
    </w:p>
    <w:p w14:paraId="4E624A07" w14:textId="4530D09D" w:rsidR="00F11564" w:rsidRDefault="00F11564" w:rsidP="00342A7D">
      <w:pPr>
        <w:pStyle w:val="Heading6"/>
      </w:pPr>
      <w:r>
        <w:t>Distribution</w:t>
      </w:r>
    </w:p>
    <w:p w14:paraId="2BBECD54" w14:textId="423EB0E0" w:rsidR="00F11564" w:rsidRDefault="00F11564" w:rsidP="00A9496F">
      <w:pPr>
        <w:pStyle w:val="ListBullet"/>
      </w:pPr>
      <w:r>
        <w:t>V</w:t>
      </w:r>
      <w:r w:rsidR="00A9496F">
        <w:t>olume of distribution</w:t>
      </w:r>
      <w:r>
        <w:t xml:space="preserve"> = 4262L</w:t>
      </w:r>
    </w:p>
    <w:p w14:paraId="51D7E0BD" w14:textId="42B115B4" w:rsidR="00F11564" w:rsidRDefault="00F11564" w:rsidP="00A9496F">
      <w:pPr>
        <w:pStyle w:val="ListBullet"/>
      </w:pPr>
      <w:r>
        <w:t>Mean plasma protein binding ~99%</w:t>
      </w:r>
    </w:p>
    <w:p w14:paraId="61D5889A" w14:textId="79553610" w:rsidR="00F11564" w:rsidRDefault="00F11564" w:rsidP="00342A7D">
      <w:pPr>
        <w:pStyle w:val="Heading6"/>
      </w:pPr>
      <w:r>
        <w:t>Metabolism</w:t>
      </w:r>
    </w:p>
    <w:p w14:paraId="57E662E5" w14:textId="5E5064D8" w:rsidR="00F11564" w:rsidRDefault="00F11564" w:rsidP="00F11564">
      <w:r>
        <w:t>Primarily metabolised by glutathione conjugation, either enzymatic via glutathione-S-transferase or non-enzymatic, as well as by CYP3A4</w:t>
      </w:r>
    </w:p>
    <w:p w14:paraId="3C6CDB0F" w14:textId="5507F9AC" w:rsidR="00F11564" w:rsidRDefault="00F11564" w:rsidP="00342A7D">
      <w:pPr>
        <w:pStyle w:val="Heading6"/>
      </w:pPr>
      <w:r>
        <w:t>Elimination</w:t>
      </w:r>
    </w:p>
    <w:p w14:paraId="371CAF8F" w14:textId="03C791D2" w:rsidR="00F11564" w:rsidRDefault="00F11564" w:rsidP="00F11564">
      <w:r>
        <w:t xml:space="preserve">Elimination </w:t>
      </w:r>
      <w:proofErr w:type="spellStart"/>
      <w:r>
        <w:t xml:space="preserve">half </w:t>
      </w:r>
      <w:r w:rsidR="00A06933">
        <w:t>life</w:t>
      </w:r>
      <w:proofErr w:type="spellEnd"/>
      <w:r>
        <w:t>~65h</w:t>
      </w:r>
    </w:p>
    <w:p w14:paraId="6287C402" w14:textId="7A0C81CC" w:rsidR="00F11564" w:rsidRDefault="00F11564" w:rsidP="00877732">
      <w:pPr>
        <w:pStyle w:val="Heading6"/>
      </w:pPr>
      <w:r>
        <w:t>Excretion</w:t>
      </w:r>
    </w:p>
    <w:p w14:paraId="0D777060" w14:textId="19386CCB" w:rsidR="00F11564" w:rsidRDefault="00F11564" w:rsidP="00F11564">
      <w:r>
        <w:t xml:space="preserve">Following single oral dose of </w:t>
      </w:r>
      <w:r w:rsidR="005513DD">
        <w:t>radiolabelled</w:t>
      </w:r>
      <w:r>
        <w:t xml:space="preserve"> </w:t>
      </w:r>
      <w:r w:rsidR="006E6321">
        <w:t>lazertinib</w:t>
      </w:r>
      <w:r>
        <w:t>, ~86% of the dose was recovered in faeces (&lt;5% as unchanged) and 4% in urine (&lt;0.2% as unchanged)</w:t>
      </w:r>
    </w:p>
    <w:p w14:paraId="3A1EB8B7" w14:textId="0D577C84" w:rsidR="00F11564" w:rsidRDefault="00F11564" w:rsidP="00A9496F">
      <w:pPr>
        <w:pStyle w:val="Heading6"/>
      </w:pPr>
      <w:r>
        <w:t>D</w:t>
      </w:r>
      <w:r w:rsidR="00A9496F">
        <w:t xml:space="preserve">rug-drug interaction </w:t>
      </w:r>
      <w:r>
        <w:t xml:space="preserve">potential – effect of other drugs on </w:t>
      </w:r>
      <w:r w:rsidR="006E6321">
        <w:t>lazertinib</w:t>
      </w:r>
    </w:p>
    <w:p w14:paraId="47A113E8" w14:textId="2CD9EAAA" w:rsidR="00F11564" w:rsidRDefault="00F11564" w:rsidP="00F11564">
      <w:r>
        <w:t xml:space="preserve">Effect of CYP3A inducers on </w:t>
      </w:r>
      <w:r w:rsidR="006E6321">
        <w:t>lazertinib</w:t>
      </w:r>
      <w:r>
        <w:t xml:space="preserve">: Concomitant use of rifampin (Strong CYP3A inducer) with </w:t>
      </w:r>
      <w:r w:rsidR="00554EAE">
        <w:t>Lazcluze</w:t>
      </w:r>
      <w:r>
        <w:t xml:space="preserve"> decreased </w:t>
      </w:r>
      <w:r w:rsidR="006E6321">
        <w:t>lazertinib</w:t>
      </w:r>
      <w:r>
        <w:t xml:space="preserve"> C</w:t>
      </w:r>
      <w:r w:rsidRPr="256BCBCC">
        <w:rPr>
          <w:vertAlign w:val="subscript"/>
        </w:rPr>
        <w:t>max</w:t>
      </w:r>
      <w:r>
        <w:t xml:space="preserve"> by 72% and AUC by 83%. Concomitant use of efavirenz (moderate CYP3A inducer) with </w:t>
      </w:r>
      <w:r w:rsidR="00554EAE">
        <w:t>Lazcluze</w:t>
      </w:r>
      <w:r>
        <w:t xml:space="preserve"> is predicted to decrease </w:t>
      </w:r>
      <w:r w:rsidR="006E6321">
        <w:t>lazertinib</w:t>
      </w:r>
      <w:r>
        <w:t xml:space="preserve"> steady state C</w:t>
      </w:r>
      <w:r w:rsidRPr="00A00169">
        <w:rPr>
          <w:vertAlign w:val="subscript"/>
        </w:rPr>
        <w:t>max</w:t>
      </w:r>
      <w:r>
        <w:t xml:space="preserve"> by at least 32% and AUC by at least 44%. The effect of concomitant use of weak CYP3A inducers on </w:t>
      </w:r>
      <w:r w:rsidR="006E6321">
        <w:t>lazertinib</w:t>
      </w:r>
      <w:r>
        <w:t xml:space="preserve"> C</w:t>
      </w:r>
      <w:r w:rsidRPr="256BCBCC">
        <w:rPr>
          <w:vertAlign w:val="subscript"/>
        </w:rPr>
        <w:t>max</w:t>
      </w:r>
      <w:r>
        <w:t xml:space="preserve"> or AUC is unknown.</w:t>
      </w:r>
    </w:p>
    <w:p w14:paraId="09857371" w14:textId="540C44FB" w:rsidR="00F11564" w:rsidRDefault="00F11564" w:rsidP="00F11564">
      <w:r>
        <w:t xml:space="preserve">Effect of Strong CYP3A inhibitors on </w:t>
      </w:r>
      <w:r w:rsidR="006E6321">
        <w:t>lazertinib</w:t>
      </w:r>
      <w:r>
        <w:t xml:space="preserve">: Concomitant use of itraconazole (strong CYP3A inhibitor) with </w:t>
      </w:r>
      <w:r w:rsidR="00554EAE">
        <w:t>Lazcluze</w:t>
      </w:r>
      <w:r>
        <w:t xml:space="preserve"> increased </w:t>
      </w:r>
      <w:r w:rsidR="006E6321">
        <w:t>lazertinib</w:t>
      </w:r>
      <w:r>
        <w:t xml:space="preserve"> C</w:t>
      </w:r>
      <w:r w:rsidRPr="00A00169">
        <w:rPr>
          <w:vertAlign w:val="subscript"/>
        </w:rPr>
        <w:t xml:space="preserve">max </w:t>
      </w:r>
      <w:r>
        <w:t>increased by 1.2-fold and AUC by 1.5-fold.</w:t>
      </w:r>
    </w:p>
    <w:p w14:paraId="5FAA6674" w14:textId="1A836C2B" w:rsidR="00F11564" w:rsidRDefault="00F11564" w:rsidP="00F11564">
      <w:r>
        <w:lastRenderedPageBreak/>
        <w:t xml:space="preserve">Effect of ARAs on </w:t>
      </w:r>
      <w:r w:rsidR="006E6321">
        <w:t>lazertinib</w:t>
      </w:r>
      <w:r>
        <w:t xml:space="preserve">: No clinically significant differences in </w:t>
      </w:r>
      <w:r w:rsidR="006E6321">
        <w:t>lazertinib</w:t>
      </w:r>
      <w:r>
        <w:t xml:space="preserve"> pharmacokinetics were observed when used concomitantly with ARAs</w:t>
      </w:r>
    </w:p>
    <w:p w14:paraId="27295705" w14:textId="653F7B66" w:rsidR="00F11564" w:rsidRDefault="00A9496F" w:rsidP="00A9496F">
      <w:pPr>
        <w:pStyle w:val="Heading6"/>
      </w:pPr>
      <w:r w:rsidRPr="00A9496F">
        <w:t xml:space="preserve">Drug-drug interaction potential </w:t>
      </w:r>
      <w:r w:rsidR="00F11564">
        <w:t xml:space="preserve">– effect of </w:t>
      </w:r>
      <w:r w:rsidR="006E6321">
        <w:t>lazertinib</w:t>
      </w:r>
      <w:r w:rsidR="00F11564">
        <w:t xml:space="preserve"> on other drugs</w:t>
      </w:r>
    </w:p>
    <w:p w14:paraId="77FC1D5A" w14:textId="44BC7601" w:rsidR="00F11564" w:rsidRDefault="00F11564" w:rsidP="00F11564">
      <w:r>
        <w:t xml:space="preserve">Concomitant use of </w:t>
      </w:r>
      <w:r w:rsidR="00554EAE">
        <w:t>Lazcluze</w:t>
      </w:r>
      <w:r>
        <w:t xml:space="preserve"> increased midazolam (CYP3A substrate) C</w:t>
      </w:r>
      <w:r w:rsidRPr="00A9496F">
        <w:rPr>
          <w:vertAlign w:val="subscript"/>
        </w:rPr>
        <w:t>max</w:t>
      </w:r>
      <w:r>
        <w:t xml:space="preserve"> by 1.4-fold and AUC by 1.5-fold.</w:t>
      </w:r>
    </w:p>
    <w:p w14:paraId="578748DC" w14:textId="002F5639" w:rsidR="00F11564" w:rsidRDefault="00F11564" w:rsidP="00F11564">
      <w:r>
        <w:t xml:space="preserve">Concomitant use of </w:t>
      </w:r>
      <w:r w:rsidR="00554EAE">
        <w:t>Lazcluze</w:t>
      </w:r>
      <w:r>
        <w:t xml:space="preserve"> increased rosuvastatin C</w:t>
      </w:r>
      <w:r w:rsidRPr="00A9496F">
        <w:rPr>
          <w:vertAlign w:val="subscript"/>
        </w:rPr>
        <w:t>max</w:t>
      </w:r>
      <w:r>
        <w:t xml:space="preserve"> by 2.2-fold and AUC by 2-fold.</w:t>
      </w:r>
    </w:p>
    <w:p w14:paraId="7C02F3B0" w14:textId="446A60BB" w:rsidR="00F11564" w:rsidRDefault="00F11564" w:rsidP="00F11564">
      <w:r>
        <w:t xml:space="preserve">No clinically significant differences in the pharmacokinetics of the following were observed or predicted when used concomitantly with </w:t>
      </w:r>
      <w:r w:rsidR="006E6321">
        <w:t>lazertinib</w:t>
      </w:r>
      <w:r>
        <w:t xml:space="preserve">: metformin (OCT1 substrate) or </w:t>
      </w:r>
      <w:proofErr w:type="spellStart"/>
      <w:r>
        <w:t>raltegravir</w:t>
      </w:r>
      <w:proofErr w:type="spellEnd"/>
      <w:r>
        <w:t xml:space="preserve"> (UGT1A1 substrate).</w:t>
      </w:r>
    </w:p>
    <w:p w14:paraId="29C51CEA" w14:textId="77777777" w:rsidR="00F11564" w:rsidRDefault="00F11564" w:rsidP="00342A7D">
      <w:pPr>
        <w:pStyle w:val="Heading4"/>
      </w:pPr>
      <w:bookmarkStart w:id="40" w:name="_Toc209441298"/>
      <w:r>
        <w:t>Efficacy</w:t>
      </w:r>
      <w:bookmarkEnd w:id="40"/>
    </w:p>
    <w:p w14:paraId="09F2F3DC" w14:textId="5C7993CC" w:rsidR="00F11564" w:rsidRDefault="00F11564" w:rsidP="00F11564">
      <w:r>
        <w:t xml:space="preserve">The following clinical studies provide efficacy and safety data to support </w:t>
      </w:r>
      <w:r w:rsidR="00B313E1">
        <w:t xml:space="preserve">the </w:t>
      </w:r>
      <w:r>
        <w:t xml:space="preserve">registration of </w:t>
      </w:r>
      <w:r w:rsidR="00554EAE">
        <w:t>Lazcluze</w:t>
      </w:r>
      <w:r>
        <w:t>:</w:t>
      </w:r>
    </w:p>
    <w:p w14:paraId="4881F0E6" w14:textId="5DB58204" w:rsidR="00F11564" w:rsidRDefault="00F11564" w:rsidP="00A9496F">
      <w:pPr>
        <w:pStyle w:val="ListBullet"/>
      </w:pPr>
      <w:r>
        <w:t>73841937NSC3003 (MARIPOSA, Phase 3): Pivotal study for efficacy and safety</w:t>
      </w:r>
    </w:p>
    <w:p w14:paraId="3C038750" w14:textId="12E81317" w:rsidR="00F11564" w:rsidRDefault="00F11564" w:rsidP="00A9496F">
      <w:pPr>
        <w:pStyle w:val="ListBullet"/>
      </w:pPr>
      <w:r>
        <w:t>61186372EDI1001 (CHRYSALIS, Phase 1): Supportive study for efficacy and safety</w:t>
      </w:r>
      <w:r w:rsidR="00A9496F">
        <w:t xml:space="preserve"> </w:t>
      </w:r>
      <w:r>
        <w:t>(combination with amivantamab) and Supportive study for safety (amivantamab monotherapy)</w:t>
      </w:r>
    </w:p>
    <w:p w14:paraId="6E6AE725" w14:textId="079AB21B" w:rsidR="00F11564" w:rsidRDefault="00F11564" w:rsidP="00A9496F">
      <w:pPr>
        <w:pStyle w:val="ListBullet"/>
      </w:pPr>
      <w:r>
        <w:t>73841937NSC1001 (CHRYSALIS-2, Phase 1/1b): Supportive study for safety</w:t>
      </w:r>
    </w:p>
    <w:p w14:paraId="1632638A" w14:textId="699A795A" w:rsidR="00F11564" w:rsidRDefault="00F11564" w:rsidP="00A9496F">
      <w:pPr>
        <w:pStyle w:val="ListBullet"/>
      </w:pPr>
      <w:r>
        <w:t>73841937NSC2001/ YH25448-201 (Phase 1/2): Supportive study for efficacy and safety</w:t>
      </w:r>
    </w:p>
    <w:p w14:paraId="26216A98" w14:textId="1BEBD7B9" w:rsidR="00F11564" w:rsidRDefault="00F11564" w:rsidP="00A9496F">
      <w:pPr>
        <w:pStyle w:val="ListBullet"/>
      </w:pPr>
      <w:r>
        <w:t>YH25448-301 (Phase 3): Supportive study for efficacy and safety</w:t>
      </w:r>
    </w:p>
    <w:p w14:paraId="6B030B4E" w14:textId="7B81D470" w:rsidR="00F11564" w:rsidRDefault="00F11564" w:rsidP="00F11564">
      <w:r>
        <w:t xml:space="preserve">The efficacy of the combination of </w:t>
      </w:r>
      <w:r w:rsidR="006E6321">
        <w:t>lazertinib</w:t>
      </w:r>
      <w:r>
        <w:t xml:space="preserve"> and amivantamab for the proposed indication is supported by data from the pivotal MARIPOSA study.</w:t>
      </w:r>
    </w:p>
    <w:p w14:paraId="6ED5911D" w14:textId="77777777" w:rsidR="00F11564" w:rsidRDefault="00F11564" w:rsidP="00F11564">
      <w:r>
        <w:t>The clinical evaluation for this submission focussed on the review of efficacy and safety data from MARIPOSA; data from other supportive trials were not independently verified.</w:t>
      </w:r>
    </w:p>
    <w:p w14:paraId="6421A849" w14:textId="43B4E365" w:rsidR="00F11564" w:rsidRDefault="00F11564" w:rsidP="00B313E1">
      <w:pPr>
        <w:pStyle w:val="Heading5"/>
      </w:pPr>
      <w:r>
        <w:t xml:space="preserve">Pivotal </w:t>
      </w:r>
      <w:r w:rsidR="008C718A">
        <w:t>s</w:t>
      </w:r>
      <w:r>
        <w:t>tudy - MARIPOSA (73841937NSC3003)</w:t>
      </w:r>
    </w:p>
    <w:p w14:paraId="7A41EE14" w14:textId="7A1543A2" w:rsidR="00F11564" w:rsidRDefault="00F11564" w:rsidP="00F11564">
      <w:r>
        <w:t xml:space="preserve">MARIPOSA is an ongoing, randomised, multicentre Phase 3 study comparing the efficacy and safety of the combination of amivantamab and </w:t>
      </w:r>
      <w:r w:rsidR="006E6321">
        <w:t>lazertinib</w:t>
      </w:r>
      <w:r>
        <w:t xml:space="preserve"> versus the current SOC </w:t>
      </w:r>
      <w:r w:rsidR="006E6321">
        <w:t>osimertinib</w:t>
      </w:r>
      <w:r>
        <w:t xml:space="preserve"> monotherapy in treatment-naïve adult participants with locally advanced or metastatic NSCLC with EGFR exon 19 deletions or exon 21 L858R substitution mutations (EGFRm NCSLC).</w:t>
      </w:r>
    </w:p>
    <w:p w14:paraId="4E57753E" w14:textId="77777777" w:rsidR="00F11564" w:rsidRDefault="00F11564" w:rsidP="00B313E1">
      <w:pPr>
        <w:pStyle w:val="Heading6"/>
      </w:pPr>
      <w:r>
        <w:t>Design</w:t>
      </w:r>
    </w:p>
    <w:p w14:paraId="3F5BD1D1" w14:textId="08FEDFD7" w:rsidR="00F11564" w:rsidRDefault="00F11564" w:rsidP="00F11564">
      <w:r>
        <w:t xml:space="preserve">Phase 3, randomized study of the combination of amivantamab and </w:t>
      </w:r>
      <w:r w:rsidR="006E6321">
        <w:t>lazertinib</w:t>
      </w:r>
      <w:r>
        <w:t xml:space="preserve"> versus </w:t>
      </w:r>
      <w:r w:rsidR="006E6321">
        <w:t>osimertinib</w:t>
      </w:r>
      <w:r>
        <w:t xml:space="preserve"> and versus </w:t>
      </w:r>
      <w:r w:rsidR="006E6321">
        <w:t>lazertinib</w:t>
      </w:r>
      <w:r w:rsidR="00FC34D4">
        <w:t xml:space="preserve">. </w:t>
      </w:r>
    </w:p>
    <w:p w14:paraId="42C0DB77" w14:textId="66893D16" w:rsidR="00F167A9" w:rsidRDefault="00BD3C90" w:rsidP="00BD3C90">
      <w:pPr>
        <w:pStyle w:val="FigureTitle"/>
      </w:pPr>
      <w:r w:rsidRPr="00BD3C90">
        <w:lastRenderedPageBreak/>
        <w:t>Figure 1</w:t>
      </w:r>
      <w:r>
        <w:t>.</w:t>
      </w:r>
      <w:r w:rsidRPr="00BD3C90">
        <w:t xml:space="preserve"> Schematic Overview of MARIPOSA (73841937NSC3003)</w:t>
      </w:r>
      <w:r>
        <w:t xml:space="preserve"> </w:t>
      </w:r>
      <w:r w:rsidRPr="00BD3C90">
        <w:t>Study Design</w:t>
      </w:r>
    </w:p>
    <w:p w14:paraId="4E053489" w14:textId="4EB8E9AB" w:rsidR="00F167A9" w:rsidRDefault="00F167A9" w:rsidP="00F11564">
      <w:r>
        <w:rPr>
          <w:noProof/>
        </w:rPr>
        <w:drawing>
          <wp:inline distT="0" distB="0" distL="0" distR="0" wp14:anchorId="26E927F4" wp14:editId="644054E0">
            <wp:extent cx="5759450" cy="2547620"/>
            <wp:effectExtent l="0" t="0" r="0" b="5080"/>
            <wp:docPr id="288131925" name="Picture 1" descr="A diagram of a patient's cy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131925" name="Picture 1" descr="A diagram of a patient's cycle&#10;&#10;AI-generated content may be incorrect."/>
                    <pic:cNvPicPr/>
                  </pic:nvPicPr>
                  <pic:blipFill>
                    <a:blip r:embed="rId30"/>
                    <a:stretch>
                      <a:fillRect/>
                    </a:stretch>
                  </pic:blipFill>
                  <pic:spPr>
                    <a:xfrm>
                      <a:off x="0" y="0"/>
                      <a:ext cx="5759450" cy="2547620"/>
                    </a:xfrm>
                    <a:prstGeom prst="rect">
                      <a:avLst/>
                    </a:prstGeom>
                  </pic:spPr>
                </pic:pic>
              </a:graphicData>
            </a:graphic>
          </wp:inline>
        </w:drawing>
      </w:r>
    </w:p>
    <w:p w14:paraId="3D38190C" w14:textId="77777777" w:rsidR="002220FA" w:rsidRDefault="002220FA" w:rsidP="002220FA">
      <w:pPr>
        <w:pStyle w:val="TableDescription"/>
      </w:pPr>
      <w:r>
        <w:t xml:space="preserve">EGFR=epidermal growth factor receptor; IV=intravenous; NSCLC=non-small cell lung cancer; PFS=progression free </w:t>
      </w:r>
      <w:proofErr w:type="gramStart"/>
      <w:r>
        <w:t>survival;</w:t>
      </w:r>
      <w:proofErr w:type="gramEnd"/>
    </w:p>
    <w:p w14:paraId="2C25A71F" w14:textId="77777777" w:rsidR="002220FA" w:rsidRDefault="002220FA" w:rsidP="002220FA">
      <w:pPr>
        <w:pStyle w:val="TableDescription"/>
      </w:pPr>
      <w:r>
        <w:t>QD=once daily</w:t>
      </w:r>
    </w:p>
    <w:p w14:paraId="3B8907DC" w14:textId="3EF7543E" w:rsidR="002220FA" w:rsidRDefault="002220FA" w:rsidP="002220FA">
      <w:pPr>
        <w:pStyle w:val="TableDescription"/>
      </w:pPr>
      <w:r>
        <w:t>Arm A=</w:t>
      </w:r>
      <w:proofErr w:type="spellStart"/>
      <w:r>
        <w:t>amivantamab+</w:t>
      </w:r>
      <w:r w:rsidR="006E6321">
        <w:t>lazertinib</w:t>
      </w:r>
      <w:proofErr w:type="spellEnd"/>
      <w:r>
        <w:t xml:space="preserve"> arm; Arm B=</w:t>
      </w:r>
      <w:proofErr w:type="spellStart"/>
      <w:r w:rsidR="006E6321">
        <w:t>osimertinib</w:t>
      </w:r>
      <w:proofErr w:type="spellEnd"/>
      <w:r>
        <w:t xml:space="preserve"> arm; Arm C=</w:t>
      </w:r>
      <w:r w:rsidR="006E6321">
        <w:t>lazertinib</w:t>
      </w:r>
      <w:r>
        <w:t xml:space="preserve"> arm</w:t>
      </w:r>
    </w:p>
    <w:p w14:paraId="12FF5439" w14:textId="77777777" w:rsidR="002220FA" w:rsidRDefault="002220FA" w:rsidP="002220FA">
      <w:pPr>
        <w:pStyle w:val="TableDescription"/>
      </w:pPr>
      <w:r>
        <w:t>*Weight-based dosing: &lt;80 kg/≥80 kg</w:t>
      </w:r>
    </w:p>
    <w:p w14:paraId="6F657651" w14:textId="684EC541" w:rsidR="002220FA" w:rsidRDefault="002220FA" w:rsidP="002220FA">
      <w:pPr>
        <w:pStyle w:val="TableDescription"/>
      </w:pPr>
      <w:r>
        <w:t>†Cycle 1: Days 1/2 (split dose), 8, 15, 22; Cycles 2+: Days 1, 15</w:t>
      </w:r>
    </w:p>
    <w:p w14:paraId="4A42F7D5" w14:textId="77777777" w:rsidR="00857361" w:rsidRDefault="00857361" w:rsidP="007C7C18">
      <w:pPr>
        <w:pStyle w:val="Heading6"/>
      </w:pPr>
      <w:r>
        <w:t>Trial location</w:t>
      </w:r>
    </w:p>
    <w:p w14:paraId="2751F858" w14:textId="5DB27DC5" w:rsidR="00857361" w:rsidRDefault="00857361" w:rsidP="00857361">
      <w:r>
        <w:t>The study was conducted at 262 study centres in 27 countries: Argentina, Australia, Belgium, Brazil, Canada, China, France, Germany, Hungary, India, Israel, Italy, Japan, Malaysia, Mexico, Netherlands, Poland, Portugal, Russian Federation, South Korea, Spain, Taiwan, Thailand, Turkey, Ukraine, UK, and the US (including Puerto Rico).</w:t>
      </w:r>
    </w:p>
    <w:p w14:paraId="07523349" w14:textId="0EB11ED0" w:rsidR="00857361" w:rsidRDefault="00857361" w:rsidP="007C7C18">
      <w:pPr>
        <w:pStyle w:val="Heading6"/>
      </w:pPr>
      <w:r>
        <w:t>Diagnostic criteria</w:t>
      </w:r>
    </w:p>
    <w:p w14:paraId="54C40A10" w14:textId="65E3DD8F" w:rsidR="00E02FF1" w:rsidRPr="00E02FF1" w:rsidRDefault="00E02FF1" w:rsidP="00E02FF1">
      <w:pPr>
        <w:pStyle w:val="TableTitle"/>
      </w:pPr>
      <w:r>
        <w:t>Table 3. MARIPOSA diagnostic criteria</w:t>
      </w:r>
    </w:p>
    <w:tbl>
      <w:tblPr>
        <w:tblW w:w="9507" w:type="dxa"/>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2"/>
        <w:gridCol w:w="7835"/>
      </w:tblGrid>
      <w:tr w:rsidR="00552CE3" w14:paraId="450E568D" w14:textId="77777777" w:rsidTr="00417797">
        <w:trPr>
          <w:trHeight w:val="1511"/>
        </w:trPr>
        <w:tc>
          <w:tcPr>
            <w:tcW w:w="1672" w:type="dxa"/>
          </w:tcPr>
          <w:p w14:paraId="1509EDB5" w14:textId="77777777" w:rsidR="00552CE3" w:rsidRPr="00783216" w:rsidRDefault="00552CE3" w:rsidP="00417797">
            <w:pPr>
              <w:rPr>
                <w:b/>
                <w:bCs/>
              </w:rPr>
            </w:pPr>
            <w:r w:rsidRPr="00783216">
              <w:rPr>
                <w:b/>
                <w:bCs/>
              </w:rPr>
              <w:t>Patients</w:t>
            </w:r>
          </w:p>
        </w:tc>
        <w:tc>
          <w:tcPr>
            <w:tcW w:w="7835" w:type="dxa"/>
          </w:tcPr>
          <w:p w14:paraId="38F0EA82" w14:textId="69EEA2ED" w:rsidR="00552CE3" w:rsidRPr="00783216" w:rsidRDefault="00552CE3" w:rsidP="001169DD">
            <w:pPr>
              <w:ind w:firstLine="84"/>
              <w:rPr>
                <w:iCs/>
              </w:rPr>
            </w:pPr>
            <w:r w:rsidRPr="00783216">
              <w:rPr>
                <w:iCs/>
              </w:rPr>
              <w:t>Key</w:t>
            </w:r>
            <w:r w:rsidRPr="00783216">
              <w:rPr>
                <w:iCs/>
                <w:spacing w:val="-1"/>
              </w:rPr>
              <w:t xml:space="preserve"> </w:t>
            </w:r>
            <w:r w:rsidRPr="00783216">
              <w:rPr>
                <w:iCs/>
              </w:rPr>
              <w:t>inclusion</w:t>
            </w:r>
            <w:r w:rsidRPr="00783216">
              <w:rPr>
                <w:iCs/>
                <w:spacing w:val="-1"/>
              </w:rPr>
              <w:t xml:space="preserve"> </w:t>
            </w:r>
            <w:r w:rsidRPr="00783216">
              <w:rPr>
                <w:iCs/>
              </w:rPr>
              <w:t>criteria</w:t>
            </w:r>
            <w:r w:rsidR="00783216">
              <w:rPr>
                <w:iCs/>
              </w:rPr>
              <w:t>:</w:t>
            </w:r>
          </w:p>
          <w:p w14:paraId="0D614815" w14:textId="77777777" w:rsidR="00552CE3" w:rsidRDefault="00552CE3" w:rsidP="001169DD">
            <w:pPr>
              <w:pStyle w:val="ListBullet"/>
              <w:ind w:firstLine="84"/>
            </w:pPr>
            <w:r>
              <w:t>Histologically</w:t>
            </w:r>
            <w:r>
              <w:rPr>
                <w:spacing w:val="-4"/>
              </w:rPr>
              <w:t xml:space="preserve"> </w:t>
            </w:r>
            <w:r>
              <w:t>or</w:t>
            </w:r>
            <w:r>
              <w:rPr>
                <w:spacing w:val="-4"/>
              </w:rPr>
              <w:t xml:space="preserve"> </w:t>
            </w:r>
            <w:r>
              <w:t>cytologically confirmed</w:t>
            </w:r>
            <w:r>
              <w:rPr>
                <w:spacing w:val="-5"/>
              </w:rPr>
              <w:t xml:space="preserve"> </w:t>
            </w:r>
            <w:r>
              <w:t>locally</w:t>
            </w:r>
            <w:r>
              <w:rPr>
                <w:spacing w:val="-4"/>
              </w:rPr>
              <w:t xml:space="preserve"> </w:t>
            </w:r>
            <w:r>
              <w:t>advanced</w:t>
            </w:r>
            <w:r>
              <w:rPr>
                <w:spacing w:val="-6"/>
              </w:rPr>
              <w:t xml:space="preserve"> </w:t>
            </w:r>
            <w:r>
              <w:t>or</w:t>
            </w:r>
            <w:r>
              <w:rPr>
                <w:spacing w:val="-4"/>
              </w:rPr>
              <w:t xml:space="preserve"> </w:t>
            </w:r>
            <w:r>
              <w:t>metastatic</w:t>
            </w:r>
            <w:r>
              <w:rPr>
                <w:spacing w:val="-4"/>
              </w:rPr>
              <w:t xml:space="preserve"> </w:t>
            </w:r>
            <w:r>
              <w:t>NSCLC,</w:t>
            </w:r>
            <w:r>
              <w:rPr>
                <w:spacing w:val="-5"/>
              </w:rPr>
              <w:t xml:space="preserve"> </w:t>
            </w:r>
            <w:r>
              <w:t>not</w:t>
            </w:r>
            <w:r>
              <w:rPr>
                <w:spacing w:val="40"/>
              </w:rPr>
              <w:t xml:space="preserve"> </w:t>
            </w:r>
            <w:r>
              <w:t>amenable to curative therapy including surgical resection or chemoradiation</w:t>
            </w:r>
          </w:p>
          <w:p w14:paraId="681712B6" w14:textId="77777777" w:rsidR="00552CE3" w:rsidRDefault="00552CE3" w:rsidP="001169DD">
            <w:pPr>
              <w:pStyle w:val="ListBullet"/>
              <w:ind w:firstLine="84"/>
            </w:pPr>
            <w:r>
              <w:t>Treatment</w:t>
            </w:r>
            <w:r>
              <w:rPr>
                <w:spacing w:val="-3"/>
              </w:rPr>
              <w:t xml:space="preserve"> </w:t>
            </w:r>
            <w:r>
              <w:t>naïve</w:t>
            </w:r>
            <w:r>
              <w:rPr>
                <w:spacing w:val="-4"/>
              </w:rPr>
              <w:t xml:space="preserve"> </w:t>
            </w:r>
            <w:r>
              <w:t>for</w:t>
            </w:r>
            <w:r>
              <w:rPr>
                <w:spacing w:val="-4"/>
              </w:rPr>
              <w:t xml:space="preserve"> </w:t>
            </w:r>
            <w:r>
              <w:t>advanced</w:t>
            </w:r>
            <w:r>
              <w:rPr>
                <w:spacing w:val="-3"/>
              </w:rPr>
              <w:t xml:space="preserve"> </w:t>
            </w:r>
            <w:r>
              <w:t>disease</w:t>
            </w:r>
          </w:p>
          <w:p w14:paraId="5835BC16" w14:textId="77777777" w:rsidR="00552CE3" w:rsidRDefault="00552CE3" w:rsidP="001169DD">
            <w:pPr>
              <w:pStyle w:val="ListBullet"/>
              <w:ind w:firstLine="84"/>
            </w:pPr>
            <w:r>
              <w:t>Exon</w:t>
            </w:r>
            <w:r>
              <w:rPr>
                <w:spacing w:val="-3"/>
              </w:rPr>
              <w:t xml:space="preserve"> </w:t>
            </w:r>
            <w:r>
              <w:t>19del</w:t>
            </w:r>
            <w:r>
              <w:rPr>
                <w:spacing w:val="-3"/>
              </w:rPr>
              <w:t xml:space="preserve"> </w:t>
            </w:r>
            <w:r>
              <w:t>or</w:t>
            </w:r>
            <w:r>
              <w:rPr>
                <w:spacing w:val="-5"/>
              </w:rPr>
              <w:t xml:space="preserve"> </w:t>
            </w:r>
            <w:r>
              <w:t>Exon21 L858R</w:t>
            </w:r>
            <w:r>
              <w:rPr>
                <w:spacing w:val="1"/>
              </w:rPr>
              <w:t xml:space="preserve"> </w:t>
            </w:r>
            <w:r>
              <w:t>EGFR mutations</w:t>
            </w:r>
          </w:p>
          <w:p w14:paraId="207D8E62" w14:textId="77777777" w:rsidR="00552CE3" w:rsidRDefault="00552CE3" w:rsidP="001169DD">
            <w:pPr>
              <w:pStyle w:val="ListBullet"/>
              <w:ind w:firstLine="84"/>
            </w:pPr>
            <w:r>
              <w:t>18+</w:t>
            </w:r>
            <w:r>
              <w:rPr>
                <w:spacing w:val="-1"/>
              </w:rPr>
              <w:t xml:space="preserve"> </w:t>
            </w:r>
            <w:r>
              <w:t>years</w:t>
            </w:r>
          </w:p>
          <w:p w14:paraId="0BCBF8C8" w14:textId="16E106F1" w:rsidR="00552CE3" w:rsidRDefault="00552CE3" w:rsidP="001169DD">
            <w:pPr>
              <w:pStyle w:val="ListBullet"/>
              <w:ind w:firstLine="84"/>
            </w:pPr>
            <w:r>
              <w:t>ECOG</w:t>
            </w:r>
            <w:r w:rsidR="00DF25B7">
              <w:t xml:space="preserve"> (</w:t>
            </w:r>
            <w:r w:rsidR="00DF25B7" w:rsidRPr="00DF25B7">
              <w:t>Eastern Cooperative Oncology Group</w:t>
            </w:r>
            <w:r w:rsidR="00DF25B7">
              <w:t>)</w:t>
            </w:r>
            <w:r w:rsidR="001850B7">
              <w:t xml:space="preserve"> score</w:t>
            </w:r>
            <w:r>
              <w:t>: 0</w:t>
            </w:r>
            <w:r>
              <w:rPr>
                <w:spacing w:val="-1"/>
              </w:rPr>
              <w:t xml:space="preserve"> </w:t>
            </w:r>
            <w:r>
              <w:t>or</w:t>
            </w:r>
            <w:r>
              <w:rPr>
                <w:spacing w:val="-1"/>
              </w:rPr>
              <w:t xml:space="preserve"> </w:t>
            </w:r>
            <w:r>
              <w:rPr>
                <w:spacing w:val="-10"/>
              </w:rPr>
              <w:t>1</w:t>
            </w:r>
          </w:p>
          <w:p w14:paraId="2B13C675" w14:textId="77777777" w:rsidR="00552CE3" w:rsidRDefault="00552CE3" w:rsidP="001169DD">
            <w:pPr>
              <w:pStyle w:val="ListBullet"/>
              <w:ind w:firstLine="84"/>
            </w:pPr>
            <w:r>
              <w:t>Measurable disease</w:t>
            </w:r>
            <w:r>
              <w:rPr>
                <w:spacing w:val="-4"/>
              </w:rPr>
              <w:t xml:space="preserve"> </w:t>
            </w:r>
            <w:r>
              <w:t>by</w:t>
            </w:r>
            <w:r>
              <w:rPr>
                <w:spacing w:val="-4"/>
              </w:rPr>
              <w:t xml:space="preserve"> </w:t>
            </w:r>
            <w:r>
              <w:t>RECIST</w:t>
            </w:r>
            <w:r>
              <w:rPr>
                <w:spacing w:val="-3"/>
              </w:rPr>
              <w:t xml:space="preserve"> </w:t>
            </w:r>
            <w:r>
              <w:rPr>
                <w:spacing w:val="-5"/>
              </w:rPr>
              <w:t>1.1</w:t>
            </w:r>
          </w:p>
          <w:p w14:paraId="30B13A04" w14:textId="77777777" w:rsidR="00552CE3" w:rsidRDefault="00552CE3" w:rsidP="001169DD">
            <w:pPr>
              <w:pStyle w:val="ListBullet"/>
              <w:ind w:firstLine="84"/>
            </w:pPr>
            <w:r>
              <w:t>Adequate</w:t>
            </w:r>
            <w:r>
              <w:rPr>
                <w:spacing w:val="-7"/>
              </w:rPr>
              <w:t xml:space="preserve"> </w:t>
            </w:r>
            <w:r>
              <w:t>organ/bone</w:t>
            </w:r>
            <w:r>
              <w:rPr>
                <w:spacing w:val="-6"/>
              </w:rPr>
              <w:t xml:space="preserve"> </w:t>
            </w:r>
            <w:r>
              <w:t>marrow</w:t>
            </w:r>
            <w:r>
              <w:rPr>
                <w:spacing w:val="-5"/>
              </w:rPr>
              <w:t xml:space="preserve"> </w:t>
            </w:r>
            <w:r>
              <w:t>function</w:t>
            </w:r>
          </w:p>
          <w:p w14:paraId="1A0B782F" w14:textId="505839C5" w:rsidR="00552CE3" w:rsidRDefault="00552CE3" w:rsidP="001169DD">
            <w:pPr>
              <w:pStyle w:val="ListBullet"/>
              <w:ind w:firstLine="84"/>
            </w:pPr>
            <w:r>
              <w:t>Patients</w:t>
            </w:r>
            <w:r>
              <w:rPr>
                <w:spacing w:val="-5"/>
              </w:rPr>
              <w:t xml:space="preserve"> </w:t>
            </w:r>
            <w:r>
              <w:t>with</w:t>
            </w:r>
            <w:r>
              <w:rPr>
                <w:spacing w:val="-5"/>
              </w:rPr>
              <w:t xml:space="preserve"> </w:t>
            </w:r>
            <w:r>
              <w:t>asymptomatic</w:t>
            </w:r>
            <w:r>
              <w:rPr>
                <w:spacing w:val="-4"/>
              </w:rPr>
              <w:t xml:space="preserve"> </w:t>
            </w:r>
            <w:r>
              <w:t>or</w:t>
            </w:r>
            <w:r>
              <w:rPr>
                <w:spacing w:val="-8"/>
              </w:rPr>
              <w:t xml:space="preserve"> </w:t>
            </w:r>
            <w:r>
              <w:t>previously</w:t>
            </w:r>
            <w:r>
              <w:rPr>
                <w:spacing w:val="-4"/>
              </w:rPr>
              <w:t xml:space="preserve"> </w:t>
            </w:r>
            <w:r>
              <w:t>treated</w:t>
            </w:r>
            <w:r>
              <w:rPr>
                <w:spacing w:val="-6"/>
              </w:rPr>
              <w:t xml:space="preserve"> </w:t>
            </w:r>
            <w:r>
              <w:t>and</w:t>
            </w:r>
            <w:r>
              <w:rPr>
                <w:spacing w:val="-5"/>
              </w:rPr>
              <w:t xml:space="preserve"> </w:t>
            </w:r>
            <w:r>
              <w:t>stable</w:t>
            </w:r>
            <w:r>
              <w:rPr>
                <w:spacing w:val="-4"/>
              </w:rPr>
              <w:t xml:space="preserve"> </w:t>
            </w:r>
            <w:r>
              <w:t>intracranial</w:t>
            </w:r>
            <w:r>
              <w:rPr>
                <w:spacing w:val="-5"/>
              </w:rPr>
              <w:t xml:space="preserve"> </w:t>
            </w:r>
            <w:r>
              <w:t>metastases</w:t>
            </w:r>
            <w:r w:rsidR="001850B7">
              <w:rPr>
                <w:spacing w:val="40"/>
              </w:rPr>
              <w:t xml:space="preserve"> </w:t>
            </w:r>
            <w:r>
              <w:t>were eligible to enrol</w:t>
            </w:r>
          </w:p>
        </w:tc>
      </w:tr>
      <w:tr w:rsidR="00552CE3" w14:paraId="1F1E0AF9" w14:textId="77777777" w:rsidTr="00417797">
        <w:trPr>
          <w:trHeight w:val="2880"/>
        </w:trPr>
        <w:tc>
          <w:tcPr>
            <w:tcW w:w="1672" w:type="dxa"/>
          </w:tcPr>
          <w:p w14:paraId="521B30E5" w14:textId="77777777" w:rsidR="00552CE3" w:rsidRPr="00783216" w:rsidRDefault="00552CE3" w:rsidP="00417797">
            <w:pPr>
              <w:rPr>
                <w:b/>
                <w:bCs/>
              </w:rPr>
            </w:pPr>
            <w:r w:rsidRPr="00783216">
              <w:rPr>
                <w:b/>
                <w:bCs/>
              </w:rPr>
              <w:lastRenderedPageBreak/>
              <w:t>Intervention</w:t>
            </w:r>
          </w:p>
        </w:tc>
        <w:tc>
          <w:tcPr>
            <w:tcW w:w="7835" w:type="dxa"/>
          </w:tcPr>
          <w:p w14:paraId="782F9A94" w14:textId="77777777" w:rsidR="00552CE3" w:rsidRDefault="00552CE3" w:rsidP="001169DD">
            <w:pPr>
              <w:ind w:firstLine="84"/>
            </w:pPr>
            <w:r>
              <w:t>Randomisation</w:t>
            </w:r>
            <w:r>
              <w:rPr>
                <w:spacing w:val="-7"/>
              </w:rPr>
              <w:t xml:space="preserve"> </w:t>
            </w:r>
            <w:r>
              <w:rPr>
                <w:spacing w:val="-4"/>
              </w:rPr>
              <w:t>2:2:1</w:t>
            </w:r>
          </w:p>
          <w:p w14:paraId="554A145A" w14:textId="77777777" w:rsidR="00552CE3" w:rsidRDefault="00552CE3" w:rsidP="001169DD">
            <w:pPr>
              <w:pStyle w:val="ListBullet"/>
              <w:ind w:firstLine="84"/>
            </w:pPr>
            <w:r>
              <w:t>Arm</w:t>
            </w:r>
            <w:r>
              <w:rPr>
                <w:spacing w:val="-4"/>
              </w:rPr>
              <w:t xml:space="preserve"> </w:t>
            </w:r>
            <w:r>
              <w:t>A (n= 429): Open-Label</w:t>
            </w:r>
            <w:r>
              <w:rPr>
                <w:spacing w:val="-5"/>
              </w:rPr>
              <w:t xml:space="preserve"> </w:t>
            </w:r>
            <w:r>
              <w:t>combination</w:t>
            </w:r>
            <w:r>
              <w:rPr>
                <w:spacing w:val="-1"/>
              </w:rPr>
              <w:t xml:space="preserve"> </w:t>
            </w:r>
            <w:r>
              <w:t>therapy</w:t>
            </w:r>
          </w:p>
          <w:p w14:paraId="15FBB2D0" w14:textId="540BED39" w:rsidR="00552CE3" w:rsidRDefault="00552CE3" w:rsidP="001169DD">
            <w:pPr>
              <w:pStyle w:val="ListBullet2"/>
              <w:ind w:firstLine="84"/>
            </w:pPr>
            <w:r>
              <w:t>Amivantamab</w:t>
            </w:r>
            <w:r>
              <w:rPr>
                <w:spacing w:val="-5"/>
              </w:rPr>
              <w:t xml:space="preserve"> </w:t>
            </w:r>
            <w:r>
              <w:t>1050mg</w:t>
            </w:r>
            <w:r>
              <w:rPr>
                <w:spacing w:val="-4"/>
              </w:rPr>
              <w:t xml:space="preserve"> </w:t>
            </w:r>
            <w:r>
              <w:t>(&lt;80kg)/1400mg</w:t>
            </w:r>
            <w:r>
              <w:rPr>
                <w:spacing w:val="-3"/>
              </w:rPr>
              <w:t xml:space="preserve"> </w:t>
            </w:r>
            <w:r>
              <w:t>(≥80kg),</w:t>
            </w:r>
            <w:r>
              <w:rPr>
                <w:spacing w:val="-4"/>
              </w:rPr>
              <w:t xml:space="preserve"> </w:t>
            </w:r>
            <w:r w:rsidR="001850B7">
              <w:t xml:space="preserve">intravenous </w:t>
            </w:r>
            <w:r>
              <w:t>once</w:t>
            </w:r>
            <w:r>
              <w:rPr>
                <w:spacing w:val="-3"/>
              </w:rPr>
              <w:t xml:space="preserve"> </w:t>
            </w:r>
            <w:r>
              <w:t>weekly</w:t>
            </w:r>
            <w:r>
              <w:rPr>
                <w:spacing w:val="-3"/>
              </w:rPr>
              <w:t xml:space="preserve"> </w:t>
            </w:r>
            <w:r>
              <w:t>for</w:t>
            </w:r>
            <w:r>
              <w:rPr>
                <w:spacing w:val="-3"/>
              </w:rPr>
              <w:t xml:space="preserve"> </w:t>
            </w:r>
            <w:r>
              <w:t>4</w:t>
            </w:r>
            <w:r>
              <w:rPr>
                <w:spacing w:val="-5"/>
              </w:rPr>
              <w:t xml:space="preserve"> </w:t>
            </w:r>
            <w:r>
              <w:t>weeks,</w:t>
            </w:r>
            <w:r>
              <w:rPr>
                <w:spacing w:val="-4"/>
              </w:rPr>
              <w:t xml:space="preserve"> </w:t>
            </w:r>
            <w:r>
              <w:t>then</w:t>
            </w:r>
            <w:r>
              <w:rPr>
                <w:spacing w:val="-1"/>
              </w:rPr>
              <w:t xml:space="preserve"> </w:t>
            </w:r>
            <w:r w:rsidR="001850B7" w:rsidRPr="001850B7">
              <w:t xml:space="preserve">intravenous </w:t>
            </w:r>
            <w:r>
              <w:t>D1&amp;15 thereafter starting at week 5</w:t>
            </w:r>
          </w:p>
          <w:p w14:paraId="7407A189" w14:textId="38937E09" w:rsidR="00552CE3" w:rsidRDefault="006E6321" w:rsidP="001169DD">
            <w:pPr>
              <w:pStyle w:val="ListBullet2"/>
              <w:ind w:firstLine="84"/>
            </w:pPr>
            <w:r>
              <w:t>lazertinib</w:t>
            </w:r>
            <w:r w:rsidR="00552CE3">
              <w:rPr>
                <w:spacing w:val="-3"/>
              </w:rPr>
              <w:t xml:space="preserve"> </w:t>
            </w:r>
            <w:r w:rsidR="00552CE3">
              <w:t>240mg</w:t>
            </w:r>
            <w:r w:rsidR="00552CE3">
              <w:rPr>
                <w:spacing w:val="-4"/>
              </w:rPr>
              <w:t xml:space="preserve"> </w:t>
            </w:r>
            <w:r w:rsidR="00552CE3">
              <w:t>orally daily</w:t>
            </w:r>
          </w:p>
          <w:p w14:paraId="63CD0C03" w14:textId="58E243E8" w:rsidR="00552CE3" w:rsidRDefault="00552CE3" w:rsidP="001169DD">
            <w:pPr>
              <w:pStyle w:val="ListBullet"/>
              <w:ind w:firstLine="84"/>
            </w:pPr>
            <w:r>
              <w:t>Arm</w:t>
            </w:r>
            <w:r>
              <w:rPr>
                <w:spacing w:val="-5"/>
              </w:rPr>
              <w:t xml:space="preserve"> </w:t>
            </w:r>
            <w:r>
              <w:t>C</w:t>
            </w:r>
            <w:r>
              <w:rPr>
                <w:spacing w:val="-4"/>
              </w:rPr>
              <w:t xml:space="preserve"> </w:t>
            </w:r>
            <w:r>
              <w:t>(n=216):</w:t>
            </w:r>
            <w:r>
              <w:rPr>
                <w:spacing w:val="-3"/>
              </w:rPr>
              <w:t xml:space="preserve"> </w:t>
            </w:r>
            <w:r w:rsidR="006E6321">
              <w:t>lazertinib</w:t>
            </w:r>
            <w:r>
              <w:rPr>
                <w:spacing w:val="-3"/>
              </w:rPr>
              <w:t xml:space="preserve"> </w:t>
            </w:r>
            <w:r>
              <w:t>Monotherapy</w:t>
            </w:r>
            <w:r>
              <w:rPr>
                <w:spacing w:val="-3"/>
              </w:rPr>
              <w:t xml:space="preserve"> </w:t>
            </w:r>
            <w:r>
              <w:t>(to</w:t>
            </w:r>
            <w:r>
              <w:rPr>
                <w:spacing w:val="-3"/>
              </w:rPr>
              <w:t xml:space="preserve"> </w:t>
            </w:r>
            <w:r>
              <w:t>evaluate</w:t>
            </w:r>
            <w:r>
              <w:rPr>
                <w:spacing w:val="-3"/>
              </w:rPr>
              <w:t xml:space="preserve"> </w:t>
            </w:r>
            <w:r>
              <w:t>the</w:t>
            </w:r>
            <w:r>
              <w:rPr>
                <w:spacing w:val="-3"/>
              </w:rPr>
              <w:t xml:space="preserve"> </w:t>
            </w:r>
            <w:r>
              <w:t>contribution</w:t>
            </w:r>
            <w:r>
              <w:rPr>
                <w:spacing w:val="-3"/>
              </w:rPr>
              <w:t xml:space="preserve"> </w:t>
            </w:r>
            <w:r>
              <w:t>of</w:t>
            </w:r>
            <w:r>
              <w:rPr>
                <w:spacing w:val="-3"/>
              </w:rPr>
              <w:t xml:space="preserve"> </w:t>
            </w:r>
            <w:r>
              <w:t>the</w:t>
            </w:r>
            <w:r>
              <w:rPr>
                <w:spacing w:val="-3"/>
              </w:rPr>
              <w:t xml:space="preserve"> </w:t>
            </w:r>
            <w:r>
              <w:t>components</w:t>
            </w:r>
            <w:r>
              <w:rPr>
                <w:spacing w:val="-4"/>
              </w:rPr>
              <w:t xml:space="preserve"> </w:t>
            </w:r>
            <w:r>
              <w:t>in</w:t>
            </w:r>
            <w:r>
              <w:rPr>
                <w:spacing w:val="-5"/>
              </w:rPr>
              <w:t xml:space="preserve"> </w:t>
            </w:r>
            <w:r>
              <w:t>the</w:t>
            </w:r>
            <w:r>
              <w:rPr>
                <w:spacing w:val="40"/>
              </w:rPr>
              <w:t xml:space="preserve"> </w:t>
            </w:r>
            <w:r>
              <w:t>combination treatment arm)</w:t>
            </w:r>
          </w:p>
          <w:p w14:paraId="4C52CA0C" w14:textId="49D0BBB5" w:rsidR="00552CE3" w:rsidRDefault="006E6321" w:rsidP="001169DD">
            <w:pPr>
              <w:pStyle w:val="ListBullet2"/>
              <w:ind w:firstLine="84"/>
            </w:pPr>
            <w:r>
              <w:t>lazertinib</w:t>
            </w:r>
            <w:r w:rsidR="00552CE3">
              <w:rPr>
                <w:spacing w:val="-5"/>
              </w:rPr>
              <w:t xml:space="preserve"> </w:t>
            </w:r>
            <w:r w:rsidR="00552CE3">
              <w:t>240mg</w:t>
            </w:r>
            <w:r w:rsidR="00552CE3">
              <w:rPr>
                <w:spacing w:val="-4"/>
              </w:rPr>
              <w:t xml:space="preserve"> </w:t>
            </w:r>
            <w:r w:rsidR="00552CE3">
              <w:t>orally</w:t>
            </w:r>
            <w:r w:rsidR="00552CE3">
              <w:rPr>
                <w:spacing w:val="-3"/>
              </w:rPr>
              <w:t xml:space="preserve"> </w:t>
            </w:r>
            <w:r w:rsidR="00552CE3">
              <w:t>daily</w:t>
            </w:r>
            <w:r w:rsidR="00552CE3">
              <w:rPr>
                <w:spacing w:val="-3"/>
              </w:rPr>
              <w:t xml:space="preserve"> </w:t>
            </w:r>
            <w:r w:rsidR="00552CE3">
              <w:t>(+ matching</w:t>
            </w:r>
            <w:r w:rsidR="00552CE3">
              <w:rPr>
                <w:spacing w:val="-4"/>
              </w:rPr>
              <w:t xml:space="preserve"> </w:t>
            </w:r>
            <w:r w:rsidR="00552CE3">
              <w:t>placebo</w:t>
            </w:r>
            <w:r w:rsidR="00552CE3">
              <w:rPr>
                <w:spacing w:val="-3"/>
              </w:rPr>
              <w:t xml:space="preserve"> </w:t>
            </w:r>
            <w:r w:rsidR="00552CE3">
              <w:t>for</w:t>
            </w:r>
            <w:r w:rsidR="00552CE3">
              <w:rPr>
                <w:spacing w:val="-3"/>
              </w:rPr>
              <w:t xml:space="preserve"> </w:t>
            </w:r>
            <w:r>
              <w:t>osimertinib</w:t>
            </w:r>
            <w:r w:rsidR="00552CE3">
              <w:t xml:space="preserve"> daily)</w:t>
            </w:r>
          </w:p>
        </w:tc>
      </w:tr>
      <w:tr w:rsidR="00783216" w14:paraId="083BD41A" w14:textId="77777777" w:rsidTr="000E502C">
        <w:trPr>
          <w:trHeight w:val="968"/>
        </w:trPr>
        <w:tc>
          <w:tcPr>
            <w:tcW w:w="1672" w:type="dxa"/>
          </w:tcPr>
          <w:p w14:paraId="5E97B96A" w14:textId="77777777" w:rsidR="00783216" w:rsidRPr="00783216" w:rsidRDefault="00783216" w:rsidP="00417797">
            <w:pPr>
              <w:rPr>
                <w:b/>
                <w:bCs/>
              </w:rPr>
            </w:pPr>
            <w:r w:rsidRPr="00783216">
              <w:rPr>
                <w:b/>
                <w:bCs/>
              </w:rPr>
              <w:t>Comparator</w:t>
            </w:r>
          </w:p>
        </w:tc>
        <w:tc>
          <w:tcPr>
            <w:tcW w:w="7835" w:type="dxa"/>
          </w:tcPr>
          <w:p w14:paraId="73801BF9" w14:textId="7EBB7C6B" w:rsidR="00783216" w:rsidRDefault="00783216" w:rsidP="001169DD">
            <w:pPr>
              <w:ind w:firstLine="84"/>
            </w:pPr>
            <w:r>
              <w:t>Arm</w:t>
            </w:r>
            <w:r>
              <w:rPr>
                <w:spacing w:val="-4"/>
              </w:rPr>
              <w:t xml:space="preserve"> </w:t>
            </w:r>
            <w:r>
              <w:t xml:space="preserve">B (n=429): </w:t>
            </w:r>
            <w:r w:rsidR="006E6321">
              <w:t>osimertinib</w:t>
            </w:r>
            <w:r>
              <w:rPr>
                <w:spacing w:val="-4"/>
              </w:rPr>
              <w:t xml:space="preserve"> </w:t>
            </w:r>
            <w:r>
              <w:t>Monotherapy</w:t>
            </w:r>
          </w:p>
          <w:p w14:paraId="7DB0F1DE" w14:textId="31F1DFD3" w:rsidR="00783216" w:rsidRDefault="006E6321" w:rsidP="001169DD">
            <w:pPr>
              <w:pStyle w:val="ListBullet"/>
              <w:ind w:firstLine="84"/>
            </w:pPr>
            <w:r>
              <w:t>osimertinib</w:t>
            </w:r>
            <w:r w:rsidR="00783216" w:rsidRPr="00417797">
              <w:t xml:space="preserve"> </w:t>
            </w:r>
            <w:r w:rsidR="00783216">
              <w:t>80mg</w:t>
            </w:r>
            <w:r w:rsidR="00783216" w:rsidRPr="00417797">
              <w:t xml:space="preserve"> </w:t>
            </w:r>
            <w:r w:rsidR="00783216">
              <w:t>orally</w:t>
            </w:r>
            <w:r w:rsidR="00783216" w:rsidRPr="00417797">
              <w:t xml:space="preserve"> </w:t>
            </w:r>
            <w:r w:rsidR="00783216">
              <w:t>daily</w:t>
            </w:r>
            <w:r w:rsidR="00783216" w:rsidRPr="00417797">
              <w:t xml:space="preserve"> </w:t>
            </w:r>
            <w:r w:rsidR="00783216">
              <w:t>(+</w:t>
            </w:r>
            <w:r w:rsidR="00783216" w:rsidRPr="00417797">
              <w:t xml:space="preserve"> </w:t>
            </w:r>
            <w:r w:rsidR="00783216">
              <w:t>matching</w:t>
            </w:r>
            <w:r w:rsidR="00783216" w:rsidRPr="00417797">
              <w:t xml:space="preserve"> </w:t>
            </w:r>
            <w:r w:rsidR="00783216">
              <w:t>placebo</w:t>
            </w:r>
            <w:r w:rsidR="00783216" w:rsidRPr="00417797">
              <w:t xml:space="preserve"> </w:t>
            </w:r>
            <w:r w:rsidR="00783216">
              <w:t>for</w:t>
            </w:r>
            <w:r w:rsidR="00783216" w:rsidRPr="00417797">
              <w:t xml:space="preserve"> </w:t>
            </w:r>
            <w:r>
              <w:t>lazertinib</w:t>
            </w:r>
            <w:r w:rsidR="00783216" w:rsidRPr="00417797">
              <w:t xml:space="preserve"> daily)</w:t>
            </w:r>
          </w:p>
        </w:tc>
      </w:tr>
      <w:tr w:rsidR="00417797" w14:paraId="4A60A1F0" w14:textId="77777777" w:rsidTr="00417797">
        <w:trPr>
          <w:trHeight w:val="479"/>
        </w:trPr>
        <w:tc>
          <w:tcPr>
            <w:tcW w:w="1672" w:type="dxa"/>
            <w:tcBorders>
              <w:top w:val="single" w:sz="4" w:space="0" w:color="000000"/>
              <w:left w:val="single" w:sz="4" w:space="0" w:color="000000"/>
              <w:bottom w:val="single" w:sz="4" w:space="0" w:color="000000"/>
              <w:right w:val="single" w:sz="4" w:space="0" w:color="000000"/>
            </w:tcBorders>
          </w:tcPr>
          <w:p w14:paraId="09290CA2" w14:textId="77777777" w:rsidR="00417797" w:rsidRPr="00783216" w:rsidRDefault="00417797" w:rsidP="00417797">
            <w:pPr>
              <w:rPr>
                <w:b/>
                <w:bCs/>
              </w:rPr>
            </w:pPr>
            <w:r w:rsidRPr="00783216">
              <w:rPr>
                <w:b/>
                <w:bCs/>
              </w:rPr>
              <w:t>Endpoints</w:t>
            </w:r>
          </w:p>
        </w:tc>
        <w:tc>
          <w:tcPr>
            <w:tcW w:w="7835" w:type="dxa"/>
            <w:tcBorders>
              <w:top w:val="single" w:sz="4" w:space="0" w:color="000000"/>
              <w:left w:val="single" w:sz="4" w:space="0" w:color="000000"/>
              <w:bottom w:val="single" w:sz="4" w:space="0" w:color="000000"/>
              <w:right w:val="single" w:sz="4" w:space="0" w:color="000000"/>
            </w:tcBorders>
          </w:tcPr>
          <w:p w14:paraId="06D65F8C" w14:textId="77777777" w:rsidR="00417797" w:rsidRPr="00417797" w:rsidRDefault="00417797" w:rsidP="001169DD">
            <w:pPr>
              <w:pStyle w:val="ListBullet"/>
              <w:ind w:firstLine="84"/>
            </w:pPr>
            <w:r w:rsidRPr="00417797">
              <w:t>Primary endpoint (Arm A vs Arm B)</w:t>
            </w:r>
          </w:p>
          <w:p w14:paraId="691C3647" w14:textId="72C2B369" w:rsidR="00417797" w:rsidRDefault="00417797" w:rsidP="001169DD">
            <w:pPr>
              <w:pStyle w:val="ListBullet2"/>
              <w:ind w:firstLine="84"/>
            </w:pPr>
            <w:r>
              <w:t>PFS</w:t>
            </w:r>
            <w:r w:rsidRPr="00417797">
              <w:t xml:space="preserve"> </w:t>
            </w:r>
            <w:r>
              <w:t>by</w:t>
            </w:r>
            <w:r w:rsidRPr="00417797">
              <w:t xml:space="preserve"> BICR</w:t>
            </w:r>
            <w:r w:rsidR="003B1CB1">
              <w:t xml:space="preserve"> (</w:t>
            </w:r>
            <w:r w:rsidR="003B1CB1" w:rsidRPr="003B1CB1">
              <w:t>blinded independent central review</w:t>
            </w:r>
            <w:r w:rsidR="003B1CB1">
              <w:t>)</w:t>
            </w:r>
          </w:p>
          <w:p w14:paraId="7A5B3960" w14:textId="24476A02" w:rsidR="00417797" w:rsidRPr="00417797" w:rsidRDefault="00417797" w:rsidP="001169DD">
            <w:pPr>
              <w:pStyle w:val="ListBullet"/>
              <w:ind w:firstLine="84"/>
            </w:pPr>
            <w:r w:rsidRPr="00417797">
              <w:t xml:space="preserve">Key </w:t>
            </w:r>
            <w:r w:rsidR="007C7C18">
              <w:t>s</w:t>
            </w:r>
            <w:r w:rsidRPr="00417797">
              <w:t>econdary endpoints</w:t>
            </w:r>
          </w:p>
          <w:p w14:paraId="18B5142F" w14:textId="5A63F2FD" w:rsidR="00417797" w:rsidRDefault="00417797" w:rsidP="001169DD">
            <w:pPr>
              <w:pStyle w:val="ListBullet2"/>
              <w:ind w:firstLine="84"/>
            </w:pPr>
            <w:r w:rsidRPr="00417797">
              <w:t>OS</w:t>
            </w:r>
            <w:r w:rsidR="00652680">
              <w:t xml:space="preserve"> (overall survival)</w:t>
            </w:r>
          </w:p>
          <w:p w14:paraId="75D40FBC" w14:textId="47B7CF5E" w:rsidR="00417797" w:rsidRDefault="00417797" w:rsidP="001169DD">
            <w:pPr>
              <w:pStyle w:val="ListBullet2"/>
              <w:ind w:firstLine="84"/>
            </w:pPr>
            <w:r w:rsidRPr="00417797">
              <w:t>ORR</w:t>
            </w:r>
            <w:r w:rsidR="00BC0920">
              <w:t xml:space="preserve"> (</w:t>
            </w:r>
            <w:r w:rsidR="00BC0920" w:rsidRPr="00BC0920">
              <w:t>objective response rate</w:t>
            </w:r>
            <w:r w:rsidR="00BC0920">
              <w:t>)</w:t>
            </w:r>
          </w:p>
          <w:p w14:paraId="636C9622" w14:textId="52C2830B" w:rsidR="00417797" w:rsidRDefault="00417797" w:rsidP="001169DD">
            <w:pPr>
              <w:pStyle w:val="ListBullet2"/>
              <w:ind w:firstLine="84"/>
            </w:pPr>
            <w:r w:rsidRPr="00417797">
              <w:t>DoR</w:t>
            </w:r>
            <w:r w:rsidR="00160195">
              <w:t xml:space="preserve"> (</w:t>
            </w:r>
            <w:r w:rsidR="00160195" w:rsidRPr="00160195">
              <w:t>duration of response</w:t>
            </w:r>
            <w:r w:rsidR="00160195">
              <w:t>)</w:t>
            </w:r>
          </w:p>
          <w:p w14:paraId="57C8737C" w14:textId="1C8E6BCA" w:rsidR="00417797" w:rsidRDefault="00417797" w:rsidP="001169DD">
            <w:pPr>
              <w:pStyle w:val="ListBullet2"/>
              <w:ind w:firstLine="84"/>
            </w:pPr>
            <w:r w:rsidRPr="00417797">
              <w:t>PFS2</w:t>
            </w:r>
            <w:r w:rsidR="007A5F27">
              <w:t xml:space="preserve"> (</w:t>
            </w:r>
            <w:r w:rsidR="007A5F27" w:rsidRPr="007A5F27">
              <w:t>progression-free survival after first subsequent therapy</w:t>
            </w:r>
            <w:r w:rsidR="007A5F27">
              <w:t>)</w:t>
            </w:r>
          </w:p>
          <w:p w14:paraId="400353C8" w14:textId="5C6DE4B6" w:rsidR="00417797" w:rsidRDefault="00417797" w:rsidP="001169DD">
            <w:pPr>
              <w:pStyle w:val="ListBullet2"/>
              <w:ind w:firstLine="84"/>
            </w:pPr>
            <w:r w:rsidRPr="00417797">
              <w:t>TTSP</w:t>
            </w:r>
            <w:r w:rsidR="001C1AA5">
              <w:t xml:space="preserve"> (</w:t>
            </w:r>
            <w:r w:rsidR="001C1AA5" w:rsidRPr="001C1AA5">
              <w:t>time to symptomatic progression</w:t>
            </w:r>
            <w:r w:rsidR="001C1AA5">
              <w:t>)</w:t>
            </w:r>
          </w:p>
          <w:p w14:paraId="5AB20389" w14:textId="77777777" w:rsidR="00417797" w:rsidRDefault="00417797" w:rsidP="001169DD">
            <w:pPr>
              <w:pStyle w:val="ListBullet2"/>
              <w:ind w:firstLine="84"/>
            </w:pPr>
            <w:r>
              <w:t>Intracranial</w:t>
            </w:r>
            <w:r w:rsidRPr="00417797">
              <w:t xml:space="preserve"> PFS</w:t>
            </w:r>
          </w:p>
          <w:p w14:paraId="7A3E7D7A" w14:textId="77777777" w:rsidR="00417797" w:rsidRDefault="00417797" w:rsidP="001169DD">
            <w:pPr>
              <w:pStyle w:val="ListBullet2"/>
              <w:ind w:firstLine="84"/>
            </w:pPr>
            <w:r w:rsidRPr="00417797">
              <w:t>Safety</w:t>
            </w:r>
          </w:p>
        </w:tc>
      </w:tr>
    </w:tbl>
    <w:p w14:paraId="2DA961C9" w14:textId="2A3FA6E5" w:rsidR="00552CE3" w:rsidRDefault="00783216" w:rsidP="00783216">
      <w:pPr>
        <w:pStyle w:val="TableDescription"/>
      </w:pPr>
      <w:r w:rsidRPr="00783216">
        <w:t>*Stratified by EGFR mutation (Exon 19del/L858R), Asian Race (Y/N), Brain metastases (Y/N)</w:t>
      </w:r>
    </w:p>
    <w:p w14:paraId="07B35FDD" w14:textId="77777777" w:rsidR="004A1046" w:rsidRDefault="004A1046" w:rsidP="007C7C18">
      <w:pPr>
        <w:pStyle w:val="Heading6"/>
      </w:pPr>
      <w:r>
        <w:t>Patient disposition</w:t>
      </w:r>
    </w:p>
    <w:p w14:paraId="07714C86" w14:textId="6E67B3E9" w:rsidR="004A1046" w:rsidRDefault="004A1046" w:rsidP="004A1046">
      <w:r>
        <w:t xml:space="preserve">1074 participants randomised (429 to combination, 429 to </w:t>
      </w:r>
      <w:r w:rsidR="006E6321">
        <w:t>osimertinib</w:t>
      </w:r>
      <w:r>
        <w:t xml:space="preserve">, 216 to </w:t>
      </w:r>
      <w:r w:rsidR="006E6321">
        <w:t>lazertinib</w:t>
      </w:r>
      <w:r>
        <w:t>)</w:t>
      </w:r>
      <w:r w:rsidR="00C057AF">
        <w:t>,</w:t>
      </w:r>
      <w:r>
        <w:t xml:space="preserve"> 1062 randomised participants received at least 1 dose of study treatment and were included in the safety population.</w:t>
      </w:r>
    </w:p>
    <w:p w14:paraId="33FB01D1" w14:textId="3618D997" w:rsidR="002220FA" w:rsidRDefault="004A1046" w:rsidP="004A1046">
      <w:r>
        <w:t xml:space="preserve">At the time of the </w:t>
      </w:r>
      <w:r w:rsidR="0063543F">
        <w:t>clinical cutoff</w:t>
      </w:r>
      <w:r>
        <w:t xml:space="preserve"> (11 August 2023), 45.4%, 50.2%, and 50.2% of participants randomized to amivantamab</w:t>
      </w:r>
      <w:r w:rsidR="00983AA4">
        <w:t xml:space="preserve"> </w:t>
      </w:r>
      <w:r>
        <w:t>+</w:t>
      </w:r>
      <w:r w:rsidR="00983AA4">
        <w:t xml:space="preserve"> </w:t>
      </w:r>
      <w:r w:rsidR="006E6321">
        <w:t>lazertinib</w:t>
      </w:r>
      <w:r>
        <w:t xml:space="preserve">, </w:t>
      </w:r>
      <w:r w:rsidR="006E6321">
        <w:t>osimertinib</w:t>
      </w:r>
      <w:r>
        <w:t xml:space="preserve">, and </w:t>
      </w:r>
      <w:r w:rsidR="006E6321">
        <w:t>lazertinib</w:t>
      </w:r>
      <w:r>
        <w:t xml:space="preserve">, respectively, had discontinued study treatment, most commonly for </w:t>
      </w:r>
      <w:r w:rsidR="00516264">
        <w:t>progressive disease</w:t>
      </w:r>
      <w:r>
        <w:t xml:space="preserve">, observed in 20.4%, 36.0%, and 33.8% of participants, respectively (in the safety population, discontinuations due to PD: 24% for the amivantamab in combination with </w:t>
      </w:r>
      <w:r w:rsidR="006E6321">
        <w:t>lazertinib</w:t>
      </w:r>
      <w:r>
        <w:t xml:space="preserve"> arm, 40% for the </w:t>
      </w:r>
      <w:r w:rsidR="006E6321">
        <w:t>osimertinib</w:t>
      </w:r>
      <w:r>
        <w:t xml:space="preserve"> arm, and 39% for the </w:t>
      </w:r>
      <w:r w:rsidR="006E6321">
        <w:t>lazertinib</w:t>
      </w:r>
      <w:r>
        <w:t xml:space="preserve"> arm </w:t>
      </w:r>
      <w:r w:rsidR="00516264">
        <w:t>d</w:t>
      </w:r>
      <w:r>
        <w:t>iscontinuation due to TEAEs were reported in 20.4%, 11.7%, and 13.6% of</w:t>
      </w:r>
      <w:r w:rsidR="005456E0">
        <w:t xml:space="preserve"> </w:t>
      </w:r>
      <w:r>
        <w:t>participants, respectively</w:t>
      </w:r>
      <w:r w:rsidR="00353363">
        <w:t>; i</w:t>
      </w:r>
      <w:r>
        <w:t xml:space="preserve">n the safety population, discontinuation of all study drugs due to TEAEs were 21% for the amivantamab in combination with </w:t>
      </w:r>
      <w:r w:rsidR="006E6321">
        <w:t>lazertinib</w:t>
      </w:r>
      <w:r>
        <w:t xml:space="preserve"> arm, 13% for the </w:t>
      </w:r>
      <w:r w:rsidR="006E6321">
        <w:t>osimertinib</w:t>
      </w:r>
      <w:r>
        <w:t xml:space="preserve"> arm, and 15% for the </w:t>
      </w:r>
      <w:r w:rsidR="006E6321">
        <w:t>lazertinib</w:t>
      </w:r>
      <w:r>
        <w:t xml:space="preserve"> arm.</w:t>
      </w:r>
      <w:r w:rsidR="00353363">
        <w:t>)</w:t>
      </w:r>
    </w:p>
    <w:p w14:paraId="71F03771" w14:textId="77777777" w:rsidR="002E517C" w:rsidRDefault="002E517C" w:rsidP="007C7C18">
      <w:pPr>
        <w:pStyle w:val="Heading6"/>
      </w:pPr>
      <w:r>
        <w:t>Baseline characteristics</w:t>
      </w:r>
    </w:p>
    <w:p w14:paraId="3D78936E" w14:textId="727EE3A7" w:rsidR="002E517C" w:rsidRDefault="002E517C" w:rsidP="005456E0">
      <w:pPr>
        <w:pStyle w:val="ListBullet"/>
      </w:pPr>
      <w:r>
        <w:t>Age, median: 63 years (range: 15-88)</w:t>
      </w:r>
    </w:p>
    <w:p w14:paraId="55BCB887" w14:textId="0BFA32B2" w:rsidR="002E517C" w:rsidRDefault="002E517C" w:rsidP="005456E0">
      <w:pPr>
        <w:pStyle w:val="ListBullet"/>
      </w:pPr>
      <w:r>
        <w:lastRenderedPageBreak/>
        <w:t>Female: 61%</w:t>
      </w:r>
    </w:p>
    <w:p w14:paraId="43FFFD84" w14:textId="3C79FE92" w:rsidR="002E517C" w:rsidRDefault="002E517C" w:rsidP="005456E0">
      <w:pPr>
        <w:pStyle w:val="ListBullet"/>
      </w:pPr>
      <w:r>
        <w:t>Asian: 58%; White:38%</w:t>
      </w:r>
    </w:p>
    <w:p w14:paraId="4EAD8F10" w14:textId="2BB0F52E" w:rsidR="002E517C" w:rsidRDefault="002E517C" w:rsidP="005456E0">
      <w:pPr>
        <w:pStyle w:val="ListBullet"/>
      </w:pPr>
      <w:r>
        <w:t>Smoking history: 31%; never smoked: 69%</w:t>
      </w:r>
    </w:p>
    <w:p w14:paraId="7356380B" w14:textId="1BF7858C" w:rsidR="002E517C" w:rsidRDefault="002E517C" w:rsidP="005456E0">
      <w:pPr>
        <w:pStyle w:val="ListBullet"/>
      </w:pPr>
      <w:r>
        <w:t>ECOG 0: 34%, ECOG 1: 66%</w:t>
      </w:r>
    </w:p>
    <w:p w14:paraId="194E6546" w14:textId="639E38D1" w:rsidR="002E517C" w:rsidRDefault="002E517C" w:rsidP="005456E0">
      <w:pPr>
        <w:pStyle w:val="ListBullet"/>
      </w:pPr>
      <w:r>
        <w:t xml:space="preserve">Prior brain metastases: 41% </w:t>
      </w:r>
    </w:p>
    <w:p w14:paraId="6F8FFF33" w14:textId="5B6B4DDD" w:rsidR="002E517C" w:rsidRDefault="002E517C" w:rsidP="005456E0">
      <w:pPr>
        <w:pStyle w:val="ListBullet"/>
      </w:pPr>
      <w:r>
        <w:t>Stage IV at initial diagnosis: 89%</w:t>
      </w:r>
    </w:p>
    <w:p w14:paraId="023E4064" w14:textId="3FE6A7B6" w:rsidR="002E517C" w:rsidRPr="009C09FF" w:rsidRDefault="002E517C" w:rsidP="005456E0">
      <w:pPr>
        <w:pStyle w:val="ListBullet"/>
        <w:rPr>
          <w:lang w:val="pt-PT"/>
        </w:rPr>
      </w:pPr>
      <w:r w:rsidRPr="009C09FF">
        <w:rPr>
          <w:lang w:val="pt-PT"/>
        </w:rPr>
        <w:t>Ex19 del: 60%; ex21 L858R mut: 40%</w:t>
      </w:r>
    </w:p>
    <w:p w14:paraId="0843444A" w14:textId="77777777" w:rsidR="002E517C" w:rsidRDefault="002E517C" w:rsidP="005456E0">
      <w:pPr>
        <w:pStyle w:val="Heading6"/>
      </w:pPr>
      <w:r>
        <w:t>Results</w:t>
      </w:r>
    </w:p>
    <w:p w14:paraId="179F8747" w14:textId="1CC0FCEB" w:rsidR="002E517C" w:rsidRDefault="002E517C" w:rsidP="000B7440">
      <w:pPr>
        <w:pStyle w:val="Heading7"/>
      </w:pPr>
      <w:r>
        <w:t>PFS by BICR</w:t>
      </w:r>
    </w:p>
    <w:p w14:paraId="34E6E767" w14:textId="35C40829" w:rsidR="002E517C" w:rsidRDefault="002E517C" w:rsidP="002E517C">
      <w:r>
        <w:t xml:space="preserve">The study demonstrated a statistically significant improvement in PFS by BICR assessment for </w:t>
      </w:r>
      <w:r w:rsidR="006E6321">
        <w:t>lazertinib</w:t>
      </w:r>
      <w:r>
        <w:t xml:space="preserve"> in combination with amivantamab compared to </w:t>
      </w:r>
      <w:r w:rsidR="006E6321">
        <w:t>osimertinib</w:t>
      </w:r>
      <w:r>
        <w:t>.</w:t>
      </w:r>
    </w:p>
    <w:p w14:paraId="3FDD139C" w14:textId="10B0DAA3" w:rsidR="0067718E" w:rsidRDefault="0067718E" w:rsidP="0067718E">
      <w:pPr>
        <w:pStyle w:val="TableTitle"/>
      </w:pPr>
      <w:r w:rsidRPr="0067718E">
        <w:t xml:space="preserve">Table </w:t>
      </w:r>
      <w:r w:rsidR="00C057AF">
        <w:t>4</w:t>
      </w:r>
      <w:r w:rsidRPr="0067718E">
        <w:t xml:space="preserve">. MARIPOSA </w:t>
      </w:r>
      <w:r w:rsidR="00C057AF">
        <w:t>r</w:t>
      </w:r>
      <w:r w:rsidR="00C057AF" w:rsidRPr="00C057AF">
        <w:t xml:space="preserve">esults </w:t>
      </w:r>
      <w:r w:rsidRPr="0067718E">
        <w:t>by BICR assessment</w:t>
      </w:r>
    </w:p>
    <w:p w14:paraId="4C9B97CA" w14:textId="1C0E13D7" w:rsidR="00532852" w:rsidRPr="00F11564" w:rsidRDefault="00532852" w:rsidP="00AB5A4A">
      <w:r>
        <w:rPr>
          <w:noProof/>
        </w:rPr>
        <w:drawing>
          <wp:inline distT="0" distB="0" distL="0" distR="0" wp14:anchorId="0F401FE6" wp14:editId="251F5B34">
            <wp:extent cx="5731329" cy="2258785"/>
            <wp:effectExtent l="0" t="0" r="3175" b="8255"/>
            <wp:docPr id="19" name="Image 19" descr="A table with numbers and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A table with numbers and text&#10;&#10;AI-generated content may be incorrect."/>
                    <pic:cNvPicPr/>
                  </pic:nvPicPr>
                  <pic:blipFill rotWithShape="1">
                    <a:blip r:embed="rId31" cstate="print">
                      <a:extLst>
                        <a:ext uri="{28A0092B-C50C-407E-A947-70E740481C1C}">
                          <a14:useLocalDpi xmlns:a14="http://schemas.microsoft.com/office/drawing/2010/main" val="0"/>
                        </a:ext>
                      </a:extLst>
                    </a:blip>
                    <a:srcRect t="3770" b="24396"/>
                    <a:stretch>
                      <a:fillRect/>
                    </a:stretch>
                  </pic:blipFill>
                  <pic:spPr bwMode="auto">
                    <a:xfrm>
                      <a:off x="0" y="0"/>
                      <a:ext cx="5740696" cy="2262477"/>
                    </a:xfrm>
                    <a:prstGeom prst="rect">
                      <a:avLst/>
                    </a:prstGeom>
                    <a:ln>
                      <a:noFill/>
                    </a:ln>
                    <a:extLst>
                      <a:ext uri="{53640926-AAD7-44D8-BBD7-CCE9431645EC}">
                        <a14:shadowObscured xmlns:a14="http://schemas.microsoft.com/office/drawing/2010/main"/>
                      </a:ext>
                    </a:extLst>
                  </pic:spPr>
                </pic:pic>
              </a:graphicData>
            </a:graphic>
          </wp:inline>
        </w:drawing>
      </w:r>
    </w:p>
    <w:p w14:paraId="784F7EBA" w14:textId="03C92F95" w:rsidR="0067718E" w:rsidRPr="0067718E" w:rsidRDefault="0067718E" w:rsidP="0067718E">
      <w:pPr>
        <w:pStyle w:val="TableDescription"/>
      </w:pPr>
      <w:bookmarkStart w:id="41" w:name="_Toc314842514"/>
      <w:r w:rsidRPr="0067718E">
        <w:t>CI = confidence interval; NE = not estimable</w:t>
      </w:r>
    </w:p>
    <w:p w14:paraId="1CBDADF1" w14:textId="77777777" w:rsidR="0067718E" w:rsidRPr="0067718E" w:rsidRDefault="0067718E" w:rsidP="0067718E">
      <w:pPr>
        <w:pStyle w:val="TableDescription"/>
      </w:pPr>
      <w:r w:rsidRPr="0067718E">
        <w:t>1 Stratified by mutation type (Exon 19del or Exon 21 L858R). prior brain metastases (yes or no), and Asian race (yes or no).</w:t>
      </w:r>
    </w:p>
    <w:p w14:paraId="6AD3F96A" w14:textId="7FFE027A" w:rsidR="0067718E" w:rsidRPr="0067718E" w:rsidRDefault="0067718E" w:rsidP="0067718E">
      <w:pPr>
        <w:pStyle w:val="TableDescription"/>
      </w:pPr>
      <w:r w:rsidRPr="0067718E">
        <w:t>2 Stratified Cox proportional hazards regression.</w:t>
      </w:r>
    </w:p>
    <w:p w14:paraId="631702A4" w14:textId="5093C74E" w:rsidR="0067718E" w:rsidRPr="0067718E" w:rsidRDefault="0067718E" w:rsidP="0067718E">
      <w:pPr>
        <w:pStyle w:val="TableDescription"/>
      </w:pPr>
      <w:r w:rsidRPr="0067718E">
        <w:t xml:space="preserve">3 Stratified log-rank </w:t>
      </w:r>
      <w:proofErr w:type="gramStart"/>
      <w:r w:rsidRPr="0067718E">
        <w:t>test</w:t>
      </w:r>
      <w:proofErr w:type="gramEnd"/>
      <w:r w:rsidRPr="0067718E">
        <w:t>.</w:t>
      </w:r>
    </w:p>
    <w:p w14:paraId="4F03534F" w14:textId="0A66F0A0" w:rsidR="0067718E" w:rsidRPr="0067718E" w:rsidRDefault="0067718E" w:rsidP="0067718E">
      <w:pPr>
        <w:pStyle w:val="TableDescription"/>
      </w:pPr>
      <w:r w:rsidRPr="0067718E">
        <w:t>+ — Confirmed responses based on the ITT population.</w:t>
      </w:r>
    </w:p>
    <w:p w14:paraId="0733C549" w14:textId="3F00EDAA" w:rsidR="0067718E" w:rsidRPr="0067718E" w:rsidRDefault="0067718E" w:rsidP="0067718E">
      <w:pPr>
        <w:pStyle w:val="TableDescription"/>
      </w:pPr>
      <w:r w:rsidRPr="0067718E">
        <w:t>&gt; In confirmed responders.</w:t>
      </w:r>
    </w:p>
    <w:p w14:paraId="4EED3FF5" w14:textId="68242914" w:rsidR="0067718E" w:rsidRDefault="0067718E" w:rsidP="0067718E">
      <w:pPr>
        <w:pStyle w:val="TableDescription"/>
      </w:pPr>
      <w:r w:rsidRPr="0067718E">
        <w:t>§ Based on observed rates.</w:t>
      </w:r>
    </w:p>
    <w:p w14:paraId="014B6F4F" w14:textId="0568C1FD" w:rsidR="00F23FF6" w:rsidRDefault="00AB5A4A" w:rsidP="00AB5A4A">
      <w:pPr>
        <w:pStyle w:val="FigureTitle"/>
      </w:pPr>
      <w:r>
        <w:lastRenderedPageBreak/>
        <w:t>Figure 2. Kaplan-Meier curve of PFS in previously untreated NSCLC patients by BICR assessment</w:t>
      </w:r>
    </w:p>
    <w:p w14:paraId="2CBFE595" w14:textId="6AE570B4" w:rsidR="00F23FF6" w:rsidRPr="0067718E" w:rsidRDefault="00F23FF6" w:rsidP="00AB5A4A">
      <w:r>
        <w:rPr>
          <w:noProof/>
        </w:rPr>
        <w:drawing>
          <wp:inline distT="0" distB="0" distL="0" distR="0" wp14:anchorId="56D69F1F" wp14:editId="7E8FBA25">
            <wp:extent cx="4563374" cy="2743200"/>
            <wp:effectExtent l="0" t="0" r="8890" b="0"/>
            <wp:docPr id="20" name="Image 20" descr="A graph of a patient's growth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A graph of a patient's growth  Description automatically generated"/>
                    <pic:cNvPicPr/>
                  </pic:nvPicPr>
                  <pic:blipFill rotWithShape="1">
                    <a:blip r:embed="rId32" cstate="print">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rcRect t="9546"/>
                    <a:stretch>
                      <a:fillRect/>
                    </a:stretch>
                  </pic:blipFill>
                  <pic:spPr bwMode="auto">
                    <a:xfrm>
                      <a:off x="0" y="0"/>
                      <a:ext cx="4572249" cy="2748535"/>
                    </a:xfrm>
                    <a:prstGeom prst="rect">
                      <a:avLst/>
                    </a:prstGeom>
                    <a:ln>
                      <a:noFill/>
                    </a:ln>
                    <a:extLst>
                      <a:ext uri="{53640926-AAD7-44D8-BBD7-CCE9431645EC}">
                        <a14:shadowObscured xmlns:a14="http://schemas.microsoft.com/office/drawing/2010/main"/>
                      </a:ext>
                    </a:extLst>
                  </pic:spPr>
                </pic:pic>
              </a:graphicData>
            </a:graphic>
          </wp:inline>
        </w:drawing>
      </w:r>
    </w:p>
    <w:p w14:paraId="26638DED" w14:textId="5ACB394A" w:rsidR="009C5CDC" w:rsidRDefault="009C5CDC" w:rsidP="000B7440">
      <w:pPr>
        <w:pStyle w:val="Heading7"/>
      </w:pPr>
      <w:r>
        <w:t>PFS - pre-specified sub-groups</w:t>
      </w:r>
    </w:p>
    <w:p w14:paraId="54487D4F" w14:textId="13384DF6" w:rsidR="009C5CDC" w:rsidRDefault="009C5CDC" w:rsidP="009C5CDC">
      <w:r>
        <w:t>PFS per BICR was also evaluated in clinically relevant subgroups. The PFS benefit is mostly consistent across subgroups except for patients 65</w:t>
      </w:r>
      <w:r w:rsidR="007C7C18">
        <w:t xml:space="preserve"> </w:t>
      </w:r>
      <w:r>
        <w:t xml:space="preserve">years or older with the </w:t>
      </w:r>
      <w:r w:rsidR="00485B80">
        <w:t>hazard ratio</w:t>
      </w:r>
      <w:r>
        <w:t xml:space="preserve"> of 1.06 (95% CI: 0.80, 1.41)</w:t>
      </w:r>
    </w:p>
    <w:p w14:paraId="7BFC3316" w14:textId="62ABC021" w:rsidR="009C5CDC" w:rsidRDefault="009C5CDC" w:rsidP="000B7440">
      <w:pPr>
        <w:pStyle w:val="Heading7"/>
      </w:pPr>
      <w:r>
        <w:t>Contribution of components</w:t>
      </w:r>
    </w:p>
    <w:p w14:paraId="1540C8B5" w14:textId="0E19D1DD" w:rsidR="009C5CDC" w:rsidRDefault="009C5CDC" w:rsidP="009C5CDC">
      <w:r>
        <w:t xml:space="preserve">Evaluation of contribution of components for PFS was conducted descriptively comparing the combination arm vs the </w:t>
      </w:r>
      <w:r w:rsidR="006E6321">
        <w:t>lazertinib</w:t>
      </w:r>
      <w:r>
        <w:t xml:space="preserve"> monotherapy arm. In this descriptive analysis, the PFS </w:t>
      </w:r>
      <w:r w:rsidR="00485B80">
        <w:t>hazard ratio</w:t>
      </w:r>
      <w:r>
        <w:t xml:space="preserve"> was 0.72 (95% CI: 0.57, 0.90) with a median PFS of 23.7 months in the combination arm vs 18.5 months in the </w:t>
      </w:r>
      <w:r w:rsidR="006E6321">
        <w:t>lazertinib</w:t>
      </w:r>
      <w:r>
        <w:t xml:space="preserve"> monotherapy arm. These results suggest a potential improvement in PFS with the addition of amivantamab to </w:t>
      </w:r>
      <w:r w:rsidR="006E6321">
        <w:t>lazertinib</w:t>
      </w:r>
      <w:r>
        <w:t xml:space="preserve">. However, the comparison in PFS between the combination arm and the </w:t>
      </w:r>
      <w:r w:rsidR="006E6321">
        <w:t>lazertinib</w:t>
      </w:r>
      <w:r>
        <w:t xml:space="preserve"> monotherapy arm was not formally tested and should be interpreted with caution.</w:t>
      </w:r>
    </w:p>
    <w:p w14:paraId="26E2AD58" w14:textId="4F6FAF31" w:rsidR="009C5CDC" w:rsidRDefault="009C5CDC" w:rsidP="000B7440">
      <w:pPr>
        <w:pStyle w:val="Heading7"/>
      </w:pPr>
      <w:r>
        <w:t>Efficacy results – secondary and other endpoints</w:t>
      </w:r>
    </w:p>
    <w:p w14:paraId="29A5574B" w14:textId="4BAA080D" w:rsidR="00034703" w:rsidRDefault="00034703" w:rsidP="0076064C">
      <w:pPr>
        <w:pStyle w:val="TableTitle"/>
      </w:pPr>
      <w:r>
        <w:t>Table</w:t>
      </w:r>
      <w:r w:rsidR="00C057AF">
        <w:t xml:space="preserve"> 5</w:t>
      </w:r>
      <w:r w:rsidR="00015D42">
        <w:t>. Analysis of secondary endpoints for the MARIPOSA study</w:t>
      </w:r>
      <w:r w:rsidR="0093031E">
        <w:rPr>
          <w:rStyle w:val="FootnoteReference"/>
        </w:rPr>
        <w:footnoteReference w:id="2"/>
      </w:r>
    </w:p>
    <w:p w14:paraId="5553FCD3" w14:textId="5FD4D2B8" w:rsidR="007C7C18" w:rsidRDefault="00034703" w:rsidP="009C5CDC">
      <w:r>
        <w:rPr>
          <w:noProof/>
        </w:rPr>
        <w:drawing>
          <wp:inline distT="0" distB="0" distL="0" distR="0" wp14:anchorId="02A4D1F6" wp14:editId="791C3A43">
            <wp:extent cx="3631721" cy="2350866"/>
            <wp:effectExtent l="0" t="0" r="6985" b="0"/>
            <wp:docPr id="928245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245105" name=""/>
                    <pic:cNvPicPr/>
                  </pic:nvPicPr>
                  <pic:blipFill rotWithShape="1">
                    <a:blip r:embed="rId34">
                      <a:extLst>
                        <a:ext uri="{BEBA8EAE-BF5A-486C-A8C5-ECC9F3942E4B}">
                          <a14:imgProps xmlns:a14="http://schemas.microsoft.com/office/drawing/2010/main">
                            <a14:imgLayer r:embed="rId35">
                              <a14:imgEffect>
                                <a14:brightnessContrast bright="20000" contrast="-20000"/>
                              </a14:imgEffect>
                            </a14:imgLayer>
                          </a14:imgProps>
                        </a:ext>
                      </a:extLst>
                    </a:blip>
                    <a:srcRect t="1722"/>
                    <a:stretch>
                      <a:fillRect/>
                    </a:stretch>
                  </pic:blipFill>
                  <pic:spPr bwMode="auto">
                    <a:xfrm>
                      <a:off x="0" y="0"/>
                      <a:ext cx="3642046" cy="2357550"/>
                    </a:xfrm>
                    <a:prstGeom prst="rect">
                      <a:avLst/>
                    </a:prstGeom>
                    <a:ln>
                      <a:noFill/>
                    </a:ln>
                    <a:extLst>
                      <a:ext uri="{53640926-AAD7-44D8-BBD7-CCE9431645EC}">
                        <a14:shadowObscured xmlns:a14="http://schemas.microsoft.com/office/drawing/2010/main"/>
                      </a:ext>
                    </a:extLst>
                  </pic:spPr>
                </pic:pic>
              </a:graphicData>
            </a:graphic>
          </wp:inline>
        </w:drawing>
      </w:r>
    </w:p>
    <w:p w14:paraId="76953894" w14:textId="40BA970F" w:rsidR="0073418B" w:rsidRDefault="0073418B" w:rsidP="0073418B">
      <w:r>
        <w:lastRenderedPageBreak/>
        <w:t xml:space="preserve">OS results are immature; with 55% of pre-specified deaths for the final analysis reported, no trend towards a detriment was observed. In an additional ad-hoc analysis requested by </w:t>
      </w:r>
      <w:r w:rsidR="00485B80">
        <w:t>the European Medicines Agency</w:t>
      </w:r>
      <w:r>
        <w:t>, the descriptive OS HR was 0.77 (95% CI: 0.61, 0.96) at 82% information fraction.</w:t>
      </w:r>
    </w:p>
    <w:p w14:paraId="3A202FC2" w14:textId="77777777" w:rsidR="0073418B" w:rsidRDefault="0073418B" w:rsidP="0073418B">
      <w:pPr>
        <w:pStyle w:val="Heading4"/>
      </w:pPr>
      <w:bookmarkStart w:id="42" w:name="_Toc209441299"/>
      <w:r>
        <w:t>Safety</w:t>
      </w:r>
      <w:bookmarkEnd w:id="42"/>
    </w:p>
    <w:p w14:paraId="7FD505FB" w14:textId="639D17F3" w:rsidR="0073418B" w:rsidRDefault="0073418B" w:rsidP="0073418B">
      <w:r>
        <w:t xml:space="preserve">Given that the safety data from MARIPOSA were deemed robust and sufficient to evaluate the safety profile of amivantamab in combination with </w:t>
      </w:r>
      <w:r w:rsidR="006E6321">
        <w:t>lazertinib</w:t>
      </w:r>
      <w:r>
        <w:t xml:space="preserve"> for the proposed indication, the supportive trials (CHRYSALIS, CHRYSALIS-2, YH254448-201 and YH25448-301) were not formally reviewed as a part of this clinical evaluation. In addition, trials YH254448-201 and YH- 25448-301 evaluated </w:t>
      </w:r>
      <w:r w:rsidR="006E6321">
        <w:t>lazertinib</w:t>
      </w:r>
      <w:r>
        <w:t xml:space="preserve"> monotherapy, which is not under consideration for approval. Therefore, the safety data from YH254448-201 and YH-25448-301 were not considered relevant for the primary safety evaluation of amivantamab in combination with </w:t>
      </w:r>
      <w:r w:rsidR="006E6321">
        <w:t>lazertinib</w:t>
      </w:r>
      <w:r>
        <w:t>.</w:t>
      </w:r>
    </w:p>
    <w:p w14:paraId="1E1B421A" w14:textId="5141ED8B" w:rsidR="0073418B" w:rsidRDefault="0073418B" w:rsidP="0073418B">
      <w:r>
        <w:t xml:space="preserve">The primary review of safety consists of evaluations of safety events occurring in 421 patients who received at least one dose of study treatment in the amivantamab with </w:t>
      </w:r>
      <w:r w:rsidR="006E6321">
        <w:t>lazertinib</w:t>
      </w:r>
      <w:r>
        <w:t xml:space="preserve"> arm (Arm A) and 428 patients who received at least one dose of </w:t>
      </w:r>
      <w:r w:rsidR="006E6321">
        <w:t>osimertinib</w:t>
      </w:r>
      <w:r>
        <w:t xml:space="preserve"> in Arm B.</w:t>
      </w:r>
    </w:p>
    <w:p w14:paraId="38FE6C46" w14:textId="77777777" w:rsidR="0073418B" w:rsidRDefault="0073418B" w:rsidP="0073418B">
      <w:pPr>
        <w:pStyle w:val="Heading5"/>
      </w:pPr>
      <w:r>
        <w:t>Exposure</w:t>
      </w:r>
    </w:p>
    <w:p w14:paraId="138C7F1E" w14:textId="57B31FA6" w:rsidR="0073418B" w:rsidRDefault="0073418B" w:rsidP="0073418B">
      <w:r>
        <w:t xml:space="preserve">For the 421 patients treated in Arm A, the median duration of treatment with amivantamab in combination with </w:t>
      </w:r>
      <w:r w:rsidR="006E6321">
        <w:t>lazertinib</w:t>
      </w:r>
      <w:r>
        <w:t xml:space="preserve"> was 18.5 months (range: 0.2, 31.4). For the 428 patients treated in Arm B, the median duration of treatment with </w:t>
      </w:r>
      <w:r w:rsidR="006E6321">
        <w:t>osimertinib</w:t>
      </w:r>
      <w:r>
        <w:t xml:space="preserve"> was 18.0 months (range: 0.2, 32.7). In Arm A, the median number of treatment cycles was 16 (range: 1, 35).</w:t>
      </w:r>
    </w:p>
    <w:p w14:paraId="0FF55288" w14:textId="77777777" w:rsidR="0073418B" w:rsidRDefault="0073418B" w:rsidP="0073418B">
      <w:pPr>
        <w:pStyle w:val="Heading5"/>
      </w:pPr>
      <w:r>
        <w:t>Characteristics of the safety population</w:t>
      </w:r>
    </w:p>
    <w:p w14:paraId="516BDA76" w14:textId="334985FB" w:rsidR="0073418B" w:rsidRDefault="0073418B" w:rsidP="0073418B">
      <w:r>
        <w:t xml:space="preserve">For the primary safety population (amivantamab in combination with </w:t>
      </w:r>
      <w:r w:rsidR="006E6321">
        <w:t>lazertinib</w:t>
      </w:r>
      <w:r>
        <w:t>, n=421), the median age was 64 years (range: 25, 88), 45% of patients were age 65 years or older, 64% were female, 59% were Asian, 38% were White, 1.7% were American Indian or Alaska Native, 0.7% were Black or African American, 0.5% were of unknown race, 0.2% were Hawaiian or Other Pacific Islander, 13% were Latino, 33% had ECOG PS 0, 67% had ECOG PS 1, 60% had NSCLC harbouring EGFR exon 19 deletions, and 40% had EGFR exon 21 L858R substitution mutations. The distribution of baseline characteristics was well-balanced between Arms A and B</w:t>
      </w:r>
    </w:p>
    <w:p w14:paraId="5643053D" w14:textId="0D0BFFC0" w:rsidR="0028023B" w:rsidRDefault="007B020C" w:rsidP="007B020C">
      <w:pPr>
        <w:pStyle w:val="Heading5"/>
      </w:pPr>
      <w:r w:rsidRPr="007B020C">
        <w:t>Categorisation of AEs</w:t>
      </w:r>
    </w:p>
    <w:p w14:paraId="64F5DA92" w14:textId="28D93A8C" w:rsidR="0073418B" w:rsidRDefault="00380287" w:rsidP="00734D3C">
      <w:pPr>
        <w:pStyle w:val="TableTitle"/>
      </w:pPr>
      <w:r>
        <w:t>Table</w:t>
      </w:r>
      <w:r w:rsidR="00734D3C">
        <w:t xml:space="preserve"> 6</w:t>
      </w:r>
      <w:r w:rsidR="00FE4C41">
        <w:t xml:space="preserve">. </w:t>
      </w:r>
      <w:r w:rsidR="0073418B">
        <w:t xml:space="preserve">MARIPOSA </w:t>
      </w:r>
      <w:r w:rsidR="00FE4C41">
        <w:t>study adverse events summary</w:t>
      </w:r>
    </w:p>
    <w:tbl>
      <w:tblPr>
        <w:tblW w:w="0" w:type="auto"/>
        <w:tblInd w:w="33" w:type="dxa"/>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ayout w:type="fixed"/>
        <w:tblCellMar>
          <w:left w:w="0" w:type="dxa"/>
          <w:right w:w="0" w:type="dxa"/>
        </w:tblCellMar>
        <w:tblLook w:val="01E0" w:firstRow="1" w:lastRow="1" w:firstColumn="1" w:lastColumn="1" w:noHBand="0" w:noVBand="0"/>
      </w:tblPr>
      <w:tblGrid>
        <w:gridCol w:w="2502"/>
        <w:gridCol w:w="3839"/>
        <w:gridCol w:w="2675"/>
      </w:tblGrid>
      <w:tr w:rsidR="00DA4A19" w14:paraId="24704355" w14:textId="77777777" w:rsidTr="00AB5A4A">
        <w:trPr>
          <w:trHeight w:val="508"/>
        </w:trPr>
        <w:tc>
          <w:tcPr>
            <w:tcW w:w="2502" w:type="dxa"/>
            <w:shd w:val="clear" w:color="auto" w:fill="DEEAF6"/>
          </w:tcPr>
          <w:p w14:paraId="5220DD65" w14:textId="77777777" w:rsidR="00DA4A19" w:rsidRPr="00906752" w:rsidRDefault="00DA4A19" w:rsidP="00E32F13">
            <w:pPr>
              <w:pStyle w:val="TableParagraph"/>
              <w:spacing w:before="127"/>
              <w:rPr>
                <w:b/>
                <w:color w:val="263287"/>
              </w:rPr>
            </w:pPr>
            <w:r w:rsidRPr="00906752">
              <w:rPr>
                <w:b/>
                <w:color w:val="263287"/>
              </w:rPr>
              <w:t>Adverse</w:t>
            </w:r>
            <w:r w:rsidRPr="00906752">
              <w:rPr>
                <w:b/>
                <w:color w:val="263287"/>
                <w:spacing w:val="-2"/>
              </w:rPr>
              <w:t xml:space="preserve"> event</w:t>
            </w:r>
          </w:p>
        </w:tc>
        <w:tc>
          <w:tcPr>
            <w:tcW w:w="3839" w:type="dxa"/>
            <w:shd w:val="clear" w:color="auto" w:fill="DEEAF6"/>
          </w:tcPr>
          <w:p w14:paraId="51DA4A8D" w14:textId="6ECB6E68" w:rsidR="00DA4A19" w:rsidRPr="00906752" w:rsidRDefault="008C718A" w:rsidP="00AB5A4A">
            <w:pPr>
              <w:pStyle w:val="TableParagraph"/>
              <w:spacing w:before="127"/>
              <w:jc w:val="both"/>
              <w:rPr>
                <w:b/>
                <w:color w:val="263287"/>
              </w:rPr>
            </w:pPr>
            <w:proofErr w:type="spellStart"/>
            <w:r>
              <w:rPr>
                <w:b/>
                <w:color w:val="263287"/>
              </w:rPr>
              <w:t>a</w:t>
            </w:r>
            <w:r w:rsidR="00DA4A19" w:rsidRPr="00906752">
              <w:rPr>
                <w:b/>
                <w:color w:val="263287"/>
              </w:rPr>
              <w:t>mivantamab</w:t>
            </w:r>
            <w:proofErr w:type="spellEnd"/>
            <w:r w:rsidR="00DA4A19" w:rsidRPr="00906752">
              <w:rPr>
                <w:b/>
                <w:color w:val="263287"/>
                <w:spacing w:val="-8"/>
              </w:rPr>
              <w:t xml:space="preserve"> </w:t>
            </w:r>
            <w:r w:rsidR="00DA4A19" w:rsidRPr="00906752">
              <w:rPr>
                <w:b/>
                <w:color w:val="263287"/>
              </w:rPr>
              <w:t>+</w:t>
            </w:r>
            <w:r w:rsidR="00DA4A19" w:rsidRPr="00906752">
              <w:rPr>
                <w:b/>
                <w:color w:val="263287"/>
                <w:spacing w:val="-5"/>
              </w:rPr>
              <w:t xml:space="preserve"> </w:t>
            </w:r>
            <w:proofErr w:type="spellStart"/>
            <w:r w:rsidR="006E6321">
              <w:rPr>
                <w:b/>
                <w:color w:val="263287"/>
              </w:rPr>
              <w:t>lazertinib</w:t>
            </w:r>
            <w:proofErr w:type="spellEnd"/>
            <w:r w:rsidR="00DA4A19" w:rsidRPr="00906752">
              <w:rPr>
                <w:b/>
                <w:color w:val="263287"/>
                <w:spacing w:val="-7"/>
              </w:rPr>
              <w:t xml:space="preserve"> </w:t>
            </w:r>
            <w:r w:rsidR="00DA4A19" w:rsidRPr="00906752">
              <w:rPr>
                <w:b/>
                <w:color w:val="263287"/>
                <w:spacing w:val="-2"/>
              </w:rPr>
              <w:t>(n=421)</w:t>
            </w:r>
          </w:p>
        </w:tc>
        <w:tc>
          <w:tcPr>
            <w:tcW w:w="2675" w:type="dxa"/>
            <w:shd w:val="clear" w:color="auto" w:fill="DEEAF6"/>
          </w:tcPr>
          <w:p w14:paraId="3E6ADB6A" w14:textId="547CCDC3" w:rsidR="00DA4A19" w:rsidRPr="00906752" w:rsidRDefault="006E6321" w:rsidP="00AB5A4A">
            <w:pPr>
              <w:pStyle w:val="TableParagraph"/>
              <w:spacing w:before="127"/>
              <w:rPr>
                <w:b/>
                <w:color w:val="263287"/>
              </w:rPr>
            </w:pPr>
            <w:proofErr w:type="spellStart"/>
            <w:r>
              <w:rPr>
                <w:b/>
                <w:color w:val="263287"/>
              </w:rPr>
              <w:t>osimertinib</w:t>
            </w:r>
            <w:proofErr w:type="spellEnd"/>
            <w:r w:rsidR="00DA4A19" w:rsidRPr="00906752">
              <w:rPr>
                <w:b/>
                <w:color w:val="263287"/>
                <w:spacing w:val="-12"/>
              </w:rPr>
              <w:t xml:space="preserve"> </w:t>
            </w:r>
            <w:r w:rsidR="00DA4A19" w:rsidRPr="00906752">
              <w:rPr>
                <w:b/>
                <w:color w:val="263287"/>
                <w:spacing w:val="-2"/>
              </w:rPr>
              <w:t>(n=428)</w:t>
            </w:r>
          </w:p>
        </w:tc>
      </w:tr>
      <w:tr w:rsidR="00DA4A19" w14:paraId="38B8B3E1" w14:textId="77777777" w:rsidTr="00AB5A4A">
        <w:trPr>
          <w:trHeight w:val="494"/>
        </w:trPr>
        <w:tc>
          <w:tcPr>
            <w:tcW w:w="2502" w:type="dxa"/>
          </w:tcPr>
          <w:p w14:paraId="01D3D4D9" w14:textId="77777777" w:rsidR="00DA4A19" w:rsidRDefault="00DA4A19" w:rsidP="00E32F13">
            <w:pPr>
              <w:pStyle w:val="TableParagraph"/>
              <w:spacing w:before="114"/>
              <w:rPr>
                <w:b/>
              </w:rPr>
            </w:pPr>
            <w:r>
              <w:rPr>
                <w:b/>
              </w:rPr>
              <w:t>All-grade</w:t>
            </w:r>
            <w:r>
              <w:rPr>
                <w:b/>
                <w:spacing w:val="-7"/>
              </w:rPr>
              <w:t xml:space="preserve"> </w:t>
            </w:r>
            <w:r>
              <w:rPr>
                <w:b/>
                <w:spacing w:val="-5"/>
              </w:rPr>
              <w:t>AEs</w:t>
            </w:r>
          </w:p>
        </w:tc>
        <w:tc>
          <w:tcPr>
            <w:tcW w:w="3839" w:type="dxa"/>
          </w:tcPr>
          <w:p w14:paraId="36992874" w14:textId="77777777" w:rsidR="00DA4A19" w:rsidRDefault="00DA4A19" w:rsidP="00E32F13">
            <w:pPr>
              <w:pStyle w:val="TableParagraph"/>
              <w:spacing w:before="114"/>
              <w:ind w:left="440"/>
            </w:pPr>
            <w:r>
              <w:rPr>
                <w:spacing w:val="-4"/>
              </w:rPr>
              <w:t>100%</w:t>
            </w:r>
          </w:p>
        </w:tc>
        <w:tc>
          <w:tcPr>
            <w:tcW w:w="2675" w:type="dxa"/>
          </w:tcPr>
          <w:p w14:paraId="2CB1B6A5" w14:textId="77777777" w:rsidR="00DA4A19" w:rsidRDefault="00DA4A19" w:rsidP="00E32F13">
            <w:pPr>
              <w:pStyle w:val="TableParagraph"/>
              <w:spacing w:before="114"/>
              <w:ind w:left="134"/>
            </w:pPr>
            <w:r>
              <w:rPr>
                <w:spacing w:val="-5"/>
              </w:rPr>
              <w:t>99%</w:t>
            </w:r>
          </w:p>
        </w:tc>
      </w:tr>
      <w:tr w:rsidR="00DA4A19" w14:paraId="553C794F" w14:textId="77777777" w:rsidTr="00AB5A4A">
        <w:trPr>
          <w:trHeight w:val="496"/>
        </w:trPr>
        <w:tc>
          <w:tcPr>
            <w:tcW w:w="2502" w:type="dxa"/>
          </w:tcPr>
          <w:p w14:paraId="20D993B6" w14:textId="77777777" w:rsidR="00DA4A19" w:rsidRDefault="00DA4A19" w:rsidP="00E32F13">
            <w:pPr>
              <w:pStyle w:val="TableParagraph"/>
              <w:rPr>
                <w:b/>
              </w:rPr>
            </w:pPr>
            <w:r>
              <w:rPr>
                <w:b/>
              </w:rPr>
              <w:t>Grade</w:t>
            </w:r>
            <w:r>
              <w:rPr>
                <w:b/>
                <w:spacing w:val="-3"/>
              </w:rPr>
              <w:t xml:space="preserve"> </w:t>
            </w:r>
            <w:r>
              <w:rPr>
                <w:b/>
              </w:rPr>
              <w:t xml:space="preserve">3-4 </w:t>
            </w:r>
            <w:r>
              <w:rPr>
                <w:b/>
                <w:spacing w:val="-5"/>
              </w:rPr>
              <w:t>AEs</w:t>
            </w:r>
          </w:p>
        </w:tc>
        <w:tc>
          <w:tcPr>
            <w:tcW w:w="3839" w:type="dxa"/>
          </w:tcPr>
          <w:p w14:paraId="56045FD8" w14:textId="77777777" w:rsidR="00DA4A19" w:rsidRDefault="00DA4A19" w:rsidP="00E32F13">
            <w:pPr>
              <w:pStyle w:val="TableParagraph"/>
              <w:ind w:left="440"/>
            </w:pPr>
            <w:r>
              <w:rPr>
                <w:spacing w:val="-5"/>
              </w:rPr>
              <w:t>67%</w:t>
            </w:r>
          </w:p>
        </w:tc>
        <w:tc>
          <w:tcPr>
            <w:tcW w:w="2675" w:type="dxa"/>
          </w:tcPr>
          <w:p w14:paraId="00DDBA30" w14:textId="77777777" w:rsidR="00DA4A19" w:rsidRDefault="00DA4A19" w:rsidP="00E32F13">
            <w:pPr>
              <w:pStyle w:val="TableParagraph"/>
              <w:ind w:left="134"/>
            </w:pPr>
            <w:r>
              <w:rPr>
                <w:spacing w:val="-5"/>
              </w:rPr>
              <w:t>36%</w:t>
            </w:r>
          </w:p>
        </w:tc>
      </w:tr>
      <w:tr w:rsidR="00DA4A19" w14:paraId="08F9BEE5" w14:textId="77777777" w:rsidTr="00AB5A4A">
        <w:trPr>
          <w:trHeight w:val="498"/>
        </w:trPr>
        <w:tc>
          <w:tcPr>
            <w:tcW w:w="2502" w:type="dxa"/>
          </w:tcPr>
          <w:p w14:paraId="0C06BC8C" w14:textId="77777777" w:rsidR="00DA4A19" w:rsidRDefault="00DA4A19" w:rsidP="00E32F13">
            <w:pPr>
              <w:pStyle w:val="TableParagraph"/>
              <w:rPr>
                <w:b/>
              </w:rPr>
            </w:pPr>
            <w:r>
              <w:rPr>
                <w:b/>
              </w:rPr>
              <w:t>Grade 3</w:t>
            </w:r>
            <w:r>
              <w:rPr>
                <w:b/>
                <w:spacing w:val="-3"/>
              </w:rPr>
              <w:t xml:space="preserve"> </w:t>
            </w:r>
            <w:r>
              <w:rPr>
                <w:b/>
                <w:spacing w:val="-5"/>
              </w:rPr>
              <w:t>AEs</w:t>
            </w:r>
          </w:p>
        </w:tc>
        <w:tc>
          <w:tcPr>
            <w:tcW w:w="3839" w:type="dxa"/>
          </w:tcPr>
          <w:p w14:paraId="797BF490" w14:textId="77777777" w:rsidR="00DA4A19" w:rsidRDefault="00DA4A19" w:rsidP="00E32F13">
            <w:pPr>
              <w:pStyle w:val="TableParagraph"/>
              <w:ind w:left="440"/>
            </w:pPr>
            <w:r>
              <w:rPr>
                <w:spacing w:val="-5"/>
              </w:rPr>
              <w:t>62%</w:t>
            </w:r>
          </w:p>
        </w:tc>
        <w:tc>
          <w:tcPr>
            <w:tcW w:w="2675" w:type="dxa"/>
          </w:tcPr>
          <w:p w14:paraId="236230E0" w14:textId="77777777" w:rsidR="00DA4A19" w:rsidRDefault="00DA4A19" w:rsidP="00E32F13">
            <w:pPr>
              <w:pStyle w:val="TableParagraph"/>
              <w:ind w:left="134"/>
            </w:pPr>
            <w:r>
              <w:rPr>
                <w:spacing w:val="-5"/>
              </w:rPr>
              <w:t>32%</w:t>
            </w:r>
          </w:p>
        </w:tc>
      </w:tr>
      <w:tr w:rsidR="00DA4A19" w14:paraId="5C6845FD" w14:textId="77777777" w:rsidTr="00AB5A4A">
        <w:trPr>
          <w:trHeight w:val="498"/>
        </w:trPr>
        <w:tc>
          <w:tcPr>
            <w:tcW w:w="2502" w:type="dxa"/>
          </w:tcPr>
          <w:p w14:paraId="701D0F89" w14:textId="77777777" w:rsidR="00DA4A19" w:rsidRDefault="00DA4A19" w:rsidP="00E32F13">
            <w:pPr>
              <w:pStyle w:val="TableParagraph"/>
              <w:rPr>
                <w:b/>
              </w:rPr>
            </w:pPr>
            <w:r>
              <w:rPr>
                <w:b/>
              </w:rPr>
              <w:t>Grade 4</w:t>
            </w:r>
            <w:r>
              <w:rPr>
                <w:b/>
                <w:spacing w:val="-3"/>
              </w:rPr>
              <w:t xml:space="preserve"> </w:t>
            </w:r>
            <w:r>
              <w:rPr>
                <w:b/>
                <w:spacing w:val="-5"/>
              </w:rPr>
              <w:t>AEs</w:t>
            </w:r>
          </w:p>
        </w:tc>
        <w:tc>
          <w:tcPr>
            <w:tcW w:w="3839" w:type="dxa"/>
          </w:tcPr>
          <w:p w14:paraId="25E9EB64" w14:textId="77777777" w:rsidR="00DA4A19" w:rsidRDefault="00DA4A19" w:rsidP="00E32F13">
            <w:pPr>
              <w:pStyle w:val="TableParagraph"/>
              <w:ind w:left="440"/>
            </w:pPr>
            <w:r>
              <w:rPr>
                <w:spacing w:val="-5"/>
              </w:rPr>
              <w:t>5%</w:t>
            </w:r>
          </w:p>
        </w:tc>
        <w:tc>
          <w:tcPr>
            <w:tcW w:w="2675" w:type="dxa"/>
            <w:shd w:val="clear" w:color="auto" w:fill="auto"/>
          </w:tcPr>
          <w:p w14:paraId="19F80F1B" w14:textId="77777777" w:rsidR="00DA4A19" w:rsidRDefault="00DA4A19" w:rsidP="00E32F13">
            <w:pPr>
              <w:pStyle w:val="TableParagraph"/>
              <w:ind w:left="134"/>
            </w:pPr>
            <w:r>
              <w:rPr>
                <w:spacing w:val="-4"/>
              </w:rPr>
              <w:t>3.7%</w:t>
            </w:r>
          </w:p>
        </w:tc>
      </w:tr>
      <w:tr w:rsidR="00DA4A19" w14:paraId="127DFD58" w14:textId="77777777" w:rsidTr="00AB5A4A">
        <w:trPr>
          <w:trHeight w:val="496"/>
        </w:trPr>
        <w:tc>
          <w:tcPr>
            <w:tcW w:w="2502" w:type="dxa"/>
          </w:tcPr>
          <w:p w14:paraId="2751EA2E" w14:textId="77777777" w:rsidR="00DA4A19" w:rsidRDefault="00DA4A19" w:rsidP="00E32F13">
            <w:pPr>
              <w:pStyle w:val="TableParagraph"/>
              <w:rPr>
                <w:b/>
              </w:rPr>
            </w:pPr>
            <w:r>
              <w:rPr>
                <w:b/>
              </w:rPr>
              <w:t>Grade</w:t>
            </w:r>
            <w:r>
              <w:rPr>
                <w:b/>
                <w:spacing w:val="-3"/>
              </w:rPr>
              <w:t xml:space="preserve"> </w:t>
            </w:r>
            <w:r>
              <w:rPr>
                <w:b/>
              </w:rPr>
              <w:t>5</w:t>
            </w:r>
            <w:r>
              <w:rPr>
                <w:b/>
                <w:spacing w:val="-2"/>
              </w:rPr>
              <w:t xml:space="preserve"> </w:t>
            </w:r>
            <w:r>
              <w:rPr>
                <w:b/>
              </w:rPr>
              <w:t>of</w:t>
            </w:r>
            <w:r>
              <w:rPr>
                <w:b/>
                <w:spacing w:val="-2"/>
              </w:rPr>
              <w:t xml:space="preserve"> </w:t>
            </w:r>
            <w:r>
              <w:rPr>
                <w:b/>
              </w:rPr>
              <w:t>fatal</w:t>
            </w:r>
            <w:r>
              <w:rPr>
                <w:b/>
                <w:spacing w:val="-3"/>
              </w:rPr>
              <w:t xml:space="preserve"> </w:t>
            </w:r>
            <w:r>
              <w:rPr>
                <w:b/>
                <w:spacing w:val="-5"/>
              </w:rPr>
              <w:t>AEs</w:t>
            </w:r>
          </w:p>
        </w:tc>
        <w:tc>
          <w:tcPr>
            <w:tcW w:w="3839" w:type="dxa"/>
          </w:tcPr>
          <w:p w14:paraId="0C91B670" w14:textId="77777777" w:rsidR="00DA4A19" w:rsidRDefault="00DA4A19" w:rsidP="00E32F13">
            <w:pPr>
              <w:pStyle w:val="TableParagraph"/>
              <w:ind w:left="440"/>
            </w:pPr>
            <w:r>
              <w:rPr>
                <w:spacing w:val="-5"/>
              </w:rPr>
              <w:t>7%</w:t>
            </w:r>
          </w:p>
        </w:tc>
        <w:tc>
          <w:tcPr>
            <w:tcW w:w="2675" w:type="dxa"/>
          </w:tcPr>
          <w:p w14:paraId="4D10A45A" w14:textId="77777777" w:rsidR="00DA4A19" w:rsidRDefault="00DA4A19" w:rsidP="00E32F13">
            <w:pPr>
              <w:pStyle w:val="TableParagraph"/>
              <w:ind w:left="134"/>
            </w:pPr>
            <w:r>
              <w:rPr>
                <w:spacing w:val="-5"/>
              </w:rPr>
              <w:t>7%</w:t>
            </w:r>
          </w:p>
        </w:tc>
      </w:tr>
      <w:tr w:rsidR="00DA4A19" w14:paraId="4FD1112A" w14:textId="77777777" w:rsidTr="00AB5A4A">
        <w:trPr>
          <w:trHeight w:val="498"/>
        </w:trPr>
        <w:tc>
          <w:tcPr>
            <w:tcW w:w="2502" w:type="dxa"/>
          </w:tcPr>
          <w:p w14:paraId="066CDAFC" w14:textId="77777777" w:rsidR="00DA4A19" w:rsidRDefault="00DA4A19" w:rsidP="00E32F13">
            <w:pPr>
              <w:pStyle w:val="TableParagraph"/>
              <w:rPr>
                <w:b/>
              </w:rPr>
            </w:pPr>
            <w:r>
              <w:rPr>
                <w:b/>
                <w:spacing w:val="-4"/>
              </w:rPr>
              <w:t>SAEs</w:t>
            </w:r>
          </w:p>
        </w:tc>
        <w:tc>
          <w:tcPr>
            <w:tcW w:w="3839" w:type="dxa"/>
          </w:tcPr>
          <w:p w14:paraId="1919AA00" w14:textId="77777777" w:rsidR="00DA4A19" w:rsidRDefault="00DA4A19" w:rsidP="00E32F13">
            <w:pPr>
              <w:pStyle w:val="TableParagraph"/>
              <w:ind w:left="440"/>
            </w:pPr>
            <w:r>
              <w:rPr>
                <w:spacing w:val="-5"/>
              </w:rPr>
              <w:t>48%</w:t>
            </w:r>
          </w:p>
        </w:tc>
        <w:tc>
          <w:tcPr>
            <w:tcW w:w="2675" w:type="dxa"/>
          </w:tcPr>
          <w:p w14:paraId="089B7B2D" w14:textId="77777777" w:rsidR="00DA4A19" w:rsidRDefault="00DA4A19" w:rsidP="00E32F13">
            <w:pPr>
              <w:pStyle w:val="TableParagraph"/>
              <w:ind w:left="134"/>
            </w:pPr>
            <w:r>
              <w:rPr>
                <w:spacing w:val="-5"/>
              </w:rPr>
              <w:t>33%</w:t>
            </w:r>
          </w:p>
        </w:tc>
      </w:tr>
    </w:tbl>
    <w:p w14:paraId="7B028A07" w14:textId="5F7BE59C" w:rsidR="004D5A72" w:rsidRDefault="004D5A72" w:rsidP="004D5A72">
      <w:pPr>
        <w:pStyle w:val="Heading5"/>
      </w:pPr>
      <w:r>
        <w:lastRenderedPageBreak/>
        <w:t>Deaths</w:t>
      </w:r>
    </w:p>
    <w:p w14:paraId="718A1482" w14:textId="26FBF3E1" w:rsidR="004D5A72" w:rsidRDefault="004D5A72" w:rsidP="004D5A72">
      <w:r>
        <w:t xml:space="preserve">The incidence of deaths due to TEAEs within 30 days of the last dose of study therapy in MARIPOSA was similar for the </w:t>
      </w:r>
      <w:r w:rsidR="006E6321">
        <w:t>lazertinib</w:t>
      </w:r>
      <w:r w:rsidR="00664CB2">
        <w:t xml:space="preserve"> </w:t>
      </w:r>
      <w:r>
        <w:t>+</w:t>
      </w:r>
      <w:r w:rsidR="00664CB2">
        <w:t xml:space="preserve"> </w:t>
      </w:r>
      <w:r>
        <w:t xml:space="preserve">amivantamab and </w:t>
      </w:r>
      <w:r w:rsidR="006E6321">
        <w:t>osimertinib</w:t>
      </w:r>
      <w:r>
        <w:t xml:space="preserve"> arms.</w:t>
      </w:r>
    </w:p>
    <w:p w14:paraId="48A1E492" w14:textId="4F97082A" w:rsidR="004D5A72" w:rsidRDefault="004D5A72" w:rsidP="004D5A72">
      <w:r>
        <w:t xml:space="preserve">Of note, </w:t>
      </w:r>
      <w:r w:rsidR="000D3BF4">
        <w:t>0.5%</w:t>
      </w:r>
      <w:r>
        <w:t xml:space="preserve"> of patients experienced fatal TEAEs due to potential thrombotic events (i.e., </w:t>
      </w:r>
      <w:r w:rsidR="000D3BF4">
        <w:t xml:space="preserve">VTE, </w:t>
      </w:r>
      <w:r w:rsidR="006F01C4">
        <w:t>p</w:t>
      </w:r>
      <w:r w:rsidR="006F01C4" w:rsidRPr="006F01C4">
        <w:t xml:space="preserve">ulmonary </w:t>
      </w:r>
      <w:r w:rsidR="006F01C4">
        <w:t>e</w:t>
      </w:r>
      <w:r w:rsidR="006F01C4" w:rsidRPr="006F01C4">
        <w:t>mbolism</w:t>
      </w:r>
      <w:r>
        <w:t>)</w:t>
      </w:r>
      <w:r w:rsidR="000D3BF4">
        <w:t xml:space="preserve"> in lazertinib + amivantamab arm</w:t>
      </w:r>
      <w:r>
        <w:t>. This should be detailed in the relevant section of the Australian PIs.</w:t>
      </w:r>
    </w:p>
    <w:p w14:paraId="53DCA132" w14:textId="34053F5B" w:rsidR="00DA4A19" w:rsidRDefault="004D5A72" w:rsidP="007B020C">
      <w:pPr>
        <w:pStyle w:val="Heading5"/>
      </w:pPr>
      <w:r>
        <w:t xml:space="preserve">Serious </w:t>
      </w:r>
      <w:r w:rsidR="007B020C">
        <w:t>a</w:t>
      </w:r>
      <w:r>
        <w:t xml:space="preserve">dverse </w:t>
      </w:r>
      <w:r w:rsidR="007B020C">
        <w:t>e</w:t>
      </w:r>
      <w:r>
        <w:t>vents</w:t>
      </w:r>
    </w:p>
    <w:p w14:paraId="25EE7D93" w14:textId="3CD42BF9" w:rsidR="007B020C" w:rsidRDefault="007B020C" w:rsidP="00D2768A">
      <w:pPr>
        <w:pStyle w:val="TableTitle"/>
      </w:pPr>
      <w:r w:rsidRPr="007B020C">
        <w:t xml:space="preserve">Table </w:t>
      </w:r>
      <w:r w:rsidR="00734D3C">
        <w:t>7</w:t>
      </w:r>
      <w:r w:rsidRPr="007B020C">
        <w:t>. MARIPOSA study</w:t>
      </w:r>
      <w:r>
        <w:t xml:space="preserve"> s</w:t>
      </w:r>
      <w:r w:rsidRPr="007B020C">
        <w:t>erious adverse events summary</w:t>
      </w:r>
    </w:p>
    <w:tbl>
      <w:tblPr>
        <w:tblW w:w="0" w:type="auto"/>
        <w:tblInd w:w="33" w:type="dxa"/>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ayout w:type="fixed"/>
        <w:tblCellMar>
          <w:left w:w="0" w:type="dxa"/>
          <w:right w:w="0" w:type="dxa"/>
        </w:tblCellMar>
        <w:tblLook w:val="01E0" w:firstRow="1" w:lastRow="1" w:firstColumn="1" w:lastColumn="1" w:noHBand="0" w:noVBand="0"/>
      </w:tblPr>
      <w:tblGrid>
        <w:gridCol w:w="2502"/>
        <w:gridCol w:w="4135"/>
        <w:gridCol w:w="2379"/>
      </w:tblGrid>
      <w:tr w:rsidR="00D2768A" w14:paraId="10478461" w14:textId="77777777" w:rsidTr="00D2768A">
        <w:trPr>
          <w:trHeight w:val="508"/>
        </w:trPr>
        <w:tc>
          <w:tcPr>
            <w:tcW w:w="2502" w:type="dxa"/>
            <w:shd w:val="clear" w:color="auto" w:fill="DEEAF6"/>
          </w:tcPr>
          <w:p w14:paraId="0CC93724" w14:textId="77777777" w:rsidR="00D2768A" w:rsidRPr="00D2768A" w:rsidRDefault="00D2768A" w:rsidP="00E32F13">
            <w:pPr>
              <w:pStyle w:val="TableParagraph"/>
              <w:spacing w:before="127"/>
              <w:rPr>
                <w:b/>
                <w:color w:val="263287"/>
              </w:rPr>
            </w:pPr>
            <w:r w:rsidRPr="00D2768A">
              <w:rPr>
                <w:b/>
                <w:color w:val="263287"/>
              </w:rPr>
              <w:t>Adverse</w:t>
            </w:r>
            <w:r w:rsidRPr="00D2768A">
              <w:rPr>
                <w:b/>
                <w:color w:val="263287"/>
                <w:spacing w:val="-2"/>
              </w:rPr>
              <w:t xml:space="preserve"> event</w:t>
            </w:r>
          </w:p>
        </w:tc>
        <w:tc>
          <w:tcPr>
            <w:tcW w:w="4135" w:type="dxa"/>
            <w:shd w:val="clear" w:color="auto" w:fill="DEEAF6"/>
          </w:tcPr>
          <w:p w14:paraId="1E550AA4" w14:textId="703968FE" w:rsidR="00D2768A" w:rsidRPr="00D2768A" w:rsidRDefault="008C718A" w:rsidP="00E32F13">
            <w:pPr>
              <w:pStyle w:val="TableParagraph"/>
              <w:spacing w:before="127"/>
              <w:ind w:left="440"/>
              <w:rPr>
                <w:b/>
                <w:color w:val="263287"/>
              </w:rPr>
            </w:pPr>
            <w:r>
              <w:rPr>
                <w:b/>
                <w:color w:val="263287"/>
              </w:rPr>
              <w:t>a</w:t>
            </w:r>
            <w:r w:rsidR="00D2768A" w:rsidRPr="00D2768A">
              <w:rPr>
                <w:b/>
                <w:color w:val="263287"/>
              </w:rPr>
              <w:t>mivantamab</w:t>
            </w:r>
            <w:r w:rsidR="00D2768A" w:rsidRPr="00D2768A">
              <w:rPr>
                <w:b/>
                <w:color w:val="263287"/>
                <w:spacing w:val="-8"/>
              </w:rPr>
              <w:t xml:space="preserve"> </w:t>
            </w:r>
            <w:r w:rsidR="00D2768A" w:rsidRPr="00D2768A">
              <w:rPr>
                <w:b/>
                <w:color w:val="263287"/>
              </w:rPr>
              <w:t>+</w:t>
            </w:r>
            <w:r w:rsidR="00D2768A" w:rsidRPr="00D2768A">
              <w:rPr>
                <w:b/>
                <w:color w:val="263287"/>
                <w:spacing w:val="-5"/>
              </w:rPr>
              <w:t xml:space="preserve"> </w:t>
            </w:r>
            <w:r w:rsidR="006E6321">
              <w:rPr>
                <w:b/>
                <w:color w:val="263287"/>
              </w:rPr>
              <w:t>lazertinib</w:t>
            </w:r>
            <w:r w:rsidR="00D2768A" w:rsidRPr="00D2768A">
              <w:rPr>
                <w:b/>
                <w:color w:val="263287"/>
                <w:spacing w:val="-7"/>
              </w:rPr>
              <w:t xml:space="preserve"> </w:t>
            </w:r>
            <w:r w:rsidR="00D2768A" w:rsidRPr="00D2768A">
              <w:rPr>
                <w:b/>
                <w:color w:val="263287"/>
                <w:spacing w:val="-2"/>
              </w:rPr>
              <w:t>(n=421)</w:t>
            </w:r>
          </w:p>
        </w:tc>
        <w:tc>
          <w:tcPr>
            <w:tcW w:w="2379" w:type="dxa"/>
            <w:shd w:val="clear" w:color="auto" w:fill="DEEAF6"/>
          </w:tcPr>
          <w:p w14:paraId="3F85EFA6" w14:textId="24156806" w:rsidR="00D2768A" w:rsidRPr="00D2768A" w:rsidRDefault="006E6321" w:rsidP="00E32F13">
            <w:pPr>
              <w:pStyle w:val="TableParagraph"/>
              <w:spacing w:before="127"/>
              <w:ind w:left="134"/>
              <w:rPr>
                <w:b/>
                <w:color w:val="263287"/>
              </w:rPr>
            </w:pPr>
            <w:r>
              <w:rPr>
                <w:b/>
                <w:color w:val="263287"/>
              </w:rPr>
              <w:t>osimertinib</w:t>
            </w:r>
            <w:r w:rsidR="00D2768A" w:rsidRPr="00D2768A">
              <w:rPr>
                <w:b/>
                <w:color w:val="263287"/>
                <w:spacing w:val="-12"/>
              </w:rPr>
              <w:t xml:space="preserve"> </w:t>
            </w:r>
            <w:r w:rsidR="00D2768A" w:rsidRPr="00D2768A">
              <w:rPr>
                <w:b/>
                <w:color w:val="263287"/>
                <w:spacing w:val="-2"/>
              </w:rPr>
              <w:t>(n=428)</w:t>
            </w:r>
          </w:p>
        </w:tc>
      </w:tr>
      <w:tr w:rsidR="00D2768A" w14:paraId="5C25FEBB" w14:textId="77777777" w:rsidTr="00D2768A">
        <w:trPr>
          <w:trHeight w:val="494"/>
        </w:trPr>
        <w:tc>
          <w:tcPr>
            <w:tcW w:w="2502" w:type="dxa"/>
          </w:tcPr>
          <w:p w14:paraId="22AE453F" w14:textId="77777777" w:rsidR="00D2768A" w:rsidRDefault="00D2768A" w:rsidP="00E32F13">
            <w:pPr>
              <w:pStyle w:val="TableParagraph"/>
              <w:spacing w:before="114"/>
              <w:rPr>
                <w:b/>
              </w:rPr>
            </w:pPr>
            <w:r>
              <w:rPr>
                <w:b/>
              </w:rPr>
              <w:t>All-grade</w:t>
            </w:r>
            <w:r>
              <w:rPr>
                <w:b/>
                <w:spacing w:val="-7"/>
              </w:rPr>
              <w:t xml:space="preserve"> </w:t>
            </w:r>
            <w:r>
              <w:rPr>
                <w:b/>
                <w:spacing w:val="-5"/>
              </w:rPr>
              <w:t>AEs</w:t>
            </w:r>
          </w:p>
        </w:tc>
        <w:tc>
          <w:tcPr>
            <w:tcW w:w="4135" w:type="dxa"/>
          </w:tcPr>
          <w:p w14:paraId="12A34AB8" w14:textId="77777777" w:rsidR="00D2768A" w:rsidRDefault="00D2768A" w:rsidP="00E32F13">
            <w:pPr>
              <w:pStyle w:val="TableParagraph"/>
              <w:spacing w:before="114"/>
              <w:ind w:left="440"/>
            </w:pPr>
            <w:r>
              <w:rPr>
                <w:spacing w:val="-4"/>
              </w:rPr>
              <w:t>100%</w:t>
            </w:r>
          </w:p>
        </w:tc>
        <w:tc>
          <w:tcPr>
            <w:tcW w:w="2379" w:type="dxa"/>
          </w:tcPr>
          <w:p w14:paraId="1D763D9A" w14:textId="77777777" w:rsidR="00D2768A" w:rsidRDefault="00D2768A" w:rsidP="00E32F13">
            <w:pPr>
              <w:pStyle w:val="TableParagraph"/>
              <w:spacing w:before="114"/>
              <w:ind w:left="134"/>
            </w:pPr>
            <w:r>
              <w:rPr>
                <w:spacing w:val="-5"/>
              </w:rPr>
              <w:t>99%</w:t>
            </w:r>
          </w:p>
        </w:tc>
      </w:tr>
      <w:tr w:rsidR="00D2768A" w14:paraId="7489BA6B" w14:textId="77777777" w:rsidTr="00D2768A">
        <w:trPr>
          <w:trHeight w:val="496"/>
        </w:trPr>
        <w:tc>
          <w:tcPr>
            <w:tcW w:w="2502" w:type="dxa"/>
          </w:tcPr>
          <w:p w14:paraId="38AA3835" w14:textId="77777777" w:rsidR="00D2768A" w:rsidRDefault="00D2768A" w:rsidP="00E32F13">
            <w:pPr>
              <w:pStyle w:val="TableParagraph"/>
              <w:rPr>
                <w:b/>
              </w:rPr>
            </w:pPr>
            <w:r>
              <w:rPr>
                <w:b/>
              </w:rPr>
              <w:t>Grade</w:t>
            </w:r>
            <w:r>
              <w:rPr>
                <w:b/>
                <w:spacing w:val="-3"/>
              </w:rPr>
              <w:t xml:space="preserve"> </w:t>
            </w:r>
            <w:r>
              <w:rPr>
                <w:b/>
              </w:rPr>
              <w:t xml:space="preserve">3-4 </w:t>
            </w:r>
            <w:r>
              <w:rPr>
                <w:b/>
                <w:spacing w:val="-5"/>
              </w:rPr>
              <w:t>AEs</w:t>
            </w:r>
          </w:p>
        </w:tc>
        <w:tc>
          <w:tcPr>
            <w:tcW w:w="4135" w:type="dxa"/>
          </w:tcPr>
          <w:p w14:paraId="753B0EC9" w14:textId="77777777" w:rsidR="00D2768A" w:rsidRDefault="00D2768A" w:rsidP="00E32F13">
            <w:pPr>
              <w:pStyle w:val="TableParagraph"/>
              <w:ind w:left="440"/>
            </w:pPr>
            <w:r>
              <w:rPr>
                <w:spacing w:val="-5"/>
              </w:rPr>
              <w:t>67%</w:t>
            </w:r>
          </w:p>
        </w:tc>
        <w:tc>
          <w:tcPr>
            <w:tcW w:w="2379" w:type="dxa"/>
          </w:tcPr>
          <w:p w14:paraId="75B3246F" w14:textId="77777777" w:rsidR="00D2768A" w:rsidRDefault="00D2768A" w:rsidP="00E32F13">
            <w:pPr>
              <w:pStyle w:val="TableParagraph"/>
              <w:ind w:left="134"/>
            </w:pPr>
            <w:r>
              <w:rPr>
                <w:spacing w:val="-5"/>
              </w:rPr>
              <w:t>36%</w:t>
            </w:r>
          </w:p>
        </w:tc>
      </w:tr>
      <w:tr w:rsidR="00D2768A" w14:paraId="33D11D32" w14:textId="77777777" w:rsidTr="00D2768A">
        <w:trPr>
          <w:trHeight w:val="498"/>
        </w:trPr>
        <w:tc>
          <w:tcPr>
            <w:tcW w:w="2502" w:type="dxa"/>
          </w:tcPr>
          <w:p w14:paraId="62C1A410" w14:textId="77777777" w:rsidR="00D2768A" w:rsidRDefault="00D2768A" w:rsidP="00E32F13">
            <w:pPr>
              <w:pStyle w:val="TableParagraph"/>
              <w:rPr>
                <w:b/>
              </w:rPr>
            </w:pPr>
            <w:r>
              <w:rPr>
                <w:b/>
              </w:rPr>
              <w:t>Grade 3</w:t>
            </w:r>
            <w:r>
              <w:rPr>
                <w:b/>
                <w:spacing w:val="-3"/>
              </w:rPr>
              <w:t xml:space="preserve"> </w:t>
            </w:r>
            <w:r>
              <w:rPr>
                <w:b/>
                <w:spacing w:val="-5"/>
              </w:rPr>
              <w:t>AEs</w:t>
            </w:r>
          </w:p>
        </w:tc>
        <w:tc>
          <w:tcPr>
            <w:tcW w:w="4135" w:type="dxa"/>
          </w:tcPr>
          <w:p w14:paraId="39BFEA21" w14:textId="77777777" w:rsidR="00D2768A" w:rsidRDefault="00D2768A" w:rsidP="00E32F13">
            <w:pPr>
              <w:pStyle w:val="TableParagraph"/>
              <w:ind w:left="440"/>
            </w:pPr>
            <w:r>
              <w:rPr>
                <w:spacing w:val="-5"/>
              </w:rPr>
              <w:t>62%</w:t>
            </w:r>
          </w:p>
        </w:tc>
        <w:tc>
          <w:tcPr>
            <w:tcW w:w="2379" w:type="dxa"/>
          </w:tcPr>
          <w:p w14:paraId="1285D88C" w14:textId="77777777" w:rsidR="00D2768A" w:rsidRDefault="00D2768A" w:rsidP="00E32F13">
            <w:pPr>
              <w:pStyle w:val="TableParagraph"/>
              <w:ind w:left="134"/>
            </w:pPr>
            <w:r>
              <w:rPr>
                <w:spacing w:val="-5"/>
              </w:rPr>
              <w:t>32%</w:t>
            </w:r>
          </w:p>
        </w:tc>
      </w:tr>
      <w:tr w:rsidR="00D2768A" w14:paraId="719D71C2" w14:textId="77777777" w:rsidTr="00D2768A">
        <w:trPr>
          <w:trHeight w:val="498"/>
        </w:trPr>
        <w:tc>
          <w:tcPr>
            <w:tcW w:w="2502" w:type="dxa"/>
          </w:tcPr>
          <w:p w14:paraId="7859D2B0" w14:textId="77777777" w:rsidR="00D2768A" w:rsidRDefault="00D2768A" w:rsidP="00E32F13">
            <w:pPr>
              <w:pStyle w:val="TableParagraph"/>
              <w:rPr>
                <w:b/>
              </w:rPr>
            </w:pPr>
            <w:r>
              <w:rPr>
                <w:b/>
              </w:rPr>
              <w:t>Grade 4</w:t>
            </w:r>
            <w:r>
              <w:rPr>
                <w:b/>
                <w:spacing w:val="-3"/>
              </w:rPr>
              <w:t xml:space="preserve"> </w:t>
            </w:r>
            <w:r>
              <w:rPr>
                <w:b/>
                <w:spacing w:val="-5"/>
              </w:rPr>
              <w:t>AEs</w:t>
            </w:r>
          </w:p>
        </w:tc>
        <w:tc>
          <w:tcPr>
            <w:tcW w:w="4135" w:type="dxa"/>
          </w:tcPr>
          <w:p w14:paraId="28F4ADBD" w14:textId="77777777" w:rsidR="00D2768A" w:rsidRDefault="00D2768A" w:rsidP="00E32F13">
            <w:pPr>
              <w:pStyle w:val="TableParagraph"/>
              <w:ind w:left="440"/>
            </w:pPr>
            <w:r>
              <w:rPr>
                <w:spacing w:val="-5"/>
              </w:rPr>
              <w:t>5%</w:t>
            </w:r>
          </w:p>
        </w:tc>
        <w:tc>
          <w:tcPr>
            <w:tcW w:w="2379" w:type="dxa"/>
          </w:tcPr>
          <w:p w14:paraId="4DB9F29E" w14:textId="77777777" w:rsidR="00D2768A" w:rsidRDefault="00D2768A" w:rsidP="00E32F13">
            <w:pPr>
              <w:pStyle w:val="TableParagraph"/>
              <w:ind w:left="134"/>
            </w:pPr>
            <w:r>
              <w:rPr>
                <w:spacing w:val="-4"/>
              </w:rPr>
              <w:t>3.7%</w:t>
            </w:r>
          </w:p>
        </w:tc>
      </w:tr>
      <w:tr w:rsidR="00D2768A" w14:paraId="553999F9" w14:textId="77777777" w:rsidTr="00D2768A">
        <w:trPr>
          <w:trHeight w:val="496"/>
        </w:trPr>
        <w:tc>
          <w:tcPr>
            <w:tcW w:w="2502" w:type="dxa"/>
          </w:tcPr>
          <w:p w14:paraId="402221ED" w14:textId="77777777" w:rsidR="00D2768A" w:rsidRDefault="00D2768A" w:rsidP="00E32F13">
            <w:pPr>
              <w:pStyle w:val="TableParagraph"/>
              <w:rPr>
                <w:b/>
              </w:rPr>
            </w:pPr>
            <w:r>
              <w:rPr>
                <w:b/>
              </w:rPr>
              <w:t>Grade</w:t>
            </w:r>
            <w:r>
              <w:rPr>
                <w:b/>
                <w:spacing w:val="-3"/>
              </w:rPr>
              <w:t xml:space="preserve"> </w:t>
            </w:r>
            <w:r>
              <w:rPr>
                <w:b/>
              </w:rPr>
              <w:t>5</w:t>
            </w:r>
            <w:r>
              <w:rPr>
                <w:b/>
                <w:spacing w:val="-2"/>
              </w:rPr>
              <w:t xml:space="preserve"> </w:t>
            </w:r>
            <w:r>
              <w:rPr>
                <w:b/>
              </w:rPr>
              <w:t>of</w:t>
            </w:r>
            <w:r>
              <w:rPr>
                <w:b/>
                <w:spacing w:val="-2"/>
              </w:rPr>
              <w:t xml:space="preserve"> </w:t>
            </w:r>
            <w:r>
              <w:rPr>
                <w:b/>
              </w:rPr>
              <w:t>fatal</w:t>
            </w:r>
            <w:r>
              <w:rPr>
                <w:b/>
                <w:spacing w:val="-3"/>
              </w:rPr>
              <w:t xml:space="preserve"> </w:t>
            </w:r>
            <w:r>
              <w:rPr>
                <w:b/>
                <w:spacing w:val="-5"/>
              </w:rPr>
              <w:t>AEs</w:t>
            </w:r>
          </w:p>
        </w:tc>
        <w:tc>
          <w:tcPr>
            <w:tcW w:w="4135" w:type="dxa"/>
          </w:tcPr>
          <w:p w14:paraId="787C6413" w14:textId="77777777" w:rsidR="00D2768A" w:rsidRDefault="00D2768A" w:rsidP="00E32F13">
            <w:pPr>
              <w:pStyle w:val="TableParagraph"/>
              <w:ind w:left="440"/>
            </w:pPr>
            <w:r>
              <w:rPr>
                <w:spacing w:val="-5"/>
              </w:rPr>
              <w:t>7%</w:t>
            </w:r>
          </w:p>
        </w:tc>
        <w:tc>
          <w:tcPr>
            <w:tcW w:w="2379" w:type="dxa"/>
          </w:tcPr>
          <w:p w14:paraId="57182B15" w14:textId="77777777" w:rsidR="00D2768A" w:rsidRDefault="00D2768A" w:rsidP="00E32F13">
            <w:pPr>
              <w:pStyle w:val="TableParagraph"/>
              <w:ind w:left="134"/>
            </w:pPr>
            <w:r>
              <w:rPr>
                <w:spacing w:val="-5"/>
              </w:rPr>
              <w:t>7%</w:t>
            </w:r>
          </w:p>
        </w:tc>
      </w:tr>
      <w:tr w:rsidR="00D2768A" w14:paraId="206E7C87" w14:textId="77777777" w:rsidTr="00D2768A">
        <w:trPr>
          <w:trHeight w:val="498"/>
        </w:trPr>
        <w:tc>
          <w:tcPr>
            <w:tcW w:w="2502" w:type="dxa"/>
          </w:tcPr>
          <w:p w14:paraId="1DD4BB07" w14:textId="77777777" w:rsidR="00D2768A" w:rsidRDefault="00D2768A" w:rsidP="00E32F13">
            <w:pPr>
              <w:pStyle w:val="TableParagraph"/>
              <w:rPr>
                <w:b/>
              </w:rPr>
            </w:pPr>
            <w:r>
              <w:rPr>
                <w:b/>
                <w:spacing w:val="-4"/>
              </w:rPr>
              <w:t>SAEs</w:t>
            </w:r>
          </w:p>
        </w:tc>
        <w:tc>
          <w:tcPr>
            <w:tcW w:w="4135" w:type="dxa"/>
          </w:tcPr>
          <w:p w14:paraId="0517BFA8" w14:textId="77777777" w:rsidR="00D2768A" w:rsidRDefault="00D2768A" w:rsidP="00E32F13">
            <w:pPr>
              <w:pStyle w:val="TableParagraph"/>
              <w:ind w:left="440"/>
            </w:pPr>
            <w:r>
              <w:rPr>
                <w:spacing w:val="-5"/>
              </w:rPr>
              <w:t>48%</w:t>
            </w:r>
          </w:p>
        </w:tc>
        <w:tc>
          <w:tcPr>
            <w:tcW w:w="2379" w:type="dxa"/>
          </w:tcPr>
          <w:p w14:paraId="7B2047C6" w14:textId="77777777" w:rsidR="00D2768A" w:rsidRDefault="00D2768A" w:rsidP="00E32F13">
            <w:pPr>
              <w:pStyle w:val="TableParagraph"/>
              <w:ind w:left="134"/>
            </w:pPr>
            <w:r>
              <w:rPr>
                <w:spacing w:val="-5"/>
              </w:rPr>
              <w:t>33%</w:t>
            </w:r>
          </w:p>
        </w:tc>
      </w:tr>
    </w:tbl>
    <w:p w14:paraId="12E99791" w14:textId="77777777" w:rsidR="00F83B67" w:rsidRDefault="00F83B67" w:rsidP="00F83B67"/>
    <w:p w14:paraId="0689AED7" w14:textId="13AD8B16" w:rsidR="00F83B67" w:rsidRDefault="00F83B67" w:rsidP="00F83B67">
      <w:r>
        <w:t>While the incidence of SAEs was similar for most types of events across the arms A and B, VTEs occurred more frequently in the amivantamab</w:t>
      </w:r>
      <w:r w:rsidR="00664CB2">
        <w:t xml:space="preserve"> </w:t>
      </w:r>
      <w:r>
        <w:t>+</w:t>
      </w:r>
      <w:r w:rsidR="00664CB2">
        <w:t xml:space="preserve"> </w:t>
      </w:r>
      <w:r w:rsidR="006E6321">
        <w:t>lazertinib</w:t>
      </w:r>
      <w:r>
        <w:t xml:space="preserve"> combination arm.</w:t>
      </w:r>
    </w:p>
    <w:p w14:paraId="6803B8F9" w14:textId="67BE54A8" w:rsidR="00F83B67" w:rsidRDefault="00F83B67" w:rsidP="0046788C">
      <w:pPr>
        <w:pStyle w:val="Heading5"/>
      </w:pPr>
      <w:r>
        <w:t xml:space="preserve">Significant </w:t>
      </w:r>
      <w:r w:rsidR="008C718A">
        <w:t>a</w:t>
      </w:r>
      <w:r>
        <w:t xml:space="preserve">dverse </w:t>
      </w:r>
      <w:r w:rsidR="008C718A">
        <w:t>e</w:t>
      </w:r>
      <w:r>
        <w:t>vents</w:t>
      </w:r>
    </w:p>
    <w:p w14:paraId="39F87C66" w14:textId="28205437" w:rsidR="00D2768A" w:rsidRDefault="00734D3C" w:rsidP="00F7100D">
      <w:pPr>
        <w:pStyle w:val="TableTitle"/>
      </w:pPr>
      <w:r>
        <w:t xml:space="preserve">Table 8. </w:t>
      </w:r>
      <w:r w:rsidR="00F83B67">
        <w:t>MARIPOSA – grades 3-4 AEs occurring in ≥10% of patients treated in Arms A and B</w:t>
      </w:r>
    </w:p>
    <w:tbl>
      <w:tblPr>
        <w:tblW w:w="0" w:type="auto"/>
        <w:tblInd w:w="33" w:type="dxa"/>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ayout w:type="fixed"/>
        <w:tblCellMar>
          <w:left w:w="0" w:type="dxa"/>
          <w:right w:w="0" w:type="dxa"/>
        </w:tblCellMar>
        <w:tblLook w:val="01E0" w:firstRow="1" w:lastRow="1" w:firstColumn="1" w:lastColumn="1" w:noHBand="0" w:noVBand="0"/>
      </w:tblPr>
      <w:tblGrid>
        <w:gridCol w:w="2505"/>
        <w:gridCol w:w="3836"/>
        <w:gridCol w:w="2677"/>
      </w:tblGrid>
      <w:tr w:rsidR="00DD7DA1" w14:paraId="74CA5151" w14:textId="77777777" w:rsidTr="00AB5A4A">
        <w:trPr>
          <w:trHeight w:val="513"/>
        </w:trPr>
        <w:tc>
          <w:tcPr>
            <w:tcW w:w="2505" w:type="dxa"/>
            <w:shd w:val="clear" w:color="auto" w:fill="DEEAF6"/>
          </w:tcPr>
          <w:p w14:paraId="1B163DAB" w14:textId="77777777" w:rsidR="00DD7DA1" w:rsidRPr="00DD7DA1" w:rsidRDefault="00DD7DA1" w:rsidP="00E32F13">
            <w:pPr>
              <w:pStyle w:val="TableParagraph"/>
              <w:spacing w:before="129"/>
              <w:rPr>
                <w:b/>
                <w:color w:val="263287"/>
              </w:rPr>
            </w:pPr>
            <w:r w:rsidRPr="00DD7DA1">
              <w:rPr>
                <w:b/>
                <w:color w:val="263287"/>
              </w:rPr>
              <w:t>Adverse</w:t>
            </w:r>
            <w:r w:rsidRPr="00DD7DA1">
              <w:rPr>
                <w:b/>
                <w:color w:val="263287"/>
                <w:spacing w:val="-2"/>
              </w:rPr>
              <w:t xml:space="preserve"> event</w:t>
            </w:r>
          </w:p>
        </w:tc>
        <w:tc>
          <w:tcPr>
            <w:tcW w:w="3836" w:type="dxa"/>
            <w:shd w:val="clear" w:color="auto" w:fill="DEEAF6"/>
          </w:tcPr>
          <w:p w14:paraId="3F48854A" w14:textId="2434DCB1" w:rsidR="00DD7DA1" w:rsidRPr="00DD7DA1" w:rsidRDefault="008C718A" w:rsidP="00AB5A4A">
            <w:pPr>
              <w:pStyle w:val="TableParagraph"/>
              <w:spacing w:before="129"/>
              <w:rPr>
                <w:b/>
                <w:color w:val="263287"/>
              </w:rPr>
            </w:pPr>
            <w:r>
              <w:rPr>
                <w:b/>
                <w:color w:val="263287"/>
              </w:rPr>
              <w:t>a</w:t>
            </w:r>
            <w:r w:rsidR="00DD7DA1" w:rsidRPr="00DD7DA1">
              <w:rPr>
                <w:b/>
                <w:color w:val="263287"/>
              </w:rPr>
              <w:t>mivantamab</w:t>
            </w:r>
            <w:r w:rsidR="00DD7DA1" w:rsidRPr="00DD7DA1">
              <w:rPr>
                <w:b/>
                <w:color w:val="263287"/>
                <w:spacing w:val="-7"/>
              </w:rPr>
              <w:t xml:space="preserve"> </w:t>
            </w:r>
            <w:r w:rsidR="00DD7DA1" w:rsidRPr="00DD7DA1">
              <w:rPr>
                <w:b/>
                <w:color w:val="263287"/>
              </w:rPr>
              <w:t>+</w:t>
            </w:r>
            <w:r w:rsidR="00DD7DA1" w:rsidRPr="00DD7DA1">
              <w:rPr>
                <w:b/>
                <w:color w:val="263287"/>
                <w:spacing w:val="-6"/>
              </w:rPr>
              <w:t xml:space="preserve"> </w:t>
            </w:r>
            <w:r w:rsidR="006E6321">
              <w:rPr>
                <w:b/>
                <w:color w:val="263287"/>
              </w:rPr>
              <w:t>lazertinib</w:t>
            </w:r>
            <w:r w:rsidR="00DD7DA1" w:rsidRPr="00DD7DA1">
              <w:rPr>
                <w:b/>
                <w:color w:val="263287"/>
                <w:spacing w:val="-6"/>
              </w:rPr>
              <w:t xml:space="preserve"> </w:t>
            </w:r>
            <w:r w:rsidR="00DD7DA1" w:rsidRPr="00DD7DA1">
              <w:rPr>
                <w:b/>
                <w:color w:val="263287"/>
                <w:spacing w:val="-2"/>
              </w:rPr>
              <w:t>(n=421)</w:t>
            </w:r>
          </w:p>
        </w:tc>
        <w:tc>
          <w:tcPr>
            <w:tcW w:w="2677" w:type="dxa"/>
            <w:shd w:val="clear" w:color="auto" w:fill="DEEAF6"/>
          </w:tcPr>
          <w:p w14:paraId="5C2E3C40" w14:textId="30D5DF83" w:rsidR="00DD7DA1" w:rsidRPr="00DD7DA1" w:rsidRDefault="006E6321" w:rsidP="00AB5A4A">
            <w:pPr>
              <w:pStyle w:val="TableParagraph"/>
              <w:spacing w:before="129"/>
              <w:rPr>
                <w:b/>
                <w:color w:val="263287"/>
              </w:rPr>
            </w:pPr>
            <w:r>
              <w:rPr>
                <w:b/>
                <w:color w:val="263287"/>
                <w:spacing w:val="-2"/>
              </w:rPr>
              <w:t>osimertinib</w:t>
            </w:r>
            <w:r w:rsidR="00DD7DA1" w:rsidRPr="00DD7DA1">
              <w:rPr>
                <w:b/>
                <w:color w:val="263287"/>
                <w:spacing w:val="9"/>
              </w:rPr>
              <w:t xml:space="preserve"> </w:t>
            </w:r>
            <w:r w:rsidR="00DD7DA1" w:rsidRPr="00DD7DA1">
              <w:rPr>
                <w:b/>
                <w:color w:val="263287"/>
                <w:spacing w:val="-2"/>
              </w:rPr>
              <w:t>(n=428)</w:t>
            </w:r>
          </w:p>
        </w:tc>
      </w:tr>
      <w:tr w:rsidR="00DD7DA1" w14:paraId="2C07951B" w14:textId="77777777" w:rsidTr="00AB5A4A">
        <w:trPr>
          <w:trHeight w:val="491"/>
        </w:trPr>
        <w:tc>
          <w:tcPr>
            <w:tcW w:w="2505" w:type="dxa"/>
          </w:tcPr>
          <w:p w14:paraId="109E8A1D" w14:textId="77777777" w:rsidR="00DD7DA1" w:rsidRDefault="00DD7DA1" w:rsidP="00E32F13">
            <w:pPr>
              <w:pStyle w:val="TableParagraph"/>
              <w:spacing w:before="114"/>
              <w:rPr>
                <w:b/>
              </w:rPr>
            </w:pPr>
            <w:r>
              <w:rPr>
                <w:b/>
              </w:rPr>
              <w:t>All</w:t>
            </w:r>
            <w:r>
              <w:rPr>
                <w:b/>
                <w:spacing w:val="-4"/>
              </w:rPr>
              <w:t xml:space="preserve"> </w:t>
            </w:r>
            <w:r>
              <w:rPr>
                <w:b/>
              </w:rPr>
              <w:t>grade</w:t>
            </w:r>
            <w:r>
              <w:rPr>
                <w:b/>
                <w:spacing w:val="-2"/>
              </w:rPr>
              <w:t xml:space="preserve"> </w:t>
            </w:r>
            <w:r>
              <w:rPr>
                <w:b/>
              </w:rPr>
              <w:t>3 or</w:t>
            </w:r>
            <w:r>
              <w:rPr>
                <w:b/>
                <w:spacing w:val="-3"/>
              </w:rPr>
              <w:t xml:space="preserve"> </w:t>
            </w:r>
            <w:r>
              <w:rPr>
                <w:b/>
              </w:rPr>
              <w:t>4</w:t>
            </w:r>
            <w:r>
              <w:rPr>
                <w:b/>
                <w:spacing w:val="-1"/>
              </w:rPr>
              <w:t xml:space="preserve"> </w:t>
            </w:r>
            <w:r>
              <w:rPr>
                <w:b/>
                <w:spacing w:val="-5"/>
              </w:rPr>
              <w:t>AEs</w:t>
            </w:r>
          </w:p>
        </w:tc>
        <w:tc>
          <w:tcPr>
            <w:tcW w:w="3836" w:type="dxa"/>
          </w:tcPr>
          <w:p w14:paraId="2D252D6A" w14:textId="77777777" w:rsidR="00DD7DA1" w:rsidRDefault="00DD7DA1" w:rsidP="00E32F13">
            <w:pPr>
              <w:pStyle w:val="TableParagraph"/>
              <w:spacing w:before="114"/>
              <w:ind w:left="437"/>
            </w:pPr>
            <w:r>
              <w:rPr>
                <w:spacing w:val="-5"/>
              </w:rPr>
              <w:t>67%</w:t>
            </w:r>
          </w:p>
        </w:tc>
        <w:tc>
          <w:tcPr>
            <w:tcW w:w="2677" w:type="dxa"/>
          </w:tcPr>
          <w:p w14:paraId="064BFBCD" w14:textId="77777777" w:rsidR="00DD7DA1" w:rsidRDefault="00DD7DA1" w:rsidP="00E32F13">
            <w:pPr>
              <w:pStyle w:val="TableParagraph"/>
              <w:spacing w:before="114"/>
              <w:ind w:left="133"/>
            </w:pPr>
            <w:r>
              <w:rPr>
                <w:spacing w:val="-5"/>
              </w:rPr>
              <w:t>36%</w:t>
            </w:r>
          </w:p>
        </w:tc>
      </w:tr>
      <w:tr w:rsidR="00DD7DA1" w14:paraId="3CBFF54E" w14:textId="77777777" w:rsidTr="00AB5A4A">
        <w:trPr>
          <w:trHeight w:val="498"/>
        </w:trPr>
        <w:tc>
          <w:tcPr>
            <w:tcW w:w="2505" w:type="dxa"/>
          </w:tcPr>
          <w:p w14:paraId="39EFF80A" w14:textId="77777777" w:rsidR="00DD7DA1" w:rsidRDefault="00DD7DA1" w:rsidP="00E32F13">
            <w:pPr>
              <w:pStyle w:val="TableParagraph"/>
              <w:rPr>
                <w:b/>
              </w:rPr>
            </w:pPr>
            <w:r>
              <w:rPr>
                <w:b/>
                <w:spacing w:val="-4"/>
              </w:rPr>
              <w:t>Rash</w:t>
            </w:r>
          </w:p>
        </w:tc>
        <w:tc>
          <w:tcPr>
            <w:tcW w:w="3836" w:type="dxa"/>
          </w:tcPr>
          <w:p w14:paraId="460B5932" w14:textId="77777777" w:rsidR="00DD7DA1" w:rsidRDefault="00DD7DA1" w:rsidP="00E32F13">
            <w:pPr>
              <w:pStyle w:val="TableParagraph"/>
              <w:ind w:left="437"/>
            </w:pPr>
            <w:r>
              <w:rPr>
                <w:spacing w:val="-5"/>
              </w:rPr>
              <w:t>27%</w:t>
            </w:r>
          </w:p>
        </w:tc>
        <w:tc>
          <w:tcPr>
            <w:tcW w:w="2677" w:type="dxa"/>
          </w:tcPr>
          <w:p w14:paraId="3C69AA88" w14:textId="77777777" w:rsidR="00DD7DA1" w:rsidRDefault="00DD7DA1" w:rsidP="00E32F13">
            <w:pPr>
              <w:pStyle w:val="TableParagraph"/>
              <w:ind w:left="133"/>
            </w:pPr>
            <w:r>
              <w:rPr>
                <w:spacing w:val="-4"/>
              </w:rPr>
              <w:t>1.1%</w:t>
            </w:r>
          </w:p>
        </w:tc>
      </w:tr>
      <w:tr w:rsidR="00DD7DA1" w14:paraId="68BD3B04" w14:textId="77777777" w:rsidTr="00AB5A4A">
        <w:trPr>
          <w:trHeight w:val="498"/>
        </w:trPr>
        <w:tc>
          <w:tcPr>
            <w:tcW w:w="2505" w:type="dxa"/>
          </w:tcPr>
          <w:p w14:paraId="2B327945" w14:textId="77777777" w:rsidR="00DD7DA1" w:rsidRDefault="00DD7DA1" w:rsidP="00E32F13">
            <w:pPr>
              <w:pStyle w:val="TableParagraph"/>
              <w:rPr>
                <w:b/>
              </w:rPr>
            </w:pPr>
            <w:r>
              <w:rPr>
                <w:b/>
              </w:rPr>
              <w:t>Nail</w:t>
            </w:r>
            <w:r>
              <w:rPr>
                <w:b/>
                <w:spacing w:val="-4"/>
              </w:rPr>
              <w:t xml:space="preserve"> </w:t>
            </w:r>
            <w:r>
              <w:rPr>
                <w:b/>
                <w:spacing w:val="-2"/>
              </w:rPr>
              <w:t>toxicity</w:t>
            </w:r>
          </w:p>
        </w:tc>
        <w:tc>
          <w:tcPr>
            <w:tcW w:w="3836" w:type="dxa"/>
          </w:tcPr>
          <w:p w14:paraId="4A630DEE" w14:textId="77777777" w:rsidR="00DD7DA1" w:rsidRDefault="00DD7DA1" w:rsidP="00E32F13">
            <w:pPr>
              <w:pStyle w:val="TableParagraph"/>
              <w:ind w:left="437"/>
            </w:pPr>
            <w:r>
              <w:rPr>
                <w:spacing w:val="-5"/>
              </w:rPr>
              <w:t>11%</w:t>
            </w:r>
          </w:p>
        </w:tc>
        <w:tc>
          <w:tcPr>
            <w:tcW w:w="2677" w:type="dxa"/>
          </w:tcPr>
          <w:p w14:paraId="551A3056" w14:textId="77777777" w:rsidR="00DD7DA1" w:rsidRDefault="00DD7DA1" w:rsidP="00E32F13">
            <w:pPr>
              <w:pStyle w:val="TableParagraph"/>
              <w:ind w:left="133"/>
            </w:pPr>
            <w:r>
              <w:rPr>
                <w:spacing w:val="-4"/>
              </w:rPr>
              <w:t>0.7%</w:t>
            </w:r>
          </w:p>
        </w:tc>
      </w:tr>
      <w:tr w:rsidR="00F05772" w14:paraId="4970193B" w14:textId="77777777" w:rsidTr="00AB5A4A">
        <w:trPr>
          <w:trHeight w:val="498"/>
        </w:trPr>
        <w:tc>
          <w:tcPr>
            <w:tcW w:w="2505" w:type="dxa"/>
          </w:tcPr>
          <w:p w14:paraId="518E47A2" w14:textId="591BBAB9" w:rsidR="00F05772" w:rsidRDefault="00614159" w:rsidP="00F05772">
            <w:pPr>
              <w:pStyle w:val="TableParagraph"/>
              <w:rPr>
                <w:b/>
              </w:rPr>
            </w:pPr>
            <w:r w:rsidRPr="00614159">
              <w:rPr>
                <w:b/>
                <w:spacing w:val="-5"/>
              </w:rPr>
              <w:t>Venous thromboembolism</w:t>
            </w:r>
          </w:p>
        </w:tc>
        <w:tc>
          <w:tcPr>
            <w:tcW w:w="3836" w:type="dxa"/>
          </w:tcPr>
          <w:p w14:paraId="5A5F00AB" w14:textId="09FB7FDA" w:rsidR="00F05772" w:rsidRDefault="00F05772" w:rsidP="00F05772">
            <w:pPr>
              <w:pStyle w:val="TableParagraph"/>
              <w:ind w:left="437"/>
              <w:rPr>
                <w:spacing w:val="-5"/>
              </w:rPr>
            </w:pPr>
            <w:r>
              <w:rPr>
                <w:spacing w:val="-5"/>
              </w:rPr>
              <w:t>11%</w:t>
            </w:r>
          </w:p>
        </w:tc>
        <w:tc>
          <w:tcPr>
            <w:tcW w:w="2677" w:type="dxa"/>
          </w:tcPr>
          <w:p w14:paraId="09A992C4" w14:textId="106478E8" w:rsidR="00F05772" w:rsidRDefault="00F05772" w:rsidP="00F05772">
            <w:pPr>
              <w:pStyle w:val="TableParagraph"/>
              <w:ind w:left="133"/>
              <w:rPr>
                <w:spacing w:val="-4"/>
              </w:rPr>
            </w:pPr>
            <w:r>
              <w:rPr>
                <w:spacing w:val="-4"/>
              </w:rPr>
              <w:t>2.8%</w:t>
            </w:r>
          </w:p>
        </w:tc>
      </w:tr>
    </w:tbl>
    <w:p w14:paraId="3FD9AF61" w14:textId="77777777" w:rsidR="008A67F1" w:rsidRDefault="008A67F1" w:rsidP="008A67F1"/>
    <w:p w14:paraId="4662C783" w14:textId="21291364" w:rsidR="008A67F1" w:rsidRDefault="008A67F1" w:rsidP="008A67F1">
      <w:pPr>
        <w:pStyle w:val="Heading5"/>
      </w:pPr>
      <w:r>
        <w:t>Specific safety issues:</w:t>
      </w:r>
    </w:p>
    <w:p w14:paraId="3034DC7C" w14:textId="77777777" w:rsidR="008A67F1" w:rsidRDefault="008A67F1" w:rsidP="008A67F1">
      <w:pPr>
        <w:pStyle w:val="Heading6"/>
      </w:pPr>
      <w:r>
        <w:t>Rash</w:t>
      </w:r>
    </w:p>
    <w:p w14:paraId="7268B2D6" w14:textId="1B034061" w:rsidR="008A67F1" w:rsidRDefault="008A67F1" w:rsidP="008A67F1">
      <w:r>
        <w:t xml:space="preserve">A high incidence of rash associated with the use of amivantamab and </w:t>
      </w:r>
      <w:r w:rsidR="006E6321">
        <w:t>lazertinib</w:t>
      </w:r>
      <w:r>
        <w:t xml:space="preserve"> was noted. 362 patients (86%) with an event of rash as of the 120-day safety update DCO. In addition, 26% of patients had Grade 3 rash, 37% had rash leading to dose interruptions of amivantamab, 30% had rash leading to dose interruptions of </w:t>
      </w:r>
      <w:r w:rsidR="006E6321">
        <w:t>lazertinib</w:t>
      </w:r>
      <w:r>
        <w:t xml:space="preserve">, 23% had rash leading to dose reduction of amivantamab, 19% had rash leading to dose reduction of </w:t>
      </w:r>
      <w:r w:rsidR="006E6321">
        <w:t>lazertinib</w:t>
      </w:r>
      <w:r>
        <w:t xml:space="preserve">, 5% had rash leading to </w:t>
      </w:r>
      <w:r>
        <w:lastRenderedPageBreak/>
        <w:t xml:space="preserve">permanent discontinuation of amivantamab, and 1.9% had rash leading to permanent discontinuation of </w:t>
      </w:r>
      <w:r w:rsidR="006E6321">
        <w:t>lazertinib</w:t>
      </w:r>
      <w:r w:rsidR="008C718A">
        <w:t>.</w:t>
      </w:r>
    </w:p>
    <w:p w14:paraId="6BAEBF64" w14:textId="338CC742" w:rsidR="008A67F1" w:rsidRDefault="008A67F1" w:rsidP="008A67F1">
      <w:pPr>
        <w:pStyle w:val="Heading6"/>
      </w:pPr>
      <w:r>
        <w:t>Infusion-related reactions</w:t>
      </w:r>
    </w:p>
    <w:p w14:paraId="35A1AFCF" w14:textId="58792A1C" w:rsidR="008A67F1" w:rsidRDefault="008A67F1" w:rsidP="008A67F1">
      <w:r>
        <w:t>A high incidence of i</w:t>
      </w:r>
      <w:r w:rsidRPr="008A67F1">
        <w:t>nfusion-related reactions</w:t>
      </w:r>
      <w:r>
        <w:t xml:space="preserve"> (IRR) associated with the use of amivantamab was noted. In patients treated with amivantamab in combination with </w:t>
      </w:r>
      <w:r w:rsidR="006E6321">
        <w:t>lazertinib</w:t>
      </w:r>
      <w:r>
        <w:t xml:space="preserve"> (Arm A) in MARIPOSA, as of the 120-day safety update, 63% developed infusion related reactions (IRRs) of any Grade, 5% experienced Grade 3 IRRs, and 1% experienced Grade 4 IRRs. A total of 54% of patients had dose interruptions of amivantamab due to IRRs, 0.7% had dose reductions of amivantamab due to IRRs, and 4.5% of patients had amivantamab permanently discontinued due to IRRs.</w:t>
      </w:r>
    </w:p>
    <w:p w14:paraId="76ADA7A7" w14:textId="2518B85E" w:rsidR="00134572" w:rsidRDefault="008A67F1" w:rsidP="00134572">
      <w:pPr>
        <w:pStyle w:val="Heading6"/>
      </w:pPr>
      <w:r>
        <w:t>Pneumonitis/</w:t>
      </w:r>
      <w:r w:rsidR="00134572">
        <w:t>i</w:t>
      </w:r>
      <w:r w:rsidR="00134572" w:rsidRPr="00134572">
        <w:t xml:space="preserve">nterstitial </w:t>
      </w:r>
      <w:r w:rsidR="00134572">
        <w:t>l</w:t>
      </w:r>
      <w:r w:rsidR="00134572" w:rsidRPr="00134572">
        <w:t xml:space="preserve">ung </w:t>
      </w:r>
      <w:r w:rsidR="00134572">
        <w:t>d</w:t>
      </w:r>
      <w:r w:rsidR="00134572" w:rsidRPr="00134572">
        <w:t>isease</w:t>
      </w:r>
    </w:p>
    <w:p w14:paraId="16E2599D" w14:textId="3971ADEB" w:rsidR="008A67F1" w:rsidRDefault="008A67F1" w:rsidP="008A67F1">
      <w:r>
        <w:t xml:space="preserve">In patients treated with amivantamab in combination with </w:t>
      </w:r>
      <w:r w:rsidR="006E6321">
        <w:t>lazertinib</w:t>
      </w:r>
      <w:r>
        <w:t xml:space="preserve"> (Arm A) in MARIPOSA, as of the 120- day safety update, 3.1% developed</w:t>
      </w:r>
      <w:r w:rsidR="00134572">
        <w:t xml:space="preserve"> </w:t>
      </w:r>
      <w:r w:rsidR="00134572" w:rsidRPr="00134572">
        <w:t xml:space="preserve">interstitial lung disease </w:t>
      </w:r>
      <w:r w:rsidR="00134572">
        <w:t>(</w:t>
      </w:r>
      <w:r>
        <w:t>ILD</w:t>
      </w:r>
      <w:r w:rsidR="00134572">
        <w:t>)</w:t>
      </w:r>
      <w:r>
        <w:t xml:space="preserve">/pneumonitis of any Grade. In Arm A, the incidence of grade 3 ILD/pneumonitis was 1.0% and the incidence of Grade 4 ILD/pneumonitis was 0.2%. In addition, one patient (0.2%) died of ILD/pneumonitis and 2.9% permanently discontinued </w:t>
      </w:r>
      <w:r w:rsidR="006E6321">
        <w:t>lazertinib</w:t>
      </w:r>
      <w:r>
        <w:t xml:space="preserve"> and amivantamab due to ILD/pneumonitis. Although most ILD/pneumonitis events are Grade 1 or 2, severe or fatal events may occur.</w:t>
      </w:r>
    </w:p>
    <w:p w14:paraId="0494A578" w14:textId="330802BE" w:rsidR="008A67F1" w:rsidRDefault="00B302B9" w:rsidP="00B302B9">
      <w:pPr>
        <w:pStyle w:val="Heading6"/>
      </w:pPr>
      <w:r w:rsidRPr="00B302B9">
        <w:t>Venous thromboembolism</w:t>
      </w:r>
    </w:p>
    <w:p w14:paraId="080230EF" w14:textId="3658DED1" w:rsidR="00B302B9" w:rsidRDefault="008A67F1" w:rsidP="00B302B9">
      <w:pPr>
        <w:pStyle w:val="ListBullet"/>
      </w:pPr>
      <w:r>
        <w:t xml:space="preserve">As of the 120- day safety update, in patients treated with amivantamab in combination with </w:t>
      </w:r>
      <w:r w:rsidR="006E6321">
        <w:t>lazertinib</w:t>
      </w:r>
      <w:r>
        <w:t xml:space="preserve"> (Arm A), the incidence of all-Grade VTEs was 36%.</w:t>
      </w:r>
    </w:p>
    <w:p w14:paraId="74C123B1" w14:textId="68946754" w:rsidR="008A67F1" w:rsidRDefault="008A67F1" w:rsidP="00B302B9">
      <w:pPr>
        <w:pStyle w:val="ListBullet"/>
      </w:pPr>
      <w:r>
        <w:t>The incidence of Grade 3 VTEs was 10% and 0.5% of patients developed Grade 4 VTEs.</w:t>
      </w:r>
    </w:p>
    <w:p w14:paraId="30832C92" w14:textId="44170F39" w:rsidR="008A67F1" w:rsidRDefault="008A67F1" w:rsidP="00B302B9">
      <w:pPr>
        <w:pStyle w:val="ListBullet"/>
      </w:pPr>
      <w:r>
        <w:t>Two patients (0.5%) died of VTEs consisting of pulmonary embolism.</w:t>
      </w:r>
    </w:p>
    <w:p w14:paraId="3351ACD7" w14:textId="7377B009" w:rsidR="008A67F1" w:rsidRDefault="008A67F1" w:rsidP="00B302B9">
      <w:pPr>
        <w:pStyle w:val="ListBullet"/>
      </w:pPr>
      <w:r>
        <w:t xml:space="preserve">Dose interruptions of amivantamab due to VTEs occurred in 9% of patients and dose interruptions of </w:t>
      </w:r>
      <w:r w:rsidR="006E6321">
        <w:t>lazertinib</w:t>
      </w:r>
      <w:r>
        <w:t xml:space="preserve"> due to VTEs occurred in 7% of patients.</w:t>
      </w:r>
    </w:p>
    <w:p w14:paraId="5F6078BD" w14:textId="638BFA1F" w:rsidR="008A67F1" w:rsidRDefault="008A67F1" w:rsidP="00B302B9">
      <w:pPr>
        <w:pStyle w:val="ListBullet"/>
      </w:pPr>
      <w:r>
        <w:t xml:space="preserve">Dose reductions of amivantamab due to VTEs occurred in 1.0% of patients and dose reductions of </w:t>
      </w:r>
      <w:r w:rsidR="006E6321">
        <w:t>lazertinib</w:t>
      </w:r>
      <w:r>
        <w:t xml:space="preserve"> due to VTEs occurred in 0.5% of patients.</w:t>
      </w:r>
    </w:p>
    <w:p w14:paraId="1304D330" w14:textId="14680E73" w:rsidR="008A67F1" w:rsidRDefault="008A67F1" w:rsidP="00B302B9">
      <w:pPr>
        <w:pStyle w:val="ListBullet"/>
      </w:pPr>
      <w:r>
        <w:t xml:space="preserve">The development of VTEs led to permanent discontinuation of amivantamab in 3.1% of patients and of </w:t>
      </w:r>
      <w:r w:rsidR="006E6321">
        <w:t>lazertinib</w:t>
      </w:r>
      <w:r>
        <w:t xml:space="preserve"> in 1.9% of patients.</w:t>
      </w:r>
    </w:p>
    <w:p w14:paraId="5D629744" w14:textId="32D22542" w:rsidR="00DD7DA1" w:rsidRDefault="008A67F1" w:rsidP="00ED6119">
      <w:pPr>
        <w:pStyle w:val="ListBullet"/>
      </w:pPr>
      <w:r>
        <w:t xml:space="preserve">Of the 151 patients who developed VTEs during treatment with amivantamab in combination with </w:t>
      </w:r>
      <w:r w:rsidR="006E6321">
        <w:t>lazertinib</w:t>
      </w:r>
      <w:r>
        <w:t xml:space="preserve"> in MARIPOSA, 94 (62%) had the first VTE within the</w:t>
      </w:r>
      <w:r w:rsidR="00B302B9">
        <w:t xml:space="preserve"> </w:t>
      </w:r>
      <w:r>
        <w:t>first 4 months of study treatment. The median time to VTE onset was 84 days (range 6 to 777).</w:t>
      </w:r>
    </w:p>
    <w:p w14:paraId="1FA5212A" w14:textId="16E718CF" w:rsidR="009C7C4A" w:rsidRDefault="009C7C4A" w:rsidP="009C7C4A">
      <w:pPr>
        <w:pStyle w:val="Heading5"/>
      </w:pPr>
      <w:r>
        <w:t>Expectations</w:t>
      </w:r>
      <w:r>
        <w:rPr>
          <w:spacing w:val="-6"/>
        </w:rPr>
        <w:t xml:space="preserve"> </w:t>
      </w:r>
      <w:r>
        <w:t>on</w:t>
      </w:r>
      <w:r>
        <w:rPr>
          <w:spacing w:val="-4"/>
        </w:rPr>
        <w:t xml:space="preserve"> </w:t>
      </w:r>
      <w:r w:rsidR="008C718A">
        <w:rPr>
          <w:spacing w:val="-4"/>
        </w:rPr>
        <w:t>s</w:t>
      </w:r>
      <w:r>
        <w:t>afety</w:t>
      </w:r>
      <w:r>
        <w:rPr>
          <w:spacing w:val="-5"/>
        </w:rPr>
        <w:t xml:space="preserve"> </w:t>
      </w:r>
      <w:r>
        <w:t>in</w:t>
      </w:r>
      <w:r>
        <w:rPr>
          <w:spacing w:val="-5"/>
        </w:rPr>
        <w:t xml:space="preserve"> </w:t>
      </w:r>
      <w:r>
        <w:t>the</w:t>
      </w:r>
      <w:r>
        <w:rPr>
          <w:spacing w:val="-5"/>
        </w:rPr>
        <w:t xml:space="preserve"> </w:t>
      </w:r>
      <w:r w:rsidR="008C718A">
        <w:rPr>
          <w:spacing w:val="-5"/>
        </w:rPr>
        <w:t>p</w:t>
      </w:r>
      <w:r>
        <w:t>ost-market</w:t>
      </w:r>
      <w:r>
        <w:rPr>
          <w:spacing w:val="-4"/>
        </w:rPr>
        <w:t xml:space="preserve"> </w:t>
      </w:r>
      <w:r w:rsidR="008C718A">
        <w:rPr>
          <w:spacing w:val="-2"/>
        </w:rPr>
        <w:t>s</w:t>
      </w:r>
      <w:r>
        <w:rPr>
          <w:spacing w:val="-2"/>
        </w:rPr>
        <w:t>etting</w:t>
      </w:r>
    </w:p>
    <w:p w14:paraId="1CF5F9CA" w14:textId="7726781E" w:rsidR="009C7C4A" w:rsidRDefault="009C7C4A" w:rsidP="009C7C4A">
      <w:pPr>
        <w:pStyle w:val="BodyText"/>
        <w:spacing w:before="119"/>
        <w:ind w:left="23"/>
      </w:pPr>
      <w:r>
        <w:t xml:space="preserve">The FDA issued </w:t>
      </w:r>
      <w:proofErr w:type="gramStart"/>
      <w:r>
        <w:t xml:space="preserve">a </w:t>
      </w:r>
      <w:r w:rsidR="00BF4446">
        <w:t>p</w:t>
      </w:r>
      <w:r w:rsidR="00BF4446" w:rsidRPr="00BF4446">
        <w:t>ost</w:t>
      </w:r>
      <w:proofErr w:type="gramEnd"/>
      <w:r w:rsidR="00BF4446" w:rsidRPr="00BF4446">
        <w:t xml:space="preserve"> </w:t>
      </w:r>
      <w:r w:rsidR="00BF4446">
        <w:t>m</w:t>
      </w:r>
      <w:r w:rsidR="00BF4446" w:rsidRPr="00BF4446">
        <w:t xml:space="preserve">arketing </w:t>
      </w:r>
      <w:r w:rsidR="00BF4446">
        <w:t>r</w:t>
      </w:r>
      <w:r w:rsidR="00BF4446" w:rsidRPr="00BF4446">
        <w:t xml:space="preserve">equirements </w:t>
      </w:r>
      <w:r>
        <w:t>requiring additional safety analyses of VTEs</w:t>
      </w:r>
      <w:r>
        <w:rPr>
          <w:spacing w:val="-4"/>
        </w:rPr>
        <w:t xml:space="preserve"> </w:t>
      </w:r>
      <w:r>
        <w:t>in</w:t>
      </w:r>
      <w:r>
        <w:rPr>
          <w:spacing w:val="-3"/>
        </w:rPr>
        <w:t xml:space="preserve"> </w:t>
      </w:r>
      <w:r>
        <w:t>patients</w:t>
      </w:r>
      <w:r>
        <w:rPr>
          <w:spacing w:val="-1"/>
        </w:rPr>
        <w:t xml:space="preserve"> </w:t>
      </w:r>
      <w:r>
        <w:t>treated</w:t>
      </w:r>
      <w:r>
        <w:rPr>
          <w:spacing w:val="-5"/>
        </w:rPr>
        <w:t xml:space="preserve"> </w:t>
      </w:r>
      <w:r>
        <w:t>with</w:t>
      </w:r>
      <w:r>
        <w:rPr>
          <w:spacing w:val="-2"/>
        </w:rPr>
        <w:t xml:space="preserve"> </w:t>
      </w:r>
      <w:r>
        <w:t>amivantamab</w:t>
      </w:r>
      <w:r>
        <w:rPr>
          <w:spacing w:val="-4"/>
        </w:rPr>
        <w:t xml:space="preserve"> </w:t>
      </w:r>
      <w:r>
        <w:t>in</w:t>
      </w:r>
      <w:r>
        <w:rPr>
          <w:spacing w:val="-6"/>
        </w:rPr>
        <w:t xml:space="preserve"> </w:t>
      </w:r>
      <w:r>
        <w:t>combination</w:t>
      </w:r>
      <w:r>
        <w:rPr>
          <w:spacing w:val="-3"/>
        </w:rPr>
        <w:t xml:space="preserve"> </w:t>
      </w:r>
      <w:r>
        <w:t>with</w:t>
      </w:r>
      <w:r>
        <w:rPr>
          <w:spacing w:val="-2"/>
        </w:rPr>
        <w:t xml:space="preserve"> </w:t>
      </w:r>
      <w:r w:rsidR="006E6321">
        <w:t>lazertinib</w:t>
      </w:r>
      <w:r>
        <w:rPr>
          <w:spacing w:val="-3"/>
        </w:rPr>
        <w:t xml:space="preserve"> </w:t>
      </w:r>
      <w:r>
        <w:t>who</w:t>
      </w:r>
      <w:r>
        <w:rPr>
          <w:spacing w:val="-2"/>
        </w:rPr>
        <w:t xml:space="preserve"> </w:t>
      </w:r>
      <w:r>
        <w:t>did</w:t>
      </w:r>
      <w:r>
        <w:rPr>
          <w:spacing w:val="-3"/>
        </w:rPr>
        <w:t xml:space="preserve"> </w:t>
      </w:r>
      <w:r>
        <w:t>not</w:t>
      </w:r>
      <w:r>
        <w:rPr>
          <w:spacing w:val="-2"/>
        </w:rPr>
        <w:t xml:space="preserve"> </w:t>
      </w:r>
      <w:r>
        <w:t>receive prophylactic anticoagulation, who received prophylactic anticoagulation during the initial 4 months of treatment and discontinued anticoagulants, and who received prophylactic anticoagulation during and after the initial 4 months of treatment.</w:t>
      </w:r>
    </w:p>
    <w:p w14:paraId="2858B006" w14:textId="5C62703D" w:rsidR="00C22214" w:rsidRDefault="00C22214" w:rsidP="00C22214">
      <w:pPr>
        <w:pStyle w:val="Heading3"/>
        <w:rPr>
          <w:lang w:eastAsia="en-AU"/>
        </w:rPr>
      </w:pPr>
      <w:bookmarkStart w:id="43" w:name="_Toc103679298"/>
      <w:bookmarkStart w:id="44" w:name="_Toc209441300"/>
      <w:r>
        <w:rPr>
          <w:lang w:eastAsia="en-AU"/>
        </w:rPr>
        <w:t>Risk management plan</w:t>
      </w:r>
      <w:bookmarkEnd w:id="41"/>
      <w:bookmarkEnd w:id="43"/>
      <w:r w:rsidR="00F520F3">
        <w:rPr>
          <w:lang w:eastAsia="en-AU"/>
        </w:rPr>
        <w:t xml:space="preserve"> evaluation summary</w:t>
      </w:r>
      <w:bookmarkEnd w:id="44"/>
    </w:p>
    <w:p w14:paraId="5EC15473" w14:textId="77777777" w:rsidR="00734D3C" w:rsidRDefault="00C665D9" w:rsidP="00C22214">
      <w:pPr>
        <w:rPr>
          <w:szCs w:val="22"/>
        </w:rPr>
      </w:pPr>
      <w:bookmarkStart w:id="45" w:name="_Toc247691531"/>
      <w:bookmarkStart w:id="46" w:name="_Toc314842515"/>
      <w:r>
        <w:rPr>
          <w:szCs w:val="22"/>
        </w:rPr>
        <w:t>S</w:t>
      </w:r>
      <w:r w:rsidR="00C22214" w:rsidRPr="00BD5DBD">
        <w:rPr>
          <w:szCs w:val="22"/>
        </w:rPr>
        <w:t>afety concerns and their associated risk monitoring and mitigation strategies are summarised in</w:t>
      </w:r>
      <w:r w:rsidR="003B149C">
        <w:rPr>
          <w:szCs w:val="22"/>
        </w:rPr>
        <w:t xml:space="preserve"> </w:t>
      </w:r>
      <w:r>
        <w:rPr>
          <w:szCs w:val="22"/>
        </w:rPr>
        <w:t>Table</w:t>
      </w:r>
      <w:r w:rsidR="00734D3C">
        <w:rPr>
          <w:szCs w:val="22"/>
        </w:rPr>
        <w:t xml:space="preserve"> 9</w:t>
      </w:r>
      <w:r w:rsidR="008C49C6" w:rsidRPr="003B149C">
        <w:rPr>
          <w:szCs w:val="22"/>
        </w:rPr>
        <w:t>.</w:t>
      </w:r>
    </w:p>
    <w:p w14:paraId="29E07D39" w14:textId="157BAB70" w:rsidR="00C665D9" w:rsidRDefault="00734D3C" w:rsidP="00734D3C">
      <w:pPr>
        <w:pStyle w:val="TableTitle"/>
      </w:pPr>
      <w:r>
        <w:lastRenderedPageBreak/>
        <w:t xml:space="preserve">Table 9. Summary of safety concerns.  </w:t>
      </w:r>
      <w:r w:rsidR="0072003B" w:rsidRPr="00BD5DBD">
        <w:t xml:space="preserve"> </w:t>
      </w:r>
    </w:p>
    <w:tbl>
      <w:tblPr>
        <w:tblStyle w:val="TableGrid"/>
        <w:tblW w:w="9469" w:type="dxa"/>
        <w:jc w:val="cente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Layout w:type="fixed"/>
        <w:tblCellMar>
          <w:left w:w="85" w:type="dxa"/>
          <w:right w:w="85" w:type="dxa"/>
        </w:tblCellMar>
        <w:tblLook w:val="04A0" w:firstRow="1" w:lastRow="0" w:firstColumn="1" w:lastColumn="0" w:noHBand="0" w:noVBand="1"/>
      </w:tblPr>
      <w:tblGrid>
        <w:gridCol w:w="2684"/>
        <w:gridCol w:w="2409"/>
        <w:gridCol w:w="1485"/>
        <w:gridCol w:w="1020"/>
        <w:gridCol w:w="823"/>
        <w:gridCol w:w="1048"/>
      </w:tblGrid>
      <w:tr w:rsidR="00D126EF" w:rsidRPr="00BF52F4" w14:paraId="2AC6BB6A" w14:textId="77777777" w:rsidTr="00D126EF">
        <w:trPr>
          <w:trHeight w:val="131"/>
          <w:jc w:val="center"/>
        </w:trPr>
        <w:tc>
          <w:tcPr>
            <w:tcW w:w="5093" w:type="dxa"/>
            <w:gridSpan w:val="2"/>
            <w:vMerge w:val="restart"/>
            <w:shd w:val="clear" w:color="auto" w:fill="DEEAF6"/>
          </w:tcPr>
          <w:p w14:paraId="1D168F34" w14:textId="77777777" w:rsidR="00D126EF" w:rsidRPr="00D126EF" w:rsidRDefault="00D126EF" w:rsidP="00E32F13">
            <w:pPr>
              <w:pStyle w:val="Tabletext0"/>
              <w:rPr>
                <w:b/>
                <w:color w:val="263287"/>
                <w:kern w:val="0"/>
              </w:rPr>
            </w:pPr>
            <w:r w:rsidRPr="00D126EF">
              <w:rPr>
                <w:b/>
                <w:color w:val="263287"/>
                <w:kern w:val="0"/>
              </w:rPr>
              <w:t>Summary of safety concerns</w:t>
            </w:r>
          </w:p>
        </w:tc>
        <w:tc>
          <w:tcPr>
            <w:tcW w:w="2505" w:type="dxa"/>
            <w:gridSpan w:val="2"/>
            <w:shd w:val="clear" w:color="auto" w:fill="DEEAF6"/>
          </w:tcPr>
          <w:p w14:paraId="05808B98" w14:textId="77777777" w:rsidR="00D126EF" w:rsidRPr="00D126EF" w:rsidRDefault="00D126EF" w:rsidP="00E32F13">
            <w:pPr>
              <w:pStyle w:val="Tabletext0"/>
              <w:rPr>
                <w:b/>
                <w:color w:val="263287"/>
                <w:kern w:val="0"/>
                <w:sz w:val="18"/>
              </w:rPr>
            </w:pPr>
            <w:r w:rsidRPr="00D126EF">
              <w:rPr>
                <w:b/>
                <w:color w:val="263287"/>
                <w:kern w:val="0"/>
                <w:sz w:val="18"/>
              </w:rPr>
              <w:t>Pharmacovigilance</w:t>
            </w:r>
          </w:p>
        </w:tc>
        <w:tc>
          <w:tcPr>
            <w:tcW w:w="1871" w:type="dxa"/>
            <w:gridSpan w:val="2"/>
            <w:shd w:val="clear" w:color="auto" w:fill="DEEAF6"/>
          </w:tcPr>
          <w:p w14:paraId="2F78078F" w14:textId="77777777" w:rsidR="00D126EF" w:rsidRPr="00D126EF" w:rsidRDefault="00D126EF" w:rsidP="00E32F13">
            <w:pPr>
              <w:pStyle w:val="Tabletext0"/>
              <w:rPr>
                <w:b/>
                <w:color w:val="263287"/>
                <w:kern w:val="0"/>
                <w:sz w:val="18"/>
              </w:rPr>
            </w:pPr>
            <w:r w:rsidRPr="00D126EF">
              <w:rPr>
                <w:b/>
                <w:color w:val="263287"/>
                <w:kern w:val="0"/>
                <w:sz w:val="18"/>
              </w:rPr>
              <w:t>Risk Minimisation</w:t>
            </w:r>
          </w:p>
        </w:tc>
      </w:tr>
      <w:tr w:rsidR="00D126EF" w:rsidRPr="00BF52F4" w14:paraId="5E298DC8" w14:textId="77777777" w:rsidTr="00D126EF">
        <w:trPr>
          <w:trHeight w:val="150"/>
          <w:jc w:val="center"/>
        </w:trPr>
        <w:tc>
          <w:tcPr>
            <w:tcW w:w="5093" w:type="dxa"/>
            <w:gridSpan w:val="2"/>
            <w:vMerge/>
            <w:shd w:val="clear" w:color="auto" w:fill="DEEAF6"/>
          </w:tcPr>
          <w:p w14:paraId="25108968" w14:textId="77777777" w:rsidR="00D126EF" w:rsidRPr="00D126EF" w:rsidRDefault="00D126EF" w:rsidP="00E32F13">
            <w:pPr>
              <w:pStyle w:val="Tabletext0"/>
              <w:rPr>
                <w:b/>
                <w:color w:val="263287"/>
                <w:kern w:val="0"/>
              </w:rPr>
            </w:pPr>
          </w:p>
        </w:tc>
        <w:tc>
          <w:tcPr>
            <w:tcW w:w="1485" w:type="dxa"/>
            <w:shd w:val="clear" w:color="auto" w:fill="DEEAF6"/>
          </w:tcPr>
          <w:p w14:paraId="06742198" w14:textId="77777777" w:rsidR="00D126EF" w:rsidRPr="00D126EF" w:rsidRDefault="00D126EF" w:rsidP="00E32F13">
            <w:pPr>
              <w:pStyle w:val="Tabletext0"/>
              <w:rPr>
                <w:color w:val="263287"/>
                <w:kern w:val="0"/>
                <w:sz w:val="18"/>
              </w:rPr>
            </w:pPr>
            <w:r w:rsidRPr="00D126EF">
              <w:rPr>
                <w:color w:val="263287"/>
                <w:kern w:val="0"/>
                <w:sz w:val="18"/>
              </w:rPr>
              <w:t>Routine</w:t>
            </w:r>
          </w:p>
        </w:tc>
        <w:tc>
          <w:tcPr>
            <w:tcW w:w="1020" w:type="dxa"/>
            <w:shd w:val="clear" w:color="auto" w:fill="DEEAF6"/>
          </w:tcPr>
          <w:p w14:paraId="30396A49" w14:textId="77777777" w:rsidR="00D126EF" w:rsidRPr="00D126EF" w:rsidRDefault="00D126EF" w:rsidP="00E32F13">
            <w:pPr>
              <w:pStyle w:val="Tabletext0"/>
              <w:rPr>
                <w:color w:val="263287"/>
                <w:kern w:val="0"/>
                <w:sz w:val="18"/>
              </w:rPr>
            </w:pPr>
            <w:r w:rsidRPr="00D126EF">
              <w:rPr>
                <w:color w:val="263287"/>
                <w:kern w:val="0"/>
                <w:sz w:val="18"/>
              </w:rPr>
              <w:t>Additional</w:t>
            </w:r>
          </w:p>
        </w:tc>
        <w:tc>
          <w:tcPr>
            <w:tcW w:w="823" w:type="dxa"/>
            <w:shd w:val="clear" w:color="auto" w:fill="DEEAF6"/>
          </w:tcPr>
          <w:p w14:paraId="25AF307D" w14:textId="77777777" w:rsidR="00D126EF" w:rsidRPr="00D126EF" w:rsidRDefault="00D126EF" w:rsidP="00E32F13">
            <w:pPr>
              <w:pStyle w:val="Tabletext0"/>
              <w:rPr>
                <w:color w:val="263287"/>
                <w:kern w:val="0"/>
                <w:sz w:val="18"/>
              </w:rPr>
            </w:pPr>
            <w:r w:rsidRPr="00D126EF">
              <w:rPr>
                <w:color w:val="263287"/>
                <w:kern w:val="0"/>
                <w:sz w:val="18"/>
              </w:rPr>
              <w:t>Routine</w:t>
            </w:r>
          </w:p>
        </w:tc>
        <w:tc>
          <w:tcPr>
            <w:tcW w:w="1048" w:type="dxa"/>
            <w:shd w:val="clear" w:color="auto" w:fill="DEEAF6"/>
          </w:tcPr>
          <w:p w14:paraId="4CE3E734" w14:textId="77777777" w:rsidR="00D126EF" w:rsidRPr="00D126EF" w:rsidRDefault="00D126EF" w:rsidP="00E32F13">
            <w:pPr>
              <w:pStyle w:val="Tabletext0"/>
              <w:rPr>
                <w:color w:val="263287"/>
                <w:kern w:val="0"/>
                <w:sz w:val="18"/>
              </w:rPr>
            </w:pPr>
            <w:r w:rsidRPr="00D126EF">
              <w:rPr>
                <w:color w:val="263287"/>
                <w:kern w:val="0"/>
                <w:sz w:val="18"/>
              </w:rPr>
              <w:t>Additional</w:t>
            </w:r>
          </w:p>
        </w:tc>
      </w:tr>
      <w:tr w:rsidR="00D126EF" w:rsidRPr="00BF52F4" w14:paraId="7FFB45AC" w14:textId="77777777" w:rsidTr="00D126EF">
        <w:trPr>
          <w:trHeight w:val="698"/>
          <w:jc w:val="center"/>
        </w:trPr>
        <w:tc>
          <w:tcPr>
            <w:tcW w:w="2684" w:type="dxa"/>
          </w:tcPr>
          <w:p w14:paraId="7B310DF7" w14:textId="77777777" w:rsidR="00D126EF" w:rsidRPr="00BF52F4" w:rsidRDefault="00D126EF" w:rsidP="00E32F13">
            <w:pPr>
              <w:pStyle w:val="Tabletext0"/>
              <w:rPr>
                <w:b/>
                <w:kern w:val="0"/>
              </w:rPr>
            </w:pPr>
            <w:r w:rsidRPr="00BF52F4">
              <w:rPr>
                <w:b/>
                <w:kern w:val="0"/>
              </w:rPr>
              <w:t>Important identified risks</w:t>
            </w:r>
          </w:p>
        </w:tc>
        <w:tc>
          <w:tcPr>
            <w:tcW w:w="2409" w:type="dxa"/>
          </w:tcPr>
          <w:p w14:paraId="23F1B48B" w14:textId="77777777" w:rsidR="00D126EF" w:rsidRPr="00963EB1" w:rsidRDefault="00D126EF" w:rsidP="00E32F13">
            <w:pPr>
              <w:pStyle w:val="Tabletext0"/>
              <w:rPr>
                <w:kern w:val="0"/>
              </w:rPr>
            </w:pPr>
            <w:r w:rsidRPr="00963EB1">
              <w:rPr>
                <w:kern w:val="0"/>
              </w:rPr>
              <w:t>Venous thromboembolic</w:t>
            </w:r>
          </w:p>
          <w:p w14:paraId="0AA7FD0F" w14:textId="77777777" w:rsidR="00D126EF" w:rsidRPr="00BF52F4" w:rsidRDefault="00D126EF" w:rsidP="00E32F13">
            <w:pPr>
              <w:pStyle w:val="Tabletext0"/>
              <w:rPr>
                <w:kern w:val="0"/>
              </w:rPr>
            </w:pPr>
            <w:r w:rsidRPr="00963EB1">
              <w:rPr>
                <w:kern w:val="0"/>
              </w:rPr>
              <w:t>(VTE) events*</w:t>
            </w:r>
          </w:p>
        </w:tc>
        <w:tc>
          <w:tcPr>
            <w:tcW w:w="1485" w:type="dxa"/>
            <w:vAlign w:val="center"/>
          </w:tcPr>
          <w:p w14:paraId="69A3E3A4" w14:textId="77777777" w:rsidR="00D126EF" w:rsidRPr="0013296A" w:rsidRDefault="00D126EF" w:rsidP="00E32F13">
            <w:pPr>
              <w:pStyle w:val="Tabletext0"/>
              <w:jc w:val="center"/>
              <w:rPr>
                <w:kern w:val="0"/>
              </w:rPr>
            </w:pPr>
            <w:r w:rsidRPr="0013296A">
              <w:rPr>
                <w:rFonts w:ascii="Wingdings" w:eastAsia="Wingdings" w:hAnsi="Wingdings" w:cs="Wingdings"/>
                <w:kern w:val="0"/>
              </w:rPr>
              <w:t>ü</w:t>
            </w:r>
          </w:p>
          <w:p w14:paraId="4F60F773" w14:textId="77777777" w:rsidR="00D126EF" w:rsidRPr="0013296A" w:rsidRDefault="00D126EF" w:rsidP="00E32F13">
            <w:pPr>
              <w:pStyle w:val="Tabletext0"/>
              <w:rPr>
                <w:kern w:val="0"/>
              </w:rPr>
            </w:pPr>
          </w:p>
          <w:p w14:paraId="5601CDB1" w14:textId="77777777" w:rsidR="00D126EF" w:rsidRPr="0013296A" w:rsidRDefault="00D126EF" w:rsidP="00E32F13">
            <w:pPr>
              <w:pStyle w:val="Tabletext0"/>
              <w:rPr>
                <w:kern w:val="0"/>
              </w:rPr>
            </w:pPr>
          </w:p>
        </w:tc>
        <w:tc>
          <w:tcPr>
            <w:tcW w:w="1020" w:type="dxa"/>
            <w:vAlign w:val="center"/>
          </w:tcPr>
          <w:p w14:paraId="1E3CF41E" w14:textId="77777777" w:rsidR="00D126EF" w:rsidRPr="0013296A" w:rsidRDefault="00D126EF" w:rsidP="00E32F13">
            <w:pPr>
              <w:pStyle w:val="Tabletext0"/>
              <w:jc w:val="center"/>
              <w:rPr>
                <w:kern w:val="0"/>
              </w:rPr>
            </w:pPr>
            <w:r w:rsidRPr="0013296A">
              <w:rPr>
                <w:kern w:val="0"/>
              </w:rPr>
              <w:t>–</w:t>
            </w:r>
          </w:p>
          <w:p w14:paraId="236DDD32" w14:textId="77777777" w:rsidR="00D126EF" w:rsidRPr="0013296A" w:rsidRDefault="00D126EF" w:rsidP="00E32F13">
            <w:pPr>
              <w:pStyle w:val="Tabletext0"/>
              <w:rPr>
                <w:kern w:val="0"/>
              </w:rPr>
            </w:pPr>
          </w:p>
          <w:p w14:paraId="48CB86C7" w14:textId="77777777" w:rsidR="00D126EF" w:rsidRPr="0013296A" w:rsidRDefault="00D126EF" w:rsidP="00E32F13">
            <w:pPr>
              <w:pStyle w:val="Tabletext0"/>
              <w:rPr>
                <w:kern w:val="0"/>
              </w:rPr>
            </w:pPr>
          </w:p>
        </w:tc>
        <w:tc>
          <w:tcPr>
            <w:tcW w:w="823" w:type="dxa"/>
            <w:vAlign w:val="center"/>
          </w:tcPr>
          <w:p w14:paraId="42FE624D" w14:textId="77777777" w:rsidR="00D126EF" w:rsidRPr="0013296A" w:rsidRDefault="00D126EF" w:rsidP="00E32F13">
            <w:pPr>
              <w:pStyle w:val="Tabletext0"/>
              <w:jc w:val="center"/>
              <w:rPr>
                <w:kern w:val="0"/>
              </w:rPr>
            </w:pPr>
            <w:r w:rsidRPr="0013296A">
              <w:rPr>
                <w:rFonts w:ascii="Wingdings" w:eastAsia="Wingdings" w:hAnsi="Wingdings" w:cs="Wingdings"/>
                <w:kern w:val="0"/>
              </w:rPr>
              <w:t>ü</w:t>
            </w:r>
          </w:p>
          <w:p w14:paraId="340DEDEE" w14:textId="77777777" w:rsidR="00D126EF" w:rsidRPr="0013296A" w:rsidRDefault="00D126EF" w:rsidP="00E32F13">
            <w:pPr>
              <w:pStyle w:val="Tabletext0"/>
              <w:rPr>
                <w:kern w:val="0"/>
              </w:rPr>
            </w:pPr>
          </w:p>
          <w:p w14:paraId="156D81A8" w14:textId="77777777" w:rsidR="00D126EF" w:rsidRPr="0013296A" w:rsidRDefault="00D126EF" w:rsidP="00E32F13">
            <w:pPr>
              <w:pStyle w:val="Tabletext0"/>
              <w:rPr>
                <w:kern w:val="0"/>
              </w:rPr>
            </w:pPr>
          </w:p>
        </w:tc>
        <w:tc>
          <w:tcPr>
            <w:tcW w:w="1048" w:type="dxa"/>
            <w:vAlign w:val="center"/>
          </w:tcPr>
          <w:p w14:paraId="2513B45E" w14:textId="77777777" w:rsidR="00D126EF" w:rsidRPr="0013296A" w:rsidRDefault="00D126EF" w:rsidP="00E32F13">
            <w:pPr>
              <w:pStyle w:val="Tabletext0"/>
              <w:jc w:val="center"/>
              <w:rPr>
                <w:kern w:val="0"/>
              </w:rPr>
            </w:pPr>
            <w:r w:rsidRPr="0013296A">
              <w:rPr>
                <w:kern w:val="0"/>
              </w:rPr>
              <w:t>–</w:t>
            </w:r>
          </w:p>
        </w:tc>
      </w:tr>
      <w:tr w:rsidR="00D126EF" w:rsidRPr="00BF52F4" w14:paraId="33AD62C1" w14:textId="77777777" w:rsidTr="00D126EF">
        <w:trPr>
          <w:trHeight w:val="159"/>
          <w:jc w:val="center"/>
        </w:trPr>
        <w:tc>
          <w:tcPr>
            <w:tcW w:w="2684" w:type="dxa"/>
            <w:vMerge w:val="restart"/>
          </w:tcPr>
          <w:p w14:paraId="65ACDB48" w14:textId="77777777" w:rsidR="00D126EF" w:rsidRPr="00BF52F4" w:rsidRDefault="00D126EF" w:rsidP="00E32F13">
            <w:pPr>
              <w:pStyle w:val="Tabletext0"/>
              <w:rPr>
                <w:b/>
                <w:kern w:val="0"/>
              </w:rPr>
            </w:pPr>
            <w:r w:rsidRPr="00BF52F4">
              <w:rPr>
                <w:b/>
                <w:kern w:val="0"/>
              </w:rPr>
              <w:t>Important potential risks</w:t>
            </w:r>
          </w:p>
        </w:tc>
        <w:tc>
          <w:tcPr>
            <w:tcW w:w="2409" w:type="dxa"/>
          </w:tcPr>
          <w:p w14:paraId="3365467A" w14:textId="77777777" w:rsidR="00D126EF" w:rsidRPr="00BF52F4" w:rsidRDefault="00D126EF" w:rsidP="00E32F13">
            <w:pPr>
              <w:pStyle w:val="Tabletext0"/>
              <w:rPr>
                <w:kern w:val="0"/>
              </w:rPr>
            </w:pPr>
            <w:r w:rsidRPr="00166F84">
              <w:rPr>
                <w:kern w:val="0"/>
              </w:rPr>
              <w:t>Hepatotoxicity</w:t>
            </w:r>
          </w:p>
        </w:tc>
        <w:tc>
          <w:tcPr>
            <w:tcW w:w="1485" w:type="dxa"/>
            <w:vAlign w:val="center"/>
          </w:tcPr>
          <w:p w14:paraId="4F4D90AF" w14:textId="77777777" w:rsidR="00D126EF" w:rsidRPr="0013296A" w:rsidRDefault="00D126EF" w:rsidP="00E32F13">
            <w:pPr>
              <w:pStyle w:val="Tabletext0"/>
              <w:jc w:val="center"/>
              <w:rPr>
                <w:kern w:val="0"/>
              </w:rPr>
            </w:pPr>
            <w:r w:rsidRPr="0013296A">
              <w:rPr>
                <w:rFonts w:ascii="Wingdings" w:eastAsia="Wingdings" w:hAnsi="Wingdings" w:cs="Wingdings"/>
                <w:kern w:val="0"/>
              </w:rPr>
              <w:t>ü</w:t>
            </w:r>
          </w:p>
        </w:tc>
        <w:tc>
          <w:tcPr>
            <w:tcW w:w="1020" w:type="dxa"/>
            <w:vAlign w:val="center"/>
          </w:tcPr>
          <w:p w14:paraId="6DB465A9" w14:textId="77777777" w:rsidR="00D126EF" w:rsidRPr="0013296A" w:rsidRDefault="00D126EF" w:rsidP="00E32F13">
            <w:pPr>
              <w:pStyle w:val="Tabletext0"/>
              <w:jc w:val="center"/>
              <w:rPr>
                <w:kern w:val="0"/>
              </w:rPr>
            </w:pPr>
            <w:r w:rsidRPr="0013296A">
              <w:rPr>
                <w:kern w:val="0"/>
              </w:rPr>
              <w:t>–</w:t>
            </w:r>
          </w:p>
        </w:tc>
        <w:tc>
          <w:tcPr>
            <w:tcW w:w="823" w:type="dxa"/>
            <w:vAlign w:val="center"/>
          </w:tcPr>
          <w:p w14:paraId="3CACE74D" w14:textId="77777777" w:rsidR="00D126EF" w:rsidRPr="0013296A" w:rsidRDefault="00D126EF" w:rsidP="00E32F13">
            <w:pPr>
              <w:pStyle w:val="Tabletext0"/>
              <w:jc w:val="center"/>
              <w:rPr>
                <w:kern w:val="0"/>
              </w:rPr>
            </w:pPr>
            <w:r w:rsidRPr="0013296A">
              <w:rPr>
                <w:rFonts w:ascii="Wingdings" w:eastAsia="Wingdings" w:hAnsi="Wingdings" w:cs="Wingdings"/>
                <w:kern w:val="0"/>
              </w:rPr>
              <w:t>ü</w:t>
            </w:r>
          </w:p>
        </w:tc>
        <w:tc>
          <w:tcPr>
            <w:tcW w:w="1048" w:type="dxa"/>
            <w:vAlign w:val="center"/>
          </w:tcPr>
          <w:p w14:paraId="503245D2" w14:textId="77777777" w:rsidR="00D126EF" w:rsidRPr="0013296A" w:rsidRDefault="00D126EF" w:rsidP="00E32F13">
            <w:pPr>
              <w:pStyle w:val="Tabletext0"/>
              <w:jc w:val="center"/>
              <w:rPr>
                <w:kern w:val="0"/>
              </w:rPr>
            </w:pPr>
            <w:r w:rsidRPr="0013296A">
              <w:rPr>
                <w:kern w:val="0"/>
              </w:rPr>
              <w:t>–</w:t>
            </w:r>
          </w:p>
        </w:tc>
      </w:tr>
      <w:tr w:rsidR="00D126EF" w:rsidRPr="00BF52F4" w14:paraId="2E171418" w14:textId="77777777" w:rsidTr="00D126EF">
        <w:trPr>
          <w:trHeight w:val="829"/>
          <w:jc w:val="center"/>
        </w:trPr>
        <w:tc>
          <w:tcPr>
            <w:tcW w:w="2684" w:type="dxa"/>
            <w:vMerge/>
          </w:tcPr>
          <w:p w14:paraId="1DB25B4F" w14:textId="77777777" w:rsidR="00D126EF" w:rsidRPr="00BF52F4" w:rsidRDefault="00D126EF" w:rsidP="00E32F13">
            <w:pPr>
              <w:pStyle w:val="Tabletext0"/>
              <w:rPr>
                <w:b/>
                <w:kern w:val="0"/>
              </w:rPr>
            </w:pPr>
          </w:p>
        </w:tc>
        <w:tc>
          <w:tcPr>
            <w:tcW w:w="2409" w:type="dxa"/>
          </w:tcPr>
          <w:p w14:paraId="5E65AD54" w14:textId="77777777" w:rsidR="00D126EF" w:rsidRPr="00166F84" w:rsidRDefault="00D126EF" w:rsidP="00E32F13">
            <w:pPr>
              <w:pStyle w:val="Tabletext0"/>
              <w:rPr>
                <w:kern w:val="0"/>
              </w:rPr>
            </w:pPr>
            <w:r w:rsidRPr="00166F84">
              <w:rPr>
                <w:kern w:val="0"/>
              </w:rPr>
              <w:t>Impaired fertility</w:t>
            </w:r>
          </w:p>
          <w:p w14:paraId="7DB7623A" w14:textId="77777777" w:rsidR="00D126EF" w:rsidRPr="00166F84" w:rsidRDefault="00D126EF" w:rsidP="00E32F13">
            <w:pPr>
              <w:pStyle w:val="Tabletext0"/>
              <w:rPr>
                <w:kern w:val="0"/>
              </w:rPr>
            </w:pPr>
            <w:r w:rsidRPr="00166F84">
              <w:rPr>
                <w:kern w:val="0"/>
              </w:rPr>
              <w:t>and embryofetal</w:t>
            </w:r>
          </w:p>
          <w:p w14:paraId="7F404ECA" w14:textId="77777777" w:rsidR="00D126EF" w:rsidRPr="00BF52F4" w:rsidRDefault="00D126EF" w:rsidP="00E32F13">
            <w:pPr>
              <w:pStyle w:val="Tabletext0"/>
              <w:rPr>
                <w:kern w:val="0"/>
              </w:rPr>
            </w:pPr>
            <w:r w:rsidRPr="00166F84">
              <w:rPr>
                <w:kern w:val="0"/>
              </w:rPr>
              <w:t>toxicity</w:t>
            </w:r>
          </w:p>
        </w:tc>
        <w:tc>
          <w:tcPr>
            <w:tcW w:w="1485" w:type="dxa"/>
            <w:vAlign w:val="center"/>
          </w:tcPr>
          <w:p w14:paraId="611BA82C" w14:textId="77777777" w:rsidR="00D126EF" w:rsidRPr="0013296A" w:rsidRDefault="00D126EF" w:rsidP="00E32F13">
            <w:pPr>
              <w:pStyle w:val="Tabletext0"/>
              <w:jc w:val="center"/>
              <w:rPr>
                <w:kern w:val="0"/>
              </w:rPr>
            </w:pPr>
            <w:r w:rsidRPr="0013296A">
              <w:rPr>
                <w:rFonts w:ascii="Wingdings" w:eastAsia="Wingdings" w:hAnsi="Wingdings" w:cs="Wingdings"/>
                <w:kern w:val="0"/>
              </w:rPr>
              <w:t>ü</w:t>
            </w:r>
          </w:p>
        </w:tc>
        <w:tc>
          <w:tcPr>
            <w:tcW w:w="1020" w:type="dxa"/>
            <w:vAlign w:val="center"/>
          </w:tcPr>
          <w:p w14:paraId="7D0F8582" w14:textId="77777777" w:rsidR="00D126EF" w:rsidRPr="0013296A" w:rsidRDefault="00D126EF" w:rsidP="00E32F13">
            <w:pPr>
              <w:pStyle w:val="Tabletext0"/>
              <w:jc w:val="center"/>
              <w:rPr>
                <w:kern w:val="0"/>
              </w:rPr>
            </w:pPr>
            <w:r w:rsidRPr="0013296A">
              <w:rPr>
                <w:kern w:val="0"/>
              </w:rPr>
              <w:t>–</w:t>
            </w:r>
          </w:p>
        </w:tc>
        <w:tc>
          <w:tcPr>
            <w:tcW w:w="823" w:type="dxa"/>
            <w:vAlign w:val="center"/>
          </w:tcPr>
          <w:p w14:paraId="5781D126" w14:textId="77777777" w:rsidR="00D126EF" w:rsidRPr="0013296A" w:rsidRDefault="00D126EF" w:rsidP="00E32F13">
            <w:pPr>
              <w:pStyle w:val="Tabletext0"/>
              <w:jc w:val="center"/>
              <w:rPr>
                <w:kern w:val="0"/>
              </w:rPr>
            </w:pPr>
            <w:r w:rsidRPr="0013296A">
              <w:rPr>
                <w:rFonts w:ascii="Wingdings" w:eastAsia="Wingdings" w:hAnsi="Wingdings" w:cs="Wingdings"/>
                <w:kern w:val="0"/>
              </w:rPr>
              <w:t>ü</w:t>
            </w:r>
          </w:p>
        </w:tc>
        <w:tc>
          <w:tcPr>
            <w:tcW w:w="1048" w:type="dxa"/>
            <w:vAlign w:val="center"/>
          </w:tcPr>
          <w:p w14:paraId="2A4181A3" w14:textId="77777777" w:rsidR="00D126EF" w:rsidRPr="0013296A" w:rsidRDefault="00D126EF" w:rsidP="00E32F13">
            <w:pPr>
              <w:pStyle w:val="Tabletext0"/>
              <w:jc w:val="center"/>
              <w:rPr>
                <w:kern w:val="0"/>
              </w:rPr>
            </w:pPr>
            <w:r w:rsidRPr="0013296A">
              <w:rPr>
                <w:kern w:val="0"/>
              </w:rPr>
              <w:t>–</w:t>
            </w:r>
          </w:p>
        </w:tc>
      </w:tr>
      <w:tr w:rsidR="00D126EF" w:rsidRPr="00BF52F4" w14:paraId="737867B6" w14:textId="77777777" w:rsidTr="00D126EF">
        <w:trPr>
          <w:trHeight w:val="602"/>
          <w:jc w:val="center"/>
        </w:trPr>
        <w:tc>
          <w:tcPr>
            <w:tcW w:w="2684" w:type="dxa"/>
          </w:tcPr>
          <w:p w14:paraId="466ABA4E" w14:textId="77777777" w:rsidR="00D126EF" w:rsidRPr="00BF52F4" w:rsidRDefault="00D126EF" w:rsidP="00E32F13">
            <w:pPr>
              <w:pStyle w:val="Tabletext0"/>
              <w:rPr>
                <w:b/>
                <w:kern w:val="0"/>
              </w:rPr>
            </w:pPr>
            <w:r w:rsidRPr="00BF52F4">
              <w:rPr>
                <w:b/>
                <w:kern w:val="0"/>
              </w:rPr>
              <w:t>Missing information</w:t>
            </w:r>
          </w:p>
        </w:tc>
        <w:tc>
          <w:tcPr>
            <w:tcW w:w="2409" w:type="dxa"/>
          </w:tcPr>
          <w:p w14:paraId="077A1729" w14:textId="77777777" w:rsidR="00D126EF" w:rsidRPr="00BF52F4" w:rsidRDefault="00D126EF" w:rsidP="00E32F13">
            <w:pPr>
              <w:pStyle w:val="Tabletext0"/>
              <w:rPr>
                <w:kern w:val="0"/>
              </w:rPr>
            </w:pPr>
            <w:r>
              <w:rPr>
                <w:kern w:val="0"/>
              </w:rPr>
              <w:t>None</w:t>
            </w:r>
          </w:p>
        </w:tc>
        <w:tc>
          <w:tcPr>
            <w:tcW w:w="1485" w:type="dxa"/>
            <w:vAlign w:val="center"/>
          </w:tcPr>
          <w:p w14:paraId="71D724AE" w14:textId="77777777" w:rsidR="00D126EF" w:rsidRPr="00BF52F4" w:rsidRDefault="00D126EF" w:rsidP="00E32F13">
            <w:pPr>
              <w:pStyle w:val="Tabletext0"/>
              <w:jc w:val="center"/>
              <w:rPr>
                <w:color w:val="00B050"/>
                <w:kern w:val="0"/>
              </w:rPr>
            </w:pPr>
            <w:r w:rsidRPr="0013296A">
              <w:rPr>
                <w:kern w:val="0"/>
              </w:rPr>
              <w:t>–</w:t>
            </w:r>
          </w:p>
        </w:tc>
        <w:tc>
          <w:tcPr>
            <w:tcW w:w="1020" w:type="dxa"/>
            <w:vAlign w:val="center"/>
          </w:tcPr>
          <w:p w14:paraId="65A72E88" w14:textId="77777777" w:rsidR="00D126EF" w:rsidRPr="00BF52F4" w:rsidRDefault="00D126EF" w:rsidP="00E32F13">
            <w:pPr>
              <w:pStyle w:val="Tabletext0"/>
              <w:jc w:val="center"/>
              <w:rPr>
                <w:color w:val="00B050"/>
                <w:kern w:val="0"/>
              </w:rPr>
            </w:pPr>
            <w:r w:rsidRPr="0013296A">
              <w:rPr>
                <w:kern w:val="0"/>
              </w:rPr>
              <w:t>–</w:t>
            </w:r>
          </w:p>
        </w:tc>
        <w:tc>
          <w:tcPr>
            <w:tcW w:w="823" w:type="dxa"/>
            <w:vAlign w:val="center"/>
          </w:tcPr>
          <w:p w14:paraId="59B0F30B" w14:textId="77777777" w:rsidR="00D126EF" w:rsidRPr="00BF52F4" w:rsidRDefault="00D126EF" w:rsidP="00E32F13">
            <w:pPr>
              <w:pStyle w:val="Tabletext0"/>
              <w:jc w:val="center"/>
              <w:rPr>
                <w:color w:val="00B050"/>
                <w:kern w:val="0"/>
              </w:rPr>
            </w:pPr>
            <w:r w:rsidRPr="0013296A">
              <w:rPr>
                <w:kern w:val="0"/>
              </w:rPr>
              <w:t>–</w:t>
            </w:r>
          </w:p>
        </w:tc>
        <w:tc>
          <w:tcPr>
            <w:tcW w:w="1048" w:type="dxa"/>
            <w:vAlign w:val="center"/>
          </w:tcPr>
          <w:p w14:paraId="7468CC74" w14:textId="77777777" w:rsidR="00D126EF" w:rsidRPr="00BF52F4" w:rsidRDefault="00D126EF" w:rsidP="00E32F13">
            <w:pPr>
              <w:pStyle w:val="Tabletext0"/>
              <w:jc w:val="center"/>
              <w:rPr>
                <w:color w:val="00B050"/>
                <w:kern w:val="0"/>
              </w:rPr>
            </w:pPr>
            <w:r w:rsidRPr="0013296A">
              <w:rPr>
                <w:kern w:val="0"/>
              </w:rPr>
              <w:t>–</w:t>
            </w:r>
          </w:p>
        </w:tc>
      </w:tr>
    </w:tbl>
    <w:p w14:paraId="6D2FAEC5" w14:textId="2DCA7BF3" w:rsidR="00D126EF" w:rsidRDefault="00D126EF" w:rsidP="00D126EF">
      <w:pPr>
        <w:pStyle w:val="Tabletext0"/>
        <w:rPr>
          <w:i/>
          <w:iCs/>
          <w:kern w:val="0"/>
        </w:rPr>
      </w:pPr>
      <w:r w:rsidRPr="00963EB1">
        <w:rPr>
          <w:kern w:val="0"/>
        </w:rPr>
        <w:t>*</w:t>
      </w:r>
      <w:r>
        <w:rPr>
          <w:i/>
          <w:iCs/>
          <w:kern w:val="0"/>
        </w:rPr>
        <w:t>A</w:t>
      </w:r>
      <w:r w:rsidRPr="00963EB1">
        <w:rPr>
          <w:i/>
          <w:iCs/>
          <w:kern w:val="0"/>
        </w:rPr>
        <w:t>pplies only to the</w:t>
      </w:r>
      <w:r>
        <w:rPr>
          <w:i/>
          <w:iCs/>
          <w:kern w:val="0"/>
        </w:rPr>
        <w:t xml:space="preserve"> </w:t>
      </w:r>
      <w:r w:rsidRPr="00963EB1">
        <w:rPr>
          <w:i/>
          <w:iCs/>
          <w:kern w:val="0"/>
        </w:rPr>
        <w:t xml:space="preserve">combination of </w:t>
      </w:r>
      <w:r w:rsidR="006E6321">
        <w:rPr>
          <w:i/>
          <w:iCs/>
          <w:kern w:val="0"/>
        </w:rPr>
        <w:t>lazertinib</w:t>
      </w:r>
      <w:r>
        <w:rPr>
          <w:i/>
          <w:iCs/>
          <w:kern w:val="0"/>
        </w:rPr>
        <w:t xml:space="preserve"> </w:t>
      </w:r>
      <w:r w:rsidRPr="00963EB1">
        <w:rPr>
          <w:i/>
          <w:iCs/>
          <w:kern w:val="0"/>
        </w:rPr>
        <w:t>and amivantamab</w:t>
      </w:r>
    </w:p>
    <w:p w14:paraId="74A4F87F" w14:textId="77777777" w:rsidR="00C22214" w:rsidRDefault="00C22214" w:rsidP="00C22214">
      <w:pPr>
        <w:pStyle w:val="Heading3"/>
      </w:pPr>
      <w:bookmarkStart w:id="47" w:name="_Toc103679299"/>
      <w:bookmarkStart w:id="48" w:name="_Toc209441301"/>
      <w:r>
        <w:t>Risk-benefit analysis</w:t>
      </w:r>
      <w:bookmarkEnd w:id="45"/>
      <w:bookmarkEnd w:id="46"/>
      <w:bookmarkEnd w:id="47"/>
      <w:bookmarkEnd w:id="48"/>
    </w:p>
    <w:p w14:paraId="57DF5F1B" w14:textId="77777777" w:rsidR="00F71E38" w:rsidRDefault="00F71E38" w:rsidP="00F71E38">
      <w:r>
        <w:t>Lung cancer is the leading cause of cancer-related mortality worldwide. Metastatic NSCLC harbouring ex19del or ex21 L858R mutations is a fatal, incurable disease.</w:t>
      </w:r>
    </w:p>
    <w:p w14:paraId="2F5071F1" w14:textId="6442B015" w:rsidR="00F71E38" w:rsidRDefault="00F71E38" w:rsidP="00F71E38">
      <w:r>
        <w:t xml:space="preserve">For patients with advanced NSCLC with EGFR ex19del or ex21 L858R mutations, </w:t>
      </w:r>
      <w:r w:rsidR="006E6321">
        <w:t>osimertinib</w:t>
      </w:r>
    </w:p>
    <w:p w14:paraId="3C2FE9F1" w14:textId="77777777" w:rsidR="00F71E38" w:rsidRDefault="00F71E38" w:rsidP="00F71E38">
      <w:r>
        <w:t>+/- chemotherapy is currently the recommended first line treatment option in Australia, however, virtually all patients will develop resistance to this. Consequently, an unmet need exists for more effective systemic therapies for patients in this setting.</w:t>
      </w:r>
    </w:p>
    <w:p w14:paraId="152E8FA8" w14:textId="0C7CCFE1" w:rsidR="00F71E38" w:rsidRDefault="006F4B2B" w:rsidP="00F71E38">
      <w:r>
        <w:t>L</w:t>
      </w:r>
      <w:r w:rsidR="006E6321">
        <w:t>azertinib</w:t>
      </w:r>
      <w:r w:rsidR="00F71E38">
        <w:t xml:space="preserve"> is an oral third generation TKI of the EGFR protein, with activity in NSCLC tumours harbouring EGFR exon 19del and ex21 L858R mutations, in addition to ex20 T790M mutations. Treatment with </w:t>
      </w:r>
      <w:r w:rsidR="006E6321">
        <w:t>lazertinib</w:t>
      </w:r>
      <w:r w:rsidR="00F71E38">
        <w:t xml:space="preserve"> in combination with amivantamab have shown promising results in the pre-clinical space.</w:t>
      </w:r>
    </w:p>
    <w:p w14:paraId="48BCD9FA" w14:textId="77777777" w:rsidR="00F71E38" w:rsidRDefault="00F71E38" w:rsidP="006F4B2B">
      <w:pPr>
        <w:pStyle w:val="Heading5"/>
      </w:pPr>
      <w:r>
        <w:t>Proposed indication</w:t>
      </w:r>
    </w:p>
    <w:p w14:paraId="10032716" w14:textId="2F8B6AF1" w:rsidR="00F71E38" w:rsidRDefault="00F71E38" w:rsidP="00F71E38">
      <w:r>
        <w:t xml:space="preserve">The Sponsor proposes to register </w:t>
      </w:r>
      <w:r w:rsidR="006E6321">
        <w:t>lazertinib</w:t>
      </w:r>
      <w:r>
        <w:t xml:space="preserve"> (LACLUZE), a new therapeutic entity, for the following indication:</w:t>
      </w:r>
    </w:p>
    <w:p w14:paraId="63FF339B" w14:textId="759B0888" w:rsidR="00F71E38" w:rsidRDefault="00F71E38" w:rsidP="00F71E38">
      <w:r>
        <w:t>“</w:t>
      </w:r>
      <w:r w:rsidR="00554EAE">
        <w:t>Lazcluze</w:t>
      </w:r>
      <w:r>
        <w:t xml:space="preserve"> in combination with amivantamab is indicated for the first-line treatment of adult patients with locally advanced or metastatic non-small cell lung cancer (NSCLC) with epidermal growth factor receptor (EGFR) exon 19 deletions or exon 21 L858R substitution mutations.”</w:t>
      </w:r>
    </w:p>
    <w:p w14:paraId="569D08AE" w14:textId="088E4787" w:rsidR="00F71E38" w:rsidRDefault="00F71E38" w:rsidP="00F71E38">
      <w:r>
        <w:t xml:space="preserve">The recommended dosage of </w:t>
      </w:r>
      <w:r w:rsidR="006E6321">
        <w:t>lazertinib</w:t>
      </w:r>
      <w:r>
        <w:t xml:space="preserve"> is 240 mg once daily, in combination with amivantamab.</w:t>
      </w:r>
    </w:p>
    <w:p w14:paraId="6162E5AF" w14:textId="77777777" w:rsidR="00F71E38" w:rsidRDefault="00F71E38" w:rsidP="00F71E38">
      <w:r>
        <w:t>The same indication is proposed for amivantamab (RYBREVANT) via a Category 1 Type C application PM-2024-01139-1-4, which is being submitted concurrently with this application.</w:t>
      </w:r>
    </w:p>
    <w:p w14:paraId="1A7B40D0" w14:textId="77777777" w:rsidR="00F71E38" w:rsidRDefault="00F71E38" w:rsidP="006F4B2B">
      <w:pPr>
        <w:pStyle w:val="Heading5"/>
      </w:pPr>
      <w:r>
        <w:t>Benefits / Uncertainties of benefit</w:t>
      </w:r>
    </w:p>
    <w:p w14:paraId="057219DF" w14:textId="273AEE44" w:rsidR="00F71E38" w:rsidRDefault="00F71E38" w:rsidP="00F71E38">
      <w:r>
        <w:t xml:space="preserve">The </w:t>
      </w:r>
      <w:r w:rsidR="006F4B2B">
        <w:t>S</w:t>
      </w:r>
      <w:r>
        <w:t xml:space="preserve">ponsor has provided adequate evidence of effectiveness to support approval of amivantamab and </w:t>
      </w:r>
      <w:r w:rsidR="006E6321">
        <w:t>lazertinib</w:t>
      </w:r>
      <w:r>
        <w:t xml:space="preserve"> for the proposed patient population, based on the large, adequate, well-controlled, multicentre MARIPOSA trial.</w:t>
      </w:r>
    </w:p>
    <w:p w14:paraId="05573D3B" w14:textId="4DFD9987" w:rsidR="00F71E38" w:rsidRDefault="00F71E38" w:rsidP="00F71E38">
      <w:r>
        <w:t xml:space="preserve">MARIPOSA is an ongoing, randomised, multicentre Phase 3 study evaluating the combination of amivantamab and </w:t>
      </w:r>
      <w:r w:rsidR="006E6321">
        <w:t>lazertinib</w:t>
      </w:r>
      <w:r>
        <w:t xml:space="preserve"> for the first line treatment of patients with locally advanced or metastatic NSCLC with EGFR exon 19 deletions or exon 21 L858R substitution mutations (EGFRm NCSLC). Patients were randomised (2:2:1) to receive amivantamab</w:t>
      </w:r>
      <w:r w:rsidR="00664CB2">
        <w:t xml:space="preserve"> </w:t>
      </w:r>
      <w:r>
        <w:t>+</w:t>
      </w:r>
      <w:r w:rsidR="00664CB2">
        <w:t xml:space="preserve"> </w:t>
      </w:r>
      <w:r w:rsidR="006E6321">
        <w:t>lazertinib</w:t>
      </w:r>
      <w:r>
        <w:t xml:space="preserve"> (n=429), </w:t>
      </w:r>
      <w:r w:rsidR="006E6321">
        <w:t>osimertinib</w:t>
      </w:r>
      <w:r>
        <w:t xml:space="preserve"> (n=429) or </w:t>
      </w:r>
      <w:r w:rsidR="006E6321">
        <w:t>lazertinib</w:t>
      </w:r>
      <w:r>
        <w:t xml:space="preserve"> monotherapy. (The </w:t>
      </w:r>
      <w:r w:rsidR="006E6321">
        <w:t>lazertinib</w:t>
      </w:r>
      <w:r>
        <w:t xml:space="preserve"> monotherapy arm was </w:t>
      </w:r>
      <w:r>
        <w:lastRenderedPageBreak/>
        <w:t>included to allow for a descriptive comparison with the other treatment arms to evaluate the contribution of components of the combination regimen.)</w:t>
      </w:r>
    </w:p>
    <w:p w14:paraId="09E29F7B" w14:textId="534B17AC" w:rsidR="00F71E38" w:rsidRDefault="00F71E38" w:rsidP="00F71E38">
      <w:r>
        <w:t xml:space="preserve">The primary evaluation of efficacy relied upon the comparison between patients treated with </w:t>
      </w:r>
      <w:r w:rsidR="006E6321">
        <w:t>lazertinib</w:t>
      </w:r>
      <w:r>
        <w:t xml:space="preserve"> (240mg once daily) in combination with amivantamab (</w:t>
      </w:r>
      <w:r w:rsidR="001850B7" w:rsidRPr="001850B7">
        <w:t>intravenous</w:t>
      </w:r>
      <w:r>
        <w:t>, 1050mg for patients</w:t>
      </w:r>
      <w:r w:rsidR="001850B7">
        <w:t xml:space="preserve"> </w:t>
      </w:r>
      <w:r>
        <w:t xml:space="preserve">&lt;80kg or 1400mg for patients ≥80kg) once weekly for 4 weeks, then every 2 weeks thereafter from Wk5), versus </w:t>
      </w:r>
      <w:r w:rsidR="006E6321">
        <w:t>osimertinib</w:t>
      </w:r>
      <w:r>
        <w:t xml:space="preserve"> (80mg once daily). The primary endpoint was PFS by BICR; OS was to be tested if PFS was statistically significant.</w:t>
      </w:r>
    </w:p>
    <w:p w14:paraId="4710CF75" w14:textId="7AAF5BD8" w:rsidR="00F71E38" w:rsidRDefault="00F71E38" w:rsidP="00F71E38">
      <w:r>
        <w:t xml:space="preserve">MARIPOSA met its primary endpoint, demonstrating a statistically significant and clinically meaningful improvement in PFS by BICR for the combination of amivantamab and </w:t>
      </w:r>
      <w:r w:rsidR="006E6321">
        <w:t>lazertinib</w:t>
      </w:r>
      <w:r>
        <w:t xml:space="preserve"> as compared to </w:t>
      </w:r>
      <w:r w:rsidR="006E6321">
        <w:t>osimertinib</w:t>
      </w:r>
      <w:r>
        <w:t xml:space="preserve">, with a 30% reduction in the risk of disease progression or death (HR=0.70 [95% CI: 0.58, 0.85], p=0.0002, median PFS 23.7 months for the combination of amivantamab and </w:t>
      </w:r>
      <w:r w:rsidR="006E6321">
        <w:t>lazertinib</w:t>
      </w:r>
      <w:r>
        <w:t xml:space="preserve"> vs 16.6 months for </w:t>
      </w:r>
      <w:r w:rsidR="006E6321">
        <w:t>osimertinib</w:t>
      </w:r>
      <w:r>
        <w:t>).</w:t>
      </w:r>
    </w:p>
    <w:p w14:paraId="6AF383BC" w14:textId="24E8E90F" w:rsidR="00F71E38" w:rsidRDefault="00F71E38" w:rsidP="00F71E38">
      <w:r>
        <w:t>Secondary endpoint OS results are immature; interim OS analyses appear to indicate no obvious detrimental effect of the combination regimen (82% information fraction).</w:t>
      </w:r>
    </w:p>
    <w:p w14:paraId="1B11A109" w14:textId="77777777" w:rsidR="00F71E38" w:rsidRDefault="00F71E38" w:rsidP="006F4B2B">
      <w:pPr>
        <w:pStyle w:val="Heading5"/>
      </w:pPr>
      <w:r>
        <w:t>Uncertainties</w:t>
      </w:r>
    </w:p>
    <w:p w14:paraId="0E5B92BD" w14:textId="5CD0B028" w:rsidR="00F71E38" w:rsidRDefault="00F71E38" w:rsidP="00F71E38">
      <w:r>
        <w:t>Overall survival data remain immature. It is expected, as a condition of registration, that the Sponsor will submit the final dataset and analysis of the MARIPOSA trial (including the results of the final overall survival analysis).</w:t>
      </w:r>
    </w:p>
    <w:p w14:paraId="61E859B7" w14:textId="77777777" w:rsidR="00F71E38" w:rsidRDefault="00F71E38" w:rsidP="006F4B2B">
      <w:pPr>
        <w:pStyle w:val="Heading5"/>
      </w:pPr>
      <w:r>
        <w:t>Risks / Uncertainties of risk</w:t>
      </w:r>
    </w:p>
    <w:p w14:paraId="29C6BCAA" w14:textId="77777777" w:rsidR="00F71E38" w:rsidRDefault="00F71E38" w:rsidP="00F71E38">
      <w:r>
        <w:t>The safety profile is acceptable in the context of the observed efficacy in the proposed population.</w:t>
      </w:r>
    </w:p>
    <w:p w14:paraId="6FB1A74C" w14:textId="1768398A" w:rsidR="00F71E38" w:rsidRDefault="00F71E38" w:rsidP="00F71E38">
      <w:r>
        <w:t xml:space="preserve">The primary safety population was derived from the MARIPOSA trial, consisting of 421 patients who received at least one dose of amivantamab and </w:t>
      </w:r>
      <w:r w:rsidR="006E6321">
        <w:t>lazertinib</w:t>
      </w:r>
      <w:r>
        <w:t xml:space="preserve"> and 428 patients who received at least one dose of </w:t>
      </w:r>
      <w:r w:rsidR="006E6321">
        <w:t>osimertinib</w:t>
      </w:r>
      <w:r>
        <w:t xml:space="preserve">. Overall, the toxicity profile of amivantamab in combination with </w:t>
      </w:r>
      <w:r w:rsidR="006E6321">
        <w:t>lazertinib</w:t>
      </w:r>
      <w:r>
        <w:t xml:space="preserve"> reflects the on-target inhibition of the EGFR and MET pathways induced by each agent comprising the regimen. While this combination was generally associated with higher incidence and severity of AEs when compared to </w:t>
      </w:r>
      <w:r w:rsidR="006E6321">
        <w:t>osimertinib</w:t>
      </w:r>
      <w:r>
        <w:t xml:space="preserve">, the incremental toxicities of the combination are considered acceptable in the context of the increased efficacy of the combination regimen vs </w:t>
      </w:r>
      <w:r w:rsidR="006E6321">
        <w:t>osimertinib</w:t>
      </w:r>
      <w:r>
        <w:t xml:space="preserve"> for the proposed population.</w:t>
      </w:r>
    </w:p>
    <w:p w14:paraId="4DC619C9" w14:textId="1E84D9BA" w:rsidR="003D0682" w:rsidRDefault="003D0682" w:rsidP="00760FF1">
      <w:pPr>
        <w:pStyle w:val="TableTitle"/>
      </w:pPr>
      <w:r>
        <w:lastRenderedPageBreak/>
        <w:t xml:space="preserve">Table </w:t>
      </w:r>
      <w:r w:rsidR="00734D3C">
        <w:t xml:space="preserve">10. </w:t>
      </w:r>
      <w:r w:rsidR="009B2534">
        <w:t>Adverse events</w:t>
      </w:r>
      <w:r w:rsidR="009E6D8E">
        <w:t xml:space="preserve">, </w:t>
      </w:r>
      <w:r w:rsidR="009B2534">
        <w:t>MARIPOSA trial</w:t>
      </w:r>
      <w:r w:rsidR="009E6D8E">
        <w:t>,</w:t>
      </w:r>
      <w:r w:rsidR="009B2534">
        <w:t xml:space="preserve"> from </w:t>
      </w:r>
      <w:r w:rsidR="00760FF1">
        <w:t xml:space="preserve">Cho, BC </w:t>
      </w:r>
      <w:r w:rsidR="00760FF1" w:rsidRPr="00760FF1">
        <w:rPr>
          <w:i/>
          <w:iCs/>
        </w:rPr>
        <w:t>et. al.</w:t>
      </w:r>
      <w:r w:rsidR="00760FF1">
        <w:t>, 2024.</w:t>
      </w:r>
      <w:r w:rsidR="006A63E5">
        <w:rPr>
          <w:rStyle w:val="FootnoteReference"/>
        </w:rPr>
        <w:footnoteReference w:id="3"/>
      </w:r>
    </w:p>
    <w:p w14:paraId="5BBA976D" w14:textId="2CB114D4" w:rsidR="00656C8F" w:rsidRPr="00F71E38" w:rsidRDefault="003D0682" w:rsidP="00AB5A4A">
      <w:r>
        <w:rPr>
          <w:noProof/>
        </w:rPr>
        <w:drawing>
          <wp:inline distT="0" distB="0" distL="0" distR="0" wp14:anchorId="7E14EFB8" wp14:editId="49E1255F">
            <wp:extent cx="4513700" cy="6357376"/>
            <wp:effectExtent l="0" t="0" r="1270" b="5715"/>
            <wp:docPr id="574545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l="1774" t="3856" r="1743" b="1221"/>
                    <a:stretch>
                      <a:fillRect/>
                    </a:stretch>
                  </pic:blipFill>
                  <pic:spPr bwMode="auto">
                    <a:xfrm>
                      <a:off x="0" y="0"/>
                      <a:ext cx="4518809" cy="6364571"/>
                    </a:xfrm>
                    <a:prstGeom prst="rect">
                      <a:avLst/>
                    </a:prstGeom>
                    <a:noFill/>
                    <a:ln>
                      <a:noFill/>
                    </a:ln>
                    <a:extLst>
                      <a:ext uri="{53640926-AAD7-44D8-BBD7-CCE9431645EC}">
                        <a14:shadowObscured xmlns:a14="http://schemas.microsoft.com/office/drawing/2010/main"/>
                      </a:ext>
                    </a:extLst>
                  </pic:spPr>
                </pic:pic>
              </a:graphicData>
            </a:graphic>
          </wp:inline>
        </w:drawing>
      </w:r>
    </w:p>
    <w:p w14:paraId="098AB5A0" w14:textId="6665837D" w:rsidR="00F165B2" w:rsidRDefault="00F165B2" w:rsidP="00F165B2">
      <w:pPr>
        <w:pStyle w:val="TableDescription"/>
      </w:pPr>
      <w:r>
        <w:t>*The safety population included all the patients who had undergone randomization and received at least one dose of any trial treatment. Adverse events were coded according to preferred terms in the Medical Dictionary for Regulatory Activities, version 25.1. Covid-19 denotes coronavirus disease 2019.</w:t>
      </w:r>
    </w:p>
    <w:p w14:paraId="0D4820F4" w14:textId="04F55AD9" w:rsidR="00650605" w:rsidRDefault="00F165B2" w:rsidP="00F165B2">
      <w:pPr>
        <w:pStyle w:val="TableDescription"/>
      </w:pPr>
      <w:r>
        <w:t>†Events in this category are listed according to decreasing incidence in the amivantamab–</w:t>
      </w:r>
      <w:r w:rsidR="006E6321">
        <w:t>lazertinib</w:t>
      </w:r>
      <w:r>
        <w:t xml:space="preserve"> group.</w:t>
      </w:r>
    </w:p>
    <w:p w14:paraId="0DD020F1" w14:textId="1F9921B5" w:rsidR="009E6D8E" w:rsidRDefault="009E6D8E" w:rsidP="00993779">
      <w:pPr>
        <w:pStyle w:val="Heading5"/>
      </w:pPr>
      <w:r>
        <w:lastRenderedPageBreak/>
        <w:t>Most common TEAEs</w:t>
      </w:r>
      <w:r w:rsidR="00993779">
        <w:t>:</w:t>
      </w:r>
    </w:p>
    <w:p w14:paraId="304682F7" w14:textId="5FD47FE5" w:rsidR="00993779" w:rsidRDefault="009E6D8E" w:rsidP="009E6D8E">
      <w:r>
        <w:t xml:space="preserve">For amivantamab + </w:t>
      </w:r>
      <w:r w:rsidR="006E6321">
        <w:t>lazertinib</w:t>
      </w:r>
      <w:r>
        <w:t xml:space="preserve">: decreased albumin (89%), rash (86%), nail toxicity (71%), increased ALT (65%), </w:t>
      </w:r>
      <w:r w:rsidRPr="008C7954">
        <w:rPr>
          <w:b/>
          <w:bCs/>
        </w:rPr>
        <w:t>IRR (63%)</w:t>
      </w:r>
      <w:r>
        <w:t>, increased AST (52%), musculoskeletal pain</w:t>
      </w:r>
      <w:r w:rsidR="00993779">
        <w:t xml:space="preserve"> </w:t>
      </w:r>
      <w:r>
        <w:t xml:space="preserve">(47%), stomatitis (43%), peripheral oedema (43%), decreased calcium (41%), </w:t>
      </w:r>
      <w:r w:rsidRPr="008C7954">
        <w:rPr>
          <w:b/>
          <w:bCs/>
        </w:rPr>
        <w:t>VTE</w:t>
      </w:r>
      <w:r w:rsidR="00993779" w:rsidRPr="008C7954">
        <w:rPr>
          <w:b/>
          <w:bCs/>
        </w:rPr>
        <w:t xml:space="preserve"> </w:t>
      </w:r>
      <w:r w:rsidRPr="008C7954">
        <w:rPr>
          <w:b/>
          <w:bCs/>
        </w:rPr>
        <w:t>(36%)</w:t>
      </w:r>
      <w:r>
        <w:t>, increased GGT (39%), decreased sodium (38%), paraesthesia (35%), fatigue</w:t>
      </w:r>
      <w:r w:rsidR="00993779">
        <w:t xml:space="preserve"> </w:t>
      </w:r>
      <w:r>
        <w:t>(32%), decreased potassium (30%), diarrhoea (31%), constipation (29%)</w:t>
      </w:r>
      <w:r w:rsidR="00993779">
        <w:t xml:space="preserve"> </w:t>
      </w:r>
    </w:p>
    <w:p w14:paraId="472055D1" w14:textId="5508496C" w:rsidR="00993779" w:rsidRDefault="009E6D8E" w:rsidP="009E6D8E">
      <w:r>
        <w:t xml:space="preserve">For </w:t>
      </w:r>
      <w:r w:rsidR="006E6321">
        <w:t>osimertinib</w:t>
      </w:r>
      <w:r>
        <w:t>: rash (48%), diarrhoea (45%), musculoskeletal pain (39%), increased AST (36%), decreased sodium (35%), increased creatinine (35%), nail toxicity (34%),</w:t>
      </w:r>
      <w:r w:rsidR="00993779">
        <w:t xml:space="preserve"> </w:t>
      </w:r>
      <w:r>
        <w:t>increased ALT (29%), stomatitis (27%)</w:t>
      </w:r>
      <w:r w:rsidR="00993779">
        <w:t xml:space="preserve"> </w:t>
      </w:r>
    </w:p>
    <w:p w14:paraId="53B4A83C" w14:textId="1EE7A317" w:rsidR="00993779" w:rsidRPr="009C09FF" w:rsidRDefault="009E6D8E" w:rsidP="00884635">
      <w:pPr>
        <w:pStyle w:val="Heading5"/>
        <w:rPr>
          <w:lang w:val="pt-PT"/>
        </w:rPr>
      </w:pPr>
      <w:r w:rsidRPr="009C09FF">
        <w:rPr>
          <w:lang w:val="pt-PT"/>
        </w:rPr>
        <w:t xml:space="preserve">Grade 3-4 TEAEs: 67% (amivantamab + </w:t>
      </w:r>
      <w:r w:rsidR="006E6321" w:rsidRPr="009C09FF">
        <w:rPr>
          <w:lang w:val="pt-PT"/>
        </w:rPr>
        <w:t>lazertinib</w:t>
      </w:r>
      <w:r w:rsidRPr="009C09FF">
        <w:rPr>
          <w:lang w:val="pt-PT"/>
        </w:rPr>
        <w:t>) vs 36% (</w:t>
      </w:r>
      <w:r w:rsidR="006E6321" w:rsidRPr="009C09FF">
        <w:rPr>
          <w:lang w:val="pt-PT"/>
        </w:rPr>
        <w:t>osimertinib</w:t>
      </w:r>
      <w:r w:rsidRPr="009C09FF">
        <w:rPr>
          <w:lang w:val="pt-PT"/>
        </w:rPr>
        <w:t>)</w:t>
      </w:r>
      <w:r w:rsidR="00993779" w:rsidRPr="009C09FF">
        <w:rPr>
          <w:lang w:val="pt-PT"/>
        </w:rPr>
        <w:t xml:space="preserve"> </w:t>
      </w:r>
    </w:p>
    <w:p w14:paraId="5B264654" w14:textId="557D69DB" w:rsidR="00993779" w:rsidRDefault="009E6D8E" w:rsidP="00694C3E">
      <w:pPr>
        <w:pStyle w:val="ListBullet"/>
      </w:pPr>
      <w:r>
        <w:t xml:space="preserve">For amivantamab + </w:t>
      </w:r>
      <w:r w:rsidR="006E6321">
        <w:t>lazertinib</w:t>
      </w:r>
      <w:r>
        <w:t>: rash (26%), paronychia (11%),</w:t>
      </w:r>
      <w:r w:rsidRPr="008C7954">
        <w:rPr>
          <w:b/>
          <w:bCs/>
        </w:rPr>
        <w:t xml:space="preserve"> VTE (11%)</w:t>
      </w:r>
      <w:r>
        <w:t>,</w:t>
      </w:r>
      <w:r w:rsidR="00993779">
        <w:t xml:space="preserve"> </w:t>
      </w:r>
      <w:r w:rsidR="00B60CF6">
        <w:t>hypalbuminaemia</w:t>
      </w:r>
      <w:r>
        <w:t xml:space="preserve"> (8%), ALT increased (7%), </w:t>
      </w:r>
      <w:r w:rsidRPr="008C7954">
        <w:rPr>
          <w:b/>
          <w:bCs/>
        </w:rPr>
        <w:t>IRR (6%)</w:t>
      </w:r>
      <w:r w:rsidR="00993779" w:rsidRPr="008C7954">
        <w:rPr>
          <w:b/>
          <w:bCs/>
        </w:rPr>
        <w:t xml:space="preserve"> </w:t>
      </w:r>
    </w:p>
    <w:p w14:paraId="4A961F81" w14:textId="503C9D47" w:rsidR="009E6D8E" w:rsidRDefault="009E6D8E" w:rsidP="00694C3E">
      <w:pPr>
        <w:pStyle w:val="ListBullet"/>
      </w:pPr>
      <w:r w:rsidRPr="009C09FF">
        <w:rPr>
          <w:lang w:val="pt-PT"/>
        </w:rPr>
        <w:t xml:space="preserve">For </w:t>
      </w:r>
      <w:r w:rsidR="006E6321" w:rsidRPr="009C09FF">
        <w:rPr>
          <w:lang w:val="pt-PT"/>
        </w:rPr>
        <w:t>osimertinib</w:t>
      </w:r>
      <w:r w:rsidRPr="009C09FF">
        <w:rPr>
          <w:lang w:val="pt-PT"/>
        </w:rPr>
        <w:t xml:space="preserve">: no grade 3-4 AEs ≥5%. </w:t>
      </w:r>
      <w:r>
        <w:t xml:space="preserve">Rash (1.2%), paronychia (0.7%), VTE (2.8%), IRR (0%), </w:t>
      </w:r>
      <w:r w:rsidR="00B60CF6">
        <w:t>hypalbuminaemia</w:t>
      </w:r>
      <w:r>
        <w:t xml:space="preserve"> (0.2%), ALT increased (2.6%).</w:t>
      </w:r>
    </w:p>
    <w:p w14:paraId="7C436E7A" w14:textId="3C984834" w:rsidR="009E6D8E" w:rsidRPr="009C09FF" w:rsidRDefault="009E6D8E" w:rsidP="00694C3E">
      <w:pPr>
        <w:pStyle w:val="Heading5"/>
        <w:rPr>
          <w:lang w:val="pt-PT"/>
        </w:rPr>
      </w:pPr>
      <w:r w:rsidRPr="009C09FF">
        <w:rPr>
          <w:lang w:val="pt-PT"/>
        </w:rPr>
        <w:t xml:space="preserve">SAEs: 49% (amivantamab + </w:t>
      </w:r>
      <w:r w:rsidR="006E6321" w:rsidRPr="009C09FF">
        <w:rPr>
          <w:lang w:val="pt-PT"/>
        </w:rPr>
        <w:t>lazertinib</w:t>
      </w:r>
      <w:r w:rsidRPr="009C09FF">
        <w:rPr>
          <w:lang w:val="pt-PT"/>
        </w:rPr>
        <w:t>) vs 33% (</w:t>
      </w:r>
      <w:r w:rsidR="006E6321" w:rsidRPr="009C09FF">
        <w:rPr>
          <w:lang w:val="pt-PT"/>
        </w:rPr>
        <w:t>osimertinib</w:t>
      </w:r>
      <w:r w:rsidRPr="009C09FF">
        <w:rPr>
          <w:lang w:val="pt-PT"/>
        </w:rPr>
        <w:t>)</w:t>
      </w:r>
    </w:p>
    <w:p w14:paraId="41F23DA0" w14:textId="307AE26F" w:rsidR="009E6D8E" w:rsidRDefault="009E6D8E" w:rsidP="00694C3E">
      <w:pPr>
        <w:pStyle w:val="ListBullet"/>
      </w:pPr>
      <w:r>
        <w:t xml:space="preserve">For amivantamab + </w:t>
      </w:r>
      <w:r w:rsidR="006E6321">
        <w:t>lazertinib</w:t>
      </w:r>
      <w:r>
        <w:t>: VTE (11</w:t>
      </w:r>
      <w:proofErr w:type="gramStart"/>
      <w:r>
        <w:t>%)*</w:t>
      </w:r>
      <w:proofErr w:type="gramEnd"/>
      <w:r>
        <w:t>, pneumonia (4%), rash (3%), ILD/pneumonitis (3%), covid-19 (2.4%), pleural effusion (2.1%), IRR (2.1%)</w:t>
      </w:r>
    </w:p>
    <w:p w14:paraId="0532EDFB" w14:textId="0E754EF4" w:rsidR="009E6D8E" w:rsidRDefault="009E6D8E" w:rsidP="00694C3E">
      <w:pPr>
        <w:pStyle w:val="ListBullet"/>
      </w:pPr>
      <w:r>
        <w:t xml:space="preserve">For </w:t>
      </w:r>
      <w:r w:rsidR="006E6321">
        <w:t>osimertinib</w:t>
      </w:r>
      <w:r>
        <w:t>: pneumonia (5%), pleural effusion (4%), VTE (3.3%), ILD/pneumonitis (3%), covid-19 (2.3%), rash (0), IRR (0)</w:t>
      </w:r>
    </w:p>
    <w:p w14:paraId="0DE07B45" w14:textId="22C4CD6E" w:rsidR="009E6D8E" w:rsidRDefault="009E6D8E" w:rsidP="00694C3E">
      <w:pPr>
        <w:pStyle w:val="Heading5"/>
      </w:pPr>
      <w:r>
        <w:t>V</w:t>
      </w:r>
      <w:r w:rsidR="00694C3E">
        <w:t>enous thromboembolism</w:t>
      </w:r>
    </w:p>
    <w:p w14:paraId="77E5CBAC" w14:textId="1815B1E9" w:rsidR="009E6D8E" w:rsidRDefault="009E6D8E" w:rsidP="009E6D8E">
      <w:r>
        <w:t>Mostly occur during first 4 months of combination therapy; of the 151 patients who developed VTEs during treatment with the amivantamab</w:t>
      </w:r>
      <w:r w:rsidR="00664CB2">
        <w:t xml:space="preserve"> </w:t>
      </w:r>
      <w:r>
        <w:t>+</w:t>
      </w:r>
      <w:r w:rsidR="00664CB2">
        <w:t xml:space="preserve"> </w:t>
      </w:r>
      <w:r w:rsidR="006E6321">
        <w:t>lazertinib</w:t>
      </w:r>
      <w:r>
        <w:t xml:space="preserve"> combination in MARIPOSA, 94 (62%) had the first VTE within the first 4 months of study treatment, with the median tine to VTE onset of 84 days (range: 6 to 777). For patients in the amivantamab</w:t>
      </w:r>
      <w:r w:rsidR="00664CB2">
        <w:t xml:space="preserve"> </w:t>
      </w:r>
      <w:r>
        <w:t>+</w:t>
      </w:r>
      <w:r w:rsidR="00664CB2">
        <w:t xml:space="preserve"> </w:t>
      </w:r>
      <w:r w:rsidR="006E6321">
        <w:t>lazertinib</w:t>
      </w:r>
      <w:r>
        <w:t xml:space="preserve"> arm:</w:t>
      </w:r>
    </w:p>
    <w:p w14:paraId="45C37BDF" w14:textId="6BCDCDD3" w:rsidR="009E6D8E" w:rsidRDefault="009E6D8E" w:rsidP="00694C3E">
      <w:pPr>
        <w:pStyle w:val="ListBullet"/>
      </w:pPr>
      <w:r>
        <w:t>All-grade VTEs: 36%</w:t>
      </w:r>
    </w:p>
    <w:p w14:paraId="7773F38C" w14:textId="21F3FC3D" w:rsidR="009E6D8E" w:rsidRDefault="009E6D8E" w:rsidP="00694C3E">
      <w:pPr>
        <w:pStyle w:val="ListBullet"/>
      </w:pPr>
      <w:r>
        <w:t>Grade 3 VTEs: 10%</w:t>
      </w:r>
    </w:p>
    <w:p w14:paraId="36534463" w14:textId="00333804" w:rsidR="009E6D8E" w:rsidRDefault="009E6D8E" w:rsidP="00694C3E">
      <w:pPr>
        <w:pStyle w:val="ListBullet"/>
      </w:pPr>
      <w:r>
        <w:t>Grade 4 VTEs: 0.5%</w:t>
      </w:r>
    </w:p>
    <w:p w14:paraId="33734DA0" w14:textId="29DBE4A0" w:rsidR="009E6D8E" w:rsidRDefault="009E6D8E" w:rsidP="00694C3E">
      <w:pPr>
        <w:pStyle w:val="ListBullet"/>
      </w:pPr>
      <w:r>
        <w:t>2 patients (0.5%) died of PE</w:t>
      </w:r>
    </w:p>
    <w:p w14:paraId="6975CDC9" w14:textId="3AE5CDAF" w:rsidR="009E6D8E" w:rsidRDefault="009E6D8E" w:rsidP="00694C3E">
      <w:pPr>
        <w:pStyle w:val="ListBullet"/>
      </w:pPr>
      <w:r>
        <w:t xml:space="preserve">VTEs led to permanent discontinuation of amivantamab in 3.1% of patients and </w:t>
      </w:r>
      <w:r w:rsidR="006E6321">
        <w:t>lazertinib</w:t>
      </w:r>
      <w:r>
        <w:t xml:space="preserve"> in 1.9% of patients</w:t>
      </w:r>
    </w:p>
    <w:p w14:paraId="67648FFA" w14:textId="039FE0BE" w:rsidR="009E6D8E" w:rsidRDefault="009E6D8E" w:rsidP="00694C3E">
      <w:pPr>
        <w:pStyle w:val="ListBullet"/>
      </w:pPr>
      <w:r>
        <w:t>Dose interruptions of amivantamab due to VTEs occurred in 9% of patients</w:t>
      </w:r>
    </w:p>
    <w:p w14:paraId="17F4629C" w14:textId="581ED77F" w:rsidR="009E6D8E" w:rsidRDefault="009E6D8E" w:rsidP="00694C3E">
      <w:pPr>
        <w:pStyle w:val="ListBullet"/>
      </w:pPr>
      <w:r>
        <w:t xml:space="preserve">Dose interruptions of </w:t>
      </w:r>
      <w:r w:rsidR="006E6321">
        <w:t>lazertinib</w:t>
      </w:r>
      <w:r>
        <w:t xml:space="preserve"> due to VTEs occurred in 7% of patients</w:t>
      </w:r>
    </w:p>
    <w:p w14:paraId="1577A6A8" w14:textId="76E0B136" w:rsidR="009E6D8E" w:rsidRDefault="009E6D8E" w:rsidP="00694C3E">
      <w:pPr>
        <w:pStyle w:val="ListBullet"/>
      </w:pPr>
      <w:r>
        <w:t>Dose reductions of amivantamab due to VTEs occurred in 1.0% of patients</w:t>
      </w:r>
    </w:p>
    <w:p w14:paraId="2A414669" w14:textId="10DF4052" w:rsidR="009E6D8E" w:rsidRDefault="009E6D8E" w:rsidP="00694C3E">
      <w:pPr>
        <w:pStyle w:val="ListBullet"/>
      </w:pPr>
      <w:r>
        <w:t xml:space="preserve">Dose reductions of </w:t>
      </w:r>
      <w:r w:rsidR="006E6321">
        <w:t>lazertinib</w:t>
      </w:r>
      <w:r>
        <w:t xml:space="preserve"> due to VTEs occurred in 0.5% of patients</w:t>
      </w:r>
    </w:p>
    <w:p w14:paraId="2536F9A5" w14:textId="1C696CE4" w:rsidR="009E6D8E" w:rsidRDefault="009E6D8E" w:rsidP="009E6D8E">
      <w:r>
        <w:t xml:space="preserve">During the study, the Sponsor reported a higher incidence of VTEs for amivantamab + </w:t>
      </w:r>
      <w:r w:rsidR="006E6321">
        <w:t>lazertinib</w:t>
      </w:r>
      <w:r>
        <w:t>, leading to urgent safety measure for recommendation of prophylactic anticoagulation per local guidelines during initial 4 months of combination therapy (only 12 patients were eligible for prophylaxis as enrolment in MARIPOSA had completed)</w:t>
      </w:r>
    </w:p>
    <w:p w14:paraId="4913FE11" w14:textId="599DFCB0" w:rsidR="009E6D8E" w:rsidRDefault="009E6D8E" w:rsidP="009E6D8E">
      <w:r>
        <w:t>For patients in whom anti-coagulation was initiated after the onset of a VTE event, bleeding events occurred in 8% of those in the amivantamab</w:t>
      </w:r>
      <w:r w:rsidR="00664CB2">
        <w:t xml:space="preserve"> + </w:t>
      </w:r>
      <w:r w:rsidR="006E6321">
        <w:t>lazertinib</w:t>
      </w:r>
      <w:r>
        <w:t xml:space="preserve"> group vs 3% in the </w:t>
      </w:r>
      <w:r w:rsidR="006E6321">
        <w:t>osimertinib</w:t>
      </w:r>
      <w:r>
        <w:t xml:space="preserve"> </w:t>
      </w:r>
      <w:r>
        <w:lastRenderedPageBreak/>
        <w:t>group. Recurrent VTE events occurred in 2% of those in the amivantamab</w:t>
      </w:r>
      <w:r w:rsidR="00664CB2">
        <w:t xml:space="preserve"> + </w:t>
      </w:r>
      <w:r w:rsidR="006E6321">
        <w:t>lazertinib</w:t>
      </w:r>
      <w:r>
        <w:t xml:space="preserve"> group vs 0% in the </w:t>
      </w:r>
      <w:r w:rsidR="006E6321">
        <w:t>osimertinib</w:t>
      </w:r>
      <w:r>
        <w:t xml:space="preserve"> group.</w:t>
      </w:r>
    </w:p>
    <w:p w14:paraId="04537B65" w14:textId="53AEC34F" w:rsidR="00694C3E" w:rsidRPr="009C09FF" w:rsidRDefault="009E6D8E" w:rsidP="00694C3E">
      <w:pPr>
        <w:pStyle w:val="Heading5"/>
        <w:rPr>
          <w:lang w:val="pt-PT"/>
        </w:rPr>
      </w:pPr>
      <w:r w:rsidRPr="009C09FF">
        <w:rPr>
          <w:lang w:val="pt-PT"/>
        </w:rPr>
        <w:t xml:space="preserve">Fatal </w:t>
      </w:r>
      <w:r w:rsidR="00694C3E" w:rsidRPr="009C09FF">
        <w:rPr>
          <w:lang w:val="pt-PT"/>
        </w:rPr>
        <w:t>adverse events</w:t>
      </w:r>
    </w:p>
    <w:p w14:paraId="5CEDF38A" w14:textId="1B331859" w:rsidR="009E6D8E" w:rsidRDefault="009E6D8E" w:rsidP="009E6D8E">
      <w:r w:rsidRPr="009C09FF">
        <w:rPr>
          <w:lang w:val="pt-PT"/>
        </w:rPr>
        <w:t xml:space="preserve">7.4% (amivantamab + </w:t>
      </w:r>
      <w:r w:rsidR="006E6321" w:rsidRPr="009C09FF">
        <w:rPr>
          <w:lang w:val="pt-PT"/>
        </w:rPr>
        <w:t>lazertinib</w:t>
      </w:r>
      <w:r w:rsidRPr="009C09FF">
        <w:rPr>
          <w:lang w:val="pt-PT"/>
        </w:rPr>
        <w:t>) vs 6.8% (</w:t>
      </w:r>
      <w:r w:rsidR="006E6321" w:rsidRPr="009C09FF">
        <w:rPr>
          <w:lang w:val="pt-PT"/>
        </w:rPr>
        <w:t>osimertinib</w:t>
      </w:r>
      <w:r w:rsidRPr="009C09FF">
        <w:rPr>
          <w:lang w:val="pt-PT"/>
        </w:rPr>
        <w:t xml:space="preserve">). </w:t>
      </w:r>
      <w:r>
        <w:t>Cardiopulmonary, cerebrovascular and infection-related deaths predominated in these groups.</w:t>
      </w:r>
    </w:p>
    <w:p w14:paraId="01A6E18D" w14:textId="77777777" w:rsidR="00736472" w:rsidRDefault="009E6D8E" w:rsidP="000F7399">
      <w:pPr>
        <w:pStyle w:val="Heading5"/>
      </w:pPr>
      <w:r>
        <w:t>Drug interruption (any study drug) due to AE</w:t>
      </w:r>
    </w:p>
    <w:p w14:paraId="625FA436" w14:textId="5133C12D" w:rsidR="009E6D8E" w:rsidRDefault="009E6D8E" w:rsidP="009E6D8E">
      <w:r>
        <w:t xml:space="preserve">83%* (amivantamab + </w:t>
      </w:r>
      <w:r w:rsidR="006E6321">
        <w:t>lazertinib</w:t>
      </w:r>
      <w:r>
        <w:t>) vs 39% (</w:t>
      </w:r>
      <w:r w:rsidR="006E6321">
        <w:t>osimertinib</w:t>
      </w:r>
      <w:r>
        <w:t xml:space="preserve">). </w:t>
      </w:r>
      <w:r w:rsidR="00736472">
        <w:t>(</w:t>
      </w:r>
      <w:r>
        <w:t xml:space="preserve">It is noted from the </w:t>
      </w:r>
      <w:r w:rsidR="00736472">
        <w:t>TGA</w:t>
      </w:r>
      <w:r>
        <w:t xml:space="preserve"> analysis that 88% of patients experienced AEs leading to interruption of amivantamab, differing from the Sponsor’s findings of 78%</w:t>
      </w:r>
      <w:r w:rsidR="00736472">
        <w:t>)</w:t>
      </w:r>
      <w:r>
        <w:t>.</w:t>
      </w:r>
    </w:p>
    <w:p w14:paraId="325AE643" w14:textId="3D39EDF2" w:rsidR="00736472" w:rsidRDefault="009E6D8E" w:rsidP="000F7399">
      <w:pPr>
        <w:pStyle w:val="Heading5"/>
      </w:pPr>
      <w:r>
        <w:t>Drug interruption (</w:t>
      </w:r>
      <w:r w:rsidR="000F7399">
        <w:t>tyrosine kinase inhibitor</w:t>
      </w:r>
      <w:r>
        <w:t>) due to AE</w:t>
      </w:r>
    </w:p>
    <w:p w14:paraId="0A2B968B" w14:textId="346A8046" w:rsidR="009E6D8E" w:rsidRDefault="009E6D8E" w:rsidP="009E6D8E">
      <w:r>
        <w:t xml:space="preserve">72% (amivantamab + </w:t>
      </w:r>
      <w:r w:rsidR="006E6321">
        <w:t>lazertinib</w:t>
      </w:r>
      <w:r>
        <w:t>) vs 39% (</w:t>
      </w:r>
      <w:r w:rsidR="006E6321">
        <w:t>osimertinib</w:t>
      </w:r>
      <w:r>
        <w:t xml:space="preserve">) Dose reduction (any drug) due to AE: 59% (amivantamab + </w:t>
      </w:r>
      <w:r w:rsidR="006E6321">
        <w:t>lazertinib</w:t>
      </w:r>
      <w:r>
        <w:t>) vs 5% (</w:t>
      </w:r>
      <w:r w:rsidR="006E6321">
        <w:t>osimertinib</w:t>
      </w:r>
      <w:r>
        <w:t xml:space="preserve">) Dose reduction (TKI) due to AE: 42% (amivantamab + </w:t>
      </w:r>
      <w:r w:rsidR="006E6321">
        <w:t>lazertinib</w:t>
      </w:r>
      <w:r>
        <w:t>) vs 5% (</w:t>
      </w:r>
      <w:r w:rsidR="006E6321">
        <w:t>osimertinib</w:t>
      </w:r>
      <w:r>
        <w:t>)</w:t>
      </w:r>
    </w:p>
    <w:p w14:paraId="55AE6B8A" w14:textId="77777777" w:rsidR="000F7399" w:rsidRDefault="009E6D8E" w:rsidP="000F7399">
      <w:pPr>
        <w:pStyle w:val="Heading5"/>
      </w:pPr>
      <w:r>
        <w:t>Drug discontinuation (any drug) due to AE</w:t>
      </w:r>
    </w:p>
    <w:p w14:paraId="361C66B4" w14:textId="2E9AC645" w:rsidR="006E6321" w:rsidRDefault="009E6D8E" w:rsidP="009E6D8E">
      <w:r>
        <w:t xml:space="preserve">35% (amivantamab + </w:t>
      </w:r>
      <w:r w:rsidR="006E6321">
        <w:t>lazertinib</w:t>
      </w:r>
      <w:r>
        <w:t>) vs 14%</w:t>
      </w:r>
      <w:r w:rsidR="00453401">
        <w:t xml:space="preserve"> </w:t>
      </w:r>
      <w:r>
        <w:t>(</w:t>
      </w:r>
      <w:r w:rsidR="006E6321">
        <w:t>osimertinib</w:t>
      </w:r>
      <w:r>
        <w:t>)</w:t>
      </w:r>
      <w:r w:rsidR="00453401">
        <w:t xml:space="preserve"> </w:t>
      </w:r>
    </w:p>
    <w:p w14:paraId="79323262" w14:textId="05787B66" w:rsidR="006E6321" w:rsidRDefault="009E6D8E" w:rsidP="006E6321">
      <w:pPr>
        <w:pStyle w:val="Heading5"/>
      </w:pPr>
      <w:r>
        <w:t>Drug discontinuation (</w:t>
      </w:r>
      <w:r w:rsidR="006E6321" w:rsidRPr="006E6321">
        <w:t>tyrosine kinase inhibitor</w:t>
      </w:r>
      <w:r>
        <w:t>) due to AE</w:t>
      </w:r>
      <w:r w:rsidR="006E6321">
        <w:t xml:space="preserve"> </w:t>
      </w:r>
    </w:p>
    <w:p w14:paraId="38EE2659" w14:textId="778C91AD" w:rsidR="009E6D8E" w:rsidRDefault="009E6D8E" w:rsidP="009E6D8E">
      <w:r>
        <w:t xml:space="preserve">21% (amivantamab + </w:t>
      </w:r>
      <w:r w:rsidR="006E6321">
        <w:t>lazertinib</w:t>
      </w:r>
      <w:r>
        <w:t>) vs 14%</w:t>
      </w:r>
      <w:r w:rsidR="006E6321">
        <w:t xml:space="preserve"> </w:t>
      </w:r>
      <w:r>
        <w:t>(</w:t>
      </w:r>
      <w:r w:rsidR="006E6321">
        <w:t>osimertinib</w:t>
      </w:r>
      <w:r>
        <w:t>)</w:t>
      </w:r>
    </w:p>
    <w:p w14:paraId="36C923C2" w14:textId="4D70D8F7" w:rsidR="009E6D8E" w:rsidRDefault="009E6D8E" w:rsidP="009E6D8E">
      <w:r>
        <w:t>To summarise</w:t>
      </w:r>
      <w:r w:rsidR="006E6321">
        <w:t xml:space="preserve">, </w:t>
      </w:r>
      <w:r>
        <w:t xml:space="preserve">there was a 31% absolute increase in Grade 3/4 events with the combination vs </w:t>
      </w:r>
      <w:r w:rsidR="006E6321">
        <w:t>osimertinib</w:t>
      </w:r>
      <w:r>
        <w:t xml:space="preserve"> and a 16% absolute increase in SAEs with the combination vs </w:t>
      </w:r>
      <w:r w:rsidR="006E6321">
        <w:t>osimertinib</w:t>
      </w:r>
      <w:r>
        <w:t xml:space="preserve">. Despite a substantial increase in drug interruptions, dose modifications and dose discontinuations observed in the combination amivantamab + </w:t>
      </w:r>
      <w:r w:rsidR="006E6321">
        <w:t>lazertinib</w:t>
      </w:r>
      <w:r>
        <w:t xml:space="preserve"> arm vs </w:t>
      </w:r>
      <w:r w:rsidR="006E6321">
        <w:t>osimertinib</w:t>
      </w:r>
      <w:r>
        <w:t>, the incidence of fatal AEs were similar and improvement in PFS is substantial. VTE is a new safety signal (37% vs 9%); this should be addressed in the PI.</w:t>
      </w:r>
    </w:p>
    <w:p w14:paraId="52BA651D" w14:textId="77777777" w:rsidR="009E6D8E" w:rsidRDefault="009E6D8E" w:rsidP="00F40BB4">
      <w:pPr>
        <w:pStyle w:val="Heading5"/>
      </w:pPr>
      <w:r>
        <w:t>Uncertainties</w:t>
      </w:r>
    </w:p>
    <w:p w14:paraId="53C5EA91" w14:textId="6F16489C" w:rsidR="009E6D8E" w:rsidRDefault="00F40BB4" w:rsidP="00F40BB4">
      <w:pPr>
        <w:pStyle w:val="Heading6"/>
      </w:pPr>
      <w:r w:rsidRPr="00F40BB4">
        <w:t>Venous thromboembolism</w:t>
      </w:r>
    </w:p>
    <w:p w14:paraId="6AC49F21" w14:textId="4EAC7854" w:rsidR="009E6D8E" w:rsidRDefault="009E6D8E" w:rsidP="009E6D8E">
      <w:r>
        <w:t xml:space="preserve">Effect of prophylactic anticoagulation remains uncertain, however, the currently proposed recommendation of prophylactic anticoagulation per local guidelines during initial 4 months of combination therapy (as per MARIPOSA protocol, amendment 3, and based on the additional information from PALOMA-3) by the Sponsor and evaluator </w:t>
      </w:r>
      <w:proofErr w:type="gramStart"/>
      <w:r>
        <w:t>is considered to be</w:t>
      </w:r>
      <w:proofErr w:type="gramEnd"/>
      <w:r>
        <w:t xml:space="preserve"> reasonable. To further characterise the risk of VTEs in the relevant clinical studies of </w:t>
      </w:r>
      <w:r w:rsidR="006E6321">
        <w:t>lazertinib</w:t>
      </w:r>
      <w:r w:rsidR="006649BB">
        <w:t xml:space="preserve"> </w:t>
      </w:r>
      <w:r>
        <w:t>+</w:t>
      </w:r>
      <w:r w:rsidR="006649BB">
        <w:t xml:space="preserve"> </w:t>
      </w:r>
      <w:r>
        <w:t xml:space="preserve">amivantamab, the Sponsor has conducted a safety/VTE study as per the corresponding FDA post-marketing </w:t>
      </w:r>
      <w:proofErr w:type="gramStart"/>
      <w:r>
        <w:t>requirement, and</w:t>
      </w:r>
      <w:proofErr w:type="gramEnd"/>
      <w:r>
        <w:t xml:space="preserve"> is expected to submit the final analysis and report of this data post approval; this may help inform the use of prophylactic anticoagulation.</w:t>
      </w:r>
    </w:p>
    <w:p w14:paraId="1419A8C1" w14:textId="77777777" w:rsidR="009E6D8E" w:rsidRDefault="009E6D8E" w:rsidP="009E6D8E"/>
    <w:p w14:paraId="376BC004" w14:textId="1C707F12" w:rsidR="009E6D8E" w:rsidRDefault="009E6D8E" w:rsidP="00946E8A">
      <w:pPr>
        <w:pStyle w:val="Heading6"/>
      </w:pPr>
      <w:r>
        <w:t>Recurrent VTE in the setting of therapeutic anticoagulation</w:t>
      </w:r>
    </w:p>
    <w:p w14:paraId="3BB2335E" w14:textId="3A85C3D3" w:rsidR="009E6D8E" w:rsidRDefault="009E6D8E" w:rsidP="009E6D8E">
      <w:r>
        <w:t xml:space="preserve">There is some uncertainty regarding the use of </w:t>
      </w:r>
      <w:r w:rsidR="006E6321">
        <w:t>lazertinib</w:t>
      </w:r>
      <w:r>
        <w:t xml:space="preserve"> or amivantamab in patients who develop recurrent VTE despite therapeutic anticoagulation.</w:t>
      </w:r>
    </w:p>
    <w:p w14:paraId="3E6975CA" w14:textId="1C8D6B0D" w:rsidR="009E6D8E" w:rsidRDefault="009E6D8E" w:rsidP="009E6D8E">
      <w:r>
        <w:t>The Sponsor recommends the following in the proposed Australian PI</w:t>
      </w:r>
      <w:r w:rsidR="00561740">
        <w:t>:</w:t>
      </w:r>
    </w:p>
    <w:p w14:paraId="4E0EE919" w14:textId="2F14EE5E" w:rsidR="00907232" w:rsidRDefault="00907232" w:rsidP="001C0AD9">
      <w:pPr>
        <w:pStyle w:val="Indication"/>
      </w:pPr>
      <w:r>
        <w:t xml:space="preserve">Treatment can continue with either </w:t>
      </w:r>
      <w:r w:rsidR="00554EAE">
        <w:t>Lazcluze</w:t>
      </w:r>
      <w:r>
        <w:t xml:space="preserve"> or </w:t>
      </w:r>
      <w:r w:rsidR="001C0AD9">
        <w:t xml:space="preserve">amivantamab, but not </w:t>
      </w:r>
      <w:proofErr w:type="gramStart"/>
      <w:r w:rsidR="001C0AD9">
        <w:t>both at</w:t>
      </w:r>
      <w:proofErr w:type="gramEnd"/>
      <w:r w:rsidR="001C0AD9">
        <w:t xml:space="preserve"> the discretion of the treating physician.  </w:t>
      </w:r>
      <w:r>
        <w:t xml:space="preserve"> </w:t>
      </w:r>
    </w:p>
    <w:p w14:paraId="6ED89BA6" w14:textId="6E97E3BB" w:rsidR="009E6D8E" w:rsidRDefault="00426D05" w:rsidP="00E80908">
      <w:pPr>
        <w:pStyle w:val="Indication"/>
      </w:pPr>
      <w:r>
        <w:lastRenderedPageBreak/>
        <w:t>Recurrent VTE event despite therapeutic level anticoagulation: p</w:t>
      </w:r>
      <w:r w:rsidR="00084BA0">
        <w:t xml:space="preserve">ermanently discontinue </w:t>
      </w:r>
      <w:r w:rsidR="00554EAE">
        <w:t>Lazcluze</w:t>
      </w:r>
      <w:r w:rsidRPr="00426D05">
        <w:t xml:space="preserve"> or amivantamab</w:t>
      </w:r>
      <w:r>
        <w:t xml:space="preserve">. Treatment can resume with </w:t>
      </w:r>
      <w:proofErr w:type="gramStart"/>
      <w:r>
        <w:t>either</w:t>
      </w:r>
      <w:r w:rsidR="00E80908" w:rsidRPr="00E80908">
        <w:t xml:space="preserve"> but</w:t>
      </w:r>
      <w:proofErr w:type="gramEnd"/>
      <w:r w:rsidR="00E80908" w:rsidRPr="00E80908">
        <w:t xml:space="preserve"> not both at the discretion of the treating physician</w:t>
      </w:r>
      <w:r w:rsidR="00E80908">
        <w:t>.</w:t>
      </w:r>
    </w:p>
    <w:p w14:paraId="06D82446" w14:textId="268D79FB" w:rsidR="009E6D8E" w:rsidRDefault="00561740" w:rsidP="009E6D8E">
      <w:r>
        <w:t>The FDA recommends the following:</w:t>
      </w:r>
    </w:p>
    <w:p w14:paraId="13D4F9CD" w14:textId="6034CD65" w:rsidR="00561740" w:rsidRDefault="00561740" w:rsidP="00561740">
      <w:pPr>
        <w:pStyle w:val="Indication"/>
      </w:pPr>
      <w:r>
        <w:t>P</w:t>
      </w:r>
      <w:r w:rsidRPr="00561740">
        <w:t xml:space="preserve">ermanently discontinue amivantamab </w:t>
      </w:r>
      <w:r>
        <w:t xml:space="preserve">and continue </w:t>
      </w:r>
      <w:r w:rsidR="00554EAE">
        <w:t>Lazcluze</w:t>
      </w:r>
      <w:r w:rsidRPr="00561740">
        <w:t xml:space="preserve"> </w:t>
      </w:r>
      <w:r>
        <w:t>f</w:t>
      </w:r>
      <w:r w:rsidRPr="00561740">
        <w:t>or Recurrent VTE despite therapeutic level anticoagulation</w:t>
      </w:r>
      <w:r>
        <w:t xml:space="preserve">. </w:t>
      </w:r>
    </w:p>
    <w:p w14:paraId="2CF43360" w14:textId="4BCBBF89" w:rsidR="009E6D8E" w:rsidRDefault="0097025F" w:rsidP="009E6D8E">
      <w:r w:rsidRPr="0097025F">
        <w:t>In MARIPOSA, resumption of study treatment was permitted following resolution of a grade 3 or 4 VTE event at the discretion of the investigator (after withholding study treatment, and after consultation with the medical monitor). However, the protocol did not include any specific directions for dose modifications in the event of recurrent VTE despite therapeutic anticoagulation.</w:t>
      </w:r>
    </w:p>
    <w:p w14:paraId="2FD9ABA4" w14:textId="5F1B626A" w:rsidR="001239ED" w:rsidRDefault="001239ED" w:rsidP="001239ED">
      <w:r>
        <w:t>The additional data from PALOMA-3 (</w:t>
      </w:r>
      <w:r w:rsidR="0063543F">
        <w:t>clinical cutoff</w:t>
      </w:r>
      <w:r>
        <w:t xml:space="preserve"> 16 April 2024) provided some details regarding outcomes of VTE events for patients who received “treatment-level” (i.e. therapeutic) anticoagulation. However, these data do not provide sufficient or relevant information to help guide the use of either lazertinib monotherapy or amivantamab monotherapy in patients who have experienced recurrent VTE despite therapeutic anticoagulation.</w:t>
      </w:r>
    </w:p>
    <w:p w14:paraId="4C9A7796" w14:textId="77777777" w:rsidR="001239ED" w:rsidRDefault="001239ED" w:rsidP="001239ED">
      <w:r>
        <w:t>It therefore remains unclear as to whether the use of either amivantamab or lazertinib in this situation should be recommended. The delegate will seek the opinion/advice of ACM regarding the use of either Lazertinib or amivantamab monotherapy in this situation, and corresponding recommendations for Sections 4.2 and 4.4 of the Australian PI.</w:t>
      </w:r>
    </w:p>
    <w:p w14:paraId="319A4D4E" w14:textId="061B6743" w:rsidR="005E4C62" w:rsidRDefault="005E4C62" w:rsidP="001239ED">
      <w:r w:rsidRPr="005E4C62">
        <w:t xml:space="preserve">Although the combination of lazertinib plus amivantamab in the proposed population does have notable toxicity with 49% of patients experiencing a serious adverse event, the risks </w:t>
      </w:r>
      <w:proofErr w:type="gramStart"/>
      <w:r w:rsidRPr="005E4C62">
        <w:t>are considered to be</w:t>
      </w:r>
      <w:proofErr w:type="gramEnd"/>
      <w:r w:rsidRPr="005E4C62">
        <w:t xml:space="preserve"> outweighed by the magnitude of PFS benefit and supportive OS results, in the context of a life-threatening disease.</w:t>
      </w:r>
    </w:p>
    <w:p w14:paraId="2AF86DFB" w14:textId="7CA1D41F" w:rsidR="006F4B2B" w:rsidRDefault="006F4B2B" w:rsidP="006F4B2B">
      <w:pPr>
        <w:pStyle w:val="Heading5"/>
      </w:pPr>
      <w:r>
        <w:t>Conclusion</w:t>
      </w:r>
    </w:p>
    <w:p w14:paraId="3D28E8BA" w14:textId="77777777" w:rsidR="006F4B2B" w:rsidRDefault="006F4B2B" w:rsidP="006F4B2B">
      <w:r>
        <w:t xml:space="preserve">Overall, the benefit-risk assessment for lazertinib in combination with amivantamab for the proposed population </w:t>
      </w:r>
      <w:proofErr w:type="gramStart"/>
      <w:r>
        <w:t>is considered to be</w:t>
      </w:r>
      <w:proofErr w:type="gramEnd"/>
      <w:r>
        <w:t xml:space="preserve"> favourable. The delegate supports the registration of lazertinib + amivantamab for the following indication:</w:t>
      </w:r>
    </w:p>
    <w:p w14:paraId="6575089A" w14:textId="15F737C2" w:rsidR="006F4B2B" w:rsidRDefault="00554EAE" w:rsidP="006F4B2B">
      <w:pPr>
        <w:pStyle w:val="Indication"/>
      </w:pPr>
      <w:r>
        <w:t>Lazcluze</w:t>
      </w:r>
      <w:r w:rsidR="006F4B2B">
        <w:t xml:space="preserve"> in combination with amivantamab is indicated for the first-line treatment of adult patients with locally advanced or metastatic non-small cell lung cancer (NSCLC) with epidermal growth factor receptor (EGFR) exon 19 deletions or exon 21 L858R substitution mutations.</w:t>
      </w:r>
    </w:p>
    <w:p w14:paraId="6608EF86" w14:textId="0FEFC46A" w:rsidR="001239ED" w:rsidRDefault="006F4B2B" w:rsidP="006F4B2B">
      <w:r>
        <w:t xml:space="preserve">In relation to PI recommendations for patients on </w:t>
      </w:r>
      <w:r w:rsidR="00982E7B">
        <w:t>l</w:t>
      </w:r>
      <w:r>
        <w:t>azertinib</w:t>
      </w:r>
      <w:r w:rsidR="00664CB2">
        <w:t xml:space="preserve"> </w:t>
      </w:r>
      <w:r>
        <w:t>+</w:t>
      </w:r>
      <w:r w:rsidR="00664CB2">
        <w:t xml:space="preserve"> </w:t>
      </w:r>
      <w:r>
        <w:t>amivantamab who experience recurrent VTE despite therapeutic anticoagulation, the delegate will seek ACM advice regarding the acceptability of use of either lazertinib or amivantamab monotherapy in this situation.</w:t>
      </w:r>
    </w:p>
    <w:p w14:paraId="318CFABC" w14:textId="77777777" w:rsidR="00C22214" w:rsidRPr="00F73346" w:rsidRDefault="00C22214" w:rsidP="00DF1443">
      <w:pPr>
        <w:pStyle w:val="Heading3"/>
      </w:pPr>
      <w:bookmarkStart w:id="49" w:name="_Toc98931936"/>
      <w:bookmarkStart w:id="50" w:name="_Toc209441302"/>
      <w:bookmarkStart w:id="51" w:name="_Toc247691532"/>
      <w:bookmarkStart w:id="52" w:name="_Toc314842516"/>
      <w:r w:rsidRPr="00F73346">
        <w:t>Advisory Committee considerations</w:t>
      </w:r>
      <w:bookmarkEnd w:id="49"/>
      <w:bookmarkEnd w:id="50"/>
    </w:p>
    <w:p w14:paraId="087BB9CB" w14:textId="4DBCB962" w:rsidR="00C22214" w:rsidRDefault="00C22214" w:rsidP="00C22214">
      <w:pPr>
        <w:rPr>
          <w:bCs/>
          <w:szCs w:val="22"/>
        </w:rPr>
      </w:pPr>
      <w:r w:rsidRPr="00BD5DBD">
        <w:rPr>
          <w:bCs/>
          <w:szCs w:val="22"/>
        </w:rPr>
        <w:t xml:space="preserve">The </w:t>
      </w:r>
      <w:hyperlink r:id="rId38" w:history="1">
        <w:r w:rsidRPr="00BD5DBD">
          <w:rPr>
            <w:rStyle w:val="Hyperlink"/>
            <w:szCs w:val="22"/>
          </w:rPr>
          <w:t>Advisory Committee on Medicines (ACM)</w:t>
        </w:r>
      </w:hyperlink>
      <w:r w:rsidRPr="00BD5DBD">
        <w:rPr>
          <w:szCs w:val="22"/>
        </w:rPr>
        <w:t>,</w:t>
      </w:r>
      <w:r w:rsidRPr="00BD5DBD">
        <w:rPr>
          <w:bCs/>
          <w:szCs w:val="22"/>
        </w:rPr>
        <w:t xml:space="preserve"> having considered the evaluations and the Delegate’s overview, as well as the sponsor’s response to these documents, advised the following</w:t>
      </w:r>
      <w:r w:rsidR="00970B0D">
        <w:rPr>
          <w:bCs/>
          <w:szCs w:val="22"/>
        </w:rPr>
        <w:t>:</w:t>
      </w:r>
    </w:p>
    <w:p w14:paraId="5340B1AC" w14:textId="1E2BD528" w:rsidR="00DF1443" w:rsidRPr="00DF1443" w:rsidRDefault="00DF1443" w:rsidP="00DF1443">
      <w:pPr>
        <w:pStyle w:val="DelegatesQuestions"/>
      </w:pPr>
      <w:r w:rsidRPr="00DF1443">
        <w:t>Does ACM agree with the proposed PI recommendations that treatment can continue with either lazertinib or amivantamab in the proposed population in the event of recurrent VTE despite therapeutic anticoagulation?</w:t>
      </w:r>
    </w:p>
    <w:p w14:paraId="73ECF5B6" w14:textId="23CA400F" w:rsidR="00DF1443" w:rsidRPr="00DF1443" w:rsidRDefault="00DF1443" w:rsidP="00DF1443">
      <w:r>
        <w:lastRenderedPageBreak/>
        <w:t>The ACM noted that 37% of patients on lazertinib</w:t>
      </w:r>
      <w:r w:rsidR="00664CB2">
        <w:t xml:space="preserve"> </w:t>
      </w:r>
      <w:r>
        <w:t>+</w:t>
      </w:r>
      <w:r w:rsidR="00664CB2">
        <w:t xml:space="preserve"> </w:t>
      </w:r>
      <w:r>
        <w:t>amivantamab developed VTE, compared to 9% on osimertinib. Two patients (0.5%) died of VTEs consisting of pulmonary embolism. About 1.9% of patients permanently discontinued lazertinib due to VTE.</w:t>
      </w:r>
    </w:p>
    <w:p w14:paraId="649B4C56" w14:textId="77777777" w:rsidR="00DF1443" w:rsidRPr="00DF1443" w:rsidRDefault="00DF1443" w:rsidP="00DF1443">
      <w:pPr>
        <w:rPr>
          <w:bCs/>
          <w:szCs w:val="22"/>
        </w:rPr>
      </w:pPr>
      <w:r w:rsidRPr="00DF1443">
        <w:rPr>
          <w:bCs/>
          <w:szCs w:val="22"/>
        </w:rPr>
        <w:t>Lazertinib alone has shown efficacy noninferior to osimertinib in NSCLC in MARIPOSA, although lazertinib monotherapy was not formally tested.</w:t>
      </w:r>
    </w:p>
    <w:p w14:paraId="34CC7DF2" w14:textId="77777777" w:rsidR="00DF1443" w:rsidRPr="00DF1443" w:rsidRDefault="00DF1443" w:rsidP="00DF1443">
      <w:pPr>
        <w:rPr>
          <w:bCs/>
          <w:szCs w:val="22"/>
        </w:rPr>
      </w:pPr>
      <w:r w:rsidRPr="00DF1443">
        <w:rPr>
          <w:bCs/>
          <w:szCs w:val="22"/>
        </w:rPr>
        <w:t>There is limited safety data on monotherapy with amivantamab or lazertinib in patients with recurrent VTE despite anticoagulation. Some patients may benefit from continued treatment after stabilisation and individualised patient risk assessments should be undertaken to determine continuation.</w:t>
      </w:r>
    </w:p>
    <w:p w14:paraId="24088CAD" w14:textId="7AFA63A9" w:rsidR="00DF1443" w:rsidRPr="00DF1443" w:rsidRDefault="00DF1443" w:rsidP="00DF1443">
      <w:pPr>
        <w:pStyle w:val="DelegatesQuestions"/>
      </w:pPr>
      <w:r w:rsidRPr="00DF1443">
        <w:t xml:space="preserve">Would ACM support the following alternative PI recommendation: “In the event of recurrent VTE despite therapeutic anticoagulation, withhold </w:t>
      </w:r>
      <w:r w:rsidR="00554EAE">
        <w:t>Lazcluze</w:t>
      </w:r>
      <w:r w:rsidRPr="00DF1443">
        <w:t xml:space="preserve"> and amivantamab until clinically stable. Thereafter, continuation of lazertinib monotherapy may be an option if clinically warranted”</w:t>
      </w:r>
    </w:p>
    <w:p w14:paraId="77098191" w14:textId="77777777" w:rsidR="00DF1443" w:rsidRPr="00DF1443" w:rsidRDefault="00DF1443" w:rsidP="00DF1443">
      <w:pPr>
        <w:rPr>
          <w:bCs/>
          <w:szCs w:val="22"/>
        </w:rPr>
      </w:pPr>
      <w:r w:rsidRPr="00DF1443">
        <w:rPr>
          <w:bCs/>
          <w:szCs w:val="22"/>
        </w:rPr>
        <w:t>The ACM advised that it would be appropriate to include the PI recommendation as stated above.</w:t>
      </w:r>
    </w:p>
    <w:p w14:paraId="42BC84C6" w14:textId="77777777" w:rsidR="00DF1443" w:rsidRPr="00DF1443" w:rsidRDefault="00DF1443" w:rsidP="00DF1443">
      <w:pPr>
        <w:rPr>
          <w:bCs/>
          <w:szCs w:val="22"/>
        </w:rPr>
      </w:pPr>
      <w:r w:rsidRPr="00DF1443">
        <w:rPr>
          <w:bCs/>
          <w:szCs w:val="22"/>
        </w:rPr>
        <w:t>Prolonged anticoagulation therapy was not shown to further reduce VTE incidence after the first 4 months.</w:t>
      </w:r>
    </w:p>
    <w:p w14:paraId="553E6563" w14:textId="77777777" w:rsidR="00DF1443" w:rsidRPr="00DF1443" w:rsidRDefault="00DF1443" w:rsidP="00DF1443">
      <w:pPr>
        <w:rPr>
          <w:bCs/>
          <w:szCs w:val="22"/>
        </w:rPr>
      </w:pPr>
      <w:r w:rsidRPr="00DF1443">
        <w:rPr>
          <w:bCs/>
          <w:szCs w:val="22"/>
        </w:rPr>
        <w:t>The ACM also advised that the indication should include the recommendation for prophylactic anticoagulation for at least the first 4 months of therapy and ongoing anticoagulation at clinician discretion. This reflects that the baseline (pretreatment) risk of VTE in the NSCLC patient population is approximately 10%, which increases to approximately 30% upon initiation of amivantamab with lazertinib without prophylactic anticoagulation for up to 4 months, before returning to baseline.</w:t>
      </w:r>
    </w:p>
    <w:p w14:paraId="55C46F6A" w14:textId="33A0D17B" w:rsidR="00DF1443" w:rsidRPr="00DF1443" w:rsidRDefault="00DF1443" w:rsidP="00DF1443">
      <w:pPr>
        <w:rPr>
          <w:bCs/>
          <w:szCs w:val="22"/>
        </w:rPr>
      </w:pPr>
      <w:r w:rsidRPr="00DF1443">
        <w:rPr>
          <w:bCs/>
          <w:szCs w:val="22"/>
        </w:rPr>
        <w:t xml:space="preserve">The ACM recommended that </w:t>
      </w:r>
      <w:r w:rsidR="000B7440">
        <w:rPr>
          <w:bCs/>
          <w:szCs w:val="22"/>
        </w:rPr>
        <w:t>OS</w:t>
      </w:r>
      <w:r w:rsidRPr="00DF1443">
        <w:rPr>
          <w:bCs/>
          <w:szCs w:val="22"/>
        </w:rPr>
        <w:t xml:space="preserve"> data from the final study report from MARIPOSA (expected end 2025) should be reviewed by the TGA.</w:t>
      </w:r>
    </w:p>
    <w:p w14:paraId="67D14D4B" w14:textId="77777777" w:rsidR="00DF1443" w:rsidRPr="00DF1443" w:rsidRDefault="00DF1443" w:rsidP="00DF1443">
      <w:pPr>
        <w:pStyle w:val="Heading5"/>
      </w:pPr>
      <w:r w:rsidRPr="00DF1443">
        <w:t>ACM conclusion</w:t>
      </w:r>
    </w:p>
    <w:p w14:paraId="389A808E" w14:textId="6C5BE092" w:rsidR="00DF1443" w:rsidRPr="00DF1443" w:rsidRDefault="00DF1443" w:rsidP="00DF1443">
      <w:pPr>
        <w:rPr>
          <w:bCs/>
          <w:szCs w:val="22"/>
        </w:rPr>
      </w:pPr>
      <w:r w:rsidRPr="00DF1443">
        <w:rPr>
          <w:bCs/>
          <w:szCs w:val="22"/>
        </w:rPr>
        <w:t>The ACM considered lazertinib (</w:t>
      </w:r>
      <w:r w:rsidR="00554EAE">
        <w:rPr>
          <w:bCs/>
          <w:szCs w:val="22"/>
        </w:rPr>
        <w:t>Lazcluze</w:t>
      </w:r>
      <w:r w:rsidRPr="00DF1443">
        <w:rPr>
          <w:bCs/>
          <w:szCs w:val="22"/>
        </w:rPr>
        <w:t>) to have an overall positive benefit-risk profile for the indication:</w:t>
      </w:r>
    </w:p>
    <w:p w14:paraId="1A42A9F8" w14:textId="284F6B73" w:rsidR="00DF1443" w:rsidRPr="00DF1443" w:rsidRDefault="00554EAE" w:rsidP="00756210">
      <w:pPr>
        <w:pStyle w:val="Indication"/>
      </w:pPr>
      <w:r>
        <w:t>Lazcluze</w:t>
      </w:r>
      <w:r w:rsidR="00DF1443" w:rsidRPr="00DF1443">
        <w:t xml:space="preserve"> in combination with amivantamab is indicated for the first-line treatment of adult patients with locally advanced or metastatic non-small cell lung cancer (NSCLC) with epidermal growth factor receptor (EGFR) exon 19 deletions or exon 21 L858R substitution mutations. Prophylactic anticoagulation is recommended for at least the first 4 months of therapy and ongoing anticoagulation is at clinician discretion.</w:t>
      </w:r>
    </w:p>
    <w:p w14:paraId="0A7F5588" w14:textId="08ACCD08" w:rsidR="00DF1443" w:rsidRPr="00DF1443" w:rsidRDefault="00DF1443" w:rsidP="00DF1443">
      <w:pPr>
        <w:rPr>
          <w:bCs/>
          <w:szCs w:val="22"/>
        </w:rPr>
      </w:pPr>
      <w:r w:rsidRPr="00DF1443">
        <w:rPr>
          <w:bCs/>
          <w:szCs w:val="22"/>
        </w:rPr>
        <w:t>For lazertinib (</w:t>
      </w:r>
      <w:r w:rsidR="00554EAE">
        <w:rPr>
          <w:bCs/>
          <w:szCs w:val="22"/>
        </w:rPr>
        <w:t>Lazcluze</w:t>
      </w:r>
      <w:r w:rsidRPr="00DF1443">
        <w:rPr>
          <w:bCs/>
          <w:szCs w:val="22"/>
        </w:rPr>
        <w:t>) the ACM advised the inclusion in the PI of words to the effect:</w:t>
      </w:r>
    </w:p>
    <w:p w14:paraId="6D53DC72" w14:textId="5200EBFE" w:rsidR="00970B0D" w:rsidRPr="00BD5DBD" w:rsidRDefault="00DF1443" w:rsidP="00756210">
      <w:pPr>
        <w:pStyle w:val="Indication"/>
      </w:pPr>
      <w:r w:rsidRPr="00DF1443">
        <w:t>In the event of recurrent VTE despite therapeutic anticoagulation, withhold lazertinib and amivantamab until clinically stable. Thereafter, continuation of lazertinib monotherapy may be an option if clinically warranted.</w:t>
      </w:r>
    </w:p>
    <w:p w14:paraId="307F236C" w14:textId="5BA0D35D" w:rsidR="00C22214" w:rsidRPr="002E238E" w:rsidRDefault="0046285C" w:rsidP="00C22214">
      <w:pPr>
        <w:pStyle w:val="Heading2"/>
      </w:pPr>
      <w:bookmarkStart w:id="53" w:name="_Toc103679300"/>
      <w:bookmarkStart w:id="54" w:name="_Toc209441303"/>
      <w:r>
        <w:t>Assessment</w:t>
      </w:r>
      <w:r w:rsidR="00190853">
        <w:t xml:space="preserve"> </w:t>
      </w:r>
      <w:r>
        <w:t>o</w:t>
      </w:r>
      <w:r w:rsidR="00C22214">
        <w:t>utcome</w:t>
      </w:r>
      <w:bookmarkEnd w:id="51"/>
      <w:bookmarkEnd w:id="52"/>
      <w:bookmarkEnd w:id="53"/>
      <w:bookmarkEnd w:id="54"/>
    </w:p>
    <w:p w14:paraId="4EF22939" w14:textId="777BDC7B" w:rsidR="00C22214" w:rsidRDefault="00C22214" w:rsidP="0006104E">
      <w:r w:rsidRPr="0017005C">
        <w:t xml:space="preserve">Based on a review of quality, safety, and efficacy, the TGA </w:t>
      </w:r>
      <w:r w:rsidR="00B46DFB">
        <w:t>decided to</w:t>
      </w:r>
      <w:r w:rsidRPr="0017005C">
        <w:t xml:space="preserve"> regist</w:t>
      </w:r>
      <w:r w:rsidR="00B46DFB">
        <w:t>er</w:t>
      </w:r>
      <w:r w:rsidRPr="0017005C">
        <w:t xml:space="preserve"> </w:t>
      </w:r>
      <w:r w:rsidR="00554EAE">
        <w:t>Lazcluze</w:t>
      </w:r>
      <w:r w:rsidR="00565994">
        <w:t xml:space="preserve"> (</w:t>
      </w:r>
      <w:r w:rsidR="00565994" w:rsidRPr="00565994">
        <w:t>lazertinib</w:t>
      </w:r>
      <w:r w:rsidR="00565994">
        <w:t>)</w:t>
      </w:r>
      <w:r w:rsidR="00BD0BB7" w:rsidRPr="00BD0BB7">
        <w:t xml:space="preserve"> </w:t>
      </w:r>
      <w:r w:rsidRPr="0017005C">
        <w:t>for the following indication</w:t>
      </w:r>
      <w:r w:rsidR="00D23D3E">
        <w:t>:</w:t>
      </w:r>
    </w:p>
    <w:p w14:paraId="0218062B" w14:textId="039CBF2E" w:rsidR="006B7EBF" w:rsidRPr="0017005C" w:rsidRDefault="00554EAE" w:rsidP="006B7EBF">
      <w:pPr>
        <w:pStyle w:val="Indication"/>
      </w:pPr>
      <w:r>
        <w:t>Lazcluze</w:t>
      </w:r>
      <w:r w:rsidR="006B7EBF" w:rsidRPr="006B7EBF">
        <w:t xml:space="preserve"> in combination with amivantamab is indicated for the first-line treatment of adult patients with locally advanced or metastatic non-small cell lung cancer (NSCLC) with </w:t>
      </w:r>
      <w:r w:rsidR="006B7EBF" w:rsidRPr="006B7EBF">
        <w:lastRenderedPageBreak/>
        <w:t>epidermal growth factor receptor (EGFR) exon 19 deletions or exon 21 L858R substitution mutations.</w:t>
      </w:r>
    </w:p>
    <w:p w14:paraId="3F61CEF0" w14:textId="77777777" w:rsidR="00565994" w:rsidRDefault="00854D98" w:rsidP="002B20F3">
      <w:pPr>
        <w:pStyle w:val="Heading4"/>
      </w:pPr>
      <w:bookmarkStart w:id="55" w:name="_Toc209441304"/>
      <w:bookmarkStart w:id="56" w:name="_Toc103679301"/>
      <w:r w:rsidRPr="00D23139">
        <w:t>Specific conditions of registration</w:t>
      </w:r>
      <w:bookmarkEnd w:id="55"/>
    </w:p>
    <w:p w14:paraId="630D928A" w14:textId="28943975" w:rsidR="0047042C" w:rsidRDefault="00554EAE" w:rsidP="0047042C">
      <w:r>
        <w:t>Lazcluze</w:t>
      </w:r>
      <w:r w:rsidR="0047042C">
        <w:t xml:space="preserve"> (Lazertinib) is to be included in the Black Triangle Scheme. The PI and CMI for </w:t>
      </w:r>
      <w:r>
        <w:t>Lazcluze</w:t>
      </w:r>
      <w:r w:rsidR="0047042C">
        <w:t xml:space="preserve"> must include the black triangle symbol and mandatory accompanying text for five years, which starts from the date of first supply of the product.</w:t>
      </w:r>
    </w:p>
    <w:p w14:paraId="2AEF9735" w14:textId="46149FF2" w:rsidR="0047042C" w:rsidRDefault="0047042C" w:rsidP="0047042C">
      <w:r>
        <w:t xml:space="preserve">The </w:t>
      </w:r>
      <w:r w:rsidR="00554EAE">
        <w:t>Lazcluze</w:t>
      </w:r>
      <w:r>
        <w:t xml:space="preserve"> EU-Risk Management Plan (RMP) (version 1.1, dated 15 December 2023, data lock point 11 August 2023), with Australian Specific Annex (version 1.0, dated 11 March 2024), included with submission PM-2024-01143-1-4 and any subsequent revisions, as agreed with the TGA will be implemented in Australia.</w:t>
      </w:r>
    </w:p>
    <w:p w14:paraId="44888427" w14:textId="5F011337" w:rsidR="0047042C" w:rsidRDefault="0047042C" w:rsidP="0047042C">
      <w:r>
        <w:t>An obligatory component of risk management plans is routine pharmacovigilance. Routine pharmacovigilance includes the submission of periodic safety update reports (PSURs).</w:t>
      </w:r>
    </w:p>
    <w:p w14:paraId="631A7622" w14:textId="06733D06" w:rsidR="0047042C" w:rsidRDefault="0047042C" w:rsidP="0047042C">
      <w:r>
        <w:t xml:space="preserve">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The annual submission may be made up of two PSURs each covering six months. If the sponsor wishes, the </w:t>
      </w:r>
      <w:proofErr w:type="gramStart"/>
      <w:r>
        <w:t>six monthly</w:t>
      </w:r>
      <w:proofErr w:type="gramEnd"/>
      <w:r>
        <w:t xml:space="preserve"> reports may be submitted separately as they become available.</w:t>
      </w:r>
    </w:p>
    <w:p w14:paraId="0932F49C" w14:textId="77777777" w:rsidR="0047042C" w:rsidRDefault="0047042C" w:rsidP="0047042C">
      <w:r>
        <w:t>If the product is approved in the EU during the three years period, reports can be provided in line with the published list of EU reference dates no less frequently than annually from the date of the first submitted report until the period covered by such reports is not less than three years from the date of this approval letter.</w:t>
      </w:r>
    </w:p>
    <w:p w14:paraId="02DEBAA0" w14:textId="77777777" w:rsidR="0047042C" w:rsidRDefault="0047042C" w:rsidP="0047042C">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be submitted within ninety calendar days of the data lock point for that report.</w:t>
      </w:r>
    </w:p>
    <w:p w14:paraId="5E14D71A" w14:textId="609FBDA3" w:rsidR="0047042C" w:rsidRDefault="0047042C" w:rsidP="0047042C">
      <w:r>
        <w:t xml:space="preserve">Complete, and submit the final dataset and analysis of, the MARIPOSA trial and include the results of the final </w:t>
      </w:r>
      <w:r w:rsidR="000B7440">
        <w:t>OS</w:t>
      </w:r>
      <w:r>
        <w:t xml:space="preserve"> analysis once the anticipated 390 death events have occurred in the amivantamab in combination with lazertinib and osimertinib arms to further characterise the clinical benefit of amivantamab in combination with lazertinib for the first line treatment of adult patients with metastatic NSCLC harbouring EGFR exon 19 deletion or L858R mutations.</w:t>
      </w:r>
    </w:p>
    <w:p w14:paraId="0D732DA4" w14:textId="74FBC30B" w:rsidR="00854D98" w:rsidRPr="00D23139" w:rsidRDefault="0047042C" w:rsidP="0047042C">
      <w:r>
        <w:t xml:space="preserve">Conduct and submit results of comprehensive safety analyses from clinical studies that further characterise the known serious risk of VTEs in patients treated with amivantamab </w:t>
      </w:r>
      <w:r w:rsidR="003E7D3F">
        <w:t>intravenously</w:t>
      </w:r>
      <w:r>
        <w:t xml:space="preserve"> and patients treated with amivantamab subcutaneously in combination with lazertinib. Provide the incidence, timing, and outcome of VTEs by grade in patients who did not receive prophylactic anticoagulation, who received prophylactic anticoagulation for the initial 4 months of study therapy only, who continued prophylactic anticoagulation beyond 4 months of study therapy, and who required initiation of treatment-level anticoagulation. Monitor patients for VTEs throughout study therapy until treatment discontinuation</w:t>
      </w:r>
      <w:bookmarkEnd w:id="56"/>
      <w:r w:rsidR="003E7D3F">
        <w:t>.</w:t>
      </w:r>
    </w:p>
    <w:p w14:paraId="0F9C1952" w14:textId="597561E2" w:rsidR="00BA657C" w:rsidRPr="00BA657C" w:rsidRDefault="00BA657C" w:rsidP="00AB5A4A">
      <w:pPr>
        <w:pStyle w:val="Heading2"/>
      </w:pPr>
      <w:bookmarkStart w:id="57" w:name="_Toc196738290"/>
      <w:bookmarkStart w:id="58" w:name="_Toc209441305"/>
      <w:r w:rsidRPr="00BA657C">
        <w:lastRenderedPageBreak/>
        <w:t>Product Information and Consumer Medicines Information</w:t>
      </w:r>
      <w:bookmarkEnd w:id="57"/>
      <w:bookmarkEnd w:id="58"/>
    </w:p>
    <w:p w14:paraId="5F276616" w14:textId="77777777" w:rsidR="004D0933" w:rsidRPr="004D0933" w:rsidRDefault="004D0933" w:rsidP="004D0933">
      <w:r w:rsidRPr="004D0933">
        <w:t xml:space="preserve">For the most recent Product Information (PI) and Consumer Medicines Information (CMI), please refer to the TGA </w:t>
      </w:r>
      <w:hyperlink r:id="rId39" w:history="1">
        <w:r w:rsidRPr="004D0933">
          <w:rPr>
            <w:rStyle w:val="Hyperlink"/>
          </w:rPr>
          <w:t>PI/CMI search facility.</w:t>
        </w:r>
      </w:hyperlink>
    </w:p>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7452E8">
          <w:headerReference w:type="default" r:id="rId40"/>
          <w:footerReference w:type="default" r:id="rId41"/>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5"/>
          <w:bookmarkEnd w:id="6"/>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42"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1519D7A3" w:rsidR="00F02AEC" w:rsidRPr="00215D48" w:rsidRDefault="00F02AEC">
            <w:pPr>
              <w:pStyle w:val="Address"/>
              <w:jc w:val="center"/>
              <w:rPr>
                <w:rStyle w:val="Hyperlink"/>
                <w:b/>
                <w:color w:val="auto"/>
                <w:sz w:val="22"/>
              </w:rPr>
            </w:pPr>
            <w:hyperlink r:id="rId43" w:history="1">
              <w:r w:rsidRPr="00C4721A">
                <w:rPr>
                  <w:rStyle w:val="Hyperlink"/>
                  <w:b/>
                </w:rPr>
                <w:t>https://www.tga.gov.au</w:t>
              </w:r>
            </w:hyperlink>
          </w:p>
        </w:tc>
      </w:tr>
    </w:tbl>
    <w:p w14:paraId="788B80FD" w14:textId="77777777" w:rsidR="007452E8" w:rsidRDefault="007452E8"/>
    <w:sectPr w:rsidR="007452E8" w:rsidSect="007452E8">
      <w:headerReference w:type="first" r:id="rId44"/>
      <w:footerReference w:type="first" r:id="rId45"/>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403EFE" w14:textId="77777777" w:rsidR="00C11BA3" w:rsidRDefault="00C11BA3" w:rsidP="00F02AEC">
      <w:pPr>
        <w:spacing w:after="0" w:line="240" w:lineRule="auto"/>
      </w:pPr>
      <w:r>
        <w:separator/>
      </w:r>
    </w:p>
  </w:endnote>
  <w:endnote w:type="continuationSeparator" w:id="0">
    <w:p w14:paraId="6821A122" w14:textId="77777777" w:rsidR="00C11BA3" w:rsidRDefault="00C11BA3"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7F1E37">
                <w:fldChar w:fldCharType="begin"/>
              </w:r>
              <w:r w:rsidR="007F1E37">
                <w:instrText xml:space="preserve"> NUMPAGES  </w:instrText>
              </w:r>
              <w:r w:rsidR="007F1E37">
                <w:fldChar w:fldCharType="separate"/>
              </w:r>
              <w:r>
                <w:rPr>
                  <w:noProof/>
                </w:rPr>
                <w:t>2</w:t>
              </w:r>
              <w:r w:rsidR="007F1E37">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0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8280"/>
      <w:gridCol w:w="1734"/>
    </w:tblGrid>
    <w:tr w:rsidR="007452E8" w:rsidRPr="004A3084" w14:paraId="6266BC33" w14:textId="77777777" w:rsidTr="002B01C0">
      <w:trPr>
        <w:trHeight w:val="423"/>
      </w:trPr>
      <w:tc>
        <w:tcPr>
          <w:tcW w:w="8280" w:type="dxa"/>
          <w:tcBorders>
            <w:top w:val="single" w:sz="4" w:space="0" w:color="auto"/>
          </w:tcBorders>
          <w:shd w:val="clear" w:color="auto" w:fill="auto"/>
        </w:tcPr>
        <w:p w14:paraId="3C421323" w14:textId="5EA3466F" w:rsidR="007452E8" w:rsidRPr="002B01C0" w:rsidRDefault="007452E8" w:rsidP="007452E8">
          <w:pPr>
            <w:pStyle w:val="Footer"/>
          </w:pPr>
          <w:r w:rsidRPr="002B01C0">
            <w:t xml:space="preserve">AusPAR - </w:t>
          </w:r>
          <w:r w:rsidR="00554EAE">
            <w:t>LAZCLUZE</w:t>
          </w:r>
          <w:r w:rsidR="005751A5" w:rsidRPr="002B01C0">
            <w:t xml:space="preserve"> - </w:t>
          </w:r>
          <w:proofErr w:type="spellStart"/>
          <w:r w:rsidR="005751A5" w:rsidRPr="002B01C0">
            <w:t>lazertinib</w:t>
          </w:r>
          <w:proofErr w:type="spellEnd"/>
          <w:r w:rsidR="005751A5" w:rsidRPr="002B01C0">
            <w:t xml:space="preserve"> - PM-2024-01143-1-4 - Janssen-Cilag Pty Ltd - Type A</w:t>
          </w:r>
          <w:r w:rsidRPr="002B01C0">
            <w:br/>
            <w:t>Date of Finalisation</w:t>
          </w:r>
          <w:r w:rsidR="002B01C0" w:rsidRPr="002B01C0">
            <w:t>: 22 September 2025</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7F1E37">
                <w:fldChar w:fldCharType="begin"/>
              </w:r>
              <w:r w:rsidR="007F1E37">
                <w:instrText xml:space="preserve"> NUMPAGES  </w:instrText>
              </w:r>
              <w:r w:rsidR="007F1E37">
                <w:fldChar w:fldCharType="separate"/>
              </w:r>
              <w:r w:rsidR="006D6B44">
                <w:rPr>
                  <w:noProof/>
                </w:rPr>
                <w:t>17</w:t>
              </w:r>
              <w:r w:rsidR="007F1E37">
                <w:rPr>
                  <w:noProof/>
                </w:rPr>
                <w:fldChar w:fldCharType="end"/>
              </w:r>
            </w:p>
          </w:sdtContent>
        </w:sdt>
      </w:tc>
    </w:tr>
  </w:tbl>
  <w:p w14:paraId="1A4EDE60" w14:textId="07161F65" w:rsidR="007452E8" w:rsidRPr="00826007" w:rsidRDefault="008139E6" w:rsidP="008139E6">
    <w:pPr>
      <w:pStyle w:val="Footer"/>
      <w:tabs>
        <w:tab w:val="clear" w:pos="4513"/>
        <w:tab w:val="clear" w:pos="9026"/>
        <w:tab w:val="left" w:pos="1500"/>
      </w:tabs>
      <w:contextualSpacing/>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AD0806" w14:textId="77777777" w:rsidR="00C11BA3" w:rsidRDefault="00C11BA3" w:rsidP="00F02AEC">
      <w:pPr>
        <w:spacing w:after="0" w:line="240" w:lineRule="auto"/>
      </w:pPr>
      <w:r>
        <w:separator/>
      </w:r>
    </w:p>
  </w:footnote>
  <w:footnote w:type="continuationSeparator" w:id="0">
    <w:p w14:paraId="73602ABF" w14:textId="77777777" w:rsidR="00C11BA3" w:rsidRDefault="00C11BA3" w:rsidP="00F02AEC">
      <w:pPr>
        <w:spacing w:after="0" w:line="240" w:lineRule="auto"/>
      </w:pPr>
      <w:r>
        <w:continuationSeparator/>
      </w:r>
    </w:p>
  </w:footnote>
  <w:footnote w:id="1">
    <w:p w14:paraId="5CF7A632" w14:textId="0275DAE1" w:rsidR="00CA5271" w:rsidRDefault="00CA5271">
      <w:pPr>
        <w:pStyle w:val="FootnoteText"/>
      </w:pPr>
      <w:r>
        <w:rPr>
          <w:rStyle w:val="FootnoteReference"/>
        </w:rPr>
        <w:footnoteRef/>
      </w:r>
      <w:r>
        <w:t xml:space="preserve"> </w:t>
      </w:r>
      <w:bookmarkStart w:id="34" w:name="_Hlk205801417"/>
      <w:r w:rsidR="00E66FC4" w:rsidRPr="00E66FC4">
        <w:t xml:space="preserve">International Conference on Harmonisation of Technical Requirements for Registration of Pharmaceuticals for Human Use. </w:t>
      </w:r>
      <w:hyperlink r:id="rId1" w:history="1">
        <w:r w:rsidR="00E66FC4" w:rsidRPr="00E66FC4">
          <w:rPr>
            <w:rStyle w:val="Hyperlink"/>
          </w:rPr>
          <w:t xml:space="preserve">ICH S9 </w:t>
        </w:r>
        <w:proofErr w:type="gramStart"/>
        <w:r w:rsidR="00E66FC4" w:rsidRPr="00E66FC4">
          <w:rPr>
            <w:rStyle w:val="Hyperlink"/>
          </w:rPr>
          <w:t>Non-clinical</w:t>
        </w:r>
        <w:proofErr w:type="gramEnd"/>
        <w:r w:rsidR="00E66FC4" w:rsidRPr="00E66FC4">
          <w:rPr>
            <w:rStyle w:val="Hyperlink"/>
          </w:rPr>
          <w:t xml:space="preserve"> evaluation for anticancer pharmaceuticals - Scientific guideline</w:t>
        </w:r>
      </w:hyperlink>
      <w:r w:rsidR="00E66FC4" w:rsidRPr="00E66FC4">
        <w:t xml:space="preserve">. 2013. </w:t>
      </w:r>
      <w:bookmarkEnd w:id="34"/>
    </w:p>
  </w:footnote>
  <w:footnote w:id="2">
    <w:p w14:paraId="72626451" w14:textId="6D901C9E" w:rsidR="0093031E" w:rsidRDefault="0093031E">
      <w:pPr>
        <w:pStyle w:val="FootnoteText"/>
      </w:pPr>
      <w:r>
        <w:rPr>
          <w:rStyle w:val="FootnoteReference"/>
        </w:rPr>
        <w:footnoteRef/>
      </w:r>
      <w:r>
        <w:t xml:space="preserve"> Table from </w:t>
      </w:r>
      <w:r w:rsidR="00FD0797">
        <w:t>FDA lazertinib</w:t>
      </w:r>
      <w:r w:rsidR="00FD0797" w:rsidRPr="00FD0797">
        <w:t xml:space="preserve"> Multi-disciplinary Review and Evaluation</w:t>
      </w:r>
      <w:r w:rsidR="00FD0797">
        <w:t xml:space="preserve"> report: </w:t>
      </w:r>
      <w:hyperlink r:id="rId2" w:history="1">
        <w:r w:rsidR="00FD0797" w:rsidRPr="001F5304">
          <w:rPr>
            <w:rStyle w:val="Hyperlink"/>
          </w:rPr>
          <w:t>https://www.accessdata.fda.gov/drugsatfda_docs/nda/2024/219008Orig1s000MultidisciplineR.pdf</w:t>
        </w:r>
      </w:hyperlink>
      <w:r w:rsidR="00FD0797">
        <w:t xml:space="preserve"> </w:t>
      </w:r>
    </w:p>
  </w:footnote>
  <w:footnote w:id="3">
    <w:p w14:paraId="651F33CD" w14:textId="7EE3D9CF" w:rsidR="006A63E5" w:rsidRDefault="006A63E5">
      <w:pPr>
        <w:pStyle w:val="FootnoteText"/>
      </w:pPr>
      <w:r>
        <w:rPr>
          <w:rStyle w:val="FootnoteReference"/>
        </w:rPr>
        <w:footnoteRef/>
      </w:r>
      <w:r>
        <w:t xml:space="preserve"> </w:t>
      </w:r>
      <w:r w:rsidRPr="006A63E5">
        <w:t xml:space="preserve">Cho BC, Lu S, Felip E, Spira AI, Girard N, Lee JS, Lee SH, Ostapenko Y, </w:t>
      </w:r>
      <w:proofErr w:type="spellStart"/>
      <w:r w:rsidRPr="006A63E5">
        <w:t>Danchaivijitr</w:t>
      </w:r>
      <w:proofErr w:type="spellEnd"/>
      <w:r w:rsidRPr="006A63E5">
        <w:t xml:space="preserve"> P, Liu B, Alip A, </w:t>
      </w:r>
      <w:proofErr w:type="spellStart"/>
      <w:r w:rsidRPr="006A63E5">
        <w:t>Korbenfeld</w:t>
      </w:r>
      <w:proofErr w:type="spellEnd"/>
      <w:r w:rsidRPr="006A63E5">
        <w:t xml:space="preserve"> E, Mourão Dias J, Besse B, Lee KH, Xiong H, How SH, Cheng Y, Chang GC, Yoshioka H, Yang JC, Thomas M, Nguyen D, Ou SI, </w:t>
      </w:r>
      <w:proofErr w:type="spellStart"/>
      <w:r w:rsidRPr="006A63E5">
        <w:t>Mukhedkar</w:t>
      </w:r>
      <w:proofErr w:type="spellEnd"/>
      <w:r w:rsidRPr="006A63E5">
        <w:t xml:space="preserve"> S, </w:t>
      </w:r>
      <w:proofErr w:type="spellStart"/>
      <w:r w:rsidRPr="006A63E5">
        <w:t>Prabhash</w:t>
      </w:r>
      <w:proofErr w:type="spellEnd"/>
      <w:r w:rsidRPr="006A63E5">
        <w:t xml:space="preserve"> K, D'Arcangelo M, Alatorre-Alexander J, Vázquez Limón JC, Alves S, </w:t>
      </w:r>
      <w:proofErr w:type="spellStart"/>
      <w:r w:rsidRPr="006A63E5">
        <w:t>Stroyakovskiy</w:t>
      </w:r>
      <w:proofErr w:type="spellEnd"/>
      <w:r w:rsidRPr="006A63E5">
        <w:t xml:space="preserve"> D, </w:t>
      </w:r>
      <w:proofErr w:type="spellStart"/>
      <w:r w:rsidRPr="006A63E5">
        <w:t>Peregudova</w:t>
      </w:r>
      <w:proofErr w:type="spellEnd"/>
      <w:r w:rsidRPr="006A63E5">
        <w:t xml:space="preserve"> M, </w:t>
      </w:r>
      <w:proofErr w:type="spellStart"/>
      <w:r w:rsidRPr="006A63E5">
        <w:t>Şendur</w:t>
      </w:r>
      <w:proofErr w:type="spellEnd"/>
      <w:r w:rsidRPr="006A63E5">
        <w:t xml:space="preserve"> MAN, Yazici O, Califano R, Gutiérrez Calderón V, de Marinis F, Passaro A, Kim SW, </w:t>
      </w:r>
      <w:proofErr w:type="spellStart"/>
      <w:r w:rsidRPr="006A63E5">
        <w:t>Gadgeel</w:t>
      </w:r>
      <w:proofErr w:type="spellEnd"/>
      <w:r w:rsidRPr="006A63E5">
        <w:t xml:space="preserve"> SM, Xie J, Sun T, Martinez M, Ennis M, Fennema E, Daksh M, Millington D, Leconte I, Iwasawa R, Lorenzini P, Baig M, Shah S, Bauml JM, Shreeve SM, Sethi S, Knoblauch RE, Hayashi H; MARIPOSA Investigators. Amivantamab plus Lazertinib in Previously Untreated EGFR-Mutated Advanced NSCLC. N Engl J Med. 2024 Oct 24;391(16):1486-1498. </w:t>
      </w:r>
      <w:proofErr w:type="spellStart"/>
      <w:r w:rsidRPr="006A63E5">
        <w:t>doi</w:t>
      </w:r>
      <w:proofErr w:type="spellEnd"/>
      <w:r w:rsidRPr="006A63E5">
        <w:t>: 10.1056/NEJMoa2403614. Epub 2024 Jun 26. PMID: 38924756.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AB5A4A"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2041505521" name="Picture 204150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38802056" w:rsidR="007452E8" w:rsidRDefault="0006693A" w:rsidP="007452E8">
    <w:pPr>
      <w:rPr>
        <w:noProof/>
      </w:rPr>
    </w:pPr>
    <w:r>
      <w:rPr>
        <w:noProof/>
      </w:rPr>
      <w:drawing>
        <wp:inline distT="0" distB="0" distL="0" distR="0" wp14:anchorId="26654E9F" wp14:editId="78E105AB">
          <wp:extent cx="3344545" cy="694055"/>
          <wp:effectExtent l="0" t="0" r="8255" b="0"/>
          <wp:docPr id="752337404"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7452E8" w:rsidRPr="002B29B2">
      <w:rPr>
        <w:noProof/>
        <w:lang w:val="en-GB" w:eastAsia="en-GB"/>
      </w:rPr>
      <w:drawing>
        <wp:anchor distT="0" distB="0" distL="114300" distR="114300" simplePos="0" relativeHeight="251660288" behindDoc="0" locked="0" layoutInCell="0" allowOverlap="1" wp14:anchorId="14BBEAC1" wp14:editId="5D9F0498">
          <wp:simplePos x="0" y="0"/>
          <wp:positionH relativeFrom="page">
            <wp:align>left</wp:align>
          </wp:positionH>
          <wp:positionV relativeFrom="page">
            <wp:posOffset>3239495</wp:posOffset>
          </wp:positionV>
          <wp:extent cx="7663815" cy="4323091"/>
          <wp:effectExtent l="0" t="0" r="0" b="1270"/>
          <wp:wrapNone/>
          <wp:docPr id="1489201680" name="Picture 148920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2"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5"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6"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7"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8"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9"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1" w15:restartNumberingAfterBreak="0">
    <w:nsid w:val="651E6A69"/>
    <w:multiLevelType w:val="hybridMultilevel"/>
    <w:tmpl w:val="0F7C4600"/>
    <w:lvl w:ilvl="0" w:tplc="E56264E0">
      <w:numFmt w:val="bullet"/>
      <w:lvlText w:val=""/>
      <w:lvlJc w:val="left"/>
      <w:pPr>
        <w:ind w:left="467" w:hanging="360"/>
      </w:pPr>
      <w:rPr>
        <w:rFonts w:ascii="Symbol" w:eastAsia="Symbol" w:hAnsi="Symbol" w:cs="Symbol" w:hint="default"/>
        <w:b w:val="0"/>
        <w:bCs w:val="0"/>
        <w:i w:val="0"/>
        <w:iCs w:val="0"/>
        <w:spacing w:val="0"/>
        <w:w w:val="100"/>
        <w:sz w:val="18"/>
        <w:szCs w:val="18"/>
        <w:lang w:val="en-US" w:eastAsia="en-US" w:bidi="ar-SA"/>
      </w:rPr>
    </w:lvl>
    <w:lvl w:ilvl="1" w:tplc="46A0CAF8">
      <w:numFmt w:val="bullet"/>
      <w:lvlText w:val="•"/>
      <w:lvlJc w:val="left"/>
      <w:pPr>
        <w:ind w:left="1196" w:hanging="360"/>
      </w:pPr>
      <w:rPr>
        <w:rFonts w:hint="default"/>
        <w:lang w:val="en-US" w:eastAsia="en-US" w:bidi="ar-SA"/>
      </w:rPr>
    </w:lvl>
    <w:lvl w:ilvl="2" w:tplc="4366EDA4">
      <w:numFmt w:val="bullet"/>
      <w:lvlText w:val="•"/>
      <w:lvlJc w:val="left"/>
      <w:pPr>
        <w:ind w:left="1933" w:hanging="360"/>
      </w:pPr>
      <w:rPr>
        <w:rFonts w:hint="default"/>
        <w:lang w:val="en-US" w:eastAsia="en-US" w:bidi="ar-SA"/>
      </w:rPr>
    </w:lvl>
    <w:lvl w:ilvl="3" w:tplc="35125342">
      <w:numFmt w:val="bullet"/>
      <w:lvlText w:val="•"/>
      <w:lvlJc w:val="left"/>
      <w:pPr>
        <w:ind w:left="2669" w:hanging="360"/>
      </w:pPr>
      <w:rPr>
        <w:rFonts w:hint="default"/>
        <w:lang w:val="en-US" w:eastAsia="en-US" w:bidi="ar-SA"/>
      </w:rPr>
    </w:lvl>
    <w:lvl w:ilvl="4" w:tplc="6D98E1D4">
      <w:numFmt w:val="bullet"/>
      <w:lvlText w:val="•"/>
      <w:lvlJc w:val="left"/>
      <w:pPr>
        <w:ind w:left="3406" w:hanging="360"/>
      </w:pPr>
      <w:rPr>
        <w:rFonts w:hint="default"/>
        <w:lang w:val="en-US" w:eastAsia="en-US" w:bidi="ar-SA"/>
      </w:rPr>
    </w:lvl>
    <w:lvl w:ilvl="5" w:tplc="306621F8">
      <w:numFmt w:val="bullet"/>
      <w:lvlText w:val="•"/>
      <w:lvlJc w:val="left"/>
      <w:pPr>
        <w:ind w:left="4142" w:hanging="360"/>
      </w:pPr>
      <w:rPr>
        <w:rFonts w:hint="default"/>
        <w:lang w:val="en-US" w:eastAsia="en-US" w:bidi="ar-SA"/>
      </w:rPr>
    </w:lvl>
    <w:lvl w:ilvl="6" w:tplc="6A5A56CE">
      <w:numFmt w:val="bullet"/>
      <w:lvlText w:val="•"/>
      <w:lvlJc w:val="left"/>
      <w:pPr>
        <w:ind w:left="4879" w:hanging="360"/>
      </w:pPr>
      <w:rPr>
        <w:rFonts w:hint="default"/>
        <w:lang w:val="en-US" w:eastAsia="en-US" w:bidi="ar-SA"/>
      </w:rPr>
    </w:lvl>
    <w:lvl w:ilvl="7" w:tplc="97B81B76">
      <w:numFmt w:val="bullet"/>
      <w:lvlText w:val="•"/>
      <w:lvlJc w:val="left"/>
      <w:pPr>
        <w:ind w:left="5615" w:hanging="360"/>
      </w:pPr>
      <w:rPr>
        <w:rFonts w:hint="default"/>
        <w:lang w:val="en-US" w:eastAsia="en-US" w:bidi="ar-SA"/>
      </w:rPr>
    </w:lvl>
    <w:lvl w:ilvl="8" w:tplc="E4CAD4D4">
      <w:numFmt w:val="bullet"/>
      <w:lvlText w:val="•"/>
      <w:lvlJc w:val="left"/>
      <w:pPr>
        <w:ind w:left="6352" w:hanging="360"/>
      </w:pPr>
      <w:rPr>
        <w:rFonts w:hint="default"/>
        <w:lang w:val="en-US" w:eastAsia="en-US" w:bidi="ar-SA"/>
      </w:rPr>
    </w:lvl>
  </w:abstractNum>
  <w:abstractNum w:abstractNumId="12" w15:restartNumberingAfterBreak="0">
    <w:nsid w:val="79D0739C"/>
    <w:multiLevelType w:val="hybridMultilevel"/>
    <w:tmpl w:val="E638820C"/>
    <w:lvl w:ilvl="0" w:tplc="71AAE15E">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908816F4">
      <w:numFmt w:val="bullet"/>
      <w:lvlText w:val="•"/>
      <w:lvlJc w:val="left"/>
      <w:pPr>
        <w:ind w:left="1520" w:hanging="360"/>
      </w:pPr>
      <w:rPr>
        <w:rFonts w:hint="default"/>
        <w:lang w:val="en-US" w:eastAsia="en-US" w:bidi="ar-SA"/>
      </w:rPr>
    </w:lvl>
    <w:lvl w:ilvl="2" w:tplc="0E760CFE">
      <w:numFmt w:val="bullet"/>
      <w:lvlText w:val="•"/>
      <w:lvlJc w:val="left"/>
      <w:pPr>
        <w:ind w:left="2221" w:hanging="360"/>
      </w:pPr>
      <w:rPr>
        <w:rFonts w:hint="default"/>
        <w:lang w:val="en-US" w:eastAsia="en-US" w:bidi="ar-SA"/>
      </w:rPr>
    </w:lvl>
    <w:lvl w:ilvl="3" w:tplc="CFACB3BC">
      <w:numFmt w:val="bullet"/>
      <w:lvlText w:val="•"/>
      <w:lvlJc w:val="left"/>
      <w:pPr>
        <w:ind w:left="2921" w:hanging="360"/>
      </w:pPr>
      <w:rPr>
        <w:rFonts w:hint="default"/>
        <w:lang w:val="en-US" w:eastAsia="en-US" w:bidi="ar-SA"/>
      </w:rPr>
    </w:lvl>
    <w:lvl w:ilvl="4" w:tplc="B1D4BCEC">
      <w:numFmt w:val="bullet"/>
      <w:lvlText w:val="•"/>
      <w:lvlJc w:val="left"/>
      <w:pPr>
        <w:ind w:left="3622" w:hanging="360"/>
      </w:pPr>
      <w:rPr>
        <w:rFonts w:hint="default"/>
        <w:lang w:val="en-US" w:eastAsia="en-US" w:bidi="ar-SA"/>
      </w:rPr>
    </w:lvl>
    <w:lvl w:ilvl="5" w:tplc="5F00FDDA">
      <w:numFmt w:val="bullet"/>
      <w:lvlText w:val="•"/>
      <w:lvlJc w:val="left"/>
      <w:pPr>
        <w:ind w:left="4322" w:hanging="360"/>
      </w:pPr>
      <w:rPr>
        <w:rFonts w:hint="default"/>
        <w:lang w:val="en-US" w:eastAsia="en-US" w:bidi="ar-SA"/>
      </w:rPr>
    </w:lvl>
    <w:lvl w:ilvl="6" w:tplc="23B43A54">
      <w:numFmt w:val="bullet"/>
      <w:lvlText w:val="•"/>
      <w:lvlJc w:val="left"/>
      <w:pPr>
        <w:ind w:left="5023" w:hanging="360"/>
      </w:pPr>
      <w:rPr>
        <w:rFonts w:hint="default"/>
        <w:lang w:val="en-US" w:eastAsia="en-US" w:bidi="ar-SA"/>
      </w:rPr>
    </w:lvl>
    <w:lvl w:ilvl="7" w:tplc="F6827C3C">
      <w:numFmt w:val="bullet"/>
      <w:lvlText w:val="•"/>
      <w:lvlJc w:val="left"/>
      <w:pPr>
        <w:ind w:left="5723" w:hanging="360"/>
      </w:pPr>
      <w:rPr>
        <w:rFonts w:hint="default"/>
        <w:lang w:val="en-US" w:eastAsia="en-US" w:bidi="ar-SA"/>
      </w:rPr>
    </w:lvl>
    <w:lvl w:ilvl="8" w:tplc="7528F242">
      <w:numFmt w:val="bullet"/>
      <w:lvlText w:val="•"/>
      <w:lvlJc w:val="left"/>
      <w:pPr>
        <w:ind w:left="6424" w:hanging="360"/>
      </w:pPr>
      <w:rPr>
        <w:rFonts w:hint="default"/>
        <w:lang w:val="en-US" w:eastAsia="en-US" w:bidi="ar-SA"/>
      </w:rPr>
    </w:lvl>
  </w:abstractNum>
  <w:abstractNum w:abstractNumId="13"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abstractNum w:abstractNumId="14" w15:restartNumberingAfterBreak="0">
    <w:nsid w:val="7F512C4E"/>
    <w:multiLevelType w:val="hybridMultilevel"/>
    <w:tmpl w:val="CCD81458"/>
    <w:lvl w:ilvl="0" w:tplc="B0A2C57A">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7206E774">
      <w:numFmt w:val="bullet"/>
      <w:lvlText w:val="•"/>
      <w:lvlJc w:val="left"/>
      <w:pPr>
        <w:ind w:left="1520" w:hanging="360"/>
      </w:pPr>
      <w:rPr>
        <w:rFonts w:hint="default"/>
        <w:lang w:val="en-US" w:eastAsia="en-US" w:bidi="ar-SA"/>
      </w:rPr>
    </w:lvl>
    <w:lvl w:ilvl="2" w:tplc="143C8EA2">
      <w:numFmt w:val="bullet"/>
      <w:lvlText w:val="•"/>
      <w:lvlJc w:val="left"/>
      <w:pPr>
        <w:ind w:left="2221" w:hanging="360"/>
      </w:pPr>
      <w:rPr>
        <w:rFonts w:hint="default"/>
        <w:lang w:val="en-US" w:eastAsia="en-US" w:bidi="ar-SA"/>
      </w:rPr>
    </w:lvl>
    <w:lvl w:ilvl="3" w:tplc="7ADE235A">
      <w:numFmt w:val="bullet"/>
      <w:lvlText w:val="•"/>
      <w:lvlJc w:val="left"/>
      <w:pPr>
        <w:ind w:left="2921" w:hanging="360"/>
      </w:pPr>
      <w:rPr>
        <w:rFonts w:hint="default"/>
        <w:lang w:val="en-US" w:eastAsia="en-US" w:bidi="ar-SA"/>
      </w:rPr>
    </w:lvl>
    <w:lvl w:ilvl="4" w:tplc="82CE8032">
      <w:numFmt w:val="bullet"/>
      <w:lvlText w:val="•"/>
      <w:lvlJc w:val="left"/>
      <w:pPr>
        <w:ind w:left="3622" w:hanging="360"/>
      </w:pPr>
      <w:rPr>
        <w:rFonts w:hint="default"/>
        <w:lang w:val="en-US" w:eastAsia="en-US" w:bidi="ar-SA"/>
      </w:rPr>
    </w:lvl>
    <w:lvl w:ilvl="5" w:tplc="A4F0F546">
      <w:numFmt w:val="bullet"/>
      <w:lvlText w:val="•"/>
      <w:lvlJc w:val="left"/>
      <w:pPr>
        <w:ind w:left="4322" w:hanging="360"/>
      </w:pPr>
      <w:rPr>
        <w:rFonts w:hint="default"/>
        <w:lang w:val="en-US" w:eastAsia="en-US" w:bidi="ar-SA"/>
      </w:rPr>
    </w:lvl>
    <w:lvl w:ilvl="6" w:tplc="3BDA7A2C">
      <w:numFmt w:val="bullet"/>
      <w:lvlText w:val="•"/>
      <w:lvlJc w:val="left"/>
      <w:pPr>
        <w:ind w:left="5023" w:hanging="360"/>
      </w:pPr>
      <w:rPr>
        <w:rFonts w:hint="default"/>
        <w:lang w:val="en-US" w:eastAsia="en-US" w:bidi="ar-SA"/>
      </w:rPr>
    </w:lvl>
    <w:lvl w:ilvl="7" w:tplc="73028FD4">
      <w:numFmt w:val="bullet"/>
      <w:lvlText w:val="•"/>
      <w:lvlJc w:val="left"/>
      <w:pPr>
        <w:ind w:left="5723" w:hanging="360"/>
      </w:pPr>
      <w:rPr>
        <w:rFonts w:hint="default"/>
        <w:lang w:val="en-US" w:eastAsia="en-US" w:bidi="ar-SA"/>
      </w:rPr>
    </w:lvl>
    <w:lvl w:ilvl="8" w:tplc="5D4451E6">
      <w:numFmt w:val="bullet"/>
      <w:lvlText w:val="•"/>
      <w:lvlJc w:val="left"/>
      <w:pPr>
        <w:ind w:left="6424" w:hanging="360"/>
      </w:pPr>
      <w:rPr>
        <w:rFonts w:hint="default"/>
        <w:lang w:val="en-US" w:eastAsia="en-US" w:bidi="ar-SA"/>
      </w:rPr>
    </w:lvl>
  </w:abstractNum>
  <w:abstractNum w:abstractNumId="15" w15:restartNumberingAfterBreak="0">
    <w:nsid w:val="7FC44C87"/>
    <w:multiLevelType w:val="hybridMultilevel"/>
    <w:tmpl w:val="40E4D360"/>
    <w:lvl w:ilvl="0" w:tplc="CB68F268">
      <w:numFmt w:val="bullet"/>
      <w:lvlText w:val=""/>
      <w:lvlJc w:val="left"/>
      <w:pPr>
        <w:ind w:left="827" w:hanging="360"/>
      </w:pPr>
      <w:rPr>
        <w:rFonts w:ascii="Symbol" w:eastAsia="Symbol" w:hAnsi="Symbol" w:cs="Symbol" w:hint="default"/>
        <w:b w:val="0"/>
        <w:bCs w:val="0"/>
        <w:i w:val="0"/>
        <w:iCs w:val="0"/>
        <w:spacing w:val="0"/>
        <w:w w:val="100"/>
        <w:sz w:val="18"/>
        <w:szCs w:val="18"/>
        <w:lang w:val="en-US" w:eastAsia="en-US" w:bidi="ar-SA"/>
      </w:rPr>
    </w:lvl>
    <w:lvl w:ilvl="1" w:tplc="119AB164">
      <w:numFmt w:val="bullet"/>
      <w:lvlText w:val="•"/>
      <w:lvlJc w:val="left"/>
      <w:pPr>
        <w:ind w:left="1520" w:hanging="360"/>
      </w:pPr>
      <w:rPr>
        <w:rFonts w:hint="default"/>
        <w:lang w:val="en-US" w:eastAsia="en-US" w:bidi="ar-SA"/>
      </w:rPr>
    </w:lvl>
    <w:lvl w:ilvl="2" w:tplc="FB5ECF00">
      <w:numFmt w:val="bullet"/>
      <w:lvlText w:val="•"/>
      <w:lvlJc w:val="left"/>
      <w:pPr>
        <w:ind w:left="2221" w:hanging="360"/>
      </w:pPr>
      <w:rPr>
        <w:rFonts w:hint="default"/>
        <w:lang w:val="en-US" w:eastAsia="en-US" w:bidi="ar-SA"/>
      </w:rPr>
    </w:lvl>
    <w:lvl w:ilvl="3" w:tplc="C2667A62">
      <w:numFmt w:val="bullet"/>
      <w:lvlText w:val="•"/>
      <w:lvlJc w:val="left"/>
      <w:pPr>
        <w:ind w:left="2921" w:hanging="360"/>
      </w:pPr>
      <w:rPr>
        <w:rFonts w:hint="default"/>
        <w:lang w:val="en-US" w:eastAsia="en-US" w:bidi="ar-SA"/>
      </w:rPr>
    </w:lvl>
    <w:lvl w:ilvl="4" w:tplc="775223DA">
      <w:numFmt w:val="bullet"/>
      <w:lvlText w:val="•"/>
      <w:lvlJc w:val="left"/>
      <w:pPr>
        <w:ind w:left="3622" w:hanging="360"/>
      </w:pPr>
      <w:rPr>
        <w:rFonts w:hint="default"/>
        <w:lang w:val="en-US" w:eastAsia="en-US" w:bidi="ar-SA"/>
      </w:rPr>
    </w:lvl>
    <w:lvl w:ilvl="5" w:tplc="BC7C97C6">
      <w:numFmt w:val="bullet"/>
      <w:lvlText w:val="•"/>
      <w:lvlJc w:val="left"/>
      <w:pPr>
        <w:ind w:left="4322" w:hanging="360"/>
      </w:pPr>
      <w:rPr>
        <w:rFonts w:hint="default"/>
        <w:lang w:val="en-US" w:eastAsia="en-US" w:bidi="ar-SA"/>
      </w:rPr>
    </w:lvl>
    <w:lvl w:ilvl="6" w:tplc="EF96D530">
      <w:numFmt w:val="bullet"/>
      <w:lvlText w:val="•"/>
      <w:lvlJc w:val="left"/>
      <w:pPr>
        <w:ind w:left="5023" w:hanging="360"/>
      </w:pPr>
      <w:rPr>
        <w:rFonts w:hint="default"/>
        <w:lang w:val="en-US" w:eastAsia="en-US" w:bidi="ar-SA"/>
      </w:rPr>
    </w:lvl>
    <w:lvl w:ilvl="7" w:tplc="30FE0A46">
      <w:numFmt w:val="bullet"/>
      <w:lvlText w:val="•"/>
      <w:lvlJc w:val="left"/>
      <w:pPr>
        <w:ind w:left="5723" w:hanging="360"/>
      </w:pPr>
      <w:rPr>
        <w:rFonts w:hint="default"/>
        <w:lang w:val="en-US" w:eastAsia="en-US" w:bidi="ar-SA"/>
      </w:rPr>
    </w:lvl>
    <w:lvl w:ilvl="8" w:tplc="626E7130">
      <w:numFmt w:val="bullet"/>
      <w:lvlText w:val="•"/>
      <w:lvlJc w:val="left"/>
      <w:pPr>
        <w:ind w:left="6424" w:hanging="360"/>
      </w:pPr>
      <w:rPr>
        <w:rFonts w:hint="default"/>
        <w:lang w:val="en-US" w:eastAsia="en-US" w:bidi="ar-SA"/>
      </w:rPr>
    </w:lvl>
  </w:abstractNum>
  <w:num w:numId="1" w16cid:durableId="1032997172">
    <w:abstractNumId w:val="3"/>
  </w:num>
  <w:num w:numId="2" w16cid:durableId="1856573705">
    <w:abstractNumId w:val="0"/>
  </w:num>
  <w:num w:numId="3" w16cid:durableId="357703499">
    <w:abstractNumId w:val="2"/>
  </w:num>
  <w:num w:numId="4" w16cid:durableId="1869176708">
    <w:abstractNumId w:val="9"/>
  </w:num>
  <w:num w:numId="5" w16cid:durableId="1652950129">
    <w:abstractNumId w:val="5"/>
  </w:num>
  <w:num w:numId="6" w16cid:durableId="1053193207">
    <w:abstractNumId w:val="7"/>
  </w:num>
  <w:num w:numId="7" w16cid:durableId="201135927">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8"/>
  </w:num>
  <w:num w:numId="9" w16cid:durableId="173421270">
    <w:abstractNumId w:val="1"/>
  </w:num>
  <w:num w:numId="10" w16cid:durableId="2108043357">
    <w:abstractNumId w:val="4"/>
  </w:num>
  <w:num w:numId="11" w16cid:durableId="1725904230">
    <w:abstractNumId w:val="6"/>
  </w:num>
  <w:num w:numId="12" w16cid:durableId="141579354">
    <w:abstractNumId w:val="10"/>
  </w:num>
  <w:num w:numId="13" w16cid:durableId="283735081">
    <w:abstractNumId w:val="13"/>
  </w:num>
  <w:num w:numId="14" w16cid:durableId="1158307884">
    <w:abstractNumId w:val="12"/>
  </w:num>
  <w:num w:numId="15" w16cid:durableId="883635057">
    <w:abstractNumId w:val="14"/>
  </w:num>
  <w:num w:numId="16" w16cid:durableId="1537818210">
    <w:abstractNumId w:val="11"/>
  </w:num>
  <w:num w:numId="17" w16cid:durableId="193142358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4431"/>
    <w:rsid w:val="00005062"/>
    <w:rsid w:val="0001064C"/>
    <w:rsid w:val="0001384A"/>
    <w:rsid w:val="000156E1"/>
    <w:rsid w:val="00015D42"/>
    <w:rsid w:val="00021C13"/>
    <w:rsid w:val="00032A0F"/>
    <w:rsid w:val="00034703"/>
    <w:rsid w:val="000354EC"/>
    <w:rsid w:val="000400A0"/>
    <w:rsid w:val="00040D8D"/>
    <w:rsid w:val="00046423"/>
    <w:rsid w:val="000477F5"/>
    <w:rsid w:val="00053465"/>
    <w:rsid w:val="0006104E"/>
    <w:rsid w:val="000640BD"/>
    <w:rsid w:val="00065839"/>
    <w:rsid w:val="00065FDF"/>
    <w:rsid w:val="0006693A"/>
    <w:rsid w:val="00071E94"/>
    <w:rsid w:val="00077844"/>
    <w:rsid w:val="00083763"/>
    <w:rsid w:val="00084BA0"/>
    <w:rsid w:val="00090510"/>
    <w:rsid w:val="00090FDF"/>
    <w:rsid w:val="000917AE"/>
    <w:rsid w:val="00094B81"/>
    <w:rsid w:val="00095C6A"/>
    <w:rsid w:val="000975AA"/>
    <w:rsid w:val="000B2260"/>
    <w:rsid w:val="000B6B15"/>
    <w:rsid w:val="000B7440"/>
    <w:rsid w:val="000C25A7"/>
    <w:rsid w:val="000D0A3E"/>
    <w:rsid w:val="000D229E"/>
    <w:rsid w:val="000D3BF4"/>
    <w:rsid w:val="000D78EC"/>
    <w:rsid w:val="000D7934"/>
    <w:rsid w:val="000E2434"/>
    <w:rsid w:val="000E2597"/>
    <w:rsid w:val="000E504E"/>
    <w:rsid w:val="000E523B"/>
    <w:rsid w:val="000E5D64"/>
    <w:rsid w:val="000E6746"/>
    <w:rsid w:val="000F6D53"/>
    <w:rsid w:val="000F7399"/>
    <w:rsid w:val="000F7B51"/>
    <w:rsid w:val="00101BEE"/>
    <w:rsid w:val="00101CE6"/>
    <w:rsid w:val="00101FB1"/>
    <w:rsid w:val="0010558A"/>
    <w:rsid w:val="001101FF"/>
    <w:rsid w:val="00111989"/>
    <w:rsid w:val="00113F9F"/>
    <w:rsid w:val="00114025"/>
    <w:rsid w:val="001169DD"/>
    <w:rsid w:val="001239ED"/>
    <w:rsid w:val="0012473C"/>
    <w:rsid w:val="00127A74"/>
    <w:rsid w:val="0013132F"/>
    <w:rsid w:val="00131B1B"/>
    <w:rsid w:val="0013306D"/>
    <w:rsid w:val="00133F91"/>
    <w:rsid w:val="00134572"/>
    <w:rsid w:val="0013528C"/>
    <w:rsid w:val="00143B86"/>
    <w:rsid w:val="001442A2"/>
    <w:rsid w:val="001468CA"/>
    <w:rsid w:val="001500A8"/>
    <w:rsid w:val="00155D85"/>
    <w:rsid w:val="00160195"/>
    <w:rsid w:val="001659BE"/>
    <w:rsid w:val="00165D28"/>
    <w:rsid w:val="0017005C"/>
    <w:rsid w:val="00175CD8"/>
    <w:rsid w:val="001768BE"/>
    <w:rsid w:val="001808F6"/>
    <w:rsid w:val="00182BD8"/>
    <w:rsid w:val="00183A66"/>
    <w:rsid w:val="00184E11"/>
    <w:rsid w:val="001850B7"/>
    <w:rsid w:val="0018553E"/>
    <w:rsid w:val="00185646"/>
    <w:rsid w:val="00190853"/>
    <w:rsid w:val="001A4208"/>
    <w:rsid w:val="001A716C"/>
    <w:rsid w:val="001A76F9"/>
    <w:rsid w:val="001B06FF"/>
    <w:rsid w:val="001B1703"/>
    <w:rsid w:val="001B5CA6"/>
    <w:rsid w:val="001C0AD9"/>
    <w:rsid w:val="001C1AA5"/>
    <w:rsid w:val="001C1C2E"/>
    <w:rsid w:val="001C31A1"/>
    <w:rsid w:val="001C3FA2"/>
    <w:rsid w:val="001C5EE2"/>
    <w:rsid w:val="001C641C"/>
    <w:rsid w:val="001C7CC0"/>
    <w:rsid w:val="001D0077"/>
    <w:rsid w:val="001D353A"/>
    <w:rsid w:val="001D375E"/>
    <w:rsid w:val="001E407B"/>
    <w:rsid w:val="001E62F7"/>
    <w:rsid w:val="001E7FC6"/>
    <w:rsid w:val="001F2502"/>
    <w:rsid w:val="001F6EE3"/>
    <w:rsid w:val="001F70A5"/>
    <w:rsid w:val="0020235D"/>
    <w:rsid w:val="0020369B"/>
    <w:rsid w:val="00207474"/>
    <w:rsid w:val="00207B4D"/>
    <w:rsid w:val="0021007C"/>
    <w:rsid w:val="00210F9B"/>
    <w:rsid w:val="002117B1"/>
    <w:rsid w:val="00212227"/>
    <w:rsid w:val="00217CCE"/>
    <w:rsid w:val="002203B1"/>
    <w:rsid w:val="002220FA"/>
    <w:rsid w:val="002227C6"/>
    <w:rsid w:val="002250C2"/>
    <w:rsid w:val="00226F39"/>
    <w:rsid w:val="002334AD"/>
    <w:rsid w:val="002366BB"/>
    <w:rsid w:val="00241B60"/>
    <w:rsid w:val="00256193"/>
    <w:rsid w:val="0025785B"/>
    <w:rsid w:val="00257969"/>
    <w:rsid w:val="00264B66"/>
    <w:rsid w:val="00265CD1"/>
    <w:rsid w:val="0027269D"/>
    <w:rsid w:val="00280048"/>
    <w:rsid w:val="0028023B"/>
    <w:rsid w:val="0028489E"/>
    <w:rsid w:val="002848DE"/>
    <w:rsid w:val="00286C95"/>
    <w:rsid w:val="0028794E"/>
    <w:rsid w:val="0029733B"/>
    <w:rsid w:val="002A1FB0"/>
    <w:rsid w:val="002A44FC"/>
    <w:rsid w:val="002A5841"/>
    <w:rsid w:val="002B01C0"/>
    <w:rsid w:val="002B1EDF"/>
    <w:rsid w:val="002B2061"/>
    <w:rsid w:val="002B20F3"/>
    <w:rsid w:val="002B4D05"/>
    <w:rsid w:val="002B55A7"/>
    <w:rsid w:val="002C1232"/>
    <w:rsid w:val="002C1E44"/>
    <w:rsid w:val="002C1F5D"/>
    <w:rsid w:val="002C3528"/>
    <w:rsid w:val="002C5C92"/>
    <w:rsid w:val="002C5E29"/>
    <w:rsid w:val="002D0478"/>
    <w:rsid w:val="002D4EFC"/>
    <w:rsid w:val="002D7127"/>
    <w:rsid w:val="002E517C"/>
    <w:rsid w:val="002F116C"/>
    <w:rsid w:val="002F3C5A"/>
    <w:rsid w:val="002F599E"/>
    <w:rsid w:val="002F6F56"/>
    <w:rsid w:val="003008D8"/>
    <w:rsid w:val="00301D9A"/>
    <w:rsid w:val="00303959"/>
    <w:rsid w:val="003043DB"/>
    <w:rsid w:val="00306E72"/>
    <w:rsid w:val="00312AC3"/>
    <w:rsid w:val="00314430"/>
    <w:rsid w:val="003163BC"/>
    <w:rsid w:val="00317CE3"/>
    <w:rsid w:val="003212D9"/>
    <w:rsid w:val="0032351A"/>
    <w:rsid w:val="00324B33"/>
    <w:rsid w:val="00327488"/>
    <w:rsid w:val="0033169F"/>
    <w:rsid w:val="00334BF6"/>
    <w:rsid w:val="00336FE1"/>
    <w:rsid w:val="00342A7D"/>
    <w:rsid w:val="00342D56"/>
    <w:rsid w:val="003456E7"/>
    <w:rsid w:val="00346EC2"/>
    <w:rsid w:val="0034739F"/>
    <w:rsid w:val="003477F9"/>
    <w:rsid w:val="003509C6"/>
    <w:rsid w:val="00353363"/>
    <w:rsid w:val="0035444D"/>
    <w:rsid w:val="00356D62"/>
    <w:rsid w:val="00363EE3"/>
    <w:rsid w:val="003735F3"/>
    <w:rsid w:val="00374729"/>
    <w:rsid w:val="00380287"/>
    <w:rsid w:val="00381038"/>
    <w:rsid w:val="00387298"/>
    <w:rsid w:val="00387984"/>
    <w:rsid w:val="00392C9A"/>
    <w:rsid w:val="003933CB"/>
    <w:rsid w:val="00395140"/>
    <w:rsid w:val="003A2422"/>
    <w:rsid w:val="003B149C"/>
    <w:rsid w:val="003B1CB1"/>
    <w:rsid w:val="003C0FDB"/>
    <w:rsid w:val="003C1192"/>
    <w:rsid w:val="003C1E6E"/>
    <w:rsid w:val="003C32BE"/>
    <w:rsid w:val="003C55E2"/>
    <w:rsid w:val="003C63D5"/>
    <w:rsid w:val="003C7AA8"/>
    <w:rsid w:val="003D0682"/>
    <w:rsid w:val="003D71A1"/>
    <w:rsid w:val="003E4C3A"/>
    <w:rsid w:val="003E4FBE"/>
    <w:rsid w:val="003E7D3F"/>
    <w:rsid w:val="0041688F"/>
    <w:rsid w:val="00417797"/>
    <w:rsid w:val="00417D9A"/>
    <w:rsid w:val="00421D79"/>
    <w:rsid w:val="0042376F"/>
    <w:rsid w:val="004246B8"/>
    <w:rsid w:val="004248F1"/>
    <w:rsid w:val="00426D05"/>
    <w:rsid w:val="00433318"/>
    <w:rsid w:val="004411D9"/>
    <w:rsid w:val="00442A56"/>
    <w:rsid w:val="004444B0"/>
    <w:rsid w:val="00446321"/>
    <w:rsid w:val="00446390"/>
    <w:rsid w:val="0044709A"/>
    <w:rsid w:val="00450315"/>
    <w:rsid w:val="0045060B"/>
    <w:rsid w:val="00453401"/>
    <w:rsid w:val="00456362"/>
    <w:rsid w:val="004626FF"/>
    <w:rsid w:val="0046285C"/>
    <w:rsid w:val="0046788C"/>
    <w:rsid w:val="0047042C"/>
    <w:rsid w:val="00470A52"/>
    <w:rsid w:val="00471BD5"/>
    <w:rsid w:val="00477C4E"/>
    <w:rsid w:val="00477F07"/>
    <w:rsid w:val="00480A4C"/>
    <w:rsid w:val="00481503"/>
    <w:rsid w:val="00481D12"/>
    <w:rsid w:val="0048333F"/>
    <w:rsid w:val="004854A6"/>
    <w:rsid w:val="00485B80"/>
    <w:rsid w:val="00491A55"/>
    <w:rsid w:val="00494C3E"/>
    <w:rsid w:val="004960BD"/>
    <w:rsid w:val="00497DF1"/>
    <w:rsid w:val="004A1046"/>
    <w:rsid w:val="004A318E"/>
    <w:rsid w:val="004A45D4"/>
    <w:rsid w:val="004A57E8"/>
    <w:rsid w:val="004A5A16"/>
    <w:rsid w:val="004B3081"/>
    <w:rsid w:val="004B4A09"/>
    <w:rsid w:val="004C22A9"/>
    <w:rsid w:val="004C41CE"/>
    <w:rsid w:val="004C5054"/>
    <w:rsid w:val="004C631B"/>
    <w:rsid w:val="004D0933"/>
    <w:rsid w:val="004D2F00"/>
    <w:rsid w:val="004D31D8"/>
    <w:rsid w:val="004D35D1"/>
    <w:rsid w:val="004D5388"/>
    <w:rsid w:val="004D5A72"/>
    <w:rsid w:val="004E4655"/>
    <w:rsid w:val="004E7F16"/>
    <w:rsid w:val="004F18EC"/>
    <w:rsid w:val="00500D68"/>
    <w:rsid w:val="005042C7"/>
    <w:rsid w:val="00512176"/>
    <w:rsid w:val="00516264"/>
    <w:rsid w:val="005176FE"/>
    <w:rsid w:val="00532852"/>
    <w:rsid w:val="0053377D"/>
    <w:rsid w:val="00535DFE"/>
    <w:rsid w:val="00536DC3"/>
    <w:rsid w:val="00536E14"/>
    <w:rsid w:val="005373B5"/>
    <w:rsid w:val="00537AB7"/>
    <w:rsid w:val="00543610"/>
    <w:rsid w:val="005456E0"/>
    <w:rsid w:val="0054669B"/>
    <w:rsid w:val="005513DD"/>
    <w:rsid w:val="00552CE3"/>
    <w:rsid w:val="00554EAE"/>
    <w:rsid w:val="00555D33"/>
    <w:rsid w:val="00557684"/>
    <w:rsid w:val="005610D1"/>
    <w:rsid w:val="00561740"/>
    <w:rsid w:val="00562F42"/>
    <w:rsid w:val="0056532B"/>
    <w:rsid w:val="00565739"/>
    <w:rsid w:val="00565994"/>
    <w:rsid w:val="00566A78"/>
    <w:rsid w:val="0056766D"/>
    <w:rsid w:val="00574BAB"/>
    <w:rsid w:val="005751A5"/>
    <w:rsid w:val="00575215"/>
    <w:rsid w:val="005775D0"/>
    <w:rsid w:val="00581138"/>
    <w:rsid w:val="005848E9"/>
    <w:rsid w:val="0058575E"/>
    <w:rsid w:val="0058783C"/>
    <w:rsid w:val="005911AE"/>
    <w:rsid w:val="005926E2"/>
    <w:rsid w:val="0059313A"/>
    <w:rsid w:val="005A54EA"/>
    <w:rsid w:val="005A6F6C"/>
    <w:rsid w:val="005B023F"/>
    <w:rsid w:val="005B02A2"/>
    <w:rsid w:val="005B1417"/>
    <w:rsid w:val="005B3A6E"/>
    <w:rsid w:val="005B69CF"/>
    <w:rsid w:val="005C3F07"/>
    <w:rsid w:val="005C4B46"/>
    <w:rsid w:val="005C5DC5"/>
    <w:rsid w:val="005D2089"/>
    <w:rsid w:val="005D5F54"/>
    <w:rsid w:val="005D7514"/>
    <w:rsid w:val="005E0FC6"/>
    <w:rsid w:val="005E1A7B"/>
    <w:rsid w:val="005E231F"/>
    <w:rsid w:val="005E4C62"/>
    <w:rsid w:val="005E6F79"/>
    <w:rsid w:val="00602D6E"/>
    <w:rsid w:val="00605C05"/>
    <w:rsid w:val="00611351"/>
    <w:rsid w:val="0061217D"/>
    <w:rsid w:val="006129AE"/>
    <w:rsid w:val="00614159"/>
    <w:rsid w:val="006240C2"/>
    <w:rsid w:val="006277A1"/>
    <w:rsid w:val="006307B0"/>
    <w:rsid w:val="00633BD7"/>
    <w:rsid w:val="00634580"/>
    <w:rsid w:val="00634884"/>
    <w:rsid w:val="006351D9"/>
    <w:rsid w:val="0063543F"/>
    <w:rsid w:val="00637130"/>
    <w:rsid w:val="00637F0E"/>
    <w:rsid w:val="00641EB6"/>
    <w:rsid w:val="006423F2"/>
    <w:rsid w:val="006428C5"/>
    <w:rsid w:val="00650234"/>
    <w:rsid w:val="00650605"/>
    <w:rsid w:val="00652680"/>
    <w:rsid w:val="00655149"/>
    <w:rsid w:val="00656C8F"/>
    <w:rsid w:val="0066044B"/>
    <w:rsid w:val="006630AA"/>
    <w:rsid w:val="00663544"/>
    <w:rsid w:val="006649BB"/>
    <w:rsid w:val="00664CB2"/>
    <w:rsid w:val="00666539"/>
    <w:rsid w:val="00666911"/>
    <w:rsid w:val="006706A1"/>
    <w:rsid w:val="00671305"/>
    <w:rsid w:val="00675F81"/>
    <w:rsid w:val="0067718E"/>
    <w:rsid w:val="0068143E"/>
    <w:rsid w:val="0068507D"/>
    <w:rsid w:val="00690286"/>
    <w:rsid w:val="006904CE"/>
    <w:rsid w:val="00691AF2"/>
    <w:rsid w:val="0069243D"/>
    <w:rsid w:val="00692B80"/>
    <w:rsid w:val="00692CCD"/>
    <w:rsid w:val="00692D51"/>
    <w:rsid w:val="00694C3E"/>
    <w:rsid w:val="00694DD7"/>
    <w:rsid w:val="0069636B"/>
    <w:rsid w:val="006A0E0B"/>
    <w:rsid w:val="006A1762"/>
    <w:rsid w:val="006A19CE"/>
    <w:rsid w:val="006A1F0B"/>
    <w:rsid w:val="006A277A"/>
    <w:rsid w:val="006A33CD"/>
    <w:rsid w:val="006A5973"/>
    <w:rsid w:val="006A63E5"/>
    <w:rsid w:val="006B04F3"/>
    <w:rsid w:val="006B4A03"/>
    <w:rsid w:val="006B7126"/>
    <w:rsid w:val="006B7EBF"/>
    <w:rsid w:val="006C170D"/>
    <w:rsid w:val="006C6B86"/>
    <w:rsid w:val="006D0E86"/>
    <w:rsid w:val="006D4553"/>
    <w:rsid w:val="006D4A35"/>
    <w:rsid w:val="006D6B44"/>
    <w:rsid w:val="006E0F71"/>
    <w:rsid w:val="006E1BB4"/>
    <w:rsid w:val="006E27FE"/>
    <w:rsid w:val="006E6321"/>
    <w:rsid w:val="006F01C4"/>
    <w:rsid w:val="006F4B2B"/>
    <w:rsid w:val="006F7EC4"/>
    <w:rsid w:val="00701110"/>
    <w:rsid w:val="00702E91"/>
    <w:rsid w:val="0070330F"/>
    <w:rsid w:val="00703624"/>
    <w:rsid w:val="007046ED"/>
    <w:rsid w:val="007072A1"/>
    <w:rsid w:val="0071060C"/>
    <w:rsid w:val="00710BC5"/>
    <w:rsid w:val="007121CA"/>
    <w:rsid w:val="0072003B"/>
    <w:rsid w:val="00721059"/>
    <w:rsid w:val="007211E6"/>
    <w:rsid w:val="007220C4"/>
    <w:rsid w:val="007305ED"/>
    <w:rsid w:val="00732361"/>
    <w:rsid w:val="0073418B"/>
    <w:rsid w:val="00734D3C"/>
    <w:rsid w:val="007357B9"/>
    <w:rsid w:val="00736472"/>
    <w:rsid w:val="00736E5C"/>
    <w:rsid w:val="00741AB9"/>
    <w:rsid w:val="00742D03"/>
    <w:rsid w:val="00744216"/>
    <w:rsid w:val="007452E8"/>
    <w:rsid w:val="00746990"/>
    <w:rsid w:val="00747093"/>
    <w:rsid w:val="00750D70"/>
    <w:rsid w:val="00756210"/>
    <w:rsid w:val="007575D0"/>
    <w:rsid w:val="0076064C"/>
    <w:rsid w:val="00760FF1"/>
    <w:rsid w:val="007662E0"/>
    <w:rsid w:val="00772EFC"/>
    <w:rsid w:val="00773400"/>
    <w:rsid w:val="00776E9C"/>
    <w:rsid w:val="00780EDC"/>
    <w:rsid w:val="007816D8"/>
    <w:rsid w:val="007822A1"/>
    <w:rsid w:val="00783216"/>
    <w:rsid w:val="00784150"/>
    <w:rsid w:val="007853B8"/>
    <w:rsid w:val="0078716C"/>
    <w:rsid w:val="00793272"/>
    <w:rsid w:val="0079499A"/>
    <w:rsid w:val="00794B64"/>
    <w:rsid w:val="007967C3"/>
    <w:rsid w:val="007A0A33"/>
    <w:rsid w:val="007A5F27"/>
    <w:rsid w:val="007B020C"/>
    <w:rsid w:val="007B04DE"/>
    <w:rsid w:val="007B0AE6"/>
    <w:rsid w:val="007B6EE2"/>
    <w:rsid w:val="007C0F0B"/>
    <w:rsid w:val="007C153A"/>
    <w:rsid w:val="007C57BC"/>
    <w:rsid w:val="007C7C18"/>
    <w:rsid w:val="007D04CA"/>
    <w:rsid w:val="007D0A2B"/>
    <w:rsid w:val="007D12A1"/>
    <w:rsid w:val="007D3694"/>
    <w:rsid w:val="007D40E5"/>
    <w:rsid w:val="007D4138"/>
    <w:rsid w:val="007E4178"/>
    <w:rsid w:val="007E50E2"/>
    <w:rsid w:val="007E6443"/>
    <w:rsid w:val="007F028E"/>
    <w:rsid w:val="007F0A77"/>
    <w:rsid w:val="007F1E37"/>
    <w:rsid w:val="007F50D3"/>
    <w:rsid w:val="007F6B1F"/>
    <w:rsid w:val="008013F0"/>
    <w:rsid w:val="00802B51"/>
    <w:rsid w:val="00803926"/>
    <w:rsid w:val="00804897"/>
    <w:rsid w:val="008139E6"/>
    <w:rsid w:val="00813D32"/>
    <w:rsid w:val="00824E93"/>
    <w:rsid w:val="008329DB"/>
    <w:rsid w:val="00832BC7"/>
    <w:rsid w:val="008350B3"/>
    <w:rsid w:val="008361C5"/>
    <w:rsid w:val="0083628F"/>
    <w:rsid w:val="00837AB9"/>
    <w:rsid w:val="00850637"/>
    <w:rsid w:val="00854D98"/>
    <w:rsid w:val="008565C8"/>
    <w:rsid w:val="00857361"/>
    <w:rsid w:val="0085751E"/>
    <w:rsid w:val="00860B29"/>
    <w:rsid w:val="00861F13"/>
    <w:rsid w:val="008622E8"/>
    <w:rsid w:val="008645EE"/>
    <w:rsid w:val="00870144"/>
    <w:rsid w:val="0087072C"/>
    <w:rsid w:val="00871312"/>
    <w:rsid w:val="00873D7A"/>
    <w:rsid w:val="00877732"/>
    <w:rsid w:val="00877CB3"/>
    <w:rsid w:val="008804CF"/>
    <w:rsid w:val="00882D58"/>
    <w:rsid w:val="00882F19"/>
    <w:rsid w:val="00883D35"/>
    <w:rsid w:val="00884569"/>
    <w:rsid w:val="00884635"/>
    <w:rsid w:val="00887A51"/>
    <w:rsid w:val="0089038A"/>
    <w:rsid w:val="00890D9B"/>
    <w:rsid w:val="00891C6C"/>
    <w:rsid w:val="008928A2"/>
    <w:rsid w:val="00893CCD"/>
    <w:rsid w:val="0089530A"/>
    <w:rsid w:val="008964B3"/>
    <w:rsid w:val="008A67F1"/>
    <w:rsid w:val="008B1CB5"/>
    <w:rsid w:val="008C2D69"/>
    <w:rsid w:val="008C49C6"/>
    <w:rsid w:val="008C718A"/>
    <w:rsid w:val="008C754C"/>
    <w:rsid w:val="008C7954"/>
    <w:rsid w:val="008D56C9"/>
    <w:rsid w:val="008D56CA"/>
    <w:rsid w:val="008D693D"/>
    <w:rsid w:val="008D6A54"/>
    <w:rsid w:val="008E0EF9"/>
    <w:rsid w:val="008E2585"/>
    <w:rsid w:val="008E2D7A"/>
    <w:rsid w:val="008F3215"/>
    <w:rsid w:val="008F4A62"/>
    <w:rsid w:val="008F7256"/>
    <w:rsid w:val="00900A3D"/>
    <w:rsid w:val="009039F5"/>
    <w:rsid w:val="0090424C"/>
    <w:rsid w:val="0090605E"/>
    <w:rsid w:val="00906752"/>
    <w:rsid w:val="00907232"/>
    <w:rsid w:val="009108CE"/>
    <w:rsid w:val="00915A9F"/>
    <w:rsid w:val="0093031E"/>
    <w:rsid w:val="00930D58"/>
    <w:rsid w:val="00935AAA"/>
    <w:rsid w:val="00935B82"/>
    <w:rsid w:val="00936928"/>
    <w:rsid w:val="00940231"/>
    <w:rsid w:val="00946E8A"/>
    <w:rsid w:val="0095031E"/>
    <w:rsid w:val="00953460"/>
    <w:rsid w:val="00954297"/>
    <w:rsid w:val="00960A56"/>
    <w:rsid w:val="00966EF1"/>
    <w:rsid w:val="00967223"/>
    <w:rsid w:val="0097025F"/>
    <w:rsid w:val="00970B0D"/>
    <w:rsid w:val="009751F7"/>
    <w:rsid w:val="00982E7B"/>
    <w:rsid w:val="0098350E"/>
    <w:rsid w:val="00983AA4"/>
    <w:rsid w:val="00990C12"/>
    <w:rsid w:val="00993779"/>
    <w:rsid w:val="0099404F"/>
    <w:rsid w:val="00996FA5"/>
    <w:rsid w:val="009A6CCC"/>
    <w:rsid w:val="009B2534"/>
    <w:rsid w:val="009B40A9"/>
    <w:rsid w:val="009B5662"/>
    <w:rsid w:val="009C09FF"/>
    <w:rsid w:val="009C0A3F"/>
    <w:rsid w:val="009C1E47"/>
    <w:rsid w:val="009C2211"/>
    <w:rsid w:val="009C40E8"/>
    <w:rsid w:val="009C45C5"/>
    <w:rsid w:val="009C5CDC"/>
    <w:rsid w:val="009C7C4A"/>
    <w:rsid w:val="009D1A39"/>
    <w:rsid w:val="009D36E7"/>
    <w:rsid w:val="009D3CE4"/>
    <w:rsid w:val="009E6858"/>
    <w:rsid w:val="009E6D8E"/>
    <w:rsid w:val="009E6F8C"/>
    <w:rsid w:val="009F405F"/>
    <w:rsid w:val="009F5F16"/>
    <w:rsid w:val="00A00169"/>
    <w:rsid w:val="00A01C56"/>
    <w:rsid w:val="00A06933"/>
    <w:rsid w:val="00A13586"/>
    <w:rsid w:val="00A203F4"/>
    <w:rsid w:val="00A32C50"/>
    <w:rsid w:val="00A358E7"/>
    <w:rsid w:val="00A4380B"/>
    <w:rsid w:val="00A452E4"/>
    <w:rsid w:val="00A51A2D"/>
    <w:rsid w:val="00A5596B"/>
    <w:rsid w:val="00A632FA"/>
    <w:rsid w:val="00A63C07"/>
    <w:rsid w:val="00A63D9B"/>
    <w:rsid w:val="00A704DC"/>
    <w:rsid w:val="00A713D5"/>
    <w:rsid w:val="00A74968"/>
    <w:rsid w:val="00A756AF"/>
    <w:rsid w:val="00A77D26"/>
    <w:rsid w:val="00A80F64"/>
    <w:rsid w:val="00A81653"/>
    <w:rsid w:val="00A87E88"/>
    <w:rsid w:val="00A92F02"/>
    <w:rsid w:val="00A93DC6"/>
    <w:rsid w:val="00A9411A"/>
    <w:rsid w:val="00A9496F"/>
    <w:rsid w:val="00AA4A4B"/>
    <w:rsid w:val="00AA6682"/>
    <w:rsid w:val="00AA7003"/>
    <w:rsid w:val="00AA7396"/>
    <w:rsid w:val="00AB0613"/>
    <w:rsid w:val="00AB4D59"/>
    <w:rsid w:val="00AB5A4A"/>
    <w:rsid w:val="00AB7C5C"/>
    <w:rsid w:val="00AB7CBF"/>
    <w:rsid w:val="00AC605C"/>
    <w:rsid w:val="00AD0111"/>
    <w:rsid w:val="00AD0B68"/>
    <w:rsid w:val="00AD4C72"/>
    <w:rsid w:val="00AD5451"/>
    <w:rsid w:val="00AD5802"/>
    <w:rsid w:val="00AE1112"/>
    <w:rsid w:val="00AE1947"/>
    <w:rsid w:val="00AE3C9A"/>
    <w:rsid w:val="00AF1C8B"/>
    <w:rsid w:val="00AF299B"/>
    <w:rsid w:val="00AF6865"/>
    <w:rsid w:val="00AF7E43"/>
    <w:rsid w:val="00B02AE0"/>
    <w:rsid w:val="00B035BA"/>
    <w:rsid w:val="00B03F25"/>
    <w:rsid w:val="00B05326"/>
    <w:rsid w:val="00B10DCB"/>
    <w:rsid w:val="00B14545"/>
    <w:rsid w:val="00B14E60"/>
    <w:rsid w:val="00B179A1"/>
    <w:rsid w:val="00B17BA2"/>
    <w:rsid w:val="00B269FE"/>
    <w:rsid w:val="00B26DC3"/>
    <w:rsid w:val="00B271C0"/>
    <w:rsid w:val="00B27E5F"/>
    <w:rsid w:val="00B302B9"/>
    <w:rsid w:val="00B30B9D"/>
    <w:rsid w:val="00B313E1"/>
    <w:rsid w:val="00B4574D"/>
    <w:rsid w:val="00B468E1"/>
    <w:rsid w:val="00B46BC0"/>
    <w:rsid w:val="00B46DFB"/>
    <w:rsid w:val="00B5141B"/>
    <w:rsid w:val="00B535F8"/>
    <w:rsid w:val="00B54394"/>
    <w:rsid w:val="00B5445E"/>
    <w:rsid w:val="00B549BF"/>
    <w:rsid w:val="00B55681"/>
    <w:rsid w:val="00B57AAD"/>
    <w:rsid w:val="00B60CF6"/>
    <w:rsid w:val="00B6374E"/>
    <w:rsid w:val="00B72B16"/>
    <w:rsid w:val="00B80408"/>
    <w:rsid w:val="00B81397"/>
    <w:rsid w:val="00B92554"/>
    <w:rsid w:val="00B925DB"/>
    <w:rsid w:val="00B967FF"/>
    <w:rsid w:val="00B974B9"/>
    <w:rsid w:val="00BA3F6D"/>
    <w:rsid w:val="00BA4BE6"/>
    <w:rsid w:val="00BA4FC0"/>
    <w:rsid w:val="00BA531F"/>
    <w:rsid w:val="00BA61E0"/>
    <w:rsid w:val="00BA657C"/>
    <w:rsid w:val="00BA6909"/>
    <w:rsid w:val="00BA7E42"/>
    <w:rsid w:val="00BA7F7D"/>
    <w:rsid w:val="00BB1C14"/>
    <w:rsid w:val="00BB25A3"/>
    <w:rsid w:val="00BB6847"/>
    <w:rsid w:val="00BB7F8F"/>
    <w:rsid w:val="00BC0920"/>
    <w:rsid w:val="00BC30AE"/>
    <w:rsid w:val="00BC5C31"/>
    <w:rsid w:val="00BC716A"/>
    <w:rsid w:val="00BD07DF"/>
    <w:rsid w:val="00BD0BB7"/>
    <w:rsid w:val="00BD1E82"/>
    <w:rsid w:val="00BD26F4"/>
    <w:rsid w:val="00BD39D3"/>
    <w:rsid w:val="00BD3C90"/>
    <w:rsid w:val="00BD5DBD"/>
    <w:rsid w:val="00BD5DF6"/>
    <w:rsid w:val="00BE0041"/>
    <w:rsid w:val="00BE270E"/>
    <w:rsid w:val="00BE2B3E"/>
    <w:rsid w:val="00BE640F"/>
    <w:rsid w:val="00BE68DB"/>
    <w:rsid w:val="00BE6D2A"/>
    <w:rsid w:val="00BE77E1"/>
    <w:rsid w:val="00BF25D5"/>
    <w:rsid w:val="00BF4446"/>
    <w:rsid w:val="00BF4638"/>
    <w:rsid w:val="00BF46DC"/>
    <w:rsid w:val="00BF5130"/>
    <w:rsid w:val="00BF5761"/>
    <w:rsid w:val="00C00844"/>
    <w:rsid w:val="00C00B29"/>
    <w:rsid w:val="00C057AF"/>
    <w:rsid w:val="00C059D0"/>
    <w:rsid w:val="00C07242"/>
    <w:rsid w:val="00C07551"/>
    <w:rsid w:val="00C1109F"/>
    <w:rsid w:val="00C11BA3"/>
    <w:rsid w:val="00C123C5"/>
    <w:rsid w:val="00C12D65"/>
    <w:rsid w:val="00C133AB"/>
    <w:rsid w:val="00C17759"/>
    <w:rsid w:val="00C20B56"/>
    <w:rsid w:val="00C22214"/>
    <w:rsid w:val="00C2494B"/>
    <w:rsid w:val="00C26F72"/>
    <w:rsid w:val="00C309A7"/>
    <w:rsid w:val="00C335AB"/>
    <w:rsid w:val="00C407AB"/>
    <w:rsid w:val="00C46ECF"/>
    <w:rsid w:val="00C52B3A"/>
    <w:rsid w:val="00C52B7B"/>
    <w:rsid w:val="00C547CD"/>
    <w:rsid w:val="00C570FF"/>
    <w:rsid w:val="00C57CEA"/>
    <w:rsid w:val="00C60FEC"/>
    <w:rsid w:val="00C61C01"/>
    <w:rsid w:val="00C61D69"/>
    <w:rsid w:val="00C62A09"/>
    <w:rsid w:val="00C62B1C"/>
    <w:rsid w:val="00C6574E"/>
    <w:rsid w:val="00C663D1"/>
    <w:rsid w:val="00C665D9"/>
    <w:rsid w:val="00C707FD"/>
    <w:rsid w:val="00C76DEB"/>
    <w:rsid w:val="00C77B19"/>
    <w:rsid w:val="00C816C6"/>
    <w:rsid w:val="00C821B9"/>
    <w:rsid w:val="00C8405E"/>
    <w:rsid w:val="00C863A7"/>
    <w:rsid w:val="00C912F4"/>
    <w:rsid w:val="00C9156F"/>
    <w:rsid w:val="00C9581A"/>
    <w:rsid w:val="00C96AC5"/>
    <w:rsid w:val="00C97D29"/>
    <w:rsid w:val="00CA449C"/>
    <w:rsid w:val="00CA5271"/>
    <w:rsid w:val="00CB0550"/>
    <w:rsid w:val="00CB6813"/>
    <w:rsid w:val="00CE7335"/>
    <w:rsid w:val="00CF6A55"/>
    <w:rsid w:val="00CF6DC6"/>
    <w:rsid w:val="00CF6DCF"/>
    <w:rsid w:val="00D01979"/>
    <w:rsid w:val="00D01DDB"/>
    <w:rsid w:val="00D05E30"/>
    <w:rsid w:val="00D0692F"/>
    <w:rsid w:val="00D069D7"/>
    <w:rsid w:val="00D078BE"/>
    <w:rsid w:val="00D126EF"/>
    <w:rsid w:val="00D13F8A"/>
    <w:rsid w:val="00D16F60"/>
    <w:rsid w:val="00D21F24"/>
    <w:rsid w:val="00D22981"/>
    <w:rsid w:val="00D23D3E"/>
    <w:rsid w:val="00D2768A"/>
    <w:rsid w:val="00D3349B"/>
    <w:rsid w:val="00D34862"/>
    <w:rsid w:val="00D424A8"/>
    <w:rsid w:val="00D6036F"/>
    <w:rsid w:val="00D62877"/>
    <w:rsid w:val="00D62B19"/>
    <w:rsid w:val="00D63760"/>
    <w:rsid w:val="00D64CD2"/>
    <w:rsid w:val="00D6703F"/>
    <w:rsid w:val="00D734EB"/>
    <w:rsid w:val="00D82713"/>
    <w:rsid w:val="00D8506B"/>
    <w:rsid w:val="00D86F00"/>
    <w:rsid w:val="00D918D5"/>
    <w:rsid w:val="00D93E90"/>
    <w:rsid w:val="00D94290"/>
    <w:rsid w:val="00D94C8E"/>
    <w:rsid w:val="00DA4A19"/>
    <w:rsid w:val="00DB1372"/>
    <w:rsid w:val="00DB192C"/>
    <w:rsid w:val="00DB1CF3"/>
    <w:rsid w:val="00DB5425"/>
    <w:rsid w:val="00DB630D"/>
    <w:rsid w:val="00DB72A6"/>
    <w:rsid w:val="00DC6611"/>
    <w:rsid w:val="00DD5AFB"/>
    <w:rsid w:val="00DD7DA1"/>
    <w:rsid w:val="00DD7E46"/>
    <w:rsid w:val="00DE1344"/>
    <w:rsid w:val="00DE4F22"/>
    <w:rsid w:val="00DE6C69"/>
    <w:rsid w:val="00DF1443"/>
    <w:rsid w:val="00DF25B7"/>
    <w:rsid w:val="00DF5BFE"/>
    <w:rsid w:val="00DF6EC5"/>
    <w:rsid w:val="00E02FF1"/>
    <w:rsid w:val="00E032E1"/>
    <w:rsid w:val="00E0523F"/>
    <w:rsid w:val="00E22701"/>
    <w:rsid w:val="00E232B2"/>
    <w:rsid w:val="00E23E50"/>
    <w:rsid w:val="00E26213"/>
    <w:rsid w:val="00E274DF"/>
    <w:rsid w:val="00E34D66"/>
    <w:rsid w:val="00E362C4"/>
    <w:rsid w:val="00E44022"/>
    <w:rsid w:val="00E46CC2"/>
    <w:rsid w:val="00E473C7"/>
    <w:rsid w:val="00E47E0C"/>
    <w:rsid w:val="00E51813"/>
    <w:rsid w:val="00E52C0B"/>
    <w:rsid w:val="00E53D3F"/>
    <w:rsid w:val="00E5579B"/>
    <w:rsid w:val="00E57FF4"/>
    <w:rsid w:val="00E66FC4"/>
    <w:rsid w:val="00E679D1"/>
    <w:rsid w:val="00E67C1C"/>
    <w:rsid w:val="00E80908"/>
    <w:rsid w:val="00E918F0"/>
    <w:rsid w:val="00E91F11"/>
    <w:rsid w:val="00E920BB"/>
    <w:rsid w:val="00E9318A"/>
    <w:rsid w:val="00E9706D"/>
    <w:rsid w:val="00EA2929"/>
    <w:rsid w:val="00EA3AF4"/>
    <w:rsid w:val="00EA456F"/>
    <w:rsid w:val="00EA6592"/>
    <w:rsid w:val="00EB0EBE"/>
    <w:rsid w:val="00EC51A9"/>
    <w:rsid w:val="00ED093F"/>
    <w:rsid w:val="00EE4B01"/>
    <w:rsid w:val="00EE7F95"/>
    <w:rsid w:val="00EF30C5"/>
    <w:rsid w:val="00EF3F0B"/>
    <w:rsid w:val="00EF49EF"/>
    <w:rsid w:val="00EF5583"/>
    <w:rsid w:val="00F008F8"/>
    <w:rsid w:val="00F0289D"/>
    <w:rsid w:val="00F02AEC"/>
    <w:rsid w:val="00F05772"/>
    <w:rsid w:val="00F07572"/>
    <w:rsid w:val="00F07957"/>
    <w:rsid w:val="00F11564"/>
    <w:rsid w:val="00F157FC"/>
    <w:rsid w:val="00F165B2"/>
    <w:rsid w:val="00F167A9"/>
    <w:rsid w:val="00F23FF6"/>
    <w:rsid w:val="00F30AF3"/>
    <w:rsid w:val="00F35456"/>
    <w:rsid w:val="00F40BB4"/>
    <w:rsid w:val="00F43CD1"/>
    <w:rsid w:val="00F45AE0"/>
    <w:rsid w:val="00F50B59"/>
    <w:rsid w:val="00F520F3"/>
    <w:rsid w:val="00F52D93"/>
    <w:rsid w:val="00F54BCC"/>
    <w:rsid w:val="00F5794B"/>
    <w:rsid w:val="00F60CF2"/>
    <w:rsid w:val="00F61DB3"/>
    <w:rsid w:val="00F637FA"/>
    <w:rsid w:val="00F657B4"/>
    <w:rsid w:val="00F7100D"/>
    <w:rsid w:val="00F71064"/>
    <w:rsid w:val="00F71E38"/>
    <w:rsid w:val="00F74561"/>
    <w:rsid w:val="00F7649F"/>
    <w:rsid w:val="00F8083B"/>
    <w:rsid w:val="00F82D1B"/>
    <w:rsid w:val="00F83B67"/>
    <w:rsid w:val="00F8568E"/>
    <w:rsid w:val="00F865A7"/>
    <w:rsid w:val="00FA0754"/>
    <w:rsid w:val="00FA1BC9"/>
    <w:rsid w:val="00FA1C1E"/>
    <w:rsid w:val="00FA49C3"/>
    <w:rsid w:val="00FB236E"/>
    <w:rsid w:val="00FB3F7B"/>
    <w:rsid w:val="00FB4C2A"/>
    <w:rsid w:val="00FC2107"/>
    <w:rsid w:val="00FC34D4"/>
    <w:rsid w:val="00FC48FE"/>
    <w:rsid w:val="00FC6F56"/>
    <w:rsid w:val="00FD0797"/>
    <w:rsid w:val="00FD3AB7"/>
    <w:rsid w:val="00FD5824"/>
    <w:rsid w:val="00FE087C"/>
    <w:rsid w:val="00FE4C41"/>
    <w:rsid w:val="00FE79A0"/>
    <w:rsid w:val="00FF0939"/>
    <w:rsid w:val="07562601"/>
    <w:rsid w:val="11B2F351"/>
    <w:rsid w:val="161C9A68"/>
    <w:rsid w:val="2015DD50"/>
    <w:rsid w:val="254BA1EA"/>
    <w:rsid w:val="256BCBCC"/>
    <w:rsid w:val="3BB72CBC"/>
    <w:rsid w:val="3CD641A9"/>
    <w:rsid w:val="4279707F"/>
    <w:rsid w:val="56B5567D"/>
    <w:rsid w:val="6B50F42A"/>
    <w:rsid w:val="7AB1D57B"/>
    <w:rsid w:val="7E60E3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A4A"/>
    <w:rPr>
      <w:rFonts w:ascii="Cambria" w:hAnsi="Cambria"/>
      <w:sz w:val="22"/>
    </w:rPr>
  </w:style>
  <w:style w:type="paragraph" w:styleId="Heading1">
    <w:name w:val="heading 1"/>
    <w:basedOn w:val="Normal"/>
    <w:next w:val="Normal"/>
    <w:link w:val="Heading1Char"/>
    <w:uiPriority w:val="9"/>
    <w:qFormat/>
    <w:rsid w:val="00D0197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456362"/>
    <w:pPr>
      <w:keepNext/>
      <w:keepLines/>
      <w:spacing w:before="240" w:line="240" w:lineRule="atLeast"/>
      <w:outlineLvl w:val="4"/>
    </w:pPr>
    <w:rPr>
      <w:rFonts w:ascii="Arial" w:eastAsia="Times New Roman" w:hAnsi="Arial" w:cs="Times New Roman"/>
      <w:b/>
      <w:bCs/>
      <w:i/>
      <w:color w:val="001871"/>
      <w:sz w:val="24"/>
      <w:szCs w:val="26"/>
    </w:rPr>
  </w:style>
  <w:style w:type="paragraph" w:styleId="Heading6">
    <w:name w:val="heading 6"/>
    <w:basedOn w:val="Normal"/>
    <w:next w:val="Normal"/>
    <w:link w:val="Heading6Char"/>
    <w:uiPriority w:val="9"/>
    <w:rsid w:val="00456362"/>
    <w:pPr>
      <w:keepNext/>
      <w:keepLines/>
      <w:spacing w:before="240" w:line="240" w:lineRule="atLeast"/>
      <w:outlineLvl w:val="5"/>
    </w:pPr>
    <w:rPr>
      <w:rFonts w:ascii="Arial" w:eastAsia="Times New Roman" w:hAnsi="Arial" w:cs="Times New Roman"/>
      <w:b/>
      <w:bCs/>
      <w:i/>
      <w:color w:val="001871"/>
      <w:sz w:val="20"/>
      <w:szCs w:val="21"/>
    </w:rPr>
  </w:style>
  <w:style w:type="paragraph" w:styleId="Heading7">
    <w:name w:val="heading 7"/>
    <w:basedOn w:val="Normal"/>
    <w:next w:val="Normal"/>
    <w:link w:val="Heading7Char"/>
    <w:uiPriority w:val="9"/>
    <w:unhideWhenUsed/>
    <w:qFormat/>
    <w:rsid w:val="000B7440"/>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456362"/>
    <w:rPr>
      <w:rFonts w:ascii="Arial" w:eastAsia="Times New Roman" w:hAnsi="Arial" w:cs="Times New Roman"/>
      <w:b/>
      <w:bCs/>
      <w:i/>
      <w:color w:val="001871"/>
      <w:sz w:val="24"/>
      <w:szCs w:val="26"/>
    </w:rPr>
  </w:style>
  <w:style w:type="character" w:customStyle="1" w:styleId="Heading6Char">
    <w:name w:val="Heading 6 Char"/>
    <w:basedOn w:val="DefaultParagraphFont"/>
    <w:link w:val="Heading6"/>
    <w:uiPriority w:val="9"/>
    <w:rsid w:val="00456362"/>
    <w:rPr>
      <w:rFonts w:ascii="Arial" w:eastAsia="Times New Roman" w:hAnsi="Arial" w:cs="Times New Roman"/>
      <w:b/>
      <w:bCs/>
      <w:i/>
      <w:color w:val="001871"/>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E9318A"/>
    <w:pPr>
      <w:spacing w:line="240" w:lineRule="auto"/>
      <w:contextualSpacing/>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character" w:customStyle="1" w:styleId="Heading1Char">
    <w:name w:val="Heading 1 Char"/>
    <w:basedOn w:val="DefaultParagraphFont"/>
    <w:link w:val="Heading1"/>
    <w:uiPriority w:val="9"/>
    <w:rsid w:val="00D01979"/>
    <w:rPr>
      <w:rFonts w:asciiTheme="majorHAnsi" w:eastAsiaTheme="majorEastAsia" w:hAnsiTheme="majorHAnsi" w:cstheme="majorBidi"/>
      <w:color w:val="2F5496" w:themeColor="accent1" w:themeShade="BF"/>
      <w:sz w:val="32"/>
      <w:szCs w:val="32"/>
    </w:rPr>
  </w:style>
  <w:style w:type="paragraph" w:customStyle="1" w:styleId="TableParagraph">
    <w:name w:val="Table Paragraph"/>
    <w:basedOn w:val="Normal"/>
    <w:uiPriority w:val="1"/>
    <w:qFormat/>
    <w:rsid w:val="00552CE3"/>
    <w:pPr>
      <w:widowControl w:val="0"/>
      <w:autoSpaceDE w:val="0"/>
      <w:autoSpaceDN w:val="0"/>
      <w:spacing w:before="119" w:after="0" w:line="240" w:lineRule="auto"/>
      <w:ind w:left="107"/>
    </w:pPr>
    <w:rPr>
      <w:rFonts w:eastAsia="Cambria" w:cs="Cambria"/>
      <w:szCs w:val="22"/>
      <w:lang w:val="en-US"/>
    </w:rPr>
  </w:style>
  <w:style w:type="paragraph" w:styleId="BodyText">
    <w:name w:val="Body Text"/>
    <w:basedOn w:val="Normal"/>
    <w:link w:val="BodyTextChar"/>
    <w:uiPriority w:val="1"/>
    <w:qFormat/>
    <w:rsid w:val="009C7C4A"/>
    <w:pPr>
      <w:widowControl w:val="0"/>
      <w:autoSpaceDE w:val="0"/>
      <w:autoSpaceDN w:val="0"/>
      <w:spacing w:after="0" w:line="240" w:lineRule="auto"/>
    </w:pPr>
    <w:rPr>
      <w:rFonts w:eastAsia="Cambria" w:cs="Cambria"/>
      <w:szCs w:val="22"/>
      <w:lang w:val="en-US"/>
    </w:rPr>
  </w:style>
  <w:style w:type="character" w:customStyle="1" w:styleId="BodyTextChar">
    <w:name w:val="Body Text Char"/>
    <w:basedOn w:val="DefaultParagraphFont"/>
    <w:link w:val="BodyText"/>
    <w:uiPriority w:val="1"/>
    <w:rsid w:val="009C7C4A"/>
    <w:rPr>
      <w:rFonts w:ascii="Cambria" w:eastAsia="Cambria" w:hAnsi="Cambria" w:cs="Cambria"/>
      <w:sz w:val="22"/>
      <w:szCs w:val="22"/>
      <w:lang w:val="en-US"/>
    </w:rPr>
  </w:style>
  <w:style w:type="paragraph" w:customStyle="1" w:styleId="Tabletext0">
    <w:name w:val="Table text"/>
    <w:basedOn w:val="Normal"/>
    <w:link w:val="TabletextChar"/>
    <w:qFormat/>
    <w:rsid w:val="00D126EF"/>
    <w:pPr>
      <w:spacing w:before="20" w:after="20" w:line="252" w:lineRule="auto"/>
    </w:pPr>
    <w:rPr>
      <w:rFonts w:eastAsia="Times New Roman" w:cs="Times New Roman"/>
      <w:snapToGrid w:val="0"/>
      <w:kern w:val="16"/>
      <w:sz w:val="20"/>
      <w:szCs w:val="24"/>
    </w:rPr>
  </w:style>
  <w:style w:type="character" w:customStyle="1" w:styleId="TabletextChar">
    <w:name w:val="Table text Char"/>
    <w:basedOn w:val="DefaultParagraphFont"/>
    <w:link w:val="Tabletext0"/>
    <w:rsid w:val="00D126EF"/>
    <w:rPr>
      <w:rFonts w:ascii="Cambria" w:eastAsia="Times New Roman" w:hAnsi="Cambria" w:cs="Times New Roman"/>
      <w:snapToGrid w:val="0"/>
      <w:kern w:val="16"/>
      <w:szCs w:val="24"/>
    </w:rPr>
  </w:style>
  <w:style w:type="character" w:customStyle="1" w:styleId="Heading7Char">
    <w:name w:val="Heading 7 Char"/>
    <w:basedOn w:val="DefaultParagraphFont"/>
    <w:link w:val="Heading7"/>
    <w:uiPriority w:val="9"/>
    <w:rsid w:val="000B7440"/>
    <w:rPr>
      <w:rFonts w:asciiTheme="majorHAnsi" w:eastAsiaTheme="majorEastAsia" w:hAnsiTheme="majorHAnsi" w:cstheme="majorBidi"/>
      <w:i/>
      <w:iCs/>
      <w:color w:val="1F3763" w:themeColor="accent1" w:themeShade="7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772557">
      <w:bodyDiv w:val="1"/>
      <w:marLeft w:val="0"/>
      <w:marRight w:val="0"/>
      <w:marTop w:val="0"/>
      <w:marBottom w:val="0"/>
      <w:divBdr>
        <w:top w:val="none" w:sz="0" w:space="0" w:color="auto"/>
        <w:left w:val="none" w:sz="0" w:space="0" w:color="auto"/>
        <w:bottom w:val="none" w:sz="0" w:space="0" w:color="auto"/>
        <w:right w:val="none" w:sz="0" w:space="0" w:color="auto"/>
      </w:divBdr>
      <w:divsChild>
        <w:div w:id="1790006723">
          <w:marLeft w:val="0"/>
          <w:marRight w:val="0"/>
          <w:marTop w:val="0"/>
          <w:marBottom w:val="0"/>
          <w:divBdr>
            <w:top w:val="none" w:sz="0" w:space="0" w:color="auto"/>
            <w:left w:val="none" w:sz="0" w:space="0" w:color="auto"/>
            <w:bottom w:val="none" w:sz="0" w:space="0" w:color="auto"/>
            <w:right w:val="none" w:sz="0" w:space="0" w:color="auto"/>
          </w:divBdr>
          <w:divsChild>
            <w:div w:id="67970974">
              <w:marLeft w:val="0"/>
              <w:marRight w:val="0"/>
              <w:marTop w:val="0"/>
              <w:marBottom w:val="0"/>
              <w:divBdr>
                <w:top w:val="none" w:sz="0" w:space="0" w:color="auto"/>
                <w:left w:val="none" w:sz="0" w:space="0" w:color="auto"/>
                <w:bottom w:val="none" w:sz="0" w:space="0" w:color="auto"/>
                <w:right w:val="none" w:sz="0" w:space="0" w:color="auto"/>
              </w:divBdr>
              <w:divsChild>
                <w:div w:id="1725713627">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 w:id="485557532">
      <w:bodyDiv w:val="1"/>
      <w:marLeft w:val="0"/>
      <w:marRight w:val="0"/>
      <w:marTop w:val="0"/>
      <w:marBottom w:val="0"/>
      <w:divBdr>
        <w:top w:val="none" w:sz="0" w:space="0" w:color="auto"/>
        <w:left w:val="none" w:sz="0" w:space="0" w:color="auto"/>
        <w:bottom w:val="none" w:sz="0" w:space="0" w:color="auto"/>
        <w:right w:val="none" w:sz="0" w:space="0" w:color="auto"/>
      </w:divBdr>
      <w:divsChild>
        <w:div w:id="1920171234">
          <w:marLeft w:val="0"/>
          <w:marRight w:val="0"/>
          <w:marTop w:val="0"/>
          <w:marBottom w:val="0"/>
          <w:divBdr>
            <w:top w:val="none" w:sz="0" w:space="0" w:color="auto"/>
            <w:left w:val="none" w:sz="0" w:space="0" w:color="auto"/>
            <w:bottom w:val="none" w:sz="0" w:space="0" w:color="auto"/>
            <w:right w:val="none" w:sz="0" w:space="0" w:color="auto"/>
          </w:divBdr>
        </w:div>
      </w:divsChild>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044135141">
      <w:bodyDiv w:val="1"/>
      <w:marLeft w:val="0"/>
      <w:marRight w:val="0"/>
      <w:marTop w:val="0"/>
      <w:marBottom w:val="0"/>
      <w:divBdr>
        <w:top w:val="none" w:sz="0" w:space="0" w:color="auto"/>
        <w:left w:val="none" w:sz="0" w:space="0" w:color="auto"/>
        <w:bottom w:val="none" w:sz="0" w:space="0" w:color="auto"/>
        <w:right w:val="none" w:sz="0" w:space="0" w:color="auto"/>
      </w:divBdr>
      <w:divsChild>
        <w:div w:id="1033968484">
          <w:marLeft w:val="0"/>
          <w:marRight w:val="0"/>
          <w:marTop w:val="0"/>
          <w:marBottom w:val="0"/>
          <w:divBdr>
            <w:top w:val="none" w:sz="0" w:space="0" w:color="auto"/>
            <w:left w:val="none" w:sz="0" w:space="0" w:color="auto"/>
            <w:bottom w:val="none" w:sz="0" w:space="0" w:color="auto"/>
            <w:right w:val="none" w:sz="0" w:space="0" w:color="auto"/>
          </w:divBdr>
        </w:div>
      </w:divsChild>
    </w:div>
    <w:div w:id="1057316201">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369067408">
      <w:bodyDiv w:val="1"/>
      <w:marLeft w:val="0"/>
      <w:marRight w:val="0"/>
      <w:marTop w:val="0"/>
      <w:marBottom w:val="0"/>
      <w:divBdr>
        <w:top w:val="none" w:sz="0" w:space="0" w:color="auto"/>
        <w:left w:val="none" w:sz="0" w:space="0" w:color="auto"/>
        <w:bottom w:val="none" w:sz="0" w:space="0" w:color="auto"/>
        <w:right w:val="none" w:sz="0" w:space="0" w:color="auto"/>
      </w:divBdr>
      <w:divsChild>
        <w:div w:id="957486721">
          <w:marLeft w:val="0"/>
          <w:marRight w:val="0"/>
          <w:marTop w:val="0"/>
          <w:marBottom w:val="0"/>
          <w:divBdr>
            <w:top w:val="none" w:sz="0" w:space="0" w:color="auto"/>
            <w:left w:val="none" w:sz="0" w:space="0" w:color="auto"/>
            <w:bottom w:val="none" w:sz="0" w:space="0" w:color="auto"/>
            <w:right w:val="none" w:sz="0" w:space="0" w:color="auto"/>
          </w:divBdr>
        </w:div>
      </w:divsChild>
    </w:div>
    <w:div w:id="1530875997">
      <w:bodyDiv w:val="1"/>
      <w:marLeft w:val="0"/>
      <w:marRight w:val="0"/>
      <w:marTop w:val="0"/>
      <w:marBottom w:val="0"/>
      <w:divBdr>
        <w:top w:val="none" w:sz="0" w:space="0" w:color="auto"/>
        <w:left w:val="none" w:sz="0" w:space="0" w:color="auto"/>
        <w:bottom w:val="none" w:sz="0" w:space="0" w:color="auto"/>
        <w:right w:val="none" w:sz="0" w:space="0" w:color="auto"/>
      </w:divBdr>
      <w:divsChild>
        <w:div w:id="1910572913">
          <w:marLeft w:val="0"/>
          <w:marRight w:val="0"/>
          <w:marTop w:val="0"/>
          <w:marBottom w:val="0"/>
          <w:divBdr>
            <w:top w:val="none" w:sz="0" w:space="0" w:color="auto"/>
            <w:left w:val="none" w:sz="0" w:space="0" w:color="auto"/>
            <w:bottom w:val="none" w:sz="0" w:space="0" w:color="auto"/>
            <w:right w:val="none" w:sz="0" w:space="0" w:color="auto"/>
          </w:divBdr>
        </w:div>
        <w:div w:id="1974600973">
          <w:marLeft w:val="0"/>
          <w:marRight w:val="0"/>
          <w:marTop w:val="0"/>
          <w:marBottom w:val="0"/>
          <w:divBdr>
            <w:top w:val="single" w:sz="6" w:space="0" w:color="E5E5E5"/>
            <w:left w:val="single" w:sz="6" w:space="0" w:color="E5E5E5"/>
            <w:bottom w:val="single" w:sz="6" w:space="0" w:color="E5E5E5"/>
            <w:right w:val="single" w:sz="6" w:space="0" w:color="E5E5E5"/>
          </w:divBdr>
        </w:div>
        <w:div w:id="1526023358">
          <w:marLeft w:val="0"/>
          <w:marRight w:val="0"/>
          <w:marTop w:val="0"/>
          <w:marBottom w:val="0"/>
          <w:divBdr>
            <w:top w:val="none" w:sz="0" w:space="0" w:color="auto"/>
            <w:left w:val="none" w:sz="0" w:space="0" w:color="auto"/>
            <w:bottom w:val="none" w:sz="0" w:space="0" w:color="auto"/>
            <w:right w:val="none" w:sz="0" w:space="0" w:color="auto"/>
          </w:divBdr>
        </w:div>
      </w:divsChild>
    </w:div>
    <w:div w:id="1550799885">
      <w:bodyDiv w:val="1"/>
      <w:marLeft w:val="0"/>
      <w:marRight w:val="0"/>
      <w:marTop w:val="0"/>
      <w:marBottom w:val="0"/>
      <w:divBdr>
        <w:top w:val="none" w:sz="0" w:space="0" w:color="auto"/>
        <w:left w:val="none" w:sz="0" w:space="0" w:color="auto"/>
        <w:bottom w:val="none" w:sz="0" w:space="0" w:color="auto"/>
        <w:right w:val="none" w:sz="0" w:space="0" w:color="auto"/>
      </w:divBdr>
      <w:divsChild>
        <w:div w:id="206911896">
          <w:marLeft w:val="0"/>
          <w:marRight w:val="0"/>
          <w:marTop w:val="0"/>
          <w:marBottom w:val="0"/>
          <w:divBdr>
            <w:top w:val="none" w:sz="0" w:space="0" w:color="auto"/>
            <w:left w:val="none" w:sz="0" w:space="0" w:color="auto"/>
            <w:bottom w:val="none" w:sz="0" w:space="0" w:color="auto"/>
            <w:right w:val="none" w:sz="0" w:space="0" w:color="auto"/>
          </w:divBdr>
        </w:div>
      </w:divsChild>
    </w:div>
    <w:div w:id="1687516408">
      <w:bodyDiv w:val="1"/>
      <w:marLeft w:val="0"/>
      <w:marRight w:val="0"/>
      <w:marTop w:val="0"/>
      <w:marBottom w:val="0"/>
      <w:divBdr>
        <w:top w:val="none" w:sz="0" w:space="0" w:color="auto"/>
        <w:left w:val="none" w:sz="0" w:space="0" w:color="auto"/>
        <w:bottom w:val="none" w:sz="0" w:space="0" w:color="auto"/>
        <w:right w:val="none" w:sz="0" w:space="0" w:color="auto"/>
      </w:divBdr>
      <w:divsChild>
        <w:div w:id="1874612234">
          <w:marLeft w:val="0"/>
          <w:marRight w:val="0"/>
          <w:marTop w:val="0"/>
          <w:marBottom w:val="0"/>
          <w:divBdr>
            <w:top w:val="none" w:sz="0" w:space="0" w:color="auto"/>
            <w:left w:val="none" w:sz="0" w:space="0" w:color="auto"/>
            <w:bottom w:val="none" w:sz="0" w:space="0" w:color="auto"/>
            <w:right w:val="none" w:sz="0" w:space="0" w:color="auto"/>
          </w:divBdr>
        </w:div>
      </w:divsChild>
    </w:div>
    <w:div w:id="1863089803">
      <w:bodyDiv w:val="1"/>
      <w:marLeft w:val="0"/>
      <w:marRight w:val="0"/>
      <w:marTop w:val="0"/>
      <w:marBottom w:val="0"/>
      <w:divBdr>
        <w:top w:val="none" w:sz="0" w:space="0" w:color="auto"/>
        <w:left w:val="none" w:sz="0" w:space="0" w:color="auto"/>
        <w:bottom w:val="none" w:sz="0" w:space="0" w:color="auto"/>
        <w:right w:val="none" w:sz="0" w:space="0" w:color="auto"/>
      </w:divBdr>
      <w:divsChild>
        <w:div w:id="1736851224">
          <w:marLeft w:val="0"/>
          <w:marRight w:val="0"/>
          <w:marTop w:val="0"/>
          <w:marBottom w:val="0"/>
          <w:divBdr>
            <w:top w:val="none" w:sz="0" w:space="0" w:color="auto"/>
            <w:left w:val="none" w:sz="0" w:space="0" w:color="auto"/>
            <w:bottom w:val="none" w:sz="0" w:space="0" w:color="auto"/>
            <w:right w:val="none" w:sz="0" w:space="0" w:color="auto"/>
          </w:divBdr>
        </w:div>
      </w:divsChild>
    </w:div>
    <w:div w:id="1918325465">
      <w:bodyDiv w:val="1"/>
      <w:marLeft w:val="0"/>
      <w:marRight w:val="0"/>
      <w:marTop w:val="0"/>
      <w:marBottom w:val="0"/>
      <w:divBdr>
        <w:top w:val="none" w:sz="0" w:space="0" w:color="auto"/>
        <w:left w:val="none" w:sz="0" w:space="0" w:color="auto"/>
        <w:bottom w:val="none" w:sz="0" w:space="0" w:color="auto"/>
        <w:right w:val="none" w:sz="0" w:space="0" w:color="auto"/>
      </w:divBdr>
      <w:divsChild>
        <w:div w:id="360790289">
          <w:marLeft w:val="0"/>
          <w:marRight w:val="0"/>
          <w:marTop w:val="0"/>
          <w:marBottom w:val="0"/>
          <w:divBdr>
            <w:top w:val="none" w:sz="0" w:space="0" w:color="auto"/>
            <w:left w:val="none" w:sz="0" w:space="0" w:color="auto"/>
            <w:bottom w:val="none" w:sz="0" w:space="0" w:color="auto"/>
            <w:right w:val="none" w:sz="0" w:space="0" w:color="auto"/>
          </w:divBdr>
        </w:div>
      </w:divsChild>
    </w:div>
    <w:div w:id="1924534155">
      <w:bodyDiv w:val="1"/>
      <w:marLeft w:val="0"/>
      <w:marRight w:val="0"/>
      <w:marTop w:val="0"/>
      <w:marBottom w:val="0"/>
      <w:divBdr>
        <w:top w:val="none" w:sz="0" w:space="0" w:color="auto"/>
        <w:left w:val="none" w:sz="0" w:space="0" w:color="auto"/>
        <w:bottom w:val="none" w:sz="0" w:space="0" w:color="auto"/>
        <w:right w:val="none" w:sz="0" w:space="0" w:color="auto"/>
      </w:divBdr>
      <w:divsChild>
        <w:div w:id="549614671">
          <w:marLeft w:val="0"/>
          <w:marRight w:val="0"/>
          <w:marTop w:val="0"/>
          <w:marBottom w:val="0"/>
          <w:divBdr>
            <w:top w:val="none" w:sz="0" w:space="0" w:color="auto"/>
            <w:left w:val="none" w:sz="0" w:space="0" w:color="auto"/>
            <w:bottom w:val="none" w:sz="0" w:space="0" w:color="auto"/>
            <w:right w:val="none" w:sz="0" w:space="0" w:color="auto"/>
          </w:divBdr>
        </w:div>
      </w:divsChild>
    </w:div>
    <w:div w:id="2083521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tga.gov.au/australian-public-assessment-report-auspar-guidance" TargetMode="External"/><Relationship Id="rId18" Type="http://schemas.openxmlformats.org/officeDocument/2006/relationships/hyperlink" Target="https://www.tga.gov.au/resources/artg/444773" TargetMode="External"/><Relationship Id="rId26" Type="http://schemas.microsoft.com/office/2007/relationships/hdphoto" Target="media/hdphoto2.wdp"/><Relationship Id="rId39" Type="http://schemas.openxmlformats.org/officeDocument/2006/relationships/hyperlink" Target="https://www.ebs.tga.gov.au/" TargetMode="External"/><Relationship Id="rId3" Type="http://schemas.openxmlformats.org/officeDocument/2006/relationships/styles" Target="styles.xml"/><Relationship Id="rId21" Type="http://schemas.openxmlformats.org/officeDocument/2006/relationships/hyperlink" Target="https://www.tga.gov.au/products/medicines/find-information-about-medicine/prescribing-medicines-pregnancy-database" TargetMode="External"/><Relationship Id="rId34" Type="http://schemas.openxmlformats.org/officeDocument/2006/relationships/image" Target="media/image9.png"/><Relationship Id="rId42" Type="http://schemas.openxmlformats.org/officeDocument/2006/relationships/hyperlink" Target="mailto:info@tga.gov.au"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tga.gov.au/" TargetMode="External"/><Relationship Id="rId17" Type="http://schemas.openxmlformats.org/officeDocument/2006/relationships/hyperlink" Target="https://www.tga.gov.au/resources/artg/444772" TargetMode="External"/><Relationship Id="rId25" Type="http://schemas.openxmlformats.org/officeDocument/2006/relationships/image" Target="media/image5.png"/><Relationship Id="rId33" Type="http://schemas.microsoft.com/office/2007/relationships/hdphoto" Target="media/hdphoto3.wdp"/><Relationship Id="rId38" Type="http://schemas.openxmlformats.org/officeDocument/2006/relationships/hyperlink" Target="https://www.tga.gov.au/committee/advisory-committee-medicines-ac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ga.gov.au/resources/artg/444771" TargetMode="External"/><Relationship Id="rId20" Type="http://schemas.openxmlformats.org/officeDocument/2006/relationships/hyperlink" Target="https://www.ebs.tga.gov.au/" TargetMode="External"/><Relationship Id="rId29" Type="http://schemas.openxmlformats.org/officeDocument/2006/relationships/hyperlink" Target="https://www.accessdata.fda.gov/drugsatfda_docs/nda/2024/219008Orig1s000MultidisciplineR.pdf"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hdphoto" Target="media/hdphoto1.wdp"/><Relationship Id="rId32" Type="http://schemas.openxmlformats.org/officeDocument/2006/relationships/image" Target="media/image8.png"/><Relationship Id="rId37" Type="http://schemas.microsoft.com/office/2007/relationships/hdphoto" Target="media/hdphoto5.wdp"/><Relationship Id="rId40" Type="http://schemas.openxmlformats.org/officeDocument/2006/relationships/header" Target="header3.xm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tga.gov.au/resources/artg/444770" TargetMode="External"/><Relationship Id="rId23" Type="http://schemas.openxmlformats.org/officeDocument/2006/relationships/image" Target="media/image4.png"/><Relationship Id="rId28" Type="http://schemas.openxmlformats.org/officeDocument/2006/relationships/hyperlink" Target="https://www.tga.gov.au/project-orbis" TargetMode="External"/><Relationship Id="rId36" Type="http://schemas.openxmlformats.org/officeDocument/2006/relationships/image" Target="media/image10.png"/><Relationship Id="rId10" Type="http://schemas.openxmlformats.org/officeDocument/2006/relationships/header" Target="header2.xml"/><Relationship Id="rId19" Type="http://schemas.openxmlformats.org/officeDocument/2006/relationships/hyperlink" Target="https://www.tga.gov.au/black-triangle-scheme" TargetMode="External"/><Relationship Id="rId31" Type="http://schemas.openxmlformats.org/officeDocument/2006/relationships/image" Target="media/image7.jpeg"/><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hyperlink" Target="https://www.tga.gov.au/obstetric-drug-information-services" TargetMode="External"/><Relationship Id="rId27" Type="http://schemas.openxmlformats.org/officeDocument/2006/relationships/hyperlink" Target="https://www.tga.gov.au/how-we-regulate/supply-therapeutic-good-0/supply-prescription-medicine/application-process/prescription-medicines-registration-process" TargetMode="External"/><Relationship Id="rId30" Type="http://schemas.openxmlformats.org/officeDocument/2006/relationships/image" Target="media/image6.png"/><Relationship Id="rId35" Type="http://schemas.microsoft.com/office/2007/relationships/hdphoto" Target="media/hdphoto4.wdp"/><Relationship Id="rId43" Type="http://schemas.openxmlformats.org/officeDocument/2006/relationships/hyperlink" Target="https://www.tga.gov.a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accessdata.fda.gov/drugsatfda_docs/nda/2024/219008Orig1s000MultidisciplineR.pdf" TargetMode="External"/><Relationship Id="rId1" Type="http://schemas.openxmlformats.org/officeDocument/2006/relationships/hyperlink" Target="https://www.ema.europa.eu/en/ich-s9-non-clinical-evaluation-anticancer-pharmaceuticals-scientific-guideline"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Metadata/LabelInfo.xml><?xml version="1.0" encoding="utf-8"?>
<clbl:labelList xmlns:clbl="http://schemas.microsoft.com/office/2020/mipLabelMetadata">
  <clbl:label id="{3ca48ea3-8c75-4d36-b64f-70604b11fd22}" enabled="1" method="Standard" siteId="{3ac94b33-9135-4821-9502-eafda6592a35}" removed="0"/>
</clbl:labelList>
</file>

<file path=docProps/app.xml><?xml version="1.0" encoding="utf-8"?>
<Properties xmlns="http://schemas.openxmlformats.org/officeDocument/2006/extended-properties" xmlns:vt="http://schemas.openxmlformats.org/officeDocument/2006/docPropsVTypes">
  <Template>Normal.dotm</Template>
  <TotalTime>8</TotalTime>
  <Pages>31</Pages>
  <Words>9098</Words>
  <Characters>51863</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Disability and Ageing</Company>
  <LinksUpToDate>false</LinksUpToDate>
  <CharactersWithSpaces>60840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Lazcluze</dc:title>
  <dc:subject>Prescription medicines</dc:subject>
  <dc:creator>Therapeutic Goods Administration</dc:creator>
  <cp:keywords/>
  <dc:description/>
  <cp:lastModifiedBy>LACK, Janet</cp:lastModifiedBy>
  <cp:revision>3</cp:revision>
  <dcterms:created xsi:type="dcterms:W3CDTF">2025-10-01T01:48:00Z</dcterms:created>
  <dcterms:modified xsi:type="dcterms:W3CDTF">2025-10-01T01:56:00Z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cd3e8b9-ffed-43a8-b7f4-cc2fa0382d36_Enabled">
    <vt:lpwstr>true</vt:lpwstr>
  </property>
  <property fmtid="{D5CDD505-2E9C-101B-9397-08002B2CF9AE}" pid="3" name="MSIP_Label_7cd3e8b9-ffed-43a8-b7f4-cc2fa0382d36_SetDate">
    <vt:lpwstr>2025-09-22T02:17:56Z</vt:lpwstr>
  </property>
  <property fmtid="{D5CDD505-2E9C-101B-9397-08002B2CF9AE}" pid="4" name="MSIP_Label_7cd3e8b9-ffed-43a8-b7f4-cc2fa0382d36_Method">
    <vt:lpwstr>Privileged</vt:lpwstr>
  </property>
  <property fmtid="{D5CDD505-2E9C-101B-9397-08002B2CF9AE}" pid="5" name="MSIP_Label_7cd3e8b9-ffed-43a8-b7f4-cc2fa0382d36_Name">
    <vt:lpwstr>O</vt:lpwstr>
  </property>
  <property fmtid="{D5CDD505-2E9C-101B-9397-08002B2CF9AE}" pid="6" name="MSIP_Label_7cd3e8b9-ffed-43a8-b7f4-cc2fa0382d36_SiteId">
    <vt:lpwstr>34a3929c-73cf-4954-abfe-147dc3517892</vt:lpwstr>
  </property>
  <property fmtid="{D5CDD505-2E9C-101B-9397-08002B2CF9AE}" pid="7" name="MSIP_Label_7cd3e8b9-ffed-43a8-b7f4-cc2fa0382d36_ActionId">
    <vt:lpwstr>f8297a2d-ca47-475d-b4d7-69cca098ea8e</vt:lpwstr>
  </property>
  <property fmtid="{D5CDD505-2E9C-101B-9397-08002B2CF9AE}" pid="8" name="MSIP_Label_7cd3e8b9-ffed-43a8-b7f4-cc2fa0382d36_ContentBits">
    <vt:lpwstr>3</vt:lpwstr>
  </property>
  <property fmtid="{D5CDD505-2E9C-101B-9397-08002B2CF9AE}" pid="9" name="MSIP_Label_7cd3e8b9-ffed-43a8-b7f4-cc2fa0382d36_Tag">
    <vt:lpwstr>10, 0, 1, 1</vt:lpwstr>
  </property>
</Properties>
</file>