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AF" w14:textId="77CA1549" w:rsidR="00AD5070" w:rsidRDefault="00AD5070" w:rsidP="00AD5070">
      <w:pPr>
        <w:pStyle w:val="Title"/>
        <w:jc w:val="left"/>
        <w:rPr>
          <w:rFonts w:ascii="Arial" w:hAnsi="Arial" w:cs="Arial"/>
          <w:sz w:val="36"/>
          <w:szCs w:val="36"/>
        </w:rPr>
      </w:pPr>
      <w:r>
        <w:rPr>
          <w:noProof/>
          <w:lang w:eastAsia="en-AU"/>
        </w:rPr>
        <w:drawing>
          <wp:inline distT="0" distB="0" distL="0" distR="0" wp14:anchorId="1E9F77F3" wp14:editId="66C96471">
            <wp:extent cx="1828800" cy="819150"/>
            <wp:effectExtent l="19050" t="0" r="0" b="0"/>
            <wp:docPr id="391590384" name="Picture 391590384"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1"/>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p w14:paraId="39AFBD26" w14:textId="2613C1D0" w:rsidR="004576A6" w:rsidRPr="00C85EF2" w:rsidRDefault="004576A6" w:rsidP="00AD5070">
      <w:pPr>
        <w:pStyle w:val="Title"/>
        <w:jc w:val="left"/>
        <w:rPr>
          <w:rFonts w:ascii="Arial" w:hAnsi="Arial" w:cs="Arial"/>
          <w:sz w:val="36"/>
          <w:szCs w:val="36"/>
        </w:rPr>
      </w:pPr>
      <w:r w:rsidRPr="00C85EF2">
        <w:rPr>
          <w:rFonts w:ascii="Arial" w:hAnsi="Arial" w:cs="Arial"/>
          <w:sz w:val="36"/>
          <w:szCs w:val="36"/>
        </w:rPr>
        <w:t>AUSTRALIAN PRODUCT INFORMATION</w:t>
      </w:r>
    </w:p>
    <w:p w14:paraId="28C796AE" w14:textId="50CC0DC4" w:rsidR="009921E8" w:rsidRPr="00C85EF2" w:rsidRDefault="001E6AAD" w:rsidP="00AD5070">
      <w:pPr>
        <w:pStyle w:val="Title"/>
        <w:jc w:val="left"/>
        <w:rPr>
          <w:sz w:val="48"/>
          <w:szCs w:val="48"/>
          <w:vertAlign w:val="superscript"/>
        </w:rPr>
      </w:pPr>
      <w:r w:rsidRPr="00C85EF2">
        <w:rPr>
          <w:sz w:val="48"/>
          <w:szCs w:val="48"/>
        </w:rPr>
        <w:t>LAZCLUZE</w:t>
      </w:r>
      <w:r w:rsidR="004576A6" w:rsidRPr="00C85EF2">
        <w:rPr>
          <w:sz w:val="48"/>
          <w:szCs w:val="48"/>
          <w:vertAlign w:val="superscript"/>
        </w:rPr>
        <w:t>®</w:t>
      </w:r>
      <w:r w:rsidR="004576A6" w:rsidRPr="00C85EF2">
        <w:rPr>
          <w:sz w:val="48"/>
          <w:szCs w:val="28"/>
        </w:rPr>
        <w:t xml:space="preserve"> (</w:t>
      </w:r>
      <w:r w:rsidRPr="00C85EF2">
        <w:rPr>
          <w:sz w:val="48"/>
          <w:szCs w:val="28"/>
        </w:rPr>
        <w:t>lazertinib</w:t>
      </w:r>
      <w:r w:rsidR="004576A6" w:rsidRPr="00C85EF2">
        <w:rPr>
          <w:sz w:val="48"/>
          <w:szCs w:val="28"/>
        </w:rPr>
        <w:t>)</w:t>
      </w:r>
    </w:p>
    <w:p w14:paraId="0BEC5D57" w14:textId="2EF86076" w:rsidR="009921E8" w:rsidRPr="00C85EF2" w:rsidRDefault="001E6AAD" w:rsidP="00AD5070">
      <w:pPr>
        <w:pStyle w:val="PIProductInfo"/>
        <w:jc w:val="left"/>
        <w:rPr>
          <w:color w:val="auto"/>
          <w:spacing w:val="-3"/>
          <w:szCs w:val="36"/>
          <w:lang w:val="en-AU"/>
        </w:rPr>
      </w:pPr>
      <w:bookmarkStart w:id="0" w:name="_Hlk50712634"/>
      <w:r w:rsidRPr="00C85EF2">
        <w:rPr>
          <w:color w:val="auto"/>
          <w:szCs w:val="36"/>
          <w:lang w:val="en-AU"/>
        </w:rPr>
        <w:t>Film-coated tablets</w:t>
      </w:r>
      <w:bookmarkEnd w:id="0"/>
    </w:p>
    <w:p w14:paraId="05C59B11" w14:textId="77777777" w:rsidR="009921E8" w:rsidRPr="00C85EF2" w:rsidRDefault="009921E8" w:rsidP="00AD5070">
      <w:pPr>
        <w:rPr>
          <w:rFonts w:ascii="Verdana" w:hAnsi="Verdana"/>
          <w:color w:val="auto"/>
        </w:rPr>
        <w:sectPr w:rsidR="009921E8" w:rsidRPr="00C85EF2" w:rsidSect="00C91434">
          <w:headerReference w:type="default" r:id="rId12"/>
          <w:footerReference w:type="default" r:id="rId13"/>
          <w:footerReference w:type="first" r:id="rId14"/>
          <w:endnotePr>
            <w:numFmt w:val="decimal"/>
          </w:endnotePr>
          <w:type w:val="continuous"/>
          <w:pgSz w:w="11907" w:h="16840" w:code="9"/>
          <w:pgMar w:top="1111" w:right="1134" w:bottom="992" w:left="1134" w:header="283" w:footer="369" w:gutter="0"/>
          <w:pgNumType w:start="1"/>
          <w:cols w:space="720"/>
          <w:noEndnote/>
          <w:docGrid w:linePitch="299"/>
        </w:sectPr>
      </w:pPr>
    </w:p>
    <w:p w14:paraId="5B8167D1" w14:textId="27EEA133" w:rsidR="00003CAC" w:rsidRPr="00C85EF2" w:rsidRDefault="00003CAC" w:rsidP="00AD5070">
      <w:pPr>
        <w:pStyle w:val="Heading1"/>
        <w:jc w:val="left"/>
        <w:rPr>
          <w:color w:val="auto"/>
        </w:rPr>
      </w:pPr>
      <w:r w:rsidRPr="00C85EF2">
        <w:rPr>
          <w:color w:val="auto"/>
        </w:rPr>
        <w:t>NAME OF THE MEDICINE</w:t>
      </w:r>
    </w:p>
    <w:p w14:paraId="0E7897AB" w14:textId="17EB8B3B" w:rsidR="00003CAC" w:rsidRPr="00C85EF2" w:rsidRDefault="001E6AAD" w:rsidP="00AD5070">
      <w:pPr>
        <w:pStyle w:val="BodyText1"/>
        <w:spacing w:after="240"/>
        <w:jc w:val="left"/>
      </w:pPr>
      <w:bookmarkStart w:id="2" w:name="_Hlk506285063"/>
      <w:r w:rsidRPr="00C85EF2">
        <w:t xml:space="preserve">Lazertinib </w:t>
      </w:r>
      <w:r w:rsidR="004C3F62" w:rsidRPr="00C85EF2">
        <w:t>(as mesilate monohydrate)</w:t>
      </w:r>
    </w:p>
    <w:bookmarkEnd w:id="2"/>
    <w:p w14:paraId="435F2D53" w14:textId="7FA216B6" w:rsidR="00003CAC" w:rsidRPr="00C85EF2" w:rsidRDefault="00003CAC" w:rsidP="00AD5070">
      <w:pPr>
        <w:pStyle w:val="Heading1"/>
        <w:spacing w:before="480"/>
        <w:jc w:val="left"/>
        <w:rPr>
          <w:color w:val="auto"/>
        </w:rPr>
      </w:pPr>
      <w:r w:rsidRPr="00C85EF2">
        <w:rPr>
          <w:color w:val="auto"/>
        </w:rPr>
        <w:t>QUALITATIVE AND QUANTITATIVE COMPOSITION</w:t>
      </w:r>
      <w:r w:rsidRPr="00C85EF2" w:rsidDel="00175AE5">
        <w:rPr>
          <w:color w:val="auto"/>
        </w:rPr>
        <w:t xml:space="preserve"> </w:t>
      </w:r>
    </w:p>
    <w:p w14:paraId="18B70FEF" w14:textId="68BDF916" w:rsidR="00F3321A" w:rsidRPr="00C85EF2" w:rsidRDefault="00F3321A" w:rsidP="00AD5070">
      <w:pPr>
        <w:rPr>
          <w:color w:val="auto"/>
          <w:lang w:val="en-US"/>
        </w:rPr>
      </w:pPr>
      <w:bookmarkStart w:id="3" w:name="_Hlk52971147"/>
      <w:r w:rsidRPr="00C85EF2">
        <w:rPr>
          <w:color w:val="auto"/>
          <w:lang w:val="en-US"/>
        </w:rPr>
        <w:t xml:space="preserve">Each </w:t>
      </w:r>
      <w:r w:rsidR="001E6AAD" w:rsidRPr="00C85EF2">
        <w:rPr>
          <w:color w:val="auto"/>
          <w:lang w:val="en-US"/>
        </w:rPr>
        <w:t xml:space="preserve">film-coated tablet contains 80 mg or 240 mg of lazertinib </w:t>
      </w:r>
      <w:r w:rsidRPr="00C85EF2">
        <w:rPr>
          <w:color w:val="auto"/>
          <w:lang w:val="en-US"/>
        </w:rPr>
        <w:t>(</w:t>
      </w:r>
      <w:r w:rsidR="001E6AAD" w:rsidRPr="00C85EF2">
        <w:rPr>
          <w:color w:val="auto"/>
          <w:lang w:val="en-US"/>
        </w:rPr>
        <w:t>as mesilate monohydrate)</w:t>
      </w:r>
      <w:r w:rsidRPr="00C85EF2">
        <w:rPr>
          <w:color w:val="auto"/>
          <w:lang w:val="en-US"/>
        </w:rPr>
        <w:t>.</w:t>
      </w:r>
    </w:p>
    <w:p w14:paraId="3C101E28" w14:textId="77777777" w:rsidR="001E6AAD" w:rsidRPr="00C85EF2" w:rsidRDefault="001E6AAD" w:rsidP="00AD5070">
      <w:pPr>
        <w:rPr>
          <w:color w:val="auto"/>
          <w:lang w:val="en-US"/>
        </w:rPr>
      </w:pPr>
    </w:p>
    <w:p w14:paraId="51B30838" w14:textId="1A488879" w:rsidR="00F664EA" w:rsidRPr="00C85EF2" w:rsidRDefault="004C3F62" w:rsidP="00AD5070">
      <w:pPr>
        <w:rPr>
          <w:color w:val="auto"/>
        </w:rPr>
      </w:pPr>
      <w:r w:rsidRPr="00C85EF2">
        <w:rPr>
          <w:color w:val="auto"/>
          <w:lang w:val="en-US"/>
        </w:rPr>
        <w:t xml:space="preserve"> </w:t>
      </w:r>
      <w:bookmarkEnd w:id="3"/>
      <w:r w:rsidR="008856EC" w:rsidRPr="00C85EF2">
        <w:rPr>
          <w:color w:val="auto"/>
        </w:rPr>
        <w:t>For the full list of excipients, see section </w:t>
      </w:r>
      <w:r w:rsidR="004020F3" w:rsidRPr="00C85EF2">
        <w:rPr>
          <w:bCs/>
          <w:color w:val="auto"/>
          <w:lang w:val="en-GB"/>
        </w:rPr>
        <w:t>6.1 List of Excipients</w:t>
      </w:r>
      <w:r w:rsidR="008856EC" w:rsidRPr="00C85EF2">
        <w:rPr>
          <w:color w:val="auto"/>
        </w:rPr>
        <w:t>.</w:t>
      </w:r>
      <w:r w:rsidR="00F664EA" w:rsidRPr="00C85EF2">
        <w:rPr>
          <w:color w:val="auto"/>
        </w:rPr>
        <w:t xml:space="preserve"> </w:t>
      </w:r>
    </w:p>
    <w:p w14:paraId="2B48B372" w14:textId="77777777" w:rsidR="00117D06" w:rsidRPr="00C85EF2" w:rsidRDefault="00746A05" w:rsidP="00AD5070">
      <w:pPr>
        <w:pStyle w:val="Heading1"/>
        <w:spacing w:before="480"/>
        <w:jc w:val="left"/>
        <w:rPr>
          <w:color w:val="auto"/>
        </w:rPr>
      </w:pPr>
      <w:r w:rsidRPr="00C85EF2">
        <w:rPr>
          <w:color w:val="auto"/>
        </w:rPr>
        <w:t>PHARMACEUTICAL FORM</w:t>
      </w:r>
    </w:p>
    <w:p w14:paraId="63007730" w14:textId="77777777" w:rsidR="001E6AAD" w:rsidRPr="00C85EF2" w:rsidRDefault="001E6AAD" w:rsidP="00AD5070">
      <w:pPr>
        <w:rPr>
          <w:color w:val="auto"/>
          <w:u w:val="single"/>
        </w:rPr>
      </w:pPr>
      <w:r w:rsidRPr="00C85EF2">
        <w:rPr>
          <w:color w:val="auto"/>
          <w:u w:val="single"/>
        </w:rPr>
        <w:t>80 mg tablets</w:t>
      </w:r>
    </w:p>
    <w:p w14:paraId="4ADA59B1" w14:textId="5CB7107A" w:rsidR="001E6AAD" w:rsidRPr="00C85EF2" w:rsidRDefault="001E6AAD" w:rsidP="00AD5070">
      <w:pPr>
        <w:rPr>
          <w:color w:val="auto"/>
        </w:rPr>
      </w:pPr>
      <w:r w:rsidRPr="00C85EF2">
        <w:rPr>
          <w:color w:val="auto"/>
        </w:rPr>
        <w:t xml:space="preserve">Yellow, oval film-coated tablet, debossed with “LZ” on one side and “80” on the other side. </w:t>
      </w:r>
    </w:p>
    <w:p w14:paraId="1BF0CFC7" w14:textId="77777777" w:rsidR="001E6AAD" w:rsidRPr="00C85EF2" w:rsidRDefault="001E6AAD" w:rsidP="00AD5070">
      <w:pPr>
        <w:rPr>
          <w:color w:val="auto"/>
        </w:rPr>
      </w:pPr>
    </w:p>
    <w:p w14:paraId="35AFC04E" w14:textId="77777777" w:rsidR="001E6AAD" w:rsidRPr="00C85EF2" w:rsidRDefault="001E6AAD" w:rsidP="00AD5070">
      <w:pPr>
        <w:rPr>
          <w:color w:val="auto"/>
          <w:u w:val="single"/>
        </w:rPr>
      </w:pPr>
      <w:r w:rsidRPr="00C85EF2">
        <w:rPr>
          <w:color w:val="auto"/>
          <w:u w:val="single"/>
        </w:rPr>
        <w:t>240 mg tablets</w:t>
      </w:r>
    </w:p>
    <w:p w14:paraId="3988515D" w14:textId="066943C8" w:rsidR="008856EC" w:rsidRPr="00C85EF2" w:rsidRDefault="001E6AAD" w:rsidP="00AD5070">
      <w:pPr>
        <w:rPr>
          <w:color w:val="auto"/>
        </w:rPr>
      </w:pPr>
      <w:r w:rsidRPr="00C85EF2">
        <w:rPr>
          <w:color w:val="auto"/>
        </w:rPr>
        <w:t>Reddish purple, oval</w:t>
      </w:r>
      <w:r w:rsidR="00F50BE8" w:rsidRPr="00C85EF2">
        <w:rPr>
          <w:color w:val="auto"/>
        </w:rPr>
        <w:t xml:space="preserve"> </w:t>
      </w:r>
      <w:r w:rsidRPr="00C85EF2">
        <w:rPr>
          <w:color w:val="auto"/>
        </w:rPr>
        <w:t>film-coated tablet, debossed with “LZ” on one side and “240” on the other side.</w:t>
      </w:r>
    </w:p>
    <w:p w14:paraId="2B4D8642" w14:textId="408CAFFB" w:rsidR="00746A05" w:rsidRPr="00C85EF2" w:rsidRDefault="00746A05" w:rsidP="00AD5070">
      <w:pPr>
        <w:pStyle w:val="Heading1"/>
        <w:spacing w:before="480"/>
        <w:jc w:val="left"/>
        <w:rPr>
          <w:color w:val="auto"/>
        </w:rPr>
      </w:pPr>
      <w:r w:rsidRPr="00C85EF2">
        <w:rPr>
          <w:color w:val="auto"/>
        </w:rPr>
        <w:t>CLINICAL PARTICULARS</w:t>
      </w:r>
    </w:p>
    <w:p w14:paraId="582455B6" w14:textId="33AB2572" w:rsidR="00746A05" w:rsidRPr="00C85EF2" w:rsidRDefault="00746A05" w:rsidP="00AD5070">
      <w:pPr>
        <w:pStyle w:val="Heading2"/>
        <w:numPr>
          <w:ilvl w:val="1"/>
          <w:numId w:val="18"/>
        </w:numPr>
        <w:ind w:left="426" w:hanging="426"/>
        <w:jc w:val="left"/>
        <w:rPr>
          <w:caps/>
          <w:color w:val="auto"/>
        </w:rPr>
      </w:pPr>
      <w:r w:rsidRPr="00C85EF2">
        <w:rPr>
          <w:color w:val="auto"/>
        </w:rPr>
        <w:t>THERAPEUTIC INDICATIONS</w:t>
      </w:r>
    </w:p>
    <w:p w14:paraId="4DB54C48" w14:textId="5642F8F9" w:rsidR="00F1787A" w:rsidRPr="00C85EF2" w:rsidRDefault="001E6AAD" w:rsidP="00AD5070">
      <w:pPr>
        <w:pStyle w:val="BodyText1"/>
        <w:jc w:val="left"/>
      </w:pPr>
      <w:bookmarkStart w:id="4" w:name="_Hlk66871727"/>
      <w:r w:rsidRPr="00C85EF2">
        <w:rPr>
          <w:rFonts w:eastAsia="Times New Roman" w:cs="Arial"/>
          <w:szCs w:val="22"/>
        </w:rPr>
        <w:t>LAZCLUZE in combination with amivantamab is indicated for the first-line treatment of adult patients with locally advanced or metastatic non-small cell lung cancer (NSCLC) with epidermal growth factor receptor (EGFR) exon 19 deletions or exon 21 L858R substitution mutations.</w:t>
      </w:r>
    </w:p>
    <w:p w14:paraId="09C56149" w14:textId="77777777" w:rsidR="008856EC" w:rsidRPr="00C85EF2" w:rsidRDefault="008856EC" w:rsidP="00AD5070">
      <w:pPr>
        <w:rPr>
          <w:color w:val="auto"/>
        </w:rPr>
      </w:pPr>
    </w:p>
    <w:bookmarkEnd w:id="4"/>
    <w:p w14:paraId="6B8DEB86" w14:textId="41274FA3" w:rsidR="00E15BB4" w:rsidRPr="00C85EF2" w:rsidRDefault="00746A05" w:rsidP="00AD5070">
      <w:pPr>
        <w:pStyle w:val="Heading2"/>
        <w:numPr>
          <w:ilvl w:val="1"/>
          <w:numId w:val="18"/>
        </w:numPr>
        <w:tabs>
          <w:tab w:val="left" w:pos="567"/>
        </w:tabs>
        <w:ind w:left="426" w:hanging="426"/>
        <w:jc w:val="left"/>
        <w:rPr>
          <w:rFonts w:eastAsiaTheme="minorHAnsi" w:cs="Times New Roman"/>
          <w:color w:val="auto"/>
          <w:szCs w:val="20"/>
        </w:rPr>
      </w:pPr>
      <w:r w:rsidRPr="00C85EF2">
        <w:rPr>
          <w:color w:val="auto"/>
        </w:rPr>
        <w:t>DOSE AND METHOD OF ADMINISTRATION</w:t>
      </w:r>
      <w:r w:rsidR="005A21C3" w:rsidRPr="00C85EF2">
        <w:rPr>
          <w:color w:val="auto"/>
        </w:rPr>
        <w:t xml:space="preserve">    </w:t>
      </w:r>
    </w:p>
    <w:p w14:paraId="3E54400C" w14:textId="3C68CBF8" w:rsidR="008856EC" w:rsidRPr="00C85EF2" w:rsidRDefault="008856EC" w:rsidP="00AD5070">
      <w:pPr>
        <w:pStyle w:val="Heading3"/>
        <w:jc w:val="left"/>
        <w:rPr>
          <w:rFonts w:eastAsiaTheme="minorHAnsi"/>
          <w:color w:val="auto"/>
        </w:rPr>
      </w:pPr>
      <w:r w:rsidRPr="00C85EF2">
        <w:rPr>
          <w:rFonts w:eastAsiaTheme="minorHAnsi"/>
          <w:color w:val="auto"/>
        </w:rPr>
        <w:t>Dosage</w:t>
      </w:r>
    </w:p>
    <w:p w14:paraId="7C8AC141" w14:textId="1BED4C68" w:rsidR="00D03F82" w:rsidRPr="00C85EF2" w:rsidRDefault="435D1A42" w:rsidP="00AD5070">
      <w:pPr>
        <w:pStyle w:val="Heading4"/>
        <w:rPr>
          <w:rFonts w:eastAsiaTheme="minorEastAsia"/>
          <w:color w:val="auto"/>
          <w:lang w:val="en-US"/>
        </w:rPr>
      </w:pPr>
      <w:r w:rsidRPr="00C85EF2">
        <w:rPr>
          <w:rFonts w:eastAsiaTheme="minorEastAsia"/>
          <w:color w:val="auto"/>
          <w:lang w:val="en-US"/>
        </w:rPr>
        <w:t>Dosage –</w:t>
      </w:r>
      <w:r w:rsidR="6A48B303" w:rsidRPr="00C85EF2">
        <w:rPr>
          <w:rFonts w:eastAsiaTheme="minorEastAsia"/>
          <w:color w:val="auto"/>
          <w:lang w:val="en-US"/>
        </w:rPr>
        <w:t xml:space="preserve"> a</w:t>
      </w:r>
      <w:r w:rsidRPr="00C85EF2">
        <w:rPr>
          <w:rFonts w:eastAsiaTheme="minorEastAsia"/>
          <w:color w:val="auto"/>
          <w:lang w:val="en-US"/>
        </w:rPr>
        <w:t>dults (≥18 years)</w:t>
      </w:r>
    </w:p>
    <w:p w14:paraId="67A2A511" w14:textId="12ABF78A" w:rsidR="001E6AAD" w:rsidRPr="00C85EF2" w:rsidRDefault="001E6AAD" w:rsidP="00AD5070">
      <w:pPr>
        <w:rPr>
          <w:color w:val="auto"/>
          <w:lang w:val="en-GB"/>
        </w:rPr>
      </w:pPr>
      <w:r w:rsidRPr="00C85EF2">
        <w:rPr>
          <w:color w:val="auto"/>
          <w:lang w:val="en-GB"/>
        </w:rPr>
        <w:t xml:space="preserve">The recommended dosage of LAZCLUZE is 240 mg orally once daily in combination with amivantamab until disease progression or no longer tolerated by the patient. </w:t>
      </w:r>
    </w:p>
    <w:p w14:paraId="3303C647" w14:textId="77777777" w:rsidR="001E6AAD" w:rsidRPr="00C85EF2" w:rsidRDefault="001E6AAD" w:rsidP="00AD5070">
      <w:pPr>
        <w:rPr>
          <w:color w:val="auto"/>
          <w:lang w:val="en-GB"/>
        </w:rPr>
      </w:pPr>
    </w:p>
    <w:p w14:paraId="490A9001" w14:textId="2F725FFB" w:rsidR="00FD70C4" w:rsidRPr="00C85EF2" w:rsidRDefault="001E6AAD" w:rsidP="00AD5070">
      <w:pPr>
        <w:rPr>
          <w:rFonts w:eastAsiaTheme="minorHAnsi"/>
          <w:color w:val="auto"/>
        </w:rPr>
      </w:pPr>
      <w:r w:rsidRPr="00C85EF2">
        <w:rPr>
          <w:color w:val="auto"/>
          <w:lang w:val="en-GB"/>
        </w:rPr>
        <w:t xml:space="preserve">It is recommended to administer </w:t>
      </w:r>
      <w:r w:rsidR="00FD42CF" w:rsidRPr="00C85EF2">
        <w:rPr>
          <w:color w:val="auto"/>
          <w:lang w:val="en-GB"/>
        </w:rPr>
        <w:t>LAZCLUZE</w:t>
      </w:r>
      <w:r w:rsidRPr="00C85EF2">
        <w:rPr>
          <w:color w:val="auto"/>
          <w:lang w:val="en-GB"/>
        </w:rPr>
        <w:t xml:space="preserve"> any time prior to amivantamab when given on the same day.  Refer to the amivantamab pr</w:t>
      </w:r>
      <w:r w:rsidR="00EF068E" w:rsidRPr="00C85EF2">
        <w:rPr>
          <w:color w:val="auto"/>
          <w:lang w:val="en-GB"/>
        </w:rPr>
        <w:t>oduct</w:t>
      </w:r>
      <w:r w:rsidRPr="00C85EF2">
        <w:rPr>
          <w:color w:val="auto"/>
          <w:lang w:val="en-GB"/>
        </w:rPr>
        <w:t xml:space="preserve"> information for recommended amivantamab dosing information.</w:t>
      </w:r>
    </w:p>
    <w:p w14:paraId="713F4DEB" w14:textId="77777777" w:rsidR="00FD70C4" w:rsidRPr="00C85EF2" w:rsidRDefault="00FD70C4" w:rsidP="00AD5070">
      <w:pPr>
        <w:rPr>
          <w:color w:val="auto"/>
          <w:lang w:val="en-GB"/>
        </w:rPr>
      </w:pPr>
    </w:p>
    <w:p w14:paraId="3DDBC376" w14:textId="542423FE" w:rsidR="00FD70C4" w:rsidRPr="00C85EF2" w:rsidRDefault="00A83A5B" w:rsidP="00AD5070">
      <w:pPr>
        <w:spacing w:after="240"/>
        <w:rPr>
          <w:color w:val="auto"/>
          <w:lang w:val="en-GB"/>
        </w:rPr>
      </w:pPr>
      <w:r w:rsidRPr="00C85EF2">
        <w:rPr>
          <w:rFonts w:eastAsiaTheme="minorHAnsi"/>
          <w:color w:val="auto"/>
        </w:rPr>
        <w:lastRenderedPageBreak/>
        <w:t xml:space="preserve">Prior to the use of </w:t>
      </w:r>
      <w:r w:rsidR="00B4500E" w:rsidRPr="00C85EF2">
        <w:rPr>
          <w:rFonts w:eastAsiaTheme="minorHAnsi"/>
          <w:color w:val="auto"/>
        </w:rPr>
        <w:t>LAZCLUZE</w:t>
      </w:r>
      <w:r w:rsidRPr="00C85EF2">
        <w:rPr>
          <w:rFonts w:eastAsiaTheme="minorHAnsi"/>
          <w:color w:val="auto"/>
        </w:rPr>
        <w:t>, the presence of the relevant EGFR mutation (exon 19 deletion</w:t>
      </w:r>
      <w:r w:rsidR="00B4500E" w:rsidRPr="00C85EF2">
        <w:rPr>
          <w:rFonts w:eastAsiaTheme="minorHAnsi"/>
          <w:color w:val="auto"/>
        </w:rPr>
        <w:t xml:space="preserve"> or</w:t>
      </w:r>
      <w:r w:rsidRPr="00C85EF2">
        <w:rPr>
          <w:rFonts w:eastAsiaTheme="minorHAnsi"/>
          <w:color w:val="auto"/>
        </w:rPr>
        <w:t xml:space="preserve"> exon 21 L858R substitution</w:t>
      </w:r>
      <w:r w:rsidR="00B4500E" w:rsidRPr="00C85EF2">
        <w:rPr>
          <w:rFonts w:eastAsiaTheme="minorHAnsi"/>
          <w:color w:val="auto"/>
        </w:rPr>
        <w:t xml:space="preserve">)  </w:t>
      </w:r>
      <w:r w:rsidRPr="00C85EF2">
        <w:rPr>
          <w:rFonts w:eastAsiaTheme="minorHAnsi"/>
          <w:color w:val="auto"/>
        </w:rPr>
        <w:t>must  be established (see Section 5.1 Clinica</w:t>
      </w:r>
      <w:r w:rsidR="00FD70C4" w:rsidRPr="00C85EF2">
        <w:rPr>
          <w:rFonts w:eastAsiaTheme="minorHAnsi"/>
          <w:color w:val="auto"/>
        </w:rPr>
        <w:t>l trials)</w:t>
      </w:r>
      <w:r w:rsidR="00FD70C4" w:rsidRPr="00C85EF2">
        <w:rPr>
          <w:color w:val="auto"/>
          <w:lang w:val="en-GB"/>
        </w:rPr>
        <w:t>.</w:t>
      </w:r>
    </w:p>
    <w:p w14:paraId="4C95ADE6" w14:textId="348A6361" w:rsidR="00A83A5B" w:rsidRPr="00C85EF2" w:rsidRDefault="00A83A5B" w:rsidP="00AD5070">
      <w:pPr>
        <w:spacing w:after="240"/>
        <w:rPr>
          <w:rFonts w:eastAsiaTheme="minorHAnsi"/>
          <w:color w:val="auto"/>
        </w:rPr>
      </w:pPr>
      <w:r w:rsidRPr="00C85EF2">
        <w:rPr>
          <w:rFonts w:eastAsiaTheme="minorHAnsi"/>
          <w:color w:val="auto"/>
        </w:rPr>
        <w:t xml:space="preserve">When initiating treatment with LAZCLUZE in combination with amivantamab, it is recommended to administer anticoagulant prophylaxis to prevent venous thromboembolic (VTE) events for the first four months of treatment. Ongoing anticoagulation beyond four months is at clinician’s discretion. Anticoagulants use should align with clinical guidelines, use of Vitamin K antagonists is not recommended (See Section 4.4 </w:t>
      </w:r>
      <w:r w:rsidRPr="00C85EF2">
        <w:rPr>
          <w:color w:val="auto"/>
        </w:rPr>
        <w:t>Special warnings and precautions for use)</w:t>
      </w:r>
      <w:r w:rsidRPr="00C85EF2">
        <w:rPr>
          <w:rFonts w:eastAsiaTheme="minorHAnsi"/>
          <w:color w:val="auto"/>
        </w:rPr>
        <w:t>.</w:t>
      </w:r>
    </w:p>
    <w:p w14:paraId="39F6E036" w14:textId="51D8E425" w:rsidR="00C9434F" w:rsidRPr="00C85EF2" w:rsidRDefault="00863A0F" w:rsidP="00AD5070">
      <w:pPr>
        <w:pStyle w:val="Heading3"/>
        <w:jc w:val="left"/>
        <w:rPr>
          <w:rFonts w:eastAsiaTheme="minorHAnsi"/>
          <w:color w:val="auto"/>
        </w:rPr>
      </w:pPr>
      <w:r w:rsidRPr="00C85EF2">
        <w:rPr>
          <w:rFonts w:eastAsiaTheme="minorHAnsi"/>
          <w:color w:val="auto"/>
          <w:lang w:val="en-US"/>
        </w:rPr>
        <w:t xml:space="preserve">Missed </w:t>
      </w:r>
      <w:r w:rsidR="00AE7FBB" w:rsidRPr="00C85EF2">
        <w:rPr>
          <w:rFonts w:eastAsiaTheme="minorHAnsi"/>
          <w:color w:val="auto"/>
          <w:lang w:val="en-US"/>
        </w:rPr>
        <w:t>d</w:t>
      </w:r>
      <w:r w:rsidRPr="00C85EF2">
        <w:rPr>
          <w:rFonts w:eastAsiaTheme="minorHAnsi"/>
          <w:color w:val="auto"/>
          <w:lang w:val="en-US"/>
        </w:rPr>
        <w:t>ose(s)</w:t>
      </w:r>
    </w:p>
    <w:p w14:paraId="26493DDA" w14:textId="67E778F0" w:rsidR="00FD42CF" w:rsidRPr="00C85EF2" w:rsidRDefault="00FD42CF" w:rsidP="00AD5070">
      <w:pPr>
        <w:rPr>
          <w:b/>
          <w:color w:val="auto"/>
          <w:lang w:val="en-GB"/>
        </w:rPr>
      </w:pPr>
      <w:bookmarkStart w:id="5" w:name="_Hlk66871249"/>
      <w:r w:rsidRPr="00C85EF2">
        <w:rPr>
          <w:color w:val="auto"/>
          <w:lang w:val="en-GB"/>
        </w:rPr>
        <w:t xml:space="preserve">If a dose of LAZCLUZE is missed, it can be administered within 12 hours. If more than 12 hours have passed since the dose was to be given, do </w:t>
      </w:r>
      <w:r w:rsidRPr="00C85EF2">
        <w:rPr>
          <w:b/>
          <w:color w:val="auto"/>
          <w:lang w:val="en-GB"/>
        </w:rPr>
        <w:t>not</w:t>
      </w:r>
      <w:r w:rsidRPr="00C85EF2">
        <w:rPr>
          <w:color w:val="auto"/>
          <w:lang w:val="en-GB"/>
        </w:rPr>
        <w:t xml:space="preserve"> administer the missed dose and administer the next dose per the usual dosing schedule. </w:t>
      </w:r>
    </w:p>
    <w:p w14:paraId="6021A97A" w14:textId="77777777" w:rsidR="00FD42CF" w:rsidRPr="00C85EF2" w:rsidRDefault="00FD42CF" w:rsidP="00AD5070">
      <w:pPr>
        <w:rPr>
          <w:color w:val="auto"/>
          <w:lang w:val="en-GB"/>
        </w:rPr>
      </w:pPr>
    </w:p>
    <w:p w14:paraId="49CB168E" w14:textId="62D6A916" w:rsidR="001F0485" w:rsidRPr="00C85EF2" w:rsidRDefault="00AE40AF" w:rsidP="00AD5070">
      <w:pPr>
        <w:pStyle w:val="Heading3"/>
        <w:jc w:val="left"/>
        <w:rPr>
          <w:rFonts w:eastAsiaTheme="minorHAnsi"/>
          <w:color w:val="auto"/>
          <w:lang w:val="en-US"/>
        </w:rPr>
      </w:pPr>
      <w:r w:rsidRPr="00C85EF2">
        <w:rPr>
          <w:rFonts w:eastAsiaTheme="minorHAnsi"/>
          <w:color w:val="auto"/>
          <w:lang w:val="en-US"/>
        </w:rPr>
        <w:t xml:space="preserve">Dose </w:t>
      </w:r>
      <w:r w:rsidR="00AE7FBB" w:rsidRPr="00C85EF2">
        <w:rPr>
          <w:rFonts w:eastAsiaTheme="minorHAnsi"/>
          <w:color w:val="auto"/>
          <w:lang w:val="en-US"/>
        </w:rPr>
        <w:t>m</w:t>
      </w:r>
      <w:r w:rsidRPr="00C85EF2">
        <w:rPr>
          <w:rFonts w:eastAsiaTheme="minorHAnsi"/>
          <w:color w:val="auto"/>
          <w:lang w:val="en-US"/>
        </w:rPr>
        <w:t>odifications</w:t>
      </w:r>
    </w:p>
    <w:bookmarkEnd w:id="5"/>
    <w:p w14:paraId="0F2D330F" w14:textId="557643CB" w:rsidR="001F0485" w:rsidRPr="00C85EF2" w:rsidRDefault="00D44181" w:rsidP="00AD5070">
      <w:pPr>
        <w:spacing w:after="240"/>
        <w:rPr>
          <w:color w:val="auto"/>
          <w:lang w:val="en-GB"/>
        </w:rPr>
      </w:pPr>
      <w:r w:rsidRPr="00C85EF2">
        <w:rPr>
          <w:color w:val="auto"/>
          <w:lang w:val="en-GB"/>
        </w:rPr>
        <w:t>The recommended dose reductions for adverse reactions</w:t>
      </w:r>
      <w:r w:rsidR="00FD42CF" w:rsidRPr="00C85EF2">
        <w:rPr>
          <w:color w:val="auto"/>
          <w:lang w:val="en-GB"/>
        </w:rPr>
        <w:t xml:space="preserve"> </w:t>
      </w:r>
      <w:r w:rsidRPr="00C85EF2">
        <w:rPr>
          <w:color w:val="auto"/>
          <w:lang w:val="en-GB"/>
        </w:rPr>
        <w:t>are</w:t>
      </w:r>
      <w:r w:rsidR="00FD42CF" w:rsidRPr="00C85EF2">
        <w:rPr>
          <w:color w:val="auto"/>
          <w:lang w:val="en-GB"/>
        </w:rPr>
        <w:t xml:space="preserve"> presented</w:t>
      </w:r>
      <w:r w:rsidRPr="00C85EF2">
        <w:rPr>
          <w:color w:val="auto"/>
          <w:lang w:val="en-GB"/>
        </w:rPr>
        <w:t xml:space="preserve"> in Table </w:t>
      </w:r>
      <w:r w:rsidR="00FD42CF" w:rsidRPr="00C85EF2">
        <w:rPr>
          <w:color w:val="auto"/>
          <w:lang w:val="en-GB"/>
        </w:rPr>
        <w:t>1</w:t>
      </w:r>
      <w:r w:rsidR="00AE40AF" w:rsidRPr="00C85EF2">
        <w:rPr>
          <w:color w:val="auto"/>
          <w:lang w:val="en-GB"/>
        </w:rPr>
        <w:t>.</w:t>
      </w:r>
    </w:p>
    <w:tbl>
      <w:tblPr>
        <w:tblW w:w="3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ayout w:type="fixed"/>
        <w:tblLook w:val="04A0" w:firstRow="1" w:lastRow="0" w:firstColumn="1" w:lastColumn="0" w:noHBand="0" w:noVBand="1"/>
      </w:tblPr>
      <w:tblGrid>
        <w:gridCol w:w="1733"/>
        <w:gridCol w:w="3910"/>
      </w:tblGrid>
      <w:tr w:rsidR="00C85EF2" w:rsidRPr="00C85EF2" w14:paraId="58A0A62F" w14:textId="77777777" w:rsidTr="00FD42CF">
        <w:tc>
          <w:tcPr>
            <w:tcW w:w="5808" w:type="dxa"/>
            <w:gridSpan w:val="2"/>
            <w:tcBorders>
              <w:top w:val="nil"/>
              <w:left w:val="nil"/>
              <w:right w:val="nil"/>
            </w:tcBorders>
            <w:shd w:val="clear" w:color="auto" w:fill="auto"/>
            <w:vAlign w:val="center"/>
          </w:tcPr>
          <w:p w14:paraId="1A8B7EBD" w14:textId="0A20099C" w:rsidR="00FD42CF" w:rsidRPr="00C85EF2" w:rsidRDefault="00FD42CF" w:rsidP="00AD5070">
            <w:pPr>
              <w:rPr>
                <w:b/>
                <w:bCs/>
                <w:color w:val="auto"/>
                <w:sz w:val="18"/>
                <w:szCs w:val="20"/>
              </w:rPr>
            </w:pPr>
            <w:r w:rsidRPr="00C85EF2">
              <w:rPr>
                <w:b/>
                <w:bCs/>
                <w:color w:val="auto"/>
                <w:sz w:val="18"/>
                <w:szCs w:val="20"/>
              </w:rPr>
              <w:t>Table 1:</w:t>
            </w:r>
            <w:r w:rsidRPr="00C85EF2">
              <w:rPr>
                <w:b/>
                <w:bCs/>
                <w:color w:val="auto"/>
                <w:sz w:val="18"/>
                <w:szCs w:val="20"/>
              </w:rPr>
              <w:tab/>
              <w:t xml:space="preserve">Recommended </w:t>
            </w:r>
            <w:r w:rsidR="00C7374E" w:rsidRPr="00C85EF2">
              <w:rPr>
                <w:b/>
                <w:bCs/>
                <w:color w:val="auto"/>
                <w:sz w:val="18"/>
                <w:szCs w:val="20"/>
              </w:rPr>
              <w:t>d</w:t>
            </w:r>
            <w:r w:rsidRPr="00C85EF2">
              <w:rPr>
                <w:b/>
                <w:bCs/>
                <w:color w:val="auto"/>
                <w:sz w:val="18"/>
                <w:szCs w:val="20"/>
              </w:rPr>
              <w:t xml:space="preserve">ose </w:t>
            </w:r>
            <w:r w:rsidR="00C7374E" w:rsidRPr="00C85EF2">
              <w:rPr>
                <w:b/>
                <w:bCs/>
                <w:color w:val="auto"/>
                <w:sz w:val="18"/>
                <w:szCs w:val="20"/>
              </w:rPr>
              <w:t>r</w:t>
            </w:r>
            <w:r w:rsidRPr="00C85EF2">
              <w:rPr>
                <w:b/>
                <w:bCs/>
                <w:color w:val="auto"/>
                <w:sz w:val="18"/>
                <w:szCs w:val="20"/>
              </w:rPr>
              <w:t xml:space="preserve">eductions for </w:t>
            </w:r>
            <w:r w:rsidR="00C7374E" w:rsidRPr="00C85EF2">
              <w:rPr>
                <w:b/>
                <w:bCs/>
                <w:color w:val="auto"/>
                <w:sz w:val="18"/>
                <w:szCs w:val="20"/>
              </w:rPr>
              <w:t>a</w:t>
            </w:r>
            <w:r w:rsidRPr="00C85EF2">
              <w:rPr>
                <w:b/>
                <w:bCs/>
                <w:color w:val="auto"/>
                <w:sz w:val="18"/>
                <w:szCs w:val="20"/>
              </w:rPr>
              <w:t xml:space="preserve">dverse </w:t>
            </w:r>
            <w:r w:rsidR="00C7374E" w:rsidRPr="00C85EF2">
              <w:rPr>
                <w:b/>
                <w:bCs/>
                <w:color w:val="auto"/>
                <w:sz w:val="18"/>
                <w:szCs w:val="20"/>
              </w:rPr>
              <w:t>r</w:t>
            </w:r>
            <w:r w:rsidRPr="00C85EF2">
              <w:rPr>
                <w:b/>
                <w:bCs/>
                <w:color w:val="auto"/>
                <w:sz w:val="18"/>
                <w:szCs w:val="20"/>
              </w:rPr>
              <w:t>eactions</w:t>
            </w:r>
          </w:p>
          <w:p w14:paraId="18A3A293" w14:textId="77777777" w:rsidR="00FD42CF" w:rsidRPr="00C85EF2" w:rsidRDefault="00FD42CF" w:rsidP="00AD5070">
            <w:pPr>
              <w:rPr>
                <w:b/>
                <w:bCs/>
                <w:color w:val="auto"/>
                <w:sz w:val="18"/>
                <w:szCs w:val="20"/>
              </w:rPr>
            </w:pPr>
          </w:p>
        </w:tc>
      </w:tr>
      <w:tr w:rsidR="00C85EF2" w:rsidRPr="00C85EF2" w14:paraId="40EF4AD6" w14:textId="77777777" w:rsidTr="00BF4555">
        <w:tc>
          <w:tcPr>
            <w:tcW w:w="1781" w:type="dxa"/>
            <w:shd w:val="clear" w:color="auto" w:fill="auto"/>
            <w:vAlign w:val="center"/>
          </w:tcPr>
          <w:p w14:paraId="26144F8A" w14:textId="77777777" w:rsidR="00FD42CF" w:rsidRPr="00C85EF2" w:rsidRDefault="00FD42CF" w:rsidP="00AD5070">
            <w:pPr>
              <w:rPr>
                <w:b/>
                <w:bCs/>
                <w:color w:val="auto"/>
                <w:sz w:val="18"/>
                <w:szCs w:val="18"/>
                <w:lang w:val="en-US"/>
              </w:rPr>
            </w:pPr>
            <w:r w:rsidRPr="00C85EF2">
              <w:rPr>
                <w:b/>
                <w:bCs/>
                <w:color w:val="auto"/>
                <w:sz w:val="18"/>
                <w:szCs w:val="18"/>
                <w:lang w:val="en-US"/>
              </w:rPr>
              <w:t>Dose Reduction</w:t>
            </w:r>
          </w:p>
        </w:tc>
        <w:tc>
          <w:tcPr>
            <w:tcW w:w="4027" w:type="dxa"/>
            <w:shd w:val="clear" w:color="auto" w:fill="auto"/>
            <w:vAlign w:val="center"/>
          </w:tcPr>
          <w:p w14:paraId="743C1B46" w14:textId="77777777" w:rsidR="00FD42CF" w:rsidRPr="00C85EF2" w:rsidRDefault="00FD42CF" w:rsidP="00AD5070">
            <w:pPr>
              <w:rPr>
                <w:b/>
                <w:bCs/>
                <w:color w:val="auto"/>
                <w:sz w:val="18"/>
                <w:szCs w:val="18"/>
                <w:lang w:val="en-US"/>
              </w:rPr>
            </w:pPr>
            <w:r w:rsidRPr="00C85EF2">
              <w:rPr>
                <w:b/>
                <w:bCs/>
                <w:color w:val="auto"/>
                <w:sz w:val="18"/>
                <w:szCs w:val="18"/>
                <w:lang w:val="en-US"/>
              </w:rPr>
              <w:t>Recommended Dosage</w:t>
            </w:r>
          </w:p>
        </w:tc>
      </w:tr>
      <w:tr w:rsidR="00C85EF2" w:rsidRPr="00C85EF2" w14:paraId="6F5D2FC9" w14:textId="77777777" w:rsidTr="00BF4555">
        <w:tc>
          <w:tcPr>
            <w:tcW w:w="1781" w:type="dxa"/>
            <w:shd w:val="clear" w:color="auto" w:fill="auto"/>
            <w:vAlign w:val="center"/>
          </w:tcPr>
          <w:p w14:paraId="3716B7B4" w14:textId="77777777" w:rsidR="00FD42CF" w:rsidRPr="00C85EF2" w:rsidRDefault="00FD42CF" w:rsidP="00AD5070">
            <w:pPr>
              <w:rPr>
                <w:color w:val="auto"/>
                <w:sz w:val="18"/>
                <w:szCs w:val="18"/>
                <w:lang w:val="en-US"/>
              </w:rPr>
            </w:pPr>
            <w:r w:rsidRPr="00C85EF2">
              <w:rPr>
                <w:color w:val="auto"/>
                <w:sz w:val="18"/>
                <w:szCs w:val="18"/>
                <w:lang w:val="en-US"/>
              </w:rPr>
              <w:t>Initial dose</w:t>
            </w:r>
          </w:p>
        </w:tc>
        <w:tc>
          <w:tcPr>
            <w:tcW w:w="4027" w:type="dxa"/>
            <w:shd w:val="clear" w:color="auto" w:fill="auto"/>
            <w:vAlign w:val="center"/>
          </w:tcPr>
          <w:p w14:paraId="7D92448F" w14:textId="77777777" w:rsidR="00FD42CF" w:rsidRPr="00C85EF2" w:rsidRDefault="00FD42CF" w:rsidP="00AD5070">
            <w:pPr>
              <w:rPr>
                <w:color w:val="auto"/>
                <w:sz w:val="18"/>
                <w:szCs w:val="18"/>
                <w:lang w:val="en-US"/>
              </w:rPr>
            </w:pPr>
            <w:r w:rsidRPr="00C85EF2">
              <w:rPr>
                <w:color w:val="auto"/>
                <w:sz w:val="18"/>
                <w:szCs w:val="18"/>
                <w:lang w:val="en-US"/>
              </w:rPr>
              <w:t>240 mg once daily</w:t>
            </w:r>
          </w:p>
        </w:tc>
      </w:tr>
      <w:tr w:rsidR="00C85EF2" w:rsidRPr="00C85EF2" w14:paraId="065CAD08" w14:textId="77777777" w:rsidTr="00BF4555">
        <w:trPr>
          <w:trHeight w:val="156"/>
        </w:trPr>
        <w:tc>
          <w:tcPr>
            <w:tcW w:w="1781" w:type="dxa"/>
            <w:shd w:val="clear" w:color="auto" w:fill="auto"/>
            <w:vAlign w:val="center"/>
          </w:tcPr>
          <w:p w14:paraId="64FF2C60" w14:textId="77777777" w:rsidR="00FD42CF" w:rsidRPr="00C85EF2" w:rsidRDefault="00FD42CF" w:rsidP="00AD5070">
            <w:pPr>
              <w:rPr>
                <w:color w:val="auto"/>
                <w:sz w:val="18"/>
                <w:szCs w:val="18"/>
                <w:lang w:val="en-US"/>
              </w:rPr>
            </w:pPr>
            <w:r w:rsidRPr="00C85EF2">
              <w:rPr>
                <w:color w:val="auto"/>
                <w:sz w:val="18"/>
                <w:szCs w:val="18"/>
                <w:lang w:val="en-US"/>
              </w:rPr>
              <w:t>1st dose reduction</w:t>
            </w:r>
          </w:p>
        </w:tc>
        <w:tc>
          <w:tcPr>
            <w:tcW w:w="4027" w:type="dxa"/>
            <w:shd w:val="clear" w:color="auto" w:fill="auto"/>
            <w:vAlign w:val="center"/>
          </w:tcPr>
          <w:p w14:paraId="2C56508B" w14:textId="77777777" w:rsidR="00FD42CF" w:rsidRPr="00C85EF2" w:rsidRDefault="00FD42CF" w:rsidP="00AD5070">
            <w:pPr>
              <w:rPr>
                <w:color w:val="auto"/>
                <w:sz w:val="18"/>
                <w:szCs w:val="18"/>
                <w:lang w:val="en-US"/>
              </w:rPr>
            </w:pPr>
            <w:r w:rsidRPr="00C85EF2">
              <w:rPr>
                <w:color w:val="auto"/>
                <w:sz w:val="18"/>
                <w:szCs w:val="18"/>
                <w:lang w:val="en-US"/>
              </w:rPr>
              <w:t>160 mg once daily</w:t>
            </w:r>
          </w:p>
        </w:tc>
      </w:tr>
      <w:tr w:rsidR="00C85EF2" w:rsidRPr="00C85EF2" w14:paraId="59B5C471" w14:textId="77777777" w:rsidTr="00BF4555">
        <w:tc>
          <w:tcPr>
            <w:tcW w:w="1781" w:type="dxa"/>
            <w:shd w:val="clear" w:color="auto" w:fill="auto"/>
            <w:vAlign w:val="center"/>
          </w:tcPr>
          <w:p w14:paraId="2C66B8CA" w14:textId="77777777" w:rsidR="00FD42CF" w:rsidRPr="00C85EF2" w:rsidRDefault="00FD42CF" w:rsidP="00AD5070">
            <w:pPr>
              <w:rPr>
                <w:color w:val="auto"/>
                <w:sz w:val="18"/>
                <w:szCs w:val="18"/>
                <w:lang w:val="en-US"/>
              </w:rPr>
            </w:pPr>
            <w:r w:rsidRPr="00C85EF2">
              <w:rPr>
                <w:color w:val="auto"/>
                <w:sz w:val="18"/>
                <w:szCs w:val="18"/>
                <w:lang w:val="en-US"/>
              </w:rPr>
              <w:t>2nd dose reduction</w:t>
            </w:r>
          </w:p>
        </w:tc>
        <w:tc>
          <w:tcPr>
            <w:tcW w:w="4027" w:type="dxa"/>
            <w:shd w:val="clear" w:color="auto" w:fill="auto"/>
            <w:vAlign w:val="center"/>
          </w:tcPr>
          <w:p w14:paraId="7BCBEFA7" w14:textId="77777777" w:rsidR="00FD42CF" w:rsidRPr="00C85EF2" w:rsidRDefault="00FD42CF" w:rsidP="00AD5070">
            <w:pPr>
              <w:rPr>
                <w:color w:val="auto"/>
                <w:sz w:val="18"/>
                <w:szCs w:val="18"/>
                <w:lang w:val="en-US"/>
              </w:rPr>
            </w:pPr>
            <w:r w:rsidRPr="00C85EF2">
              <w:rPr>
                <w:color w:val="auto"/>
                <w:sz w:val="18"/>
                <w:szCs w:val="18"/>
                <w:lang w:val="en-US"/>
              </w:rPr>
              <w:t>80 mg once daily</w:t>
            </w:r>
          </w:p>
        </w:tc>
      </w:tr>
      <w:tr w:rsidR="00FD42CF" w:rsidRPr="00C85EF2" w14:paraId="6EC284DA" w14:textId="77777777" w:rsidTr="00BF4555">
        <w:tc>
          <w:tcPr>
            <w:tcW w:w="1781" w:type="dxa"/>
            <w:shd w:val="clear" w:color="auto" w:fill="auto"/>
            <w:vAlign w:val="center"/>
          </w:tcPr>
          <w:p w14:paraId="2D3DF6BF" w14:textId="77777777" w:rsidR="00FD42CF" w:rsidRPr="00C85EF2" w:rsidRDefault="00FD42CF" w:rsidP="00AD5070">
            <w:pPr>
              <w:rPr>
                <w:color w:val="auto"/>
                <w:sz w:val="18"/>
                <w:szCs w:val="18"/>
                <w:lang w:val="en-US"/>
              </w:rPr>
            </w:pPr>
            <w:r w:rsidRPr="00C85EF2">
              <w:rPr>
                <w:color w:val="auto"/>
                <w:sz w:val="18"/>
                <w:szCs w:val="18"/>
                <w:lang w:val="en-US"/>
              </w:rPr>
              <w:t>3rd dose reduction</w:t>
            </w:r>
          </w:p>
        </w:tc>
        <w:tc>
          <w:tcPr>
            <w:tcW w:w="4027" w:type="dxa"/>
            <w:shd w:val="clear" w:color="auto" w:fill="auto"/>
            <w:vAlign w:val="center"/>
          </w:tcPr>
          <w:p w14:paraId="3D2FD31B" w14:textId="1E2008A5" w:rsidR="00FD42CF" w:rsidRPr="00C85EF2" w:rsidRDefault="00FD42CF" w:rsidP="00AD5070">
            <w:pPr>
              <w:rPr>
                <w:color w:val="auto"/>
                <w:sz w:val="18"/>
                <w:szCs w:val="18"/>
                <w:lang w:val="en-US"/>
              </w:rPr>
            </w:pPr>
            <w:r w:rsidRPr="00C85EF2">
              <w:rPr>
                <w:color w:val="auto"/>
                <w:sz w:val="18"/>
                <w:szCs w:val="18"/>
                <w:lang w:val="en-US"/>
              </w:rPr>
              <w:t>Discontinue LAZCLUZE</w:t>
            </w:r>
          </w:p>
        </w:tc>
      </w:tr>
    </w:tbl>
    <w:p w14:paraId="11D26558" w14:textId="77777777" w:rsidR="00EF068E" w:rsidRPr="00C85EF2" w:rsidRDefault="00EF068E" w:rsidP="00AD5070">
      <w:pPr>
        <w:pStyle w:val="BodyText"/>
        <w:jc w:val="left"/>
        <w:rPr>
          <w:color w:val="auto"/>
        </w:rPr>
      </w:pPr>
    </w:p>
    <w:p w14:paraId="74112B2B" w14:textId="2F880FC9" w:rsidR="00FD42CF" w:rsidRPr="00C85EF2" w:rsidRDefault="00FD42CF" w:rsidP="00AD5070">
      <w:pPr>
        <w:pStyle w:val="BodyText"/>
        <w:jc w:val="left"/>
        <w:rPr>
          <w:color w:val="auto"/>
        </w:rPr>
      </w:pPr>
      <w:r w:rsidRPr="00C85EF2">
        <w:rPr>
          <w:color w:val="auto"/>
        </w:rPr>
        <w:t xml:space="preserve">Dose modifications for specific adverse reactions are presented in Table 2. </w:t>
      </w:r>
    </w:p>
    <w:p w14:paraId="07E699DC" w14:textId="77777777" w:rsidR="00EF068E" w:rsidRPr="00C85EF2" w:rsidRDefault="00EF068E" w:rsidP="00AD5070">
      <w:pPr>
        <w:pStyle w:val="BodyText"/>
        <w:jc w:val="left"/>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084"/>
        <w:gridCol w:w="5445"/>
      </w:tblGrid>
      <w:tr w:rsidR="00C85EF2" w:rsidRPr="00C85EF2" w14:paraId="0986E00E" w14:textId="77777777" w:rsidTr="00BF4555">
        <w:trPr>
          <w:trHeight w:val="141"/>
        </w:trPr>
        <w:tc>
          <w:tcPr>
            <w:tcW w:w="9639" w:type="dxa"/>
            <w:gridSpan w:val="3"/>
            <w:tcBorders>
              <w:top w:val="nil"/>
              <w:left w:val="nil"/>
              <w:right w:val="nil"/>
            </w:tcBorders>
            <w:shd w:val="clear" w:color="auto" w:fill="auto"/>
            <w:vAlign w:val="center"/>
          </w:tcPr>
          <w:p w14:paraId="67A252C7" w14:textId="0BBA49F1" w:rsidR="00FD42CF" w:rsidRPr="00C85EF2" w:rsidRDefault="00FD42CF" w:rsidP="00AD5070">
            <w:pPr>
              <w:rPr>
                <w:b/>
                <w:bCs/>
                <w:color w:val="auto"/>
                <w:sz w:val="18"/>
                <w:szCs w:val="18"/>
                <w:lang w:val="en-US"/>
              </w:rPr>
            </w:pPr>
            <w:r w:rsidRPr="00C85EF2">
              <w:rPr>
                <w:b/>
                <w:bCs/>
                <w:color w:val="auto"/>
                <w:sz w:val="18"/>
                <w:szCs w:val="18"/>
                <w:lang w:val="en-US"/>
              </w:rPr>
              <w:t>Table 2:</w:t>
            </w:r>
            <w:r w:rsidRPr="00C85EF2">
              <w:rPr>
                <w:b/>
                <w:color w:val="auto"/>
                <w:sz w:val="18"/>
                <w:szCs w:val="18"/>
                <w:lang w:val="en-US"/>
              </w:rPr>
              <w:tab/>
            </w:r>
            <w:r w:rsidRPr="00C85EF2">
              <w:rPr>
                <w:b/>
                <w:bCs/>
                <w:color w:val="auto"/>
                <w:sz w:val="18"/>
                <w:szCs w:val="18"/>
                <w:lang w:val="en-US"/>
              </w:rPr>
              <w:t xml:space="preserve">Recommended </w:t>
            </w:r>
            <w:r w:rsidR="00FA6C25" w:rsidRPr="00C85EF2">
              <w:rPr>
                <w:b/>
                <w:bCs/>
                <w:color w:val="auto"/>
                <w:sz w:val="18"/>
                <w:szCs w:val="18"/>
                <w:lang w:val="en-US"/>
              </w:rPr>
              <w:t>LAZCLUZE</w:t>
            </w:r>
            <w:r w:rsidRPr="00C85EF2">
              <w:rPr>
                <w:b/>
                <w:bCs/>
                <w:color w:val="auto"/>
                <w:sz w:val="18"/>
                <w:szCs w:val="18"/>
                <w:lang w:val="en-US"/>
              </w:rPr>
              <w:t xml:space="preserve"> </w:t>
            </w:r>
            <w:r w:rsidR="00C7374E" w:rsidRPr="00C85EF2">
              <w:rPr>
                <w:b/>
                <w:bCs/>
                <w:color w:val="auto"/>
                <w:sz w:val="18"/>
                <w:szCs w:val="18"/>
                <w:lang w:val="en-US"/>
              </w:rPr>
              <w:t>d</w:t>
            </w:r>
            <w:r w:rsidRPr="00C85EF2">
              <w:rPr>
                <w:b/>
                <w:bCs/>
                <w:color w:val="auto"/>
                <w:sz w:val="18"/>
                <w:szCs w:val="18"/>
                <w:lang w:val="en-US"/>
              </w:rPr>
              <w:t xml:space="preserve">ose </w:t>
            </w:r>
            <w:r w:rsidR="00C7374E" w:rsidRPr="00C85EF2">
              <w:rPr>
                <w:b/>
                <w:bCs/>
                <w:color w:val="auto"/>
                <w:sz w:val="18"/>
                <w:szCs w:val="18"/>
                <w:lang w:val="en-US"/>
              </w:rPr>
              <w:t>m</w:t>
            </w:r>
            <w:r w:rsidRPr="00C85EF2">
              <w:rPr>
                <w:b/>
                <w:bCs/>
                <w:color w:val="auto"/>
                <w:sz w:val="18"/>
                <w:szCs w:val="18"/>
                <w:lang w:val="en-US"/>
              </w:rPr>
              <w:t xml:space="preserve">odifications for </w:t>
            </w:r>
            <w:r w:rsidR="00C7374E" w:rsidRPr="00C85EF2">
              <w:rPr>
                <w:b/>
                <w:bCs/>
                <w:color w:val="auto"/>
                <w:sz w:val="18"/>
                <w:szCs w:val="18"/>
                <w:lang w:val="en-US"/>
              </w:rPr>
              <w:t>a</w:t>
            </w:r>
            <w:r w:rsidRPr="00C85EF2">
              <w:rPr>
                <w:b/>
                <w:bCs/>
                <w:color w:val="auto"/>
                <w:sz w:val="18"/>
                <w:szCs w:val="18"/>
                <w:lang w:val="en-US"/>
              </w:rPr>
              <w:t xml:space="preserve">dverse </w:t>
            </w:r>
            <w:r w:rsidR="00C7374E" w:rsidRPr="00C85EF2">
              <w:rPr>
                <w:b/>
                <w:bCs/>
                <w:color w:val="auto"/>
                <w:sz w:val="18"/>
                <w:szCs w:val="18"/>
                <w:lang w:val="en-US"/>
              </w:rPr>
              <w:t>r</w:t>
            </w:r>
            <w:r w:rsidRPr="00C85EF2">
              <w:rPr>
                <w:b/>
                <w:bCs/>
                <w:color w:val="auto"/>
                <w:sz w:val="18"/>
                <w:szCs w:val="18"/>
                <w:lang w:val="en-US"/>
              </w:rPr>
              <w:t>eactions</w:t>
            </w:r>
            <w:r w:rsidR="00641486" w:rsidRPr="00C85EF2">
              <w:rPr>
                <w:b/>
                <w:bCs/>
                <w:color w:val="auto"/>
                <w:sz w:val="18"/>
                <w:szCs w:val="18"/>
                <w:lang w:val="en-US"/>
              </w:rPr>
              <w:t>,</w:t>
            </w:r>
          </w:p>
          <w:p w14:paraId="4FEE718C" w14:textId="77777777" w:rsidR="00FD42CF" w:rsidRPr="00C85EF2" w:rsidRDefault="00FD42CF" w:rsidP="00AD5070">
            <w:pPr>
              <w:rPr>
                <w:b/>
                <w:bCs/>
                <w:color w:val="auto"/>
                <w:sz w:val="18"/>
                <w:szCs w:val="18"/>
                <w:lang w:val="en-US"/>
              </w:rPr>
            </w:pPr>
          </w:p>
        </w:tc>
      </w:tr>
      <w:tr w:rsidR="00C85EF2" w:rsidRPr="00C85EF2" w14:paraId="724F14B7" w14:textId="77777777" w:rsidTr="00BF4555">
        <w:trPr>
          <w:trHeight w:val="141"/>
        </w:trPr>
        <w:tc>
          <w:tcPr>
            <w:tcW w:w="1843" w:type="dxa"/>
            <w:shd w:val="clear" w:color="auto" w:fill="auto"/>
            <w:vAlign w:val="center"/>
          </w:tcPr>
          <w:p w14:paraId="164E248C" w14:textId="5FB2ACE9" w:rsidR="00FD42CF" w:rsidRPr="00C85EF2" w:rsidRDefault="00FD42CF" w:rsidP="00AD5070">
            <w:pPr>
              <w:rPr>
                <w:b/>
                <w:bCs/>
                <w:color w:val="auto"/>
                <w:sz w:val="18"/>
                <w:szCs w:val="18"/>
                <w:lang w:val="en-US"/>
              </w:rPr>
            </w:pPr>
            <w:r w:rsidRPr="00C85EF2">
              <w:rPr>
                <w:b/>
                <w:bCs/>
                <w:color w:val="auto"/>
                <w:sz w:val="18"/>
                <w:szCs w:val="18"/>
                <w:lang w:val="en-US"/>
              </w:rPr>
              <w:t xml:space="preserve">Adverse </w:t>
            </w:r>
            <w:r w:rsidR="00C7374E" w:rsidRPr="00C85EF2">
              <w:rPr>
                <w:b/>
                <w:bCs/>
                <w:color w:val="auto"/>
                <w:sz w:val="18"/>
                <w:szCs w:val="18"/>
                <w:lang w:val="en-US"/>
              </w:rPr>
              <w:t>r</w:t>
            </w:r>
            <w:r w:rsidRPr="00C85EF2">
              <w:rPr>
                <w:b/>
                <w:bCs/>
                <w:color w:val="auto"/>
                <w:sz w:val="18"/>
                <w:szCs w:val="18"/>
                <w:lang w:val="en-US"/>
              </w:rPr>
              <w:t xml:space="preserve">eaction </w:t>
            </w:r>
          </w:p>
        </w:tc>
        <w:tc>
          <w:tcPr>
            <w:tcW w:w="2126" w:type="dxa"/>
            <w:tcBorders>
              <w:bottom w:val="single" w:sz="4" w:space="0" w:color="auto"/>
            </w:tcBorders>
            <w:shd w:val="clear" w:color="auto" w:fill="auto"/>
            <w:vAlign w:val="center"/>
          </w:tcPr>
          <w:p w14:paraId="4EDCCFD2" w14:textId="77777777" w:rsidR="00FD42CF" w:rsidRPr="00C85EF2" w:rsidRDefault="00FD42CF" w:rsidP="00AD5070">
            <w:pPr>
              <w:rPr>
                <w:b/>
                <w:bCs/>
                <w:color w:val="auto"/>
                <w:sz w:val="18"/>
                <w:szCs w:val="18"/>
                <w:lang w:val="en-US"/>
              </w:rPr>
            </w:pPr>
            <w:r w:rsidRPr="00C85EF2">
              <w:rPr>
                <w:b/>
                <w:bCs/>
                <w:color w:val="auto"/>
                <w:sz w:val="18"/>
                <w:szCs w:val="18"/>
                <w:lang w:val="en-US"/>
              </w:rPr>
              <w:t>Severity</w:t>
            </w:r>
          </w:p>
        </w:tc>
        <w:tc>
          <w:tcPr>
            <w:tcW w:w="5670" w:type="dxa"/>
            <w:tcBorders>
              <w:bottom w:val="single" w:sz="4" w:space="0" w:color="auto"/>
            </w:tcBorders>
            <w:shd w:val="clear" w:color="auto" w:fill="auto"/>
            <w:vAlign w:val="center"/>
          </w:tcPr>
          <w:p w14:paraId="081D97A4" w14:textId="77C1AE12" w:rsidR="00FD42CF" w:rsidRPr="00C85EF2" w:rsidRDefault="00FD42CF" w:rsidP="00AD5070">
            <w:pPr>
              <w:rPr>
                <w:b/>
                <w:bCs/>
                <w:color w:val="auto"/>
                <w:sz w:val="18"/>
                <w:szCs w:val="18"/>
                <w:lang w:val="en-US"/>
              </w:rPr>
            </w:pPr>
            <w:r w:rsidRPr="00C85EF2">
              <w:rPr>
                <w:b/>
                <w:bCs/>
                <w:color w:val="auto"/>
                <w:sz w:val="18"/>
                <w:szCs w:val="18"/>
                <w:lang w:val="en-US"/>
              </w:rPr>
              <w:t xml:space="preserve">Dose </w:t>
            </w:r>
            <w:r w:rsidR="00C7374E" w:rsidRPr="00C85EF2">
              <w:rPr>
                <w:b/>
                <w:bCs/>
                <w:color w:val="auto"/>
                <w:sz w:val="18"/>
                <w:szCs w:val="18"/>
                <w:lang w:val="en-US"/>
              </w:rPr>
              <w:t>m</w:t>
            </w:r>
            <w:r w:rsidRPr="00C85EF2">
              <w:rPr>
                <w:b/>
                <w:bCs/>
                <w:color w:val="auto"/>
                <w:sz w:val="18"/>
                <w:szCs w:val="18"/>
                <w:lang w:val="en-US"/>
              </w:rPr>
              <w:t>odification</w:t>
            </w:r>
          </w:p>
        </w:tc>
      </w:tr>
      <w:tr w:rsidR="00C85EF2" w:rsidRPr="00C85EF2" w14:paraId="6611201E" w14:textId="77777777" w:rsidTr="00BF4555">
        <w:trPr>
          <w:trHeight w:val="932"/>
        </w:trPr>
        <w:tc>
          <w:tcPr>
            <w:tcW w:w="1843" w:type="dxa"/>
            <w:shd w:val="clear" w:color="auto" w:fill="auto"/>
            <w:vAlign w:val="center"/>
          </w:tcPr>
          <w:p w14:paraId="5EDA9BC7" w14:textId="21032059" w:rsidR="00FD42CF" w:rsidRPr="00C85EF2" w:rsidRDefault="00FD42CF" w:rsidP="00AD5070">
            <w:pPr>
              <w:rPr>
                <w:color w:val="auto"/>
                <w:sz w:val="18"/>
                <w:szCs w:val="18"/>
                <w:lang w:val="en-US"/>
              </w:rPr>
            </w:pPr>
            <w:r w:rsidRPr="00C85EF2">
              <w:rPr>
                <w:color w:val="auto"/>
                <w:sz w:val="18"/>
                <w:szCs w:val="18"/>
                <w:lang w:val="en-US"/>
              </w:rPr>
              <w:t>Interstitial Lung Disease (ILD)</w:t>
            </w:r>
            <w:r w:rsidR="006634AD" w:rsidRPr="00C85EF2">
              <w:rPr>
                <w:color w:val="auto"/>
                <w:sz w:val="18"/>
                <w:szCs w:val="18"/>
                <w:lang w:val="en-US"/>
              </w:rPr>
              <w:t xml:space="preserve"> / pneumonitis</w:t>
            </w:r>
            <w:r w:rsidR="0064423F" w:rsidRPr="00C85EF2">
              <w:rPr>
                <w:rStyle w:val="CommentReference"/>
                <w:color w:val="auto"/>
              </w:rPr>
              <w:t xml:space="preserve"> </w:t>
            </w:r>
          </w:p>
          <w:p w14:paraId="0396FF55" w14:textId="02B01ADF" w:rsidR="00FD42CF" w:rsidRPr="00C85EF2" w:rsidRDefault="00FD42CF" w:rsidP="00AD5070">
            <w:pPr>
              <w:rPr>
                <w:color w:val="auto"/>
                <w:sz w:val="18"/>
                <w:szCs w:val="18"/>
                <w:lang w:val="en-US"/>
              </w:rPr>
            </w:pPr>
            <w:r w:rsidRPr="00C85EF2">
              <w:rPr>
                <w:color w:val="auto"/>
                <w:sz w:val="18"/>
                <w:szCs w:val="18"/>
                <w:lang w:val="en-US"/>
              </w:rPr>
              <w:t>(see section 4.4)</w:t>
            </w:r>
          </w:p>
        </w:tc>
        <w:tc>
          <w:tcPr>
            <w:tcW w:w="2126" w:type="dxa"/>
            <w:shd w:val="clear" w:color="auto" w:fill="auto"/>
            <w:vAlign w:val="center"/>
          </w:tcPr>
          <w:p w14:paraId="52CE11C8" w14:textId="2E0A1F23" w:rsidR="00FD42CF" w:rsidRPr="00C85EF2" w:rsidRDefault="00FD42CF" w:rsidP="00AD5070">
            <w:pPr>
              <w:rPr>
                <w:color w:val="auto"/>
                <w:sz w:val="18"/>
                <w:szCs w:val="18"/>
                <w:lang w:val="en-US"/>
              </w:rPr>
            </w:pPr>
            <w:r w:rsidRPr="00C85EF2">
              <w:rPr>
                <w:color w:val="auto"/>
                <w:sz w:val="18"/>
                <w:szCs w:val="18"/>
                <w:lang w:val="en-US"/>
              </w:rPr>
              <w:t xml:space="preserve">Any </w:t>
            </w:r>
            <w:r w:rsidR="00C7374E" w:rsidRPr="00C85EF2">
              <w:rPr>
                <w:color w:val="auto"/>
                <w:sz w:val="18"/>
                <w:szCs w:val="18"/>
                <w:lang w:val="en-US"/>
              </w:rPr>
              <w:t>g</w:t>
            </w:r>
            <w:r w:rsidRPr="00C85EF2">
              <w:rPr>
                <w:color w:val="auto"/>
                <w:sz w:val="18"/>
                <w:szCs w:val="18"/>
                <w:lang w:val="en-US"/>
              </w:rPr>
              <w:t>rade</w:t>
            </w:r>
          </w:p>
        </w:tc>
        <w:tc>
          <w:tcPr>
            <w:tcW w:w="5670" w:type="dxa"/>
            <w:shd w:val="clear" w:color="auto" w:fill="auto"/>
            <w:vAlign w:val="center"/>
          </w:tcPr>
          <w:p w14:paraId="468CFE72" w14:textId="27E8F943"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Withhold LAZCLUZE if ILD/pneumonitis is suspected.</w:t>
            </w:r>
          </w:p>
          <w:p w14:paraId="2A0A3E9F" w14:textId="6D3BC9E2"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Permanently discontinue LAZCLUZE if ILD/pneumonitis is confirmed. </w:t>
            </w:r>
          </w:p>
        </w:tc>
      </w:tr>
      <w:tr w:rsidR="00C85EF2" w:rsidRPr="00C85EF2" w14:paraId="21FDDEE7" w14:textId="77777777" w:rsidTr="00BF4555">
        <w:trPr>
          <w:trHeight w:val="141"/>
        </w:trPr>
        <w:tc>
          <w:tcPr>
            <w:tcW w:w="1843" w:type="dxa"/>
            <w:vMerge w:val="restart"/>
            <w:shd w:val="clear" w:color="auto" w:fill="auto"/>
            <w:vAlign w:val="center"/>
          </w:tcPr>
          <w:p w14:paraId="3A0A0E3E" w14:textId="4AA1AAC3" w:rsidR="00FD42CF" w:rsidRPr="00C85EF2" w:rsidRDefault="00FD42CF" w:rsidP="00AD5070">
            <w:pPr>
              <w:rPr>
                <w:color w:val="auto"/>
                <w:sz w:val="18"/>
                <w:szCs w:val="18"/>
                <w:lang w:val="en-US"/>
              </w:rPr>
            </w:pPr>
            <w:r w:rsidRPr="00C85EF2">
              <w:rPr>
                <w:color w:val="auto"/>
                <w:sz w:val="18"/>
                <w:szCs w:val="18"/>
                <w:lang w:val="en-US"/>
              </w:rPr>
              <w:t xml:space="preserve">Venous Thromboembolic </w:t>
            </w:r>
            <w:r w:rsidR="006634AD" w:rsidRPr="00C85EF2">
              <w:rPr>
                <w:color w:val="auto"/>
                <w:sz w:val="18"/>
                <w:szCs w:val="18"/>
                <w:lang w:val="en-US"/>
              </w:rPr>
              <w:t xml:space="preserve">(VTE) </w:t>
            </w:r>
            <w:r w:rsidRPr="00C85EF2">
              <w:rPr>
                <w:color w:val="auto"/>
                <w:sz w:val="18"/>
                <w:szCs w:val="18"/>
                <w:lang w:val="en-US"/>
              </w:rPr>
              <w:t xml:space="preserve">Events </w:t>
            </w:r>
          </w:p>
          <w:p w14:paraId="2ED13738" w14:textId="40D40EC8" w:rsidR="00FD42CF" w:rsidRPr="00C85EF2" w:rsidRDefault="00FD42CF" w:rsidP="00AD5070">
            <w:pPr>
              <w:rPr>
                <w:color w:val="auto"/>
                <w:sz w:val="18"/>
                <w:szCs w:val="18"/>
                <w:lang w:val="en-US"/>
              </w:rPr>
            </w:pPr>
            <w:r w:rsidRPr="00C85EF2">
              <w:rPr>
                <w:color w:val="auto"/>
                <w:sz w:val="18"/>
                <w:szCs w:val="18"/>
                <w:lang w:val="en-US"/>
              </w:rPr>
              <w:t>(see section 4.4)</w:t>
            </w:r>
          </w:p>
        </w:tc>
        <w:tc>
          <w:tcPr>
            <w:tcW w:w="2126" w:type="dxa"/>
            <w:shd w:val="clear" w:color="auto" w:fill="auto"/>
            <w:vAlign w:val="center"/>
          </w:tcPr>
          <w:p w14:paraId="34899875" w14:textId="77777777" w:rsidR="00A83A5B" w:rsidRPr="00C85EF2" w:rsidRDefault="00A83A5B" w:rsidP="00AD5070">
            <w:pPr>
              <w:rPr>
                <w:color w:val="auto"/>
                <w:sz w:val="18"/>
                <w:szCs w:val="18"/>
                <w:lang w:val="en-US"/>
              </w:rPr>
            </w:pPr>
            <w:r w:rsidRPr="00C85EF2">
              <w:rPr>
                <w:color w:val="auto"/>
                <w:sz w:val="18"/>
                <w:szCs w:val="18"/>
                <w:lang w:val="en-US"/>
              </w:rPr>
              <w:t xml:space="preserve">Grade 2 or 3 </w:t>
            </w:r>
          </w:p>
          <w:p w14:paraId="2B4018E4" w14:textId="41E24591" w:rsidR="00FD42CF" w:rsidRPr="00C85EF2" w:rsidRDefault="00FD42CF" w:rsidP="00AD5070">
            <w:pPr>
              <w:rPr>
                <w:color w:val="auto"/>
                <w:sz w:val="18"/>
                <w:szCs w:val="18"/>
                <w:lang w:val="en-US"/>
              </w:rPr>
            </w:pPr>
          </w:p>
        </w:tc>
        <w:tc>
          <w:tcPr>
            <w:tcW w:w="5670" w:type="dxa"/>
            <w:shd w:val="clear" w:color="auto" w:fill="auto"/>
            <w:vAlign w:val="center"/>
          </w:tcPr>
          <w:p w14:paraId="5507A97C" w14:textId="4CB40CBD"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Withhold LAZCLUZE and amivantamab until the patient is clinically stable. Thereafter, both drugs can be resumed at the same dose, at the discretion of the treating physician. </w:t>
            </w:r>
          </w:p>
        </w:tc>
      </w:tr>
      <w:tr w:rsidR="00C85EF2" w:rsidRPr="00C85EF2" w14:paraId="050A4B45" w14:textId="77777777" w:rsidTr="00BF4555">
        <w:trPr>
          <w:trHeight w:val="141"/>
        </w:trPr>
        <w:tc>
          <w:tcPr>
            <w:tcW w:w="1843" w:type="dxa"/>
            <w:vMerge/>
            <w:shd w:val="clear" w:color="auto" w:fill="auto"/>
            <w:vAlign w:val="center"/>
          </w:tcPr>
          <w:p w14:paraId="235D0A21" w14:textId="77777777" w:rsidR="00FD42CF" w:rsidRPr="00C85EF2" w:rsidRDefault="00FD42CF" w:rsidP="00AD5070">
            <w:pPr>
              <w:rPr>
                <w:color w:val="auto"/>
                <w:sz w:val="18"/>
                <w:szCs w:val="18"/>
                <w:lang w:val="en-US"/>
              </w:rPr>
            </w:pPr>
          </w:p>
        </w:tc>
        <w:tc>
          <w:tcPr>
            <w:tcW w:w="2126" w:type="dxa"/>
            <w:shd w:val="clear" w:color="auto" w:fill="auto"/>
            <w:vAlign w:val="center"/>
          </w:tcPr>
          <w:p w14:paraId="435A4F08" w14:textId="1EE1BC1A" w:rsidR="00FD42CF" w:rsidRPr="00C85EF2" w:rsidRDefault="00A83A5B" w:rsidP="00AD5070">
            <w:pPr>
              <w:rPr>
                <w:color w:val="auto"/>
                <w:sz w:val="18"/>
                <w:szCs w:val="18"/>
                <w:lang w:val="en-US"/>
              </w:rPr>
            </w:pPr>
            <w:r w:rsidRPr="00C85EF2">
              <w:rPr>
                <w:color w:val="auto"/>
                <w:sz w:val="18"/>
                <w:szCs w:val="18"/>
                <w:lang w:val="en-US"/>
              </w:rPr>
              <w:t>Grade 4 or r</w:t>
            </w:r>
            <w:r w:rsidR="00FD42CF" w:rsidRPr="00C85EF2">
              <w:rPr>
                <w:color w:val="auto"/>
                <w:sz w:val="18"/>
                <w:szCs w:val="18"/>
                <w:lang w:val="en-US"/>
              </w:rPr>
              <w:t xml:space="preserve">ecurrent </w:t>
            </w:r>
            <w:r w:rsidRPr="00C85EF2">
              <w:rPr>
                <w:color w:val="auto"/>
                <w:sz w:val="18"/>
                <w:szCs w:val="18"/>
                <w:lang w:val="en-US"/>
              </w:rPr>
              <w:t xml:space="preserve">grade 2 or 3 </w:t>
            </w:r>
            <w:r w:rsidR="00FD42CF" w:rsidRPr="00C85EF2">
              <w:rPr>
                <w:color w:val="auto"/>
                <w:sz w:val="18"/>
                <w:szCs w:val="18"/>
                <w:lang w:val="en-US"/>
              </w:rPr>
              <w:t>despite therapeutic level anticoagulation</w:t>
            </w:r>
          </w:p>
        </w:tc>
        <w:tc>
          <w:tcPr>
            <w:tcW w:w="5670" w:type="dxa"/>
            <w:shd w:val="clear" w:color="auto" w:fill="auto"/>
            <w:vAlign w:val="center"/>
          </w:tcPr>
          <w:p w14:paraId="7A96C4D6" w14:textId="0C95A38D"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Permanently discontinue amivantamab. Treatment can resume with LAZCLUZE</w:t>
            </w:r>
            <w:r w:rsidR="00E47A0A" w:rsidRPr="00C85EF2">
              <w:rPr>
                <w:rFonts w:ascii="Arial" w:hAnsi="Arial" w:cs="Arial"/>
                <w:sz w:val="18"/>
                <w:szCs w:val="18"/>
              </w:rPr>
              <w:t xml:space="preserve"> at the same dose, if clinically warranted</w:t>
            </w:r>
            <w:r w:rsidRPr="00C85EF2">
              <w:rPr>
                <w:rFonts w:ascii="Arial" w:hAnsi="Arial" w:cs="Arial"/>
                <w:sz w:val="18"/>
                <w:szCs w:val="18"/>
              </w:rPr>
              <w:t>.</w:t>
            </w:r>
          </w:p>
        </w:tc>
      </w:tr>
      <w:tr w:rsidR="00C85EF2" w:rsidRPr="00C85EF2" w14:paraId="7F21BCD7" w14:textId="77777777" w:rsidTr="00BF4555">
        <w:trPr>
          <w:trHeight w:val="755"/>
        </w:trPr>
        <w:tc>
          <w:tcPr>
            <w:tcW w:w="1843" w:type="dxa"/>
            <w:vMerge w:val="restart"/>
            <w:shd w:val="clear" w:color="auto" w:fill="auto"/>
            <w:vAlign w:val="center"/>
          </w:tcPr>
          <w:p w14:paraId="76F63D8D" w14:textId="6B51D120" w:rsidR="00FD42CF" w:rsidRPr="00C85EF2" w:rsidRDefault="00FD42CF" w:rsidP="00AD5070">
            <w:pPr>
              <w:rPr>
                <w:color w:val="auto"/>
                <w:sz w:val="18"/>
                <w:szCs w:val="18"/>
                <w:lang w:val="en-US"/>
              </w:rPr>
            </w:pPr>
            <w:r w:rsidRPr="00C85EF2">
              <w:rPr>
                <w:color w:val="auto"/>
                <w:sz w:val="18"/>
                <w:szCs w:val="18"/>
                <w:lang w:val="en-US"/>
              </w:rPr>
              <w:t xml:space="preserve">Skin and </w:t>
            </w:r>
            <w:r w:rsidR="00C7374E" w:rsidRPr="00C85EF2">
              <w:rPr>
                <w:color w:val="auto"/>
                <w:sz w:val="18"/>
                <w:szCs w:val="18"/>
                <w:lang w:val="en-US"/>
              </w:rPr>
              <w:t>n</w:t>
            </w:r>
            <w:r w:rsidRPr="00C85EF2">
              <w:rPr>
                <w:color w:val="auto"/>
                <w:sz w:val="18"/>
                <w:szCs w:val="18"/>
                <w:lang w:val="en-US"/>
              </w:rPr>
              <w:t xml:space="preserve">ail </w:t>
            </w:r>
            <w:r w:rsidR="00C7374E" w:rsidRPr="00C85EF2">
              <w:rPr>
                <w:color w:val="auto"/>
                <w:sz w:val="18"/>
                <w:szCs w:val="18"/>
                <w:lang w:val="en-US"/>
              </w:rPr>
              <w:t>r</w:t>
            </w:r>
            <w:r w:rsidRPr="00C85EF2">
              <w:rPr>
                <w:color w:val="auto"/>
                <w:sz w:val="18"/>
                <w:szCs w:val="18"/>
                <w:lang w:val="en-US"/>
              </w:rPr>
              <w:t>eactions</w:t>
            </w:r>
          </w:p>
          <w:p w14:paraId="3B32BBA8" w14:textId="2247D5FD" w:rsidR="00FD42CF" w:rsidRPr="00C85EF2" w:rsidRDefault="00FD42CF" w:rsidP="00AD5070">
            <w:pPr>
              <w:rPr>
                <w:color w:val="auto"/>
                <w:sz w:val="18"/>
                <w:szCs w:val="18"/>
                <w:lang w:val="en-US"/>
              </w:rPr>
            </w:pPr>
            <w:r w:rsidRPr="00C85EF2">
              <w:rPr>
                <w:color w:val="auto"/>
                <w:sz w:val="18"/>
                <w:szCs w:val="18"/>
                <w:lang w:val="en-US"/>
              </w:rPr>
              <w:t>(see section 4.4)</w:t>
            </w:r>
          </w:p>
        </w:tc>
        <w:tc>
          <w:tcPr>
            <w:tcW w:w="2126" w:type="dxa"/>
            <w:tcBorders>
              <w:bottom w:val="single" w:sz="4" w:space="0" w:color="auto"/>
            </w:tcBorders>
            <w:shd w:val="clear" w:color="auto" w:fill="auto"/>
            <w:vAlign w:val="center"/>
          </w:tcPr>
          <w:p w14:paraId="2455E29E" w14:textId="77777777" w:rsidR="00FD42CF" w:rsidRPr="00C85EF2" w:rsidRDefault="00FD42CF" w:rsidP="00AD5070">
            <w:pPr>
              <w:rPr>
                <w:color w:val="auto"/>
                <w:sz w:val="18"/>
                <w:szCs w:val="18"/>
                <w:lang w:val="en-US"/>
              </w:rPr>
            </w:pPr>
            <w:r w:rsidRPr="00C85EF2">
              <w:rPr>
                <w:color w:val="auto"/>
                <w:sz w:val="18"/>
                <w:szCs w:val="18"/>
                <w:lang w:val="en-US"/>
              </w:rPr>
              <w:t>Grade 1</w:t>
            </w:r>
          </w:p>
        </w:tc>
        <w:tc>
          <w:tcPr>
            <w:tcW w:w="5670" w:type="dxa"/>
            <w:tcBorders>
              <w:bottom w:val="single" w:sz="4" w:space="0" w:color="auto"/>
            </w:tcBorders>
            <w:shd w:val="clear" w:color="auto" w:fill="auto"/>
            <w:vAlign w:val="center"/>
          </w:tcPr>
          <w:p w14:paraId="0DE37EEC" w14:textId="7777777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Supportive care should be initiated.</w:t>
            </w:r>
          </w:p>
          <w:p w14:paraId="6B88EE10" w14:textId="7777777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Reassess after 2 weeks. </w:t>
            </w:r>
          </w:p>
        </w:tc>
      </w:tr>
      <w:tr w:rsidR="00C85EF2" w:rsidRPr="00C85EF2" w14:paraId="64479EA8" w14:textId="77777777" w:rsidTr="00BF4555">
        <w:trPr>
          <w:trHeight w:val="1276"/>
        </w:trPr>
        <w:tc>
          <w:tcPr>
            <w:tcW w:w="1843" w:type="dxa"/>
            <w:vMerge/>
            <w:shd w:val="clear" w:color="auto" w:fill="auto"/>
            <w:vAlign w:val="center"/>
          </w:tcPr>
          <w:p w14:paraId="4C568D00" w14:textId="77777777" w:rsidR="00FD42CF" w:rsidRPr="00C85EF2" w:rsidRDefault="00FD42CF" w:rsidP="00AD5070">
            <w:pPr>
              <w:rPr>
                <w:color w:val="auto"/>
                <w:sz w:val="18"/>
                <w:szCs w:val="18"/>
                <w:lang w:val="en-US"/>
              </w:rPr>
            </w:pPr>
          </w:p>
        </w:tc>
        <w:tc>
          <w:tcPr>
            <w:tcW w:w="2126" w:type="dxa"/>
            <w:shd w:val="clear" w:color="auto" w:fill="auto"/>
            <w:vAlign w:val="center"/>
          </w:tcPr>
          <w:p w14:paraId="2F6C0D72" w14:textId="77777777" w:rsidR="00FD42CF" w:rsidRPr="00C85EF2" w:rsidRDefault="00FD42CF" w:rsidP="00AD5070">
            <w:pPr>
              <w:rPr>
                <w:color w:val="auto"/>
                <w:sz w:val="18"/>
                <w:szCs w:val="18"/>
                <w:lang w:val="en-US"/>
              </w:rPr>
            </w:pPr>
            <w:r w:rsidRPr="00C85EF2">
              <w:rPr>
                <w:color w:val="auto"/>
                <w:sz w:val="18"/>
                <w:szCs w:val="18"/>
                <w:lang w:val="en-US"/>
              </w:rPr>
              <w:t>Grade 2</w:t>
            </w:r>
          </w:p>
        </w:tc>
        <w:tc>
          <w:tcPr>
            <w:tcW w:w="5670" w:type="dxa"/>
            <w:shd w:val="clear" w:color="auto" w:fill="auto"/>
            <w:vAlign w:val="center"/>
          </w:tcPr>
          <w:p w14:paraId="5F4C9D16" w14:textId="7777777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Supportive care should be initiated.</w:t>
            </w:r>
          </w:p>
          <w:p w14:paraId="19334A8F" w14:textId="1F59F8A6"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If there is no improvement after 2 weeks, reduce amivantamab dose and continue LAZCLUZE. </w:t>
            </w:r>
          </w:p>
          <w:p w14:paraId="5FC00333" w14:textId="21051F4D"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Reassess every 2 weeks, if no improvement, reduce LAZCLUZE dose until ≤ Grade 1 (Table 1). </w:t>
            </w:r>
          </w:p>
        </w:tc>
      </w:tr>
      <w:tr w:rsidR="00C85EF2" w:rsidRPr="00C85EF2" w14:paraId="40101194" w14:textId="77777777" w:rsidTr="00BF4555">
        <w:trPr>
          <w:trHeight w:val="1659"/>
        </w:trPr>
        <w:tc>
          <w:tcPr>
            <w:tcW w:w="1843" w:type="dxa"/>
            <w:vMerge/>
            <w:shd w:val="clear" w:color="auto" w:fill="auto"/>
            <w:vAlign w:val="center"/>
          </w:tcPr>
          <w:p w14:paraId="2A9E78C9" w14:textId="77777777" w:rsidR="00FD42CF" w:rsidRPr="00C85EF2" w:rsidRDefault="00FD42CF" w:rsidP="00AD5070">
            <w:pPr>
              <w:rPr>
                <w:color w:val="auto"/>
                <w:sz w:val="18"/>
                <w:szCs w:val="18"/>
                <w:lang w:val="en-US"/>
              </w:rPr>
            </w:pPr>
          </w:p>
        </w:tc>
        <w:tc>
          <w:tcPr>
            <w:tcW w:w="2126" w:type="dxa"/>
            <w:shd w:val="clear" w:color="auto" w:fill="auto"/>
            <w:vAlign w:val="center"/>
          </w:tcPr>
          <w:p w14:paraId="1C8C8420" w14:textId="77777777" w:rsidR="00FD42CF" w:rsidRPr="00C85EF2" w:rsidRDefault="00FD42CF" w:rsidP="00AD5070">
            <w:pPr>
              <w:rPr>
                <w:color w:val="auto"/>
                <w:sz w:val="18"/>
                <w:szCs w:val="18"/>
                <w:lang w:val="en-US"/>
              </w:rPr>
            </w:pPr>
            <w:r w:rsidRPr="00C85EF2">
              <w:rPr>
                <w:color w:val="auto"/>
                <w:sz w:val="18"/>
                <w:szCs w:val="18"/>
                <w:lang w:val="en-US"/>
              </w:rPr>
              <w:t>Grade 3</w:t>
            </w:r>
          </w:p>
        </w:tc>
        <w:tc>
          <w:tcPr>
            <w:tcW w:w="5670" w:type="dxa"/>
            <w:shd w:val="clear" w:color="auto" w:fill="auto"/>
            <w:vAlign w:val="center"/>
          </w:tcPr>
          <w:p w14:paraId="55B56F94" w14:textId="18136FE8"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Initiate supportive care management. Withhold LAZCLUZE and amivantamab.</w:t>
            </w:r>
          </w:p>
          <w:p w14:paraId="2C866432" w14:textId="7777777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Upon recovery to ≤ Grade 2, resume both drugs at the same dose or consider dose reduction, preferentially reducing the dose of amivantamab first. </w:t>
            </w:r>
          </w:p>
          <w:p w14:paraId="3ABEAD6D" w14:textId="18BA40FA"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If there is no improvement within 2 weeks, permanently discontinue both LAZCLUZE and amivantamab. </w:t>
            </w:r>
          </w:p>
        </w:tc>
      </w:tr>
      <w:tr w:rsidR="00C85EF2" w:rsidRPr="00C85EF2" w14:paraId="41C4E653" w14:textId="77777777" w:rsidTr="00BF4555">
        <w:trPr>
          <w:trHeight w:val="141"/>
        </w:trPr>
        <w:tc>
          <w:tcPr>
            <w:tcW w:w="1843" w:type="dxa"/>
            <w:vMerge/>
            <w:tcBorders>
              <w:bottom w:val="single" w:sz="4" w:space="0" w:color="auto"/>
            </w:tcBorders>
            <w:shd w:val="clear" w:color="auto" w:fill="auto"/>
            <w:vAlign w:val="center"/>
          </w:tcPr>
          <w:p w14:paraId="437F3295" w14:textId="77777777" w:rsidR="00FD42CF" w:rsidRPr="00C85EF2" w:rsidRDefault="00FD42CF" w:rsidP="00AD5070">
            <w:pPr>
              <w:rPr>
                <w:color w:val="auto"/>
                <w:sz w:val="18"/>
                <w:szCs w:val="18"/>
                <w:lang w:val="en-US"/>
              </w:rPr>
            </w:pPr>
          </w:p>
        </w:tc>
        <w:tc>
          <w:tcPr>
            <w:tcW w:w="2126" w:type="dxa"/>
            <w:tcBorders>
              <w:bottom w:val="single" w:sz="4" w:space="0" w:color="auto"/>
            </w:tcBorders>
            <w:shd w:val="clear" w:color="auto" w:fill="auto"/>
            <w:vAlign w:val="center"/>
          </w:tcPr>
          <w:p w14:paraId="01C4537A" w14:textId="77777777" w:rsidR="00FD42CF" w:rsidRPr="00C85EF2" w:rsidRDefault="00FD42CF" w:rsidP="00AD5070">
            <w:pPr>
              <w:rPr>
                <w:color w:val="auto"/>
                <w:sz w:val="18"/>
                <w:szCs w:val="18"/>
                <w:lang w:val="en-US"/>
              </w:rPr>
            </w:pPr>
            <w:r w:rsidRPr="00C85EF2">
              <w:rPr>
                <w:color w:val="auto"/>
                <w:sz w:val="18"/>
                <w:szCs w:val="18"/>
                <w:lang w:val="en-US"/>
              </w:rPr>
              <w:t>Grade 4 (including severe bullous, blistering or exfoliating skin conditions)</w:t>
            </w:r>
          </w:p>
        </w:tc>
        <w:tc>
          <w:tcPr>
            <w:tcW w:w="5670" w:type="dxa"/>
            <w:tcBorders>
              <w:bottom w:val="single" w:sz="4" w:space="0" w:color="auto"/>
            </w:tcBorders>
            <w:shd w:val="clear" w:color="auto" w:fill="auto"/>
            <w:vAlign w:val="center"/>
          </w:tcPr>
          <w:p w14:paraId="63C31E86" w14:textId="7777777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 xml:space="preserve">Permanently discontinue amivantamab. </w:t>
            </w:r>
          </w:p>
          <w:p w14:paraId="4F76E528" w14:textId="7F278BD6"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Withhold LAZCLUZE until ≤ Grade 2 or baseline.</w:t>
            </w:r>
          </w:p>
          <w:p w14:paraId="1F41FE49" w14:textId="68A47B84"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Upon recovery to ≤ Grade 2, resume LAZCLUZE at the same dose or consider dose reduction.</w:t>
            </w:r>
          </w:p>
        </w:tc>
      </w:tr>
      <w:tr w:rsidR="00C85EF2" w:rsidRPr="00C85EF2" w14:paraId="4CAF4AA7" w14:textId="77777777" w:rsidTr="00BF4555">
        <w:trPr>
          <w:trHeight w:val="550"/>
        </w:trPr>
        <w:tc>
          <w:tcPr>
            <w:tcW w:w="1843" w:type="dxa"/>
            <w:shd w:val="clear" w:color="auto" w:fill="auto"/>
            <w:vAlign w:val="center"/>
          </w:tcPr>
          <w:p w14:paraId="39C4D3A5" w14:textId="2EF0B90B" w:rsidR="00FD42CF" w:rsidRPr="00C85EF2" w:rsidRDefault="00FD42CF" w:rsidP="00AD5070">
            <w:pPr>
              <w:rPr>
                <w:color w:val="auto"/>
                <w:sz w:val="18"/>
                <w:szCs w:val="18"/>
                <w:lang w:val="en-US"/>
              </w:rPr>
            </w:pPr>
            <w:r w:rsidRPr="00C85EF2">
              <w:rPr>
                <w:color w:val="auto"/>
                <w:sz w:val="18"/>
                <w:szCs w:val="18"/>
                <w:lang w:val="en-US"/>
              </w:rPr>
              <w:t xml:space="preserve">Other </w:t>
            </w:r>
            <w:r w:rsidR="00C7374E" w:rsidRPr="00C85EF2">
              <w:rPr>
                <w:color w:val="auto"/>
                <w:sz w:val="18"/>
                <w:szCs w:val="18"/>
                <w:lang w:val="en-US"/>
              </w:rPr>
              <w:t>a</w:t>
            </w:r>
            <w:r w:rsidRPr="00C85EF2">
              <w:rPr>
                <w:color w:val="auto"/>
                <w:sz w:val="18"/>
                <w:szCs w:val="18"/>
                <w:lang w:val="en-US"/>
              </w:rPr>
              <w:t xml:space="preserve">dverse </w:t>
            </w:r>
            <w:r w:rsidR="00C7374E" w:rsidRPr="00C85EF2">
              <w:rPr>
                <w:color w:val="auto"/>
                <w:sz w:val="18"/>
                <w:szCs w:val="18"/>
                <w:lang w:val="en-US"/>
              </w:rPr>
              <w:t>r</w:t>
            </w:r>
            <w:r w:rsidRPr="00C85EF2">
              <w:rPr>
                <w:color w:val="auto"/>
                <w:sz w:val="18"/>
                <w:szCs w:val="18"/>
                <w:lang w:val="en-US"/>
              </w:rPr>
              <w:t>eactions</w:t>
            </w:r>
          </w:p>
        </w:tc>
        <w:tc>
          <w:tcPr>
            <w:tcW w:w="2126" w:type="dxa"/>
            <w:tcBorders>
              <w:bottom w:val="single" w:sz="4" w:space="0" w:color="auto"/>
            </w:tcBorders>
            <w:shd w:val="clear" w:color="auto" w:fill="auto"/>
            <w:vAlign w:val="center"/>
          </w:tcPr>
          <w:p w14:paraId="4EF84472" w14:textId="77777777" w:rsidR="00FD42CF" w:rsidRPr="00C85EF2" w:rsidRDefault="00FD42CF" w:rsidP="00AD5070">
            <w:pPr>
              <w:rPr>
                <w:color w:val="auto"/>
                <w:sz w:val="18"/>
                <w:szCs w:val="18"/>
                <w:lang w:val="en-US"/>
              </w:rPr>
            </w:pPr>
            <w:r w:rsidRPr="00C85EF2">
              <w:rPr>
                <w:color w:val="auto"/>
                <w:sz w:val="18"/>
                <w:szCs w:val="18"/>
                <w:lang w:val="en-US"/>
              </w:rPr>
              <w:t>Grade 3-4</w:t>
            </w:r>
          </w:p>
        </w:tc>
        <w:tc>
          <w:tcPr>
            <w:tcW w:w="5670" w:type="dxa"/>
            <w:shd w:val="clear" w:color="auto" w:fill="auto"/>
            <w:vAlign w:val="center"/>
          </w:tcPr>
          <w:p w14:paraId="2566ABA6" w14:textId="2FD8B421"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Withhold both LAZCLUZE and amivantamab until the adverse reaction resolves to ≤ Grade 1 or baseline.</w:t>
            </w:r>
          </w:p>
          <w:p w14:paraId="6ED3B7CC" w14:textId="00529CA5"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Resume one or both drugs, preferentially resuming LAZCLUZE first at a reduced dose, unless the adverse reaction is strongly suspected to be related to LAZCLUZE.</w:t>
            </w:r>
          </w:p>
          <w:p w14:paraId="4B3F0BAA" w14:textId="28F183C7" w:rsidR="00FD42CF" w:rsidRPr="00C85EF2" w:rsidRDefault="00FD42CF" w:rsidP="00AD5070">
            <w:pPr>
              <w:pStyle w:val="ListParagraph"/>
              <w:numPr>
                <w:ilvl w:val="0"/>
                <w:numId w:val="46"/>
              </w:numPr>
              <w:ind w:left="364"/>
              <w:rPr>
                <w:rFonts w:ascii="Arial" w:hAnsi="Arial" w:cs="Arial"/>
                <w:sz w:val="18"/>
                <w:szCs w:val="18"/>
              </w:rPr>
            </w:pPr>
            <w:r w:rsidRPr="00C85EF2">
              <w:rPr>
                <w:rFonts w:ascii="Arial" w:hAnsi="Arial" w:cs="Arial"/>
                <w:sz w:val="18"/>
                <w:szCs w:val="18"/>
              </w:rPr>
              <w:t>Consider permanently discontinuing both LAZCLUZE and amivantamab if recovery does not occur within 4 weeks.</w:t>
            </w:r>
          </w:p>
        </w:tc>
      </w:tr>
    </w:tbl>
    <w:p w14:paraId="15ABCF7D" w14:textId="77777777" w:rsidR="00EF068E" w:rsidRPr="00C85EF2" w:rsidRDefault="00EF068E" w:rsidP="00AD5070">
      <w:pPr>
        <w:rPr>
          <w:color w:val="auto"/>
        </w:rPr>
      </w:pPr>
      <w:bookmarkStart w:id="6" w:name="_Hlk48571366"/>
    </w:p>
    <w:p w14:paraId="5D320E0D" w14:textId="7375A698" w:rsidR="00EF068E" w:rsidRPr="00C85EF2" w:rsidRDefault="00EF068E" w:rsidP="00AD5070">
      <w:pPr>
        <w:rPr>
          <w:rFonts w:eastAsiaTheme="minorHAnsi"/>
          <w:color w:val="auto"/>
          <w:lang w:val="en-US"/>
        </w:rPr>
      </w:pPr>
      <w:r w:rsidRPr="00C85EF2">
        <w:rPr>
          <w:color w:val="auto"/>
        </w:rPr>
        <w:t>Refer to the amivantamab product information for information about dose modifications for amivantamab.</w:t>
      </w:r>
    </w:p>
    <w:p w14:paraId="4E6CED30" w14:textId="34A947BE" w:rsidR="001B43DE" w:rsidRPr="00C85EF2" w:rsidRDefault="001B43DE" w:rsidP="00AD5070">
      <w:pPr>
        <w:pStyle w:val="Heading3"/>
        <w:jc w:val="left"/>
        <w:rPr>
          <w:rFonts w:eastAsiaTheme="minorHAnsi"/>
          <w:color w:val="auto"/>
          <w:lang w:val="en-US"/>
        </w:rPr>
      </w:pPr>
      <w:r w:rsidRPr="00C85EF2">
        <w:rPr>
          <w:rFonts w:eastAsiaTheme="minorHAnsi"/>
          <w:color w:val="auto"/>
          <w:lang w:val="en-US"/>
        </w:rPr>
        <w:t>Special populations</w:t>
      </w:r>
    </w:p>
    <w:p w14:paraId="46716BC2" w14:textId="114BB9ED" w:rsidR="001B43DE" w:rsidRPr="00C85EF2" w:rsidRDefault="001B43DE" w:rsidP="00AD5070">
      <w:pPr>
        <w:pStyle w:val="BodyText1"/>
        <w:jc w:val="left"/>
        <w:rPr>
          <w:b/>
          <w:i/>
          <w:iCs/>
          <w:lang w:val="en-US"/>
        </w:rPr>
      </w:pPr>
      <w:proofErr w:type="spellStart"/>
      <w:r w:rsidRPr="00C85EF2">
        <w:rPr>
          <w:b/>
          <w:i/>
          <w:iCs/>
          <w:lang w:val="en-US"/>
        </w:rPr>
        <w:t>Paediatrics</w:t>
      </w:r>
      <w:proofErr w:type="spellEnd"/>
      <w:r w:rsidRPr="00C85EF2">
        <w:rPr>
          <w:b/>
          <w:i/>
          <w:iCs/>
          <w:lang w:val="en-US"/>
        </w:rPr>
        <w:t xml:space="preserve"> (17 years of age and younger)</w:t>
      </w:r>
    </w:p>
    <w:p w14:paraId="1D1615C5" w14:textId="7DAB9238" w:rsidR="001B43DE" w:rsidRPr="00C85EF2" w:rsidRDefault="001B43DE" w:rsidP="00AD5070">
      <w:pPr>
        <w:pStyle w:val="BodyText1"/>
        <w:jc w:val="left"/>
        <w:rPr>
          <w:bCs/>
          <w:lang w:val="en-US"/>
        </w:rPr>
      </w:pPr>
      <w:r w:rsidRPr="00C85EF2">
        <w:rPr>
          <w:bCs/>
          <w:lang w:val="en-US"/>
        </w:rPr>
        <w:t xml:space="preserve">The safety and efficacy of </w:t>
      </w:r>
      <w:r w:rsidR="00EF068E" w:rsidRPr="00C85EF2">
        <w:rPr>
          <w:bCs/>
          <w:lang w:val="en-US"/>
        </w:rPr>
        <w:t>LAZCLUZE</w:t>
      </w:r>
      <w:r w:rsidRPr="00C85EF2">
        <w:rPr>
          <w:bCs/>
          <w:lang w:val="en-US"/>
        </w:rPr>
        <w:t xml:space="preserve"> have not been established in </w:t>
      </w:r>
      <w:r w:rsidRPr="00C85EF2">
        <w:rPr>
          <w:bCs/>
        </w:rPr>
        <w:t>paediatric</w:t>
      </w:r>
      <w:r w:rsidRPr="00C85EF2">
        <w:rPr>
          <w:bCs/>
          <w:lang w:val="en-US"/>
        </w:rPr>
        <w:t xml:space="preserve"> patients.</w:t>
      </w:r>
    </w:p>
    <w:p w14:paraId="50325392" w14:textId="26034D48" w:rsidR="001B43DE" w:rsidRPr="00C85EF2" w:rsidRDefault="001B43DE" w:rsidP="00AD5070">
      <w:pPr>
        <w:pStyle w:val="BodyText1"/>
        <w:jc w:val="left"/>
        <w:rPr>
          <w:b/>
          <w:i/>
          <w:iCs/>
          <w:lang w:val="en-US"/>
        </w:rPr>
      </w:pPr>
      <w:r w:rsidRPr="00C85EF2">
        <w:rPr>
          <w:b/>
          <w:i/>
          <w:iCs/>
          <w:lang w:val="en-US"/>
        </w:rPr>
        <w:t>Elderly (65 years of age and older)</w:t>
      </w:r>
    </w:p>
    <w:p w14:paraId="45F87B6F" w14:textId="3E64FAD2" w:rsidR="00EF068E" w:rsidRPr="00C85EF2" w:rsidRDefault="00EF068E" w:rsidP="00AD5070">
      <w:pPr>
        <w:pStyle w:val="BodyText1"/>
        <w:jc w:val="left"/>
        <w:rPr>
          <w:bCs/>
          <w:lang w:val="en-US"/>
        </w:rPr>
      </w:pPr>
      <w:bookmarkStart w:id="7" w:name="_Hlk39754997"/>
      <w:bookmarkStart w:id="8" w:name="_Hlk38613027"/>
      <w:r w:rsidRPr="00C85EF2">
        <w:rPr>
          <w:bCs/>
          <w:lang w:val="en-US"/>
        </w:rPr>
        <w:t>Among 421 patients with non-small cell lung cancer treated with LAZCLUZE in combination with amivantamab in NSC3003 (MARIPOSA), 44.7% were 65 years and older and 11.6% were 75 years and older.</w:t>
      </w:r>
      <w:r w:rsidR="00C85EF2" w:rsidRPr="00C85EF2">
        <w:rPr>
          <w:bCs/>
          <w:lang w:val="en-US"/>
        </w:rPr>
        <w:t xml:space="preserve"> </w:t>
      </w:r>
      <w:r w:rsidR="00E85EC7" w:rsidRPr="00C85EF2">
        <w:rPr>
          <w:bCs/>
          <w:lang w:val="en-US"/>
        </w:rPr>
        <w:t xml:space="preserve">Older patients (≥ 65 years of age) reported more Grade 3 or higher adverse events compared to patients &lt; 65 years of age (81% vs. 70%). While the rates of drug interruptions and dose reductions were similar, the rate of adverse events leading to any treatment discontinuation was higher in patients ≥ 65 years of age compared to patients &lt; 65 years of age (47% vs. 25%). </w:t>
      </w:r>
      <w:r w:rsidRPr="00C85EF2">
        <w:rPr>
          <w:bCs/>
          <w:lang w:val="en-US"/>
        </w:rPr>
        <w:t xml:space="preserve"> No dose adjustment based on age is required (see Section 5.2 Pharmacokinetic properties).</w:t>
      </w:r>
    </w:p>
    <w:bookmarkEnd w:id="7"/>
    <w:bookmarkEnd w:id="8"/>
    <w:p w14:paraId="67B87CED" w14:textId="351AC978" w:rsidR="001B43DE" w:rsidRPr="00C85EF2" w:rsidRDefault="001B43DE" w:rsidP="00AD5070">
      <w:pPr>
        <w:pStyle w:val="BodyText1"/>
        <w:jc w:val="left"/>
        <w:rPr>
          <w:b/>
          <w:i/>
          <w:iCs/>
          <w:lang w:val="en-US"/>
        </w:rPr>
      </w:pPr>
      <w:r w:rsidRPr="00C85EF2">
        <w:rPr>
          <w:b/>
          <w:i/>
          <w:iCs/>
          <w:lang w:val="en-US"/>
        </w:rPr>
        <w:t>Renal impairment</w:t>
      </w:r>
    </w:p>
    <w:p w14:paraId="5FAFD3C3" w14:textId="48226604" w:rsidR="001B43DE" w:rsidRPr="00C85EF2" w:rsidRDefault="00E85EC7" w:rsidP="00AD5070">
      <w:pPr>
        <w:pStyle w:val="BodyText1"/>
        <w:jc w:val="left"/>
        <w:rPr>
          <w:bCs/>
          <w:lang w:val="en-US"/>
        </w:rPr>
      </w:pPr>
      <w:r w:rsidRPr="00C85EF2">
        <w:rPr>
          <w:bCs/>
        </w:rPr>
        <w:t xml:space="preserve">No dose adjustment is recommended in patients with mild or moderate renal impairment. </w:t>
      </w:r>
      <w:proofErr w:type="spellStart"/>
      <w:r w:rsidRPr="00C85EF2">
        <w:rPr>
          <w:bCs/>
        </w:rPr>
        <w:t>Lazcluze</w:t>
      </w:r>
      <w:proofErr w:type="spellEnd"/>
      <w:r w:rsidRPr="00C85EF2">
        <w:rPr>
          <w:bCs/>
        </w:rPr>
        <w:t xml:space="preserve"> has not been studied in patients with severe renal impairment or end-stage renal disease (eGFR &lt; 30mL/min)</w:t>
      </w:r>
      <w:r w:rsidR="0064423F" w:rsidRPr="00C85EF2">
        <w:rPr>
          <w:bCs/>
          <w:lang w:val="en-US"/>
        </w:rPr>
        <w:t xml:space="preserve">. </w:t>
      </w:r>
      <w:r w:rsidR="001B43DE" w:rsidRPr="00C85EF2">
        <w:rPr>
          <w:bCs/>
          <w:lang w:val="en-US"/>
        </w:rPr>
        <w:t xml:space="preserve">(see Section 5.2 Pharmacokinetic </w:t>
      </w:r>
      <w:r w:rsidR="00185915" w:rsidRPr="00C85EF2">
        <w:rPr>
          <w:bCs/>
          <w:lang w:val="en-US"/>
        </w:rPr>
        <w:t>p</w:t>
      </w:r>
      <w:r w:rsidR="001B43DE" w:rsidRPr="00C85EF2">
        <w:rPr>
          <w:bCs/>
          <w:lang w:val="en-US"/>
        </w:rPr>
        <w:t>roperties).</w:t>
      </w:r>
    </w:p>
    <w:p w14:paraId="385EF0F8" w14:textId="77777777" w:rsidR="001B43DE" w:rsidRPr="00C85EF2" w:rsidRDefault="001B43DE" w:rsidP="00AD5070">
      <w:pPr>
        <w:pStyle w:val="BodyText1"/>
        <w:jc w:val="left"/>
        <w:rPr>
          <w:b/>
          <w:bCs/>
          <w:lang w:val="en-US"/>
        </w:rPr>
      </w:pPr>
      <w:r w:rsidRPr="00C85EF2">
        <w:rPr>
          <w:b/>
          <w:bCs/>
          <w:i/>
          <w:lang w:val="en-US"/>
        </w:rPr>
        <w:t>Hepatic impairment</w:t>
      </w:r>
    </w:p>
    <w:p w14:paraId="2D4F2027" w14:textId="0CA29931" w:rsidR="001B43DE" w:rsidRPr="00C85EF2" w:rsidRDefault="0064423F" w:rsidP="00AD5070">
      <w:pPr>
        <w:pStyle w:val="BodyText1"/>
        <w:jc w:val="left"/>
        <w:rPr>
          <w:bCs/>
          <w:lang w:val="en-US"/>
        </w:rPr>
      </w:pPr>
      <w:r w:rsidRPr="00C85EF2">
        <w:rPr>
          <w:bCs/>
          <w:lang w:val="en-US"/>
        </w:rPr>
        <w:t>No dose adjustment is required for patients with mild or moderate hepatic impairment. The PK of lazertinib in patients with severe hepatic impairment is unknown</w:t>
      </w:r>
      <w:r w:rsidR="00D37B81" w:rsidRPr="00C85EF2">
        <w:rPr>
          <w:bCs/>
        </w:rPr>
        <w:t>.</w:t>
      </w:r>
      <w:r w:rsidRPr="00C85EF2">
        <w:rPr>
          <w:bCs/>
          <w:lang w:val="en-US"/>
        </w:rPr>
        <w:t xml:space="preserve"> </w:t>
      </w:r>
      <w:r w:rsidR="00A83A5B" w:rsidRPr="00C85EF2">
        <w:rPr>
          <w:bCs/>
          <w:lang w:val="en-US"/>
        </w:rPr>
        <w:t xml:space="preserve">Caution is required in patients with severe hepatic impairment </w:t>
      </w:r>
      <w:r w:rsidR="001B43DE" w:rsidRPr="00C85EF2">
        <w:rPr>
          <w:bCs/>
          <w:lang w:val="en-US"/>
        </w:rPr>
        <w:t xml:space="preserve">(see Section 5.2 Pharmacokinetic </w:t>
      </w:r>
      <w:r w:rsidR="00185915" w:rsidRPr="00C85EF2">
        <w:rPr>
          <w:bCs/>
          <w:lang w:val="en-US"/>
        </w:rPr>
        <w:t>p</w:t>
      </w:r>
      <w:r w:rsidR="001B43DE" w:rsidRPr="00C85EF2">
        <w:rPr>
          <w:bCs/>
          <w:lang w:val="en-US"/>
        </w:rPr>
        <w:t>roperties).</w:t>
      </w:r>
    </w:p>
    <w:p w14:paraId="7560B3B2" w14:textId="5ACAAA34" w:rsidR="001B43DE" w:rsidRPr="00C85EF2" w:rsidRDefault="001B43DE" w:rsidP="00AD5070">
      <w:pPr>
        <w:pStyle w:val="BodyText1"/>
        <w:jc w:val="left"/>
        <w:rPr>
          <w:bCs/>
          <w:lang w:val="en-US"/>
        </w:rPr>
      </w:pPr>
    </w:p>
    <w:p w14:paraId="2BF07B43" w14:textId="400D86A4" w:rsidR="004C60B8" w:rsidRPr="00C85EF2" w:rsidRDefault="004C60B8" w:rsidP="00AD5070">
      <w:pPr>
        <w:pStyle w:val="Heading3"/>
        <w:jc w:val="left"/>
        <w:rPr>
          <w:rFonts w:eastAsiaTheme="minorHAnsi"/>
          <w:color w:val="auto"/>
          <w:lang w:val="en-US"/>
        </w:rPr>
      </w:pPr>
      <w:r w:rsidRPr="00C85EF2">
        <w:rPr>
          <w:rFonts w:eastAsiaTheme="minorHAnsi"/>
          <w:color w:val="auto"/>
          <w:lang w:val="en-US"/>
        </w:rPr>
        <w:t>Administration</w:t>
      </w:r>
    </w:p>
    <w:p w14:paraId="1492CBE5" w14:textId="0181E2C5" w:rsidR="0064423F" w:rsidRPr="00C85EF2" w:rsidRDefault="0064423F" w:rsidP="00AD5070">
      <w:pPr>
        <w:pStyle w:val="BodyText1"/>
        <w:jc w:val="left"/>
        <w:rPr>
          <w:bCs/>
          <w:lang w:val="en-US"/>
        </w:rPr>
      </w:pPr>
      <w:r w:rsidRPr="00C85EF2">
        <w:rPr>
          <w:bCs/>
          <w:lang w:val="en-US"/>
        </w:rPr>
        <w:t>This product is for oral use. Swallow tablets whole with or without food. Do not crush, split, or chew the tablet.</w:t>
      </w:r>
    </w:p>
    <w:p w14:paraId="2BB83FAE" w14:textId="02B8B510" w:rsidR="004C60B8" w:rsidRPr="00C85EF2" w:rsidRDefault="0064423F" w:rsidP="00AD5070">
      <w:pPr>
        <w:pStyle w:val="BodyText1"/>
        <w:jc w:val="left"/>
        <w:rPr>
          <w:bCs/>
          <w:lang w:val="en-US"/>
        </w:rPr>
      </w:pPr>
      <w:r w:rsidRPr="00C85EF2">
        <w:rPr>
          <w:bCs/>
          <w:lang w:val="en-US"/>
        </w:rPr>
        <w:t xml:space="preserve">If vomiting occurs any time after taking </w:t>
      </w:r>
      <w:r w:rsidR="00FA6C25" w:rsidRPr="00C85EF2">
        <w:rPr>
          <w:bCs/>
          <w:lang w:val="en-US"/>
        </w:rPr>
        <w:t>LAZCLUZE</w:t>
      </w:r>
      <w:r w:rsidRPr="00C85EF2">
        <w:rPr>
          <w:bCs/>
          <w:lang w:val="en-US"/>
        </w:rPr>
        <w:t>, take the next dose the next day.</w:t>
      </w:r>
    </w:p>
    <w:bookmarkEnd w:id="6"/>
    <w:p w14:paraId="4A818A47" w14:textId="77777777" w:rsidR="00C15380" w:rsidRPr="00C85EF2" w:rsidRDefault="00C15380" w:rsidP="00AD5070">
      <w:pPr>
        <w:pStyle w:val="BodyText1"/>
        <w:jc w:val="left"/>
        <w:rPr>
          <w:b/>
        </w:rPr>
      </w:pPr>
    </w:p>
    <w:p w14:paraId="6FFFF637" w14:textId="2E5F446E" w:rsidR="0088073D" w:rsidRPr="00C85EF2" w:rsidRDefault="0088073D" w:rsidP="00AD5070">
      <w:pPr>
        <w:pStyle w:val="Heading2"/>
        <w:keepNext/>
        <w:numPr>
          <w:ilvl w:val="1"/>
          <w:numId w:val="18"/>
        </w:numPr>
        <w:ind w:left="426" w:hanging="426"/>
        <w:jc w:val="left"/>
        <w:rPr>
          <w:caps/>
          <w:color w:val="auto"/>
        </w:rPr>
      </w:pPr>
      <w:r w:rsidRPr="00C85EF2">
        <w:rPr>
          <w:color w:val="auto"/>
        </w:rPr>
        <w:t>CONTRAINDICATIONS</w:t>
      </w:r>
    </w:p>
    <w:p w14:paraId="0DD6B870" w14:textId="74502101" w:rsidR="00F37D52" w:rsidRPr="00C85EF2" w:rsidRDefault="002C4139" w:rsidP="00AD5070">
      <w:pPr>
        <w:pStyle w:val="BodyText1"/>
        <w:jc w:val="left"/>
        <w:rPr>
          <w:bCs/>
          <w:lang w:val="en-GB"/>
        </w:rPr>
      </w:pPr>
      <w:r w:rsidRPr="00C85EF2">
        <w:rPr>
          <w:bCs/>
          <w:lang w:val="en-GB"/>
        </w:rPr>
        <w:t xml:space="preserve">Hypersensitivity to </w:t>
      </w:r>
      <w:r w:rsidR="004020F3" w:rsidRPr="00C85EF2">
        <w:rPr>
          <w:bCs/>
          <w:lang w:val="en-GB"/>
        </w:rPr>
        <w:t>lazertini</w:t>
      </w:r>
      <w:r w:rsidRPr="00C85EF2">
        <w:rPr>
          <w:bCs/>
          <w:lang w:val="en-GB"/>
        </w:rPr>
        <w:t>b or to any of the excipients listed in section 6.1</w:t>
      </w:r>
      <w:r w:rsidR="00561437" w:rsidRPr="00C85EF2">
        <w:rPr>
          <w:bCs/>
          <w:lang w:val="en-GB"/>
        </w:rPr>
        <w:t xml:space="preserve"> List of Excipients</w:t>
      </w:r>
      <w:r w:rsidR="00951C0D" w:rsidRPr="00C85EF2">
        <w:rPr>
          <w:bCs/>
          <w:lang w:val="en-US"/>
        </w:rPr>
        <w:t>.</w:t>
      </w:r>
    </w:p>
    <w:p w14:paraId="508CCA9E" w14:textId="428BF22E" w:rsidR="00C15380" w:rsidRPr="00C85EF2" w:rsidRDefault="000603B8" w:rsidP="00AD5070">
      <w:pPr>
        <w:pStyle w:val="BodyText1"/>
        <w:jc w:val="left"/>
        <w:rPr>
          <w:bCs/>
        </w:rPr>
      </w:pPr>
      <w:r w:rsidRPr="00C85EF2">
        <w:rPr>
          <w:bCs/>
        </w:rPr>
        <w:tab/>
      </w:r>
    </w:p>
    <w:p w14:paraId="0458332A" w14:textId="5652B2A9" w:rsidR="00E15BB4" w:rsidRPr="00C85EF2" w:rsidRDefault="000F510E" w:rsidP="00AD5070">
      <w:pPr>
        <w:pStyle w:val="Heading2"/>
        <w:numPr>
          <w:ilvl w:val="1"/>
          <w:numId w:val="18"/>
        </w:numPr>
        <w:ind w:left="426" w:hanging="426"/>
        <w:jc w:val="left"/>
        <w:rPr>
          <w:color w:val="auto"/>
        </w:rPr>
      </w:pPr>
      <w:r w:rsidRPr="00C85EF2">
        <w:rPr>
          <w:color w:val="auto"/>
        </w:rPr>
        <w:t>SPECIAL WARNINGS AND PRECAUTIONS FOR USE</w:t>
      </w:r>
    </w:p>
    <w:p w14:paraId="09C01B6D" w14:textId="4B912938" w:rsidR="00A9229B" w:rsidRPr="00C85EF2" w:rsidRDefault="004871E9" w:rsidP="00AD5070">
      <w:pPr>
        <w:pStyle w:val="Heading3"/>
        <w:jc w:val="left"/>
        <w:rPr>
          <w:rFonts w:eastAsiaTheme="minorHAnsi"/>
          <w:color w:val="auto"/>
        </w:rPr>
      </w:pPr>
      <w:bookmarkStart w:id="9" w:name="_Hlk53066344"/>
      <w:r w:rsidRPr="00C85EF2">
        <w:rPr>
          <w:rFonts w:eastAsiaTheme="minorHAnsi"/>
          <w:color w:val="auto"/>
          <w:lang w:val="en-US"/>
        </w:rPr>
        <w:t xml:space="preserve">Interstitial </w:t>
      </w:r>
      <w:r w:rsidR="00AE7FBB" w:rsidRPr="00C85EF2">
        <w:rPr>
          <w:rFonts w:eastAsiaTheme="minorHAnsi"/>
          <w:color w:val="auto"/>
          <w:lang w:val="en-US"/>
        </w:rPr>
        <w:t>l</w:t>
      </w:r>
      <w:r w:rsidRPr="00C85EF2">
        <w:rPr>
          <w:rFonts w:eastAsiaTheme="minorHAnsi"/>
          <w:color w:val="auto"/>
          <w:lang w:val="en-US"/>
        </w:rPr>
        <w:t xml:space="preserve">ung </w:t>
      </w:r>
      <w:r w:rsidR="00AE7FBB" w:rsidRPr="00C85EF2">
        <w:rPr>
          <w:rFonts w:eastAsiaTheme="minorHAnsi"/>
          <w:color w:val="auto"/>
          <w:lang w:val="en-US"/>
        </w:rPr>
        <w:t>d</w:t>
      </w:r>
      <w:r w:rsidRPr="00C85EF2">
        <w:rPr>
          <w:rFonts w:eastAsiaTheme="minorHAnsi"/>
          <w:color w:val="auto"/>
          <w:lang w:val="en-US"/>
        </w:rPr>
        <w:t>isease</w:t>
      </w:r>
      <w:r w:rsidR="00E1340D" w:rsidRPr="00C85EF2">
        <w:rPr>
          <w:rFonts w:eastAsiaTheme="minorHAnsi"/>
          <w:color w:val="auto"/>
          <w:lang w:val="en-US"/>
        </w:rPr>
        <w:t xml:space="preserve"> (ILD)</w:t>
      </w:r>
      <w:r w:rsidR="00096647" w:rsidRPr="00C85EF2">
        <w:rPr>
          <w:rFonts w:eastAsiaTheme="minorHAnsi"/>
          <w:color w:val="auto"/>
          <w:lang w:val="en-US"/>
        </w:rPr>
        <w:t>/pneumonitis</w:t>
      </w:r>
    </w:p>
    <w:p w14:paraId="0D967AD1" w14:textId="77777777" w:rsidR="00D57732" w:rsidRPr="00C85EF2" w:rsidRDefault="1E2CE814" w:rsidP="00AD5070">
      <w:pPr>
        <w:pStyle w:val="BodyText"/>
        <w:jc w:val="left"/>
        <w:rPr>
          <w:rFonts w:eastAsiaTheme="majorEastAsia"/>
          <w:color w:val="auto"/>
        </w:rPr>
      </w:pPr>
      <w:r w:rsidRPr="00C85EF2">
        <w:rPr>
          <w:color w:val="auto"/>
          <w:lang w:val="en-US"/>
        </w:rPr>
        <w:t>Interstitial lung disease (ILD)</w:t>
      </w:r>
      <w:r w:rsidR="3385A3D5" w:rsidRPr="00C85EF2">
        <w:rPr>
          <w:color w:val="auto"/>
          <w:lang w:val="en-US"/>
        </w:rPr>
        <w:t>/</w:t>
      </w:r>
      <w:r w:rsidRPr="00C85EF2">
        <w:rPr>
          <w:color w:val="auto"/>
          <w:lang w:val="en-US"/>
        </w:rPr>
        <w:t>pneumonitis</w:t>
      </w:r>
      <w:r w:rsidR="26248BE5" w:rsidRPr="00C85EF2">
        <w:rPr>
          <w:color w:val="auto"/>
        </w:rPr>
        <w:t>, including fatal events, have been reported in patients receiving LAZCLUZE (see</w:t>
      </w:r>
      <w:r w:rsidR="26248BE5" w:rsidRPr="00C85EF2">
        <w:rPr>
          <w:i/>
          <w:iCs/>
          <w:color w:val="auto"/>
        </w:rPr>
        <w:t xml:space="preserve"> </w:t>
      </w:r>
      <w:r w:rsidR="26248BE5" w:rsidRPr="00C85EF2">
        <w:rPr>
          <w:color w:val="auto"/>
        </w:rPr>
        <w:t>section 4.8 Adverse Effects (Undesirable Effects)</w:t>
      </w:r>
      <w:r w:rsidR="000142C9" w:rsidRPr="00C85EF2">
        <w:rPr>
          <w:color w:val="auto"/>
        </w:rPr>
        <w:t>)</w:t>
      </w:r>
      <w:r w:rsidR="26248BE5" w:rsidRPr="00C85EF2">
        <w:rPr>
          <w:color w:val="auto"/>
        </w:rPr>
        <w:t xml:space="preserve">. </w:t>
      </w:r>
      <w:r w:rsidR="00D57732" w:rsidRPr="00C85EF2">
        <w:rPr>
          <w:color w:val="auto"/>
        </w:rPr>
        <w:t xml:space="preserve">Patients with a </w:t>
      </w:r>
      <w:r w:rsidR="00D57732" w:rsidRPr="00C85EF2">
        <w:rPr>
          <w:color w:val="auto"/>
        </w:rPr>
        <w:lastRenderedPageBreak/>
        <w:t>medical history of ILD, drug</w:t>
      </w:r>
      <w:r w:rsidR="00D57732" w:rsidRPr="00C85EF2">
        <w:rPr>
          <w:rFonts w:ascii="Cambria Math" w:hAnsi="Cambria Math" w:cs="Cambria Math"/>
          <w:color w:val="auto"/>
        </w:rPr>
        <w:t>‑</w:t>
      </w:r>
      <w:r w:rsidR="00D57732" w:rsidRPr="00C85EF2">
        <w:rPr>
          <w:color w:val="auto"/>
        </w:rPr>
        <w:t>induced ILD, radiation pneumonitis that required steroid treatment, or any evidence of clinically active ILD were excluded from the pivotal clinical study.</w:t>
      </w:r>
      <w:r w:rsidR="00D57732" w:rsidRPr="00C85EF2">
        <w:rPr>
          <w:rStyle w:val="EndnoteReference"/>
          <w:rFonts w:eastAsiaTheme="majorEastAsia"/>
          <w:color w:val="auto"/>
        </w:rPr>
        <w:t xml:space="preserve"> </w:t>
      </w:r>
    </w:p>
    <w:p w14:paraId="3E54D240" w14:textId="77777777" w:rsidR="00D57732" w:rsidRPr="00C85EF2" w:rsidRDefault="00D57732" w:rsidP="00AD5070">
      <w:pPr>
        <w:pStyle w:val="BodyText"/>
        <w:jc w:val="left"/>
        <w:rPr>
          <w:rFonts w:eastAsiaTheme="majorEastAsia"/>
          <w:color w:val="auto"/>
        </w:rPr>
      </w:pPr>
    </w:p>
    <w:p w14:paraId="66759BE2" w14:textId="09E6A536" w:rsidR="00E1340D" w:rsidRPr="00C85EF2" w:rsidRDefault="26248BE5" w:rsidP="00AD5070">
      <w:pPr>
        <w:pStyle w:val="BodyText"/>
        <w:jc w:val="left"/>
        <w:rPr>
          <w:rStyle w:val="EndnoteReference"/>
          <w:rFonts w:eastAsiaTheme="majorEastAsia"/>
          <w:color w:val="auto"/>
        </w:rPr>
      </w:pPr>
      <w:r w:rsidRPr="00C85EF2">
        <w:rPr>
          <w:color w:val="auto"/>
        </w:rPr>
        <w:t>Monitor patients for symptoms indicative of ILD/pneumonitis (e.g., dyspnoea, cough, fever). If symptoms develop, interrupt treatment with LAZCLUZE pending investigation of these symptoms. Evaluate suspected ILD and initiate appropriate treatment as necessary. Discontinue LAZCLUZE in patients with confirmed ILD (</w:t>
      </w:r>
      <w:r w:rsidRPr="00C85EF2">
        <w:rPr>
          <w:color w:val="auto"/>
          <w:lang w:val="en-US"/>
        </w:rPr>
        <w:t>see Section 4.2 Dose and method of administration, Table 2</w:t>
      </w:r>
      <w:r w:rsidRPr="00C85EF2">
        <w:rPr>
          <w:color w:val="auto"/>
        </w:rPr>
        <w:t>).</w:t>
      </w:r>
      <w:r w:rsidR="00A56C9B" w:rsidRPr="00C85EF2">
        <w:rPr>
          <w:color w:val="auto"/>
        </w:rPr>
        <w:t xml:space="preserve"> </w:t>
      </w:r>
    </w:p>
    <w:p w14:paraId="325B6C8C" w14:textId="77777777" w:rsidR="004871E9" w:rsidRPr="00C85EF2" w:rsidRDefault="004871E9" w:rsidP="00AD5070">
      <w:pPr>
        <w:rPr>
          <w:iCs/>
          <w:color w:val="auto"/>
          <w:lang w:val="en-US"/>
        </w:rPr>
      </w:pPr>
    </w:p>
    <w:p w14:paraId="458AAD1C" w14:textId="77777777" w:rsidR="00E1340D" w:rsidRPr="00C85EF2" w:rsidRDefault="00E1340D" w:rsidP="00AD5070">
      <w:pPr>
        <w:pStyle w:val="Heading3"/>
        <w:jc w:val="left"/>
        <w:rPr>
          <w:color w:val="auto"/>
        </w:rPr>
      </w:pPr>
      <w:bookmarkStart w:id="10" w:name="_Hlk129943462"/>
      <w:bookmarkStart w:id="11" w:name="_Hlk129942846"/>
      <w:r w:rsidRPr="00C85EF2">
        <w:rPr>
          <w:color w:val="auto"/>
        </w:rPr>
        <w:t xml:space="preserve">Venous thromboembolic (VTE) events </w:t>
      </w:r>
    </w:p>
    <w:bookmarkEnd w:id="10"/>
    <w:p w14:paraId="07C82639" w14:textId="48E6E041" w:rsidR="00E1340D" w:rsidRPr="00C85EF2" w:rsidRDefault="00E1340D" w:rsidP="00AD5070">
      <w:pPr>
        <w:pStyle w:val="BodyText"/>
        <w:jc w:val="left"/>
        <w:rPr>
          <w:color w:val="auto"/>
        </w:rPr>
      </w:pPr>
      <w:r w:rsidRPr="00C85EF2">
        <w:rPr>
          <w:color w:val="auto"/>
        </w:rPr>
        <w:t>Venous thromboembolic (VTE) events, including deep venous thrombosis (DVT) and pulmonary embolism (PE), including fatal events, were reported in patients receiving LAZCLUZE with amivantamab. VTE events occurred predominantly in the first four months of therapy (see</w:t>
      </w:r>
      <w:r w:rsidRPr="00C85EF2">
        <w:rPr>
          <w:i/>
          <w:iCs/>
          <w:color w:val="auto"/>
        </w:rPr>
        <w:t xml:space="preserve"> </w:t>
      </w:r>
      <w:r w:rsidRPr="00C85EF2">
        <w:rPr>
          <w:color w:val="auto"/>
        </w:rPr>
        <w:t>section 4.8 Adverse Effects (Undesirable Effects)</w:t>
      </w:r>
      <w:r w:rsidR="00B01C82" w:rsidRPr="00C85EF2">
        <w:rPr>
          <w:color w:val="auto"/>
        </w:rPr>
        <w:t>)</w:t>
      </w:r>
      <w:r w:rsidRPr="00C85EF2">
        <w:rPr>
          <w:color w:val="auto"/>
        </w:rPr>
        <w:t xml:space="preserve">. </w:t>
      </w:r>
    </w:p>
    <w:p w14:paraId="2425612F" w14:textId="77777777" w:rsidR="00E1340D" w:rsidRPr="00C85EF2" w:rsidRDefault="00E1340D" w:rsidP="00AD5070">
      <w:pPr>
        <w:pStyle w:val="BodyText"/>
        <w:jc w:val="left"/>
        <w:rPr>
          <w:color w:val="auto"/>
        </w:rPr>
      </w:pPr>
    </w:p>
    <w:p w14:paraId="5A9D83E6" w14:textId="5F63C531" w:rsidR="00E1340D" w:rsidRPr="00C85EF2" w:rsidRDefault="00E1340D" w:rsidP="00AD5070">
      <w:pPr>
        <w:pStyle w:val="BodyText"/>
        <w:jc w:val="left"/>
        <w:rPr>
          <w:noProof/>
          <w:color w:val="auto"/>
        </w:rPr>
      </w:pPr>
      <w:r w:rsidRPr="00C85EF2">
        <w:rPr>
          <w:color w:val="auto"/>
        </w:rPr>
        <w:t>Prophylactic anticoagulants are recommended to be used for the first four months of treatment.</w:t>
      </w:r>
      <w:r w:rsidR="00A56C9B" w:rsidRPr="00C85EF2">
        <w:rPr>
          <w:color w:val="auto"/>
        </w:rPr>
        <w:t xml:space="preserve"> </w:t>
      </w:r>
      <w:r w:rsidR="00A56C9B" w:rsidRPr="00C85EF2">
        <w:rPr>
          <w:rFonts w:eastAsiaTheme="minorHAnsi"/>
          <w:color w:val="auto"/>
        </w:rPr>
        <w:t>Ongoing anticoagulation beyond four months is at clinician’s discretion.</w:t>
      </w:r>
      <w:r w:rsidRPr="00C85EF2">
        <w:rPr>
          <w:color w:val="auto"/>
        </w:rPr>
        <w:t xml:space="preserve"> Use of </w:t>
      </w:r>
      <w:r w:rsidRPr="00C85EF2">
        <w:rPr>
          <w:noProof/>
          <w:color w:val="auto"/>
        </w:rPr>
        <w:t xml:space="preserve">anticoagulants should align with clinical guidelines; use of Vitamin K antagonists is not recommended. </w:t>
      </w:r>
    </w:p>
    <w:p w14:paraId="55E519B5" w14:textId="77777777" w:rsidR="00E1340D" w:rsidRPr="00C85EF2" w:rsidRDefault="00E1340D" w:rsidP="00AD5070">
      <w:pPr>
        <w:pStyle w:val="BodyText"/>
        <w:jc w:val="left"/>
        <w:rPr>
          <w:color w:val="auto"/>
        </w:rPr>
      </w:pPr>
    </w:p>
    <w:p w14:paraId="67D9EE29" w14:textId="37D1A77E" w:rsidR="00E1340D" w:rsidRPr="00C85EF2" w:rsidRDefault="00E1340D" w:rsidP="00AD5070">
      <w:pPr>
        <w:pStyle w:val="BodyText"/>
        <w:jc w:val="left"/>
        <w:rPr>
          <w:color w:val="auto"/>
        </w:rPr>
      </w:pPr>
      <w:r w:rsidRPr="00C85EF2">
        <w:rPr>
          <w:color w:val="auto"/>
        </w:rPr>
        <w:t xml:space="preserve">Monitor for signs and symptoms of VTE events. Treat patients with VTE events with anticoagulants as clinically indicated. For VTE events associated with clinical instability, treatment should be held until the patient is clinically stable. Thereafter, both </w:t>
      </w:r>
      <w:r w:rsidR="00FA6C25" w:rsidRPr="00C85EF2">
        <w:rPr>
          <w:color w:val="auto"/>
        </w:rPr>
        <w:t>LAZCLUZE</w:t>
      </w:r>
      <w:r w:rsidRPr="00C85EF2">
        <w:rPr>
          <w:color w:val="auto"/>
        </w:rPr>
        <w:t xml:space="preserve"> and amivantamab can be resumed at the discretion of the treating physician.  </w:t>
      </w:r>
    </w:p>
    <w:p w14:paraId="3BED7A10" w14:textId="77777777" w:rsidR="00E1340D" w:rsidRPr="00C85EF2" w:rsidRDefault="00E1340D" w:rsidP="00AD5070">
      <w:pPr>
        <w:pStyle w:val="BodyText"/>
        <w:jc w:val="left"/>
        <w:rPr>
          <w:color w:val="auto"/>
        </w:rPr>
      </w:pPr>
    </w:p>
    <w:p w14:paraId="2E929268" w14:textId="6A2C17E3" w:rsidR="00E1340D" w:rsidRPr="00C85EF2" w:rsidRDefault="00E1340D" w:rsidP="00AD5070">
      <w:pPr>
        <w:pStyle w:val="BodyText"/>
        <w:jc w:val="left"/>
        <w:rPr>
          <w:color w:val="auto"/>
        </w:rPr>
      </w:pPr>
      <w:r w:rsidRPr="00C85EF2">
        <w:rPr>
          <w:color w:val="auto"/>
        </w:rPr>
        <w:t xml:space="preserve">In the event of recurrence despite appropriate anticoagulation, </w:t>
      </w:r>
      <w:r w:rsidR="00E47A0A" w:rsidRPr="00C85EF2">
        <w:rPr>
          <w:color w:val="auto"/>
        </w:rPr>
        <w:t xml:space="preserve">permanently </w:t>
      </w:r>
      <w:r w:rsidRPr="00C85EF2">
        <w:rPr>
          <w:color w:val="auto"/>
        </w:rPr>
        <w:t xml:space="preserve">discontinue amivantamab. Treatment can continue with </w:t>
      </w:r>
      <w:r w:rsidR="00FA6C25" w:rsidRPr="00C85EF2">
        <w:rPr>
          <w:color w:val="auto"/>
        </w:rPr>
        <w:t>LAZCLUZE</w:t>
      </w:r>
      <w:r w:rsidRPr="00C85EF2">
        <w:rPr>
          <w:color w:val="auto"/>
        </w:rPr>
        <w:t xml:space="preserve"> </w:t>
      </w:r>
      <w:r w:rsidR="00E47A0A" w:rsidRPr="00C85EF2">
        <w:rPr>
          <w:color w:val="auto"/>
        </w:rPr>
        <w:t xml:space="preserve">at the same dose, if clinically warranted </w:t>
      </w:r>
      <w:r w:rsidRPr="00C85EF2">
        <w:rPr>
          <w:color w:val="auto"/>
        </w:rPr>
        <w:t xml:space="preserve">(see Section 4.2 Dose and method of administration, Table 2). </w:t>
      </w:r>
    </w:p>
    <w:bookmarkEnd w:id="11"/>
    <w:p w14:paraId="49D7F261" w14:textId="77777777" w:rsidR="00E1340D" w:rsidRPr="00C85EF2" w:rsidRDefault="00E1340D" w:rsidP="00AD5070">
      <w:pPr>
        <w:rPr>
          <w:iCs/>
          <w:color w:val="auto"/>
          <w:lang w:val="en-US"/>
        </w:rPr>
      </w:pPr>
    </w:p>
    <w:p w14:paraId="3CB59672" w14:textId="1C950725" w:rsidR="00881267" w:rsidRPr="00C85EF2" w:rsidRDefault="00EC48B6" w:rsidP="00AD5070">
      <w:pPr>
        <w:pStyle w:val="Heading3"/>
        <w:jc w:val="left"/>
        <w:rPr>
          <w:rFonts w:eastAsiaTheme="minorHAnsi"/>
          <w:color w:val="auto"/>
        </w:rPr>
      </w:pPr>
      <w:r w:rsidRPr="00C85EF2">
        <w:rPr>
          <w:rFonts w:eastAsiaTheme="minorHAnsi"/>
          <w:color w:val="auto"/>
          <w:lang w:val="en-US"/>
        </w:rPr>
        <w:t xml:space="preserve">Skin and </w:t>
      </w:r>
      <w:r w:rsidR="00AE7FBB" w:rsidRPr="00C85EF2">
        <w:rPr>
          <w:rFonts w:eastAsiaTheme="minorHAnsi"/>
          <w:color w:val="auto"/>
          <w:lang w:val="en-US"/>
        </w:rPr>
        <w:t>n</w:t>
      </w:r>
      <w:r w:rsidRPr="00C85EF2">
        <w:rPr>
          <w:rFonts w:eastAsiaTheme="minorHAnsi"/>
          <w:color w:val="auto"/>
          <w:lang w:val="en-US"/>
        </w:rPr>
        <w:t xml:space="preserve">ail </w:t>
      </w:r>
      <w:r w:rsidR="00AE7FBB" w:rsidRPr="00C85EF2">
        <w:rPr>
          <w:rFonts w:eastAsiaTheme="minorHAnsi"/>
          <w:color w:val="auto"/>
          <w:lang w:val="en-US"/>
        </w:rPr>
        <w:t>r</w:t>
      </w:r>
      <w:r w:rsidRPr="00C85EF2">
        <w:rPr>
          <w:rFonts w:eastAsiaTheme="minorHAnsi"/>
          <w:color w:val="auto"/>
          <w:lang w:val="en-US"/>
        </w:rPr>
        <w:t>eactions</w:t>
      </w:r>
    </w:p>
    <w:p w14:paraId="2A598B44" w14:textId="38B05827" w:rsidR="00B01C82" w:rsidRPr="00C85EF2" w:rsidRDefault="00B01C82" w:rsidP="00AD5070">
      <w:pPr>
        <w:rPr>
          <w:iCs/>
          <w:color w:val="auto"/>
          <w:lang w:val="en-US"/>
        </w:rPr>
      </w:pPr>
      <w:bookmarkStart w:id="12" w:name="_Hlk50962586"/>
      <w:bookmarkStart w:id="13" w:name="_Hlk52446035"/>
      <w:bookmarkStart w:id="14" w:name="_Hlk50570128"/>
      <w:bookmarkStart w:id="15" w:name="_Hlk51166633"/>
      <w:bookmarkStart w:id="16" w:name="_Hlk50567614"/>
      <w:r w:rsidRPr="00C85EF2">
        <w:rPr>
          <w:iCs/>
          <w:color w:val="auto"/>
          <w:lang w:val="en-US"/>
        </w:rPr>
        <w:t xml:space="preserve">Skin and nail reactions may occur when treated with </w:t>
      </w:r>
      <w:r w:rsidR="00FA6C25" w:rsidRPr="00C85EF2">
        <w:rPr>
          <w:iCs/>
          <w:color w:val="auto"/>
          <w:lang w:val="en-US"/>
        </w:rPr>
        <w:t>LAZCLUZE</w:t>
      </w:r>
      <w:r w:rsidRPr="00C85EF2">
        <w:rPr>
          <w:iCs/>
          <w:color w:val="auto"/>
          <w:lang w:val="en-US"/>
        </w:rPr>
        <w:t xml:space="preserve">. </w:t>
      </w:r>
    </w:p>
    <w:p w14:paraId="0FE7B687" w14:textId="77777777" w:rsidR="00B01C82" w:rsidRPr="00C85EF2" w:rsidRDefault="00B01C82" w:rsidP="00AD5070">
      <w:pPr>
        <w:rPr>
          <w:iCs/>
          <w:color w:val="auto"/>
          <w:lang w:val="en-US"/>
        </w:rPr>
      </w:pPr>
    </w:p>
    <w:p w14:paraId="48407F34" w14:textId="1C50C0EA" w:rsidR="00B01C82" w:rsidRPr="00C85EF2" w:rsidRDefault="00B01C82" w:rsidP="00AD5070">
      <w:pPr>
        <w:rPr>
          <w:iCs/>
          <w:color w:val="auto"/>
          <w:lang w:val="en-US"/>
        </w:rPr>
      </w:pPr>
      <w:r w:rsidRPr="00C85EF2">
        <w:rPr>
          <w:iCs/>
          <w:color w:val="auto"/>
          <w:lang w:val="en-US"/>
        </w:rPr>
        <w:t xml:space="preserve">Rash (including dermatitis acneiform), pruritus and dry skin occurred in patients receiving </w:t>
      </w:r>
      <w:r w:rsidR="00FA6C25" w:rsidRPr="00C85EF2">
        <w:rPr>
          <w:iCs/>
          <w:color w:val="auto"/>
          <w:lang w:val="en-US"/>
        </w:rPr>
        <w:t>LAZCLUZE</w:t>
      </w:r>
      <w:r w:rsidRPr="00C85EF2">
        <w:rPr>
          <w:iCs/>
          <w:color w:val="auto"/>
          <w:lang w:val="en-US"/>
        </w:rPr>
        <w:t xml:space="preserve"> with amivantamab </w:t>
      </w:r>
      <w:r w:rsidRPr="00C85EF2">
        <w:rPr>
          <w:color w:val="auto"/>
        </w:rPr>
        <w:t>therapy (see</w:t>
      </w:r>
      <w:r w:rsidRPr="00C85EF2">
        <w:rPr>
          <w:i/>
          <w:iCs/>
          <w:color w:val="auto"/>
        </w:rPr>
        <w:t xml:space="preserve"> </w:t>
      </w:r>
      <w:r w:rsidRPr="00C85EF2">
        <w:rPr>
          <w:color w:val="auto"/>
        </w:rPr>
        <w:t>section 4.8 Adverse Effects (Undesirable Effects)</w:t>
      </w:r>
      <w:r w:rsidRPr="00C85EF2">
        <w:rPr>
          <w:iCs/>
          <w:color w:val="auto"/>
          <w:lang w:val="en-US"/>
        </w:rPr>
        <w:t xml:space="preserve">). Instruct patients to limit sun exposure during and for 2 months after </w:t>
      </w:r>
      <w:r w:rsidR="00FA6C25" w:rsidRPr="00C85EF2">
        <w:rPr>
          <w:iCs/>
          <w:color w:val="auto"/>
          <w:lang w:val="en-US"/>
        </w:rPr>
        <w:t>LAZCLUZE</w:t>
      </w:r>
      <w:r w:rsidRPr="00C85EF2">
        <w:rPr>
          <w:iCs/>
          <w:color w:val="auto"/>
          <w:lang w:val="en-US"/>
        </w:rPr>
        <w:t xml:space="preserve"> therapy. </w:t>
      </w:r>
    </w:p>
    <w:p w14:paraId="32217734" w14:textId="77777777" w:rsidR="00B01C82" w:rsidRPr="00C85EF2" w:rsidRDefault="00B01C82" w:rsidP="00AD5070">
      <w:pPr>
        <w:rPr>
          <w:iCs/>
          <w:color w:val="auto"/>
          <w:lang w:val="en-US"/>
        </w:rPr>
      </w:pPr>
    </w:p>
    <w:p w14:paraId="20FA1298" w14:textId="0A0DA9FD" w:rsidR="00B01C82" w:rsidRPr="00C85EF2" w:rsidRDefault="00B01C82" w:rsidP="00AD5070">
      <w:pPr>
        <w:rPr>
          <w:iCs/>
          <w:color w:val="auto"/>
          <w:vertAlign w:val="superscript"/>
          <w:lang w:val="en-US"/>
        </w:rPr>
      </w:pPr>
      <w:r w:rsidRPr="00C85EF2">
        <w:rPr>
          <w:iCs/>
          <w:color w:val="auto"/>
          <w:lang w:val="en-US"/>
        </w:rPr>
        <w:t xml:space="preserve">A prophylactic approach to rash prevention should be considered. Instruct patients to limit sun exposure during and for 2 months after </w:t>
      </w:r>
      <w:r w:rsidR="00FA6C25" w:rsidRPr="00C85EF2">
        <w:rPr>
          <w:iCs/>
          <w:color w:val="auto"/>
          <w:lang w:val="en-US"/>
        </w:rPr>
        <w:t>LAZCLUZE</w:t>
      </w:r>
      <w:r w:rsidRPr="00C85EF2">
        <w:rPr>
          <w:iCs/>
          <w:color w:val="auto"/>
          <w:lang w:val="en-US"/>
        </w:rPr>
        <w:t xml:space="preserve"> therapy. Protective clothing and use of sunscreen is advisable. Alcohol-free emollient cream is recommended for dry areas with the use of </w:t>
      </w:r>
      <w:r w:rsidR="00FA6C25" w:rsidRPr="00C85EF2">
        <w:rPr>
          <w:iCs/>
          <w:color w:val="auto"/>
          <w:lang w:val="en-US"/>
        </w:rPr>
        <w:t>LAZCLUZE</w:t>
      </w:r>
      <w:r w:rsidRPr="00C85EF2">
        <w:rPr>
          <w:iCs/>
          <w:color w:val="auto"/>
          <w:lang w:val="en-US"/>
        </w:rPr>
        <w:t xml:space="preserve">. If skin or nail reactions develop, start topical corticosteroids and topical and/or oral antibiotics. For Grade 3 or </w:t>
      </w:r>
      <w:proofErr w:type="gramStart"/>
      <w:r w:rsidRPr="00C85EF2">
        <w:rPr>
          <w:iCs/>
          <w:color w:val="auto"/>
          <w:lang w:val="en-US"/>
        </w:rPr>
        <w:t>poorly-tolerated</w:t>
      </w:r>
      <w:proofErr w:type="gramEnd"/>
      <w:r w:rsidRPr="00C85EF2">
        <w:rPr>
          <w:iCs/>
          <w:color w:val="auto"/>
          <w:lang w:val="en-US"/>
        </w:rPr>
        <w:t xml:space="preserve"> Grade 2 events, add systemic antibiotics and oral steroids and consider dermatologic consultation. Withhold, reduce dose, or permanently discontinue </w:t>
      </w:r>
      <w:r w:rsidR="00FA6C25" w:rsidRPr="00C85EF2">
        <w:rPr>
          <w:iCs/>
          <w:color w:val="auto"/>
          <w:lang w:val="en-US"/>
        </w:rPr>
        <w:t>LAZCLUZE</w:t>
      </w:r>
      <w:r w:rsidRPr="00C85EF2">
        <w:rPr>
          <w:iCs/>
          <w:color w:val="auto"/>
          <w:lang w:val="en-US"/>
        </w:rPr>
        <w:t xml:space="preserve"> based on severity (</w:t>
      </w:r>
      <w:r w:rsidRPr="00C85EF2">
        <w:rPr>
          <w:color w:val="auto"/>
        </w:rPr>
        <w:t>see Section 4.2 Dose and method of administration, Table 2</w:t>
      </w:r>
      <w:r w:rsidRPr="00C85EF2">
        <w:rPr>
          <w:iCs/>
          <w:color w:val="auto"/>
          <w:lang w:val="en-US"/>
        </w:rPr>
        <w:t>).</w:t>
      </w:r>
      <w:r w:rsidRPr="00C85EF2">
        <w:rPr>
          <w:iCs/>
          <w:color w:val="auto"/>
          <w:vertAlign w:val="superscript"/>
          <w:lang w:val="en-US"/>
        </w:rPr>
        <w:t xml:space="preserve"> </w:t>
      </w:r>
    </w:p>
    <w:bookmarkEnd w:id="12"/>
    <w:bookmarkEnd w:id="13"/>
    <w:bookmarkEnd w:id="14"/>
    <w:bookmarkEnd w:id="15"/>
    <w:bookmarkEnd w:id="16"/>
    <w:p w14:paraId="53AFE71A" w14:textId="77777777" w:rsidR="00881267" w:rsidRPr="00C85EF2" w:rsidRDefault="00881267" w:rsidP="00AD5070">
      <w:pPr>
        <w:rPr>
          <w:iCs/>
          <w:color w:val="auto"/>
        </w:rPr>
      </w:pPr>
    </w:p>
    <w:p w14:paraId="19D974EA" w14:textId="77E3F827" w:rsidR="00F53031" w:rsidRPr="00C85EF2" w:rsidRDefault="00C7374E" w:rsidP="00AD5070">
      <w:pPr>
        <w:pStyle w:val="Heading3"/>
        <w:jc w:val="left"/>
        <w:rPr>
          <w:rFonts w:eastAsiaTheme="minorHAnsi"/>
          <w:color w:val="auto"/>
        </w:rPr>
      </w:pPr>
      <w:r w:rsidRPr="00C85EF2">
        <w:rPr>
          <w:rFonts w:eastAsiaTheme="minorHAnsi"/>
          <w:color w:val="auto"/>
          <w:lang w:val="en-US"/>
        </w:rPr>
        <w:t>Eye disorders</w:t>
      </w:r>
    </w:p>
    <w:p w14:paraId="405A753E" w14:textId="106B2BBA" w:rsidR="00B01C82" w:rsidRPr="00C85EF2" w:rsidRDefault="00B01C82" w:rsidP="00AD5070">
      <w:pPr>
        <w:rPr>
          <w:rFonts w:cs="Times New Roman"/>
          <w:iCs/>
          <w:color w:val="auto"/>
          <w:lang w:val="en-US"/>
        </w:rPr>
      </w:pPr>
      <w:bookmarkStart w:id="17" w:name="_Hlk129942982"/>
      <w:r w:rsidRPr="00C85EF2">
        <w:rPr>
          <w:rFonts w:cs="Times New Roman"/>
          <w:iCs/>
          <w:color w:val="auto"/>
          <w:lang w:val="en-US"/>
        </w:rPr>
        <w:t xml:space="preserve">Keratitis occurred in patients receiving </w:t>
      </w:r>
      <w:r w:rsidR="00FA6C25" w:rsidRPr="00C85EF2">
        <w:rPr>
          <w:rFonts w:cs="Times New Roman"/>
          <w:iCs/>
          <w:color w:val="auto"/>
          <w:lang w:val="en-US"/>
        </w:rPr>
        <w:t>LAZCLUZE</w:t>
      </w:r>
      <w:r w:rsidRPr="00C85EF2">
        <w:rPr>
          <w:rFonts w:cs="Times New Roman"/>
          <w:iCs/>
          <w:color w:val="auto"/>
          <w:lang w:val="en-US"/>
        </w:rPr>
        <w:t xml:space="preserve"> with amivantamab </w:t>
      </w:r>
      <w:r w:rsidRPr="00C85EF2">
        <w:rPr>
          <w:color w:val="auto"/>
        </w:rPr>
        <w:t>(see</w:t>
      </w:r>
      <w:r w:rsidRPr="00C85EF2">
        <w:rPr>
          <w:i/>
          <w:iCs/>
          <w:color w:val="auto"/>
        </w:rPr>
        <w:t xml:space="preserve"> </w:t>
      </w:r>
      <w:r w:rsidRPr="00C85EF2">
        <w:rPr>
          <w:color w:val="auto"/>
        </w:rPr>
        <w:t>section 4.8 Adverse Effects (Undesirable Effects)</w:t>
      </w:r>
      <w:r w:rsidRPr="00C85EF2">
        <w:rPr>
          <w:rFonts w:cs="Times New Roman"/>
          <w:iCs/>
          <w:color w:val="auto"/>
          <w:lang w:val="en-US"/>
        </w:rPr>
        <w:t>).</w:t>
      </w:r>
      <w:r w:rsidRPr="00C85EF2">
        <w:rPr>
          <w:rFonts w:cs="Times New Roman"/>
          <w:iCs/>
          <w:color w:val="auto"/>
          <w:vertAlign w:val="superscript"/>
          <w:lang w:val="en-US"/>
        </w:rPr>
        <w:t xml:space="preserve"> </w:t>
      </w:r>
      <w:r w:rsidRPr="00C85EF2">
        <w:rPr>
          <w:rFonts w:cs="Times New Roman"/>
          <w:iCs/>
          <w:color w:val="auto"/>
          <w:lang w:val="en-US"/>
        </w:rPr>
        <w:t>Refer patients presenting with worsening eye symptoms promptly to an ophthalmologist and advise discontinuation of contact lenses until symptoms are evaluated.</w:t>
      </w:r>
    </w:p>
    <w:p w14:paraId="03F8D476" w14:textId="77777777" w:rsidR="00B01C82" w:rsidRPr="00C85EF2" w:rsidRDefault="00B01C82" w:rsidP="00AD5070">
      <w:pPr>
        <w:rPr>
          <w:rFonts w:cs="Times New Roman"/>
          <w:iCs/>
          <w:color w:val="auto"/>
          <w:lang w:val="en-US"/>
        </w:rPr>
      </w:pPr>
    </w:p>
    <w:bookmarkEnd w:id="9"/>
    <w:bookmarkEnd w:id="17"/>
    <w:p w14:paraId="544A4E40" w14:textId="3922E69A" w:rsidR="00BC48CF" w:rsidRPr="00C85EF2" w:rsidRDefault="00BC48CF" w:rsidP="00AD5070">
      <w:pPr>
        <w:pStyle w:val="Heading3"/>
        <w:jc w:val="left"/>
        <w:rPr>
          <w:rFonts w:eastAsiaTheme="minorHAnsi"/>
          <w:color w:val="auto"/>
        </w:rPr>
      </w:pPr>
      <w:r w:rsidRPr="00C85EF2">
        <w:rPr>
          <w:rFonts w:eastAsiaTheme="minorHAnsi"/>
          <w:color w:val="auto"/>
        </w:rPr>
        <w:t xml:space="preserve">Use in the </w:t>
      </w:r>
      <w:r w:rsidRPr="00C85EF2">
        <w:rPr>
          <w:rFonts w:eastAsiaTheme="minorHAnsi"/>
          <w:color w:val="auto"/>
          <w:lang w:val="en-US"/>
        </w:rPr>
        <w:t>elderly</w:t>
      </w:r>
    </w:p>
    <w:p w14:paraId="0AF57711" w14:textId="5A3F293F" w:rsidR="000E3B34" w:rsidRPr="00C85EF2" w:rsidRDefault="00A46DC8" w:rsidP="00AD5070">
      <w:pPr>
        <w:rPr>
          <w:color w:val="auto"/>
        </w:rPr>
      </w:pPr>
      <w:r w:rsidRPr="00C85EF2">
        <w:rPr>
          <w:color w:val="auto"/>
        </w:rPr>
        <w:t>S</w:t>
      </w:r>
      <w:r w:rsidR="000E3B34" w:rsidRPr="00C85EF2">
        <w:rPr>
          <w:color w:val="auto"/>
        </w:rPr>
        <w:t>ee section 4.2</w:t>
      </w:r>
      <w:r w:rsidR="00561437" w:rsidRPr="00C85EF2">
        <w:rPr>
          <w:color w:val="auto"/>
        </w:rPr>
        <w:t xml:space="preserve"> </w:t>
      </w:r>
      <w:r w:rsidR="00561437" w:rsidRPr="00C85EF2">
        <w:rPr>
          <w:iCs/>
          <w:color w:val="auto"/>
          <w:lang w:val="en-US"/>
        </w:rPr>
        <w:t>Dose and method of administration</w:t>
      </w:r>
      <w:r w:rsidRPr="00C85EF2">
        <w:rPr>
          <w:color w:val="auto"/>
        </w:rPr>
        <w:t>.</w:t>
      </w:r>
    </w:p>
    <w:p w14:paraId="35D5FE31" w14:textId="77777777" w:rsidR="00C54EFD" w:rsidRPr="00C85EF2" w:rsidRDefault="00C54EFD" w:rsidP="00AD5070">
      <w:pPr>
        <w:rPr>
          <w:color w:val="auto"/>
        </w:rPr>
      </w:pPr>
    </w:p>
    <w:p w14:paraId="31FB2468" w14:textId="1022225C" w:rsidR="00BC48CF" w:rsidRPr="00C85EF2" w:rsidRDefault="00BC48CF" w:rsidP="00AD5070">
      <w:pPr>
        <w:pStyle w:val="Heading3"/>
        <w:jc w:val="left"/>
        <w:rPr>
          <w:rFonts w:eastAsiaTheme="minorHAnsi"/>
          <w:color w:val="auto"/>
        </w:rPr>
      </w:pPr>
      <w:r w:rsidRPr="00C85EF2">
        <w:rPr>
          <w:rFonts w:eastAsiaTheme="minorHAnsi"/>
          <w:color w:val="auto"/>
        </w:rPr>
        <w:t>Paediatric use</w:t>
      </w:r>
    </w:p>
    <w:p w14:paraId="088CDA59" w14:textId="5ACEDDBE" w:rsidR="000E3B34" w:rsidRPr="00C85EF2" w:rsidRDefault="00EC48B6" w:rsidP="00AD5070">
      <w:pPr>
        <w:rPr>
          <w:color w:val="auto"/>
        </w:rPr>
      </w:pPr>
      <w:r w:rsidRPr="00C85EF2">
        <w:rPr>
          <w:bCs/>
          <w:color w:val="auto"/>
          <w:lang w:val="en-US"/>
        </w:rPr>
        <w:t xml:space="preserve">The safety and efficacy of </w:t>
      </w:r>
      <w:r w:rsidR="00271A64" w:rsidRPr="00C85EF2">
        <w:rPr>
          <w:bCs/>
          <w:color w:val="auto"/>
          <w:lang w:val="en-US"/>
        </w:rPr>
        <w:t>LAZCLUZE</w:t>
      </w:r>
      <w:r w:rsidRPr="00C85EF2">
        <w:rPr>
          <w:bCs/>
          <w:color w:val="auto"/>
          <w:lang w:val="en-US"/>
        </w:rPr>
        <w:t xml:space="preserve"> have not been established in </w:t>
      </w:r>
      <w:r w:rsidRPr="00C85EF2">
        <w:rPr>
          <w:bCs/>
          <w:color w:val="auto"/>
        </w:rPr>
        <w:t>paediatric</w:t>
      </w:r>
      <w:r w:rsidRPr="00C85EF2">
        <w:rPr>
          <w:bCs/>
          <w:color w:val="auto"/>
          <w:lang w:val="en-US"/>
        </w:rPr>
        <w:t xml:space="preserve"> patients.</w:t>
      </w:r>
    </w:p>
    <w:p w14:paraId="32183999" w14:textId="13EF9192" w:rsidR="00C54EFD" w:rsidRPr="00C85EF2" w:rsidRDefault="00D03F82" w:rsidP="00AD5070">
      <w:pPr>
        <w:rPr>
          <w:color w:val="auto"/>
        </w:rPr>
      </w:pPr>
      <w:r w:rsidRPr="00C85EF2">
        <w:rPr>
          <w:color w:val="auto"/>
        </w:rPr>
        <w:t xml:space="preserve"> </w:t>
      </w:r>
    </w:p>
    <w:p w14:paraId="326EE1D6" w14:textId="3EA28FEB" w:rsidR="00BC48CF" w:rsidRPr="00C85EF2" w:rsidRDefault="00BC48CF" w:rsidP="00AD5070">
      <w:pPr>
        <w:pStyle w:val="Heading3"/>
        <w:jc w:val="left"/>
        <w:rPr>
          <w:rFonts w:eastAsiaTheme="minorHAnsi"/>
          <w:color w:val="auto"/>
        </w:rPr>
      </w:pPr>
      <w:r w:rsidRPr="00C85EF2">
        <w:rPr>
          <w:rFonts w:eastAsiaTheme="minorHAnsi"/>
          <w:color w:val="auto"/>
        </w:rPr>
        <w:t>Effects o</w:t>
      </w:r>
      <w:r w:rsidR="00E92F25" w:rsidRPr="00C85EF2">
        <w:rPr>
          <w:rFonts w:eastAsiaTheme="minorHAnsi"/>
          <w:color w:val="auto"/>
        </w:rPr>
        <w:t>n</w:t>
      </w:r>
      <w:r w:rsidRPr="00C85EF2">
        <w:rPr>
          <w:rFonts w:eastAsiaTheme="minorHAnsi"/>
          <w:color w:val="auto"/>
        </w:rPr>
        <w:t xml:space="preserve"> laboratory tests</w:t>
      </w:r>
    </w:p>
    <w:p w14:paraId="60DAE80C" w14:textId="64A6D262" w:rsidR="00652E34" w:rsidRPr="00C85EF2" w:rsidRDefault="00E92F25" w:rsidP="00AD5070">
      <w:pPr>
        <w:pStyle w:val="BodyText1"/>
        <w:jc w:val="left"/>
      </w:pPr>
      <w:r w:rsidRPr="00C85EF2">
        <w:t>No data available.</w:t>
      </w:r>
    </w:p>
    <w:p w14:paraId="6EE1EB44" w14:textId="77777777" w:rsidR="00E92F25" w:rsidRPr="00C85EF2" w:rsidRDefault="00E92F25" w:rsidP="00AD5070">
      <w:pPr>
        <w:pStyle w:val="BodyText1"/>
        <w:jc w:val="left"/>
      </w:pPr>
    </w:p>
    <w:p w14:paraId="7487C7D1" w14:textId="3C969430" w:rsidR="000F510E" w:rsidRPr="00C85EF2" w:rsidRDefault="000F510E" w:rsidP="00AD5070">
      <w:pPr>
        <w:pStyle w:val="Heading2"/>
        <w:numPr>
          <w:ilvl w:val="1"/>
          <w:numId w:val="18"/>
        </w:numPr>
        <w:ind w:left="426" w:hanging="426"/>
        <w:jc w:val="left"/>
        <w:rPr>
          <w:color w:val="auto"/>
        </w:rPr>
      </w:pPr>
      <w:r w:rsidRPr="00C85EF2">
        <w:rPr>
          <w:color w:val="auto"/>
        </w:rPr>
        <w:t>INTERACTIONS WITH OTHER MEDICINES AND OTHER FORMS OF INTERACTIONS</w:t>
      </w:r>
    </w:p>
    <w:p w14:paraId="722788F9" w14:textId="77777777" w:rsidR="00271A64" w:rsidRPr="00C85EF2" w:rsidRDefault="00271A64" w:rsidP="00AD5070">
      <w:pPr>
        <w:rPr>
          <w:bCs/>
          <w:color w:val="auto"/>
          <w:lang w:val="en-US"/>
        </w:rPr>
      </w:pPr>
      <w:bookmarkStart w:id="18" w:name="_Hlk66965794"/>
    </w:p>
    <w:p w14:paraId="4ED28CA9" w14:textId="6CDC2145" w:rsidR="00271A64" w:rsidRPr="00C85EF2" w:rsidRDefault="00271A64" w:rsidP="00AD5070">
      <w:pPr>
        <w:keepNext/>
        <w:spacing w:after="200"/>
        <w:outlineLvl w:val="2"/>
        <w:rPr>
          <w:rFonts w:cs="Times New Roman"/>
          <w:b/>
          <w:color w:val="auto"/>
          <w:szCs w:val="18"/>
          <w:lang w:val="en-GB" w:eastAsia="en-GB"/>
        </w:rPr>
      </w:pPr>
      <w:r w:rsidRPr="00C85EF2">
        <w:rPr>
          <w:rFonts w:cs="Times New Roman"/>
          <w:b/>
          <w:color w:val="auto"/>
          <w:szCs w:val="18"/>
          <w:lang w:val="en-GB" w:eastAsia="en-GB"/>
        </w:rPr>
        <w:t>Effect of other drugs on lazertinib</w:t>
      </w:r>
    </w:p>
    <w:p w14:paraId="7E6B203C" w14:textId="77777777" w:rsidR="00271A64" w:rsidRPr="00C85EF2" w:rsidRDefault="00271A64" w:rsidP="00AD5070">
      <w:pPr>
        <w:keepNext/>
        <w:keepLines/>
        <w:spacing w:after="200"/>
        <w:outlineLvl w:val="3"/>
        <w:rPr>
          <w:rFonts w:cs="Times New Roman"/>
          <w:b/>
          <w:i/>
          <w:color w:val="auto"/>
          <w:szCs w:val="18"/>
          <w:lang w:val="en-US"/>
        </w:rPr>
      </w:pPr>
      <w:r w:rsidRPr="00C85EF2">
        <w:rPr>
          <w:rFonts w:cs="Times New Roman"/>
          <w:b/>
          <w:i/>
          <w:color w:val="auto"/>
          <w:szCs w:val="18"/>
          <w:lang w:val="en-US"/>
        </w:rPr>
        <w:t>Strong CYP3A4 inducers</w:t>
      </w:r>
    </w:p>
    <w:p w14:paraId="6EC08CC3" w14:textId="6E7B9539" w:rsidR="00271A64" w:rsidRPr="00C85EF2" w:rsidRDefault="00271A64" w:rsidP="00AD5070">
      <w:pPr>
        <w:rPr>
          <w:i/>
          <w:color w:val="auto"/>
          <w:lang w:val="en-US"/>
        </w:rPr>
      </w:pPr>
      <w:r w:rsidRPr="00C85EF2">
        <w:rPr>
          <w:color w:val="auto"/>
          <w:lang w:val="en-GB" w:eastAsia="en-GB"/>
        </w:rPr>
        <w:t xml:space="preserve">The co-administration of 240 mg </w:t>
      </w:r>
      <w:proofErr w:type="spellStart"/>
      <w:r w:rsidRPr="00C85EF2">
        <w:rPr>
          <w:color w:val="auto"/>
          <w:lang w:val="en-GB" w:eastAsia="en-GB"/>
        </w:rPr>
        <w:t>lazertinib</w:t>
      </w:r>
      <w:proofErr w:type="spellEnd"/>
      <w:r w:rsidRPr="00C85EF2">
        <w:rPr>
          <w:color w:val="auto"/>
          <w:lang w:val="en-GB" w:eastAsia="en-GB"/>
        </w:rPr>
        <w:t xml:space="preserve"> with </w:t>
      </w:r>
      <w:proofErr w:type="spellStart"/>
      <w:r w:rsidRPr="00C85EF2">
        <w:rPr>
          <w:color w:val="auto"/>
          <w:lang w:val="en-GB" w:eastAsia="en-GB"/>
        </w:rPr>
        <w:t>rifampin</w:t>
      </w:r>
      <w:proofErr w:type="spellEnd"/>
      <w:r w:rsidRPr="00C85EF2">
        <w:rPr>
          <w:color w:val="auto"/>
          <w:lang w:val="en-GB" w:eastAsia="en-GB"/>
        </w:rPr>
        <w:t xml:space="preserve"> (strong CYP3A4 inducer) decreased lazertinib plasma exposure. Lazertinib geometric mean ratios (90% CI) for </w:t>
      </w:r>
      <w:proofErr w:type="spellStart"/>
      <w:r w:rsidRPr="00C85EF2">
        <w:rPr>
          <w:color w:val="auto"/>
          <w:lang w:val="en-GB" w:eastAsia="en-GB"/>
        </w:rPr>
        <w:t>C</w:t>
      </w:r>
      <w:r w:rsidRPr="00C85EF2">
        <w:rPr>
          <w:color w:val="auto"/>
          <w:vertAlign w:val="subscript"/>
          <w:lang w:val="en-GB" w:eastAsia="en-GB"/>
        </w:rPr>
        <w:t>max</w:t>
      </w:r>
      <w:proofErr w:type="spellEnd"/>
      <w:r w:rsidRPr="00C85EF2">
        <w:rPr>
          <w:color w:val="auto"/>
          <w:lang w:val="en-GB" w:eastAsia="en-GB"/>
        </w:rPr>
        <w:t xml:space="preserve"> and AUC</w:t>
      </w:r>
      <w:r w:rsidRPr="00C85EF2">
        <w:rPr>
          <w:color w:val="auto"/>
          <w:vertAlign w:val="subscript"/>
          <w:lang w:val="en-GB" w:eastAsia="en-GB"/>
        </w:rPr>
        <w:t>0-120h</w:t>
      </w:r>
      <w:r w:rsidRPr="00C85EF2">
        <w:rPr>
          <w:color w:val="auto"/>
          <w:lang w:val="en-GB" w:eastAsia="en-GB"/>
        </w:rPr>
        <w:t xml:space="preserve"> were 0.28 (0.23, 0.34) and 0.17 (0.14, 0.19) respectively, when co-administered with </w:t>
      </w:r>
      <w:proofErr w:type="spellStart"/>
      <w:r w:rsidRPr="00C85EF2">
        <w:rPr>
          <w:color w:val="auto"/>
          <w:lang w:val="en-GB" w:eastAsia="en-GB"/>
        </w:rPr>
        <w:t>rifampin</w:t>
      </w:r>
      <w:proofErr w:type="spellEnd"/>
      <w:r w:rsidRPr="00C85EF2">
        <w:rPr>
          <w:color w:val="auto"/>
          <w:lang w:val="en-GB" w:eastAsia="en-GB"/>
        </w:rPr>
        <w:t xml:space="preserve">, relative to </w:t>
      </w:r>
      <w:proofErr w:type="spellStart"/>
      <w:r w:rsidRPr="00C85EF2">
        <w:rPr>
          <w:color w:val="auto"/>
          <w:lang w:val="en-GB" w:eastAsia="en-GB"/>
        </w:rPr>
        <w:t>lazertinib</w:t>
      </w:r>
      <w:proofErr w:type="spellEnd"/>
      <w:r w:rsidRPr="00C85EF2">
        <w:rPr>
          <w:color w:val="auto"/>
          <w:lang w:val="en-GB" w:eastAsia="en-GB"/>
        </w:rPr>
        <w:t xml:space="preserve"> alone. Based on physiological based PK model analysis, no clinically relevant decrease in lazertinib exposure is expected when </w:t>
      </w:r>
      <w:r w:rsidR="00FA6C25" w:rsidRPr="00C85EF2">
        <w:rPr>
          <w:color w:val="auto"/>
          <w:lang w:val="en-GB" w:eastAsia="en-GB"/>
        </w:rPr>
        <w:t>LAZCLUZE</w:t>
      </w:r>
      <w:r w:rsidRPr="00C85EF2">
        <w:rPr>
          <w:color w:val="auto"/>
          <w:lang w:val="en-GB" w:eastAsia="en-GB"/>
        </w:rPr>
        <w:t xml:space="preserve"> is co-administered with weak CYP3A4 inducers. </w:t>
      </w:r>
      <w:r w:rsidR="00A56C9B" w:rsidRPr="00C85EF2">
        <w:rPr>
          <w:color w:val="auto"/>
          <w:lang w:eastAsia="en-GB"/>
        </w:rPr>
        <w:t>Avoid concomitant use of LAZCLUZE with strong and moderate CYP3A4 inducers.</w:t>
      </w:r>
    </w:p>
    <w:p w14:paraId="41868C80" w14:textId="77777777" w:rsidR="00E11E5E" w:rsidRPr="00C85EF2" w:rsidRDefault="00E11E5E" w:rsidP="00AD5070">
      <w:pPr>
        <w:rPr>
          <w:i/>
          <w:color w:val="auto"/>
          <w:lang w:val="en-US"/>
        </w:rPr>
      </w:pPr>
    </w:p>
    <w:p w14:paraId="6BE5157D" w14:textId="77777777" w:rsidR="00271A64" w:rsidRPr="00C85EF2" w:rsidRDefault="00271A64" w:rsidP="00AD5070">
      <w:pPr>
        <w:keepNext/>
        <w:keepLines/>
        <w:spacing w:after="200"/>
        <w:outlineLvl w:val="3"/>
        <w:rPr>
          <w:rFonts w:cs="Times New Roman"/>
          <w:b/>
          <w:i/>
          <w:color w:val="auto"/>
          <w:lang w:val="en-US"/>
        </w:rPr>
      </w:pPr>
      <w:r w:rsidRPr="00C85EF2">
        <w:rPr>
          <w:rFonts w:cs="Times New Roman"/>
          <w:b/>
          <w:i/>
          <w:color w:val="auto"/>
          <w:lang w:val="en-US"/>
        </w:rPr>
        <w:t>Strong CYP3A4 inhibitors</w:t>
      </w:r>
    </w:p>
    <w:p w14:paraId="4E7657F7" w14:textId="0229DCEF" w:rsidR="00271A64" w:rsidRPr="00C85EF2" w:rsidRDefault="00271A64" w:rsidP="00AD5070">
      <w:pPr>
        <w:rPr>
          <w:color w:val="auto"/>
          <w:lang w:val="en-GB" w:eastAsia="en-GB"/>
        </w:rPr>
      </w:pPr>
      <w:r w:rsidRPr="00C85EF2">
        <w:rPr>
          <w:color w:val="auto"/>
          <w:lang w:val="en-GB" w:eastAsia="en-GB"/>
        </w:rPr>
        <w:t xml:space="preserve">The co-administration of 160 mg lazertinib with itraconazole (strong CYP3A4 inhibitor) increased lazertinib plasma exposure by less than 50%. The lazertinib geometric mean ratios (90% CI) for </w:t>
      </w:r>
      <w:proofErr w:type="spellStart"/>
      <w:r w:rsidRPr="00C85EF2">
        <w:rPr>
          <w:color w:val="auto"/>
          <w:lang w:val="en-GB" w:eastAsia="en-GB"/>
        </w:rPr>
        <w:t>C</w:t>
      </w:r>
      <w:r w:rsidRPr="00C85EF2">
        <w:rPr>
          <w:color w:val="auto"/>
          <w:vertAlign w:val="subscript"/>
          <w:lang w:val="en-GB" w:eastAsia="en-GB"/>
        </w:rPr>
        <w:t>max</w:t>
      </w:r>
      <w:proofErr w:type="spellEnd"/>
      <w:r w:rsidRPr="00C85EF2">
        <w:rPr>
          <w:color w:val="auto"/>
          <w:lang w:val="en-GB" w:eastAsia="en-GB"/>
        </w:rPr>
        <w:t xml:space="preserve"> and AUC</w:t>
      </w:r>
      <w:r w:rsidRPr="00C85EF2">
        <w:rPr>
          <w:color w:val="auto"/>
          <w:vertAlign w:val="subscript"/>
          <w:lang w:val="en-GB" w:eastAsia="en-GB"/>
        </w:rPr>
        <w:t>0-120h</w:t>
      </w:r>
      <w:r w:rsidRPr="00C85EF2">
        <w:rPr>
          <w:color w:val="auto"/>
          <w:lang w:val="en-GB" w:eastAsia="en-GB"/>
        </w:rPr>
        <w:t xml:space="preserve"> were 1.19 (1.08, 1.30) and 1.46 (1.39, 1.53) respectively, when co-administered with itraconazole, relative to lazertinib alone. No dose adjustments are required when </w:t>
      </w:r>
      <w:r w:rsidR="00FA6C25" w:rsidRPr="00C85EF2">
        <w:rPr>
          <w:color w:val="auto"/>
          <w:lang w:val="en-GB" w:eastAsia="en-GB"/>
        </w:rPr>
        <w:t>LAZCLUZE</w:t>
      </w:r>
      <w:r w:rsidRPr="00C85EF2">
        <w:rPr>
          <w:color w:val="auto"/>
          <w:lang w:val="en-GB" w:eastAsia="en-GB"/>
        </w:rPr>
        <w:t xml:space="preserve"> is used with CYP3A4 inhibitors. </w:t>
      </w:r>
    </w:p>
    <w:p w14:paraId="4BF94CA8" w14:textId="77777777" w:rsidR="00271A64" w:rsidRPr="00C85EF2" w:rsidRDefault="00271A64" w:rsidP="00AD5070">
      <w:pPr>
        <w:rPr>
          <w:color w:val="auto"/>
          <w:lang w:val="en-GB" w:eastAsia="en-GB"/>
        </w:rPr>
      </w:pPr>
    </w:p>
    <w:p w14:paraId="2D198CCD" w14:textId="77777777" w:rsidR="00271A64" w:rsidRPr="00C85EF2" w:rsidRDefault="00271A64" w:rsidP="00AD5070">
      <w:pPr>
        <w:keepNext/>
        <w:keepLines/>
        <w:spacing w:after="200"/>
        <w:outlineLvl w:val="3"/>
        <w:rPr>
          <w:rFonts w:cs="Times New Roman"/>
          <w:b/>
          <w:i/>
          <w:color w:val="auto"/>
          <w:lang w:val="en-US"/>
        </w:rPr>
      </w:pPr>
      <w:bookmarkStart w:id="19" w:name="_Hlk147956644"/>
      <w:r w:rsidRPr="00C85EF2">
        <w:rPr>
          <w:rFonts w:cs="Times New Roman"/>
          <w:b/>
          <w:i/>
          <w:color w:val="auto"/>
          <w:lang w:val="en-US"/>
        </w:rPr>
        <w:t>Gastric acid reducing agents</w:t>
      </w:r>
    </w:p>
    <w:p w14:paraId="483B67CB" w14:textId="6EA296BE" w:rsidR="00271A64" w:rsidRPr="00C85EF2" w:rsidRDefault="00271A64" w:rsidP="00AD5070">
      <w:pPr>
        <w:rPr>
          <w:color w:val="auto"/>
          <w:lang w:val="en-US"/>
        </w:rPr>
      </w:pPr>
      <w:r w:rsidRPr="00C85EF2">
        <w:rPr>
          <w:color w:val="auto"/>
          <w:lang w:val="en-US"/>
        </w:rPr>
        <w:t xml:space="preserve">Results of a retrospective PK analysis from a patient population study suggest that there was no clinically relevant change in lazertinib plasma exposure when co-administered with gastric acid reducing agents. No dose adjustments are required when </w:t>
      </w:r>
      <w:r w:rsidR="00FA6C25" w:rsidRPr="00C85EF2">
        <w:rPr>
          <w:color w:val="auto"/>
          <w:lang w:val="en-US"/>
        </w:rPr>
        <w:t>LAZCLUZE</w:t>
      </w:r>
      <w:r w:rsidRPr="00C85EF2">
        <w:rPr>
          <w:color w:val="auto"/>
          <w:lang w:val="en-US"/>
        </w:rPr>
        <w:t xml:space="preserve"> is used with gastric acid reducing agents.</w:t>
      </w:r>
    </w:p>
    <w:p w14:paraId="64D6B7D5" w14:textId="77777777" w:rsidR="00271A64" w:rsidRPr="00C85EF2" w:rsidRDefault="00271A64" w:rsidP="00AD5070">
      <w:pPr>
        <w:rPr>
          <w:color w:val="auto"/>
          <w:lang w:val="en-US"/>
        </w:rPr>
      </w:pPr>
    </w:p>
    <w:bookmarkEnd w:id="19"/>
    <w:p w14:paraId="2A09AFFD" w14:textId="7D70D659" w:rsidR="00271A64" w:rsidRPr="00C85EF2" w:rsidRDefault="00271A64" w:rsidP="00AD5070">
      <w:pPr>
        <w:keepNext/>
        <w:spacing w:after="200"/>
        <w:outlineLvl w:val="2"/>
        <w:rPr>
          <w:rFonts w:cs="Times New Roman"/>
          <w:b/>
          <w:color w:val="auto"/>
          <w:lang w:val="en-GB" w:eastAsia="en-GB"/>
        </w:rPr>
      </w:pPr>
      <w:r w:rsidRPr="00C85EF2">
        <w:rPr>
          <w:rFonts w:cs="Times New Roman"/>
          <w:b/>
          <w:color w:val="auto"/>
          <w:lang w:val="en-GB" w:eastAsia="en-GB"/>
        </w:rPr>
        <w:t>Effect of Lazertinib on other drugs</w:t>
      </w:r>
    </w:p>
    <w:p w14:paraId="50B13D33" w14:textId="77777777" w:rsidR="00271A64" w:rsidRPr="00C85EF2" w:rsidRDefault="00271A64" w:rsidP="00AD5070">
      <w:pPr>
        <w:rPr>
          <w:color w:val="auto"/>
          <w:shd w:val="clear" w:color="auto" w:fill="BDD6EE"/>
          <w:lang w:val="en-US"/>
        </w:rPr>
      </w:pPr>
      <w:r w:rsidRPr="00C85EF2">
        <w:rPr>
          <w:color w:val="auto"/>
          <w:lang w:val="en-US"/>
        </w:rPr>
        <w:t xml:space="preserve">The co-administration of midazolam (CYP3A4 substrate) with 160 mg lazertinib increased midazolam plasma exposure by less than 50%. The midazolam geometric mean ratios (90% CI) for </w:t>
      </w:r>
      <w:proofErr w:type="spellStart"/>
      <w:r w:rsidRPr="00C85EF2">
        <w:rPr>
          <w:color w:val="auto"/>
          <w:lang w:val="en-US"/>
        </w:rPr>
        <w:t>C</w:t>
      </w:r>
      <w:r w:rsidRPr="00C85EF2">
        <w:rPr>
          <w:color w:val="auto"/>
          <w:vertAlign w:val="subscript"/>
          <w:lang w:val="en-US"/>
        </w:rPr>
        <w:t>max</w:t>
      </w:r>
      <w:proofErr w:type="spellEnd"/>
      <w:r w:rsidRPr="00C85EF2">
        <w:rPr>
          <w:color w:val="auto"/>
          <w:lang w:val="en-US"/>
        </w:rPr>
        <w:t xml:space="preserve"> and AUC</w:t>
      </w:r>
      <w:r w:rsidRPr="00C85EF2">
        <w:rPr>
          <w:color w:val="auto"/>
          <w:vertAlign w:val="subscript"/>
          <w:lang w:val="en-US"/>
        </w:rPr>
        <w:t>0-last</w:t>
      </w:r>
      <w:r w:rsidRPr="00C85EF2">
        <w:rPr>
          <w:color w:val="auto"/>
          <w:lang w:val="en-US"/>
        </w:rPr>
        <w:t xml:space="preserve"> were 1.39 (1.23, 1.58) and 1.47 (1.34, 1.60) respectively, when co-administered with lazertinib, relative to midazolam alone. Lazertinib is an inhibitor of CYP3A4 enzyme</w:t>
      </w:r>
      <w:r w:rsidRPr="00C85EF2">
        <w:rPr>
          <w:rFonts w:ascii="Times New Roman Bold" w:hAnsi="Times New Roman Bold"/>
          <w:bCs/>
          <w:color w:val="auto"/>
          <w:lang w:val="en-US"/>
        </w:rPr>
        <w:t>.</w:t>
      </w:r>
      <w:r w:rsidRPr="00C85EF2">
        <w:rPr>
          <w:color w:val="auto"/>
          <w:lang w:val="en-US"/>
        </w:rPr>
        <w:t xml:space="preserve"> For sensitive CYP3A4 substrates with narrow therapeutic index, monitor for adverse reactions as increased plasma exposure of co-administered CYP3A4 substrates may increase the risk of exposure related toxicity.</w:t>
      </w:r>
    </w:p>
    <w:p w14:paraId="035CF179" w14:textId="77777777" w:rsidR="00271A64" w:rsidRPr="00C85EF2" w:rsidRDefault="00271A64" w:rsidP="00AD5070">
      <w:pPr>
        <w:rPr>
          <w:color w:val="auto"/>
          <w:lang w:val="en-US"/>
        </w:rPr>
      </w:pPr>
    </w:p>
    <w:p w14:paraId="3A85A186" w14:textId="77777777" w:rsidR="00271A64" w:rsidRPr="00C85EF2" w:rsidRDefault="00271A64" w:rsidP="00AD5070">
      <w:pPr>
        <w:rPr>
          <w:color w:val="auto"/>
          <w:lang w:val="en-US"/>
        </w:rPr>
      </w:pPr>
      <w:r w:rsidRPr="00C85EF2">
        <w:rPr>
          <w:color w:val="auto"/>
          <w:lang w:val="en-US"/>
        </w:rPr>
        <w:t xml:space="preserve">The co-administration of rosuvastatin (BCRP substrate) with 160 mg lazertinib increased rosuvastatin plasma exposure by approximately 2-fold. The rosuvastatin geometric mean ratios (90% CI) for </w:t>
      </w:r>
      <w:proofErr w:type="spellStart"/>
      <w:r w:rsidRPr="00C85EF2">
        <w:rPr>
          <w:color w:val="auto"/>
          <w:lang w:val="en-US"/>
        </w:rPr>
        <w:t>C</w:t>
      </w:r>
      <w:r w:rsidRPr="00C85EF2">
        <w:rPr>
          <w:color w:val="auto"/>
          <w:vertAlign w:val="subscript"/>
          <w:lang w:val="en-US"/>
        </w:rPr>
        <w:t>max</w:t>
      </w:r>
      <w:proofErr w:type="spellEnd"/>
      <w:r w:rsidRPr="00C85EF2">
        <w:rPr>
          <w:color w:val="auto"/>
          <w:lang w:val="en-US"/>
        </w:rPr>
        <w:t xml:space="preserve"> and AUC</w:t>
      </w:r>
      <w:r w:rsidRPr="00C85EF2">
        <w:rPr>
          <w:color w:val="auto"/>
          <w:vertAlign w:val="subscript"/>
          <w:lang w:val="en-US"/>
        </w:rPr>
        <w:t>0-last</w:t>
      </w:r>
      <w:r w:rsidRPr="00C85EF2">
        <w:rPr>
          <w:color w:val="auto"/>
          <w:lang w:val="en-US"/>
        </w:rPr>
        <w:t xml:space="preserve"> were 2.24 (1.82, 2.76) and 2.02 (1.70, 2.40) respectively, when co-administered with lazertinib, relative to rosuvastatin alone. Lazertinib is an inhibitor of BCRP transporter</w:t>
      </w:r>
      <w:r w:rsidRPr="00C85EF2">
        <w:rPr>
          <w:rFonts w:ascii="Times New Roman Bold" w:hAnsi="Times New Roman Bold"/>
          <w:bCs/>
          <w:color w:val="auto"/>
          <w:lang w:val="en-US"/>
        </w:rPr>
        <w:t xml:space="preserve">. </w:t>
      </w:r>
      <w:r w:rsidRPr="00C85EF2">
        <w:rPr>
          <w:color w:val="auto"/>
          <w:lang w:val="en-US"/>
        </w:rPr>
        <w:t xml:space="preserve">For sensitive BCRP substrates with narrow therapeutic index, monitor for adverse </w:t>
      </w:r>
      <w:r w:rsidRPr="00C85EF2">
        <w:rPr>
          <w:color w:val="auto"/>
          <w:lang w:val="en-US"/>
        </w:rPr>
        <w:lastRenderedPageBreak/>
        <w:t>reactions as increased plasma exposure of co-administered BCRP substrates may increase the risk of exposure related toxicity.</w:t>
      </w:r>
    </w:p>
    <w:p w14:paraId="675870C8" w14:textId="77777777" w:rsidR="00271A64" w:rsidRPr="00C85EF2" w:rsidRDefault="00271A64" w:rsidP="00AD5070">
      <w:pPr>
        <w:rPr>
          <w:color w:val="auto"/>
          <w:lang w:val="en-US"/>
        </w:rPr>
      </w:pPr>
    </w:p>
    <w:p w14:paraId="33925CE9" w14:textId="77777777" w:rsidR="00271A64" w:rsidRPr="00C85EF2" w:rsidRDefault="00271A64" w:rsidP="00AD5070">
      <w:pPr>
        <w:rPr>
          <w:bCs/>
          <w:color w:val="auto"/>
          <w:lang w:val="en-US"/>
        </w:rPr>
      </w:pPr>
      <w:r w:rsidRPr="00C85EF2">
        <w:rPr>
          <w:color w:val="auto"/>
          <w:lang w:val="en-US"/>
        </w:rPr>
        <w:t xml:space="preserve">The co-administration of metformin (OCT1 substrate) with 160 mg lazertinib did not increase metformin plasma exposure. The metformin geometric mean ratios (90% CI) for </w:t>
      </w:r>
      <w:proofErr w:type="spellStart"/>
      <w:r w:rsidRPr="00C85EF2">
        <w:rPr>
          <w:color w:val="auto"/>
          <w:lang w:val="en-US"/>
        </w:rPr>
        <w:t>C</w:t>
      </w:r>
      <w:r w:rsidRPr="00C85EF2">
        <w:rPr>
          <w:color w:val="auto"/>
          <w:vertAlign w:val="subscript"/>
          <w:lang w:val="en-US"/>
        </w:rPr>
        <w:t>max</w:t>
      </w:r>
      <w:proofErr w:type="spellEnd"/>
      <w:r w:rsidRPr="00C85EF2">
        <w:rPr>
          <w:color w:val="auto"/>
          <w:lang w:val="en-US"/>
        </w:rPr>
        <w:t xml:space="preserve"> and AUC</w:t>
      </w:r>
      <w:r w:rsidRPr="00C85EF2">
        <w:rPr>
          <w:color w:val="auto"/>
          <w:vertAlign w:val="subscript"/>
          <w:lang w:val="en-US"/>
        </w:rPr>
        <w:t>0-last</w:t>
      </w:r>
      <w:r w:rsidRPr="00C85EF2">
        <w:rPr>
          <w:color w:val="auto"/>
          <w:lang w:val="en-US"/>
        </w:rPr>
        <w:t xml:space="preserve"> were 0.81 (0.72, 0.91) and 0.94 (0.83, 1.06) respectively, when co-administered with lazertinib, relative to metformin alone. Lazertinib is not an inhibitor of OCT1 transporter</w:t>
      </w:r>
      <w:r w:rsidRPr="00C85EF2">
        <w:rPr>
          <w:bCs/>
          <w:color w:val="auto"/>
          <w:lang w:val="en-US"/>
        </w:rPr>
        <w:t>.</w:t>
      </w:r>
    </w:p>
    <w:p w14:paraId="3756D3A8" w14:textId="77777777" w:rsidR="00E11E5E" w:rsidRPr="00C85EF2" w:rsidRDefault="00E11E5E" w:rsidP="00AD5070">
      <w:pPr>
        <w:rPr>
          <w:bCs/>
          <w:color w:val="auto"/>
          <w:lang w:val="en-US"/>
        </w:rPr>
      </w:pPr>
    </w:p>
    <w:p w14:paraId="11031836" w14:textId="77777777" w:rsidR="00271A64" w:rsidRPr="00C85EF2" w:rsidRDefault="00271A64" w:rsidP="00AD5070">
      <w:pPr>
        <w:rPr>
          <w:bCs/>
          <w:color w:val="auto"/>
          <w:lang w:val="en-US"/>
        </w:rPr>
      </w:pPr>
      <w:r w:rsidRPr="00C85EF2">
        <w:rPr>
          <w:bCs/>
          <w:i/>
          <w:iCs/>
          <w:color w:val="auto"/>
          <w:lang w:val="en-US"/>
        </w:rPr>
        <w:t xml:space="preserve">In </w:t>
      </w:r>
      <w:proofErr w:type="gramStart"/>
      <w:r w:rsidRPr="00C85EF2">
        <w:rPr>
          <w:bCs/>
          <w:i/>
          <w:iCs/>
          <w:color w:val="auto"/>
          <w:lang w:val="en-US"/>
        </w:rPr>
        <w:t>vitro</w:t>
      </w:r>
      <w:proofErr w:type="gramEnd"/>
      <w:r w:rsidRPr="00C85EF2">
        <w:rPr>
          <w:bCs/>
          <w:color w:val="auto"/>
          <w:lang w:val="en-US"/>
        </w:rPr>
        <w:t xml:space="preserve"> findings suggest that lazertinib may inhibit UGT1A1; </w:t>
      </w:r>
      <w:proofErr w:type="gramStart"/>
      <w:r w:rsidRPr="00C85EF2">
        <w:rPr>
          <w:bCs/>
          <w:color w:val="auto"/>
          <w:lang w:val="en-US"/>
        </w:rPr>
        <w:t>however</w:t>
      </w:r>
      <w:proofErr w:type="gramEnd"/>
      <w:r w:rsidRPr="00C85EF2">
        <w:rPr>
          <w:bCs/>
          <w:color w:val="auto"/>
          <w:lang w:val="en-US"/>
        </w:rPr>
        <w:t xml:space="preserve"> due to lack of effect on indirect bilirubin levels in clinical study and physiological based PK model analysis, no clinically relevant interaction is expected.</w:t>
      </w:r>
    </w:p>
    <w:p w14:paraId="3A40D9DA" w14:textId="77777777" w:rsidR="00271A64" w:rsidRPr="00C85EF2" w:rsidRDefault="00271A64" w:rsidP="00AD5070">
      <w:pPr>
        <w:rPr>
          <w:bCs/>
          <w:color w:val="auto"/>
          <w:lang w:val="en-US"/>
        </w:rPr>
      </w:pPr>
    </w:p>
    <w:bookmarkEnd w:id="18"/>
    <w:p w14:paraId="29996425" w14:textId="77777777" w:rsidR="00F53031" w:rsidRPr="00C85EF2" w:rsidRDefault="00F53031" w:rsidP="00AD5070">
      <w:pPr>
        <w:rPr>
          <w:color w:val="auto"/>
        </w:rPr>
      </w:pPr>
    </w:p>
    <w:p w14:paraId="38324E9F" w14:textId="156A740B" w:rsidR="00706FA4" w:rsidRPr="00C85EF2" w:rsidRDefault="00706FA4" w:rsidP="00AD5070">
      <w:pPr>
        <w:pStyle w:val="Heading2"/>
        <w:numPr>
          <w:ilvl w:val="1"/>
          <w:numId w:val="18"/>
        </w:numPr>
        <w:ind w:left="426" w:hanging="426"/>
        <w:jc w:val="left"/>
        <w:rPr>
          <w:color w:val="auto"/>
        </w:rPr>
      </w:pPr>
      <w:r w:rsidRPr="00C85EF2">
        <w:rPr>
          <w:color w:val="auto"/>
        </w:rPr>
        <w:t>FERTILITY, PREGNANCY AND LACTATION</w:t>
      </w:r>
    </w:p>
    <w:p w14:paraId="4E2DAA23" w14:textId="2AB29F57" w:rsidR="005D32FA" w:rsidRPr="00C85EF2" w:rsidRDefault="00EA5E71" w:rsidP="00AD5070">
      <w:pPr>
        <w:pStyle w:val="Heading3"/>
        <w:jc w:val="left"/>
        <w:rPr>
          <w:rFonts w:eastAsiaTheme="minorHAnsi"/>
          <w:color w:val="auto"/>
        </w:rPr>
      </w:pPr>
      <w:r w:rsidRPr="00C85EF2">
        <w:rPr>
          <w:rFonts w:eastAsiaTheme="minorHAnsi"/>
          <w:color w:val="auto"/>
        </w:rPr>
        <w:t>Effects on fertility</w:t>
      </w:r>
    </w:p>
    <w:p w14:paraId="705B8A13" w14:textId="0BB632A3" w:rsidR="00CD61A4" w:rsidRPr="00C85EF2" w:rsidRDefault="00E11E5E" w:rsidP="00AD5070">
      <w:pPr>
        <w:rPr>
          <w:color w:val="auto"/>
        </w:rPr>
      </w:pPr>
      <w:r w:rsidRPr="00C85EF2">
        <w:rPr>
          <w:color w:val="auto"/>
        </w:rPr>
        <w:t xml:space="preserve">There are no data on the effect of </w:t>
      </w:r>
      <w:r w:rsidR="00FA6C25" w:rsidRPr="00C85EF2">
        <w:rPr>
          <w:color w:val="auto"/>
        </w:rPr>
        <w:t>LAZCLUZE</w:t>
      </w:r>
      <w:r w:rsidRPr="00C85EF2">
        <w:rPr>
          <w:color w:val="auto"/>
        </w:rPr>
        <w:t xml:space="preserve"> on human fertility. Studies in animals have shown that lazertinib may impair </w:t>
      </w:r>
      <w:r w:rsidR="00CC5EAD" w:rsidRPr="00C85EF2">
        <w:rPr>
          <w:color w:val="auto"/>
        </w:rPr>
        <w:t xml:space="preserve">male and </w:t>
      </w:r>
      <w:r w:rsidRPr="00C85EF2">
        <w:rPr>
          <w:color w:val="auto"/>
        </w:rPr>
        <w:t>female fertility.</w:t>
      </w:r>
      <w:r w:rsidR="008A6B43" w:rsidRPr="00C85EF2">
        <w:rPr>
          <w:color w:val="auto"/>
        </w:rPr>
        <w:t xml:space="preserve"> </w:t>
      </w:r>
      <w:r w:rsidR="008A6B43" w:rsidRPr="00C85EF2">
        <w:rPr>
          <w:rStyle w:val="ui-provider"/>
          <w:color w:val="auto"/>
        </w:rPr>
        <w:t>In a</w:t>
      </w:r>
      <w:r w:rsidR="00CC5EAD" w:rsidRPr="00C85EF2">
        <w:rPr>
          <w:rStyle w:val="ui-provider"/>
          <w:color w:val="auto"/>
        </w:rPr>
        <w:t xml:space="preserve"> rat</w:t>
      </w:r>
      <w:r w:rsidR="008A6B43" w:rsidRPr="00C85EF2">
        <w:rPr>
          <w:rStyle w:val="ui-provider"/>
          <w:color w:val="auto"/>
        </w:rPr>
        <w:t xml:space="preserve"> fertility and early embryonic development study in</w:t>
      </w:r>
      <w:r w:rsidR="00CC5EAD" w:rsidRPr="00C85EF2">
        <w:rPr>
          <w:rStyle w:val="ui-provider"/>
          <w:color w:val="auto"/>
        </w:rPr>
        <w:t xml:space="preserve"> treated</w:t>
      </w:r>
      <w:r w:rsidR="008A6B43" w:rsidRPr="00C85EF2">
        <w:rPr>
          <w:rStyle w:val="ui-provider"/>
          <w:color w:val="auto"/>
        </w:rPr>
        <w:t xml:space="preserve"> male and female, </w:t>
      </w:r>
      <w:r w:rsidR="008A6B43" w:rsidRPr="00C85EF2">
        <w:rPr>
          <w:color w:val="auto"/>
        </w:rPr>
        <w:t>lazertinib did not affect oestrous cyclicity, mating, fertility or sperm parameters, but induced an increase post-implantation loss and decreased live litter size at 30 mg/kg/day, a dose level approximating the human clinical exposure at the recommended dose of 240 mg.</w:t>
      </w:r>
      <w:r w:rsidR="00CC5EAD" w:rsidRPr="00C85EF2">
        <w:rPr>
          <w:color w:val="auto"/>
        </w:rPr>
        <w:t xml:space="preserve"> As well, histological changes (e.g. tubular degeneration in the testis, cellular lumen debris, degeneration/necrosis, and reduced sperm in the epididymis; decreased corpora lutea in the ovary and atrophy of the uterus and vagina) observed in the reproductive organs of male and females from rat and dog repeat dose toxicity studies were suggestive of possible impairments to fertility.</w:t>
      </w:r>
    </w:p>
    <w:p w14:paraId="5CE4254F" w14:textId="77777777" w:rsidR="00E11E5E" w:rsidRPr="00C85EF2" w:rsidRDefault="00E11E5E" w:rsidP="00AD5070">
      <w:pPr>
        <w:rPr>
          <w:color w:val="auto"/>
        </w:rPr>
      </w:pPr>
    </w:p>
    <w:p w14:paraId="19FE9011" w14:textId="11CA0C51" w:rsidR="00EA5E71" w:rsidRPr="00C85EF2" w:rsidRDefault="00EA5E71" w:rsidP="00AD5070">
      <w:pPr>
        <w:pStyle w:val="Heading3"/>
        <w:tabs>
          <w:tab w:val="left" w:pos="8400"/>
        </w:tabs>
        <w:jc w:val="left"/>
        <w:rPr>
          <w:color w:val="auto"/>
        </w:rPr>
      </w:pPr>
      <w:r w:rsidRPr="00C85EF2">
        <w:rPr>
          <w:color w:val="auto"/>
        </w:rPr>
        <w:t>Use in pregnancy</w:t>
      </w:r>
      <w:r w:rsidR="00A403D3" w:rsidRPr="00C85EF2">
        <w:rPr>
          <w:color w:val="auto"/>
        </w:rPr>
        <w:t xml:space="preserve"> – </w:t>
      </w:r>
      <w:bookmarkStart w:id="20" w:name="_Hlk64891910"/>
      <w:r w:rsidR="00A403D3" w:rsidRPr="00C85EF2">
        <w:rPr>
          <w:color w:val="auto"/>
        </w:rPr>
        <w:t xml:space="preserve">Pregnancy </w:t>
      </w:r>
      <w:bookmarkEnd w:id="20"/>
      <w:r w:rsidR="00836AB5" w:rsidRPr="00C85EF2">
        <w:rPr>
          <w:color w:val="auto"/>
        </w:rPr>
        <w:t>Category D</w:t>
      </w:r>
      <w:r w:rsidR="009C3A5F" w:rsidRPr="00C85EF2">
        <w:rPr>
          <w:color w:val="auto"/>
        </w:rPr>
        <w:tab/>
      </w:r>
    </w:p>
    <w:p w14:paraId="7F525F55" w14:textId="126445FA" w:rsidR="00E11E5E" w:rsidRPr="00C85EF2" w:rsidRDefault="00E11E5E" w:rsidP="00AD5070">
      <w:pPr>
        <w:pStyle w:val="BodyText"/>
        <w:jc w:val="left"/>
        <w:rPr>
          <w:color w:val="auto"/>
        </w:rPr>
      </w:pPr>
      <w:bookmarkStart w:id="21" w:name="_Hlk127976582"/>
      <w:bookmarkStart w:id="22" w:name="_Hlk39757348"/>
      <w:r w:rsidRPr="00C85EF2">
        <w:rPr>
          <w:color w:val="auto"/>
        </w:rPr>
        <w:t xml:space="preserve">There are no data from the use of lazertinib in pregnant women. </w:t>
      </w:r>
      <w:r w:rsidR="008A6B43" w:rsidRPr="00C85EF2">
        <w:rPr>
          <w:color w:val="auto"/>
        </w:rPr>
        <w:t>In</w:t>
      </w:r>
      <w:r w:rsidR="00CC5EAD" w:rsidRPr="00C85EF2">
        <w:rPr>
          <w:color w:val="auto"/>
        </w:rPr>
        <w:t xml:space="preserve"> rat</w:t>
      </w:r>
      <w:r w:rsidR="008A6B43" w:rsidRPr="00C85EF2">
        <w:rPr>
          <w:color w:val="auto"/>
        </w:rPr>
        <w:t xml:space="preserve"> embryo-fetal development studies, </w:t>
      </w:r>
      <w:r w:rsidR="00CC5EAD" w:rsidRPr="00C85EF2">
        <w:rPr>
          <w:color w:val="auto"/>
        </w:rPr>
        <w:t>increased post-implantation losses were observed in a dose-range finding study at 75</w:t>
      </w:r>
      <w:r w:rsidR="00E84E02" w:rsidRPr="00C85EF2">
        <w:rPr>
          <w:color w:val="auto"/>
        </w:rPr>
        <w:t> </w:t>
      </w:r>
      <w:r w:rsidR="00CC5EAD" w:rsidRPr="00C85EF2">
        <w:rPr>
          <w:color w:val="auto"/>
        </w:rPr>
        <w:t xml:space="preserve">mg/kg/day (equivalent to 2.8 times the clinical dose based on body surface area), and </w:t>
      </w:r>
      <w:r w:rsidR="008A6B43" w:rsidRPr="00C85EF2">
        <w:rPr>
          <w:color w:val="auto"/>
        </w:rPr>
        <w:t xml:space="preserve">decreases in fetal body weights in association with maternal toxicity </w:t>
      </w:r>
      <w:r w:rsidR="00CC5EAD" w:rsidRPr="00C85EF2">
        <w:rPr>
          <w:color w:val="auto"/>
        </w:rPr>
        <w:t xml:space="preserve">in the main study </w:t>
      </w:r>
      <w:r w:rsidR="008A6B43" w:rsidRPr="00C85EF2">
        <w:rPr>
          <w:color w:val="auto"/>
        </w:rPr>
        <w:t xml:space="preserve">at 60 mg/kg/day, </w:t>
      </w:r>
      <w:r w:rsidR="00CC5EAD" w:rsidRPr="00C85EF2">
        <w:rPr>
          <w:color w:val="auto"/>
        </w:rPr>
        <w:t xml:space="preserve">which achieved </w:t>
      </w:r>
      <w:r w:rsidR="008A6B43" w:rsidRPr="00C85EF2">
        <w:rPr>
          <w:color w:val="auto"/>
        </w:rPr>
        <w:t>maternal exposure</w:t>
      </w:r>
      <w:r w:rsidR="00CC5EAD" w:rsidRPr="00C85EF2">
        <w:rPr>
          <w:color w:val="auto"/>
        </w:rPr>
        <w:t>s 3.6 times above</w:t>
      </w:r>
      <w:r w:rsidR="008A6B43" w:rsidRPr="00C85EF2">
        <w:rPr>
          <w:color w:val="auto"/>
        </w:rPr>
        <w:t xml:space="preserve"> human clinical exposure at 240 mg. </w:t>
      </w:r>
      <w:r w:rsidR="00CC5EAD" w:rsidRPr="00C85EF2">
        <w:rPr>
          <w:color w:val="auto"/>
        </w:rPr>
        <w:t>In rabbits t</w:t>
      </w:r>
      <w:r w:rsidR="008A6B43" w:rsidRPr="00C85EF2">
        <w:rPr>
          <w:color w:val="auto"/>
        </w:rPr>
        <w:t>here w</w:t>
      </w:r>
      <w:r w:rsidR="00EB3E7A" w:rsidRPr="00C85EF2">
        <w:rPr>
          <w:color w:val="auto"/>
        </w:rPr>
        <w:t>as</w:t>
      </w:r>
      <w:r w:rsidR="00CC5EAD" w:rsidRPr="00C85EF2">
        <w:rPr>
          <w:color w:val="auto"/>
        </w:rPr>
        <w:t xml:space="preserve"> an increased incidence of skeletal malformations and variations (skull </w:t>
      </w:r>
      <w:r w:rsidR="00EB3E7A" w:rsidRPr="00C85EF2">
        <w:rPr>
          <w:color w:val="auto"/>
        </w:rPr>
        <w:t>fused maxillary process</w:t>
      </w:r>
      <w:r w:rsidR="00CC5EAD" w:rsidRPr="00C85EF2">
        <w:rPr>
          <w:color w:val="auto"/>
        </w:rPr>
        <w:t xml:space="preserve">/zygomatic arch, misaligned vertebra caudal) </w:t>
      </w:r>
      <w:r w:rsidR="008A6B43" w:rsidRPr="00C85EF2">
        <w:rPr>
          <w:color w:val="auto"/>
        </w:rPr>
        <w:t>at 45 mg/kg/day</w:t>
      </w:r>
      <w:r w:rsidR="00CC5EAD" w:rsidRPr="00C85EF2">
        <w:rPr>
          <w:color w:val="auto"/>
        </w:rPr>
        <w:t xml:space="preserve"> (</w:t>
      </w:r>
      <w:r w:rsidR="008A6B43" w:rsidRPr="00C85EF2">
        <w:rPr>
          <w:color w:val="auto"/>
        </w:rPr>
        <w:t xml:space="preserve">maternal exposure </w:t>
      </w:r>
      <w:r w:rsidR="00CC5EAD" w:rsidRPr="00C85EF2">
        <w:rPr>
          <w:color w:val="auto"/>
        </w:rPr>
        <w:t>0.4</w:t>
      </w:r>
      <w:r w:rsidR="00E84E02" w:rsidRPr="00C85EF2">
        <w:rPr>
          <w:color w:val="auto"/>
        </w:rPr>
        <w:t> </w:t>
      </w:r>
      <w:r w:rsidR="00CC5EAD" w:rsidRPr="00C85EF2">
        <w:rPr>
          <w:color w:val="auto"/>
        </w:rPr>
        <w:t xml:space="preserve">times </w:t>
      </w:r>
      <w:r w:rsidR="008A6B43" w:rsidRPr="00C85EF2">
        <w:rPr>
          <w:color w:val="auto"/>
        </w:rPr>
        <w:t xml:space="preserve"> the human clinical exposure at 240 mg</w:t>
      </w:r>
      <w:r w:rsidR="00CC5EAD" w:rsidRPr="00C85EF2">
        <w:rPr>
          <w:color w:val="auto"/>
        </w:rPr>
        <w:t>)</w:t>
      </w:r>
      <w:r w:rsidR="008A6B43" w:rsidRPr="00C85EF2">
        <w:rPr>
          <w:color w:val="auto"/>
        </w:rPr>
        <w:t>.</w:t>
      </w:r>
    </w:p>
    <w:p w14:paraId="6D83C02B" w14:textId="77777777" w:rsidR="00E11E5E" w:rsidRPr="00C85EF2" w:rsidRDefault="00E11E5E" w:rsidP="00AD5070">
      <w:pPr>
        <w:pStyle w:val="BodyText"/>
        <w:jc w:val="left"/>
        <w:rPr>
          <w:color w:val="auto"/>
        </w:rPr>
      </w:pPr>
    </w:p>
    <w:p w14:paraId="2784A089" w14:textId="77777777" w:rsidR="00E47A0A" w:rsidRPr="00C85EF2" w:rsidRDefault="00E11E5E" w:rsidP="00AD5070">
      <w:pPr>
        <w:pStyle w:val="BodyText"/>
        <w:jc w:val="left"/>
        <w:rPr>
          <w:color w:val="auto"/>
        </w:rPr>
      </w:pPr>
      <w:r w:rsidRPr="00C85EF2">
        <w:rPr>
          <w:color w:val="auto"/>
        </w:rPr>
        <w:t>Based on its mechanism of action and animal data, lazertinib may cause fetal harm when administered to a pregnant woman. Lazertinib should not be used during pregnancy unless the clinical condition of the woman requires treatment with lazertinib.</w:t>
      </w:r>
    </w:p>
    <w:p w14:paraId="589368E8" w14:textId="77777777" w:rsidR="00E47A0A" w:rsidRPr="00C85EF2" w:rsidRDefault="00E47A0A" w:rsidP="00AD5070">
      <w:pPr>
        <w:pStyle w:val="BodyText"/>
        <w:jc w:val="left"/>
        <w:rPr>
          <w:color w:val="auto"/>
        </w:rPr>
      </w:pPr>
    </w:p>
    <w:p w14:paraId="698ED7B0" w14:textId="3D8089AA" w:rsidR="00E11E5E" w:rsidRPr="00C85EF2" w:rsidRDefault="00E47A0A" w:rsidP="00AD5070">
      <w:pPr>
        <w:pStyle w:val="BodyText"/>
        <w:jc w:val="left"/>
        <w:rPr>
          <w:color w:val="auto"/>
        </w:rPr>
      </w:pPr>
      <w:r w:rsidRPr="00C85EF2">
        <w:rPr>
          <w:color w:val="auto"/>
        </w:rPr>
        <w:t>Verify the pregnancy status of females of reproductive potential prior to initiating LAZCLUZE.</w:t>
      </w:r>
    </w:p>
    <w:p w14:paraId="1D1581FF" w14:textId="77777777" w:rsidR="00E11E5E" w:rsidRPr="00C85EF2" w:rsidRDefault="00E11E5E" w:rsidP="00AD5070">
      <w:pPr>
        <w:pStyle w:val="BodyText"/>
        <w:jc w:val="left"/>
        <w:rPr>
          <w:color w:val="auto"/>
        </w:rPr>
      </w:pPr>
      <w:bookmarkStart w:id="23" w:name="_Hlk128651613"/>
      <w:bookmarkEnd w:id="21"/>
    </w:p>
    <w:p w14:paraId="7B59A757" w14:textId="2046AB58" w:rsidR="00E11E5E" w:rsidRPr="00C85EF2" w:rsidRDefault="00E11E5E" w:rsidP="00AD5070">
      <w:pPr>
        <w:pStyle w:val="BodyText"/>
        <w:jc w:val="left"/>
        <w:rPr>
          <w:color w:val="auto"/>
        </w:rPr>
      </w:pPr>
      <w:r w:rsidRPr="00C85EF2">
        <w:rPr>
          <w:color w:val="auto"/>
        </w:rPr>
        <w:t xml:space="preserve">Advise females of reproductive potential to use effective contraception during treatment and for 3 weeks after the final dose of </w:t>
      </w:r>
      <w:r w:rsidR="00FA6C25" w:rsidRPr="00C85EF2">
        <w:rPr>
          <w:color w:val="auto"/>
        </w:rPr>
        <w:t>LAZCLUZE</w:t>
      </w:r>
      <w:r w:rsidRPr="00C85EF2">
        <w:rPr>
          <w:color w:val="auto"/>
        </w:rPr>
        <w:t xml:space="preserve">. Advise male patients with female partners of reproductive potential to use effective contraception (e.g., condom) </w:t>
      </w:r>
      <w:r w:rsidRPr="00C85EF2">
        <w:rPr>
          <w:bCs/>
          <w:color w:val="auto"/>
        </w:rPr>
        <w:t>and not donate or store semen</w:t>
      </w:r>
      <w:r w:rsidRPr="00C85EF2">
        <w:rPr>
          <w:color w:val="auto"/>
        </w:rPr>
        <w:t xml:space="preserve"> during treatment and for 3 weeks after the last dose of </w:t>
      </w:r>
      <w:r w:rsidR="00FA6C25" w:rsidRPr="00C85EF2">
        <w:rPr>
          <w:color w:val="auto"/>
        </w:rPr>
        <w:t>LAZCLUZE</w:t>
      </w:r>
      <w:r w:rsidRPr="00C85EF2">
        <w:rPr>
          <w:color w:val="auto"/>
        </w:rPr>
        <w:t>.</w:t>
      </w:r>
    </w:p>
    <w:bookmarkEnd w:id="22"/>
    <w:bookmarkEnd w:id="23"/>
    <w:p w14:paraId="66E9A665" w14:textId="3A9F0733" w:rsidR="00EA5E71" w:rsidRPr="00C85EF2" w:rsidRDefault="00EA5E71" w:rsidP="00AD5070">
      <w:pPr>
        <w:pStyle w:val="Heading3"/>
        <w:jc w:val="left"/>
        <w:rPr>
          <w:color w:val="auto"/>
          <w:lang w:val="en-US"/>
        </w:rPr>
      </w:pPr>
      <w:r w:rsidRPr="00C85EF2">
        <w:rPr>
          <w:color w:val="auto"/>
          <w:lang w:val="en-US"/>
        </w:rPr>
        <w:t>Use in lactation</w:t>
      </w:r>
    </w:p>
    <w:p w14:paraId="0F7CB340" w14:textId="6867CDBE" w:rsidR="00E11E5E" w:rsidRPr="00C85EF2" w:rsidRDefault="00E11E5E" w:rsidP="00AD5070">
      <w:pPr>
        <w:pStyle w:val="BodyText"/>
        <w:jc w:val="left"/>
        <w:rPr>
          <w:color w:val="auto"/>
        </w:rPr>
      </w:pPr>
      <w:bookmarkStart w:id="24" w:name="_Hlk129593079"/>
      <w:bookmarkStart w:id="25" w:name="_Hlk42843675"/>
      <w:r w:rsidRPr="00C85EF2">
        <w:rPr>
          <w:color w:val="auto"/>
        </w:rPr>
        <w:t>It is not known whether lazertinib or its metabolites are excreted</w:t>
      </w:r>
      <w:r w:rsidRPr="00C85EF2">
        <w:rPr>
          <w:rFonts w:ascii="Calibri" w:hAnsi="Calibri" w:cs="Calibri"/>
          <w:color w:val="auto"/>
        </w:rPr>
        <w:t xml:space="preserve"> </w:t>
      </w:r>
      <w:r w:rsidRPr="00C85EF2">
        <w:rPr>
          <w:color w:val="auto"/>
        </w:rPr>
        <w:t xml:space="preserve">in human milk or affects milk production. </w:t>
      </w:r>
      <w:bookmarkStart w:id="26" w:name="_Hlk128652561"/>
      <w:r w:rsidRPr="00C85EF2">
        <w:rPr>
          <w:color w:val="auto"/>
        </w:rPr>
        <w:t xml:space="preserve">Because the risk to the breast-feeding child cannot be excluded, advise women not to breast-feed during treatment </w:t>
      </w:r>
      <w:bookmarkStart w:id="27" w:name="_Hlk129254224"/>
      <w:r w:rsidRPr="00C85EF2">
        <w:rPr>
          <w:color w:val="auto"/>
        </w:rPr>
        <w:t xml:space="preserve">and for 3 weeks after the last dose of </w:t>
      </w:r>
      <w:r w:rsidR="00FA6C25" w:rsidRPr="00C85EF2">
        <w:rPr>
          <w:color w:val="auto"/>
        </w:rPr>
        <w:t>LAZCLUZE</w:t>
      </w:r>
      <w:bookmarkEnd w:id="27"/>
      <w:r w:rsidRPr="00C85EF2">
        <w:rPr>
          <w:color w:val="auto"/>
        </w:rPr>
        <w:t>.</w:t>
      </w:r>
    </w:p>
    <w:p w14:paraId="7B7824AD" w14:textId="77777777" w:rsidR="00E11E5E" w:rsidRDefault="00E11E5E" w:rsidP="00AD5070">
      <w:pPr>
        <w:pStyle w:val="BodyText"/>
        <w:jc w:val="left"/>
        <w:rPr>
          <w:color w:val="auto"/>
        </w:rPr>
      </w:pPr>
    </w:p>
    <w:p w14:paraId="048EF60B" w14:textId="77777777" w:rsidR="00AD5070" w:rsidRPr="00C85EF2" w:rsidRDefault="00AD5070" w:rsidP="00AD5070">
      <w:pPr>
        <w:pStyle w:val="BodyText"/>
        <w:jc w:val="left"/>
        <w:rPr>
          <w:color w:val="auto"/>
        </w:rPr>
      </w:pPr>
    </w:p>
    <w:bookmarkEnd w:id="24"/>
    <w:bookmarkEnd w:id="25"/>
    <w:bookmarkEnd w:id="26"/>
    <w:p w14:paraId="28FA0EA2" w14:textId="0F2F690C" w:rsidR="0088073D" w:rsidRPr="00C85EF2" w:rsidRDefault="000F510E" w:rsidP="00AD5070">
      <w:pPr>
        <w:pStyle w:val="Heading2"/>
        <w:numPr>
          <w:ilvl w:val="1"/>
          <w:numId w:val="18"/>
        </w:numPr>
        <w:ind w:left="426" w:hanging="426"/>
        <w:jc w:val="left"/>
        <w:rPr>
          <w:color w:val="auto"/>
        </w:rPr>
      </w:pPr>
      <w:r w:rsidRPr="00C85EF2">
        <w:rPr>
          <w:color w:val="auto"/>
        </w:rPr>
        <w:lastRenderedPageBreak/>
        <w:t xml:space="preserve">EFFECTS OF ABILITY TO DRIVE AND </w:t>
      </w:r>
      <w:r w:rsidR="00367541" w:rsidRPr="00C85EF2">
        <w:rPr>
          <w:color w:val="auto"/>
        </w:rPr>
        <w:t>USE</w:t>
      </w:r>
      <w:r w:rsidRPr="00C85EF2">
        <w:rPr>
          <w:color w:val="auto"/>
        </w:rPr>
        <w:t xml:space="preserve"> MACHINES</w:t>
      </w:r>
    </w:p>
    <w:p w14:paraId="40826749" w14:textId="6B714A8F" w:rsidR="00110774" w:rsidRPr="00C85EF2" w:rsidRDefault="00697A2C" w:rsidP="00AD5070">
      <w:pPr>
        <w:spacing w:after="240"/>
        <w:rPr>
          <w:iCs/>
          <w:color w:val="auto"/>
        </w:rPr>
      </w:pPr>
      <w:r w:rsidRPr="00C85EF2">
        <w:rPr>
          <w:iCs/>
          <w:color w:val="auto"/>
        </w:rPr>
        <w:t xml:space="preserve">No studies on the effects on the ability to drive and use machines have been performed. If patients experience treatment-related symptoms affecting their ability to concentrate and react, it is recommended that they do not drive or use machines </w:t>
      </w:r>
      <w:r w:rsidR="00AC2FEC" w:rsidRPr="00C85EF2">
        <w:rPr>
          <w:iCs/>
          <w:color w:val="auto"/>
        </w:rPr>
        <w:t>until the effect subsides</w:t>
      </w:r>
      <w:r w:rsidRPr="00C85EF2">
        <w:rPr>
          <w:iCs/>
          <w:color w:val="auto"/>
        </w:rPr>
        <w:t>.</w:t>
      </w:r>
    </w:p>
    <w:p w14:paraId="7B911FF8" w14:textId="35D8BA92" w:rsidR="000F510E" w:rsidRPr="00C85EF2" w:rsidRDefault="000F510E" w:rsidP="00AD5070">
      <w:pPr>
        <w:pStyle w:val="Heading2"/>
        <w:numPr>
          <w:ilvl w:val="1"/>
          <w:numId w:val="18"/>
        </w:numPr>
        <w:ind w:left="426" w:hanging="426"/>
        <w:jc w:val="left"/>
        <w:rPr>
          <w:color w:val="auto"/>
        </w:rPr>
      </w:pPr>
      <w:r w:rsidRPr="00C85EF2">
        <w:rPr>
          <w:color w:val="auto"/>
        </w:rPr>
        <w:t>ADVERSE EFFECTS (UNDESIRABLE EFFECTS)</w:t>
      </w:r>
    </w:p>
    <w:p w14:paraId="73743CCB" w14:textId="611BA810" w:rsidR="0099109B" w:rsidRPr="00C85EF2" w:rsidRDefault="0099109B" w:rsidP="00AD5070">
      <w:pPr>
        <w:pStyle w:val="Heading3"/>
        <w:jc w:val="left"/>
        <w:rPr>
          <w:color w:val="auto"/>
          <w:lang w:val="en-US"/>
        </w:rPr>
      </w:pPr>
      <w:r w:rsidRPr="00C85EF2">
        <w:rPr>
          <w:color w:val="auto"/>
          <w:lang w:val="en-US"/>
        </w:rPr>
        <w:t>Clinical trial data</w:t>
      </w:r>
    </w:p>
    <w:p w14:paraId="6D9F2A54" w14:textId="33440973" w:rsidR="003A5CC5" w:rsidRPr="00C85EF2" w:rsidRDefault="003A5CC5" w:rsidP="00AD5070">
      <w:pPr>
        <w:pStyle w:val="BodyText"/>
        <w:jc w:val="left"/>
        <w:rPr>
          <w:color w:val="auto"/>
          <w:lang w:val="en-US"/>
        </w:rPr>
      </w:pPr>
      <w:bookmarkStart w:id="28" w:name="_Hlk82612330"/>
      <w:r w:rsidRPr="00C85EF2">
        <w:rPr>
          <w:color w:val="auto"/>
          <w:lang w:val="en-US"/>
        </w:rPr>
        <w:t>Because clinical trials are conducted under widely varying conditions, adverse reaction rates observed in the clinical trials of a drug cannot be directly compared to rates in the clinical trials of another drug and may not reflect the rates observed in practice.</w:t>
      </w:r>
    </w:p>
    <w:p w14:paraId="64E3B2F7" w14:textId="622AFE28" w:rsidR="00C85EF2" w:rsidRDefault="00C85EF2" w:rsidP="00AD5070">
      <w:pPr>
        <w:rPr>
          <w:color w:val="auto"/>
          <w:lang w:val="en-US"/>
        </w:rPr>
      </w:pPr>
    </w:p>
    <w:p w14:paraId="0AA1CE4F" w14:textId="77777777" w:rsidR="00E8784A" w:rsidRPr="00C85EF2" w:rsidRDefault="00E8784A" w:rsidP="00AD5070">
      <w:pPr>
        <w:pStyle w:val="Heading3"/>
        <w:jc w:val="left"/>
        <w:rPr>
          <w:color w:val="auto"/>
        </w:rPr>
      </w:pPr>
      <w:r w:rsidRPr="00C85EF2">
        <w:rPr>
          <w:color w:val="auto"/>
        </w:rPr>
        <w:t>First-line treatment of NSCLC with EGFR exon 19 deletion or exon 21 L858R substitution mutation</w:t>
      </w:r>
    </w:p>
    <w:p w14:paraId="7C7470A8" w14:textId="4CFCB3DE" w:rsidR="00E8784A" w:rsidRPr="00C85EF2" w:rsidRDefault="00E8784A" w:rsidP="00AD5070">
      <w:pPr>
        <w:pStyle w:val="BodyText"/>
        <w:shd w:val="clear" w:color="auto" w:fill="FFFFFF" w:themeFill="background1"/>
        <w:jc w:val="left"/>
        <w:rPr>
          <w:color w:val="auto"/>
        </w:rPr>
      </w:pPr>
      <w:r w:rsidRPr="00C85EF2">
        <w:rPr>
          <w:color w:val="auto"/>
        </w:rPr>
        <w:t xml:space="preserve">The safety data described below reflect exposure to LAZCLUZE in combination with amivantamab in 421 treatment-naïve patients with locally advanced or metastatic NSCLC </w:t>
      </w:r>
      <w:r w:rsidRPr="00C85EF2">
        <w:rPr>
          <w:iCs/>
          <w:color w:val="auto"/>
        </w:rPr>
        <w:t>whose tumours have EGFR exon 19 deletion or exon 21 L858R substitution mutation in MARIPOSA</w:t>
      </w:r>
      <w:r w:rsidRPr="00C85EF2">
        <w:rPr>
          <w:color w:val="auto"/>
        </w:rPr>
        <w:t xml:space="preserve">. </w:t>
      </w:r>
    </w:p>
    <w:p w14:paraId="14323DD5" w14:textId="77777777" w:rsidR="00BF15FD" w:rsidRPr="00C85EF2" w:rsidRDefault="00BF15FD" w:rsidP="00AD5070">
      <w:pPr>
        <w:pStyle w:val="BodyText"/>
        <w:jc w:val="left"/>
        <w:rPr>
          <w:color w:val="auto"/>
          <w:lang w:val="en-US"/>
        </w:rPr>
      </w:pPr>
    </w:p>
    <w:p w14:paraId="6EA57FB8" w14:textId="1BC913CE" w:rsidR="00B979D3" w:rsidRPr="00C85EF2" w:rsidRDefault="00C7374E" w:rsidP="00AD5070">
      <w:pPr>
        <w:pStyle w:val="BodyText120"/>
        <w:jc w:val="left"/>
        <w:rPr>
          <w:szCs w:val="18"/>
        </w:rPr>
      </w:pPr>
      <w:bookmarkStart w:id="29" w:name="IDX"/>
      <w:bookmarkEnd w:id="28"/>
      <w:bookmarkEnd w:id="29"/>
      <w:r w:rsidRPr="00C85EF2">
        <w:rPr>
          <w:rFonts w:ascii="Arial" w:hAnsi="Arial" w:cs="Arial"/>
          <w:sz w:val="22"/>
          <w:szCs w:val="18"/>
        </w:rPr>
        <w:t xml:space="preserve">Table 3 </w:t>
      </w:r>
      <w:proofErr w:type="spellStart"/>
      <w:r w:rsidRPr="00C85EF2">
        <w:rPr>
          <w:rFonts w:ascii="Arial" w:hAnsi="Arial" w:cs="Arial"/>
          <w:sz w:val="22"/>
          <w:szCs w:val="18"/>
        </w:rPr>
        <w:t>summarises</w:t>
      </w:r>
      <w:proofErr w:type="spellEnd"/>
      <w:r w:rsidRPr="00C85EF2">
        <w:rPr>
          <w:rFonts w:ascii="Arial" w:hAnsi="Arial" w:cs="Arial"/>
          <w:sz w:val="22"/>
          <w:szCs w:val="18"/>
        </w:rPr>
        <w:t xml:space="preserve"> the adverse reactions (≥ 10%) in MARIPOSA.</w:t>
      </w:r>
      <w:bookmarkStart w:id="30" w:name="_Hlk130370013"/>
    </w:p>
    <w:p w14:paraId="346734DD" w14:textId="1DA218FE" w:rsidR="00A56C9B" w:rsidRPr="00C85EF2" w:rsidRDefault="00A56C9B" w:rsidP="00AD5070">
      <w:pPr>
        <w:spacing w:before="79"/>
        <w:ind w:left="851" w:right="283" w:hanging="709"/>
        <w:rPr>
          <w:b/>
          <w:color w:val="auto"/>
          <w:sz w:val="20"/>
        </w:rPr>
      </w:pPr>
      <w:r w:rsidRPr="00C85EF2">
        <w:rPr>
          <w:b/>
          <w:color w:val="auto"/>
          <w:sz w:val="20"/>
        </w:rPr>
        <w:t>Table 3:</w:t>
      </w:r>
      <w:r w:rsidRPr="00C85EF2">
        <w:rPr>
          <w:b/>
          <w:color w:val="auto"/>
          <w:sz w:val="20"/>
        </w:rPr>
        <w:tab/>
        <w:t>Adverse Reactions (≥ 10%) in Patients with NSCLC with Exon 19 Deletion or Exon 21 L858R Substitution Mutations in</w:t>
      </w:r>
      <w:r w:rsidRPr="00C85EF2">
        <w:rPr>
          <w:b/>
          <w:color w:val="auto"/>
          <w:spacing w:val="-3"/>
          <w:sz w:val="20"/>
        </w:rPr>
        <w:t xml:space="preserve"> </w:t>
      </w:r>
      <w:r w:rsidRPr="00C85EF2">
        <w:rPr>
          <w:b/>
          <w:color w:val="auto"/>
          <w:sz w:val="20"/>
        </w:rPr>
        <w:t>MARIPOSA</w:t>
      </w:r>
    </w:p>
    <w:p w14:paraId="7663E350" w14:textId="77777777" w:rsidR="00A56C9B" w:rsidRPr="00C85EF2" w:rsidRDefault="00A56C9B" w:rsidP="00AD5070">
      <w:pPr>
        <w:pStyle w:val="BodyText"/>
        <w:spacing w:before="4"/>
        <w:jc w:val="left"/>
        <w:rPr>
          <w:b/>
          <w:color w:val="auto"/>
          <w:sz w:val="5"/>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1"/>
        <w:gridCol w:w="1545"/>
        <w:gridCol w:w="1525"/>
        <w:gridCol w:w="1329"/>
        <w:gridCol w:w="1449"/>
      </w:tblGrid>
      <w:tr w:rsidR="00C85EF2" w:rsidRPr="00C85EF2" w14:paraId="6D19246E" w14:textId="77777777" w:rsidTr="00A56C9B">
        <w:trPr>
          <w:trHeight w:val="700"/>
        </w:trPr>
        <w:tc>
          <w:tcPr>
            <w:tcW w:w="3501" w:type="dxa"/>
          </w:tcPr>
          <w:p w14:paraId="71147CE1" w14:textId="77777777" w:rsidR="00A56C9B" w:rsidRPr="00C85EF2" w:rsidRDefault="00A56C9B" w:rsidP="00AD5070">
            <w:pPr>
              <w:pStyle w:val="TableParagraph"/>
              <w:spacing w:line="240" w:lineRule="auto"/>
              <w:rPr>
                <w:b/>
                <w:sz w:val="18"/>
                <w:szCs w:val="20"/>
              </w:rPr>
            </w:pPr>
          </w:p>
          <w:p w14:paraId="3A07B7A7" w14:textId="77777777" w:rsidR="00A56C9B" w:rsidRPr="00C85EF2" w:rsidRDefault="00A56C9B" w:rsidP="00AD5070">
            <w:pPr>
              <w:pStyle w:val="TableParagraph"/>
              <w:spacing w:before="8" w:line="240" w:lineRule="auto"/>
              <w:rPr>
                <w:b/>
                <w:sz w:val="18"/>
                <w:szCs w:val="20"/>
              </w:rPr>
            </w:pPr>
          </w:p>
          <w:p w14:paraId="551D5B82" w14:textId="77777777" w:rsidR="00A56C9B" w:rsidRPr="00C85EF2" w:rsidRDefault="00A56C9B" w:rsidP="00AD5070">
            <w:pPr>
              <w:pStyle w:val="TableParagraph"/>
              <w:spacing w:line="212" w:lineRule="exact"/>
              <w:ind w:left="65"/>
              <w:rPr>
                <w:b/>
                <w:sz w:val="18"/>
                <w:szCs w:val="20"/>
              </w:rPr>
            </w:pPr>
            <w:r w:rsidRPr="00C85EF2">
              <w:rPr>
                <w:b/>
                <w:sz w:val="18"/>
                <w:szCs w:val="20"/>
              </w:rPr>
              <w:t>Adverse Reaction</w:t>
            </w:r>
          </w:p>
        </w:tc>
        <w:tc>
          <w:tcPr>
            <w:tcW w:w="3070" w:type="dxa"/>
            <w:gridSpan w:val="2"/>
          </w:tcPr>
          <w:p w14:paraId="624C5BE6" w14:textId="77777777" w:rsidR="00A56C9B" w:rsidRPr="00C85EF2" w:rsidRDefault="00A56C9B" w:rsidP="00AD5070">
            <w:pPr>
              <w:pStyle w:val="TableParagraph"/>
              <w:spacing w:before="8" w:line="240" w:lineRule="auto"/>
              <w:ind w:left="84" w:right="75"/>
              <w:rPr>
                <w:b/>
                <w:sz w:val="18"/>
                <w:szCs w:val="20"/>
              </w:rPr>
            </w:pPr>
            <w:r w:rsidRPr="00C85EF2">
              <w:rPr>
                <w:b/>
                <w:sz w:val="18"/>
                <w:szCs w:val="20"/>
              </w:rPr>
              <w:t>LAZCLUZE in combination with amivantamab</w:t>
            </w:r>
          </w:p>
          <w:p w14:paraId="266E5FF2" w14:textId="77777777" w:rsidR="00A56C9B" w:rsidRPr="00C85EF2" w:rsidRDefault="00A56C9B" w:rsidP="00AD5070">
            <w:pPr>
              <w:pStyle w:val="TableParagraph"/>
              <w:spacing w:line="212" w:lineRule="exact"/>
              <w:ind w:left="84" w:right="70"/>
              <w:rPr>
                <w:b/>
                <w:sz w:val="18"/>
                <w:szCs w:val="20"/>
              </w:rPr>
            </w:pPr>
            <w:r w:rsidRPr="00C85EF2">
              <w:rPr>
                <w:b/>
                <w:sz w:val="18"/>
                <w:szCs w:val="20"/>
              </w:rPr>
              <w:t>(N=421)</w:t>
            </w:r>
          </w:p>
        </w:tc>
        <w:tc>
          <w:tcPr>
            <w:tcW w:w="2778" w:type="dxa"/>
            <w:gridSpan w:val="2"/>
          </w:tcPr>
          <w:p w14:paraId="73639523" w14:textId="77777777" w:rsidR="00A56C9B" w:rsidRPr="00C85EF2" w:rsidRDefault="00A56C9B" w:rsidP="00AD5070">
            <w:pPr>
              <w:pStyle w:val="TableParagraph"/>
              <w:spacing w:before="8" w:line="240" w:lineRule="auto"/>
              <w:rPr>
                <w:b/>
                <w:sz w:val="18"/>
                <w:szCs w:val="20"/>
              </w:rPr>
            </w:pPr>
          </w:p>
          <w:p w14:paraId="4E5D51D5" w14:textId="77777777" w:rsidR="00A56C9B" w:rsidRPr="00C85EF2" w:rsidRDefault="00A56C9B" w:rsidP="00AD5070">
            <w:pPr>
              <w:pStyle w:val="TableParagraph"/>
              <w:spacing w:line="230" w:lineRule="atLeast"/>
              <w:ind w:left="1047" w:right="843" w:hanging="176"/>
              <w:rPr>
                <w:b/>
                <w:sz w:val="18"/>
                <w:szCs w:val="20"/>
              </w:rPr>
            </w:pPr>
            <w:r w:rsidRPr="00C85EF2">
              <w:rPr>
                <w:b/>
                <w:sz w:val="18"/>
                <w:szCs w:val="20"/>
              </w:rPr>
              <w:t>Osimertinib (N=428)</w:t>
            </w:r>
          </w:p>
        </w:tc>
      </w:tr>
      <w:tr w:rsidR="00C85EF2" w:rsidRPr="00C85EF2" w14:paraId="1CD2523D" w14:textId="77777777" w:rsidTr="00A56C9B">
        <w:trPr>
          <w:trHeight w:val="505"/>
        </w:trPr>
        <w:tc>
          <w:tcPr>
            <w:tcW w:w="3501" w:type="dxa"/>
          </w:tcPr>
          <w:p w14:paraId="789777CF" w14:textId="77777777" w:rsidR="00A56C9B" w:rsidRPr="00C85EF2" w:rsidRDefault="00A56C9B" w:rsidP="00AD5070">
            <w:pPr>
              <w:pStyle w:val="TableParagraph"/>
              <w:spacing w:line="240" w:lineRule="auto"/>
              <w:rPr>
                <w:sz w:val="18"/>
                <w:szCs w:val="20"/>
              </w:rPr>
            </w:pPr>
          </w:p>
        </w:tc>
        <w:tc>
          <w:tcPr>
            <w:tcW w:w="1545" w:type="dxa"/>
          </w:tcPr>
          <w:p w14:paraId="65DC371C" w14:textId="77777777" w:rsidR="00A56C9B" w:rsidRPr="00C85EF2" w:rsidRDefault="00A56C9B" w:rsidP="00AD5070">
            <w:pPr>
              <w:pStyle w:val="TableParagraph"/>
              <w:spacing w:before="43" w:line="230" w:lineRule="atLeast"/>
              <w:ind w:left="606" w:right="282" w:hanging="301"/>
              <w:rPr>
                <w:b/>
                <w:sz w:val="18"/>
                <w:szCs w:val="20"/>
              </w:rPr>
            </w:pPr>
            <w:r w:rsidRPr="00C85EF2">
              <w:rPr>
                <w:b/>
                <w:sz w:val="18"/>
                <w:szCs w:val="20"/>
              </w:rPr>
              <w:t>All Grades (%)</w:t>
            </w:r>
          </w:p>
        </w:tc>
        <w:tc>
          <w:tcPr>
            <w:tcW w:w="1525" w:type="dxa"/>
          </w:tcPr>
          <w:p w14:paraId="4C3B1133" w14:textId="77777777" w:rsidR="00A56C9B" w:rsidRPr="00C85EF2" w:rsidRDefault="00A56C9B" w:rsidP="00AD5070">
            <w:pPr>
              <w:pStyle w:val="TableParagraph"/>
              <w:spacing w:before="43" w:line="230" w:lineRule="atLeast"/>
              <w:ind w:left="591" w:right="195" w:hanging="375"/>
              <w:rPr>
                <w:b/>
                <w:sz w:val="18"/>
                <w:szCs w:val="20"/>
              </w:rPr>
            </w:pPr>
            <w:r w:rsidRPr="00C85EF2">
              <w:rPr>
                <w:b/>
                <w:sz w:val="18"/>
                <w:szCs w:val="20"/>
              </w:rPr>
              <w:t>Grade 3 or 4 (%)</w:t>
            </w:r>
          </w:p>
        </w:tc>
        <w:tc>
          <w:tcPr>
            <w:tcW w:w="1329" w:type="dxa"/>
          </w:tcPr>
          <w:p w14:paraId="110FBE2D" w14:textId="77777777" w:rsidR="00A56C9B" w:rsidRPr="00C85EF2" w:rsidRDefault="00A56C9B" w:rsidP="00AD5070">
            <w:pPr>
              <w:pStyle w:val="TableParagraph"/>
              <w:spacing w:before="43" w:line="230" w:lineRule="atLeast"/>
              <w:ind w:left="496" w:right="170" w:hanging="295"/>
              <w:rPr>
                <w:b/>
                <w:sz w:val="18"/>
                <w:szCs w:val="20"/>
              </w:rPr>
            </w:pPr>
            <w:r w:rsidRPr="00C85EF2">
              <w:rPr>
                <w:b/>
                <w:sz w:val="18"/>
                <w:szCs w:val="20"/>
              </w:rPr>
              <w:t>All Grades (%)</w:t>
            </w:r>
          </w:p>
        </w:tc>
        <w:tc>
          <w:tcPr>
            <w:tcW w:w="1449" w:type="dxa"/>
          </w:tcPr>
          <w:p w14:paraId="23FF865D" w14:textId="77777777" w:rsidR="00A56C9B" w:rsidRPr="00C85EF2" w:rsidRDefault="00A56C9B" w:rsidP="00AD5070">
            <w:pPr>
              <w:pStyle w:val="TableParagraph"/>
              <w:spacing w:before="43" w:line="230" w:lineRule="atLeast"/>
              <w:ind w:left="558" w:right="152" w:hanging="375"/>
              <w:rPr>
                <w:b/>
                <w:sz w:val="18"/>
                <w:szCs w:val="20"/>
              </w:rPr>
            </w:pPr>
            <w:r w:rsidRPr="00C85EF2">
              <w:rPr>
                <w:b/>
                <w:sz w:val="18"/>
                <w:szCs w:val="20"/>
              </w:rPr>
              <w:t>Grade 3 or 4 (%)</w:t>
            </w:r>
          </w:p>
        </w:tc>
      </w:tr>
      <w:tr w:rsidR="00C85EF2" w:rsidRPr="00C85EF2" w14:paraId="4685320F" w14:textId="77777777" w:rsidTr="00A56C9B">
        <w:trPr>
          <w:trHeight w:val="230"/>
        </w:trPr>
        <w:tc>
          <w:tcPr>
            <w:tcW w:w="9349" w:type="dxa"/>
            <w:gridSpan w:val="5"/>
          </w:tcPr>
          <w:p w14:paraId="4BA9A754" w14:textId="77777777" w:rsidR="00A56C9B" w:rsidRPr="00C85EF2" w:rsidRDefault="00A56C9B" w:rsidP="00AD5070">
            <w:pPr>
              <w:pStyle w:val="TableParagraph"/>
              <w:ind w:left="65"/>
              <w:rPr>
                <w:b/>
                <w:sz w:val="18"/>
                <w:szCs w:val="20"/>
              </w:rPr>
            </w:pPr>
            <w:r w:rsidRPr="00C85EF2">
              <w:rPr>
                <w:b/>
                <w:sz w:val="18"/>
                <w:szCs w:val="20"/>
              </w:rPr>
              <w:t>Skin and subcutaneous tissue disorders</w:t>
            </w:r>
          </w:p>
        </w:tc>
      </w:tr>
      <w:tr w:rsidR="00C85EF2" w:rsidRPr="00C85EF2" w14:paraId="1CE8D2AD" w14:textId="77777777" w:rsidTr="00A56C9B">
        <w:trPr>
          <w:trHeight w:val="230"/>
        </w:trPr>
        <w:tc>
          <w:tcPr>
            <w:tcW w:w="3501" w:type="dxa"/>
          </w:tcPr>
          <w:p w14:paraId="7EDE3C8B" w14:textId="77777777" w:rsidR="00A56C9B" w:rsidRPr="00C85EF2" w:rsidRDefault="00A56C9B" w:rsidP="00AD5070">
            <w:pPr>
              <w:pStyle w:val="TableParagraph"/>
              <w:ind w:left="315"/>
              <w:rPr>
                <w:sz w:val="18"/>
                <w:szCs w:val="20"/>
              </w:rPr>
            </w:pPr>
            <w:r w:rsidRPr="00C85EF2">
              <w:rPr>
                <w:sz w:val="18"/>
                <w:szCs w:val="20"/>
              </w:rPr>
              <w:t>Rash</w:t>
            </w:r>
            <w:r w:rsidRPr="00C85EF2">
              <w:rPr>
                <w:sz w:val="18"/>
                <w:szCs w:val="20"/>
                <w:vertAlign w:val="superscript"/>
              </w:rPr>
              <w:t>*</w:t>
            </w:r>
          </w:p>
        </w:tc>
        <w:tc>
          <w:tcPr>
            <w:tcW w:w="1545" w:type="dxa"/>
          </w:tcPr>
          <w:p w14:paraId="2EC58B32" w14:textId="77777777" w:rsidR="00A56C9B" w:rsidRPr="00C85EF2" w:rsidRDefault="00A56C9B" w:rsidP="00AD5070">
            <w:pPr>
              <w:pStyle w:val="TableParagraph"/>
              <w:ind w:left="656" w:right="639"/>
              <w:rPr>
                <w:sz w:val="18"/>
                <w:szCs w:val="20"/>
              </w:rPr>
            </w:pPr>
            <w:r w:rsidRPr="00C85EF2">
              <w:rPr>
                <w:sz w:val="18"/>
                <w:szCs w:val="20"/>
              </w:rPr>
              <w:t>86</w:t>
            </w:r>
          </w:p>
        </w:tc>
        <w:tc>
          <w:tcPr>
            <w:tcW w:w="1525" w:type="dxa"/>
          </w:tcPr>
          <w:p w14:paraId="6B79C9D0" w14:textId="77777777" w:rsidR="00A56C9B" w:rsidRPr="00C85EF2" w:rsidRDefault="00A56C9B" w:rsidP="00AD5070">
            <w:pPr>
              <w:pStyle w:val="TableParagraph"/>
              <w:ind w:left="621" w:right="603"/>
              <w:rPr>
                <w:sz w:val="18"/>
                <w:szCs w:val="20"/>
              </w:rPr>
            </w:pPr>
            <w:r w:rsidRPr="00C85EF2">
              <w:rPr>
                <w:sz w:val="18"/>
                <w:szCs w:val="20"/>
              </w:rPr>
              <w:t>26</w:t>
            </w:r>
          </w:p>
        </w:tc>
        <w:tc>
          <w:tcPr>
            <w:tcW w:w="1329" w:type="dxa"/>
          </w:tcPr>
          <w:p w14:paraId="3A4029CC" w14:textId="77777777" w:rsidR="00A56C9B" w:rsidRPr="00C85EF2" w:rsidRDefault="00A56C9B" w:rsidP="00AD5070">
            <w:pPr>
              <w:pStyle w:val="TableParagraph"/>
              <w:ind w:left="521" w:right="507"/>
              <w:rPr>
                <w:sz w:val="18"/>
                <w:szCs w:val="20"/>
              </w:rPr>
            </w:pPr>
            <w:r w:rsidRPr="00C85EF2">
              <w:rPr>
                <w:sz w:val="18"/>
                <w:szCs w:val="20"/>
              </w:rPr>
              <w:t>48</w:t>
            </w:r>
          </w:p>
        </w:tc>
        <w:tc>
          <w:tcPr>
            <w:tcW w:w="1449" w:type="dxa"/>
          </w:tcPr>
          <w:p w14:paraId="4A904D0D" w14:textId="77777777" w:rsidR="00A56C9B" w:rsidRPr="00C85EF2" w:rsidRDefault="00A56C9B" w:rsidP="00AD5070">
            <w:pPr>
              <w:pStyle w:val="TableParagraph"/>
              <w:ind w:right="583"/>
              <w:rPr>
                <w:sz w:val="18"/>
                <w:szCs w:val="20"/>
              </w:rPr>
            </w:pPr>
            <w:r w:rsidRPr="00C85EF2">
              <w:rPr>
                <w:sz w:val="18"/>
                <w:szCs w:val="20"/>
              </w:rPr>
              <w:t>1.2</w:t>
            </w:r>
          </w:p>
        </w:tc>
      </w:tr>
      <w:tr w:rsidR="00C85EF2" w:rsidRPr="00C85EF2" w14:paraId="1459183B" w14:textId="77777777" w:rsidTr="00A56C9B">
        <w:trPr>
          <w:trHeight w:val="230"/>
        </w:trPr>
        <w:tc>
          <w:tcPr>
            <w:tcW w:w="3501" w:type="dxa"/>
          </w:tcPr>
          <w:p w14:paraId="2AE7005B" w14:textId="77777777" w:rsidR="00A56C9B" w:rsidRPr="00C85EF2" w:rsidRDefault="00A56C9B" w:rsidP="00AD5070">
            <w:pPr>
              <w:pStyle w:val="TableParagraph"/>
              <w:spacing w:line="211" w:lineRule="exact"/>
              <w:ind w:left="315"/>
              <w:rPr>
                <w:sz w:val="18"/>
                <w:szCs w:val="20"/>
              </w:rPr>
            </w:pPr>
            <w:r w:rsidRPr="00C85EF2">
              <w:rPr>
                <w:sz w:val="18"/>
                <w:szCs w:val="20"/>
              </w:rPr>
              <w:t>Nail toxicity</w:t>
            </w:r>
            <w:r w:rsidRPr="00C85EF2">
              <w:rPr>
                <w:sz w:val="18"/>
                <w:szCs w:val="20"/>
                <w:vertAlign w:val="superscript"/>
              </w:rPr>
              <w:t>*</w:t>
            </w:r>
          </w:p>
        </w:tc>
        <w:tc>
          <w:tcPr>
            <w:tcW w:w="1545" w:type="dxa"/>
          </w:tcPr>
          <w:p w14:paraId="7B055DCD" w14:textId="77777777" w:rsidR="00A56C9B" w:rsidRPr="00C85EF2" w:rsidRDefault="00A56C9B" w:rsidP="00AD5070">
            <w:pPr>
              <w:pStyle w:val="TableParagraph"/>
              <w:spacing w:line="211" w:lineRule="exact"/>
              <w:ind w:left="656" w:right="639"/>
              <w:rPr>
                <w:sz w:val="18"/>
                <w:szCs w:val="20"/>
              </w:rPr>
            </w:pPr>
            <w:r w:rsidRPr="00C85EF2">
              <w:rPr>
                <w:sz w:val="18"/>
                <w:szCs w:val="20"/>
              </w:rPr>
              <w:t>71</w:t>
            </w:r>
          </w:p>
        </w:tc>
        <w:tc>
          <w:tcPr>
            <w:tcW w:w="1525" w:type="dxa"/>
          </w:tcPr>
          <w:p w14:paraId="17EC6AE6" w14:textId="77777777" w:rsidR="00A56C9B" w:rsidRPr="00C85EF2" w:rsidRDefault="00A56C9B" w:rsidP="00AD5070">
            <w:pPr>
              <w:pStyle w:val="TableParagraph"/>
              <w:spacing w:line="211" w:lineRule="exact"/>
              <w:ind w:left="621" w:right="603"/>
              <w:rPr>
                <w:sz w:val="18"/>
                <w:szCs w:val="20"/>
              </w:rPr>
            </w:pPr>
            <w:r w:rsidRPr="00C85EF2">
              <w:rPr>
                <w:sz w:val="18"/>
                <w:szCs w:val="20"/>
              </w:rPr>
              <w:t>11</w:t>
            </w:r>
          </w:p>
        </w:tc>
        <w:tc>
          <w:tcPr>
            <w:tcW w:w="1329" w:type="dxa"/>
          </w:tcPr>
          <w:p w14:paraId="63CDC2E8" w14:textId="77777777" w:rsidR="00A56C9B" w:rsidRPr="00C85EF2" w:rsidRDefault="00A56C9B" w:rsidP="00AD5070">
            <w:pPr>
              <w:pStyle w:val="TableParagraph"/>
              <w:spacing w:line="211" w:lineRule="exact"/>
              <w:ind w:left="521" w:right="507"/>
              <w:rPr>
                <w:sz w:val="18"/>
                <w:szCs w:val="20"/>
              </w:rPr>
            </w:pPr>
            <w:r w:rsidRPr="00C85EF2">
              <w:rPr>
                <w:sz w:val="18"/>
                <w:szCs w:val="20"/>
              </w:rPr>
              <w:t>34</w:t>
            </w:r>
          </w:p>
        </w:tc>
        <w:tc>
          <w:tcPr>
            <w:tcW w:w="1449" w:type="dxa"/>
          </w:tcPr>
          <w:p w14:paraId="67BB37D0" w14:textId="77777777" w:rsidR="00A56C9B" w:rsidRPr="00C85EF2" w:rsidRDefault="00A56C9B" w:rsidP="00AD5070">
            <w:pPr>
              <w:pStyle w:val="TableParagraph"/>
              <w:spacing w:line="211" w:lineRule="exact"/>
              <w:ind w:right="583"/>
              <w:rPr>
                <w:sz w:val="18"/>
                <w:szCs w:val="20"/>
              </w:rPr>
            </w:pPr>
            <w:r w:rsidRPr="00C85EF2">
              <w:rPr>
                <w:sz w:val="18"/>
                <w:szCs w:val="20"/>
              </w:rPr>
              <w:t>0.7</w:t>
            </w:r>
          </w:p>
        </w:tc>
      </w:tr>
      <w:tr w:rsidR="00C85EF2" w:rsidRPr="00C85EF2" w14:paraId="2621736C" w14:textId="77777777" w:rsidTr="00A56C9B">
        <w:trPr>
          <w:trHeight w:val="230"/>
        </w:trPr>
        <w:tc>
          <w:tcPr>
            <w:tcW w:w="3501" w:type="dxa"/>
          </w:tcPr>
          <w:p w14:paraId="390357F7" w14:textId="77777777" w:rsidR="00A56C9B" w:rsidRPr="00C85EF2" w:rsidRDefault="00A56C9B" w:rsidP="00AD5070">
            <w:pPr>
              <w:pStyle w:val="TableParagraph"/>
              <w:ind w:left="315"/>
              <w:rPr>
                <w:sz w:val="18"/>
                <w:szCs w:val="20"/>
              </w:rPr>
            </w:pPr>
            <w:r w:rsidRPr="00C85EF2">
              <w:rPr>
                <w:sz w:val="18"/>
                <w:szCs w:val="20"/>
              </w:rPr>
              <w:t>Dry skin</w:t>
            </w:r>
            <w:r w:rsidRPr="00C85EF2">
              <w:rPr>
                <w:sz w:val="18"/>
                <w:szCs w:val="20"/>
                <w:vertAlign w:val="superscript"/>
              </w:rPr>
              <w:t>*</w:t>
            </w:r>
          </w:p>
        </w:tc>
        <w:tc>
          <w:tcPr>
            <w:tcW w:w="1545" w:type="dxa"/>
          </w:tcPr>
          <w:p w14:paraId="505271FA" w14:textId="77777777" w:rsidR="00A56C9B" w:rsidRPr="00C85EF2" w:rsidRDefault="00A56C9B" w:rsidP="00AD5070">
            <w:pPr>
              <w:pStyle w:val="TableParagraph"/>
              <w:ind w:left="656" w:right="639"/>
              <w:rPr>
                <w:sz w:val="18"/>
                <w:szCs w:val="20"/>
              </w:rPr>
            </w:pPr>
            <w:r w:rsidRPr="00C85EF2">
              <w:rPr>
                <w:sz w:val="18"/>
                <w:szCs w:val="20"/>
              </w:rPr>
              <w:t>25</w:t>
            </w:r>
          </w:p>
        </w:tc>
        <w:tc>
          <w:tcPr>
            <w:tcW w:w="1525" w:type="dxa"/>
          </w:tcPr>
          <w:p w14:paraId="05EB5618" w14:textId="77777777" w:rsidR="00A56C9B" w:rsidRPr="00C85EF2" w:rsidRDefault="00A56C9B" w:rsidP="00AD5070">
            <w:pPr>
              <w:pStyle w:val="TableParagraph"/>
              <w:ind w:left="18"/>
              <w:rPr>
                <w:sz w:val="18"/>
                <w:szCs w:val="20"/>
              </w:rPr>
            </w:pPr>
            <w:r w:rsidRPr="00C85EF2">
              <w:rPr>
                <w:sz w:val="18"/>
                <w:szCs w:val="20"/>
              </w:rPr>
              <w:t>1</w:t>
            </w:r>
          </w:p>
        </w:tc>
        <w:tc>
          <w:tcPr>
            <w:tcW w:w="1329" w:type="dxa"/>
          </w:tcPr>
          <w:p w14:paraId="30529B21" w14:textId="77777777" w:rsidR="00A56C9B" w:rsidRPr="00C85EF2" w:rsidRDefault="00A56C9B" w:rsidP="00AD5070">
            <w:pPr>
              <w:pStyle w:val="TableParagraph"/>
              <w:ind w:left="521" w:right="507"/>
              <w:rPr>
                <w:sz w:val="18"/>
                <w:szCs w:val="20"/>
              </w:rPr>
            </w:pPr>
            <w:r w:rsidRPr="00C85EF2">
              <w:rPr>
                <w:sz w:val="18"/>
                <w:szCs w:val="20"/>
              </w:rPr>
              <w:t>18</w:t>
            </w:r>
          </w:p>
        </w:tc>
        <w:tc>
          <w:tcPr>
            <w:tcW w:w="1449" w:type="dxa"/>
          </w:tcPr>
          <w:p w14:paraId="6C16149B" w14:textId="77777777" w:rsidR="00A56C9B" w:rsidRPr="00C85EF2" w:rsidRDefault="00A56C9B" w:rsidP="00AD5070">
            <w:pPr>
              <w:pStyle w:val="TableParagraph"/>
              <w:ind w:right="583"/>
              <w:rPr>
                <w:sz w:val="18"/>
                <w:szCs w:val="20"/>
              </w:rPr>
            </w:pPr>
            <w:r w:rsidRPr="00C85EF2">
              <w:rPr>
                <w:sz w:val="18"/>
                <w:szCs w:val="20"/>
              </w:rPr>
              <w:t>0.2</w:t>
            </w:r>
          </w:p>
        </w:tc>
      </w:tr>
      <w:tr w:rsidR="00C85EF2" w:rsidRPr="00C85EF2" w14:paraId="60F19F7D" w14:textId="77777777" w:rsidTr="00A56C9B">
        <w:trPr>
          <w:trHeight w:val="230"/>
        </w:trPr>
        <w:tc>
          <w:tcPr>
            <w:tcW w:w="3501" w:type="dxa"/>
          </w:tcPr>
          <w:p w14:paraId="6C55CC79" w14:textId="77777777" w:rsidR="00A56C9B" w:rsidRPr="00C85EF2" w:rsidRDefault="00A56C9B" w:rsidP="00AD5070">
            <w:pPr>
              <w:pStyle w:val="TableParagraph"/>
              <w:ind w:left="315"/>
              <w:rPr>
                <w:sz w:val="18"/>
                <w:szCs w:val="20"/>
              </w:rPr>
            </w:pPr>
            <w:r w:rsidRPr="00C85EF2">
              <w:rPr>
                <w:sz w:val="18"/>
                <w:szCs w:val="20"/>
              </w:rPr>
              <w:t>Pruritus</w:t>
            </w:r>
          </w:p>
        </w:tc>
        <w:tc>
          <w:tcPr>
            <w:tcW w:w="1545" w:type="dxa"/>
          </w:tcPr>
          <w:p w14:paraId="329240C8" w14:textId="77777777" w:rsidR="00A56C9B" w:rsidRPr="00C85EF2" w:rsidRDefault="00A56C9B" w:rsidP="00AD5070">
            <w:pPr>
              <w:pStyle w:val="TableParagraph"/>
              <w:ind w:left="656" w:right="639"/>
              <w:rPr>
                <w:sz w:val="18"/>
                <w:szCs w:val="20"/>
              </w:rPr>
            </w:pPr>
            <w:r w:rsidRPr="00C85EF2">
              <w:rPr>
                <w:sz w:val="18"/>
                <w:szCs w:val="20"/>
              </w:rPr>
              <w:t>24</w:t>
            </w:r>
          </w:p>
        </w:tc>
        <w:tc>
          <w:tcPr>
            <w:tcW w:w="1525" w:type="dxa"/>
          </w:tcPr>
          <w:p w14:paraId="2FCC1831" w14:textId="77777777" w:rsidR="00A56C9B" w:rsidRPr="00C85EF2" w:rsidRDefault="00A56C9B" w:rsidP="00AD5070">
            <w:pPr>
              <w:pStyle w:val="TableParagraph"/>
              <w:ind w:left="621" w:right="603"/>
              <w:rPr>
                <w:sz w:val="18"/>
                <w:szCs w:val="20"/>
              </w:rPr>
            </w:pPr>
            <w:r w:rsidRPr="00C85EF2">
              <w:rPr>
                <w:sz w:val="18"/>
                <w:szCs w:val="20"/>
              </w:rPr>
              <w:t>0.5</w:t>
            </w:r>
          </w:p>
        </w:tc>
        <w:tc>
          <w:tcPr>
            <w:tcW w:w="1329" w:type="dxa"/>
          </w:tcPr>
          <w:p w14:paraId="43C8D9FB" w14:textId="77777777" w:rsidR="00A56C9B" w:rsidRPr="00C85EF2" w:rsidRDefault="00A56C9B" w:rsidP="00AD5070">
            <w:pPr>
              <w:pStyle w:val="TableParagraph"/>
              <w:ind w:left="521" w:right="507"/>
              <w:rPr>
                <w:sz w:val="18"/>
                <w:szCs w:val="20"/>
              </w:rPr>
            </w:pPr>
            <w:r w:rsidRPr="00C85EF2">
              <w:rPr>
                <w:sz w:val="18"/>
                <w:szCs w:val="20"/>
              </w:rPr>
              <w:t>17</w:t>
            </w:r>
          </w:p>
        </w:tc>
        <w:tc>
          <w:tcPr>
            <w:tcW w:w="1449" w:type="dxa"/>
          </w:tcPr>
          <w:p w14:paraId="0B5F4548" w14:textId="77777777" w:rsidR="00A56C9B" w:rsidRPr="00C85EF2" w:rsidRDefault="00A56C9B" w:rsidP="00AD5070">
            <w:pPr>
              <w:pStyle w:val="TableParagraph"/>
              <w:ind w:right="583"/>
              <w:rPr>
                <w:sz w:val="18"/>
                <w:szCs w:val="20"/>
              </w:rPr>
            </w:pPr>
            <w:r w:rsidRPr="00C85EF2">
              <w:rPr>
                <w:sz w:val="18"/>
                <w:szCs w:val="20"/>
              </w:rPr>
              <w:t>0.2</w:t>
            </w:r>
          </w:p>
        </w:tc>
      </w:tr>
      <w:tr w:rsidR="00C85EF2" w:rsidRPr="00C85EF2" w14:paraId="4A8C3578" w14:textId="77777777" w:rsidTr="00A56C9B">
        <w:trPr>
          <w:trHeight w:val="230"/>
        </w:trPr>
        <w:tc>
          <w:tcPr>
            <w:tcW w:w="9349" w:type="dxa"/>
            <w:gridSpan w:val="5"/>
          </w:tcPr>
          <w:p w14:paraId="3080716D" w14:textId="77777777" w:rsidR="00A56C9B" w:rsidRPr="00C85EF2" w:rsidRDefault="00A56C9B" w:rsidP="00AD5070">
            <w:pPr>
              <w:pStyle w:val="TableParagraph"/>
              <w:ind w:left="65"/>
              <w:rPr>
                <w:b/>
                <w:sz w:val="18"/>
                <w:szCs w:val="20"/>
              </w:rPr>
            </w:pPr>
            <w:r w:rsidRPr="00C85EF2">
              <w:rPr>
                <w:b/>
                <w:sz w:val="18"/>
                <w:szCs w:val="20"/>
              </w:rPr>
              <w:t>Injury, poisoning and procedural complications</w:t>
            </w:r>
          </w:p>
        </w:tc>
      </w:tr>
      <w:tr w:rsidR="00C85EF2" w:rsidRPr="00C85EF2" w14:paraId="544620D1" w14:textId="77777777" w:rsidTr="00A56C9B">
        <w:trPr>
          <w:trHeight w:val="230"/>
        </w:trPr>
        <w:tc>
          <w:tcPr>
            <w:tcW w:w="3501" w:type="dxa"/>
          </w:tcPr>
          <w:p w14:paraId="7FEC1262" w14:textId="77777777" w:rsidR="00A56C9B" w:rsidRPr="00C85EF2" w:rsidRDefault="00A56C9B" w:rsidP="00AD5070">
            <w:pPr>
              <w:pStyle w:val="TableParagraph"/>
              <w:ind w:left="355"/>
              <w:rPr>
                <w:sz w:val="18"/>
                <w:szCs w:val="20"/>
              </w:rPr>
            </w:pPr>
            <w:r w:rsidRPr="00C85EF2">
              <w:rPr>
                <w:sz w:val="18"/>
                <w:szCs w:val="20"/>
              </w:rPr>
              <w:t>Infusion-related reaction</w:t>
            </w:r>
            <w:r w:rsidRPr="00C85EF2">
              <w:rPr>
                <w:sz w:val="18"/>
                <w:szCs w:val="20"/>
                <w:vertAlign w:val="superscript"/>
              </w:rPr>
              <w:t>†</w:t>
            </w:r>
          </w:p>
        </w:tc>
        <w:tc>
          <w:tcPr>
            <w:tcW w:w="1545" w:type="dxa"/>
          </w:tcPr>
          <w:p w14:paraId="1E8A38FB" w14:textId="77777777" w:rsidR="00A56C9B" w:rsidRPr="00C85EF2" w:rsidRDefault="00A56C9B" w:rsidP="00AD5070">
            <w:pPr>
              <w:pStyle w:val="TableParagraph"/>
              <w:ind w:left="656" w:right="639"/>
              <w:rPr>
                <w:sz w:val="18"/>
                <w:szCs w:val="20"/>
              </w:rPr>
            </w:pPr>
            <w:r w:rsidRPr="00C85EF2">
              <w:rPr>
                <w:sz w:val="18"/>
                <w:szCs w:val="20"/>
              </w:rPr>
              <w:t>63</w:t>
            </w:r>
          </w:p>
        </w:tc>
        <w:tc>
          <w:tcPr>
            <w:tcW w:w="1525" w:type="dxa"/>
          </w:tcPr>
          <w:p w14:paraId="37B8C6EE" w14:textId="77777777" w:rsidR="00A56C9B" w:rsidRPr="00C85EF2" w:rsidRDefault="00A56C9B" w:rsidP="00AD5070">
            <w:pPr>
              <w:pStyle w:val="TableParagraph"/>
              <w:ind w:left="18"/>
              <w:rPr>
                <w:sz w:val="18"/>
                <w:szCs w:val="20"/>
              </w:rPr>
            </w:pPr>
            <w:r w:rsidRPr="00C85EF2">
              <w:rPr>
                <w:sz w:val="18"/>
                <w:szCs w:val="20"/>
              </w:rPr>
              <w:t>6</w:t>
            </w:r>
          </w:p>
        </w:tc>
        <w:tc>
          <w:tcPr>
            <w:tcW w:w="1329" w:type="dxa"/>
          </w:tcPr>
          <w:p w14:paraId="46B478D2" w14:textId="77777777" w:rsidR="00A56C9B" w:rsidRPr="00C85EF2" w:rsidRDefault="00A56C9B" w:rsidP="00AD5070">
            <w:pPr>
              <w:pStyle w:val="TableParagraph"/>
              <w:ind w:left="15"/>
              <w:rPr>
                <w:sz w:val="18"/>
                <w:szCs w:val="20"/>
              </w:rPr>
            </w:pPr>
            <w:r w:rsidRPr="00C85EF2">
              <w:rPr>
                <w:sz w:val="18"/>
                <w:szCs w:val="20"/>
              </w:rPr>
              <w:t>0</w:t>
            </w:r>
          </w:p>
        </w:tc>
        <w:tc>
          <w:tcPr>
            <w:tcW w:w="1449" w:type="dxa"/>
          </w:tcPr>
          <w:p w14:paraId="148BDA65"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5C6BCBAA" w14:textId="77777777" w:rsidTr="00A56C9B">
        <w:trPr>
          <w:trHeight w:val="230"/>
        </w:trPr>
        <w:tc>
          <w:tcPr>
            <w:tcW w:w="9349" w:type="dxa"/>
            <w:gridSpan w:val="5"/>
          </w:tcPr>
          <w:p w14:paraId="2165E0BF" w14:textId="77777777" w:rsidR="00A56C9B" w:rsidRPr="00C85EF2" w:rsidRDefault="00A56C9B" w:rsidP="00AD5070">
            <w:pPr>
              <w:pStyle w:val="TableParagraph"/>
              <w:ind w:left="65"/>
              <w:rPr>
                <w:b/>
                <w:sz w:val="18"/>
                <w:szCs w:val="20"/>
              </w:rPr>
            </w:pPr>
            <w:r w:rsidRPr="00C85EF2">
              <w:rPr>
                <w:b/>
                <w:sz w:val="18"/>
                <w:szCs w:val="20"/>
              </w:rPr>
              <w:t>Musculoskeletal and connective tissue disorders</w:t>
            </w:r>
          </w:p>
        </w:tc>
      </w:tr>
      <w:tr w:rsidR="00C85EF2" w:rsidRPr="00C85EF2" w14:paraId="60508307" w14:textId="77777777" w:rsidTr="00A56C9B">
        <w:trPr>
          <w:trHeight w:val="230"/>
        </w:trPr>
        <w:tc>
          <w:tcPr>
            <w:tcW w:w="3501" w:type="dxa"/>
          </w:tcPr>
          <w:p w14:paraId="2E710F27" w14:textId="77777777" w:rsidR="00A56C9B" w:rsidRPr="00C85EF2" w:rsidRDefault="00A56C9B" w:rsidP="00AD5070">
            <w:pPr>
              <w:pStyle w:val="TableParagraph"/>
              <w:ind w:left="355"/>
              <w:rPr>
                <w:sz w:val="18"/>
                <w:szCs w:val="20"/>
              </w:rPr>
            </w:pPr>
            <w:r w:rsidRPr="00C85EF2">
              <w:rPr>
                <w:sz w:val="18"/>
                <w:szCs w:val="20"/>
              </w:rPr>
              <w:t>Musculoskeletal pain</w:t>
            </w:r>
            <w:r w:rsidRPr="00C85EF2">
              <w:rPr>
                <w:sz w:val="18"/>
                <w:szCs w:val="20"/>
                <w:vertAlign w:val="superscript"/>
              </w:rPr>
              <w:t>*</w:t>
            </w:r>
          </w:p>
        </w:tc>
        <w:tc>
          <w:tcPr>
            <w:tcW w:w="1545" w:type="dxa"/>
          </w:tcPr>
          <w:p w14:paraId="425F0F34" w14:textId="77777777" w:rsidR="00A56C9B" w:rsidRPr="00C85EF2" w:rsidRDefault="00A56C9B" w:rsidP="00AD5070">
            <w:pPr>
              <w:pStyle w:val="TableParagraph"/>
              <w:ind w:left="656" w:right="639"/>
              <w:rPr>
                <w:sz w:val="18"/>
                <w:szCs w:val="20"/>
              </w:rPr>
            </w:pPr>
            <w:r w:rsidRPr="00C85EF2">
              <w:rPr>
                <w:sz w:val="18"/>
                <w:szCs w:val="20"/>
              </w:rPr>
              <w:t>47</w:t>
            </w:r>
          </w:p>
        </w:tc>
        <w:tc>
          <w:tcPr>
            <w:tcW w:w="1525" w:type="dxa"/>
          </w:tcPr>
          <w:p w14:paraId="53D71508" w14:textId="77777777" w:rsidR="00A56C9B" w:rsidRPr="00C85EF2" w:rsidRDefault="00A56C9B" w:rsidP="00AD5070">
            <w:pPr>
              <w:pStyle w:val="TableParagraph"/>
              <w:ind w:left="621" w:right="603"/>
              <w:rPr>
                <w:sz w:val="18"/>
                <w:szCs w:val="20"/>
              </w:rPr>
            </w:pPr>
            <w:r w:rsidRPr="00C85EF2">
              <w:rPr>
                <w:sz w:val="18"/>
                <w:szCs w:val="20"/>
              </w:rPr>
              <w:t>2.1</w:t>
            </w:r>
          </w:p>
        </w:tc>
        <w:tc>
          <w:tcPr>
            <w:tcW w:w="1329" w:type="dxa"/>
          </w:tcPr>
          <w:p w14:paraId="7D4EB742" w14:textId="77777777" w:rsidR="00A56C9B" w:rsidRPr="00C85EF2" w:rsidRDefault="00A56C9B" w:rsidP="00AD5070">
            <w:pPr>
              <w:pStyle w:val="TableParagraph"/>
              <w:ind w:left="521" w:right="507"/>
              <w:rPr>
                <w:sz w:val="18"/>
                <w:szCs w:val="20"/>
              </w:rPr>
            </w:pPr>
            <w:r w:rsidRPr="00C85EF2">
              <w:rPr>
                <w:sz w:val="18"/>
                <w:szCs w:val="20"/>
              </w:rPr>
              <w:t>39</w:t>
            </w:r>
          </w:p>
        </w:tc>
        <w:tc>
          <w:tcPr>
            <w:tcW w:w="1449" w:type="dxa"/>
          </w:tcPr>
          <w:p w14:paraId="4FD959A2" w14:textId="77777777" w:rsidR="00A56C9B" w:rsidRPr="00C85EF2" w:rsidRDefault="00A56C9B" w:rsidP="00AD5070">
            <w:pPr>
              <w:pStyle w:val="TableParagraph"/>
              <w:ind w:right="583"/>
              <w:rPr>
                <w:sz w:val="18"/>
                <w:szCs w:val="20"/>
              </w:rPr>
            </w:pPr>
            <w:r w:rsidRPr="00C85EF2">
              <w:rPr>
                <w:sz w:val="18"/>
                <w:szCs w:val="20"/>
              </w:rPr>
              <w:t>1.9</w:t>
            </w:r>
          </w:p>
        </w:tc>
      </w:tr>
      <w:tr w:rsidR="00C85EF2" w:rsidRPr="00C85EF2" w14:paraId="4CE94262" w14:textId="77777777" w:rsidTr="00A56C9B">
        <w:trPr>
          <w:trHeight w:val="230"/>
        </w:trPr>
        <w:tc>
          <w:tcPr>
            <w:tcW w:w="9349" w:type="dxa"/>
            <w:gridSpan w:val="5"/>
          </w:tcPr>
          <w:p w14:paraId="0BBF81F5" w14:textId="77777777" w:rsidR="00A56C9B" w:rsidRPr="00C85EF2" w:rsidRDefault="00A56C9B" w:rsidP="00AD5070">
            <w:pPr>
              <w:pStyle w:val="TableParagraph"/>
              <w:ind w:left="65"/>
              <w:rPr>
                <w:b/>
                <w:sz w:val="18"/>
                <w:szCs w:val="20"/>
              </w:rPr>
            </w:pPr>
            <w:r w:rsidRPr="00C85EF2">
              <w:rPr>
                <w:b/>
                <w:sz w:val="18"/>
                <w:szCs w:val="20"/>
              </w:rPr>
              <w:t>Gastrointestinal disorders</w:t>
            </w:r>
          </w:p>
        </w:tc>
      </w:tr>
      <w:tr w:rsidR="00C85EF2" w:rsidRPr="00C85EF2" w14:paraId="2E12E8C1" w14:textId="77777777" w:rsidTr="00A56C9B">
        <w:trPr>
          <w:trHeight w:val="230"/>
        </w:trPr>
        <w:tc>
          <w:tcPr>
            <w:tcW w:w="3501" w:type="dxa"/>
          </w:tcPr>
          <w:p w14:paraId="2BA49427" w14:textId="77777777" w:rsidR="00A56C9B" w:rsidRPr="00C85EF2" w:rsidRDefault="00A56C9B" w:rsidP="00AD5070">
            <w:pPr>
              <w:pStyle w:val="TableParagraph"/>
              <w:ind w:left="315"/>
              <w:rPr>
                <w:sz w:val="18"/>
                <w:szCs w:val="20"/>
              </w:rPr>
            </w:pPr>
            <w:r w:rsidRPr="00C85EF2">
              <w:rPr>
                <w:sz w:val="18"/>
                <w:szCs w:val="20"/>
              </w:rPr>
              <w:t>Stomatitis</w:t>
            </w:r>
            <w:r w:rsidRPr="00C85EF2">
              <w:rPr>
                <w:sz w:val="18"/>
                <w:szCs w:val="20"/>
                <w:vertAlign w:val="superscript"/>
              </w:rPr>
              <w:t>*</w:t>
            </w:r>
          </w:p>
        </w:tc>
        <w:tc>
          <w:tcPr>
            <w:tcW w:w="1545" w:type="dxa"/>
          </w:tcPr>
          <w:p w14:paraId="63D45AE2" w14:textId="77777777" w:rsidR="00A56C9B" w:rsidRPr="00C85EF2" w:rsidRDefault="00A56C9B" w:rsidP="00AD5070">
            <w:pPr>
              <w:pStyle w:val="TableParagraph"/>
              <w:ind w:left="656" w:right="639"/>
              <w:rPr>
                <w:sz w:val="18"/>
                <w:szCs w:val="20"/>
              </w:rPr>
            </w:pPr>
            <w:r w:rsidRPr="00C85EF2">
              <w:rPr>
                <w:sz w:val="18"/>
                <w:szCs w:val="20"/>
              </w:rPr>
              <w:t>43</w:t>
            </w:r>
          </w:p>
        </w:tc>
        <w:tc>
          <w:tcPr>
            <w:tcW w:w="1525" w:type="dxa"/>
          </w:tcPr>
          <w:p w14:paraId="64AF6B36" w14:textId="77777777" w:rsidR="00A56C9B" w:rsidRPr="00C85EF2" w:rsidRDefault="00A56C9B" w:rsidP="00AD5070">
            <w:pPr>
              <w:pStyle w:val="TableParagraph"/>
              <w:ind w:left="621" w:right="603"/>
              <w:rPr>
                <w:sz w:val="18"/>
                <w:szCs w:val="20"/>
              </w:rPr>
            </w:pPr>
            <w:r w:rsidRPr="00C85EF2">
              <w:rPr>
                <w:sz w:val="18"/>
                <w:szCs w:val="20"/>
              </w:rPr>
              <w:t>2.4</w:t>
            </w:r>
          </w:p>
        </w:tc>
        <w:tc>
          <w:tcPr>
            <w:tcW w:w="1329" w:type="dxa"/>
          </w:tcPr>
          <w:p w14:paraId="38B0F206" w14:textId="77777777" w:rsidR="00A56C9B" w:rsidRPr="00C85EF2" w:rsidRDefault="00A56C9B" w:rsidP="00AD5070">
            <w:pPr>
              <w:pStyle w:val="TableParagraph"/>
              <w:ind w:left="521" w:right="507"/>
              <w:rPr>
                <w:sz w:val="18"/>
                <w:szCs w:val="20"/>
              </w:rPr>
            </w:pPr>
            <w:r w:rsidRPr="00C85EF2">
              <w:rPr>
                <w:sz w:val="18"/>
                <w:szCs w:val="20"/>
              </w:rPr>
              <w:t>27</w:t>
            </w:r>
          </w:p>
        </w:tc>
        <w:tc>
          <w:tcPr>
            <w:tcW w:w="1449" w:type="dxa"/>
          </w:tcPr>
          <w:p w14:paraId="7741B03C" w14:textId="77777777" w:rsidR="00A56C9B" w:rsidRPr="00C85EF2" w:rsidRDefault="00A56C9B" w:rsidP="00AD5070">
            <w:pPr>
              <w:pStyle w:val="TableParagraph"/>
              <w:ind w:right="583"/>
              <w:rPr>
                <w:sz w:val="18"/>
                <w:szCs w:val="20"/>
              </w:rPr>
            </w:pPr>
            <w:r w:rsidRPr="00C85EF2">
              <w:rPr>
                <w:sz w:val="18"/>
                <w:szCs w:val="20"/>
              </w:rPr>
              <w:t>0.5</w:t>
            </w:r>
          </w:p>
        </w:tc>
      </w:tr>
      <w:tr w:rsidR="00C85EF2" w:rsidRPr="00C85EF2" w14:paraId="53C5FE57" w14:textId="77777777" w:rsidTr="00A56C9B">
        <w:trPr>
          <w:trHeight w:val="230"/>
        </w:trPr>
        <w:tc>
          <w:tcPr>
            <w:tcW w:w="3501" w:type="dxa"/>
          </w:tcPr>
          <w:p w14:paraId="267810CD" w14:textId="3042DF0D" w:rsidR="00A56C9B" w:rsidRPr="00C85EF2" w:rsidRDefault="00A56C9B" w:rsidP="00AD5070">
            <w:pPr>
              <w:pStyle w:val="TableParagraph"/>
              <w:ind w:left="315"/>
              <w:rPr>
                <w:sz w:val="18"/>
                <w:szCs w:val="20"/>
              </w:rPr>
            </w:pPr>
            <w:r w:rsidRPr="00C85EF2">
              <w:rPr>
                <w:sz w:val="18"/>
                <w:szCs w:val="20"/>
              </w:rPr>
              <w:t>Diarrh</w:t>
            </w:r>
            <w:r w:rsidR="00660973" w:rsidRPr="00C85EF2">
              <w:rPr>
                <w:sz w:val="18"/>
                <w:szCs w:val="20"/>
              </w:rPr>
              <w:t>o</w:t>
            </w:r>
            <w:r w:rsidRPr="00C85EF2">
              <w:rPr>
                <w:sz w:val="18"/>
                <w:szCs w:val="20"/>
              </w:rPr>
              <w:t>ea</w:t>
            </w:r>
            <w:r w:rsidRPr="00C85EF2">
              <w:rPr>
                <w:sz w:val="18"/>
                <w:szCs w:val="20"/>
                <w:vertAlign w:val="superscript"/>
              </w:rPr>
              <w:t>*</w:t>
            </w:r>
          </w:p>
        </w:tc>
        <w:tc>
          <w:tcPr>
            <w:tcW w:w="1545" w:type="dxa"/>
          </w:tcPr>
          <w:p w14:paraId="67295665" w14:textId="77777777" w:rsidR="00A56C9B" w:rsidRPr="00C85EF2" w:rsidRDefault="00A56C9B" w:rsidP="00AD5070">
            <w:pPr>
              <w:pStyle w:val="TableParagraph"/>
              <w:ind w:left="656" w:right="639"/>
              <w:rPr>
                <w:sz w:val="18"/>
                <w:szCs w:val="20"/>
              </w:rPr>
            </w:pPr>
            <w:r w:rsidRPr="00C85EF2">
              <w:rPr>
                <w:sz w:val="18"/>
                <w:szCs w:val="20"/>
              </w:rPr>
              <w:t>31</w:t>
            </w:r>
          </w:p>
        </w:tc>
        <w:tc>
          <w:tcPr>
            <w:tcW w:w="1525" w:type="dxa"/>
          </w:tcPr>
          <w:p w14:paraId="37E45D4C" w14:textId="77777777" w:rsidR="00A56C9B" w:rsidRPr="00C85EF2" w:rsidRDefault="00A56C9B" w:rsidP="00AD5070">
            <w:pPr>
              <w:pStyle w:val="TableParagraph"/>
              <w:ind w:left="621" w:right="603"/>
              <w:rPr>
                <w:sz w:val="18"/>
                <w:szCs w:val="20"/>
              </w:rPr>
            </w:pPr>
            <w:r w:rsidRPr="00C85EF2">
              <w:rPr>
                <w:sz w:val="18"/>
                <w:szCs w:val="20"/>
              </w:rPr>
              <w:t>2.6</w:t>
            </w:r>
          </w:p>
        </w:tc>
        <w:tc>
          <w:tcPr>
            <w:tcW w:w="1329" w:type="dxa"/>
          </w:tcPr>
          <w:p w14:paraId="4EDC0912" w14:textId="77777777" w:rsidR="00A56C9B" w:rsidRPr="00C85EF2" w:rsidRDefault="00A56C9B" w:rsidP="00AD5070">
            <w:pPr>
              <w:pStyle w:val="TableParagraph"/>
              <w:ind w:left="521" w:right="507"/>
              <w:rPr>
                <w:sz w:val="18"/>
                <w:szCs w:val="20"/>
              </w:rPr>
            </w:pPr>
            <w:r w:rsidRPr="00C85EF2">
              <w:rPr>
                <w:sz w:val="18"/>
                <w:szCs w:val="20"/>
              </w:rPr>
              <w:t>45</w:t>
            </w:r>
          </w:p>
        </w:tc>
        <w:tc>
          <w:tcPr>
            <w:tcW w:w="1449" w:type="dxa"/>
          </w:tcPr>
          <w:p w14:paraId="6A54D6EC" w14:textId="77777777" w:rsidR="00A56C9B" w:rsidRPr="00C85EF2" w:rsidRDefault="00A56C9B" w:rsidP="00AD5070">
            <w:pPr>
              <w:pStyle w:val="TableParagraph"/>
              <w:ind w:right="583"/>
              <w:rPr>
                <w:sz w:val="18"/>
                <w:szCs w:val="20"/>
              </w:rPr>
            </w:pPr>
            <w:r w:rsidRPr="00C85EF2">
              <w:rPr>
                <w:sz w:val="18"/>
                <w:szCs w:val="20"/>
              </w:rPr>
              <w:t>0.9</w:t>
            </w:r>
          </w:p>
        </w:tc>
      </w:tr>
      <w:tr w:rsidR="00C85EF2" w:rsidRPr="00C85EF2" w14:paraId="3228A5E5" w14:textId="77777777" w:rsidTr="00A56C9B">
        <w:trPr>
          <w:trHeight w:val="230"/>
        </w:trPr>
        <w:tc>
          <w:tcPr>
            <w:tcW w:w="3501" w:type="dxa"/>
          </w:tcPr>
          <w:p w14:paraId="6DBB2AF1" w14:textId="77777777" w:rsidR="00A56C9B" w:rsidRPr="00C85EF2" w:rsidRDefault="00A56C9B" w:rsidP="00AD5070">
            <w:pPr>
              <w:pStyle w:val="TableParagraph"/>
              <w:ind w:left="315"/>
              <w:rPr>
                <w:sz w:val="18"/>
                <w:szCs w:val="20"/>
              </w:rPr>
            </w:pPr>
            <w:r w:rsidRPr="00C85EF2">
              <w:rPr>
                <w:sz w:val="18"/>
                <w:szCs w:val="20"/>
              </w:rPr>
              <w:t>Constipation</w:t>
            </w:r>
          </w:p>
        </w:tc>
        <w:tc>
          <w:tcPr>
            <w:tcW w:w="1545" w:type="dxa"/>
          </w:tcPr>
          <w:p w14:paraId="406B4980" w14:textId="77777777" w:rsidR="00A56C9B" w:rsidRPr="00C85EF2" w:rsidRDefault="00A56C9B" w:rsidP="00AD5070">
            <w:pPr>
              <w:pStyle w:val="TableParagraph"/>
              <w:ind w:left="656" w:right="639"/>
              <w:rPr>
                <w:sz w:val="18"/>
                <w:szCs w:val="20"/>
              </w:rPr>
            </w:pPr>
            <w:r w:rsidRPr="00C85EF2">
              <w:rPr>
                <w:sz w:val="18"/>
                <w:szCs w:val="20"/>
              </w:rPr>
              <w:t>29</w:t>
            </w:r>
          </w:p>
        </w:tc>
        <w:tc>
          <w:tcPr>
            <w:tcW w:w="1525" w:type="dxa"/>
          </w:tcPr>
          <w:p w14:paraId="6EEF8758"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76281E9F" w14:textId="77777777" w:rsidR="00A56C9B" w:rsidRPr="00C85EF2" w:rsidRDefault="00A56C9B" w:rsidP="00AD5070">
            <w:pPr>
              <w:pStyle w:val="TableParagraph"/>
              <w:ind w:left="521" w:right="507"/>
              <w:rPr>
                <w:sz w:val="18"/>
                <w:szCs w:val="20"/>
              </w:rPr>
            </w:pPr>
            <w:r w:rsidRPr="00C85EF2">
              <w:rPr>
                <w:sz w:val="18"/>
                <w:szCs w:val="20"/>
              </w:rPr>
              <w:t>13</w:t>
            </w:r>
          </w:p>
        </w:tc>
        <w:tc>
          <w:tcPr>
            <w:tcW w:w="1449" w:type="dxa"/>
          </w:tcPr>
          <w:p w14:paraId="7C2BAA13"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1B32C0CB" w14:textId="77777777" w:rsidTr="00A56C9B">
        <w:trPr>
          <w:trHeight w:val="230"/>
        </w:trPr>
        <w:tc>
          <w:tcPr>
            <w:tcW w:w="3501" w:type="dxa"/>
          </w:tcPr>
          <w:p w14:paraId="5C7119EE" w14:textId="77777777" w:rsidR="00A56C9B" w:rsidRPr="00C85EF2" w:rsidRDefault="00A56C9B" w:rsidP="00AD5070">
            <w:pPr>
              <w:pStyle w:val="TableParagraph"/>
              <w:ind w:left="315"/>
              <w:rPr>
                <w:sz w:val="18"/>
                <w:szCs w:val="20"/>
              </w:rPr>
            </w:pPr>
            <w:r w:rsidRPr="00C85EF2">
              <w:rPr>
                <w:sz w:val="18"/>
                <w:szCs w:val="20"/>
              </w:rPr>
              <w:t>Nausea</w:t>
            </w:r>
          </w:p>
        </w:tc>
        <w:tc>
          <w:tcPr>
            <w:tcW w:w="1545" w:type="dxa"/>
          </w:tcPr>
          <w:p w14:paraId="79FCB432" w14:textId="77777777" w:rsidR="00A56C9B" w:rsidRPr="00C85EF2" w:rsidRDefault="00A56C9B" w:rsidP="00AD5070">
            <w:pPr>
              <w:pStyle w:val="TableParagraph"/>
              <w:ind w:left="656" w:right="639"/>
              <w:rPr>
                <w:sz w:val="18"/>
                <w:szCs w:val="20"/>
              </w:rPr>
            </w:pPr>
            <w:r w:rsidRPr="00C85EF2">
              <w:rPr>
                <w:sz w:val="18"/>
                <w:szCs w:val="20"/>
              </w:rPr>
              <w:t>21</w:t>
            </w:r>
          </w:p>
        </w:tc>
        <w:tc>
          <w:tcPr>
            <w:tcW w:w="1525" w:type="dxa"/>
          </w:tcPr>
          <w:p w14:paraId="6E99E237" w14:textId="77777777" w:rsidR="00A56C9B" w:rsidRPr="00C85EF2" w:rsidRDefault="00A56C9B" w:rsidP="00AD5070">
            <w:pPr>
              <w:pStyle w:val="TableParagraph"/>
              <w:ind w:left="621" w:right="603"/>
              <w:rPr>
                <w:sz w:val="18"/>
                <w:szCs w:val="20"/>
              </w:rPr>
            </w:pPr>
            <w:r w:rsidRPr="00C85EF2">
              <w:rPr>
                <w:sz w:val="18"/>
                <w:szCs w:val="20"/>
              </w:rPr>
              <w:t>1.2</w:t>
            </w:r>
          </w:p>
        </w:tc>
        <w:tc>
          <w:tcPr>
            <w:tcW w:w="1329" w:type="dxa"/>
          </w:tcPr>
          <w:p w14:paraId="20884228" w14:textId="77777777" w:rsidR="00A56C9B" w:rsidRPr="00C85EF2" w:rsidRDefault="00A56C9B" w:rsidP="00AD5070">
            <w:pPr>
              <w:pStyle w:val="TableParagraph"/>
              <w:ind w:left="521" w:right="507"/>
              <w:rPr>
                <w:sz w:val="18"/>
                <w:szCs w:val="20"/>
              </w:rPr>
            </w:pPr>
            <w:r w:rsidRPr="00C85EF2">
              <w:rPr>
                <w:sz w:val="18"/>
                <w:szCs w:val="20"/>
              </w:rPr>
              <w:t>14</w:t>
            </w:r>
          </w:p>
        </w:tc>
        <w:tc>
          <w:tcPr>
            <w:tcW w:w="1449" w:type="dxa"/>
          </w:tcPr>
          <w:p w14:paraId="265EBAD8" w14:textId="77777777" w:rsidR="00A56C9B" w:rsidRPr="00C85EF2" w:rsidRDefault="00A56C9B" w:rsidP="00AD5070">
            <w:pPr>
              <w:pStyle w:val="TableParagraph"/>
              <w:ind w:right="583"/>
              <w:rPr>
                <w:sz w:val="18"/>
                <w:szCs w:val="20"/>
              </w:rPr>
            </w:pPr>
            <w:r w:rsidRPr="00C85EF2">
              <w:rPr>
                <w:sz w:val="18"/>
                <w:szCs w:val="20"/>
              </w:rPr>
              <w:t>0.2</w:t>
            </w:r>
          </w:p>
        </w:tc>
      </w:tr>
      <w:tr w:rsidR="00C85EF2" w:rsidRPr="00C85EF2" w14:paraId="062F103D" w14:textId="77777777" w:rsidTr="00A56C9B">
        <w:trPr>
          <w:trHeight w:val="230"/>
        </w:trPr>
        <w:tc>
          <w:tcPr>
            <w:tcW w:w="3501" w:type="dxa"/>
          </w:tcPr>
          <w:p w14:paraId="051AFACD" w14:textId="77777777" w:rsidR="00A56C9B" w:rsidRPr="00C85EF2" w:rsidRDefault="00A56C9B" w:rsidP="00AD5070">
            <w:pPr>
              <w:pStyle w:val="TableParagraph"/>
              <w:ind w:left="315"/>
              <w:rPr>
                <w:sz w:val="18"/>
                <w:szCs w:val="20"/>
              </w:rPr>
            </w:pPr>
            <w:r w:rsidRPr="00C85EF2">
              <w:rPr>
                <w:sz w:val="18"/>
                <w:szCs w:val="20"/>
              </w:rPr>
              <w:t>Vomiting</w:t>
            </w:r>
          </w:p>
        </w:tc>
        <w:tc>
          <w:tcPr>
            <w:tcW w:w="1545" w:type="dxa"/>
          </w:tcPr>
          <w:p w14:paraId="77142FC9" w14:textId="77777777" w:rsidR="00A56C9B" w:rsidRPr="00C85EF2" w:rsidRDefault="00A56C9B" w:rsidP="00AD5070">
            <w:pPr>
              <w:pStyle w:val="TableParagraph"/>
              <w:ind w:left="656" w:right="639"/>
              <w:rPr>
                <w:sz w:val="18"/>
                <w:szCs w:val="20"/>
              </w:rPr>
            </w:pPr>
            <w:r w:rsidRPr="00C85EF2">
              <w:rPr>
                <w:sz w:val="18"/>
                <w:szCs w:val="20"/>
              </w:rPr>
              <w:t>12</w:t>
            </w:r>
          </w:p>
        </w:tc>
        <w:tc>
          <w:tcPr>
            <w:tcW w:w="1525" w:type="dxa"/>
          </w:tcPr>
          <w:p w14:paraId="5C7A1D64" w14:textId="77777777" w:rsidR="00A56C9B" w:rsidRPr="00C85EF2" w:rsidRDefault="00A56C9B" w:rsidP="00AD5070">
            <w:pPr>
              <w:pStyle w:val="TableParagraph"/>
              <w:ind w:left="621" w:right="603"/>
              <w:rPr>
                <w:sz w:val="18"/>
                <w:szCs w:val="20"/>
              </w:rPr>
            </w:pPr>
            <w:r w:rsidRPr="00C85EF2">
              <w:rPr>
                <w:sz w:val="18"/>
                <w:szCs w:val="20"/>
              </w:rPr>
              <w:t>0.5</w:t>
            </w:r>
          </w:p>
        </w:tc>
        <w:tc>
          <w:tcPr>
            <w:tcW w:w="1329" w:type="dxa"/>
          </w:tcPr>
          <w:p w14:paraId="53C66A68" w14:textId="77777777" w:rsidR="00A56C9B" w:rsidRPr="00C85EF2" w:rsidRDefault="00A56C9B" w:rsidP="00AD5070">
            <w:pPr>
              <w:pStyle w:val="TableParagraph"/>
              <w:ind w:left="15"/>
              <w:rPr>
                <w:sz w:val="18"/>
                <w:szCs w:val="20"/>
              </w:rPr>
            </w:pPr>
            <w:r w:rsidRPr="00C85EF2">
              <w:rPr>
                <w:sz w:val="18"/>
                <w:szCs w:val="20"/>
              </w:rPr>
              <w:t>5</w:t>
            </w:r>
          </w:p>
        </w:tc>
        <w:tc>
          <w:tcPr>
            <w:tcW w:w="1449" w:type="dxa"/>
          </w:tcPr>
          <w:p w14:paraId="7DECF2E4"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57E0CF0C" w14:textId="77777777" w:rsidTr="00A56C9B">
        <w:trPr>
          <w:trHeight w:val="230"/>
        </w:trPr>
        <w:tc>
          <w:tcPr>
            <w:tcW w:w="3501" w:type="dxa"/>
          </w:tcPr>
          <w:p w14:paraId="568EADEE" w14:textId="77777777" w:rsidR="00A56C9B" w:rsidRPr="00C85EF2" w:rsidRDefault="00A56C9B" w:rsidP="00AD5070">
            <w:pPr>
              <w:pStyle w:val="TableParagraph"/>
              <w:ind w:left="315"/>
              <w:rPr>
                <w:sz w:val="18"/>
                <w:szCs w:val="20"/>
              </w:rPr>
            </w:pPr>
            <w:r w:rsidRPr="00C85EF2">
              <w:rPr>
                <w:sz w:val="18"/>
                <w:szCs w:val="20"/>
              </w:rPr>
              <w:t>Abdominal pain</w:t>
            </w:r>
            <w:r w:rsidRPr="00C85EF2">
              <w:rPr>
                <w:sz w:val="18"/>
                <w:szCs w:val="20"/>
                <w:vertAlign w:val="superscript"/>
              </w:rPr>
              <w:t>*</w:t>
            </w:r>
          </w:p>
        </w:tc>
        <w:tc>
          <w:tcPr>
            <w:tcW w:w="1545" w:type="dxa"/>
          </w:tcPr>
          <w:p w14:paraId="3AB35F06" w14:textId="77777777" w:rsidR="00A56C9B" w:rsidRPr="00C85EF2" w:rsidRDefault="00A56C9B" w:rsidP="00AD5070">
            <w:pPr>
              <w:pStyle w:val="TableParagraph"/>
              <w:ind w:left="656" w:right="639"/>
              <w:rPr>
                <w:sz w:val="18"/>
                <w:szCs w:val="20"/>
              </w:rPr>
            </w:pPr>
            <w:r w:rsidRPr="00C85EF2">
              <w:rPr>
                <w:sz w:val="18"/>
                <w:szCs w:val="20"/>
              </w:rPr>
              <w:t>11</w:t>
            </w:r>
          </w:p>
        </w:tc>
        <w:tc>
          <w:tcPr>
            <w:tcW w:w="1525" w:type="dxa"/>
          </w:tcPr>
          <w:p w14:paraId="0E5141AC"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5E512AD1" w14:textId="77777777" w:rsidR="00A56C9B" w:rsidRPr="00C85EF2" w:rsidRDefault="00A56C9B" w:rsidP="00AD5070">
            <w:pPr>
              <w:pStyle w:val="TableParagraph"/>
              <w:ind w:left="521" w:right="507"/>
              <w:rPr>
                <w:sz w:val="18"/>
                <w:szCs w:val="20"/>
              </w:rPr>
            </w:pPr>
            <w:r w:rsidRPr="00C85EF2">
              <w:rPr>
                <w:sz w:val="18"/>
                <w:szCs w:val="20"/>
              </w:rPr>
              <w:t>10</w:t>
            </w:r>
          </w:p>
        </w:tc>
        <w:tc>
          <w:tcPr>
            <w:tcW w:w="1449" w:type="dxa"/>
          </w:tcPr>
          <w:p w14:paraId="6AE46AC4"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38E62B60" w14:textId="77777777" w:rsidTr="00A56C9B">
        <w:trPr>
          <w:trHeight w:val="230"/>
        </w:trPr>
        <w:tc>
          <w:tcPr>
            <w:tcW w:w="3501" w:type="dxa"/>
          </w:tcPr>
          <w:p w14:paraId="6673E449" w14:textId="250B892A" w:rsidR="00A56C9B" w:rsidRPr="00C85EF2" w:rsidRDefault="00A56C9B" w:rsidP="00AD5070">
            <w:pPr>
              <w:pStyle w:val="TableParagraph"/>
              <w:ind w:left="315"/>
              <w:rPr>
                <w:sz w:val="18"/>
                <w:szCs w:val="20"/>
              </w:rPr>
            </w:pPr>
            <w:proofErr w:type="spellStart"/>
            <w:r w:rsidRPr="00C85EF2">
              <w:rPr>
                <w:sz w:val="18"/>
                <w:szCs w:val="20"/>
              </w:rPr>
              <w:t>H</w:t>
            </w:r>
            <w:r w:rsidR="00660973" w:rsidRPr="00C85EF2">
              <w:rPr>
                <w:sz w:val="18"/>
                <w:szCs w:val="20"/>
              </w:rPr>
              <w:t>a</w:t>
            </w:r>
            <w:r w:rsidRPr="00C85EF2">
              <w:rPr>
                <w:sz w:val="18"/>
                <w:szCs w:val="20"/>
              </w:rPr>
              <w:t>emorrhoids</w:t>
            </w:r>
            <w:proofErr w:type="spellEnd"/>
          </w:p>
        </w:tc>
        <w:tc>
          <w:tcPr>
            <w:tcW w:w="1545" w:type="dxa"/>
          </w:tcPr>
          <w:p w14:paraId="0709B810" w14:textId="77777777" w:rsidR="00A56C9B" w:rsidRPr="00C85EF2" w:rsidRDefault="00A56C9B" w:rsidP="00AD5070">
            <w:pPr>
              <w:pStyle w:val="TableParagraph"/>
              <w:ind w:left="656" w:right="639"/>
              <w:rPr>
                <w:sz w:val="18"/>
                <w:szCs w:val="20"/>
              </w:rPr>
            </w:pPr>
            <w:r w:rsidRPr="00C85EF2">
              <w:rPr>
                <w:sz w:val="18"/>
                <w:szCs w:val="20"/>
              </w:rPr>
              <w:t>10</w:t>
            </w:r>
          </w:p>
        </w:tc>
        <w:tc>
          <w:tcPr>
            <w:tcW w:w="1525" w:type="dxa"/>
          </w:tcPr>
          <w:p w14:paraId="1AE6F4BD" w14:textId="77777777" w:rsidR="00A56C9B" w:rsidRPr="00C85EF2" w:rsidRDefault="00A56C9B" w:rsidP="00AD5070">
            <w:pPr>
              <w:pStyle w:val="TableParagraph"/>
              <w:ind w:left="621" w:right="603"/>
              <w:rPr>
                <w:sz w:val="18"/>
                <w:szCs w:val="20"/>
              </w:rPr>
            </w:pPr>
            <w:r w:rsidRPr="00C85EF2">
              <w:rPr>
                <w:sz w:val="18"/>
                <w:szCs w:val="20"/>
              </w:rPr>
              <w:t>0.2</w:t>
            </w:r>
          </w:p>
        </w:tc>
        <w:tc>
          <w:tcPr>
            <w:tcW w:w="1329" w:type="dxa"/>
          </w:tcPr>
          <w:p w14:paraId="2947AF9B" w14:textId="77777777" w:rsidR="00A56C9B" w:rsidRPr="00C85EF2" w:rsidRDefault="00A56C9B" w:rsidP="00AD5070">
            <w:pPr>
              <w:pStyle w:val="TableParagraph"/>
              <w:ind w:left="521" w:right="507"/>
              <w:rPr>
                <w:sz w:val="18"/>
                <w:szCs w:val="20"/>
              </w:rPr>
            </w:pPr>
            <w:r w:rsidRPr="00C85EF2">
              <w:rPr>
                <w:sz w:val="18"/>
                <w:szCs w:val="20"/>
              </w:rPr>
              <w:t>2.1</w:t>
            </w:r>
          </w:p>
        </w:tc>
        <w:tc>
          <w:tcPr>
            <w:tcW w:w="1449" w:type="dxa"/>
          </w:tcPr>
          <w:p w14:paraId="3E28A8F2" w14:textId="77777777" w:rsidR="00A56C9B" w:rsidRPr="00C85EF2" w:rsidRDefault="00A56C9B" w:rsidP="00AD5070">
            <w:pPr>
              <w:pStyle w:val="TableParagraph"/>
              <w:ind w:right="583"/>
              <w:rPr>
                <w:sz w:val="18"/>
                <w:szCs w:val="20"/>
              </w:rPr>
            </w:pPr>
            <w:r w:rsidRPr="00C85EF2">
              <w:rPr>
                <w:sz w:val="18"/>
                <w:szCs w:val="20"/>
              </w:rPr>
              <w:t>0.2</w:t>
            </w:r>
          </w:p>
        </w:tc>
      </w:tr>
      <w:tr w:rsidR="00C85EF2" w:rsidRPr="00C85EF2" w14:paraId="2B07B436" w14:textId="77777777" w:rsidTr="00A56C9B">
        <w:trPr>
          <w:trHeight w:val="230"/>
        </w:trPr>
        <w:tc>
          <w:tcPr>
            <w:tcW w:w="9349" w:type="dxa"/>
            <w:gridSpan w:val="5"/>
          </w:tcPr>
          <w:p w14:paraId="711AC515" w14:textId="77777777" w:rsidR="00A56C9B" w:rsidRPr="00C85EF2" w:rsidRDefault="00A56C9B" w:rsidP="00AD5070">
            <w:pPr>
              <w:pStyle w:val="TableParagraph"/>
              <w:ind w:left="65"/>
              <w:rPr>
                <w:b/>
                <w:sz w:val="18"/>
                <w:szCs w:val="20"/>
              </w:rPr>
            </w:pPr>
            <w:r w:rsidRPr="00C85EF2">
              <w:rPr>
                <w:b/>
                <w:sz w:val="18"/>
                <w:szCs w:val="20"/>
              </w:rPr>
              <w:t>General disorders and administration site conditions</w:t>
            </w:r>
          </w:p>
        </w:tc>
      </w:tr>
      <w:tr w:rsidR="00C85EF2" w:rsidRPr="00C85EF2" w14:paraId="08F3ADA5" w14:textId="77777777" w:rsidTr="00A56C9B">
        <w:trPr>
          <w:trHeight w:val="230"/>
        </w:trPr>
        <w:tc>
          <w:tcPr>
            <w:tcW w:w="3501" w:type="dxa"/>
          </w:tcPr>
          <w:p w14:paraId="61993F93" w14:textId="6919739F" w:rsidR="00A56C9B" w:rsidRPr="00C85EF2" w:rsidRDefault="00660973" w:rsidP="00AD5070">
            <w:pPr>
              <w:pStyle w:val="TableParagraph"/>
              <w:ind w:left="315"/>
              <w:rPr>
                <w:sz w:val="18"/>
                <w:szCs w:val="20"/>
              </w:rPr>
            </w:pPr>
            <w:r w:rsidRPr="00C85EF2">
              <w:rPr>
                <w:sz w:val="18"/>
                <w:szCs w:val="20"/>
              </w:rPr>
              <w:t>Oe</w:t>
            </w:r>
            <w:r w:rsidR="00A56C9B" w:rsidRPr="00C85EF2">
              <w:rPr>
                <w:sz w:val="18"/>
                <w:szCs w:val="20"/>
              </w:rPr>
              <w:t>dema</w:t>
            </w:r>
            <w:r w:rsidR="00A56C9B" w:rsidRPr="00C85EF2">
              <w:rPr>
                <w:sz w:val="18"/>
                <w:szCs w:val="20"/>
                <w:vertAlign w:val="superscript"/>
              </w:rPr>
              <w:t>*</w:t>
            </w:r>
          </w:p>
        </w:tc>
        <w:tc>
          <w:tcPr>
            <w:tcW w:w="1545" w:type="dxa"/>
          </w:tcPr>
          <w:p w14:paraId="4F28E0F0" w14:textId="77777777" w:rsidR="00A56C9B" w:rsidRPr="00C85EF2" w:rsidRDefault="00A56C9B" w:rsidP="00AD5070">
            <w:pPr>
              <w:pStyle w:val="TableParagraph"/>
              <w:ind w:left="656" w:right="639"/>
              <w:rPr>
                <w:sz w:val="18"/>
                <w:szCs w:val="20"/>
              </w:rPr>
            </w:pPr>
            <w:r w:rsidRPr="00C85EF2">
              <w:rPr>
                <w:sz w:val="18"/>
                <w:szCs w:val="20"/>
              </w:rPr>
              <w:t>43</w:t>
            </w:r>
          </w:p>
        </w:tc>
        <w:tc>
          <w:tcPr>
            <w:tcW w:w="1525" w:type="dxa"/>
          </w:tcPr>
          <w:p w14:paraId="6E4A3EA9" w14:textId="77777777" w:rsidR="00A56C9B" w:rsidRPr="00C85EF2" w:rsidRDefault="00A56C9B" w:rsidP="00AD5070">
            <w:pPr>
              <w:pStyle w:val="TableParagraph"/>
              <w:ind w:left="621" w:right="603"/>
              <w:rPr>
                <w:sz w:val="18"/>
                <w:szCs w:val="20"/>
              </w:rPr>
            </w:pPr>
            <w:r w:rsidRPr="00C85EF2">
              <w:rPr>
                <w:sz w:val="18"/>
                <w:szCs w:val="20"/>
              </w:rPr>
              <w:t>2.6</w:t>
            </w:r>
          </w:p>
        </w:tc>
        <w:tc>
          <w:tcPr>
            <w:tcW w:w="1329" w:type="dxa"/>
          </w:tcPr>
          <w:p w14:paraId="3152D3AE" w14:textId="77777777" w:rsidR="00A56C9B" w:rsidRPr="00C85EF2" w:rsidRDefault="00A56C9B" w:rsidP="00AD5070">
            <w:pPr>
              <w:pStyle w:val="TableParagraph"/>
              <w:ind w:left="15"/>
              <w:rPr>
                <w:sz w:val="18"/>
                <w:szCs w:val="20"/>
              </w:rPr>
            </w:pPr>
            <w:r w:rsidRPr="00C85EF2">
              <w:rPr>
                <w:sz w:val="18"/>
                <w:szCs w:val="20"/>
              </w:rPr>
              <w:t>8</w:t>
            </w:r>
          </w:p>
        </w:tc>
        <w:tc>
          <w:tcPr>
            <w:tcW w:w="1449" w:type="dxa"/>
          </w:tcPr>
          <w:p w14:paraId="518F7E78"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0344CB9F" w14:textId="77777777" w:rsidTr="00A56C9B">
        <w:trPr>
          <w:trHeight w:val="230"/>
        </w:trPr>
        <w:tc>
          <w:tcPr>
            <w:tcW w:w="3501" w:type="dxa"/>
          </w:tcPr>
          <w:p w14:paraId="07594393" w14:textId="77777777" w:rsidR="00A56C9B" w:rsidRPr="00C85EF2" w:rsidRDefault="00A56C9B" w:rsidP="00AD5070">
            <w:pPr>
              <w:pStyle w:val="TableParagraph"/>
              <w:ind w:left="315"/>
              <w:rPr>
                <w:sz w:val="18"/>
                <w:szCs w:val="20"/>
              </w:rPr>
            </w:pPr>
            <w:r w:rsidRPr="00C85EF2">
              <w:rPr>
                <w:sz w:val="18"/>
                <w:szCs w:val="20"/>
              </w:rPr>
              <w:t>Fatigue</w:t>
            </w:r>
            <w:r w:rsidRPr="00C85EF2">
              <w:rPr>
                <w:sz w:val="18"/>
                <w:szCs w:val="20"/>
                <w:vertAlign w:val="superscript"/>
              </w:rPr>
              <w:t>*</w:t>
            </w:r>
          </w:p>
        </w:tc>
        <w:tc>
          <w:tcPr>
            <w:tcW w:w="1545" w:type="dxa"/>
          </w:tcPr>
          <w:p w14:paraId="06820D76" w14:textId="77777777" w:rsidR="00A56C9B" w:rsidRPr="00C85EF2" w:rsidRDefault="00A56C9B" w:rsidP="00AD5070">
            <w:pPr>
              <w:pStyle w:val="TableParagraph"/>
              <w:ind w:left="656" w:right="639"/>
              <w:rPr>
                <w:sz w:val="18"/>
                <w:szCs w:val="20"/>
              </w:rPr>
            </w:pPr>
            <w:r w:rsidRPr="00C85EF2">
              <w:rPr>
                <w:sz w:val="18"/>
                <w:szCs w:val="20"/>
              </w:rPr>
              <w:t>32</w:t>
            </w:r>
          </w:p>
        </w:tc>
        <w:tc>
          <w:tcPr>
            <w:tcW w:w="1525" w:type="dxa"/>
          </w:tcPr>
          <w:p w14:paraId="464B1E0A" w14:textId="77777777" w:rsidR="00A56C9B" w:rsidRPr="00C85EF2" w:rsidRDefault="00A56C9B" w:rsidP="00AD5070">
            <w:pPr>
              <w:pStyle w:val="TableParagraph"/>
              <w:ind w:left="621" w:right="603"/>
              <w:rPr>
                <w:sz w:val="18"/>
                <w:szCs w:val="20"/>
              </w:rPr>
            </w:pPr>
            <w:r w:rsidRPr="00C85EF2">
              <w:rPr>
                <w:sz w:val="18"/>
                <w:szCs w:val="20"/>
              </w:rPr>
              <w:t>3.8</w:t>
            </w:r>
          </w:p>
        </w:tc>
        <w:tc>
          <w:tcPr>
            <w:tcW w:w="1329" w:type="dxa"/>
          </w:tcPr>
          <w:p w14:paraId="4ACC4BFC" w14:textId="77777777" w:rsidR="00A56C9B" w:rsidRPr="00C85EF2" w:rsidRDefault="00A56C9B" w:rsidP="00AD5070">
            <w:pPr>
              <w:pStyle w:val="TableParagraph"/>
              <w:ind w:left="521" w:right="507"/>
              <w:rPr>
                <w:sz w:val="18"/>
                <w:szCs w:val="20"/>
              </w:rPr>
            </w:pPr>
            <w:r w:rsidRPr="00C85EF2">
              <w:rPr>
                <w:sz w:val="18"/>
                <w:szCs w:val="20"/>
              </w:rPr>
              <w:t>20</w:t>
            </w:r>
          </w:p>
        </w:tc>
        <w:tc>
          <w:tcPr>
            <w:tcW w:w="1449" w:type="dxa"/>
          </w:tcPr>
          <w:p w14:paraId="1A8BE109" w14:textId="77777777" w:rsidR="00A56C9B" w:rsidRPr="00C85EF2" w:rsidRDefault="00A56C9B" w:rsidP="00AD5070">
            <w:pPr>
              <w:pStyle w:val="TableParagraph"/>
              <w:ind w:right="583"/>
              <w:rPr>
                <w:sz w:val="18"/>
                <w:szCs w:val="20"/>
              </w:rPr>
            </w:pPr>
            <w:r w:rsidRPr="00C85EF2">
              <w:rPr>
                <w:sz w:val="18"/>
                <w:szCs w:val="20"/>
              </w:rPr>
              <w:t>1.9</w:t>
            </w:r>
          </w:p>
        </w:tc>
      </w:tr>
      <w:tr w:rsidR="00C85EF2" w:rsidRPr="00C85EF2" w14:paraId="432166ED" w14:textId="77777777" w:rsidTr="00A56C9B">
        <w:trPr>
          <w:trHeight w:val="230"/>
        </w:trPr>
        <w:tc>
          <w:tcPr>
            <w:tcW w:w="3501" w:type="dxa"/>
          </w:tcPr>
          <w:p w14:paraId="014452D4" w14:textId="77777777" w:rsidR="00A56C9B" w:rsidRPr="00C85EF2" w:rsidRDefault="00A56C9B" w:rsidP="00AD5070">
            <w:pPr>
              <w:pStyle w:val="TableParagraph"/>
              <w:ind w:left="315"/>
              <w:rPr>
                <w:sz w:val="18"/>
                <w:szCs w:val="20"/>
              </w:rPr>
            </w:pPr>
            <w:r w:rsidRPr="00C85EF2">
              <w:rPr>
                <w:sz w:val="18"/>
                <w:szCs w:val="20"/>
              </w:rPr>
              <w:t>Pyrexia</w:t>
            </w:r>
          </w:p>
        </w:tc>
        <w:tc>
          <w:tcPr>
            <w:tcW w:w="1545" w:type="dxa"/>
          </w:tcPr>
          <w:p w14:paraId="352A4E1C" w14:textId="77777777" w:rsidR="00A56C9B" w:rsidRPr="00C85EF2" w:rsidRDefault="00A56C9B" w:rsidP="00AD5070">
            <w:pPr>
              <w:pStyle w:val="TableParagraph"/>
              <w:ind w:left="656" w:right="639"/>
              <w:rPr>
                <w:sz w:val="18"/>
                <w:szCs w:val="20"/>
              </w:rPr>
            </w:pPr>
            <w:r w:rsidRPr="00C85EF2">
              <w:rPr>
                <w:sz w:val="18"/>
                <w:szCs w:val="20"/>
              </w:rPr>
              <w:t>12</w:t>
            </w:r>
          </w:p>
        </w:tc>
        <w:tc>
          <w:tcPr>
            <w:tcW w:w="1525" w:type="dxa"/>
          </w:tcPr>
          <w:p w14:paraId="33035066"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213023A6" w14:textId="77777777" w:rsidR="00A56C9B" w:rsidRPr="00C85EF2" w:rsidRDefault="00A56C9B" w:rsidP="00AD5070">
            <w:pPr>
              <w:pStyle w:val="TableParagraph"/>
              <w:ind w:left="15"/>
              <w:rPr>
                <w:sz w:val="18"/>
                <w:szCs w:val="20"/>
              </w:rPr>
            </w:pPr>
            <w:r w:rsidRPr="00C85EF2">
              <w:rPr>
                <w:sz w:val="18"/>
                <w:szCs w:val="20"/>
              </w:rPr>
              <w:t>9</w:t>
            </w:r>
          </w:p>
        </w:tc>
        <w:tc>
          <w:tcPr>
            <w:tcW w:w="1449" w:type="dxa"/>
          </w:tcPr>
          <w:p w14:paraId="4ED4572E"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1F6B5B22" w14:textId="77777777" w:rsidTr="00A56C9B">
        <w:trPr>
          <w:trHeight w:val="230"/>
        </w:trPr>
        <w:tc>
          <w:tcPr>
            <w:tcW w:w="9349" w:type="dxa"/>
            <w:gridSpan w:val="5"/>
          </w:tcPr>
          <w:p w14:paraId="737660C5" w14:textId="77777777" w:rsidR="00A56C9B" w:rsidRPr="00C85EF2" w:rsidRDefault="00A56C9B" w:rsidP="00AD5070">
            <w:pPr>
              <w:pStyle w:val="TableParagraph"/>
              <w:ind w:left="65"/>
              <w:rPr>
                <w:b/>
                <w:sz w:val="18"/>
                <w:szCs w:val="20"/>
              </w:rPr>
            </w:pPr>
            <w:r w:rsidRPr="00C85EF2">
              <w:rPr>
                <w:b/>
                <w:sz w:val="18"/>
                <w:szCs w:val="20"/>
              </w:rPr>
              <w:t>Vascular disorders</w:t>
            </w:r>
          </w:p>
        </w:tc>
      </w:tr>
      <w:tr w:rsidR="00C85EF2" w:rsidRPr="00C85EF2" w14:paraId="5E3CB575" w14:textId="77777777" w:rsidTr="00A56C9B">
        <w:trPr>
          <w:trHeight w:val="230"/>
        </w:trPr>
        <w:tc>
          <w:tcPr>
            <w:tcW w:w="3501" w:type="dxa"/>
          </w:tcPr>
          <w:p w14:paraId="7493DAAD" w14:textId="77777777" w:rsidR="00A56C9B" w:rsidRPr="00C85EF2" w:rsidRDefault="00A56C9B" w:rsidP="00AD5070">
            <w:pPr>
              <w:pStyle w:val="TableParagraph"/>
              <w:spacing w:line="211" w:lineRule="exact"/>
              <w:ind w:left="315"/>
              <w:rPr>
                <w:sz w:val="18"/>
                <w:szCs w:val="20"/>
              </w:rPr>
            </w:pPr>
            <w:r w:rsidRPr="00C85EF2">
              <w:rPr>
                <w:sz w:val="18"/>
                <w:szCs w:val="20"/>
              </w:rPr>
              <w:t>Venous thromboembolism</w:t>
            </w:r>
            <w:r w:rsidRPr="00C85EF2">
              <w:rPr>
                <w:sz w:val="18"/>
                <w:szCs w:val="20"/>
                <w:vertAlign w:val="superscript"/>
              </w:rPr>
              <w:t>*</w:t>
            </w:r>
          </w:p>
        </w:tc>
        <w:tc>
          <w:tcPr>
            <w:tcW w:w="1545" w:type="dxa"/>
          </w:tcPr>
          <w:p w14:paraId="673908F2" w14:textId="77777777" w:rsidR="00A56C9B" w:rsidRPr="00C85EF2" w:rsidRDefault="00A56C9B" w:rsidP="00AD5070">
            <w:pPr>
              <w:pStyle w:val="TableParagraph"/>
              <w:spacing w:line="211" w:lineRule="exact"/>
              <w:ind w:left="656" w:right="639"/>
              <w:rPr>
                <w:sz w:val="18"/>
                <w:szCs w:val="20"/>
              </w:rPr>
            </w:pPr>
            <w:r w:rsidRPr="00C85EF2">
              <w:rPr>
                <w:sz w:val="18"/>
                <w:szCs w:val="20"/>
              </w:rPr>
              <w:t>36</w:t>
            </w:r>
          </w:p>
        </w:tc>
        <w:tc>
          <w:tcPr>
            <w:tcW w:w="1525" w:type="dxa"/>
          </w:tcPr>
          <w:p w14:paraId="12190D8C" w14:textId="77777777" w:rsidR="00A56C9B" w:rsidRPr="00C85EF2" w:rsidRDefault="00A56C9B" w:rsidP="00AD5070">
            <w:pPr>
              <w:pStyle w:val="TableParagraph"/>
              <w:spacing w:line="211" w:lineRule="exact"/>
              <w:ind w:left="621" w:right="603"/>
              <w:rPr>
                <w:sz w:val="18"/>
                <w:szCs w:val="20"/>
              </w:rPr>
            </w:pPr>
            <w:r w:rsidRPr="00C85EF2">
              <w:rPr>
                <w:sz w:val="18"/>
                <w:szCs w:val="20"/>
              </w:rPr>
              <w:t>11</w:t>
            </w:r>
          </w:p>
        </w:tc>
        <w:tc>
          <w:tcPr>
            <w:tcW w:w="1329" w:type="dxa"/>
          </w:tcPr>
          <w:p w14:paraId="66298155" w14:textId="77777777" w:rsidR="00A56C9B" w:rsidRPr="00C85EF2" w:rsidRDefault="00A56C9B" w:rsidP="00AD5070">
            <w:pPr>
              <w:pStyle w:val="TableParagraph"/>
              <w:spacing w:line="211" w:lineRule="exact"/>
              <w:ind w:left="15"/>
              <w:rPr>
                <w:sz w:val="18"/>
                <w:szCs w:val="20"/>
              </w:rPr>
            </w:pPr>
            <w:r w:rsidRPr="00C85EF2">
              <w:rPr>
                <w:sz w:val="18"/>
                <w:szCs w:val="20"/>
              </w:rPr>
              <w:t>8</w:t>
            </w:r>
          </w:p>
        </w:tc>
        <w:tc>
          <w:tcPr>
            <w:tcW w:w="1449" w:type="dxa"/>
          </w:tcPr>
          <w:p w14:paraId="61539309" w14:textId="77777777" w:rsidR="00A56C9B" w:rsidRPr="00C85EF2" w:rsidRDefault="00A56C9B" w:rsidP="00AD5070">
            <w:pPr>
              <w:pStyle w:val="TableParagraph"/>
              <w:spacing w:line="211" w:lineRule="exact"/>
              <w:ind w:right="583"/>
              <w:rPr>
                <w:sz w:val="18"/>
                <w:szCs w:val="20"/>
              </w:rPr>
            </w:pPr>
            <w:r w:rsidRPr="00C85EF2">
              <w:rPr>
                <w:sz w:val="18"/>
                <w:szCs w:val="20"/>
              </w:rPr>
              <w:t>2.8</w:t>
            </w:r>
          </w:p>
        </w:tc>
      </w:tr>
      <w:tr w:rsidR="00C85EF2" w:rsidRPr="00C85EF2" w14:paraId="7A16CD5B" w14:textId="77777777" w:rsidTr="00A56C9B">
        <w:trPr>
          <w:trHeight w:val="230"/>
        </w:trPr>
        <w:tc>
          <w:tcPr>
            <w:tcW w:w="3501" w:type="dxa"/>
          </w:tcPr>
          <w:p w14:paraId="5A0A26A3" w14:textId="1257577A" w:rsidR="00A56C9B" w:rsidRPr="00C85EF2" w:rsidRDefault="00A56C9B" w:rsidP="00AD5070">
            <w:pPr>
              <w:pStyle w:val="TableParagraph"/>
              <w:ind w:left="355"/>
              <w:rPr>
                <w:sz w:val="18"/>
                <w:szCs w:val="20"/>
              </w:rPr>
            </w:pPr>
            <w:proofErr w:type="spellStart"/>
            <w:r w:rsidRPr="00C85EF2">
              <w:rPr>
                <w:sz w:val="18"/>
                <w:szCs w:val="20"/>
              </w:rPr>
              <w:t>H</w:t>
            </w:r>
            <w:r w:rsidR="00660973" w:rsidRPr="00C85EF2">
              <w:rPr>
                <w:sz w:val="18"/>
                <w:szCs w:val="20"/>
              </w:rPr>
              <w:t>a</w:t>
            </w:r>
            <w:r w:rsidRPr="00C85EF2">
              <w:rPr>
                <w:sz w:val="18"/>
                <w:szCs w:val="20"/>
              </w:rPr>
              <w:t>emorrhage</w:t>
            </w:r>
            <w:proofErr w:type="spellEnd"/>
            <w:r w:rsidRPr="00C85EF2">
              <w:rPr>
                <w:sz w:val="18"/>
                <w:szCs w:val="20"/>
                <w:vertAlign w:val="superscript"/>
              </w:rPr>
              <w:t>*</w:t>
            </w:r>
          </w:p>
        </w:tc>
        <w:tc>
          <w:tcPr>
            <w:tcW w:w="1545" w:type="dxa"/>
          </w:tcPr>
          <w:p w14:paraId="527932F3" w14:textId="77777777" w:rsidR="00A56C9B" w:rsidRPr="00C85EF2" w:rsidRDefault="00A56C9B" w:rsidP="00AD5070">
            <w:pPr>
              <w:pStyle w:val="TableParagraph"/>
              <w:ind w:left="656" w:right="639"/>
              <w:rPr>
                <w:sz w:val="18"/>
                <w:szCs w:val="20"/>
              </w:rPr>
            </w:pPr>
            <w:r w:rsidRPr="00C85EF2">
              <w:rPr>
                <w:sz w:val="18"/>
                <w:szCs w:val="20"/>
              </w:rPr>
              <w:t>25</w:t>
            </w:r>
          </w:p>
        </w:tc>
        <w:tc>
          <w:tcPr>
            <w:tcW w:w="1525" w:type="dxa"/>
          </w:tcPr>
          <w:p w14:paraId="0EA47829" w14:textId="77777777" w:rsidR="00A56C9B" w:rsidRPr="00C85EF2" w:rsidRDefault="00A56C9B" w:rsidP="00AD5070">
            <w:pPr>
              <w:pStyle w:val="TableParagraph"/>
              <w:ind w:left="18"/>
              <w:rPr>
                <w:sz w:val="18"/>
                <w:szCs w:val="20"/>
              </w:rPr>
            </w:pPr>
            <w:r w:rsidRPr="00C85EF2">
              <w:rPr>
                <w:sz w:val="18"/>
                <w:szCs w:val="20"/>
              </w:rPr>
              <w:t>1</w:t>
            </w:r>
          </w:p>
        </w:tc>
        <w:tc>
          <w:tcPr>
            <w:tcW w:w="1329" w:type="dxa"/>
          </w:tcPr>
          <w:p w14:paraId="56A2753D" w14:textId="77777777" w:rsidR="00A56C9B" w:rsidRPr="00C85EF2" w:rsidRDefault="00A56C9B" w:rsidP="00AD5070">
            <w:pPr>
              <w:pStyle w:val="TableParagraph"/>
              <w:ind w:left="521" w:right="507"/>
              <w:rPr>
                <w:sz w:val="18"/>
                <w:szCs w:val="20"/>
              </w:rPr>
            </w:pPr>
            <w:r w:rsidRPr="00C85EF2">
              <w:rPr>
                <w:sz w:val="18"/>
                <w:szCs w:val="20"/>
              </w:rPr>
              <w:t>13</w:t>
            </w:r>
          </w:p>
        </w:tc>
        <w:tc>
          <w:tcPr>
            <w:tcW w:w="1449" w:type="dxa"/>
          </w:tcPr>
          <w:p w14:paraId="317895C7" w14:textId="77777777" w:rsidR="00A56C9B" w:rsidRPr="00C85EF2" w:rsidRDefault="00A56C9B" w:rsidP="00AD5070">
            <w:pPr>
              <w:pStyle w:val="TableParagraph"/>
              <w:ind w:right="583"/>
              <w:rPr>
                <w:sz w:val="18"/>
                <w:szCs w:val="20"/>
              </w:rPr>
            </w:pPr>
            <w:r w:rsidRPr="00C85EF2">
              <w:rPr>
                <w:sz w:val="18"/>
                <w:szCs w:val="20"/>
              </w:rPr>
              <w:t>1.2</w:t>
            </w:r>
          </w:p>
        </w:tc>
      </w:tr>
      <w:tr w:rsidR="00C85EF2" w:rsidRPr="00C85EF2" w14:paraId="085EF452" w14:textId="77777777" w:rsidTr="00A56C9B">
        <w:trPr>
          <w:trHeight w:val="230"/>
        </w:trPr>
        <w:tc>
          <w:tcPr>
            <w:tcW w:w="9349" w:type="dxa"/>
            <w:gridSpan w:val="5"/>
          </w:tcPr>
          <w:p w14:paraId="57D102A2" w14:textId="77777777" w:rsidR="00A56C9B" w:rsidRPr="00C85EF2" w:rsidRDefault="00A56C9B" w:rsidP="00AD5070">
            <w:pPr>
              <w:pStyle w:val="TableParagraph"/>
              <w:ind w:left="65"/>
              <w:rPr>
                <w:b/>
                <w:sz w:val="18"/>
                <w:szCs w:val="20"/>
              </w:rPr>
            </w:pPr>
            <w:r w:rsidRPr="00C85EF2">
              <w:rPr>
                <w:b/>
                <w:sz w:val="18"/>
                <w:szCs w:val="20"/>
              </w:rPr>
              <w:t>Nervous system disorders</w:t>
            </w:r>
          </w:p>
        </w:tc>
      </w:tr>
      <w:tr w:rsidR="00C85EF2" w:rsidRPr="00C85EF2" w14:paraId="2673E85B" w14:textId="77777777" w:rsidTr="00A56C9B">
        <w:trPr>
          <w:trHeight w:val="230"/>
        </w:trPr>
        <w:tc>
          <w:tcPr>
            <w:tcW w:w="3501" w:type="dxa"/>
          </w:tcPr>
          <w:p w14:paraId="3DCF9DBE" w14:textId="60EC8922" w:rsidR="00A56C9B" w:rsidRPr="00C85EF2" w:rsidRDefault="00A56C9B" w:rsidP="00AD5070">
            <w:pPr>
              <w:pStyle w:val="TableParagraph"/>
              <w:ind w:left="355"/>
              <w:rPr>
                <w:sz w:val="18"/>
                <w:szCs w:val="20"/>
              </w:rPr>
            </w:pPr>
            <w:proofErr w:type="spellStart"/>
            <w:r w:rsidRPr="00C85EF2">
              <w:rPr>
                <w:sz w:val="18"/>
                <w:szCs w:val="20"/>
              </w:rPr>
              <w:t>Par</w:t>
            </w:r>
            <w:r w:rsidR="00660973" w:rsidRPr="00C85EF2">
              <w:rPr>
                <w:sz w:val="18"/>
                <w:szCs w:val="20"/>
              </w:rPr>
              <w:t>a</w:t>
            </w:r>
            <w:r w:rsidRPr="00C85EF2">
              <w:rPr>
                <w:sz w:val="18"/>
                <w:szCs w:val="20"/>
              </w:rPr>
              <w:t>esthesia</w:t>
            </w:r>
            <w:proofErr w:type="spellEnd"/>
            <w:r w:rsidRPr="00C85EF2">
              <w:rPr>
                <w:sz w:val="18"/>
                <w:szCs w:val="20"/>
                <w:vertAlign w:val="superscript"/>
              </w:rPr>
              <w:t>*</w:t>
            </w:r>
          </w:p>
        </w:tc>
        <w:tc>
          <w:tcPr>
            <w:tcW w:w="1545" w:type="dxa"/>
          </w:tcPr>
          <w:p w14:paraId="60E36574" w14:textId="77777777" w:rsidR="00A56C9B" w:rsidRPr="00C85EF2" w:rsidRDefault="00A56C9B" w:rsidP="00AD5070">
            <w:pPr>
              <w:pStyle w:val="TableParagraph"/>
              <w:ind w:left="656" w:right="639"/>
              <w:rPr>
                <w:sz w:val="18"/>
                <w:szCs w:val="20"/>
              </w:rPr>
            </w:pPr>
            <w:r w:rsidRPr="00C85EF2">
              <w:rPr>
                <w:sz w:val="18"/>
                <w:szCs w:val="20"/>
              </w:rPr>
              <w:t>35</w:t>
            </w:r>
          </w:p>
        </w:tc>
        <w:tc>
          <w:tcPr>
            <w:tcW w:w="1525" w:type="dxa"/>
          </w:tcPr>
          <w:p w14:paraId="0EB7EE68" w14:textId="77777777" w:rsidR="00A56C9B" w:rsidRPr="00C85EF2" w:rsidRDefault="00A56C9B" w:rsidP="00AD5070">
            <w:pPr>
              <w:pStyle w:val="TableParagraph"/>
              <w:ind w:left="621" w:right="603"/>
              <w:rPr>
                <w:sz w:val="18"/>
                <w:szCs w:val="20"/>
              </w:rPr>
            </w:pPr>
            <w:r w:rsidRPr="00C85EF2">
              <w:rPr>
                <w:sz w:val="18"/>
                <w:szCs w:val="20"/>
              </w:rPr>
              <w:t>1.7</w:t>
            </w:r>
          </w:p>
        </w:tc>
        <w:tc>
          <w:tcPr>
            <w:tcW w:w="1329" w:type="dxa"/>
          </w:tcPr>
          <w:p w14:paraId="4141C866" w14:textId="77777777" w:rsidR="00A56C9B" w:rsidRPr="00C85EF2" w:rsidRDefault="00A56C9B" w:rsidP="00AD5070">
            <w:pPr>
              <w:pStyle w:val="TableParagraph"/>
              <w:ind w:left="521" w:right="507"/>
              <w:rPr>
                <w:sz w:val="18"/>
                <w:szCs w:val="20"/>
              </w:rPr>
            </w:pPr>
            <w:r w:rsidRPr="00C85EF2">
              <w:rPr>
                <w:sz w:val="18"/>
                <w:szCs w:val="20"/>
              </w:rPr>
              <w:t>10</w:t>
            </w:r>
          </w:p>
        </w:tc>
        <w:tc>
          <w:tcPr>
            <w:tcW w:w="1449" w:type="dxa"/>
          </w:tcPr>
          <w:p w14:paraId="13B1C8E0" w14:textId="77777777" w:rsidR="00A56C9B" w:rsidRPr="00C85EF2" w:rsidRDefault="00A56C9B" w:rsidP="00AD5070">
            <w:pPr>
              <w:pStyle w:val="TableParagraph"/>
              <w:ind w:right="583"/>
              <w:rPr>
                <w:sz w:val="18"/>
                <w:szCs w:val="20"/>
              </w:rPr>
            </w:pPr>
            <w:r w:rsidRPr="00C85EF2">
              <w:rPr>
                <w:sz w:val="18"/>
                <w:szCs w:val="20"/>
              </w:rPr>
              <w:t>0.2</w:t>
            </w:r>
          </w:p>
        </w:tc>
      </w:tr>
      <w:tr w:rsidR="00C85EF2" w:rsidRPr="00C85EF2" w14:paraId="09FB4045" w14:textId="77777777" w:rsidTr="00A56C9B">
        <w:trPr>
          <w:trHeight w:val="230"/>
        </w:trPr>
        <w:tc>
          <w:tcPr>
            <w:tcW w:w="3501" w:type="dxa"/>
          </w:tcPr>
          <w:p w14:paraId="47A5C0A0" w14:textId="77777777" w:rsidR="00A56C9B" w:rsidRPr="00C85EF2" w:rsidRDefault="00A56C9B" w:rsidP="00AD5070">
            <w:pPr>
              <w:pStyle w:val="TableParagraph"/>
              <w:ind w:left="355"/>
              <w:rPr>
                <w:sz w:val="18"/>
                <w:szCs w:val="20"/>
              </w:rPr>
            </w:pPr>
            <w:r w:rsidRPr="00C85EF2">
              <w:rPr>
                <w:sz w:val="18"/>
                <w:szCs w:val="20"/>
              </w:rPr>
              <w:t>Dizziness</w:t>
            </w:r>
            <w:r w:rsidRPr="00C85EF2">
              <w:rPr>
                <w:sz w:val="18"/>
                <w:szCs w:val="20"/>
                <w:vertAlign w:val="superscript"/>
              </w:rPr>
              <w:t>*</w:t>
            </w:r>
          </w:p>
        </w:tc>
        <w:tc>
          <w:tcPr>
            <w:tcW w:w="1545" w:type="dxa"/>
          </w:tcPr>
          <w:p w14:paraId="3CDBA499" w14:textId="77777777" w:rsidR="00A56C9B" w:rsidRPr="00C85EF2" w:rsidRDefault="00A56C9B" w:rsidP="00AD5070">
            <w:pPr>
              <w:pStyle w:val="TableParagraph"/>
              <w:ind w:left="656" w:right="639"/>
              <w:rPr>
                <w:sz w:val="18"/>
                <w:szCs w:val="20"/>
              </w:rPr>
            </w:pPr>
            <w:r w:rsidRPr="00C85EF2">
              <w:rPr>
                <w:sz w:val="18"/>
                <w:szCs w:val="20"/>
              </w:rPr>
              <w:t>14</w:t>
            </w:r>
          </w:p>
        </w:tc>
        <w:tc>
          <w:tcPr>
            <w:tcW w:w="1525" w:type="dxa"/>
          </w:tcPr>
          <w:p w14:paraId="51465FB1"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13D1E88A" w14:textId="77777777" w:rsidR="00A56C9B" w:rsidRPr="00C85EF2" w:rsidRDefault="00A56C9B" w:rsidP="00AD5070">
            <w:pPr>
              <w:pStyle w:val="TableParagraph"/>
              <w:ind w:left="521" w:right="507"/>
              <w:rPr>
                <w:sz w:val="18"/>
                <w:szCs w:val="20"/>
              </w:rPr>
            </w:pPr>
            <w:r w:rsidRPr="00C85EF2">
              <w:rPr>
                <w:sz w:val="18"/>
                <w:szCs w:val="20"/>
              </w:rPr>
              <w:t>10</w:t>
            </w:r>
          </w:p>
        </w:tc>
        <w:tc>
          <w:tcPr>
            <w:tcW w:w="1449" w:type="dxa"/>
          </w:tcPr>
          <w:p w14:paraId="76D2A46F"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61024C74" w14:textId="77777777" w:rsidTr="00A56C9B">
        <w:trPr>
          <w:trHeight w:val="230"/>
        </w:trPr>
        <w:tc>
          <w:tcPr>
            <w:tcW w:w="3501" w:type="dxa"/>
          </w:tcPr>
          <w:p w14:paraId="06DD59FB" w14:textId="77777777" w:rsidR="00A56C9B" w:rsidRPr="00C85EF2" w:rsidRDefault="00A56C9B" w:rsidP="00AD5070">
            <w:pPr>
              <w:pStyle w:val="TableParagraph"/>
              <w:ind w:left="355"/>
              <w:rPr>
                <w:sz w:val="18"/>
                <w:szCs w:val="20"/>
              </w:rPr>
            </w:pPr>
            <w:r w:rsidRPr="00C85EF2">
              <w:rPr>
                <w:sz w:val="18"/>
                <w:szCs w:val="20"/>
              </w:rPr>
              <w:lastRenderedPageBreak/>
              <w:t>Headache</w:t>
            </w:r>
            <w:r w:rsidRPr="00C85EF2">
              <w:rPr>
                <w:sz w:val="18"/>
                <w:szCs w:val="20"/>
                <w:vertAlign w:val="superscript"/>
              </w:rPr>
              <w:t>*</w:t>
            </w:r>
          </w:p>
        </w:tc>
        <w:tc>
          <w:tcPr>
            <w:tcW w:w="1545" w:type="dxa"/>
          </w:tcPr>
          <w:p w14:paraId="74D1AD86" w14:textId="77777777" w:rsidR="00A56C9B" w:rsidRPr="00C85EF2" w:rsidRDefault="00A56C9B" w:rsidP="00AD5070">
            <w:pPr>
              <w:pStyle w:val="TableParagraph"/>
              <w:ind w:left="656" w:right="639"/>
              <w:rPr>
                <w:sz w:val="18"/>
                <w:szCs w:val="20"/>
              </w:rPr>
            </w:pPr>
            <w:r w:rsidRPr="00C85EF2">
              <w:rPr>
                <w:sz w:val="18"/>
                <w:szCs w:val="20"/>
              </w:rPr>
              <w:t>13</w:t>
            </w:r>
          </w:p>
        </w:tc>
        <w:tc>
          <w:tcPr>
            <w:tcW w:w="1525" w:type="dxa"/>
          </w:tcPr>
          <w:p w14:paraId="2AFAE87D" w14:textId="77777777" w:rsidR="00A56C9B" w:rsidRPr="00C85EF2" w:rsidRDefault="00A56C9B" w:rsidP="00AD5070">
            <w:pPr>
              <w:pStyle w:val="TableParagraph"/>
              <w:ind w:left="621" w:right="603"/>
              <w:rPr>
                <w:sz w:val="18"/>
                <w:szCs w:val="20"/>
              </w:rPr>
            </w:pPr>
            <w:r w:rsidRPr="00C85EF2">
              <w:rPr>
                <w:sz w:val="18"/>
                <w:szCs w:val="20"/>
              </w:rPr>
              <w:t>0.2</w:t>
            </w:r>
          </w:p>
        </w:tc>
        <w:tc>
          <w:tcPr>
            <w:tcW w:w="1329" w:type="dxa"/>
          </w:tcPr>
          <w:p w14:paraId="76B5D228" w14:textId="77777777" w:rsidR="00A56C9B" w:rsidRPr="00C85EF2" w:rsidRDefault="00A56C9B" w:rsidP="00AD5070">
            <w:pPr>
              <w:pStyle w:val="TableParagraph"/>
              <w:ind w:left="521" w:right="507"/>
              <w:rPr>
                <w:sz w:val="18"/>
                <w:szCs w:val="20"/>
              </w:rPr>
            </w:pPr>
            <w:r w:rsidRPr="00C85EF2">
              <w:rPr>
                <w:sz w:val="18"/>
                <w:szCs w:val="20"/>
              </w:rPr>
              <w:t>13</w:t>
            </w:r>
          </w:p>
        </w:tc>
        <w:tc>
          <w:tcPr>
            <w:tcW w:w="1449" w:type="dxa"/>
          </w:tcPr>
          <w:p w14:paraId="384C4510"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0663011F" w14:textId="77777777" w:rsidTr="00A56C9B">
        <w:trPr>
          <w:trHeight w:val="230"/>
        </w:trPr>
        <w:tc>
          <w:tcPr>
            <w:tcW w:w="9349" w:type="dxa"/>
            <w:gridSpan w:val="5"/>
          </w:tcPr>
          <w:p w14:paraId="303BEF95" w14:textId="77777777" w:rsidR="00A56C9B" w:rsidRPr="00C85EF2" w:rsidRDefault="00A56C9B" w:rsidP="00AD5070">
            <w:pPr>
              <w:pStyle w:val="TableParagraph"/>
              <w:ind w:left="65"/>
              <w:rPr>
                <w:b/>
                <w:sz w:val="18"/>
                <w:szCs w:val="20"/>
              </w:rPr>
            </w:pPr>
            <w:r w:rsidRPr="00C85EF2">
              <w:rPr>
                <w:b/>
                <w:sz w:val="18"/>
                <w:szCs w:val="20"/>
              </w:rPr>
              <w:t>Infections and infestations</w:t>
            </w:r>
          </w:p>
        </w:tc>
      </w:tr>
      <w:tr w:rsidR="00C85EF2" w:rsidRPr="00C85EF2" w14:paraId="534920C6" w14:textId="77777777" w:rsidTr="00A56C9B">
        <w:trPr>
          <w:trHeight w:val="230"/>
        </w:trPr>
        <w:tc>
          <w:tcPr>
            <w:tcW w:w="3501" w:type="dxa"/>
          </w:tcPr>
          <w:p w14:paraId="1F2EBB82" w14:textId="77777777" w:rsidR="00A56C9B" w:rsidRPr="00C85EF2" w:rsidRDefault="00A56C9B" w:rsidP="00AD5070">
            <w:pPr>
              <w:pStyle w:val="TableParagraph"/>
              <w:ind w:left="355"/>
              <w:rPr>
                <w:sz w:val="18"/>
                <w:szCs w:val="20"/>
              </w:rPr>
            </w:pPr>
            <w:r w:rsidRPr="00C85EF2">
              <w:rPr>
                <w:sz w:val="18"/>
                <w:szCs w:val="20"/>
              </w:rPr>
              <w:t>COVID-19</w:t>
            </w:r>
          </w:p>
        </w:tc>
        <w:tc>
          <w:tcPr>
            <w:tcW w:w="1545" w:type="dxa"/>
          </w:tcPr>
          <w:p w14:paraId="5EDC3B5F" w14:textId="77777777" w:rsidR="00A56C9B" w:rsidRPr="00C85EF2" w:rsidRDefault="00A56C9B" w:rsidP="00AD5070">
            <w:pPr>
              <w:pStyle w:val="TableParagraph"/>
              <w:ind w:left="656" w:right="639"/>
              <w:rPr>
                <w:sz w:val="18"/>
                <w:szCs w:val="20"/>
              </w:rPr>
            </w:pPr>
            <w:r w:rsidRPr="00C85EF2">
              <w:rPr>
                <w:sz w:val="18"/>
                <w:szCs w:val="20"/>
              </w:rPr>
              <w:t>26</w:t>
            </w:r>
          </w:p>
        </w:tc>
        <w:tc>
          <w:tcPr>
            <w:tcW w:w="1525" w:type="dxa"/>
          </w:tcPr>
          <w:p w14:paraId="41DEA0DA" w14:textId="77777777" w:rsidR="00A56C9B" w:rsidRPr="00C85EF2" w:rsidRDefault="00A56C9B" w:rsidP="00AD5070">
            <w:pPr>
              <w:pStyle w:val="TableParagraph"/>
              <w:ind w:left="621" w:right="603"/>
              <w:rPr>
                <w:sz w:val="18"/>
                <w:szCs w:val="20"/>
              </w:rPr>
            </w:pPr>
            <w:r w:rsidRPr="00C85EF2">
              <w:rPr>
                <w:sz w:val="18"/>
                <w:szCs w:val="20"/>
              </w:rPr>
              <w:t>1.7</w:t>
            </w:r>
          </w:p>
        </w:tc>
        <w:tc>
          <w:tcPr>
            <w:tcW w:w="1329" w:type="dxa"/>
          </w:tcPr>
          <w:p w14:paraId="14CD8FE8" w14:textId="77777777" w:rsidR="00A56C9B" w:rsidRPr="00C85EF2" w:rsidRDefault="00A56C9B" w:rsidP="00AD5070">
            <w:pPr>
              <w:pStyle w:val="TableParagraph"/>
              <w:ind w:left="521" w:right="507"/>
              <w:rPr>
                <w:sz w:val="18"/>
                <w:szCs w:val="20"/>
              </w:rPr>
            </w:pPr>
            <w:r w:rsidRPr="00C85EF2">
              <w:rPr>
                <w:sz w:val="18"/>
                <w:szCs w:val="20"/>
              </w:rPr>
              <w:t>24</w:t>
            </w:r>
          </w:p>
        </w:tc>
        <w:tc>
          <w:tcPr>
            <w:tcW w:w="1449" w:type="dxa"/>
          </w:tcPr>
          <w:p w14:paraId="2D16806A" w14:textId="77777777" w:rsidR="00A56C9B" w:rsidRPr="00C85EF2" w:rsidRDefault="00A56C9B" w:rsidP="00AD5070">
            <w:pPr>
              <w:pStyle w:val="TableParagraph"/>
              <w:ind w:right="583"/>
              <w:rPr>
                <w:sz w:val="18"/>
                <w:szCs w:val="20"/>
              </w:rPr>
            </w:pPr>
            <w:r w:rsidRPr="00C85EF2">
              <w:rPr>
                <w:sz w:val="18"/>
                <w:szCs w:val="20"/>
              </w:rPr>
              <w:t>1.4</w:t>
            </w:r>
          </w:p>
        </w:tc>
      </w:tr>
      <w:tr w:rsidR="00C85EF2" w:rsidRPr="00C85EF2" w14:paraId="276B0419" w14:textId="77777777" w:rsidTr="00A56C9B">
        <w:trPr>
          <w:trHeight w:val="230"/>
        </w:trPr>
        <w:tc>
          <w:tcPr>
            <w:tcW w:w="3501" w:type="dxa"/>
          </w:tcPr>
          <w:p w14:paraId="377B2399" w14:textId="77777777" w:rsidR="00A56C9B" w:rsidRPr="00C85EF2" w:rsidRDefault="00A56C9B" w:rsidP="00AD5070">
            <w:pPr>
              <w:pStyle w:val="TableParagraph"/>
              <w:ind w:left="355"/>
              <w:rPr>
                <w:sz w:val="18"/>
                <w:szCs w:val="20"/>
              </w:rPr>
            </w:pPr>
            <w:r w:rsidRPr="00C85EF2">
              <w:rPr>
                <w:sz w:val="18"/>
                <w:szCs w:val="20"/>
              </w:rPr>
              <w:t>Conjunctivitis</w:t>
            </w:r>
          </w:p>
        </w:tc>
        <w:tc>
          <w:tcPr>
            <w:tcW w:w="1545" w:type="dxa"/>
          </w:tcPr>
          <w:p w14:paraId="0A116BFE" w14:textId="77777777" w:rsidR="00A56C9B" w:rsidRPr="00C85EF2" w:rsidRDefault="00A56C9B" w:rsidP="00AD5070">
            <w:pPr>
              <w:pStyle w:val="TableParagraph"/>
              <w:ind w:left="656" w:right="639"/>
              <w:rPr>
                <w:sz w:val="18"/>
                <w:szCs w:val="20"/>
              </w:rPr>
            </w:pPr>
            <w:r w:rsidRPr="00C85EF2">
              <w:rPr>
                <w:sz w:val="18"/>
                <w:szCs w:val="20"/>
              </w:rPr>
              <w:t>11</w:t>
            </w:r>
          </w:p>
        </w:tc>
        <w:tc>
          <w:tcPr>
            <w:tcW w:w="1525" w:type="dxa"/>
          </w:tcPr>
          <w:p w14:paraId="5968A6B8" w14:textId="77777777" w:rsidR="00A56C9B" w:rsidRPr="00C85EF2" w:rsidRDefault="00A56C9B" w:rsidP="00AD5070">
            <w:pPr>
              <w:pStyle w:val="TableParagraph"/>
              <w:ind w:left="621" w:right="603"/>
              <w:rPr>
                <w:sz w:val="18"/>
                <w:szCs w:val="20"/>
              </w:rPr>
            </w:pPr>
            <w:r w:rsidRPr="00C85EF2">
              <w:rPr>
                <w:sz w:val="18"/>
                <w:szCs w:val="20"/>
              </w:rPr>
              <w:t>0.2</w:t>
            </w:r>
          </w:p>
        </w:tc>
        <w:tc>
          <w:tcPr>
            <w:tcW w:w="1329" w:type="dxa"/>
          </w:tcPr>
          <w:p w14:paraId="1ED0CA92" w14:textId="77777777" w:rsidR="00A56C9B" w:rsidRPr="00C85EF2" w:rsidRDefault="00A56C9B" w:rsidP="00AD5070">
            <w:pPr>
              <w:pStyle w:val="TableParagraph"/>
              <w:ind w:left="521" w:right="507"/>
              <w:rPr>
                <w:sz w:val="18"/>
                <w:szCs w:val="20"/>
              </w:rPr>
            </w:pPr>
            <w:r w:rsidRPr="00C85EF2">
              <w:rPr>
                <w:sz w:val="18"/>
                <w:szCs w:val="20"/>
              </w:rPr>
              <w:t>1.6</w:t>
            </w:r>
          </w:p>
        </w:tc>
        <w:tc>
          <w:tcPr>
            <w:tcW w:w="1449" w:type="dxa"/>
          </w:tcPr>
          <w:p w14:paraId="4AF801D4"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566B7ACC" w14:textId="77777777" w:rsidTr="00A56C9B">
        <w:trPr>
          <w:trHeight w:val="229"/>
        </w:trPr>
        <w:tc>
          <w:tcPr>
            <w:tcW w:w="9349" w:type="dxa"/>
            <w:gridSpan w:val="5"/>
          </w:tcPr>
          <w:p w14:paraId="4F890401" w14:textId="77777777" w:rsidR="00A56C9B" w:rsidRPr="00C85EF2" w:rsidRDefault="00A56C9B" w:rsidP="00AD5070">
            <w:pPr>
              <w:pStyle w:val="TableParagraph"/>
              <w:ind w:left="65"/>
              <w:rPr>
                <w:b/>
                <w:sz w:val="18"/>
                <w:szCs w:val="20"/>
              </w:rPr>
            </w:pPr>
            <w:r w:rsidRPr="00C85EF2">
              <w:rPr>
                <w:b/>
                <w:sz w:val="18"/>
                <w:szCs w:val="20"/>
              </w:rPr>
              <w:t>Metabolism and nutrition disorders</w:t>
            </w:r>
          </w:p>
        </w:tc>
      </w:tr>
      <w:tr w:rsidR="00C85EF2" w:rsidRPr="00C85EF2" w14:paraId="0C2DFF1F" w14:textId="77777777" w:rsidTr="00A56C9B">
        <w:trPr>
          <w:trHeight w:val="230"/>
        </w:trPr>
        <w:tc>
          <w:tcPr>
            <w:tcW w:w="3501" w:type="dxa"/>
          </w:tcPr>
          <w:p w14:paraId="7452B52E" w14:textId="77777777" w:rsidR="00A56C9B" w:rsidRPr="00C85EF2" w:rsidRDefault="00A56C9B" w:rsidP="00AD5070">
            <w:pPr>
              <w:pStyle w:val="TableParagraph"/>
              <w:ind w:left="315"/>
              <w:rPr>
                <w:sz w:val="18"/>
                <w:szCs w:val="20"/>
              </w:rPr>
            </w:pPr>
            <w:r w:rsidRPr="00C85EF2">
              <w:rPr>
                <w:sz w:val="18"/>
                <w:szCs w:val="20"/>
              </w:rPr>
              <w:t>Decreased appetite</w:t>
            </w:r>
          </w:p>
        </w:tc>
        <w:tc>
          <w:tcPr>
            <w:tcW w:w="1545" w:type="dxa"/>
          </w:tcPr>
          <w:p w14:paraId="23FD9415" w14:textId="77777777" w:rsidR="00A56C9B" w:rsidRPr="00C85EF2" w:rsidRDefault="00A56C9B" w:rsidP="00AD5070">
            <w:pPr>
              <w:pStyle w:val="TableParagraph"/>
              <w:ind w:left="656" w:right="639"/>
              <w:rPr>
                <w:sz w:val="18"/>
                <w:szCs w:val="20"/>
              </w:rPr>
            </w:pPr>
            <w:r w:rsidRPr="00C85EF2">
              <w:rPr>
                <w:sz w:val="18"/>
                <w:szCs w:val="20"/>
              </w:rPr>
              <w:t>24</w:t>
            </w:r>
          </w:p>
        </w:tc>
        <w:tc>
          <w:tcPr>
            <w:tcW w:w="1525" w:type="dxa"/>
          </w:tcPr>
          <w:p w14:paraId="5226B289" w14:textId="77777777" w:rsidR="00A56C9B" w:rsidRPr="00C85EF2" w:rsidRDefault="00A56C9B" w:rsidP="00AD5070">
            <w:pPr>
              <w:pStyle w:val="TableParagraph"/>
              <w:ind w:left="18"/>
              <w:rPr>
                <w:sz w:val="18"/>
                <w:szCs w:val="20"/>
              </w:rPr>
            </w:pPr>
            <w:r w:rsidRPr="00C85EF2">
              <w:rPr>
                <w:sz w:val="18"/>
                <w:szCs w:val="20"/>
              </w:rPr>
              <w:t>1</w:t>
            </w:r>
          </w:p>
        </w:tc>
        <w:tc>
          <w:tcPr>
            <w:tcW w:w="1329" w:type="dxa"/>
          </w:tcPr>
          <w:p w14:paraId="319C017F" w14:textId="77777777" w:rsidR="00A56C9B" w:rsidRPr="00C85EF2" w:rsidRDefault="00A56C9B" w:rsidP="00AD5070">
            <w:pPr>
              <w:pStyle w:val="TableParagraph"/>
              <w:ind w:left="521" w:right="507"/>
              <w:rPr>
                <w:sz w:val="18"/>
                <w:szCs w:val="20"/>
              </w:rPr>
            </w:pPr>
            <w:r w:rsidRPr="00C85EF2">
              <w:rPr>
                <w:sz w:val="18"/>
                <w:szCs w:val="20"/>
              </w:rPr>
              <w:t>18</w:t>
            </w:r>
          </w:p>
        </w:tc>
        <w:tc>
          <w:tcPr>
            <w:tcW w:w="1449" w:type="dxa"/>
          </w:tcPr>
          <w:p w14:paraId="48F222CD" w14:textId="77777777" w:rsidR="00A56C9B" w:rsidRPr="00C85EF2" w:rsidRDefault="00A56C9B" w:rsidP="00AD5070">
            <w:pPr>
              <w:pStyle w:val="TableParagraph"/>
              <w:ind w:right="583"/>
              <w:rPr>
                <w:sz w:val="18"/>
                <w:szCs w:val="20"/>
              </w:rPr>
            </w:pPr>
            <w:r w:rsidRPr="00C85EF2">
              <w:rPr>
                <w:sz w:val="18"/>
                <w:szCs w:val="20"/>
              </w:rPr>
              <w:t>1.4</w:t>
            </w:r>
          </w:p>
        </w:tc>
      </w:tr>
      <w:tr w:rsidR="00C85EF2" w:rsidRPr="00C85EF2" w14:paraId="4C13FA3E" w14:textId="77777777" w:rsidTr="00A56C9B">
        <w:trPr>
          <w:trHeight w:val="230"/>
        </w:trPr>
        <w:tc>
          <w:tcPr>
            <w:tcW w:w="9349" w:type="dxa"/>
            <w:gridSpan w:val="5"/>
          </w:tcPr>
          <w:p w14:paraId="5BA10A46" w14:textId="77777777" w:rsidR="00A56C9B" w:rsidRPr="00C85EF2" w:rsidRDefault="00A56C9B" w:rsidP="00AD5070">
            <w:pPr>
              <w:pStyle w:val="TableParagraph"/>
              <w:ind w:left="65"/>
              <w:rPr>
                <w:b/>
                <w:sz w:val="18"/>
                <w:szCs w:val="20"/>
              </w:rPr>
            </w:pPr>
            <w:r w:rsidRPr="00C85EF2">
              <w:rPr>
                <w:b/>
                <w:sz w:val="18"/>
                <w:szCs w:val="20"/>
              </w:rPr>
              <w:t>Respiratory, thoracic and mediastinal disorders</w:t>
            </w:r>
          </w:p>
        </w:tc>
      </w:tr>
      <w:tr w:rsidR="00C85EF2" w:rsidRPr="00C85EF2" w14:paraId="113531FF" w14:textId="77777777" w:rsidTr="00A56C9B">
        <w:trPr>
          <w:trHeight w:val="230"/>
        </w:trPr>
        <w:tc>
          <w:tcPr>
            <w:tcW w:w="3501" w:type="dxa"/>
          </w:tcPr>
          <w:p w14:paraId="3573FC0F" w14:textId="77777777" w:rsidR="00A56C9B" w:rsidRPr="00C85EF2" w:rsidRDefault="00A56C9B" w:rsidP="00AD5070">
            <w:pPr>
              <w:pStyle w:val="TableParagraph"/>
              <w:ind w:left="355"/>
              <w:rPr>
                <w:sz w:val="18"/>
                <w:szCs w:val="20"/>
              </w:rPr>
            </w:pPr>
            <w:r w:rsidRPr="00C85EF2">
              <w:rPr>
                <w:sz w:val="18"/>
                <w:szCs w:val="20"/>
              </w:rPr>
              <w:t>Cough</w:t>
            </w:r>
            <w:r w:rsidRPr="00C85EF2">
              <w:rPr>
                <w:sz w:val="18"/>
                <w:szCs w:val="20"/>
                <w:vertAlign w:val="superscript"/>
              </w:rPr>
              <w:t>*</w:t>
            </w:r>
          </w:p>
        </w:tc>
        <w:tc>
          <w:tcPr>
            <w:tcW w:w="1545" w:type="dxa"/>
          </w:tcPr>
          <w:p w14:paraId="3D9995A1" w14:textId="77777777" w:rsidR="00A56C9B" w:rsidRPr="00C85EF2" w:rsidRDefault="00A56C9B" w:rsidP="00AD5070">
            <w:pPr>
              <w:pStyle w:val="TableParagraph"/>
              <w:ind w:left="656" w:right="639"/>
              <w:rPr>
                <w:sz w:val="18"/>
                <w:szCs w:val="20"/>
              </w:rPr>
            </w:pPr>
            <w:r w:rsidRPr="00C85EF2">
              <w:rPr>
                <w:sz w:val="18"/>
                <w:szCs w:val="20"/>
              </w:rPr>
              <w:t>19</w:t>
            </w:r>
          </w:p>
        </w:tc>
        <w:tc>
          <w:tcPr>
            <w:tcW w:w="1525" w:type="dxa"/>
          </w:tcPr>
          <w:p w14:paraId="480E1495"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5F3882D3" w14:textId="77777777" w:rsidR="00A56C9B" w:rsidRPr="00C85EF2" w:rsidRDefault="00A56C9B" w:rsidP="00AD5070">
            <w:pPr>
              <w:pStyle w:val="TableParagraph"/>
              <w:ind w:left="521" w:right="507"/>
              <w:rPr>
                <w:sz w:val="18"/>
                <w:szCs w:val="20"/>
              </w:rPr>
            </w:pPr>
            <w:r w:rsidRPr="00C85EF2">
              <w:rPr>
                <w:sz w:val="18"/>
                <w:szCs w:val="20"/>
              </w:rPr>
              <w:t>23</w:t>
            </w:r>
          </w:p>
        </w:tc>
        <w:tc>
          <w:tcPr>
            <w:tcW w:w="1449" w:type="dxa"/>
          </w:tcPr>
          <w:p w14:paraId="15FFCBAC"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0191A9E9" w14:textId="77777777" w:rsidTr="00A56C9B">
        <w:trPr>
          <w:trHeight w:val="230"/>
        </w:trPr>
        <w:tc>
          <w:tcPr>
            <w:tcW w:w="3501" w:type="dxa"/>
          </w:tcPr>
          <w:p w14:paraId="40CBB311" w14:textId="464858EF" w:rsidR="00A56C9B" w:rsidRPr="00C85EF2" w:rsidRDefault="00A56C9B" w:rsidP="00AD5070">
            <w:pPr>
              <w:pStyle w:val="TableParagraph"/>
              <w:spacing w:line="211" w:lineRule="exact"/>
              <w:ind w:left="355"/>
              <w:rPr>
                <w:sz w:val="18"/>
                <w:szCs w:val="20"/>
              </w:rPr>
            </w:pPr>
            <w:proofErr w:type="spellStart"/>
            <w:r w:rsidRPr="00C85EF2">
              <w:rPr>
                <w:sz w:val="18"/>
                <w:szCs w:val="20"/>
              </w:rPr>
              <w:t>Dyspn</w:t>
            </w:r>
            <w:r w:rsidR="00660973" w:rsidRPr="00C85EF2">
              <w:rPr>
                <w:sz w:val="18"/>
                <w:szCs w:val="20"/>
              </w:rPr>
              <w:t>o</w:t>
            </w:r>
            <w:r w:rsidRPr="00C85EF2">
              <w:rPr>
                <w:sz w:val="18"/>
                <w:szCs w:val="20"/>
              </w:rPr>
              <w:t>ea</w:t>
            </w:r>
            <w:proofErr w:type="spellEnd"/>
            <w:r w:rsidRPr="00C85EF2">
              <w:rPr>
                <w:sz w:val="18"/>
                <w:szCs w:val="20"/>
                <w:vertAlign w:val="superscript"/>
              </w:rPr>
              <w:t>*</w:t>
            </w:r>
          </w:p>
        </w:tc>
        <w:tc>
          <w:tcPr>
            <w:tcW w:w="1545" w:type="dxa"/>
          </w:tcPr>
          <w:p w14:paraId="61A16C30" w14:textId="77777777" w:rsidR="00A56C9B" w:rsidRPr="00C85EF2" w:rsidRDefault="00A56C9B" w:rsidP="00AD5070">
            <w:pPr>
              <w:pStyle w:val="TableParagraph"/>
              <w:spacing w:line="211" w:lineRule="exact"/>
              <w:ind w:left="656" w:right="639"/>
              <w:rPr>
                <w:sz w:val="18"/>
                <w:szCs w:val="20"/>
              </w:rPr>
            </w:pPr>
            <w:r w:rsidRPr="00C85EF2">
              <w:rPr>
                <w:sz w:val="18"/>
                <w:szCs w:val="20"/>
              </w:rPr>
              <w:t>14</w:t>
            </w:r>
          </w:p>
        </w:tc>
        <w:tc>
          <w:tcPr>
            <w:tcW w:w="1525" w:type="dxa"/>
          </w:tcPr>
          <w:p w14:paraId="08C0658D" w14:textId="77777777" w:rsidR="00A56C9B" w:rsidRPr="00C85EF2" w:rsidRDefault="00A56C9B" w:rsidP="00AD5070">
            <w:pPr>
              <w:pStyle w:val="TableParagraph"/>
              <w:spacing w:line="211" w:lineRule="exact"/>
              <w:ind w:left="621" w:right="603"/>
              <w:rPr>
                <w:sz w:val="18"/>
                <w:szCs w:val="20"/>
              </w:rPr>
            </w:pPr>
            <w:r w:rsidRPr="00C85EF2">
              <w:rPr>
                <w:sz w:val="18"/>
                <w:szCs w:val="20"/>
              </w:rPr>
              <w:t>1.7</w:t>
            </w:r>
          </w:p>
        </w:tc>
        <w:tc>
          <w:tcPr>
            <w:tcW w:w="1329" w:type="dxa"/>
          </w:tcPr>
          <w:p w14:paraId="58048C37" w14:textId="77777777" w:rsidR="00A56C9B" w:rsidRPr="00C85EF2" w:rsidRDefault="00A56C9B" w:rsidP="00AD5070">
            <w:pPr>
              <w:pStyle w:val="TableParagraph"/>
              <w:spacing w:line="211" w:lineRule="exact"/>
              <w:ind w:left="521" w:right="507"/>
              <w:rPr>
                <w:sz w:val="18"/>
                <w:szCs w:val="20"/>
              </w:rPr>
            </w:pPr>
            <w:r w:rsidRPr="00C85EF2">
              <w:rPr>
                <w:sz w:val="18"/>
                <w:szCs w:val="20"/>
              </w:rPr>
              <w:t>17</w:t>
            </w:r>
          </w:p>
        </w:tc>
        <w:tc>
          <w:tcPr>
            <w:tcW w:w="1449" w:type="dxa"/>
          </w:tcPr>
          <w:p w14:paraId="41840A73" w14:textId="77777777" w:rsidR="00A56C9B" w:rsidRPr="00C85EF2" w:rsidRDefault="00A56C9B" w:rsidP="00AD5070">
            <w:pPr>
              <w:pStyle w:val="TableParagraph"/>
              <w:spacing w:line="211" w:lineRule="exact"/>
              <w:ind w:right="583"/>
              <w:rPr>
                <w:sz w:val="18"/>
                <w:szCs w:val="20"/>
              </w:rPr>
            </w:pPr>
            <w:r w:rsidRPr="00C85EF2">
              <w:rPr>
                <w:sz w:val="18"/>
                <w:szCs w:val="20"/>
              </w:rPr>
              <w:t>3.5</w:t>
            </w:r>
          </w:p>
        </w:tc>
      </w:tr>
      <w:tr w:rsidR="00C85EF2" w:rsidRPr="00C85EF2" w14:paraId="6659ABF0" w14:textId="77777777" w:rsidTr="00A56C9B">
        <w:trPr>
          <w:trHeight w:val="230"/>
        </w:trPr>
        <w:tc>
          <w:tcPr>
            <w:tcW w:w="9349" w:type="dxa"/>
            <w:gridSpan w:val="5"/>
          </w:tcPr>
          <w:p w14:paraId="4C2FF1BD" w14:textId="77777777" w:rsidR="00A56C9B" w:rsidRPr="00C85EF2" w:rsidRDefault="00A56C9B" w:rsidP="00AD5070">
            <w:pPr>
              <w:pStyle w:val="TableParagraph"/>
              <w:ind w:left="65"/>
              <w:rPr>
                <w:b/>
                <w:sz w:val="18"/>
                <w:szCs w:val="20"/>
              </w:rPr>
            </w:pPr>
            <w:r w:rsidRPr="00C85EF2">
              <w:rPr>
                <w:b/>
                <w:sz w:val="18"/>
                <w:szCs w:val="20"/>
              </w:rPr>
              <w:t>Eye disorders</w:t>
            </w:r>
          </w:p>
        </w:tc>
      </w:tr>
      <w:tr w:rsidR="00C85EF2" w:rsidRPr="00C85EF2" w14:paraId="3040467A" w14:textId="77777777" w:rsidTr="00A56C9B">
        <w:trPr>
          <w:trHeight w:val="230"/>
        </w:trPr>
        <w:tc>
          <w:tcPr>
            <w:tcW w:w="3501" w:type="dxa"/>
          </w:tcPr>
          <w:p w14:paraId="1925F80C" w14:textId="77777777" w:rsidR="00A56C9B" w:rsidRPr="00C85EF2" w:rsidRDefault="00A56C9B" w:rsidP="00AD5070">
            <w:pPr>
              <w:pStyle w:val="TableParagraph"/>
              <w:ind w:left="355"/>
              <w:rPr>
                <w:sz w:val="18"/>
                <w:szCs w:val="20"/>
              </w:rPr>
            </w:pPr>
            <w:r w:rsidRPr="00C85EF2">
              <w:rPr>
                <w:sz w:val="18"/>
                <w:szCs w:val="20"/>
              </w:rPr>
              <w:t>Ocular toxicity</w:t>
            </w:r>
            <w:r w:rsidRPr="00C85EF2">
              <w:rPr>
                <w:sz w:val="18"/>
                <w:szCs w:val="20"/>
                <w:vertAlign w:val="superscript"/>
              </w:rPr>
              <w:t>*</w:t>
            </w:r>
          </w:p>
        </w:tc>
        <w:tc>
          <w:tcPr>
            <w:tcW w:w="1545" w:type="dxa"/>
          </w:tcPr>
          <w:p w14:paraId="60A9A060" w14:textId="77777777" w:rsidR="00A56C9B" w:rsidRPr="00C85EF2" w:rsidRDefault="00A56C9B" w:rsidP="00AD5070">
            <w:pPr>
              <w:pStyle w:val="TableParagraph"/>
              <w:ind w:left="656" w:right="639"/>
              <w:rPr>
                <w:sz w:val="18"/>
                <w:szCs w:val="20"/>
              </w:rPr>
            </w:pPr>
            <w:r w:rsidRPr="00C85EF2">
              <w:rPr>
                <w:sz w:val="18"/>
                <w:szCs w:val="20"/>
              </w:rPr>
              <w:t>16</w:t>
            </w:r>
          </w:p>
        </w:tc>
        <w:tc>
          <w:tcPr>
            <w:tcW w:w="1525" w:type="dxa"/>
          </w:tcPr>
          <w:p w14:paraId="667A6FAB" w14:textId="77777777" w:rsidR="00A56C9B" w:rsidRPr="00C85EF2" w:rsidRDefault="00A56C9B" w:rsidP="00AD5070">
            <w:pPr>
              <w:pStyle w:val="TableParagraph"/>
              <w:ind w:left="621" w:right="603"/>
              <w:rPr>
                <w:sz w:val="18"/>
                <w:szCs w:val="20"/>
              </w:rPr>
            </w:pPr>
            <w:r w:rsidRPr="00C85EF2">
              <w:rPr>
                <w:sz w:val="18"/>
                <w:szCs w:val="20"/>
              </w:rPr>
              <w:t>0.7</w:t>
            </w:r>
          </w:p>
        </w:tc>
        <w:tc>
          <w:tcPr>
            <w:tcW w:w="1329" w:type="dxa"/>
          </w:tcPr>
          <w:p w14:paraId="021AE970" w14:textId="77777777" w:rsidR="00A56C9B" w:rsidRPr="00C85EF2" w:rsidRDefault="00A56C9B" w:rsidP="00AD5070">
            <w:pPr>
              <w:pStyle w:val="TableParagraph"/>
              <w:ind w:left="15"/>
              <w:rPr>
                <w:sz w:val="18"/>
                <w:szCs w:val="20"/>
              </w:rPr>
            </w:pPr>
            <w:r w:rsidRPr="00C85EF2">
              <w:rPr>
                <w:sz w:val="18"/>
                <w:szCs w:val="20"/>
              </w:rPr>
              <w:t>7</w:t>
            </w:r>
          </w:p>
        </w:tc>
        <w:tc>
          <w:tcPr>
            <w:tcW w:w="1449" w:type="dxa"/>
          </w:tcPr>
          <w:p w14:paraId="5D7A19E5" w14:textId="77777777" w:rsidR="00A56C9B" w:rsidRPr="00C85EF2" w:rsidRDefault="00A56C9B" w:rsidP="00AD5070">
            <w:pPr>
              <w:pStyle w:val="TableParagraph"/>
              <w:ind w:right="658"/>
              <w:rPr>
                <w:sz w:val="18"/>
                <w:szCs w:val="20"/>
              </w:rPr>
            </w:pPr>
            <w:r w:rsidRPr="00C85EF2">
              <w:rPr>
                <w:sz w:val="18"/>
                <w:szCs w:val="20"/>
              </w:rPr>
              <w:t>0</w:t>
            </w:r>
          </w:p>
        </w:tc>
      </w:tr>
      <w:tr w:rsidR="00C85EF2" w:rsidRPr="00C85EF2" w14:paraId="249EC60D" w14:textId="77777777" w:rsidTr="00A56C9B">
        <w:trPr>
          <w:trHeight w:val="230"/>
        </w:trPr>
        <w:tc>
          <w:tcPr>
            <w:tcW w:w="9349" w:type="dxa"/>
            <w:gridSpan w:val="5"/>
          </w:tcPr>
          <w:p w14:paraId="2CDC9076" w14:textId="77777777" w:rsidR="00A56C9B" w:rsidRPr="00C85EF2" w:rsidRDefault="00A56C9B" w:rsidP="00AD5070">
            <w:pPr>
              <w:pStyle w:val="TableParagraph"/>
              <w:ind w:left="65"/>
              <w:rPr>
                <w:b/>
                <w:sz w:val="18"/>
                <w:szCs w:val="20"/>
              </w:rPr>
            </w:pPr>
            <w:r w:rsidRPr="00C85EF2">
              <w:rPr>
                <w:b/>
                <w:sz w:val="18"/>
                <w:szCs w:val="20"/>
              </w:rPr>
              <w:t>Psychiatric disorders</w:t>
            </w:r>
          </w:p>
        </w:tc>
      </w:tr>
      <w:tr w:rsidR="00C85EF2" w:rsidRPr="00C85EF2" w14:paraId="6A435B76" w14:textId="77777777" w:rsidTr="00A56C9B">
        <w:trPr>
          <w:trHeight w:val="230"/>
        </w:trPr>
        <w:tc>
          <w:tcPr>
            <w:tcW w:w="3501" w:type="dxa"/>
          </w:tcPr>
          <w:p w14:paraId="7A20A9A0" w14:textId="77777777" w:rsidR="00A56C9B" w:rsidRPr="00C85EF2" w:rsidRDefault="00A56C9B" w:rsidP="00AD5070">
            <w:pPr>
              <w:pStyle w:val="TableParagraph"/>
              <w:ind w:left="355"/>
              <w:rPr>
                <w:sz w:val="18"/>
                <w:szCs w:val="20"/>
              </w:rPr>
            </w:pPr>
            <w:r w:rsidRPr="00C85EF2">
              <w:rPr>
                <w:sz w:val="18"/>
                <w:szCs w:val="20"/>
              </w:rPr>
              <w:t>Insomnia</w:t>
            </w:r>
          </w:p>
        </w:tc>
        <w:tc>
          <w:tcPr>
            <w:tcW w:w="1545" w:type="dxa"/>
          </w:tcPr>
          <w:p w14:paraId="52185536" w14:textId="77777777" w:rsidR="00A56C9B" w:rsidRPr="00C85EF2" w:rsidRDefault="00A56C9B" w:rsidP="00AD5070">
            <w:pPr>
              <w:pStyle w:val="TableParagraph"/>
              <w:ind w:left="656" w:right="639"/>
              <w:rPr>
                <w:sz w:val="18"/>
                <w:szCs w:val="20"/>
              </w:rPr>
            </w:pPr>
            <w:r w:rsidRPr="00C85EF2">
              <w:rPr>
                <w:sz w:val="18"/>
                <w:szCs w:val="20"/>
              </w:rPr>
              <w:t>10</w:t>
            </w:r>
          </w:p>
        </w:tc>
        <w:tc>
          <w:tcPr>
            <w:tcW w:w="1525" w:type="dxa"/>
          </w:tcPr>
          <w:p w14:paraId="0A89DCA6" w14:textId="77777777" w:rsidR="00A56C9B" w:rsidRPr="00C85EF2" w:rsidRDefault="00A56C9B" w:rsidP="00AD5070">
            <w:pPr>
              <w:pStyle w:val="TableParagraph"/>
              <w:ind w:left="18"/>
              <w:rPr>
                <w:sz w:val="18"/>
                <w:szCs w:val="20"/>
              </w:rPr>
            </w:pPr>
            <w:r w:rsidRPr="00C85EF2">
              <w:rPr>
                <w:sz w:val="18"/>
                <w:szCs w:val="20"/>
              </w:rPr>
              <w:t>0</w:t>
            </w:r>
          </w:p>
        </w:tc>
        <w:tc>
          <w:tcPr>
            <w:tcW w:w="1329" w:type="dxa"/>
          </w:tcPr>
          <w:p w14:paraId="65E29296" w14:textId="77777777" w:rsidR="00A56C9B" w:rsidRPr="00C85EF2" w:rsidRDefault="00A56C9B" w:rsidP="00AD5070">
            <w:pPr>
              <w:pStyle w:val="TableParagraph"/>
              <w:ind w:left="521" w:right="507"/>
              <w:rPr>
                <w:sz w:val="18"/>
                <w:szCs w:val="20"/>
              </w:rPr>
            </w:pPr>
            <w:r w:rsidRPr="00C85EF2">
              <w:rPr>
                <w:sz w:val="18"/>
                <w:szCs w:val="20"/>
              </w:rPr>
              <w:t>11</w:t>
            </w:r>
          </w:p>
        </w:tc>
        <w:tc>
          <w:tcPr>
            <w:tcW w:w="1449" w:type="dxa"/>
          </w:tcPr>
          <w:p w14:paraId="401E6CDE" w14:textId="77777777" w:rsidR="00A56C9B" w:rsidRPr="00C85EF2" w:rsidRDefault="00A56C9B" w:rsidP="00AD5070">
            <w:pPr>
              <w:pStyle w:val="TableParagraph"/>
              <w:ind w:right="658"/>
              <w:rPr>
                <w:sz w:val="18"/>
                <w:szCs w:val="20"/>
              </w:rPr>
            </w:pPr>
            <w:r w:rsidRPr="00C85EF2">
              <w:rPr>
                <w:sz w:val="18"/>
                <w:szCs w:val="20"/>
              </w:rPr>
              <w:t>0</w:t>
            </w:r>
          </w:p>
        </w:tc>
      </w:tr>
    </w:tbl>
    <w:p w14:paraId="35189D67" w14:textId="77777777" w:rsidR="00A56C9B" w:rsidRPr="00C85EF2" w:rsidRDefault="00A56C9B" w:rsidP="00AD5070">
      <w:pPr>
        <w:tabs>
          <w:tab w:val="left" w:pos="1220"/>
        </w:tabs>
        <w:ind w:left="930"/>
        <w:rPr>
          <w:color w:val="auto"/>
          <w:sz w:val="16"/>
        </w:rPr>
      </w:pPr>
      <w:r w:rsidRPr="00C85EF2">
        <w:rPr>
          <w:color w:val="auto"/>
          <w:position w:val="7"/>
          <w:sz w:val="13"/>
        </w:rPr>
        <w:t>*</w:t>
      </w:r>
      <w:r w:rsidRPr="00C85EF2">
        <w:rPr>
          <w:color w:val="auto"/>
          <w:position w:val="7"/>
          <w:sz w:val="13"/>
        </w:rPr>
        <w:tab/>
      </w:r>
      <w:r w:rsidRPr="00C85EF2">
        <w:rPr>
          <w:color w:val="auto"/>
          <w:sz w:val="16"/>
        </w:rPr>
        <w:t>Grouped</w:t>
      </w:r>
      <w:r w:rsidRPr="00C85EF2">
        <w:rPr>
          <w:color w:val="auto"/>
          <w:spacing w:val="-1"/>
          <w:sz w:val="16"/>
        </w:rPr>
        <w:t xml:space="preserve"> </w:t>
      </w:r>
      <w:r w:rsidRPr="00C85EF2">
        <w:rPr>
          <w:color w:val="auto"/>
          <w:sz w:val="16"/>
        </w:rPr>
        <w:t>terms</w:t>
      </w:r>
    </w:p>
    <w:p w14:paraId="0C5B429A" w14:textId="77777777" w:rsidR="00A56C9B" w:rsidRPr="00C85EF2" w:rsidRDefault="00A56C9B" w:rsidP="00AD5070">
      <w:pPr>
        <w:tabs>
          <w:tab w:val="left" w:pos="1220"/>
        </w:tabs>
        <w:spacing w:before="4"/>
        <w:ind w:left="930"/>
        <w:rPr>
          <w:color w:val="auto"/>
          <w:sz w:val="16"/>
        </w:rPr>
      </w:pPr>
      <w:r w:rsidRPr="00C85EF2">
        <w:rPr>
          <w:color w:val="auto"/>
          <w:position w:val="7"/>
          <w:sz w:val="13"/>
        </w:rPr>
        <w:t>†</w:t>
      </w:r>
      <w:r w:rsidRPr="00C85EF2">
        <w:rPr>
          <w:color w:val="auto"/>
          <w:position w:val="7"/>
          <w:sz w:val="13"/>
        </w:rPr>
        <w:tab/>
      </w:r>
      <w:r w:rsidRPr="00C85EF2">
        <w:rPr>
          <w:color w:val="auto"/>
          <w:sz w:val="16"/>
        </w:rPr>
        <w:t>Applicable only to</w:t>
      </w:r>
      <w:r w:rsidRPr="00C85EF2">
        <w:rPr>
          <w:color w:val="auto"/>
          <w:spacing w:val="-3"/>
          <w:sz w:val="16"/>
        </w:rPr>
        <w:t xml:space="preserve"> </w:t>
      </w:r>
      <w:r w:rsidRPr="00C85EF2">
        <w:rPr>
          <w:color w:val="auto"/>
          <w:sz w:val="16"/>
        </w:rPr>
        <w:t>amivantamab</w:t>
      </w:r>
    </w:p>
    <w:p w14:paraId="2416BAAE" w14:textId="77777777" w:rsidR="00A56C9B" w:rsidRPr="00C85EF2" w:rsidRDefault="00A56C9B" w:rsidP="00AD5070">
      <w:pPr>
        <w:pStyle w:val="BodyText"/>
        <w:spacing w:before="171"/>
        <w:jc w:val="left"/>
        <w:rPr>
          <w:color w:val="auto"/>
        </w:rPr>
      </w:pPr>
      <w:r w:rsidRPr="00C85EF2">
        <w:rPr>
          <w:color w:val="auto"/>
        </w:rPr>
        <w:t>Clinically relevant adverse reactions occurring in &lt; 10% of patients who received LAZCLUZE in combination with amivantamab included ILD/pneumonitis (3.1%).</w:t>
      </w:r>
    </w:p>
    <w:bookmarkEnd w:id="30"/>
    <w:p w14:paraId="217EE2A2" w14:textId="77777777" w:rsidR="00C85EF2" w:rsidRDefault="00C85EF2" w:rsidP="00AD5070">
      <w:pPr>
        <w:pStyle w:val="BodyText120"/>
        <w:jc w:val="left"/>
        <w:rPr>
          <w:rFonts w:ascii="Arial" w:hAnsi="Arial" w:cs="Arial"/>
          <w:sz w:val="22"/>
          <w:szCs w:val="18"/>
        </w:rPr>
      </w:pPr>
    </w:p>
    <w:p w14:paraId="43876B94" w14:textId="56F8CA8A" w:rsidR="00C7374E" w:rsidRPr="00C85EF2" w:rsidRDefault="00C7374E" w:rsidP="00AD5070">
      <w:pPr>
        <w:pStyle w:val="BodyText120"/>
        <w:jc w:val="left"/>
        <w:rPr>
          <w:rFonts w:ascii="Arial" w:hAnsi="Arial" w:cs="Arial"/>
          <w:sz w:val="22"/>
          <w:szCs w:val="18"/>
        </w:rPr>
      </w:pPr>
      <w:r w:rsidRPr="00C85EF2">
        <w:rPr>
          <w:rFonts w:ascii="Arial" w:hAnsi="Arial" w:cs="Arial"/>
          <w:sz w:val="22"/>
          <w:szCs w:val="18"/>
        </w:rPr>
        <w:t xml:space="preserve">Table 4 </w:t>
      </w:r>
      <w:proofErr w:type="spellStart"/>
      <w:r w:rsidRPr="00C85EF2">
        <w:rPr>
          <w:rFonts w:ascii="Arial" w:hAnsi="Arial" w:cs="Arial"/>
          <w:sz w:val="22"/>
          <w:szCs w:val="18"/>
        </w:rPr>
        <w:t>summarises</w:t>
      </w:r>
      <w:proofErr w:type="spellEnd"/>
      <w:r w:rsidRPr="00C85EF2">
        <w:rPr>
          <w:rFonts w:ascii="Arial" w:hAnsi="Arial" w:cs="Arial"/>
          <w:sz w:val="22"/>
          <w:szCs w:val="18"/>
        </w:rPr>
        <w:t xml:space="preserve"> the laboratory abnormalities in MARIPOSA.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76"/>
        <w:gridCol w:w="1537"/>
        <w:gridCol w:w="1720"/>
        <w:gridCol w:w="1415"/>
        <w:gridCol w:w="1407"/>
      </w:tblGrid>
      <w:tr w:rsidR="00C85EF2" w:rsidRPr="00C85EF2" w14:paraId="00618127" w14:textId="77777777" w:rsidTr="00B979D3">
        <w:tc>
          <w:tcPr>
            <w:tcW w:w="9355" w:type="dxa"/>
            <w:gridSpan w:val="5"/>
            <w:tcBorders>
              <w:top w:val="nil"/>
              <w:left w:val="nil"/>
              <w:right w:val="nil"/>
            </w:tcBorders>
            <w:vAlign w:val="center"/>
          </w:tcPr>
          <w:p w14:paraId="3D36F4FE" w14:textId="28B89FC9" w:rsidR="00C7374E" w:rsidRPr="00C85EF2" w:rsidRDefault="00C7374E" w:rsidP="00AD5070">
            <w:pPr>
              <w:ind w:left="1010" w:hanging="1010"/>
              <w:rPr>
                <w:b/>
                <w:color w:val="auto"/>
                <w:sz w:val="18"/>
                <w:szCs w:val="20"/>
              </w:rPr>
            </w:pPr>
            <w:bookmarkStart w:id="31" w:name="_Hlk130370314"/>
            <w:r w:rsidRPr="00C85EF2">
              <w:rPr>
                <w:b/>
                <w:color w:val="auto"/>
                <w:sz w:val="18"/>
                <w:szCs w:val="20"/>
              </w:rPr>
              <w:t>Table 4:</w:t>
            </w:r>
            <w:r w:rsidRPr="00C85EF2">
              <w:rPr>
                <w:b/>
                <w:color w:val="auto"/>
                <w:sz w:val="18"/>
                <w:szCs w:val="20"/>
              </w:rPr>
              <w:tab/>
              <w:t>Select laboratory abnormalities (≥ 20%) that worsened from baseline in first-line patients with NSCLC with EGFR exon 19 deletion or exon 21 L858R substitution mutations in MARIPOSA</w:t>
            </w:r>
            <w:r w:rsidRPr="00C85EF2">
              <w:rPr>
                <w:color w:val="auto"/>
                <w:sz w:val="18"/>
                <w:szCs w:val="20"/>
                <w:vertAlign w:val="superscript"/>
              </w:rPr>
              <w:t>+</w:t>
            </w:r>
          </w:p>
        </w:tc>
      </w:tr>
      <w:tr w:rsidR="00C85EF2" w:rsidRPr="00C85EF2" w14:paraId="3618C54A" w14:textId="77777777" w:rsidTr="00B979D3">
        <w:tc>
          <w:tcPr>
            <w:tcW w:w="3276" w:type="dxa"/>
            <w:vMerge w:val="restart"/>
            <w:tcBorders>
              <w:top w:val="single" w:sz="4" w:space="0" w:color="auto"/>
            </w:tcBorders>
            <w:vAlign w:val="center"/>
          </w:tcPr>
          <w:p w14:paraId="37A47695" w14:textId="69EA90FE" w:rsidR="00C7374E" w:rsidRPr="00C85EF2" w:rsidRDefault="00C7374E" w:rsidP="00AD5070">
            <w:pPr>
              <w:pStyle w:val="BodyText"/>
              <w:jc w:val="left"/>
              <w:rPr>
                <w:b/>
                <w:color w:val="auto"/>
                <w:sz w:val="18"/>
                <w:szCs w:val="20"/>
              </w:rPr>
            </w:pPr>
            <w:r w:rsidRPr="00C85EF2">
              <w:rPr>
                <w:b/>
                <w:color w:val="auto"/>
                <w:sz w:val="18"/>
                <w:szCs w:val="20"/>
              </w:rPr>
              <w:t>Laboratory abnormality</w:t>
            </w:r>
          </w:p>
        </w:tc>
        <w:tc>
          <w:tcPr>
            <w:tcW w:w="3257" w:type="dxa"/>
            <w:gridSpan w:val="2"/>
            <w:tcBorders>
              <w:top w:val="single" w:sz="4" w:space="0" w:color="auto"/>
            </w:tcBorders>
            <w:vAlign w:val="bottom"/>
          </w:tcPr>
          <w:p w14:paraId="3B65FB90" w14:textId="73161E2C" w:rsidR="00C7374E" w:rsidRPr="00C85EF2" w:rsidRDefault="00FA6C25" w:rsidP="00AD5070">
            <w:pPr>
              <w:adjustRightInd w:val="0"/>
              <w:rPr>
                <w:b/>
                <w:bCs/>
                <w:color w:val="auto"/>
                <w:sz w:val="18"/>
                <w:szCs w:val="20"/>
              </w:rPr>
            </w:pPr>
            <w:r w:rsidRPr="00C85EF2">
              <w:rPr>
                <w:b/>
                <w:bCs/>
                <w:color w:val="auto"/>
                <w:sz w:val="18"/>
                <w:szCs w:val="20"/>
              </w:rPr>
              <w:t>LAZCLUZE</w:t>
            </w:r>
            <w:r w:rsidR="00C7374E" w:rsidRPr="00C85EF2">
              <w:rPr>
                <w:b/>
                <w:bCs/>
                <w:color w:val="auto"/>
                <w:sz w:val="18"/>
                <w:szCs w:val="20"/>
              </w:rPr>
              <w:t> + Amivantamab</w:t>
            </w:r>
          </w:p>
          <w:p w14:paraId="52708579" w14:textId="77777777" w:rsidR="00C7374E" w:rsidRPr="00C85EF2" w:rsidRDefault="00C7374E" w:rsidP="00AD5070">
            <w:pPr>
              <w:pStyle w:val="BodyText"/>
              <w:jc w:val="left"/>
              <w:rPr>
                <w:b/>
                <w:iCs/>
                <w:color w:val="auto"/>
                <w:sz w:val="18"/>
                <w:szCs w:val="20"/>
              </w:rPr>
            </w:pPr>
            <w:r w:rsidRPr="00C85EF2">
              <w:rPr>
                <w:b/>
                <w:bCs/>
                <w:color w:val="auto"/>
                <w:sz w:val="18"/>
                <w:szCs w:val="20"/>
              </w:rPr>
              <w:t>(N=421)</w:t>
            </w:r>
          </w:p>
        </w:tc>
        <w:tc>
          <w:tcPr>
            <w:tcW w:w="2822" w:type="dxa"/>
            <w:gridSpan w:val="2"/>
            <w:tcBorders>
              <w:top w:val="single" w:sz="4" w:space="0" w:color="auto"/>
            </w:tcBorders>
          </w:tcPr>
          <w:p w14:paraId="41BD5BB5" w14:textId="77777777" w:rsidR="00C7374E" w:rsidRPr="00C85EF2" w:rsidRDefault="00C7374E" w:rsidP="00AD5070">
            <w:pPr>
              <w:adjustRightInd w:val="0"/>
              <w:rPr>
                <w:b/>
                <w:bCs/>
                <w:color w:val="auto"/>
                <w:sz w:val="18"/>
                <w:szCs w:val="20"/>
              </w:rPr>
            </w:pPr>
            <w:r w:rsidRPr="00C85EF2">
              <w:rPr>
                <w:b/>
                <w:bCs/>
                <w:color w:val="auto"/>
                <w:sz w:val="18"/>
                <w:szCs w:val="20"/>
              </w:rPr>
              <w:t>Osimertinib</w:t>
            </w:r>
          </w:p>
          <w:p w14:paraId="1874060C" w14:textId="77777777" w:rsidR="00C7374E" w:rsidRPr="00C85EF2" w:rsidRDefault="00C7374E" w:rsidP="00AD5070">
            <w:pPr>
              <w:pStyle w:val="BodyText"/>
              <w:jc w:val="left"/>
              <w:rPr>
                <w:b/>
                <w:iCs/>
                <w:color w:val="auto"/>
                <w:sz w:val="18"/>
                <w:szCs w:val="20"/>
              </w:rPr>
            </w:pPr>
            <w:r w:rsidRPr="00C85EF2">
              <w:rPr>
                <w:b/>
                <w:bCs/>
                <w:color w:val="auto"/>
                <w:sz w:val="18"/>
                <w:szCs w:val="20"/>
              </w:rPr>
              <w:t>(N=428)</w:t>
            </w:r>
          </w:p>
        </w:tc>
      </w:tr>
      <w:tr w:rsidR="00C85EF2" w:rsidRPr="00C85EF2" w14:paraId="2EC1A632" w14:textId="77777777" w:rsidTr="00B979D3">
        <w:tc>
          <w:tcPr>
            <w:tcW w:w="3276" w:type="dxa"/>
            <w:vMerge/>
            <w:vAlign w:val="bottom"/>
          </w:tcPr>
          <w:p w14:paraId="6F5573EF" w14:textId="77777777" w:rsidR="00C7374E" w:rsidRPr="00C85EF2" w:rsidRDefault="00C7374E" w:rsidP="00AD5070">
            <w:pPr>
              <w:pStyle w:val="BodyText"/>
              <w:jc w:val="left"/>
              <w:rPr>
                <w:color w:val="auto"/>
                <w:sz w:val="18"/>
                <w:szCs w:val="20"/>
              </w:rPr>
            </w:pPr>
          </w:p>
        </w:tc>
        <w:tc>
          <w:tcPr>
            <w:tcW w:w="1537" w:type="dxa"/>
            <w:tcBorders>
              <w:top w:val="single" w:sz="4" w:space="0" w:color="auto"/>
            </w:tcBorders>
            <w:vAlign w:val="bottom"/>
          </w:tcPr>
          <w:p w14:paraId="3C4D7FAD" w14:textId="4017A63A" w:rsidR="00C7374E" w:rsidRPr="00C85EF2" w:rsidRDefault="00C7374E" w:rsidP="00AD5070">
            <w:pPr>
              <w:pStyle w:val="BodyText"/>
              <w:jc w:val="left"/>
              <w:rPr>
                <w:b/>
                <w:iCs/>
                <w:color w:val="auto"/>
                <w:sz w:val="18"/>
                <w:szCs w:val="20"/>
              </w:rPr>
            </w:pPr>
            <w:r w:rsidRPr="00C85EF2">
              <w:rPr>
                <w:b/>
                <w:iCs/>
                <w:color w:val="auto"/>
                <w:sz w:val="18"/>
                <w:szCs w:val="20"/>
              </w:rPr>
              <w:t>All grades</w:t>
            </w:r>
          </w:p>
          <w:p w14:paraId="0427E066" w14:textId="77777777" w:rsidR="00C7374E" w:rsidRPr="00C85EF2" w:rsidRDefault="00C7374E" w:rsidP="00AD5070">
            <w:pPr>
              <w:pStyle w:val="BodyText"/>
              <w:jc w:val="left"/>
              <w:rPr>
                <w:b/>
                <w:iCs/>
                <w:color w:val="auto"/>
                <w:sz w:val="18"/>
                <w:szCs w:val="20"/>
              </w:rPr>
            </w:pPr>
            <w:r w:rsidRPr="00C85EF2">
              <w:rPr>
                <w:b/>
                <w:iCs/>
                <w:color w:val="auto"/>
                <w:sz w:val="18"/>
                <w:szCs w:val="20"/>
              </w:rPr>
              <w:t>(%)</w:t>
            </w:r>
          </w:p>
        </w:tc>
        <w:tc>
          <w:tcPr>
            <w:tcW w:w="1720" w:type="dxa"/>
            <w:tcBorders>
              <w:top w:val="single" w:sz="4" w:space="0" w:color="auto"/>
            </w:tcBorders>
            <w:vAlign w:val="bottom"/>
          </w:tcPr>
          <w:p w14:paraId="08D866A6" w14:textId="77777777" w:rsidR="00C7374E" w:rsidRPr="00C85EF2" w:rsidRDefault="00C7374E" w:rsidP="00AD5070">
            <w:pPr>
              <w:pStyle w:val="BodyText"/>
              <w:jc w:val="left"/>
              <w:rPr>
                <w:b/>
                <w:iCs/>
                <w:color w:val="auto"/>
                <w:sz w:val="18"/>
                <w:szCs w:val="20"/>
              </w:rPr>
            </w:pPr>
            <w:r w:rsidRPr="00C85EF2">
              <w:rPr>
                <w:b/>
                <w:iCs/>
                <w:color w:val="auto"/>
                <w:sz w:val="18"/>
                <w:szCs w:val="20"/>
              </w:rPr>
              <w:t>Grades 3 or 4</w:t>
            </w:r>
          </w:p>
          <w:p w14:paraId="70E6AD9E" w14:textId="77777777" w:rsidR="00C7374E" w:rsidRPr="00C85EF2" w:rsidRDefault="00C7374E" w:rsidP="00AD5070">
            <w:pPr>
              <w:pStyle w:val="BodyText"/>
              <w:jc w:val="left"/>
              <w:rPr>
                <w:b/>
                <w:iCs/>
                <w:color w:val="auto"/>
                <w:sz w:val="18"/>
                <w:szCs w:val="20"/>
              </w:rPr>
            </w:pPr>
            <w:r w:rsidRPr="00C85EF2">
              <w:rPr>
                <w:b/>
                <w:iCs/>
                <w:color w:val="auto"/>
                <w:sz w:val="18"/>
                <w:szCs w:val="20"/>
              </w:rPr>
              <w:t>(%)</w:t>
            </w:r>
          </w:p>
        </w:tc>
        <w:tc>
          <w:tcPr>
            <w:tcW w:w="1415" w:type="dxa"/>
            <w:tcBorders>
              <w:top w:val="single" w:sz="4" w:space="0" w:color="auto"/>
            </w:tcBorders>
            <w:vAlign w:val="bottom"/>
          </w:tcPr>
          <w:p w14:paraId="5C9F72E5" w14:textId="460E7AC8" w:rsidR="00C7374E" w:rsidRPr="00C85EF2" w:rsidRDefault="00C7374E" w:rsidP="00AD5070">
            <w:pPr>
              <w:pStyle w:val="BodyText"/>
              <w:jc w:val="left"/>
              <w:rPr>
                <w:b/>
                <w:iCs/>
                <w:color w:val="auto"/>
                <w:sz w:val="18"/>
                <w:szCs w:val="20"/>
              </w:rPr>
            </w:pPr>
            <w:r w:rsidRPr="00C85EF2">
              <w:rPr>
                <w:b/>
                <w:iCs/>
                <w:color w:val="auto"/>
                <w:sz w:val="18"/>
                <w:szCs w:val="20"/>
              </w:rPr>
              <w:t>All grades</w:t>
            </w:r>
          </w:p>
          <w:p w14:paraId="6C0795A1" w14:textId="77777777" w:rsidR="00C7374E" w:rsidRPr="00C85EF2" w:rsidRDefault="00C7374E" w:rsidP="00AD5070">
            <w:pPr>
              <w:pStyle w:val="BodyText"/>
              <w:jc w:val="left"/>
              <w:rPr>
                <w:bCs/>
                <w:iCs/>
                <w:color w:val="auto"/>
                <w:sz w:val="18"/>
                <w:szCs w:val="20"/>
              </w:rPr>
            </w:pPr>
            <w:r w:rsidRPr="00C85EF2">
              <w:rPr>
                <w:b/>
                <w:iCs/>
                <w:color w:val="auto"/>
                <w:sz w:val="18"/>
                <w:szCs w:val="20"/>
              </w:rPr>
              <w:t>(%)</w:t>
            </w:r>
          </w:p>
        </w:tc>
        <w:tc>
          <w:tcPr>
            <w:tcW w:w="1407" w:type="dxa"/>
            <w:tcBorders>
              <w:top w:val="single" w:sz="4" w:space="0" w:color="auto"/>
            </w:tcBorders>
            <w:vAlign w:val="bottom"/>
          </w:tcPr>
          <w:p w14:paraId="7A04248A" w14:textId="77777777" w:rsidR="00C7374E" w:rsidRPr="00C85EF2" w:rsidRDefault="00C7374E" w:rsidP="00AD5070">
            <w:pPr>
              <w:pStyle w:val="BodyText"/>
              <w:jc w:val="left"/>
              <w:rPr>
                <w:b/>
                <w:iCs/>
                <w:color w:val="auto"/>
                <w:sz w:val="18"/>
                <w:szCs w:val="20"/>
              </w:rPr>
            </w:pPr>
            <w:r w:rsidRPr="00C85EF2">
              <w:rPr>
                <w:b/>
                <w:iCs/>
                <w:color w:val="auto"/>
                <w:sz w:val="18"/>
                <w:szCs w:val="20"/>
              </w:rPr>
              <w:t>Grades 3 or 4</w:t>
            </w:r>
          </w:p>
          <w:p w14:paraId="0BFAC76F" w14:textId="77777777" w:rsidR="00C7374E" w:rsidRPr="00C85EF2" w:rsidRDefault="00C7374E" w:rsidP="00AD5070">
            <w:pPr>
              <w:pStyle w:val="BodyText"/>
              <w:jc w:val="left"/>
              <w:rPr>
                <w:b/>
                <w:iCs/>
                <w:color w:val="auto"/>
                <w:sz w:val="18"/>
                <w:szCs w:val="20"/>
              </w:rPr>
            </w:pPr>
            <w:r w:rsidRPr="00C85EF2">
              <w:rPr>
                <w:b/>
                <w:iCs/>
                <w:color w:val="auto"/>
                <w:sz w:val="18"/>
                <w:szCs w:val="20"/>
              </w:rPr>
              <w:t>(%)</w:t>
            </w:r>
          </w:p>
        </w:tc>
      </w:tr>
      <w:tr w:rsidR="00C85EF2" w:rsidRPr="00C85EF2" w14:paraId="13B95764" w14:textId="77777777" w:rsidTr="00B979D3">
        <w:tc>
          <w:tcPr>
            <w:tcW w:w="3276" w:type="dxa"/>
            <w:vAlign w:val="bottom"/>
          </w:tcPr>
          <w:p w14:paraId="5611A0D5" w14:textId="77777777" w:rsidR="00C7374E" w:rsidRPr="00C85EF2" w:rsidRDefault="00C7374E" w:rsidP="00AD5070">
            <w:pPr>
              <w:pStyle w:val="BodyText"/>
              <w:jc w:val="left"/>
              <w:rPr>
                <w:b/>
                <w:color w:val="auto"/>
                <w:sz w:val="18"/>
                <w:szCs w:val="20"/>
              </w:rPr>
            </w:pPr>
            <w:r w:rsidRPr="00C85EF2">
              <w:rPr>
                <w:b/>
                <w:color w:val="auto"/>
                <w:sz w:val="18"/>
                <w:szCs w:val="20"/>
              </w:rPr>
              <w:t>Chemistry</w:t>
            </w:r>
          </w:p>
        </w:tc>
        <w:tc>
          <w:tcPr>
            <w:tcW w:w="1537" w:type="dxa"/>
            <w:vAlign w:val="bottom"/>
          </w:tcPr>
          <w:p w14:paraId="7D53EEF5" w14:textId="77777777" w:rsidR="00C7374E" w:rsidRPr="00C85EF2" w:rsidRDefault="00C7374E" w:rsidP="00AD5070">
            <w:pPr>
              <w:pStyle w:val="BodyText"/>
              <w:jc w:val="left"/>
              <w:rPr>
                <w:color w:val="auto"/>
                <w:sz w:val="18"/>
                <w:szCs w:val="20"/>
              </w:rPr>
            </w:pPr>
          </w:p>
        </w:tc>
        <w:tc>
          <w:tcPr>
            <w:tcW w:w="1720" w:type="dxa"/>
            <w:vAlign w:val="bottom"/>
          </w:tcPr>
          <w:p w14:paraId="18031635" w14:textId="77777777" w:rsidR="00C7374E" w:rsidRPr="00C85EF2" w:rsidRDefault="00C7374E" w:rsidP="00AD5070">
            <w:pPr>
              <w:pStyle w:val="BodyText"/>
              <w:jc w:val="left"/>
              <w:rPr>
                <w:color w:val="auto"/>
                <w:sz w:val="18"/>
                <w:szCs w:val="20"/>
              </w:rPr>
            </w:pPr>
          </w:p>
        </w:tc>
        <w:tc>
          <w:tcPr>
            <w:tcW w:w="1415" w:type="dxa"/>
          </w:tcPr>
          <w:p w14:paraId="4977A3A1" w14:textId="77777777" w:rsidR="00C7374E" w:rsidRPr="00C85EF2" w:rsidRDefault="00C7374E" w:rsidP="00AD5070">
            <w:pPr>
              <w:pStyle w:val="BodyText"/>
              <w:jc w:val="left"/>
              <w:rPr>
                <w:color w:val="auto"/>
                <w:sz w:val="18"/>
                <w:szCs w:val="20"/>
              </w:rPr>
            </w:pPr>
          </w:p>
        </w:tc>
        <w:tc>
          <w:tcPr>
            <w:tcW w:w="1407" w:type="dxa"/>
          </w:tcPr>
          <w:p w14:paraId="0DCD300F" w14:textId="77777777" w:rsidR="00C7374E" w:rsidRPr="00C85EF2" w:rsidRDefault="00C7374E" w:rsidP="00AD5070">
            <w:pPr>
              <w:pStyle w:val="BodyText"/>
              <w:jc w:val="left"/>
              <w:rPr>
                <w:color w:val="auto"/>
                <w:sz w:val="18"/>
                <w:szCs w:val="20"/>
              </w:rPr>
            </w:pPr>
          </w:p>
        </w:tc>
      </w:tr>
      <w:tr w:rsidR="00C85EF2" w:rsidRPr="00C85EF2" w14:paraId="6FF3A99A" w14:textId="77777777" w:rsidTr="00B979D3">
        <w:tc>
          <w:tcPr>
            <w:tcW w:w="3276" w:type="dxa"/>
          </w:tcPr>
          <w:p w14:paraId="485A43AF" w14:textId="0E5AD604" w:rsidR="00C7374E" w:rsidRPr="00C85EF2" w:rsidRDefault="00C7374E" w:rsidP="00AD5070">
            <w:pPr>
              <w:pStyle w:val="BodyText"/>
              <w:ind w:left="180"/>
              <w:jc w:val="left"/>
              <w:rPr>
                <w:bCs/>
                <w:color w:val="auto"/>
                <w:sz w:val="18"/>
                <w:szCs w:val="20"/>
              </w:rPr>
            </w:pPr>
            <w:r w:rsidRPr="00C85EF2">
              <w:rPr>
                <w:color w:val="auto"/>
                <w:sz w:val="18"/>
                <w:szCs w:val="20"/>
              </w:rPr>
              <w:t>Decreased albumin</w:t>
            </w:r>
          </w:p>
        </w:tc>
        <w:tc>
          <w:tcPr>
            <w:tcW w:w="1537" w:type="dxa"/>
            <w:vAlign w:val="bottom"/>
          </w:tcPr>
          <w:p w14:paraId="49E37ECB" w14:textId="77777777" w:rsidR="00C7374E" w:rsidRPr="00C85EF2" w:rsidRDefault="00C7374E" w:rsidP="00AD5070">
            <w:pPr>
              <w:pStyle w:val="BodyText"/>
              <w:jc w:val="left"/>
              <w:rPr>
                <w:bCs/>
                <w:color w:val="auto"/>
                <w:sz w:val="18"/>
                <w:szCs w:val="20"/>
              </w:rPr>
            </w:pPr>
            <w:r w:rsidRPr="00C85EF2">
              <w:rPr>
                <w:color w:val="auto"/>
                <w:sz w:val="18"/>
                <w:szCs w:val="20"/>
              </w:rPr>
              <w:t>89</w:t>
            </w:r>
          </w:p>
        </w:tc>
        <w:tc>
          <w:tcPr>
            <w:tcW w:w="1720" w:type="dxa"/>
            <w:vAlign w:val="bottom"/>
          </w:tcPr>
          <w:p w14:paraId="37841301" w14:textId="77777777" w:rsidR="00C7374E" w:rsidRPr="00C85EF2" w:rsidRDefault="00C7374E" w:rsidP="00AD5070">
            <w:pPr>
              <w:pStyle w:val="BodyText"/>
              <w:jc w:val="left"/>
              <w:rPr>
                <w:bCs/>
                <w:color w:val="auto"/>
                <w:sz w:val="18"/>
                <w:szCs w:val="20"/>
              </w:rPr>
            </w:pPr>
            <w:r w:rsidRPr="00C85EF2">
              <w:rPr>
                <w:color w:val="auto"/>
                <w:sz w:val="18"/>
                <w:szCs w:val="20"/>
              </w:rPr>
              <w:t>8</w:t>
            </w:r>
          </w:p>
        </w:tc>
        <w:tc>
          <w:tcPr>
            <w:tcW w:w="1415" w:type="dxa"/>
            <w:vAlign w:val="bottom"/>
          </w:tcPr>
          <w:p w14:paraId="60D9DE5C" w14:textId="77777777" w:rsidR="00C7374E" w:rsidRPr="00C85EF2" w:rsidRDefault="00C7374E" w:rsidP="00AD5070">
            <w:pPr>
              <w:pStyle w:val="BodyText"/>
              <w:jc w:val="left"/>
              <w:rPr>
                <w:bCs/>
                <w:color w:val="auto"/>
                <w:sz w:val="18"/>
                <w:szCs w:val="20"/>
              </w:rPr>
            </w:pPr>
            <w:r w:rsidRPr="00C85EF2">
              <w:rPr>
                <w:color w:val="auto"/>
                <w:sz w:val="18"/>
                <w:szCs w:val="20"/>
              </w:rPr>
              <w:t>22</w:t>
            </w:r>
          </w:p>
        </w:tc>
        <w:tc>
          <w:tcPr>
            <w:tcW w:w="1407" w:type="dxa"/>
            <w:vAlign w:val="bottom"/>
          </w:tcPr>
          <w:p w14:paraId="213456D3" w14:textId="77777777" w:rsidR="00C7374E" w:rsidRPr="00C85EF2" w:rsidRDefault="00C7374E" w:rsidP="00AD5070">
            <w:pPr>
              <w:pStyle w:val="BodyText"/>
              <w:jc w:val="left"/>
              <w:rPr>
                <w:bCs/>
                <w:color w:val="auto"/>
                <w:sz w:val="18"/>
                <w:szCs w:val="20"/>
              </w:rPr>
            </w:pPr>
            <w:r w:rsidRPr="00C85EF2">
              <w:rPr>
                <w:color w:val="auto"/>
                <w:sz w:val="18"/>
                <w:szCs w:val="20"/>
              </w:rPr>
              <w:t>&lt;1</w:t>
            </w:r>
          </w:p>
        </w:tc>
      </w:tr>
      <w:tr w:rsidR="00C85EF2" w:rsidRPr="00C85EF2" w14:paraId="34F91EED" w14:textId="77777777" w:rsidTr="00B979D3">
        <w:tc>
          <w:tcPr>
            <w:tcW w:w="3276" w:type="dxa"/>
            <w:tcBorders>
              <w:bottom w:val="single" w:sz="4" w:space="0" w:color="auto"/>
            </w:tcBorders>
          </w:tcPr>
          <w:p w14:paraId="71BE67B0" w14:textId="4DF2195D" w:rsidR="00C7374E" w:rsidRPr="00C85EF2" w:rsidRDefault="00C7374E" w:rsidP="00AD5070">
            <w:pPr>
              <w:pStyle w:val="BodyText"/>
              <w:ind w:left="180"/>
              <w:jc w:val="left"/>
              <w:rPr>
                <w:color w:val="auto"/>
                <w:sz w:val="18"/>
                <w:szCs w:val="20"/>
              </w:rPr>
            </w:pPr>
            <w:r w:rsidRPr="00C85EF2">
              <w:rPr>
                <w:color w:val="auto"/>
                <w:sz w:val="18"/>
                <w:szCs w:val="20"/>
              </w:rPr>
              <w:t>Increased alanine aminotransferase</w:t>
            </w:r>
          </w:p>
        </w:tc>
        <w:tc>
          <w:tcPr>
            <w:tcW w:w="1537" w:type="dxa"/>
            <w:tcBorders>
              <w:bottom w:val="single" w:sz="4" w:space="0" w:color="auto"/>
            </w:tcBorders>
            <w:vAlign w:val="bottom"/>
          </w:tcPr>
          <w:p w14:paraId="309CB6C3" w14:textId="77777777" w:rsidR="00C7374E" w:rsidRPr="00C85EF2" w:rsidRDefault="00C7374E" w:rsidP="00AD5070">
            <w:pPr>
              <w:pStyle w:val="BodyText"/>
              <w:jc w:val="left"/>
              <w:rPr>
                <w:color w:val="auto"/>
                <w:sz w:val="18"/>
                <w:szCs w:val="20"/>
              </w:rPr>
            </w:pPr>
            <w:r w:rsidRPr="00C85EF2">
              <w:rPr>
                <w:color w:val="auto"/>
                <w:sz w:val="18"/>
                <w:szCs w:val="20"/>
              </w:rPr>
              <w:t>65</w:t>
            </w:r>
          </w:p>
        </w:tc>
        <w:tc>
          <w:tcPr>
            <w:tcW w:w="1720" w:type="dxa"/>
            <w:tcBorders>
              <w:bottom w:val="single" w:sz="4" w:space="0" w:color="auto"/>
            </w:tcBorders>
            <w:vAlign w:val="bottom"/>
          </w:tcPr>
          <w:p w14:paraId="071C1901" w14:textId="77777777" w:rsidR="00C7374E" w:rsidRPr="00C85EF2" w:rsidRDefault="00C7374E" w:rsidP="00AD5070">
            <w:pPr>
              <w:pStyle w:val="BodyText"/>
              <w:jc w:val="left"/>
              <w:rPr>
                <w:color w:val="auto"/>
                <w:sz w:val="18"/>
                <w:szCs w:val="20"/>
              </w:rPr>
            </w:pPr>
            <w:r w:rsidRPr="00C85EF2">
              <w:rPr>
                <w:color w:val="auto"/>
                <w:sz w:val="18"/>
                <w:szCs w:val="20"/>
              </w:rPr>
              <w:t>7</w:t>
            </w:r>
          </w:p>
        </w:tc>
        <w:tc>
          <w:tcPr>
            <w:tcW w:w="1415" w:type="dxa"/>
            <w:tcBorders>
              <w:bottom w:val="single" w:sz="4" w:space="0" w:color="auto"/>
            </w:tcBorders>
            <w:vAlign w:val="bottom"/>
          </w:tcPr>
          <w:p w14:paraId="5BF7FDC0" w14:textId="77777777" w:rsidR="00C7374E" w:rsidRPr="00C85EF2" w:rsidRDefault="00C7374E" w:rsidP="00AD5070">
            <w:pPr>
              <w:pStyle w:val="BodyText"/>
              <w:jc w:val="left"/>
              <w:rPr>
                <w:color w:val="auto"/>
                <w:sz w:val="18"/>
                <w:szCs w:val="20"/>
              </w:rPr>
            </w:pPr>
            <w:r w:rsidRPr="00C85EF2">
              <w:rPr>
                <w:color w:val="auto"/>
                <w:sz w:val="18"/>
                <w:szCs w:val="20"/>
              </w:rPr>
              <w:t>29</w:t>
            </w:r>
          </w:p>
        </w:tc>
        <w:tc>
          <w:tcPr>
            <w:tcW w:w="1407" w:type="dxa"/>
            <w:tcBorders>
              <w:bottom w:val="single" w:sz="4" w:space="0" w:color="auto"/>
            </w:tcBorders>
            <w:vAlign w:val="bottom"/>
          </w:tcPr>
          <w:p w14:paraId="53CE860A" w14:textId="77777777" w:rsidR="00C7374E" w:rsidRPr="00C85EF2" w:rsidRDefault="00C7374E" w:rsidP="00AD5070">
            <w:pPr>
              <w:pStyle w:val="BodyText"/>
              <w:jc w:val="left"/>
              <w:rPr>
                <w:color w:val="auto"/>
                <w:sz w:val="18"/>
                <w:szCs w:val="20"/>
              </w:rPr>
            </w:pPr>
            <w:r w:rsidRPr="00C85EF2">
              <w:rPr>
                <w:color w:val="auto"/>
                <w:sz w:val="18"/>
                <w:szCs w:val="20"/>
              </w:rPr>
              <w:t>3</w:t>
            </w:r>
          </w:p>
        </w:tc>
      </w:tr>
      <w:tr w:rsidR="00C85EF2" w:rsidRPr="00C85EF2" w14:paraId="78730367" w14:textId="77777777" w:rsidTr="00B979D3">
        <w:tc>
          <w:tcPr>
            <w:tcW w:w="3276" w:type="dxa"/>
            <w:tcBorders>
              <w:bottom w:val="single" w:sz="4" w:space="0" w:color="auto"/>
            </w:tcBorders>
          </w:tcPr>
          <w:p w14:paraId="54243626" w14:textId="30727D4B" w:rsidR="00C7374E" w:rsidRPr="00C85EF2" w:rsidRDefault="00C7374E" w:rsidP="00AD5070">
            <w:pPr>
              <w:pStyle w:val="BodyText"/>
              <w:ind w:left="180"/>
              <w:jc w:val="left"/>
              <w:rPr>
                <w:color w:val="auto"/>
                <w:sz w:val="18"/>
                <w:szCs w:val="20"/>
              </w:rPr>
            </w:pPr>
            <w:r w:rsidRPr="00C85EF2">
              <w:rPr>
                <w:color w:val="auto"/>
                <w:sz w:val="18"/>
                <w:szCs w:val="20"/>
              </w:rPr>
              <w:t>Increased aspartate aminotransferase</w:t>
            </w:r>
          </w:p>
        </w:tc>
        <w:tc>
          <w:tcPr>
            <w:tcW w:w="1537" w:type="dxa"/>
            <w:tcBorders>
              <w:bottom w:val="single" w:sz="4" w:space="0" w:color="auto"/>
            </w:tcBorders>
            <w:vAlign w:val="bottom"/>
          </w:tcPr>
          <w:p w14:paraId="0C3E37A9" w14:textId="77777777" w:rsidR="00C7374E" w:rsidRPr="00C85EF2" w:rsidRDefault="00C7374E" w:rsidP="00AD5070">
            <w:pPr>
              <w:pStyle w:val="BodyText"/>
              <w:jc w:val="left"/>
              <w:rPr>
                <w:color w:val="auto"/>
                <w:sz w:val="18"/>
                <w:szCs w:val="18"/>
              </w:rPr>
            </w:pPr>
            <w:r w:rsidRPr="00C85EF2">
              <w:rPr>
                <w:color w:val="auto"/>
                <w:sz w:val="18"/>
                <w:szCs w:val="18"/>
              </w:rPr>
              <w:t>52</w:t>
            </w:r>
          </w:p>
        </w:tc>
        <w:tc>
          <w:tcPr>
            <w:tcW w:w="1720" w:type="dxa"/>
            <w:tcBorders>
              <w:bottom w:val="single" w:sz="4" w:space="0" w:color="auto"/>
            </w:tcBorders>
            <w:vAlign w:val="bottom"/>
          </w:tcPr>
          <w:p w14:paraId="49E9F86E" w14:textId="77777777" w:rsidR="00C7374E" w:rsidRPr="00C85EF2" w:rsidRDefault="00C7374E" w:rsidP="00AD5070">
            <w:pPr>
              <w:pStyle w:val="BodyText"/>
              <w:jc w:val="left"/>
              <w:rPr>
                <w:color w:val="auto"/>
                <w:sz w:val="18"/>
                <w:szCs w:val="18"/>
              </w:rPr>
            </w:pPr>
            <w:r w:rsidRPr="00C85EF2">
              <w:rPr>
                <w:color w:val="auto"/>
                <w:sz w:val="18"/>
                <w:szCs w:val="18"/>
              </w:rPr>
              <w:t>4</w:t>
            </w:r>
          </w:p>
        </w:tc>
        <w:tc>
          <w:tcPr>
            <w:tcW w:w="1415" w:type="dxa"/>
            <w:tcBorders>
              <w:bottom w:val="single" w:sz="4" w:space="0" w:color="auto"/>
            </w:tcBorders>
            <w:vAlign w:val="bottom"/>
          </w:tcPr>
          <w:p w14:paraId="2FEC69FB" w14:textId="77777777" w:rsidR="00C7374E" w:rsidRPr="00C85EF2" w:rsidRDefault="00C7374E" w:rsidP="00AD5070">
            <w:pPr>
              <w:pStyle w:val="BodyText"/>
              <w:jc w:val="left"/>
              <w:rPr>
                <w:color w:val="auto"/>
                <w:sz w:val="18"/>
                <w:szCs w:val="18"/>
              </w:rPr>
            </w:pPr>
            <w:r w:rsidRPr="00C85EF2">
              <w:rPr>
                <w:color w:val="auto"/>
                <w:sz w:val="18"/>
                <w:szCs w:val="18"/>
              </w:rPr>
              <w:t>36</w:t>
            </w:r>
          </w:p>
        </w:tc>
        <w:tc>
          <w:tcPr>
            <w:tcW w:w="1407" w:type="dxa"/>
            <w:tcBorders>
              <w:bottom w:val="single" w:sz="4" w:space="0" w:color="auto"/>
            </w:tcBorders>
            <w:vAlign w:val="bottom"/>
          </w:tcPr>
          <w:p w14:paraId="1BAA89BE" w14:textId="77777777" w:rsidR="00C7374E" w:rsidRPr="00C85EF2" w:rsidRDefault="00C7374E" w:rsidP="00AD5070">
            <w:pPr>
              <w:pStyle w:val="BodyText"/>
              <w:jc w:val="left"/>
              <w:rPr>
                <w:color w:val="auto"/>
                <w:sz w:val="18"/>
                <w:szCs w:val="18"/>
              </w:rPr>
            </w:pPr>
            <w:r w:rsidRPr="00C85EF2">
              <w:rPr>
                <w:color w:val="auto"/>
                <w:sz w:val="18"/>
                <w:szCs w:val="18"/>
              </w:rPr>
              <w:t>2</w:t>
            </w:r>
          </w:p>
        </w:tc>
      </w:tr>
      <w:tr w:rsidR="00C85EF2" w:rsidRPr="00C85EF2" w14:paraId="6E959067" w14:textId="77777777" w:rsidTr="00B979D3">
        <w:tc>
          <w:tcPr>
            <w:tcW w:w="3276" w:type="dxa"/>
            <w:tcBorders>
              <w:bottom w:val="single" w:sz="4" w:space="0" w:color="auto"/>
            </w:tcBorders>
          </w:tcPr>
          <w:p w14:paraId="4BD1349D" w14:textId="641E3592" w:rsidR="00B979D3" w:rsidRPr="00C85EF2" w:rsidRDefault="00B979D3" w:rsidP="00AD5070">
            <w:pPr>
              <w:pStyle w:val="BodyText"/>
              <w:ind w:left="180"/>
              <w:jc w:val="left"/>
              <w:rPr>
                <w:color w:val="auto"/>
                <w:sz w:val="18"/>
                <w:szCs w:val="20"/>
              </w:rPr>
            </w:pPr>
            <w:r w:rsidRPr="00C85EF2">
              <w:rPr>
                <w:color w:val="auto"/>
                <w:sz w:val="18"/>
                <w:szCs w:val="20"/>
              </w:rPr>
              <w:t>Increased alkaline phosphatase</w:t>
            </w:r>
          </w:p>
        </w:tc>
        <w:tc>
          <w:tcPr>
            <w:tcW w:w="1537" w:type="dxa"/>
            <w:tcBorders>
              <w:bottom w:val="single" w:sz="4" w:space="0" w:color="auto"/>
            </w:tcBorders>
          </w:tcPr>
          <w:p w14:paraId="33DC35D1" w14:textId="75FA0DDC" w:rsidR="00B979D3" w:rsidRPr="00C85EF2" w:rsidRDefault="00B979D3" w:rsidP="00AD5070">
            <w:pPr>
              <w:pStyle w:val="BodyText"/>
              <w:jc w:val="left"/>
              <w:rPr>
                <w:color w:val="auto"/>
                <w:sz w:val="18"/>
                <w:szCs w:val="18"/>
              </w:rPr>
            </w:pPr>
            <w:r w:rsidRPr="00C85EF2">
              <w:rPr>
                <w:color w:val="auto"/>
                <w:sz w:val="18"/>
                <w:szCs w:val="18"/>
              </w:rPr>
              <w:t>45</w:t>
            </w:r>
          </w:p>
        </w:tc>
        <w:tc>
          <w:tcPr>
            <w:tcW w:w="1720" w:type="dxa"/>
            <w:tcBorders>
              <w:bottom w:val="single" w:sz="4" w:space="0" w:color="auto"/>
            </w:tcBorders>
          </w:tcPr>
          <w:p w14:paraId="2209510B" w14:textId="14F29960" w:rsidR="00B979D3" w:rsidRPr="00C85EF2" w:rsidRDefault="00B979D3" w:rsidP="00AD5070">
            <w:pPr>
              <w:pStyle w:val="BodyText"/>
              <w:jc w:val="left"/>
              <w:rPr>
                <w:color w:val="auto"/>
                <w:sz w:val="18"/>
                <w:szCs w:val="18"/>
              </w:rPr>
            </w:pPr>
            <w:r w:rsidRPr="00C85EF2">
              <w:rPr>
                <w:color w:val="auto"/>
                <w:sz w:val="18"/>
                <w:szCs w:val="18"/>
              </w:rPr>
              <w:t>&lt;1</w:t>
            </w:r>
          </w:p>
        </w:tc>
        <w:tc>
          <w:tcPr>
            <w:tcW w:w="1415" w:type="dxa"/>
            <w:tcBorders>
              <w:bottom w:val="single" w:sz="4" w:space="0" w:color="auto"/>
            </w:tcBorders>
          </w:tcPr>
          <w:p w14:paraId="5A76DCB9" w14:textId="39F2B372" w:rsidR="00B979D3" w:rsidRPr="00C85EF2" w:rsidRDefault="00B979D3" w:rsidP="00AD5070">
            <w:pPr>
              <w:pStyle w:val="BodyText"/>
              <w:jc w:val="left"/>
              <w:rPr>
                <w:color w:val="auto"/>
                <w:sz w:val="18"/>
                <w:szCs w:val="18"/>
              </w:rPr>
            </w:pPr>
            <w:r w:rsidRPr="00C85EF2">
              <w:rPr>
                <w:color w:val="auto"/>
                <w:sz w:val="18"/>
                <w:szCs w:val="18"/>
              </w:rPr>
              <w:t>15</w:t>
            </w:r>
          </w:p>
        </w:tc>
        <w:tc>
          <w:tcPr>
            <w:tcW w:w="1407" w:type="dxa"/>
            <w:tcBorders>
              <w:bottom w:val="single" w:sz="4" w:space="0" w:color="auto"/>
            </w:tcBorders>
          </w:tcPr>
          <w:p w14:paraId="1CFE9B39" w14:textId="2EDADF67" w:rsidR="00B979D3" w:rsidRPr="00C85EF2" w:rsidRDefault="00B979D3" w:rsidP="00AD5070">
            <w:pPr>
              <w:pStyle w:val="BodyText"/>
              <w:jc w:val="left"/>
              <w:rPr>
                <w:color w:val="auto"/>
                <w:sz w:val="18"/>
                <w:szCs w:val="18"/>
              </w:rPr>
            </w:pPr>
            <w:r w:rsidRPr="00C85EF2">
              <w:rPr>
                <w:color w:val="auto"/>
                <w:sz w:val="18"/>
                <w:szCs w:val="18"/>
              </w:rPr>
              <w:t>&lt;1</w:t>
            </w:r>
          </w:p>
        </w:tc>
      </w:tr>
      <w:tr w:rsidR="00C85EF2" w:rsidRPr="00C85EF2" w14:paraId="3D112A3C" w14:textId="77777777" w:rsidTr="00B979D3">
        <w:tc>
          <w:tcPr>
            <w:tcW w:w="3276" w:type="dxa"/>
            <w:tcBorders>
              <w:bottom w:val="single" w:sz="4" w:space="0" w:color="auto"/>
            </w:tcBorders>
          </w:tcPr>
          <w:p w14:paraId="6F568E43" w14:textId="1B832DAC" w:rsidR="00B979D3" w:rsidRPr="00C85EF2" w:rsidRDefault="00B979D3" w:rsidP="00AD5070">
            <w:pPr>
              <w:pStyle w:val="BodyText"/>
              <w:ind w:left="180"/>
              <w:jc w:val="left"/>
              <w:rPr>
                <w:color w:val="auto"/>
                <w:sz w:val="18"/>
                <w:szCs w:val="20"/>
              </w:rPr>
            </w:pPr>
            <w:r w:rsidRPr="00C85EF2">
              <w:rPr>
                <w:color w:val="auto"/>
                <w:sz w:val="18"/>
                <w:szCs w:val="20"/>
              </w:rPr>
              <w:t>Decreased calcium (Corrected)</w:t>
            </w:r>
          </w:p>
        </w:tc>
        <w:tc>
          <w:tcPr>
            <w:tcW w:w="1537" w:type="dxa"/>
            <w:tcBorders>
              <w:bottom w:val="single" w:sz="4" w:space="0" w:color="auto"/>
            </w:tcBorders>
            <w:vAlign w:val="bottom"/>
          </w:tcPr>
          <w:p w14:paraId="669C8651" w14:textId="77777777" w:rsidR="00B979D3" w:rsidRPr="00C85EF2" w:rsidRDefault="00B979D3" w:rsidP="00AD5070">
            <w:pPr>
              <w:pStyle w:val="BodyText"/>
              <w:jc w:val="left"/>
              <w:rPr>
                <w:color w:val="auto"/>
                <w:sz w:val="18"/>
                <w:szCs w:val="20"/>
              </w:rPr>
            </w:pPr>
            <w:r w:rsidRPr="00C85EF2">
              <w:rPr>
                <w:color w:val="auto"/>
                <w:sz w:val="18"/>
                <w:szCs w:val="20"/>
              </w:rPr>
              <w:t>41</w:t>
            </w:r>
          </w:p>
        </w:tc>
        <w:tc>
          <w:tcPr>
            <w:tcW w:w="1720" w:type="dxa"/>
            <w:tcBorders>
              <w:bottom w:val="single" w:sz="4" w:space="0" w:color="auto"/>
            </w:tcBorders>
            <w:vAlign w:val="bottom"/>
          </w:tcPr>
          <w:p w14:paraId="1DD9B382" w14:textId="77777777" w:rsidR="00B979D3" w:rsidRPr="00C85EF2" w:rsidRDefault="00B979D3" w:rsidP="00AD5070">
            <w:pPr>
              <w:pStyle w:val="BodyText"/>
              <w:jc w:val="left"/>
              <w:rPr>
                <w:color w:val="auto"/>
                <w:sz w:val="18"/>
                <w:szCs w:val="20"/>
              </w:rPr>
            </w:pPr>
            <w:r w:rsidRPr="00C85EF2">
              <w:rPr>
                <w:color w:val="auto"/>
                <w:sz w:val="18"/>
                <w:szCs w:val="20"/>
              </w:rPr>
              <w:t>1</w:t>
            </w:r>
          </w:p>
        </w:tc>
        <w:tc>
          <w:tcPr>
            <w:tcW w:w="1415" w:type="dxa"/>
            <w:tcBorders>
              <w:bottom w:val="single" w:sz="4" w:space="0" w:color="auto"/>
            </w:tcBorders>
            <w:vAlign w:val="bottom"/>
          </w:tcPr>
          <w:p w14:paraId="43C85326" w14:textId="77777777" w:rsidR="00B979D3" w:rsidRPr="00C85EF2" w:rsidRDefault="00B979D3" w:rsidP="00AD5070">
            <w:pPr>
              <w:pStyle w:val="BodyText"/>
              <w:jc w:val="left"/>
              <w:rPr>
                <w:color w:val="auto"/>
                <w:sz w:val="18"/>
                <w:szCs w:val="20"/>
              </w:rPr>
            </w:pPr>
            <w:r w:rsidRPr="00C85EF2">
              <w:rPr>
                <w:color w:val="auto"/>
                <w:sz w:val="18"/>
                <w:szCs w:val="20"/>
              </w:rPr>
              <w:t>27</w:t>
            </w:r>
          </w:p>
        </w:tc>
        <w:tc>
          <w:tcPr>
            <w:tcW w:w="1407" w:type="dxa"/>
            <w:tcBorders>
              <w:bottom w:val="single" w:sz="4" w:space="0" w:color="auto"/>
            </w:tcBorders>
            <w:vAlign w:val="bottom"/>
          </w:tcPr>
          <w:p w14:paraId="772AB93C" w14:textId="77777777" w:rsidR="00B979D3" w:rsidRPr="00C85EF2" w:rsidRDefault="00B979D3" w:rsidP="00AD5070">
            <w:pPr>
              <w:pStyle w:val="BodyText"/>
              <w:jc w:val="left"/>
              <w:rPr>
                <w:color w:val="auto"/>
                <w:sz w:val="18"/>
                <w:szCs w:val="20"/>
              </w:rPr>
            </w:pPr>
            <w:r w:rsidRPr="00C85EF2">
              <w:rPr>
                <w:color w:val="auto"/>
                <w:sz w:val="18"/>
                <w:szCs w:val="20"/>
              </w:rPr>
              <w:t>1</w:t>
            </w:r>
          </w:p>
        </w:tc>
      </w:tr>
      <w:tr w:rsidR="00C85EF2" w:rsidRPr="00C85EF2" w14:paraId="6B41B6FC" w14:textId="77777777" w:rsidTr="00B979D3">
        <w:tc>
          <w:tcPr>
            <w:tcW w:w="3276" w:type="dxa"/>
            <w:tcBorders>
              <w:bottom w:val="single" w:sz="4" w:space="0" w:color="auto"/>
            </w:tcBorders>
          </w:tcPr>
          <w:p w14:paraId="568E07F4" w14:textId="26BDAFB0" w:rsidR="00B979D3" w:rsidRPr="00C85EF2" w:rsidRDefault="00B979D3" w:rsidP="00AD5070">
            <w:pPr>
              <w:pStyle w:val="BodyText"/>
              <w:ind w:left="180"/>
              <w:jc w:val="left"/>
              <w:rPr>
                <w:color w:val="auto"/>
                <w:sz w:val="18"/>
                <w:szCs w:val="20"/>
              </w:rPr>
            </w:pPr>
            <w:r w:rsidRPr="00C85EF2">
              <w:rPr>
                <w:color w:val="auto"/>
                <w:sz w:val="18"/>
                <w:szCs w:val="20"/>
              </w:rPr>
              <w:t>Increased gamma glutamyl transferase</w:t>
            </w:r>
          </w:p>
        </w:tc>
        <w:tc>
          <w:tcPr>
            <w:tcW w:w="1537" w:type="dxa"/>
            <w:tcBorders>
              <w:bottom w:val="single" w:sz="4" w:space="0" w:color="auto"/>
            </w:tcBorders>
            <w:vAlign w:val="bottom"/>
          </w:tcPr>
          <w:p w14:paraId="21D3F269" w14:textId="77777777" w:rsidR="00B979D3" w:rsidRPr="00C85EF2" w:rsidRDefault="00B979D3" w:rsidP="00AD5070">
            <w:pPr>
              <w:pStyle w:val="BodyText"/>
              <w:jc w:val="left"/>
              <w:rPr>
                <w:color w:val="auto"/>
                <w:sz w:val="18"/>
                <w:szCs w:val="20"/>
              </w:rPr>
            </w:pPr>
            <w:r w:rsidRPr="00C85EF2">
              <w:rPr>
                <w:color w:val="auto"/>
                <w:sz w:val="18"/>
                <w:szCs w:val="20"/>
              </w:rPr>
              <w:t>39</w:t>
            </w:r>
          </w:p>
        </w:tc>
        <w:tc>
          <w:tcPr>
            <w:tcW w:w="1720" w:type="dxa"/>
            <w:tcBorders>
              <w:bottom w:val="single" w:sz="4" w:space="0" w:color="auto"/>
            </w:tcBorders>
            <w:vAlign w:val="bottom"/>
          </w:tcPr>
          <w:p w14:paraId="5B0766A8" w14:textId="77777777" w:rsidR="00B979D3" w:rsidRPr="00C85EF2" w:rsidRDefault="00B979D3" w:rsidP="00AD5070">
            <w:pPr>
              <w:pStyle w:val="BodyText"/>
              <w:jc w:val="left"/>
              <w:rPr>
                <w:color w:val="auto"/>
                <w:sz w:val="18"/>
                <w:szCs w:val="20"/>
              </w:rPr>
            </w:pPr>
            <w:r w:rsidRPr="00C85EF2">
              <w:rPr>
                <w:color w:val="auto"/>
                <w:sz w:val="18"/>
                <w:szCs w:val="20"/>
              </w:rPr>
              <w:t>3</w:t>
            </w:r>
          </w:p>
        </w:tc>
        <w:tc>
          <w:tcPr>
            <w:tcW w:w="1415" w:type="dxa"/>
            <w:tcBorders>
              <w:bottom w:val="single" w:sz="4" w:space="0" w:color="auto"/>
            </w:tcBorders>
            <w:vAlign w:val="bottom"/>
          </w:tcPr>
          <w:p w14:paraId="45FA23EE" w14:textId="77777777" w:rsidR="00B979D3" w:rsidRPr="00C85EF2" w:rsidRDefault="00B979D3" w:rsidP="00AD5070">
            <w:pPr>
              <w:pStyle w:val="BodyText"/>
              <w:jc w:val="left"/>
              <w:rPr>
                <w:color w:val="auto"/>
                <w:sz w:val="18"/>
                <w:szCs w:val="20"/>
              </w:rPr>
            </w:pPr>
            <w:r w:rsidRPr="00C85EF2">
              <w:rPr>
                <w:color w:val="auto"/>
                <w:sz w:val="18"/>
                <w:szCs w:val="20"/>
              </w:rPr>
              <w:t>24</w:t>
            </w:r>
          </w:p>
        </w:tc>
        <w:tc>
          <w:tcPr>
            <w:tcW w:w="1407" w:type="dxa"/>
            <w:tcBorders>
              <w:bottom w:val="single" w:sz="4" w:space="0" w:color="auto"/>
            </w:tcBorders>
            <w:vAlign w:val="bottom"/>
          </w:tcPr>
          <w:p w14:paraId="284146B1" w14:textId="77777777" w:rsidR="00B979D3" w:rsidRPr="00C85EF2" w:rsidRDefault="00B979D3" w:rsidP="00AD5070">
            <w:pPr>
              <w:pStyle w:val="BodyText"/>
              <w:jc w:val="left"/>
              <w:rPr>
                <w:color w:val="auto"/>
                <w:sz w:val="18"/>
                <w:szCs w:val="20"/>
              </w:rPr>
            </w:pPr>
            <w:r w:rsidRPr="00C85EF2">
              <w:rPr>
                <w:color w:val="auto"/>
                <w:sz w:val="18"/>
                <w:szCs w:val="20"/>
              </w:rPr>
              <w:t>2</w:t>
            </w:r>
          </w:p>
        </w:tc>
      </w:tr>
      <w:tr w:rsidR="00C85EF2" w:rsidRPr="00C85EF2" w14:paraId="5C093146" w14:textId="77777777" w:rsidTr="00B979D3">
        <w:tc>
          <w:tcPr>
            <w:tcW w:w="3276" w:type="dxa"/>
            <w:tcBorders>
              <w:bottom w:val="single" w:sz="4" w:space="0" w:color="auto"/>
            </w:tcBorders>
          </w:tcPr>
          <w:p w14:paraId="5315D4B6" w14:textId="4D86A80E" w:rsidR="00B979D3" w:rsidRPr="00C85EF2" w:rsidRDefault="00B979D3" w:rsidP="00AD5070">
            <w:pPr>
              <w:pStyle w:val="BodyText"/>
              <w:ind w:left="180"/>
              <w:jc w:val="left"/>
              <w:rPr>
                <w:color w:val="auto"/>
                <w:sz w:val="18"/>
                <w:szCs w:val="18"/>
              </w:rPr>
            </w:pPr>
            <w:r w:rsidRPr="00C85EF2">
              <w:rPr>
                <w:color w:val="auto"/>
                <w:sz w:val="18"/>
                <w:szCs w:val="18"/>
              </w:rPr>
              <w:t>Decreased sodium</w:t>
            </w:r>
          </w:p>
        </w:tc>
        <w:tc>
          <w:tcPr>
            <w:tcW w:w="1537" w:type="dxa"/>
            <w:tcBorders>
              <w:bottom w:val="single" w:sz="4" w:space="0" w:color="auto"/>
            </w:tcBorders>
            <w:vAlign w:val="bottom"/>
          </w:tcPr>
          <w:p w14:paraId="078E2B01" w14:textId="77777777" w:rsidR="00B979D3" w:rsidRPr="00C85EF2" w:rsidRDefault="00B979D3" w:rsidP="00AD5070">
            <w:pPr>
              <w:pStyle w:val="BodyText"/>
              <w:jc w:val="left"/>
              <w:rPr>
                <w:color w:val="auto"/>
                <w:sz w:val="18"/>
                <w:szCs w:val="18"/>
              </w:rPr>
            </w:pPr>
            <w:r w:rsidRPr="00C85EF2">
              <w:rPr>
                <w:color w:val="auto"/>
                <w:sz w:val="18"/>
                <w:szCs w:val="18"/>
              </w:rPr>
              <w:t>38</w:t>
            </w:r>
          </w:p>
        </w:tc>
        <w:tc>
          <w:tcPr>
            <w:tcW w:w="1720" w:type="dxa"/>
            <w:tcBorders>
              <w:bottom w:val="single" w:sz="4" w:space="0" w:color="auto"/>
            </w:tcBorders>
            <w:vAlign w:val="bottom"/>
          </w:tcPr>
          <w:p w14:paraId="74147384" w14:textId="77777777" w:rsidR="00B979D3" w:rsidRPr="00C85EF2" w:rsidRDefault="00B979D3" w:rsidP="00AD5070">
            <w:pPr>
              <w:pStyle w:val="BodyText"/>
              <w:jc w:val="left"/>
              <w:rPr>
                <w:color w:val="auto"/>
                <w:sz w:val="18"/>
                <w:szCs w:val="18"/>
              </w:rPr>
            </w:pPr>
            <w:r w:rsidRPr="00C85EF2">
              <w:rPr>
                <w:color w:val="auto"/>
                <w:sz w:val="18"/>
                <w:szCs w:val="18"/>
              </w:rPr>
              <w:t>7</w:t>
            </w:r>
          </w:p>
        </w:tc>
        <w:tc>
          <w:tcPr>
            <w:tcW w:w="1415" w:type="dxa"/>
            <w:tcBorders>
              <w:bottom w:val="single" w:sz="4" w:space="0" w:color="auto"/>
            </w:tcBorders>
            <w:vAlign w:val="bottom"/>
          </w:tcPr>
          <w:p w14:paraId="4FA08AF5" w14:textId="77777777" w:rsidR="00B979D3" w:rsidRPr="00C85EF2" w:rsidRDefault="00B979D3" w:rsidP="00AD5070">
            <w:pPr>
              <w:pStyle w:val="BodyText"/>
              <w:jc w:val="left"/>
              <w:rPr>
                <w:color w:val="auto"/>
                <w:sz w:val="18"/>
                <w:szCs w:val="18"/>
              </w:rPr>
            </w:pPr>
            <w:r w:rsidRPr="00C85EF2">
              <w:rPr>
                <w:color w:val="auto"/>
                <w:sz w:val="18"/>
                <w:szCs w:val="18"/>
              </w:rPr>
              <w:t>35</w:t>
            </w:r>
          </w:p>
        </w:tc>
        <w:tc>
          <w:tcPr>
            <w:tcW w:w="1407" w:type="dxa"/>
            <w:tcBorders>
              <w:bottom w:val="single" w:sz="4" w:space="0" w:color="auto"/>
            </w:tcBorders>
            <w:vAlign w:val="bottom"/>
          </w:tcPr>
          <w:p w14:paraId="5CFFCA85" w14:textId="77777777" w:rsidR="00B979D3" w:rsidRPr="00C85EF2" w:rsidRDefault="00B979D3" w:rsidP="00AD5070">
            <w:pPr>
              <w:pStyle w:val="BodyText"/>
              <w:jc w:val="left"/>
              <w:rPr>
                <w:color w:val="auto"/>
                <w:sz w:val="18"/>
                <w:szCs w:val="18"/>
              </w:rPr>
            </w:pPr>
            <w:r w:rsidRPr="00C85EF2">
              <w:rPr>
                <w:color w:val="auto"/>
                <w:sz w:val="18"/>
                <w:szCs w:val="18"/>
              </w:rPr>
              <w:t>5</w:t>
            </w:r>
          </w:p>
        </w:tc>
      </w:tr>
      <w:tr w:rsidR="00C85EF2" w:rsidRPr="00C85EF2" w14:paraId="792A3342" w14:textId="77777777" w:rsidTr="00B979D3">
        <w:tc>
          <w:tcPr>
            <w:tcW w:w="3276" w:type="dxa"/>
            <w:tcBorders>
              <w:bottom w:val="single" w:sz="4" w:space="0" w:color="auto"/>
            </w:tcBorders>
          </w:tcPr>
          <w:p w14:paraId="7EF8700C" w14:textId="0EB09042" w:rsidR="00B979D3" w:rsidRPr="00C85EF2" w:rsidRDefault="00B979D3" w:rsidP="00AD5070">
            <w:pPr>
              <w:pStyle w:val="BodyText"/>
              <w:ind w:left="180"/>
              <w:jc w:val="left"/>
              <w:rPr>
                <w:color w:val="auto"/>
                <w:sz w:val="18"/>
                <w:szCs w:val="18"/>
              </w:rPr>
            </w:pPr>
            <w:r w:rsidRPr="00C85EF2">
              <w:rPr>
                <w:color w:val="auto"/>
                <w:sz w:val="18"/>
                <w:szCs w:val="18"/>
              </w:rPr>
              <w:t>Decreased potassium</w:t>
            </w:r>
          </w:p>
        </w:tc>
        <w:tc>
          <w:tcPr>
            <w:tcW w:w="1537" w:type="dxa"/>
            <w:tcBorders>
              <w:bottom w:val="single" w:sz="4" w:space="0" w:color="auto"/>
            </w:tcBorders>
          </w:tcPr>
          <w:p w14:paraId="1BEF693C" w14:textId="269AE20F" w:rsidR="00B979D3" w:rsidRPr="00C85EF2" w:rsidRDefault="00B979D3" w:rsidP="00AD5070">
            <w:pPr>
              <w:pStyle w:val="BodyText"/>
              <w:jc w:val="left"/>
              <w:rPr>
                <w:color w:val="auto"/>
                <w:sz w:val="18"/>
                <w:szCs w:val="18"/>
              </w:rPr>
            </w:pPr>
            <w:r w:rsidRPr="00C85EF2">
              <w:rPr>
                <w:color w:val="auto"/>
                <w:sz w:val="18"/>
                <w:szCs w:val="18"/>
              </w:rPr>
              <w:t>30</w:t>
            </w:r>
          </w:p>
        </w:tc>
        <w:tc>
          <w:tcPr>
            <w:tcW w:w="1720" w:type="dxa"/>
            <w:tcBorders>
              <w:bottom w:val="single" w:sz="4" w:space="0" w:color="auto"/>
            </w:tcBorders>
          </w:tcPr>
          <w:p w14:paraId="4AA4D36D" w14:textId="1EDF2820" w:rsidR="00B979D3" w:rsidRPr="00C85EF2" w:rsidRDefault="00B979D3" w:rsidP="00AD5070">
            <w:pPr>
              <w:pStyle w:val="BodyText"/>
              <w:jc w:val="left"/>
              <w:rPr>
                <w:color w:val="auto"/>
                <w:sz w:val="18"/>
                <w:szCs w:val="18"/>
              </w:rPr>
            </w:pPr>
            <w:r w:rsidRPr="00C85EF2">
              <w:rPr>
                <w:color w:val="auto"/>
                <w:sz w:val="18"/>
                <w:szCs w:val="18"/>
              </w:rPr>
              <w:t>5</w:t>
            </w:r>
          </w:p>
        </w:tc>
        <w:tc>
          <w:tcPr>
            <w:tcW w:w="1415" w:type="dxa"/>
            <w:tcBorders>
              <w:bottom w:val="single" w:sz="4" w:space="0" w:color="auto"/>
            </w:tcBorders>
          </w:tcPr>
          <w:p w14:paraId="304FD204" w14:textId="721322D2" w:rsidR="00B979D3" w:rsidRPr="00C85EF2" w:rsidRDefault="00B979D3" w:rsidP="00AD5070">
            <w:pPr>
              <w:pStyle w:val="BodyText"/>
              <w:jc w:val="left"/>
              <w:rPr>
                <w:color w:val="auto"/>
                <w:sz w:val="18"/>
                <w:szCs w:val="18"/>
              </w:rPr>
            </w:pPr>
            <w:r w:rsidRPr="00C85EF2">
              <w:rPr>
                <w:color w:val="auto"/>
                <w:sz w:val="18"/>
                <w:szCs w:val="18"/>
              </w:rPr>
              <w:t>15</w:t>
            </w:r>
          </w:p>
        </w:tc>
        <w:tc>
          <w:tcPr>
            <w:tcW w:w="1407" w:type="dxa"/>
            <w:tcBorders>
              <w:bottom w:val="single" w:sz="4" w:space="0" w:color="auto"/>
            </w:tcBorders>
          </w:tcPr>
          <w:p w14:paraId="0138BFFE" w14:textId="632BD244" w:rsidR="00B979D3" w:rsidRPr="00C85EF2" w:rsidRDefault="00B979D3" w:rsidP="00AD5070">
            <w:pPr>
              <w:pStyle w:val="BodyText"/>
              <w:jc w:val="left"/>
              <w:rPr>
                <w:color w:val="auto"/>
                <w:sz w:val="18"/>
                <w:szCs w:val="18"/>
              </w:rPr>
            </w:pPr>
            <w:r w:rsidRPr="00C85EF2">
              <w:rPr>
                <w:color w:val="auto"/>
                <w:sz w:val="18"/>
                <w:szCs w:val="18"/>
              </w:rPr>
              <w:t>1</w:t>
            </w:r>
          </w:p>
        </w:tc>
      </w:tr>
      <w:tr w:rsidR="00C85EF2" w:rsidRPr="00C85EF2" w14:paraId="0E73F4D5" w14:textId="77777777" w:rsidTr="00B979D3">
        <w:tc>
          <w:tcPr>
            <w:tcW w:w="3276" w:type="dxa"/>
            <w:tcBorders>
              <w:bottom w:val="single" w:sz="4" w:space="0" w:color="auto"/>
            </w:tcBorders>
          </w:tcPr>
          <w:p w14:paraId="67B425EA" w14:textId="49F594A1" w:rsidR="00B979D3" w:rsidRPr="00C85EF2" w:rsidRDefault="00B979D3" w:rsidP="00AD5070">
            <w:pPr>
              <w:pStyle w:val="BodyText"/>
              <w:ind w:left="180"/>
              <w:jc w:val="left"/>
              <w:rPr>
                <w:color w:val="auto"/>
                <w:sz w:val="18"/>
                <w:szCs w:val="18"/>
              </w:rPr>
            </w:pPr>
            <w:r w:rsidRPr="00C85EF2">
              <w:rPr>
                <w:color w:val="auto"/>
                <w:sz w:val="18"/>
                <w:szCs w:val="18"/>
              </w:rPr>
              <w:t>Increased creatinine</w:t>
            </w:r>
          </w:p>
        </w:tc>
        <w:tc>
          <w:tcPr>
            <w:tcW w:w="1537" w:type="dxa"/>
            <w:tcBorders>
              <w:bottom w:val="single" w:sz="4" w:space="0" w:color="auto"/>
            </w:tcBorders>
            <w:vAlign w:val="bottom"/>
          </w:tcPr>
          <w:p w14:paraId="051F79E6" w14:textId="77777777" w:rsidR="00B979D3" w:rsidRPr="00C85EF2" w:rsidRDefault="00B979D3" w:rsidP="00AD5070">
            <w:pPr>
              <w:pStyle w:val="BodyText"/>
              <w:jc w:val="left"/>
              <w:rPr>
                <w:color w:val="auto"/>
                <w:sz w:val="18"/>
                <w:szCs w:val="18"/>
              </w:rPr>
            </w:pPr>
            <w:r w:rsidRPr="00C85EF2">
              <w:rPr>
                <w:color w:val="auto"/>
                <w:sz w:val="18"/>
                <w:szCs w:val="18"/>
              </w:rPr>
              <w:t>26</w:t>
            </w:r>
          </w:p>
        </w:tc>
        <w:tc>
          <w:tcPr>
            <w:tcW w:w="1720" w:type="dxa"/>
            <w:tcBorders>
              <w:bottom w:val="single" w:sz="4" w:space="0" w:color="auto"/>
            </w:tcBorders>
            <w:vAlign w:val="bottom"/>
          </w:tcPr>
          <w:p w14:paraId="239411A5" w14:textId="77777777" w:rsidR="00B979D3" w:rsidRPr="00C85EF2" w:rsidRDefault="00B979D3" w:rsidP="00AD5070">
            <w:pPr>
              <w:pStyle w:val="BodyText"/>
              <w:jc w:val="left"/>
              <w:rPr>
                <w:color w:val="auto"/>
                <w:sz w:val="18"/>
                <w:szCs w:val="18"/>
              </w:rPr>
            </w:pPr>
            <w:r w:rsidRPr="00C85EF2">
              <w:rPr>
                <w:color w:val="auto"/>
                <w:sz w:val="18"/>
                <w:szCs w:val="18"/>
              </w:rPr>
              <w:t>1</w:t>
            </w:r>
          </w:p>
        </w:tc>
        <w:tc>
          <w:tcPr>
            <w:tcW w:w="1415" w:type="dxa"/>
            <w:tcBorders>
              <w:bottom w:val="single" w:sz="4" w:space="0" w:color="auto"/>
            </w:tcBorders>
            <w:vAlign w:val="bottom"/>
          </w:tcPr>
          <w:p w14:paraId="0275BD6A" w14:textId="77777777" w:rsidR="00B979D3" w:rsidRPr="00C85EF2" w:rsidRDefault="00B979D3" w:rsidP="00AD5070">
            <w:pPr>
              <w:pStyle w:val="BodyText"/>
              <w:jc w:val="left"/>
              <w:rPr>
                <w:color w:val="auto"/>
                <w:sz w:val="18"/>
                <w:szCs w:val="18"/>
              </w:rPr>
            </w:pPr>
            <w:r w:rsidRPr="00C85EF2">
              <w:rPr>
                <w:color w:val="auto"/>
                <w:sz w:val="18"/>
                <w:szCs w:val="18"/>
              </w:rPr>
              <w:t>35</w:t>
            </w:r>
          </w:p>
        </w:tc>
        <w:tc>
          <w:tcPr>
            <w:tcW w:w="1407" w:type="dxa"/>
            <w:tcBorders>
              <w:bottom w:val="single" w:sz="4" w:space="0" w:color="auto"/>
            </w:tcBorders>
            <w:vAlign w:val="bottom"/>
          </w:tcPr>
          <w:p w14:paraId="79F03025" w14:textId="77777777" w:rsidR="00B979D3" w:rsidRPr="00C85EF2" w:rsidRDefault="00B979D3" w:rsidP="00AD5070">
            <w:pPr>
              <w:pStyle w:val="BodyText"/>
              <w:jc w:val="left"/>
              <w:rPr>
                <w:color w:val="auto"/>
                <w:sz w:val="18"/>
                <w:szCs w:val="18"/>
              </w:rPr>
            </w:pPr>
            <w:r w:rsidRPr="00C85EF2">
              <w:rPr>
                <w:color w:val="auto"/>
                <w:sz w:val="18"/>
                <w:szCs w:val="18"/>
              </w:rPr>
              <w:t>1</w:t>
            </w:r>
          </w:p>
        </w:tc>
      </w:tr>
      <w:tr w:rsidR="00C85EF2" w:rsidRPr="00C85EF2" w14:paraId="3D2546C6" w14:textId="77777777" w:rsidTr="00B979D3">
        <w:tc>
          <w:tcPr>
            <w:tcW w:w="3276" w:type="dxa"/>
            <w:tcBorders>
              <w:bottom w:val="single" w:sz="4" w:space="0" w:color="auto"/>
            </w:tcBorders>
          </w:tcPr>
          <w:p w14:paraId="301890FC" w14:textId="66895FDB" w:rsidR="00B979D3" w:rsidRPr="00C85EF2" w:rsidRDefault="00B979D3" w:rsidP="00AD5070">
            <w:pPr>
              <w:pStyle w:val="BodyText"/>
              <w:ind w:left="180"/>
              <w:jc w:val="left"/>
              <w:rPr>
                <w:color w:val="auto"/>
                <w:sz w:val="18"/>
                <w:szCs w:val="18"/>
              </w:rPr>
            </w:pPr>
            <w:r w:rsidRPr="00C85EF2">
              <w:rPr>
                <w:color w:val="auto"/>
                <w:sz w:val="18"/>
                <w:szCs w:val="18"/>
              </w:rPr>
              <w:t>Decreased magnesium</w:t>
            </w:r>
          </w:p>
        </w:tc>
        <w:tc>
          <w:tcPr>
            <w:tcW w:w="1537" w:type="dxa"/>
            <w:tcBorders>
              <w:bottom w:val="single" w:sz="4" w:space="0" w:color="auto"/>
            </w:tcBorders>
          </w:tcPr>
          <w:p w14:paraId="397EEBD0" w14:textId="3F2F39A3" w:rsidR="00B979D3" w:rsidRPr="00C85EF2" w:rsidRDefault="00B979D3" w:rsidP="00AD5070">
            <w:pPr>
              <w:pStyle w:val="BodyText"/>
              <w:jc w:val="left"/>
              <w:rPr>
                <w:color w:val="auto"/>
                <w:sz w:val="18"/>
                <w:szCs w:val="18"/>
              </w:rPr>
            </w:pPr>
            <w:r w:rsidRPr="00C85EF2">
              <w:rPr>
                <w:color w:val="auto"/>
                <w:sz w:val="18"/>
                <w:szCs w:val="18"/>
              </w:rPr>
              <w:t>25</w:t>
            </w:r>
          </w:p>
        </w:tc>
        <w:tc>
          <w:tcPr>
            <w:tcW w:w="1720" w:type="dxa"/>
            <w:tcBorders>
              <w:bottom w:val="single" w:sz="4" w:space="0" w:color="auto"/>
            </w:tcBorders>
          </w:tcPr>
          <w:p w14:paraId="5529635A" w14:textId="11C2FD55" w:rsidR="00B979D3" w:rsidRPr="00C85EF2" w:rsidRDefault="00B979D3" w:rsidP="00AD5070">
            <w:pPr>
              <w:pStyle w:val="BodyText"/>
              <w:jc w:val="left"/>
              <w:rPr>
                <w:color w:val="auto"/>
                <w:sz w:val="18"/>
                <w:szCs w:val="18"/>
              </w:rPr>
            </w:pPr>
            <w:r w:rsidRPr="00C85EF2">
              <w:rPr>
                <w:color w:val="auto"/>
                <w:sz w:val="18"/>
                <w:szCs w:val="18"/>
              </w:rPr>
              <w:t>1</w:t>
            </w:r>
          </w:p>
        </w:tc>
        <w:tc>
          <w:tcPr>
            <w:tcW w:w="1415" w:type="dxa"/>
            <w:tcBorders>
              <w:bottom w:val="single" w:sz="4" w:space="0" w:color="auto"/>
            </w:tcBorders>
          </w:tcPr>
          <w:p w14:paraId="2FD556E7" w14:textId="007D5490" w:rsidR="00B979D3" w:rsidRPr="00C85EF2" w:rsidRDefault="00B979D3" w:rsidP="00AD5070">
            <w:pPr>
              <w:pStyle w:val="BodyText"/>
              <w:jc w:val="left"/>
              <w:rPr>
                <w:color w:val="auto"/>
                <w:sz w:val="18"/>
                <w:szCs w:val="18"/>
              </w:rPr>
            </w:pPr>
            <w:r w:rsidRPr="00C85EF2">
              <w:rPr>
                <w:color w:val="auto"/>
                <w:sz w:val="18"/>
                <w:szCs w:val="18"/>
              </w:rPr>
              <w:t>10</w:t>
            </w:r>
          </w:p>
        </w:tc>
        <w:tc>
          <w:tcPr>
            <w:tcW w:w="1407" w:type="dxa"/>
            <w:tcBorders>
              <w:bottom w:val="single" w:sz="4" w:space="0" w:color="auto"/>
            </w:tcBorders>
          </w:tcPr>
          <w:p w14:paraId="2673A247" w14:textId="6321D201" w:rsidR="00B979D3" w:rsidRPr="00C85EF2" w:rsidRDefault="00B979D3" w:rsidP="00AD5070">
            <w:pPr>
              <w:pStyle w:val="BodyText"/>
              <w:jc w:val="left"/>
              <w:rPr>
                <w:color w:val="auto"/>
                <w:sz w:val="18"/>
                <w:szCs w:val="18"/>
              </w:rPr>
            </w:pPr>
            <w:r w:rsidRPr="00C85EF2">
              <w:rPr>
                <w:color w:val="auto"/>
                <w:sz w:val="18"/>
                <w:szCs w:val="18"/>
              </w:rPr>
              <w:t>&lt;1</w:t>
            </w:r>
          </w:p>
        </w:tc>
      </w:tr>
      <w:tr w:rsidR="00C85EF2" w:rsidRPr="00C85EF2" w14:paraId="64FDDC8F" w14:textId="77777777" w:rsidTr="00B979D3">
        <w:tc>
          <w:tcPr>
            <w:tcW w:w="3276" w:type="dxa"/>
            <w:tcBorders>
              <w:bottom w:val="single" w:sz="4" w:space="0" w:color="auto"/>
            </w:tcBorders>
          </w:tcPr>
          <w:p w14:paraId="11843D77" w14:textId="413DA83D" w:rsidR="00B979D3" w:rsidRPr="00C85EF2" w:rsidRDefault="00B979D3" w:rsidP="00AD5070">
            <w:pPr>
              <w:pStyle w:val="BodyText"/>
              <w:ind w:left="180"/>
              <w:jc w:val="left"/>
              <w:rPr>
                <w:color w:val="auto"/>
                <w:sz w:val="18"/>
                <w:szCs w:val="20"/>
              </w:rPr>
            </w:pPr>
            <w:r w:rsidRPr="00C85EF2">
              <w:rPr>
                <w:color w:val="auto"/>
                <w:sz w:val="18"/>
                <w:szCs w:val="20"/>
              </w:rPr>
              <w:t>Increased magnesium</w:t>
            </w:r>
          </w:p>
        </w:tc>
        <w:tc>
          <w:tcPr>
            <w:tcW w:w="1537" w:type="dxa"/>
            <w:tcBorders>
              <w:bottom w:val="single" w:sz="4" w:space="0" w:color="auto"/>
            </w:tcBorders>
            <w:vAlign w:val="bottom"/>
          </w:tcPr>
          <w:p w14:paraId="1936A68B" w14:textId="77777777" w:rsidR="00B979D3" w:rsidRPr="00C85EF2" w:rsidRDefault="00B979D3" w:rsidP="00AD5070">
            <w:pPr>
              <w:pStyle w:val="BodyText"/>
              <w:jc w:val="left"/>
              <w:rPr>
                <w:color w:val="auto"/>
                <w:sz w:val="18"/>
                <w:szCs w:val="20"/>
              </w:rPr>
            </w:pPr>
            <w:r w:rsidRPr="00C85EF2">
              <w:rPr>
                <w:color w:val="auto"/>
                <w:sz w:val="18"/>
                <w:szCs w:val="20"/>
              </w:rPr>
              <w:t>12</w:t>
            </w:r>
          </w:p>
        </w:tc>
        <w:tc>
          <w:tcPr>
            <w:tcW w:w="1720" w:type="dxa"/>
            <w:tcBorders>
              <w:bottom w:val="single" w:sz="4" w:space="0" w:color="auto"/>
            </w:tcBorders>
            <w:vAlign w:val="bottom"/>
          </w:tcPr>
          <w:p w14:paraId="609FF1B2" w14:textId="77777777" w:rsidR="00B979D3" w:rsidRPr="00C85EF2" w:rsidRDefault="00B979D3" w:rsidP="00AD5070">
            <w:pPr>
              <w:pStyle w:val="BodyText"/>
              <w:jc w:val="left"/>
              <w:rPr>
                <w:color w:val="auto"/>
                <w:sz w:val="18"/>
                <w:szCs w:val="20"/>
              </w:rPr>
            </w:pPr>
            <w:r w:rsidRPr="00C85EF2">
              <w:rPr>
                <w:color w:val="auto"/>
                <w:sz w:val="18"/>
                <w:szCs w:val="20"/>
              </w:rPr>
              <w:t>3</w:t>
            </w:r>
          </w:p>
        </w:tc>
        <w:tc>
          <w:tcPr>
            <w:tcW w:w="1415" w:type="dxa"/>
            <w:tcBorders>
              <w:bottom w:val="single" w:sz="4" w:space="0" w:color="auto"/>
            </w:tcBorders>
            <w:vAlign w:val="bottom"/>
          </w:tcPr>
          <w:p w14:paraId="73081347" w14:textId="77777777" w:rsidR="00B979D3" w:rsidRPr="00C85EF2" w:rsidRDefault="00B979D3" w:rsidP="00AD5070">
            <w:pPr>
              <w:pStyle w:val="BodyText"/>
              <w:jc w:val="left"/>
              <w:rPr>
                <w:color w:val="auto"/>
                <w:sz w:val="18"/>
                <w:szCs w:val="20"/>
              </w:rPr>
            </w:pPr>
            <w:r w:rsidRPr="00C85EF2">
              <w:rPr>
                <w:color w:val="auto"/>
                <w:sz w:val="18"/>
                <w:szCs w:val="20"/>
              </w:rPr>
              <w:t>20</w:t>
            </w:r>
          </w:p>
        </w:tc>
        <w:tc>
          <w:tcPr>
            <w:tcW w:w="1407" w:type="dxa"/>
            <w:tcBorders>
              <w:bottom w:val="single" w:sz="4" w:space="0" w:color="auto"/>
            </w:tcBorders>
            <w:vAlign w:val="bottom"/>
          </w:tcPr>
          <w:p w14:paraId="17D86DED" w14:textId="77777777" w:rsidR="00B979D3" w:rsidRPr="00C85EF2" w:rsidRDefault="00B979D3" w:rsidP="00AD5070">
            <w:pPr>
              <w:pStyle w:val="BodyText"/>
              <w:jc w:val="left"/>
              <w:rPr>
                <w:color w:val="auto"/>
                <w:sz w:val="18"/>
                <w:szCs w:val="20"/>
              </w:rPr>
            </w:pPr>
            <w:r w:rsidRPr="00C85EF2">
              <w:rPr>
                <w:color w:val="auto"/>
                <w:sz w:val="18"/>
                <w:szCs w:val="20"/>
              </w:rPr>
              <w:t>5</w:t>
            </w:r>
          </w:p>
        </w:tc>
      </w:tr>
      <w:tr w:rsidR="00C85EF2" w:rsidRPr="00C85EF2" w14:paraId="2100895B" w14:textId="77777777" w:rsidTr="00B979D3">
        <w:tc>
          <w:tcPr>
            <w:tcW w:w="3276" w:type="dxa"/>
            <w:tcBorders>
              <w:bottom w:val="single" w:sz="4" w:space="0" w:color="auto"/>
            </w:tcBorders>
            <w:vAlign w:val="bottom"/>
          </w:tcPr>
          <w:p w14:paraId="7A035461" w14:textId="3801D654" w:rsidR="00B979D3" w:rsidRPr="00C85EF2" w:rsidRDefault="00B979D3" w:rsidP="00AD5070">
            <w:pPr>
              <w:pStyle w:val="BodyText"/>
              <w:keepNext/>
              <w:jc w:val="left"/>
              <w:rPr>
                <w:b/>
                <w:bCs/>
                <w:color w:val="auto"/>
                <w:sz w:val="18"/>
                <w:szCs w:val="20"/>
              </w:rPr>
            </w:pPr>
            <w:r w:rsidRPr="00C85EF2">
              <w:rPr>
                <w:b/>
                <w:bCs/>
                <w:color w:val="auto"/>
                <w:sz w:val="18"/>
                <w:szCs w:val="20"/>
              </w:rPr>
              <w:t>Haematology</w:t>
            </w:r>
          </w:p>
        </w:tc>
        <w:tc>
          <w:tcPr>
            <w:tcW w:w="1537" w:type="dxa"/>
            <w:tcBorders>
              <w:bottom w:val="single" w:sz="4" w:space="0" w:color="auto"/>
            </w:tcBorders>
            <w:vAlign w:val="bottom"/>
          </w:tcPr>
          <w:p w14:paraId="6CC905CC" w14:textId="77777777" w:rsidR="00B979D3" w:rsidRPr="00C85EF2" w:rsidRDefault="00B979D3" w:rsidP="00AD5070">
            <w:pPr>
              <w:pStyle w:val="BodyText"/>
              <w:jc w:val="left"/>
              <w:rPr>
                <w:color w:val="auto"/>
                <w:sz w:val="18"/>
                <w:szCs w:val="20"/>
              </w:rPr>
            </w:pPr>
          </w:p>
        </w:tc>
        <w:tc>
          <w:tcPr>
            <w:tcW w:w="1720" w:type="dxa"/>
            <w:tcBorders>
              <w:bottom w:val="single" w:sz="4" w:space="0" w:color="auto"/>
            </w:tcBorders>
            <w:vAlign w:val="bottom"/>
          </w:tcPr>
          <w:p w14:paraId="76F046FC" w14:textId="77777777" w:rsidR="00B979D3" w:rsidRPr="00C85EF2" w:rsidRDefault="00B979D3" w:rsidP="00AD5070">
            <w:pPr>
              <w:pStyle w:val="BodyText"/>
              <w:jc w:val="left"/>
              <w:rPr>
                <w:color w:val="auto"/>
                <w:sz w:val="18"/>
                <w:szCs w:val="20"/>
              </w:rPr>
            </w:pPr>
          </w:p>
        </w:tc>
        <w:tc>
          <w:tcPr>
            <w:tcW w:w="1415" w:type="dxa"/>
            <w:tcBorders>
              <w:bottom w:val="single" w:sz="4" w:space="0" w:color="auto"/>
            </w:tcBorders>
          </w:tcPr>
          <w:p w14:paraId="7AE036B1" w14:textId="77777777" w:rsidR="00B979D3" w:rsidRPr="00C85EF2" w:rsidRDefault="00B979D3" w:rsidP="00AD5070">
            <w:pPr>
              <w:pStyle w:val="BodyText"/>
              <w:jc w:val="left"/>
              <w:rPr>
                <w:color w:val="auto"/>
                <w:sz w:val="18"/>
                <w:szCs w:val="20"/>
              </w:rPr>
            </w:pPr>
          </w:p>
        </w:tc>
        <w:tc>
          <w:tcPr>
            <w:tcW w:w="1407" w:type="dxa"/>
            <w:tcBorders>
              <w:bottom w:val="single" w:sz="4" w:space="0" w:color="auto"/>
            </w:tcBorders>
          </w:tcPr>
          <w:p w14:paraId="069F1BF7" w14:textId="77777777" w:rsidR="00B979D3" w:rsidRPr="00C85EF2" w:rsidRDefault="00B979D3" w:rsidP="00AD5070">
            <w:pPr>
              <w:pStyle w:val="BodyText"/>
              <w:jc w:val="left"/>
              <w:rPr>
                <w:color w:val="auto"/>
                <w:sz w:val="18"/>
                <w:szCs w:val="20"/>
              </w:rPr>
            </w:pPr>
          </w:p>
        </w:tc>
      </w:tr>
      <w:tr w:rsidR="00C85EF2" w:rsidRPr="00C85EF2" w14:paraId="78DBB9E8" w14:textId="77777777" w:rsidTr="00B979D3">
        <w:tc>
          <w:tcPr>
            <w:tcW w:w="3276" w:type="dxa"/>
          </w:tcPr>
          <w:p w14:paraId="2CA22B7F" w14:textId="47269E35" w:rsidR="00B979D3" w:rsidRPr="00C85EF2" w:rsidRDefault="00B979D3" w:rsidP="00AD5070">
            <w:pPr>
              <w:pStyle w:val="BodyText"/>
              <w:ind w:left="180"/>
              <w:jc w:val="left"/>
              <w:rPr>
                <w:color w:val="auto"/>
                <w:sz w:val="18"/>
                <w:szCs w:val="20"/>
              </w:rPr>
            </w:pPr>
            <w:r w:rsidRPr="00C85EF2">
              <w:rPr>
                <w:color w:val="auto"/>
                <w:sz w:val="18"/>
                <w:szCs w:val="20"/>
              </w:rPr>
              <w:t>Decreased platelet count</w:t>
            </w:r>
          </w:p>
        </w:tc>
        <w:tc>
          <w:tcPr>
            <w:tcW w:w="1537" w:type="dxa"/>
            <w:vAlign w:val="bottom"/>
          </w:tcPr>
          <w:p w14:paraId="646B6CE5" w14:textId="77777777" w:rsidR="00B979D3" w:rsidRPr="00C85EF2" w:rsidRDefault="00B979D3" w:rsidP="00AD5070">
            <w:pPr>
              <w:pStyle w:val="BodyText"/>
              <w:jc w:val="left"/>
              <w:rPr>
                <w:color w:val="auto"/>
                <w:sz w:val="18"/>
                <w:szCs w:val="20"/>
              </w:rPr>
            </w:pPr>
            <w:r w:rsidRPr="00C85EF2">
              <w:rPr>
                <w:color w:val="auto"/>
                <w:sz w:val="18"/>
                <w:szCs w:val="20"/>
              </w:rPr>
              <w:t>52</w:t>
            </w:r>
          </w:p>
        </w:tc>
        <w:tc>
          <w:tcPr>
            <w:tcW w:w="1720" w:type="dxa"/>
            <w:vAlign w:val="bottom"/>
          </w:tcPr>
          <w:p w14:paraId="083D6B28" w14:textId="77777777" w:rsidR="00B979D3" w:rsidRPr="00C85EF2" w:rsidRDefault="00B979D3" w:rsidP="00AD5070">
            <w:pPr>
              <w:pStyle w:val="BodyText"/>
              <w:jc w:val="left"/>
              <w:rPr>
                <w:color w:val="auto"/>
                <w:sz w:val="18"/>
                <w:szCs w:val="20"/>
              </w:rPr>
            </w:pPr>
            <w:r w:rsidRPr="00C85EF2">
              <w:rPr>
                <w:color w:val="auto"/>
                <w:sz w:val="18"/>
                <w:szCs w:val="20"/>
              </w:rPr>
              <w:t>1</w:t>
            </w:r>
          </w:p>
        </w:tc>
        <w:tc>
          <w:tcPr>
            <w:tcW w:w="1415" w:type="dxa"/>
            <w:vAlign w:val="bottom"/>
          </w:tcPr>
          <w:p w14:paraId="37448877" w14:textId="77777777" w:rsidR="00B979D3" w:rsidRPr="00C85EF2" w:rsidRDefault="00B979D3" w:rsidP="00AD5070">
            <w:pPr>
              <w:pStyle w:val="BodyText"/>
              <w:jc w:val="left"/>
              <w:rPr>
                <w:color w:val="auto"/>
                <w:sz w:val="18"/>
                <w:szCs w:val="20"/>
              </w:rPr>
            </w:pPr>
            <w:r w:rsidRPr="00C85EF2">
              <w:rPr>
                <w:color w:val="auto"/>
                <w:sz w:val="18"/>
                <w:szCs w:val="20"/>
              </w:rPr>
              <w:t>57</w:t>
            </w:r>
          </w:p>
        </w:tc>
        <w:tc>
          <w:tcPr>
            <w:tcW w:w="1407" w:type="dxa"/>
            <w:vAlign w:val="bottom"/>
          </w:tcPr>
          <w:p w14:paraId="5B341A24" w14:textId="77777777" w:rsidR="00B979D3" w:rsidRPr="00C85EF2" w:rsidRDefault="00B979D3" w:rsidP="00AD5070">
            <w:pPr>
              <w:pStyle w:val="BodyText"/>
              <w:jc w:val="left"/>
              <w:rPr>
                <w:color w:val="auto"/>
                <w:sz w:val="18"/>
                <w:szCs w:val="20"/>
              </w:rPr>
            </w:pPr>
            <w:r w:rsidRPr="00C85EF2">
              <w:rPr>
                <w:color w:val="auto"/>
                <w:sz w:val="18"/>
                <w:szCs w:val="20"/>
              </w:rPr>
              <w:t>1</w:t>
            </w:r>
          </w:p>
        </w:tc>
      </w:tr>
      <w:tr w:rsidR="00C85EF2" w:rsidRPr="00C85EF2" w14:paraId="66190077" w14:textId="77777777" w:rsidTr="00B979D3">
        <w:tc>
          <w:tcPr>
            <w:tcW w:w="3276" w:type="dxa"/>
          </w:tcPr>
          <w:p w14:paraId="2077E987" w14:textId="4AF4692A" w:rsidR="00B979D3" w:rsidRPr="00C85EF2" w:rsidRDefault="00B979D3" w:rsidP="00AD5070">
            <w:pPr>
              <w:pStyle w:val="BodyText"/>
              <w:ind w:left="180"/>
              <w:jc w:val="left"/>
              <w:rPr>
                <w:color w:val="auto"/>
                <w:sz w:val="18"/>
                <w:szCs w:val="20"/>
              </w:rPr>
            </w:pPr>
            <w:r w:rsidRPr="00C85EF2">
              <w:rPr>
                <w:color w:val="auto"/>
                <w:sz w:val="18"/>
                <w:szCs w:val="20"/>
              </w:rPr>
              <w:t>Decreased haemoglobin</w:t>
            </w:r>
          </w:p>
        </w:tc>
        <w:tc>
          <w:tcPr>
            <w:tcW w:w="1537" w:type="dxa"/>
            <w:vAlign w:val="bottom"/>
          </w:tcPr>
          <w:p w14:paraId="3346976B" w14:textId="77777777" w:rsidR="00B979D3" w:rsidRPr="00C85EF2" w:rsidRDefault="00B979D3" w:rsidP="00AD5070">
            <w:pPr>
              <w:pStyle w:val="BodyText"/>
              <w:jc w:val="left"/>
              <w:rPr>
                <w:color w:val="auto"/>
                <w:sz w:val="18"/>
                <w:szCs w:val="20"/>
              </w:rPr>
            </w:pPr>
            <w:r w:rsidRPr="00C85EF2">
              <w:rPr>
                <w:color w:val="auto"/>
                <w:sz w:val="18"/>
                <w:szCs w:val="20"/>
              </w:rPr>
              <w:t>47</w:t>
            </w:r>
          </w:p>
        </w:tc>
        <w:tc>
          <w:tcPr>
            <w:tcW w:w="1720" w:type="dxa"/>
            <w:vAlign w:val="bottom"/>
          </w:tcPr>
          <w:p w14:paraId="362BA044" w14:textId="77777777" w:rsidR="00B979D3" w:rsidRPr="00C85EF2" w:rsidRDefault="00B979D3" w:rsidP="00AD5070">
            <w:pPr>
              <w:pStyle w:val="BodyText"/>
              <w:jc w:val="left"/>
              <w:rPr>
                <w:color w:val="auto"/>
                <w:sz w:val="18"/>
                <w:szCs w:val="20"/>
              </w:rPr>
            </w:pPr>
            <w:r w:rsidRPr="00C85EF2">
              <w:rPr>
                <w:color w:val="auto"/>
                <w:sz w:val="18"/>
                <w:szCs w:val="20"/>
              </w:rPr>
              <w:t>4</w:t>
            </w:r>
          </w:p>
        </w:tc>
        <w:tc>
          <w:tcPr>
            <w:tcW w:w="1415" w:type="dxa"/>
            <w:vAlign w:val="bottom"/>
          </w:tcPr>
          <w:p w14:paraId="42B0139D" w14:textId="77777777" w:rsidR="00B979D3" w:rsidRPr="00C85EF2" w:rsidRDefault="00B979D3" w:rsidP="00AD5070">
            <w:pPr>
              <w:pStyle w:val="BodyText"/>
              <w:jc w:val="left"/>
              <w:rPr>
                <w:color w:val="auto"/>
                <w:sz w:val="18"/>
                <w:szCs w:val="20"/>
              </w:rPr>
            </w:pPr>
            <w:r w:rsidRPr="00C85EF2">
              <w:rPr>
                <w:color w:val="auto"/>
                <w:sz w:val="18"/>
                <w:szCs w:val="20"/>
              </w:rPr>
              <w:t>56</w:t>
            </w:r>
          </w:p>
        </w:tc>
        <w:tc>
          <w:tcPr>
            <w:tcW w:w="1407" w:type="dxa"/>
            <w:vAlign w:val="bottom"/>
          </w:tcPr>
          <w:p w14:paraId="77ED4FBD" w14:textId="77777777" w:rsidR="00B979D3" w:rsidRPr="00C85EF2" w:rsidRDefault="00B979D3" w:rsidP="00AD5070">
            <w:pPr>
              <w:pStyle w:val="BodyText"/>
              <w:jc w:val="left"/>
              <w:rPr>
                <w:color w:val="auto"/>
                <w:sz w:val="18"/>
                <w:szCs w:val="20"/>
              </w:rPr>
            </w:pPr>
            <w:r w:rsidRPr="00C85EF2">
              <w:rPr>
                <w:color w:val="auto"/>
                <w:sz w:val="18"/>
                <w:szCs w:val="20"/>
              </w:rPr>
              <w:t>2</w:t>
            </w:r>
          </w:p>
        </w:tc>
      </w:tr>
      <w:tr w:rsidR="00C85EF2" w:rsidRPr="00C85EF2" w14:paraId="4B69629D" w14:textId="77777777" w:rsidTr="00B979D3">
        <w:tc>
          <w:tcPr>
            <w:tcW w:w="3276" w:type="dxa"/>
          </w:tcPr>
          <w:p w14:paraId="6833CA57" w14:textId="52ED53CE" w:rsidR="00B979D3" w:rsidRPr="00C85EF2" w:rsidRDefault="00B979D3" w:rsidP="00AD5070">
            <w:pPr>
              <w:pStyle w:val="BodyText"/>
              <w:ind w:left="180"/>
              <w:jc w:val="left"/>
              <w:rPr>
                <w:color w:val="auto"/>
                <w:sz w:val="18"/>
                <w:szCs w:val="20"/>
              </w:rPr>
            </w:pPr>
            <w:r w:rsidRPr="00C85EF2">
              <w:rPr>
                <w:color w:val="auto"/>
                <w:sz w:val="18"/>
                <w:szCs w:val="20"/>
              </w:rPr>
              <w:t>Decreased white blood dell</w:t>
            </w:r>
          </w:p>
        </w:tc>
        <w:tc>
          <w:tcPr>
            <w:tcW w:w="1537" w:type="dxa"/>
            <w:vAlign w:val="bottom"/>
          </w:tcPr>
          <w:p w14:paraId="25E66823" w14:textId="77777777" w:rsidR="00B979D3" w:rsidRPr="00C85EF2" w:rsidRDefault="00B979D3" w:rsidP="00AD5070">
            <w:pPr>
              <w:pStyle w:val="BodyText"/>
              <w:jc w:val="left"/>
              <w:rPr>
                <w:color w:val="auto"/>
                <w:sz w:val="18"/>
                <w:szCs w:val="20"/>
              </w:rPr>
            </w:pPr>
            <w:r w:rsidRPr="00C85EF2">
              <w:rPr>
                <w:color w:val="auto"/>
                <w:sz w:val="18"/>
                <w:szCs w:val="20"/>
              </w:rPr>
              <w:t>38</w:t>
            </w:r>
          </w:p>
        </w:tc>
        <w:tc>
          <w:tcPr>
            <w:tcW w:w="1720" w:type="dxa"/>
            <w:vAlign w:val="bottom"/>
          </w:tcPr>
          <w:p w14:paraId="1335DC36" w14:textId="77777777" w:rsidR="00B979D3" w:rsidRPr="00C85EF2" w:rsidRDefault="00B979D3" w:rsidP="00AD5070">
            <w:pPr>
              <w:pStyle w:val="BodyText"/>
              <w:jc w:val="left"/>
              <w:rPr>
                <w:color w:val="auto"/>
                <w:sz w:val="18"/>
                <w:szCs w:val="20"/>
              </w:rPr>
            </w:pPr>
            <w:r w:rsidRPr="00C85EF2">
              <w:rPr>
                <w:color w:val="auto"/>
                <w:sz w:val="18"/>
                <w:szCs w:val="20"/>
              </w:rPr>
              <w:t>1</w:t>
            </w:r>
          </w:p>
        </w:tc>
        <w:tc>
          <w:tcPr>
            <w:tcW w:w="1415" w:type="dxa"/>
            <w:vAlign w:val="bottom"/>
          </w:tcPr>
          <w:p w14:paraId="144DC0C3" w14:textId="77777777" w:rsidR="00B979D3" w:rsidRPr="00C85EF2" w:rsidRDefault="00B979D3" w:rsidP="00AD5070">
            <w:pPr>
              <w:pStyle w:val="BodyText"/>
              <w:jc w:val="left"/>
              <w:rPr>
                <w:color w:val="auto"/>
                <w:sz w:val="18"/>
                <w:szCs w:val="20"/>
              </w:rPr>
            </w:pPr>
            <w:r w:rsidRPr="00C85EF2">
              <w:rPr>
                <w:color w:val="auto"/>
                <w:sz w:val="18"/>
                <w:szCs w:val="20"/>
              </w:rPr>
              <w:t>66</w:t>
            </w:r>
          </w:p>
        </w:tc>
        <w:tc>
          <w:tcPr>
            <w:tcW w:w="1407" w:type="dxa"/>
            <w:vAlign w:val="bottom"/>
          </w:tcPr>
          <w:p w14:paraId="05E8B4B6" w14:textId="77777777" w:rsidR="00B979D3" w:rsidRPr="00C85EF2" w:rsidRDefault="00B979D3" w:rsidP="00AD5070">
            <w:pPr>
              <w:pStyle w:val="BodyText"/>
              <w:jc w:val="left"/>
              <w:rPr>
                <w:color w:val="auto"/>
                <w:sz w:val="18"/>
                <w:szCs w:val="20"/>
              </w:rPr>
            </w:pPr>
            <w:r w:rsidRPr="00C85EF2">
              <w:rPr>
                <w:color w:val="auto"/>
                <w:sz w:val="18"/>
                <w:szCs w:val="20"/>
              </w:rPr>
              <w:t>1</w:t>
            </w:r>
          </w:p>
        </w:tc>
      </w:tr>
      <w:tr w:rsidR="00C85EF2" w:rsidRPr="00C85EF2" w14:paraId="09D56055" w14:textId="77777777" w:rsidTr="00B979D3">
        <w:tc>
          <w:tcPr>
            <w:tcW w:w="3276" w:type="dxa"/>
          </w:tcPr>
          <w:p w14:paraId="24F8F93A" w14:textId="283074D2" w:rsidR="00B979D3" w:rsidRPr="00C85EF2" w:rsidRDefault="00B979D3" w:rsidP="00AD5070">
            <w:pPr>
              <w:pStyle w:val="BodyText"/>
              <w:ind w:left="180"/>
              <w:jc w:val="left"/>
              <w:rPr>
                <w:color w:val="auto"/>
                <w:sz w:val="18"/>
                <w:szCs w:val="20"/>
              </w:rPr>
            </w:pPr>
            <w:r w:rsidRPr="00C85EF2">
              <w:rPr>
                <w:color w:val="auto"/>
                <w:sz w:val="18"/>
                <w:szCs w:val="20"/>
              </w:rPr>
              <w:t>Decreased neutrophil count</w:t>
            </w:r>
          </w:p>
        </w:tc>
        <w:tc>
          <w:tcPr>
            <w:tcW w:w="1537" w:type="dxa"/>
            <w:vAlign w:val="bottom"/>
          </w:tcPr>
          <w:p w14:paraId="7E7DF7E3" w14:textId="77777777" w:rsidR="00B979D3" w:rsidRPr="00C85EF2" w:rsidRDefault="00B979D3" w:rsidP="00AD5070">
            <w:pPr>
              <w:pStyle w:val="BodyText"/>
              <w:jc w:val="left"/>
              <w:rPr>
                <w:color w:val="auto"/>
                <w:sz w:val="18"/>
                <w:szCs w:val="20"/>
              </w:rPr>
            </w:pPr>
            <w:r w:rsidRPr="00C85EF2">
              <w:rPr>
                <w:color w:val="auto"/>
                <w:sz w:val="18"/>
                <w:szCs w:val="20"/>
              </w:rPr>
              <w:t>15</w:t>
            </w:r>
          </w:p>
        </w:tc>
        <w:tc>
          <w:tcPr>
            <w:tcW w:w="1720" w:type="dxa"/>
            <w:vAlign w:val="bottom"/>
          </w:tcPr>
          <w:p w14:paraId="419BCD28" w14:textId="77777777" w:rsidR="00B979D3" w:rsidRPr="00C85EF2" w:rsidRDefault="00B979D3" w:rsidP="00AD5070">
            <w:pPr>
              <w:pStyle w:val="BodyText"/>
              <w:jc w:val="left"/>
              <w:rPr>
                <w:color w:val="auto"/>
                <w:sz w:val="18"/>
                <w:szCs w:val="20"/>
              </w:rPr>
            </w:pPr>
            <w:r w:rsidRPr="00C85EF2">
              <w:rPr>
                <w:color w:val="auto"/>
                <w:sz w:val="18"/>
                <w:szCs w:val="20"/>
              </w:rPr>
              <w:t>1</w:t>
            </w:r>
          </w:p>
        </w:tc>
        <w:tc>
          <w:tcPr>
            <w:tcW w:w="1415" w:type="dxa"/>
            <w:vAlign w:val="bottom"/>
          </w:tcPr>
          <w:p w14:paraId="111A3D98" w14:textId="77777777" w:rsidR="00B979D3" w:rsidRPr="00C85EF2" w:rsidRDefault="00B979D3" w:rsidP="00AD5070">
            <w:pPr>
              <w:pStyle w:val="BodyText"/>
              <w:jc w:val="left"/>
              <w:rPr>
                <w:color w:val="auto"/>
                <w:sz w:val="18"/>
                <w:szCs w:val="20"/>
              </w:rPr>
            </w:pPr>
            <w:r w:rsidRPr="00C85EF2">
              <w:rPr>
                <w:color w:val="auto"/>
                <w:sz w:val="18"/>
                <w:szCs w:val="20"/>
              </w:rPr>
              <w:t>33</w:t>
            </w:r>
          </w:p>
        </w:tc>
        <w:tc>
          <w:tcPr>
            <w:tcW w:w="1407" w:type="dxa"/>
            <w:vAlign w:val="bottom"/>
          </w:tcPr>
          <w:p w14:paraId="36B99D54" w14:textId="77777777" w:rsidR="00B979D3" w:rsidRPr="00C85EF2" w:rsidRDefault="00B979D3" w:rsidP="00AD5070">
            <w:pPr>
              <w:pStyle w:val="BodyText"/>
              <w:jc w:val="left"/>
              <w:rPr>
                <w:color w:val="auto"/>
                <w:sz w:val="18"/>
                <w:szCs w:val="20"/>
              </w:rPr>
            </w:pPr>
            <w:r w:rsidRPr="00C85EF2">
              <w:rPr>
                <w:color w:val="auto"/>
                <w:sz w:val="18"/>
                <w:szCs w:val="20"/>
              </w:rPr>
              <w:t>1</w:t>
            </w:r>
          </w:p>
        </w:tc>
      </w:tr>
      <w:tr w:rsidR="00C85EF2" w:rsidRPr="00C85EF2" w14:paraId="1B0FDCD8" w14:textId="77777777" w:rsidTr="00B979D3">
        <w:tc>
          <w:tcPr>
            <w:tcW w:w="9355" w:type="dxa"/>
            <w:gridSpan w:val="5"/>
            <w:tcBorders>
              <w:left w:val="nil"/>
              <w:bottom w:val="nil"/>
              <w:right w:val="nil"/>
            </w:tcBorders>
          </w:tcPr>
          <w:p w14:paraId="59DD54ED" w14:textId="77777777" w:rsidR="00B979D3" w:rsidRPr="00C85EF2" w:rsidRDefault="00B979D3" w:rsidP="00AD5070">
            <w:pPr>
              <w:pStyle w:val="BodyText"/>
              <w:tabs>
                <w:tab w:val="left" w:pos="360"/>
              </w:tabs>
              <w:ind w:left="284" w:hanging="284"/>
              <w:jc w:val="left"/>
              <w:rPr>
                <w:color w:val="auto"/>
                <w:sz w:val="18"/>
                <w:szCs w:val="20"/>
                <w:vertAlign w:val="superscript"/>
              </w:rPr>
            </w:pPr>
            <w:r w:rsidRPr="00C85EF2">
              <w:rPr>
                <w:color w:val="auto"/>
                <w:sz w:val="18"/>
                <w:szCs w:val="20"/>
                <w:vertAlign w:val="superscript"/>
              </w:rPr>
              <w:t>+</w:t>
            </w:r>
            <w:r w:rsidRPr="00C85EF2">
              <w:rPr>
                <w:color w:val="auto"/>
                <w:sz w:val="18"/>
                <w:szCs w:val="20"/>
              </w:rPr>
              <w:tab/>
              <w:t>The denominator used to calculate the rate is the number of patients with a baseline value and at least one post-treatment value for the specific lab test.</w:t>
            </w:r>
          </w:p>
        </w:tc>
      </w:tr>
      <w:bookmarkEnd w:id="31"/>
    </w:tbl>
    <w:p w14:paraId="4971C886" w14:textId="77777777" w:rsidR="00256C1F" w:rsidRPr="00C85EF2" w:rsidRDefault="00256C1F" w:rsidP="00AD5070">
      <w:pPr>
        <w:pStyle w:val="BodyText1"/>
        <w:jc w:val="left"/>
        <w:rPr>
          <w:bCs/>
          <w:sz w:val="18"/>
          <w:szCs w:val="18"/>
        </w:rPr>
      </w:pPr>
    </w:p>
    <w:p w14:paraId="67BF350D" w14:textId="77777777" w:rsidR="00C75802" w:rsidRPr="00C85EF2" w:rsidRDefault="00C75802" w:rsidP="00AD5070">
      <w:pPr>
        <w:pStyle w:val="BodyText1"/>
        <w:jc w:val="left"/>
        <w:rPr>
          <w:rFonts w:eastAsia="Times New Roman" w:cs="Arial"/>
          <w:b/>
          <w:bCs/>
          <w:szCs w:val="22"/>
        </w:rPr>
      </w:pPr>
      <w:r w:rsidRPr="00C85EF2">
        <w:rPr>
          <w:rFonts w:eastAsia="Times New Roman" w:cs="Arial"/>
          <w:b/>
          <w:bCs/>
          <w:szCs w:val="22"/>
        </w:rPr>
        <w:t>Description of selected adverse reactions</w:t>
      </w:r>
    </w:p>
    <w:p w14:paraId="2D6334D3" w14:textId="77777777" w:rsidR="00C75802" w:rsidRPr="00C85EF2" w:rsidRDefault="00C75802" w:rsidP="00AD5070">
      <w:pPr>
        <w:pStyle w:val="BodyText1"/>
        <w:jc w:val="left"/>
        <w:rPr>
          <w:rFonts w:eastAsia="Times New Roman" w:cs="Arial"/>
          <w:i/>
          <w:iCs/>
          <w:szCs w:val="22"/>
          <w:u w:val="single"/>
        </w:rPr>
      </w:pPr>
      <w:r w:rsidRPr="00C85EF2">
        <w:rPr>
          <w:rFonts w:eastAsia="Times New Roman" w:cs="Arial"/>
          <w:i/>
          <w:iCs/>
          <w:szCs w:val="22"/>
          <w:u w:val="single"/>
        </w:rPr>
        <w:t>Venous thromboembolism</w:t>
      </w:r>
    </w:p>
    <w:p w14:paraId="1936364B" w14:textId="2A3B9F8C" w:rsidR="00C75802" w:rsidRPr="00C85EF2" w:rsidRDefault="00C75802" w:rsidP="00AD5070">
      <w:pPr>
        <w:pStyle w:val="BodyText1"/>
        <w:jc w:val="left"/>
        <w:rPr>
          <w:rFonts w:eastAsia="Times New Roman" w:cs="Arial"/>
          <w:szCs w:val="22"/>
        </w:rPr>
      </w:pPr>
      <w:r w:rsidRPr="00C85EF2">
        <w:rPr>
          <w:rFonts w:eastAsia="Times New Roman" w:cs="Arial"/>
          <w:szCs w:val="22"/>
        </w:rPr>
        <w:t>Venous thromboembolic (VTE) events, including deep vein thrombosis and pulmonary embolism (PE), were reported in 36% of patients receiving lazertinib in combination with amivantamab. Most cases were Grade 1 or 2, with Grade 3-4 events occurring in 11% and deaths occurring in 0.5% of patients receiving lazertinib in combination with amivantamab. For information on prophylactic anticoagulants and management of VTE events, see sections 4.2 and 4.4.</w:t>
      </w:r>
    </w:p>
    <w:p w14:paraId="2055ADED" w14:textId="76EB4F03" w:rsidR="00C75802" w:rsidRPr="00C85EF2" w:rsidRDefault="00C75802" w:rsidP="00AD5070">
      <w:pPr>
        <w:pStyle w:val="BodyText1"/>
        <w:jc w:val="left"/>
        <w:rPr>
          <w:rFonts w:eastAsia="Times New Roman" w:cs="Arial"/>
          <w:szCs w:val="22"/>
        </w:rPr>
      </w:pPr>
      <w:r w:rsidRPr="00C85EF2">
        <w:rPr>
          <w:rFonts w:eastAsia="Times New Roman" w:cs="Arial"/>
          <w:szCs w:val="22"/>
        </w:rPr>
        <w:lastRenderedPageBreak/>
        <w:t>In patients receiving lazertinib in combination with amivantamab, the median time to first onset of a VTE event was 84 days. VTE events led to</w:t>
      </w:r>
      <w:r w:rsidR="00732C03" w:rsidRPr="00C85EF2">
        <w:rPr>
          <w:rFonts w:eastAsia="Times New Roman" w:cs="Arial"/>
          <w:szCs w:val="22"/>
        </w:rPr>
        <w:t xml:space="preserve"> lazertinib </w:t>
      </w:r>
      <w:r w:rsidRPr="00C85EF2">
        <w:rPr>
          <w:rFonts w:eastAsia="Times New Roman" w:cs="Arial"/>
          <w:szCs w:val="22"/>
        </w:rPr>
        <w:t xml:space="preserve">discontinuation in </w:t>
      </w:r>
      <w:r w:rsidR="00732C03" w:rsidRPr="00C85EF2">
        <w:rPr>
          <w:rFonts w:eastAsia="Times New Roman" w:cs="Arial"/>
          <w:szCs w:val="22"/>
        </w:rPr>
        <w:t>1</w:t>
      </w:r>
      <w:r w:rsidRPr="00C85EF2">
        <w:rPr>
          <w:rFonts w:eastAsia="Times New Roman" w:cs="Arial"/>
          <w:szCs w:val="22"/>
        </w:rPr>
        <w:t>.9% of patients.</w:t>
      </w:r>
    </w:p>
    <w:p w14:paraId="11FE2A0D" w14:textId="77777777" w:rsidR="00C75802" w:rsidRPr="00C85EF2" w:rsidRDefault="00C75802" w:rsidP="00AD5070">
      <w:pPr>
        <w:pStyle w:val="BodyText1"/>
        <w:jc w:val="left"/>
        <w:rPr>
          <w:rFonts w:eastAsia="Times New Roman" w:cs="Arial"/>
          <w:i/>
          <w:iCs/>
          <w:szCs w:val="22"/>
          <w:u w:val="single"/>
        </w:rPr>
      </w:pPr>
      <w:r w:rsidRPr="00C85EF2">
        <w:rPr>
          <w:rFonts w:eastAsia="Times New Roman" w:cs="Arial"/>
          <w:i/>
          <w:iCs/>
          <w:szCs w:val="22"/>
          <w:u w:val="single"/>
        </w:rPr>
        <w:t>Interstitial lung disease (ILD)/pneumonitis</w:t>
      </w:r>
    </w:p>
    <w:p w14:paraId="00ADF3AE" w14:textId="5A557F18" w:rsidR="00C75802" w:rsidRPr="00C85EF2" w:rsidRDefault="00C75802" w:rsidP="00AD5070">
      <w:pPr>
        <w:pStyle w:val="BodyText1"/>
        <w:jc w:val="left"/>
        <w:rPr>
          <w:rFonts w:eastAsia="Times New Roman"/>
        </w:rPr>
      </w:pPr>
      <w:r w:rsidRPr="00C85EF2">
        <w:rPr>
          <w:rFonts w:eastAsia="Times New Roman" w:cs="Arial"/>
          <w:szCs w:val="22"/>
        </w:rPr>
        <w:t xml:space="preserve">Interstitial lung disease or ILD-like adverse reactions (e.g., pneumonitis) have been reported with the use of lazertinib in combination with amivantamab as well as with other EGFR inhibitors. ILD or pneumonitis was reported in 3.1% of patients treated with lazertinib in combination with </w:t>
      </w:r>
      <w:r w:rsidRPr="00C85EF2">
        <w:rPr>
          <w:rFonts w:eastAsia="Times New Roman"/>
        </w:rPr>
        <w:t>amivantamab, including 0.2% fatal cases. Patients with a medical history of ILD, drug-induced ILD, radiation pneumonitis that required steroid treatment, or any evidence of clinically active ILD were excluded from the clinical study (see section 4.4).</w:t>
      </w:r>
    </w:p>
    <w:p w14:paraId="2C6A0812" w14:textId="77777777" w:rsidR="00C75802" w:rsidRPr="00C85EF2" w:rsidRDefault="00C75802" w:rsidP="00AD5070">
      <w:pPr>
        <w:pStyle w:val="BodyText1"/>
        <w:jc w:val="left"/>
        <w:rPr>
          <w:rFonts w:eastAsia="Times New Roman"/>
          <w:i/>
          <w:iCs/>
          <w:u w:val="single"/>
        </w:rPr>
      </w:pPr>
      <w:r w:rsidRPr="00C85EF2">
        <w:rPr>
          <w:rFonts w:eastAsia="Times New Roman"/>
          <w:i/>
          <w:iCs/>
          <w:u w:val="single"/>
        </w:rPr>
        <w:t>Skin and nail reactions</w:t>
      </w:r>
    </w:p>
    <w:p w14:paraId="2FE67D6F" w14:textId="1BC7CE53" w:rsidR="00C75802" w:rsidRPr="00C85EF2" w:rsidRDefault="00C75802" w:rsidP="00AD5070">
      <w:pPr>
        <w:pStyle w:val="BodyText1"/>
        <w:jc w:val="left"/>
        <w:rPr>
          <w:rFonts w:eastAsia="Times New Roman"/>
        </w:rPr>
      </w:pPr>
      <w:r w:rsidRPr="00C85EF2">
        <w:rPr>
          <w:rFonts w:eastAsia="Times New Roman"/>
        </w:rPr>
        <w:t>Rash (including dermatitis acneiform), pruritus and dry skin has occurred. Rash occurred in 86% of patients treated with lazertinib in combination with amivantamab. Most cases were Grade 1 or 2, with Grade 3 events occurring in 26% of patients. Rash leading to</w:t>
      </w:r>
      <w:r w:rsidR="00732C03" w:rsidRPr="00C85EF2">
        <w:rPr>
          <w:rFonts w:eastAsia="Times New Roman"/>
        </w:rPr>
        <w:t xml:space="preserve"> lazertinib discontinuation </w:t>
      </w:r>
      <w:r w:rsidRPr="00C85EF2">
        <w:rPr>
          <w:rFonts w:eastAsia="Times New Roman"/>
        </w:rPr>
        <w:t xml:space="preserve">occurred in </w:t>
      </w:r>
      <w:r w:rsidR="00416D23" w:rsidRPr="00C85EF2">
        <w:rPr>
          <w:rFonts w:eastAsia="Times New Roman"/>
        </w:rPr>
        <w:t>1.7</w:t>
      </w:r>
      <w:r w:rsidRPr="00C85EF2">
        <w:rPr>
          <w:rFonts w:eastAsia="Times New Roman"/>
        </w:rPr>
        <w:t>% of patients. Rash usually developed within the first 4 weeks of therapy, with a median time to onset of 14 days. Nail toxicity occurred in patients treated with lazertinib in combination with amivantamab. Most events were Grade 1 or 2, with Grade 3 nail toxicity occurring in 11% of patients (see section 4.4).</w:t>
      </w:r>
    </w:p>
    <w:p w14:paraId="3866E670" w14:textId="77777777" w:rsidR="00C75802" w:rsidRPr="00C85EF2" w:rsidRDefault="00C75802" w:rsidP="00AD5070">
      <w:pPr>
        <w:pStyle w:val="BodyText1"/>
        <w:jc w:val="left"/>
        <w:rPr>
          <w:rFonts w:eastAsia="Times New Roman"/>
          <w:i/>
          <w:iCs/>
          <w:u w:val="single"/>
        </w:rPr>
      </w:pPr>
      <w:r w:rsidRPr="00C85EF2">
        <w:rPr>
          <w:rFonts w:eastAsia="Times New Roman"/>
          <w:i/>
          <w:iCs/>
          <w:u w:val="single"/>
        </w:rPr>
        <w:t>Eye disorders</w:t>
      </w:r>
    </w:p>
    <w:p w14:paraId="64E7D8DE" w14:textId="5C423718" w:rsidR="00C75802" w:rsidRPr="00C85EF2" w:rsidRDefault="00C75802" w:rsidP="00AD5070">
      <w:pPr>
        <w:pStyle w:val="BodyText1"/>
        <w:jc w:val="left"/>
        <w:rPr>
          <w:rFonts w:eastAsia="Times New Roman"/>
        </w:rPr>
      </w:pPr>
      <w:r w:rsidRPr="00C85EF2">
        <w:rPr>
          <w:rFonts w:eastAsia="Times New Roman"/>
        </w:rPr>
        <w:t>Eye disorders, including keratitis (2.6%), occurred in patients treated with lazertinib in combination with amivantamab. Other reported adverse reactions included growth of eyelashes, visual impairment, and other eye disorders. Most events were Grade 1-2 (see section 4.4).</w:t>
      </w:r>
    </w:p>
    <w:p w14:paraId="6DBCEEEC" w14:textId="77777777" w:rsidR="00C75802" w:rsidRPr="00C85EF2" w:rsidRDefault="00C75802" w:rsidP="00AD5070">
      <w:pPr>
        <w:pStyle w:val="BodyText1"/>
        <w:jc w:val="left"/>
        <w:rPr>
          <w:rFonts w:eastAsia="Times New Roman"/>
          <w:i/>
          <w:iCs/>
          <w:u w:val="single"/>
        </w:rPr>
      </w:pPr>
      <w:r w:rsidRPr="00C85EF2">
        <w:rPr>
          <w:rFonts w:eastAsia="Times New Roman"/>
          <w:i/>
          <w:iCs/>
          <w:u w:val="single"/>
        </w:rPr>
        <w:t>Paraesthesia</w:t>
      </w:r>
    </w:p>
    <w:p w14:paraId="2086B815" w14:textId="4886D70D" w:rsidR="00C75802" w:rsidRPr="00C85EF2" w:rsidRDefault="00C75802" w:rsidP="00AD5070">
      <w:pPr>
        <w:pStyle w:val="BodyText1"/>
        <w:jc w:val="left"/>
        <w:rPr>
          <w:rFonts w:eastAsia="Times New Roman"/>
        </w:rPr>
      </w:pPr>
      <w:r w:rsidRPr="00C85EF2">
        <w:rPr>
          <w:rFonts w:eastAsia="Times New Roman"/>
        </w:rPr>
        <w:t>Paraesthesia occurred in 3</w:t>
      </w:r>
      <w:r w:rsidR="00E01A06" w:rsidRPr="00C85EF2">
        <w:rPr>
          <w:rFonts w:eastAsia="Times New Roman"/>
        </w:rPr>
        <w:t>5</w:t>
      </w:r>
      <w:r w:rsidRPr="00C85EF2">
        <w:rPr>
          <w:rFonts w:eastAsia="Times New Roman"/>
        </w:rPr>
        <w:t>% of patients treated with lazertinib in combination with amivantamab. Most events were Grade 1-2, with Grade 3 paraesthesia occurring in 1.7% of patients. Most patients with paraesthesia had resolution with dose interruption or dose reduction.</w:t>
      </w:r>
    </w:p>
    <w:p w14:paraId="6B50BAD8" w14:textId="77777777" w:rsidR="00C75802" w:rsidRPr="00C85EF2" w:rsidRDefault="00C75802" w:rsidP="00AD5070">
      <w:pPr>
        <w:pStyle w:val="BodyText1"/>
        <w:jc w:val="left"/>
        <w:rPr>
          <w:rFonts w:eastAsia="Times New Roman"/>
          <w:i/>
          <w:iCs/>
          <w:u w:val="single"/>
        </w:rPr>
      </w:pPr>
      <w:r w:rsidRPr="00C85EF2">
        <w:rPr>
          <w:rFonts w:eastAsia="Times New Roman"/>
          <w:i/>
          <w:iCs/>
          <w:u w:val="single"/>
        </w:rPr>
        <w:t>Stomatitis</w:t>
      </w:r>
    </w:p>
    <w:p w14:paraId="54D74FDC" w14:textId="12BA1AF1" w:rsidR="00C75802" w:rsidRPr="00C85EF2" w:rsidRDefault="00C75802" w:rsidP="00AD5070">
      <w:pPr>
        <w:pStyle w:val="BodyText1"/>
        <w:jc w:val="left"/>
        <w:rPr>
          <w:rFonts w:eastAsia="Times New Roman"/>
        </w:rPr>
      </w:pPr>
      <w:r w:rsidRPr="00C85EF2">
        <w:rPr>
          <w:rFonts w:eastAsia="Times New Roman"/>
        </w:rPr>
        <w:t>Stomatitis occurred in 43% of patients treated with lazertinib in combination with amivantamab. Most events were Grade 1-2, with Grade 3 stomatitis occurring in 2.4% of patients.</w:t>
      </w:r>
    </w:p>
    <w:p w14:paraId="631F837C" w14:textId="77777777" w:rsidR="00C75802" w:rsidRPr="00C85EF2" w:rsidRDefault="00C75802" w:rsidP="00AD5070">
      <w:pPr>
        <w:pStyle w:val="BodyText1"/>
        <w:jc w:val="left"/>
        <w:rPr>
          <w:rFonts w:eastAsia="Times New Roman"/>
          <w:i/>
          <w:iCs/>
          <w:u w:val="single"/>
        </w:rPr>
      </w:pPr>
      <w:r w:rsidRPr="00C85EF2">
        <w:rPr>
          <w:rFonts w:eastAsia="Times New Roman"/>
          <w:i/>
          <w:iCs/>
          <w:u w:val="single"/>
        </w:rPr>
        <w:t>Diarrhoea</w:t>
      </w:r>
    </w:p>
    <w:p w14:paraId="4298D86B" w14:textId="4199ED2D" w:rsidR="00C75802" w:rsidRPr="00C85EF2" w:rsidRDefault="00C75802" w:rsidP="00AD5070">
      <w:pPr>
        <w:pStyle w:val="BodyText1"/>
        <w:jc w:val="left"/>
        <w:rPr>
          <w:rFonts w:eastAsia="Times New Roman" w:cs="Arial"/>
          <w:szCs w:val="22"/>
        </w:rPr>
      </w:pPr>
      <w:r w:rsidRPr="00C85EF2">
        <w:rPr>
          <w:rFonts w:eastAsia="Times New Roman"/>
        </w:rPr>
        <w:t xml:space="preserve">Diarrhoea occurred in </w:t>
      </w:r>
      <w:r w:rsidR="00E01A06" w:rsidRPr="00C85EF2">
        <w:rPr>
          <w:rFonts w:eastAsia="Times New Roman"/>
        </w:rPr>
        <w:t>31</w:t>
      </w:r>
      <w:r w:rsidRPr="00C85EF2">
        <w:rPr>
          <w:rFonts w:eastAsia="Times New Roman"/>
        </w:rPr>
        <w:t xml:space="preserve">% of patients treated with lazertinib in combination with amivantamab. Most </w:t>
      </w:r>
      <w:r w:rsidRPr="00C85EF2">
        <w:rPr>
          <w:rFonts w:eastAsia="Times New Roman" w:cs="Arial"/>
          <w:szCs w:val="22"/>
        </w:rPr>
        <w:t>events were Grade 1-2, with Grade 3 diarrhoea occurring in 2.</w:t>
      </w:r>
      <w:r w:rsidR="00E01A06" w:rsidRPr="00C85EF2">
        <w:rPr>
          <w:rFonts w:eastAsia="Times New Roman" w:cs="Arial"/>
          <w:szCs w:val="22"/>
        </w:rPr>
        <w:t>6</w:t>
      </w:r>
      <w:r w:rsidRPr="00C85EF2">
        <w:rPr>
          <w:rFonts w:eastAsia="Times New Roman" w:cs="Arial"/>
          <w:szCs w:val="22"/>
        </w:rPr>
        <w:t>% of patients.</w:t>
      </w:r>
    </w:p>
    <w:p w14:paraId="6576A197" w14:textId="77777777" w:rsidR="00C85EF2" w:rsidRDefault="00C85EF2" w:rsidP="00AD5070">
      <w:pPr>
        <w:pStyle w:val="Heading3"/>
        <w:jc w:val="left"/>
        <w:rPr>
          <w:color w:val="auto"/>
          <w:lang w:val="en-US"/>
        </w:rPr>
      </w:pPr>
    </w:p>
    <w:p w14:paraId="61F3D0B8" w14:textId="0C098D19" w:rsidR="00367541" w:rsidRPr="00C85EF2" w:rsidRDefault="00367541" w:rsidP="00AD5070">
      <w:pPr>
        <w:pStyle w:val="Heading3"/>
        <w:jc w:val="left"/>
        <w:rPr>
          <w:color w:val="auto"/>
          <w:lang w:val="en-US"/>
        </w:rPr>
      </w:pPr>
      <w:r w:rsidRPr="00C85EF2">
        <w:rPr>
          <w:color w:val="auto"/>
          <w:lang w:val="en-US"/>
        </w:rPr>
        <w:t>Reporting suspected adverse effects</w:t>
      </w:r>
    </w:p>
    <w:p w14:paraId="5F12727F" w14:textId="5FEC377F" w:rsidR="00C2178D" w:rsidRPr="00C85EF2" w:rsidRDefault="00367541" w:rsidP="00AD5070">
      <w:pPr>
        <w:pStyle w:val="BodyText1"/>
        <w:jc w:val="left"/>
      </w:pPr>
      <w:r w:rsidRPr="00C85EF2">
        <w:rPr>
          <w:szCs w:val="22"/>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C85EF2">
          <w:rPr>
            <w:rStyle w:val="Hyperlink"/>
            <w:color w:val="auto"/>
            <w:szCs w:val="22"/>
          </w:rPr>
          <w:t>www.tga.gov.au/reporting-problems</w:t>
        </w:r>
      </w:hyperlink>
      <w:r w:rsidRPr="00C85EF2">
        <w:rPr>
          <w:szCs w:val="22"/>
        </w:rPr>
        <w:t>.</w:t>
      </w:r>
    </w:p>
    <w:p w14:paraId="7989C4A1" w14:textId="77777777" w:rsidR="00367DB2" w:rsidRPr="00C85EF2" w:rsidRDefault="00367DB2" w:rsidP="00AD5070">
      <w:pPr>
        <w:keepNext/>
        <w:tabs>
          <w:tab w:val="left" w:pos="567"/>
        </w:tabs>
        <w:rPr>
          <w:noProof/>
          <w:color w:val="auto"/>
          <w:szCs w:val="20"/>
          <w:lang w:val="en-GB"/>
        </w:rPr>
      </w:pPr>
      <w:bookmarkStart w:id="32" w:name="_Hlk11424648"/>
    </w:p>
    <w:bookmarkEnd w:id="32"/>
    <w:p w14:paraId="394FF1B1" w14:textId="0DD31AE9" w:rsidR="00D13B85" w:rsidRPr="00C85EF2" w:rsidRDefault="00D13B85" w:rsidP="00AD5070">
      <w:pPr>
        <w:pStyle w:val="Heading2"/>
        <w:numPr>
          <w:ilvl w:val="1"/>
          <w:numId w:val="18"/>
        </w:numPr>
        <w:ind w:left="426" w:hanging="426"/>
        <w:jc w:val="left"/>
        <w:rPr>
          <w:color w:val="auto"/>
        </w:rPr>
      </w:pPr>
      <w:r w:rsidRPr="00C85EF2">
        <w:rPr>
          <w:color w:val="auto"/>
        </w:rPr>
        <w:t>OVERDOSE</w:t>
      </w:r>
    </w:p>
    <w:p w14:paraId="73EECF51" w14:textId="77777777" w:rsidR="00755C88" w:rsidRPr="00C85EF2" w:rsidRDefault="00755C88" w:rsidP="00AD5070">
      <w:pPr>
        <w:pStyle w:val="Heading3"/>
        <w:jc w:val="left"/>
        <w:rPr>
          <w:color w:val="auto"/>
        </w:rPr>
      </w:pPr>
      <w:bookmarkStart w:id="33" w:name="_Hlk128652108"/>
      <w:bookmarkStart w:id="34" w:name="_Toc128303698"/>
      <w:bookmarkStart w:id="35" w:name="_Toc128305223"/>
      <w:bookmarkStart w:id="36" w:name="_Toc128305456"/>
      <w:bookmarkStart w:id="37" w:name="_Toc128306671"/>
      <w:bookmarkStart w:id="38" w:name="_Toc128307799"/>
      <w:bookmarkStart w:id="39" w:name="_Toc128307949"/>
      <w:bookmarkStart w:id="40" w:name="_Toc151795587"/>
      <w:bookmarkStart w:id="41" w:name="_Toc151796736"/>
      <w:bookmarkStart w:id="42" w:name="_Toc151796938"/>
      <w:bookmarkStart w:id="43" w:name="_Toc151801687"/>
      <w:bookmarkStart w:id="44" w:name="_Toc219801075"/>
      <w:bookmarkStart w:id="45" w:name="_Toc128303699"/>
      <w:bookmarkStart w:id="46" w:name="_Toc128305224"/>
      <w:bookmarkStart w:id="47" w:name="_Toc128305457"/>
      <w:bookmarkStart w:id="48" w:name="_Toc128306672"/>
      <w:bookmarkStart w:id="49" w:name="_Toc128307800"/>
      <w:bookmarkStart w:id="50" w:name="_Toc128307950"/>
      <w:bookmarkStart w:id="51" w:name="_Toc151795588"/>
      <w:bookmarkStart w:id="52" w:name="_Toc151796737"/>
      <w:bookmarkStart w:id="53" w:name="_Toc151796939"/>
      <w:bookmarkStart w:id="54" w:name="_Toc151801688"/>
      <w:bookmarkStart w:id="55" w:name="_Toc219801076"/>
      <w:r w:rsidRPr="00C85EF2">
        <w:rPr>
          <w:color w:val="auto"/>
        </w:rPr>
        <w:t>Symptoms and signs</w:t>
      </w:r>
    </w:p>
    <w:p w14:paraId="2B9449BE" w14:textId="6D345E86" w:rsidR="00755C88" w:rsidRPr="00C85EF2" w:rsidRDefault="00755C88" w:rsidP="00AD5070">
      <w:pPr>
        <w:pStyle w:val="BodyText"/>
        <w:jc w:val="left"/>
        <w:rPr>
          <w:color w:val="auto"/>
        </w:rPr>
      </w:pPr>
      <w:bookmarkStart w:id="56" w:name="_Hlk128652867"/>
      <w:r w:rsidRPr="00C85EF2">
        <w:rPr>
          <w:color w:val="auto"/>
        </w:rPr>
        <w:t xml:space="preserve">The maximum tolerated dose of </w:t>
      </w:r>
      <w:r w:rsidR="00FA6C25" w:rsidRPr="00C85EF2">
        <w:rPr>
          <w:color w:val="auto"/>
        </w:rPr>
        <w:t>LAZCLUZE</w:t>
      </w:r>
      <w:r w:rsidRPr="00C85EF2">
        <w:rPr>
          <w:color w:val="auto"/>
        </w:rPr>
        <w:t xml:space="preserve"> has not been determined. In clinical trials, daily doses of up to 320 mg once daily have been administered.</w:t>
      </w:r>
      <w:bookmarkEnd w:id="56"/>
    </w:p>
    <w:p w14:paraId="10AF8FA9" w14:textId="77777777" w:rsidR="00AD5070" w:rsidRDefault="00AD5070" w:rsidP="00AD5070">
      <w:pPr>
        <w:pStyle w:val="Heading3"/>
        <w:jc w:val="left"/>
        <w:rPr>
          <w:color w:val="auto"/>
        </w:rPr>
      </w:pPr>
    </w:p>
    <w:p w14:paraId="059D028E" w14:textId="77777777" w:rsidR="00AD5070" w:rsidRDefault="00AD5070" w:rsidP="00AD5070">
      <w:pPr>
        <w:pStyle w:val="Heading3"/>
        <w:jc w:val="left"/>
        <w:rPr>
          <w:color w:val="auto"/>
        </w:rPr>
      </w:pPr>
    </w:p>
    <w:p w14:paraId="72DDC67A" w14:textId="3A2702A3" w:rsidR="00755C88" w:rsidRPr="00C85EF2" w:rsidRDefault="00755C88" w:rsidP="00AD5070">
      <w:pPr>
        <w:pStyle w:val="Heading3"/>
        <w:jc w:val="left"/>
        <w:rPr>
          <w:color w:val="auto"/>
        </w:rPr>
      </w:pPr>
      <w:r w:rsidRPr="00C85EF2">
        <w:rPr>
          <w:color w:val="auto"/>
        </w:rPr>
        <w:lastRenderedPageBreak/>
        <w:t>Treatment</w:t>
      </w:r>
    </w:p>
    <w:p w14:paraId="411428F6" w14:textId="21623B33" w:rsidR="00755C88" w:rsidRPr="00C85EF2" w:rsidRDefault="00755C88" w:rsidP="00AD5070">
      <w:pPr>
        <w:pStyle w:val="BodyText"/>
        <w:jc w:val="left"/>
        <w:rPr>
          <w:color w:val="auto"/>
        </w:rPr>
      </w:pPr>
      <w:bookmarkStart w:id="57" w:name="_Hlk128652895"/>
      <w:bookmarkEnd w:id="33"/>
      <w:r w:rsidRPr="00C85EF2">
        <w:rPr>
          <w:color w:val="auto"/>
        </w:rPr>
        <w:t xml:space="preserve">There is no known specific antidote for </w:t>
      </w:r>
      <w:r w:rsidR="00FA6C25" w:rsidRPr="00C85EF2">
        <w:rPr>
          <w:color w:val="auto"/>
        </w:rPr>
        <w:t>LAZCLUZE</w:t>
      </w:r>
      <w:r w:rsidRPr="00C85EF2">
        <w:rPr>
          <w:color w:val="auto"/>
        </w:rPr>
        <w:t xml:space="preserve"> overdose. In the event of an overdose, stop </w:t>
      </w:r>
      <w:r w:rsidR="00FA6C25" w:rsidRPr="00C85EF2">
        <w:rPr>
          <w:color w:val="auto"/>
        </w:rPr>
        <w:t>LAZCLUZE</w:t>
      </w:r>
      <w:r w:rsidRPr="00C85EF2">
        <w:rPr>
          <w:color w:val="auto"/>
        </w:rPr>
        <w:t xml:space="preserve"> and undertake general supportive measures.  Patients should be closely monitored for signs or symptoms of adverse reactions.</w:t>
      </w:r>
    </w:p>
    <w:bookmarkEnd w:id="57"/>
    <w:p w14:paraId="6C2B973B" w14:textId="5E8E037D" w:rsidR="00D7179F" w:rsidRPr="00C85EF2" w:rsidRDefault="00D7179F" w:rsidP="00AD5070">
      <w:pPr>
        <w:rPr>
          <w:iCs/>
          <w:color w:val="auto"/>
        </w:rPr>
      </w:pPr>
    </w:p>
    <w:p w14:paraId="0928CD39" w14:textId="530842ED" w:rsidR="00D7179F" w:rsidRPr="00C85EF2" w:rsidRDefault="00D7179F" w:rsidP="00AD5070">
      <w:pPr>
        <w:rPr>
          <w:iCs/>
          <w:color w:val="auto"/>
        </w:rPr>
      </w:pPr>
      <w:r w:rsidRPr="00C85EF2">
        <w:rPr>
          <w:iCs/>
          <w:color w:val="auto"/>
        </w:rPr>
        <w:t>For information on the management of overdose, contact the Poisons Information Centre on 131126 (Australia).</w:t>
      </w:r>
    </w:p>
    <w:p w14:paraId="7EFC5E3A" w14:textId="77777777" w:rsidR="00F97B1D" w:rsidRPr="00C85EF2" w:rsidRDefault="00F97B1D" w:rsidP="00AD5070">
      <w:pPr>
        <w:rPr>
          <w:iCs/>
          <w:color w:val="auto"/>
        </w:rPr>
      </w:pPr>
    </w:p>
    <w:p w14:paraId="19C661D6" w14:textId="45AE8410" w:rsidR="00706FA4" w:rsidRPr="00C85EF2" w:rsidRDefault="00706FA4" w:rsidP="00AD5070">
      <w:pPr>
        <w:pStyle w:val="Heading1"/>
        <w:jc w:val="left"/>
        <w:rPr>
          <w:color w:val="auto"/>
        </w:rPr>
      </w:pPr>
      <w:bookmarkStart w:id="58" w:name="_Hlk15571644"/>
      <w:r w:rsidRPr="00C85EF2">
        <w:rPr>
          <w:color w:val="auto"/>
        </w:rPr>
        <w:t>PHARMACOLOGICAL PROPERTIES</w:t>
      </w:r>
    </w:p>
    <w:p w14:paraId="6AA40B0F" w14:textId="348A38F7" w:rsidR="00706FA4" w:rsidRPr="00C85EF2" w:rsidRDefault="00706FA4" w:rsidP="00AD5070">
      <w:pPr>
        <w:pStyle w:val="Heading2"/>
        <w:numPr>
          <w:ilvl w:val="1"/>
          <w:numId w:val="18"/>
        </w:numPr>
        <w:ind w:left="426" w:hanging="426"/>
        <w:jc w:val="left"/>
        <w:rPr>
          <w:color w:val="auto"/>
        </w:rPr>
      </w:pPr>
      <w:r w:rsidRPr="00C85EF2">
        <w:rPr>
          <w:color w:val="auto"/>
        </w:rPr>
        <w:t>PHARMACODYNAMIC PROPERTIES</w:t>
      </w:r>
    </w:p>
    <w:p w14:paraId="35B828E8" w14:textId="7BF6C230" w:rsidR="005D6681" w:rsidRPr="00C85EF2" w:rsidRDefault="0012412C" w:rsidP="00AD5070">
      <w:pPr>
        <w:rPr>
          <w:color w:val="auto"/>
        </w:rPr>
      </w:pPr>
      <w:r w:rsidRPr="00C85EF2">
        <w:rPr>
          <w:color w:val="auto"/>
        </w:rPr>
        <w:t xml:space="preserve">Pharmacotherapeutic group: </w:t>
      </w:r>
      <w:r w:rsidR="00755C88" w:rsidRPr="00C85EF2">
        <w:rPr>
          <w:color w:val="auto"/>
        </w:rPr>
        <w:t>epidermal growth factor receptor (EGFR) tyrosine kinase inhibitors, ATC code: L01EB09</w:t>
      </w:r>
    </w:p>
    <w:p w14:paraId="2BBA40BC" w14:textId="77777777" w:rsidR="00755C88" w:rsidRPr="00C85EF2" w:rsidRDefault="00755C88" w:rsidP="00AD5070">
      <w:pPr>
        <w:rPr>
          <w:color w:val="auto"/>
        </w:rPr>
      </w:pPr>
    </w:p>
    <w:bookmarkEnd w:id="58"/>
    <w:p w14:paraId="32492F20" w14:textId="00990969" w:rsidR="00706FA4" w:rsidRPr="00C85EF2" w:rsidRDefault="00706FA4" w:rsidP="00AD5070">
      <w:pPr>
        <w:pStyle w:val="Heading3"/>
        <w:jc w:val="left"/>
        <w:rPr>
          <w:color w:val="auto"/>
        </w:rPr>
      </w:pPr>
      <w:r w:rsidRPr="00C85EF2">
        <w:rPr>
          <w:color w:val="auto"/>
        </w:rPr>
        <w:t xml:space="preserve">Mechanism of </w:t>
      </w:r>
      <w:r w:rsidR="00AE7FBB" w:rsidRPr="00C85EF2">
        <w:rPr>
          <w:color w:val="auto"/>
        </w:rPr>
        <w:t>a</w:t>
      </w:r>
      <w:r w:rsidRPr="00C85EF2">
        <w:rPr>
          <w:color w:val="auto"/>
        </w:rPr>
        <w:t>ction</w:t>
      </w:r>
    </w:p>
    <w:p w14:paraId="0975C912" w14:textId="0ABAAD4B" w:rsidR="005D6681" w:rsidRPr="00C85EF2" w:rsidRDefault="00755C88" w:rsidP="00AD5070">
      <w:pPr>
        <w:rPr>
          <w:color w:val="auto"/>
          <w:lang w:val="en-US"/>
        </w:rPr>
      </w:pPr>
      <w:r w:rsidRPr="00C85EF2">
        <w:rPr>
          <w:color w:val="auto"/>
          <w:lang w:val="en-US"/>
        </w:rPr>
        <w:t>Lazertinib is a third generation, EGFR tyrosine kinase inhibitor (TKI)</w:t>
      </w:r>
      <w:r w:rsidR="00CC5EAD" w:rsidRPr="00C85EF2">
        <w:rPr>
          <w:color w:val="auto"/>
          <w:lang w:val="en-US"/>
        </w:rPr>
        <w:t xml:space="preserve"> that</w:t>
      </w:r>
      <w:r w:rsidRPr="00C85EF2">
        <w:rPr>
          <w:color w:val="auto"/>
          <w:lang w:val="en-US"/>
        </w:rPr>
        <w:t xml:space="preserve"> selectively inhibits both primary activating EGFR mutations (exon 19 deletions and exon 21 L858R substitution mutations) and the EGFR T790M resistance mutation, while having less activity against wild-type EGFR.  </w:t>
      </w:r>
      <w:r w:rsidR="000E0997" w:rsidRPr="00C85EF2">
        <w:rPr>
          <w:color w:val="auto"/>
        </w:rPr>
        <w:t>Lazertinib demonstrated anti-tumour activity in human NSCLC cells and mouse xenograft models of EGFR exon 19 deletions or L858R substitution mutations</w:t>
      </w:r>
      <w:r w:rsidR="00EB3E7A" w:rsidRPr="00C85EF2">
        <w:rPr>
          <w:color w:val="auto"/>
        </w:rPr>
        <w:t xml:space="preserve">. </w:t>
      </w:r>
      <w:r w:rsidR="000E0997" w:rsidRPr="00C85EF2">
        <w:rPr>
          <w:color w:val="auto"/>
        </w:rPr>
        <w:t xml:space="preserve">Treatment with lazertinib in combination with amivantamab increased </w:t>
      </w:r>
      <w:r w:rsidR="000E0997" w:rsidRPr="00C85EF2">
        <w:rPr>
          <w:i/>
          <w:iCs/>
          <w:color w:val="auto"/>
        </w:rPr>
        <w:t xml:space="preserve">in vivo </w:t>
      </w:r>
      <w:r w:rsidR="000E0997" w:rsidRPr="00C85EF2">
        <w:rPr>
          <w:color w:val="auto"/>
        </w:rPr>
        <w:t>anti-tumour activity compared to either agent alone in mouse xenograft model</w:t>
      </w:r>
      <w:r w:rsidR="00EB3E7A" w:rsidRPr="00C85EF2">
        <w:rPr>
          <w:color w:val="auto"/>
        </w:rPr>
        <w:t>s</w:t>
      </w:r>
      <w:r w:rsidR="000E0997" w:rsidRPr="00C85EF2">
        <w:rPr>
          <w:color w:val="auto"/>
        </w:rPr>
        <w:t xml:space="preserve"> of human NSCLC with an EGFR L858R mutation.</w:t>
      </w:r>
    </w:p>
    <w:p w14:paraId="0B0893DD" w14:textId="2DA96AEE" w:rsidR="0012412C" w:rsidRPr="00C85EF2" w:rsidRDefault="0012412C" w:rsidP="00AD5070">
      <w:pPr>
        <w:pStyle w:val="Heading3"/>
        <w:jc w:val="left"/>
        <w:rPr>
          <w:color w:val="auto"/>
        </w:rPr>
      </w:pPr>
      <w:bookmarkStart w:id="59" w:name="_Hlk52968651"/>
      <w:r w:rsidRPr="00C85EF2">
        <w:rPr>
          <w:color w:val="auto"/>
        </w:rPr>
        <w:t>Pharmacodynamic effects</w:t>
      </w:r>
    </w:p>
    <w:bookmarkEnd w:id="59"/>
    <w:p w14:paraId="51093C2A" w14:textId="4CF307CC" w:rsidR="0012412C" w:rsidRPr="00C85EF2" w:rsidRDefault="00755C88" w:rsidP="00AD5070">
      <w:pPr>
        <w:rPr>
          <w:color w:val="auto"/>
          <w:lang w:val="en-GB"/>
        </w:rPr>
      </w:pPr>
      <w:r w:rsidRPr="00C85EF2">
        <w:rPr>
          <w:color w:val="auto"/>
          <w:lang w:val="en-GB"/>
        </w:rPr>
        <w:t xml:space="preserve">Based on the exposure-response analyses for efficacy, no apparent relationship between lazertinib exposure and progression-free survival was observed at the dose regimen of 240 mg once daily. A similar exposure-response analyses for safety, concluded that </w:t>
      </w:r>
      <w:proofErr w:type="spellStart"/>
      <w:r w:rsidRPr="00C85EF2">
        <w:rPr>
          <w:color w:val="auto"/>
          <w:lang w:val="en-GB"/>
        </w:rPr>
        <w:t>paresthesia</w:t>
      </w:r>
      <w:proofErr w:type="spellEnd"/>
      <w:r w:rsidRPr="00C85EF2">
        <w:rPr>
          <w:color w:val="auto"/>
          <w:lang w:val="en-GB"/>
        </w:rPr>
        <w:t xml:space="preserve"> and stomatitis appeared to show a trend of increasing occurrence with increase in lazertinib exposure.</w:t>
      </w:r>
    </w:p>
    <w:p w14:paraId="353D7495" w14:textId="77777777" w:rsidR="00755C88" w:rsidRPr="00C85EF2" w:rsidRDefault="00755C88" w:rsidP="00AD5070">
      <w:pPr>
        <w:rPr>
          <w:color w:val="auto"/>
          <w:lang w:val="en-GB"/>
        </w:rPr>
      </w:pPr>
    </w:p>
    <w:p w14:paraId="11496E57" w14:textId="77777777" w:rsidR="00755C88" w:rsidRPr="00C85EF2" w:rsidRDefault="00755C88" w:rsidP="00AD5070">
      <w:pPr>
        <w:pStyle w:val="Heading4"/>
        <w:rPr>
          <w:i w:val="0"/>
          <w:iCs/>
          <w:color w:val="auto"/>
        </w:rPr>
      </w:pPr>
      <w:r w:rsidRPr="00C85EF2">
        <w:rPr>
          <w:i w:val="0"/>
          <w:iCs/>
          <w:color w:val="auto"/>
        </w:rPr>
        <w:t>Effect on QT/QTc interval and cardiac electrophysiology</w:t>
      </w:r>
    </w:p>
    <w:p w14:paraId="491AB16F" w14:textId="77777777" w:rsidR="00755C88" w:rsidRPr="00C85EF2" w:rsidRDefault="00755C88" w:rsidP="00AD5070">
      <w:pPr>
        <w:pStyle w:val="Basic12"/>
        <w:jc w:val="left"/>
        <w:rPr>
          <w:rFonts w:ascii="Arial" w:hAnsi="Arial" w:cs="Arial"/>
          <w:iCs/>
          <w:sz w:val="22"/>
          <w:szCs w:val="22"/>
          <w:u w:val="single"/>
        </w:rPr>
      </w:pPr>
      <w:r w:rsidRPr="00C85EF2">
        <w:rPr>
          <w:rFonts w:ascii="Arial" w:hAnsi="Arial" w:cs="Arial"/>
          <w:iCs/>
          <w:sz w:val="22"/>
          <w:szCs w:val="22"/>
          <w:u w:val="single"/>
        </w:rPr>
        <w:t>Cardiac electrophysiology</w:t>
      </w:r>
    </w:p>
    <w:p w14:paraId="2015C126" w14:textId="49825611" w:rsidR="000D7569" w:rsidRPr="00C85EF2" w:rsidRDefault="00755C88" w:rsidP="00AD5070">
      <w:pPr>
        <w:pStyle w:val="BodyTextBold"/>
        <w:jc w:val="left"/>
        <w:rPr>
          <w:rFonts w:ascii="Arial" w:hAnsi="Arial" w:cs="Arial"/>
          <w:b w:val="0"/>
          <w:sz w:val="22"/>
          <w:szCs w:val="22"/>
          <w:lang w:val="en-GB"/>
        </w:rPr>
      </w:pPr>
      <w:r w:rsidRPr="00C85EF2">
        <w:rPr>
          <w:rFonts w:ascii="Arial" w:hAnsi="Arial" w:cs="Arial"/>
          <w:b w:val="0"/>
          <w:sz w:val="22"/>
          <w:szCs w:val="22"/>
          <w:lang w:val="en-GB"/>
        </w:rPr>
        <w:t xml:space="preserve">The QTc interval prolongation potential of lazertinib was evaluated by exposure-response (E-R) analysis conducted with clinical data from 243 NSCLC patients who received 20, 40, 80, 120, 160, 240 or 320 mg lazertinib once daily in a phase I/II study. The E-R analysis revealed no clinically relevant relationship between lazertinib plasma concentration and change in QTc interval. The 2-sided upper bound of 90% CI at steady state </w:t>
      </w:r>
      <w:proofErr w:type="spellStart"/>
      <w:r w:rsidRPr="00C85EF2">
        <w:rPr>
          <w:rFonts w:ascii="Arial" w:hAnsi="Arial" w:cs="Arial"/>
          <w:b w:val="0"/>
          <w:sz w:val="22"/>
          <w:szCs w:val="22"/>
          <w:lang w:val="en-GB"/>
        </w:rPr>
        <w:t>C</w:t>
      </w:r>
      <w:r w:rsidRPr="00C85EF2">
        <w:rPr>
          <w:rFonts w:ascii="Arial" w:hAnsi="Arial" w:cs="Arial"/>
          <w:b w:val="0"/>
          <w:sz w:val="22"/>
          <w:szCs w:val="22"/>
          <w:vertAlign w:val="subscript"/>
          <w:lang w:val="en-GB"/>
        </w:rPr>
        <w:t>max</w:t>
      </w:r>
      <w:proofErr w:type="spellEnd"/>
      <w:r w:rsidRPr="00C85EF2">
        <w:rPr>
          <w:rFonts w:ascii="Arial" w:hAnsi="Arial" w:cs="Arial"/>
          <w:b w:val="0"/>
          <w:sz w:val="22"/>
          <w:szCs w:val="22"/>
          <w:lang w:val="en-GB"/>
        </w:rPr>
        <w:t xml:space="preserve"> from the recommended dose of 240 mg once daily and highest tested clinical dose of 320 mg once daily was 5.83 and 7.23 msec respectively.</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35F8C6E0" w14:textId="1AB2096B" w:rsidR="00D13B85" w:rsidRPr="00C85EF2" w:rsidRDefault="00D13B85" w:rsidP="00AD5070">
      <w:pPr>
        <w:pStyle w:val="Heading3"/>
        <w:jc w:val="left"/>
        <w:rPr>
          <w:color w:val="auto"/>
        </w:rPr>
      </w:pPr>
      <w:r w:rsidRPr="00C85EF2">
        <w:rPr>
          <w:color w:val="auto"/>
        </w:rPr>
        <w:t>Clinical trials</w:t>
      </w:r>
    </w:p>
    <w:p w14:paraId="403AA761" w14:textId="383B9702" w:rsidR="00755C88" w:rsidRPr="00C85EF2" w:rsidRDefault="00755C88" w:rsidP="00AD5070">
      <w:pPr>
        <w:numPr>
          <w:ilvl w:val="12"/>
          <w:numId w:val="0"/>
        </w:numPr>
        <w:rPr>
          <w:iCs/>
          <w:noProof/>
          <w:color w:val="auto"/>
        </w:rPr>
      </w:pPr>
      <w:r w:rsidRPr="00C85EF2">
        <w:rPr>
          <w:color w:val="auto"/>
        </w:rPr>
        <w:t xml:space="preserve">NSC3003 (MARIPOSA) is a randomised, active-controlled, multicentre phase 3 study assessing the efficacy and safety of </w:t>
      </w:r>
      <w:r w:rsidR="00FA6C25" w:rsidRPr="00C85EF2">
        <w:rPr>
          <w:color w:val="auto"/>
        </w:rPr>
        <w:t>LAZCLUZE</w:t>
      </w:r>
      <w:r w:rsidRPr="00C85EF2">
        <w:rPr>
          <w:color w:val="auto"/>
        </w:rPr>
        <w:t xml:space="preserve"> in combination with amivantamab as compared to </w:t>
      </w:r>
      <w:proofErr w:type="spellStart"/>
      <w:r w:rsidRPr="00C85EF2">
        <w:rPr>
          <w:color w:val="auto"/>
        </w:rPr>
        <w:t>osimertinib</w:t>
      </w:r>
      <w:proofErr w:type="spellEnd"/>
      <w:r w:rsidRPr="00C85EF2">
        <w:rPr>
          <w:color w:val="auto"/>
        </w:rPr>
        <w:t xml:space="preserve"> monotherapy as first-line treatment in patients with EGFR-mutated locally advanced or metastatic NSCLC not amenable to curative therapy. Patient samples were required to have one of the two common EGFR mutations (exon 19 deletion or exon 21 L858R substitution mutation), as identified by local testing</w:t>
      </w:r>
      <w:r w:rsidR="00980809" w:rsidRPr="00C85EF2">
        <w:rPr>
          <w:color w:val="auto"/>
        </w:rPr>
        <w:t>.</w:t>
      </w:r>
      <w:r w:rsidRPr="00C85EF2">
        <w:rPr>
          <w:iCs/>
          <w:noProof/>
          <w:color w:val="auto"/>
        </w:rPr>
        <w:t xml:space="preserve"> </w:t>
      </w:r>
      <w:r w:rsidRPr="00C85EF2" w:rsidDel="00C07A3D">
        <w:rPr>
          <w:color w:val="auto"/>
        </w:rPr>
        <w:t xml:space="preserve">Central </w:t>
      </w:r>
      <w:proofErr w:type="spellStart"/>
      <w:r w:rsidRPr="00C85EF2" w:rsidDel="00C07A3D">
        <w:rPr>
          <w:color w:val="auto"/>
        </w:rPr>
        <w:t>cobas</w:t>
      </w:r>
      <w:proofErr w:type="spellEnd"/>
      <w:r w:rsidRPr="00C85EF2" w:rsidDel="00C07A3D">
        <w:rPr>
          <w:color w:val="auto"/>
        </w:rPr>
        <w:t xml:space="preserve"> tissue testing (using the </w:t>
      </w:r>
      <w:proofErr w:type="spellStart"/>
      <w:r w:rsidRPr="00C85EF2" w:rsidDel="00C07A3D">
        <w:rPr>
          <w:color w:val="auto"/>
        </w:rPr>
        <w:t>cobas</w:t>
      </w:r>
      <w:proofErr w:type="spellEnd"/>
      <w:r w:rsidRPr="00C85EF2" w:rsidDel="00C07A3D">
        <w:rPr>
          <w:color w:val="auto"/>
          <w:vertAlign w:val="superscript"/>
        </w:rPr>
        <w:t>®</w:t>
      </w:r>
      <w:r w:rsidRPr="00C85EF2" w:rsidDel="00C07A3D">
        <w:rPr>
          <w:color w:val="auto"/>
        </w:rPr>
        <w:t xml:space="preserve"> EGFR Mutation Test v2) was concordant </w:t>
      </w:r>
      <w:r w:rsidRPr="00C85EF2">
        <w:rPr>
          <w:color w:val="auto"/>
        </w:rPr>
        <w:t>with local</w:t>
      </w:r>
      <w:r w:rsidRPr="00C85EF2" w:rsidDel="00C07A3D">
        <w:rPr>
          <w:color w:val="auto"/>
        </w:rPr>
        <w:t xml:space="preserve"> testing in 96.3% of the samples with a valid </w:t>
      </w:r>
      <w:proofErr w:type="spellStart"/>
      <w:r w:rsidRPr="00C85EF2" w:rsidDel="00C07A3D">
        <w:rPr>
          <w:color w:val="auto"/>
        </w:rPr>
        <w:t>cobas</w:t>
      </w:r>
      <w:proofErr w:type="spellEnd"/>
      <w:r w:rsidRPr="00C85EF2" w:rsidDel="00C07A3D">
        <w:rPr>
          <w:color w:val="auto"/>
        </w:rPr>
        <w:t xml:space="preserve"> tissue test </w:t>
      </w:r>
      <w:r w:rsidRPr="00C85EF2" w:rsidDel="00C07A3D">
        <w:rPr>
          <w:color w:val="auto"/>
          <w:shd w:val="clear" w:color="auto" w:fill="FFFFFF" w:themeFill="background1"/>
        </w:rPr>
        <w:t>result.</w:t>
      </w:r>
      <w:r w:rsidRPr="00C85EF2">
        <w:rPr>
          <w:rStyle w:val="EndnoteReference"/>
          <w:rFonts w:eastAsiaTheme="majorEastAsia"/>
          <w:color w:val="auto"/>
        </w:rPr>
        <w:t xml:space="preserve"> </w:t>
      </w:r>
    </w:p>
    <w:p w14:paraId="253419C5" w14:textId="77777777" w:rsidR="00755C88" w:rsidRPr="00C85EF2" w:rsidRDefault="00755C88" w:rsidP="00AD5070">
      <w:pPr>
        <w:numPr>
          <w:ilvl w:val="12"/>
          <w:numId w:val="0"/>
        </w:numPr>
        <w:rPr>
          <w:iCs/>
          <w:noProof/>
          <w:color w:val="auto"/>
        </w:rPr>
      </w:pPr>
    </w:p>
    <w:p w14:paraId="5ACD52C3" w14:textId="2B84A17D" w:rsidR="00755C88" w:rsidRPr="00C85EF2" w:rsidRDefault="00755C88" w:rsidP="00AD5070">
      <w:pPr>
        <w:pStyle w:val="BodyText"/>
        <w:jc w:val="left"/>
        <w:rPr>
          <w:color w:val="auto"/>
        </w:rPr>
      </w:pPr>
      <w:r w:rsidRPr="00C85EF2">
        <w:rPr>
          <w:color w:val="auto"/>
        </w:rPr>
        <w:lastRenderedPageBreak/>
        <w:t>A total of 1074 patients were randomi</w:t>
      </w:r>
      <w:r w:rsidR="00860DCD" w:rsidRPr="00C85EF2">
        <w:rPr>
          <w:color w:val="auto"/>
        </w:rPr>
        <w:t>s</w:t>
      </w:r>
      <w:r w:rsidRPr="00C85EF2">
        <w:rPr>
          <w:color w:val="auto"/>
        </w:rPr>
        <w:t xml:space="preserve">ed (2:2:1) to receive </w:t>
      </w:r>
      <w:r w:rsidR="00FA6C25" w:rsidRPr="00C85EF2">
        <w:rPr>
          <w:color w:val="auto"/>
        </w:rPr>
        <w:t>LAZCLUZE</w:t>
      </w:r>
      <w:r w:rsidRPr="00C85EF2">
        <w:rPr>
          <w:color w:val="auto"/>
        </w:rPr>
        <w:t xml:space="preserve"> in combination with </w:t>
      </w:r>
      <w:proofErr w:type="spellStart"/>
      <w:r w:rsidRPr="00C85EF2">
        <w:rPr>
          <w:color w:val="auto"/>
        </w:rPr>
        <w:t>amivantamab</w:t>
      </w:r>
      <w:proofErr w:type="spellEnd"/>
      <w:r w:rsidRPr="00C85EF2">
        <w:rPr>
          <w:color w:val="auto"/>
        </w:rPr>
        <w:t xml:space="preserve">, </w:t>
      </w:r>
      <w:proofErr w:type="spellStart"/>
      <w:r w:rsidRPr="00C85EF2">
        <w:rPr>
          <w:color w:val="auto"/>
        </w:rPr>
        <w:t>osimertinib</w:t>
      </w:r>
      <w:proofErr w:type="spellEnd"/>
      <w:r w:rsidRPr="00C85EF2">
        <w:rPr>
          <w:color w:val="auto"/>
        </w:rPr>
        <w:t xml:space="preserve"> monotherapy, or </w:t>
      </w:r>
      <w:r w:rsidR="00FA6C25" w:rsidRPr="00C85EF2">
        <w:rPr>
          <w:color w:val="auto"/>
        </w:rPr>
        <w:t>LAZCLUZE</w:t>
      </w:r>
      <w:r w:rsidRPr="00C85EF2">
        <w:rPr>
          <w:color w:val="auto"/>
        </w:rPr>
        <w:t xml:space="preserve"> monotherapy (an unapproved regimen for NSCLC) until disease progression or unacceptable toxicity. </w:t>
      </w:r>
      <w:r w:rsidR="00FA6C25" w:rsidRPr="00C85EF2">
        <w:rPr>
          <w:color w:val="auto"/>
        </w:rPr>
        <w:t>LAZCLUZE</w:t>
      </w:r>
      <w:r w:rsidRPr="00C85EF2">
        <w:rPr>
          <w:color w:val="auto"/>
        </w:rPr>
        <w:t xml:space="preserve"> was administered at 240 mg orally once daily. Amivantamab was administered intravenously at 1050 mg (for patients &lt; 80 kg) or 1400 mg (for patients ≥ 80 kg) once weekly for 4 weeks, then every 2 weeks thereafter starting at week 5. Osimertinib was administered at a dose of 80 mg orally once daily.</w:t>
      </w:r>
      <w:r w:rsidRPr="00C85EF2">
        <w:rPr>
          <w:rStyle w:val="EndnoteReference"/>
          <w:rFonts w:eastAsiaTheme="majorEastAsia"/>
          <w:color w:val="auto"/>
        </w:rPr>
        <w:t xml:space="preserve"> </w:t>
      </w:r>
      <w:r w:rsidRPr="00C85EF2">
        <w:rPr>
          <w:color w:val="auto"/>
        </w:rPr>
        <w:t>Randomi</w:t>
      </w:r>
      <w:r w:rsidR="00860DCD" w:rsidRPr="00C85EF2">
        <w:rPr>
          <w:color w:val="auto"/>
        </w:rPr>
        <w:t>s</w:t>
      </w:r>
      <w:r w:rsidRPr="00C85EF2">
        <w:rPr>
          <w:color w:val="auto"/>
        </w:rPr>
        <w:t xml:space="preserve">ation was stratified by EGFR mutation type (exon 19 deletion or exon 21 L858R substitution mutation), race (Asian or non-Asian), and history of brain metastasis (yes or no). </w:t>
      </w:r>
    </w:p>
    <w:p w14:paraId="0A65DEF6" w14:textId="77777777" w:rsidR="00755C88" w:rsidRPr="00C85EF2" w:rsidRDefault="00755C88" w:rsidP="00AD5070">
      <w:pPr>
        <w:pStyle w:val="BodyText"/>
        <w:jc w:val="left"/>
        <w:rPr>
          <w:color w:val="auto"/>
        </w:rPr>
      </w:pPr>
    </w:p>
    <w:p w14:paraId="11ECE586" w14:textId="6276D3AA" w:rsidR="00755C88" w:rsidRPr="00C85EF2" w:rsidRDefault="00755C88" w:rsidP="00AD5070">
      <w:pPr>
        <w:pStyle w:val="BodyText"/>
        <w:jc w:val="left"/>
        <w:rPr>
          <w:color w:val="auto"/>
          <w:vertAlign w:val="superscript"/>
        </w:rPr>
      </w:pPr>
      <w:r w:rsidRPr="00C85EF2">
        <w:rPr>
          <w:color w:val="auto"/>
        </w:rPr>
        <w:t xml:space="preserve">Baseline demographics and disease characteristics were balanced across the treatment arms. The median age was 63 (range: 25–88) years with 45% of patients ≥ 65 years; 62% were female; and 59% were Asian, and 38% were White. Baseline Eastern Cooperative Oncology Group (ECOG) performance status was 0 (34%) or 1 (66%); 69% never smoked; 41% had prior brain metastases; and 90% had Stage IV cancer at initial diagnosis. </w:t>
      </w:r>
      <w:proofErr w:type="gramStart"/>
      <w:r w:rsidRPr="00C85EF2">
        <w:rPr>
          <w:color w:val="auto"/>
        </w:rPr>
        <w:t>With regard to</w:t>
      </w:r>
      <w:proofErr w:type="gramEnd"/>
      <w:r w:rsidRPr="00C85EF2">
        <w:rPr>
          <w:color w:val="auto"/>
        </w:rPr>
        <w:t xml:space="preserve"> EGFR mutation status, 60% were exon 19 deletions and 40% were exon 21 L858R substitution mutations.</w:t>
      </w:r>
    </w:p>
    <w:p w14:paraId="5A4738EE" w14:textId="77777777" w:rsidR="00755C88" w:rsidRPr="00C85EF2" w:rsidRDefault="00755C88" w:rsidP="00AD5070">
      <w:pPr>
        <w:pStyle w:val="BodyText"/>
        <w:jc w:val="left"/>
        <w:rPr>
          <w:color w:val="auto"/>
        </w:rPr>
      </w:pPr>
    </w:p>
    <w:p w14:paraId="482E019F" w14:textId="429712BD" w:rsidR="00755C88" w:rsidRPr="00C85EF2" w:rsidRDefault="00FA6C25" w:rsidP="00AD5070">
      <w:pPr>
        <w:pStyle w:val="BodyText"/>
        <w:jc w:val="left"/>
        <w:rPr>
          <w:rFonts w:eastAsiaTheme="majorEastAsia"/>
          <w:color w:val="auto"/>
        </w:rPr>
      </w:pPr>
      <w:r w:rsidRPr="00C85EF2">
        <w:rPr>
          <w:color w:val="auto"/>
        </w:rPr>
        <w:t>LAZCLUZE</w:t>
      </w:r>
      <w:r w:rsidR="00755C88" w:rsidRPr="00C85EF2">
        <w:rPr>
          <w:color w:val="auto"/>
        </w:rPr>
        <w:t xml:space="preserve"> in combination with amivantamab demonstrated a statistically significant and clinically meaningful improvement in progression-free survival (PFS) by BICR assessment, with a 30% reduction in the risk of progression or death compared with </w:t>
      </w:r>
      <w:proofErr w:type="spellStart"/>
      <w:r w:rsidR="00755C88" w:rsidRPr="00C85EF2">
        <w:rPr>
          <w:color w:val="auto"/>
        </w:rPr>
        <w:t>osimertinib</w:t>
      </w:r>
      <w:proofErr w:type="spellEnd"/>
      <w:r w:rsidR="00755C88" w:rsidRPr="00C85EF2">
        <w:rPr>
          <w:color w:val="auto"/>
        </w:rPr>
        <w:t xml:space="preserve"> (HR=0.70 [95% CI: 0.58, 0.85], p=0.0002). The corresponding median PFS was 23.72 months (95% CI: 19.12, 27.66) for the </w:t>
      </w:r>
      <w:r w:rsidRPr="00C85EF2">
        <w:rPr>
          <w:color w:val="auto"/>
        </w:rPr>
        <w:t>LAZCLUZE</w:t>
      </w:r>
      <w:r w:rsidR="00755C88" w:rsidRPr="00C85EF2">
        <w:rPr>
          <w:color w:val="auto"/>
        </w:rPr>
        <w:t xml:space="preserve"> in combination with amivantamab arm and 16.59 months (95% CI: 14.78, 18.46) for the </w:t>
      </w:r>
      <w:proofErr w:type="spellStart"/>
      <w:r w:rsidR="00755C88" w:rsidRPr="00C85EF2">
        <w:rPr>
          <w:color w:val="auto"/>
        </w:rPr>
        <w:t>osimertinib</w:t>
      </w:r>
      <w:proofErr w:type="spellEnd"/>
      <w:r w:rsidR="00755C88" w:rsidRPr="00C85EF2">
        <w:rPr>
          <w:color w:val="auto"/>
        </w:rPr>
        <w:t xml:space="preserve"> arm.</w:t>
      </w:r>
      <w:r w:rsidR="00755C88" w:rsidRPr="00C85EF2">
        <w:rPr>
          <w:rStyle w:val="EndnoteReference"/>
          <w:rFonts w:eastAsiaTheme="majorEastAsia"/>
          <w:color w:val="auto"/>
        </w:rPr>
        <w:t xml:space="preserve"> </w:t>
      </w:r>
    </w:p>
    <w:p w14:paraId="672DCC8C" w14:textId="77777777" w:rsidR="008B1A0C" w:rsidRPr="00C85EF2" w:rsidRDefault="008B1A0C" w:rsidP="00AD5070">
      <w:pPr>
        <w:pStyle w:val="BodyText"/>
        <w:jc w:val="left"/>
        <w:rPr>
          <w:rFonts w:eastAsiaTheme="majorEastAsia"/>
          <w:color w:val="auto"/>
        </w:rPr>
      </w:pPr>
    </w:p>
    <w:p w14:paraId="291D4B57" w14:textId="77777777" w:rsidR="00C6210B" w:rsidRPr="00C6210B" w:rsidRDefault="00C6210B" w:rsidP="00AD5070">
      <w:pPr>
        <w:pStyle w:val="BodyText"/>
        <w:jc w:val="left"/>
        <w:rPr>
          <w:color w:val="auto"/>
          <w:lang w:val="en-US"/>
        </w:rPr>
      </w:pPr>
      <w:bookmarkStart w:id="60" w:name="_Hlk192685218"/>
      <w:r w:rsidRPr="00C6210B">
        <w:rPr>
          <w:color w:val="auto"/>
          <w:lang w:val="en-US"/>
        </w:rPr>
        <w:t>While OS results were immature at the current analysis, with 55% of pre-specified deaths for the final analysis reported, no trend towards a detriment was observed.</w:t>
      </w:r>
      <w:bookmarkEnd w:id="60"/>
    </w:p>
    <w:p w14:paraId="6FB57A89" w14:textId="7377C52B" w:rsidR="00C6210B" w:rsidRDefault="00C6210B" w:rsidP="00AD5070">
      <w:pPr>
        <w:rPr>
          <w:color w:val="auto"/>
          <w:lang w:val="en-US"/>
        </w:rPr>
      </w:pPr>
    </w:p>
    <w:p w14:paraId="01AC8164" w14:textId="19A68C3E" w:rsidR="008B1A0C" w:rsidRPr="00C85EF2" w:rsidRDefault="008B1A0C" w:rsidP="00AD5070">
      <w:pPr>
        <w:tabs>
          <w:tab w:val="left" w:pos="2300"/>
        </w:tabs>
        <w:spacing w:before="196"/>
        <w:rPr>
          <w:b/>
          <w:color w:val="auto"/>
          <w:sz w:val="18"/>
          <w:szCs w:val="20"/>
        </w:rPr>
      </w:pPr>
      <w:r w:rsidRPr="00C85EF2">
        <w:rPr>
          <w:b/>
          <w:color w:val="auto"/>
          <w:sz w:val="18"/>
          <w:szCs w:val="20"/>
        </w:rPr>
        <w:t>Table 5: Efficacy Results in MARIPOSA by BICR</w:t>
      </w:r>
      <w:r w:rsidRPr="00C85EF2">
        <w:rPr>
          <w:b/>
          <w:color w:val="auto"/>
          <w:spacing w:val="3"/>
          <w:sz w:val="18"/>
          <w:szCs w:val="20"/>
        </w:rPr>
        <w:t xml:space="preserve"> </w:t>
      </w:r>
      <w:r w:rsidRPr="00C85EF2">
        <w:rPr>
          <w:b/>
          <w:color w:val="auto"/>
          <w:sz w:val="18"/>
          <w:szCs w:val="20"/>
        </w:rPr>
        <w:t>Assessment</w:t>
      </w:r>
    </w:p>
    <w:p w14:paraId="51EC841D" w14:textId="77777777" w:rsidR="008B1A0C" w:rsidRPr="00C85EF2" w:rsidRDefault="008B1A0C" w:rsidP="00AD5070">
      <w:pPr>
        <w:pStyle w:val="BodyText"/>
        <w:spacing w:before="5"/>
        <w:jc w:val="left"/>
        <w:rPr>
          <w:b/>
          <w:color w:val="auto"/>
          <w:sz w:val="5"/>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7"/>
        <w:gridCol w:w="2972"/>
        <w:gridCol w:w="2971"/>
      </w:tblGrid>
      <w:tr w:rsidR="00C85EF2" w:rsidRPr="00C85EF2" w14:paraId="5ADB1C78" w14:textId="77777777" w:rsidTr="00651AE5">
        <w:trPr>
          <w:trHeight w:val="690"/>
        </w:trPr>
        <w:tc>
          <w:tcPr>
            <w:tcW w:w="3417" w:type="dxa"/>
          </w:tcPr>
          <w:p w14:paraId="79951B82" w14:textId="77777777" w:rsidR="008B1A0C" w:rsidRPr="00C85EF2" w:rsidRDefault="008B1A0C" w:rsidP="00AD5070">
            <w:pPr>
              <w:pStyle w:val="TableParagraph"/>
              <w:spacing w:line="240" w:lineRule="auto"/>
              <w:rPr>
                <w:sz w:val="18"/>
                <w:szCs w:val="18"/>
              </w:rPr>
            </w:pPr>
          </w:p>
        </w:tc>
        <w:tc>
          <w:tcPr>
            <w:tcW w:w="2972" w:type="dxa"/>
          </w:tcPr>
          <w:p w14:paraId="684D4C4D" w14:textId="77777777" w:rsidR="008B1A0C" w:rsidRPr="00C85EF2" w:rsidRDefault="008B1A0C" w:rsidP="00AD5070">
            <w:pPr>
              <w:pStyle w:val="TableParagraph"/>
              <w:spacing w:line="240" w:lineRule="auto"/>
              <w:ind w:left="269" w:right="258"/>
              <w:rPr>
                <w:b/>
                <w:sz w:val="18"/>
                <w:szCs w:val="18"/>
              </w:rPr>
            </w:pPr>
            <w:r w:rsidRPr="00C85EF2">
              <w:rPr>
                <w:b/>
                <w:sz w:val="18"/>
                <w:szCs w:val="18"/>
              </w:rPr>
              <w:t>LAZCLUZE in combination with amivantamab</w:t>
            </w:r>
          </w:p>
          <w:p w14:paraId="78750C66" w14:textId="77777777" w:rsidR="008B1A0C" w:rsidRPr="00C85EF2" w:rsidRDefault="008B1A0C" w:rsidP="00AD5070">
            <w:pPr>
              <w:pStyle w:val="TableParagraph"/>
              <w:spacing w:line="212" w:lineRule="exact"/>
              <w:ind w:left="267" w:right="258"/>
              <w:rPr>
                <w:b/>
                <w:sz w:val="18"/>
                <w:szCs w:val="18"/>
              </w:rPr>
            </w:pPr>
            <w:r w:rsidRPr="00C85EF2">
              <w:rPr>
                <w:b/>
                <w:sz w:val="18"/>
                <w:szCs w:val="18"/>
              </w:rPr>
              <w:t>(N=429)</w:t>
            </w:r>
          </w:p>
        </w:tc>
        <w:tc>
          <w:tcPr>
            <w:tcW w:w="2971" w:type="dxa"/>
          </w:tcPr>
          <w:p w14:paraId="3D698A82" w14:textId="77777777" w:rsidR="008B1A0C" w:rsidRPr="00C85EF2" w:rsidRDefault="008B1A0C" w:rsidP="00AD5070">
            <w:pPr>
              <w:pStyle w:val="TableParagraph"/>
              <w:spacing w:before="9" w:line="240" w:lineRule="auto"/>
              <w:rPr>
                <w:b/>
                <w:sz w:val="18"/>
                <w:szCs w:val="18"/>
              </w:rPr>
            </w:pPr>
          </w:p>
          <w:p w14:paraId="14F374F8" w14:textId="77777777" w:rsidR="008B1A0C" w:rsidRPr="00C85EF2" w:rsidRDefault="008B1A0C" w:rsidP="00AD5070">
            <w:pPr>
              <w:pStyle w:val="TableParagraph"/>
              <w:spacing w:line="230" w:lineRule="atLeast"/>
              <w:ind w:left="1139" w:right="939" w:hanging="171"/>
              <w:rPr>
                <w:b/>
                <w:sz w:val="18"/>
                <w:szCs w:val="18"/>
              </w:rPr>
            </w:pPr>
            <w:r w:rsidRPr="00C85EF2">
              <w:rPr>
                <w:b/>
                <w:sz w:val="18"/>
                <w:szCs w:val="18"/>
              </w:rPr>
              <w:t>Osimertinib (N=429)</w:t>
            </w:r>
          </w:p>
        </w:tc>
      </w:tr>
      <w:tr w:rsidR="00C85EF2" w:rsidRPr="00C85EF2" w14:paraId="069E1142" w14:textId="77777777" w:rsidTr="00651AE5">
        <w:trPr>
          <w:trHeight w:val="230"/>
        </w:trPr>
        <w:tc>
          <w:tcPr>
            <w:tcW w:w="9360" w:type="dxa"/>
            <w:gridSpan w:val="3"/>
          </w:tcPr>
          <w:p w14:paraId="22E00149" w14:textId="77777777" w:rsidR="008B1A0C" w:rsidRPr="00C85EF2" w:rsidRDefault="008B1A0C" w:rsidP="00AD5070">
            <w:pPr>
              <w:pStyle w:val="TableParagraph"/>
              <w:ind w:left="110"/>
              <w:rPr>
                <w:b/>
                <w:bCs/>
                <w:sz w:val="18"/>
                <w:szCs w:val="18"/>
              </w:rPr>
            </w:pPr>
            <w:r w:rsidRPr="00C85EF2">
              <w:rPr>
                <w:b/>
                <w:bCs/>
                <w:sz w:val="18"/>
                <w:szCs w:val="18"/>
              </w:rPr>
              <w:t>Progression-free survival (PFS)</w:t>
            </w:r>
          </w:p>
        </w:tc>
      </w:tr>
      <w:tr w:rsidR="00C85EF2" w:rsidRPr="00C85EF2" w14:paraId="3F7606B2" w14:textId="77777777" w:rsidTr="00651AE5">
        <w:trPr>
          <w:trHeight w:val="230"/>
        </w:trPr>
        <w:tc>
          <w:tcPr>
            <w:tcW w:w="3417" w:type="dxa"/>
          </w:tcPr>
          <w:p w14:paraId="7908CC3E" w14:textId="77777777" w:rsidR="008B1A0C" w:rsidRPr="00C85EF2" w:rsidRDefault="008B1A0C" w:rsidP="00AD5070">
            <w:pPr>
              <w:pStyle w:val="TableParagraph"/>
              <w:ind w:left="400"/>
              <w:rPr>
                <w:sz w:val="18"/>
                <w:szCs w:val="18"/>
              </w:rPr>
            </w:pPr>
            <w:r w:rsidRPr="00C85EF2">
              <w:rPr>
                <w:sz w:val="18"/>
                <w:szCs w:val="18"/>
              </w:rPr>
              <w:t>Number of events (%)</w:t>
            </w:r>
          </w:p>
        </w:tc>
        <w:tc>
          <w:tcPr>
            <w:tcW w:w="2972" w:type="dxa"/>
          </w:tcPr>
          <w:p w14:paraId="61905A5C" w14:textId="77777777" w:rsidR="008B1A0C" w:rsidRPr="00C85EF2" w:rsidRDefault="008B1A0C" w:rsidP="00AD5070">
            <w:pPr>
              <w:pStyle w:val="TableParagraph"/>
              <w:ind w:left="267" w:right="258"/>
              <w:rPr>
                <w:sz w:val="18"/>
                <w:szCs w:val="18"/>
              </w:rPr>
            </w:pPr>
            <w:r w:rsidRPr="00C85EF2">
              <w:rPr>
                <w:sz w:val="18"/>
                <w:szCs w:val="18"/>
              </w:rPr>
              <w:t>192 (45)</w:t>
            </w:r>
          </w:p>
        </w:tc>
        <w:tc>
          <w:tcPr>
            <w:tcW w:w="2971" w:type="dxa"/>
          </w:tcPr>
          <w:p w14:paraId="79E774BA" w14:textId="77777777" w:rsidR="008B1A0C" w:rsidRPr="00C85EF2" w:rsidRDefault="008B1A0C" w:rsidP="00AD5070">
            <w:pPr>
              <w:pStyle w:val="TableParagraph"/>
              <w:ind w:left="797" w:right="789"/>
              <w:rPr>
                <w:sz w:val="18"/>
                <w:szCs w:val="18"/>
              </w:rPr>
            </w:pPr>
            <w:r w:rsidRPr="00C85EF2">
              <w:rPr>
                <w:sz w:val="18"/>
                <w:szCs w:val="18"/>
              </w:rPr>
              <w:t>252 (59)</w:t>
            </w:r>
          </w:p>
        </w:tc>
      </w:tr>
      <w:tr w:rsidR="00C85EF2" w:rsidRPr="00C85EF2" w14:paraId="600B7D24" w14:textId="77777777" w:rsidTr="00651AE5">
        <w:trPr>
          <w:trHeight w:val="230"/>
        </w:trPr>
        <w:tc>
          <w:tcPr>
            <w:tcW w:w="3417" w:type="dxa"/>
          </w:tcPr>
          <w:p w14:paraId="2DEBAFB6" w14:textId="77777777" w:rsidR="008B1A0C" w:rsidRPr="00C85EF2" w:rsidRDefault="008B1A0C" w:rsidP="00AD5070">
            <w:pPr>
              <w:pStyle w:val="TableParagraph"/>
              <w:spacing w:line="211" w:lineRule="exact"/>
              <w:ind w:left="400"/>
              <w:rPr>
                <w:sz w:val="18"/>
                <w:szCs w:val="18"/>
              </w:rPr>
            </w:pPr>
            <w:r w:rsidRPr="00C85EF2">
              <w:rPr>
                <w:sz w:val="18"/>
                <w:szCs w:val="18"/>
              </w:rPr>
              <w:t>Median, months (95% CI)</w:t>
            </w:r>
          </w:p>
        </w:tc>
        <w:tc>
          <w:tcPr>
            <w:tcW w:w="2972" w:type="dxa"/>
          </w:tcPr>
          <w:p w14:paraId="45C092D0" w14:textId="77777777" w:rsidR="008B1A0C" w:rsidRPr="00C85EF2" w:rsidRDefault="008B1A0C" w:rsidP="00AD5070">
            <w:pPr>
              <w:pStyle w:val="TableParagraph"/>
              <w:spacing w:line="211" w:lineRule="exact"/>
              <w:ind w:left="268" w:right="258"/>
              <w:rPr>
                <w:sz w:val="18"/>
                <w:szCs w:val="18"/>
              </w:rPr>
            </w:pPr>
            <w:r w:rsidRPr="00C85EF2">
              <w:rPr>
                <w:sz w:val="18"/>
                <w:szCs w:val="18"/>
              </w:rPr>
              <w:t>23.7 (19.1, 27.7)</w:t>
            </w:r>
          </w:p>
        </w:tc>
        <w:tc>
          <w:tcPr>
            <w:tcW w:w="2971" w:type="dxa"/>
          </w:tcPr>
          <w:p w14:paraId="07CD0A29" w14:textId="77777777" w:rsidR="008B1A0C" w:rsidRPr="00C85EF2" w:rsidRDefault="008B1A0C" w:rsidP="00AD5070">
            <w:pPr>
              <w:pStyle w:val="TableParagraph"/>
              <w:spacing w:line="211" w:lineRule="exact"/>
              <w:ind w:left="797" w:right="788"/>
              <w:rPr>
                <w:sz w:val="18"/>
                <w:szCs w:val="18"/>
              </w:rPr>
            </w:pPr>
            <w:r w:rsidRPr="00C85EF2">
              <w:rPr>
                <w:sz w:val="18"/>
                <w:szCs w:val="18"/>
              </w:rPr>
              <w:t>16.6 (14.8, 18.5)</w:t>
            </w:r>
          </w:p>
        </w:tc>
      </w:tr>
      <w:tr w:rsidR="00C85EF2" w:rsidRPr="00C85EF2" w14:paraId="78556EF4" w14:textId="77777777" w:rsidTr="00651AE5">
        <w:trPr>
          <w:trHeight w:val="229"/>
        </w:trPr>
        <w:tc>
          <w:tcPr>
            <w:tcW w:w="3417" w:type="dxa"/>
          </w:tcPr>
          <w:p w14:paraId="33CCBB66" w14:textId="77777777" w:rsidR="008B1A0C" w:rsidRPr="00C85EF2" w:rsidRDefault="008B1A0C" w:rsidP="00AD5070">
            <w:pPr>
              <w:pStyle w:val="TableParagraph"/>
              <w:ind w:left="400"/>
              <w:rPr>
                <w:sz w:val="18"/>
                <w:szCs w:val="18"/>
              </w:rPr>
            </w:pPr>
            <w:r w:rsidRPr="00C85EF2">
              <w:rPr>
                <w:sz w:val="18"/>
                <w:szCs w:val="18"/>
              </w:rPr>
              <w:t>HR</w:t>
            </w:r>
            <w:r w:rsidRPr="00C85EF2">
              <w:rPr>
                <w:position w:val="6"/>
                <w:sz w:val="18"/>
                <w:szCs w:val="18"/>
              </w:rPr>
              <w:t xml:space="preserve">1,2 </w:t>
            </w:r>
            <w:r w:rsidRPr="00C85EF2">
              <w:rPr>
                <w:sz w:val="18"/>
                <w:szCs w:val="18"/>
              </w:rPr>
              <w:t>(95% CI); p-value</w:t>
            </w:r>
            <w:r w:rsidRPr="00C85EF2">
              <w:rPr>
                <w:position w:val="6"/>
                <w:sz w:val="18"/>
                <w:szCs w:val="18"/>
              </w:rPr>
              <w:t>1,3</w:t>
            </w:r>
          </w:p>
        </w:tc>
        <w:tc>
          <w:tcPr>
            <w:tcW w:w="5943" w:type="dxa"/>
            <w:gridSpan w:val="2"/>
          </w:tcPr>
          <w:p w14:paraId="503E126B" w14:textId="77777777" w:rsidR="008B1A0C" w:rsidRPr="00C85EF2" w:rsidRDefault="008B1A0C" w:rsidP="00AD5070">
            <w:pPr>
              <w:pStyle w:val="TableParagraph"/>
              <w:ind w:left="1870"/>
              <w:rPr>
                <w:sz w:val="18"/>
                <w:szCs w:val="18"/>
              </w:rPr>
            </w:pPr>
            <w:r w:rsidRPr="00C85EF2">
              <w:rPr>
                <w:sz w:val="18"/>
                <w:szCs w:val="18"/>
              </w:rPr>
              <w:t>0.70 (0.58, 0.85); p=0.0002</w:t>
            </w:r>
          </w:p>
        </w:tc>
      </w:tr>
      <w:tr w:rsidR="00C85EF2" w:rsidRPr="00C85EF2" w14:paraId="7833AE7D" w14:textId="77777777" w:rsidTr="00651AE5">
        <w:trPr>
          <w:trHeight w:val="230"/>
        </w:trPr>
        <w:tc>
          <w:tcPr>
            <w:tcW w:w="9360" w:type="dxa"/>
            <w:gridSpan w:val="3"/>
          </w:tcPr>
          <w:p w14:paraId="008E8FEA" w14:textId="77777777" w:rsidR="008B1A0C" w:rsidRPr="00C85EF2" w:rsidRDefault="008B1A0C" w:rsidP="00AD5070">
            <w:pPr>
              <w:pStyle w:val="TableParagraph"/>
              <w:ind w:left="110"/>
              <w:rPr>
                <w:sz w:val="18"/>
                <w:szCs w:val="18"/>
              </w:rPr>
            </w:pPr>
            <w:r w:rsidRPr="00C85EF2">
              <w:rPr>
                <w:b/>
                <w:bCs/>
                <w:sz w:val="18"/>
                <w:szCs w:val="18"/>
              </w:rPr>
              <w:t>Overall response rate (ORR)</w:t>
            </w:r>
            <w:r w:rsidRPr="00C85EF2">
              <w:rPr>
                <w:sz w:val="18"/>
                <w:szCs w:val="18"/>
                <w:vertAlign w:val="superscript"/>
              </w:rPr>
              <w:t>4</w:t>
            </w:r>
          </w:p>
        </w:tc>
      </w:tr>
      <w:tr w:rsidR="00C85EF2" w:rsidRPr="00C85EF2" w14:paraId="19D99DB0" w14:textId="77777777" w:rsidTr="00651AE5">
        <w:trPr>
          <w:trHeight w:val="229"/>
        </w:trPr>
        <w:tc>
          <w:tcPr>
            <w:tcW w:w="3417" w:type="dxa"/>
          </w:tcPr>
          <w:p w14:paraId="71B9F13C" w14:textId="77777777" w:rsidR="008B1A0C" w:rsidRPr="00C85EF2" w:rsidRDefault="008B1A0C" w:rsidP="00AD5070">
            <w:pPr>
              <w:pStyle w:val="TableParagraph"/>
              <w:ind w:left="400"/>
              <w:rPr>
                <w:sz w:val="18"/>
                <w:szCs w:val="18"/>
              </w:rPr>
            </w:pPr>
            <w:r w:rsidRPr="00C85EF2">
              <w:rPr>
                <w:sz w:val="18"/>
                <w:szCs w:val="18"/>
              </w:rPr>
              <w:t>ORR, % (95% CI)</w:t>
            </w:r>
          </w:p>
        </w:tc>
        <w:tc>
          <w:tcPr>
            <w:tcW w:w="2972" w:type="dxa"/>
          </w:tcPr>
          <w:p w14:paraId="056891E6" w14:textId="77777777" w:rsidR="008B1A0C" w:rsidRPr="00C85EF2" w:rsidRDefault="008B1A0C" w:rsidP="00AD5070">
            <w:pPr>
              <w:pStyle w:val="TableParagraph"/>
              <w:ind w:left="267" w:right="258"/>
              <w:rPr>
                <w:sz w:val="18"/>
                <w:szCs w:val="18"/>
              </w:rPr>
            </w:pPr>
            <w:r w:rsidRPr="00C85EF2">
              <w:rPr>
                <w:sz w:val="18"/>
                <w:szCs w:val="18"/>
              </w:rPr>
              <w:t>78 (74, 82)</w:t>
            </w:r>
          </w:p>
        </w:tc>
        <w:tc>
          <w:tcPr>
            <w:tcW w:w="2971" w:type="dxa"/>
          </w:tcPr>
          <w:p w14:paraId="17B1C4DA" w14:textId="77777777" w:rsidR="008B1A0C" w:rsidRPr="00C85EF2" w:rsidRDefault="008B1A0C" w:rsidP="00AD5070">
            <w:pPr>
              <w:pStyle w:val="TableParagraph"/>
              <w:ind w:left="797" w:right="789"/>
              <w:rPr>
                <w:sz w:val="18"/>
                <w:szCs w:val="18"/>
              </w:rPr>
            </w:pPr>
            <w:r w:rsidRPr="00C85EF2">
              <w:rPr>
                <w:sz w:val="18"/>
                <w:szCs w:val="18"/>
              </w:rPr>
              <w:t>73 (69, 78)</w:t>
            </w:r>
          </w:p>
        </w:tc>
      </w:tr>
      <w:tr w:rsidR="00C85EF2" w:rsidRPr="00C85EF2" w14:paraId="5ED3EC5C" w14:textId="77777777" w:rsidTr="00651AE5">
        <w:trPr>
          <w:trHeight w:val="230"/>
        </w:trPr>
        <w:tc>
          <w:tcPr>
            <w:tcW w:w="3417" w:type="dxa"/>
          </w:tcPr>
          <w:p w14:paraId="4C832F25" w14:textId="77777777" w:rsidR="008B1A0C" w:rsidRPr="00C85EF2" w:rsidRDefault="008B1A0C" w:rsidP="00AD5070">
            <w:pPr>
              <w:pStyle w:val="TableParagraph"/>
              <w:ind w:left="400"/>
              <w:rPr>
                <w:sz w:val="18"/>
                <w:szCs w:val="18"/>
              </w:rPr>
            </w:pPr>
            <w:r w:rsidRPr="00C85EF2">
              <w:rPr>
                <w:sz w:val="18"/>
                <w:szCs w:val="18"/>
              </w:rPr>
              <w:t>Complete response, %</w:t>
            </w:r>
          </w:p>
        </w:tc>
        <w:tc>
          <w:tcPr>
            <w:tcW w:w="2972" w:type="dxa"/>
          </w:tcPr>
          <w:p w14:paraId="5FB47FD9" w14:textId="77777777" w:rsidR="008B1A0C" w:rsidRPr="00C85EF2" w:rsidRDefault="008B1A0C" w:rsidP="00AD5070">
            <w:pPr>
              <w:pStyle w:val="TableParagraph"/>
              <w:ind w:left="8"/>
              <w:rPr>
                <w:sz w:val="18"/>
                <w:szCs w:val="18"/>
              </w:rPr>
            </w:pPr>
            <w:r w:rsidRPr="00C85EF2">
              <w:rPr>
                <w:sz w:val="18"/>
                <w:szCs w:val="18"/>
              </w:rPr>
              <w:t>5</w:t>
            </w:r>
          </w:p>
        </w:tc>
        <w:tc>
          <w:tcPr>
            <w:tcW w:w="2971" w:type="dxa"/>
          </w:tcPr>
          <w:p w14:paraId="2A9986C5" w14:textId="77777777" w:rsidR="008B1A0C" w:rsidRPr="00C85EF2" w:rsidRDefault="008B1A0C" w:rsidP="00AD5070">
            <w:pPr>
              <w:pStyle w:val="TableParagraph"/>
              <w:ind w:left="797" w:right="789"/>
              <w:rPr>
                <w:sz w:val="18"/>
                <w:szCs w:val="18"/>
              </w:rPr>
            </w:pPr>
            <w:r w:rsidRPr="00C85EF2">
              <w:rPr>
                <w:sz w:val="18"/>
                <w:szCs w:val="18"/>
              </w:rPr>
              <w:t>3.5</w:t>
            </w:r>
          </w:p>
        </w:tc>
      </w:tr>
      <w:tr w:rsidR="00C85EF2" w:rsidRPr="00C85EF2" w14:paraId="12C52DE2" w14:textId="77777777" w:rsidTr="00651AE5">
        <w:trPr>
          <w:trHeight w:val="230"/>
        </w:trPr>
        <w:tc>
          <w:tcPr>
            <w:tcW w:w="3417" w:type="dxa"/>
          </w:tcPr>
          <w:p w14:paraId="031F797D" w14:textId="77777777" w:rsidR="008B1A0C" w:rsidRPr="00C85EF2" w:rsidRDefault="008B1A0C" w:rsidP="00AD5070">
            <w:pPr>
              <w:pStyle w:val="TableParagraph"/>
              <w:ind w:left="400"/>
              <w:rPr>
                <w:sz w:val="18"/>
                <w:szCs w:val="18"/>
              </w:rPr>
            </w:pPr>
            <w:r w:rsidRPr="00C85EF2">
              <w:rPr>
                <w:sz w:val="18"/>
                <w:szCs w:val="18"/>
              </w:rPr>
              <w:t>Partial response, %</w:t>
            </w:r>
          </w:p>
        </w:tc>
        <w:tc>
          <w:tcPr>
            <w:tcW w:w="2972" w:type="dxa"/>
          </w:tcPr>
          <w:p w14:paraId="698471BF" w14:textId="77777777" w:rsidR="008B1A0C" w:rsidRPr="00C85EF2" w:rsidRDefault="008B1A0C" w:rsidP="00AD5070">
            <w:pPr>
              <w:pStyle w:val="TableParagraph"/>
              <w:ind w:left="266" w:right="258"/>
              <w:rPr>
                <w:sz w:val="18"/>
                <w:szCs w:val="18"/>
              </w:rPr>
            </w:pPr>
            <w:r w:rsidRPr="00C85EF2">
              <w:rPr>
                <w:sz w:val="18"/>
                <w:szCs w:val="18"/>
              </w:rPr>
              <w:t>73</w:t>
            </w:r>
          </w:p>
        </w:tc>
        <w:tc>
          <w:tcPr>
            <w:tcW w:w="2971" w:type="dxa"/>
          </w:tcPr>
          <w:p w14:paraId="190C9537" w14:textId="77777777" w:rsidR="008B1A0C" w:rsidRPr="00C85EF2" w:rsidRDefault="008B1A0C" w:rsidP="00AD5070">
            <w:pPr>
              <w:pStyle w:val="TableParagraph"/>
              <w:ind w:left="797" w:right="789"/>
              <w:rPr>
                <w:sz w:val="18"/>
                <w:szCs w:val="18"/>
              </w:rPr>
            </w:pPr>
            <w:r w:rsidRPr="00C85EF2">
              <w:rPr>
                <w:sz w:val="18"/>
                <w:szCs w:val="18"/>
              </w:rPr>
              <w:t>70</w:t>
            </w:r>
          </w:p>
        </w:tc>
      </w:tr>
      <w:tr w:rsidR="00C85EF2" w:rsidRPr="00C85EF2" w14:paraId="4826CFB8" w14:textId="77777777" w:rsidTr="00651AE5">
        <w:trPr>
          <w:trHeight w:val="230"/>
        </w:trPr>
        <w:tc>
          <w:tcPr>
            <w:tcW w:w="9360" w:type="dxa"/>
            <w:gridSpan w:val="3"/>
          </w:tcPr>
          <w:p w14:paraId="317DF4D8" w14:textId="77777777" w:rsidR="008B1A0C" w:rsidRPr="00C85EF2" w:rsidRDefault="008B1A0C" w:rsidP="00AD5070">
            <w:pPr>
              <w:pStyle w:val="TableParagraph"/>
              <w:ind w:left="110"/>
              <w:rPr>
                <w:sz w:val="18"/>
                <w:szCs w:val="18"/>
              </w:rPr>
            </w:pPr>
            <w:r w:rsidRPr="00C85EF2">
              <w:rPr>
                <w:b/>
                <w:bCs/>
                <w:sz w:val="18"/>
                <w:szCs w:val="18"/>
              </w:rPr>
              <w:t>Duration of response (DOR)</w:t>
            </w:r>
            <w:r w:rsidRPr="00C85EF2">
              <w:rPr>
                <w:sz w:val="18"/>
                <w:szCs w:val="18"/>
                <w:vertAlign w:val="superscript"/>
              </w:rPr>
              <w:t>5</w:t>
            </w:r>
          </w:p>
        </w:tc>
      </w:tr>
      <w:tr w:rsidR="00C85EF2" w:rsidRPr="00C85EF2" w14:paraId="6A849E33" w14:textId="77777777" w:rsidTr="00651AE5">
        <w:trPr>
          <w:trHeight w:val="230"/>
        </w:trPr>
        <w:tc>
          <w:tcPr>
            <w:tcW w:w="3417" w:type="dxa"/>
          </w:tcPr>
          <w:p w14:paraId="13FBAA1A" w14:textId="77777777" w:rsidR="008B1A0C" w:rsidRPr="00C85EF2" w:rsidRDefault="008B1A0C" w:rsidP="00AD5070">
            <w:pPr>
              <w:pStyle w:val="TableParagraph"/>
              <w:spacing w:line="211" w:lineRule="exact"/>
              <w:ind w:left="400"/>
              <w:rPr>
                <w:sz w:val="18"/>
                <w:szCs w:val="18"/>
              </w:rPr>
            </w:pPr>
            <w:r w:rsidRPr="00C85EF2">
              <w:rPr>
                <w:sz w:val="18"/>
                <w:szCs w:val="18"/>
              </w:rPr>
              <w:t>Median (95% CI), months</w:t>
            </w:r>
          </w:p>
        </w:tc>
        <w:tc>
          <w:tcPr>
            <w:tcW w:w="2972" w:type="dxa"/>
          </w:tcPr>
          <w:p w14:paraId="38B95C45" w14:textId="77777777" w:rsidR="008B1A0C" w:rsidRPr="00C85EF2" w:rsidRDefault="008B1A0C" w:rsidP="00AD5070">
            <w:pPr>
              <w:pStyle w:val="TableParagraph"/>
              <w:spacing w:line="211" w:lineRule="exact"/>
              <w:ind w:left="262" w:right="258"/>
              <w:rPr>
                <w:sz w:val="18"/>
                <w:szCs w:val="18"/>
              </w:rPr>
            </w:pPr>
            <w:r w:rsidRPr="00C85EF2">
              <w:rPr>
                <w:sz w:val="18"/>
                <w:szCs w:val="18"/>
              </w:rPr>
              <w:t>25.8 (20.1, NE)</w:t>
            </w:r>
          </w:p>
        </w:tc>
        <w:tc>
          <w:tcPr>
            <w:tcW w:w="2971" w:type="dxa"/>
          </w:tcPr>
          <w:p w14:paraId="3A159F14" w14:textId="77777777" w:rsidR="008B1A0C" w:rsidRPr="00C85EF2" w:rsidRDefault="008B1A0C" w:rsidP="00AD5070">
            <w:pPr>
              <w:pStyle w:val="TableParagraph"/>
              <w:spacing w:line="211" w:lineRule="exact"/>
              <w:ind w:left="797" w:right="789"/>
              <w:rPr>
                <w:sz w:val="18"/>
                <w:szCs w:val="18"/>
              </w:rPr>
            </w:pPr>
            <w:r w:rsidRPr="00C85EF2">
              <w:rPr>
                <w:sz w:val="18"/>
                <w:szCs w:val="18"/>
              </w:rPr>
              <w:t>16.7 (14.8, 18.5)</w:t>
            </w:r>
          </w:p>
        </w:tc>
      </w:tr>
      <w:tr w:rsidR="00C85EF2" w:rsidRPr="00C85EF2" w14:paraId="43E10C05" w14:textId="77777777" w:rsidTr="00651AE5">
        <w:trPr>
          <w:trHeight w:val="230"/>
        </w:trPr>
        <w:tc>
          <w:tcPr>
            <w:tcW w:w="3417" w:type="dxa"/>
          </w:tcPr>
          <w:p w14:paraId="7CB605DB" w14:textId="77777777" w:rsidR="008B1A0C" w:rsidRPr="00C85EF2" w:rsidRDefault="008B1A0C" w:rsidP="00AD5070">
            <w:pPr>
              <w:pStyle w:val="TableParagraph"/>
              <w:ind w:left="400"/>
              <w:rPr>
                <w:sz w:val="18"/>
                <w:szCs w:val="18"/>
              </w:rPr>
            </w:pPr>
            <w:r w:rsidRPr="00C85EF2">
              <w:rPr>
                <w:sz w:val="18"/>
                <w:szCs w:val="18"/>
              </w:rPr>
              <w:t>Patients with DOR ≥ 6 months</w:t>
            </w:r>
            <w:r w:rsidRPr="00C85EF2">
              <w:rPr>
                <w:sz w:val="18"/>
                <w:szCs w:val="18"/>
                <w:vertAlign w:val="superscript"/>
              </w:rPr>
              <w:t>6</w:t>
            </w:r>
            <w:r w:rsidRPr="00C85EF2">
              <w:rPr>
                <w:sz w:val="18"/>
                <w:szCs w:val="18"/>
              </w:rPr>
              <w:t>, %</w:t>
            </w:r>
          </w:p>
        </w:tc>
        <w:tc>
          <w:tcPr>
            <w:tcW w:w="2972" w:type="dxa"/>
          </w:tcPr>
          <w:p w14:paraId="6E0BA202" w14:textId="77777777" w:rsidR="008B1A0C" w:rsidRPr="00C85EF2" w:rsidRDefault="008B1A0C" w:rsidP="00AD5070">
            <w:pPr>
              <w:pStyle w:val="TableParagraph"/>
              <w:ind w:left="266" w:right="258"/>
              <w:rPr>
                <w:sz w:val="18"/>
                <w:szCs w:val="18"/>
              </w:rPr>
            </w:pPr>
            <w:r w:rsidRPr="00C85EF2">
              <w:rPr>
                <w:sz w:val="18"/>
                <w:szCs w:val="18"/>
              </w:rPr>
              <w:t>86</w:t>
            </w:r>
          </w:p>
        </w:tc>
        <w:tc>
          <w:tcPr>
            <w:tcW w:w="2971" w:type="dxa"/>
          </w:tcPr>
          <w:p w14:paraId="4F5325E1" w14:textId="77777777" w:rsidR="008B1A0C" w:rsidRPr="00C85EF2" w:rsidRDefault="008B1A0C" w:rsidP="00AD5070">
            <w:pPr>
              <w:pStyle w:val="TableParagraph"/>
              <w:ind w:left="797" w:right="789"/>
              <w:rPr>
                <w:sz w:val="18"/>
                <w:szCs w:val="18"/>
              </w:rPr>
            </w:pPr>
            <w:r w:rsidRPr="00C85EF2">
              <w:rPr>
                <w:sz w:val="18"/>
                <w:szCs w:val="18"/>
              </w:rPr>
              <w:t>85</w:t>
            </w:r>
          </w:p>
        </w:tc>
      </w:tr>
      <w:tr w:rsidR="00C85EF2" w:rsidRPr="00C85EF2" w14:paraId="52BAF605" w14:textId="77777777" w:rsidTr="00651AE5">
        <w:trPr>
          <w:trHeight w:val="230"/>
        </w:trPr>
        <w:tc>
          <w:tcPr>
            <w:tcW w:w="3417" w:type="dxa"/>
          </w:tcPr>
          <w:p w14:paraId="2B96E925" w14:textId="77777777" w:rsidR="008B1A0C" w:rsidRPr="00C85EF2" w:rsidRDefault="008B1A0C" w:rsidP="00AD5070">
            <w:pPr>
              <w:pStyle w:val="TableParagraph"/>
              <w:ind w:left="400"/>
              <w:rPr>
                <w:sz w:val="18"/>
                <w:szCs w:val="18"/>
              </w:rPr>
            </w:pPr>
            <w:r w:rsidRPr="00C85EF2">
              <w:rPr>
                <w:sz w:val="18"/>
                <w:szCs w:val="18"/>
              </w:rPr>
              <w:t>Patients with DOR ≥ 12 months</w:t>
            </w:r>
            <w:r w:rsidRPr="00C85EF2">
              <w:rPr>
                <w:sz w:val="18"/>
                <w:szCs w:val="18"/>
                <w:vertAlign w:val="superscript"/>
              </w:rPr>
              <w:t>6</w:t>
            </w:r>
            <w:r w:rsidRPr="00C85EF2">
              <w:rPr>
                <w:sz w:val="18"/>
                <w:szCs w:val="18"/>
              </w:rPr>
              <w:t>, %</w:t>
            </w:r>
          </w:p>
        </w:tc>
        <w:tc>
          <w:tcPr>
            <w:tcW w:w="2972" w:type="dxa"/>
          </w:tcPr>
          <w:p w14:paraId="577AF54D" w14:textId="77777777" w:rsidR="008B1A0C" w:rsidRPr="00C85EF2" w:rsidRDefault="008B1A0C" w:rsidP="00AD5070">
            <w:pPr>
              <w:pStyle w:val="TableParagraph"/>
              <w:ind w:left="266" w:right="258"/>
              <w:rPr>
                <w:sz w:val="18"/>
                <w:szCs w:val="18"/>
              </w:rPr>
            </w:pPr>
            <w:r w:rsidRPr="00C85EF2">
              <w:rPr>
                <w:sz w:val="18"/>
                <w:szCs w:val="18"/>
              </w:rPr>
              <w:t>68</w:t>
            </w:r>
          </w:p>
        </w:tc>
        <w:tc>
          <w:tcPr>
            <w:tcW w:w="2971" w:type="dxa"/>
          </w:tcPr>
          <w:p w14:paraId="2321620B" w14:textId="77777777" w:rsidR="008B1A0C" w:rsidRPr="00C85EF2" w:rsidRDefault="008B1A0C" w:rsidP="00AD5070">
            <w:pPr>
              <w:pStyle w:val="TableParagraph"/>
              <w:ind w:left="797" w:right="789"/>
              <w:rPr>
                <w:sz w:val="18"/>
                <w:szCs w:val="18"/>
              </w:rPr>
            </w:pPr>
            <w:r w:rsidRPr="00C85EF2">
              <w:rPr>
                <w:sz w:val="18"/>
                <w:szCs w:val="18"/>
              </w:rPr>
              <w:t>57</w:t>
            </w:r>
          </w:p>
        </w:tc>
      </w:tr>
    </w:tbl>
    <w:p w14:paraId="697CF63B" w14:textId="77777777" w:rsidR="008B1A0C" w:rsidRPr="00C85EF2" w:rsidRDefault="008B1A0C" w:rsidP="00AD5070">
      <w:pPr>
        <w:rPr>
          <w:color w:val="auto"/>
          <w:sz w:val="16"/>
        </w:rPr>
      </w:pPr>
      <w:r w:rsidRPr="00C85EF2">
        <w:rPr>
          <w:color w:val="auto"/>
          <w:sz w:val="16"/>
        </w:rPr>
        <w:t>CI = confidence interval; NE = not estimable</w:t>
      </w:r>
    </w:p>
    <w:p w14:paraId="79FF1C28" w14:textId="1D7BDF9B" w:rsidR="008B1A0C" w:rsidRPr="00C85EF2" w:rsidRDefault="008B1A0C" w:rsidP="00AD5070">
      <w:pPr>
        <w:tabs>
          <w:tab w:val="left" w:pos="1260"/>
        </w:tabs>
        <w:spacing w:before="1"/>
        <w:rPr>
          <w:color w:val="auto"/>
          <w:sz w:val="16"/>
        </w:rPr>
      </w:pPr>
      <w:r w:rsidRPr="00C85EF2">
        <w:rPr>
          <w:color w:val="auto"/>
          <w:sz w:val="16"/>
          <w:vertAlign w:val="superscript"/>
        </w:rPr>
        <w:t>1</w:t>
      </w:r>
      <w:r w:rsidRPr="00C85EF2">
        <w:rPr>
          <w:color w:val="auto"/>
          <w:sz w:val="16"/>
        </w:rPr>
        <w:t>Stratified by mutation type (Exon 19del or Exon 21 L858R), prior brain metastases (yes or no), and Asian race (yes or</w:t>
      </w:r>
      <w:r w:rsidRPr="00C85EF2">
        <w:rPr>
          <w:color w:val="auto"/>
          <w:spacing w:val="-25"/>
          <w:sz w:val="16"/>
        </w:rPr>
        <w:t xml:space="preserve"> </w:t>
      </w:r>
      <w:r w:rsidRPr="00C85EF2">
        <w:rPr>
          <w:color w:val="auto"/>
          <w:sz w:val="16"/>
        </w:rPr>
        <w:t>no).</w:t>
      </w:r>
    </w:p>
    <w:p w14:paraId="4AE82BDB" w14:textId="76D9B29D" w:rsidR="008B1A0C" w:rsidRPr="00C85EF2" w:rsidRDefault="008B1A0C" w:rsidP="00AD5070">
      <w:pPr>
        <w:tabs>
          <w:tab w:val="left" w:pos="1260"/>
        </w:tabs>
        <w:spacing w:before="1" w:line="182" w:lineRule="exact"/>
        <w:rPr>
          <w:color w:val="auto"/>
          <w:sz w:val="16"/>
        </w:rPr>
      </w:pPr>
      <w:r w:rsidRPr="00C85EF2">
        <w:rPr>
          <w:color w:val="auto"/>
          <w:sz w:val="16"/>
          <w:vertAlign w:val="superscript"/>
        </w:rPr>
        <w:t>2</w:t>
      </w:r>
      <w:r w:rsidRPr="00C85EF2">
        <w:rPr>
          <w:color w:val="auto"/>
          <w:sz w:val="16"/>
        </w:rPr>
        <w:t>Stratified Cox proportional hazards</w:t>
      </w:r>
      <w:r w:rsidRPr="00C85EF2">
        <w:rPr>
          <w:color w:val="auto"/>
          <w:spacing w:val="-4"/>
          <w:sz w:val="16"/>
        </w:rPr>
        <w:t xml:space="preserve"> </w:t>
      </w:r>
      <w:r w:rsidRPr="00C85EF2">
        <w:rPr>
          <w:color w:val="auto"/>
          <w:sz w:val="16"/>
        </w:rPr>
        <w:t>regression.</w:t>
      </w:r>
    </w:p>
    <w:p w14:paraId="47E75E2E" w14:textId="023A4AED" w:rsidR="008B1A0C" w:rsidRPr="00C85EF2" w:rsidRDefault="008B1A0C" w:rsidP="00AD5070">
      <w:pPr>
        <w:tabs>
          <w:tab w:val="left" w:pos="1260"/>
        </w:tabs>
        <w:spacing w:line="182" w:lineRule="exact"/>
        <w:rPr>
          <w:color w:val="auto"/>
          <w:sz w:val="16"/>
        </w:rPr>
      </w:pPr>
      <w:r w:rsidRPr="00C85EF2">
        <w:rPr>
          <w:color w:val="auto"/>
          <w:sz w:val="16"/>
          <w:vertAlign w:val="superscript"/>
        </w:rPr>
        <w:t>3</w:t>
      </w:r>
      <w:r w:rsidRPr="00C85EF2">
        <w:rPr>
          <w:color w:val="auto"/>
          <w:sz w:val="16"/>
        </w:rPr>
        <w:t>Stratified log-rank</w:t>
      </w:r>
      <w:r w:rsidRPr="00C85EF2">
        <w:rPr>
          <w:color w:val="auto"/>
          <w:spacing w:val="-1"/>
          <w:sz w:val="16"/>
        </w:rPr>
        <w:t xml:space="preserve"> </w:t>
      </w:r>
      <w:r w:rsidRPr="00C85EF2">
        <w:rPr>
          <w:color w:val="auto"/>
          <w:sz w:val="16"/>
        </w:rPr>
        <w:t>test.</w:t>
      </w:r>
    </w:p>
    <w:p w14:paraId="1214DA96" w14:textId="02019C0F" w:rsidR="008B1A0C" w:rsidRPr="00C85EF2" w:rsidRDefault="008B1A0C" w:rsidP="00AD5070">
      <w:pPr>
        <w:tabs>
          <w:tab w:val="left" w:pos="1265"/>
        </w:tabs>
        <w:spacing w:before="1"/>
        <w:rPr>
          <w:color w:val="auto"/>
          <w:sz w:val="16"/>
        </w:rPr>
      </w:pPr>
      <w:r w:rsidRPr="00C85EF2">
        <w:rPr>
          <w:color w:val="auto"/>
          <w:sz w:val="16"/>
          <w:vertAlign w:val="superscript"/>
        </w:rPr>
        <w:t>4</w:t>
      </w:r>
      <w:r w:rsidRPr="00C85EF2">
        <w:rPr>
          <w:color w:val="auto"/>
          <w:sz w:val="16"/>
        </w:rPr>
        <w:t>Confirmed responses based on the ITT</w:t>
      </w:r>
      <w:r w:rsidRPr="00C85EF2">
        <w:rPr>
          <w:color w:val="auto"/>
          <w:spacing w:val="-4"/>
          <w:sz w:val="16"/>
        </w:rPr>
        <w:t xml:space="preserve"> </w:t>
      </w:r>
      <w:r w:rsidRPr="00C85EF2">
        <w:rPr>
          <w:color w:val="auto"/>
          <w:sz w:val="16"/>
        </w:rPr>
        <w:t>population.</w:t>
      </w:r>
    </w:p>
    <w:p w14:paraId="45127818" w14:textId="48B90343" w:rsidR="008B1A0C" w:rsidRPr="00C85EF2" w:rsidRDefault="008B1A0C" w:rsidP="00AD5070">
      <w:pPr>
        <w:tabs>
          <w:tab w:val="left" w:pos="1265"/>
        </w:tabs>
        <w:spacing w:before="2"/>
        <w:rPr>
          <w:color w:val="auto"/>
          <w:sz w:val="16"/>
        </w:rPr>
      </w:pPr>
      <w:r w:rsidRPr="00C85EF2">
        <w:rPr>
          <w:color w:val="auto"/>
          <w:sz w:val="16"/>
          <w:vertAlign w:val="superscript"/>
        </w:rPr>
        <w:t>5</w:t>
      </w:r>
      <w:r w:rsidRPr="00C85EF2">
        <w:rPr>
          <w:color w:val="auto"/>
          <w:sz w:val="16"/>
        </w:rPr>
        <w:t>In confirmed</w:t>
      </w:r>
      <w:r w:rsidRPr="00C85EF2">
        <w:rPr>
          <w:color w:val="auto"/>
          <w:spacing w:val="-10"/>
          <w:sz w:val="16"/>
        </w:rPr>
        <w:t xml:space="preserve"> </w:t>
      </w:r>
      <w:r w:rsidRPr="00C85EF2">
        <w:rPr>
          <w:color w:val="auto"/>
          <w:sz w:val="16"/>
        </w:rPr>
        <w:t>responders.</w:t>
      </w:r>
    </w:p>
    <w:p w14:paraId="39081867" w14:textId="6492BADC" w:rsidR="004C3F62" w:rsidRPr="00C85EF2" w:rsidRDefault="008B1A0C" w:rsidP="00AD5070">
      <w:pPr>
        <w:rPr>
          <w:color w:val="auto"/>
          <w:sz w:val="16"/>
        </w:rPr>
      </w:pPr>
      <w:r w:rsidRPr="00C85EF2">
        <w:rPr>
          <w:color w:val="auto"/>
          <w:sz w:val="16"/>
          <w:vertAlign w:val="superscript"/>
        </w:rPr>
        <w:t>6</w:t>
      </w:r>
      <w:r w:rsidRPr="00C85EF2">
        <w:rPr>
          <w:color w:val="auto"/>
          <w:sz w:val="16"/>
        </w:rPr>
        <w:t>Based on observed</w:t>
      </w:r>
      <w:r w:rsidRPr="00C85EF2">
        <w:rPr>
          <w:color w:val="auto"/>
          <w:spacing w:val="-18"/>
          <w:sz w:val="16"/>
        </w:rPr>
        <w:t xml:space="preserve"> </w:t>
      </w:r>
      <w:r w:rsidRPr="00C85EF2">
        <w:rPr>
          <w:color w:val="auto"/>
          <w:sz w:val="16"/>
        </w:rPr>
        <w:t xml:space="preserve">rates. </w:t>
      </w:r>
    </w:p>
    <w:p w14:paraId="757CC1EE" w14:textId="77777777" w:rsidR="008B1A0C" w:rsidRPr="00C85EF2" w:rsidRDefault="008B1A0C" w:rsidP="00AD5070">
      <w:pPr>
        <w:rPr>
          <w:b/>
          <w:bCs/>
          <w:noProof/>
          <w:color w:val="auto"/>
          <w:sz w:val="18"/>
          <w:szCs w:val="18"/>
        </w:rPr>
      </w:pPr>
    </w:p>
    <w:p w14:paraId="401B1D55" w14:textId="217C4FA4" w:rsidR="00755C88" w:rsidRPr="00C85EF2" w:rsidRDefault="00755C88" w:rsidP="00AD5070">
      <w:pPr>
        <w:keepNext/>
        <w:ind w:left="1134" w:hanging="1134"/>
        <w:rPr>
          <w:b/>
          <w:bCs/>
          <w:noProof/>
          <w:color w:val="auto"/>
          <w:sz w:val="18"/>
          <w:szCs w:val="18"/>
        </w:rPr>
      </w:pPr>
      <w:r w:rsidRPr="00C85EF2">
        <w:rPr>
          <w:b/>
          <w:bCs/>
          <w:noProof/>
          <w:color w:val="auto"/>
          <w:sz w:val="18"/>
          <w:szCs w:val="18"/>
        </w:rPr>
        <w:lastRenderedPageBreak/>
        <w:t>Figure 1:</w:t>
      </w:r>
      <w:r w:rsidRPr="00C85EF2">
        <w:rPr>
          <w:b/>
          <w:bCs/>
          <w:noProof/>
          <w:color w:val="auto"/>
          <w:sz w:val="18"/>
          <w:szCs w:val="18"/>
        </w:rPr>
        <w:tab/>
        <w:t>Kaplan-Meier curve of PFS in previously untreated NSCLC patients by BICR assessment</w:t>
      </w:r>
    </w:p>
    <w:p w14:paraId="6B411394" w14:textId="77777777" w:rsidR="00755C88" w:rsidRPr="00C85EF2" w:rsidRDefault="00755C88" w:rsidP="00AD5070">
      <w:pPr>
        <w:rPr>
          <w:color w:val="auto"/>
        </w:rPr>
      </w:pPr>
      <w:r w:rsidRPr="00C85EF2">
        <w:rPr>
          <w:noProof/>
          <w:color w:val="auto"/>
          <w:lang w:val="en-GB" w:eastAsia="en-GB"/>
        </w:rPr>
        <w:drawing>
          <wp:inline distT="0" distB="0" distL="0" distR="0" wp14:anchorId="48051DA9" wp14:editId="1CD374F9">
            <wp:extent cx="6343650" cy="391643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2257" cy="3921744"/>
                    </a:xfrm>
                    <a:prstGeom prst="rect">
                      <a:avLst/>
                    </a:prstGeom>
                    <a:noFill/>
                    <a:ln>
                      <a:noFill/>
                    </a:ln>
                  </pic:spPr>
                </pic:pic>
              </a:graphicData>
            </a:graphic>
          </wp:inline>
        </w:drawing>
      </w:r>
    </w:p>
    <w:p w14:paraId="3A98FC78" w14:textId="70281C90" w:rsidR="00755C88" w:rsidRPr="00C85EF2" w:rsidRDefault="00755C88" w:rsidP="00AD5070">
      <w:pPr>
        <w:pStyle w:val="BodyText"/>
        <w:jc w:val="left"/>
        <w:rPr>
          <w:rFonts w:eastAsiaTheme="majorEastAsia"/>
          <w:color w:val="auto"/>
        </w:rPr>
      </w:pPr>
      <w:r w:rsidRPr="00C85EF2">
        <w:rPr>
          <w:color w:val="auto"/>
        </w:rPr>
        <w:t xml:space="preserve">The PFS benefit of </w:t>
      </w:r>
      <w:r w:rsidR="00FA6C25" w:rsidRPr="00C85EF2">
        <w:rPr>
          <w:color w:val="auto"/>
        </w:rPr>
        <w:t>LAZCLUZE</w:t>
      </w:r>
      <w:r w:rsidRPr="00C85EF2">
        <w:rPr>
          <w:color w:val="auto"/>
        </w:rPr>
        <w:t xml:space="preserve"> in combination with amivantamab as compared to </w:t>
      </w:r>
      <w:proofErr w:type="spellStart"/>
      <w:r w:rsidRPr="00C85EF2">
        <w:rPr>
          <w:color w:val="auto"/>
        </w:rPr>
        <w:t>osimertinib</w:t>
      </w:r>
      <w:proofErr w:type="spellEnd"/>
      <w:r w:rsidRPr="00C85EF2">
        <w:rPr>
          <w:color w:val="auto"/>
        </w:rPr>
        <w:t xml:space="preserve"> was generally consistent across prespecified, clinically relevant subgroups, including age group, sex, race, weight, mutation type, ECOG performance status, history of smoking, and history of brain metastasis</w:t>
      </w:r>
      <w:r w:rsidRPr="00C85EF2" w:rsidDel="00C7046E">
        <w:rPr>
          <w:color w:val="auto"/>
        </w:rPr>
        <w:t xml:space="preserve"> </w:t>
      </w:r>
      <w:r w:rsidRPr="00C85EF2">
        <w:rPr>
          <w:color w:val="auto"/>
        </w:rPr>
        <w:t>at study entry (See Figure 2).</w:t>
      </w:r>
      <w:r w:rsidRPr="00C85EF2" w:rsidDel="005C09FB">
        <w:rPr>
          <w:rStyle w:val="EndnoteReference"/>
          <w:rFonts w:eastAsiaTheme="majorEastAsia"/>
          <w:color w:val="auto"/>
        </w:rPr>
        <w:t xml:space="preserve"> </w:t>
      </w:r>
    </w:p>
    <w:p w14:paraId="1826FB43" w14:textId="77777777" w:rsidR="00AB1477" w:rsidRPr="00C85EF2" w:rsidRDefault="00AB1477" w:rsidP="00AD5070">
      <w:pPr>
        <w:pStyle w:val="BodyText"/>
        <w:keepNext/>
        <w:ind w:left="1134" w:hanging="1134"/>
        <w:jc w:val="left"/>
        <w:rPr>
          <w:b/>
          <w:bCs/>
          <w:noProof/>
          <w:color w:val="auto"/>
          <w:sz w:val="18"/>
          <w:szCs w:val="18"/>
        </w:rPr>
      </w:pPr>
      <w:r w:rsidRPr="00C85EF2">
        <w:rPr>
          <w:b/>
          <w:bCs/>
          <w:noProof/>
          <w:color w:val="auto"/>
          <w:sz w:val="18"/>
          <w:szCs w:val="18"/>
        </w:rPr>
        <w:lastRenderedPageBreak/>
        <w:t>Figure 2:</w:t>
      </w:r>
      <w:r w:rsidRPr="00C85EF2">
        <w:rPr>
          <w:b/>
          <w:bCs/>
          <w:noProof/>
          <w:color w:val="auto"/>
          <w:sz w:val="18"/>
          <w:szCs w:val="18"/>
        </w:rPr>
        <w:tab/>
        <w:t>Forest plot of PFS in previously untreated NSCLC patients by BICR assessment</w:t>
      </w:r>
      <w:r w:rsidRPr="00C85EF2">
        <w:rPr>
          <w:rStyle w:val="EndnoteReference"/>
          <w:rFonts w:eastAsiaTheme="majorEastAsia"/>
          <w:bCs/>
          <w:noProof/>
          <w:color w:val="auto"/>
          <w:sz w:val="18"/>
          <w:szCs w:val="18"/>
        </w:rPr>
        <w:t xml:space="preserve"> </w:t>
      </w:r>
    </w:p>
    <w:p w14:paraId="47CAD8A6" w14:textId="2753FDFB" w:rsidR="00980809" w:rsidRPr="00C85EF2" w:rsidRDefault="00847B65" w:rsidP="00AD5070">
      <w:pPr>
        <w:pStyle w:val="BodyText"/>
        <w:jc w:val="left"/>
        <w:rPr>
          <w:color w:val="auto"/>
        </w:rPr>
      </w:pPr>
      <w:r w:rsidRPr="00C85EF2">
        <w:rPr>
          <w:noProof/>
          <w:color w:val="auto"/>
          <w:lang w:val="en-GB" w:eastAsia="en-GB"/>
        </w:rPr>
        <w:drawing>
          <wp:inline distT="0" distB="0" distL="0" distR="0" wp14:anchorId="5C4360EC" wp14:editId="72423605">
            <wp:extent cx="6120765" cy="4270515"/>
            <wp:effectExtent l="0" t="0" r="0" b="0"/>
            <wp:docPr id="1408092323" name="Picture 140809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270515"/>
                    </a:xfrm>
                    <a:prstGeom prst="rect">
                      <a:avLst/>
                    </a:prstGeom>
                    <a:noFill/>
                    <a:ln>
                      <a:noFill/>
                    </a:ln>
                  </pic:spPr>
                </pic:pic>
              </a:graphicData>
            </a:graphic>
          </wp:inline>
        </w:drawing>
      </w:r>
    </w:p>
    <w:p w14:paraId="2C834713" w14:textId="0957F849" w:rsidR="00E72708" w:rsidRPr="00C85EF2" w:rsidRDefault="00755C88" w:rsidP="00AD5070">
      <w:pPr>
        <w:pStyle w:val="Basic12"/>
        <w:jc w:val="left"/>
        <w:rPr>
          <w:rFonts w:ascii="Arial" w:hAnsi="Arial" w:cs="Arial"/>
          <w:sz w:val="22"/>
          <w:szCs w:val="22"/>
        </w:rPr>
      </w:pPr>
      <w:r w:rsidRPr="00C85EF2">
        <w:rPr>
          <w:rFonts w:ascii="Arial" w:hAnsi="Arial" w:cs="Arial"/>
          <w:sz w:val="22"/>
          <w:szCs w:val="22"/>
        </w:rPr>
        <w:t xml:space="preserve">The MARIPOSA study included protocol-mandated brain magnetic resonance imaging (MRIs), which have historically not been used in trials evaluating EGFR-mutated NSCLC.  This may have led to earlier detection of recurrences and associated shorter median values for PFS.  To account for this, a sensitivity analysis was done whereby patients with brain-only progression as the site of first progression were censored. Extracranial PFS based on BICR assessment was consistent with the treatment benefit observed in the primary analysis. The median extracranial PFS was 27.5 months with </w:t>
      </w:r>
      <w:r w:rsidR="00FA6C25" w:rsidRPr="00C85EF2">
        <w:rPr>
          <w:rFonts w:ascii="Arial" w:hAnsi="Arial" w:cs="Arial"/>
          <w:sz w:val="22"/>
          <w:szCs w:val="22"/>
        </w:rPr>
        <w:t>LAZCLUZE</w:t>
      </w:r>
      <w:r w:rsidRPr="00C85EF2">
        <w:rPr>
          <w:rFonts w:ascii="Arial" w:hAnsi="Arial" w:cs="Arial"/>
          <w:sz w:val="22"/>
          <w:szCs w:val="22"/>
        </w:rPr>
        <w:t xml:space="preserve"> in combination with amivantamab, as compared to 18.37 months with </w:t>
      </w:r>
      <w:proofErr w:type="spellStart"/>
      <w:r w:rsidRPr="00C85EF2">
        <w:rPr>
          <w:rFonts w:ascii="Arial" w:hAnsi="Arial" w:cs="Arial"/>
          <w:sz w:val="22"/>
          <w:szCs w:val="22"/>
        </w:rPr>
        <w:t>osimertinib</w:t>
      </w:r>
      <w:proofErr w:type="spellEnd"/>
      <w:r w:rsidRPr="00C85EF2">
        <w:rPr>
          <w:rFonts w:ascii="Arial" w:hAnsi="Arial" w:cs="Arial"/>
          <w:sz w:val="22"/>
          <w:szCs w:val="22"/>
        </w:rPr>
        <w:t xml:space="preserve"> (HR=0.68 [95% CI: 0.55, 0.83], nominal p=0.0001).</w:t>
      </w:r>
    </w:p>
    <w:p w14:paraId="724B1B94" w14:textId="3A6D557A" w:rsidR="004C3F62" w:rsidRPr="00C85EF2" w:rsidRDefault="00755C88" w:rsidP="00AD5070">
      <w:pPr>
        <w:pStyle w:val="Basic12"/>
        <w:jc w:val="left"/>
      </w:pPr>
      <w:r w:rsidRPr="00C85EF2">
        <w:rPr>
          <w:rFonts w:ascii="Arial" w:hAnsi="Arial" w:cs="Arial"/>
          <w:sz w:val="22"/>
          <w:szCs w:val="18"/>
        </w:rPr>
        <w:t xml:space="preserve">The stratified analysis of investigator-assessed PFS shows that the improved treatment effect of the combination of </w:t>
      </w:r>
      <w:r w:rsidR="00FA6C25" w:rsidRPr="00C85EF2">
        <w:rPr>
          <w:rFonts w:ascii="Arial" w:hAnsi="Arial" w:cs="Arial"/>
          <w:sz w:val="22"/>
          <w:szCs w:val="18"/>
        </w:rPr>
        <w:t>LAZCLUZE</w:t>
      </w:r>
      <w:r w:rsidRPr="00C85EF2">
        <w:rPr>
          <w:rFonts w:ascii="Arial" w:hAnsi="Arial" w:cs="Arial"/>
          <w:sz w:val="22"/>
          <w:szCs w:val="18"/>
        </w:rPr>
        <w:t xml:space="preserve"> and </w:t>
      </w:r>
      <w:proofErr w:type="spellStart"/>
      <w:r w:rsidRPr="00C85EF2">
        <w:rPr>
          <w:rFonts w:ascii="Arial" w:hAnsi="Arial" w:cs="Arial"/>
          <w:sz w:val="22"/>
          <w:szCs w:val="18"/>
        </w:rPr>
        <w:t>amivantamab</w:t>
      </w:r>
      <w:proofErr w:type="spellEnd"/>
      <w:r w:rsidRPr="00C85EF2">
        <w:rPr>
          <w:rFonts w:ascii="Arial" w:hAnsi="Arial" w:cs="Arial"/>
          <w:sz w:val="22"/>
          <w:szCs w:val="18"/>
        </w:rPr>
        <w:t xml:space="preserve"> relative to </w:t>
      </w:r>
      <w:proofErr w:type="spellStart"/>
      <w:r w:rsidRPr="00C85EF2">
        <w:rPr>
          <w:rFonts w:ascii="Arial" w:hAnsi="Arial" w:cs="Arial"/>
          <w:sz w:val="22"/>
          <w:szCs w:val="18"/>
        </w:rPr>
        <w:t>osimertinib</w:t>
      </w:r>
      <w:proofErr w:type="spellEnd"/>
      <w:r w:rsidRPr="00C85EF2">
        <w:rPr>
          <w:rFonts w:ascii="Arial" w:hAnsi="Arial" w:cs="Arial"/>
          <w:sz w:val="22"/>
          <w:szCs w:val="18"/>
        </w:rPr>
        <w:t xml:space="preserve"> was also observed </w:t>
      </w:r>
      <w:r w:rsidR="0043761A" w:rsidRPr="00C85EF2">
        <w:rPr>
          <w:rFonts w:ascii="Arial" w:hAnsi="Arial" w:cs="Arial"/>
          <w:sz w:val="22"/>
          <w:szCs w:val="18"/>
        </w:rPr>
        <w:t xml:space="preserve">(median PFS of 23.92 months in the RYBREVANT in combination with lazertinib arm, compared to median of 19.94 months in the </w:t>
      </w:r>
      <w:proofErr w:type="spellStart"/>
      <w:r w:rsidR="0043761A" w:rsidRPr="00C85EF2">
        <w:rPr>
          <w:rFonts w:ascii="Arial" w:hAnsi="Arial" w:cs="Arial"/>
          <w:sz w:val="22"/>
          <w:szCs w:val="18"/>
        </w:rPr>
        <w:t>osimertinib</w:t>
      </w:r>
      <w:proofErr w:type="spellEnd"/>
      <w:r w:rsidR="0043761A" w:rsidRPr="00C85EF2">
        <w:rPr>
          <w:rFonts w:ascii="Arial" w:hAnsi="Arial" w:cs="Arial"/>
          <w:sz w:val="22"/>
          <w:szCs w:val="18"/>
        </w:rPr>
        <w:t xml:space="preserve"> arm (HR of 0.79 [95% CI: 0.65, 0.95, nominal p=0.0139])) </w:t>
      </w:r>
      <w:r w:rsidRPr="00C85EF2">
        <w:rPr>
          <w:rFonts w:ascii="Arial" w:hAnsi="Arial" w:cs="Arial"/>
          <w:sz w:val="22"/>
          <w:szCs w:val="18"/>
        </w:rPr>
        <w:t xml:space="preserve">when assessed by investigator. Results for the analysis of ORR based on investigator assessment for comparison of the </w:t>
      </w:r>
      <w:r w:rsidR="00FA6C25" w:rsidRPr="00C85EF2">
        <w:rPr>
          <w:rFonts w:ascii="Arial" w:hAnsi="Arial" w:cs="Arial"/>
          <w:sz w:val="22"/>
          <w:szCs w:val="18"/>
        </w:rPr>
        <w:t>LAZCLUZE</w:t>
      </w:r>
      <w:r w:rsidRPr="00C85EF2">
        <w:rPr>
          <w:rFonts w:ascii="Arial" w:hAnsi="Arial" w:cs="Arial"/>
          <w:sz w:val="22"/>
          <w:szCs w:val="18"/>
        </w:rPr>
        <w:t xml:space="preserve"> in combination with amivantamab arm versus the </w:t>
      </w:r>
      <w:proofErr w:type="spellStart"/>
      <w:r w:rsidRPr="00C85EF2">
        <w:rPr>
          <w:rFonts w:ascii="Arial" w:hAnsi="Arial" w:cs="Arial"/>
          <w:sz w:val="22"/>
          <w:szCs w:val="18"/>
        </w:rPr>
        <w:t>osimertinib</w:t>
      </w:r>
      <w:proofErr w:type="spellEnd"/>
      <w:r w:rsidRPr="00C85EF2">
        <w:rPr>
          <w:rFonts w:ascii="Arial" w:hAnsi="Arial" w:cs="Arial"/>
          <w:sz w:val="22"/>
          <w:szCs w:val="18"/>
        </w:rPr>
        <w:t xml:space="preserve"> arm were consistent with results for ORR based on BICR assessment</w:t>
      </w:r>
      <w:r w:rsidRPr="00C85EF2">
        <w:t xml:space="preserve">. </w:t>
      </w:r>
    </w:p>
    <w:p w14:paraId="3C3DDC19" w14:textId="69E94CFE" w:rsidR="00755C88" w:rsidRPr="00C85EF2" w:rsidRDefault="00755C88" w:rsidP="00AD5070">
      <w:pPr>
        <w:rPr>
          <w:color w:val="auto"/>
        </w:rPr>
      </w:pPr>
      <w:r w:rsidRPr="00C85EF2">
        <w:rPr>
          <w:color w:val="auto"/>
        </w:rPr>
        <w:t xml:space="preserve">Results of pre-specified exploratory analyses of central nervous system (CNS) ORR and DOR by BICR in the subset of patients with measurable intracranial lesions at baseline for the combination of </w:t>
      </w:r>
      <w:r w:rsidR="00FA6C25" w:rsidRPr="00C85EF2">
        <w:rPr>
          <w:color w:val="auto"/>
        </w:rPr>
        <w:t>LAZCLUZE</w:t>
      </w:r>
      <w:r w:rsidRPr="00C85EF2">
        <w:rPr>
          <w:color w:val="auto"/>
        </w:rPr>
        <w:t xml:space="preserve"> and amivantamab demonstrated similar intracranial ORR to the control. Per protocol, all patients in MARIPOSA had serial brain MRIs to assess intracranial response and duration. Results are summari</w:t>
      </w:r>
      <w:r w:rsidR="00860DCD" w:rsidRPr="00C85EF2">
        <w:rPr>
          <w:color w:val="auto"/>
        </w:rPr>
        <w:t>s</w:t>
      </w:r>
      <w:r w:rsidRPr="00C85EF2">
        <w:rPr>
          <w:color w:val="auto"/>
        </w:rPr>
        <w:t xml:space="preserve">ed in Table </w:t>
      </w:r>
      <w:r w:rsidR="00980809" w:rsidRPr="00C85EF2">
        <w:rPr>
          <w:color w:val="auto"/>
        </w:rPr>
        <w:t>6</w:t>
      </w:r>
      <w:r w:rsidRPr="00C85EF2">
        <w:rPr>
          <w:color w:val="auto"/>
        </w:rPr>
        <w:t xml:space="preserve">. </w:t>
      </w:r>
    </w:p>
    <w:p w14:paraId="2C3183E0" w14:textId="156612A4" w:rsidR="00C6210B" w:rsidRDefault="00C6210B" w:rsidP="00AD5070">
      <w:pPr>
        <w:rPr>
          <w:color w:val="auto"/>
        </w:rPr>
      </w:pPr>
      <w:r>
        <w:rPr>
          <w:color w:val="auto"/>
        </w:rPr>
        <w:br w:type="page"/>
      </w:r>
    </w:p>
    <w:p w14:paraId="07E5CF1C" w14:textId="77777777" w:rsidR="00755C88" w:rsidRPr="00C85EF2" w:rsidRDefault="00755C88" w:rsidP="00AD5070">
      <w:pPr>
        <w:rPr>
          <w:color w:val="auto"/>
        </w:rPr>
      </w:pPr>
    </w:p>
    <w:tbl>
      <w:tblPr>
        <w:tblStyle w:val="TableGrid"/>
        <w:tblW w:w="5003" w:type="pct"/>
        <w:tblLayout w:type="fixed"/>
        <w:tblLook w:val="04A0" w:firstRow="1" w:lastRow="0" w:firstColumn="1" w:lastColumn="0" w:noHBand="0" w:noVBand="1"/>
      </w:tblPr>
      <w:tblGrid>
        <w:gridCol w:w="3715"/>
        <w:gridCol w:w="1926"/>
        <w:gridCol w:w="1788"/>
        <w:gridCol w:w="1932"/>
      </w:tblGrid>
      <w:tr w:rsidR="00C85EF2" w:rsidRPr="00C85EF2" w14:paraId="59CA27EA" w14:textId="77777777" w:rsidTr="00660973">
        <w:tc>
          <w:tcPr>
            <w:tcW w:w="5000" w:type="pct"/>
            <w:gridSpan w:val="4"/>
            <w:tcBorders>
              <w:top w:val="nil"/>
              <w:left w:val="nil"/>
              <w:right w:val="nil"/>
            </w:tcBorders>
          </w:tcPr>
          <w:p w14:paraId="48B7E825" w14:textId="661DBFED" w:rsidR="00755C88" w:rsidRPr="00C85EF2" w:rsidRDefault="00755C88" w:rsidP="00AD5070">
            <w:pPr>
              <w:keepNext/>
              <w:ind w:left="1134" w:hanging="1134"/>
              <w:rPr>
                <w:b/>
                <w:bCs/>
                <w:noProof/>
                <w:color w:val="auto"/>
                <w:sz w:val="18"/>
                <w:szCs w:val="18"/>
              </w:rPr>
            </w:pPr>
            <w:r w:rsidRPr="00C85EF2">
              <w:rPr>
                <w:b/>
                <w:bCs/>
                <w:noProof/>
                <w:color w:val="auto"/>
                <w:sz w:val="18"/>
                <w:szCs w:val="18"/>
              </w:rPr>
              <w:t>Table </w:t>
            </w:r>
            <w:r w:rsidR="00980809" w:rsidRPr="00C85EF2">
              <w:rPr>
                <w:b/>
                <w:bCs/>
                <w:noProof/>
                <w:color w:val="auto"/>
                <w:sz w:val="18"/>
                <w:szCs w:val="18"/>
              </w:rPr>
              <w:t>6</w:t>
            </w:r>
            <w:r w:rsidRPr="00C85EF2">
              <w:rPr>
                <w:b/>
                <w:bCs/>
                <w:noProof/>
                <w:color w:val="auto"/>
                <w:sz w:val="18"/>
                <w:szCs w:val="18"/>
              </w:rPr>
              <w:t>:</w:t>
            </w:r>
            <w:r w:rsidRPr="00C85EF2">
              <w:rPr>
                <w:b/>
                <w:bCs/>
                <w:noProof/>
                <w:color w:val="auto"/>
                <w:sz w:val="18"/>
                <w:szCs w:val="18"/>
              </w:rPr>
              <w:tab/>
              <w:t>Intracranial ORR and DOR by BICR Assessment in Subjects with Measurable Intracranial Lesions at Baseline</w:t>
            </w:r>
          </w:p>
          <w:p w14:paraId="029CF0AF" w14:textId="77777777" w:rsidR="00980809" w:rsidRPr="00C85EF2" w:rsidRDefault="00980809" w:rsidP="00AD5070">
            <w:pPr>
              <w:keepNext/>
              <w:ind w:left="1134" w:hanging="1134"/>
              <w:rPr>
                <w:b/>
                <w:bCs/>
                <w:noProof/>
                <w:color w:val="auto"/>
                <w:sz w:val="18"/>
                <w:szCs w:val="18"/>
              </w:rPr>
            </w:pPr>
          </w:p>
        </w:tc>
      </w:tr>
      <w:tr w:rsidR="00C85EF2" w:rsidRPr="00C85EF2" w14:paraId="76C52AA3" w14:textId="77777777" w:rsidTr="00860DCD">
        <w:tc>
          <w:tcPr>
            <w:tcW w:w="1984" w:type="pct"/>
          </w:tcPr>
          <w:p w14:paraId="3B6A1AA5" w14:textId="77777777" w:rsidR="00755C88" w:rsidRPr="00C85EF2" w:rsidRDefault="00755C88" w:rsidP="00AD5070">
            <w:pPr>
              <w:keepNext/>
              <w:rPr>
                <w:b/>
                <w:bCs/>
                <w:noProof/>
                <w:color w:val="auto"/>
                <w:sz w:val="18"/>
                <w:szCs w:val="18"/>
              </w:rPr>
            </w:pPr>
          </w:p>
        </w:tc>
        <w:tc>
          <w:tcPr>
            <w:tcW w:w="1029" w:type="pct"/>
          </w:tcPr>
          <w:p w14:paraId="708D063A" w14:textId="43F498D4" w:rsidR="00755C88" w:rsidRPr="00C85EF2" w:rsidRDefault="00FA6C25" w:rsidP="00AD5070">
            <w:pPr>
              <w:keepNext/>
              <w:rPr>
                <w:b/>
                <w:bCs/>
                <w:noProof/>
                <w:color w:val="auto"/>
                <w:sz w:val="18"/>
                <w:szCs w:val="18"/>
              </w:rPr>
            </w:pPr>
            <w:r w:rsidRPr="00C85EF2">
              <w:rPr>
                <w:b/>
                <w:bCs/>
                <w:noProof/>
                <w:color w:val="auto"/>
                <w:sz w:val="18"/>
                <w:szCs w:val="18"/>
              </w:rPr>
              <w:t>LAZCLUZE</w:t>
            </w:r>
            <w:r w:rsidR="00755C88" w:rsidRPr="00C85EF2">
              <w:rPr>
                <w:b/>
                <w:bCs/>
                <w:noProof/>
                <w:color w:val="auto"/>
                <w:sz w:val="18"/>
                <w:szCs w:val="18"/>
              </w:rPr>
              <w:t xml:space="preserve"> + amivantamab</w:t>
            </w:r>
            <w:r w:rsidR="00755C88" w:rsidRPr="00C85EF2">
              <w:rPr>
                <w:b/>
                <w:bCs/>
                <w:noProof/>
                <w:color w:val="auto"/>
                <w:sz w:val="18"/>
                <w:szCs w:val="18"/>
              </w:rPr>
              <w:br/>
              <w:t>(N=180)</w:t>
            </w:r>
          </w:p>
        </w:tc>
        <w:tc>
          <w:tcPr>
            <w:tcW w:w="955" w:type="pct"/>
            <w:vAlign w:val="center"/>
          </w:tcPr>
          <w:p w14:paraId="6D34DA8D" w14:textId="77777777" w:rsidR="00755C88" w:rsidRPr="00C85EF2" w:rsidRDefault="00755C88" w:rsidP="00AD5070">
            <w:pPr>
              <w:keepNext/>
              <w:rPr>
                <w:b/>
                <w:bCs/>
                <w:noProof/>
                <w:color w:val="auto"/>
                <w:sz w:val="18"/>
                <w:szCs w:val="18"/>
              </w:rPr>
            </w:pPr>
            <w:r w:rsidRPr="00C85EF2">
              <w:rPr>
                <w:b/>
                <w:bCs/>
                <w:noProof/>
                <w:color w:val="auto"/>
                <w:sz w:val="18"/>
                <w:szCs w:val="18"/>
              </w:rPr>
              <w:t>Osimertinib</w:t>
            </w:r>
          </w:p>
          <w:p w14:paraId="1FB13A40" w14:textId="77777777" w:rsidR="00755C88" w:rsidRPr="00C85EF2" w:rsidRDefault="00755C88" w:rsidP="00AD5070">
            <w:pPr>
              <w:keepNext/>
              <w:rPr>
                <w:b/>
                <w:bCs/>
                <w:noProof/>
                <w:color w:val="auto"/>
                <w:sz w:val="18"/>
                <w:szCs w:val="18"/>
              </w:rPr>
            </w:pPr>
            <w:r w:rsidRPr="00C85EF2">
              <w:rPr>
                <w:b/>
                <w:bCs/>
                <w:noProof/>
                <w:color w:val="auto"/>
                <w:sz w:val="18"/>
                <w:szCs w:val="18"/>
              </w:rPr>
              <w:t>(N=187)</w:t>
            </w:r>
          </w:p>
        </w:tc>
        <w:tc>
          <w:tcPr>
            <w:tcW w:w="1032" w:type="pct"/>
            <w:vAlign w:val="center"/>
          </w:tcPr>
          <w:p w14:paraId="6D1479CC" w14:textId="73CC4230" w:rsidR="00755C88" w:rsidRPr="00C85EF2" w:rsidRDefault="00FA6C25" w:rsidP="00AD5070">
            <w:pPr>
              <w:keepNext/>
              <w:rPr>
                <w:b/>
                <w:bCs/>
                <w:noProof/>
                <w:color w:val="auto"/>
                <w:sz w:val="18"/>
                <w:szCs w:val="18"/>
              </w:rPr>
            </w:pPr>
            <w:r w:rsidRPr="00C85EF2">
              <w:rPr>
                <w:b/>
                <w:bCs/>
                <w:noProof/>
                <w:color w:val="auto"/>
                <w:sz w:val="18"/>
                <w:szCs w:val="18"/>
              </w:rPr>
              <w:t>LAZCLUZE</w:t>
            </w:r>
          </w:p>
          <w:p w14:paraId="45916B10" w14:textId="77777777" w:rsidR="00755C88" w:rsidRPr="00C85EF2" w:rsidRDefault="00755C88" w:rsidP="00AD5070">
            <w:pPr>
              <w:keepNext/>
              <w:rPr>
                <w:b/>
                <w:bCs/>
                <w:noProof/>
                <w:color w:val="auto"/>
                <w:sz w:val="18"/>
                <w:szCs w:val="18"/>
              </w:rPr>
            </w:pPr>
            <w:r w:rsidRPr="00C85EF2">
              <w:rPr>
                <w:b/>
                <w:bCs/>
                <w:noProof/>
                <w:color w:val="auto"/>
                <w:sz w:val="18"/>
                <w:szCs w:val="18"/>
              </w:rPr>
              <w:t>(N=93)</w:t>
            </w:r>
          </w:p>
        </w:tc>
      </w:tr>
      <w:tr w:rsidR="00C85EF2" w:rsidRPr="00C85EF2" w14:paraId="2BD617A7" w14:textId="77777777" w:rsidTr="00660973">
        <w:tc>
          <w:tcPr>
            <w:tcW w:w="5000" w:type="pct"/>
            <w:gridSpan w:val="4"/>
          </w:tcPr>
          <w:p w14:paraId="0501A9A7" w14:textId="28D72835" w:rsidR="00755C88" w:rsidRPr="00C85EF2" w:rsidRDefault="00755C88" w:rsidP="00AD5070">
            <w:pPr>
              <w:keepNext/>
              <w:rPr>
                <w:b/>
                <w:bCs/>
                <w:noProof/>
                <w:color w:val="auto"/>
                <w:sz w:val="18"/>
                <w:szCs w:val="18"/>
              </w:rPr>
            </w:pPr>
            <w:r w:rsidRPr="00C85EF2">
              <w:rPr>
                <w:b/>
                <w:bCs/>
                <w:noProof/>
                <w:color w:val="auto"/>
                <w:sz w:val="18"/>
                <w:szCs w:val="18"/>
              </w:rPr>
              <w:t>Intracranial Tumo</w:t>
            </w:r>
            <w:r w:rsidR="00513CA4" w:rsidRPr="00C85EF2">
              <w:rPr>
                <w:b/>
                <w:bCs/>
                <w:noProof/>
                <w:color w:val="auto"/>
                <w:sz w:val="18"/>
                <w:szCs w:val="18"/>
              </w:rPr>
              <w:t>u</w:t>
            </w:r>
            <w:r w:rsidRPr="00C85EF2">
              <w:rPr>
                <w:b/>
                <w:bCs/>
                <w:noProof/>
                <w:color w:val="auto"/>
                <w:sz w:val="18"/>
                <w:szCs w:val="18"/>
              </w:rPr>
              <w:t>r Response Assessment</w:t>
            </w:r>
          </w:p>
        </w:tc>
      </w:tr>
      <w:tr w:rsidR="00C85EF2" w:rsidRPr="00C85EF2" w14:paraId="7491AEC8" w14:textId="77777777" w:rsidTr="00860DCD">
        <w:trPr>
          <w:trHeight w:val="460"/>
        </w:trPr>
        <w:tc>
          <w:tcPr>
            <w:tcW w:w="1984" w:type="pct"/>
            <w:vAlign w:val="center"/>
          </w:tcPr>
          <w:p w14:paraId="4F562D0C" w14:textId="77777777" w:rsidR="00755C88" w:rsidRPr="00C85EF2" w:rsidRDefault="00755C88" w:rsidP="00AD5070">
            <w:pPr>
              <w:ind w:left="284"/>
              <w:rPr>
                <w:noProof/>
                <w:color w:val="auto"/>
                <w:sz w:val="18"/>
                <w:szCs w:val="18"/>
              </w:rPr>
            </w:pPr>
            <w:r w:rsidRPr="00C85EF2">
              <w:rPr>
                <w:noProof/>
                <w:color w:val="auto"/>
                <w:sz w:val="18"/>
                <w:szCs w:val="18"/>
              </w:rPr>
              <w:t>Intracranial ORR (CR+PR), % (95% CI)</w:t>
            </w:r>
          </w:p>
        </w:tc>
        <w:tc>
          <w:tcPr>
            <w:tcW w:w="1029" w:type="pct"/>
          </w:tcPr>
          <w:p w14:paraId="380AF4DC" w14:textId="77777777" w:rsidR="00755C88" w:rsidRPr="00C85EF2" w:rsidRDefault="00755C88" w:rsidP="00AD5070">
            <w:pPr>
              <w:keepNext/>
              <w:rPr>
                <w:noProof/>
                <w:color w:val="auto"/>
                <w:sz w:val="18"/>
                <w:szCs w:val="18"/>
              </w:rPr>
            </w:pPr>
            <w:r w:rsidRPr="00C85EF2">
              <w:rPr>
                <w:noProof/>
                <w:color w:val="auto"/>
                <w:sz w:val="18"/>
                <w:szCs w:val="18"/>
              </w:rPr>
              <w:t>76.7</w:t>
            </w:r>
          </w:p>
          <w:p w14:paraId="17606B0D" w14:textId="77777777" w:rsidR="00755C88" w:rsidRPr="00C85EF2" w:rsidRDefault="00755C88" w:rsidP="00AD5070">
            <w:pPr>
              <w:keepNext/>
              <w:rPr>
                <w:noProof/>
                <w:color w:val="auto"/>
                <w:sz w:val="18"/>
                <w:szCs w:val="18"/>
              </w:rPr>
            </w:pPr>
            <w:r w:rsidRPr="00C85EF2">
              <w:rPr>
                <w:color w:val="auto"/>
                <w:sz w:val="18"/>
                <w:szCs w:val="18"/>
              </w:rPr>
              <w:t>(69.8, 82.6)</w:t>
            </w:r>
          </w:p>
        </w:tc>
        <w:tc>
          <w:tcPr>
            <w:tcW w:w="955" w:type="pct"/>
          </w:tcPr>
          <w:p w14:paraId="68F77E01" w14:textId="77777777" w:rsidR="00755C88" w:rsidRPr="00C85EF2" w:rsidRDefault="00755C88" w:rsidP="00AD5070">
            <w:pPr>
              <w:keepNext/>
              <w:rPr>
                <w:noProof/>
                <w:color w:val="auto"/>
                <w:sz w:val="18"/>
                <w:szCs w:val="18"/>
              </w:rPr>
            </w:pPr>
            <w:r w:rsidRPr="00C85EF2">
              <w:rPr>
                <w:noProof/>
                <w:color w:val="auto"/>
                <w:sz w:val="18"/>
                <w:szCs w:val="18"/>
              </w:rPr>
              <w:t>76.5</w:t>
            </w:r>
          </w:p>
          <w:p w14:paraId="79A9D39C" w14:textId="77777777" w:rsidR="00755C88" w:rsidRPr="00C85EF2" w:rsidRDefault="00755C88" w:rsidP="00AD5070">
            <w:pPr>
              <w:keepNext/>
              <w:rPr>
                <w:noProof/>
                <w:color w:val="auto"/>
                <w:sz w:val="18"/>
                <w:szCs w:val="18"/>
              </w:rPr>
            </w:pPr>
            <w:r w:rsidRPr="00C85EF2">
              <w:rPr>
                <w:color w:val="auto"/>
                <w:sz w:val="18"/>
                <w:szCs w:val="18"/>
              </w:rPr>
              <w:t>(69.7, 82.4)</w:t>
            </w:r>
          </w:p>
        </w:tc>
        <w:tc>
          <w:tcPr>
            <w:tcW w:w="1032" w:type="pct"/>
          </w:tcPr>
          <w:p w14:paraId="0328136B" w14:textId="77777777" w:rsidR="00755C88" w:rsidRPr="00C85EF2" w:rsidRDefault="00755C88" w:rsidP="00AD5070">
            <w:pPr>
              <w:keepNext/>
              <w:rPr>
                <w:noProof/>
                <w:color w:val="auto"/>
                <w:sz w:val="18"/>
                <w:szCs w:val="18"/>
              </w:rPr>
            </w:pPr>
            <w:r w:rsidRPr="00C85EF2">
              <w:rPr>
                <w:noProof/>
                <w:color w:val="auto"/>
                <w:sz w:val="18"/>
                <w:szCs w:val="18"/>
              </w:rPr>
              <w:t>74.2</w:t>
            </w:r>
          </w:p>
          <w:p w14:paraId="337D9A35" w14:textId="77777777" w:rsidR="00755C88" w:rsidRPr="00C85EF2" w:rsidRDefault="00755C88" w:rsidP="00AD5070">
            <w:pPr>
              <w:keepNext/>
              <w:rPr>
                <w:noProof/>
                <w:color w:val="auto"/>
                <w:sz w:val="18"/>
                <w:szCs w:val="18"/>
              </w:rPr>
            </w:pPr>
            <w:r w:rsidRPr="00C85EF2">
              <w:rPr>
                <w:color w:val="auto"/>
                <w:sz w:val="18"/>
                <w:szCs w:val="18"/>
              </w:rPr>
              <w:t>(64.1, 82.7)</w:t>
            </w:r>
          </w:p>
        </w:tc>
      </w:tr>
      <w:tr w:rsidR="00C85EF2" w:rsidRPr="00C85EF2" w14:paraId="62A49FC7" w14:textId="77777777" w:rsidTr="00860DCD">
        <w:trPr>
          <w:trHeight w:val="460"/>
        </w:trPr>
        <w:tc>
          <w:tcPr>
            <w:tcW w:w="1984" w:type="pct"/>
            <w:vAlign w:val="center"/>
          </w:tcPr>
          <w:p w14:paraId="13EB2319" w14:textId="77777777" w:rsidR="00755C88" w:rsidRPr="00C85EF2" w:rsidRDefault="00755C88" w:rsidP="00AD5070">
            <w:pPr>
              <w:ind w:left="284"/>
              <w:rPr>
                <w:noProof/>
                <w:color w:val="auto"/>
                <w:sz w:val="18"/>
                <w:szCs w:val="18"/>
              </w:rPr>
            </w:pPr>
            <w:r w:rsidRPr="00C85EF2">
              <w:rPr>
                <w:noProof/>
                <w:color w:val="auto"/>
                <w:sz w:val="18"/>
                <w:szCs w:val="18"/>
              </w:rPr>
              <w:t>Complete response %</w:t>
            </w:r>
          </w:p>
        </w:tc>
        <w:tc>
          <w:tcPr>
            <w:tcW w:w="1029" w:type="pct"/>
            <w:vAlign w:val="center"/>
          </w:tcPr>
          <w:p w14:paraId="3EAE340C" w14:textId="77777777" w:rsidR="00755C88" w:rsidRPr="00C85EF2" w:rsidRDefault="00755C88" w:rsidP="00AD5070">
            <w:pPr>
              <w:keepNext/>
              <w:rPr>
                <w:noProof/>
                <w:color w:val="auto"/>
                <w:sz w:val="18"/>
                <w:szCs w:val="18"/>
              </w:rPr>
            </w:pPr>
            <w:r w:rsidRPr="00C85EF2">
              <w:rPr>
                <w:noProof/>
                <w:color w:val="auto"/>
                <w:sz w:val="18"/>
                <w:szCs w:val="18"/>
              </w:rPr>
              <w:t>62.2</w:t>
            </w:r>
          </w:p>
        </w:tc>
        <w:tc>
          <w:tcPr>
            <w:tcW w:w="955" w:type="pct"/>
            <w:vAlign w:val="center"/>
          </w:tcPr>
          <w:p w14:paraId="3C0F9284" w14:textId="77777777" w:rsidR="00755C88" w:rsidRPr="00C85EF2" w:rsidRDefault="00755C88" w:rsidP="00AD5070">
            <w:pPr>
              <w:keepNext/>
              <w:rPr>
                <w:noProof/>
                <w:color w:val="auto"/>
                <w:sz w:val="18"/>
                <w:szCs w:val="18"/>
              </w:rPr>
            </w:pPr>
            <w:r w:rsidRPr="00C85EF2">
              <w:rPr>
                <w:noProof/>
                <w:color w:val="auto"/>
                <w:sz w:val="18"/>
                <w:szCs w:val="18"/>
              </w:rPr>
              <w:t>57.8</w:t>
            </w:r>
          </w:p>
        </w:tc>
        <w:tc>
          <w:tcPr>
            <w:tcW w:w="1032" w:type="pct"/>
            <w:vAlign w:val="center"/>
          </w:tcPr>
          <w:p w14:paraId="3C74A9D8" w14:textId="77777777" w:rsidR="00755C88" w:rsidRPr="00C85EF2" w:rsidRDefault="00755C88" w:rsidP="00AD5070">
            <w:pPr>
              <w:keepNext/>
              <w:rPr>
                <w:noProof/>
                <w:color w:val="auto"/>
                <w:sz w:val="18"/>
                <w:szCs w:val="18"/>
              </w:rPr>
            </w:pPr>
            <w:r w:rsidRPr="00C85EF2">
              <w:rPr>
                <w:noProof/>
                <w:color w:val="auto"/>
                <w:sz w:val="18"/>
                <w:szCs w:val="18"/>
              </w:rPr>
              <w:t>54.8</w:t>
            </w:r>
          </w:p>
        </w:tc>
      </w:tr>
      <w:tr w:rsidR="00C85EF2" w:rsidRPr="00C85EF2" w14:paraId="713C094A" w14:textId="77777777" w:rsidTr="00660973">
        <w:tc>
          <w:tcPr>
            <w:tcW w:w="5000" w:type="pct"/>
            <w:gridSpan w:val="4"/>
            <w:vAlign w:val="center"/>
          </w:tcPr>
          <w:p w14:paraId="60928D1A" w14:textId="5FDE0BEA" w:rsidR="00755C88" w:rsidRPr="00C85EF2" w:rsidRDefault="00755C88" w:rsidP="00AD5070">
            <w:pPr>
              <w:rPr>
                <w:b/>
                <w:bCs/>
                <w:noProof/>
                <w:color w:val="auto"/>
                <w:sz w:val="18"/>
                <w:szCs w:val="18"/>
              </w:rPr>
            </w:pPr>
            <w:r w:rsidRPr="00C85EF2">
              <w:rPr>
                <w:b/>
                <w:bCs/>
                <w:noProof/>
                <w:color w:val="auto"/>
                <w:sz w:val="18"/>
                <w:szCs w:val="18"/>
              </w:rPr>
              <w:t>Intracranial DOR</w:t>
            </w:r>
          </w:p>
        </w:tc>
      </w:tr>
      <w:tr w:rsidR="00C85EF2" w:rsidRPr="00C85EF2" w14:paraId="3CCE108D" w14:textId="77777777" w:rsidTr="00860DCD">
        <w:trPr>
          <w:trHeight w:val="460"/>
        </w:trPr>
        <w:tc>
          <w:tcPr>
            <w:tcW w:w="1984" w:type="pct"/>
            <w:vAlign w:val="center"/>
          </w:tcPr>
          <w:p w14:paraId="273D5CD6" w14:textId="77777777" w:rsidR="00755C88" w:rsidRPr="00C85EF2" w:rsidRDefault="00755C88" w:rsidP="00AD5070">
            <w:pPr>
              <w:ind w:left="284"/>
              <w:rPr>
                <w:noProof/>
                <w:color w:val="auto"/>
                <w:sz w:val="18"/>
                <w:szCs w:val="18"/>
              </w:rPr>
            </w:pPr>
            <w:r w:rsidRPr="00C85EF2">
              <w:rPr>
                <w:noProof/>
                <w:color w:val="auto"/>
                <w:sz w:val="18"/>
                <w:szCs w:val="18"/>
              </w:rPr>
              <w:t>Number or responders</w:t>
            </w:r>
          </w:p>
        </w:tc>
        <w:tc>
          <w:tcPr>
            <w:tcW w:w="1029" w:type="pct"/>
            <w:vAlign w:val="center"/>
          </w:tcPr>
          <w:p w14:paraId="781F4871" w14:textId="77777777" w:rsidR="00755C88" w:rsidRPr="00C85EF2" w:rsidRDefault="00755C88" w:rsidP="00AD5070">
            <w:pPr>
              <w:rPr>
                <w:noProof/>
                <w:color w:val="auto"/>
                <w:sz w:val="18"/>
                <w:szCs w:val="18"/>
              </w:rPr>
            </w:pPr>
            <w:r w:rsidRPr="00C85EF2">
              <w:rPr>
                <w:noProof/>
                <w:color w:val="auto"/>
                <w:sz w:val="18"/>
                <w:szCs w:val="18"/>
              </w:rPr>
              <w:t>138</w:t>
            </w:r>
          </w:p>
        </w:tc>
        <w:tc>
          <w:tcPr>
            <w:tcW w:w="955" w:type="pct"/>
            <w:vAlign w:val="center"/>
          </w:tcPr>
          <w:p w14:paraId="632B1AEC" w14:textId="77777777" w:rsidR="00755C88" w:rsidRPr="00C85EF2" w:rsidRDefault="00755C88" w:rsidP="00AD5070">
            <w:pPr>
              <w:rPr>
                <w:noProof/>
                <w:color w:val="auto"/>
                <w:sz w:val="18"/>
                <w:szCs w:val="18"/>
              </w:rPr>
            </w:pPr>
            <w:r w:rsidRPr="00C85EF2">
              <w:rPr>
                <w:noProof/>
                <w:color w:val="auto"/>
                <w:sz w:val="18"/>
                <w:szCs w:val="18"/>
              </w:rPr>
              <w:t>143</w:t>
            </w:r>
          </w:p>
        </w:tc>
        <w:tc>
          <w:tcPr>
            <w:tcW w:w="1032" w:type="pct"/>
            <w:vAlign w:val="center"/>
          </w:tcPr>
          <w:p w14:paraId="07B4C3F4" w14:textId="77777777" w:rsidR="00755C88" w:rsidRPr="00C85EF2" w:rsidRDefault="00755C88" w:rsidP="00AD5070">
            <w:pPr>
              <w:rPr>
                <w:noProof/>
                <w:color w:val="auto"/>
                <w:sz w:val="18"/>
                <w:szCs w:val="18"/>
              </w:rPr>
            </w:pPr>
            <w:r w:rsidRPr="00C85EF2">
              <w:rPr>
                <w:noProof/>
                <w:color w:val="auto"/>
                <w:sz w:val="18"/>
                <w:szCs w:val="18"/>
              </w:rPr>
              <w:t>69</w:t>
            </w:r>
          </w:p>
        </w:tc>
      </w:tr>
      <w:tr w:rsidR="00C85EF2" w:rsidRPr="00C85EF2" w14:paraId="30263E1F" w14:textId="77777777" w:rsidTr="00860DCD">
        <w:trPr>
          <w:trHeight w:val="460"/>
        </w:trPr>
        <w:tc>
          <w:tcPr>
            <w:tcW w:w="1984" w:type="pct"/>
            <w:vAlign w:val="center"/>
          </w:tcPr>
          <w:p w14:paraId="485DD1CE" w14:textId="1A9B9FFA" w:rsidR="00755C88" w:rsidRPr="00C85EF2" w:rsidRDefault="00755C88" w:rsidP="00AD5070">
            <w:pPr>
              <w:ind w:left="284"/>
              <w:rPr>
                <w:noProof/>
                <w:color w:val="auto"/>
                <w:sz w:val="18"/>
                <w:szCs w:val="18"/>
              </w:rPr>
            </w:pPr>
            <w:r w:rsidRPr="00C85EF2">
              <w:rPr>
                <w:noProof/>
                <w:color w:val="auto"/>
                <w:sz w:val="18"/>
                <w:szCs w:val="18"/>
              </w:rPr>
              <w:t xml:space="preserve">Response </w:t>
            </w:r>
            <w:r w:rsidR="00980809" w:rsidRPr="00C85EF2">
              <w:rPr>
                <w:noProof/>
                <w:color w:val="auto"/>
                <w:sz w:val="18"/>
                <w:szCs w:val="18"/>
              </w:rPr>
              <w:t>d</w:t>
            </w:r>
            <w:r w:rsidRPr="00C85EF2">
              <w:rPr>
                <w:noProof/>
                <w:color w:val="auto"/>
                <w:sz w:val="18"/>
                <w:szCs w:val="18"/>
              </w:rPr>
              <w:t>uration ≥6 months, %</w:t>
            </w:r>
          </w:p>
        </w:tc>
        <w:tc>
          <w:tcPr>
            <w:tcW w:w="1029" w:type="pct"/>
            <w:vAlign w:val="center"/>
          </w:tcPr>
          <w:p w14:paraId="5246AAD8" w14:textId="77777777" w:rsidR="00755C88" w:rsidRPr="00C85EF2" w:rsidRDefault="00755C88" w:rsidP="00AD5070">
            <w:pPr>
              <w:rPr>
                <w:noProof/>
                <w:color w:val="auto"/>
                <w:sz w:val="18"/>
                <w:szCs w:val="18"/>
              </w:rPr>
            </w:pPr>
            <w:r w:rsidRPr="00C85EF2">
              <w:rPr>
                <w:noProof/>
                <w:color w:val="auto"/>
                <w:sz w:val="18"/>
                <w:szCs w:val="18"/>
              </w:rPr>
              <w:t>77.5</w:t>
            </w:r>
          </w:p>
        </w:tc>
        <w:tc>
          <w:tcPr>
            <w:tcW w:w="955" w:type="pct"/>
            <w:vAlign w:val="center"/>
          </w:tcPr>
          <w:p w14:paraId="7C150698" w14:textId="77777777" w:rsidR="00755C88" w:rsidRPr="00C85EF2" w:rsidRDefault="00755C88" w:rsidP="00AD5070">
            <w:pPr>
              <w:rPr>
                <w:noProof/>
                <w:color w:val="auto"/>
                <w:sz w:val="18"/>
                <w:szCs w:val="18"/>
              </w:rPr>
            </w:pPr>
            <w:r w:rsidRPr="00C85EF2">
              <w:rPr>
                <w:noProof/>
                <w:color w:val="auto"/>
                <w:sz w:val="18"/>
                <w:szCs w:val="18"/>
              </w:rPr>
              <w:t>77.6</w:t>
            </w:r>
          </w:p>
        </w:tc>
        <w:tc>
          <w:tcPr>
            <w:tcW w:w="1032" w:type="pct"/>
            <w:vAlign w:val="center"/>
          </w:tcPr>
          <w:p w14:paraId="4DAAE529" w14:textId="77777777" w:rsidR="00755C88" w:rsidRPr="00C85EF2" w:rsidRDefault="00755C88" w:rsidP="00AD5070">
            <w:pPr>
              <w:rPr>
                <w:noProof/>
                <w:color w:val="auto"/>
                <w:sz w:val="18"/>
                <w:szCs w:val="18"/>
              </w:rPr>
            </w:pPr>
            <w:r w:rsidRPr="00C85EF2">
              <w:rPr>
                <w:noProof/>
                <w:color w:val="auto"/>
                <w:sz w:val="18"/>
                <w:szCs w:val="18"/>
              </w:rPr>
              <w:t>79.7</w:t>
            </w:r>
          </w:p>
        </w:tc>
      </w:tr>
      <w:tr w:rsidR="00C85EF2" w:rsidRPr="00C85EF2" w14:paraId="763E6416" w14:textId="77777777" w:rsidTr="00860DCD">
        <w:trPr>
          <w:trHeight w:val="460"/>
        </w:trPr>
        <w:tc>
          <w:tcPr>
            <w:tcW w:w="1984" w:type="pct"/>
            <w:tcBorders>
              <w:bottom w:val="single" w:sz="4" w:space="0" w:color="auto"/>
            </w:tcBorders>
            <w:vAlign w:val="center"/>
          </w:tcPr>
          <w:p w14:paraId="4629F823" w14:textId="5B53896C" w:rsidR="00755C88" w:rsidRPr="00C85EF2" w:rsidRDefault="00755C88" w:rsidP="00AD5070">
            <w:pPr>
              <w:ind w:left="284"/>
              <w:rPr>
                <w:noProof/>
                <w:color w:val="auto"/>
                <w:sz w:val="18"/>
                <w:szCs w:val="18"/>
              </w:rPr>
            </w:pPr>
            <w:r w:rsidRPr="00C85EF2">
              <w:rPr>
                <w:noProof/>
                <w:color w:val="auto"/>
                <w:sz w:val="18"/>
                <w:szCs w:val="18"/>
              </w:rPr>
              <w:t xml:space="preserve">Response </w:t>
            </w:r>
            <w:r w:rsidR="00980809" w:rsidRPr="00C85EF2">
              <w:rPr>
                <w:noProof/>
                <w:color w:val="auto"/>
                <w:sz w:val="18"/>
                <w:szCs w:val="18"/>
              </w:rPr>
              <w:t>d</w:t>
            </w:r>
            <w:r w:rsidRPr="00C85EF2">
              <w:rPr>
                <w:noProof/>
                <w:color w:val="auto"/>
                <w:sz w:val="18"/>
                <w:szCs w:val="18"/>
              </w:rPr>
              <w:t>uration ≥12 months, %</w:t>
            </w:r>
          </w:p>
        </w:tc>
        <w:tc>
          <w:tcPr>
            <w:tcW w:w="1029" w:type="pct"/>
            <w:tcBorders>
              <w:bottom w:val="single" w:sz="4" w:space="0" w:color="auto"/>
            </w:tcBorders>
            <w:vAlign w:val="center"/>
          </w:tcPr>
          <w:p w14:paraId="53213E7D" w14:textId="77777777" w:rsidR="00755C88" w:rsidRPr="00C85EF2" w:rsidDel="008B3D4B" w:rsidRDefault="00755C88" w:rsidP="00AD5070">
            <w:pPr>
              <w:rPr>
                <w:noProof/>
                <w:color w:val="auto"/>
                <w:sz w:val="18"/>
                <w:szCs w:val="18"/>
              </w:rPr>
            </w:pPr>
            <w:r w:rsidRPr="00C85EF2">
              <w:rPr>
                <w:noProof/>
                <w:color w:val="auto"/>
                <w:sz w:val="18"/>
                <w:szCs w:val="18"/>
              </w:rPr>
              <w:t>58.0</w:t>
            </w:r>
          </w:p>
        </w:tc>
        <w:tc>
          <w:tcPr>
            <w:tcW w:w="955" w:type="pct"/>
            <w:tcBorders>
              <w:bottom w:val="single" w:sz="4" w:space="0" w:color="auto"/>
            </w:tcBorders>
            <w:vAlign w:val="center"/>
          </w:tcPr>
          <w:p w14:paraId="3D673134" w14:textId="77777777" w:rsidR="00755C88" w:rsidRPr="00C85EF2" w:rsidRDefault="00755C88" w:rsidP="00AD5070">
            <w:pPr>
              <w:rPr>
                <w:noProof/>
                <w:color w:val="auto"/>
                <w:sz w:val="18"/>
                <w:szCs w:val="18"/>
              </w:rPr>
            </w:pPr>
            <w:r w:rsidRPr="00C85EF2">
              <w:rPr>
                <w:noProof/>
                <w:color w:val="auto"/>
                <w:sz w:val="18"/>
                <w:szCs w:val="18"/>
              </w:rPr>
              <w:t>53.8</w:t>
            </w:r>
          </w:p>
        </w:tc>
        <w:tc>
          <w:tcPr>
            <w:tcW w:w="1032" w:type="pct"/>
            <w:tcBorders>
              <w:bottom w:val="single" w:sz="4" w:space="0" w:color="auto"/>
            </w:tcBorders>
            <w:vAlign w:val="center"/>
          </w:tcPr>
          <w:p w14:paraId="3AD77208" w14:textId="77777777" w:rsidR="00755C88" w:rsidRPr="00C85EF2" w:rsidRDefault="00755C88" w:rsidP="00AD5070">
            <w:pPr>
              <w:rPr>
                <w:noProof/>
                <w:color w:val="auto"/>
                <w:sz w:val="18"/>
                <w:szCs w:val="18"/>
              </w:rPr>
            </w:pPr>
            <w:r w:rsidRPr="00C85EF2">
              <w:rPr>
                <w:noProof/>
                <w:color w:val="auto"/>
                <w:sz w:val="18"/>
                <w:szCs w:val="18"/>
              </w:rPr>
              <w:t>52.2</w:t>
            </w:r>
          </w:p>
        </w:tc>
      </w:tr>
      <w:tr w:rsidR="00C85EF2" w:rsidRPr="00C85EF2" w14:paraId="010B6455" w14:textId="77777777" w:rsidTr="00860DCD">
        <w:trPr>
          <w:trHeight w:val="460"/>
        </w:trPr>
        <w:tc>
          <w:tcPr>
            <w:tcW w:w="1984" w:type="pct"/>
            <w:tcBorders>
              <w:bottom w:val="single" w:sz="4" w:space="0" w:color="auto"/>
            </w:tcBorders>
            <w:vAlign w:val="center"/>
          </w:tcPr>
          <w:p w14:paraId="52928F43" w14:textId="5DD287DF" w:rsidR="00755C88" w:rsidRPr="00C85EF2" w:rsidRDefault="00755C88" w:rsidP="00AD5070">
            <w:pPr>
              <w:ind w:left="284"/>
              <w:rPr>
                <w:noProof/>
                <w:color w:val="auto"/>
                <w:sz w:val="18"/>
                <w:szCs w:val="18"/>
              </w:rPr>
            </w:pPr>
            <w:r w:rsidRPr="00C85EF2">
              <w:rPr>
                <w:noProof/>
                <w:color w:val="auto"/>
                <w:sz w:val="18"/>
                <w:szCs w:val="18"/>
              </w:rPr>
              <w:t xml:space="preserve">Response </w:t>
            </w:r>
            <w:r w:rsidR="00980809" w:rsidRPr="00C85EF2">
              <w:rPr>
                <w:noProof/>
                <w:color w:val="auto"/>
                <w:sz w:val="18"/>
                <w:szCs w:val="18"/>
              </w:rPr>
              <w:t>d</w:t>
            </w:r>
            <w:r w:rsidRPr="00C85EF2">
              <w:rPr>
                <w:noProof/>
                <w:color w:val="auto"/>
                <w:sz w:val="18"/>
                <w:szCs w:val="18"/>
              </w:rPr>
              <w:t>uration ≥18 months, %</w:t>
            </w:r>
          </w:p>
        </w:tc>
        <w:tc>
          <w:tcPr>
            <w:tcW w:w="1029" w:type="pct"/>
            <w:tcBorders>
              <w:bottom w:val="single" w:sz="4" w:space="0" w:color="auto"/>
            </w:tcBorders>
            <w:vAlign w:val="center"/>
          </w:tcPr>
          <w:p w14:paraId="5B8ECD23" w14:textId="77777777" w:rsidR="00755C88" w:rsidRPr="00C85EF2" w:rsidRDefault="00755C88" w:rsidP="00AD5070">
            <w:pPr>
              <w:rPr>
                <w:noProof/>
                <w:color w:val="auto"/>
                <w:sz w:val="18"/>
                <w:szCs w:val="18"/>
              </w:rPr>
            </w:pPr>
            <w:r w:rsidRPr="00C85EF2">
              <w:rPr>
                <w:noProof/>
                <w:color w:val="auto"/>
                <w:sz w:val="18"/>
                <w:szCs w:val="18"/>
              </w:rPr>
              <w:t>31.2</w:t>
            </w:r>
          </w:p>
        </w:tc>
        <w:tc>
          <w:tcPr>
            <w:tcW w:w="955" w:type="pct"/>
            <w:tcBorders>
              <w:bottom w:val="single" w:sz="4" w:space="0" w:color="auto"/>
            </w:tcBorders>
            <w:vAlign w:val="center"/>
          </w:tcPr>
          <w:p w14:paraId="1060A2B7" w14:textId="77777777" w:rsidR="00755C88" w:rsidRPr="00C85EF2" w:rsidRDefault="00755C88" w:rsidP="00AD5070">
            <w:pPr>
              <w:rPr>
                <w:noProof/>
                <w:color w:val="auto"/>
                <w:sz w:val="18"/>
                <w:szCs w:val="18"/>
              </w:rPr>
            </w:pPr>
            <w:r w:rsidRPr="00C85EF2">
              <w:rPr>
                <w:noProof/>
                <w:color w:val="auto"/>
                <w:sz w:val="18"/>
                <w:szCs w:val="18"/>
              </w:rPr>
              <w:t>21.0</w:t>
            </w:r>
          </w:p>
        </w:tc>
        <w:tc>
          <w:tcPr>
            <w:tcW w:w="1032" w:type="pct"/>
            <w:tcBorders>
              <w:bottom w:val="single" w:sz="4" w:space="0" w:color="auto"/>
            </w:tcBorders>
            <w:vAlign w:val="center"/>
          </w:tcPr>
          <w:p w14:paraId="664F08A4" w14:textId="77777777" w:rsidR="00755C88" w:rsidRPr="00C85EF2" w:rsidRDefault="00755C88" w:rsidP="00AD5070">
            <w:pPr>
              <w:rPr>
                <w:noProof/>
                <w:color w:val="auto"/>
                <w:sz w:val="18"/>
                <w:szCs w:val="18"/>
              </w:rPr>
            </w:pPr>
            <w:r w:rsidRPr="00C85EF2">
              <w:rPr>
                <w:noProof/>
                <w:color w:val="auto"/>
                <w:sz w:val="18"/>
                <w:szCs w:val="18"/>
              </w:rPr>
              <w:t>18.8</w:t>
            </w:r>
          </w:p>
        </w:tc>
      </w:tr>
      <w:tr w:rsidR="00755C88" w:rsidRPr="00C85EF2" w14:paraId="31A4E28B" w14:textId="77777777" w:rsidTr="00660973">
        <w:trPr>
          <w:trHeight w:val="316"/>
        </w:trPr>
        <w:tc>
          <w:tcPr>
            <w:tcW w:w="5000" w:type="pct"/>
            <w:gridSpan w:val="4"/>
            <w:tcBorders>
              <w:top w:val="single" w:sz="4" w:space="0" w:color="auto"/>
              <w:left w:val="nil"/>
              <w:bottom w:val="nil"/>
              <w:right w:val="nil"/>
            </w:tcBorders>
            <w:vAlign w:val="center"/>
          </w:tcPr>
          <w:p w14:paraId="2D14C1CF" w14:textId="77777777" w:rsidR="00755C88" w:rsidRPr="00C85EF2" w:rsidRDefault="00755C88" w:rsidP="00AD5070">
            <w:pPr>
              <w:rPr>
                <w:color w:val="auto"/>
                <w:sz w:val="18"/>
                <w:szCs w:val="18"/>
              </w:rPr>
            </w:pPr>
            <w:r w:rsidRPr="00C85EF2">
              <w:rPr>
                <w:color w:val="auto"/>
                <w:sz w:val="18"/>
                <w:szCs w:val="18"/>
              </w:rPr>
              <w:t>CI = confidence interval</w:t>
            </w:r>
          </w:p>
          <w:p w14:paraId="105BED22" w14:textId="77777777" w:rsidR="00755C88" w:rsidRPr="00C85EF2" w:rsidRDefault="00755C88" w:rsidP="00AD5070">
            <w:pPr>
              <w:rPr>
                <w:noProof/>
                <w:color w:val="auto"/>
                <w:sz w:val="18"/>
                <w:szCs w:val="18"/>
              </w:rPr>
            </w:pPr>
          </w:p>
        </w:tc>
      </w:tr>
    </w:tbl>
    <w:p w14:paraId="1D93BEA2" w14:textId="77777777" w:rsidR="00755C88" w:rsidRDefault="00755C88" w:rsidP="00AD5070">
      <w:pPr>
        <w:pStyle w:val="BodyText"/>
        <w:jc w:val="left"/>
        <w:rPr>
          <w:color w:val="auto"/>
        </w:rPr>
      </w:pPr>
    </w:p>
    <w:p w14:paraId="5F0D94BE" w14:textId="3D3B8F20" w:rsidR="00706FA4" w:rsidRPr="00C85EF2" w:rsidRDefault="00706FA4" w:rsidP="00AD5070">
      <w:pPr>
        <w:pStyle w:val="Heading2"/>
        <w:numPr>
          <w:ilvl w:val="1"/>
          <w:numId w:val="18"/>
        </w:numPr>
        <w:ind w:left="426" w:hanging="426"/>
        <w:jc w:val="left"/>
        <w:rPr>
          <w:color w:val="auto"/>
        </w:rPr>
      </w:pPr>
      <w:bookmarkStart w:id="61" w:name="_Pharmacokinetics"/>
      <w:bookmarkStart w:id="62" w:name="_Toc128303700"/>
      <w:bookmarkStart w:id="63" w:name="_Toc128305225"/>
      <w:bookmarkStart w:id="64" w:name="_Toc128305458"/>
      <w:bookmarkStart w:id="65" w:name="_Toc128306673"/>
      <w:bookmarkStart w:id="66" w:name="_Toc128307801"/>
      <w:bookmarkStart w:id="67" w:name="_Toc128307951"/>
      <w:bookmarkStart w:id="68" w:name="_Toc151795589"/>
      <w:bookmarkStart w:id="69" w:name="_Toc151796738"/>
      <w:bookmarkStart w:id="70" w:name="_Toc151796940"/>
      <w:bookmarkStart w:id="71" w:name="_Toc151801689"/>
      <w:bookmarkStart w:id="72" w:name="_Toc219801077"/>
      <w:bookmarkStart w:id="73" w:name="_Hlk184999488"/>
      <w:bookmarkEnd w:id="61"/>
      <w:r w:rsidRPr="00C85EF2">
        <w:rPr>
          <w:color w:val="auto"/>
        </w:rPr>
        <w:t xml:space="preserve">PHARMACOKINETIC PROPERTIES </w:t>
      </w:r>
      <w:bookmarkEnd w:id="62"/>
      <w:bookmarkEnd w:id="63"/>
      <w:bookmarkEnd w:id="64"/>
      <w:bookmarkEnd w:id="65"/>
      <w:bookmarkEnd w:id="66"/>
      <w:bookmarkEnd w:id="67"/>
      <w:bookmarkEnd w:id="68"/>
      <w:bookmarkEnd w:id="69"/>
      <w:bookmarkEnd w:id="70"/>
      <w:bookmarkEnd w:id="71"/>
      <w:bookmarkEnd w:id="72"/>
    </w:p>
    <w:p w14:paraId="40504CD1" w14:textId="77777777" w:rsidR="00AA4C67" w:rsidRPr="00C85EF2" w:rsidRDefault="00AA4C67" w:rsidP="00AD5070">
      <w:pPr>
        <w:pStyle w:val="BodyText"/>
        <w:jc w:val="left"/>
        <w:rPr>
          <w:color w:val="auto"/>
        </w:rPr>
      </w:pPr>
      <w:bookmarkStart w:id="74" w:name="_Hlk37844414"/>
      <w:bookmarkEnd w:id="73"/>
      <w:r w:rsidRPr="00C85EF2">
        <w:rPr>
          <w:color w:val="auto"/>
        </w:rPr>
        <w:t>Following single and multiple once daily oral administration, lazertinib maximum plasma concentration (</w:t>
      </w:r>
      <w:proofErr w:type="spellStart"/>
      <w:r w:rsidRPr="00C85EF2">
        <w:rPr>
          <w:color w:val="auto"/>
        </w:rPr>
        <w:t>C</w:t>
      </w:r>
      <w:r w:rsidRPr="00C85EF2">
        <w:rPr>
          <w:color w:val="auto"/>
          <w:vertAlign w:val="subscript"/>
        </w:rPr>
        <w:t>max</w:t>
      </w:r>
      <w:proofErr w:type="spellEnd"/>
      <w:r w:rsidRPr="00C85EF2">
        <w:rPr>
          <w:color w:val="auto"/>
        </w:rPr>
        <w:t xml:space="preserve">) and area under plasma concentration time curve (AUC) increased approximately dose proportionally across 20 to 320 mg dose range. The steady state plasma exposure was achieved by day 15 of once daily administration and approximately 2-fold accumulation was observed at steady state with 240 mg once daily dose. </w:t>
      </w:r>
    </w:p>
    <w:p w14:paraId="3378D684" w14:textId="3EE04645" w:rsidR="008B7366" w:rsidRPr="00C85EF2" w:rsidRDefault="00AA4C67" w:rsidP="00AD5070">
      <w:pPr>
        <w:pStyle w:val="BodyText"/>
        <w:jc w:val="left"/>
        <w:rPr>
          <w:color w:val="auto"/>
        </w:rPr>
      </w:pPr>
      <w:r w:rsidRPr="00C85EF2">
        <w:rPr>
          <w:color w:val="auto"/>
        </w:rPr>
        <w:t xml:space="preserve">The lazertinib plasma exposure was comparable when lazertinib was administered either in combination with amivantamab or as a monotherapy. </w:t>
      </w:r>
    </w:p>
    <w:p w14:paraId="6CCA65AC" w14:textId="0E510A91" w:rsidR="00AA4C67" w:rsidRPr="00C85EF2" w:rsidRDefault="00AA4C67" w:rsidP="00AD5070">
      <w:pPr>
        <w:pStyle w:val="Heading3"/>
        <w:jc w:val="left"/>
        <w:rPr>
          <w:color w:val="auto"/>
        </w:rPr>
      </w:pPr>
      <w:r w:rsidRPr="00C85EF2">
        <w:rPr>
          <w:color w:val="auto"/>
        </w:rPr>
        <w:t>Absorption</w:t>
      </w:r>
    </w:p>
    <w:p w14:paraId="20E08D8C" w14:textId="77777777" w:rsidR="00AA4C67" w:rsidRPr="00C85EF2" w:rsidRDefault="00AA4C67" w:rsidP="00AD5070">
      <w:pPr>
        <w:pStyle w:val="BodyText"/>
        <w:jc w:val="left"/>
        <w:rPr>
          <w:color w:val="auto"/>
        </w:rPr>
      </w:pPr>
      <w:r w:rsidRPr="00C85EF2">
        <w:rPr>
          <w:color w:val="auto"/>
        </w:rPr>
        <w:t xml:space="preserve">The median time to reach single dose and steady state </w:t>
      </w:r>
      <w:proofErr w:type="spellStart"/>
      <w:r w:rsidRPr="00C85EF2">
        <w:rPr>
          <w:color w:val="auto"/>
        </w:rPr>
        <w:t>C</w:t>
      </w:r>
      <w:r w:rsidRPr="00C85EF2">
        <w:rPr>
          <w:color w:val="auto"/>
          <w:vertAlign w:val="subscript"/>
        </w:rPr>
        <w:t>max</w:t>
      </w:r>
      <w:proofErr w:type="spellEnd"/>
      <w:r w:rsidRPr="00C85EF2">
        <w:rPr>
          <w:color w:val="auto"/>
        </w:rPr>
        <w:t xml:space="preserve"> was comparable and ranged from 2 to 4 hours.</w:t>
      </w:r>
    </w:p>
    <w:p w14:paraId="0741C557" w14:textId="77777777" w:rsidR="00AA4C67" w:rsidRPr="00C85EF2" w:rsidRDefault="00AA4C67" w:rsidP="00AD5070">
      <w:pPr>
        <w:pStyle w:val="BodyText"/>
        <w:jc w:val="left"/>
        <w:rPr>
          <w:color w:val="auto"/>
        </w:rPr>
      </w:pPr>
    </w:p>
    <w:p w14:paraId="61A2FBA4" w14:textId="77777777" w:rsidR="00AA4C67" w:rsidRPr="00C85EF2" w:rsidRDefault="00AA4C67" w:rsidP="00AD5070">
      <w:pPr>
        <w:pStyle w:val="BodyText"/>
        <w:jc w:val="left"/>
        <w:rPr>
          <w:color w:val="auto"/>
        </w:rPr>
      </w:pPr>
      <w:r w:rsidRPr="00C85EF2">
        <w:rPr>
          <w:color w:val="auto"/>
        </w:rPr>
        <w:t xml:space="preserve">Following administration of 240 mg lazertinib with a high-fat meal (800~1000 kcal, fat content approximately 50%), the </w:t>
      </w:r>
      <w:proofErr w:type="spellStart"/>
      <w:r w:rsidRPr="00C85EF2">
        <w:rPr>
          <w:color w:val="auto"/>
        </w:rPr>
        <w:t>C</w:t>
      </w:r>
      <w:r w:rsidRPr="00C85EF2">
        <w:rPr>
          <w:color w:val="auto"/>
          <w:vertAlign w:val="subscript"/>
        </w:rPr>
        <w:t>max</w:t>
      </w:r>
      <w:proofErr w:type="spellEnd"/>
      <w:r w:rsidRPr="00C85EF2">
        <w:rPr>
          <w:color w:val="auto"/>
        </w:rPr>
        <w:t xml:space="preserve"> and AUC of lazertinib were comparable to that under fasting conditions suggesting lazertinib can be taken with or without food. </w:t>
      </w:r>
    </w:p>
    <w:p w14:paraId="51843F2E" w14:textId="77777777" w:rsidR="00AA4C67" w:rsidRPr="00C85EF2" w:rsidRDefault="00AA4C67" w:rsidP="00AD5070">
      <w:pPr>
        <w:pStyle w:val="BodyText"/>
        <w:jc w:val="left"/>
        <w:rPr>
          <w:color w:val="auto"/>
        </w:rPr>
      </w:pPr>
    </w:p>
    <w:bookmarkEnd w:id="74"/>
    <w:p w14:paraId="3E3B2B3C" w14:textId="3C52D7D3" w:rsidR="00AA4C67" w:rsidRPr="00C85EF2" w:rsidRDefault="008D443A" w:rsidP="00AD5070">
      <w:pPr>
        <w:pStyle w:val="Heading3"/>
        <w:jc w:val="left"/>
        <w:rPr>
          <w:color w:val="auto"/>
        </w:rPr>
      </w:pPr>
      <w:r w:rsidRPr="00C85EF2">
        <w:rPr>
          <w:color w:val="auto"/>
        </w:rPr>
        <w:t>Distribution</w:t>
      </w:r>
    </w:p>
    <w:p w14:paraId="1F1DCE87" w14:textId="02D168F7" w:rsidR="008D443A" w:rsidRPr="00C85EF2" w:rsidRDefault="00AA4C67" w:rsidP="00AD5070">
      <w:pPr>
        <w:pStyle w:val="BodyText"/>
        <w:jc w:val="left"/>
        <w:rPr>
          <w:color w:val="auto"/>
        </w:rPr>
      </w:pPr>
      <w:r w:rsidRPr="00C85EF2">
        <w:rPr>
          <w:color w:val="auto"/>
        </w:rPr>
        <w:t>Lazertinib was extensively distributed, with mean (CV%) apparent volume of distribution of 4264 (43.2%) L at 240 mg dose. Lazertinib mean (CV%) plasma protein binding was approximately 99.2% (0.13%) in humans.</w:t>
      </w:r>
    </w:p>
    <w:p w14:paraId="530EFEED" w14:textId="77777777" w:rsidR="00AA4C67" w:rsidRPr="00C85EF2" w:rsidRDefault="00AA4C67" w:rsidP="00AD5070">
      <w:pPr>
        <w:pStyle w:val="BodyText"/>
        <w:jc w:val="left"/>
        <w:rPr>
          <w:color w:val="auto"/>
        </w:rPr>
      </w:pPr>
    </w:p>
    <w:p w14:paraId="73C500E4" w14:textId="2B1EF8AB" w:rsidR="00AA4C67" w:rsidRPr="00C85EF2" w:rsidRDefault="00AA4C67" w:rsidP="00AD5070">
      <w:pPr>
        <w:pStyle w:val="Heading3"/>
        <w:jc w:val="left"/>
        <w:rPr>
          <w:color w:val="auto"/>
        </w:rPr>
      </w:pPr>
      <w:bookmarkStart w:id="75" w:name="_Hlk184999508"/>
      <w:r w:rsidRPr="00C85EF2">
        <w:rPr>
          <w:color w:val="auto"/>
        </w:rPr>
        <w:t>Metabolism</w:t>
      </w:r>
    </w:p>
    <w:p w14:paraId="5872BB59" w14:textId="3CFB1C4E" w:rsidR="00AA4C67" w:rsidRPr="00C85EF2" w:rsidRDefault="00AA4C67" w:rsidP="00AD5070">
      <w:pPr>
        <w:pStyle w:val="BodyText"/>
        <w:jc w:val="left"/>
        <w:rPr>
          <w:color w:val="auto"/>
        </w:rPr>
      </w:pPr>
      <w:r w:rsidRPr="00C85EF2">
        <w:rPr>
          <w:color w:val="auto"/>
        </w:rPr>
        <w:t>Lazertinib is primarily metaboli</w:t>
      </w:r>
      <w:r w:rsidR="00A35686" w:rsidRPr="00C85EF2">
        <w:rPr>
          <w:color w:val="auto"/>
        </w:rPr>
        <w:t>s</w:t>
      </w:r>
      <w:r w:rsidRPr="00C85EF2">
        <w:rPr>
          <w:color w:val="auto"/>
        </w:rPr>
        <w:t>ed by glutathione conjugation</w:t>
      </w:r>
      <w:r w:rsidR="00EB3E7A" w:rsidRPr="00C85EF2">
        <w:rPr>
          <w:color w:val="auto"/>
        </w:rPr>
        <w:t>, either enzymatic via glutathione-S-transferase (GST) or non-enzymatic, as well as by CYP3A4</w:t>
      </w:r>
      <w:r w:rsidR="00C40CA9" w:rsidRPr="00C85EF2">
        <w:rPr>
          <w:color w:val="auto"/>
        </w:rPr>
        <w:t>-mediated oxidative metabolism</w:t>
      </w:r>
      <w:r w:rsidRPr="00C85EF2">
        <w:rPr>
          <w:color w:val="auto"/>
        </w:rPr>
        <w:t>. The most abundant metabolites are glutathione catabolites and considered clinically inactive. The plasma exposure of lazertinib was affected by GST</w:t>
      </w:r>
      <w:r w:rsidR="00CF27C7" w:rsidRPr="00C85EF2">
        <w:rPr>
          <w:color w:val="auto"/>
        </w:rPr>
        <w:t xml:space="preserve"> mu 1 (GSTM1) genotype</w:t>
      </w:r>
      <w:r w:rsidRPr="00C85EF2">
        <w:rPr>
          <w:color w:val="auto"/>
        </w:rPr>
        <w:t xml:space="preserve">, leading to lower exposure (less than 2-fold difference) in </w:t>
      </w:r>
      <w:proofErr w:type="gramStart"/>
      <w:r w:rsidRPr="00C85EF2">
        <w:rPr>
          <w:color w:val="auto"/>
        </w:rPr>
        <w:t>Non-null</w:t>
      </w:r>
      <w:proofErr w:type="gramEnd"/>
      <w:r w:rsidRPr="00C85EF2">
        <w:rPr>
          <w:color w:val="auto"/>
        </w:rPr>
        <w:t xml:space="preserve"> GSTM1 patients.  No dose adjustment is required based on GSTM1 status.</w:t>
      </w:r>
    </w:p>
    <w:bookmarkEnd w:id="75"/>
    <w:p w14:paraId="087AA71C" w14:textId="16471B20" w:rsidR="00C6210B" w:rsidRDefault="00C6210B" w:rsidP="00AD5070">
      <w:pPr>
        <w:rPr>
          <w:b/>
          <w:color w:val="auto"/>
          <w:spacing w:val="-2"/>
        </w:rPr>
      </w:pPr>
      <w:r>
        <w:rPr>
          <w:b/>
          <w:color w:val="auto"/>
          <w:spacing w:val="-2"/>
        </w:rPr>
        <w:br w:type="page"/>
      </w:r>
    </w:p>
    <w:p w14:paraId="40E845B6" w14:textId="77777777" w:rsidR="00B247FF" w:rsidRPr="00C85EF2" w:rsidRDefault="00B247FF" w:rsidP="00AD5070">
      <w:pPr>
        <w:rPr>
          <w:b/>
          <w:color w:val="auto"/>
          <w:spacing w:val="-2"/>
        </w:rPr>
      </w:pPr>
    </w:p>
    <w:p w14:paraId="52C83652" w14:textId="1DA971AC" w:rsidR="008D443A" w:rsidRPr="00C85EF2" w:rsidRDefault="008D443A" w:rsidP="00AD5070">
      <w:pPr>
        <w:pStyle w:val="Heading3"/>
        <w:jc w:val="left"/>
        <w:rPr>
          <w:color w:val="auto"/>
        </w:rPr>
      </w:pPr>
      <w:r w:rsidRPr="00C85EF2">
        <w:rPr>
          <w:color w:val="auto"/>
        </w:rPr>
        <w:t>Excretion</w:t>
      </w:r>
    </w:p>
    <w:p w14:paraId="60249DFE" w14:textId="77777777" w:rsidR="00AA4C67" w:rsidRPr="00C85EF2" w:rsidRDefault="00AA4C67" w:rsidP="00AD5070">
      <w:pPr>
        <w:pStyle w:val="BodyText"/>
        <w:jc w:val="left"/>
        <w:rPr>
          <w:color w:val="auto"/>
        </w:rPr>
      </w:pPr>
      <w:r w:rsidRPr="00C85EF2">
        <w:rPr>
          <w:color w:val="auto"/>
        </w:rPr>
        <w:t>The mean (CV%) apparent clearance and terminal elimination half-life of lazertinib at 240 mg dose were 44.5 (29.5%) L/h and 64.7 (32.8%) hours respectively.</w:t>
      </w:r>
      <w:r w:rsidR="008B7366" w:rsidRPr="00C85EF2">
        <w:rPr>
          <w:color w:val="auto"/>
        </w:rPr>
        <w:t xml:space="preserve"> </w:t>
      </w:r>
    </w:p>
    <w:p w14:paraId="37B45A81" w14:textId="77777777" w:rsidR="00AA4C67" w:rsidRPr="00C85EF2" w:rsidRDefault="00AA4C67" w:rsidP="00AD5070">
      <w:pPr>
        <w:pStyle w:val="BodyText"/>
        <w:jc w:val="left"/>
        <w:rPr>
          <w:color w:val="auto"/>
        </w:rPr>
      </w:pPr>
    </w:p>
    <w:p w14:paraId="59D799B4" w14:textId="48AE9E84" w:rsidR="00AA4C67" w:rsidRPr="00C85EF2" w:rsidRDefault="00AA4C67" w:rsidP="00AD5070">
      <w:pPr>
        <w:pStyle w:val="BodyText"/>
        <w:jc w:val="left"/>
        <w:rPr>
          <w:color w:val="auto"/>
        </w:rPr>
      </w:pPr>
      <w:r w:rsidRPr="00C85EF2">
        <w:rPr>
          <w:color w:val="auto"/>
        </w:rPr>
        <w:t xml:space="preserve">Following a single oral dose of </w:t>
      </w:r>
      <w:proofErr w:type="spellStart"/>
      <w:r w:rsidRPr="00C85EF2">
        <w:rPr>
          <w:color w:val="auto"/>
        </w:rPr>
        <w:t>radiolabeled</w:t>
      </w:r>
      <w:proofErr w:type="spellEnd"/>
      <w:r w:rsidRPr="00C85EF2">
        <w:rPr>
          <w:color w:val="auto"/>
        </w:rPr>
        <w:t xml:space="preserve"> </w:t>
      </w:r>
      <w:proofErr w:type="spellStart"/>
      <w:r w:rsidRPr="00C85EF2">
        <w:rPr>
          <w:color w:val="auto"/>
        </w:rPr>
        <w:t>lazertinib</w:t>
      </w:r>
      <w:proofErr w:type="spellEnd"/>
      <w:r w:rsidRPr="00C85EF2">
        <w:rPr>
          <w:color w:val="auto"/>
        </w:rPr>
        <w:t>, approximately 86% of the dose was recovered in faeces (&lt;5% as unchanged) and 4% in urine (&lt;0.2% as unchanged).</w:t>
      </w:r>
    </w:p>
    <w:p w14:paraId="277B95CD" w14:textId="3F307664" w:rsidR="00110774" w:rsidRPr="00C85EF2" w:rsidRDefault="00110774" w:rsidP="00AD5070">
      <w:pPr>
        <w:keepNext/>
        <w:spacing w:after="200"/>
        <w:rPr>
          <w:b/>
          <w:color w:val="auto"/>
        </w:rPr>
      </w:pPr>
    </w:p>
    <w:p w14:paraId="43D52E93" w14:textId="485607F1" w:rsidR="003113E0" w:rsidRPr="00C85EF2" w:rsidRDefault="003113E0" w:rsidP="00AD5070">
      <w:pPr>
        <w:pStyle w:val="Heading3"/>
        <w:jc w:val="left"/>
        <w:rPr>
          <w:color w:val="auto"/>
        </w:rPr>
      </w:pPr>
      <w:r w:rsidRPr="00C85EF2">
        <w:rPr>
          <w:color w:val="auto"/>
        </w:rPr>
        <w:t>Special populations</w:t>
      </w:r>
    </w:p>
    <w:p w14:paraId="1892E838" w14:textId="71C3FBB8" w:rsidR="003113E0" w:rsidRPr="00C85EF2" w:rsidRDefault="003113E0" w:rsidP="00AD5070">
      <w:pPr>
        <w:pStyle w:val="Heading4"/>
        <w:rPr>
          <w:color w:val="auto"/>
        </w:rPr>
      </w:pPr>
      <w:r w:rsidRPr="00C85EF2">
        <w:rPr>
          <w:color w:val="auto"/>
        </w:rPr>
        <w:t>Paediatrics (17 years of age and younger)</w:t>
      </w:r>
    </w:p>
    <w:p w14:paraId="30EA7886" w14:textId="4E945E8A" w:rsidR="003113E0" w:rsidRPr="00C85EF2" w:rsidRDefault="003113E0" w:rsidP="00AD5070">
      <w:pPr>
        <w:rPr>
          <w:color w:val="auto"/>
        </w:rPr>
      </w:pPr>
      <w:r w:rsidRPr="00C85EF2">
        <w:rPr>
          <w:color w:val="auto"/>
        </w:rPr>
        <w:t>The pharmacokinetics of</w:t>
      </w:r>
      <w:r w:rsidR="00AA4C67" w:rsidRPr="00C85EF2">
        <w:rPr>
          <w:color w:val="auto"/>
        </w:rPr>
        <w:t xml:space="preserve"> LAZCLUZE</w:t>
      </w:r>
      <w:r w:rsidRPr="00C85EF2">
        <w:rPr>
          <w:color w:val="auto"/>
        </w:rPr>
        <w:t xml:space="preserve"> in paediatric patients have not been investigated.</w:t>
      </w:r>
    </w:p>
    <w:p w14:paraId="7DCBC546" w14:textId="4E0039CD" w:rsidR="003113E0" w:rsidRPr="00C85EF2" w:rsidRDefault="003113E0" w:rsidP="00AD5070">
      <w:pPr>
        <w:pStyle w:val="Heading4"/>
        <w:rPr>
          <w:color w:val="auto"/>
        </w:rPr>
      </w:pPr>
      <w:r w:rsidRPr="00C85EF2">
        <w:rPr>
          <w:color w:val="auto"/>
        </w:rPr>
        <w:t>Elderly (65 years of age and older)</w:t>
      </w:r>
    </w:p>
    <w:p w14:paraId="4EAFB6BB" w14:textId="77777777" w:rsidR="00AA4C67" w:rsidRPr="00C85EF2" w:rsidRDefault="00AA4C67" w:rsidP="00AD5070">
      <w:pPr>
        <w:pStyle w:val="BodyText"/>
        <w:jc w:val="left"/>
        <w:rPr>
          <w:color w:val="auto"/>
        </w:rPr>
      </w:pPr>
      <w:r w:rsidRPr="00C85EF2">
        <w:rPr>
          <w:color w:val="auto"/>
        </w:rPr>
        <w:t xml:space="preserve">Based on population PK analysis, no clinically meaningful age-based differences in pharmacokinetics of lazertinib were observed. </w:t>
      </w:r>
    </w:p>
    <w:p w14:paraId="41845EC8" w14:textId="694912FC" w:rsidR="003113E0" w:rsidRPr="00C85EF2" w:rsidRDefault="003113E0" w:rsidP="00AD5070">
      <w:pPr>
        <w:pStyle w:val="Heading4"/>
        <w:rPr>
          <w:color w:val="auto"/>
        </w:rPr>
      </w:pPr>
      <w:r w:rsidRPr="00C85EF2">
        <w:rPr>
          <w:color w:val="auto"/>
        </w:rPr>
        <w:t>Renal impairment</w:t>
      </w:r>
    </w:p>
    <w:p w14:paraId="0D6319A8" w14:textId="75CBAEFC" w:rsidR="00570BBA" w:rsidRDefault="00AA4C67" w:rsidP="00AD5070">
      <w:pPr>
        <w:pStyle w:val="BodyText"/>
        <w:jc w:val="left"/>
        <w:rPr>
          <w:color w:val="auto"/>
        </w:rPr>
      </w:pPr>
      <w:r w:rsidRPr="00C85EF2">
        <w:rPr>
          <w:color w:val="auto"/>
        </w:rPr>
        <w:t>Based on population PK analysis, no dose adjustment is required for patients with mild, moderate or severe renal impairment with estimated glomerular filtration rate (eGFR) of 15 to 89 mL/min. Data in patients with severe renal impairment (eGFR of 15 to 29 mL/min) are limited (n=3), but there is no evidence to suggest that dose adjustment is required in these patients. No data are available in patients with end stage renal disease (eGFR &lt; 15 mL/min).</w:t>
      </w:r>
    </w:p>
    <w:p w14:paraId="63A15D3B" w14:textId="77777777" w:rsidR="00C85EF2" w:rsidRPr="00C85EF2" w:rsidRDefault="00C85EF2" w:rsidP="00AD5070">
      <w:pPr>
        <w:pStyle w:val="BodyText"/>
        <w:jc w:val="left"/>
        <w:rPr>
          <w:color w:val="auto"/>
        </w:rPr>
      </w:pPr>
    </w:p>
    <w:p w14:paraId="71F0FDEF" w14:textId="682086F5" w:rsidR="003113E0" w:rsidRPr="00C85EF2" w:rsidRDefault="003113E0" w:rsidP="00AD5070">
      <w:pPr>
        <w:pStyle w:val="Heading4"/>
        <w:rPr>
          <w:color w:val="auto"/>
        </w:rPr>
      </w:pPr>
      <w:r w:rsidRPr="00C85EF2">
        <w:rPr>
          <w:color w:val="auto"/>
        </w:rPr>
        <w:t>Hepatic impairment</w:t>
      </w:r>
    </w:p>
    <w:p w14:paraId="42E65B51" w14:textId="3F0E5A71" w:rsidR="003113E0" w:rsidRPr="00C85EF2" w:rsidRDefault="00AA4C67" w:rsidP="00AD5070">
      <w:pPr>
        <w:rPr>
          <w:color w:val="auto"/>
        </w:rPr>
      </w:pPr>
      <w:r w:rsidRPr="00C85EF2">
        <w:rPr>
          <w:color w:val="auto"/>
        </w:rPr>
        <w:t>Based on findings from clinical pharmacology study, moderate hepatic impairment (Child-Pugh Class B) had no clinically meaningful effect on lazertinib single dose PK. Based on population PK analysis, no dose adjustment is required for patients with mild (total bilirubin ≤ ULN and AST &gt; ULN or ULN &lt; total bilirubin ≤ 1.5×ULN and any AST) or moderate (1.5×ULN &lt; total bilirubin ≤ 3×ULN and any AST) hepatic impairment. No data are available in patients with severe hepatic impairment (total bilirubin &gt; 3×ULN and any AST).</w:t>
      </w:r>
    </w:p>
    <w:p w14:paraId="565C0497" w14:textId="337D29A1" w:rsidR="003113E0" w:rsidRPr="00C85EF2" w:rsidRDefault="00AA4C67" w:rsidP="00AD5070">
      <w:pPr>
        <w:pStyle w:val="Heading4"/>
        <w:rPr>
          <w:color w:val="auto"/>
        </w:rPr>
      </w:pPr>
      <w:r w:rsidRPr="00C85EF2">
        <w:rPr>
          <w:color w:val="auto"/>
        </w:rPr>
        <w:t>Other populations</w:t>
      </w:r>
    </w:p>
    <w:p w14:paraId="647AB3F5" w14:textId="577385F4" w:rsidR="0057451A" w:rsidRPr="00C85EF2" w:rsidRDefault="00AA4C67" w:rsidP="00AD5070">
      <w:pPr>
        <w:rPr>
          <w:color w:val="auto"/>
        </w:rPr>
      </w:pPr>
      <w:r w:rsidRPr="00C85EF2">
        <w:rPr>
          <w:color w:val="auto"/>
        </w:rPr>
        <w:t xml:space="preserve">No clinically meaningful differences in lazertinib PK were observed based on age, sex, body weight, race, ethnicity, </w:t>
      </w:r>
      <w:bookmarkStart w:id="76" w:name="_Hlk150163951"/>
      <w:r w:rsidRPr="00C85EF2">
        <w:rPr>
          <w:color w:val="auto"/>
        </w:rPr>
        <w:t>hepatic function, renal function,</w:t>
      </w:r>
      <w:bookmarkEnd w:id="76"/>
      <w:r w:rsidRPr="00C85EF2">
        <w:rPr>
          <w:color w:val="auto"/>
        </w:rPr>
        <w:t xml:space="preserve"> baseline laboratory assessments (creatinine clearance, albumin, alanine aminotransferase, alkaline phosphatase, aspartate aminotransferase), ECOG performance status, EGFR mutation type, initial diagnosis cancer stage, prior therapies, brain metastasis, and history of smoking</w:t>
      </w:r>
      <w:r w:rsidR="0057451A" w:rsidRPr="00C85EF2">
        <w:rPr>
          <w:color w:val="auto"/>
        </w:rPr>
        <w:t>.</w:t>
      </w:r>
      <w:r w:rsidR="0057451A" w:rsidRPr="00C85EF2" w:rsidDel="0057451A">
        <w:rPr>
          <w:color w:val="auto"/>
        </w:rPr>
        <w:t xml:space="preserve"> </w:t>
      </w:r>
    </w:p>
    <w:p w14:paraId="30AB1A9C" w14:textId="77777777" w:rsidR="006E7794" w:rsidRPr="00C85EF2" w:rsidRDefault="006E7794" w:rsidP="00AD5070">
      <w:pPr>
        <w:rPr>
          <w:color w:val="auto"/>
        </w:rPr>
      </w:pPr>
    </w:p>
    <w:p w14:paraId="3F5DD625" w14:textId="76BE3283" w:rsidR="009C2283" w:rsidRPr="00C85EF2" w:rsidRDefault="00706FA4" w:rsidP="00AD5070">
      <w:pPr>
        <w:pStyle w:val="Heading2"/>
        <w:numPr>
          <w:ilvl w:val="1"/>
          <w:numId w:val="18"/>
        </w:numPr>
        <w:spacing w:after="240"/>
        <w:ind w:left="426" w:hanging="426"/>
        <w:jc w:val="left"/>
        <w:rPr>
          <w:color w:val="auto"/>
        </w:rPr>
      </w:pPr>
      <w:r w:rsidRPr="00C85EF2">
        <w:rPr>
          <w:color w:val="auto"/>
        </w:rPr>
        <w:t>PRECLINICAL SAFETY DATA</w:t>
      </w:r>
    </w:p>
    <w:p w14:paraId="6B968232" w14:textId="77777777" w:rsidR="0063173D" w:rsidRPr="00C85EF2" w:rsidRDefault="0063173D" w:rsidP="00AD5070">
      <w:pPr>
        <w:pStyle w:val="Heading3"/>
        <w:jc w:val="left"/>
        <w:rPr>
          <w:color w:val="auto"/>
        </w:rPr>
      </w:pPr>
      <w:r w:rsidRPr="00C85EF2">
        <w:rPr>
          <w:color w:val="auto"/>
        </w:rPr>
        <w:t>Genotoxicity</w:t>
      </w:r>
    </w:p>
    <w:p w14:paraId="7482F6BA" w14:textId="7425068F" w:rsidR="0063173D" w:rsidRPr="00C85EF2" w:rsidRDefault="0063173D" w:rsidP="00AD5070">
      <w:pPr>
        <w:rPr>
          <w:b/>
          <w:color w:val="auto"/>
        </w:rPr>
      </w:pPr>
      <w:r w:rsidRPr="00C85EF2">
        <w:rPr>
          <w:color w:val="auto"/>
        </w:rPr>
        <w:t xml:space="preserve">No evidence of genotoxicity for lazertinib was observed in </w:t>
      </w:r>
      <w:r w:rsidRPr="00C85EF2">
        <w:rPr>
          <w:i/>
          <w:iCs/>
          <w:color w:val="auto"/>
        </w:rPr>
        <w:t>in vitro</w:t>
      </w:r>
      <w:r w:rsidRPr="00C85EF2">
        <w:rPr>
          <w:color w:val="auto"/>
        </w:rPr>
        <w:t xml:space="preserve"> bacterial mutagenicity, </w:t>
      </w:r>
      <w:r w:rsidRPr="00C85EF2">
        <w:rPr>
          <w:i/>
          <w:iCs/>
          <w:color w:val="auto"/>
        </w:rPr>
        <w:t>in vitro</w:t>
      </w:r>
      <w:r w:rsidRPr="00C85EF2">
        <w:rPr>
          <w:color w:val="auto"/>
        </w:rPr>
        <w:t xml:space="preserve"> chromosomal aberration, and </w:t>
      </w:r>
      <w:r w:rsidRPr="00C85EF2">
        <w:rPr>
          <w:i/>
          <w:iCs/>
          <w:color w:val="auto"/>
        </w:rPr>
        <w:t>in vivo</w:t>
      </w:r>
      <w:r w:rsidRPr="00C85EF2">
        <w:rPr>
          <w:color w:val="auto"/>
        </w:rPr>
        <w:t xml:space="preserve"> micronucleus tests in rats.</w:t>
      </w:r>
    </w:p>
    <w:p w14:paraId="1681B681" w14:textId="4DD944F0" w:rsidR="00BC4530" w:rsidRPr="00C85EF2" w:rsidRDefault="00BC4530" w:rsidP="00AD5070">
      <w:pPr>
        <w:pStyle w:val="Heading3"/>
        <w:jc w:val="left"/>
        <w:rPr>
          <w:color w:val="auto"/>
        </w:rPr>
      </w:pPr>
      <w:r w:rsidRPr="00C85EF2">
        <w:rPr>
          <w:color w:val="auto"/>
        </w:rPr>
        <w:t>Carcinogenicity</w:t>
      </w:r>
    </w:p>
    <w:p w14:paraId="283211DB" w14:textId="3465B7A3" w:rsidR="00C6210B" w:rsidRDefault="00F87EDA" w:rsidP="00AD5070">
      <w:pPr>
        <w:pStyle w:val="BodyText"/>
        <w:jc w:val="left"/>
        <w:rPr>
          <w:color w:val="auto"/>
        </w:rPr>
      </w:pPr>
      <w:r w:rsidRPr="00C85EF2">
        <w:rPr>
          <w:color w:val="auto"/>
        </w:rPr>
        <w:t>Long-term animal studies have not been conducted to evaluate the carcinogenic potential of lazertinib.</w:t>
      </w:r>
    </w:p>
    <w:p w14:paraId="3D42B3E5" w14:textId="77777777" w:rsidR="00C6210B" w:rsidRDefault="00C6210B" w:rsidP="00AD5070">
      <w:pPr>
        <w:rPr>
          <w:color w:val="auto"/>
        </w:rPr>
      </w:pPr>
      <w:r>
        <w:rPr>
          <w:color w:val="auto"/>
        </w:rPr>
        <w:br w:type="page"/>
      </w:r>
    </w:p>
    <w:p w14:paraId="2D517B6E" w14:textId="2EC12502" w:rsidR="00170F03" w:rsidRPr="00C85EF2" w:rsidRDefault="00170F03" w:rsidP="00AD5070">
      <w:pPr>
        <w:pStyle w:val="Heading1"/>
        <w:keepNext/>
        <w:keepLines/>
        <w:jc w:val="left"/>
        <w:rPr>
          <w:color w:val="auto"/>
        </w:rPr>
      </w:pPr>
      <w:r w:rsidRPr="00C85EF2">
        <w:rPr>
          <w:color w:val="auto"/>
        </w:rPr>
        <w:lastRenderedPageBreak/>
        <w:t>PHARMACEUTICAL PARTICULARS</w:t>
      </w:r>
    </w:p>
    <w:p w14:paraId="29F8FB5C" w14:textId="56052DC9" w:rsidR="00170F03" w:rsidRPr="00C85EF2" w:rsidRDefault="00170F03" w:rsidP="00AD5070">
      <w:pPr>
        <w:pStyle w:val="Heading2"/>
        <w:keepNext/>
        <w:keepLines/>
        <w:numPr>
          <w:ilvl w:val="1"/>
          <w:numId w:val="18"/>
        </w:numPr>
        <w:ind w:left="426" w:hanging="426"/>
        <w:jc w:val="left"/>
        <w:rPr>
          <w:color w:val="auto"/>
        </w:rPr>
      </w:pPr>
      <w:r w:rsidRPr="00C85EF2">
        <w:rPr>
          <w:color w:val="auto"/>
        </w:rPr>
        <w:t>LIST OF EXCIPIENTS</w:t>
      </w:r>
    </w:p>
    <w:p w14:paraId="5E209B9A" w14:textId="77777777" w:rsidR="0043761A" w:rsidRPr="00C85EF2" w:rsidRDefault="0043761A" w:rsidP="00AD5070">
      <w:pPr>
        <w:rPr>
          <w:color w:val="auto"/>
          <w:u w:val="single"/>
        </w:rPr>
      </w:pPr>
    </w:p>
    <w:p w14:paraId="1FBA632B" w14:textId="5FF53C8B" w:rsidR="00873CDF" w:rsidRPr="00C85EF2" w:rsidRDefault="00F50BE8" w:rsidP="00AD5070">
      <w:pPr>
        <w:rPr>
          <w:color w:val="auto"/>
          <w:u w:val="single"/>
        </w:rPr>
      </w:pPr>
      <w:r w:rsidRPr="00C85EF2">
        <w:rPr>
          <w:color w:val="auto"/>
          <w:u w:val="single"/>
        </w:rPr>
        <w:t>Tablet core:</w:t>
      </w:r>
    </w:p>
    <w:p w14:paraId="1CABB3BB" w14:textId="427EE598" w:rsidR="00F50BE8" w:rsidRPr="00C85EF2" w:rsidRDefault="00F50BE8" w:rsidP="00AD5070">
      <w:pPr>
        <w:rPr>
          <w:color w:val="auto"/>
        </w:rPr>
      </w:pPr>
      <w:r w:rsidRPr="00C85EF2">
        <w:rPr>
          <w:color w:val="auto"/>
        </w:rPr>
        <w:t>hydrophobic colloidal silica anhydrous</w:t>
      </w:r>
    </w:p>
    <w:p w14:paraId="021ADFF5" w14:textId="116CC140" w:rsidR="00F50BE8" w:rsidRPr="00C85EF2" w:rsidRDefault="00F50BE8" w:rsidP="00AD5070">
      <w:pPr>
        <w:rPr>
          <w:color w:val="auto"/>
        </w:rPr>
      </w:pPr>
      <w:r w:rsidRPr="00C85EF2">
        <w:rPr>
          <w:color w:val="auto"/>
        </w:rPr>
        <w:t>microcrystalline cellulose</w:t>
      </w:r>
    </w:p>
    <w:p w14:paraId="5C0E775E" w14:textId="77777777" w:rsidR="00F50BE8" w:rsidRPr="00C85EF2" w:rsidRDefault="00F50BE8" w:rsidP="00AD5070">
      <w:pPr>
        <w:rPr>
          <w:color w:val="auto"/>
        </w:rPr>
      </w:pPr>
      <w:r w:rsidRPr="00C85EF2">
        <w:rPr>
          <w:color w:val="auto"/>
        </w:rPr>
        <w:t>mannitol</w:t>
      </w:r>
    </w:p>
    <w:p w14:paraId="3206484A" w14:textId="77777777" w:rsidR="00F50BE8" w:rsidRPr="00C85EF2" w:rsidRDefault="00F50BE8" w:rsidP="00AD5070">
      <w:pPr>
        <w:rPr>
          <w:color w:val="auto"/>
        </w:rPr>
      </w:pPr>
      <w:r w:rsidRPr="00C85EF2">
        <w:rPr>
          <w:color w:val="auto"/>
        </w:rPr>
        <w:t>croscarmellose sodium</w:t>
      </w:r>
    </w:p>
    <w:p w14:paraId="36100205" w14:textId="77777777" w:rsidR="00F50BE8" w:rsidRPr="00C85EF2" w:rsidRDefault="00F50BE8" w:rsidP="00AD5070">
      <w:pPr>
        <w:rPr>
          <w:color w:val="auto"/>
        </w:rPr>
      </w:pPr>
      <w:r w:rsidRPr="00C85EF2">
        <w:rPr>
          <w:color w:val="auto"/>
        </w:rPr>
        <w:t xml:space="preserve">magnesium stearate </w:t>
      </w:r>
    </w:p>
    <w:p w14:paraId="4E783116" w14:textId="77777777" w:rsidR="00F50BE8" w:rsidRPr="00C85EF2" w:rsidRDefault="00F50BE8" w:rsidP="00AD5070">
      <w:pPr>
        <w:rPr>
          <w:color w:val="auto"/>
        </w:rPr>
      </w:pPr>
    </w:p>
    <w:p w14:paraId="28BD370C" w14:textId="23190379" w:rsidR="00F50BE8" w:rsidRPr="00C85EF2" w:rsidRDefault="00F50BE8" w:rsidP="00AD5070">
      <w:pPr>
        <w:rPr>
          <w:color w:val="auto"/>
          <w:u w:val="single"/>
        </w:rPr>
      </w:pPr>
      <w:r w:rsidRPr="00C85EF2">
        <w:rPr>
          <w:color w:val="auto"/>
          <w:u w:val="single"/>
        </w:rPr>
        <w:t xml:space="preserve">80 mg tablet film coating: </w:t>
      </w:r>
    </w:p>
    <w:p w14:paraId="5EB8C76F" w14:textId="5CE06CDD" w:rsidR="00F50BE8" w:rsidRPr="00C85EF2" w:rsidRDefault="00F50BE8" w:rsidP="00AD5070">
      <w:pPr>
        <w:rPr>
          <w:color w:val="auto"/>
        </w:rPr>
      </w:pPr>
      <w:r w:rsidRPr="00C85EF2">
        <w:rPr>
          <w:color w:val="auto"/>
        </w:rPr>
        <w:t xml:space="preserve">OPADRY QX Quick and </w:t>
      </w:r>
      <w:proofErr w:type="spellStart"/>
      <w:r w:rsidRPr="00C85EF2">
        <w:rPr>
          <w:color w:val="auto"/>
        </w:rPr>
        <w:t>FleXible</w:t>
      </w:r>
      <w:proofErr w:type="spellEnd"/>
      <w:r w:rsidRPr="00C85EF2">
        <w:rPr>
          <w:color w:val="auto"/>
        </w:rPr>
        <w:t xml:space="preserve"> Film Coating System 321A220024-CN Yellow (PI 147702)</w:t>
      </w:r>
    </w:p>
    <w:p w14:paraId="5B13037D" w14:textId="77777777" w:rsidR="00851141" w:rsidRPr="00C85EF2" w:rsidRDefault="00851141" w:rsidP="00AD5070">
      <w:pPr>
        <w:rPr>
          <w:color w:val="auto"/>
          <w:u w:val="single"/>
        </w:rPr>
      </w:pPr>
    </w:p>
    <w:p w14:paraId="52783BBC" w14:textId="1989EB42" w:rsidR="00F50BE8" w:rsidRPr="00C85EF2" w:rsidRDefault="00F50BE8" w:rsidP="00AD5070">
      <w:pPr>
        <w:rPr>
          <w:color w:val="auto"/>
          <w:u w:val="single"/>
        </w:rPr>
      </w:pPr>
      <w:r w:rsidRPr="00C85EF2">
        <w:rPr>
          <w:color w:val="auto"/>
          <w:u w:val="single"/>
        </w:rPr>
        <w:t xml:space="preserve">240 mg tablet film coating: </w:t>
      </w:r>
    </w:p>
    <w:p w14:paraId="03DA5F98" w14:textId="7DF59C40" w:rsidR="00F50BE8" w:rsidRPr="00C85EF2" w:rsidRDefault="00F50BE8" w:rsidP="00AD5070">
      <w:pPr>
        <w:rPr>
          <w:color w:val="auto"/>
        </w:rPr>
      </w:pPr>
      <w:r w:rsidRPr="00C85EF2">
        <w:rPr>
          <w:color w:val="auto"/>
        </w:rPr>
        <w:t xml:space="preserve">OPADRY QX Quick and </w:t>
      </w:r>
      <w:proofErr w:type="spellStart"/>
      <w:r w:rsidRPr="00C85EF2">
        <w:rPr>
          <w:color w:val="auto"/>
        </w:rPr>
        <w:t>FleXible</w:t>
      </w:r>
      <w:proofErr w:type="spellEnd"/>
      <w:r w:rsidRPr="00C85EF2">
        <w:rPr>
          <w:color w:val="auto"/>
        </w:rPr>
        <w:t xml:space="preserve"> Film Coating System 321A200022-CN Purple (PI 147703)</w:t>
      </w:r>
    </w:p>
    <w:p w14:paraId="520EA81C" w14:textId="77777777" w:rsidR="00F50BE8" w:rsidRPr="00C85EF2" w:rsidRDefault="00F50BE8" w:rsidP="00AD5070">
      <w:pPr>
        <w:rPr>
          <w:color w:val="auto"/>
        </w:rPr>
      </w:pPr>
    </w:p>
    <w:p w14:paraId="352C6BAE" w14:textId="19354AC9" w:rsidR="00170F03" w:rsidRPr="00C85EF2" w:rsidRDefault="00170F03" w:rsidP="00AD5070">
      <w:pPr>
        <w:pStyle w:val="Heading2"/>
        <w:numPr>
          <w:ilvl w:val="1"/>
          <w:numId w:val="18"/>
        </w:numPr>
        <w:ind w:left="426" w:hanging="426"/>
        <w:jc w:val="left"/>
        <w:rPr>
          <w:color w:val="auto"/>
        </w:rPr>
      </w:pPr>
      <w:r w:rsidRPr="00C85EF2">
        <w:rPr>
          <w:color w:val="auto"/>
        </w:rPr>
        <w:t>INCOMPATIBILITIES</w:t>
      </w:r>
    </w:p>
    <w:p w14:paraId="2C82C56E" w14:textId="06666BDD" w:rsidR="00206DBC" w:rsidRPr="00C85EF2" w:rsidRDefault="00F50BE8" w:rsidP="00AD5070">
      <w:pPr>
        <w:rPr>
          <w:color w:val="auto"/>
          <w:lang w:val="en-GB"/>
        </w:rPr>
      </w:pPr>
      <w:r w:rsidRPr="00C85EF2">
        <w:rPr>
          <w:color w:val="auto"/>
        </w:rPr>
        <w:t>See section 4.5 Interactions with other medicines and other forms of interactions.</w:t>
      </w:r>
    </w:p>
    <w:p w14:paraId="2A0E230A" w14:textId="77777777" w:rsidR="00206DBC" w:rsidRPr="00C85EF2" w:rsidRDefault="00206DBC" w:rsidP="00AD5070">
      <w:pPr>
        <w:rPr>
          <w:color w:val="auto"/>
        </w:rPr>
      </w:pPr>
    </w:p>
    <w:p w14:paraId="1C827FF4" w14:textId="768C74E1" w:rsidR="00170F03" w:rsidRPr="00C85EF2" w:rsidRDefault="00170F03" w:rsidP="00AD5070">
      <w:pPr>
        <w:pStyle w:val="Heading2"/>
        <w:numPr>
          <w:ilvl w:val="1"/>
          <w:numId w:val="18"/>
        </w:numPr>
        <w:ind w:left="426" w:hanging="426"/>
        <w:jc w:val="left"/>
        <w:rPr>
          <w:color w:val="auto"/>
        </w:rPr>
      </w:pPr>
      <w:r w:rsidRPr="00C85EF2">
        <w:rPr>
          <w:color w:val="auto"/>
        </w:rPr>
        <w:t>SHELF LIFE</w:t>
      </w:r>
    </w:p>
    <w:p w14:paraId="3D1D3E26" w14:textId="77777777" w:rsidR="004611CF" w:rsidRPr="00C85EF2" w:rsidRDefault="004611CF" w:rsidP="00AD5070">
      <w:pPr>
        <w:suppressAutoHyphens/>
        <w:rPr>
          <w:rFonts w:cs="Times New Roman"/>
          <w:bCs/>
          <w:color w:val="auto"/>
        </w:rPr>
      </w:pPr>
      <w:r w:rsidRPr="00C85EF2">
        <w:rPr>
          <w:rFonts w:cs="Times New Roman"/>
          <w:bCs/>
          <w:color w:val="auto"/>
        </w:rPr>
        <w:t>In Australia, information on the shelf life can be found on the public summary of the Australian Register of Therapeutic Goods (ARTG). The expiry date can be found on the packaging.</w:t>
      </w:r>
    </w:p>
    <w:p w14:paraId="03B4E4E1" w14:textId="4DBD3540" w:rsidR="002B08B7" w:rsidRPr="00C85EF2" w:rsidRDefault="002B08B7" w:rsidP="00AD5070">
      <w:pPr>
        <w:pStyle w:val="BodyText1"/>
        <w:jc w:val="left"/>
        <w:rPr>
          <w:bCs/>
        </w:rPr>
      </w:pPr>
    </w:p>
    <w:p w14:paraId="3F438D98" w14:textId="0123FEE7" w:rsidR="00D13B85" w:rsidRPr="00C85EF2" w:rsidRDefault="00D13B85" w:rsidP="00AD5070">
      <w:pPr>
        <w:pStyle w:val="Heading2"/>
        <w:numPr>
          <w:ilvl w:val="1"/>
          <w:numId w:val="18"/>
        </w:numPr>
        <w:ind w:left="426" w:hanging="426"/>
        <w:jc w:val="left"/>
        <w:rPr>
          <w:color w:val="auto"/>
        </w:rPr>
      </w:pPr>
      <w:r w:rsidRPr="00C85EF2">
        <w:rPr>
          <w:color w:val="auto"/>
        </w:rPr>
        <w:t>SPECIAL PRECAUTIONS FOR STORAGE</w:t>
      </w:r>
    </w:p>
    <w:p w14:paraId="34089E4C" w14:textId="385EBE81" w:rsidR="00E75236" w:rsidRPr="00C85EF2" w:rsidRDefault="00E75236" w:rsidP="00AD5070">
      <w:pPr>
        <w:rPr>
          <w:color w:val="auto"/>
          <w:lang w:val="en-US"/>
        </w:rPr>
      </w:pPr>
      <w:r w:rsidRPr="00C85EF2">
        <w:rPr>
          <w:color w:val="auto"/>
          <w:lang w:val="en-US"/>
        </w:rPr>
        <w:t xml:space="preserve">Store </w:t>
      </w:r>
      <w:r w:rsidR="00851141" w:rsidRPr="00C85EF2">
        <w:rPr>
          <w:color w:val="auto"/>
          <w:lang w:val="en-US"/>
        </w:rPr>
        <w:t xml:space="preserve">below </w:t>
      </w:r>
      <w:r w:rsidR="00253877" w:rsidRPr="00C85EF2">
        <w:rPr>
          <w:color w:val="auto"/>
          <w:lang w:val="en-US"/>
        </w:rPr>
        <w:t>30</w:t>
      </w:r>
      <w:r w:rsidRPr="00C85EF2">
        <w:rPr>
          <w:color w:val="auto"/>
          <w:lang w:val="en-US"/>
        </w:rPr>
        <w:t>°C.</w:t>
      </w:r>
    </w:p>
    <w:p w14:paraId="266F2893" w14:textId="77777777" w:rsidR="00062818" w:rsidRPr="00C85EF2" w:rsidRDefault="00062818" w:rsidP="00AD5070">
      <w:pPr>
        <w:rPr>
          <w:color w:val="auto"/>
          <w:lang w:val="en-US"/>
        </w:rPr>
      </w:pPr>
    </w:p>
    <w:p w14:paraId="44B4472B" w14:textId="28FA0A5C" w:rsidR="00D13B85" w:rsidRPr="00C85EF2" w:rsidRDefault="00D13B85" w:rsidP="00AD5070">
      <w:pPr>
        <w:pStyle w:val="Heading2"/>
        <w:numPr>
          <w:ilvl w:val="1"/>
          <w:numId w:val="18"/>
        </w:numPr>
        <w:ind w:left="426" w:hanging="426"/>
        <w:jc w:val="left"/>
        <w:rPr>
          <w:rFonts w:cs="Times New Roman"/>
          <w:color w:val="auto"/>
          <w:spacing w:val="0"/>
          <w:kern w:val="28"/>
          <w:szCs w:val="20"/>
        </w:rPr>
      </w:pPr>
      <w:r w:rsidRPr="00C85EF2">
        <w:rPr>
          <w:rFonts w:cs="Times New Roman"/>
          <w:color w:val="auto"/>
          <w:spacing w:val="0"/>
          <w:kern w:val="28"/>
          <w:szCs w:val="20"/>
        </w:rPr>
        <w:t>NATURE AND CONTENTS OF CONTAINER</w:t>
      </w:r>
    </w:p>
    <w:p w14:paraId="3BD4E220" w14:textId="77777777" w:rsidR="005C4080" w:rsidRPr="00C85EF2" w:rsidRDefault="005C4080" w:rsidP="00AD5070">
      <w:pPr>
        <w:rPr>
          <w:b/>
          <w:bCs/>
          <w:iCs/>
          <w:color w:val="auto"/>
          <w:szCs w:val="24"/>
          <w:u w:val="single"/>
          <w:lang w:val="en-US"/>
        </w:rPr>
      </w:pPr>
      <w:bookmarkStart w:id="77" w:name="_Hlk130385818"/>
      <w:r w:rsidRPr="00C85EF2">
        <w:rPr>
          <w:iCs/>
          <w:color w:val="auto"/>
          <w:szCs w:val="24"/>
          <w:u w:val="single"/>
          <w:lang w:val="en-US"/>
        </w:rPr>
        <w:t>Blister pack</w:t>
      </w:r>
      <w:r w:rsidRPr="00C85EF2" w:rsidDel="008305BD">
        <w:rPr>
          <w:iCs/>
          <w:color w:val="auto"/>
          <w:szCs w:val="24"/>
          <w:u w:val="single"/>
          <w:lang w:val="en-US"/>
        </w:rPr>
        <w:t xml:space="preserve"> </w:t>
      </w:r>
    </w:p>
    <w:p w14:paraId="70F3B665" w14:textId="77777777" w:rsidR="005C4080" w:rsidRPr="00C85EF2" w:rsidRDefault="005C4080" w:rsidP="00AD5070">
      <w:pPr>
        <w:rPr>
          <w:iCs/>
          <w:color w:val="auto"/>
          <w:szCs w:val="24"/>
          <w:lang w:val="en-US"/>
        </w:rPr>
      </w:pPr>
    </w:p>
    <w:p w14:paraId="50A9398D" w14:textId="77777777" w:rsidR="005C4080" w:rsidRPr="00C85EF2" w:rsidRDefault="005C4080" w:rsidP="00AD5070">
      <w:pPr>
        <w:rPr>
          <w:iCs/>
          <w:color w:val="auto"/>
          <w:szCs w:val="24"/>
          <w:lang w:val="en-US"/>
        </w:rPr>
      </w:pPr>
      <w:r w:rsidRPr="00C85EF2">
        <w:rPr>
          <w:iCs/>
          <w:color w:val="auto"/>
          <w:szCs w:val="24"/>
          <w:lang w:val="en-US"/>
        </w:rPr>
        <w:t>Polyvinyl chloride – polychlorotrifluoroethylene (PVC-PCTFE) film and aluminum push-through foil.</w:t>
      </w:r>
    </w:p>
    <w:p w14:paraId="0711AF9E" w14:textId="77777777" w:rsidR="005C4080" w:rsidRPr="00C85EF2" w:rsidRDefault="005C4080" w:rsidP="00AD5070">
      <w:pPr>
        <w:numPr>
          <w:ilvl w:val="0"/>
          <w:numId w:val="47"/>
        </w:numPr>
        <w:rPr>
          <w:i/>
          <w:iCs/>
          <w:color w:val="auto"/>
          <w:szCs w:val="24"/>
          <w:lang w:val="en-US"/>
        </w:rPr>
      </w:pPr>
      <w:r w:rsidRPr="00C85EF2">
        <w:rPr>
          <w:iCs/>
          <w:color w:val="auto"/>
          <w:szCs w:val="24"/>
          <w:lang w:val="en-US"/>
        </w:rPr>
        <w:t>80 mg tablets</w:t>
      </w:r>
      <w:r w:rsidRPr="00C85EF2">
        <w:rPr>
          <w:i/>
          <w:iCs/>
          <w:color w:val="auto"/>
          <w:szCs w:val="24"/>
          <w:lang w:val="en-US"/>
        </w:rPr>
        <w:t xml:space="preserve"> </w:t>
      </w:r>
      <w:r w:rsidRPr="00C85EF2">
        <w:rPr>
          <w:iCs/>
          <w:color w:val="auto"/>
          <w:szCs w:val="24"/>
          <w:lang w:val="en-US"/>
        </w:rPr>
        <w:t xml:space="preserve">packaged in 56-count blister pack (2 </w:t>
      </w:r>
      <w:proofErr w:type="spellStart"/>
      <w:r w:rsidRPr="00C85EF2">
        <w:rPr>
          <w:iCs/>
          <w:color w:val="auto"/>
          <w:szCs w:val="24"/>
          <w:lang w:val="en-US"/>
        </w:rPr>
        <w:t>dosepaks</w:t>
      </w:r>
      <w:proofErr w:type="spellEnd"/>
      <w:r w:rsidRPr="00C85EF2">
        <w:rPr>
          <w:iCs/>
          <w:color w:val="auto"/>
          <w:szCs w:val="24"/>
          <w:lang w:val="en-US"/>
        </w:rPr>
        <w:t xml:space="preserve"> containing 28 tablets each).</w:t>
      </w:r>
    </w:p>
    <w:p w14:paraId="4C8AE843" w14:textId="77777777" w:rsidR="005C4080" w:rsidRPr="00C85EF2" w:rsidRDefault="005C4080" w:rsidP="00AD5070">
      <w:pPr>
        <w:numPr>
          <w:ilvl w:val="0"/>
          <w:numId w:val="47"/>
        </w:numPr>
        <w:rPr>
          <w:i/>
          <w:iCs/>
          <w:color w:val="auto"/>
          <w:szCs w:val="24"/>
          <w:lang w:val="en-US"/>
        </w:rPr>
      </w:pPr>
      <w:r w:rsidRPr="00C85EF2">
        <w:rPr>
          <w:iCs/>
          <w:color w:val="auto"/>
          <w:szCs w:val="24"/>
          <w:lang w:val="en-US"/>
        </w:rPr>
        <w:t xml:space="preserve">240 mg tablets packaged in 14-count blister pack (1 </w:t>
      </w:r>
      <w:proofErr w:type="spellStart"/>
      <w:r w:rsidRPr="00C85EF2">
        <w:rPr>
          <w:iCs/>
          <w:color w:val="auto"/>
          <w:szCs w:val="24"/>
          <w:lang w:val="en-US"/>
        </w:rPr>
        <w:t>dosepak</w:t>
      </w:r>
      <w:proofErr w:type="spellEnd"/>
      <w:r w:rsidRPr="00C85EF2">
        <w:rPr>
          <w:iCs/>
          <w:color w:val="auto"/>
          <w:szCs w:val="24"/>
          <w:lang w:val="en-US"/>
        </w:rPr>
        <w:t xml:space="preserve"> containing 14 tablets) or 28-count blister pack (2 </w:t>
      </w:r>
      <w:proofErr w:type="spellStart"/>
      <w:r w:rsidRPr="00C85EF2">
        <w:rPr>
          <w:iCs/>
          <w:color w:val="auto"/>
          <w:szCs w:val="24"/>
          <w:lang w:val="en-US"/>
        </w:rPr>
        <w:t>dosepaks</w:t>
      </w:r>
      <w:proofErr w:type="spellEnd"/>
      <w:r w:rsidRPr="00C85EF2">
        <w:rPr>
          <w:iCs/>
          <w:color w:val="auto"/>
          <w:szCs w:val="24"/>
          <w:lang w:val="en-US"/>
        </w:rPr>
        <w:t xml:space="preserve"> containing 14 tablets each).</w:t>
      </w:r>
    </w:p>
    <w:p w14:paraId="07FD1E19" w14:textId="77777777" w:rsidR="005C4080" w:rsidRPr="00C85EF2" w:rsidRDefault="005C4080" w:rsidP="00AD5070">
      <w:pPr>
        <w:rPr>
          <w:iCs/>
          <w:color w:val="auto"/>
          <w:szCs w:val="24"/>
          <w:lang w:val="en-US"/>
        </w:rPr>
      </w:pPr>
    </w:p>
    <w:p w14:paraId="14784AB3" w14:textId="77777777" w:rsidR="005C4080" w:rsidRPr="00C85EF2" w:rsidRDefault="005C4080" w:rsidP="00AD5070">
      <w:pPr>
        <w:rPr>
          <w:iCs/>
          <w:color w:val="auto"/>
          <w:szCs w:val="24"/>
          <w:u w:val="single"/>
          <w:lang w:val="en-US"/>
        </w:rPr>
      </w:pPr>
      <w:r w:rsidRPr="00C85EF2">
        <w:rPr>
          <w:iCs/>
          <w:color w:val="auto"/>
          <w:szCs w:val="24"/>
          <w:u w:val="single"/>
          <w:lang w:val="en-US"/>
        </w:rPr>
        <w:t>Bottle</w:t>
      </w:r>
    </w:p>
    <w:p w14:paraId="65D66F8B" w14:textId="77777777" w:rsidR="005C4080" w:rsidRPr="00C85EF2" w:rsidRDefault="005C4080" w:rsidP="00AD5070">
      <w:pPr>
        <w:rPr>
          <w:iCs/>
          <w:color w:val="auto"/>
          <w:szCs w:val="24"/>
          <w:lang w:val="en-US"/>
        </w:rPr>
      </w:pPr>
    </w:p>
    <w:p w14:paraId="6E822260" w14:textId="77777777" w:rsidR="005C4080" w:rsidRPr="00C85EF2" w:rsidRDefault="005C4080" w:rsidP="00AD5070">
      <w:pPr>
        <w:rPr>
          <w:iCs/>
          <w:color w:val="auto"/>
          <w:szCs w:val="24"/>
          <w:lang w:val="en-US"/>
        </w:rPr>
      </w:pPr>
      <w:r w:rsidRPr="00C85EF2">
        <w:rPr>
          <w:iCs/>
          <w:color w:val="auto"/>
          <w:szCs w:val="24"/>
          <w:lang w:val="en-US"/>
        </w:rPr>
        <w:t>White opaque high-density polyethylene (HDPE) bottle with polypropylene child-resistant closure.</w:t>
      </w:r>
    </w:p>
    <w:p w14:paraId="116DB8E2" w14:textId="6852781C" w:rsidR="005C4080" w:rsidRPr="00C85EF2" w:rsidRDefault="005C4080" w:rsidP="00AD5070">
      <w:pPr>
        <w:numPr>
          <w:ilvl w:val="0"/>
          <w:numId w:val="47"/>
        </w:numPr>
        <w:rPr>
          <w:i/>
          <w:iCs/>
          <w:color w:val="auto"/>
          <w:szCs w:val="24"/>
          <w:lang w:val="en-US"/>
        </w:rPr>
      </w:pPr>
      <w:r w:rsidRPr="00C85EF2">
        <w:rPr>
          <w:iCs/>
          <w:color w:val="auto"/>
          <w:szCs w:val="24"/>
          <w:lang w:val="en-US"/>
        </w:rPr>
        <w:t>80 mg tablets</w:t>
      </w:r>
      <w:r w:rsidRPr="00C85EF2">
        <w:rPr>
          <w:i/>
          <w:iCs/>
          <w:color w:val="auto"/>
          <w:szCs w:val="24"/>
          <w:lang w:val="en-US"/>
        </w:rPr>
        <w:t xml:space="preserve"> </w:t>
      </w:r>
      <w:r w:rsidRPr="00C85EF2">
        <w:rPr>
          <w:iCs/>
          <w:color w:val="auto"/>
          <w:szCs w:val="24"/>
          <w:lang w:val="en-US"/>
        </w:rPr>
        <w:t>packaged in a 60-count bottle or 90-count bottle.</w:t>
      </w:r>
    </w:p>
    <w:p w14:paraId="395A8141" w14:textId="77777777" w:rsidR="005C4080" w:rsidRPr="00C85EF2" w:rsidRDefault="005C4080" w:rsidP="00AD5070">
      <w:pPr>
        <w:numPr>
          <w:ilvl w:val="0"/>
          <w:numId w:val="47"/>
        </w:numPr>
        <w:rPr>
          <w:i/>
          <w:iCs/>
          <w:color w:val="auto"/>
          <w:szCs w:val="24"/>
          <w:lang w:val="en-US"/>
        </w:rPr>
      </w:pPr>
      <w:r w:rsidRPr="00C85EF2">
        <w:rPr>
          <w:iCs/>
          <w:color w:val="auto"/>
          <w:szCs w:val="24"/>
          <w:lang w:val="en-US"/>
        </w:rPr>
        <w:t>240 mg tablets packaged in a 30-count bottle.</w:t>
      </w:r>
    </w:p>
    <w:p w14:paraId="601D7B92" w14:textId="77777777" w:rsidR="005C4080" w:rsidRPr="00C85EF2" w:rsidRDefault="005C4080" w:rsidP="00AD5070">
      <w:pPr>
        <w:rPr>
          <w:iCs/>
          <w:color w:val="auto"/>
          <w:szCs w:val="24"/>
          <w:lang w:val="en-US"/>
        </w:rPr>
      </w:pPr>
    </w:p>
    <w:p w14:paraId="661A6B86" w14:textId="77777777" w:rsidR="005C4080" w:rsidRPr="00C85EF2" w:rsidRDefault="005C4080" w:rsidP="00AD5070">
      <w:pPr>
        <w:rPr>
          <w:iCs/>
          <w:color w:val="auto"/>
          <w:szCs w:val="24"/>
          <w:lang w:val="en-US"/>
        </w:rPr>
      </w:pPr>
      <w:r w:rsidRPr="00C85EF2">
        <w:rPr>
          <w:iCs/>
          <w:color w:val="auto"/>
          <w:szCs w:val="24"/>
          <w:lang w:val="en-US"/>
        </w:rPr>
        <w:t>Not all pack sizes may be marketed.</w:t>
      </w:r>
    </w:p>
    <w:bookmarkEnd w:id="77"/>
    <w:p w14:paraId="720D9B9F" w14:textId="77777777" w:rsidR="00062CAC" w:rsidRPr="00C85EF2" w:rsidRDefault="00062CAC" w:rsidP="00AD5070">
      <w:pPr>
        <w:rPr>
          <w:iCs/>
          <w:color w:val="auto"/>
          <w:szCs w:val="24"/>
        </w:rPr>
      </w:pPr>
    </w:p>
    <w:p w14:paraId="5E3E66BB" w14:textId="39BC087A" w:rsidR="00180102" w:rsidRPr="00C85EF2" w:rsidRDefault="00180102" w:rsidP="00AD5070">
      <w:pPr>
        <w:pStyle w:val="Heading2"/>
        <w:numPr>
          <w:ilvl w:val="1"/>
          <w:numId w:val="18"/>
        </w:numPr>
        <w:ind w:left="426" w:hanging="426"/>
        <w:jc w:val="left"/>
        <w:rPr>
          <w:rFonts w:cs="Times New Roman"/>
          <w:color w:val="auto"/>
          <w:spacing w:val="0"/>
          <w:kern w:val="28"/>
          <w:szCs w:val="20"/>
        </w:rPr>
      </w:pPr>
      <w:r w:rsidRPr="00C85EF2">
        <w:rPr>
          <w:rFonts w:cs="Times New Roman"/>
          <w:color w:val="auto"/>
          <w:spacing w:val="0"/>
          <w:kern w:val="28"/>
          <w:szCs w:val="20"/>
        </w:rPr>
        <w:t>SPECIAL PRECAUTIONS FOR DISPOSAL</w:t>
      </w:r>
    </w:p>
    <w:p w14:paraId="118EBB54" w14:textId="2674039A" w:rsidR="000A00EC" w:rsidRPr="00C85EF2" w:rsidRDefault="00E546F7" w:rsidP="00AD5070">
      <w:pPr>
        <w:rPr>
          <w:color w:val="auto"/>
        </w:rPr>
      </w:pPr>
      <w:r w:rsidRPr="00C85EF2">
        <w:rPr>
          <w:color w:val="auto"/>
        </w:rPr>
        <w:t>In Australia, any unused medicine or waste material should be disposed of in accordance with local requirements.</w:t>
      </w:r>
    </w:p>
    <w:p w14:paraId="50949CC1" w14:textId="77777777" w:rsidR="005C4080" w:rsidRPr="00C85EF2" w:rsidRDefault="005C4080" w:rsidP="00AD5070">
      <w:pPr>
        <w:rPr>
          <w:color w:val="auto"/>
        </w:rPr>
      </w:pPr>
    </w:p>
    <w:p w14:paraId="20E7445F" w14:textId="713D80F7" w:rsidR="005C4080" w:rsidRPr="00C85EF2" w:rsidRDefault="005C4080" w:rsidP="00AD5070">
      <w:pPr>
        <w:pStyle w:val="Heading2"/>
        <w:numPr>
          <w:ilvl w:val="1"/>
          <w:numId w:val="18"/>
        </w:numPr>
        <w:ind w:left="426" w:hanging="426"/>
        <w:jc w:val="left"/>
        <w:rPr>
          <w:rFonts w:cs="Times New Roman"/>
          <w:color w:val="auto"/>
          <w:spacing w:val="0"/>
          <w:kern w:val="28"/>
          <w:szCs w:val="20"/>
        </w:rPr>
      </w:pPr>
      <w:r w:rsidRPr="00C85EF2">
        <w:rPr>
          <w:rFonts w:cs="Times New Roman"/>
          <w:color w:val="auto"/>
          <w:spacing w:val="0"/>
          <w:kern w:val="28"/>
          <w:szCs w:val="20"/>
        </w:rPr>
        <w:lastRenderedPageBreak/>
        <w:t>PHYSICOCHEMICAL PROPERTIES</w:t>
      </w:r>
    </w:p>
    <w:p w14:paraId="2659F593" w14:textId="211F5E7C" w:rsidR="00A164C0" w:rsidRPr="00C85EF2" w:rsidRDefault="00DB26D8" w:rsidP="00AD5070">
      <w:pPr>
        <w:rPr>
          <w:color w:val="auto"/>
        </w:rPr>
      </w:pPr>
      <w:bookmarkStart w:id="78" w:name="_Hlk181786576"/>
      <w:r w:rsidRPr="00C85EF2">
        <w:rPr>
          <w:color w:val="auto"/>
        </w:rPr>
        <w:t xml:space="preserve">Lazertinib mesilate monohydrate is an almost white to slightly yellow-brown powder. It is </w:t>
      </w:r>
      <w:r w:rsidR="00A164C0" w:rsidRPr="00C85EF2">
        <w:rPr>
          <w:color w:val="auto"/>
        </w:rPr>
        <w:t>soluble below pH 3.9</w:t>
      </w:r>
      <w:r w:rsidR="00E97341" w:rsidRPr="00C85EF2">
        <w:rPr>
          <w:color w:val="auto"/>
        </w:rPr>
        <w:t xml:space="preserve">, </w:t>
      </w:r>
      <w:r w:rsidR="00A164C0" w:rsidRPr="00C85EF2">
        <w:rPr>
          <w:color w:val="auto"/>
        </w:rPr>
        <w:t xml:space="preserve">practically insoluble at or above pH 3.9 in aqueous media, and slightly soluble to freely soluble in organic solvents. </w:t>
      </w:r>
      <w:r w:rsidRPr="00C85EF2">
        <w:rPr>
          <w:color w:val="auto"/>
        </w:rPr>
        <w:t xml:space="preserve">There are </w:t>
      </w:r>
      <w:r w:rsidR="00A164C0" w:rsidRPr="00C85EF2">
        <w:rPr>
          <w:color w:val="auto"/>
        </w:rPr>
        <w:t>two dissociation constants, a pKa</w:t>
      </w:r>
      <w:r w:rsidR="00A164C0" w:rsidRPr="00C85EF2">
        <w:rPr>
          <w:color w:val="auto"/>
          <w:vertAlign w:val="subscript"/>
        </w:rPr>
        <w:t>1</w:t>
      </w:r>
      <w:r w:rsidR="00A164C0" w:rsidRPr="00C85EF2">
        <w:rPr>
          <w:color w:val="auto"/>
        </w:rPr>
        <w:t xml:space="preserve"> of 2.5 (basic oxazine moiety) and a pKa</w:t>
      </w:r>
      <w:r w:rsidR="00A164C0" w:rsidRPr="00C85EF2">
        <w:rPr>
          <w:color w:val="auto"/>
          <w:vertAlign w:val="subscript"/>
        </w:rPr>
        <w:t>2</w:t>
      </w:r>
      <w:r w:rsidR="00A164C0" w:rsidRPr="00C85EF2">
        <w:rPr>
          <w:color w:val="auto"/>
        </w:rPr>
        <w:t xml:space="preserve"> of 8.2 (basic amine moiety).</w:t>
      </w:r>
    </w:p>
    <w:bookmarkEnd w:id="78"/>
    <w:p w14:paraId="0D4B25BF" w14:textId="7289AA5F" w:rsidR="005C4080" w:rsidRPr="00C85EF2" w:rsidRDefault="005C4080" w:rsidP="00AD5070">
      <w:pPr>
        <w:pStyle w:val="Heading3"/>
        <w:jc w:val="left"/>
        <w:rPr>
          <w:color w:val="auto"/>
        </w:rPr>
      </w:pPr>
      <w:r w:rsidRPr="00C85EF2">
        <w:rPr>
          <w:color w:val="auto"/>
        </w:rPr>
        <w:t>Chemical structure</w:t>
      </w:r>
    </w:p>
    <w:p w14:paraId="100667D5" w14:textId="7E2E7548" w:rsidR="005C4080" w:rsidRPr="00C85EF2" w:rsidRDefault="005C4080" w:rsidP="00AD5070">
      <w:pPr>
        <w:rPr>
          <w:color w:val="auto"/>
        </w:rPr>
      </w:pPr>
      <w:r w:rsidRPr="00C85EF2">
        <w:rPr>
          <w:noProof/>
          <w:color w:val="auto"/>
        </w:rPr>
        <w:drawing>
          <wp:inline distT="0" distB="0" distL="0" distR="0" wp14:anchorId="57564C55" wp14:editId="613481FB">
            <wp:extent cx="2660809" cy="186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71105" cy="1874124"/>
                    </a:xfrm>
                    <a:prstGeom prst="rect">
                      <a:avLst/>
                    </a:prstGeom>
                  </pic:spPr>
                </pic:pic>
              </a:graphicData>
            </a:graphic>
          </wp:inline>
        </w:drawing>
      </w:r>
    </w:p>
    <w:p w14:paraId="6501CBFB" w14:textId="207E2A76" w:rsidR="00B10B36" w:rsidRPr="00C85EF2" w:rsidRDefault="00B10B36" w:rsidP="00AD5070">
      <w:pPr>
        <w:rPr>
          <w:color w:val="auto"/>
        </w:rPr>
      </w:pPr>
      <w:bookmarkStart w:id="79" w:name="_Hlk181950407"/>
      <w:r w:rsidRPr="00C85EF2">
        <w:rPr>
          <w:color w:val="auto"/>
        </w:rPr>
        <w:t xml:space="preserve">Molecular formula: </w:t>
      </w:r>
      <w:bookmarkStart w:id="80" w:name="_Hlk181950490"/>
      <w:r w:rsidRPr="00C85EF2">
        <w:rPr>
          <w:color w:val="auto"/>
        </w:rPr>
        <w:t>C</w:t>
      </w:r>
      <w:r w:rsidRPr="00C85EF2">
        <w:rPr>
          <w:color w:val="auto"/>
          <w:vertAlign w:val="subscript"/>
        </w:rPr>
        <w:t>30</w:t>
      </w:r>
      <w:r w:rsidRPr="00C85EF2">
        <w:rPr>
          <w:color w:val="auto"/>
        </w:rPr>
        <w:t>H</w:t>
      </w:r>
      <w:r w:rsidRPr="00C85EF2">
        <w:rPr>
          <w:color w:val="auto"/>
          <w:vertAlign w:val="subscript"/>
        </w:rPr>
        <w:t>34</w:t>
      </w:r>
      <w:r w:rsidRPr="00C85EF2">
        <w:rPr>
          <w:color w:val="auto"/>
        </w:rPr>
        <w:t>N</w:t>
      </w:r>
      <w:r w:rsidRPr="00C85EF2">
        <w:rPr>
          <w:color w:val="auto"/>
          <w:vertAlign w:val="subscript"/>
        </w:rPr>
        <w:t>8</w:t>
      </w:r>
      <w:r w:rsidRPr="00C85EF2">
        <w:rPr>
          <w:color w:val="auto"/>
        </w:rPr>
        <w:t>O</w:t>
      </w:r>
      <w:r w:rsidRPr="00C85EF2">
        <w:rPr>
          <w:color w:val="auto"/>
          <w:vertAlign w:val="subscript"/>
        </w:rPr>
        <w:t>3</w:t>
      </w:r>
      <w:r w:rsidR="00741808" w:rsidRPr="00C85EF2">
        <w:rPr>
          <w:color w:val="auto"/>
        </w:rPr>
        <w:sym w:font="Symbol" w:char="F0B7"/>
      </w:r>
      <w:r w:rsidRPr="00C85EF2">
        <w:rPr>
          <w:color w:val="auto"/>
        </w:rPr>
        <w:t>CH</w:t>
      </w:r>
      <w:r w:rsidRPr="00C85EF2">
        <w:rPr>
          <w:color w:val="auto"/>
          <w:vertAlign w:val="subscript"/>
        </w:rPr>
        <w:t>4</w:t>
      </w:r>
      <w:r w:rsidRPr="00C85EF2">
        <w:rPr>
          <w:color w:val="auto"/>
        </w:rPr>
        <w:t>O</w:t>
      </w:r>
      <w:r w:rsidRPr="00C85EF2">
        <w:rPr>
          <w:color w:val="auto"/>
          <w:vertAlign w:val="subscript"/>
        </w:rPr>
        <w:t>3</w:t>
      </w:r>
      <w:r w:rsidRPr="00C85EF2">
        <w:rPr>
          <w:color w:val="auto"/>
        </w:rPr>
        <w:t>S</w:t>
      </w:r>
      <w:r w:rsidR="00741808" w:rsidRPr="00C85EF2">
        <w:rPr>
          <w:color w:val="auto"/>
        </w:rPr>
        <w:sym w:font="Symbol" w:char="F0B7"/>
      </w:r>
      <w:r w:rsidRPr="00C85EF2">
        <w:rPr>
          <w:color w:val="auto"/>
        </w:rPr>
        <w:t>H</w:t>
      </w:r>
      <w:r w:rsidRPr="00C85EF2">
        <w:rPr>
          <w:color w:val="auto"/>
          <w:vertAlign w:val="subscript"/>
        </w:rPr>
        <w:t>2</w:t>
      </w:r>
      <w:r w:rsidRPr="00C85EF2">
        <w:rPr>
          <w:color w:val="auto"/>
        </w:rPr>
        <w:t xml:space="preserve">O </w:t>
      </w:r>
      <w:bookmarkEnd w:id="80"/>
    </w:p>
    <w:p w14:paraId="441F2EC1" w14:textId="25A05B95" w:rsidR="005C4080" w:rsidRPr="00C85EF2" w:rsidRDefault="00B10B36" w:rsidP="00AD5070">
      <w:pPr>
        <w:rPr>
          <w:color w:val="auto"/>
        </w:rPr>
      </w:pPr>
      <w:r w:rsidRPr="00C85EF2">
        <w:rPr>
          <w:color w:val="auto"/>
        </w:rPr>
        <w:t>Molecular weight: 668.77 (lazertinib mesilate monohydrate salt) 554.66 (free base)</w:t>
      </w:r>
    </w:p>
    <w:bookmarkEnd w:id="79"/>
    <w:p w14:paraId="7C43CAB8" w14:textId="3CB1597A" w:rsidR="00E97341" w:rsidRPr="00C85EF2" w:rsidRDefault="00E97341" w:rsidP="00AD5070">
      <w:pPr>
        <w:rPr>
          <w:color w:val="auto"/>
        </w:rPr>
      </w:pPr>
    </w:p>
    <w:p w14:paraId="7F0D3CD2" w14:textId="09A40FEE" w:rsidR="005C4080" w:rsidRPr="00C85EF2" w:rsidRDefault="005C4080" w:rsidP="00AD5070">
      <w:pPr>
        <w:pStyle w:val="Heading3"/>
        <w:jc w:val="left"/>
        <w:rPr>
          <w:color w:val="auto"/>
        </w:rPr>
      </w:pPr>
      <w:r w:rsidRPr="00C85EF2">
        <w:rPr>
          <w:color w:val="auto"/>
        </w:rPr>
        <w:t>CAS number</w:t>
      </w:r>
    </w:p>
    <w:p w14:paraId="4C93E9A0" w14:textId="39093BCF" w:rsidR="00E8784A" w:rsidRPr="00C85EF2" w:rsidRDefault="00E72708" w:rsidP="00AD5070">
      <w:pPr>
        <w:rPr>
          <w:color w:val="auto"/>
        </w:rPr>
      </w:pPr>
      <w:r w:rsidRPr="00C85EF2">
        <w:rPr>
          <w:color w:val="auto"/>
        </w:rPr>
        <w:t>1903008-80-9 lazertinib</w:t>
      </w:r>
    </w:p>
    <w:p w14:paraId="3168AC67" w14:textId="5D737086" w:rsidR="004C3F62" w:rsidRPr="00C85EF2" w:rsidRDefault="005C4080" w:rsidP="00AD5070">
      <w:pPr>
        <w:rPr>
          <w:color w:val="auto"/>
        </w:rPr>
      </w:pPr>
      <w:r w:rsidRPr="00C85EF2">
        <w:rPr>
          <w:color w:val="auto"/>
        </w:rPr>
        <w:t>2411549-88-5</w:t>
      </w:r>
      <w:r w:rsidR="00E8784A" w:rsidRPr="00C85EF2">
        <w:rPr>
          <w:color w:val="auto"/>
        </w:rPr>
        <w:t xml:space="preserve"> lazertinib mesilate monohydrate</w:t>
      </w:r>
    </w:p>
    <w:p w14:paraId="6D5127DE" w14:textId="77777777" w:rsidR="00AF2C0D" w:rsidRPr="00C85EF2" w:rsidRDefault="00AF2C0D" w:rsidP="00AD5070">
      <w:pPr>
        <w:rPr>
          <w:color w:val="auto"/>
        </w:rPr>
      </w:pPr>
    </w:p>
    <w:p w14:paraId="51300E4C" w14:textId="2B67F391" w:rsidR="00170F03" w:rsidRPr="00C85EF2" w:rsidRDefault="00170F03" w:rsidP="00AD5070">
      <w:pPr>
        <w:pStyle w:val="Heading1"/>
        <w:jc w:val="left"/>
        <w:rPr>
          <w:color w:val="auto"/>
        </w:rPr>
      </w:pPr>
      <w:bookmarkStart w:id="81" w:name="_Instructions_for_Use"/>
      <w:bookmarkEnd w:id="81"/>
      <w:r w:rsidRPr="00C85EF2">
        <w:rPr>
          <w:color w:val="auto"/>
        </w:rPr>
        <w:t>MEDICINE SCHEDULE (POISON STANDARD)</w:t>
      </w:r>
    </w:p>
    <w:p w14:paraId="3BA151E0" w14:textId="7DA32AFB" w:rsidR="00766ED2" w:rsidRDefault="000125A8" w:rsidP="00AD5070">
      <w:pPr>
        <w:pStyle w:val="BodyText1"/>
        <w:jc w:val="left"/>
      </w:pPr>
      <w:r w:rsidRPr="00C85EF2">
        <w:t>S</w:t>
      </w:r>
      <w:r w:rsidR="00715510" w:rsidRPr="00C85EF2">
        <w:t>4</w:t>
      </w:r>
      <w:r w:rsidRPr="00C85EF2">
        <w:t xml:space="preserve"> </w:t>
      </w:r>
      <w:r w:rsidR="00715510" w:rsidRPr="00C85EF2">
        <w:t>Prescription Medicine</w:t>
      </w:r>
    </w:p>
    <w:p w14:paraId="149E823C" w14:textId="77777777" w:rsidR="00C85EF2" w:rsidRDefault="00C85EF2" w:rsidP="00AD5070">
      <w:pPr>
        <w:pStyle w:val="BodyText1"/>
        <w:jc w:val="left"/>
      </w:pPr>
    </w:p>
    <w:p w14:paraId="607E5926" w14:textId="77777777" w:rsidR="00C85EF2" w:rsidRPr="00C85EF2" w:rsidRDefault="00C85EF2" w:rsidP="00AD5070">
      <w:pPr>
        <w:pStyle w:val="BodyText1"/>
        <w:jc w:val="left"/>
      </w:pPr>
    </w:p>
    <w:p w14:paraId="36CED72A" w14:textId="7794A719" w:rsidR="00170F03" w:rsidRPr="00C85EF2" w:rsidRDefault="00170F03" w:rsidP="00AD5070">
      <w:pPr>
        <w:pStyle w:val="Heading1"/>
        <w:jc w:val="left"/>
        <w:rPr>
          <w:color w:val="auto"/>
        </w:rPr>
      </w:pPr>
      <w:r w:rsidRPr="00C85EF2">
        <w:rPr>
          <w:color w:val="auto"/>
        </w:rPr>
        <w:t>SPONSOR</w:t>
      </w:r>
    </w:p>
    <w:p w14:paraId="2540B0FE" w14:textId="77777777" w:rsidR="005C4080" w:rsidRPr="00C85EF2" w:rsidRDefault="00170F03" w:rsidP="00AD5070">
      <w:pPr>
        <w:pStyle w:val="BodyText1"/>
        <w:jc w:val="left"/>
      </w:pPr>
      <w:r w:rsidRPr="00C85EF2">
        <w:t>Janssen-Cilag Pty Ltd</w:t>
      </w:r>
      <w:r w:rsidR="004A1416" w:rsidRPr="00C85EF2">
        <w:br/>
      </w:r>
      <w:r w:rsidRPr="00C85EF2">
        <w:t xml:space="preserve">1-5 Khartoum Road </w:t>
      </w:r>
      <w:r w:rsidR="004A1416" w:rsidRPr="00C85EF2">
        <w:br/>
      </w:r>
      <w:r w:rsidRPr="00C85EF2">
        <w:t>Macquarie Park</w:t>
      </w:r>
      <w:r w:rsidR="005C4080" w:rsidRPr="00C85EF2">
        <w:t xml:space="preserve"> </w:t>
      </w:r>
      <w:r w:rsidRPr="00C85EF2">
        <w:t>NSW 2113</w:t>
      </w:r>
      <w:r w:rsidR="005C4080" w:rsidRPr="00C85EF2">
        <w:br/>
      </w:r>
      <w:r w:rsidRPr="00C85EF2">
        <w:t>AUSTRALIA</w:t>
      </w:r>
    </w:p>
    <w:p w14:paraId="05C52D97" w14:textId="04FAD16B" w:rsidR="00170F03" w:rsidRPr="00C85EF2" w:rsidRDefault="004A1416" w:rsidP="00AD5070">
      <w:pPr>
        <w:pStyle w:val="BodyText1"/>
        <w:jc w:val="left"/>
      </w:pPr>
      <w:r w:rsidRPr="00C85EF2">
        <w:br/>
      </w:r>
      <w:r w:rsidR="00170F03" w:rsidRPr="00C85EF2">
        <w:t>Telephone: 1800 226 334</w:t>
      </w:r>
    </w:p>
    <w:p w14:paraId="7D295093" w14:textId="5A2870B7" w:rsidR="00170F03" w:rsidRPr="00C85EF2" w:rsidRDefault="00170F03" w:rsidP="00AD5070">
      <w:pPr>
        <w:pStyle w:val="Heading1"/>
        <w:jc w:val="left"/>
        <w:rPr>
          <w:color w:val="auto"/>
        </w:rPr>
      </w:pPr>
      <w:r w:rsidRPr="00C85EF2">
        <w:rPr>
          <w:color w:val="auto"/>
        </w:rPr>
        <w:t>DATE OF FIRST APPROVAL</w:t>
      </w:r>
    </w:p>
    <w:p w14:paraId="4BD16312" w14:textId="61F72EFE" w:rsidR="00F416BC" w:rsidRPr="00C85EF2" w:rsidRDefault="005C4080" w:rsidP="00AD5070">
      <w:pPr>
        <w:rPr>
          <w:color w:val="auto"/>
        </w:rPr>
      </w:pPr>
      <w:r w:rsidRPr="00C85EF2">
        <w:rPr>
          <w:color w:val="auto"/>
        </w:rPr>
        <w:t>TBC</w:t>
      </w:r>
    </w:p>
    <w:p w14:paraId="026500D0" w14:textId="77777777" w:rsidR="004576A6" w:rsidRPr="00C85EF2" w:rsidRDefault="004576A6" w:rsidP="00AD5070">
      <w:pPr>
        <w:pStyle w:val="Heading1"/>
        <w:jc w:val="left"/>
        <w:rPr>
          <w:color w:val="auto"/>
        </w:rPr>
      </w:pPr>
      <w:r w:rsidRPr="00C85EF2">
        <w:rPr>
          <w:color w:val="auto"/>
        </w:rPr>
        <w:t>DATE OF REVISION</w:t>
      </w:r>
    </w:p>
    <w:p w14:paraId="455FB4DD" w14:textId="34425C13" w:rsidR="00F416BC" w:rsidRPr="00C85EF2" w:rsidRDefault="005E486D" w:rsidP="00AD5070">
      <w:pPr>
        <w:rPr>
          <w:color w:val="auto"/>
        </w:rPr>
      </w:pPr>
      <w:r w:rsidRPr="00C85EF2">
        <w:rPr>
          <w:color w:val="auto"/>
        </w:rPr>
        <w:t>TBC</w:t>
      </w:r>
    </w:p>
    <w:sectPr w:rsidR="00F416BC" w:rsidRPr="00C85EF2" w:rsidSect="00660973">
      <w:headerReference w:type="default" r:id="rId19"/>
      <w:footerReference w:type="first" r:id="rId20"/>
      <w:endnotePr>
        <w:numFmt w:val="decimal"/>
      </w:endnotePr>
      <w:type w:val="continuous"/>
      <w:pgSz w:w="11907" w:h="16840" w:code="9"/>
      <w:pgMar w:top="1200" w:right="1134" w:bottom="600" w:left="1418" w:header="720" w:footer="5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FC36" w14:textId="77777777" w:rsidR="005F7147" w:rsidRDefault="005F7147"/>
    <w:p w14:paraId="5A7B81F3" w14:textId="77777777" w:rsidR="005F7147" w:rsidRDefault="005F7147"/>
  </w:endnote>
  <w:endnote w:type="continuationSeparator" w:id="0">
    <w:p w14:paraId="4835402D" w14:textId="77777777" w:rsidR="005F7147" w:rsidRDefault="005F7147">
      <w:r>
        <w:t xml:space="preserve"> </w:t>
      </w:r>
    </w:p>
    <w:p w14:paraId="3DEBE30D" w14:textId="77777777" w:rsidR="005F7147" w:rsidRDefault="005F7147"/>
  </w:endnote>
  <w:endnote w:type="continuationNotice" w:id="1">
    <w:p w14:paraId="444EB4B5" w14:textId="77777777" w:rsidR="005F7147" w:rsidRDefault="005F7147">
      <w:r>
        <w:t xml:space="preserve"> </w:t>
      </w:r>
    </w:p>
    <w:p w14:paraId="1A7761F1" w14:textId="77777777" w:rsidR="005F7147" w:rsidRDefault="005F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Times New Roman Bold">
    <w:panose1 w:val="00000000000000000000"/>
    <w:charset w:val="00"/>
    <w:family w:val="roman"/>
    <w:notTrueType/>
    <w:pitch w:val="default"/>
    <w:sig w:usb0="00000003" w:usb1="00000000" w:usb2="00000000" w:usb3="00000000" w:csb0="0061004D" w:csb1="006C0072"/>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ntonSans-Black">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617D" w14:textId="26A60375" w:rsidR="00836AB5" w:rsidRDefault="00E11E5E" w:rsidP="00E7367E">
    <w:pPr>
      <w:pBdr>
        <w:top w:val="single" w:sz="4" w:space="1" w:color="auto"/>
      </w:pBdr>
      <w:tabs>
        <w:tab w:val="right" w:pos="4820"/>
        <w:tab w:val="right" w:pos="9639"/>
      </w:tabs>
      <w:rPr>
        <w:sz w:val="16"/>
        <w:szCs w:val="16"/>
      </w:rPr>
    </w:pPr>
    <w:r>
      <w:rPr>
        <w:sz w:val="16"/>
        <w:szCs w:val="16"/>
      </w:rPr>
      <w:t>1</w:t>
    </w:r>
    <w:r w:rsidR="00FB2118">
      <w:rPr>
        <w:sz w:val="16"/>
        <w:szCs w:val="16"/>
      </w:rPr>
      <w:t>.</w:t>
    </w:r>
    <w:r w:rsidR="003827B7">
      <w:rPr>
        <w:sz w:val="16"/>
        <w:szCs w:val="16"/>
      </w:rPr>
      <w:t>23</w:t>
    </w:r>
    <w:r w:rsidR="00F1787A">
      <w:rPr>
        <w:sz w:val="16"/>
        <w:szCs w:val="16"/>
      </w:rPr>
      <w:t>1</w:t>
    </w:r>
    <w:r>
      <w:rPr>
        <w:sz w:val="16"/>
        <w:szCs w:val="16"/>
      </w:rPr>
      <w:t>211</w:t>
    </w:r>
    <w:r w:rsidR="00836AB5">
      <w:rPr>
        <w:sz w:val="16"/>
        <w:szCs w:val="16"/>
      </w:rPr>
      <w:tab/>
      <w:t xml:space="preserve">Page </w:t>
    </w:r>
    <w:r w:rsidR="00836AB5">
      <w:rPr>
        <w:sz w:val="16"/>
        <w:szCs w:val="16"/>
      </w:rPr>
      <w:fldChar w:fldCharType="begin"/>
    </w:r>
    <w:r w:rsidR="00836AB5">
      <w:rPr>
        <w:sz w:val="16"/>
        <w:szCs w:val="16"/>
      </w:rPr>
      <w:instrText xml:space="preserve"> PAGE </w:instrText>
    </w:r>
    <w:r w:rsidR="00836AB5">
      <w:rPr>
        <w:sz w:val="16"/>
        <w:szCs w:val="16"/>
      </w:rPr>
      <w:fldChar w:fldCharType="separate"/>
    </w:r>
    <w:r w:rsidR="00836AB5">
      <w:rPr>
        <w:noProof/>
        <w:sz w:val="16"/>
        <w:szCs w:val="16"/>
      </w:rPr>
      <w:t>1</w:t>
    </w:r>
    <w:r w:rsidR="00836AB5">
      <w:rPr>
        <w:sz w:val="16"/>
        <w:szCs w:val="16"/>
      </w:rPr>
      <w:fldChar w:fldCharType="end"/>
    </w:r>
    <w:r w:rsidR="00836AB5">
      <w:rPr>
        <w:sz w:val="16"/>
        <w:szCs w:val="16"/>
      </w:rPr>
      <w:t xml:space="preserve"> of </w:t>
    </w:r>
    <w:r w:rsidR="00836AB5">
      <w:rPr>
        <w:sz w:val="16"/>
        <w:szCs w:val="16"/>
      </w:rPr>
      <w:fldChar w:fldCharType="begin"/>
    </w:r>
    <w:r w:rsidR="00836AB5">
      <w:rPr>
        <w:sz w:val="16"/>
        <w:szCs w:val="16"/>
      </w:rPr>
      <w:instrText xml:space="preserve"> NUMPAGES </w:instrText>
    </w:r>
    <w:r w:rsidR="00836AB5">
      <w:rPr>
        <w:sz w:val="16"/>
        <w:szCs w:val="16"/>
      </w:rPr>
      <w:fldChar w:fldCharType="separate"/>
    </w:r>
    <w:r w:rsidR="00836AB5">
      <w:rPr>
        <w:noProof/>
        <w:sz w:val="16"/>
        <w:szCs w:val="16"/>
      </w:rPr>
      <w:t>34</w:t>
    </w:r>
    <w:r w:rsidR="00836AB5">
      <w:rPr>
        <w:sz w:val="16"/>
        <w:szCs w:val="16"/>
      </w:rPr>
      <w:fldChar w:fldCharType="end"/>
    </w:r>
    <w:r w:rsidR="00836AB5">
      <w:rPr>
        <w:sz w:val="16"/>
        <w:szCs w:val="16"/>
      </w:rPr>
      <w:tab/>
    </w:r>
    <w:r>
      <w:rPr>
        <w:sz w:val="16"/>
        <w:szCs w:val="16"/>
      </w:rPr>
      <w:t>LAZCLUZE</w:t>
    </w:r>
    <w:r w:rsidR="00836AB5">
      <w:rPr>
        <w:sz w:val="16"/>
        <w:szCs w:val="16"/>
      </w:rPr>
      <w:t xml:space="preserve"> </w:t>
    </w:r>
    <w:r w:rsidR="00836AB5" w:rsidRPr="002C7E36">
      <w:rPr>
        <w:sz w:val="16"/>
        <w:szCs w:val="16"/>
      </w:rPr>
      <w:t>(</w:t>
    </w:r>
    <w:r w:rsidR="00FD70C4">
      <w:rPr>
        <w:sz w:val="16"/>
        <w:szCs w:val="16"/>
      </w:rPr>
      <w:t>2</w:t>
    </w:r>
    <w:r w:rsidR="007374CB">
      <w:rPr>
        <w:sz w:val="16"/>
        <w:szCs w:val="16"/>
      </w:rPr>
      <w:t>50</w:t>
    </w:r>
    <w:r w:rsidR="009920BC">
      <w:rPr>
        <w:sz w:val="16"/>
        <w:szCs w:val="16"/>
      </w:rPr>
      <w:t>3</w:t>
    </w:r>
    <w:r w:rsidR="00C6210B">
      <w:rPr>
        <w:sz w:val="16"/>
        <w:szCs w:val="16"/>
      </w:rPr>
      <w:t>26</w:t>
    </w:r>
    <w:r w:rsidR="00836AB5">
      <w:rPr>
        <w:sz w:val="16"/>
        <w:szCs w:val="16"/>
      </w:rPr>
      <w:t xml:space="preserve">) </w:t>
    </w:r>
    <w:r w:rsidR="003827B7">
      <w:rPr>
        <w:sz w:val="16"/>
        <w:szCs w:val="16"/>
      </w:rPr>
      <w:t>D</w:t>
    </w:r>
    <w:r w:rsidR="00B00EE1">
      <w:rPr>
        <w:sz w:val="16"/>
        <w:szCs w:val="16"/>
      </w:rPr>
      <w:t>PI</w:t>
    </w:r>
    <w:r w:rsidR="003827B7">
      <w:rPr>
        <w:sz w:val="16"/>
        <w:szCs w:val="16"/>
      </w:rPr>
      <w:t>v</w:t>
    </w:r>
    <w:r w:rsidR="00FD70C4">
      <w:rPr>
        <w:sz w:val="16"/>
        <w:szCs w:val="16"/>
      </w:rPr>
      <w:t>0.</w:t>
    </w:r>
    <w:r w:rsidR="00C6210B">
      <w:rPr>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6F80" w14:textId="77777777" w:rsidR="00836AB5" w:rsidRDefault="00836AB5"/>
  <w:p w14:paraId="35C0774A" w14:textId="77777777" w:rsidR="00836AB5" w:rsidRDefault="00836AB5">
    <w:r>
      <w:tab/>
    </w:r>
    <w:r>
      <w:fldChar w:fldCharType="begin"/>
    </w:r>
    <w:r>
      <w:instrText xml:space="preserve"> PAGE </w:instrText>
    </w:r>
    <w:r>
      <w:fldChar w:fldCharType="separate"/>
    </w:r>
    <w:r>
      <w:rPr>
        <w:noProof/>
      </w:rPr>
      <w:t>1</w:t>
    </w:r>
    <w:r>
      <w:rPr>
        <w:noProof/>
      </w:rPr>
      <w:fldChar w:fldCharType="end"/>
    </w:r>
    <w:r>
      <w:tab/>
      <w:t>INVEGA draft PI</w:t>
    </w:r>
  </w:p>
  <w:p w14:paraId="33AD1A0A" w14:textId="77777777" w:rsidR="00836AB5" w:rsidRDefault="0083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78DD" w14:textId="77777777" w:rsidR="00836AB5" w:rsidRDefault="0083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41F2" w14:textId="77777777" w:rsidR="005F7147" w:rsidRDefault="005F7147">
      <w:r>
        <w:separator/>
      </w:r>
    </w:p>
    <w:p w14:paraId="271A8C99" w14:textId="77777777" w:rsidR="005F7147" w:rsidRDefault="005F7147"/>
  </w:footnote>
  <w:footnote w:type="continuationSeparator" w:id="0">
    <w:p w14:paraId="0741DEC4" w14:textId="77777777" w:rsidR="005F7147" w:rsidRDefault="005F7147">
      <w:r>
        <w:continuationSeparator/>
      </w:r>
    </w:p>
    <w:p w14:paraId="050BAC78" w14:textId="77777777" w:rsidR="005F7147" w:rsidRDefault="005F7147"/>
  </w:footnote>
  <w:footnote w:type="continuationNotice" w:id="1">
    <w:p w14:paraId="6C5D974F" w14:textId="77777777" w:rsidR="005F7147" w:rsidRDefault="005F7147"/>
    <w:p w14:paraId="5D82B5F2" w14:textId="77777777" w:rsidR="005F7147" w:rsidRDefault="005F7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180"/>
    </w:tblGrid>
    <w:tr w:rsidR="00AD5070" w:rsidRPr="000B2145" w14:paraId="1C2FD9CD" w14:textId="77777777" w:rsidTr="00AD5070">
      <w:trPr>
        <w:trHeight w:val="841"/>
      </w:trPr>
      <w:tc>
        <w:tcPr>
          <w:tcW w:w="9180" w:type="dxa"/>
          <w:shd w:val="clear" w:color="auto" w:fill="E4F2E0"/>
        </w:tcPr>
        <w:p w14:paraId="5E2DC01C" w14:textId="77777777" w:rsidR="00AD5070" w:rsidRPr="00AD5070" w:rsidRDefault="00AD5070" w:rsidP="00AD5070">
          <w:pPr>
            <w:pStyle w:val="Footer"/>
            <w:rPr>
              <w:sz w:val="18"/>
              <w:szCs w:val="18"/>
            </w:rPr>
          </w:pPr>
          <w:bookmarkStart w:id="1" w:name="_Hlk109054010"/>
          <w:r w:rsidRPr="00AD5070">
            <w:rPr>
              <w:sz w:val="16"/>
              <w:szCs w:val="16"/>
            </w:rPr>
            <w:t xml:space="preserve">AusPAR - LAZCLUZE - </w:t>
          </w:r>
          <w:proofErr w:type="spellStart"/>
          <w:r w:rsidRPr="00AD5070">
            <w:rPr>
              <w:sz w:val="16"/>
              <w:szCs w:val="16"/>
            </w:rPr>
            <w:t>lazertinib</w:t>
          </w:r>
          <w:proofErr w:type="spellEnd"/>
          <w:r w:rsidRPr="00AD5070">
            <w:rPr>
              <w:sz w:val="16"/>
              <w:szCs w:val="16"/>
            </w:rPr>
            <w:t xml:space="preserve"> - PM-2024-01143-1-4 - Janssen-Cilag Pty Ltd - Type A Date of Finalisation: 22 September 2025. This is the Product Information that was approved with the submission described in this AusPAR. It may have been superseded. For the most recent PI, please refer to the TGA website at &lt; </w:t>
          </w:r>
          <w:hyperlink r:id="rId1" w:history="1">
            <w:r w:rsidRPr="00AD5070">
              <w:rPr>
                <w:rStyle w:val="Hyperlink"/>
                <w:sz w:val="16"/>
                <w:szCs w:val="16"/>
              </w:rPr>
              <w:t>https://www.tga.gov.au/products/australian-register-therapeutic-goods-artg/product-information-pi</w:t>
            </w:r>
          </w:hyperlink>
          <w:r w:rsidRPr="00AD5070">
            <w:rPr>
              <w:sz w:val="18"/>
              <w:szCs w:val="18"/>
              <w:u w:val="single"/>
            </w:rPr>
            <w:t>&gt;</w:t>
          </w:r>
        </w:p>
      </w:tc>
    </w:tr>
    <w:bookmarkEnd w:id="1"/>
  </w:tbl>
  <w:p w14:paraId="316046F5" w14:textId="0ED57CC3" w:rsidR="00836AB5" w:rsidRPr="00AD5070" w:rsidRDefault="00836AB5" w:rsidP="00AD5070">
    <w:pPr>
      <w:pStyle w:val="Header"/>
      <w:tabs>
        <w:tab w:val="clear" w:pos="4153"/>
        <w:tab w:val="left" w:pos="7125"/>
      </w:tabs>
      <w:rPr>
        <w:sz w:val="16"/>
        <w:szCs w:val="16"/>
      </w:rPr>
    </w:pPr>
  </w:p>
  <w:p w14:paraId="2F40A8A1" w14:textId="0C768F28" w:rsidR="00836AB5" w:rsidRPr="00456726" w:rsidRDefault="00836AB5" w:rsidP="00AD5070">
    <w:pPr>
      <w:pStyle w:val="Header"/>
      <w:spacing w:after="120"/>
      <w:rPr>
        <w:sz w:val="20"/>
      </w:rPr>
    </w:pPr>
    <w:r w:rsidRPr="00456726">
      <w:rPr>
        <w:rFonts w:cstheme="minorBidi"/>
        <w:noProof/>
        <w:sz w:val="20"/>
      </w:rPr>
      <mc:AlternateContent>
        <mc:Choice Requires="wps">
          <w:drawing>
            <wp:inline distT="0" distB="0" distL="0" distR="0" wp14:anchorId="0D07D909" wp14:editId="71D714F9">
              <wp:extent cx="252095" cy="252095"/>
              <wp:effectExtent l="0" t="0" r="0" b="0"/>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20AD3" w14:textId="77777777" w:rsidR="00836AB5" w:rsidRDefault="00836AB5" w:rsidP="00456726">
                          <w:pPr>
                            <w:rPr>
                              <w:rFonts w:ascii="Wingdings 3" w:hAnsi="Wingdings 3"/>
                              <w:sz w:val="24"/>
                            </w:rPr>
                          </w:pPr>
                          <w:r>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0D07D909" id="_x0000_t202" coordsize="21600,21600" o:spt="202" path="m,l,21600r21600,l21600,xe">
              <v:stroke joinstyle="miter"/>
              <v:path gradientshapeok="t" o:connecttype="rect"/>
            </v:shapetype>
            <v:shape id="Text Box 88"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2B20AD3" w14:textId="77777777" w:rsidR="00836AB5" w:rsidRDefault="00836AB5" w:rsidP="00456726">
                    <w:pPr>
                      <w:rPr>
                        <w:rFonts w:ascii="Wingdings 3" w:hAnsi="Wingdings 3"/>
                        <w:sz w:val="24"/>
                      </w:rPr>
                    </w:pPr>
                    <w:r>
                      <w:rPr>
                        <w:rFonts w:ascii="SimSun" w:eastAsia="SimSun" w:hAnsi="SimSun" w:hint="eastAsia"/>
                        <w:sz w:val="40"/>
                      </w:rPr>
                      <w:t>▼</w:t>
                    </w:r>
                  </w:p>
                </w:txbxContent>
              </v:textbox>
              <w10:anchorlock/>
            </v:shape>
          </w:pict>
        </mc:Fallback>
      </mc:AlternateContent>
    </w:r>
    <w:r w:rsidRPr="00AD5070">
      <w:rPr>
        <w:sz w:val="16"/>
        <w:szCs w:val="16"/>
      </w:rPr>
      <w:t xml:space="preserve">This </w:t>
    </w:r>
    <w:r w:rsidR="0045454F" w:rsidRPr="00AD5070">
      <w:rPr>
        <w:sz w:val="16"/>
        <w:szCs w:val="16"/>
      </w:rPr>
      <w:t>medicine</w:t>
    </w:r>
    <w:r w:rsidRPr="00AD5070">
      <w:rPr>
        <w:sz w:val="16"/>
        <w:szCs w:val="16"/>
      </w:rPr>
      <w:t xml:space="preserve"> is subject to additional monitoring in Australia. This will allow quick identification of new safety information. Healthcare professionals are asked to report any suspected adverse events at www.tga.gov.au/reporting-problems.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180"/>
    </w:tblGrid>
    <w:tr w:rsidR="00AD5070" w:rsidRPr="000B2145" w14:paraId="1C0D8E64" w14:textId="77777777" w:rsidTr="00AD5070">
      <w:trPr>
        <w:trHeight w:val="848"/>
      </w:trPr>
      <w:tc>
        <w:tcPr>
          <w:tcW w:w="9180" w:type="dxa"/>
          <w:shd w:val="clear" w:color="auto" w:fill="E4F2E0"/>
        </w:tcPr>
        <w:p w14:paraId="2CCEFEB1" w14:textId="77777777" w:rsidR="00AD5070" w:rsidRPr="00AD5070" w:rsidRDefault="00AD5070" w:rsidP="00AD5070">
          <w:pPr>
            <w:pStyle w:val="Footer"/>
            <w:rPr>
              <w:sz w:val="16"/>
              <w:szCs w:val="16"/>
            </w:rPr>
          </w:pPr>
          <w:r w:rsidRPr="00AD5070">
            <w:rPr>
              <w:sz w:val="16"/>
              <w:szCs w:val="16"/>
            </w:rPr>
            <w:t xml:space="preserve">AusPAR - LAZCLUZE - </w:t>
          </w:r>
          <w:proofErr w:type="spellStart"/>
          <w:r w:rsidRPr="00AD5070">
            <w:rPr>
              <w:sz w:val="16"/>
              <w:szCs w:val="16"/>
            </w:rPr>
            <w:t>lazertinib</w:t>
          </w:r>
          <w:proofErr w:type="spellEnd"/>
          <w:r w:rsidRPr="00AD5070">
            <w:rPr>
              <w:sz w:val="16"/>
              <w:szCs w:val="16"/>
            </w:rPr>
            <w:t xml:space="preserve"> - PM-2024-01143-1-4 - Janssen-Cilag Pty Ltd - Type A Date of Finalisation: 22 September 2025. This is the Product Information that was approved with the submission described in this AusPAR. It may have been superseded. For the most recent PI, please refer to the TGA website at &lt; </w:t>
          </w:r>
          <w:hyperlink r:id="rId1" w:history="1">
            <w:r w:rsidRPr="00AD5070">
              <w:rPr>
                <w:rStyle w:val="Hyperlink"/>
                <w:sz w:val="16"/>
                <w:szCs w:val="16"/>
              </w:rPr>
              <w:t>https://www.tga.gov.au/products/australian-register-therapeutic-goods-artg/product-information-pi</w:t>
            </w:r>
          </w:hyperlink>
          <w:r w:rsidRPr="00AD5070">
            <w:rPr>
              <w:sz w:val="16"/>
              <w:szCs w:val="16"/>
              <w:u w:val="single"/>
            </w:rPr>
            <w:t>&gt;</w:t>
          </w:r>
        </w:p>
      </w:tc>
    </w:tr>
  </w:tbl>
  <w:p w14:paraId="4DD8AE5C" w14:textId="77777777" w:rsidR="00836AB5" w:rsidRPr="00AD5070" w:rsidRDefault="00836AB5">
    <w:pPr>
      <w:pStyle w:val="Header"/>
      <w:rPr>
        <w:sz w:val="16"/>
        <w:szCs w:val="16"/>
      </w:rPr>
    </w:pPr>
  </w:p>
  <w:p w14:paraId="0CA5E4A7" w14:textId="77777777" w:rsidR="00836AB5" w:rsidRPr="00AD5070" w:rsidRDefault="00836AB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AA73C4"/>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AB5453EA"/>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2"/>
      <w:lvlJc w:val="left"/>
      <w:pPr>
        <w:ind w:left="0" w:firstLine="0"/>
      </w:pPr>
    </w:lvl>
    <w:lvl w:ilvl="3">
      <w:start w:val="1"/>
      <w:numFmt w:val="none"/>
      <w:suff w:val="nothing"/>
      <w:lvlText w:val="%2"/>
      <w:lvlJc w:val="left"/>
      <w:pPr>
        <w:ind w:left="0" w:firstLine="0"/>
      </w:pPr>
    </w:lvl>
    <w:lvl w:ilvl="4">
      <w:start w:val="1"/>
      <w:numFmt w:val="none"/>
      <w:pStyle w:val="Heading5"/>
      <w:lvlText w:val="%2"/>
      <w:lvlJc w:val="left"/>
      <w:pPr>
        <w:tabs>
          <w:tab w:val="num" w:pos="2246"/>
        </w:tabs>
        <w:ind w:left="2246" w:hanging="1411"/>
      </w:pPr>
    </w:lvl>
    <w:lvl w:ilvl="5">
      <w:start w:val="1"/>
      <w:numFmt w:val="none"/>
      <w:pStyle w:val="Heading6"/>
      <w:lvlText w:val="%2"/>
      <w:lvlJc w:val="left"/>
      <w:pPr>
        <w:tabs>
          <w:tab w:val="num" w:pos="2246"/>
        </w:tabs>
        <w:ind w:left="2246" w:hanging="1411"/>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lvlText w:val="%2"/>
      <w:lvlJc w:val="left"/>
      <w:pPr>
        <w:tabs>
          <w:tab w:val="num" w:pos="2246"/>
        </w:tabs>
        <w:ind w:left="2246" w:hanging="1411"/>
      </w:pPr>
    </w:lvl>
  </w:abstractNum>
  <w:abstractNum w:abstractNumId="2" w15:restartNumberingAfterBreak="0">
    <w:nsid w:val="001D13EC"/>
    <w:multiLevelType w:val="singleLevel"/>
    <w:tmpl w:val="174650A8"/>
    <w:lvl w:ilvl="0">
      <w:start w:val="1"/>
      <w:numFmt w:val="bullet"/>
      <w:pStyle w:val="BulletIndent3"/>
      <w:lvlText w:val=""/>
      <w:lvlJc w:val="left"/>
      <w:pPr>
        <w:tabs>
          <w:tab w:val="num" w:pos="936"/>
        </w:tabs>
        <w:ind w:left="288" w:firstLine="288"/>
      </w:pPr>
      <w:rPr>
        <w:rFonts w:ascii="Symbol" w:hAnsi="Symbol" w:hint="default"/>
      </w:rPr>
    </w:lvl>
  </w:abstractNum>
  <w:abstractNum w:abstractNumId="3" w15:restartNumberingAfterBreak="0">
    <w:nsid w:val="00BA2067"/>
    <w:multiLevelType w:val="hybridMultilevel"/>
    <w:tmpl w:val="A8A0A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84B01"/>
    <w:multiLevelType w:val="hybridMultilevel"/>
    <w:tmpl w:val="6EF6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276F0"/>
    <w:multiLevelType w:val="singleLevel"/>
    <w:tmpl w:val="3BAE124A"/>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6" w15:restartNumberingAfterBreak="0">
    <w:nsid w:val="0DA646FE"/>
    <w:multiLevelType w:val="hybridMultilevel"/>
    <w:tmpl w:val="CBD8C9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6652C"/>
    <w:multiLevelType w:val="hybridMultilevel"/>
    <w:tmpl w:val="280E0C10"/>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8" w15:restartNumberingAfterBreak="0">
    <w:nsid w:val="0F167268"/>
    <w:multiLevelType w:val="singleLevel"/>
    <w:tmpl w:val="B246C912"/>
    <w:lvl w:ilvl="0">
      <w:start w:val="1"/>
      <w:numFmt w:val="decimal"/>
      <w:pStyle w:val="Narrative3"/>
      <w:lvlText w:val="%1."/>
      <w:legacy w:legacy="1" w:legacySpace="0" w:legacyIndent="360"/>
      <w:lvlJc w:val="left"/>
      <w:pPr>
        <w:ind w:left="1210" w:hanging="360"/>
      </w:pPr>
    </w:lvl>
  </w:abstractNum>
  <w:abstractNum w:abstractNumId="9" w15:restartNumberingAfterBreak="0">
    <w:nsid w:val="134911EB"/>
    <w:multiLevelType w:val="hybridMultilevel"/>
    <w:tmpl w:val="A9188FD8"/>
    <w:lvl w:ilvl="0" w:tplc="68366C78">
      <w:numFmt w:val="bullet"/>
      <w:lvlText w:val="•"/>
      <w:lvlJc w:val="left"/>
      <w:pPr>
        <w:ind w:left="564" w:hanging="564"/>
      </w:pPr>
      <w:rPr>
        <w:rFonts w:ascii="Arial" w:eastAsia="Times New Roman" w:hAnsi="Arial" w:cs="Aria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5F5684"/>
    <w:multiLevelType w:val="hybridMultilevel"/>
    <w:tmpl w:val="9D1CC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9A7AFD"/>
    <w:multiLevelType w:val="hybridMultilevel"/>
    <w:tmpl w:val="1CE006D6"/>
    <w:lvl w:ilvl="0" w:tplc="E6FE2F8A">
      <w:start w:val="1"/>
      <w:numFmt w:val="decimal"/>
      <w:pStyle w:val="Heading2"/>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FB7B82"/>
    <w:multiLevelType w:val="multilevel"/>
    <w:tmpl w:val="B638242A"/>
    <w:lvl w:ilvl="0">
      <w:start w:val="1"/>
      <w:numFmt w:val="upperLetter"/>
      <w:pStyle w:val="Narrative1"/>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230D56F1"/>
    <w:multiLevelType w:val="hybridMultilevel"/>
    <w:tmpl w:val="06809694"/>
    <w:lvl w:ilvl="0" w:tplc="0409000F">
      <w:start w:val="1"/>
      <w:numFmt w:val="decimal"/>
      <w:lvlText w:val="%1."/>
      <w:lvlJc w:val="left"/>
      <w:pPr>
        <w:tabs>
          <w:tab w:val="num" w:pos="360"/>
        </w:tabs>
        <w:ind w:left="360" w:hanging="360"/>
      </w:pPr>
      <w:rPr>
        <w:rFonts w:hint="default"/>
      </w:rPr>
    </w:lvl>
    <w:lvl w:ilvl="1" w:tplc="04090019" w:tentative="1">
      <w:start w:val="1"/>
      <w:numFmt w:val="lowerLetter"/>
      <w:pStyle w:val="Narrative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5684C6D"/>
    <w:multiLevelType w:val="hybridMultilevel"/>
    <w:tmpl w:val="A552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C949A1"/>
    <w:multiLevelType w:val="hybridMultilevel"/>
    <w:tmpl w:val="E38040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12133"/>
    <w:multiLevelType w:val="hybridMultilevel"/>
    <w:tmpl w:val="086EAE32"/>
    <w:lvl w:ilvl="0" w:tplc="A8F0B08E">
      <w:start w:val="1"/>
      <w:numFmt w:val="bullet"/>
      <w:pStyle w:val="GuideDash"/>
      <w:lvlText w:val=""/>
      <w:lvlJc w:val="left"/>
      <w:pPr>
        <w:tabs>
          <w:tab w:val="num" w:pos="1786"/>
        </w:tabs>
        <w:ind w:left="171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F0EA1"/>
    <w:multiLevelType w:val="hybridMultilevel"/>
    <w:tmpl w:val="EC2CF0E6"/>
    <w:lvl w:ilvl="0" w:tplc="64E4D92E">
      <w:start w:val="1"/>
      <w:numFmt w:val="bullet"/>
      <w:lvlText w:val=""/>
      <w:lvlJc w:val="left"/>
      <w:pPr>
        <w:tabs>
          <w:tab w:val="num" w:pos="720"/>
        </w:tabs>
        <w:ind w:left="720" w:hanging="360"/>
      </w:pPr>
      <w:rPr>
        <w:rFonts w:ascii="Symbol" w:hAnsi="Symbol" w:hint="default"/>
      </w:rPr>
    </w:lvl>
    <w:lvl w:ilvl="1" w:tplc="54FA6810" w:tentative="1">
      <w:start w:val="1"/>
      <w:numFmt w:val="bullet"/>
      <w:lvlText w:val=""/>
      <w:lvlJc w:val="left"/>
      <w:pPr>
        <w:tabs>
          <w:tab w:val="num" w:pos="1440"/>
        </w:tabs>
        <w:ind w:left="1440" w:hanging="360"/>
      </w:pPr>
      <w:rPr>
        <w:rFonts w:ascii="Symbol" w:hAnsi="Symbol" w:hint="default"/>
      </w:rPr>
    </w:lvl>
    <w:lvl w:ilvl="2" w:tplc="B71E8976" w:tentative="1">
      <w:start w:val="1"/>
      <w:numFmt w:val="bullet"/>
      <w:lvlText w:val=""/>
      <w:lvlJc w:val="left"/>
      <w:pPr>
        <w:tabs>
          <w:tab w:val="num" w:pos="2160"/>
        </w:tabs>
        <w:ind w:left="2160" w:hanging="360"/>
      </w:pPr>
      <w:rPr>
        <w:rFonts w:ascii="Symbol" w:hAnsi="Symbol" w:hint="default"/>
      </w:rPr>
    </w:lvl>
    <w:lvl w:ilvl="3" w:tplc="ED1CCC74" w:tentative="1">
      <w:start w:val="1"/>
      <w:numFmt w:val="bullet"/>
      <w:lvlText w:val=""/>
      <w:lvlJc w:val="left"/>
      <w:pPr>
        <w:tabs>
          <w:tab w:val="num" w:pos="2880"/>
        </w:tabs>
        <w:ind w:left="2880" w:hanging="360"/>
      </w:pPr>
      <w:rPr>
        <w:rFonts w:ascii="Symbol" w:hAnsi="Symbol" w:hint="default"/>
      </w:rPr>
    </w:lvl>
    <w:lvl w:ilvl="4" w:tplc="2E70E3AE" w:tentative="1">
      <w:start w:val="1"/>
      <w:numFmt w:val="bullet"/>
      <w:lvlText w:val=""/>
      <w:lvlJc w:val="left"/>
      <w:pPr>
        <w:tabs>
          <w:tab w:val="num" w:pos="3600"/>
        </w:tabs>
        <w:ind w:left="3600" w:hanging="360"/>
      </w:pPr>
      <w:rPr>
        <w:rFonts w:ascii="Symbol" w:hAnsi="Symbol" w:hint="default"/>
      </w:rPr>
    </w:lvl>
    <w:lvl w:ilvl="5" w:tplc="47BA41EC" w:tentative="1">
      <w:start w:val="1"/>
      <w:numFmt w:val="bullet"/>
      <w:lvlText w:val=""/>
      <w:lvlJc w:val="left"/>
      <w:pPr>
        <w:tabs>
          <w:tab w:val="num" w:pos="4320"/>
        </w:tabs>
        <w:ind w:left="4320" w:hanging="360"/>
      </w:pPr>
      <w:rPr>
        <w:rFonts w:ascii="Symbol" w:hAnsi="Symbol" w:hint="default"/>
      </w:rPr>
    </w:lvl>
    <w:lvl w:ilvl="6" w:tplc="7D70D704" w:tentative="1">
      <w:start w:val="1"/>
      <w:numFmt w:val="bullet"/>
      <w:lvlText w:val=""/>
      <w:lvlJc w:val="left"/>
      <w:pPr>
        <w:tabs>
          <w:tab w:val="num" w:pos="5040"/>
        </w:tabs>
        <w:ind w:left="5040" w:hanging="360"/>
      </w:pPr>
      <w:rPr>
        <w:rFonts w:ascii="Symbol" w:hAnsi="Symbol" w:hint="default"/>
      </w:rPr>
    </w:lvl>
    <w:lvl w:ilvl="7" w:tplc="3F10DC3A" w:tentative="1">
      <w:start w:val="1"/>
      <w:numFmt w:val="bullet"/>
      <w:lvlText w:val=""/>
      <w:lvlJc w:val="left"/>
      <w:pPr>
        <w:tabs>
          <w:tab w:val="num" w:pos="5760"/>
        </w:tabs>
        <w:ind w:left="5760" w:hanging="360"/>
      </w:pPr>
      <w:rPr>
        <w:rFonts w:ascii="Symbol" w:hAnsi="Symbol" w:hint="default"/>
      </w:rPr>
    </w:lvl>
    <w:lvl w:ilvl="8" w:tplc="49EC4AF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7872C2F"/>
    <w:multiLevelType w:val="hybridMultilevel"/>
    <w:tmpl w:val="9D1CC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6132FB"/>
    <w:multiLevelType w:val="hybridMultilevel"/>
    <w:tmpl w:val="199AA300"/>
    <w:lvl w:ilvl="0" w:tplc="563240EE">
      <w:start w:val="1"/>
      <w:numFmt w:val="decimal"/>
      <w:pStyle w:val="Numbered12-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20" w15:restartNumberingAfterBreak="0">
    <w:nsid w:val="2AAD7513"/>
    <w:multiLevelType w:val="hybridMultilevel"/>
    <w:tmpl w:val="4AEA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374D84"/>
    <w:multiLevelType w:val="multilevel"/>
    <w:tmpl w:val="8F8ED286"/>
    <w:lvl w:ilvl="0">
      <w:start w:val="1"/>
      <w:numFmt w:val="decimal"/>
      <w:pStyle w:val="Heading1"/>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FE4B2A"/>
    <w:multiLevelType w:val="hybridMultilevel"/>
    <w:tmpl w:val="0D68D196"/>
    <w:lvl w:ilvl="0" w:tplc="E3F24EE2">
      <w:start w:val="1"/>
      <w:numFmt w:val="bullet"/>
      <w:pStyle w:val="Guide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A69DF"/>
    <w:multiLevelType w:val="hybridMultilevel"/>
    <w:tmpl w:val="A684B3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5D6661F"/>
    <w:multiLevelType w:val="hybridMultilevel"/>
    <w:tmpl w:val="1C8CA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106289"/>
    <w:multiLevelType w:val="hybridMultilevel"/>
    <w:tmpl w:val="AA305F66"/>
    <w:lvl w:ilvl="0" w:tplc="3FEEF272">
      <w:start w:val="1"/>
      <w:numFmt w:val="bullet"/>
      <w:pStyle w:val="Bullet12-4"/>
      <w:lvlText w:val=""/>
      <w:lvlJc w:val="left"/>
      <w:pPr>
        <w:tabs>
          <w:tab w:val="num" w:pos="1728"/>
        </w:tabs>
        <w:ind w:left="1728" w:hanging="432"/>
      </w:pPr>
      <w:rPr>
        <w:rFonts w:ascii="Symbol" w:hAnsi="Symbol" w:hint="default"/>
      </w:rPr>
    </w:lvl>
    <w:lvl w:ilvl="1" w:tplc="87B84278" w:tentative="1">
      <w:start w:val="1"/>
      <w:numFmt w:val="bullet"/>
      <w:lvlText w:val="o"/>
      <w:lvlJc w:val="left"/>
      <w:pPr>
        <w:ind w:left="2736" w:hanging="360"/>
      </w:pPr>
      <w:rPr>
        <w:rFonts w:ascii="Courier New" w:hAnsi="Courier New" w:cs="Courier New" w:hint="default"/>
      </w:rPr>
    </w:lvl>
    <w:lvl w:ilvl="2" w:tplc="61B6F222" w:tentative="1">
      <w:start w:val="1"/>
      <w:numFmt w:val="bullet"/>
      <w:lvlText w:val=""/>
      <w:lvlJc w:val="left"/>
      <w:pPr>
        <w:ind w:left="3456" w:hanging="360"/>
      </w:pPr>
      <w:rPr>
        <w:rFonts w:ascii="Wingdings" w:hAnsi="Wingdings" w:hint="default"/>
      </w:rPr>
    </w:lvl>
    <w:lvl w:ilvl="3" w:tplc="A5D68794" w:tentative="1">
      <w:start w:val="1"/>
      <w:numFmt w:val="bullet"/>
      <w:lvlText w:val=""/>
      <w:lvlJc w:val="left"/>
      <w:pPr>
        <w:ind w:left="4176" w:hanging="360"/>
      </w:pPr>
      <w:rPr>
        <w:rFonts w:ascii="Symbol" w:hAnsi="Symbol" w:hint="default"/>
      </w:rPr>
    </w:lvl>
    <w:lvl w:ilvl="4" w:tplc="9988A51E" w:tentative="1">
      <w:start w:val="1"/>
      <w:numFmt w:val="bullet"/>
      <w:lvlText w:val="o"/>
      <w:lvlJc w:val="left"/>
      <w:pPr>
        <w:ind w:left="4896" w:hanging="360"/>
      </w:pPr>
      <w:rPr>
        <w:rFonts w:ascii="Courier New" w:hAnsi="Courier New" w:cs="Courier New" w:hint="default"/>
      </w:rPr>
    </w:lvl>
    <w:lvl w:ilvl="5" w:tplc="0EA8A69C" w:tentative="1">
      <w:start w:val="1"/>
      <w:numFmt w:val="bullet"/>
      <w:lvlText w:val=""/>
      <w:lvlJc w:val="left"/>
      <w:pPr>
        <w:ind w:left="5616" w:hanging="360"/>
      </w:pPr>
      <w:rPr>
        <w:rFonts w:ascii="Wingdings" w:hAnsi="Wingdings" w:hint="default"/>
      </w:rPr>
    </w:lvl>
    <w:lvl w:ilvl="6" w:tplc="33E8BFD2" w:tentative="1">
      <w:start w:val="1"/>
      <w:numFmt w:val="bullet"/>
      <w:lvlText w:val=""/>
      <w:lvlJc w:val="left"/>
      <w:pPr>
        <w:ind w:left="6336" w:hanging="360"/>
      </w:pPr>
      <w:rPr>
        <w:rFonts w:ascii="Symbol" w:hAnsi="Symbol" w:hint="default"/>
      </w:rPr>
    </w:lvl>
    <w:lvl w:ilvl="7" w:tplc="6F7EBE98" w:tentative="1">
      <w:start w:val="1"/>
      <w:numFmt w:val="bullet"/>
      <w:lvlText w:val="o"/>
      <w:lvlJc w:val="left"/>
      <w:pPr>
        <w:ind w:left="7056" w:hanging="360"/>
      </w:pPr>
      <w:rPr>
        <w:rFonts w:ascii="Courier New" w:hAnsi="Courier New" w:cs="Courier New" w:hint="default"/>
      </w:rPr>
    </w:lvl>
    <w:lvl w:ilvl="8" w:tplc="75B29F26" w:tentative="1">
      <w:start w:val="1"/>
      <w:numFmt w:val="bullet"/>
      <w:lvlText w:val=""/>
      <w:lvlJc w:val="left"/>
      <w:pPr>
        <w:ind w:left="7776" w:hanging="360"/>
      </w:pPr>
      <w:rPr>
        <w:rFonts w:ascii="Wingdings" w:hAnsi="Wingdings" w:hint="default"/>
      </w:rPr>
    </w:lvl>
  </w:abstractNum>
  <w:abstractNum w:abstractNumId="26" w15:restartNumberingAfterBreak="0">
    <w:nsid w:val="50F50B55"/>
    <w:multiLevelType w:val="hybridMultilevel"/>
    <w:tmpl w:val="DAF0C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714268"/>
    <w:multiLevelType w:val="multilevel"/>
    <w:tmpl w:val="3680401E"/>
    <w:lvl w:ilvl="0">
      <w:start w:val="1"/>
      <w:numFmt w:val="decimal"/>
      <w:pStyle w:val="Numbered12-1"/>
      <w:lvlText w:val="%1."/>
      <w:lvlJc w:val="left"/>
      <w:pPr>
        <w:tabs>
          <w:tab w:val="num" w:pos="792"/>
        </w:tabs>
        <w:ind w:left="792" w:hanging="432"/>
      </w:pPr>
      <w:rPr>
        <w:rFonts w:ascii="Times New Roman" w:hAnsi="Times New Roman" w:hint="default"/>
        <w:sz w:val="24"/>
      </w:rPr>
    </w:lvl>
    <w:lvl w:ilvl="1">
      <w:start w:val="6"/>
      <w:numFmt w:val="decimal"/>
      <w:isLgl/>
      <w:lvlText w:val="%1.%2."/>
      <w:lvlJc w:val="left"/>
      <w:pPr>
        <w:ind w:left="1395" w:hanging="1035"/>
      </w:pPr>
      <w:rPr>
        <w:rFonts w:hint="default"/>
      </w:rPr>
    </w:lvl>
    <w:lvl w:ilvl="2">
      <w:start w:val="1"/>
      <w:numFmt w:val="decimal"/>
      <w:isLgl/>
      <w:lvlText w:val="%1.%2.%3."/>
      <w:lvlJc w:val="left"/>
      <w:pPr>
        <w:ind w:left="1035" w:hanging="1035"/>
      </w:pPr>
      <w:rPr>
        <w:rFonts w:hint="default"/>
      </w:rPr>
    </w:lvl>
    <w:lvl w:ilvl="3">
      <w:start w:val="1"/>
      <w:numFmt w:val="decimal"/>
      <w:isLgl/>
      <w:lvlText w:val="%1.%2.%3.%4."/>
      <w:lvlJc w:val="left"/>
      <w:pPr>
        <w:ind w:left="1395" w:hanging="10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932457"/>
    <w:multiLevelType w:val="hybridMultilevel"/>
    <w:tmpl w:val="4B4CF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30" w15:restartNumberingAfterBreak="0">
    <w:nsid w:val="57896D46"/>
    <w:multiLevelType w:val="hybridMultilevel"/>
    <w:tmpl w:val="C66EE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FA4B3B"/>
    <w:multiLevelType w:val="hybridMultilevel"/>
    <w:tmpl w:val="9DCAF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EF3BE9"/>
    <w:multiLevelType w:val="singleLevel"/>
    <w:tmpl w:val="13A03A90"/>
    <w:lvl w:ilvl="0">
      <w:start w:val="1"/>
      <w:numFmt w:val="bullet"/>
      <w:pStyle w:val="BulletIndent2-"/>
      <w:lvlText w:val=""/>
      <w:lvlJc w:val="left"/>
      <w:pPr>
        <w:tabs>
          <w:tab w:val="num" w:pos="648"/>
        </w:tabs>
        <w:ind w:left="288" w:firstLine="0"/>
      </w:pPr>
      <w:rPr>
        <w:rFonts w:ascii="Symbol" w:hAnsi="Symbol" w:hint="default"/>
      </w:rPr>
    </w:lvl>
  </w:abstractNum>
  <w:abstractNum w:abstractNumId="33" w15:restartNumberingAfterBreak="0">
    <w:nsid w:val="5E022CB1"/>
    <w:multiLevelType w:val="singleLevel"/>
    <w:tmpl w:val="B4106BE6"/>
    <w:lvl w:ilvl="0">
      <w:start w:val="1"/>
      <w:numFmt w:val="bullet"/>
      <w:pStyle w:val="BulletIndent6"/>
      <w:lvlText w:val=""/>
      <w:lvlJc w:val="left"/>
      <w:pPr>
        <w:tabs>
          <w:tab w:val="num" w:pos="922"/>
        </w:tabs>
        <w:ind w:left="288" w:firstLine="274"/>
      </w:pPr>
      <w:rPr>
        <w:rFonts w:ascii="Symbol" w:hAnsi="Symbol" w:hint="default"/>
      </w:rPr>
    </w:lvl>
  </w:abstractNum>
  <w:abstractNum w:abstractNumId="34" w15:restartNumberingAfterBreak="0">
    <w:nsid w:val="5E872A07"/>
    <w:multiLevelType w:val="hybridMultilevel"/>
    <w:tmpl w:val="BE94C8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F2A1ABE"/>
    <w:multiLevelType w:val="singleLevel"/>
    <w:tmpl w:val="8E1A0C36"/>
    <w:lvl w:ilvl="0">
      <w:start w:val="1"/>
      <w:numFmt w:val="bullet"/>
      <w:pStyle w:val="BulletIndent4"/>
      <w:lvlText w:val=""/>
      <w:lvlJc w:val="left"/>
      <w:pPr>
        <w:tabs>
          <w:tab w:val="num" w:pos="360"/>
        </w:tabs>
        <w:ind w:left="360" w:hanging="360"/>
      </w:pPr>
      <w:rPr>
        <w:rFonts w:ascii="Symbol" w:hAnsi="Symbol" w:hint="default"/>
      </w:rPr>
    </w:lvl>
  </w:abstractNum>
  <w:abstractNum w:abstractNumId="36" w15:restartNumberingAfterBreak="0">
    <w:nsid w:val="60BE2FF2"/>
    <w:multiLevelType w:val="hybridMultilevel"/>
    <w:tmpl w:val="E3ACF658"/>
    <w:lvl w:ilvl="0" w:tplc="897C0318">
      <w:start w:val="1"/>
      <w:numFmt w:val="bullet"/>
      <w:pStyle w:val="Bullet11-3"/>
      <w:lvlText w:val="o"/>
      <w:lvlJc w:val="left"/>
      <w:pPr>
        <w:tabs>
          <w:tab w:val="num" w:pos="1296"/>
        </w:tabs>
        <w:ind w:left="1296" w:hanging="432"/>
      </w:pPr>
      <w:rPr>
        <w:rFonts w:ascii="Courier New" w:hAnsi="Courier New" w:hint="default"/>
      </w:rPr>
    </w:lvl>
    <w:lvl w:ilvl="1" w:tplc="FBBE5EAA" w:tentative="1">
      <w:start w:val="1"/>
      <w:numFmt w:val="bullet"/>
      <w:lvlText w:val="o"/>
      <w:lvlJc w:val="left"/>
      <w:pPr>
        <w:ind w:left="2304" w:hanging="360"/>
      </w:pPr>
      <w:rPr>
        <w:rFonts w:ascii="Courier New" w:hAnsi="Courier New" w:cs="Courier New" w:hint="default"/>
      </w:rPr>
    </w:lvl>
    <w:lvl w:ilvl="2" w:tplc="156AD0CC" w:tentative="1">
      <w:start w:val="1"/>
      <w:numFmt w:val="bullet"/>
      <w:lvlText w:val=""/>
      <w:lvlJc w:val="left"/>
      <w:pPr>
        <w:ind w:left="3024" w:hanging="360"/>
      </w:pPr>
      <w:rPr>
        <w:rFonts w:ascii="Wingdings" w:hAnsi="Wingdings" w:hint="default"/>
      </w:rPr>
    </w:lvl>
    <w:lvl w:ilvl="3" w:tplc="9AE6D7EC" w:tentative="1">
      <w:start w:val="1"/>
      <w:numFmt w:val="bullet"/>
      <w:lvlText w:val=""/>
      <w:lvlJc w:val="left"/>
      <w:pPr>
        <w:ind w:left="3744" w:hanging="360"/>
      </w:pPr>
      <w:rPr>
        <w:rFonts w:ascii="Symbol" w:hAnsi="Symbol" w:hint="default"/>
      </w:rPr>
    </w:lvl>
    <w:lvl w:ilvl="4" w:tplc="352A1694" w:tentative="1">
      <w:start w:val="1"/>
      <w:numFmt w:val="bullet"/>
      <w:lvlText w:val="o"/>
      <w:lvlJc w:val="left"/>
      <w:pPr>
        <w:ind w:left="4464" w:hanging="360"/>
      </w:pPr>
      <w:rPr>
        <w:rFonts w:ascii="Courier New" w:hAnsi="Courier New" w:cs="Courier New" w:hint="default"/>
      </w:rPr>
    </w:lvl>
    <w:lvl w:ilvl="5" w:tplc="719A92D4" w:tentative="1">
      <w:start w:val="1"/>
      <w:numFmt w:val="bullet"/>
      <w:lvlText w:val=""/>
      <w:lvlJc w:val="left"/>
      <w:pPr>
        <w:ind w:left="5184" w:hanging="360"/>
      </w:pPr>
      <w:rPr>
        <w:rFonts w:ascii="Wingdings" w:hAnsi="Wingdings" w:hint="default"/>
      </w:rPr>
    </w:lvl>
    <w:lvl w:ilvl="6" w:tplc="774C32EC" w:tentative="1">
      <w:start w:val="1"/>
      <w:numFmt w:val="bullet"/>
      <w:lvlText w:val=""/>
      <w:lvlJc w:val="left"/>
      <w:pPr>
        <w:ind w:left="5904" w:hanging="360"/>
      </w:pPr>
      <w:rPr>
        <w:rFonts w:ascii="Symbol" w:hAnsi="Symbol" w:hint="default"/>
      </w:rPr>
    </w:lvl>
    <w:lvl w:ilvl="7" w:tplc="19A8C65C" w:tentative="1">
      <w:start w:val="1"/>
      <w:numFmt w:val="bullet"/>
      <w:lvlText w:val="o"/>
      <w:lvlJc w:val="left"/>
      <w:pPr>
        <w:ind w:left="6624" w:hanging="360"/>
      </w:pPr>
      <w:rPr>
        <w:rFonts w:ascii="Courier New" w:hAnsi="Courier New" w:cs="Courier New" w:hint="default"/>
      </w:rPr>
    </w:lvl>
    <w:lvl w:ilvl="8" w:tplc="424EF890" w:tentative="1">
      <w:start w:val="1"/>
      <w:numFmt w:val="bullet"/>
      <w:lvlText w:val=""/>
      <w:lvlJc w:val="left"/>
      <w:pPr>
        <w:ind w:left="7344" w:hanging="360"/>
      </w:pPr>
      <w:rPr>
        <w:rFonts w:ascii="Wingdings" w:hAnsi="Wingdings" w:hint="default"/>
      </w:rPr>
    </w:lvl>
  </w:abstractNum>
  <w:abstractNum w:abstractNumId="37" w15:restartNumberingAfterBreak="0">
    <w:nsid w:val="659F4F06"/>
    <w:multiLevelType w:val="hybridMultilevel"/>
    <w:tmpl w:val="B574B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AC038F"/>
    <w:multiLevelType w:val="multilevel"/>
    <w:tmpl w:val="77D494AA"/>
    <w:name w:val="PISecondSet4"/>
    <w:lvl w:ilvl="0">
      <w:start w:val="1083"/>
      <w:numFmt w:val="bullet"/>
      <w:pStyle w:val="PIAddlBulletFirstIndent"/>
      <w:lvlText w:val=""/>
      <w:lvlJc w:val="left"/>
      <w:pPr>
        <w:ind w:left="720" w:hanging="360"/>
      </w:pPr>
      <w:rPr>
        <w:rFonts w:ascii="Symbol" w:hAnsi="Symbol" w:hint="default"/>
      </w:rPr>
    </w:lvl>
    <w:lvl w:ilvl="1">
      <w:start w:val="1"/>
      <w:numFmt w:val="bullet"/>
      <w:pStyle w:val="PIAddlBulletSecondIndent"/>
      <w:lvlText w:val="–"/>
      <w:lvlJc w:val="left"/>
      <w:pPr>
        <w:ind w:left="1440" w:hanging="72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24365C"/>
    <w:multiLevelType w:val="singleLevel"/>
    <w:tmpl w:val="E6B2D550"/>
    <w:lvl w:ilvl="0">
      <w:start w:val="1"/>
      <w:numFmt w:val="bullet"/>
      <w:pStyle w:val="ReferenceBullet"/>
      <w:lvlText w:val=""/>
      <w:lvlJc w:val="left"/>
      <w:pPr>
        <w:tabs>
          <w:tab w:val="num" w:pos="1224"/>
        </w:tabs>
        <w:ind w:left="1224" w:hanging="389"/>
      </w:pPr>
      <w:rPr>
        <w:rFonts w:ascii="Symbol" w:hAnsi="Symbol" w:hint="default"/>
      </w:rPr>
    </w:lvl>
  </w:abstractNum>
  <w:abstractNum w:abstractNumId="40" w15:restartNumberingAfterBreak="0">
    <w:nsid w:val="6D425079"/>
    <w:multiLevelType w:val="hybridMultilevel"/>
    <w:tmpl w:val="F5BCC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894C68"/>
    <w:multiLevelType w:val="singleLevel"/>
    <w:tmpl w:val="AE823A22"/>
    <w:lvl w:ilvl="0">
      <w:start w:val="1"/>
      <w:numFmt w:val="bullet"/>
      <w:pStyle w:val="BulletIndent5-"/>
      <w:lvlText w:val=""/>
      <w:lvlJc w:val="left"/>
      <w:pPr>
        <w:tabs>
          <w:tab w:val="num" w:pos="1570"/>
        </w:tabs>
        <w:ind w:left="360" w:firstLine="850"/>
      </w:pPr>
      <w:rPr>
        <w:rFonts w:ascii="Symbol" w:hAnsi="Symbol" w:hint="default"/>
      </w:rPr>
    </w:lvl>
  </w:abstractNum>
  <w:abstractNum w:abstractNumId="42" w15:restartNumberingAfterBreak="0">
    <w:nsid w:val="7550522A"/>
    <w:multiLevelType w:val="hybridMultilevel"/>
    <w:tmpl w:val="C212D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0673F"/>
    <w:multiLevelType w:val="hybridMultilevel"/>
    <w:tmpl w:val="3A06497E"/>
    <w:lvl w:ilvl="0" w:tplc="FE6ACD9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4D5BAF"/>
    <w:multiLevelType w:val="hybridMultilevel"/>
    <w:tmpl w:val="0838B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24FC3"/>
    <w:multiLevelType w:val="hybridMultilevel"/>
    <w:tmpl w:val="8354D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21592310">
    <w:abstractNumId w:val="1"/>
  </w:num>
  <w:num w:numId="2" w16cid:durableId="1279412276">
    <w:abstractNumId w:val="5"/>
  </w:num>
  <w:num w:numId="3" w16cid:durableId="1607615030">
    <w:abstractNumId w:val="33"/>
  </w:num>
  <w:num w:numId="4" w16cid:durableId="461776603">
    <w:abstractNumId w:val="35"/>
  </w:num>
  <w:num w:numId="5" w16cid:durableId="1270160462">
    <w:abstractNumId w:val="32"/>
  </w:num>
  <w:num w:numId="6" w16cid:durableId="338629426">
    <w:abstractNumId w:val="2"/>
  </w:num>
  <w:num w:numId="7" w16cid:durableId="582446483">
    <w:abstractNumId w:val="41"/>
  </w:num>
  <w:num w:numId="8" w16cid:durableId="998079539">
    <w:abstractNumId w:val="12"/>
  </w:num>
  <w:num w:numId="9" w16cid:durableId="1607620743">
    <w:abstractNumId w:val="13"/>
  </w:num>
  <w:num w:numId="10" w16cid:durableId="1637838307">
    <w:abstractNumId w:val="8"/>
  </w:num>
  <w:num w:numId="11" w16cid:durableId="153689934">
    <w:abstractNumId w:val="29"/>
  </w:num>
  <w:num w:numId="12" w16cid:durableId="363671584">
    <w:abstractNumId w:val="39"/>
  </w:num>
  <w:num w:numId="13" w16cid:durableId="756750519">
    <w:abstractNumId w:val="27"/>
  </w:num>
  <w:num w:numId="14" w16cid:durableId="73672927">
    <w:abstractNumId w:val="25"/>
  </w:num>
  <w:num w:numId="15" w16cid:durableId="959343243">
    <w:abstractNumId w:val="36"/>
  </w:num>
  <w:num w:numId="16" w16cid:durableId="1943757367">
    <w:abstractNumId w:val="38"/>
  </w:num>
  <w:num w:numId="17" w16cid:durableId="2073917894">
    <w:abstractNumId w:val="16"/>
  </w:num>
  <w:num w:numId="18" w16cid:durableId="416438050">
    <w:abstractNumId w:val="21"/>
  </w:num>
  <w:num w:numId="19" w16cid:durableId="1005791695">
    <w:abstractNumId w:val="11"/>
  </w:num>
  <w:num w:numId="20" w16cid:durableId="885723975">
    <w:abstractNumId w:val="45"/>
  </w:num>
  <w:num w:numId="21" w16cid:durableId="2053461995">
    <w:abstractNumId w:val="17"/>
  </w:num>
  <w:num w:numId="22" w16cid:durableId="1389915039">
    <w:abstractNumId w:val="37"/>
  </w:num>
  <w:num w:numId="23" w16cid:durableId="1828280390">
    <w:abstractNumId w:val="9"/>
  </w:num>
  <w:num w:numId="24" w16cid:durableId="1499492211">
    <w:abstractNumId w:val="43"/>
  </w:num>
  <w:num w:numId="25" w16cid:durableId="386536172">
    <w:abstractNumId w:val="34"/>
  </w:num>
  <w:num w:numId="26" w16cid:durableId="1041593799">
    <w:abstractNumId w:val="30"/>
  </w:num>
  <w:num w:numId="27" w16cid:durableId="49768171">
    <w:abstractNumId w:val="15"/>
  </w:num>
  <w:num w:numId="28" w16cid:durableId="863398806">
    <w:abstractNumId w:val="18"/>
  </w:num>
  <w:num w:numId="29" w16cid:durableId="212351231">
    <w:abstractNumId w:val="6"/>
  </w:num>
  <w:num w:numId="30" w16cid:durableId="379742756">
    <w:abstractNumId w:val="10"/>
  </w:num>
  <w:num w:numId="31" w16cid:durableId="1111625230">
    <w:abstractNumId w:val="0"/>
  </w:num>
  <w:num w:numId="32" w16cid:durableId="325478669">
    <w:abstractNumId w:val="14"/>
  </w:num>
  <w:num w:numId="33" w16cid:durableId="239602864">
    <w:abstractNumId w:val="40"/>
  </w:num>
  <w:num w:numId="34" w16cid:durableId="111754104">
    <w:abstractNumId w:val="28"/>
  </w:num>
  <w:num w:numId="35" w16cid:durableId="207378233">
    <w:abstractNumId w:val="44"/>
  </w:num>
  <w:num w:numId="36" w16cid:durableId="1889218749">
    <w:abstractNumId w:val="3"/>
  </w:num>
  <w:num w:numId="37" w16cid:durableId="1101877074">
    <w:abstractNumId w:val="7"/>
  </w:num>
  <w:num w:numId="38" w16cid:durableId="1724983275">
    <w:abstractNumId w:val="20"/>
  </w:num>
  <w:num w:numId="39" w16cid:durableId="18746864">
    <w:abstractNumId w:val="42"/>
  </w:num>
  <w:num w:numId="40" w16cid:durableId="548148535">
    <w:abstractNumId w:val="4"/>
  </w:num>
  <w:num w:numId="41" w16cid:durableId="124008699">
    <w:abstractNumId w:val="19"/>
  </w:num>
  <w:num w:numId="42" w16cid:durableId="126551172">
    <w:abstractNumId w:val="22"/>
  </w:num>
  <w:num w:numId="43" w16cid:durableId="856698226">
    <w:abstractNumId w:val="23"/>
  </w:num>
  <w:num w:numId="44" w16cid:durableId="866061746">
    <w:abstractNumId w:val="1"/>
  </w:num>
  <w:num w:numId="45" w16cid:durableId="1702436160">
    <w:abstractNumId w:val="26"/>
  </w:num>
  <w:num w:numId="46" w16cid:durableId="148446608">
    <w:abstractNumId w:val="31"/>
  </w:num>
  <w:num w:numId="47" w16cid:durableId="96628088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doNotTrackFormatting/>
  <w:defaultTabStop w:val="720"/>
  <w:hyphenationZone w:val="919"/>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E5"/>
    <w:rsid w:val="000016BD"/>
    <w:rsid w:val="00002F5F"/>
    <w:rsid w:val="000032AE"/>
    <w:rsid w:val="000034EC"/>
    <w:rsid w:val="00003968"/>
    <w:rsid w:val="00003CAC"/>
    <w:rsid w:val="00003FDB"/>
    <w:rsid w:val="000048B6"/>
    <w:rsid w:val="000049B7"/>
    <w:rsid w:val="000075B5"/>
    <w:rsid w:val="000076C5"/>
    <w:rsid w:val="00010316"/>
    <w:rsid w:val="00010825"/>
    <w:rsid w:val="00011FFE"/>
    <w:rsid w:val="00012459"/>
    <w:rsid w:val="000125A8"/>
    <w:rsid w:val="00012C53"/>
    <w:rsid w:val="0001328E"/>
    <w:rsid w:val="00013793"/>
    <w:rsid w:val="00013880"/>
    <w:rsid w:val="000142C9"/>
    <w:rsid w:val="000143B3"/>
    <w:rsid w:val="00014981"/>
    <w:rsid w:val="000155AB"/>
    <w:rsid w:val="00015E3C"/>
    <w:rsid w:val="000170F2"/>
    <w:rsid w:val="0001740D"/>
    <w:rsid w:val="00020BDC"/>
    <w:rsid w:val="000212F4"/>
    <w:rsid w:val="0002407B"/>
    <w:rsid w:val="00025724"/>
    <w:rsid w:val="00026816"/>
    <w:rsid w:val="00026C51"/>
    <w:rsid w:val="000276F8"/>
    <w:rsid w:val="00030241"/>
    <w:rsid w:val="000330C8"/>
    <w:rsid w:val="00034901"/>
    <w:rsid w:val="000353CB"/>
    <w:rsid w:val="000359CC"/>
    <w:rsid w:val="00035A37"/>
    <w:rsid w:val="00036327"/>
    <w:rsid w:val="0003740B"/>
    <w:rsid w:val="0004007F"/>
    <w:rsid w:val="000402A2"/>
    <w:rsid w:val="00040D76"/>
    <w:rsid w:val="000413C2"/>
    <w:rsid w:val="00043D8F"/>
    <w:rsid w:val="00044616"/>
    <w:rsid w:val="00044949"/>
    <w:rsid w:val="00044979"/>
    <w:rsid w:val="00044F89"/>
    <w:rsid w:val="00045481"/>
    <w:rsid w:val="000460F0"/>
    <w:rsid w:val="0004621F"/>
    <w:rsid w:val="00050AF3"/>
    <w:rsid w:val="00051E6F"/>
    <w:rsid w:val="000537D1"/>
    <w:rsid w:val="00053D02"/>
    <w:rsid w:val="00054C5F"/>
    <w:rsid w:val="00054EAF"/>
    <w:rsid w:val="00054FE2"/>
    <w:rsid w:val="000550E2"/>
    <w:rsid w:val="000603B8"/>
    <w:rsid w:val="000606EF"/>
    <w:rsid w:val="00060AFB"/>
    <w:rsid w:val="00060DC1"/>
    <w:rsid w:val="000618A3"/>
    <w:rsid w:val="00061E02"/>
    <w:rsid w:val="00062075"/>
    <w:rsid w:val="0006232E"/>
    <w:rsid w:val="00062818"/>
    <w:rsid w:val="00062CAC"/>
    <w:rsid w:val="00064EB1"/>
    <w:rsid w:val="000651BD"/>
    <w:rsid w:val="000651EA"/>
    <w:rsid w:val="00067431"/>
    <w:rsid w:val="00070ACE"/>
    <w:rsid w:val="00070C86"/>
    <w:rsid w:val="000716DF"/>
    <w:rsid w:val="000722A2"/>
    <w:rsid w:val="000723BD"/>
    <w:rsid w:val="00073281"/>
    <w:rsid w:val="000737E7"/>
    <w:rsid w:val="00073D60"/>
    <w:rsid w:val="00075680"/>
    <w:rsid w:val="00075D34"/>
    <w:rsid w:val="00076A2B"/>
    <w:rsid w:val="0007754D"/>
    <w:rsid w:val="00077DBD"/>
    <w:rsid w:val="00080B15"/>
    <w:rsid w:val="00080D4D"/>
    <w:rsid w:val="00081A2D"/>
    <w:rsid w:val="00082C2C"/>
    <w:rsid w:val="0008307B"/>
    <w:rsid w:val="00084054"/>
    <w:rsid w:val="00085FC7"/>
    <w:rsid w:val="00087932"/>
    <w:rsid w:val="000879CF"/>
    <w:rsid w:val="00087D4C"/>
    <w:rsid w:val="00090455"/>
    <w:rsid w:val="0009155B"/>
    <w:rsid w:val="000933D4"/>
    <w:rsid w:val="00095771"/>
    <w:rsid w:val="00095A4F"/>
    <w:rsid w:val="00096647"/>
    <w:rsid w:val="000975E1"/>
    <w:rsid w:val="0009772B"/>
    <w:rsid w:val="000A00EC"/>
    <w:rsid w:val="000A0D78"/>
    <w:rsid w:val="000A111C"/>
    <w:rsid w:val="000A1F12"/>
    <w:rsid w:val="000A317E"/>
    <w:rsid w:val="000A3B5E"/>
    <w:rsid w:val="000A417D"/>
    <w:rsid w:val="000A4FAC"/>
    <w:rsid w:val="000A543D"/>
    <w:rsid w:val="000A5AF0"/>
    <w:rsid w:val="000A68CB"/>
    <w:rsid w:val="000B198E"/>
    <w:rsid w:val="000B1EA2"/>
    <w:rsid w:val="000B2583"/>
    <w:rsid w:val="000B28AE"/>
    <w:rsid w:val="000B3545"/>
    <w:rsid w:val="000B4650"/>
    <w:rsid w:val="000B5B54"/>
    <w:rsid w:val="000B770C"/>
    <w:rsid w:val="000C18E0"/>
    <w:rsid w:val="000C1B45"/>
    <w:rsid w:val="000C24BB"/>
    <w:rsid w:val="000C3E3A"/>
    <w:rsid w:val="000C4705"/>
    <w:rsid w:val="000C49D6"/>
    <w:rsid w:val="000C53BE"/>
    <w:rsid w:val="000C5A1B"/>
    <w:rsid w:val="000C649B"/>
    <w:rsid w:val="000C68D1"/>
    <w:rsid w:val="000C7B0A"/>
    <w:rsid w:val="000D0C05"/>
    <w:rsid w:val="000D471E"/>
    <w:rsid w:val="000D4A2F"/>
    <w:rsid w:val="000D6292"/>
    <w:rsid w:val="000D6343"/>
    <w:rsid w:val="000D6FAE"/>
    <w:rsid w:val="000D7569"/>
    <w:rsid w:val="000D7903"/>
    <w:rsid w:val="000D7A3C"/>
    <w:rsid w:val="000E0997"/>
    <w:rsid w:val="000E22D1"/>
    <w:rsid w:val="000E3B34"/>
    <w:rsid w:val="000E3C29"/>
    <w:rsid w:val="000E407E"/>
    <w:rsid w:val="000E49B2"/>
    <w:rsid w:val="000E55E9"/>
    <w:rsid w:val="000E5764"/>
    <w:rsid w:val="000E7923"/>
    <w:rsid w:val="000F001A"/>
    <w:rsid w:val="000F027F"/>
    <w:rsid w:val="000F0E1A"/>
    <w:rsid w:val="000F1852"/>
    <w:rsid w:val="000F1ADF"/>
    <w:rsid w:val="000F39CE"/>
    <w:rsid w:val="000F42D9"/>
    <w:rsid w:val="000F510E"/>
    <w:rsid w:val="000F5FF2"/>
    <w:rsid w:val="000F6150"/>
    <w:rsid w:val="000F738A"/>
    <w:rsid w:val="000F75E3"/>
    <w:rsid w:val="000F7E6D"/>
    <w:rsid w:val="00100C7C"/>
    <w:rsid w:val="001021D0"/>
    <w:rsid w:val="00103BDB"/>
    <w:rsid w:val="00105659"/>
    <w:rsid w:val="00110774"/>
    <w:rsid w:val="00111393"/>
    <w:rsid w:val="00112925"/>
    <w:rsid w:val="00112954"/>
    <w:rsid w:val="00112970"/>
    <w:rsid w:val="0011441E"/>
    <w:rsid w:val="0011477B"/>
    <w:rsid w:val="00114BB1"/>
    <w:rsid w:val="001153C1"/>
    <w:rsid w:val="001161F8"/>
    <w:rsid w:val="001164A7"/>
    <w:rsid w:val="00117D06"/>
    <w:rsid w:val="001201C2"/>
    <w:rsid w:val="001203B0"/>
    <w:rsid w:val="00120EA2"/>
    <w:rsid w:val="00122522"/>
    <w:rsid w:val="0012391B"/>
    <w:rsid w:val="0012412C"/>
    <w:rsid w:val="00124933"/>
    <w:rsid w:val="001253C8"/>
    <w:rsid w:val="00126963"/>
    <w:rsid w:val="0012738D"/>
    <w:rsid w:val="001273F4"/>
    <w:rsid w:val="00127E0A"/>
    <w:rsid w:val="00132697"/>
    <w:rsid w:val="00132791"/>
    <w:rsid w:val="001330FE"/>
    <w:rsid w:val="00133873"/>
    <w:rsid w:val="00134C93"/>
    <w:rsid w:val="00134CCE"/>
    <w:rsid w:val="0013597A"/>
    <w:rsid w:val="0013670E"/>
    <w:rsid w:val="001376F6"/>
    <w:rsid w:val="001406C0"/>
    <w:rsid w:val="001436A6"/>
    <w:rsid w:val="00143A5E"/>
    <w:rsid w:val="00144A68"/>
    <w:rsid w:val="0014506B"/>
    <w:rsid w:val="00151535"/>
    <w:rsid w:val="00151730"/>
    <w:rsid w:val="001524D8"/>
    <w:rsid w:val="0015289D"/>
    <w:rsid w:val="00153E66"/>
    <w:rsid w:val="001545D3"/>
    <w:rsid w:val="001550B9"/>
    <w:rsid w:val="001562D2"/>
    <w:rsid w:val="00156414"/>
    <w:rsid w:val="0015775E"/>
    <w:rsid w:val="0016174B"/>
    <w:rsid w:val="00162DCA"/>
    <w:rsid w:val="00163C4E"/>
    <w:rsid w:val="00163C69"/>
    <w:rsid w:val="00163FE5"/>
    <w:rsid w:val="0016594B"/>
    <w:rsid w:val="001702F8"/>
    <w:rsid w:val="00170A3F"/>
    <w:rsid w:val="00170F03"/>
    <w:rsid w:val="001722BC"/>
    <w:rsid w:val="001740E9"/>
    <w:rsid w:val="00174185"/>
    <w:rsid w:val="00174B16"/>
    <w:rsid w:val="001766C4"/>
    <w:rsid w:val="00177C36"/>
    <w:rsid w:val="00180102"/>
    <w:rsid w:val="0018059E"/>
    <w:rsid w:val="00180630"/>
    <w:rsid w:val="00180790"/>
    <w:rsid w:val="0018086E"/>
    <w:rsid w:val="0018101E"/>
    <w:rsid w:val="00181A3C"/>
    <w:rsid w:val="00184658"/>
    <w:rsid w:val="001848E0"/>
    <w:rsid w:val="00184DBD"/>
    <w:rsid w:val="00185915"/>
    <w:rsid w:val="00192454"/>
    <w:rsid w:val="00192BCB"/>
    <w:rsid w:val="00194185"/>
    <w:rsid w:val="00195B99"/>
    <w:rsid w:val="00195EEB"/>
    <w:rsid w:val="00196BFD"/>
    <w:rsid w:val="001A0DB8"/>
    <w:rsid w:val="001A4C25"/>
    <w:rsid w:val="001A5C13"/>
    <w:rsid w:val="001A647B"/>
    <w:rsid w:val="001B014F"/>
    <w:rsid w:val="001B0450"/>
    <w:rsid w:val="001B09D5"/>
    <w:rsid w:val="001B2C6C"/>
    <w:rsid w:val="001B2C94"/>
    <w:rsid w:val="001B43DE"/>
    <w:rsid w:val="001B54A2"/>
    <w:rsid w:val="001B580E"/>
    <w:rsid w:val="001B76B0"/>
    <w:rsid w:val="001C1AB1"/>
    <w:rsid w:val="001C2EF7"/>
    <w:rsid w:val="001C3C12"/>
    <w:rsid w:val="001C4755"/>
    <w:rsid w:val="001C4CF2"/>
    <w:rsid w:val="001C5CED"/>
    <w:rsid w:val="001C5D3C"/>
    <w:rsid w:val="001C62EA"/>
    <w:rsid w:val="001C6C14"/>
    <w:rsid w:val="001D2428"/>
    <w:rsid w:val="001D3841"/>
    <w:rsid w:val="001D58FB"/>
    <w:rsid w:val="001D67E6"/>
    <w:rsid w:val="001E07C2"/>
    <w:rsid w:val="001E0F9C"/>
    <w:rsid w:val="001E1010"/>
    <w:rsid w:val="001E30DB"/>
    <w:rsid w:val="001E3DA1"/>
    <w:rsid w:val="001E4A79"/>
    <w:rsid w:val="001E5053"/>
    <w:rsid w:val="001E5B4F"/>
    <w:rsid w:val="001E615C"/>
    <w:rsid w:val="001E6AAD"/>
    <w:rsid w:val="001F0485"/>
    <w:rsid w:val="001F1972"/>
    <w:rsid w:val="001F241D"/>
    <w:rsid w:val="001F24F2"/>
    <w:rsid w:val="001F40BA"/>
    <w:rsid w:val="001F41F9"/>
    <w:rsid w:val="001F4A2A"/>
    <w:rsid w:val="001F4A63"/>
    <w:rsid w:val="001F4E9D"/>
    <w:rsid w:val="001F74E4"/>
    <w:rsid w:val="001F7709"/>
    <w:rsid w:val="001F7C39"/>
    <w:rsid w:val="00200CAC"/>
    <w:rsid w:val="00202A99"/>
    <w:rsid w:val="0020407F"/>
    <w:rsid w:val="00205205"/>
    <w:rsid w:val="0020607E"/>
    <w:rsid w:val="002063EF"/>
    <w:rsid w:val="00206DBC"/>
    <w:rsid w:val="002075BA"/>
    <w:rsid w:val="00210DA3"/>
    <w:rsid w:val="00211BF6"/>
    <w:rsid w:val="0021228D"/>
    <w:rsid w:val="00212928"/>
    <w:rsid w:val="00215230"/>
    <w:rsid w:val="00215EBE"/>
    <w:rsid w:val="002160DF"/>
    <w:rsid w:val="00222213"/>
    <w:rsid w:val="00222B30"/>
    <w:rsid w:val="00222C87"/>
    <w:rsid w:val="0022543D"/>
    <w:rsid w:val="00225FFE"/>
    <w:rsid w:val="0022644E"/>
    <w:rsid w:val="002265D0"/>
    <w:rsid w:val="00227A46"/>
    <w:rsid w:val="00231C53"/>
    <w:rsid w:val="00232176"/>
    <w:rsid w:val="0023240A"/>
    <w:rsid w:val="00232510"/>
    <w:rsid w:val="00232C52"/>
    <w:rsid w:val="00232F6C"/>
    <w:rsid w:val="0023400F"/>
    <w:rsid w:val="002342A0"/>
    <w:rsid w:val="0023529B"/>
    <w:rsid w:val="00236124"/>
    <w:rsid w:val="0023627C"/>
    <w:rsid w:val="0023725B"/>
    <w:rsid w:val="0023730A"/>
    <w:rsid w:val="00241560"/>
    <w:rsid w:val="002416B1"/>
    <w:rsid w:val="00241936"/>
    <w:rsid w:val="00241AB1"/>
    <w:rsid w:val="00241C4D"/>
    <w:rsid w:val="00242400"/>
    <w:rsid w:val="002435DC"/>
    <w:rsid w:val="00243A11"/>
    <w:rsid w:val="00245349"/>
    <w:rsid w:val="00245775"/>
    <w:rsid w:val="00245F81"/>
    <w:rsid w:val="00246CF6"/>
    <w:rsid w:val="00247E73"/>
    <w:rsid w:val="0025140E"/>
    <w:rsid w:val="00251A41"/>
    <w:rsid w:val="00251A47"/>
    <w:rsid w:val="00251C5B"/>
    <w:rsid w:val="00251F8F"/>
    <w:rsid w:val="0025269D"/>
    <w:rsid w:val="00252774"/>
    <w:rsid w:val="00253877"/>
    <w:rsid w:val="0025444B"/>
    <w:rsid w:val="00254C64"/>
    <w:rsid w:val="00256C1F"/>
    <w:rsid w:val="00260678"/>
    <w:rsid w:val="0026150E"/>
    <w:rsid w:val="00265C8E"/>
    <w:rsid w:val="0027063A"/>
    <w:rsid w:val="00270A3E"/>
    <w:rsid w:val="00271A64"/>
    <w:rsid w:val="00272A13"/>
    <w:rsid w:val="00273674"/>
    <w:rsid w:val="002748AA"/>
    <w:rsid w:val="00276750"/>
    <w:rsid w:val="00277D41"/>
    <w:rsid w:val="002802BE"/>
    <w:rsid w:val="00280531"/>
    <w:rsid w:val="00280876"/>
    <w:rsid w:val="0028130C"/>
    <w:rsid w:val="00281762"/>
    <w:rsid w:val="0028233D"/>
    <w:rsid w:val="002824EC"/>
    <w:rsid w:val="00283507"/>
    <w:rsid w:val="00283851"/>
    <w:rsid w:val="002863C6"/>
    <w:rsid w:val="002866B6"/>
    <w:rsid w:val="002877DB"/>
    <w:rsid w:val="0029009B"/>
    <w:rsid w:val="002908D4"/>
    <w:rsid w:val="00291702"/>
    <w:rsid w:val="00291CB1"/>
    <w:rsid w:val="00294EBE"/>
    <w:rsid w:val="00294F47"/>
    <w:rsid w:val="00295190"/>
    <w:rsid w:val="00295550"/>
    <w:rsid w:val="00296946"/>
    <w:rsid w:val="0029744A"/>
    <w:rsid w:val="002A1500"/>
    <w:rsid w:val="002A1717"/>
    <w:rsid w:val="002A2342"/>
    <w:rsid w:val="002A2FE7"/>
    <w:rsid w:val="002A381A"/>
    <w:rsid w:val="002A6369"/>
    <w:rsid w:val="002A6829"/>
    <w:rsid w:val="002A764B"/>
    <w:rsid w:val="002A77A2"/>
    <w:rsid w:val="002A7BB2"/>
    <w:rsid w:val="002A7FFA"/>
    <w:rsid w:val="002B00B4"/>
    <w:rsid w:val="002B08B7"/>
    <w:rsid w:val="002B4325"/>
    <w:rsid w:val="002B49E1"/>
    <w:rsid w:val="002B5979"/>
    <w:rsid w:val="002B5A1F"/>
    <w:rsid w:val="002B6155"/>
    <w:rsid w:val="002C0694"/>
    <w:rsid w:val="002C06B7"/>
    <w:rsid w:val="002C06EA"/>
    <w:rsid w:val="002C0BAB"/>
    <w:rsid w:val="002C35D5"/>
    <w:rsid w:val="002C40E9"/>
    <w:rsid w:val="002C4139"/>
    <w:rsid w:val="002C49E8"/>
    <w:rsid w:val="002C4E1E"/>
    <w:rsid w:val="002C6CFE"/>
    <w:rsid w:val="002C7E36"/>
    <w:rsid w:val="002D079A"/>
    <w:rsid w:val="002E3C8F"/>
    <w:rsid w:val="002E5780"/>
    <w:rsid w:val="002E5C1C"/>
    <w:rsid w:val="002E5CD1"/>
    <w:rsid w:val="002E6357"/>
    <w:rsid w:val="002E643B"/>
    <w:rsid w:val="002E64BF"/>
    <w:rsid w:val="002F070D"/>
    <w:rsid w:val="002F29AC"/>
    <w:rsid w:val="002F6D43"/>
    <w:rsid w:val="00300AA8"/>
    <w:rsid w:val="003010D2"/>
    <w:rsid w:val="003012D9"/>
    <w:rsid w:val="003019C9"/>
    <w:rsid w:val="00303FC9"/>
    <w:rsid w:val="003065BF"/>
    <w:rsid w:val="00306EC5"/>
    <w:rsid w:val="00306EE2"/>
    <w:rsid w:val="00311300"/>
    <w:rsid w:val="003113E0"/>
    <w:rsid w:val="00311BA4"/>
    <w:rsid w:val="003144C6"/>
    <w:rsid w:val="00317724"/>
    <w:rsid w:val="003215FA"/>
    <w:rsid w:val="00322477"/>
    <w:rsid w:val="00322836"/>
    <w:rsid w:val="00322B8E"/>
    <w:rsid w:val="003230D7"/>
    <w:rsid w:val="003235C5"/>
    <w:rsid w:val="00323783"/>
    <w:rsid w:val="00323A66"/>
    <w:rsid w:val="003240BA"/>
    <w:rsid w:val="00324EEB"/>
    <w:rsid w:val="00326375"/>
    <w:rsid w:val="00326645"/>
    <w:rsid w:val="00326E3B"/>
    <w:rsid w:val="0032703E"/>
    <w:rsid w:val="00327786"/>
    <w:rsid w:val="00331FCE"/>
    <w:rsid w:val="003326C9"/>
    <w:rsid w:val="003336DF"/>
    <w:rsid w:val="00333E60"/>
    <w:rsid w:val="003353C7"/>
    <w:rsid w:val="00335555"/>
    <w:rsid w:val="00335ACD"/>
    <w:rsid w:val="00335AFA"/>
    <w:rsid w:val="00335D2A"/>
    <w:rsid w:val="00335DB0"/>
    <w:rsid w:val="0033600C"/>
    <w:rsid w:val="00336A31"/>
    <w:rsid w:val="00337A31"/>
    <w:rsid w:val="00340727"/>
    <w:rsid w:val="003408C7"/>
    <w:rsid w:val="00343611"/>
    <w:rsid w:val="00344B63"/>
    <w:rsid w:val="00347DC3"/>
    <w:rsid w:val="003513BE"/>
    <w:rsid w:val="00353AF6"/>
    <w:rsid w:val="00353F66"/>
    <w:rsid w:val="0035599A"/>
    <w:rsid w:val="00357AAC"/>
    <w:rsid w:val="003620BC"/>
    <w:rsid w:val="003639C9"/>
    <w:rsid w:val="00363D37"/>
    <w:rsid w:val="003646E8"/>
    <w:rsid w:val="00365AB7"/>
    <w:rsid w:val="0036679E"/>
    <w:rsid w:val="00366921"/>
    <w:rsid w:val="00366D32"/>
    <w:rsid w:val="00367541"/>
    <w:rsid w:val="00367DB2"/>
    <w:rsid w:val="00370243"/>
    <w:rsid w:val="00370B88"/>
    <w:rsid w:val="00371BBB"/>
    <w:rsid w:val="00371E6B"/>
    <w:rsid w:val="003727E5"/>
    <w:rsid w:val="00372CD1"/>
    <w:rsid w:val="00374494"/>
    <w:rsid w:val="00374621"/>
    <w:rsid w:val="00374A15"/>
    <w:rsid w:val="00374DC2"/>
    <w:rsid w:val="00377669"/>
    <w:rsid w:val="003778B1"/>
    <w:rsid w:val="003807F6"/>
    <w:rsid w:val="003818B1"/>
    <w:rsid w:val="003827B7"/>
    <w:rsid w:val="00383380"/>
    <w:rsid w:val="0038380E"/>
    <w:rsid w:val="00384195"/>
    <w:rsid w:val="00392D7F"/>
    <w:rsid w:val="003941C1"/>
    <w:rsid w:val="00394267"/>
    <w:rsid w:val="003964A4"/>
    <w:rsid w:val="00397724"/>
    <w:rsid w:val="00397A0D"/>
    <w:rsid w:val="003A187C"/>
    <w:rsid w:val="003A457E"/>
    <w:rsid w:val="003A50E6"/>
    <w:rsid w:val="003A5CC5"/>
    <w:rsid w:val="003A645B"/>
    <w:rsid w:val="003B02FA"/>
    <w:rsid w:val="003B034A"/>
    <w:rsid w:val="003B0B09"/>
    <w:rsid w:val="003B253B"/>
    <w:rsid w:val="003B2FE1"/>
    <w:rsid w:val="003B345B"/>
    <w:rsid w:val="003B36FE"/>
    <w:rsid w:val="003B62E2"/>
    <w:rsid w:val="003B6A8B"/>
    <w:rsid w:val="003B70D2"/>
    <w:rsid w:val="003C0CBF"/>
    <w:rsid w:val="003C3829"/>
    <w:rsid w:val="003C3F06"/>
    <w:rsid w:val="003C3F7D"/>
    <w:rsid w:val="003C4CB3"/>
    <w:rsid w:val="003C630C"/>
    <w:rsid w:val="003C67C6"/>
    <w:rsid w:val="003C6AA0"/>
    <w:rsid w:val="003C70E0"/>
    <w:rsid w:val="003D1308"/>
    <w:rsid w:val="003D1C50"/>
    <w:rsid w:val="003D43CD"/>
    <w:rsid w:val="003D5672"/>
    <w:rsid w:val="003D7A9D"/>
    <w:rsid w:val="003E00B5"/>
    <w:rsid w:val="003E12E3"/>
    <w:rsid w:val="003E1FF1"/>
    <w:rsid w:val="003E22E7"/>
    <w:rsid w:val="003E3002"/>
    <w:rsid w:val="003E3C7C"/>
    <w:rsid w:val="003E402E"/>
    <w:rsid w:val="003E528D"/>
    <w:rsid w:val="003E5CB4"/>
    <w:rsid w:val="003E6725"/>
    <w:rsid w:val="003E721B"/>
    <w:rsid w:val="003F11EE"/>
    <w:rsid w:val="003F126D"/>
    <w:rsid w:val="003F12CE"/>
    <w:rsid w:val="003F244F"/>
    <w:rsid w:val="003F27B1"/>
    <w:rsid w:val="003F28B6"/>
    <w:rsid w:val="003F6736"/>
    <w:rsid w:val="003F68DA"/>
    <w:rsid w:val="00401954"/>
    <w:rsid w:val="004020F3"/>
    <w:rsid w:val="00403F06"/>
    <w:rsid w:val="00404040"/>
    <w:rsid w:val="00404C20"/>
    <w:rsid w:val="00405755"/>
    <w:rsid w:val="004107D5"/>
    <w:rsid w:val="0041165C"/>
    <w:rsid w:val="00411E69"/>
    <w:rsid w:val="00412AD5"/>
    <w:rsid w:val="0041386C"/>
    <w:rsid w:val="00413993"/>
    <w:rsid w:val="0041592A"/>
    <w:rsid w:val="00415DEF"/>
    <w:rsid w:val="00416D23"/>
    <w:rsid w:val="00421897"/>
    <w:rsid w:val="00422C15"/>
    <w:rsid w:val="004255C9"/>
    <w:rsid w:val="004257AB"/>
    <w:rsid w:val="00427FE9"/>
    <w:rsid w:val="00427FEF"/>
    <w:rsid w:val="00431313"/>
    <w:rsid w:val="0043314F"/>
    <w:rsid w:val="0043533F"/>
    <w:rsid w:val="0043570A"/>
    <w:rsid w:val="00435D49"/>
    <w:rsid w:val="0043700B"/>
    <w:rsid w:val="0043733D"/>
    <w:rsid w:val="0043750D"/>
    <w:rsid w:val="0043761A"/>
    <w:rsid w:val="004376B2"/>
    <w:rsid w:val="00437801"/>
    <w:rsid w:val="00437C8A"/>
    <w:rsid w:val="0044025A"/>
    <w:rsid w:val="004402E3"/>
    <w:rsid w:val="0044078D"/>
    <w:rsid w:val="0044148A"/>
    <w:rsid w:val="00442410"/>
    <w:rsid w:val="00444398"/>
    <w:rsid w:val="004443A3"/>
    <w:rsid w:val="00444DB0"/>
    <w:rsid w:val="004464EC"/>
    <w:rsid w:val="00446577"/>
    <w:rsid w:val="00450CB0"/>
    <w:rsid w:val="00451E61"/>
    <w:rsid w:val="00452C19"/>
    <w:rsid w:val="00453AFF"/>
    <w:rsid w:val="0045454F"/>
    <w:rsid w:val="00454E69"/>
    <w:rsid w:val="00455342"/>
    <w:rsid w:val="00455D48"/>
    <w:rsid w:val="00456378"/>
    <w:rsid w:val="00456726"/>
    <w:rsid w:val="004576A6"/>
    <w:rsid w:val="00457B3A"/>
    <w:rsid w:val="004608B8"/>
    <w:rsid w:val="00460E41"/>
    <w:rsid w:val="00460E50"/>
    <w:rsid w:val="004611CF"/>
    <w:rsid w:val="004617FE"/>
    <w:rsid w:val="00461AEB"/>
    <w:rsid w:val="00461CF9"/>
    <w:rsid w:val="00461E8A"/>
    <w:rsid w:val="00461F93"/>
    <w:rsid w:val="0046754F"/>
    <w:rsid w:val="0047036D"/>
    <w:rsid w:val="00472D5C"/>
    <w:rsid w:val="004756CB"/>
    <w:rsid w:val="004759BE"/>
    <w:rsid w:val="00476D1E"/>
    <w:rsid w:val="00480510"/>
    <w:rsid w:val="004811D8"/>
    <w:rsid w:val="00482B4C"/>
    <w:rsid w:val="0048523E"/>
    <w:rsid w:val="00485B8A"/>
    <w:rsid w:val="004871E9"/>
    <w:rsid w:val="0048790B"/>
    <w:rsid w:val="00490B34"/>
    <w:rsid w:val="00491389"/>
    <w:rsid w:val="0049144A"/>
    <w:rsid w:val="0049224D"/>
    <w:rsid w:val="00492595"/>
    <w:rsid w:val="00493C2E"/>
    <w:rsid w:val="0049586B"/>
    <w:rsid w:val="004967B6"/>
    <w:rsid w:val="0049699B"/>
    <w:rsid w:val="004978A2"/>
    <w:rsid w:val="0049790F"/>
    <w:rsid w:val="004A001A"/>
    <w:rsid w:val="004A1416"/>
    <w:rsid w:val="004A2D5C"/>
    <w:rsid w:val="004A31CA"/>
    <w:rsid w:val="004A4B28"/>
    <w:rsid w:val="004A53F1"/>
    <w:rsid w:val="004A5442"/>
    <w:rsid w:val="004A7220"/>
    <w:rsid w:val="004A7DC7"/>
    <w:rsid w:val="004B079E"/>
    <w:rsid w:val="004B1CF2"/>
    <w:rsid w:val="004B1E7D"/>
    <w:rsid w:val="004B1EE1"/>
    <w:rsid w:val="004B376F"/>
    <w:rsid w:val="004B4862"/>
    <w:rsid w:val="004B53D1"/>
    <w:rsid w:val="004B55BE"/>
    <w:rsid w:val="004B5F3B"/>
    <w:rsid w:val="004B6715"/>
    <w:rsid w:val="004B67D6"/>
    <w:rsid w:val="004C0A95"/>
    <w:rsid w:val="004C1F73"/>
    <w:rsid w:val="004C3F62"/>
    <w:rsid w:val="004C57CE"/>
    <w:rsid w:val="004C60B8"/>
    <w:rsid w:val="004C6225"/>
    <w:rsid w:val="004C62A1"/>
    <w:rsid w:val="004D0BDD"/>
    <w:rsid w:val="004D0C30"/>
    <w:rsid w:val="004D199D"/>
    <w:rsid w:val="004D1BFF"/>
    <w:rsid w:val="004D2B44"/>
    <w:rsid w:val="004D3224"/>
    <w:rsid w:val="004D33E4"/>
    <w:rsid w:val="004D3969"/>
    <w:rsid w:val="004D490C"/>
    <w:rsid w:val="004D49C0"/>
    <w:rsid w:val="004D4A57"/>
    <w:rsid w:val="004D663C"/>
    <w:rsid w:val="004D770B"/>
    <w:rsid w:val="004E0108"/>
    <w:rsid w:val="004E02F7"/>
    <w:rsid w:val="004E084D"/>
    <w:rsid w:val="004E25AD"/>
    <w:rsid w:val="004E3205"/>
    <w:rsid w:val="004E330C"/>
    <w:rsid w:val="004E3F19"/>
    <w:rsid w:val="004E62DA"/>
    <w:rsid w:val="004E6389"/>
    <w:rsid w:val="004E764E"/>
    <w:rsid w:val="004E795E"/>
    <w:rsid w:val="004F2061"/>
    <w:rsid w:val="004F245D"/>
    <w:rsid w:val="004F3A50"/>
    <w:rsid w:val="004F3BA8"/>
    <w:rsid w:val="004F4B38"/>
    <w:rsid w:val="004F4E92"/>
    <w:rsid w:val="004F5705"/>
    <w:rsid w:val="004F6B26"/>
    <w:rsid w:val="004F7B6F"/>
    <w:rsid w:val="004F7C44"/>
    <w:rsid w:val="00500C79"/>
    <w:rsid w:val="00501FDC"/>
    <w:rsid w:val="00502478"/>
    <w:rsid w:val="005038AA"/>
    <w:rsid w:val="00505953"/>
    <w:rsid w:val="005061E2"/>
    <w:rsid w:val="00506A85"/>
    <w:rsid w:val="00506AAA"/>
    <w:rsid w:val="0051015C"/>
    <w:rsid w:val="00510498"/>
    <w:rsid w:val="00510572"/>
    <w:rsid w:val="0051063B"/>
    <w:rsid w:val="005122E3"/>
    <w:rsid w:val="005124AD"/>
    <w:rsid w:val="0051292C"/>
    <w:rsid w:val="00513177"/>
    <w:rsid w:val="0051334A"/>
    <w:rsid w:val="00513CA4"/>
    <w:rsid w:val="005150A1"/>
    <w:rsid w:val="00515CA8"/>
    <w:rsid w:val="005169F4"/>
    <w:rsid w:val="0051799D"/>
    <w:rsid w:val="00520DA4"/>
    <w:rsid w:val="00523206"/>
    <w:rsid w:val="00523742"/>
    <w:rsid w:val="00524735"/>
    <w:rsid w:val="00526ECF"/>
    <w:rsid w:val="005279FD"/>
    <w:rsid w:val="00530243"/>
    <w:rsid w:val="0053106F"/>
    <w:rsid w:val="005325E2"/>
    <w:rsid w:val="00533D08"/>
    <w:rsid w:val="00533F9D"/>
    <w:rsid w:val="0053560F"/>
    <w:rsid w:val="00535CF8"/>
    <w:rsid w:val="00535D7E"/>
    <w:rsid w:val="00536204"/>
    <w:rsid w:val="00536BE4"/>
    <w:rsid w:val="005415C1"/>
    <w:rsid w:val="00541834"/>
    <w:rsid w:val="005420AC"/>
    <w:rsid w:val="00542D74"/>
    <w:rsid w:val="00543D41"/>
    <w:rsid w:val="00544BED"/>
    <w:rsid w:val="005461D9"/>
    <w:rsid w:val="00546B53"/>
    <w:rsid w:val="00546E2E"/>
    <w:rsid w:val="00546EF5"/>
    <w:rsid w:val="00547E8C"/>
    <w:rsid w:val="00550917"/>
    <w:rsid w:val="00550D11"/>
    <w:rsid w:val="00552223"/>
    <w:rsid w:val="00554755"/>
    <w:rsid w:val="00555DE8"/>
    <w:rsid w:val="00561437"/>
    <w:rsid w:val="00561DEF"/>
    <w:rsid w:val="00562625"/>
    <w:rsid w:val="005628F9"/>
    <w:rsid w:val="00564B34"/>
    <w:rsid w:val="005654DC"/>
    <w:rsid w:val="0056591F"/>
    <w:rsid w:val="005659FC"/>
    <w:rsid w:val="005670F9"/>
    <w:rsid w:val="00567F3C"/>
    <w:rsid w:val="00570B2D"/>
    <w:rsid w:val="00570B78"/>
    <w:rsid w:val="00570BBA"/>
    <w:rsid w:val="00570EEC"/>
    <w:rsid w:val="0057451A"/>
    <w:rsid w:val="00574FE1"/>
    <w:rsid w:val="005758B1"/>
    <w:rsid w:val="00576247"/>
    <w:rsid w:val="00576928"/>
    <w:rsid w:val="00577650"/>
    <w:rsid w:val="00580C98"/>
    <w:rsid w:val="00583B8D"/>
    <w:rsid w:val="00584135"/>
    <w:rsid w:val="00584DC1"/>
    <w:rsid w:val="00585EAF"/>
    <w:rsid w:val="00586C65"/>
    <w:rsid w:val="005870AD"/>
    <w:rsid w:val="0058726B"/>
    <w:rsid w:val="00590670"/>
    <w:rsid w:val="005915BE"/>
    <w:rsid w:val="00591BBC"/>
    <w:rsid w:val="00592517"/>
    <w:rsid w:val="00592774"/>
    <w:rsid w:val="00593B39"/>
    <w:rsid w:val="0059593D"/>
    <w:rsid w:val="00595973"/>
    <w:rsid w:val="00597359"/>
    <w:rsid w:val="005A1C56"/>
    <w:rsid w:val="005A2009"/>
    <w:rsid w:val="005A21C3"/>
    <w:rsid w:val="005A5D7E"/>
    <w:rsid w:val="005A6963"/>
    <w:rsid w:val="005B0023"/>
    <w:rsid w:val="005B3FA8"/>
    <w:rsid w:val="005C1097"/>
    <w:rsid w:val="005C2774"/>
    <w:rsid w:val="005C314D"/>
    <w:rsid w:val="005C4080"/>
    <w:rsid w:val="005C5F12"/>
    <w:rsid w:val="005C63DA"/>
    <w:rsid w:val="005C7A57"/>
    <w:rsid w:val="005D0382"/>
    <w:rsid w:val="005D14B6"/>
    <w:rsid w:val="005D174A"/>
    <w:rsid w:val="005D191E"/>
    <w:rsid w:val="005D1ACE"/>
    <w:rsid w:val="005D26B4"/>
    <w:rsid w:val="005D29D8"/>
    <w:rsid w:val="005D309D"/>
    <w:rsid w:val="005D30CD"/>
    <w:rsid w:val="005D32FA"/>
    <w:rsid w:val="005D4C7F"/>
    <w:rsid w:val="005D6681"/>
    <w:rsid w:val="005D66F0"/>
    <w:rsid w:val="005D74D8"/>
    <w:rsid w:val="005D75E5"/>
    <w:rsid w:val="005E050C"/>
    <w:rsid w:val="005E0B91"/>
    <w:rsid w:val="005E486D"/>
    <w:rsid w:val="005E7159"/>
    <w:rsid w:val="005E749A"/>
    <w:rsid w:val="005E74D2"/>
    <w:rsid w:val="005F014B"/>
    <w:rsid w:val="005F0221"/>
    <w:rsid w:val="005F0D68"/>
    <w:rsid w:val="005F23E9"/>
    <w:rsid w:val="005F39F8"/>
    <w:rsid w:val="005F4521"/>
    <w:rsid w:val="005F5978"/>
    <w:rsid w:val="005F5EAE"/>
    <w:rsid w:val="005F628E"/>
    <w:rsid w:val="005F6B5F"/>
    <w:rsid w:val="005F7147"/>
    <w:rsid w:val="005F756F"/>
    <w:rsid w:val="005F7FED"/>
    <w:rsid w:val="00600070"/>
    <w:rsid w:val="00600CEC"/>
    <w:rsid w:val="00602D3F"/>
    <w:rsid w:val="006041C0"/>
    <w:rsid w:val="00605019"/>
    <w:rsid w:val="00605349"/>
    <w:rsid w:val="006057A5"/>
    <w:rsid w:val="006074FD"/>
    <w:rsid w:val="00607F7D"/>
    <w:rsid w:val="0061044D"/>
    <w:rsid w:val="006107CD"/>
    <w:rsid w:val="00611A7C"/>
    <w:rsid w:val="0061398D"/>
    <w:rsid w:val="00614D15"/>
    <w:rsid w:val="00615479"/>
    <w:rsid w:val="006218FE"/>
    <w:rsid w:val="0062674F"/>
    <w:rsid w:val="006268A4"/>
    <w:rsid w:val="00626C7E"/>
    <w:rsid w:val="006275DC"/>
    <w:rsid w:val="00630A46"/>
    <w:rsid w:val="0063118A"/>
    <w:rsid w:val="006314C3"/>
    <w:rsid w:val="0063173D"/>
    <w:rsid w:val="006339FE"/>
    <w:rsid w:val="00634F17"/>
    <w:rsid w:val="0063594F"/>
    <w:rsid w:val="00636541"/>
    <w:rsid w:val="0063699E"/>
    <w:rsid w:val="00636CA8"/>
    <w:rsid w:val="0063797F"/>
    <w:rsid w:val="00641486"/>
    <w:rsid w:val="006431F0"/>
    <w:rsid w:val="00643D1C"/>
    <w:rsid w:val="0064423F"/>
    <w:rsid w:val="00645473"/>
    <w:rsid w:val="00645B8F"/>
    <w:rsid w:val="0064653F"/>
    <w:rsid w:val="00647E3A"/>
    <w:rsid w:val="0065008C"/>
    <w:rsid w:val="00651AE5"/>
    <w:rsid w:val="00651B70"/>
    <w:rsid w:val="00651DE2"/>
    <w:rsid w:val="00652E34"/>
    <w:rsid w:val="00655149"/>
    <w:rsid w:val="00655263"/>
    <w:rsid w:val="006566D3"/>
    <w:rsid w:val="00656B46"/>
    <w:rsid w:val="006578D7"/>
    <w:rsid w:val="00657C5D"/>
    <w:rsid w:val="00657E62"/>
    <w:rsid w:val="00660973"/>
    <w:rsid w:val="00660C8A"/>
    <w:rsid w:val="00661E28"/>
    <w:rsid w:val="006623D5"/>
    <w:rsid w:val="006634AD"/>
    <w:rsid w:val="006637CB"/>
    <w:rsid w:val="00663A23"/>
    <w:rsid w:val="00663D28"/>
    <w:rsid w:val="00663DCB"/>
    <w:rsid w:val="0066510A"/>
    <w:rsid w:val="00665BAB"/>
    <w:rsid w:val="00666740"/>
    <w:rsid w:val="006670FB"/>
    <w:rsid w:val="00670CA7"/>
    <w:rsid w:val="006713AA"/>
    <w:rsid w:val="00673FD7"/>
    <w:rsid w:val="006749FC"/>
    <w:rsid w:val="0067545A"/>
    <w:rsid w:val="00676CA0"/>
    <w:rsid w:val="0067704C"/>
    <w:rsid w:val="0067712A"/>
    <w:rsid w:val="00680FE5"/>
    <w:rsid w:val="00681E96"/>
    <w:rsid w:val="00682F10"/>
    <w:rsid w:val="006843B9"/>
    <w:rsid w:val="006861C2"/>
    <w:rsid w:val="0068710F"/>
    <w:rsid w:val="00687252"/>
    <w:rsid w:val="00687254"/>
    <w:rsid w:val="00691C27"/>
    <w:rsid w:val="0069371F"/>
    <w:rsid w:val="006965A1"/>
    <w:rsid w:val="006975C8"/>
    <w:rsid w:val="0069773F"/>
    <w:rsid w:val="00697A2C"/>
    <w:rsid w:val="00697E2B"/>
    <w:rsid w:val="006A044A"/>
    <w:rsid w:val="006A0801"/>
    <w:rsid w:val="006A1527"/>
    <w:rsid w:val="006A1852"/>
    <w:rsid w:val="006A2DA2"/>
    <w:rsid w:val="006A3437"/>
    <w:rsid w:val="006A3B93"/>
    <w:rsid w:val="006A3DC9"/>
    <w:rsid w:val="006A5E0A"/>
    <w:rsid w:val="006A63D8"/>
    <w:rsid w:val="006A6648"/>
    <w:rsid w:val="006B0032"/>
    <w:rsid w:val="006B0EA0"/>
    <w:rsid w:val="006B4330"/>
    <w:rsid w:val="006B4D3B"/>
    <w:rsid w:val="006B562B"/>
    <w:rsid w:val="006B6613"/>
    <w:rsid w:val="006C0DE4"/>
    <w:rsid w:val="006C249B"/>
    <w:rsid w:val="006C30DC"/>
    <w:rsid w:val="006C7B10"/>
    <w:rsid w:val="006D0896"/>
    <w:rsid w:val="006D0934"/>
    <w:rsid w:val="006D0CCB"/>
    <w:rsid w:val="006D27EB"/>
    <w:rsid w:val="006D2C7D"/>
    <w:rsid w:val="006D32D3"/>
    <w:rsid w:val="006D5D17"/>
    <w:rsid w:val="006D6B0F"/>
    <w:rsid w:val="006D70EF"/>
    <w:rsid w:val="006D79B2"/>
    <w:rsid w:val="006E172A"/>
    <w:rsid w:val="006E234A"/>
    <w:rsid w:val="006E499B"/>
    <w:rsid w:val="006E50E8"/>
    <w:rsid w:val="006E5F18"/>
    <w:rsid w:val="006E6306"/>
    <w:rsid w:val="006E6AB9"/>
    <w:rsid w:val="006E6E3C"/>
    <w:rsid w:val="006E7373"/>
    <w:rsid w:val="006E7794"/>
    <w:rsid w:val="006E797B"/>
    <w:rsid w:val="006F0E2D"/>
    <w:rsid w:val="006F211C"/>
    <w:rsid w:val="006F3CDB"/>
    <w:rsid w:val="006F40C5"/>
    <w:rsid w:val="006F4625"/>
    <w:rsid w:val="006F4D6E"/>
    <w:rsid w:val="00700CC2"/>
    <w:rsid w:val="007019AD"/>
    <w:rsid w:val="00702401"/>
    <w:rsid w:val="0070310B"/>
    <w:rsid w:val="00703526"/>
    <w:rsid w:val="00703800"/>
    <w:rsid w:val="00704B0F"/>
    <w:rsid w:val="00706FA4"/>
    <w:rsid w:val="00707CF2"/>
    <w:rsid w:val="007100B9"/>
    <w:rsid w:val="00710B44"/>
    <w:rsid w:val="007114D4"/>
    <w:rsid w:val="00713960"/>
    <w:rsid w:val="00714B44"/>
    <w:rsid w:val="00715510"/>
    <w:rsid w:val="0071554B"/>
    <w:rsid w:val="007200FF"/>
    <w:rsid w:val="00720567"/>
    <w:rsid w:val="007209EA"/>
    <w:rsid w:val="00720EF4"/>
    <w:rsid w:val="007215A4"/>
    <w:rsid w:val="0072265F"/>
    <w:rsid w:val="00722C6C"/>
    <w:rsid w:val="00723088"/>
    <w:rsid w:val="00723AE1"/>
    <w:rsid w:val="007250D2"/>
    <w:rsid w:val="00725E89"/>
    <w:rsid w:val="007276BE"/>
    <w:rsid w:val="007278F3"/>
    <w:rsid w:val="007323E9"/>
    <w:rsid w:val="007325F2"/>
    <w:rsid w:val="00732C03"/>
    <w:rsid w:val="00734119"/>
    <w:rsid w:val="00734D0F"/>
    <w:rsid w:val="0073632F"/>
    <w:rsid w:val="00737035"/>
    <w:rsid w:val="007374CB"/>
    <w:rsid w:val="00737811"/>
    <w:rsid w:val="00737FB2"/>
    <w:rsid w:val="00741388"/>
    <w:rsid w:val="00741551"/>
    <w:rsid w:val="00741808"/>
    <w:rsid w:val="00741BAE"/>
    <w:rsid w:val="0074279D"/>
    <w:rsid w:val="00743F3B"/>
    <w:rsid w:val="00743F78"/>
    <w:rsid w:val="00745894"/>
    <w:rsid w:val="00746A05"/>
    <w:rsid w:val="0074748B"/>
    <w:rsid w:val="00750326"/>
    <w:rsid w:val="00750FD2"/>
    <w:rsid w:val="0075106E"/>
    <w:rsid w:val="007536CE"/>
    <w:rsid w:val="00753997"/>
    <w:rsid w:val="00755C88"/>
    <w:rsid w:val="00757E4A"/>
    <w:rsid w:val="00763454"/>
    <w:rsid w:val="00763995"/>
    <w:rsid w:val="00764580"/>
    <w:rsid w:val="0076522B"/>
    <w:rsid w:val="007660A9"/>
    <w:rsid w:val="00766480"/>
    <w:rsid w:val="00766756"/>
    <w:rsid w:val="00766ED2"/>
    <w:rsid w:val="0077134E"/>
    <w:rsid w:val="00771F05"/>
    <w:rsid w:val="007729F6"/>
    <w:rsid w:val="007732F9"/>
    <w:rsid w:val="007732FB"/>
    <w:rsid w:val="007766AC"/>
    <w:rsid w:val="00776739"/>
    <w:rsid w:val="007777F1"/>
    <w:rsid w:val="00780406"/>
    <w:rsid w:val="00782E1D"/>
    <w:rsid w:val="00782E97"/>
    <w:rsid w:val="007849CC"/>
    <w:rsid w:val="007907F3"/>
    <w:rsid w:val="00792A8B"/>
    <w:rsid w:val="007941F2"/>
    <w:rsid w:val="0079444A"/>
    <w:rsid w:val="0079548A"/>
    <w:rsid w:val="0079632D"/>
    <w:rsid w:val="00796818"/>
    <w:rsid w:val="007A170A"/>
    <w:rsid w:val="007A2C9A"/>
    <w:rsid w:val="007A3652"/>
    <w:rsid w:val="007A5A18"/>
    <w:rsid w:val="007A63A5"/>
    <w:rsid w:val="007A6829"/>
    <w:rsid w:val="007A6F3E"/>
    <w:rsid w:val="007B0213"/>
    <w:rsid w:val="007B13FB"/>
    <w:rsid w:val="007B1567"/>
    <w:rsid w:val="007B185E"/>
    <w:rsid w:val="007B261A"/>
    <w:rsid w:val="007B2926"/>
    <w:rsid w:val="007B38AE"/>
    <w:rsid w:val="007B5FC4"/>
    <w:rsid w:val="007B62AE"/>
    <w:rsid w:val="007B69A9"/>
    <w:rsid w:val="007B6CEF"/>
    <w:rsid w:val="007B6F20"/>
    <w:rsid w:val="007C1582"/>
    <w:rsid w:val="007C23E9"/>
    <w:rsid w:val="007C432A"/>
    <w:rsid w:val="007C5CD1"/>
    <w:rsid w:val="007C73DD"/>
    <w:rsid w:val="007C7C13"/>
    <w:rsid w:val="007D017A"/>
    <w:rsid w:val="007D1C50"/>
    <w:rsid w:val="007D1E2B"/>
    <w:rsid w:val="007D4BD6"/>
    <w:rsid w:val="007D6403"/>
    <w:rsid w:val="007D6B07"/>
    <w:rsid w:val="007D6F93"/>
    <w:rsid w:val="007D72DA"/>
    <w:rsid w:val="007D78A0"/>
    <w:rsid w:val="007D7C88"/>
    <w:rsid w:val="007D7D41"/>
    <w:rsid w:val="007E152E"/>
    <w:rsid w:val="007E2DBE"/>
    <w:rsid w:val="007E37A9"/>
    <w:rsid w:val="007E42C6"/>
    <w:rsid w:val="007E5C5F"/>
    <w:rsid w:val="007F308F"/>
    <w:rsid w:val="007F6C8F"/>
    <w:rsid w:val="007F7554"/>
    <w:rsid w:val="007F7E44"/>
    <w:rsid w:val="00801ED3"/>
    <w:rsid w:val="0080361B"/>
    <w:rsid w:val="0080419B"/>
    <w:rsid w:val="00806B51"/>
    <w:rsid w:val="00807F57"/>
    <w:rsid w:val="00810D9A"/>
    <w:rsid w:val="00811523"/>
    <w:rsid w:val="00811A67"/>
    <w:rsid w:val="00811E87"/>
    <w:rsid w:val="00813C61"/>
    <w:rsid w:val="00814B35"/>
    <w:rsid w:val="00817081"/>
    <w:rsid w:val="00817306"/>
    <w:rsid w:val="00820D89"/>
    <w:rsid w:val="008219D7"/>
    <w:rsid w:val="00824F69"/>
    <w:rsid w:val="00826E18"/>
    <w:rsid w:val="0082750C"/>
    <w:rsid w:val="00827F3B"/>
    <w:rsid w:val="008302CD"/>
    <w:rsid w:val="00831282"/>
    <w:rsid w:val="008337BC"/>
    <w:rsid w:val="0083476B"/>
    <w:rsid w:val="00834DFD"/>
    <w:rsid w:val="00835FF9"/>
    <w:rsid w:val="00836AB5"/>
    <w:rsid w:val="00836DE3"/>
    <w:rsid w:val="008404A8"/>
    <w:rsid w:val="00846013"/>
    <w:rsid w:val="00846196"/>
    <w:rsid w:val="0084663B"/>
    <w:rsid w:val="00847B65"/>
    <w:rsid w:val="00847F60"/>
    <w:rsid w:val="00851141"/>
    <w:rsid w:val="00852E54"/>
    <w:rsid w:val="008546AF"/>
    <w:rsid w:val="00856447"/>
    <w:rsid w:val="008574A1"/>
    <w:rsid w:val="00860B68"/>
    <w:rsid w:val="00860DCD"/>
    <w:rsid w:val="008636DE"/>
    <w:rsid w:val="008638D3"/>
    <w:rsid w:val="00863A0F"/>
    <w:rsid w:val="00864655"/>
    <w:rsid w:val="008646B7"/>
    <w:rsid w:val="0086538A"/>
    <w:rsid w:val="00865C69"/>
    <w:rsid w:val="00866367"/>
    <w:rsid w:val="008664AC"/>
    <w:rsid w:val="00866571"/>
    <w:rsid w:val="008666B8"/>
    <w:rsid w:val="00872175"/>
    <w:rsid w:val="00873CDF"/>
    <w:rsid w:val="008747C7"/>
    <w:rsid w:val="00874FD5"/>
    <w:rsid w:val="0087586D"/>
    <w:rsid w:val="008765A2"/>
    <w:rsid w:val="0088073D"/>
    <w:rsid w:val="00880763"/>
    <w:rsid w:val="00881267"/>
    <w:rsid w:val="00882059"/>
    <w:rsid w:val="008823CF"/>
    <w:rsid w:val="00884237"/>
    <w:rsid w:val="008849A7"/>
    <w:rsid w:val="00884B66"/>
    <w:rsid w:val="008856EC"/>
    <w:rsid w:val="00887D3E"/>
    <w:rsid w:val="008900C8"/>
    <w:rsid w:val="00894AAE"/>
    <w:rsid w:val="00895EAB"/>
    <w:rsid w:val="00896586"/>
    <w:rsid w:val="008967C9"/>
    <w:rsid w:val="00896CFC"/>
    <w:rsid w:val="00896F15"/>
    <w:rsid w:val="00897AAB"/>
    <w:rsid w:val="008A1983"/>
    <w:rsid w:val="008A19D7"/>
    <w:rsid w:val="008A22D2"/>
    <w:rsid w:val="008A2BE2"/>
    <w:rsid w:val="008A4CD2"/>
    <w:rsid w:val="008A4E3D"/>
    <w:rsid w:val="008A5049"/>
    <w:rsid w:val="008A5056"/>
    <w:rsid w:val="008A5A3A"/>
    <w:rsid w:val="008A5BBA"/>
    <w:rsid w:val="008A6B43"/>
    <w:rsid w:val="008A6B65"/>
    <w:rsid w:val="008A7E1F"/>
    <w:rsid w:val="008B074B"/>
    <w:rsid w:val="008B0C1C"/>
    <w:rsid w:val="008B1A0C"/>
    <w:rsid w:val="008B23A5"/>
    <w:rsid w:val="008B26EB"/>
    <w:rsid w:val="008B2BAA"/>
    <w:rsid w:val="008B39D8"/>
    <w:rsid w:val="008B3E59"/>
    <w:rsid w:val="008B4B0C"/>
    <w:rsid w:val="008B4E3B"/>
    <w:rsid w:val="008B535A"/>
    <w:rsid w:val="008B6839"/>
    <w:rsid w:val="008B7366"/>
    <w:rsid w:val="008C062B"/>
    <w:rsid w:val="008C185C"/>
    <w:rsid w:val="008C1CE6"/>
    <w:rsid w:val="008C3654"/>
    <w:rsid w:val="008C7B33"/>
    <w:rsid w:val="008D1C6D"/>
    <w:rsid w:val="008D29B2"/>
    <w:rsid w:val="008D443A"/>
    <w:rsid w:val="008D6FA3"/>
    <w:rsid w:val="008E0672"/>
    <w:rsid w:val="008E3E46"/>
    <w:rsid w:val="008E4432"/>
    <w:rsid w:val="008E443C"/>
    <w:rsid w:val="008E510F"/>
    <w:rsid w:val="008E572C"/>
    <w:rsid w:val="008E6D86"/>
    <w:rsid w:val="008E6FFA"/>
    <w:rsid w:val="008F170A"/>
    <w:rsid w:val="008F295D"/>
    <w:rsid w:val="008F3A02"/>
    <w:rsid w:val="008F47F2"/>
    <w:rsid w:val="009016C9"/>
    <w:rsid w:val="00901E9E"/>
    <w:rsid w:val="00903B81"/>
    <w:rsid w:val="009049AB"/>
    <w:rsid w:val="009069ED"/>
    <w:rsid w:val="00906E39"/>
    <w:rsid w:val="00907CA3"/>
    <w:rsid w:val="00910476"/>
    <w:rsid w:val="00910478"/>
    <w:rsid w:val="00911542"/>
    <w:rsid w:val="00912E62"/>
    <w:rsid w:val="00913192"/>
    <w:rsid w:val="0091469D"/>
    <w:rsid w:val="00914925"/>
    <w:rsid w:val="00914D98"/>
    <w:rsid w:val="00915CAD"/>
    <w:rsid w:val="009161A5"/>
    <w:rsid w:val="0091638B"/>
    <w:rsid w:val="009232D8"/>
    <w:rsid w:val="009233DC"/>
    <w:rsid w:val="009240DD"/>
    <w:rsid w:val="009267FB"/>
    <w:rsid w:val="009279EB"/>
    <w:rsid w:val="00931A57"/>
    <w:rsid w:val="00934C6C"/>
    <w:rsid w:val="009354E5"/>
    <w:rsid w:val="0093553D"/>
    <w:rsid w:val="0094163E"/>
    <w:rsid w:val="00942853"/>
    <w:rsid w:val="00942C9E"/>
    <w:rsid w:val="00942EED"/>
    <w:rsid w:val="00943BC5"/>
    <w:rsid w:val="009444C4"/>
    <w:rsid w:val="009446AB"/>
    <w:rsid w:val="00944C5B"/>
    <w:rsid w:val="00946101"/>
    <w:rsid w:val="00950276"/>
    <w:rsid w:val="00951C0D"/>
    <w:rsid w:val="009546D9"/>
    <w:rsid w:val="0095725D"/>
    <w:rsid w:val="0095796F"/>
    <w:rsid w:val="009600B8"/>
    <w:rsid w:val="009631BF"/>
    <w:rsid w:val="00963312"/>
    <w:rsid w:val="0096523C"/>
    <w:rsid w:val="009652C0"/>
    <w:rsid w:val="009670FA"/>
    <w:rsid w:val="0096722B"/>
    <w:rsid w:val="009673BE"/>
    <w:rsid w:val="0097026F"/>
    <w:rsid w:val="00971824"/>
    <w:rsid w:val="009756ED"/>
    <w:rsid w:val="00975B64"/>
    <w:rsid w:val="009760E6"/>
    <w:rsid w:val="00976D72"/>
    <w:rsid w:val="00977AEA"/>
    <w:rsid w:val="00980809"/>
    <w:rsid w:val="009808E0"/>
    <w:rsid w:val="0098174E"/>
    <w:rsid w:val="00981B55"/>
    <w:rsid w:val="00982D0F"/>
    <w:rsid w:val="00983BB8"/>
    <w:rsid w:val="0098533A"/>
    <w:rsid w:val="009861D9"/>
    <w:rsid w:val="00987F22"/>
    <w:rsid w:val="009903CF"/>
    <w:rsid w:val="00990825"/>
    <w:rsid w:val="00990E66"/>
    <w:rsid w:val="0099109B"/>
    <w:rsid w:val="009910CE"/>
    <w:rsid w:val="009920BC"/>
    <w:rsid w:val="009921E8"/>
    <w:rsid w:val="00993BF0"/>
    <w:rsid w:val="00993D47"/>
    <w:rsid w:val="009940CC"/>
    <w:rsid w:val="00994953"/>
    <w:rsid w:val="00995260"/>
    <w:rsid w:val="009A1D7F"/>
    <w:rsid w:val="009A2655"/>
    <w:rsid w:val="009A2B24"/>
    <w:rsid w:val="009A3492"/>
    <w:rsid w:val="009A3662"/>
    <w:rsid w:val="009A469B"/>
    <w:rsid w:val="009A507F"/>
    <w:rsid w:val="009A62F6"/>
    <w:rsid w:val="009B0B78"/>
    <w:rsid w:val="009B18C8"/>
    <w:rsid w:val="009B257E"/>
    <w:rsid w:val="009B258A"/>
    <w:rsid w:val="009B285B"/>
    <w:rsid w:val="009B4054"/>
    <w:rsid w:val="009B4717"/>
    <w:rsid w:val="009B6BA7"/>
    <w:rsid w:val="009B70E7"/>
    <w:rsid w:val="009B73BC"/>
    <w:rsid w:val="009B75B1"/>
    <w:rsid w:val="009C2283"/>
    <w:rsid w:val="009C26F8"/>
    <w:rsid w:val="009C285D"/>
    <w:rsid w:val="009C3636"/>
    <w:rsid w:val="009C3A5F"/>
    <w:rsid w:val="009C712C"/>
    <w:rsid w:val="009D0F8B"/>
    <w:rsid w:val="009D1368"/>
    <w:rsid w:val="009D37B1"/>
    <w:rsid w:val="009D3A47"/>
    <w:rsid w:val="009D3D0D"/>
    <w:rsid w:val="009D50CD"/>
    <w:rsid w:val="009D5449"/>
    <w:rsid w:val="009E0586"/>
    <w:rsid w:val="009E09EB"/>
    <w:rsid w:val="009E1DEE"/>
    <w:rsid w:val="009E3E1B"/>
    <w:rsid w:val="009E4E8D"/>
    <w:rsid w:val="009E645B"/>
    <w:rsid w:val="009E6614"/>
    <w:rsid w:val="009F07BA"/>
    <w:rsid w:val="009F34E1"/>
    <w:rsid w:val="009F539C"/>
    <w:rsid w:val="009F6387"/>
    <w:rsid w:val="009F63A5"/>
    <w:rsid w:val="009F6635"/>
    <w:rsid w:val="009F7621"/>
    <w:rsid w:val="00A0131C"/>
    <w:rsid w:val="00A01C5D"/>
    <w:rsid w:val="00A03E52"/>
    <w:rsid w:val="00A051FB"/>
    <w:rsid w:val="00A06F04"/>
    <w:rsid w:val="00A0775B"/>
    <w:rsid w:val="00A077AC"/>
    <w:rsid w:val="00A1257F"/>
    <w:rsid w:val="00A12AF0"/>
    <w:rsid w:val="00A1331C"/>
    <w:rsid w:val="00A13329"/>
    <w:rsid w:val="00A1333A"/>
    <w:rsid w:val="00A147DD"/>
    <w:rsid w:val="00A15E50"/>
    <w:rsid w:val="00A15EE1"/>
    <w:rsid w:val="00A164C0"/>
    <w:rsid w:val="00A1729D"/>
    <w:rsid w:val="00A174A4"/>
    <w:rsid w:val="00A176E3"/>
    <w:rsid w:val="00A17A56"/>
    <w:rsid w:val="00A21803"/>
    <w:rsid w:val="00A22D23"/>
    <w:rsid w:val="00A2331F"/>
    <w:rsid w:val="00A23CBF"/>
    <w:rsid w:val="00A24BCE"/>
    <w:rsid w:val="00A2538E"/>
    <w:rsid w:val="00A25A97"/>
    <w:rsid w:val="00A25B72"/>
    <w:rsid w:val="00A25FD3"/>
    <w:rsid w:val="00A269B3"/>
    <w:rsid w:val="00A26EAB"/>
    <w:rsid w:val="00A26EFB"/>
    <w:rsid w:val="00A30C18"/>
    <w:rsid w:val="00A30F31"/>
    <w:rsid w:val="00A31F76"/>
    <w:rsid w:val="00A32B12"/>
    <w:rsid w:val="00A32ECD"/>
    <w:rsid w:val="00A332DD"/>
    <w:rsid w:val="00A348F8"/>
    <w:rsid w:val="00A3529A"/>
    <w:rsid w:val="00A3551D"/>
    <w:rsid w:val="00A35686"/>
    <w:rsid w:val="00A37A69"/>
    <w:rsid w:val="00A403D3"/>
    <w:rsid w:val="00A41E04"/>
    <w:rsid w:val="00A4241C"/>
    <w:rsid w:val="00A4391F"/>
    <w:rsid w:val="00A43B3E"/>
    <w:rsid w:val="00A443A6"/>
    <w:rsid w:val="00A4451B"/>
    <w:rsid w:val="00A44D4A"/>
    <w:rsid w:val="00A4689C"/>
    <w:rsid w:val="00A46DC8"/>
    <w:rsid w:val="00A47D4F"/>
    <w:rsid w:val="00A5036E"/>
    <w:rsid w:val="00A504DA"/>
    <w:rsid w:val="00A50EFD"/>
    <w:rsid w:val="00A52EB1"/>
    <w:rsid w:val="00A5370F"/>
    <w:rsid w:val="00A54B10"/>
    <w:rsid w:val="00A54C90"/>
    <w:rsid w:val="00A5502F"/>
    <w:rsid w:val="00A56C9B"/>
    <w:rsid w:val="00A57E9E"/>
    <w:rsid w:val="00A57F44"/>
    <w:rsid w:val="00A60030"/>
    <w:rsid w:val="00A60873"/>
    <w:rsid w:val="00A60BD4"/>
    <w:rsid w:val="00A61365"/>
    <w:rsid w:val="00A61377"/>
    <w:rsid w:val="00A62439"/>
    <w:rsid w:val="00A62A9E"/>
    <w:rsid w:val="00A637EA"/>
    <w:rsid w:val="00A64110"/>
    <w:rsid w:val="00A641E8"/>
    <w:rsid w:val="00A65DA1"/>
    <w:rsid w:val="00A66187"/>
    <w:rsid w:val="00A668C9"/>
    <w:rsid w:val="00A66E4D"/>
    <w:rsid w:val="00A6711C"/>
    <w:rsid w:val="00A67A0B"/>
    <w:rsid w:val="00A67A1D"/>
    <w:rsid w:val="00A7048C"/>
    <w:rsid w:val="00A72BC5"/>
    <w:rsid w:val="00A7338A"/>
    <w:rsid w:val="00A74AE1"/>
    <w:rsid w:val="00A7530C"/>
    <w:rsid w:val="00A76334"/>
    <w:rsid w:val="00A7660B"/>
    <w:rsid w:val="00A76F4C"/>
    <w:rsid w:val="00A7761D"/>
    <w:rsid w:val="00A80944"/>
    <w:rsid w:val="00A82B71"/>
    <w:rsid w:val="00A82E7A"/>
    <w:rsid w:val="00A831D0"/>
    <w:rsid w:val="00A83982"/>
    <w:rsid w:val="00A83A5B"/>
    <w:rsid w:val="00A83E50"/>
    <w:rsid w:val="00A85337"/>
    <w:rsid w:val="00A87B7F"/>
    <w:rsid w:val="00A907BF"/>
    <w:rsid w:val="00A90F88"/>
    <w:rsid w:val="00A9229B"/>
    <w:rsid w:val="00A935F3"/>
    <w:rsid w:val="00A94731"/>
    <w:rsid w:val="00A952EE"/>
    <w:rsid w:val="00A964A4"/>
    <w:rsid w:val="00A966AD"/>
    <w:rsid w:val="00A9778E"/>
    <w:rsid w:val="00AA1215"/>
    <w:rsid w:val="00AA20FC"/>
    <w:rsid w:val="00AA4C67"/>
    <w:rsid w:val="00AA60E7"/>
    <w:rsid w:val="00AA6AAB"/>
    <w:rsid w:val="00AA7807"/>
    <w:rsid w:val="00AB0816"/>
    <w:rsid w:val="00AB0D49"/>
    <w:rsid w:val="00AB1477"/>
    <w:rsid w:val="00AB1A56"/>
    <w:rsid w:val="00AB2CC5"/>
    <w:rsid w:val="00AB440B"/>
    <w:rsid w:val="00AB6733"/>
    <w:rsid w:val="00AC0F4A"/>
    <w:rsid w:val="00AC20E4"/>
    <w:rsid w:val="00AC264C"/>
    <w:rsid w:val="00AC2C69"/>
    <w:rsid w:val="00AC2E55"/>
    <w:rsid w:val="00AC2FEC"/>
    <w:rsid w:val="00AC42AB"/>
    <w:rsid w:val="00AC4DC8"/>
    <w:rsid w:val="00AC6C07"/>
    <w:rsid w:val="00AC6C50"/>
    <w:rsid w:val="00AC6D7A"/>
    <w:rsid w:val="00AC6F8B"/>
    <w:rsid w:val="00AC7345"/>
    <w:rsid w:val="00AD041C"/>
    <w:rsid w:val="00AD21D0"/>
    <w:rsid w:val="00AD376C"/>
    <w:rsid w:val="00AD39DF"/>
    <w:rsid w:val="00AD448D"/>
    <w:rsid w:val="00AD5070"/>
    <w:rsid w:val="00AD637E"/>
    <w:rsid w:val="00AD6BA0"/>
    <w:rsid w:val="00AD7F02"/>
    <w:rsid w:val="00AE0D69"/>
    <w:rsid w:val="00AE1AB0"/>
    <w:rsid w:val="00AE2444"/>
    <w:rsid w:val="00AE24B0"/>
    <w:rsid w:val="00AE40AF"/>
    <w:rsid w:val="00AE54C6"/>
    <w:rsid w:val="00AE6588"/>
    <w:rsid w:val="00AE6D96"/>
    <w:rsid w:val="00AE6F00"/>
    <w:rsid w:val="00AE7897"/>
    <w:rsid w:val="00AE7B9C"/>
    <w:rsid w:val="00AE7FBB"/>
    <w:rsid w:val="00AF04CD"/>
    <w:rsid w:val="00AF252D"/>
    <w:rsid w:val="00AF27E8"/>
    <w:rsid w:val="00AF2C0D"/>
    <w:rsid w:val="00AF5703"/>
    <w:rsid w:val="00AF63B8"/>
    <w:rsid w:val="00B0099E"/>
    <w:rsid w:val="00B00EE1"/>
    <w:rsid w:val="00B012F2"/>
    <w:rsid w:val="00B01323"/>
    <w:rsid w:val="00B01C82"/>
    <w:rsid w:val="00B01C94"/>
    <w:rsid w:val="00B01EED"/>
    <w:rsid w:val="00B03E3D"/>
    <w:rsid w:val="00B042D7"/>
    <w:rsid w:val="00B04E17"/>
    <w:rsid w:val="00B06160"/>
    <w:rsid w:val="00B06581"/>
    <w:rsid w:val="00B0785F"/>
    <w:rsid w:val="00B103E0"/>
    <w:rsid w:val="00B10580"/>
    <w:rsid w:val="00B10B36"/>
    <w:rsid w:val="00B12254"/>
    <w:rsid w:val="00B136C8"/>
    <w:rsid w:val="00B13714"/>
    <w:rsid w:val="00B1491C"/>
    <w:rsid w:val="00B14E15"/>
    <w:rsid w:val="00B1548D"/>
    <w:rsid w:val="00B15E40"/>
    <w:rsid w:val="00B17AE0"/>
    <w:rsid w:val="00B17C47"/>
    <w:rsid w:val="00B2000C"/>
    <w:rsid w:val="00B20385"/>
    <w:rsid w:val="00B211F3"/>
    <w:rsid w:val="00B22686"/>
    <w:rsid w:val="00B22D60"/>
    <w:rsid w:val="00B22E6A"/>
    <w:rsid w:val="00B23065"/>
    <w:rsid w:val="00B230AA"/>
    <w:rsid w:val="00B23E20"/>
    <w:rsid w:val="00B247FF"/>
    <w:rsid w:val="00B25707"/>
    <w:rsid w:val="00B26EB9"/>
    <w:rsid w:val="00B27886"/>
    <w:rsid w:val="00B30CF6"/>
    <w:rsid w:val="00B30DAF"/>
    <w:rsid w:val="00B3103A"/>
    <w:rsid w:val="00B3266E"/>
    <w:rsid w:val="00B33ABE"/>
    <w:rsid w:val="00B33AD2"/>
    <w:rsid w:val="00B370FF"/>
    <w:rsid w:val="00B37E78"/>
    <w:rsid w:val="00B4109B"/>
    <w:rsid w:val="00B42A24"/>
    <w:rsid w:val="00B44DBA"/>
    <w:rsid w:val="00B4500E"/>
    <w:rsid w:val="00B467C8"/>
    <w:rsid w:val="00B47E62"/>
    <w:rsid w:val="00B50866"/>
    <w:rsid w:val="00B514E7"/>
    <w:rsid w:val="00B51EE9"/>
    <w:rsid w:val="00B53AD1"/>
    <w:rsid w:val="00B540FB"/>
    <w:rsid w:val="00B54AFD"/>
    <w:rsid w:val="00B55E6D"/>
    <w:rsid w:val="00B56A6D"/>
    <w:rsid w:val="00B5725C"/>
    <w:rsid w:val="00B57BB5"/>
    <w:rsid w:val="00B603A1"/>
    <w:rsid w:val="00B60E6E"/>
    <w:rsid w:val="00B61005"/>
    <w:rsid w:val="00B6144C"/>
    <w:rsid w:val="00B6282F"/>
    <w:rsid w:val="00B628BD"/>
    <w:rsid w:val="00B62A93"/>
    <w:rsid w:val="00B62DD3"/>
    <w:rsid w:val="00B6321B"/>
    <w:rsid w:val="00B633FA"/>
    <w:rsid w:val="00B64626"/>
    <w:rsid w:val="00B66266"/>
    <w:rsid w:val="00B67618"/>
    <w:rsid w:val="00B67DDF"/>
    <w:rsid w:val="00B700BD"/>
    <w:rsid w:val="00B704BF"/>
    <w:rsid w:val="00B711C3"/>
    <w:rsid w:val="00B729E6"/>
    <w:rsid w:val="00B73D82"/>
    <w:rsid w:val="00B73F96"/>
    <w:rsid w:val="00B74365"/>
    <w:rsid w:val="00B74543"/>
    <w:rsid w:val="00B74DFC"/>
    <w:rsid w:val="00B77D79"/>
    <w:rsid w:val="00B82717"/>
    <w:rsid w:val="00B90EE8"/>
    <w:rsid w:val="00B913E1"/>
    <w:rsid w:val="00B979D3"/>
    <w:rsid w:val="00B97F7A"/>
    <w:rsid w:val="00BA320E"/>
    <w:rsid w:val="00BA5033"/>
    <w:rsid w:val="00BA5176"/>
    <w:rsid w:val="00BB33BE"/>
    <w:rsid w:val="00BB3AB2"/>
    <w:rsid w:val="00BB4D44"/>
    <w:rsid w:val="00BB6134"/>
    <w:rsid w:val="00BC1BAC"/>
    <w:rsid w:val="00BC2D1C"/>
    <w:rsid w:val="00BC4530"/>
    <w:rsid w:val="00BC48CF"/>
    <w:rsid w:val="00BC6F22"/>
    <w:rsid w:val="00BC73DC"/>
    <w:rsid w:val="00BC7A52"/>
    <w:rsid w:val="00BD1209"/>
    <w:rsid w:val="00BD1346"/>
    <w:rsid w:val="00BD1CB0"/>
    <w:rsid w:val="00BD1D46"/>
    <w:rsid w:val="00BD2070"/>
    <w:rsid w:val="00BD2D23"/>
    <w:rsid w:val="00BD55FD"/>
    <w:rsid w:val="00BD5C43"/>
    <w:rsid w:val="00BD723F"/>
    <w:rsid w:val="00BD748C"/>
    <w:rsid w:val="00BE078F"/>
    <w:rsid w:val="00BE1074"/>
    <w:rsid w:val="00BE2FEB"/>
    <w:rsid w:val="00BE522C"/>
    <w:rsid w:val="00BF15FD"/>
    <w:rsid w:val="00BF1B0B"/>
    <w:rsid w:val="00BF2CF6"/>
    <w:rsid w:val="00BF4555"/>
    <w:rsid w:val="00BF47F0"/>
    <w:rsid w:val="00BF5A35"/>
    <w:rsid w:val="00C01362"/>
    <w:rsid w:val="00C01E3D"/>
    <w:rsid w:val="00C02913"/>
    <w:rsid w:val="00C042D5"/>
    <w:rsid w:val="00C05D1E"/>
    <w:rsid w:val="00C102E1"/>
    <w:rsid w:val="00C10D77"/>
    <w:rsid w:val="00C11CEA"/>
    <w:rsid w:val="00C12577"/>
    <w:rsid w:val="00C144D4"/>
    <w:rsid w:val="00C15380"/>
    <w:rsid w:val="00C155AD"/>
    <w:rsid w:val="00C168FA"/>
    <w:rsid w:val="00C17BD2"/>
    <w:rsid w:val="00C207F9"/>
    <w:rsid w:val="00C20824"/>
    <w:rsid w:val="00C2178D"/>
    <w:rsid w:val="00C22031"/>
    <w:rsid w:val="00C239F6"/>
    <w:rsid w:val="00C23C12"/>
    <w:rsid w:val="00C25725"/>
    <w:rsid w:val="00C27F37"/>
    <w:rsid w:val="00C3285F"/>
    <w:rsid w:val="00C3289B"/>
    <w:rsid w:val="00C33412"/>
    <w:rsid w:val="00C33874"/>
    <w:rsid w:val="00C33916"/>
    <w:rsid w:val="00C377E3"/>
    <w:rsid w:val="00C37BD3"/>
    <w:rsid w:val="00C37C66"/>
    <w:rsid w:val="00C40187"/>
    <w:rsid w:val="00C40CA9"/>
    <w:rsid w:val="00C4221E"/>
    <w:rsid w:val="00C42968"/>
    <w:rsid w:val="00C447EE"/>
    <w:rsid w:val="00C454D9"/>
    <w:rsid w:val="00C510C7"/>
    <w:rsid w:val="00C52170"/>
    <w:rsid w:val="00C529A7"/>
    <w:rsid w:val="00C52C64"/>
    <w:rsid w:val="00C534A3"/>
    <w:rsid w:val="00C53EA5"/>
    <w:rsid w:val="00C546AF"/>
    <w:rsid w:val="00C54EFD"/>
    <w:rsid w:val="00C55376"/>
    <w:rsid w:val="00C5649A"/>
    <w:rsid w:val="00C56846"/>
    <w:rsid w:val="00C60006"/>
    <w:rsid w:val="00C60B7E"/>
    <w:rsid w:val="00C6158F"/>
    <w:rsid w:val="00C6210B"/>
    <w:rsid w:val="00C6316A"/>
    <w:rsid w:val="00C6408D"/>
    <w:rsid w:val="00C651C9"/>
    <w:rsid w:val="00C66D7A"/>
    <w:rsid w:val="00C67674"/>
    <w:rsid w:val="00C7077C"/>
    <w:rsid w:val="00C70F02"/>
    <w:rsid w:val="00C7374E"/>
    <w:rsid w:val="00C73C2F"/>
    <w:rsid w:val="00C74A93"/>
    <w:rsid w:val="00C75336"/>
    <w:rsid w:val="00C75802"/>
    <w:rsid w:val="00C76740"/>
    <w:rsid w:val="00C76776"/>
    <w:rsid w:val="00C76D4E"/>
    <w:rsid w:val="00C76D69"/>
    <w:rsid w:val="00C806F5"/>
    <w:rsid w:val="00C807B6"/>
    <w:rsid w:val="00C80BAC"/>
    <w:rsid w:val="00C81DB4"/>
    <w:rsid w:val="00C82C84"/>
    <w:rsid w:val="00C82FF7"/>
    <w:rsid w:val="00C83486"/>
    <w:rsid w:val="00C8513F"/>
    <w:rsid w:val="00C85870"/>
    <w:rsid w:val="00C85EF2"/>
    <w:rsid w:val="00C87635"/>
    <w:rsid w:val="00C903D5"/>
    <w:rsid w:val="00C90DBD"/>
    <w:rsid w:val="00C91434"/>
    <w:rsid w:val="00C92B4D"/>
    <w:rsid w:val="00C9434F"/>
    <w:rsid w:val="00C96FB0"/>
    <w:rsid w:val="00C97BC2"/>
    <w:rsid w:val="00C97FE1"/>
    <w:rsid w:val="00CA04CE"/>
    <w:rsid w:val="00CA3551"/>
    <w:rsid w:val="00CA3B17"/>
    <w:rsid w:val="00CA62DF"/>
    <w:rsid w:val="00CA7249"/>
    <w:rsid w:val="00CA7ACB"/>
    <w:rsid w:val="00CB2293"/>
    <w:rsid w:val="00CB38B5"/>
    <w:rsid w:val="00CB5AD8"/>
    <w:rsid w:val="00CB5E9D"/>
    <w:rsid w:val="00CB7EC0"/>
    <w:rsid w:val="00CC2693"/>
    <w:rsid w:val="00CC45D2"/>
    <w:rsid w:val="00CC5EAD"/>
    <w:rsid w:val="00CD0D29"/>
    <w:rsid w:val="00CD1887"/>
    <w:rsid w:val="00CD2F5B"/>
    <w:rsid w:val="00CD493E"/>
    <w:rsid w:val="00CD585A"/>
    <w:rsid w:val="00CD61A4"/>
    <w:rsid w:val="00CD64D5"/>
    <w:rsid w:val="00CD6DAA"/>
    <w:rsid w:val="00CD723E"/>
    <w:rsid w:val="00CD75E8"/>
    <w:rsid w:val="00CE2235"/>
    <w:rsid w:val="00CE3659"/>
    <w:rsid w:val="00CE42AB"/>
    <w:rsid w:val="00CE5B22"/>
    <w:rsid w:val="00CE6EF8"/>
    <w:rsid w:val="00CF05A9"/>
    <w:rsid w:val="00CF0E28"/>
    <w:rsid w:val="00CF114F"/>
    <w:rsid w:val="00CF148B"/>
    <w:rsid w:val="00CF27C7"/>
    <w:rsid w:val="00CF2BEA"/>
    <w:rsid w:val="00CF5DC4"/>
    <w:rsid w:val="00CF65DE"/>
    <w:rsid w:val="00CF7347"/>
    <w:rsid w:val="00CF771E"/>
    <w:rsid w:val="00CF7FB2"/>
    <w:rsid w:val="00D0076C"/>
    <w:rsid w:val="00D016BF"/>
    <w:rsid w:val="00D01E81"/>
    <w:rsid w:val="00D02EC5"/>
    <w:rsid w:val="00D03F82"/>
    <w:rsid w:val="00D04707"/>
    <w:rsid w:val="00D0486F"/>
    <w:rsid w:val="00D059C2"/>
    <w:rsid w:val="00D0729C"/>
    <w:rsid w:val="00D1023C"/>
    <w:rsid w:val="00D10975"/>
    <w:rsid w:val="00D109CA"/>
    <w:rsid w:val="00D110D7"/>
    <w:rsid w:val="00D11836"/>
    <w:rsid w:val="00D13B85"/>
    <w:rsid w:val="00D13F01"/>
    <w:rsid w:val="00D15D7C"/>
    <w:rsid w:val="00D2185D"/>
    <w:rsid w:val="00D22541"/>
    <w:rsid w:val="00D2286E"/>
    <w:rsid w:val="00D22973"/>
    <w:rsid w:val="00D22F45"/>
    <w:rsid w:val="00D26176"/>
    <w:rsid w:val="00D30BB8"/>
    <w:rsid w:val="00D32418"/>
    <w:rsid w:val="00D340EE"/>
    <w:rsid w:val="00D3588F"/>
    <w:rsid w:val="00D35CF4"/>
    <w:rsid w:val="00D363C2"/>
    <w:rsid w:val="00D37B81"/>
    <w:rsid w:val="00D37DB1"/>
    <w:rsid w:val="00D40BA9"/>
    <w:rsid w:val="00D4121E"/>
    <w:rsid w:val="00D41295"/>
    <w:rsid w:val="00D41B89"/>
    <w:rsid w:val="00D425BB"/>
    <w:rsid w:val="00D42653"/>
    <w:rsid w:val="00D43ABE"/>
    <w:rsid w:val="00D4412B"/>
    <w:rsid w:val="00D44181"/>
    <w:rsid w:val="00D4770B"/>
    <w:rsid w:val="00D478CD"/>
    <w:rsid w:val="00D51EF9"/>
    <w:rsid w:val="00D53163"/>
    <w:rsid w:val="00D53ECA"/>
    <w:rsid w:val="00D544BC"/>
    <w:rsid w:val="00D55B6E"/>
    <w:rsid w:val="00D569D1"/>
    <w:rsid w:val="00D56C01"/>
    <w:rsid w:val="00D56C2C"/>
    <w:rsid w:val="00D571A2"/>
    <w:rsid w:val="00D57732"/>
    <w:rsid w:val="00D602EE"/>
    <w:rsid w:val="00D62BDA"/>
    <w:rsid w:val="00D6497B"/>
    <w:rsid w:val="00D64AA2"/>
    <w:rsid w:val="00D65B4C"/>
    <w:rsid w:val="00D665C8"/>
    <w:rsid w:val="00D7179F"/>
    <w:rsid w:val="00D73C4F"/>
    <w:rsid w:val="00D7429E"/>
    <w:rsid w:val="00D75997"/>
    <w:rsid w:val="00D80F9C"/>
    <w:rsid w:val="00D811B8"/>
    <w:rsid w:val="00D82A68"/>
    <w:rsid w:val="00D8402C"/>
    <w:rsid w:val="00D8530C"/>
    <w:rsid w:val="00D8632B"/>
    <w:rsid w:val="00D87890"/>
    <w:rsid w:val="00D87B8C"/>
    <w:rsid w:val="00D90063"/>
    <w:rsid w:val="00D91665"/>
    <w:rsid w:val="00D95EC6"/>
    <w:rsid w:val="00D97277"/>
    <w:rsid w:val="00DA5E3D"/>
    <w:rsid w:val="00DB166C"/>
    <w:rsid w:val="00DB26D8"/>
    <w:rsid w:val="00DB37B0"/>
    <w:rsid w:val="00DB3D22"/>
    <w:rsid w:val="00DB419C"/>
    <w:rsid w:val="00DB42B7"/>
    <w:rsid w:val="00DB46FA"/>
    <w:rsid w:val="00DB4AC0"/>
    <w:rsid w:val="00DB4DE3"/>
    <w:rsid w:val="00DB556A"/>
    <w:rsid w:val="00DB6799"/>
    <w:rsid w:val="00DC0302"/>
    <w:rsid w:val="00DC08A6"/>
    <w:rsid w:val="00DC11CB"/>
    <w:rsid w:val="00DC185D"/>
    <w:rsid w:val="00DC375E"/>
    <w:rsid w:val="00DC4C23"/>
    <w:rsid w:val="00DC4F3C"/>
    <w:rsid w:val="00DC555E"/>
    <w:rsid w:val="00DC6025"/>
    <w:rsid w:val="00DD1306"/>
    <w:rsid w:val="00DD5BE6"/>
    <w:rsid w:val="00DD6305"/>
    <w:rsid w:val="00DD65DF"/>
    <w:rsid w:val="00DD6DB3"/>
    <w:rsid w:val="00DE14AD"/>
    <w:rsid w:val="00DE168A"/>
    <w:rsid w:val="00DE2575"/>
    <w:rsid w:val="00DE26D3"/>
    <w:rsid w:val="00DE2C1E"/>
    <w:rsid w:val="00DE4231"/>
    <w:rsid w:val="00DE4526"/>
    <w:rsid w:val="00DE735F"/>
    <w:rsid w:val="00DF189C"/>
    <w:rsid w:val="00DF211E"/>
    <w:rsid w:val="00DF38DA"/>
    <w:rsid w:val="00DF3D90"/>
    <w:rsid w:val="00DF45DF"/>
    <w:rsid w:val="00DF71C7"/>
    <w:rsid w:val="00DF7E30"/>
    <w:rsid w:val="00E0162C"/>
    <w:rsid w:val="00E01A06"/>
    <w:rsid w:val="00E029A1"/>
    <w:rsid w:val="00E033B9"/>
    <w:rsid w:val="00E03516"/>
    <w:rsid w:val="00E041B5"/>
    <w:rsid w:val="00E10C25"/>
    <w:rsid w:val="00E11E5E"/>
    <w:rsid w:val="00E1340D"/>
    <w:rsid w:val="00E13F0F"/>
    <w:rsid w:val="00E1591E"/>
    <w:rsid w:val="00E15BB4"/>
    <w:rsid w:val="00E16A85"/>
    <w:rsid w:val="00E204E6"/>
    <w:rsid w:val="00E2737B"/>
    <w:rsid w:val="00E27AB7"/>
    <w:rsid w:val="00E3085D"/>
    <w:rsid w:val="00E314E4"/>
    <w:rsid w:val="00E325C0"/>
    <w:rsid w:val="00E34B8F"/>
    <w:rsid w:val="00E379D4"/>
    <w:rsid w:val="00E37BC9"/>
    <w:rsid w:val="00E40803"/>
    <w:rsid w:val="00E40B89"/>
    <w:rsid w:val="00E41ECB"/>
    <w:rsid w:val="00E43B99"/>
    <w:rsid w:val="00E44948"/>
    <w:rsid w:val="00E45745"/>
    <w:rsid w:val="00E4626E"/>
    <w:rsid w:val="00E4637F"/>
    <w:rsid w:val="00E47A0A"/>
    <w:rsid w:val="00E520A0"/>
    <w:rsid w:val="00E523BD"/>
    <w:rsid w:val="00E52D92"/>
    <w:rsid w:val="00E53F7F"/>
    <w:rsid w:val="00E542A9"/>
    <w:rsid w:val="00E546F7"/>
    <w:rsid w:val="00E54762"/>
    <w:rsid w:val="00E56A05"/>
    <w:rsid w:val="00E60142"/>
    <w:rsid w:val="00E6275E"/>
    <w:rsid w:val="00E62D57"/>
    <w:rsid w:val="00E63087"/>
    <w:rsid w:val="00E638AA"/>
    <w:rsid w:val="00E638AB"/>
    <w:rsid w:val="00E645C9"/>
    <w:rsid w:val="00E66985"/>
    <w:rsid w:val="00E66F33"/>
    <w:rsid w:val="00E67D06"/>
    <w:rsid w:val="00E72708"/>
    <w:rsid w:val="00E7367E"/>
    <w:rsid w:val="00E75236"/>
    <w:rsid w:val="00E7580D"/>
    <w:rsid w:val="00E75B1C"/>
    <w:rsid w:val="00E75B5C"/>
    <w:rsid w:val="00E809DB"/>
    <w:rsid w:val="00E80DAA"/>
    <w:rsid w:val="00E81D41"/>
    <w:rsid w:val="00E84974"/>
    <w:rsid w:val="00E84E02"/>
    <w:rsid w:val="00E84E93"/>
    <w:rsid w:val="00E85B66"/>
    <w:rsid w:val="00E85EC7"/>
    <w:rsid w:val="00E85EF9"/>
    <w:rsid w:val="00E874EB"/>
    <w:rsid w:val="00E87588"/>
    <w:rsid w:val="00E8784A"/>
    <w:rsid w:val="00E87C19"/>
    <w:rsid w:val="00E90832"/>
    <w:rsid w:val="00E92F25"/>
    <w:rsid w:val="00E97341"/>
    <w:rsid w:val="00EA1E98"/>
    <w:rsid w:val="00EA207F"/>
    <w:rsid w:val="00EA256C"/>
    <w:rsid w:val="00EA3164"/>
    <w:rsid w:val="00EA34C4"/>
    <w:rsid w:val="00EA491F"/>
    <w:rsid w:val="00EA506A"/>
    <w:rsid w:val="00EA5B3C"/>
    <w:rsid w:val="00EA5E71"/>
    <w:rsid w:val="00EB0653"/>
    <w:rsid w:val="00EB3E7A"/>
    <w:rsid w:val="00EB48A2"/>
    <w:rsid w:val="00EB4D4F"/>
    <w:rsid w:val="00EB6DAF"/>
    <w:rsid w:val="00EC1BDD"/>
    <w:rsid w:val="00EC1E99"/>
    <w:rsid w:val="00EC2AE0"/>
    <w:rsid w:val="00EC40D2"/>
    <w:rsid w:val="00EC4583"/>
    <w:rsid w:val="00EC48B6"/>
    <w:rsid w:val="00EC5C1A"/>
    <w:rsid w:val="00EC6706"/>
    <w:rsid w:val="00ED071F"/>
    <w:rsid w:val="00ED0E4F"/>
    <w:rsid w:val="00ED0EC6"/>
    <w:rsid w:val="00ED15EE"/>
    <w:rsid w:val="00ED22B5"/>
    <w:rsid w:val="00ED2FEF"/>
    <w:rsid w:val="00ED31D5"/>
    <w:rsid w:val="00ED4BCB"/>
    <w:rsid w:val="00ED4BFD"/>
    <w:rsid w:val="00ED77CB"/>
    <w:rsid w:val="00EE0035"/>
    <w:rsid w:val="00EE0325"/>
    <w:rsid w:val="00EE107C"/>
    <w:rsid w:val="00EE2157"/>
    <w:rsid w:val="00EE29F3"/>
    <w:rsid w:val="00EE3C12"/>
    <w:rsid w:val="00EE5D69"/>
    <w:rsid w:val="00EE6516"/>
    <w:rsid w:val="00EE6629"/>
    <w:rsid w:val="00EE6868"/>
    <w:rsid w:val="00EE6A0E"/>
    <w:rsid w:val="00EE761A"/>
    <w:rsid w:val="00EF068E"/>
    <w:rsid w:val="00EF07A8"/>
    <w:rsid w:val="00EF25BD"/>
    <w:rsid w:val="00EF3C55"/>
    <w:rsid w:val="00EF4792"/>
    <w:rsid w:val="00EF4D98"/>
    <w:rsid w:val="00EF5060"/>
    <w:rsid w:val="00EF6C08"/>
    <w:rsid w:val="00EF6CE8"/>
    <w:rsid w:val="00EF744D"/>
    <w:rsid w:val="00EF7A5A"/>
    <w:rsid w:val="00F00E1A"/>
    <w:rsid w:val="00F02F0E"/>
    <w:rsid w:val="00F02FE4"/>
    <w:rsid w:val="00F036FB"/>
    <w:rsid w:val="00F03B61"/>
    <w:rsid w:val="00F03DAA"/>
    <w:rsid w:val="00F04791"/>
    <w:rsid w:val="00F04C68"/>
    <w:rsid w:val="00F051F4"/>
    <w:rsid w:val="00F0532E"/>
    <w:rsid w:val="00F05CA8"/>
    <w:rsid w:val="00F06515"/>
    <w:rsid w:val="00F07C88"/>
    <w:rsid w:val="00F11607"/>
    <w:rsid w:val="00F121C8"/>
    <w:rsid w:val="00F12C08"/>
    <w:rsid w:val="00F1373F"/>
    <w:rsid w:val="00F13CCE"/>
    <w:rsid w:val="00F14838"/>
    <w:rsid w:val="00F14A2F"/>
    <w:rsid w:val="00F151DD"/>
    <w:rsid w:val="00F15C6B"/>
    <w:rsid w:val="00F16C7B"/>
    <w:rsid w:val="00F1710B"/>
    <w:rsid w:val="00F17206"/>
    <w:rsid w:val="00F1787A"/>
    <w:rsid w:val="00F21227"/>
    <w:rsid w:val="00F21B04"/>
    <w:rsid w:val="00F23295"/>
    <w:rsid w:val="00F27B8D"/>
    <w:rsid w:val="00F3045E"/>
    <w:rsid w:val="00F3321A"/>
    <w:rsid w:val="00F33E2F"/>
    <w:rsid w:val="00F3441D"/>
    <w:rsid w:val="00F3514B"/>
    <w:rsid w:val="00F35944"/>
    <w:rsid w:val="00F37D52"/>
    <w:rsid w:val="00F40C3C"/>
    <w:rsid w:val="00F416BC"/>
    <w:rsid w:val="00F42AB7"/>
    <w:rsid w:val="00F43016"/>
    <w:rsid w:val="00F439C3"/>
    <w:rsid w:val="00F43BB6"/>
    <w:rsid w:val="00F4433E"/>
    <w:rsid w:val="00F45687"/>
    <w:rsid w:val="00F4658B"/>
    <w:rsid w:val="00F46A4A"/>
    <w:rsid w:val="00F47260"/>
    <w:rsid w:val="00F50BE8"/>
    <w:rsid w:val="00F511F5"/>
    <w:rsid w:val="00F52ABF"/>
    <w:rsid w:val="00F53031"/>
    <w:rsid w:val="00F53FDA"/>
    <w:rsid w:val="00F540B5"/>
    <w:rsid w:val="00F546CF"/>
    <w:rsid w:val="00F57AB9"/>
    <w:rsid w:val="00F644C1"/>
    <w:rsid w:val="00F65F49"/>
    <w:rsid w:val="00F65F7E"/>
    <w:rsid w:val="00F664EA"/>
    <w:rsid w:val="00F70279"/>
    <w:rsid w:val="00F70A42"/>
    <w:rsid w:val="00F70F06"/>
    <w:rsid w:val="00F72371"/>
    <w:rsid w:val="00F749D9"/>
    <w:rsid w:val="00F74F52"/>
    <w:rsid w:val="00F751F6"/>
    <w:rsid w:val="00F7524F"/>
    <w:rsid w:val="00F752BF"/>
    <w:rsid w:val="00F752F7"/>
    <w:rsid w:val="00F75C37"/>
    <w:rsid w:val="00F76215"/>
    <w:rsid w:val="00F8019D"/>
    <w:rsid w:val="00F81364"/>
    <w:rsid w:val="00F8153A"/>
    <w:rsid w:val="00F81AED"/>
    <w:rsid w:val="00F82F85"/>
    <w:rsid w:val="00F8367C"/>
    <w:rsid w:val="00F87EDA"/>
    <w:rsid w:val="00F90BAC"/>
    <w:rsid w:val="00F929F0"/>
    <w:rsid w:val="00F955C9"/>
    <w:rsid w:val="00F979A4"/>
    <w:rsid w:val="00F97B1D"/>
    <w:rsid w:val="00FA20DC"/>
    <w:rsid w:val="00FA2A94"/>
    <w:rsid w:val="00FA31E6"/>
    <w:rsid w:val="00FA3284"/>
    <w:rsid w:val="00FA3D98"/>
    <w:rsid w:val="00FA51A4"/>
    <w:rsid w:val="00FA52E1"/>
    <w:rsid w:val="00FA5EC8"/>
    <w:rsid w:val="00FA6C25"/>
    <w:rsid w:val="00FB1515"/>
    <w:rsid w:val="00FB2118"/>
    <w:rsid w:val="00FB2784"/>
    <w:rsid w:val="00FB2F56"/>
    <w:rsid w:val="00FB48EB"/>
    <w:rsid w:val="00FB4952"/>
    <w:rsid w:val="00FB705C"/>
    <w:rsid w:val="00FC493D"/>
    <w:rsid w:val="00FC5ACD"/>
    <w:rsid w:val="00FC61B8"/>
    <w:rsid w:val="00FC67F6"/>
    <w:rsid w:val="00FC7A2F"/>
    <w:rsid w:val="00FC7D66"/>
    <w:rsid w:val="00FD04E5"/>
    <w:rsid w:val="00FD0807"/>
    <w:rsid w:val="00FD140C"/>
    <w:rsid w:val="00FD223D"/>
    <w:rsid w:val="00FD2638"/>
    <w:rsid w:val="00FD4256"/>
    <w:rsid w:val="00FD42CF"/>
    <w:rsid w:val="00FD4504"/>
    <w:rsid w:val="00FD4EE8"/>
    <w:rsid w:val="00FD70C4"/>
    <w:rsid w:val="00FD71F5"/>
    <w:rsid w:val="00FD7230"/>
    <w:rsid w:val="00FD7473"/>
    <w:rsid w:val="00FE07CB"/>
    <w:rsid w:val="00FE109B"/>
    <w:rsid w:val="00FE2974"/>
    <w:rsid w:val="00FE2D7E"/>
    <w:rsid w:val="00FE3BBE"/>
    <w:rsid w:val="00FE4790"/>
    <w:rsid w:val="00FE53A5"/>
    <w:rsid w:val="00FE65EB"/>
    <w:rsid w:val="00FE7778"/>
    <w:rsid w:val="00FF0ADD"/>
    <w:rsid w:val="00FF0F6C"/>
    <w:rsid w:val="00FF1764"/>
    <w:rsid w:val="00FF1A5A"/>
    <w:rsid w:val="00FF2CAB"/>
    <w:rsid w:val="00FF47D2"/>
    <w:rsid w:val="00FF511A"/>
    <w:rsid w:val="00FF553C"/>
    <w:rsid w:val="00FF614F"/>
    <w:rsid w:val="00FF62BA"/>
    <w:rsid w:val="00FF67A4"/>
    <w:rsid w:val="00FF6D7A"/>
    <w:rsid w:val="00FF7EAB"/>
    <w:rsid w:val="035F077D"/>
    <w:rsid w:val="11783C24"/>
    <w:rsid w:val="11E00072"/>
    <w:rsid w:val="122BE7CD"/>
    <w:rsid w:val="134193EE"/>
    <w:rsid w:val="14B698AD"/>
    <w:rsid w:val="190E9711"/>
    <w:rsid w:val="1A37A9B3"/>
    <w:rsid w:val="1E2CE814"/>
    <w:rsid w:val="1EAE62C4"/>
    <w:rsid w:val="1F5F3D2A"/>
    <w:rsid w:val="21065075"/>
    <w:rsid w:val="21D0C727"/>
    <w:rsid w:val="2326BE1A"/>
    <w:rsid w:val="26248BE5"/>
    <w:rsid w:val="26FD045E"/>
    <w:rsid w:val="2A5B844B"/>
    <w:rsid w:val="2C644923"/>
    <w:rsid w:val="2CFDDE41"/>
    <w:rsid w:val="2EC31B23"/>
    <w:rsid w:val="30199DDF"/>
    <w:rsid w:val="30E9AF8E"/>
    <w:rsid w:val="3385A3D5"/>
    <w:rsid w:val="435D1A42"/>
    <w:rsid w:val="44FB09B0"/>
    <w:rsid w:val="46E69D14"/>
    <w:rsid w:val="47957EE7"/>
    <w:rsid w:val="47B1E5D9"/>
    <w:rsid w:val="4A2D806F"/>
    <w:rsid w:val="4C2AE987"/>
    <w:rsid w:val="4F66EAFF"/>
    <w:rsid w:val="4FA0B34E"/>
    <w:rsid w:val="547AF25B"/>
    <w:rsid w:val="564F79FA"/>
    <w:rsid w:val="5B034520"/>
    <w:rsid w:val="5B8F0FAB"/>
    <w:rsid w:val="5C24E5EB"/>
    <w:rsid w:val="5E44448B"/>
    <w:rsid w:val="5ED7D068"/>
    <w:rsid w:val="5F84FC4F"/>
    <w:rsid w:val="65900DE0"/>
    <w:rsid w:val="67C32689"/>
    <w:rsid w:val="67D00073"/>
    <w:rsid w:val="689D7A32"/>
    <w:rsid w:val="68FDB223"/>
    <w:rsid w:val="69C781C0"/>
    <w:rsid w:val="6A48B303"/>
    <w:rsid w:val="6D0D9AD2"/>
    <w:rsid w:val="6D0E4F4C"/>
    <w:rsid w:val="7094E348"/>
    <w:rsid w:val="71469D1B"/>
    <w:rsid w:val="7247A40D"/>
    <w:rsid w:val="75928225"/>
    <w:rsid w:val="76F08FD6"/>
    <w:rsid w:val="79BC1F49"/>
    <w:rsid w:val="79E7516F"/>
    <w:rsid w:val="7A96749F"/>
    <w:rsid w:val="7E9B47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2E79A"/>
  <w15:docId w15:val="{C848E966-8DA1-40F1-94C5-119CD482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68"/>
    <w:rPr>
      <w:rFonts w:ascii="Arial" w:hAnsi="Arial" w:cs="Arial"/>
      <w:color w:val="000000"/>
      <w:sz w:val="22"/>
      <w:szCs w:val="22"/>
      <w:lang w:val="en-AU"/>
    </w:rPr>
  </w:style>
  <w:style w:type="paragraph" w:styleId="Heading1">
    <w:name w:val="heading 1"/>
    <w:basedOn w:val="PIHEADING1"/>
    <w:next w:val="Normal"/>
    <w:link w:val="Heading1Char"/>
    <w:qFormat/>
    <w:rsid w:val="00117D06"/>
    <w:pPr>
      <w:numPr>
        <w:numId w:val="18"/>
      </w:numPr>
      <w:spacing w:before="240"/>
      <w:ind w:left="357" w:hanging="357"/>
      <w:outlineLvl w:val="0"/>
    </w:pPr>
  </w:style>
  <w:style w:type="paragraph" w:styleId="Heading2">
    <w:name w:val="heading 2"/>
    <w:basedOn w:val="PIHEADING2"/>
    <w:next w:val="Normal"/>
    <w:link w:val="Heading2Char"/>
    <w:qFormat/>
    <w:rsid w:val="004D0BDD"/>
    <w:pPr>
      <w:numPr>
        <w:numId w:val="19"/>
      </w:numPr>
      <w:spacing w:after="120"/>
      <w:ind w:left="0" w:firstLine="0"/>
      <w:jc w:val="both"/>
      <w:outlineLvl w:val="1"/>
    </w:pPr>
    <w:rPr>
      <w:sz w:val="24"/>
      <w:szCs w:val="24"/>
    </w:rPr>
  </w:style>
  <w:style w:type="paragraph" w:styleId="Heading3">
    <w:name w:val="heading 3"/>
    <w:basedOn w:val="Heading2"/>
    <w:next w:val="Normal"/>
    <w:link w:val="Heading3Char"/>
    <w:qFormat/>
    <w:rsid w:val="00117D06"/>
    <w:pPr>
      <w:numPr>
        <w:numId w:val="0"/>
      </w:numPr>
      <w:outlineLvl w:val="2"/>
    </w:pPr>
    <w:rPr>
      <w:sz w:val="22"/>
      <w:szCs w:val="22"/>
    </w:rPr>
  </w:style>
  <w:style w:type="paragraph" w:styleId="Heading4">
    <w:name w:val="heading 4"/>
    <w:basedOn w:val="Normal"/>
    <w:next w:val="BodyText12"/>
    <w:qFormat/>
    <w:rsid w:val="00C54EFD"/>
    <w:pPr>
      <w:spacing w:before="120" w:after="120"/>
      <w:outlineLvl w:val="3"/>
    </w:pPr>
    <w:rPr>
      <w:b/>
      <w:i/>
      <w:color w:val="1F497D" w:themeColor="text2"/>
    </w:rPr>
  </w:style>
  <w:style w:type="paragraph" w:styleId="Heading5">
    <w:name w:val="heading 5"/>
    <w:next w:val="BodyText12"/>
    <w:qFormat/>
    <w:rsid w:val="00C42968"/>
    <w:pPr>
      <w:keepNext/>
      <w:keepLines/>
      <w:numPr>
        <w:ilvl w:val="4"/>
        <w:numId w:val="1"/>
      </w:numPr>
      <w:tabs>
        <w:tab w:val="left" w:pos="2246"/>
      </w:tabs>
      <w:spacing w:after="60"/>
      <w:ind w:left="2247" w:hanging="1397"/>
      <w:outlineLvl w:val="4"/>
    </w:pPr>
    <w:rPr>
      <w:rFonts w:ascii="Arial" w:hAnsi="Arial"/>
      <w:b/>
      <w:i/>
      <w:sz w:val="24"/>
    </w:rPr>
  </w:style>
  <w:style w:type="paragraph" w:styleId="Heading6">
    <w:name w:val="heading 6"/>
    <w:next w:val="BodyText12"/>
    <w:qFormat/>
    <w:rsid w:val="00C42968"/>
    <w:pPr>
      <w:keepNext/>
      <w:keepLines/>
      <w:numPr>
        <w:ilvl w:val="5"/>
        <w:numId w:val="1"/>
      </w:numPr>
      <w:tabs>
        <w:tab w:val="left" w:pos="2246"/>
      </w:tabs>
      <w:spacing w:after="60"/>
      <w:outlineLvl w:val="5"/>
    </w:pPr>
    <w:rPr>
      <w:rFonts w:ascii="Arial" w:hAnsi="Arial"/>
      <w:b/>
      <w:sz w:val="24"/>
    </w:rPr>
  </w:style>
  <w:style w:type="paragraph" w:styleId="Heading7">
    <w:name w:val="heading 7"/>
    <w:next w:val="BodyText12"/>
    <w:qFormat/>
    <w:rsid w:val="00C42968"/>
    <w:pPr>
      <w:keepNext/>
      <w:keepLines/>
      <w:numPr>
        <w:ilvl w:val="6"/>
        <w:numId w:val="1"/>
      </w:numPr>
      <w:tabs>
        <w:tab w:val="left" w:pos="2246"/>
      </w:tabs>
      <w:spacing w:after="60"/>
      <w:ind w:left="2247" w:hanging="1397"/>
      <w:outlineLvl w:val="6"/>
    </w:pPr>
    <w:rPr>
      <w:rFonts w:ascii="Arial" w:hAnsi="Arial"/>
      <w:b/>
      <w:i/>
      <w:sz w:val="24"/>
    </w:rPr>
  </w:style>
  <w:style w:type="paragraph" w:styleId="Heading8">
    <w:name w:val="heading 8"/>
    <w:basedOn w:val="Normal"/>
    <w:next w:val="Normal"/>
    <w:qFormat/>
    <w:rsid w:val="00C42968"/>
    <w:pPr>
      <w:keepNext/>
      <w:keepLines/>
      <w:outlineLvl w:val="7"/>
    </w:pPr>
    <w:rPr>
      <w:b/>
      <w:sz w:val="21"/>
    </w:rPr>
  </w:style>
  <w:style w:type="paragraph" w:styleId="Heading9">
    <w:name w:val="heading 9"/>
    <w:basedOn w:val="Normal"/>
    <w:next w:val="Normal"/>
    <w:qFormat/>
    <w:rsid w:val="00C42968"/>
    <w:pPr>
      <w:keepNext/>
      <w:keepLines/>
      <w:jc w:val="center"/>
      <w:outlineLvl w:val="8"/>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link w:val="BodyText12Char"/>
    <w:uiPriority w:val="99"/>
    <w:rsid w:val="00C42968"/>
    <w:pPr>
      <w:spacing w:after="200" w:line="300" w:lineRule="auto"/>
      <w:jc w:val="both"/>
    </w:pPr>
    <w:rPr>
      <w:sz w:val="24"/>
    </w:rPr>
  </w:style>
  <w:style w:type="paragraph" w:customStyle="1" w:styleId="PIHEADING1">
    <w:name w:val="PI HEADING1"/>
    <w:basedOn w:val="PIHEADTOP"/>
    <w:rsid w:val="00C42968"/>
    <w:pPr>
      <w:spacing w:before="360"/>
      <w:jc w:val="both"/>
    </w:pPr>
  </w:style>
  <w:style w:type="paragraph" w:customStyle="1" w:styleId="PIHEADTOP">
    <w:name w:val="PI HEADTOP"/>
    <w:basedOn w:val="Normal"/>
    <w:rsid w:val="00C42968"/>
    <w:pPr>
      <w:tabs>
        <w:tab w:val="left" w:pos="-720"/>
      </w:tabs>
      <w:suppressAutoHyphens/>
      <w:spacing w:after="120"/>
    </w:pPr>
    <w:rPr>
      <w:b/>
      <w:caps/>
      <w:spacing w:val="-2"/>
      <w:sz w:val="28"/>
    </w:rPr>
  </w:style>
  <w:style w:type="paragraph" w:customStyle="1" w:styleId="PIProductInfo">
    <w:name w:val="PI Product Info"/>
    <w:basedOn w:val="Normal"/>
    <w:rsid w:val="00C42968"/>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C42968"/>
    <w:pPr>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C42968"/>
    <w:pPr>
      <w:tabs>
        <w:tab w:val="left" w:pos="-720"/>
      </w:tabs>
      <w:suppressAutoHyphens/>
      <w:spacing w:before="20" w:after="80"/>
    </w:pPr>
    <w:rPr>
      <w:spacing w:val="-2"/>
    </w:rPr>
  </w:style>
  <w:style w:type="paragraph" w:customStyle="1" w:styleId="PIHEADING2">
    <w:name w:val="PI HEADING2"/>
    <w:basedOn w:val="Normal"/>
    <w:rsid w:val="00C42968"/>
    <w:pPr>
      <w:tabs>
        <w:tab w:val="left" w:pos="-720"/>
      </w:tabs>
      <w:suppressAutoHyphens/>
      <w:spacing w:before="120" w:after="80"/>
    </w:pPr>
    <w:rPr>
      <w:b/>
      <w:spacing w:val="-2"/>
    </w:rPr>
  </w:style>
  <w:style w:type="paragraph" w:customStyle="1" w:styleId="PIDOTPOINT">
    <w:name w:val="PI DOTPOINT"/>
    <w:basedOn w:val="PIEXPLAIN"/>
    <w:rsid w:val="00C42968"/>
    <w:pPr>
      <w:spacing w:before="0" w:after="40"/>
      <w:ind w:left="568" w:hanging="284"/>
    </w:pPr>
  </w:style>
  <w:style w:type="paragraph" w:styleId="Header">
    <w:name w:val="header"/>
    <w:basedOn w:val="Normal"/>
    <w:link w:val="HeaderChar"/>
    <w:uiPriority w:val="99"/>
    <w:rsid w:val="00C42968"/>
    <w:pPr>
      <w:tabs>
        <w:tab w:val="center" w:pos="4153"/>
        <w:tab w:val="right" w:pos="8306"/>
      </w:tabs>
    </w:pPr>
  </w:style>
  <w:style w:type="paragraph" w:styleId="Footer">
    <w:name w:val="footer"/>
    <w:basedOn w:val="Normal"/>
    <w:link w:val="FooterChar"/>
    <w:rsid w:val="00C42968"/>
    <w:pPr>
      <w:tabs>
        <w:tab w:val="center" w:pos="4153"/>
        <w:tab w:val="right" w:pos="8306"/>
      </w:tabs>
    </w:pPr>
  </w:style>
  <w:style w:type="paragraph" w:styleId="FootnoteText">
    <w:name w:val="footnote text"/>
    <w:basedOn w:val="Normal"/>
    <w:semiHidden/>
    <w:rsid w:val="00C42968"/>
    <w:rPr>
      <w:sz w:val="20"/>
    </w:rPr>
  </w:style>
  <w:style w:type="character" w:styleId="FootnoteReference">
    <w:name w:val="footnote reference"/>
    <w:basedOn w:val="DefaultParagraphFont"/>
    <w:semiHidden/>
    <w:rsid w:val="00C42968"/>
    <w:rPr>
      <w:vertAlign w:val="superscript"/>
    </w:rPr>
  </w:style>
  <w:style w:type="paragraph" w:styleId="TOC1">
    <w:name w:val="toc 1"/>
    <w:basedOn w:val="Normal"/>
    <w:next w:val="Normal"/>
    <w:autoRedefine/>
    <w:semiHidden/>
    <w:rsid w:val="00C42968"/>
    <w:pPr>
      <w:tabs>
        <w:tab w:val="right" w:leader="dot" w:pos="9360"/>
      </w:tabs>
      <w:suppressAutoHyphens/>
      <w:spacing w:before="480"/>
      <w:ind w:left="720" w:right="720" w:hanging="720"/>
    </w:pPr>
    <w:rPr>
      <w:lang w:val="en-US"/>
    </w:rPr>
  </w:style>
  <w:style w:type="character" w:styleId="CommentReference">
    <w:name w:val="annotation reference"/>
    <w:aliases w:val="-H18"/>
    <w:basedOn w:val="DefaultParagraphFont"/>
    <w:rsid w:val="00C42968"/>
    <w:rPr>
      <w:sz w:val="16"/>
    </w:rPr>
  </w:style>
  <w:style w:type="paragraph" w:styleId="CommentText">
    <w:name w:val="annotation text"/>
    <w:aliases w:val=" Char Char, Char,Char Char,Comment Text Char Char,Comment Text Char1 Char Char,Comment Text Char Char Char Char,Comment Text Char Char1,Testo commento,Char,Annotationtext,- H19, Car17, Car17 Car, Char Char Char,Car17,Char Char Char"/>
    <w:basedOn w:val="Normal"/>
    <w:qFormat/>
    <w:rsid w:val="00C42968"/>
    <w:rPr>
      <w:sz w:val="20"/>
    </w:rPr>
  </w:style>
  <w:style w:type="paragraph" w:styleId="BodyText">
    <w:name w:val="Body Text"/>
    <w:basedOn w:val="Normal"/>
    <w:semiHidden/>
    <w:rsid w:val="00C42968"/>
    <w:pPr>
      <w:jc w:val="both"/>
    </w:pPr>
  </w:style>
  <w:style w:type="paragraph" w:customStyle="1" w:styleId="BodyText10">
    <w:name w:val="BodyText10"/>
    <w:rsid w:val="00C42968"/>
    <w:pPr>
      <w:suppressAutoHyphens/>
      <w:jc w:val="both"/>
    </w:pPr>
  </w:style>
  <w:style w:type="paragraph" w:customStyle="1" w:styleId="Table">
    <w:name w:val="Table"/>
    <w:next w:val="Normal"/>
    <w:rsid w:val="00C42968"/>
    <w:pPr>
      <w:keepNext/>
      <w:ind w:left="1814" w:hanging="1800"/>
    </w:pPr>
  </w:style>
  <w:style w:type="paragraph" w:customStyle="1" w:styleId="TableNote">
    <w:name w:val="TableNote"/>
    <w:rsid w:val="00C42968"/>
    <w:pPr>
      <w:keepNext/>
      <w:keepLines/>
      <w:tabs>
        <w:tab w:val="left" w:pos="187"/>
        <w:tab w:val="left" w:pos="1440"/>
      </w:tabs>
      <w:ind w:left="187" w:hanging="187"/>
    </w:pPr>
  </w:style>
  <w:style w:type="paragraph" w:customStyle="1" w:styleId="TableText">
    <w:name w:val="TableText"/>
    <w:rsid w:val="00C42968"/>
    <w:pPr>
      <w:keepNext/>
    </w:pPr>
  </w:style>
  <w:style w:type="paragraph" w:customStyle="1" w:styleId="LastPageStyle">
    <w:name w:val="LastPageStyle"/>
    <w:next w:val="BodyText10"/>
    <w:rsid w:val="00C42968"/>
    <w:pPr>
      <w:tabs>
        <w:tab w:val="right" w:leader="dot" w:pos="8280"/>
      </w:tabs>
      <w:spacing w:before="200" w:after="200"/>
    </w:pPr>
    <w:rPr>
      <w:rFonts w:ascii="Arial" w:hAnsi="Arial"/>
      <w:b/>
      <w:caps/>
    </w:rPr>
  </w:style>
  <w:style w:type="paragraph" w:customStyle="1" w:styleId="Narrative1">
    <w:name w:val="Narrative 1"/>
    <w:rsid w:val="00C42968"/>
    <w:pPr>
      <w:numPr>
        <w:numId w:val="8"/>
      </w:numPr>
      <w:spacing w:after="200" w:line="300" w:lineRule="auto"/>
      <w:jc w:val="both"/>
    </w:pPr>
    <w:rPr>
      <w:sz w:val="24"/>
    </w:rPr>
  </w:style>
  <w:style w:type="paragraph" w:customStyle="1" w:styleId="Narrative2">
    <w:name w:val="Narrative 2"/>
    <w:rsid w:val="00C42968"/>
    <w:pPr>
      <w:numPr>
        <w:ilvl w:val="1"/>
        <w:numId w:val="9"/>
      </w:numPr>
      <w:spacing w:after="200" w:line="300" w:lineRule="auto"/>
      <w:jc w:val="both"/>
    </w:pPr>
    <w:rPr>
      <w:sz w:val="24"/>
    </w:rPr>
  </w:style>
  <w:style w:type="paragraph" w:customStyle="1" w:styleId="Narrative3">
    <w:name w:val="Narrative 3"/>
    <w:rsid w:val="00C42968"/>
    <w:pPr>
      <w:numPr>
        <w:ilvl w:val="2"/>
        <w:numId w:val="10"/>
      </w:numPr>
      <w:spacing w:after="200" w:line="300" w:lineRule="auto"/>
      <w:jc w:val="both"/>
    </w:pPr>
    <w:rPr>
      <w:sz w:val="24"/>
    </w:rPr>
  </w:style>
  <w:style w:type="character" w:styleId="Hyperlink">
    <w:name w:val="Hyperlink"/>
    <w:basedOn w:val="DefaultParagraphFont"/>
    <w:uiPriority w:val="99"/>
    <w:rsid w:val="00C42968"/>
    <w:rPr>
      <w:color w:val="0000FF"/>
      <w:u w:val="single"/>
    </w:rPr>
  </w:style>
  <w:style w:type="character" w:styleId="FollowedHyperlink">
    <w:name w:val="FollowedHyperlink"/>
    <w:basedOn w:val="DefaultParagraphFont"/>
    <w:semiHidden/>
    <w:rsid w:val="00C42968"/>
    <w:rPr>
      <w:color w:val="800080"/>
      <w:u w:val="single"/>
    </w:rPr>
  </w:style>
  <w:style w:type="paragraph" w:styleId="BodyText2">
    <w:name w:val="Body Text 2"/>
    <w:basedOn w:val="Normal"/>
    <w:semiHidden/>
    <w:rsid w:val="00C42968"/>
    <w:pPr>
      <w:autoSpaceDE w:val="0"/>
      <w:autoSpaceDN w:val="0"/>
      <w:adjustRightInd w:val="0"/>
    </w:pPr>
    <w:rPr>
      <w:rFonts w:ascii="TimesNewRomanPSMT" w:hAnsi="TimesNewRomanPSMT"/>
      <w:lang w:val="en-US" w:eastAsia="sv-SE"/>
    </w:rPr>
  </w:style>
  <w:style w:type="paragraph" w:customStyle="1" w:styleId="Default">
    <w:name w:val="Default"/>
    <w:rsid w:val="00C42968"/>
    <w:pPr>
      <w:widowControl w:val="0"/>
      <w:autoSpaceDE w:val="0"/>
      <w:autoSpaceDN w:val="0"/>
      <w:adjustRightInd w:val="0"/>
    </w:pPr>
    <w:rPr>
      <w:color w:val="000000"/>
      <w:sz w:val="24"/>
      <w:szCs w:val="24"/>
    </w:rPr>
  </w:style>
  <w:style w:type="paragraph" w:customStyle="1" w:styleId="CM31">
    <w:name w:val="CM31"/>
    <w:basedOn w:val="Default"/>
    <w:next w:val="Default"/>
    <w:rsid w:val="00C42968"/>
    <w:pPr>
      <w:spacing w:after="148"/>
    </w:pPr>
    <w:rPr>
      <w:color w:val="auto"/>
    </w:rPr>
  </w:style>
  <w:style w:type="paragraph" w:customStyle="1" w:styleId="CM32">
    <w:name w:val="CM32"/>
    <w:basedOn w:val="Default"/>
    <w:next w:val="Default"/>
    <w:rsid w:val="00C42968"/>
    <w:pPr>
      <w:spacing w:after="360"/>
    </w:pPr>
    <w:rPr>
      <w:color w:val="auto"/>
    </w:rPr>
  </w:style>
  <w:style w:type="paragraph" w:customStyle="1" w:styleId="CM22">
    <w:name w:val="CM22"/>
    <w:basedOn w:val="Default"/>
    <w:next w:val="Default"/>
    <w:rsid w:val="00C42968"/>
    <w:pPr>
      <w:spacing w:line="220" w:lineRule="atLeast"/>
    </w:pPr>
    <w:rPr>
      <w:color w:val="auto"/>
    </w:rPr>
  </w:style>
  <w:style w:type="character" w:styleId="LineNumber">
    <w:name w:val="line number"/>
    <w:basedOn w:val="DefaultParagraphFont"/>
    <w:semiHidden/>
    <w:rsid w:val="00C42968"/>
  </w:style>
  <w:style w:type="paragraph" w:customStyle="1" w:styleId="ReferenceHeading2">
    <w:name w:val="Reference Heading 2"/>
    <w:basedOn w:val="Reference"/>
    <w:next w:val="ReferenceText"/>
    <w:rsid w:val="00C42968"/>
    <w:pPr>
      <w:numPr>
        <w:numId w:val="11"/>
      </w:numPr>
      <w:outlineLvl w:val="0"/>
    </w:pPr>
    <w:rPr>
      <w:rFonts w:ascii="Arial" w:hAnsi="Arial"/>
      <w:b/>
      <w:caps/>
    </w:rPr>
  </w:style>
  <w:style w:type="paragraph" w:customStyle="1" w:styleId="Reference">
    <w:name w:val="Reference"/>
    <w:qFormat/>
    <w:rsid w:val="00C42968"/>
    <w:pPr>
      <w:keepLines/>
      <w:spacing w:after="200"/>
      <w:ind w:left="1210" w:hanging="360"/>
      <w:jc w:val="both"/>
    </w:pPr>
    <w:rPr>
      <w:sz w:val="24"/>
    </w:rPr>
  </w:style>
  <w:style w:type="paragraph" w:customStyle="1" w:styleId="ReferenceText">
    <w:name w:val="Reference Text"/>
    <w:rsid w:val="00C42968"/>
    <w:pPr>
      <w:spacing w:after="200"/>
      <w:ind w:left="1656"/>
    </w:pPr>
    <w:rPr>
      <w:rFonts w:ascii="Times New Roman Bold" w:hAnsi="Times New Roman Bold"/>
      <w:b/>
      <w:sz w:val="24"/>
    </w:rPr>
  </w:style>
  <w:style w:type="paragraph" w:customStyle="1" w:styleId="ReferenceHeading3">
    <w:name w:val="Reference Heading 3"/>
    <w:basedOn w:val="ReferenceHeading2"/>
    <w:next w:val="ReferenceText"/>
    <w:rsid w:val="00C42968"/>
    <w:pPr>
      <w:numPr>
        <w:ilvl w:val="1"/>
      </w:numPr>
      <w:tabs>
        <w:tab w:val="clear" w:pos="1397"/>
        <w:tab w:val="num" w:pos="360"/>
      </w:tabs>
      <w:ind w:left="360" w:hanging="360"/>
      <w:outlineLvl w:val="1"/>
    </w:pPr>
    <w:rPr>
      <w:caps w:val="0"/>
    </w:rPr>
  </w:style>
  <w:style w:type="paragraph" w:customStyle="1" w:styleId="ReferenceBullet">
    <w:name w:val="Reference Bullet"/>
    <w:basedOn w:val="Bullet"/>
    <w:rsid w:val="00C42968"/>
    <w:pPr>
      <w:numPr>
        <w:numId w:val="12"/>
      </w:numPr>
    </w:pPr>
    <w:rPr>
      <w:i/>
      <w:iCs/>
      <w:color w:val="FF00FF"/>
    </w:rPr>
  </w:style>
  <w:style w:type="paragraph" w:customStyle="1" w:styleId="Bullet">
    <w:name w:val="Bullet"/>
    <w:rsid w:val="00C42968"/>
    <w:pPr>
      <w:suppressAutoHyphens/>
      <w:spacing w:after="200"/>
      <w:ind w:left="360" w:hanging="360"/>
      <w:jc w:val="both"/>
    </w:pPr>
  </w:style>
  <w:style w:type="paragraph" w:customStyle="1" w:styleId="BulletIndent1">
    <w:name w:val="Bullet Indent 1 (•)"/>
    <w:rsid w:val="00C42968"/>
    <w:pPr>
      <w:numPr>
        <w:numId w:val="2"/>
      </w:numPr>
      <w:tabs>
        <w:tab w:val="clear" w:pos="360"/>
        <w:tab w:val="left" w:pos="288"/>
      </w:tabs>
      <w:spacing w:after="120"/>
      <w:jc w:val="both"/>
    </w:pPr>
    <w:rPr>
      <w:sz w:val="24"/>
    </w:rPr>
  </w:style>
  <w:style w:type="paragraph" w:customStyle="1" w:styleId="BulletIndent2-">
    <w:name w:val="Bullet Indent 2 (-)"/>
    <w:rsid w:val="00C42968"/>
    <w:pPr>
      <w:numPr>
        <w:numId w:val="5"/>
      </w:numPr>
      <w:tabs>
        <w:tab w:val="clear" w:pos="648"/>
        <w:tab w:val="left" w:pos="576"/>
      </w:tabs>
      <w:spacing w:after="120"/>
      <w:ind w:left="576" w:hanging="288"/>
      <w:jc w:val="both"/>
    </w:pPr>
    <w:rPr>
      <w:sz w:val="24"/>
    </w:rPr>
  </w:style>
  <w:style w:type="paragraph" w:customStyle="1" w:styleId="BulletIndent3">
    <w:name w:val="Bullet Indent 3 (.)"/>
    <w:rsid w:val="00C42968"/>
    <w:pPr>
      <w:numPr>
        <w:numId w:val="6"/>
      </w:numPr>
      <w:tabs>
        <w:tab w:val="clear" w:pos="936"/>
        <w:tab w:val="left" w:pos="864"/>
      </w:tabs>
      <w:spacing w:after="120"/>
      <w:ind w:left="864" w:hanging="288"/>
      <w:jc w:val="both"/>
    </w:pPr>
    <w:rPr>
      <w:sz w:val="24"/>
    </w:rPr>
  </w:style>
  <w:style w:type="paragraph" w:customStyle="1" w:styleId="BulletIndent4">
    <w:name w:val="Bullet Indent 4 (•)"/>
    <w:rsid w:val="00C42968"/>
    <w:pPr>
      <w:numPr>
        <w:numId w:val="4"/>
      </w:numPr>
      <w:tabs>
        <w:tab w:val="clear" w:pos="360"/>
        <w:tab w:val="left" w:pos="1138"/>
      </w:tabs>
      <w:spacing w:after="120"/>
      <w:ind w:left="1138" w:hanging="288"/>
      <w:jc w:val="both"/>
    </w:pPr>
    <w:rPr>
      <w:sz w:val="24"/>
    </w:rPr>
  </w:style>
  <w:style w:type="paragraph" w:customStyle="1" w:styleId="BulletIndent5-">
    <w:name w:val="Bullet Indent 5 (-)"/>
    <w:rsid w:val="00C42968"/>
    <w:pPr>
      <w:numPr>
        <w:numId w:val="7"/>
      </w:numPr>
      <w:tabs>
        <w:tab w:val="clear" w:pos="1570"/>
        <w:tab w:val="left" w:pos="1426"/>
      </w:tabs>
      <w:spacing w:after="120"/>
      <w:ind w:left="1426" w:hanging="288"/>
      <w:jc w:val="both"/>
    </w:pPr>
    <w:rPr>
      <w:sz w:val="24"/>
    </w:rPr>
  </w:style>
  <w:style w:type="paragraph" w:customStyle="1" w:styleId="BulletIndent6">
    <w:name w:val="Bullet Indent 6 (.)"/>
    <w:rsid w:val="00C42968"/>
    <w:pPr>
      <w:numPr>
        <w:numId w:val="3"/>
      </w:numPr>
      <w:tabs>
        <w:tab w:val="clear" w:pos="922"/>
        <w:tab w:val="left" w:pos="1714"/>
      </w:tabs>
      <w:spacing w:after="120"/>
      <w:ind w:left="1714" w:hanging="288"/>
      <w:jc w:val="both"/>
    </w:pPr>
    <w:rPr>
      <w:sz w:val="24"/>
    </w:rPr>
  </w:style>
  <w:style w:type="paragraph" w:customStyle="1" w:styleId="MarkTable">
    <w:name w:val="Mark Table"/>
    <w:next w:val="TableText"/>
    <w:rsid w:val="00C42968"/>
    <w:pPr>
      <w:keepNext/>
      <w:ind w:left="1080" w:hanging="1066"/>
    </w:pPr>
  </w:style>
  <w:style w:type="paragraph" w:styleId="BalloonText">
    <w:name w:val="Balloon Text"/>
    <w:basedOn w:val="Normal"/>
    <w:semiHidden/>
    <w:unhideWhenUsed/>
    <w:rsid w:val="00C42968"/>
    <w:rPr>
      <w:rFonts w:ascii="Tahoma" w:hAnsi="Tahoma" w:cs="Tahoma"/>
      <w:sz w:val="16"/>
      <w:szCs w:val="16"/>
    </w:rPr>
  </w:style>
  <w:style w:type="character" w:customStyle="1" w:styleId="BalloonTextChar">
    <w:name w:val="Balloon Text Char"/>
    <w:basedOn w:val="DefaultParagraphFont"/>
    <w:semiHidden/>
    <w:rsid w:val="00C42968"/>
    <w:rPr>
      <w:rFonts w:ascii="Tahoma" w:hAnsi="Tahoma" w:cs="Tahoma"/>
      <w:sz w:val="16"/>
      <w:szCs w:val="16"/>
      <w:lang w:val="en-AU"/>
    </w:rPr>
  </w:style>
  <w:style w:type="paragraph" w:customStyle="1" w:styleId="MarkFigure">
    <w:name w:val="Mark Figure"/>
    <w:next w:val="BodyText12"/>
    <w:rsid w:val="00C42968"/>
    <w:pPr>
      <w:keepNext/>
      <w:ind w:left="1916" w:hanging="1066"/>
    </w:pPr>
  </w:style>
  <w:style w:type="table" w:styleId="TableGrid">
    <w:name w:val="Table Grid"/>
    <w:basedOn w:val="TableNormal"/>
    <w:uiPriority w:val="59"/>
    <w:rsid w:val="00EE00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unhideWhenUsed/>
    <w:rsid w:val="00C42968"/>
    <w:rPr>
      <w:b/>
      <w:bCs/>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 Car17 Char, Car17 Car Char, Char Char Char Char,Car17 Char"/>
    <w:basedOn w:val="DefaultParagraphFont"/>
    <w:qFormat/>
    <w:rsid w:val="00C42968"/>
    <w:rPr>
      <w:rFonts w:ascii="Arial" w:hAnsi="Arial" w:cs="Arial"/>
      <w:color w:val="000000"/>
      <w:szCs w:val="22"/>
    </w:rPr>
  </w:style>
  <w:style w:type="character" w:customStyle="1" w:styleId="CommentSubjectChar">
    <w:name w:val="Comment Subject Char"/>
    <w:basedOn w:val="CommentTextChar"/>
    <w:rsid w:val="00C42968"/>
    <w:rPr>
      <w:rFonts w:ascii="Arial" w:hAnsi="Arial" w:cs="Arial"/>
      <w:color w:val="000000"/>
      <w:szCs w:val="22"/>
    </w:rPr>
  </w:style>
  <w:style w:type="paragraph" w:styleId="Revision">
    <w:name w:val="Revision"/>
    <w:hidden/>
    <w:semiHidden/>
    <w:rsid w:val="00C42968"/>
    <w:rPr>
      <w:rFonts w:ascii="Arial" w:hAnsi="Arial" w:cs="Arial"/>
      <w:color w:val="000000"/>
      <w:sz w:val="22"/>
      <w:szCs w:val="22"/>
    </w:rPr>
  </w:style>
  <w:style w:type="paragraph" w:styleId="ListParagraph">
    <w:name w:val="List Paragraph"/>
    <w:basedOn w:val="Normal"/>
    <w:uiPriority w:val="34"/>
    <w:qFormat/>
    <w:rsid w:val="006D32D3"/>
    <w:pPr>
      <w:ind w:left="720"/>
    </w:pPr>
    <w:rPr>
      <w:rFonts w:ascii="Calibri" w:eastAsia="Calibri" w:hAnsi="Calibri" w:cs="Times New Roman"/>
      <w:color w:val="auto"/>
      <w:lang w:val="en-US"/>
    </w:rPr>
  </w:style>
  <w:style w:type="character" w:customStyle="1" w:styleId="HeaderChar">
    <w:name w:val="Header Char"/>
    <w:basedOn w:val="DefaultParagraphFont"/>
    <w:link w:val="Header"/>
    <w:uiPriority w:val="99"/>
    <w:rsid w:val="00A67A1D"/>
    <w:rPr>
      <w:rFonts w:ascii="Arial" w:hAnsi="Arial" w:cs="Arial"/>
      <w:color w:val="000000"/>
      <w:sz w:val="22"/>
      <w:szCs w:val="22"/>
      <w:lang w:val="en-AU"/>
    </w:rPr>
  </w:style>
  <w:style w:type="paragraph" w:customStyle="1" w:styleId="SummaryResponse">
    <w:name w:val="Summary Response"/>
    <w:basedOn w:val="Normal"/>
    <w:rsid w:val="00013880"/>
    <w:pPr>
      <w:spacing w:after="200"/>
      <w:ind w:left="720"/>
      <w:jc w:val="both"/>
    </w:pPr>
    <w:rPr>
      <w:rFonts w:ascii="Times New Roman" w:hAnsi="Times New Roman" w:cs="Times New Roman"/>
      <w:color w:val="auto"/>
      <w:sz w:val="24"/>
      <w:szCs w:val="20"/>
      <w:lang w:val="en-US"/>
    </w:rPr>
  </w:style>
  <w:style w:type="paragraph" w:customStyle="1" w:styleId="BodyText120">
    <w:name w:val="Body Text 12"/>
    <w:link w:val="BodyText12Char0"/>
    <w:qFormat/>
    <w:rsid w:val="00F17206"/>
    <w:pPr>
      <w:spacing w:after="240" w:line="264" w:lineRule="auto"/>
      <w:jc w:val="both"/>
    </w:pPr>
    <w:rPr>
      <w:sz w:val="24"/>
    </w:rPr>
  </w:style>
  <w:style w:type="character" w:customStyle="1" w:styleId="sub">
    <w:name w:val="sub"/>
    <w:basedOn w:val="DefaultParagraphFont"/>
    <w:rsid w:val="002E3C8F"/>
  </w:style>
  <w:style w:type="paragraph" w:styleId="EndnoteText">
    <w:name w:val="endnote text"/>
    <w:basedOn w:val="Normal"/>
    <w:link w:val="EndnoteTextChar"/>
    <w:uiPriority w:val="99"/>
    <w:unhideWhenUsed/>
    <w:rsid w:val="00865C69"/>
    <w:pPr>
      <w:tabs>
        <w:tab w:val="left" w:pos="360"/>
      </w:tabs>
      <w:ind w:left="360" w:hanging="360"/>
      <w:jc w:val="both"/>
    </w:pPr>
    <w:rPr>
      <w:rFonts w:ascii="Times New Roman" w:hAnsi="Times New Roman" w:cs="Times New Roman"/>
      <w:color w:val="auto"/>
      <w:sz w:val="16"/>
      <w:szCs w:val="20"/>
      <w:lang w:val="en-US"/>
    </w:rPr>
  </w:style>
  <w:style w:type="character" w:customStyle="1" w:styleId="EndnoteTextChar">
    <w:name w:val="Endnote Text Char"/>
    <w:basedOn w:val="DefaultParagraphFont"/>
    <w:link w:val="EndnoteText"/>
    <w:uiPriority w:val="99"/>
    <w:rsid w:val="00865C69"/>
    <w:rPr>
      <w:sz w:val="16"/>
    </w:rPr>
  </w:style>
  <w:style w:type="character" w:styleId="EndnoteReference">
    <w:name w:val="endnote reference"/>
    <w:uiPriority w:val="99"/>
    <w:unhideWhenUsed/>
    <w:rsid w:val="00865C69"/>
    <w:rPr>
      <w:vertAlign w:val="superscript"/>
    </w:rPr>
  </w:style>
  <w:style w:type="paragraph" w:customStyle="1" w:styleId="TableFootnote">
    <w:name w:val="Table Footnote"/>
    <w:qFormat/>
    <w:rsid w:val="00E314E4"/>
    <w:pPr>
      <w:tabs>
        <w:tab w:val="left" w:pos="360"/>
      </w:tabs>
      <w:ind w:left="360" w:hanging="360"/>
    </w:pPr>
    <w:rPr>
      <w:sz w:val="16"/>
    </w:rPr>
  </w:style>
  <w:style w:type="character" w:customStyle="1" w:styleId="Bold">
    <w:name w:val="Bold"/>
    <w:uiPriority w:val="99"/>
    <w:rsid w:val="0091469D"/>
    <w:rPr>
      <w:b/>
      <w:bCs/>
    </w:rPr>
  </w:style>
  <w:style w:type="character" w:customStyle="1" w:styleId="DoNots">
    <w:name w:val="Do Nots"/>
    <w:uiPriority w:val="99"/>
    <w:rsid w:val="0091469D"/>
    <w:rPr>
      <w:rFonts w:ascii="BentonSans-Black" w:hAnsi="BentonSans-Black" w:cs="BentonSans-Black"/>
      <w:b w:val="0"/>
      <w:bCs w:val="0"/>
      <w:caps/>
      <w:spacing w:val="5"/>
      <w:sz w:val="16"/>
      <w:szCs w:val="16"/>
    </w:rPr>
  </w:style>
  <w:style w:type="character" w:customStyle="1" w:styleId="FooterChar">
    <w:name w:val="Footer Char"/>
    <w:link w:val="Footer"/>
    <w:rsid w:val="00DB3D22"/>
    <w:rPr>
      <w:rFonts w:ascii="Arial" w:hAnsi="Arial" w:cs="Arial"/>
      <w:color w:val="000000"/>
      <w:sz w:val="22"/>
      <w:szCs w:val="22"/>
      <w:lang w:val="en-AU"/>
    </w:rPr>
  </w:style>
  <w:style w:type="paragraph" w:customStyle="1" w:styleId="Numbered12-1">
    <w:name w:val="Numbered 12-1"/>
    <w:qFormat/>
    <w:rsid w:val="00044979"/>
    <w:pPr>
      <w:numPr>
        <w:numId w:val="13"/>
      </w:numPr>
      <w:spacing w:after="120"/>
      <w:jc w:val="both"/>
    </w:pPr>
    <w:rPr>
      <w:sz w:val="24"/>
    </w:rPr>
  </w:style>
  <w:style w:type="character" w:styleId="PlaceholderText">
    <w:name w:val="Placeholder Text"/>
    <w:basedOn w:val="DefaultParagraphFont"/>
    <w:uiPriority w:val="99"/>
    <w:semiHidden/>
    <w:rsid w:val="007941F2"/>
    <w:rPr>
      <w:color w:val="808080"/>
    </w:rPr>
  </w:style>
  <w:style w:type="character" w:customStyle="1" w:styleId="BodyText12Char0">
    <w:name w:val="Body Text 12 Char"/>
    <w:basedOn w:val="DefaultParagraphFont"/>
    <w:link w:val="BodyText120"/>
    <w:qFormat/>
    <w:rsid w:val="00B704BF"/>
    <w:rPr>
      <w:sz w:val="24"/>
    </w:rPr>
  </w:style>
  <w:style w:type="paragraph" w:customStyle="1" w:styleId="Basic11">
    <w:name w:val="Basic 11"/>
    <w:qFormat/>
    <w:rsid w:val="00AC7345"/>
    <w:rPr>
      <w:sz w:val="22"/>
    </w:rPr>
  </w:style>
  <w:style w:type="paragraph" w:customStyle="1" w:styleId="MarkforTOC">
    <w:name w:val="Mark for TOC"/>
    <w:next w:val="Basic11"/>
    <w:uiPriority w:val="99"/>
    <w:rsid w:val="00AC7345"/>
    <w:pPr>
      <w:keepNext/>
      <w:spacing w:before="60" w:after="60"/>
      <w:ind w:left="1440" w:hanging="1440"/>
    </w:pPr>
    <w:rPr>
      <w:rFonts w:ascii="Arial" w:hAnsi="Arial"/>
      <w:b/>
    </w:rPr>
  </w:style>
  <w:style w:type="paragraph" w:customStyle="1" w:styleId="Bullet12-4">
    <w:name w:val="Bullet 12-4"/>
    <w:uiPriority w:val="2"/>
    <w:qFormat/>
    <w:rsid w:val="00AC7345"/>
    <w:pPr>
      <w:numPr>
        <w:numId w:val="14"/>
      </w:numPr>
      <w:spacing w:after="120"/>
      <w:jc w:val="both"/>
    </w:pPr>
    <w:rPr>
      <w:sz w:val="24"/>
    </w:rPr>
  </w:style>
  <w:style w:type="paragraph" w:customStyle="1" w:styleId="TableText0">
    <w:name w:val="Table Text"/>
    <w:link w:val="TableTextChar"/>
    <w:uiPriority w:val="99"/>
    <w:qFormat/>
    <w:rsid w:val="007B2926"/>
    <w:pPr>
      <w:tabs>
        <w:tab w:val="left" w:pos="288"/>
        <w:tab w:val="left" w:pos="576"/>
        <w:tab w:val="left" w:pos="864"/>
      </w:tabs>
    </w:pPr>
  </w:style>
  <w:style w:type="paragraph" w:customStyle="1" w:styleId="Bullet11-3">
    <w:name w:val="Bullet 11-3"/>
    <w:rsid w:val="00A62439"/>
    <w:pPr>
      <w:numPr>
        <w:numId w:val="15"/>
      </w:numPr>
      <w:spacing w:after="120"/>
      <w:jc w:val="both"/>
    </w:pPr>
    <w:rPr>
      <w:sz w:val="22"/>
    </w:rPr>
  </w:style>
  <w:style w:type="paragraph" w:customStyle="1" w:styleId="BodyText1">
    <w:name w:val="Body Text1"/>
    <w:basedOn w:val="Normal"/>
    <w:qFormat/>
    <w:rsid w:val="00450CB0"/>
    <w:pPr>
      <w:spacing w:after="120"/>
      <w:jc w:val="both"/>
    </w:pPr>
    <w:rPr>
      <w:rFonts w:eastAsiaTheme="minorHAnsi" w:cs="Times New Roman"/>
      <w:color w:val="auto"/>
      <w:szCs w:val="20"/>
    </w:rPr>
  </w:style>
  <w:style w:type="character" w:customStyle="1" w:styleId="BodyText12Char">
    <w:name w:val="BodyText12 Char"/>
    <w:basedOn w:val="DefaultParagraphFont"/>
    <w:link w:val="BodyText12"/>
    <w:uiPriority w:val="99"/>
    <w:locked/>
    <w:rsid w:val="00B5725C"/>
    <w:rPr>
      <w:sz w:val="24"/>
    </w:rPr>
  </w:style>
  <w:style w:type="paragraph" w:customStyle="1" w:styleId="Table-Heading1">
    <w:name w:val="Table - Heading 1"/>
    <w:basedOn w:val="Normal"/>
    <w:qFormat/>
    <w:rsid w:val="00CF05A9"/>
    <w:pPr>
      <w:spacing w:before="60"/>
    </w:pPr>
    <w:rPr>
      <w:rFonts w:eastAsiaTheme="minorHAnsi"/>
      <w:b/>
      <w:color w:val="auto"/>
      <w:sz w:val="20"/>
    </w:rPr>
  </w:style>
  <w:style w:type="paragraph" w:customStyle="1" w:styleId="Table-text">
    <w:name w:val="Table - text"/>
    <w:basedOn w:val="Normal"/>
    <w:qFormat/>
    <w:rsid w:val="00CF05A9"/>
    <w:pPr>
      <w:spacing w:before="20" w:after="20"/>
      <w:ind w:left="181"/>
      <w:jc w:val="both"/>
    </w:pPr>
    <w:rPr>
      <w:rFonts w:eastAsiaTheme="minorHAnsi"/>
      <w:color w:val="auto"/>
      <w:sz w:val="20"/>
    </w:rPr>
  </w:style>
  <w:style w:type="character" w:customStyle="1" w:styleId="Heading1Char">
    <w:name w:val="Heading 1 Char"/>
    <w:basedOn w:val="DefaultParagraphFont"/>
    <w:link w:val="Heading1"/>
    <w:rsid w:val="00117D06"/>
    <w:rPr>
      <w:rFonts w:ascii="Arial" w:hAnsi="Arial" w:cs="Arial"/>
      <w:b/>
      <w:caps/>
      <w:color w:val="000000"/>
      <w:spacing w:val="-2"/>
      <w:sz w:val="28"/>
      <w:szCs w:val="22"/>
      <w:lang w:val="en-AU"/>
    </w:rPr>
  </w:style>
  <w:style w:type="character" w:customStyle="1" w:styleId="Heading2Char">
    <w:name w:val="Heading 2 Char"/>
    <w:basedOn w:val="DefaultParagraphFont"/>
    <w:link w:val="Heading2"/>
    <w:rsid w:val="004D0BDD"/>
    <w:rPr>
      <w:rFonts w:ascii="Arial" w:hAnsi="Arial" w:cs="Arial"/>
      <w:b/>
      <w:color w:val="000000"/>
      <w:spacing w:val="-2"/>
      <w:sz w:val="24"/>
      <w:szCs w:val="24"/>
      <w:lang w:val="en-AU"/>
    </w:rPr>
  </w:style>
  <w:style w:type="paragraph" w:customStyle="1" w:styleId="PIAddlBulletFirstIndent">
    <w:name w:val="PI Addl Bullet First Indent"/>
    <w:qFormat/>
    <w:rsid w:val="00374A15"/>
    <w:pPr>
      <w:numPr>
        <w:numId w:val="16"/>
      </w:numPr>
      <w:tabs>
        <w:tab w:val="left" w:pos="720"/>
      </w:tabs>
      <w:spacing w:after="200" w:line="300" w:lineRule="auto"/>
    </w:pPr>
    <w:rPr>
      <w:rFonts w:ascii="Verdana" w:hAnsi="Verdana"/>
      <w:sz w:val="24"/>
      <w:szCs w:val="24"/>
    </w:rPr>
  </w:style>
  <w:style w:type="paragraph" w:customStyle="1" w:styleId="PIAddlBulletSecondIndent">
    <w:name w:val="PI Addl Bullet Second Indent"/>
    <w:qFormat/>
    <w:rsid w:val="00374A15"/>
    <w:pPr>
      <w:numPr>
        <w:ilvl w:val="1"/>
        <w:numId w:val="16"/>
      </w:numPr>
      <w:tabs>
        <w:tab w:val="left" w:pos="1440"/>
      </w:tabs>
      <w:spacing w:after="200" w:line="300" w:lineRule="auto"/>
    </w:pPr>
    <w:rPr>
      <w:rFonts w:ascii="Verdana" w:hAnsi="Verdana"/>
      <w:sz w:val="24"/>
      <w:szCs w:val="24"/>
    </w:rPr>
  </w:style>
  <w:style w:type="paragraph" w:customStyle="1" w:styleId="GuideDash">
    <w:name w:val="GuideDash"/>
    <w:semiHidden/>
    <w:rsid w:val="00EA1E98"/>
    <w:pPr>
      <w:numPr>
        <w:numId w:val="17"/>
      </w:numPr>
      <w:tabs>
        <w:tab w:val="clear" w:pos="1786"/>
        <w:tab w:val="left" w:pos="576"/>
      </w:tabs>
      <w:spacing w:after="40"/>
      <w:ind w:left="576"/>
    </w:pPr>
    <w:rPr>
      <w:sz w:val="22"/>
    </w:rPr>
  </w:style>
  <w:style w:type="paragraph" w:styleId="Caption">
    <w:name w:val="caption"/>
    <w:next w:val="TableText0"/>
    <w:link w:val="CaptionChar"/>
    <w:uiPriority w:val="35"/>
    <w:qFormat/>
    <w:rsid w:val="00EA1E98"/>
    <w:pPr>
      <w:keepNext/>
      <w:tabs>
        <w:tab w:val="left" w:pos="1152"/>
        <w:tab w:val="left" w:pos="1440"/>
      </w:tabs>
      <w:spacing w:before="60" w:after="60"/>
      <w:ind w:left="1152" w:hanging="1152"/>
    </w:pPr>
    <w:rPr>
      <w:b/>
      <w:bCs/>
      <w:szCs w:val="18"/>
    </w:rPr>
  </w:style>
  <w:style w:type="character" w:customStyle="1" w:styleId="bold0">
    <w:name w:val="bold"/>
    <w:rsid w:val="00EA1E98"/>
  </w:style>
  <w:style w:type="character" w:customStyle="1" w:styleId="CaptionChar">
    <w:name w:val="Caption Char"/>
    <w:link w:val="Caption"/>
    <w:uiPriority w:val="99"/>
    <w:locked/>
    <w:rsid w:val="00EA1E98"/>
    <w:rPr>
      <w:b/>
      <w:bCs/>
      <w:szCs w:val="18"/>
    </w:rPr>
  </w:style>
  <w:style w:type="character" w:styleId="UnresolvedMention">
    <w:name w:val="Unresolved Mention"/>
    <w:basedOn w:val="DefaultParagraphFont"/>
    <w:uiPriority w:val="99"/>
    <w:semiHidden/>
    <w:unhideWhenUsed/>
    <w:rsid w:val="00456726"/>
    <w:rPr>
      <w:color w:val="808080"/>
      <w:shd w:val="clear" w:color="auto" w:fill="E6E6E6"/>
    </w:rPr>
  </w:style>
  <w:style w:type="paragraph" w:styleId="Title">
    <w:name w:val="Title"/>
    <w:basedOn w:val="Normal"/>
    <w:next w:val="Normal"/>
    <w:link w:val="TitleChar"/>
    <w:uiPriority w:val="10"/>
    <w:qFormat/>
    <w:rsid w:val="00117D06"/>
    <w:pPr>
      <w:pBdr>
        <w:top w:val="single" w:sz="4" w:space="1" w:color="auto"/>
      </w:pBdr>
      <w:contextualSpacing/>
      <w:jc w:val="center"/>
    </w:pPr>
    <w:rPr>
      <w:rFonts w:ascii="Arial Black" w:eastAsiaTheme="majorEastAsia" w:hAnsi="Arial Black" w:cstheme="majorBidi"/>
      <w:b/>
      <w:color w:val="auto"/>
      <w:spacing w:val="-10"/>
      <w:kern w:val="28"/>
      <w:sz w:val="56"/>
      <w:szCs w:val="56"/>
    </w:rPr>
  </w:style>
  <w:style w:type="character" w:customStyle="1" w:styleId="TitleChar">
    <w:name w:val="Title Char"/>
    <w:basedOn w:val="DefaultParagraphFont"/>
    <w:link w:val="Title"/>
    <w:uiPriority w:val="10"/>
    <w:rsid w:val="00117D06"/>
    <w:rPr>
      <w:rFonts w:ascii="Arial Black" w:eastAsiaTheme="majorEastAsia" w:hAnsi="Arial Black" w:cstheme="majorBidi"/>
      <w:b/>
      <w:spacing w:val="-10"/>
      <w:kern w:val="28"/>
      <w:sz w:val="56"/>
      <w:szCs w:val="56"/>
      <w:lang w:val="en-AU"/>
    </w:rPr>
  </w:style>
  <w:style w:type="character" w:customStyle="1" w:styleId="Heading3Char">
    <w:name w:val="Heading 3 Char"/>
    <w:basedOn w:val="DefaultParagraphFont"/>
    <w:link w:val="Heading3"/>
    <w:rsid w:val="00A64110"/>
    <w:rPr>
      <w:rFonts w:ascii="Arial" w:hAnsi="Arial" w:cs="Arial"/>
      <w:b/>
      <w:color w:val="000000"/>
      <w:spacing w:val="-2"/>
      <w:sz w:val="22"/>
      <w:szCs w:val="22"/>
      <w:lang w:val="en-AU"/>
    </w:rPr>
  </w:style>
  <w:style w:type="paragraph" w:styleId="NormalWeb">
    <w:name w:val="Normal (Web)"/>
    <w:basedOn w:val="Normal"/>
    <w:uiPriority w:val="99"/>
    <w:unhideWhenUsed/>
    <w:rsid w:val="000A543D"/>
    <w:pPr>
      <w:spacing w:before="100" w:beforeAutospacing="1" w:after="100" w:afterAutospacing="1"/>
    </w:pPr>
    <w:rPr>
      <w:rFonts w:ascii="Times New Roman" w:eastAsiaTheme="minorHAnsi" w:hAnsi="Times New Roman" w:cs="Times New Roman"/>
      <w:color w:val="auto"/>
      <w:sz w:val="24"/>
      <w:szCs w:val="24"/>
      <w:lang w:val="en-US" w:bidi="he-IL"/>
    </w:rPr>
  </w:style>
  <w:style w:type="character" w:customStyle="1" w:styleId="normaltextrun">
    <w:name w:val="normaltextrun"/>
    <w:basedOn w:val="DefaultParagraphFont"/>
    <w:rsid w:val="00156414"/>
  </w:style>
  <w:style w:type="paragraph" w:customStyle="1" w:styleId="WARINGIN">
    <w:name w:val="WARINGIN"/>
    <w:basedOn w:val="Heading1"/>
    <w:rsid w:val="00657C5D"/>
    <w:pPr>
      <w:numPr>
        <w:numId w:val="0"/>
      </w:numPr>
      <w:ind w:left="357" w:hanging="357"/>
    </w:pPr>
  </w:style>
  <w:style w:type="paragraph" w:customStyle="1" w:styleId="SubheadingBold12">
    <w:name w:val="Subheading Bold 12"/>
    <w:next w:val="BodyText120"/>
    <w:qFormat/>
    <w:rsid w:val="00003968"/>
    <w:pPr>
      <w:keepNext/>
      <w:keepLines/>
      <w:spacing w:before="240" w:after="120"/>
    </w:pPr>
    <w:rPr>
      <w:b/>
      <w:sz w:val="24"/>
    </w:rPr>
  </w:style>
  <w:style w:type="paragraph" w:customStyle="1" w:styleId="Basic12">
    <w:name w:val="Basic 12"/>
    <w:qFormat/>
    <w:rsid w:val="005F0D68"/>
    <w:pPr>
      <w:spacing w:after="200"/>
      <w:jc w:val="both"/>
    </w:pPr>
    <w:rPr>
      <w:sz w:val="24"/>
    </w:rPr>
  </w:style>
  <w:style w:type="character" w:customStyle="1" w:styleId="TableTextChar">
    <w:name w:val="Table Text Char"/>
    <w:link w:val="TableText0"/>
    <w:uiPriority w:val="99"/>
    <w:rsid w:val="005F0D68"/>
  </w:style>
  <w:style w:type="paragraph" w:styleId="HTMLPreformatted">
    <w:name w:val="HTML Preformatted"/>
    <w:basedOn w:val="Normal"/>
    <w:link w:val="HTMLPreformattedChar"/>
    <w:semiHidden/>
    <w:unhideWhenUsed/>
    <w:rsid w:val="008856EC"/>
    <w:pPr>
      <w:tabs>
        <w:tab w:val="left" w:pos="567"/>
      </w:tabs>
    </w:pPr>
    <w:rPr>
      <w:rFonts w:ascii="Consolas" w:hAnsi="Consolas" w:cs="Times New Roman"/>
      <w:noProof/>
      <w:color w:val="auto"/>
      <w:sz w:val="20"/>
      <w:szCs w:val="20"/>
      <w:lang w:val="en-GB"/>
    </w:rPr>
  </w:style>
  <w:style w:type="character" w:customStyle="1" w:styleId="HTMLPreformattedChar">
    <w:name w:val="HTML Preformatted Char"/>
    <w:basedOn w:val="DefaultParagraphFont"/>
    <w:link w:val="HTMLPreformatted"/>
    <w:semiHidden/>
    <w:rsid w:val="008856EC"/>
    <w:rPr>
      <w:rFonts w:ascii="Consolas" w:hAnsi="Consolas"/>
      <w:noProof/>
      <w:lang w:val="en-GB"/>
    </w:rPr>
  </w:style>
  <w:style w:type="table" w:customStyle="1" w:styleId="TableGrid1">
    <w:name w:val="Table Grid1"/>
    <w:basedOn w:val="TableNormal"/>
    <w:next w:val="TableGrid"/>
    <w:uiPriority w:val="59"/>
    <w:rsid w:val="00D6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semiHidden/>
    <w:unhideWhenUsed/>
    <w:rsid w:val="007660A9"/>
    <w:pPr>
      <w:numPr>
        <w:numId w:val="31"/>
      </w:numPr>
      <w:tabs>
        <w:tab w:val="left" w:pos="567"/>
      </w:tabs>
      <w:spacing w:line="260" w:lineRule="exact"/>
      <w:contextualSpacing/>
    </w:pPr>
    <w:rPr>
      <w:rFonts w:ascii="Times New Roman" w:hAnsi="Times New Roman" w:cs="Times New Roman"/>
      <w:color w:val="auto"/>
      <w:szCs w:val="20"/>
      <w:lang w:val="en-GB"/>
    </w:rPr>
  </w:style>
  <w:style w:type="table" w:customStyle="1" w:styleId="TableGrid2">
    <w:name w:val="Table Grid2"/>
    <w:basedOn w:val="TableNormal"/>
    <w:next w:val="TableGrid"/>
    <w:rsid w:val="00D072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12-3">
    <w:name w:val="Numbered 12-3"/>
    <w:qFormat/>
    <w:rsid w:val="0047036D"/>
    <w:pPr>
      <w:numPr>
        <w:numId w:val="41"/>
      </w:numPr>
      <w:spacing w:after="120"/>
      <w:jc w:val="both"/>
    </w:pPr>
    <w:rPr>
      <w:sz w:val="24"/>
    </w:rPr>
  </w:style>
  <w:style w:type="paragraph" w:customStyle="1" w:styleId="GuideBullet">
    <w:name w:val="GuideBullet"/>
    <w:semiHidden/>
    <w:rsid w:val="004811D8"/>
    <w:pPr>
      <w:numPr>
        <w:numId w:val="42"/>
      </w:numPr>
      <w:tabs>
        <w:tab w:val="left" w:pos="288"/>
      </w:tabs>
      <w:spacing w:after="40"/>
    </w:pPr>
    <w:rPr>
      <w:sz w:val="22"/>
    </w:rPr>
  </w:style>
  <w:style w:type="character" w:customStyle="1" w:styleId="cf01">
    <w:name w:val="cf01"/>
    <w:basedOn w:val="DefaultParagraphFont"/>
    <w:rsid w:val="004811D8"/>
    <w:rPr>
      <w:rFonts w:ascii="Segoe UI" w:hAnsi="Segoe UI" w:cs="Segoe UI" w:hint="default"/>
      <w:sz w:val="18"/>
      <w:szCs w:val="18"/>
    </w:rPr>
  </w:style>
  <w:style w:type="paragraph" w:customStyle="1" w:styleId="BodyTextBold">
    <w:name w:val="Body Text (Bold)"/>
    <w:basedOn w:val="BodyText"/>
    <w:qFormat/>
    <w:rsid w:val="00E379D4"/>
    <w:pPr>
      <w:keepNext/>
      <w:spacing w:after="200"/>
    </w:pPr>
    <w:rPr>
      <w:rFonts w:ascii="Times New Roman Bold" w:hAnsi="Times New Roman Bold" w:cs="Times New Roman"/>
      <w:b/>
      <w:color w:val="auto"/>
      <w:sz w:val="24"/>
      <w:szCs w:val="20"/>
      <w:lang w:val="en-US"/>
    </w:rPr>
  </w:style>
  <w:style w:type="paragraph" w:customStyle="1" w:styleId="pf0">
    <w:name w:val="pf0"/>
    <w:basedOn w:val="Normal"/>
    <w:rsid w:val="009E0586"/>
    <w:pPr>
      <w:spacing w:before="100" w:beforeAutospacing="1" w:after="100" w:afterAutospacing="1"/>
    </w:pPr>
    <w:rPr>
      <w:rFonts w:ascii="Times New Roman" w:hAnsi="Times New Roman" w:cs="Times New Roman"/>
      <w:color w:val="auto"/>
      <w:sz w:val="24"/>
      <w:szCs w:val="24"/>
      <w:lang w:val="en-US"/>
    </w:rPr>
  </w:style>
  <w:style w:type="character" w:customStyle="1" w:styleId="cf11">
    <w:name w:val="cf11"/>
    <w:basedOn w:val="DefaultParagraphFont"/>
    <w:rsid w:val="009E0586"/>
    <w:rPr>
      <w:rFonts w:ascii="Segoe UI" w:hAnsi="Segoe UI" w:cs="Segoe UI" w:hint="default"/>
      <w:sz w:val="18"/>
      <w:szCs w:val="18"/>
    </w:rPr>
  </w:style>
  <w:style w:type="character" w:customStyle="1" w:styleId="ui-provider">
    <w:name w:val="ui-provider"/>
    <w:basedOn w:val="DefaultParagraphFont"/>
    <w:rsid w:val="00E1340D"/>
  </w:style>
  <w:style w:type="paragraph" w:customStyle="1" w:styleId="TableParagraph">
    <w:name w:val="Table Paragraph"/>
    <w:basedOn w:val="Normal"/>
    <w:uiPriority w:val="1"/>
    <w:qFormat/>
    <w:rsid w:val="00A56C9B"/>
    <w:pPr>
      <w:widowControl w:val="0"/>
      <w:autoSpaceDE w:val="0"/>
      <w:autoSpaceDN w:val="0"/>
      <w:spacing w:line="210" w:lineRule="exact"/>
    </w:pPr>
    <w:rPr>
      <w:rFonts w:eastAsia="Arial"/>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53">
      <w:bodyDiv w:val="1"/>
      <w:marLeft w:val="0"/>
      <w:marRight w:val="0"/>
      <w:marTop w:val="0"/>
      <w:marBottom w:val="0"/>
      <w:divBdr>
        <w:top w:val="none" w:sz="0" w:space="0" w:color="auto"/>
        <w:left w:val="none" w:sz="0" w:space="0" w:color="auto"/>
        <w:bottom w:val="none" w:sz="0" w:space="0" w:color="auto"/>
        <w:right w:val="none" w:sz="0" w:space="0" w:color="auto"/>
      </w:divBdr>
    </w:div>
    <w:div w:id="110173535">
      <w:bodyDiv w:val="1"/>
      <w:marLeft w:val="0"/>
      <w:marRight w:val="0"/>
      <w:marTop w:val="0"/>
      <w:marBottom w:val="0"/>
      <w:divBdr>
        <w:top w:val="none" w:sz="0" w:space="0" w:color="auto"/>
        <w:left w:val="none" w:sz="0" w:space="0" w:color="auto"/>
        <w:bottom w:val="none" w:sz="0" w:space="0" w:color="auto"/>
        <w:right w:val="none" w:sz="0" w:space="0" w:color="auto"/>
      </w:divBdr>
    </w:div>
    <w:div w:id="127478213">
      <w:bodyDiv w:val="1"/>
      <w:marLeft w:val="0"/>
      <w:marRight w:val="0"/>
      <w:marTop w:val="0"/>
      <w:marBottom w:val="0"/>
      <w:divBdr>
        <w:top w:val="none" w:sz="0" w:space="0" w:color="auto"/>
        <w:left w:val="none" w:sz="0" w:space="0" w:color="auto"/>
        <w:bottom w:val="none" w:sz="0" w:space="0" w:color="auto"/>
        <w:right w:val="none" w:sz="0" w:space="0" w:color="auto"/>
      </w:divBdr>
    </w:div>
    <w:div w:id="222301533">
      <w:bodyDiv w:val="1"/>
      <w:marLeft w:val="0"/>
      <w:marRight w:val="0"/>
      <w:marTop w:val="0"/>
      <w:marBottom w:val="0"/>
      <w:divBdr>
        <w:top w:val="none" w:sz="0" w:space="0" w:color="auto"/>
        <w:left w:val="none" w:sz="0" w:space="0" w:color="auto"/>
        <w:bottom w:val="none" w:sz="0" w:space="0" w:color="auto"/>
        <w:right w:val="none" w:sz="0" w:space="0" w:color="auto"/>
      </w:divBdr>
    </w:div>
    <w:div w:id="299849393">
      <w:bodyDiv w:val="1"/>
      <w:marLeft w:val="0"/>
      <w:marRight w:val="0"/>
      <w:marTop w:val="0"/>
      <w:marBottom w:val="0"/>
      <w:divBdr>
        <w:top w:val="none" w:sz="0" w:space="0" w:color="auto"/>
        <w:left w:val="none" w:sz="0" w:space="0" w:color="auto"/>
        <w:bottom w:val="none" w:sz="0" w:space="0" w:color="auto"/>
        <w:right w:val="none" w:sz="0" w:space="0" w:color="auto"/>
      </w:divBdr>
    </w:div>
    <w:div w:id="306714697">
      <w:bodyDiv w:val="1"/>
      <w:marLeft w:val="0"/>
      <w:marRight w:val="0"/>
      <w:marTop w:val="0"/>
      <w:marBottom w:val="0"/>
      <w:divBdr>
        <w:top w:val="none" w:sz="0" w:space="0" w:color="auto"/>
        <w:left w:val="none" w:sz="0" w:space="0" w:color="auto"/>
        <w:bottom w:val="none" w:sz="0" w:space="0" w:color="auto"/>
        <w:right w:val="none" w:sz="0" w:space="0" w:color="auto"/>
      </w:divBdr>
    </w:div>
    <w:div w:id="344748692">
      <w:bodyDiv w:val="1"/>
      <w:marLeft w:val="0"/>
      <w:marRight w:val="0"/>
      <w:marTop w:val="0"/>
      <w:marBottom w:val="0"/>
      <w:divBdr>
        <w:top w:val="none" w:sz="0" w:space="0" w:color="auto"/>
        <w:left w:val="none" w:sz="0" w:space="0" w:color="auto"/>
        <w:bottom w:val="none" w:sz="0" w:space="0" w:color="auto"/>
        <w:right w:val="none" w:sz="0" w:space="0" w:color="auto"/>
      </w:divBdr>
    </w:div>
    <w:div w:id="362098101">
      <w:bodyDiv w:val="1"/>
      <w:marLeft w:val="0"/>
      <w:marRight w:val="0"/>
      <w:marTop w:val="0"/>
      <w:marBottom w:val="0"/>
      <w:divBdr>
        <w:top w:val="none" w:sz="0" w:space="0" w:color="auto"/>
        <w:left w:val="none" w:sz="0" w:space="0" w:color="auto"/>
        <w:bottom w:val="none" w:sz="0" w:space="0" w:color="auto"/>
        <w:right w:val="none" w:sz="0" w:space="0" w:color="auto"/>
      </w:divBdr>
    </w:div>
    <w:div w:id="375660926">
      <w:bodyDiv w:val="1"/>
      <w:marLeft w:val="0"/>
      <w:marRight w:val="0"/>
      <w:marTop w:val="0"/>
      <w:marBottom w:val="0"/>
      <w:divBdr>
        <w:top w:val="none" w:sz="0" w:space="0" w:color="auto"/>
        <w:left w:val="none" w:sz="0" w:space="0" w:color="auto"/>
        <w:bottom w:val="none" w:sz="0" w:space="0" w:color="auto"/>
        <w:right w:val="none" w:sz="0" w:space="0" w:color="auto"/>
      </w:divBdr>
    </w:div>
    <w:div w:id="400448195">
      <w:bodyDiv w:val="1"/>
      <w:marLeft w:val="0"/>
      <w:marRight w:val="0"/>
      <w:marTop w:val="0"/>
      <w:marBottom w:val="0"/>
      <w:divBdr>
        <w:top w:val="none" w:sz="0" w:space="0" w:color="auto"/>
        <w:left w:val="none" w:sz="0" w:space="0" w:color="auto"/>
        <w:bottom w:val="none" w:sz="0" w:space="0" w:color="auto"/>
        <w:right w:val="none" w:sz="0" w:space="0" w:color="auto"/>
      </w:divBdr>
    </w:div>
    <w:div w:id="425614221">
      <w:bodyDiv w:val="1"/>
      <w:marLeft w:val="0"/>
      <w:marRight w:val="0"/>
      <w:marTop w:val="0"/>
      <w:marBottom w:val="0"/>
      <w:divBdr>
        <w:top w:val="none" w:sz="0" w:space="0" w:color="auto"/>
        <w:left w:val="none" w:sz="0" w:space="0" w:color="auto"/>
        <w:bottom w:val="none" w:sz="0" w:space="0" w:color="auto"/>
        <w:right w:val="none" w:sz="0" w:space="0" w:color="auto"/>
      </w:divBdr>
    </w:div>
    <w:div w:id="426850795">
      <w:bodyDiv w:val="1"/>
      <w:marLeft w:val="0"/>
      <w:marRight w:val="0"/>
      <w:marTop w:val="0"/>
      <w:marBottom w:val="0"/>
      <w:divBdr>
        <w:top w:val="none" w:sz="0" w:space="0" w:color="auto"/>
        <w:left w:val="none" w:sz="0" w:space="0" w:color="auto"/>
        <w:bottom w:val="none" w:sz="0" w:space="0" w:color="auto"/>
        <w:right w:val="none" w:sz="0" w:space="0" w:color="auto"/>
      </w:divBdr>
    </w:div>
    <w:div w:id="429206627">
      <w:bodyDiv w:val="1"/>
      <w:marLeft w:val="0"/>
      <w:marRight w:val="0"/>
      <w:marTop w:val="0"/>
      <w:marBottom w:val="0"/>
      <w:divBdr>
        <w:top w:val="none" w:sz="0" w:space="0" w:color="auto"/>
        <w:left w:val="none" w:sz="0" w:space="0" w:color="auto"/>
        <w:bottom w:val="none" w:sz="0" w:space="0" w:color="auto"/>
        <w:right w:val="none" w:sz="0" w:space="0" w:color="auto"/>
      </w:divBdr>
    </w:div>
    <w:div w:id="431168555">
      <w:bodyDiv w:val="1"/>
      <w:marLeft w:val="0"/>
      <w:marRight w:val="0"/>
      <w:marTop w:val="0"/>
      <w:marBottom w:val="0"/>
      <w:divBdr>
        <w:top w:val="none" w:sz="0" w:space="0" w:color="auto"/>
        <w:left w:val="none" w:sz="0" w:space="0" w:color="auto"/>
        <w:bottom w:val="none" w:sz="0" w:space="0" w:color="auto"/>
        <w:right w:val="none" w:sz="0" w:space="0" w:color="auto"/>
      </w:divBdr>
    </w:div>
    <w:div w:id="442772044">
      <w:bodyDiv w:val="1"/>
      <w:marLeft w:val="0"/>
      <w:marRight w:val="0"/>
      <w:marTop w:val="0"/>
      <w:marBottom w:val="0"/>
      <w:divBdr>
        <w:top w:val="none" w:sz="0" w:space="0" w:color="auto"/>
        <w:left w:val="none" w:sz="0" w:space="0" w:color="auto"/>
        <w:bottom w:val="none" w:sz="0" w:space="0" w:color="auto"/>
        <w:right w:val="none" w:sz="0" w:space="0" w:color="auto"/>
      </w:divBdr>
    </w:div>
    <w:div w:id="449327758">
      <w:bodyDiv w:val="1"/>
      <w:marLeft w:val="0"/>
      <w:marRight w:val="0"/>
      <w:marTop w:val="0"/>
      <w:marBottom w:val="0"/>
      <w:divBdr>
        <w:top w:val="none" w:sz="0" w:space="0" w:color="auto"/>
        <w:left w:val="none" w:sz="0" w:space="0" w:color="auto"/>
        <w:bottom w:val="none" w:sz="0" w:space="0" w:color="auto"/>
        <w:right w:val="none" w:sz="0" w:space="0" w:color="auto"/>
      </w:divBdr>
    </w:div>
    <w:div w:id="457073189">
      <w:bodyDiv w:val="1"/>
      <w:marLeft w:val="0"/>
      <w:marRight w:val="0"/>
      <w:marTop w:val="0"/>
      <w:marBottom w:val="0"/>
      <w:divBdr>
        <w:top w:val="none" w:sz="0" w:space="0" w:color="auto"/>
        <w:left w:val="none" w:sz="0" w:space="0" w:color="auto"/>
        <w:bottom w:val="none" w:sz="0" w:space="0" w:color="auto"/>
        <w:right w:val="none" w:sz="0" w:space="0" w:color="auto"/>
      </w:divBdr>
    </w:div>
    <w:div w:id="467475583">
      <w:bodyDiv w:val="1"/>
      <w:marLeft w:val="0"/>
      <w:marRight w:val="0"/>
      <w:marTop w:val="0"/>
      <w:marBottom w:val="0"/>
      <w:divBdr>
        <w:top w:val="none" w:sz="0" w:space="0" w:color="auto"/>
        <w:left w:val="none" w:sz="0" w:space="0" w:color="auto"/>
        <w:bottom w:val="none" w:sz="0" w:space="0" w:color="auto"/>
        <w:right w:val="none" w:sz="0" w:space="0" w:color="auto"/>
      </w:divBdr>
    </w:div>
    <w:div w:id="491214747">
      <w:bodyDiv w:val="1"/>
      <w:marLeft w:val="0"/>
      <w:marRight w:val="0"/>
      <w:marTop w:val="0"/>
      <w:marBottom w:val="0"/>
      <w:divBdr>
        <w:top w:val="none" w:sz="0" w:space="0" w:color="auto"/>
        <w:left w:val="none" w:sz="0" w:space="0" w:color="auto"/>
        <w:bottom w:val="none" w:sz="0" w:space="0" w:color="auto"/>
        <w:right w:val="none" w:sz="0" w:space="0" w:color="auto"/>
      </w:divBdr>
    </w:div>
    <w:div w:id="502475891">
      <w:bodyDiv w:val="1"/>
      <w:marLeft w:val="0"/>
      <w:marRight w:val="0"/>
      <w:marTop w:val="0"/>
      <w:marBottom w:val="0"/>
      <w:divBdr>
        <w:top w:val="none" w:sz="0" w:space="0" w:color="auto"/>
        <w:left w:val="none" w:sz="0" w:space="0" w:color="auto"/>
        <w:bottom w:val="none" w:sz="0" w:space="0" w:color="auto"/>
        <w:right w:val="none" w:sz="0" w:space="0" w:color="auto"/>
      </w:divBdr>
    </w:div>
    <w:div w:id="505246325">
      <w:bodyDiv w:val="1"/>
      <w:marLeft w:val="0"/>
      <w:marRight w:val="0"/>
      <w:marTop w:val="0"/>
      <w:marBottom w:val="0"/>
      <w:divBdr>
        <w:top w:val="none" w:sz="0" w:space="0" w:color="auto"/>
        <w:left w:val="none" w:sz="0" w:space="0" w:color="auto"/>
        <w:bottom w:val="none" w:sz="0" w:space="0" w:color="auto"/>
        <w:right w:val="none" w:sz="0" w:space="0" w:color="auto"/>
      </w:divBdr>
    </w:div>
    <w:div w:id="509218292">
      <w:bodyDiv w:val="1"/>
      <w:marLeft w:val="0"/>
      <w:marRight w:val="0"/>
      <w:marTop w:val="0"/>
      <w:marBottom w:val="0"/>
      <w:divBdr>
        <w:top w:val="none" w:sz="0" w:space="0" w:color="auto"/>
        <w:left w:val="none" w:sz="0" w:space="0" w:color="auto"/>
        <w:bottom w:val="none" w:sz="0" w:space="0" w:color="auto"/>
        <w:right w:val="none" w:sz="0" w:space="0" w:color="auto"/>
      </w:divBdr>
    </w:div>
    <w:div w:id="555556715">
      <w:bodyDiv w:val="1"/>
      <w:marLeft w:val="0"/>
      <w:marRight w:val="0"/>
      <w:marTop w:val="0"/>
      <w:marBottom w:val="0"/>
      <w:divBdr>
        <w:top w:val="none" w:sz="0" w:space="0" w:color="auto"/>
        <w:left w:val="none" w:sz="0" w:space="0" w:color="auto"/>
        <w:bottom w:val="none" w:sz="0" w:space="0" w:color="auto"/>
        <w:right w:val="none" w:sz="0" w:space="0" w:color="auto"/>
      </w:divBdr>
    </w:div>
    <w:div w:id="562108840">
      <w:bodyDiv w:val="1"/>
      <w:marLeft w:val="0"/>
      <w:marRight w:val="0"/>
      <w:marTop w:val="0"/>
      <w:marBottom w:val="0"/>
      <w:divBdr>
        <w:top w:val="none" w:sz="0" w:space="0" w:color="auto"/>
        <w:left w:val="none" w:sz="0" w:space="0" w:color="auto"/>
        <w:bottom w:val="none" w:sz="0" w:space="0" w:color="auto"/>
        <w:right w:val="none" w:sz="0" w:space="0" w:color="auto"/>
      </w:divBdr>
    </w:div>
    <w:div w:id="570385498">
      <w:bodyDiv w:val="1"/>
      <w:marLeft w:val="0"/>
      <w:marRight w:val="0"/>
      <w:marTop w:val="0"/>
      <w:marBottom w:val="0"/>
      <w:divBdr>
        <w:top w:val="none" w:sz="0" w:space="0" w:color="auto"/>
        <w:left w:val="none" w:sz="0" w:space="0" w:color="auto"/>
        <w:bottom w:val="none" w:sz="0" w:space="0" w:color="auto"/>
        <w:right w:val="none" w:sz="0" w:space="0" w:color="auto"/>
      </w:divBdr>
    </w:div>
    <w:div w:id="576520931">
      <w:bodyDiv w:val="1"/>
      <w:marLeft w:val="0"/>
      <w:marRight w:val="0"/>
      <w:marTop w:val="0"/>
      <w:marBottom w:val="0"/>
      <w:divBdr>
        <w:top w:val="none" w:sz="0" w:space="0" w:color="auto"/>
        <w:left w:val="none" w:sz="0" w:space="0" w:color="auto"/>
        <w:bottom w:val="none" w:sz="0" w:space="0" w:color="auto"/>
        <w:right w:val="none" w:sz="0" w:space="0" w:color="auto"/>
      </w:divBdr>
    </w:div>
    <w:div w:id="634530700">
      <w:bodyDiv w:val="1"/>
      <w:marLeft w:val="0"/>
      <w:marRight w:val="0"/>
      <w:marTop w:val="0"/>
      <w:marBottom w:val="0"/>
      <w:divBdr>
        <w:top w:val="none" w:sz="0" w:space="0" w:color="auto"/>
        <w:left w:val="none" w:sz="0" w:space="0" w:color="auto"/>
        <w:bottom w:val="none" w:sz="0" w:space="0" w:color="auto"/>
        <w:right w:val="none" w:sz="0" w:space="0" w:color="auto"/>
      </w:divBdr>
    </w:div>
    <w:div w:id="702680176">
      <w:bodyDiv w:val="1"/>
      <w:marLeft w:val="0"/>
      <w:marRight w:val="0"/>
      <w:marTop w:val="0"/>
      <w:marBottom w:val="0"/>
      <w:divBdr>
        <w:top w:val="none" w:sz="0" w:space="0" w:color="auto"/>
        <w:left w:val="none" w:sz="0" w:space="0" w:color="auto"/>
        <w:bottom w:val="none" w:sz="0" w:space="0" w:color="auto"/>
        <w:right w:val="none" w:sz="0" w:space="0" w:color="auto"/>
      </w:divBdr>
    </w:div>
    <w:div w:id="705834385">
      <w:bodyDiv w:val="1"/>
      <w:marLeft w:val="0"/>
      <w:marRight w:val="0"/>
      <w:marTop w:val="0"/>
      <w:marBottom w:val="0"/>
      <w:divBdr>
        <w:top w:val="none" w:sz="0" w:space="0" w:color="auto"/>
        <w:left w:val="none" w:sz="0" w:space="0" w:color="auto"/>
        <w:bottom w:val="none" w:sz="0" w:space="0" w:color="auto"/>
        <w:right w:val="none" w:sz="0" w:space="0" w:color="auto"/>
      </w:divBdr>
    </w:div>
    <w:div w:id="748961824">
      <w:bodyDiv w:val="1"/>
      <w:marLeft w:val="0"/>
      <w:marRight w:val="0"/>
      <w:marTop w:val="0"/>
      <w:marBottom w:val="0"/>
      <w:divBdr>
        <w:top w:val="none" w:sz="0" w:space="0" w:color="auto"/>
        <w:left w:val="none" w:sz="0" w:space="0" w:color="auto"/>
        <w:bottom w:val="none" w:sz="0" w:space="0" w:color="auto"/>
        <w:right w:val="none" w:sz="0" w:space="0" w:color="auto"/>
      </w:divBdr>
    </w:div>
    <w:div w:id="758256776">
      <w:bodyDiv w:val="1"/>
      <w:marLeft w:val="0"/>
      <w:marRight w:val="0"/>
      <w:marTop w:val="0"/>
      <w:marBottom w:val="0"/>
      <w:divBdr>
        <w:top w:val="none" w:sz="0" w:space="0" w:color="auto"/>
        <w:left w:val="none" w:sz="0" w:space="0" w:color="auto"/>
        <w:bottom w:val="none" w:sz="0" w:space="0" w:color="auto"/>
        <w:right w:val="none" w:sz="0" w:space="0" w:color="auto"/>
      </w:divBdr>
    </w:div>
    <w:div w:id="778258165">
      <w:bodyDiv w:val="1"/>
      <w:marLeft w:val="0"/>
      <w:marRight w:val="0"/>
      <w:marTop w:val="0"/>
      <w:marBottom w:val="0"/>
      <w:divBdr>
        <w:top w:val="none" w:sz="0" w:space="0" w:color="auto"/>
        <w:left w:val="none" w:sz="0" w:space="0" w:color="auto"/>
        <w:bottom w:val="none" w:sz="0" w:space="0" w:color="auto"/>
        <w:right w:val="none" w:sz="0" w:space="0" w:color="auto"/>
      </w:divBdr>
    </w:div>
    <w:div w:id="808715748">
      <w:bodyDiv w:val="1"/>
      <w:marLeft w:val="0"/>
      <w:marRight w:val="0"/>
      <w:marTop w:val="0"/>
      <w:marBottom w:val="0"/>
      <w:divBdr>
        <w:top w:val="none" w:sz="0" w:space="0" w:color="auto"/>
        <w:left w:val="none" w:sz="0" w:space="0" w:color="auto"/>
        <w:bottom w:val="none" w:sz="0" w:space="0" w:color="auto"/>
        <w:right w:val="none" w:sz="0" w:space="0" w:color="auto"/>
      </w:divBdr>
    </w:div>
    <w:div w:id="834801212">
      <w:bodyDiv w:val="1"/>
      <w:marLeft w:val="0"/>
      <w:marRight w:val="0"/>
      <w:marTop w:val="0"/>
      <w:marBottom w:val="0"/>
      <w:divBdr>
        <w:top w:val="none" w:sz="0" w:space="0" w:color="auto"/>
        <w:left w:val="none" w:sz="0" w:space="0" w:color="auto"/>
        <w:bottom w:val="none" w:sz="0" w:space="0" w:color="auto"/>
        <w:right w:val="none" w:sz="0" w:space="0" w:color="auto"/>
      </w:divBdr>
    </w:div>
    <w:div w:id="859853758">
      <w:bodyDiv w:val="1"/>
      <w:marLeft w:val="0"/>
      <w:marRight w:val="0"/>
      <w:marTop w:val="0"/>
      <w:marBottom w:val="0"/>
      <w:divBdr>
        <w:top w:val="none" w:sz="0" w:space="0" w:color="auto"/>
        <w:left w:val="none" w:sz="0" w:space="0" w:color="auto"/>
        <w:bottom w:val="none" w:sz="0" w:space="0" w:color="auto"/>
        <w:right w:val="none" w:sz="0" w:space="0" w:color="auto"/>
      </w:divBdr>
    </w:div>
    <w:div w:id="869998812">
      <w:bodyDiv w:val="1"/>
      <w:marLeft w:val="0"/>
      <w:marRight w:val="0"/>
      <w:marTop w:val="0"/>
      <w:marBottom w:val="0"/>
      <w:divBdr>
        <w:top w:val="none" w:sz="0" w:space="0" w:color="auto"/>
        <w:left w:val="none" w:sz="0" w:space="0" w:color="auto"/>
        <w:bottom w:val="none" w:sz="0" w:space="0" w:color="auto"/>
        <w:right w:val="none" w:sz="0" w:space="0" w:color="auto"/>
      </w:divBdr>
    </w:div>
    <w:div w:id="878273853">
      <w:bodyDiv w:val="1"/>
      <w:marLeft w:val="0"/>
      <w:marRight w:val="0"/>
      <w:marTop w:val="0"/>
      <w:marBottom w:val="0"/>
      <w:divBdr>
        <w:top w:val="none" w:sz="0" w:space="0" w:color="auto"/>
        <w:left w:val="none" w:sz="0" w:space="0" w:color="auto"/>
        <w:bottom w:val="none" w:sz="0" w:space="0" w:color="auto"/>
        <w:right w:val="none" w:sz="0" w:space="0" w:color="auto"/>
      </w:divBdr>
    </w:div>
    <w:div w:id="937299293">
      <w:bodyDiv w:val="1"/>
      <w:marLeft w:val="0"/>
      <w:marRight w:val="0"/>
      <w:marTop w:val="0"/>
      <w:marBottom w:val="0"/>
      <w:divBdr>
        <w:top w:val="none" w:sz="0" w:space="0" w:color="auto"/>
        <w:left w:val="none" w:sz="0" w:space="0" w:color="auto"/>
        <w:bottom w:val="none" w:sz="0" w:space="0" w:color="auto"/>
        <w:right w:val="none" w:sz="0" w:space="0" w:color="auto"/>
      </w:divBdr>
    </w:div>
    <w:div w:id="945771998">
      <w:bodyDiv w:val="1"/>
      <w:marLeft w:val="0"/>
      <w:marRight w:val="0"/>
      <w:marTop w:val="0"/>
      <w:marBottom w:val="0"/>
      <w:divBdr>
        <w:top w:val="none" w:sz="0" w:space="0" w:color="auto"/>
        <w:left w:val="none" w:sz="0" w:space="0" w:color="auto"/>
        <w:bottom w:val="none" w:sz="0" w:space="0" w:color="auto"/>
        <w:right w:val="none" w:sz="0" w:space="0" w:color="auto"/>
      </w:divBdr>
    </w:div>
    <w:div w:id="962616196">
      <w:bodyDiv w:val="1"/>
      <w:marLeft w:val="0"/>
      <w:marRight w:val="0"/>
      <w:marTop w:val="0"/>
      <w:marBottom w:val="0"/>
      <w:divBdr>
        <w:top w:val="none" w:sz="0" w:space="0" w:color="auto"/>
        <w:left w:val="none" w:sz="0" w:space="0" w:color="auto"/>
        <w:bottom w:val="none" w:sz="0" w:space="0" w:color="auto"/>
        <w:right w:val="none" w:sz="0" w:space="0" w:color="auto"/>
      </w:divBdr>
    </w:div>
    <w:div w:id="1064522097">
      <w:bodyDiv w:val="1"/>
      <w:marLeft w:val="0"/>
      <w:marRight w:val="0"/>
      <w:marTop w:val="0"/>
      <w:marBottom w:val="0"/>
      <w:divBdr>
        <w:top w:val="none" w:sz="0" w:space="0" w:color="auto"/>
        <w:left w:val="none" w:sz="0" w:space="0" w:color="auto"/>
        <w:bottom w:val="none" w:sz="0" w:space="0" w:color="auto"/>
        <w:right w:val="none" w:sz="0" w:space="0" w:color="auto"/>
      </w:divBdr>
    </w:div>
    <w:div w:id="1069692738">
      <w:bodyDiv w:val="1"/>
      <w:marLeft w:val="0"/>
      <w:marRight w:val="0"/>
      <w:marTop w:val="0"/>
      <w:marBottom w:val="0"/>
      <w:divBdr>
        <w:top w:val="none" w:sz="0" w:space="0" w:color="auto"/>
        <w:left w:val="none" w:sz="0" w:space="0" w:color="auto"/>
        <w:bottom w:val="none" w:sz="0" w:space="0" w:color="auto"/>
        <w:right w:val="none" w:sz="0" w:space="0" w:color="auto"/>
      </w:divBdr>
    </w:div>
    <w:div w:id="1078526154">
      <w:bodyDiv w:val="1"/>
      <w:marLeft w:val="0"/>
      <w:marRight w:val="0"/>
      <w:marTop w:val="0"/>
      <w:marBottom w:val="0"/>
      <w:divBdr>
        <w:top w:val="none" w:sz="0" w:space="0" w:color="auto"/>
        <w:left w:val="none" w:sz="0" w:space="0" w:color="auto"/>
        <w:bottom w:val="none" w:sz="0" w:space="0" w:color="auto"/>
        <w:right w:val="none" w:sz="0" w:space="0" w:color="auto"/>
      </w:divBdr>
    </w:div>
    <w:div w:id="1099063655">
      <w:bodyDiv w:val="1"/>
      <w:marLeft w:val="0"/>
      <w:marRight w:val="0"/>
      <w:marTop w:val="0"/>
      <w:marBottom w:val="0"/>
      <w:divBdr>
        <w:top w:val="none" w:sz="0" w:space="0" w:color="auto"/>
        <w:left w:val="none" w:sz="0" w:space="0" w:color="auto"/>
        <w:bottom w:val="none" w:sz="0" w:space="0" w:color="auto"/>
        <w:right w:val="none" w:sz="0" w:space="0" w:color="auto"/>
      </w:divBdr>
    </w:div>
    <w:div w:id="1104959580">
      <w:bodyDiv w:val="1"/>
      <w:marLeft w:val="0"/>
      <w:marRight w:val="0"/>
      <w:marTop w:val="0"/>
      <w:marBottom w:val="0"/>
      <w:divBdr>
        <w:top w:val="none" w:sz="0" w:space="0" w:color="auto"/>
        <w:left w:val="none" w:sz="0" w:space="0" w:color="auto"/>
        <w:bottom w:val="none" w:sz="0" w:space="0" w:color="auto"/>
        <w:right w:val="none" w:sz="0" w:space="0" w:color="auto"/>
      </w:divBdr>
    </w:div>
    <w:div w:id="1129319626">
      <w:bodyDiv w:val="1"/>
      <w:marLeft w:val="0"/>
      <w:marRight w:val="0"/>
      <w:marTop w:val="0"/>
      <w:marBottom w:val="0"/>
      <w:divBdr>
        <w:top w:val="none" w:sz="0" w:space="0" w:color="auto"/>
        <w:left w:val="none" w:sz="0" w:space="0" w:color="auto"/>
        <w:bottom w:val="none" w:sz="0" w:space="0" w:color="auto"/>
        <w:right w:val="none" w:sz="0" w:space="0" w:color="auto"/>
      </w:divBdr>
    </w:div>
    <w:div w:id="1165828396">
      <w:bodyDiv w:val="1"/>
      <w:marLeft w:val="0"/>
      <w:marRight w:val="0"/>
      <w:marTop w:val="0"/>
      <w:marBottom w:val="0"/>
      <w:divBdr>
        <w:top w:val="none" w:sz="0" w:space="0" w:color="auto"/>
        <w:left w:val="none" w:sz="0" w:space="0" w:color="auto"/>
        <w:bottom w:val="none" w:sz="0" w:space="0" w:color="auto"/>
        <w:right w:val="none" w:sz="0" w:space="0" w:color="auto"/>
      </w:divBdr>
    </w:div>
    <w:div w:id="1180391878">
      <w:bodyDiv w:val="1"/>
      <w:marLeft w:val="0"/>
      <w:marRight w:val="0"/>
      <w:marTop w:val="0"/>
      <w:marBottom w:val="0"/>
      <w:divBdr>
        <w:top w:val="none" w:sz="0" w:space="0" w:color="auto"/>
        <w:left w:val="none" w:sz="0" w:space="0" w:color="auto"/>
        <w:bottom w:val="none" w:sz="0" w:space="0" w:color="auto"/>
        <w:right w:val="none" w:sz="0" w:space="0" w:color="auto"/>
      </w:divBdr>
    </w:div>
    <w:div w:id="1205291463">
      <w:bodyDiv w:val="1"/>
      <w:marLeft w:val="0"/>
      <w:marRight w:val="0"/>
      <w:marTop w:val="0"/>
      <w:marBottom w:val="0"/>
      <w:divBdr>
        <w:top w:val="none" w:sz="0" w:space="0" w:color="auto"/>
        <w:left w:val="none" w:sz="0" w:space="0" w:color="auto"/>
        <w:bottom w:val="none" w:sz="0" w:space="0" w:color="auto"/>
        <w:right w:val="none" w:sz="0" w:space="0" w:color="auto"/>
      </w:divBdr>
    </w:div>
    <w:div w:id="1273366479">
      <w:bodyDiv w:val="1"/>
      <w:marLeft w:val="0"/>
      <w:marRight w:val="0"/>
      <w:marTop w:val="0"/>
      <w:marBottom w:val="0"/>
      <w:divBdr>
        <w:top w:val="none" w:sz="0" w:space="0" w:color="auto"/>
        <w:left w:val="none" w:sz="0" w:space="0" w:color="auto"/>
        <w:bottom w:val="none" w:sz="0" w:space="0" w:color="auto"/>
        <w:right w:val="none" w:sz="0" w:space="0" w:color="auto"/>
      </w:divBdr>
    </w:div>
    <w:div w:id="1294096944">
      <w:bodyDiv w:val="1"/>
      <w:marLeft w:val="0"/>
      <w:marRight w:val="0"/>
      <w:marTop w:val="0"/>
      <w:marBottom w:val="0"/>
      <w:divBdr>
        <w:top w:val="none" w:sz="0" w:space="0" w:color="auto"/>
        <w:left w:val="none" w:sz="0" w:space="0" w:color="auto"/>
        <w:bottom w:val="none" w:sz="0" w:space="0" w:color="auto"/>
        <w:right w:val="none" w:sz="0" w:space="0" w:color="auto"/>
      </w:divBdr>
    </w:div>
    <w:div w:id="1359428619">
      <w:bodyDiv w:val="1"/>
      <w:marLeft w:val="0"/>
      <w:marRight w:val="0"/>
      <w:marTop w:val="0"/>
      <w:marBottom w:val="0"/>
      <w:divBdr>
        <w:top w:val="none" w:sz="0" w:space="0" w:color="auto"/>
        <w:left w:val="none" w:sz="0" w:space="0" w:color="auto"/>
        <w:bottom w:val="none" w:sz="0" w:space="0" w:color="auto"/>
        <w:right w:val="none" w:sz="0" w:space="0" w:color="auto"/>
      </w:divBdr>
    </w:div>
    <w:div w:id="1460879190">
      <w:bodyDiv w:val="1"/>
      <w:marLeft w:val="0"/>
      <w:marRight w:val="0"/>
      <w:marTop w:val="0"/>
      <w:marBottom w:val="0"/>
      <w:divBdr>
        <w:top w:val="none" w:sz="0" w:space="0" w:color="auto"/>
        <w:left w:val="none" w:sz="0" w:space="0" w:color="auto"/>
        <w:bottom w:val="none" w:sz="0" w:space="0" w:color="auto"/>
        <w:right w:val="none" w:sz="0" w:space="0" w:color="auto"/>
      </w:divBdr>
    </w:div>
    <w:div w:id="1465466278">
      <w:bodyDiv w:val="1"/>
      <w:marLeft w:val="0"/>
      <w:marRight w:val="0"/>
      <w:marTop w:val="0"/>
      <w:marBottom w:val="0"/>
      <w:divBdr>
        <w:top w:val="none" w:sz="0" w:space="0" w:color="auto"/>
        <w:left w:val="none" w:sz="0" w:space="0" w:color="auto"/>
        <w:bottom w:val="none" w:sz="0" w:space="0" w:color="auto"/>
        <w:right w:val="none" w:sz="0" w:space="0" w:color="auto"/>
      </w:divBdr>
    </w:div>
    <w:div w:id="1499537403">
      <w:bodyDiv w:val="1"/>
      <w:marLeft w:val="0"/>
      <w:marRight w:val="0"/>
      <w:marTop w:val="0"/>
      <w:marBottom w:val="0"/>
      <w:divBdr>
        <w:top w:val="none" w:sz="0" w:space="0" w:color="auto"/>
        <w:left w:val="none" w:sz="0" w:space="0" w:color="auto"/>
        <w:bottom w:val="none" w:sz="0" w:space="0" w:color="auto"/>
        <w:right w:val="none" w:sz="0" w:space="0" w:color="auto"/>
      </w:divBdr>
    </w:div>
    <w:div w:id="1561283875">
      <w:bodyDiv w:val="1"/>
      <w:marLeft w:val="0"/>
      <w:marRight w:val="0"/>
      <w:marTop w:val="0"/>
      <w:marBottom w:val="0"/>
      <w:divBdr>
        <w:top w:val="none" w:sz="0" w:space="0" w:color="auto"/>
        <w:left w:val="none" w:sz="0" w:space="0" w:color="auto"/>
        <w:bottom w:val="none" w:sz="0" w:space="0" w:color="auto"/>
        <w:right w:val="none" w:sz="0" w:space="0" w:color="auto"/>
      </w:divBdr>
    </w:div>
    <w:div w:id="1577130813">
      <w:bodyDiv w:val="1"/>
      <w:marLeft w:val="0"/>
      <w:marRight w:val="0"/>
      <w:marTop w:val="0"/>
      <w:marBottom w:val="0"/>
      <w:divBdr>
        <w:top w:val="none" w:sz="0" w:space="0" w:color="auto"/>
        <w:left w:val="none" w:sz="0" w:space="0" w:color="auto"/>
        <w:bottom w:val="none" w:sz="0" w:space="0" w:color="auto"/>
        <w:right w:val="none" w:sz="0" w:space="0" w:color="auto"/>
      </w:divBdr>
    </w:div>
    <w:div w:id="1579443251">
      <w:bodyDiv w:val="1"/>
      <w:marLeft w:val="0"/>
      <w:marRight w:val="0"/>
      <w:marTop w:val="0"/>
      <w:marBottom w:val="0"/>
      <w:divBdr>
        <w:top w:val="none" w:sz="0" w:space="0" w:color="auto"/>
        <w:left w:val="none" w:sz="0" w:space="0" w:color="auto"/>
        <w:bottom w:val="none" w:sz="0" w:space="0" w:color="auto"/>
        <w:right w:val="none" w:sz="0" w:space="0" w:color="auto"/>
      </w:divBdr>
    </w:div>
    <w:div w:id="1609702905">
      <w:bodyDiv w:val="1"/>
      <w:marLeft w:val="0"/>
      <w:marRight w:val="0"/>
      <w:marTop w:val="0"/>
      <w:marBottom w:val="0"/>
      <w:divBdr>
        <w:top w:val="none" w:sz="0" w:space="0" w:color="auto"/>
        <w:left w:val="none" w:sz="0" w:space="0" w:color="auto"/>
        <w:bottom w:val="none" w:sz="0" w:space="0" w:color="auto"/>
        <w:right w:val="none" w:sz="0" w:space="0" w:color="auto"/>
      </w:divBdr>
    </w:div>
    <w:div w:id="1627547305">
      <w:bodyDiv w:val="1"/>
      <w:marLeft w:val="0"/>
      <w:marRight w:val="0"/>
      <w:marTop w:val="0"/>
      <w:marBottom w:val="0"/>
      <w:divBdr>
        <w:top w:val="none" w:sz="0" w:space="0" w:color="auto"/>
        <w:left w:val="none" w:sz="0" w:space="0" w:color="auto"/>
        <w:bottom w:val="none" w:sz="0" w:space="0" w:color="auto"/>
        <w:right w:val="none" w:sz="0" w:space="0" w:color="auto"/>
      </w:divBdr>
    </w:div>
    <w:div w:id="1672490403">
      <w:bodyDiv w:val="1"/>
      <w:marLeft w:val="0"/>
      <w:marRight w:val="0"/>
      <w:marTop w:val="0"/>
      <w:marBottom w:val="0"/>
      <w:divBdr>
        <w:top w:val="none" w:sz="0" w:space="0" w:color="auto"/>
        <w:left w:val="none" w:sz="0" w:space="0" w:color="auto"/>
        <w:bottom w:val="none" w:sz="0" w:space="0" w:color="auto"/>
        <w:right w:val="none" w:sz="0" w:space="0" w:color="auto"/>
      </w:divBdr>
    </w:div>
    <w:div w:id="1715692668">
      <w:bodyDiv w:val="1"/>
      <w:marLeft w:val="0"/>
      <w:marRight w:val="0"/>
      <w:marTop w:val="0"/>
      <w:marBottom w:val="0"/>
      <w:divBdr>
        <w:top w:val="none" w:sz="0" w:space="0" w:color="auto"/>
        <w:left w:val="none" w:sz="0" w:space="0" w:color="auto"/>
        <w:bottom w:val="none" w:sz="0" w:space="0" w:color="auto"/>
        <w:right w:val="none" w:sz="0" w:space="0" w:color="auto"/>
      </w:divBdr>
    </w:div>
    <w:div w:id="1731147927">
      <w:bodyDiv w:val="1"/>
      <w:marLeft w:val="0"/>
      <w:marRight w:val="0"/>
      <w:marTop w:val="0"/>
      <w:marBottom w:val="0"/>
      <w:divBdr>
        <w:top w:val="none" w:sz="0" w:space="0" w:color="auto"/>
        <w:left w:val="none" w:sz="0" w:space="0" w:color="auto"/>
        <w:bottom w:val="none" w:sz="0" w:space="0" w:color="auto"/>
        <w:right w:val="none" w:sz="0" w:space="0" w:color="auto"/>
      </w:divBdr>
    </w:div>
    <w:div w:id="1764110160">
      <w:bodyDiv w:val="1"/>
      <w:marLeft w:val="0"/>
      <w:marRight w:val="0"/>
      <w:marTop w:val="0"/>
      <w:marBottom w:val="0"/>
      <w:divBdr>
        <w:top w:val="none" w:sz="0" w:space="0" w:color="auto"/>
        <w:left w:val="none" w:sz="0" w:space="0" w:color="auto"/>
        <w:bottom w:val="none" w:sz="0" w:space="0" w:color="auto"/>
        <w:right w:val="none" w:sz="0" w:space="0" w:color="auto"/>
      </w:divBdr>
    </w:div>
    <w:div w:id="1766077869">
      <w:bodyDiv w:val="1"/>
      <w:marLeft w:val="0"/>
      <w:marRight w:val="0"/>
      <w:marTop w:val="0"/>
      <w:marBottom w:val="0"/>
      <w:divBdr>
        <w:top w:val="none" w:sz="0" w:space="0" w:color="auto"/>
        <w:left w:val="none" w:sz="0" w:space="0" w:color="auto"/>
        <w:bottom w:val="none" w:sz="0" w:space="0" w:color="auto"/>
        <w:right w:val="none" w:sz="0" w:space="0" w:color="auto"/>
      </w:divBdr>
    </w:div>
    <w:div w:id="1774280755">
      <w:bodyDiv w:val="1"/>
      <w:marLeft w:val="0"/>
      <w:marRight w:val="0"/>
      <w:marTop w:val="0"/>
      <w:marBottom w:val="0"/>
      <w:divBdr>
        <w:top w:val="none" w:sz="0" w:space="0" w:color="auto"/>
        <w:left w:val="none" w:sz="0" w:space="0" w:color="auto"/>
        <w:bottom w:val="none" w:sz="0" w:space="0" w:color="auto"/>
        <w:right w:val="none" w:sz="0" w:space="0" w:color="auto"/>
      </w:divBdr>
    </w:div>
    <w:div w:id="1775976163">
      <w:bodyDiv w:val="1"/>
      <w:marLeft w:val="0"/>
      <w:marRight w:val="0"/>
      <w:marTop w:val="0"/>
      <w:marBottom w:val="0"/>
      <w:divBdr>
        <w:top w:val="none" w:sz="0" w:space="0" w:color="auto"/>
        <w:left w:val="none" w:sz="0" w:space="0" w:color="auto"/>
        <w:bottom w:val="none" w:sz="0" w:space="0" w:color="auto"/>
        <w:right w:val="none" w:sz="0" w:space="0" w:color="auto"/>
      </w:divBdr>
    </w:div>
    <w:div w:id="1814591207">
      <w:bodyDiv w:val="1"/>
      <w:marLeft w:val="0"/>
      <w:marRight w:val="0"/>
      <w:marTop w:val="0"/>
      <w:marBottom w:val="0"/>
      <w:divBdr>
        <w:top w:val="none" w:sz="0" w:space="0" w:color="auto"/>
        <w:left w:val="none" w:sz="0" w:space="0" w:color="auto"/>
        <w:bottom w:val="none" w:sz="0" w:space="0" w:color="auto"/>
        <w:right w:val="none" w:sz="0" w:space="0" w:color="auto"/>
      </w:divBdr>
    </w:div>
    <w:div w:id="1844277158">
      <w:bodyDiv w:val="1"/>
      <w:marLeft w:val="0"/>
      <w:marRight w:val="0"/>
      <w:marTop w:val="0"/>
      <w:marBottom w:val="0"/>
      <w:divBdr>
        <w:top w:val="none" w:sz="0" w:space="0" w:color="auto"/>
        <w:left w:val="none" w:sz="0" w:space="0" w:color="auto"/>
        <w:bottom w:val="none" w:sz="0" w:space="0" w:color="auto"/>
        <w:right w:val="none" w:sz="0" w:space="0" w:color="auto"/>
      </w:divBdr>
    </w:div>
    <w:div w:id="1851601965">
      <w:bodyDiv w:val="1"/>
      <w:marLeft w:val="0"/>
      <w:marRight w:val="0"/>
      <w:marTop w:val="0"/>
      <w:marBottom w:val="0"/>
      <w:divBdr>
        <w:top w:val="none" w:sz="0" w:space="0" w:color="auto"/>
        <w:left w:val="none" w:sz="0" w:space="0" w:color="auto"/>
        <w:bottom w:val="none" w:sz="0" w:space="0" w:color="auto"/>
        <w:right w:val="none" w:sz="0" w:space="0" w:color="auto"/>
      </w:divBdr>
    </w:div>
    <w:div w:id="1868638026">
      <w:bodyDiv w:val="1"/>
      <w:marLeft w:val="0"/>
      <w:marRight w:val="0"/>
      <w:marTop w:val="0"/>
      <w:marBottom w:val="0"/>
      <w:divBdr>
        <w:top w:val="none" w:sz="0" w:space="0" w:color="auto"/>
        <w:left w:val="none" w:sz="0" w:space="0" w:color="auto"/>
        <w:bottom w:val="none" w:sz="0" w:space="0" w:color="auto"/>
        <w:right w:val="none" w:sz="0" w:space="0" w:color="auto"/>
      </w:divBdr>
    </w:div>
    <w:div w:id="1885673882">
      <w:bodyDiv w:val="1"/>
      <w:marLeft w:val="0"/>
      <w:marRight w:val="0"/>
      <w:marTop w:val="0"/>
      <w:marBottom w:val="0"/>
      <w:divBdr>
        <w:top w:val="none" w:sz="0" w:space="0" w:color="auto"/>
        <w:left w:val="none" w:sz="0" w:space="0" w:color="auto"/>
        <w:bottom w:val="none" w:sz="0" w:space="0" w:color="auto"/>
        <w:right w:val="none" w:sz="0" w:space="0" w:color="auto"/>
      </w:divBdr>
    </w:div>
    <w:div w:id="1893539103">
      <w:bodyDiv w:val="1"/>
      <w:marLeft w:val="0"/>
      <w:marRight w:val="0"/>
      <w:marTop w:val="0"/>
      <w:marBottom w:val="0"/>
      <w:divBdr>
        <w:top w:val="none" w:sz="0" w:space="0" w:color="auto"/>
        <w:left w:val="none" w:sz="0" w:space="0" w:color="auto"/>
        <w:bottom w:val="none" w:sz="0" w:space="0" w:color="auto"/>
        <w:right w:val="none" w:sz="0" w:space="0" w:color="auto"/>
      </w:divBdr>
    </w:div>
    <w:div w:id="1910458467">
      <w:bodyDiv w:val="1"/>
      <w:marLeft w:val="0"/>
      <w:marRight w:val="0"/>
      <w:marTop w:val="0"/>
      <w:marBottom w:val="0"/>
      <w:divBdr>
        <w:top w:val="none" w:sz="0" w:space="0" w:color="auto"/>
        <w:left w:val="none" w:sz="0" w:space="0" w:color="auto"/>
        <w:bottom w:val="none" w:sz="0" w:space="0" w:color="auto"/>
        <w:right w:val="none" w:sz="0" w:space="0" w:color="auto"/>
      </w:divBdr>
    </w:div>
    <w:div w:id="1914663348">
      <w:bodyDiv w:val="1"/>
      <w:marLeft w:val="0"/>
      <w:marRight w:val="0"/>
      <w:marTop w:val="0"/>
      <w:marBottom w:val="0"/>
      <w:divBdr>
        <w:top w:val="none" w:sz="0" w:space="0" w:color="auto"/>
        <w:left w:val="none" w:sz="0" w:space="0" w:color="auto"/>
        <w:bottom w:val="none" w:sz="0" w:space="0" w:color="auto"/>
        <w:right w:val="none" w:sz="0" w:space="0" w:color="auto"/>
      </w:divBdr>
    </w:div>
    <w:div w:id="1943803591">
      <w:bodyDiv w:val="1"/>
      <w:marLeft w:val="0"/>
      <w:marRight w:val="0"/>
      <w:marTop w:val="0"/>
      <w:marBottom w:val="0"/>
      <w:divBdr>
        <w:top w:val="none" w:sz="0" w:space="0" w:color="auto"/>
        <w:left w:val="none" w:sz="0" w:space="0" w:color="auto"/>
        <w:bottom w:val="none" w:sz="0" w:space="0" w:color="auto"/>
        <w:right w:val="none" w:sz="0" w:space="0" w:color="auto"/>
      </w:divBdr>
    </w:div>
    <w:div w:id="1964187965">
      <w:bodyDiv w:val="1"/>
      <w:marLeft w:val="0"/>
      <w:marRight w:val="0"/>
      <w:marTop w:val="0"/>
      <w:marBottom w:val="0"/>
      <w:divBdr>
        <w:top w:val="none" w:sz="0" w:space="0" w:color="auto"/>
        <w:left w:val="none" w:sz="0" w:space="0" w:color="auto"/>
        <w:bottom w:val="none" w:sz="0" w:space="0" w:color="auto"/>
        <w:right w:val="none" w:sz="0" w:space="0" w:color="auto"/>
      </w:divBdr>
    </w:div>
    <w:div w:id="1980723248">
      <w:bodyDiv w:val="1"/>
      <w:marLeft w:val="0"/>
      <w:marRight w:val="0"/>
      <w:marTop w:val="0"/>
      <w:marBottom w:val="0"/>
      <w:divBdr>
        <w:top w:val="none" w:sz="0" w:space="0" w:color="auto"/>
        <w:left w:val="none" w:sz="0" w:space="0" w:color="auto"/>
        <w:bottom w:val="none" w:sz="0" w:space="0" w:color="auto"/>
        <w:right w:val="none" w:sz="0" w:space="0" w:color="auto"/>
      </w:divBdr>
    </w:div>
    <w:div w:id="1993941892">
      <w:bodyDiv w:val="1"/>
      <w:marLeft w:val="0"/>
      <w:marRight w:val="0"/>
      <w:marTop w:val="0"/>
      <w:marBottom w:val="0"/>
      <w:divBdr>
        <w:top w:val="none" w:sz="0" w:space="0" w:color="auto"/>
        <w:left w:val="none" w:sz="0" w:space="0" w:color="auto"/>
        <w:bottom w:val="none" w:sz="0" w:space="0" w:color="auto"/>
        <w:right w:val="none" w:sz="0" w:space="0" w:color="auto"/>
      </w:divBdr>
    </w:div>
    <w:div w:id="2011910584">
      <w:bodyDiv w:val="1"/>
      <w:marLeft w:val="0"/>
      <w:marRight w:val="0"/>
      <w:marTop w:val="0"/>
      <w:marBottom w:val="0"/>
      <w:divBdr>
        <w:top w:val="none" w:sz="0" w:space="0" w:color="auto"/>
        <w:left w:val="none" w:sz="0" w:space="0" w:color="auto"/>
        <w:bottom w:val="none" w:sz="0" w:space="0" w:color="auto"/>
        <w:right w:val="none" w:sz="0" w:space="0" w:color="auto"/>
      </w:divBdr>
    </w:div>
    <w:div w:id="2026594412">
      <w:bodyDiv w:val="1"/>
      <w:marLeft w:val="0"/>
      <w:marRight w:val="0"/>
      <w:marTop w:val="0"/>
      <w:marBottom w:val="0"/>
      <w:divBdr>
        <w:top w:val="none" w:sz="0" w:space="0" w:color="auto"/>
        <w:left w:val="none" w:sz="0" w:space="0" w:color="auto"/>
        <w:bottom w:val="none" w:sz="0" w:space="0" w:color="auto"/>
        <w:right w:val="none" w:sz="0" w:space="0" w:color="auto"/>
      </w:divBdr>
    </w:div>
    <w:div w:id="2051146298">
      <w:bodyDiv w:val="1"/>
      <w:marLeft w:val="0"/>
      <w:marRight w:val="0"/>
      <w:marTop w:val="0"/>
      <w:marBottom w:val="0"/>
      <w:divBdr>
        <w:top w:val="none" w:sz="0" w:space="0" w:color="auto"/>
        <w:left w:val="none" w:sz="0" w:space="0" w:color="auto"/>
        <w:bottom w:val="none" w:sz="0" w:space="0" w:color="auto"/>
        <w:right w:val="none" w:sz="0" w:space="0" w:color="auto"/>
      </w:divBdr>
    </w:div>
    <w:div w:id="2080518693">
      <w:bodyDiv w:val="1"/>
      <w:marLeft w:val="0"/>
      <w:marRight w:val="0"/>
      <w:marTop w:val="0"/>
      <w:marBottom w:val="0"/>
      <w:divBdr>
        <w:top w:val="none" w:sz="0" w:space="0" w:color="auto"/>
        <w:left w:val="none" w:sz="0" w:space="0" w:color="auto"/>
        <w:bottom w:val="none" w:sz="0" w:space="0" w:color="auto"/>
        <w:right w:val="none" w:sz="0" w:space="0" w:color="auto"/>
      </w:divBdr>
    </w:div>
    <w:div w:id="2090034609">
      <w:bodyDiv w:val="1"/>
      <w:marLeft w:val="0"/>
      <w:marRight w:val="0"/>
      <w:marTop w:val="0"/>
      <w:marBottom w:val="0"/>
      <w:divBdr>
        <w:top w:val="none" w:sz="0" w:space="0" w:color="auto"/>
        <w:left w:val="none" w:sz="0" w:space="0" w:color="auto"/>
        <w:bottom w:val="none" w:sz="0" w:space="0" w:color="auto"/>
        <w:right w:val="none" w:sz="0" w:space="0" w:color="auto"/>
      </w:divBdr>
    </w:div>
    <w:div w:id="2098476546">
      <w:bodyDiv w:val="1"/>
      <w:marLeft w:val="0"/>
      <w:marRight w:val="0"/>
      <w:marTop w:val="0"/>
      <w:marBottom w:val="0"/>
      <w:divBdr>
        <w:top w:val="none" w:sz="0" w:space="0" w:color="auto"/>
        <w:left w:val="none" w:sz="0" w:space="0" w:color="auto"/>
        <w:bottom w:val="none" w:sz="0" w:space="0" w:color="auto"/>
        <w:right w:val="none" w:sz="0" w:space="0" w:color="auto"/>
      </w:divBdr>
    </w:div>
    <w:div w:id="21271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ga.gov.au/reporting-problem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80D32AA36984B8922A515678E3B97" ma:contentTypeVersion="17" ma:contentTypeDescription="Create a new document." ma:contentTypeScope="" ma:versionID="e3613f462c0541e5284a6e93f3049739">
  <xsd:schema xmlns:xsd="http://www.w3.org/2001/XMLSchema" xmlns:xs="http://www.w3.org/2001/XMLSchema" xmlns:p="http://schemas.microsoft.com/office/2006/metadata/properties" xmlns:ns2="77d1b525-eb5f-4bad-b91c-aca831945d70" xmlns:ns3="46e93829-6e17-4afd-8202-a8dad7f4ee25" targetNamespace="http://schemas.microsoft.com/office/2006/metadata/properties" ma:root="true" ma:fieldsID="f7ec72548520c5427090850d53cfee5c" ns2:_="" ns3:_="">
    <xsd:import namespace="77d1b525-eb5f-4bad-b91c-aca831945d70"/>
    <xsd:import namespace="46e93829-6e17-4afd-8202-a8dad7f4e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b525-eb5f-4bad-b91c-aca831945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93829-6e17-4afd-8202-a8dad7f4ee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deed9c-261e-4aae-81cd-a626e7b78216}" ma:internalName="TaxCatchAll" ma:showField="CatchAllData" ma:web="46e93829-6e17-4afd-8202-a8dad7f4e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1b525-eb5f-4bad-b91c-aca831945d70">
      <Terms xmlns="http://schemas.microsoft.com/office/infopath/2007/PartnerControls"/>
    </lcf76f155ced4ddcb4097134ff3c332f>
    <TaxCatchAll xmlns="46e93829-6e17-4afd-8202-a8dad7f4ee2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D68B5-E79B-4680-B734-C633CAD795E5}">
  <ds:schemaRefs>
    <ds:schemaRef ds:uri="http://schemas.microsoft.com/sharepoint/v3/contenttype/forms"/>
  </ds:schemaRefs>
</ds:datastoreItem>
</file>

<file path=customXml/itemProps2.xml><?xml version="1.0" encoding="utf-8"?>
<ds:datastoreItem xmlns:ds="http://schemas.openxmlformats.org/officeDocument/2006/customXml" ds:itemID="{B4E35F08-4AE5-4128-8939-EEBE990D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b525-eb5f-4bad-b91c-aca831945d70"/>
    <ds:schemaRef ds:uri="46e93829-6e17-4afd-8202-a8dad7f4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28121-F86D-4C1F-AEB9-B2C21A4096BB}">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46e93829-6e17-4afd-8202-a8dad7f4ee25"/>
    <ds:schemaRef ds:uri="77d1b525-eb5f-4bad-b91c-aca831945d70"/>
  </ds:schemaRefs>
</ds:datastoreItem>
</file>

<file path=customXml/itemProps4.xml><?xml version="1.0" encoding="utf-8"?>
<ds:datastoreItem xmlns:ds="http://schemas.openxmlformats.org/officeDocument/2006/customXml" ds:itemID="{FEB4AF66-CB0B-4FA0-939E-C84043FCD205}">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5704</Words>
  <Characters>32839</Characters>
  <Application>Microsoft Office Word</Application>
  <DocSecurity>0</DocSecurity>
  <Lines>698</Lines>
  <Paragraphs>433</Paragraphs>
  <ScaleCrop>false</ScaleCrop>
  <HeadingPairs>
    <vt:vector size="2" baseType="variant">
      <vt:variant>
        <vt:lpstr>Title</vt:lpstr>
      </vt:variant>
      <vt:variant>
        <vt:i4>1</vt:i4>
      </vt:variant>
    </vt:vector>
  </HeadingPairs>
  <TitlesOfParts>
    <vt:vector size="1" baseType="lpstr">
      <vt:lpstr/>
    </vt:vector>
  </TitlesOfParts>
  <Company>Janssen-Cilag</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Lazcluze</dc:title>
  <dc:subject>presciption medicines</dc:subject>
  <dc:creator>Janssen-Cilag</dc:creator>
  <cp:keywords/>
  <dc:description/>
  <cp:lastModifiedBy>LACK, Janet</cp:lastModifiedBy>
  <cp:revision>2</cp:revision>
  <cp:lastPrinted>2025-03-14T05:39:00Z</cp:lastPrinted>
  <dcterms:created xsi:type="dcterms:W3CDTF">2025-10-01T02:15:00Z</dcterms:created>
  <dcterms:modified xsi:type="dcterms:W3CDTF">2025-10-01T02:15:00Z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0x010100EB780D32AA36984B8922A515678E3B97</vt:lpwstr>
  </property>
  <property fmtid="{D5CDD505-2E9C-101B-9397-08002B2CF9AE}" pid="3" name="MediaServiceImageTags">
    <vt:lpwstr/>
  </property>
</Properties>
</file>