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12A91763" w:rsidR="00F02AEC" w:rsidRPr="00215D48" w:rsidRDefault="00346EC2" w:rsidP="007452E8">
            <w:pPr>
              <w:pStyle w:val="Title"/>
            </w:pPr>
            <w:r w:rsidRPr="00346EC2">
              <w:t xml:space="preserve">Australian Public Assessment Report for </w:t>
            </w:r>
            <w:bookmarkStart w:id="0" w:name="_Hlk212125801"/>
            <w:r w:rsidR="005E741F">
              <w:t>Hympavzi</w:t>
            </w:r>
            <w:bookmarkEnd w:id="0"/>
          </w:p>
        </w:tc>
      </w:tr>
      <w:tr w:rsidR="00F02AEC" w:rsidRPr="00215D48" w14:paraId="318A40A3" w14:textId="77777777" w:rsidTr="00346EC2">
        <w:trPr>
          <w:trHeight w:val="995"/>
        </w:trPr>
        <w:tc>
          <w:tcPr>
            <w:tcW w:w="8720" w:type="dxa"/>
          </w:tcPr>
          <w:p w14:paraId="1AA7C701" w14:textId="7288B175" w:rsidR="00F02AEC" w:rsidRPr="00215D48" w:rsidRDefault="00346EC2" w:rsidP="007452E8">
            <w:pPr>
              <w:pStyle w:val="Subtitle"/>
              <w:ind w:left="0"/>
            </w:pPr>
            <w:r w:rsidRPr="00346EC2">
              <w:t xml:space="preserve">Active ingredient: </w:t>
            </w:r>
            <w:bookmarkStart w:id="1" w:name="_Hlk212125824"/>
            <w:r w:rsidR="005E741F">
              <w:t>Marstacimab</w:t>
            </w:r>
            <w:bookmarkEnd w:id="1"/>
          </w:p>
        </w:tc>
      </w:tr>
      <w:tr w:rsidR="00346EC2" w:rsidRPr="00215D48" w14:paraId="362CCAE4" w14:textId="77777777" w:rsidTr="007452E8">
        <w:trPr>
          <w:trHeight w:val="1916"/>
        </w:trPr>
        <w:tc>
          <w:tcPr>
            <w:tcW w:w="8720" w:type="dxa"/>
          </w:tcPr>
          <w:p w14:paraId="709C45C0" w14:textId="1DDD8BEF" w:rsidR="00346EC2" w:rsidRPr="00215D48" w:rsidRDefault="00346EC2" w:rsidP="007452E8">
            <w:pPr>
              <w:pStyle w:val="Subtitle"/>
              <w:ind w:left="0"/>
            </w:pPr>
            <w:r w:rsidRPr="00346EC2">
              <w:t xml:space="preserve">Sponsor: </w:t>
            </w:r>
            <w:bookmarkStart w:id="2" w:name="_Hlk212125838"/>
            <w:r w:rsidR="005E741F">
              <w:t>Pfizer Australia Pty Ltd</w:t>
            </w:r>
            <w:bookmarkEnd w:id="2"/>
          </w:p>
        </w:tc>
      </w:tr>
      <w:tr w:rsidR="00F02AEC" w:rsidRPr="00215D48" w14:paraId="37F2AA1F" w14:textId="77777777" w:rsidTr="007452E8">
        <w:tc>
          <w:tcPr>
            <w:tcW w:w="8720" w:type="dxa"/>
          </w:tcPr>
          <w:p w14:paraId="1FDE8DCD" w14:textId="6B9A1D22" w:rsidR="00F02AEC" w:rsidRPr="00215D48" w:rsidRDefault="00533D24" w:rsidP="007452E8">
            <w:pPr>
              <w:pStyle w:val="Date"/>
            </w:pPr>
            <w:r>
              <w:t>September</w:t>
            </w:r>
            <w:r w:rsidR="00C768A2">
              <w:t xml:space="preserve"> 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96829F4" w:rsidR="00175CD8" w:rsidRPr="00346EC2" w:rsidRDefault="00F02AEC" w:rsidP="00346EC2">
      <w:pPr>
        <w:pStyle w:val="LegalCopy"/>
        <w:rPr>
          <w:rFonts w:cs="Arial"/>
        </w:rPr>
      </w:pPr>
      <w:r w:rsidRPr="00215D48">
        <w:rPr>
          <w:rFonts w:cs="Arial"/>
        </w:rPr>
        <w:t>© Commonwealth of Australia 20</w:t>
      </w:r>
      <w:r>
        <w:rPr>
          <w:rFonts w:cs="Arial"/>
        </w:rPr>
        <w:t>2</w:t>
      </w:r>
      <w:r w:rsidR="00210F9B">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EastAsia" w:hAnsi="Cambria" w:cstheme="minorBidi"/>
          <w:b w:val="0"/>
          <w:color w:val="auto"/>
          <w:sz w:val="22"/>
          <w:szCs w:val="22"/>
        </w:rPr>
        <w:id w:val="21514769"/>
        <w:docPartObj>
          <w:docPartGallery w:val="Table of Contents"/>
          <w:docPartUnique/>
        </w:docPartObj>
      </w:sdtPr>
      <w:sdtEndPr/>
      <w:sdtContent>
        <w:p w14:paraId="0A6ADA2B" w14:textId="77777777" w:rsidR="00F02AEC" w:rsidRPr="00215D48" w:rsidRDefault="00F02AEC" w:rsidP="007452E8">
          <w:pPr>
            <w:pStyle w:val="NonTOCheading2"/>
          </w:pPr>
          <w:r w:rsidRPr="00215D48">
            <w:t>Contents</w:t>
          </w:r>
        </w:p>
        <w:p w14:paraId="3E6F960B" w14:textId="70CBC551" w:rsidR="008739BF"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12036831" w:history="1">
            <w:r w:rsidR="008739BF" w:rsidRPr="00224361">
              <w:rPr>
                <w:rStyle w:val="Hyperlink"/>
                <w:noProof/>
              </w:rPr>
              <w:t>List of abbreviations</w:t>
            </w:r>
            <w:r w:rsidR="008739BF">
              <w:rPr>
                <w:noProof/>
                <w:webHidden/>
              </w:rPr>
              <w:tab/>
            </w:r>
            <w:r w:rsidR="008739BF">
              <w:rPr>
                <w:noProof/>
                <w:webHidden/>
              </w:rPr>
              <w:fldChar w:fldCharType="begin"/>
            </w:r>
            <w:r w:rsidR="008739BF">
              <w:rPr>
                <w:noProof/>
                <w:webHidden/>
              </w:rPr>
              <w:instrText xml:space="preserve"> PAGEREF _Toc212036831 \h </w:instrText>
            </w:r>
            <w:r w:rsidR="008739BF">
              <w:rPr>
                <w:noProof/>
                <w:webHidden/>
              </w:rPr>
            </w:r>
            <w:r w:rsidR="008739BF">
              <w:rPr>
                <w:noProof/>
                <w:webHidden/>
              </w:rPr>
              <w:fldChar w:fldCharType="separate"/>
            </w:r>
            <w:r w:rsidR="008739BF">
              <w:rPr>
                <w:noProof/>
                <w:webHidden/>
              </w:rPr>
              <w:t>4</w:t>
            </w:r>
            <w:r w:rsidR="008739BF">
              <w:rPr>
                <w:noProof/>
                <w:webHidden/>
              </w:rPr>
              <w:fldChar w:fldCharType="end"/>
            </w:r>
          </w:hyperlink>
        </w:p>
        <w:p w14:paraId="59DBF42B" w14:textId="2771D27C" w:rsidR="008739BF" w:rsidRDefault="008739BF">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2036832" w:history="1">
            <w:r w:rsidRPr="00224361">
              <w:rPr>
                <w:rStyle w:val="Hyperlink"/>
                <w:noProof/>
              </w:rPr>
              <w:t>Product submission</w:t>
            </w:r>
            <w:r>
              <w:rPr>
                <w:noProof/>
                <w:webHidden/>
              </w:rPr>
              <w:tab/>
            </w:r>
            <w:r>
              <w:rPr>
                <w:noProof/>
                <w:webHidden/>
              </w:rPr>
              <w:fldChar w:fldCharType="begin"/>
            </w:r>
            <w:r>
              <w:rPr>
                <w:noProof/>
                <w:webHidden/>
              </w:rPr>
              <w:instrText xml:space="preserve"> PAGEREF _Toc212036832 \h </w:instrText>
            </w:r>
            <w:r>
              <w:rPr>
                <w:noProof/>
                <w:webHidden/>
              </w:rPr>
            </w:r>
            <w:r>
              <w:rPr>
                <w:noProof/>
                <w:webHidden/>
              </w:rPr>
              <w:fldChar w:fldCharType="separate"/>
            </w:r>
            <w:r>
              <w:rPr>
                <w:noProof/>
                <w:webHidden/>
              </w:rPr>
              <w:t>6</w:t>
            </w:r>
            <w:r>
              <w:rPr>
                <w:noProof/>
                <w:webHidden/>
              </w:rPr>
              <w:fldChar w:fldCharType="end"/>
            </w:r>
          </w:hyperlink>
        </w:p>
        <w:p w14:paraId="6632FD18" w14:textId="4B89EE57" w:rsidR="008739BF" w:rsidRDefault="008739BF">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2036833" w:history="1">
            <w:r w:rsidRPr="00224361">
              <w:rPr>
                <w:rStyle w:val="Hyperlink"/>
                <w:noProof/>
                <w:lang w:eastAsia="en-AU"/>
              </w:rPr>
              <w:t>Submission details</w:t>
            </w:r>
            <w:r>
              <w:rPr>
                <w:noProof/>
                <w:webHidden/>
              </w:rPr>
              <w:tab/>
            </w:r>
            <w:r>
              <w:rPr>
                <w:noProof/>
                <w:webHidden/>
              </w:rPr>
              <w:fldChar w:fldCharType="begin"/>
            </w:r>
            <w:r>
              <w:rPr>
                <w:noProof/>
                <w:webHidden/>
              </w:rPr>
              <w:instrText xml:space="preserve"> PAGEREF _Toc212036833 \h </w:instrText>
            </w:r>
            <w:r>
              <w:rPr>
                <w:noProof/>
                <w:webHidden/>
              </w:rPr>
            </w:r>
            <w:r>
              <w:rPr>
                <w:noProof/>
                <w:webHidden/>
              </w:rPr>
              <w:fldChar w:fldCharType="separate"/>
            </w:r>
            <w:r>
              <w:rPr>
                <w:noProof/>
                <w:webHidden/>
              </w:rPr>
              <w:t>6</w:t>
            </w:r>
            <w:r>
              <w:rPr>
                <w:noProof/>
                <w:webHidden/>
              </w:rPr>
              <w:fldChar w:fldCharType="end"/>
            </w:r>
          </w:hyperlink>
        </w:p>
        <w:p w14:paraId="4D247C00" w14:textId="7FB52D8B" w:rsidR="008739BF" w:rsidRDefault="008739BF">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2036834" w:history="1">
            <w:r w:rsidRPr="00224361">
              <w:rPr>
                <w:rStyle w:val="Hyperlink"/>
                <w:noProof/>
              </w:rPr>
              <w:t>Product background</w:t>
            </w:r>
            <w:r>
              <w:rPr>
                <w:noProof/>
                <w:webHidden/>
              </w:rPr>
              <w:tab/>
            </w:r>
            <w:r>
              <w:rPr>
                <w:noProof/>
                <w:webHidden/>
              </w:rPr>
              <w:fldChar w:fldCharType="begin"/>
            </w:r>
            <w:r>
              <w:rPr>
                <w:noProof/>
                <w:webHidden/>
              </w:rPr>
              <w:instrText xml:space="preserve"> PAGEREF _Toc212036834 \h </w:instrText>
            </w:r>
            <w:r>
              <w:rPr>
                <w:noProof/>
                <w:webHidden/>
              </w:rPr>
            </w:r>
            <w:r>
              <w:rPr>
                <w:noProof/>
                <w:webHidden/>
              </w:rPr>
              <w:fldChar w:fldCharType="separate"/>
            </w:r>
            <w:r>
              <w:rPr>
                <w:noProof/>
                <w:webHidden/>
              </w:rPr>
              <w:t>7</w:t>
            </w:r>
            <w:r>
              <w:rPr>
                <w:noProof/>
                <w:webHidden/>
              </w:rPr>
              <w:fldChar w:fldCharType="end"/>
            </w:r>
          </w:hyperlink>
        </w:p>
        <w:p w14:paraId="0BB5F6A0" w14:textId="1374BF9B"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35" w:history="1">
            <w:r w:rsidRPr="00224361">
              <w:rPr>
                <w:rStyle w:val="Hyperlink"/>
                <w:noProof/>
              </w:rPr>
              <w:t>Conditions</w:t>
            </w:r>
            <w:r>
              <w:rPr>
                <w:noProof/>
                <w:webHidden/>
              </w:rPr>
              <w:tab/>
            </w:r>
            <w:r>
              <w:rPr>
                <w:noProof/>
                <w:webHidden/>
              </w:rPr>
              <w:fldChar w:fldCharType="begin"/>
            </w:r>
            <w:r>
              <w:rPr>
                <w:noProof/>
                <w:webHidden/>
              </w:rPr>
              <w:instrText xml:space="preserve"> PAGEREF _Toc212036835 \h </w:instrText>
            </w:r>
            <w:r>
              <w:rPr>
                <w:noProof/>
                <w:webHidden/>
              </w:rPr>
            </w:r>
            <w:r>
              <w:rPr>
                <w:noProof/>
                <w:webHidden/>
              </w:rPr>
              <w:fldChar w:fldCharType="separate"/>
            </w:r>
            <w:r>
              <w:rPr>
                <w:noProof/>
                <w:webHidden/>
              </w:rPr>
              <w:t>7</w:t>
            </w:r>
            <w:r>
              <w:rPr>
                <w:noProof/>
                <w:webHidden/>
              </w:rPr>
              <w:fldChar w:fldCharType="end"/>
            </w:r>
          </w:hyperlink>
        </w:p>
        <w:p w14:paraId="5EC31DCF" w14:textId="474F06F5"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36" w:history="1">
            <w:r w:rsidRPr="00224361">
              <w:rPr>
                <w:rStyle w:val="Hyperlink"/>
                <w:noProof/>
              </w:rPr>
              <w:t>Current treatment options</w:t>
            </w:r>
            <w:r>
              <w:rPr>
                <w:noProof/>
                <w:webHidden/>
              </w:rPr>
              <w:tab/>
            </w:r>
            <w:r>
              <w:rPr>
                <w:noProof/>
                <w:webHidden/>
              </w:rPr>
              <w:fldChar w:fldCharType="begin"/>
            </w:r>
            <w:r>
              <w:rPr>
                <w:noProof/>
                <w:webHidden/>
              </w:rPr>
              <w:instrText xml:space="preserve"> PAGEREF _Toc212036836 \h </w:instrText>
            </w:r>
            <w:r>
              <w:rPr>
                <w:noProof/>
                <w:webHidden/>
              </w:rPr>
            </w:r>
            <w:r>
              <w:rPr>
                <w:noProof/>
                <w:webHidden/>
              </w:rPr>
              <w:fldChar w:fldCharType="separate"/>
            </w:r>
            <w:r>
              <w:rPr>
                <w:noProof/>
                <w:webHidden/>
              </w:rPr>
              <w:t>9</w:t>
            </w:r>
            <w:r>
              <w:rPr>
                <w:noProof/>
                <w:webHidden/>
              </w:rPr>
              <w:fldChar w:fldCharType="end"/>
            </w:r>
          </w:hyperlink>
        </w:p>
        <w:p w14:paraId="7E5B6530" w14:textId="23CC3B58"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37" w:history="1">
            <w:r w:rsidRPr="00224361">
              <w:rPr>
                <w:rStyle w:val="Hyperlink"/>
                <w:noProof/>
              </w:rPr>
              <w:t>Clinical rationale</w:t>
            </w:r>
            <w:r>
              <w:rPr>
                <w:noProof/>
                <w:webHidden/>
              </w:rPr>
              <w:tab/>
            </w:r>
            <w:r>
              <w:rPr>
                <w:noProof/>
                <w:webHidden/>
              </w:rPr>
              <w:fldChar w:fldCharType="begin"/>
            </w:r>
            <w:r>
              <w:rPr>
                <w:noProof/>
                <w:webHidden/>
              </w:rPr>
              <w:instrText xml:space="preserve"> PAGEREF _Toc212036837 \h </w:instrText>
            </w:r>
            <w:r>
              <w:rPr>
                <w:noProof/>
                <w:webHidden/>
              </w:rPr>
            </w:r>
            <w:r>
              <w:rPr>
                <w:noProof/>
                <w:webHidden/>
              </w:rPr>
              <w:fldChar w:fldCharType="separate"/>
            </w:r>
            <w:r>
              <w:rPr>
                <w:noProof/>
                <w:webHidden/>
              </w:rPr>
              <w:t>10</w:t>
            </w:r>
            <w:r>
              <w:rPr>
                <w:noProof/>
                <w:webHidden/>
              </w:rPr>
              <w:fldChar w:fldCharType="end"/>
            </w:r>
          </w:hyperlink>
        </w:p>
        <w:p w14:paraId="1345DE39" w14:textId="3406A6BE" w:rsidR="008739BF" w:rsidRDefault="008739BF">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2036838" w:history="1">
            <w:r w:rsidRPr="00224361">
              <w:rPr>
                <w:rStyle w:val="Hyperlink"/>
                <w:noProof/>
              </w:rPr>
              <w:t>Regulatory status</w:t>
            </w:r>
            <w:r>
              <w:rPr>
                <w:noProof/>
                <w:webHidden/>
              </w:rPr>
              <w:tab/>
            </w:r>
            <w:r>
              <w:rPr>
                <w:noProof/>
                <w:webHidden/>
              </w:rPr>
              <w:fldChar w:fldCharType="begin"/>
            </w:r>
            <w:r>
              <w:rPr>
                <w:noProof/>
                <w:webHidden/>
              </w:rPr>
              <w:instrText xml:space="preserve"> PAGEREF _Toc212036838 \h </w:instrText>
            </w:r>
            <w:r>
              <w:rPr>
                <w:noProof/>
                <w:webHidden/>
              </w:rPr>
            </w:r>
            <w:r>
              <w:rPr>
                <w:noProof/>
                <w:webHidden/>
              </w:rPr>
              <w:fldChar w:fldCharType="separate"/>
            </w:r>
            <w:r>
              <w:rPr>
                <w:noProof/>
                <w:webHidden/>
              </w:rPr>
              <w:t>11</w:t>
            </w:r>
            <w:r>
              <w:rPr>
                <w:noProof/>
                <w:webHidden/>
              </w:rPr>
              <w:fldChar w:fldCharType="end"/>
            </w:r>
          </w:hyperlink>
        </w:p>
        <w:p w14:paraId="7A6AE6E0" w14:textId="33ADB7CA"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39" w:history="1">
            <w:r w:rsidRPr="00224361">
              <w:rPr>
                <w:rStyle w:val="Hyperlink"/>
                <w:noProof/>
              </w:rPr>
              <w:t>Australian regulatory status</w:t>
            </w:r>
            <w:r>
              <w:rPr>
                <w:noProof/>
                <w:webHidden/>
              </w:rPr>
              <w:tab/>
            </w:r>
            <w:r>
              <w:rPr>
                <w:noProof/>
                <w:webHidden/>
              </w:rPr>
              <w:fldChar w:fldCharType="begin"/>
            </w:r>
            <w:r>
              <w:rPr>
                <w:noProof/>
                <w:webHidden/>
              </w:rPr>
              <w:instrText xml:space="preserve"> PAGEREF _Toc212036839 \h </w:instrText>
            </w:r>
            <w:r>
              <w:rPr>
                <w:noProof/>
                <w:webHidden/>
              </w:rPr>
            </w:r>
            <w:r>
              <w:rPr>
                <w:noProof/>
                <w:webHidden/>
              </w:rPr>
              <w:fldChar w:fldCharType="separate"/>
            </w:r>
            <w:r>
              <w:rPr>
                <w:noProof/>
                <w:webHidden/>
              </w:rPr>
              <w:t>11</w:t>
            </w:r>
            <w:r>
              <w:rPr>
                <w:noProof/>
                <w:webHidden/>
              </w:rPr>
              <w:fldChar w:fldCharType="end"/>
            </w:r>
          </w:hyperlink>
        </w:p>
        <w:p w14:paraId="72282C16" w14:textId="3D4C4935"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40" w:history="1">
            <w:r w:rsidRPr="00224361">
              <w:rPr>
                <w:rStyle w:val="Hyperlink"/>
                <w:noProof/>
              </w:rPr>
              <w:t>International regulatory status</w:t>
            </w:r>
            <w:r>
              <w:rPr>
                <w:noProof/>
                <w:webHidden/>
              </w:rPr>
              <w:tab/>
            </w:r>
            <w:r>
              <w:rPr>
                <w:noProof/>
                <w:webHidden/>
              </w:rPr>
              <w:fldChar w:fldCharType="begin"/>
            </w:r>
            <w:r>
              <w:rPr>
                <w:noProof/>
                <w:webHidden/>
              </w:rPr>
              <w:instrText xml:space="preserve"> PAGEREF _Toc212036840 \h </w:instrText>
            </w:r>
            <w:r>
              <w:rPr>
                <w:noProof/>
                <w:webHidden/>
              </w:rPr>
            </w:r>
            <w:r>
              <w:rPr>
                <w:noProof/>
                <w:webHidden/>
              </w:rPr>
              <w:fldChar w:fldCharType="separate"/>
            </w:r>
            <w:r>
              <w:rPr>
                <w:noProof/>
                <w:webHidden/>
              </w:rPr>
              <w:t>11</w:t>
            </w:r>
            <w:r>
              <w:rPr>
                <w:noProof/>
                <w:webHidden/>
              </w:rPr>
              <w:fldChar w:fldCharType="end"/>
            </w:r>
          </w:hyperlink>
        </w:p>
        <w:p w14:paraId="0A304CFE" w14:textId="6FC44ED2" w:rsidR="008739BF" w:rsidRDefault="008739BF">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2036841" w:history="1">
            <w:r w:rsidRPr="00224361">
              <w:rPr>
                <w:rStyle w:val="Hyperlink"/>
                <w:noProof/>
              </w:rPr>
              <w:t>Registration timeline</w:t>
            </w:r>
            <w:r>
              <w:rPr>
                <w:noProof/>
                <w:webHidden/>
              </w:rPr>
              <w:tab/>
            </w:r>
            <w:r>
              <w:rPr>
                <w:noProof/>
                <w:webHidden/>
              </w:rPr>
              <w:fldChar w:fldCharType="begin"/>
            </w:r>
            <w:r>
              <w:rPr>
                <w:noProof/>
                <w:webHidden/>
              </w:rPr>
              <w:instrText xml:space="preserve"> PAGEREF _Toc212036841 \h </w:instrText>
            </w:r>
            <w:r>
              <w:rPr>
                <w:noProof/>
                <w:webHidden/>
              </w:rPr>
            </w:r>
            <w:r>
              <w:rPr>
                <w:noProof/>
                <w:webHidden/>
              </w:rPr>
              <w:fldChar w:fldCharType="separate"/>
            </w:r>
            <w:r>
              <w:rPr>
                <w:noProof/>
                <w:webHidden/>
              </w:rPr>
              <w:t>12</w:t>
            </w:r>
            <w:r>
              <w:rPr>
                <w:noProof/>
                <w:webHidden/>
              </w:rPr>
              <w:fldChar w:fldCharType="end"/>
            </w:r>
          </w:hyperlink>
        </w:p>
        <w:p w14:paraId="7A066FA1" w14:textId="74950C1B" w:rsidR="008739BF" w:rsidRDefault="008739BF">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2036842" w:history="1">
            <w:r w:rsidRPr="00224361">
              <w:rPr>
                <w:rStyle w:val="Hyperlink"/>
                <w:noProof/>
              </w:rPr>
              <w:t>Assessment overview</w:t>
            </w:r>
            <w:r>
              <w:rPr>
                <w:noProof/>
                <w:webHidden/>
              </w:rPr>
              <w:tab/>
            </w:r>
            <w:r>
              <w:rPr>
                <w:noProof/>
                <w:webHidden/>
              </w:rPr>
              <w:fldChar w:fldCharType="begin"/>
            </w:r>
            <w:r>
              <w:rPr>
                <w:noProof/>
                <w:webHidden/>
              </w:rPr>
              <w:instrText xml:space="preserve"> PAGEREF _Toc212036842 \h </w:instrText>
            </w:r>
            <w:r>
              <w:rPr>
                <w:noProof/>
                <w:webHidden/>
              </w:rPr>
            </w:r>
            <w:r>
              <w:rPr>
                <w:noProof/>
                <w:webHidden/>
              </w:rPr>
              <w:fldChar w:fldCharType="separate"/>
            </w:r>
            <w:r>
              <w:rPr>
                <w:noProof/>
                <w:webHidden/>
              </w:rPr>
              <w:t>13</w:t>
            </w:r>
            <w:r>
              <w:rPr>
                <w:noProof/>
                <w:webHidden/>
              </w:rPr>
              <w:fldChar w:fldCharType="end"/>
            </w:r>
          </w:hyperlink>
        </w:p>
        <w:p w14:paraId="63F57F01" w14:textId="7AFDDA0B" w:rsidR="008739BF" w:rsidRDefault="008739BF">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2036843" w:history="1">
            <w:r w:rsidRPr="00224361">
              <w:rPr>
                <w:rStyle w:val="Hyperlink"/>
                <w:noProof/>
              </w:rPr>
              <w:t>Quality evaluation summary</w:t>
            </w:r>
            <w:r>
              <w:rPr>
                <w:noProof/>
                <w:webHidden/>
              </w:rPr>
              <w:tab/>
            </w:r>
            <w:r>
              <w:rPr>
                <w:noProof/>
                <w:webHidden/>
              </w:rPr>
              <w:fldChar w:fldCharType="begin"/>
            </w:r>
            <w:r>
              <w:rPr>
                <w:noProof/>
                <w:webHidden/>
              </w:rPr>
              <w:instrText xml:space="preserve"> PAGEREF _Toc212036843 \h </w:instrText>
            </w:r>
            <w:r>
              <w:rPr>
                <w:noProof/>
                <w:webHidden/>
              </w:rPr>
            </w:r>
            <w:r>
              <w:rPr>
                <w:noProof/>
                <w:webHidden/>
              </w:rPr>
              <w:fldChar w:fldCharType="separate"/>
            </w:r>
            <w:r>
              <w:rPr>
                <w:noProof/>
                <w:webHidden/>
              </w:rPr>
              <w:t>13</w:t>
            </w:r>
            <w:r>
              <w:rPr>
                <w:noProof/>
                <w:webHidden/>
              </w:rPr>
              <w:fldChar w:fldCharType="end"/>
            </w:r>
          </w:hyperlink>
        </w:p>
        <w:p w14:paraId="5C162B98" w14:textId="3C6418D3" w:rsidR="008739BF" w:rsidRDefault="008739BF">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2036844" w:history="1">
            <w:r w:rsidRPr="00224361">
              <w:rPr>
                <w:rStyle w:val="Hyperlink"/>
                <w:noProof/>
              </w:rPr>
              <w:t>Nonclinical evaluation summary</w:t>
            </w:r>
            <w:r>
              <w:rPr>
                <w:noProof/>
                <w:webHidden/>
              </w:rPr>
              <w:tab/>
            </w:r>
            <w:r>
              <w:rPr>
                <w:noProof/>
                <w:webHidden/>
              </w:rPr>
              <w:fldChar w:fldCharType="begin"/>
            </w:r>
            <w:r>
              <w:rPr>
                <w:noProof/>
                <w:webHidden/>
              </w:rPr>
              <w:instrText xml:space="preserve"> PAGEREF _Toc212036844 \h </w:instrText>
            </w:r>
            <w:r>
              <w:rPr>
                <w:noProof/>
                <w:webHidden/>
              </w:rPr>
            </w:r>
            <w:r>
              <w:rPr>
                <w:noProof/>
                <w:webHidden/>
              </w:rPr>
              <w:fldChar w:fldCharType="separate"/>
            </w:r>
            <w:r>
              <w:rPr>
                <w:noProof/>
                <w:webHidden/>
              </w:rPr>
              <w:t>14</w:t>
            </w:r>
            <w:r>
              <w:rPr>
                <w:noProof/>
                <w:webHidden/>
              </w:rPr>
              <w:fldChar w:fldCharType="end"/>
            </w:r>
          </w:hyperlink>
        </w:p>
        <w:p w14:paraId="59934514" w14:textId="4CB69FD3"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45" w:history="1">
            <w:r w:rsidRPr="00224361">
              <w:rPr>
                <w:rStyle w:val="Hyperlink"/>
                <w:noProof/>
              </w:rPr>
              <w:t>Conclusions and Recommendation</w:t>
            </w:r>
            <w:r>
              <w:rPr>
                <w:noProof/>
                <w:webHidden/>
              </w:rPr>
              <w:tab/>
            </w:r>
            <w:r>
              <w:rPr>
                <w:noProof/>
                <w:webHidden/>
              </w:rPr>
              <w:fldChar w:fldCharType="begin"/>
            </w:r>
            <w:r>
              <w:rPr>
                <w:noProof/>
                <w:webHidden/>
              </w:rPr>
              <w:instrText xml:space="preserve"> PAGEREF _Toc212036845 \h </w:instrText>
            </w:r>
            <w:r>
              <w:rPr>
                <w:noProof/>
                <w:webHidden/>
              </w:rPr>
            </w:r>
            <w:r>
              <w:rPr>
                <w:noProof/>
                <w:webHidden/>
              </w:rPr>
              <w:fldChar w:fldCharType="separate"/>
            </w:r>
            <w:r>
              <w:rPr>
                <w:noProof/>
                <w:webHidden/>
              </w:rPr>
              <w:t>18</w:t>
            </w:r>
            <w:r>
              <w:rPr>
                <w:noProof/>
                <w:webHidden/>
              </w:rPr>
              <w:fldChar w:fldCharType="end"/>
            </w:r>
          </w:hyperlink>
        </w:p>
        <w:p w14:paraId="01CDE876" w14:textId="43C063BD" w:rsidR="008739BF" w:rsidRDefault="008739BF">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2036846" w:history="1">
            <w:r w:rsidRPr="00224361">
              <w:rPr>
                <w:rStyle w:val="Hyperlink"/>
                <w:noProof/>
              </w:rPr>
              <w:t>Clinical evaluation summary</w:t>
            </w:r>
            <w:r>
              <w:rPr>
                <w:noProof/>
                <w:webHidden/>
              </w:rPr>
              <w:tab/>
            </w:r>
            <w:r>
              <w:rPr>
                <w:noProof/>
                <w:webHidden/>
              </w:rPr>
              <w:fldChar w:fldCharType="begin"/>
            </w:r>
            <w:r>
              <w:rPr>
                <w:noProof/>
                <w:webHidden/>
              </w:rPr>
              <w:instrText xml:space="preserve"> PAGEREF _Toc212036846 \h </w:instrText>
            </w:r>
            <w:r>
              <w:rPr>
                <w:noProof/>
                <w:webHidden/>
              </w:rPr>
            </w:r>
            <w:r>
              <w:rPr>
                <w:noProof/>
                <w:webHidden/>
              </w:rPr>
              <w:fldChar w:fldCharType="separate"/>
            </w:r>
            <w:r>
              <w:rPr>
                <w:noProof/>
                <w:webHidden/>
              </w:rPr>
              <w:t>18</w:t>
            </w:r>
            <w:r>
              <w:rPr>
                <w:noProof/>
                <w:webHidden/>
              </w:rPr>
              <w:fldChar w:fldCharType="end"/>
            </w:r>
          </w:hyperlink>
        </w:p>
        <w:p w14:paraId="535BA253" w14:textId="2E1DB309"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47" w:history="1">
            <w:r w:rsidRPr="00224361">
              <w:rPr>
                <w:rStyle w:val="Hyperlink"/>
                <w:noProof/>
              </w:rPr>
              <w:t>Summary of clinical studies</w:t>
            </w:r>
            <w:r>
              <w:rPr>
                <w:noProof/>
                <w:webHidden/>
              </w:rPr>
              <w:tab/>
            </w:r>
            <w:r>
              <w:rPr>
                <w:noProof/>
                <w:webHidden/>
              </w:rPr>
              <w:fldChar w:fldCharType="begin"/>
            </w:r>
            <w:r>
              <w:rPr>
                <w:noProof/>
                <w:webHidden/>
              </w:rPr>
              <w:instrText xml:space="preserve"> PAGEREF _Toc212036847 \h </w:instrText>
            </w:r>
            <w:r>
              <w:rPr>
                <w:noProof/>
                <w:webHidden/>
              </w:rPr>
            </w:r>
            <w:r>
              <w:rPr>
                <w:noProof/>
                <w:webHidden/>
              </w:rPr>
              <w:fldChar w:fldCharType="separate"/>
            </w:r>
            <w:r>
              <w:rPr>
                <w:noProof/>
                <w:webHidden/>
              </w:rPr>
              <w:t>18</w:t>
            </w:r>
            <w:r>
              <w:rPr>
                <w:noProof/>
                <w:webHidden/>
              </w:rPr>
              <w:fldChar w:fldCharType="end"/>
            </w:r>
          </w:hyperlink>
        </w:p>
        <w:p w14:paraId="7D6F317A" w14:textId="37AEF397"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48" w:history="1">
            <w:r w:rsidRPr="00224361">
              <w:rPr>
                <w:rStyle w:val="Hyperlink"/>
                <w:noProof/>
              </w:rPr>
              <w:t>Pharmacology</w:t>
            </w:r>
            <w:r>
              <w:rPr>
                <w:noProof/>
                <w:webHidden/>
              </w:rPr>
              <w:tab/>
            </w:r>
            <w:r>
              <w:rPr>
                <w:noProof/>
                <w:webHidden/>
              </w:rPr>
              <w:fldChar w:fldCharType="begin"/>
            </w:r>
            <w:r>
              <w:rPr>
                <w:noProof/>
                <w:webHidden/>
              </w:rPr>
              <w:instrText xml:space="preserve"> PAGEREF _Toc212036848 \h </w:instrText>
            </w:r>
            <w:r>
              <w:rPr>
                <w:noProof/>
                <w:webHidden/>
              </w:rPr>
            </w:r>
            <w:r>
              <w:rPr>
                <w:noProof/>
                <w:webHidden/>
              </w:rPr>
              <w:fldChar w:fldCharType="separate"/>
            </w:r>
            <w:r>
              <w:rPr>
                <w:noProof/>
                <w:webHidden/>
              </w:rPr>
              <w:t>19</w:t>
            </w:r>
            <w:r>
              <w:rPr>
                <w:noProof/>
                <w:webHidden/>
              </w:rPr>
              <w:fldChar w:fldCharType="end"/>
            </w:r>
          </w:hyperlink>
        </w:p>
        <w:p w14:paraId="2DCA18AC" w14:textId="682A2F82"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49" w:history="1">
            <w:r w:rsidRPr="00224361">
              <w:rPr>
                <w:rStyle w:val="Hyperlink"/>
                <w:noProof/>
              </w:rPr>
              <w:t>Efficacy</w:t>
            </w:r>
            <w:r>
              <w:rPr>
                <w:noProof/>
                <w:webHidden/>
              </w:rPr>
              <w:tab/>
            </w:r>
            <w:r>
              <w:rPr>
                <w:noProof/>
                <w:webHidden/>
              </w:rPr>
              <w:fldChar w:fldCharType="begin"/>
            </w:r>
            <w:r>
              <w:rPr>
                <w:noProof/>
                <w:webHidden/>
              </w:rPr>
              <w:instrText xml:space="preserve"> PAGEREF _Toc212036849 \h </w:instrText>
            </w:r>
            <w:r>
              <w:rPr>
                <w:noProof/>
                <w:webHidden/>
              </w:rPr>
            </w:r>
            <w:r>
              <w:rPr>
                <w:noProof/>
                <w:webHidden/>
              </w:rPr>
              <w:fldChar w:fldCharType="separate"/>
            </w:r>
            <w:r>
              <w:rPr>
                <w:noProof/>
                <w:webHidden/>
              </w:rPr>
              <w:t>22</w:t>
            </w:r>
            <w:r>
              <w:rPr>
                <w:noProof/>
                <w:webHidden/>
              </w:rPr>
              <w:fldChar w:fldCharType="end"/>
            </w:r>
          </w:hyperlink>
        </w:p>
        <w:p w14:paraId="3D2141FF" w14:textId="45883472"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50" w:history="1">
            <w:r w:rsidRPr="00224361">
              <w:rPr>
                <w:rStyle w:val="Hyperlink"/>
                <w:noProof/>
              </w:rPr>
              <w:t>Safety</w:t>
            </w:r>
            <w:r>
              <w:rPr>
                <w:noProof/>
                <w:webHidden/>
              </w:rPr>
              <w:tab/>
            </w:r>
            <w:r>
              <w:rPr>
                <w:noProof/>
                <w:webHidden/>
              </w:rPr>
              <w:fldChar w:fldCharType="begin"/>
            </w:r>
            <w:r>
              <w:rPr>
                <w:noProof/>
                <w:webHidden/>
              </w:rPr>
              <w:instrText xml:space="preserve"> PAGEREF _Toc212036850 \h </w:instrText>
            </w:r>
            <w:r>
              <w:rPr>
                <w:noProof/>
                <w:webHidden/>
              </w:rPr>
            </w:r>
            <w:r>
              <w:rPr>
                <w:noProof/>
                <w:webHidden/>
              </w:rPr>
              <w:fldChar w:fldCharType="separate"/>
            </w:r>
            <w:r>
              <w:rPr>
                <w:noProof/>
                <w:webHidden/>
              </w:rPr>
              <w:t>28</w:t>
            </w:r>
            <w:r>
              <w:rPr>
                <w:noProof/>
                <w:webHidden/>
              </w:rPr>
              <w:fldChar w:fldCharType="end"/>
            </w:r>
          </w:hyperlink>
        </w:p>
        <w:p w14:paraId="3FEDA05D" w14:textId="58803963" w:rsidR="008739BF" w:rsidRDefault="008739BF">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2036851" w:history="1">
            <w:r w:rsidRPr="00224361">
              <w:rPr>
                <w:rStyle w:val="Hyperlink"/>
                <w:noProof/>
                <w:lang w:eastAsia="en-AU"/>
              </w:rPr>
              <w:t>Risk management plan</w:t>
            </w:r>
            <w:r>
              <w:rPr>
                <w:noProof/>
                <w:webHidden/>
              </w:rPr>
              <w:tab/>
            </w:r>
            <w:r>
              <w:rPr>
                <w:noProof/>
                <w:webHidden/>
              </w:rPr>
              <w:fldChar w:fldCharType="begin"/>
            </w:r>
            <w:r>
              <w:rPr>
                <w:noProof/>
                <w:webHidden/>
              </w:rPr>
              <w:instrText xml:space="preserve"> PAGEREF _Toc212036851 \h </w:instrText>
            </w:r>
            <w:r>
              <w:rPr>
                <w:noProof/>
                <w:webHidden/>
              </w:rPr>
            </w:r>
            <w:r>
              <w:rPr>
                <w:noProof/>
                <w:webHidden/>
              </w:rPr>
              <w:fldChar w:fldCharType="separate"/>
            </w:r>
            <w:r>
              <w:rPr>
                <w:noProof/>
                <w:webHidden/>
              </w:rPr>
              <w:t>31</w:t>
            </w:r>
            <w:r>
              <w:rPr>
                <w:noProof/>
                <w:webHidden/>
              </w:rPr>
              <w:fldChar w:fldCharType="end"/>
            </w:r>
          </w:hyperlink>
        </w:p>
        <w:p w14:paraId="1A2DE9A0" w14:textId="41379F01" w:rsidR="008739BF" w:rsidRDefault="008739BF">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2036852" w:history="1">
            <w:r w:rsidRPr="00224361">
              <w:rPr>
                <w:rStyle w:val="Hyperlink"/>
                <w:noProof/>
              </w:rPr>
              <w:t>Risk-benefit analysis</w:t>
            </w:r>
            <w:r>
              <w:rPr>
                <w:noProof/>
                <w:webHidden/>
              </w:rPr>
              <w:tab/>
            </w:r>
            <w:r>
              <w:rPr>
                <w:noProof/>
                <w:webHidden/>
              </w:rPr>
              <w:fldChar w:fldCharType="begin"/>
            </w:r>
            <w:r>
              <w:rPr>
                <w:noProof/>
                <w:webHidden/>
              </w:rPr>
              <w:instrText xml:space="preserve"> PAGEREF _Toc212036852 \h </w:instrText>
            </w:r>
            <w:r>
              <w:rPr>
                <w:noProof/>
                <w:webHidden/>
              </w:rPr>
            </w:r>
            <w:r>
              <w:rPr>
                <w:noProof/>
                <w:webHidden/>
              </w:rPr>
              <w:fldChar w:fldCharType="separate"/>
            </w:r>
            <w:r>
              <w:rPr>
                <w:noProof/>
                <w:webHidden/>
              </w:rPr>
              <w:t>33</w:t>
            </w:r>
            <w:r>
              <w:rPr>
                <w:noProof/>
                <w:webHidden/>
              </w:rPr>
              <w:fldChar w:fldCharType="end"/>
            </w:r>
          </w:hyperlink>
        </w:p>
        <w:p w14:paraId="6E6870CB" w14:textId="41EAFE6D" w:rsidR="008739BF" w:rsidRDefault="008739BF">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2036853" w:history="1">
            <w:r w:rsidRPr="00224361">
              <w:rPr>
                <w:rStyle w:val="Hyperlink"/>
                <w:noProof/>
              </w:rPr>
              <w:t>Assessment outcome</w:t>
            </w:r>
            <w:r>
              <w:rPr>
                <w:noProof/>
                <w:webHidden/>
              </w:rPr>
              <w:tab/>
            </w:r>
            <w:r>
              <w:rPr>
                <w:noProof/>
                <w:webHidden/>
              </w:rPr>
              <w:fldChar w:fldCharType="begin"/>
            </w:r>
            <w:r>
              <w:rPr>
                <w:noProof/>
                <w:webHidden/>
              </w:rPr>
              <w:instrText xml:space="preserve"> PAGEREF _Toc212036853 \h </w:instrText>
            </w:r>
            <w:r>
              <w:rPr>
                <w:noProof/>
                <w:webHidden/>
              </w:rPr>
            </w:r>
            <w:r>
              <w:rPr>
                <w:noProof/>
                <w:webHidden/>
              </w:rPr>
              <w:fldChar w:fldCharType="separate"/>
            </w:r>
            <w:r>
              <w:rPr>
                <w:noProof/>
                <w:webHidden/>
              </w:rPr>
              <w:t>34</w:t>
            </w:r>
            <w:r>
              <w:rPr>
                <w:noProof/>
                <w:webHidden/>
              </w:rPr>
              <w:fldChar w:fldCharType="end"/>
            </w:r>
          </w:hyperlink>
        </w:p>
        <w:p w14:paraId="37BC1B80" w14:textId="0ACA5A96"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54" w:history="1">
            <w:r w:rsidRPr="00224361">
              <w:rPr>
                <w:rStyle w:val="Hyperlink"/>
                <w:noProof/>
              </w:rPr>
              <w:t>Specific conditions of registration</w:t>
            </w:r>
            <w:r>
              <w:rPr>
                <w:noProof/>
                <w:webHidden/>
              </w:rPr>
              <w:tab/>
            </w:r>
            <w:r>
              <w:rPr>
                <w:noProof/>
                <w:webHidden/>
              </w:rPr>
              <w:fldChar w:fldCharType="begin"/>
            </w:r>
            <w:r>
              <w:rPr>
                <w:noProof/>
                <w:webHidden/>
              </w:rPr>
              <w:instrText xml:space="preserve"> PAGEREF _Toc212036854 \h </w:instrText>
            </w:r>
            <w:r>
              <w:rPr>
                <w:noProof/>
                <w:webHidden/>
              </w:rPr>
            </w:r>
            <w:r>
              <w:rPr>
                <w:noProof/>
                <w:webHidden/>
              </w:rPr>
              <w:fldChar w:fldCharType="separate"/>
            </w:r>
            <w:r>
              <w:rPr>
                <w:noProof/>
                <w:webHidden/>
              </w:rPr>
              <w:t>34</w:t>
            </w:r>
            <w:r>
              <w:rPr>
                <w:noProof/>
                <w:webHidden/>
              </w:rPr>
              <w:fldChar w:fldCharType="end"/>
            </w:r>
          </w:hyperlink>
        </w:p>
        <w:p w14:paraId="4677CBCD" w14:textId="34F3E801" w:rsidR="008739BF" w:rsidRDefault="008739BF">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2036855" w:history="1">
            <w:r w:rsidRPr="00224361">
              <w:rPr>
                <w:rStyle w:val="Hyperlink"/>
                <w:noProof/>
              </w:rPr>
              <w:t>Product Information (PI) and Consumer Medicine Information (CMI)</w:t>
            </w:r>
            <w:r>
              <w:rPr>
                <w:noProof/>
                <w:webHidden/>
              </w:rPr>
              <w:tab/>
            </w:r>
            <w:r>
              <w:rPr>
                <w:noProof/>
                <w:webHidden/>
              </w:rPr>
              <w:fldChar w:fldCharType="begin"/>
            </w:r>
            <w:r>
              <w:rPr>
                <w:noProof/>
                <w:webHidden/>
              </w:rPr>
              <w:instrText xml:space="preserve"> PAGEREF _Toc212036855 \h </w:instrText>
            </w:r>
            <w:r>
              <w:rPr>
                <w:noProof/>
                <w:webHidden/>
              </w:rPr>
            </w:r>
            <w:r>
              <w:rPr>
                <w:noProof/>
                <w:webHidden/>
              </w:rPr>
              <w:fldChar w:fldCharType="separate"/>
            </w:r>
            <w:r>
              <w:rPr>
                <w:noProof/>
                <w:webHidden/>
              </w:rPr>
              <w:t>36</w:t>
            </w:r>
            <w:r>
              <w:rPr>
                <w:noProof/>
                <w:webHidden/>
              </w:rPr>
              <w:fldChar w:fldCharType="end"/>
            </w:r>
          </w:hyperlink>
        </w:p>
        <w:p w14:paraId="77659F2D" w14:textId="7CD24A31"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3" w:name="_Toc98931917"/>
      <w:bookmarkStart w:id="4" w:name="_Toc103679287"/>
      <w:bookmarkStart w:id="5" w:name="_Toc212036831"/>
      <w:bookmarkStart w:id="6" w:name="_Toc323739589"/>
      <w:bookmarkStart w:id="7" w:name="_Toc356305216"/>
      <w:r>
        <w:lastRenderedPageBreak/>
        <w:t>List of abbreviations</w:t>
      </w:r>
      <w:bookmarkEnd w:id="3"/>
      <w:bookmarkEnd w:id="4"/>
      <w:bookmarkEnd w:id="5"/>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37C2787D" w:rsidR="00324B33" w:rsidRPr="00E07BCD" w:rsidRDefault="00E07BCD" w:rsidP="00324B33">
            <w:pPr>
              <w:rPr>
                <w:szCs w:val="22"/>
              </w:rPr>
            </w:pPr>
            <w:r w:rsidRPr="00E07BCD">
              <w:rPr>
                <w:szCs w:val="22"/>
              </w:rPr>
              <w:t>ABR</w:t>
            </w:r>
          </w:p>
        </w:tc>
        <w:tc>
          <w:tcPr>
            <w:tcW w:w="3800" w:type="pct"/>
          </w:tcPr>
          <w:p w14:paraId="4F24A873" w14:textId="5B6C9890" w:rsidR="00324B33" w:rsidRPr="00D01DDB" w:rsidRDefault="00E07BCD" w:rsidP="00324B33">
            <w:pPr>
              <w:cnfStyle w:val="000000000000" w:firstRow="0" w:lastRow="0" w:firstColumn="0" w:lastColumn="0" w:oddVBand="0" w:evenVBand="0" w:oddHBand="0" w:evenHBand="0" w:firstRowFirstColumn="0" w:firstRowLastColumn="0" w:lastRowFirstColumn="0" w:lastRowLastColumn="0"/>
              <w:rPr>
                <w:szCs w:val="22"/>
              </w:rPr>
            </w:pPr>
            <w:r w:rsidRPr="00E07BCD">
              <w:t>Annualised bleeding rate</w:t>
            </w:r>
          </w:p>
        </w:tc>
      </w:tr>
      <w:tr w:rsidR="00324B33" w:rsidRPr="00D01DDB" w14:paraId="35340A5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D8B9F80" w14:textId="1F183C7E" w:rsidR="00324B33" w:rsidRPr="00D01DDB" w:rsidRDefault="00680636" w:rsidP="00324B33">
            <w:pPr>
              <w:rPr>
                <w:szCs w:val="22"/>
              </w:rPr>
            </w:pPr>
            <w:r>
              <w:rPr>
                <w:szCs w:val="22"/>
              </w:rPr>
              <w:t>ADA</w:t>
            </w:r>
          </w:p>
        </w:tc>
        <w:tc>
          <w:tcPr>
            <w:tcW w:w="3800" w:type="pct"/>
          </w:tcPr>
          <w:p w14:paraId="5072E244" w14:textId="49FCA937" w:rsidR="00324B33" w:rsidRPr="00D01DDB" w:rsidRDefault="00680636" w:rsidP="00324B33">
            <w:pPr>
              <w:cnfStyle w:val="000000000000" w:firstRow="0" w:lastRow="0" w:firstColumn="0" w:lastColumn="0" w:oddVBand="0" w:evenVBand="0" w:oddHBand="0" w:evenHBand="0" w:firstRowFirstColumn="0" w:firstRowLastColumn="0" w:lastRowFirstColumn="0" w:lastRowLastColumn="0"/>
              <w:rPr>
                <w:szCs w:val="22"/>
              </w:rPr>
            </w:pPr>
            <w:r w:rsidRPr="00D62637">
              <w:t>Anti-drug antibodies</w:t>
            </w:r>
          </w:p>
        </w:tc>
      </w:tr>
      <w:tr w:rsidR="00D31ABC" w:rsidRPr="00D01DDB" w14:paraId="028C34D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EC81B20" w14:textId="02E98ADD" w:rsidR="00D31ABC" w:rsidRDefault="00D31ABC" w:rsidP="00324B33">
            <w:pPr>
              <w:rPr>
                <w:szCs w:val="22"/>
              </w:rPr>
            </w:pPr>
            <w:r>
              <w:rPr>
                <w:szCs w:val="22"/>
              </w:rPr>
              <w:t>AE</w:t>
            </w:r>
          </w:p>
        </w:tc>
        <w:tc>
          <w:tcPr>
            <w:tcW w:w="3800" w:type="pct"/>
          </w:tcPr>
          <w:p w14:paraId="5DC5A65D" w14:textId="4FC036CF" w:rsidR="00D31ABC" w:rsidRPr="00D62637" w:rsidRDefault="00D31ABC" w:rsidP="00324B33">
            <w:pPr>
              <w:cnfStyle w:val="000000000000" w:firstRow="0" w:lastRow="0" w:firstColumn="0" w:lastColumn="0" w:oddVBand="0" w:evenVBand="0" w:oddHBand="0" w:evenHBand="0" w:firstRowFirstColumn="0" w:firstRowLastColumn="0" w:lastRowFirstColumn="0" w:lastRowLastColumn="0"/>
            </w:pPr>
            <w:r>
              <w:t>Adverse event</w:t>
            </w:r>
          </w:p>
        </w:tc>
      </w:tr>
      <w:tr w:rsidR="008B7A8A" w:rsidRPr="00D01DDB" w14:paraId="0EBB92E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CB31981" w14:textId="7D328407" w:rsidR="008B7A8A" w:rsidRPr="008B7A8A" w:rsidRDefault="008B7A8A" w:rsidP="00324B33">
            <w:pPr>
              <w:rPr>
                <w:szCs w:val="22"/>
              </w:rPr>
            </w:pPr>
            <w:proofErr w:type="spellStart"/>
            <w:r w:rsidRPr="008B7A8A">
              <w:rPr>
                <w:szCs w:val="22"/>
              </w:rPr>
              <w:t>aPCC</w:t>
            </w:r>
            <w:proofErr w:type="spellEnd"/>
          </w:p>
        </w:tc>
        <w:tc>
          <w:tcPr>
            <w:tcW w:w="3800" w:type="pct"/>
          </w:tcPr>
          <w:p w14:paraId="4DE614DF" w14:textId="2A91D73C" w:rsidR="008B7A8A" w:rsidRDefault="008B7A8A" w:rsidP="00324B33">
            <w:pPr>
              <w:cnfStyle w:val="000000000000" w:firstRow="0" w:lastRow="0" w:firstColumn="0" w:lastColumn="0" w:oddVBand="0" w:evenVBand="0" w:oddHBand="0" w:evenHBand="0" w:firstRowFirstColumn="0" w:firstRowLastColumn="0" w:lastRowFirstColumn="0" w:lastRowLastColumn="0"/>
            </w:pPr>
            <w:r w:rsidRPr="008B7A8A">
              <w:t>Activated prothrombin complex concentrate</w:t>
            </w:r>
          </w:p>
        </w:tc>
      </w:tr>
      <w:tr w:rsidR="00324B33"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01DDB" w:rsidRDefault="00324B33" w:rsidP="00324B33">
            <w:pPr>
              <w:rPr>
                <w:szCs w:val="22"/>
              </w:rPr>
            </w:pPr>
            <w:r w:rsidRPr="00D01DDB">
              <w:rPr>
                <w:szCs w:val="22"/>
              </w:rPr>
              <w:t>ARTG</w:t>
            </w:r>
          </w:p>
        </w:tc>
        <w:tc>
          <w:tcPr>
            <w:tcW w:w="3800" w:type="pct"/>
          </w:tcPr>
          <w:p w14:paraId="228A203A" w14:textId="47EBCFA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324B33" w:rsidRPr="00D01DDB" w14:paraId="05366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16A80" w14:textId="1329E9D5" w:rsidR="00324B33" w:rsidRPr="00D01DDB" w:rsidRDefault="00324B33" w:rsidP="00324B33">
            <w:pPr>
              <w:rPr>
                <w:szCs w:val="22"/>
              </w:rPr>
            </w:pPr>
            <w:r w:rsidRPr="00D01DDB">
              <w:rPr>
                <w:szCs w:val="22"/>
              </w:rPr>
              <w:t>ASA</w:t>
            </w:r>
          </w:p>
        </w:tc>
        <w:tc>
          <w:tcPr>
            <w:tcW w:w="3800" w:type="pct"/>
          </w:tcPr>
          <w:p w14:paraId="4E6F5284" w14:textId="48668BC7"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w:t>
            </w:r>
            <w:r w:rsidR="00873D7A">
              <w:rPr>
                <w:szCs w:val="22"/>
              </w:rPr>
              <w:noBreakHyphen/>
            </w:r>
            <w:r w:rsidRPr="00D01DDB">
              <w:rPr>
                <w:szCs w:val="22"/>
              </w:rPr>
              <w:t>specific annex</w:t>
            </w:r>
          </w:p>
        </w:tc>
      </w:tr>
      <w:tr w:rsidR="000E0D84" w:rsidRPr="00D01DDB" w14:paraId="025F1FB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8D7D99F" w14:textId="56EE93B6" w:rsidR="000E0D84" w:rsidRPr="00D01DDB" w:rsidRDefault="000E0D84" w:rsidP="00324B33">
            <w:pPr>
              <w:rPr>
                <w:szCs w:val="22"/>
              </w:rPr>
            </w:pPr>
            <w:r>
              <w:rPr>
                <w:szCs w:val="22"/>
              </w:rPr>
              <w:t>AUC</w:t>
            </w:r>
          </w:p>
        </w:tc>
        <w:tc>
          <w:tcPr>
            <w:tcW w:w="3800" w:type="pct"/>
          </w:tcPr>
          <w:p w14:paraId="1995A281" w14:textId="77777777" w:rsidR="00004F0C" w:rsidRDefault="000E0D8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Area under the curve; subscript reflects </w:t>
            </w:r>
            <w:proofErr w:type="gramStart"/>
            <w:r>
              <w:rPr>
                <w:szCs w:val="22"/>
              </w:rPr>
              <w:t>time period</w:t>
            </w:r>
            <w:proofErr w:type="gramEnd"/>
            <w:r>
              <w:rPr>
                <w:szCs w:val="22"/>
              </w:rPr>
              <w:t>, for example</w:t>
            </w:r>
          </w:p>
          <w:p w14:paraId="3A915535" w14:textId="290709F8" w:rsidR="00004F0C" w:rsidRDefault="000E0D8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0-168</w:t>
            </w:r>
            <w:r w:rsidR="00004F0C">
              <w:rPr>
                <w:szCs w:val="22"/>
              </w:rPr>
              <w:t xml:space="preserve">h = from time </w:t>
            </w:r>
            <w:r w:rsidR="00B32837">
              <w:rPr>
                <w:szCs w:val="22"/>
              </w:rPr>
              <w:t>0</w:t>
            </w:r>
            <w:r w:rsidR="00004F0C">
              <w:rPr>
                <w:szCs w:val="22"/>
              </w:rPr>
              <w:t xml:space="preserve"> to 168 hours [1 week</w:t>
            </w:r>
            <w:r w:rsidR="00B32837">
              <w:rPr>
                <w:szCs w:val="22"/>
              </w:rPr>
              <w:t>]</w:t>
            </w:r>
          </w:p>
          <w:p w14:paraId="0261BCA7" w14:textId="5EB89F9A" w:rsidR="00004F0C" w:rsidRDefault="00004F0C"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i</w:t>
            </w:r>
            <w:r w:rsidR="000E0D84">
              <w:rPr>
                <w:szCs w:val="22"/>
              </w:rPr>
              <w:t>nf</w:t>
            </w:r>
            <w:r>
              <w:rPr>
                <w:szCs w:val="22"/>
              </w:rPr>
              <w:t xml:space="preserve"> = </w:t>
            </w:r>
            <w:r>
              <w:t>from time 0 to infinity</w:t>
            </w:r>
          </w:p>
          <w:p w14:paraId="3BC4A79E" w14:textId="67673ACE" w:rsidR="000E0D84" w:rsidRPr="00D01DDB" w:rsidRDefault="00004F0C"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last = </w:t>
            </w:r>
            <w:r>
              <w:t>from time 0 to time of the last quantifiable concentration</w:t>
            </w:r>
          </w:p>
        </w:tc>
      </w:tr>
      <w:tr w:rsidR="00014C8C" w:rsidRPr="00D01DDB" w14:paraId="46B480C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8195736" w14:textId="46FF7AFE" w:rsidR="00014C8C" w:rsidRPr="00014C8C" w:rsidRDefault="00014C8C" w:rsidP="00324B33">
            <w:r w:rsidRPr="00014C8C">
              <w:t>BMI</w:t>
            </w:r>
          </w:p>
        </w:tc>
        <w:tc>
          <w:tcPr>
            <w:tcW w:w="3800" w:type="pct"/>
          </w:tcPr>
          <w:p w14:paraId="0F338651" w14:textId="20F392EF" w:rsidR="00014C8C" w:rsidRPr="008B7A8A" w:rsidRDefault="00014C8C" w:rsidP="00324B33">
            <w:pPr>
              <w:cnfStyle w:val="000000000000" w:firstRow="0" w:lastRow="0" w:firstColumn="0" w:lastColumn="0" w:oddVBand="0" w:evenVBand="0" w:oddHBand="0" w:evenHBand="0" w:firstRowFirstColumn="0" w:firstRowLastColumn="0" w:lastRowFirstColumn="0" w:lastRowLastColumn="0"/>
            </w:pPr>
            <w:r w:rsidRPr="00014C8C">
              <w:t>Body mass index</w:t>
            </w:r>
          </w:p>
        </w:tc>
      </w:tr>
      <w:tr w:rsidR="008B7A8A" w:rsidRPr="00D01DDB" w14:paraId="55A59FA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1EEF2BB" w14:textId="3C3B8C50" w:rsidR="008B7A8A" w:rsidRPr="008B7A8A" w:rsidRDefault="008B7A8A" w:rsidP="00324B33">
            <w:pPr>
              <w:rPr>
                <w:szCs w:val="22"/>
              </w:rPr>
            </w:pPr>
            <w:r w:rsidRPr="008B7A8A">
              <w:t>C</w:t>
            </w:r>
            <w:r w:rsidRPr="008B7A8A">
              <w:rPr>
                <w:vertAlign w:val="subscript"/>
              </w:rPr>
              <w:t>max</w:t>
            </w:r>
          </w:p>
        </w:tc>
        <w:tc>
          <w:tcPr>
            <w:tcW w:w="3800" w:type="pct"/>
          </w:tcPr>
          <w:p w14:paraId="56E2CB7F" w14:textId="109AFADD" w:rsidR="008B7A8A" w:rsidRPr="00D01DDB" w:rsidRDefault="008B7A8A" w:rsidP="00324B33">
            <w:pPr>
              <w:cnfStyle w:val="000000000000" w:firstRow="0" w:lastRow="0" w:firstColumn="0" w:lastColumn="0" w:oddVBand="0" w:evenVBand="0" w:oddHBand="0" w:evenHBand="0" w:firstRowFirstColumn="0" w:firstRowLastColumn="0" w:lastRowFirstColumn="0" w:lastRowLastColumn="0"/>
              <w:rPr>
                <w:szCs w:val="22"/>
              </w:rPr>
            </w:pPr>
            <w:r w:rsidRPr="008B7A8A">
              <w:t>Maximum plasma concentration</w:t>
            </w:r>
          </w:p>
        </w:tc>
      </w:tr>
      <w:tr w:rsidR="00395140"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395140" w:rsidRPr="00D01DDB" w:rsidRDefault="00395140" w:rsidP="00324B33">
            <w:pPr>
              <w:rPr>
                <w:szCs w:val="22"/>
              </w:rPr>
            </w:pPr>
            <w:r w:rsidRPr="00D01DDB">
              <w:rPr>
                <w:szCs w:val="22"/>
              </w:rPr>
              <w:t>CMI</w:t>
            </w:r>
          </w:p>
        </w:tc>
        <w:tc>
          <w:tcPr>
            <w:tcW w:w="3800" w:type="pct"/>
          </w:tcPr>
          <w:p w14:paraId="5D8C9DF5" w14:textId="60C23379"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324B33" w:rsidRPr="00D01DDB"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0D6731AA" w:rsidR="00324B33" w:rsidRPr="00D01DDB" w:rsidRDefault="00324B33" w:rsidP="00324B33">
            <w:pPr>
              <w:rPr>
                <w:szCs w:val="22"/>
              </w:rPr>
            </w:pPr>
            <w:r w:rsidRPr="00D01DDB">
              <w:rPr>
                <w:szCs w:val="22"/>
              </w:rPr>
              <w:t>DLP</w:t>
            </w:r>
          </w:p>
        </w:tc>
        <w:tc>
          <w:tcPr>
            <w:tcW w:w="3800" w:type="pct"/>
          </w:tcPr>
          <w:p w14:paraId="26109D0B" w14:textId="4AE8F60A"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Data lock point</w:t>
            </w:r>
          </w:p>
        </w:tc>
      </w:tr>
      <w:tr w:rsidR="008B7A8A" w:rsidRPr="00D01DDB" w14:paraId="0551A7E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7B314F3" w14:textId="54EB5905" w:rsidR="008B7A8A" w:rsidRPr="00D01DDB" w:rsidRDefault="008B7A8A" w:rsidP="00324B33">
            <w:pPr>
              <w:rPr>
                <w:szCs w:val="22"/>
              </w:rPr>
            </w:pPr>
            <w:r>
              <w:rPr>
                <w:szCs w:val="22"/>
              </w:rPr>
              <w:t>ECG</w:t>
            </w:r>
          </w:p>
        </w:tc>
        <w:tc>
          <w:tcPr>
            <w:tcW w:w="3800" w:type="pct"/>
          </w:tcPr>
          <w:p w14:paraId="4C376CB1" w14:textId="2F7B1B9B" w:rsidR="008B7A8A" w:rsidRPr="00D01DDB" w:rsidRDefault="008B7A8A" w:rsidP="00324B33">
            <w:pPr>
              <w:cnfStyle w:val="000000000000" w:firstRow="0" w:lastRow="0" w:firstColumn="0" w:lastColumn="0" w:oddVBand="0" w:evenVBand="0" w:oddHBand="0" w:evenHBand="0" w:firstRowFirstColumn="0" w:firstRowLastColumn="0" w:lastRowFirstColumn="0" w:lastRowLastColumn="0"/>
              <w:rPr>
                <w:szCs w:val="22"/>
              </w:rPr>
            </w:pPr>
            <w:r>
              <w:t>E</w:t>
            </w:r>
            <w:r w:rsidRPr="008B7A8A">
              <w:t>lectrocardiogram</w:t>
            </w:r>
          </w:p>
        </w:tc>
      </w:tr>
      <w:tr w:rsidR="00014C8C" w:rsidRPr="00D01DDB" w14:paraId="43DCFD6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E620B5C" w14:textId="3693FB87" w:rsidR="00014C8C" w:rsidRDefault="00014C8C" w:rsidP="00324B33">
            <w:pPr>
              <w:rPr>
                <w:szCs w:val="22"/>
              </w:rPr>
            </w:pPr>
            <w:r>
              <w:rPr>
                <w:szCs w:val="22"/>
              </w:rPr>
              <w:t>HJHS</w:t>
            </w:r>
          </w:p>
        </w:tc>
        <w:tc>
          <w:tcPr>
            <w:tcW w:w="3800" w:type="pct"/>
          </w:tcPr>
          <w:p w14:paraId="625A78E6" w14:textId="4BA4504E" w:rsidR="00014C8C" w:rsidRPr="00014C8C" w:rsidRDefault="005703A5" w:rsidP="00014C8C">
            <w:pPr>
              <w:pStyle w:val="ListBullet"/>
              <w:numPr>
                <w:ilvl w:val="0"/>
                <w:numId w:val="0"/>
              </w:numPr>
              <w:ind w:firstLine="124"/>
              <w:cnfStyle w:val="000000000000" w:firstRow="0" w:lastRow="0" w:firstColumn="0" w:lastColumn="0" w:oddVBand="0" w:evenVBand="0" w:oddHBand="0" w:evenHBand="0" w:firstRowFirstColumn="0" w:firstRowLastColumn="0" w:lastRowFirstColumn="0" w:lastRowLastColumn="0"/>
              <w:rPr>
                <w:color w:val="000000"/>
              </w:rPr>
            </w:pPr>
            <w:r>
              <w:rPr>
                <w:color w:val="000000"/>
              </w:rPr>
              <w:t>Haemophilia</w:t>
            </w:r>
            <w:r w:rsidR="00014C8C" w:rsidRPr="00014C8C">
              <w:rPr>
                <w:color w:val="000000"/>
              </w:rPr>
              <w:t xml:space="preserve"> Joint Health Score</w:t>
            </w:r>
          </w:p>
        </w:tc>
      </w:tr>
      <w:tr w:rsidR="00A57FA0" w:rsidRPr="00D01DDB" w14:paraId="594DC41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C2BF689" w14:textId="6178F698" w:rsidR="00A57FA0" w:rsidRPr="00D01DDB" w:rsidRDefault="00A57FA0" w:rsidP="00324B33">
            <w:pPr>
              <w:rPr>
                <w:szCs w:val="22"/>
              </w:rPr>
            </w:pPr>
            <w:r>
              <w:rPr>
                <w:szCs w:val="22"/>
              </w:rPr>
              <w:t>IgG</w:t>
            </w:r>
          </w:p>
        </w:tc>
        <w:tc>
          <w:tcPr>
            <w:tcW w:w="3800" w:type="pct"/>
          </w:tcPr>
          <w:p w14:paraId="6D9DC9A6" w14:textId="5DAD78E5" w:rsidR="00A57FA0" w:rsidRPr="00014C8C" w:rsidRDefault="00A57FA0" w:rsidP="00324B33">
            <w:pPr>
              <w:cnfStyle w:val="000000000000" w:firstRow="0" w:lastRow="0" w:firstColumn="0" w:lastColumn="0" w:oddVBand="0" w:evenVBand="0" w:oddHBand="0" w:evenHBand="0" w:firstRowFirstColumn="0" w:firstRowLastColumn="0" w:lastRowFirstColumn="0" w:lastRowLastColumn="0"/>
            </w:pPr>
            <w:r w:rsidRPr="00014C8C">
              <w:t>Immunoglobulin G</w:t>
            </w:r>
          </w:p>
        </w:tc>
      </w:tr>
      <w:tr w:rsidR="009B319F" w:rsidRPr="00D01DDB" w14:paraId="0F496EE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0EFE4E9" w14:textId="4D93D84E" w:rsidR="009B319F" w:rsidRDefault="009B319F" w:rsidP="00324B33">
            <w:pPr>
              <w:rPr>
                <w:szCs w:val="22"/>
              </w:rPr>
            </w:pPr>
            <w:r>
              <w:rPr>
                <w:szCs w:val="22"/>
              </w:rPr>
              <w:t>IV</w:t>
            </w:r>
          </w:p>
        </w:tc>
        <w:tc>
          <w:tcPr>
            <w:tcW w:w="3800" w:type="pct"/>
          </w:tcPr>
          <w:p w14:paraId="5E2D6A07" w14:textId="240C3B92" w:rsidR="009B319F" w:rsidRDefault="009B319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Intravenous</w:t>
            </w:r>
          </w:p>
        </w:tc>
      </w:tr>
      <w:tr w:rsidR="001519C9" w:rsidRPr="00D01DDB" w14:paraId="44E5913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B81B626" w14:textId="0631306C" w:rsidR="001519C9" w:rsidRDefault="001519C9" w:rsidP="00324B33">
            <w:pPr>
              <w:rPr>
                <w:szCs w:val="22"/>
              </w:rPr>
            </w:pPr>
            <w:r>
              <w:rPr>
                <w:szCs w:val="22"/>
              </w:rPr>
              <w:t>mAb</w:t>
            </w:r>
          </w:p>
        </w:tc>
        <w:tc>
          <w:tcPr>
            <w:tcW w:w="3800" w:type="pct"/>
          </w:tcPr>
          <w:p w14:paraId="0A3596C4" w14:textId="4920FE53" w:rsidR="001519C9" w:rsidRDefault="001519C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Monoclonal antibody</w:t>
            </w:r>
          </w:p>
        </w:tc>
      </w:tr>
      <w:tr w:rsidR="00014C8C" w:rsidRPr="00D01DDB" w14:paraId="065BA5B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8761764" w14:textId="52EF595B" w:rsidR="00014C8C" w:rsidRDefault="00014C8C" w:rsidP="00324B33">
            <w:pPr>
              <w:rPr>
                <w:szCs w:val="22"/>
              </w:rPr>
            </w:pPr>
            <w:r w:rsidRPr="00014C8C">
              <w:t>N</w:t>
            </w:r>
            <w:r>
              <w:t>A</w:t>
            </w:r>
            <w:r w:rsidRPr="00014C8C">
              <w:t>b</w:t>
            </w:r>
          </w:p>
        </w:tc>
        <w:tc>
          <w:tcPr>
            <w:tcW w:w="3800" w:type="pct"/>
          </w:tcPr>
          <w:p w14:paraId="656C49E4" w14:textId="72AB846D" w:rsidR="00014C8C" w:rsidRDefault="00014C8C" w:rsidP="00324B33">
            <w:pPr>
              <w:cnfStyle w:val="000000000000" w:firstRow="0" w:lastRow="0" w:firstColumn="0" w:lastColumn="0" w:oddVBand="0" w:evenVBand="0" w:oddHBand="0" w:evenHBand="0" w:firstRowFirstColumn="0" w:firstRowLastColumn="0" w:lastRowFirstColumn="0" w:lastRowLastColumn="0"/>
              <w:rPr>
                <w:szCs w:val="22"/>
              </w:rPr>
            </w:pPr>
            <w:r w:rsidRPr="00014C8C">
              <w:t>neutralising antibody</w:t>
            </w:r>
          </w:p>
        </w:tc>
      </w:tr>
      <w:tr w:rsidR="00D01E32" w:rsidRPr="00D01DDB" w14:paraId="0B3EFD7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A7CC909" w14:textId="6DD8ACFB" w:rsidR="00D01E32" w:rsidRDefault="00D01E32" w:rsidP="00324B33">
            <w:pPr>
              <w:rPr>
                <w:szCs w:val="22"/>
              </w:rPr>
            </w:pPr>
            <w:r>
              <w:rPr>
                <w:szCs w:val="22"/>
              </w:rPr>
              <w:t>PFP</w:t>
            </w:r>
          </w:p>
        </w:tc>
        <w:tc>
          <w:tcPr>
            <w:tcW w:w="3800" w:type="pct"/>
          </w:tcPr>
          <w:p w14:paraId="603924A0" w14:textId="6048330D" w:rsidR="00D01E32" w:rsidRDefault="00D01E3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Prefilled pen</w:t>
            </w:r>
          </w:p>
        </w:tc>
      </w:tr>
      <w:tr w:rsidR="00D01E32" w:rsidRPr="00D01DDB" w14:paraId="04791AD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3A59F" w14:textId="43FFFC8D" w:rsidR="00D01E32" w:rsidRDefault="00D01E32" w:rsidP="00324B33">
            <w:pPr>
              <w:rPr>
                <w:szCs w:val="22"/>
              </w:rPr>
            </w:pPr>
            <w:r>
              <w:rPr>
                <w:szCs w:val="22"/>
              </w:rPr>
              <w:t>PFS</w:t>
            </w:r>
          </w:p>
        </w:tc>
        <w:tc>
          <w:tcPr>
            <w:tcW w:w="3800" w:type="pct"/>
          </w:tcPr>
          <w:p w14:paraId="2EB58341" w14:textId="29E5645E" w:rsidR="00D01E32" w:rsidRDefault="00D01E3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Prefilled syringe</w:t>
            </w:r>
          </w:p>
        </w:tc>
      </w:tr>
      <w:tr w:rsidR="00395140"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395140" w:rsidRPr="00D01DDB" w:rsidRDefault="00395140" w:rsidP="00324B33">
            <w:pPr>
              <w:rPr>
                <w:szCs w:val="22"/>
              </w:rPr>
            </w:pPr>
            <w:r w:rsidRPr="00D01DDB">
              <w:rPr>
                <w:szCs w:val="22"/>
              </w:rPr>
              <w:t>PI</w:t>
            </w:r>
          </w:p>
        </w:tc>
        <w:tc>
          <w:tcPr>
            <w:tcW w:w="3800" w:type="pct"/>
          </w:tcPr>
          <w:p w14:paraId="354B5DB5" w14:textId="3DAE38C1"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004F0C" w:rsidRPr="00D01DDB" w14:paraId="502A880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443DF5A" w14:textId="6D52FB20" w:rsidR="00004F0C" w:rsidRPr="00D01DDB" w:rsidRDefault="00004F0C" w:rsidP="00324B33">
            <w:pPr>
              <w:rPr>
                <w:szCs w:val="22"/>
              </w:rPr>
            </w:pPr>
            <w:r>
              <w:rPr>
                <w:szCs w:val="22"/>
              </w:rPr>
              <w:t>PK</w:t>
            </w:r>
          </w:p>
        </w:tc>
        <w:tc>
          <w:tcPr>
            <w:tcW w:w="3800" w:type="pct"/>
          </w:tcPr>
          <w:p w14:paraId="5ADC4AB2" w14:textId="1021FF12" w:rsidR="00004F0C" w:rsidRPr="00D01DDB" w:rsidRDefault="00004F0C"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Pharmacokinetic</w:t>
            </w:r>
          </w:p>
        </w:tc>
      </w:tr>
      <w:tr w:rsidR="00B803F6" w:rsidRPr="00D01DDB" w14:paraId="272C84A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4F9C4D6" w14:textId="746B8872" w:rsidR="00B803F6" w:rsidRDefault="00B803F6" w:rsidP="00324B33">
            <w:pPr>
              <w:rPr>
                <w:szCs w:val="22"/>
              </w:rPr>
            </w:pPr>
            <w:r>
              <w:rPr>
                <w:szCs w:val="22"/>
              </w:rPr>
              <w:t>PopPK</w:t>
            </w:r>
          </w:p>
        </w:tc>
        <w:tc>
          <w:tcPr>
            <w:tcW w:w="3800" w:type="pct"/>
          </w:tcPr>
          <w:p w14:paraId="7D00EA61" w14:textId="7826F98A" w:rsidR="00B803F6" w:rsidRDefault="00B803F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Population pharmacokinetic</w:t>
            </w:r>
            <w:r w:rsidR="00A05C1C">
              <w:rPr>
                <w:szCs w:val="22"/>
              </w:rPr>
              <w:t>s</w:t>
            </w:r>
          </w:p>
        </w:tc>
      </w:tr>
      <w:tr w:rsidR="00A704DC" w:rsidRPr="00D01DDB" w14:paraId="3D3C70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FC5D65" w14:textId="2915A0B8" w:rsidR="00A704DC" w:rsidRPr="00D01DDB" w:rsidRDefault="00A704DC" w:rsidP="00A704DC">
            <w:pPr>
              <w:rPr>
                <w:szCs w:val="22"/>
              </w:rPr>
            </w:pPr>
            <w:r w:rsidRPr="00D01DDB">
              <w:rPr>
                <w:szCs w:val="22"/>
              </w:rPr>
              <w:t>PSUR</w:t>
            </w:r>
          </w:p>
        </w:tc>
        <w:tc>
          <w:tcPr>
            <w:tcW w:w="3800" w:type="pct"/>
          </w:tcPr>
          <w:p w14:paraId="4A97D112" w14:textId="3DC38D82" w:rsidR="00A704DC" w:rsidRPr="00D01DDB" w:rsidRDefault="00A704DC" w:rsidP="00A704DC">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B32837" w:rsidRPr="00D01DDB" w14:paraId="552B68C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326B9CF" w14:textId="27C94BBB" w:rsidR="00B32837" w:rsidRPr="00B32837" w:rsidRDefault="00B32837" w:rsidP="00A704DC">
            <w:pPr>
              <w:rPr>
                <w:szCs w:val="22"/>
              </w:rPr>
            </w:pPr>
            <w:r w:rsidRPr="00B32837">
              <w:rPr>
                <w:szCs w:val="22"/>
              </w:rPr>
              <w:t>PV</w:t>
            </w:r>
          </w:p>
        </w:tc>
        <w:tc>
          <w:tcPr>
            <w:tcW w:w="3800" w:type="pct"/>
          </w:tcPr>
          <w:p w14:paraId="3FB31B4E" w14:textId="3A316ADD" w:rsidR="00B32837" w:rsidRPr="00D01DDB" w:rsidRDefault="00B32837" w:rsidP="00A704DC">
            <w:pPr>
              <w:cnfStyle w:val="000000000000" w:firstRow="0" w:lastRow="0" w:firstColumn="0" w:lastColumn="0" w:oddVBand="0" w:evenVBand="0" w:oddHBand="0" w:evenHBand="0" w:firstRowFirstColumn="0" w:firstRowLastColumn="0" w:lastRowFirstColumn="0" w:lastRowLastColumn="0"/>
              <w:rPr>
                <w:szCs w:val="22"/>
              </w:rPr>
            </w:pPr>
            <w:r w:rsidRPr="00B32837">
              <w:t>Pharmacovigilance</w:t>
            </w:r>
          </w:p>
        </w:tc>
      </w:tr>
      <w:tr w:rsidR="00A704DC"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A704DC" w:rsidRPr="00D01DDB" w:rsidRDefault="00A704DC" w:rsidP="00A704DC">
            <w:pPr>
              <w:rPr>
                <w:szCs w:val="22"/>
              </w:rPr>
            </w:pPr>
            <w:r w:rsidRPr="00D01DDB">
              <w:rPr>
                <w:szCs w:val="22"/>
              </w:rPr>
              <w:t>RMP</w:t>
            </w:r>
          </w:p>
        </w:tc>
        <w:tc>
          <w:tcPr>
            <w:tcW w:w="3800" w:type="pct"/>
          </w:tcPr>
          <w:p w14:paraId="2C862F75" w14:textId="2355E842" w:rsidR="00A704DC" w:rsidRPr="00D01DDB" w:rsidRDefault="00A704DC" w:rsidP="00A704DC">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0F3AD4" w:rsidRPr="00D01DDB" w14:paraId="2A2AF67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3401E11" w14:textId="7EE210E8" w:rsidR="000F3AD4" w:rsidRPr="00D01DDB" w:rsidRDefault="000F3AD4" w:rsidP="00A704DC">
            <w:pPr>
              <w:rPr>
                <w:szCs w:val="22"/>
              </w:rPr>
            </w:pPr>
            <w:r>
              <w:rPr>
                <w:szCs w:val="22"/>
              </w:rPr>
              <w:t>SAE</w:t>
            </w:r>
          </w:p>
        </w:tc>
        <w:tc>
          <w:tcPr>
            <w:tcW w:w="3800" w:type="pct"/>
          </w:tcPr>
          <w:p w14:paraId="3DCE3097" w14:textId="14D41EE1" w:rsidR="000F3AD4" w:rsidRPr="00D01DDB" w:rsidRDefault="000F3AD4"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Serious adverse effects</w:t>
            </w:r>
          </w:p>
        </w:tc>
      </w:tr>
      <w:tr w:rsidR="009B319F" w:rsidRPr="00D01DDB" w14:paraId="36BF279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825572E" w14:textId="788A4D4E" w:rsidR="009B319F" w:rsidRDefault="009B319F" w:rsidP="00A704DC">
            <w:pPr>
              <w:rPr>
                <w:szCs w:val="22"/>
              </w:rPr>
            </w:pPr>
            <w:r>
              <w:rPr>
                <w:szCs w:val="22"/>
              </w:rPr>
              <w:t>SC</w:t>
            </w:r>
          </w:p>
        </w:tc>
        <w:tc>
          <w:tcPr>
            <w:tcW w:w="3800" w:type="pct"/>
          </w:tcPr>
          <w:p w14:paraId="1B8E221B" w14:textId="50359BDC" w:rsidR="009B319F" w:rsidRDefault="009B319F"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Subcutaneous</w:t>
            </w:r>
          </w:p>
        </w:tc>
      </w:tr>
      <w:tr w:rsidR="00E23165" w:rsidRPr="00D01DDB" w14:paraId="2B75928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5EB252C" w14:textId="6A532ED0" w:rsidR="00E23165" w:rsidRPr="00D01DDB" w:rsidRDefault="00E23165" w:rsidP="00A704DC">
            <w:pPr>
              <w:rPr>
                <w:szCs w:val="22"/>
              </w:rPr>
            </w:pPr>
            <w:r>
              <w:rPr>
                <w:szCs w:val="22"/>
              </w:rPr>
              <w:t>TEAE</w:t>
            </w:r>
          </w:p>
        </w:tc>
        <w:tc>
          <w:tcPr>
            <w:tcW w:w="3800" w:type="pct"/>
          </w:tcPr>
          <w:p w14:paraId="28FDCB86" w14:textId="1A709959" w:rsidR="00E23165" w:rsidRPr="00D01DDB" w:rsidRDefault="00E23165" w:rsidP="00A704DC">
            <w:pPr>
              <w:cnfStyle w:val="000000000000" w:firstRow="0" w:lastRow="0" w:firstColumn="0" w:lastColumn="0" w:oddVBand="0" w:evenVBand="0" w:oddHBand="0" w:evenHBand="0" w:firstRowFirstColumn="0" w:firstRowLastColumn="0" w:lastRowFirstColumn="0" w:lastRowLastColumn="0"/>
              <w:rPr>
                <w:szCs w:val="22"/>
              </w:rPr>
            </w:pPr>
            <w:r>
              <w:t>Treatment-emergent adverse event</w:t>
            </w:r>
          </w:p>
        </w:tc>
      </w:tr>
      <w:tr w:rsidR="006C7C3A" w:rsidRPr="00D01DDB" w14:paraId="4B3FEF2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CF4883B" w14:textId="3D9C2ADE" w:rsidR="006C7C3A" w:rsidRPr="00D01DDB" w:rsidRDefault="006C7C3A" w:rsidP="000370EE">
            <w:pPr>
              <w:tabs>
                <w:tab w:val="right" w:pos="1958"/>
              </w:tabs>
              <w:rPr>
                <w:szCs w:val="22"/>
              </w:rPr>
            </w:pPr>
            <w:r w:rsidRPr="006C7C3A">
              <w:rPr>
                <w:szCs w:val="22"/>
              </w:rPr>
              <w:t>TFPI</w:t>
            </w:r>
            <w:r w:rsidR="000370EE">
              <w:rPr>
                <w:szCs w:val="22"/>
              </w:rPr>
              <w:tab/>
            </w:r>
          </w:p>
        </w:tc>
        <w:tc>
          <w:tcPr>
            <w:tcW w:w="3800" w:type="pct"/>
          </w:tcPr>
          <w:p w14:paraId="4C1B37FE" w14:textId="640F0226" w:rsidR="006C7C3A" w:rsidRPr="00D01DDB" w:rsidRDefault="006C7C3A" w:rsidP="00A704DC">
            <w:pPr>
              <w:cnfStyle w:val="000000000000" w:firstRow="0" w:lastRow="0" w:firstColumn="0" w:lastColumn="0" w:oddVBand="0" w:evenVBand="0" w:oddHBand="0" w:evenHBand="0" w:firstRowFirstColumn="0" w:firstRowLastColumn="0" w:lastRowFirstColumn="0" w:lastRowLastColumn="0"/>
              <w:rPr>
                <w:szCs w:val="22"/>
              </w:rPr>
            </w:pPr>
            <w:r>
              <w:rPr>
                <w:szCs w:val="22"/>
              </w:rPr>
              <w:t>T</w:t>
            </w:r>
            <w:r w:rsidRPr="006C7C3A">
              <w:rPr>
                <w:szCs w:val="22"/>
              </w:rPr>
              <w:t>issue factor pathway inhibitor</w:t>
            </w:r>
          </w:p>
        </w:tc>
      </w:tr>
      <w:tr w:rsidR="00A704DC"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A704DC" w:rsidRPr="00D01DDB" w:rsidRDefault="00A704DC" w:rsidP="00A704DC">
            <w:pPr>
              <w:rPr>
                <w:szCs w:val="22"/>
              </w:rPr>
            </w:pPr>
            <w:r w:rsidRPr="00D01DDB">
              <w:rPr>
                <w:szCs w:val="22"/>
              </w:rPr>
              <w:lastRenderedPageBreak/>
              <w:t>TGA</w:t>
            </w:r>
          </w:p>
        </w:tc>
        <w:tc>
          <w:tcPr>
            <w:tcW w:w="3800" w:type="pct"/>
          </w:tcPr>
          <w:p w14:paraId="29EA6BA3" w14:textId="6F99059F" w:rsidR="00A704DC" w:rsidRPr="00D01DDB" w:rsidRDefault="00A704DC" w:rsidP="00A704DC">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8" w:name="_Toc103679288"/>
      <w:bookmarkStart w:id="9" w:name="_Toc212036832"/>
      <w:r>
        <w:lastRenderedPageBreak/>
        <w:t>Product submission</w:t>
      </w:r>
      <w:bookmarkEnd w:id="8"/>
      <w:bookmarkEnd w:id="9"/>
    </w:p>
    <w:p w14:paraId="21D559DF" w14:textId="77777777" w:rsidR="00324B33" w:rsidRDefault="00324B33" w:rsidP="00324B33">
      <w:pPr>
        <w:pStyle w:val="Heading3"/>
        <w:rPr>
          <w:lang w:eastAsia="en-AU"/>
        </w:rPr>
      </w:pPr>
      <w:bookmarkStart w:id="10" w:name="_Toc247691502"/>
      <w:bookmarkStart w:id="11" w:name="_Toc314842483"/>
      <w:bookmarkStart w:id="12" w:name="_Toc103679289"/>
      <w:bookmarkStart w:id="13" w:name="_Toc212036833"/>
      <w:r>
        <w:rPr>
          <w:lang w:eastAsia="en-AU"/>
        </w:rPr>
        <w:t>Submission details</w:t>
      </w:r>
      <w:bookmarkEnd w:id="10"/>
      <w:bookmarkEnd w:id="11"/>
      <w:bookmarkEnd w:id="12"/>
      <w:bookmarkEnd w:id="13"/>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6EA07782" w:rsidR="00324B33" w:rsidRPr="00BD5DBD" w:rsidRDefault="00324B33" w:rsidP="007452E8">
            <w:pPr>
              <w:rPr>
                <w:i/>
                <w:szCs w:val="22"/>
              </w:rPr>
            </w:pPr>
            <w:r w:rsidRPr="00BD5DBD">
              <w:rPr>
                <w:i/>
                <w:szCs w:val="22"/>
              </w:rPr>
              <w:t>Type of submission:</w:t>
            </w:r>
          </w:p>
        </w:tc>
        <w:tc>
          <w:tcPr>
            <w:tcW w:w="3423" w:type="pct"/>
          </w:tcPr>
          <w:p w14:paraId="4F07C303" w14:textId="12588CF3" w:rsidR="00324B33" w:rsidRPr="00BD5DBD" w:rsidRDefault="00324B33" w:rsidP="007452E8">
            <w:pPr>
              <w:rPr>
                <w:szCs w:val="22"/>
              </w:rPr>
            </w:pPr>
            <w:r w:rsidRPr="00BD5DBD">
              <w:rPr>
                <w:szCs w:val="22"/>
              </w:rPr>
              <w:t xml:space="preserve">New </w:t>
            </w:r>
            <w:bookmarkStart w:id="14" w:name="_Hlk212125920"/>
            <w:r w:rsidR="000C39C4">
              <w:rPr>
                <w:szCs w:val="22"/>
              </w:rPr>
              <w:t>biologica</w:t>
            </w:r>
            <w:bookmarkEnd w:id="14"/>
            <w:r w:rsidR="000C39C4">
              <w:rPr>
                <w:szCs w:val="22"/>
              </w:rPr>
              <w:t xml:space="preserve">l </w:t>
            </w:r>
            <w:r w:rsidRPr="00BD5DBD">
              <w:rPr>
                <w:szCs w:val="22"/>
              </w:rPr>
              <w:t>entity</w:t>
            </w:r>
          </w:p>
        </w:tc>
      </w:tr>
      <w:tr w:rsidR="00324B33" w:rsidRPr="00BD5DBD" w14:paraId="13482B61" w14:textId="77777777" w:rsidTr="00F865A7">
        <w:tc>
          <w:tcPr>
            <w:tcW w:w="1577" w:type="pct"/>
          </w:tcPr>
          <w:p w14:paraId="2C427FCF" w14:textId="79CD1EB0" w:rsidR="00324B33" w:rsidRPr="00BD5DBD" w:rsidRDefault="00324B33" w:rsidP="007452E8">
            <w:pPr>
              <w:rPr>
                <w:i/>
                <w:szCs w:val="22"/>
              </w:rPr>
            </w:pPr>
            <w:r w:rsidRPr="00BD5DBD">
              <w:rPr>
                <w:i/>
                <w:szCs w:val="22"/>
              </w:rPr>
              <w:t>Product name:</w:t>
            </w:r>
          </w:p>
        </w:tc>
        <w:tc>
          <w:tcPr>
            <w:tcW w:w="3423" w:type="pct"/>
          </w:tcPr>
          <w:p w14:paraId="0E2DEF76" w14:textId="2D7A9CC7" w:rsidR="00324B33" w:rsidRPr="00BD5DBD" w:rsidRDefault="002F002B" w:rsidP="007452E8">
            <w:pPr>
              <w:rPr>
                <w:szCs w:val="22"/>
              </w:rPr>
            </w:pPr>
            <w:r>
              <w:rPr>
                <w:szCs w:val="22"/>
              </w:rPr>
              <w:t>Hympavzi</w:t>
            </w:r>
          </w:p>
        </w:tc>
      </w:tr>
      <w:tr w:rsidR="00324B33" w:rsidRPr="00BD5DBD" w14:paraId="01255B5B" w14:textId="77777777" w:rsidTr="00F865A7">
        <w:tc>
          <w:tcPr>
            <w:tcW w:w="1577" w:type="pct"/>
          </w:tcPr>
          <w:p w14:paraId="52B4F3D7" w14:textId="60135B38" w:rsidR="00324B33" w:rsidRPr="00BD5DBD" w:rsidRDefault="00324B33" w:rsidP="007452E8">
            <w:pPr>
              <w:rPr>
                <w:i/>
                <w:szCs w:val="22"/>
              </w:rPr>
            </w:pPr>
            <w:r w:rsidRPr="00BD5DBD">
              <w:rPr>
                <w:i/>
                <w:szCs w:val="22"/>
              </w:rPr>
              <w:t>Active ingredient:</w:t>
            </w:r>
          </w:p>
        </w:tc>
        <w:tc>
          <w:tcPr>
            <w:tcW w:w="3423" w:type="pct"/>
          </w:tcPr>
          <w:p w14:paraId="02FB6383" w14:textId="676F0702" w:rsidR="00324B33" w:rsidRPr="00BD5DBD" w:rsidRDefault="00067BBE" w:rsidP="007452E8">
            <w:pPr>
              <w:rPr>
                <w:szCs w:val="22"/>
              </w:rPr>
            </w:pPr>
            <w:r>
              <w:rPr>
                <w:szCs w:val="22"/>
              </w:rPr>
              <w:t>Marstacimab</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14A07AF4"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410E28F5" w:rsidR="00AE1947" w:rsidRPr="00BD5DBD" w:rsidRDefault="002677FF" w:rsidP="00B65584">
            <w:pPr>
              <w:rPr>
                <w:szCs w:val="22"/>
              </w:rPr>
            </w:pPr>
            <w:r>
              <w:rPr>
                <w:szCs w:val="22"/>
              </w:rPr>
              <w:t>29 January 202</w:t>
            </w:r>
            <w:r w:rsidR="00A2060F">
              <w:rPr>
                <w:szCs w:val="22"/>
              </w:rPr>
              <w:t>5</w:t>
            </w:r>
          </w:p>
        </w:tc>
      </w:tr>
      <w:tr w:rsidR="00324B33" w:rsidRPr="00BD5DBD" w14:paraId="60A25F5A" w14:textId="77777777" w:rsidTr="00F865A7">
        <w:tc>
          <w:tcPr>
            <w:tcW w:w="1577" w:type="pct"/>
          </w:tcPr>
          <w:p w14:paraId="5C5E4CBA" w14:textId="77777777" w:rsidR="00324B33" w:rsidRPr="000E33A5" w:rsidRDefault="00324B33" w:rsidP="007452E8">
            <w:pPr>
              <w:rPr>
                <w:i/>
                <w:szCs w:val="22"/>
              </w:rPr>
            </w:pPr>
            <w:r w:rsidRPr="000E33A5">
              <w:rPr>
                <w:i/>
                <w:szCs w:val="22"/>
              </w:rPr>
              <w:t>Date of entry onto ARTG:</w:t>
            </w:r>
          </w:p>
        </w:tc>
        <w:tc>
          <w:tcPr>
            <w:tcW w:w="3423" w:type="pct"/>
          </w:tcPr>
          <w:p w14:paraId="28B270E9" w14:textId="2C23BBB5" w:rsidR="00324B33" w:rsidRPr="00BD5DBD" w:rsidRDefault="000E33A5" w:rsidP="007452E8">
            <w:pPr>
              <w:rPr>
                <w:szCs w:val="22"/>
              </w:rPr>
            </w:pPr>
            <w:r w:rsidRPr="000E33A5">
              <w:rPr>
                <w:szCs w:val="22"/>
              </w:rPr>
              <w:t>29 January</w:t>
            </w:r>
            <w:r w:rsidR="00664961" w:rsidRPr="000E33A5">
              <w:rPr>
                <w:szCs w:val="22"/>
              </w:rPr>
              <w:t xml:space="preserve"> 2025</w:t>
            </w:r>
          </w:p>
        </w:tc>
      </w:tr>
      <w:tr w:rsidR="00324B33" w:rsidRPr="00BD5DBD" w14:paraId="547E08D7" w14:textId="77777777" w:rsidTr="00F865A7">
        <w:tc>
          <w:tcPr>
            <w:tcW w:w="1577" w:type="pct"/>
          </w:tcPr>
          <w:p w14:paraId="5030EF30" w14:textId="323C85B2" w:rsidR="00324B33" w:rsidRPr="00BD5DBD" w:rsidRDefault="00324B33" w:rsidP="007452E8">
            <w:pPr>
              <w:rPr>
                <w:i/>
                <w:szCs w:val="22"/>
              </w:rPr>
            </w:pPr>
            <w:r w:rsidRPr="00BD5DBD">
              <w:rPr>
                <w:i/>
                <w:szCs w:val="22"/>
              </w:rPr>
              <w:t>ARTG number:</w:t>
            </w:r>
          </w:p>
        </w:tc>
        <w:tc>
          <w:tcPr>
            <w:tcW w:w="3423" w:type="pct"/>
          </w:tcPr>
          <w:p w14:paraId="0054E912" w14:textId="0F4714AE" w:rsidR="00324B33" w:rsidRPr="00BD5DBD" w:rsidRDefault="00664961" w:rsidP="007452E8">
            <w:pPr>
              <w:rPr>
                <w:szCs w:val="22"/>
              </w:rPr>
            </w:pPr>
            <w:r>
              <w:rPr>
                <w:szCs w:val="22"/>
              </w:rPr>
              <w:t>43</w:t>
            </w:r>
            <w:r w:rsidR="00430EEB">
              <w:rPr>
                <w:szCs w:val="22"/>
              </w:rPr>
              <w:t>8990</w:t>
            </w:r>
          </w:p>
        </w:tc>
      </w:tr>
      <w:tr w:rsidR="00324B33" w:rsidRPr="00BD5DBD" w14:paraId="7618393F" w14:textId="77777777" w:rsidTr="00F865A7">
        <w:tc>
          <w:tcPr>
            <w:tcW w:w="1577" w:type="pct"/>
          </w:tcPr>
          <w:p w14:paraId="02260DE2" w14:textId="2052883E" w:rsidR="00324B33" w:rsidRPr="00BD5DBD" w:rsidRDefault="00324B33" w:rsidP="0054035D">
            <w:pPr>
              <w:rPr>
                <w:i/>
                <w:szCs w:val="22"/>
              </w:rPr>
            </w:pPr>
            <w:r w:rsidRPr="00BD5DBD">
              <w:rPr>
                <w:rFonts w:ascii="Wingdings 3" w:hAnsi="Wingdings 3"/>
                <w:szCs w:val="22"/>
                <w:lang w:eastAsia="en-AU"/>
              </w:rPr>
              <w:t></w:t>
            </w:r>
            <w:hyperlink r:id="rId15" w:history="1">
              <w:r w:rsidRPr="00BD5DBD">
                <w:rPr>
                  <w:rStyle w:val="Hyperlink"/>
                  <w:i/>
                  <w:szCs w:val="22"/>
                </w:rPr>
                <w:t>Black Triangle Scheme</w:t>
              </w:r>
            </w:hyperlink>
          </w:p>
        </w:tc>
        <w:tc>
          <w:tcPr>
            <w:tcW w:w="3423" w:type="pct"/>
          </w:tcPr>
          <w:p w14:paraId="6FF3C6A2" w14:textId="277DED0E" w:rsidR="00324B33" w:rsidRPr="00BD5DBD" w:rsidRDefault="00324B33" w:rsidP="007452E8">
            <w:pPr>
              <w:rPr>
                <w:szCs w:val="22"/>
              </w:rPr>
            </w:pPr>
            <w:r w:rsidRPr="00BD5DBD">
              <w:rPr>
                <w:szCs w:val="22"/>
              </w:rPr>
              <w:t>Yes</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183ED175" w14:textId="77777777" w:rsidR="00324B33" w:rsidRDefault="004B039B" w:rsidP="007452E8">
            <w:pPr>
              <w:rPr>
                <w:szCs w:val="22"/>
              </w:rPr>
            </w:pPr>
            <w:r>
              <w:rPr>
                <w:szCs w:val="22"/>
              </w:rPr>
              <w:t>Pfizer Australia Pty Ltd</w:t>
            </w:r>
          </w:p>
          <w:p w14:paraId="2AEF9851" w14:textId="77777777" w:rsidR="004B039B" w:rsidRDefault="004B039B" w:rsidP="007452E8">
            <w:pPr>
              <w:rPr>
                <w:szCs w:val="22"/>
              </w:rPr>
            </w:pPr>
            <w:r>
              <w:rPr>
                <w:szCs w:val="22"/>
              </w:rPr>
              <w:t>Level 17, 151 Clarence Street</w:t>
            </w:r>
          </w:p>
          <w:p w14:paraId="68DD94B0" w14:textId="51F651EE" w:rsidR="004B039B" w:rsidRPr="00BD5DBD" w:rsidRDefault="004B039B" w:rsidP="007452E8">
            <w:pPr>
              <w:rPr>
                <w:szCs w:val="22"/>
              </w:rPr>
            </w:pPr>
            <w:proofErr w:type="gramStart"/>
            <w:r>
              <w:rPr>
                <w:szCs w:val="22"/>
              </w:rPr>
              <w:t>Sydney  NSW</w:t>
            </w:r>
            <w:proofErr w:type="gramEnd"/>
            <w:r>
              <w:rPr>
                <w:szCs w:val="22"/>
              </w:rPr>
              <w:t xml:space="preserve">  2000</w:t>
            </w:r>
          </w:p>
        </w:tc>
      </w:tr>
      <w:tr w:rsidR="00324B33" w:rsidRPr="00BD5DBD" w14:paraId="5322B989" w14:textId="77777777" w:rsidTr="00F865A7">
        <w:tc>
          <w:tcPr>
            <w:tcW w:w="1577" w:type="pct"/>
          </w:tcPr>
          <w:p w14:paraId="24F217E3" w14:textId="50A7CC4B" w:rsidR="00324B33" w:rsidRPr="00BD5DBD" w:rsidRDefault="00324B33" w:rsidP="007452E8">
            <w:pPr>
              <w:rPr>
                <w:i/>
                <w:szCs w:val="22"/>
              </w:rPr>
            </w:pPr>
            <w:r w:rsidRPr="00BD5DBD">
              <w:rPr>
                <w:i/>
                <w:szCs w:val="22"/>
              </w:rPr>
              <w:t>Dose form:</w:t>
            </w:r>
          </w:p>
        </w:tc>
        <w:tc>
          <w:tcPr>
            <w:tcW w:w="3423" w:type="pct"/>
          </w:tcPr>
          <w:p w14:paraId="768B254C" w14:textId="65ECFE81" w:rsidR="00324B33" w:rsidRPr="00BD5DBD" w:rsidRDefault="003D4335" w:rsidP="007452E8">
            <w:pPr>
              <w:rPr>
                <w:szCs w:val="22"/>
              </w:rPr>
            </w:pPr>
            <w:r>
              <w:rPr>
                <w:szCs w:val="22"/>
              </w:rPr>
              <w:t>Solution for injection</w:t>
            </w:r>
          </w:p>
        </w:tc>
      </w:tr>
      <w:tr w:rsidR="00324B33" w:rsidRPr="00BD5DBD" w14:paraId="115243E6" w14:textId="77777777" w:rsidTr="00F865A7">
        <w:tc>
          <w:tcPr>
            <w:tcW w:w="1577" w:type="pct"/>
          </w:tcPr>
          <w:p w14:paraId="7634B062" w14:textId="6D512260" w:rsidR="00324B33" w:rsidRPr="00BD5DBD" w:rsidRDefault="00324B33" w:rsidP="007452E8">
            <w:pPr>
              <w:rPr>
                <w:i/>
                <w:szCs w:val="22"/>
              </w:rPr>
            </w:pPr>
            <w:r w:rsidRPr="00BD5DBD">
              <w:rPr>
                <w:i/>
                <w:szCs w:val="22"/>
              </w:rPr>
              <w:t>Strength:</w:t>
            </w:r>
          </w:p>
        </w:tc>
        <w:tc>
          <w:tcPr>
            <w:tcW w:w="3423" w:type="pct"/>
          </w:tcPr>
          <w:p w14:paraId="5E5F83DB" w14:textId="2910F0BF" w:rsidR="00324B33" w:rsidRPr="00BD5DBD" w:rsidRDefault="00F24F62" w:rsidP="007452E8">
            <w:pPr>
              <w:rPr>
                <w:szCs w:val="22"/>
              </w:rPr>
            </w:pPr>
            <w:r>
              <w:rPr>
                <w:szCs w:val="22"/>
              </w:rPr>
              <w:t>150 mg</w:t>
            </w:r>
            <w:r w:rsidR="00B729F1">
              <w:rPr>
                <w:szCs w:val="22"/>
              </w:rPr>
              <w:t xml:space="preserve"> in 1 </w:t>
            </w:r>
            <w:r>
              <w:rPr>
                <w:szCs w:val="22"/>
              </w:rPr>
              <w:t>mL</w:t>
            </w:r>
          </w:p>
        </w:tc>
      </w:tr>
      <w:tr w:rsidR="00324B33" w:rsidRPr="00BD5DBD" w14:paraId="34B07BA6" w14:textId="77777777" w:rsidTr="00F865A7">
        <w:tc>
          <w:tcPr>
            <w:tcW w:w="1577" w:type="pct"/>
          </w:tcPr>
          <w:p w14:paraId="1C039224" w14:textId="14ADD10B" w:rsidR="00324B33" w:rsidRPr="00BD5DBD" w:rsidRDefault="00324B33" w:rsidP="007452E8">
            <w:pPr>
              <w:rPr>
                <w:i/>
                <w:szCs w:val="22"/>
              </w:rPr>
            </w:pPr>
            <w:r w:rsidRPr="00BD5DBD">
              <w:rPr>
                <w:i/>
                <w:szCs w:val="22"/>
              </w:rPr>
              <w:t>Container:</w:t>
            </w:r>
          </w:p>
        </w:tc>
        <w:tc>
          <w:tcPr>
            <w:tcW w:w="3423" w:type="pct"/>
          </w:tcPr>
          <w:p w14:paraId="500A42C6" w14:textId="7FE09EEF" w:rsidR="00324B33" w:rsidRPr="00BD5DBD" w:rsidRDefault="00AF199E" w:rsidP="00AF199E">
            <w:pPr>
              <w:rPr>
                <w:szCs w:val="22"/>
              </w:rPr>
            </w:pPr>
            <w:r w:rsidRPr="00AF199E">
              <w:rPr>
                <w:szCs w:val="22"/>
              </w:rPr>
              <w:t>Each carton contains one single-dose prefilled pen. The syringe inside the pen is made from</w:t>
            </w:r>
            <w:r>
              <w:rPr>
                <w:szCs w:val="22"/>
              </w:rPr>
              <w:t xml:space="preserve"> </w:t>
            </w:r>
            <w:r w:rsidRPr="00AF199E">
              <w:rPr>
                <w:szCs w:val="22"/>
              </w:rPr>
              <w:t>Type I glass with a plunger stopper (chlorobutyl elastomer) and a stainless steel 27 gauge,</w:t>
            </w:r>
            <w:r>
              <w:rPr>
                <w:szCs w:val="22"/>
              </w:rPr>
              <w:t xml:space="preserve"> </w:t>
            </w:r>
            <w:r w:rsidRPr="00AF199E">
              <w:rPr>
                <w:szCs w:val="22"/>
              </w:rPr>
              <w:t>½ inch staked needle with a needle shield (thermoplastic elastomer).</w:t>
            </w:r>
          </w:p>
        </w:tc>
      </w:tr>
      <w:tr w:rsidR="00324B33" w:rsidRPr="00BD5DBD" w14:paraId="176B6773" w14:textId="77777777" w:rsidTr="00F865A7">
        <w:tc>
          <w:tcPr>
            <w:tcW w:w="1577" w:type="pct"/>
          </w:tcPr>
          <w:p w14:paraId="71846159" w14:textId="6F6DF5A0" w:rsidR="00324B33" w:rsidRPr="00BD5DBD" w:rsidRDefault="00324B33" w:rsidP="007452E8">
            <w:pPr>
              <w:rPr>
                <w:i/>
                <w:szCs w:val="22"/>
              </w:rPr>
            </w:pPr>
            <w:r w:rsidRPr="00BD5DBD">
              <w:rPr>
                <w:i/>
                <w:szCs w:val="22"/>
              </w:rPr>
              <w:t>Pack size:</w:t>
            </w:r>
          </w:p>
        </w:tc>
        <w:tc>
          <w:tcPr>
            <w:tcW w:w="3423" w:type="pct"/>
          </w:tcPr>
          <w:p w14:paraId="7E978F8F" w14:textId="2BDE2D79" w:rsidR="00324B33" w:rsidRPr="00BD5DBD" w:rsidRDefault="00BC24AB" w:rsidP="007452E8">
            <w:pPr>
              <w:rPr>
                <w:szCs w:val="22"/>
              </w:rPr>
            </w:pPr>
            <w:r>
              <w:rPr>
                <w:szCs w:val="22"/>
              </w:rPr>
              <w:t>One single-dose prefilled pen</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155BDA67" w14:textId="1EBA6B7E" w:rsidR="009813CD" w:rsidRPr="009813CD" w:rsidRDefault="009813CD" w:rsidP="009813CD">
            <w:pPr>
              <w:rPr>
                <w:szCs w:val="22"/>
              </w:rPr>
            </w:pPr>
            <w:r w:rsidRPr="009813CD">
              <w:rPr>
                <w:szCs w:val="22"/>
              </w:rPr>
              <w:t>Hympavzi is indicated for routine prophylaxis of bleeding episodes in patients 12</w:t>
            </w:r>
            <w:r w:rsidR="000D1BA4">
              <w:rPr>
                <w:szCs w:val="22"/>
              </w:rPr>
              <w:t> </w:t>
            </w:r>
            <w:r w:rsidRPr="009813CD">
              <w:rPr>
                <w:szCs w:val="22"/>
              </w:rPr>
              <w:t>years of age and older with:</w:t>
            </w:r>
          </w:p>
          <w:p w14:paraId="7FD65604" w14:textId="590596F6" w:rsidR="009813CD" w:rsidRPr="009813CD" w:rsidRDefault="009813CD" w:rsidP="00397638">
            <w:pPr>
              <w:pStyle w:val="ListBullet"/>
            </w:pPr>
            <w:r w:rsidRPr="009813CD">
              <w:t>severe haemophilia A (congenital factor VIII deficiency, FVIII</w:t>
            </w:r>
            <w:r w:rsidR="000D1BA4">
              <w:t> </w:t>
            </w:r>
            <w:r w:rsidRPr="009813CD">
              <w:t>&lt;</w:t>
            </w:r>
            <w:r w:rsidR="000D1BA4">
              <w:t> </w:t>
            </w:r>
            <w:r w:rsidRPr="009813CD">
              <w:t>1%) without factor VIII inhibitors, or</w:t>
            </w:r>
          </w:p>
          <w:p w14:paraId="6E143E2E" w14:textId="4DCAD447" w:rsidR="00324B33" w:rsidRPr="00BD5DBD" w:rsidRDefault="009813CD" w:rsidP="00397638">
            <w:pPr>
              <w:pStyle w:val="ListBullet"/>
            </w:pPr>
            <w:r w:rsidRPr="009813CD">
              <w:t>severe haemophilia B (congenital factor IX deficiency, FIX</w:t>
            </w:r>
            <w:r w:rsidR="000D1BA4">
              <w:t> </w:t>
            </w:r>
            <w:r w:rsidRPr="009813CD">
              <w:t>&lt;</w:t>
            </w:r>
            <w:r w:rsidR="000D1BA4">
              <w:t> </w:t>
            </w:r>
            <w:r w:rsidRPr="009813CD">
              <w:t>1%) without factor IX inhibitors.</w:t>
            </w:r>
          </w:p>
        </w:tc>
      </w:tr>
      <w:tr w:rsidR="00324B33" w:rsidRPr="00BD5DBD" w14:paraId="5AFDEED3" w14:textId="77777777" w:rsidTr="00F865A7">
        <w:tc>
          <w:tcPr>
            <w:tcW w:w="1577" w:type="pct"/>
          </w:tcPr>
          <w:p w14:paraId="03884BD1" w14:textId="18D15FEB" w:rsidR="00324B33" w:rsidRPr="00BD5DBD" w:rsidRDefault="00324B33" w:rsidP="007452E8">
            <w:pPr>
              <w:rPr>
                <w:i/>
                <w:szCs w:val="22"/>
              </w:rPr>
            </w:pPr>
            <w:r w:rsidRPr="00BD5DBD">
              <w:rPr>
                <w:i/>
                <w:szCs w:val="22"/>
              </w:rPr>
              <w:t>Route of administration:</w:t>
            </w:r>
          </w:p>
        </w:tc>
        <w:tc>
          <w:tcPr>
            <w:tcW w:w="3423" w:type="pct"/>
          </w:tcPr>
          <w:p w14:paraId="1ED1357E" w14:textId="00755175" w:rsidR="00324B33" w:rsidRPr="00BD5DBD" w:rsidRDefault="00F52E88" w:rsidP="007452E8">
            <w:pPr>
              <w:rPr>
                <w:szCs w:val="22"/>
              </w:rPr>
            </w:pPr>
            <w:r>
              <w:rPr>
                <w:szCs w:val="22"/>
              </w:rPr>
              <w:t>Subcutaneous</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4BD4ECF7" w14:textId="384EC003" w:rsidR="00666911" w:rsidRDefault="00EB7E2A" w:rsidP="00EB7E2A">
            <w:pPr>
              <w:rPr>
                <w:szCs w:val="22"/>
              </w:rPr>
            </w:pPr>
            <w:r w:rsidRPr="00EB7E2A">
              <w:rPr>
                <w:szCs w:val="22"/>
              </w:rPr>
              <w:t>The recommended dose for patients 12</w:t>
            </w:r>
            <w:r w:rsidR="000D1BA4">
              <w:rPr>
                <w:szCs w:val="22"/>
              </w:rPr>
              <w:t> </w:t>
            </w:r>
            <w:r w:rsidRPr="00EB7E2A">
              <w:rPr>
                <w:szCs w:val="22"/>
              </w:rPr>
              <w:t>years of age and older, weighing at least 35</w:t>
            </w:r>
            <w:r w:rsidR="000D1BA4">
              <w:rPr>
                <w:szCs w:val="22"/>
              </w:rPr>
              <w:t> </w:t>
            </w:r>
            <w:r w:rsidRPr="00EB7E2A">
              <w:rPr>
                <w:szCs w:val="22"/>
              </w:rPr>
              <w:t>kg, is an</w:t>
            </w:r>
            <w:r>
              <w:rPr>
                <w:szCs w:val="22"/>
              </w:rPr>
              <w:t xml:space="preserve"> </w:t>
            </w:r>
            <w:r w:rsidRPr="00EB7E2A">
              <w:rPr>
                <w:szCs w:val="22"/>
              </w:rPr>
              <w:t>initial loading dose of 300</w:t>
            </w:r>
            <w:r w:rsidR="000D1BA4">
              <w:rPr>
                <w:szCs w:val="22"/>
              </w:rPr>
              <w:t> </w:t>
            </w:r>
            <w:r w:rsidRPr="00EB7E2A">
              <w:rPr>
                <w:szCs w:val="22"/>
              </w:rPr>
              <w:t>mg by subcutaneous injection followed thereafter by 150</w:t>
            </w:r>
            <w:r w:rsidR="000D1BA4">
              <w:rPr>
                <w:szCs w:val="22"/>
              </w:rPr>
              <w:t> </w:t>
            </w:r>
            <w:r w:rsidRPr="00EB7E2A">
              <w:rPr>
                <w:szCs w:val="22"/>
              </w:rPr>
              <w:t>mg by</w:t>
            </w:r>
            <w:r>
              <w:rPr>
                <w:szCs w:val="22"/>
              </w:rPr>
              <w:t xml:space="preserve"> </w:t>
            </w:r>
            <w:r w:rsidRPr="00EB7E2A">
              <w:rPr>
                <w:szCs w:val="22"/>
              </w:rPr>
              <w:t>subcutaneous injection once weekly.</w:t>
            </w:r>
          </w:p>
          <w:p w14:paraId="3D0B2D5C" w14:textId="0D2B4E58" w:rsidR="00324B33" w:rsidRPr="00BD5DBD" w:rsidRDefault="00324B33" w:rsidP="007452E8">
            <w:pPr>
              <w:rPr>
                <w:szCs w:val="22"/>
              </w:rPr>
            </w:pPr>
            <w:r w:rsidRPr="00BD5DBD">
              <w:rPr>
                <w:szCs w:val="22"/>
              </w:rPr>
              <w:t xml:space="preserve">For further information regarding dosage, </w:t>
            </w:r>
            <w:r w:rsidR="006B7126">
              <w:rPr>
                <w:szCs w:val="22"/>
              </w:rPr>
              <w:t xml:space="preserve">such as dosage </w:t>
            </w:r>
            <w:r w:rsidR="003F49EB">
              <w:rPr>
                <w:szCs w:val="22"/>
              </w:rPr>
              <w:t>adjustments during treatment, missed doses and</w:t>
            </w:r>
            <w:r w:rsidR="00EF548D">
              <w:rPr>
                <w:szCs w:val="22"/>
              </w:rPr>
              <w:t xml:space="preserve"> switching from prophylactic factor replacement therapy, </w:t>
            </w:r>
            <w:r w:rsidRPr="00BD5DBD">
              <w:rPr>
                <w:szCs w:val="22"/>
              </w:rPr>
              <w:t>refer to the Product Information</w:t>
            </w:r>
            <w:r w:rsidR="00FB19E6">
              <w:rPr>
                <w:szCs w:val="22"/>
              </w:rPr>
              <w:t xml:space="preserve"> (PI)</w:t>
            </w:r>
            <w:r w:rsidRPr="00BD5DBD">
              <w:rPr>
                <w:szCs w:val="22"/>
              </w:rPr>
              <w:t>.</w:t>
            </w:r>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t>Pregnancy category:</w:t>
            </w:r>
          </w:p>
        </w:tc>
        <w:tc>
          <w:tcPr>
            <w:tcW w:w="3423" w:type="pct"/>
          </w:tcPr>
          <w:p w14:paraId="1B9E5AD4" w14:textId="77777777" w:rsidR="00397638" w:rsidRDefault="0053377D" w:rsidP="00306E72">
            <w:r>
              <w:t xml:space="preserve">Category </w:t>
            </w:r>
            <w:r w:rsidR="00A57147">
              <w:t>D</w:t>
            </w:r>
          </w:p>
          <w:p w14:paraId="3B082EA5" w14:textId="410944BA" w:rsidR="00631466" w:rsidRDefault="00A57147" w:rsidP="00306E72">
            <w:pPr>
              <w:rPr>
                <w:szCs w:val="22"/>
              </w:rPr>
            </w:pPr>
            <w:r w:rsidRPr="00A57147">
              <w:t xml:space="preserve">Drugs which have caused, are suspected to have caused or may be expected to cause, an increased incidence of human fetal </w:t>
            </w:r>
            <w:r w:rsidRPr="00A57147">
              <w:lastRenderedPageBreak/>
              <w:t>malformations or irreversible damage. These drugs may also have adverse pharmacological effects. Accompanying texts should be consulted for further details.</w:t>
            </w:r>
          </w:p>
          <w:p w14:paraId="76497789" w14:textId="21D31CE5" w:rsidR="0017005C" w:rsidRPr="00BD5DBD" w:rsidRDefault="0070330F" w:rsidP="00306E72">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16"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7"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5" w:name="_Toc247691503"/>
      <w:bookmarkStart w:id="16" w:name="_Toc314842484"/>
      <w:bookmarkStart w:id="17" w:name="_Toc103679290"/>
      <w:bookmarkStart w:id="18" w:name="_Toc212036834"/>
      <w:r>
        <w:lastRenderedPageBreak/>
        <w:t>Product background</w:t>
      </w:r>
      <w:bookmarkEnd w:id="15"/>
      <w:bookmarkEnd w:id="16"/>
      <w:bookmarkEnd w:id="17"/>
      <w:bookmarkEnd w:id="18"/>
    </w:p>
    <w:p w14:paraId="59BF31D1" w14:textId="793E8141" w:rsidR="001500A8" w:rsidRPr="00065839" w:rsidRDefault="00324B33" w:rsidP="00065839">
      <w:r w:rsidRPr="00065839">
        <w:t xml:space="preserve">This AusPAR describes the submission by </w:t>
      </w:r>
      <w:r w:rsidR="00F82A63">
        <w:t>Pfizer Australia Pty Ltd</w:t>
      </w:r>
      <w:r w:rsidRPr="00065839">
        <w:t xml:space="preserve"> (the sponsor) to register </w:t>
      </w:r>
      <w:r w:rsidR="00CB7510" w:rsidRPr="00CB7510">
        <w:t>H</w:t>
      </w:r>
      <w:r w:rsidR="00CB7510">
        <w:t>ympavzi</w:t>
      </w:r>
      <w:r w:rsidR="00CB7510" w:rsidRPr="00CB7510">
        <w:t xml:space="preserve"> </w:t>
      </w:r>
      <w:r w:rsidR="00CB7510">
        <w:t>(</w:t>
      </w:r>
      <w:r w:rsidR="00CB7510" w:rsidRPr="00CB7510">
        <w:t>marstacimab</w:t>
      </w:r>
      <w:r w:rsidR="00CB7510">
        <w:t>)</w:t>
      </w:r>
      <w:r w:rsidR="00CB7510" w:rsidRPr="00CB7510">
        <w:t xml:space="preserve"> </w:t>
      </w:r>
      <w:r w:rsidRPr="00065839">
        <w:t>for the following proposed indication:</w:t>
      </w:r>
      <w:r w:rsidR="00D63760" w:rsidRPr="00065839">
        <w:rPr>
          <w:vertAlign w:val="superscript"/>
        </w:rPr>
        <w:footnoteReference w:id="1"/>
      </w:r>
    </w:p>
    <w:p w14:paraId="286F9C6D" w14:textId="3EEDC7A2" w:rsidR="00A97405" w:rsidRPr="00A97405" w:rsidRDefault="00A97405" w:rsidP="00AF199E">
      <w:pPr>
        <w:pStyle w:val="Indication"/>
      </w:pPr>
      <w:r w:rsidRPr="00A97405">
        <w:t>Hympavzi is indicated for routine prophylaxis to prevent or reduce the frequency of bleeding</w:t>
      </w:r>
      <w:r w:rsidR="00581E44">
        <w:t xml:space="preserve"> </w:t>
      </w:r>
      <w:r w:rsidRPr="00A97405">
        <w:t>episodes in adults and paediatric patients 12 years of age and older with:</w:t>
      </w:r>
    </w:p>
    <w:p w14:paraId="5CD0BA78" w14:textId="594036CB" w:rsidR="00A97405" w:rsidRPr="00A97405" w:rsidRDefault="00A97405" w:rsidP="00AF199E">
      <w:pPr>
        <w:pStyle w:val="Indication"/>
        <w:numPr>
          <w:ilvl w:val="0"/>
          <w:numId w:val="31"/>
        </w:numPr>
      </w:pPr>
      <w:r w:rsidRPr="00A97405">
        <w:t>haemophilia A (congenital factor VIII deficiency) without factor VIII inhibitors, or</w:t>
      </w:r>
    </w:p>
    <w:p w14:paraId="7F3C1BAC" w14:textId="2D085028" w:rsidR="00A97405" w:rsidRPr="001D111E" w:rsidRDefault="00A97405" w:rsidP="00AF199E">
      <w:pPr>
        <w:pStyle w:val="Indication"/>
        <w:numPr>
          <w:ilvl w:val="0"/>
          <w:numId w:val="31"/>
        </w:numPr>
      </w:pPr>
      <w:r w:rsidRPr="00A97405">
        <w:t>haemophilia B (congenital factor IX deficiency) without factor IX inhibitors.</w:t>
      </w:r>
    </w:p>
    <w:p w14:paraId="1E63A2AE" w14:textId="77425DD3" w:rsidR="00CB6813" w:rsidRDefault="00935F88" w:rsidP="00CB6813">
      <w:pPr>
        <w:pStyle w:val="Heading4"/>
      </w:pPr>
      <w:bookmarkStart w:id="19" w:name="_Toc212036835"/>
      <w:bookmarkStart w:id="20" w:name="_Toc314842485"/>
      <w:bookmarkStart w:id="21" w:name="_Toc247691504"/>
      <w:r>
        <w:t>C</w:t>
      </w:r>
      <w:r w:rsidR="006428C5">
        <w:t>ondition</w:t>
      </w:r>
      <w:r>
        <w:t>s</w:t>
      </w:r>
      <w:bookmarkEnd w:id="19"/>
    </w:p>
    <w:p w14:paraId="2F6B2468" w14:textId="0AB0A59F" w:rsidR="000164AF" w:rsidRDefault="00594DFD" w:rsidP="00594DFD">
      <w:pPr>
        <w:pStyle w:val="Heading5"/>
      </w:pPr>
      <w:r>
        <w:t>Coagulation pathways</w:t>
      </w:r>
    </w:p>
    <w:p w14:paraId="13C9AF1E" w14:textId="698A0541" w:rsidR="000164AF" w:rsidRPr="000164AF" w:rsidRDefault="000164AF" w:rsidP="00594DFD">
      <w:r w:rsidRPr="000164AF">
        <w:t xml:space="preserve">Coagulation is induced in response to injury via the contact activation (intrinsic) pathway and/or the tissue factor (extrinsic) pathway. Factors VIII and IX are activated as part of the intrinsic pathway and contribute through the activation of </w:t>
      </w:r>
      <w:r w:rsidR="005D0597">
        <w:t>f</w:t>
      </w:r>
      <w:r w:rsidRPr="000164AF">
        <w:t xml:space="preserve">actor X to </w:t>
      </w:r>
      <w:r w:rsidR="005D0597">
        <w:t>f</w:t>
      </w:r>
      <w:r w:rsidRPr="000164AF">
        <w:t xml:space="preserve">actor Xa. Tissue factor pathway inhibitor (TFPI) is an anticoagulant protein that acts on the tissue factor (extrinsic) pathway by inhibiting the effect of </w:t>
      </w:r>
      <w:r w:rsidR="00581E44">
        <w:t>f</w:t>
      </w:r>
      <w:r w:rsidRPr="000164AF">
        <w:t>actor Xa by its Kunitz</w:t>
      </w:r>
      <w:r w:rsidR="0013604D">
        <w:t>-</w:t>
      </w:r>
      <w:r w:rsidRPr="000164AF">
        <w:t xml:space="preserve">2 domain and inhibiting the effect of </w:t>
      </w:r>
      <w:r w:rsidR="005D0597">
        <w:t>f</w:t>
      </w:r>
      <w:r w:rsidRPr="000164AF">
        <w:t>actor VII by its Kunitz</w:t>
      </w:r>
      <w:r w:rsidR="0013604D">
        <w:t>-</w:t>
      </w:r>
      <w:r w:rsidRPr="000164AF">
        <w:t>1 domain</w:t>
      </w:r>
      <w:r w:rsidR="005618D5">
        <w:t>.</w:t>
      </w:r>
      <w:r w:rsidR="001900FE">
        <w:rPr>
          <w:rStyle w:val="FootnoteReference"/>
        </w:rPr>
        <w:footnoteReference w:id="2"/>
      </w:r>
      <w:r w:rsidRPr="000164AF">
        <w:t xml:space="preserve"> Marstacimab acts on the Kunitz</w:t>
      </w:r>
      <w:r w:rsidR="0013604D">
        <w:t>-</w:t>
      </w:r>
      <w:r w:rsidRPr="000164AF">
        <w:t xml:space="preserve">2 domain of TFPI, and therefore inhibits TFPI, and preserves the action of </w:t>
      </w:r>
      <w:r w:rsidR="005D0597">
        <w:t>f</w:t>
      </w:r>
      <w:r w:rsidRPr="000164AF">
        <w:t>actor Xa.</w:t>
      </w:r>
    </w:p>
    <w:p w14:paraId="7886F1C9" w14:textId="64B051EB" w:rsidR="00CB6813" w:rsidRDefault="00343765" w:rsidP="00594DFD">
      <w:r w:rsidRPr="000164AF">
        <w:t xml:space="preserve">Tissue factor pathway inhibitor </w:t>
      </w:r>
      <w:r w:rsidR="000164AF" w:rsidRPr="000164AF">
        <w:t xml:space="preserve">is a relatively small polypeptide that has </w:t>
      </w:r>
      <w:r w:rsidR="001C633E">
        <w:t>3</w:t>
      </w:r>
      <w:r w:rsidR="000164AF" w:rsidRPr="000164AF">
        <w:t xml:space="preserve"> isoforms, all transcribed from the same gene but with alternative mRNA splicing</w:t>
      </w:r>
      <w:r w:rsidR="005139A0">
        <w:t>.</w:t>
      </w:r>
      <w:r w:rsidR="005139A0">
        <w:rPr>
          <w:rStyle w:val="FootnoteReference"/>
        </w:rPr>
        <w:footnoteReference w:id="3"/>
      </w:r>
      <w:r w:rsidR="000164AF" w:rsidRPr="000164AF">
        <w:t xml:space="preserve"> These </w:t>
      </w:r>
      <w:r w:rsidR="00493C4B">
        <w:t>3</w:t>
      </w:r>
      <w:r w:rsidR="000164AF" w:rsidRPr="000164AF">
        <w:t xml:space="preserve"> isoforms are TFPI</w:t>
      </w:r>
      <w:r w:rsidR="00493C4B">
        <w:t>−</w:t>
      </w:r>
      <w:r w:rsidR="000164AF" w:rsidRPr="000164AF">
        <w:t>α, TFPI</w:t>
      </w:r>
      <w:r w:rsidR="00493C4B">
        <w:t>−</w:t>
      </w:r>
      <w:r w:rsidR="000164AF" w:rsidRPr="000164AF">
        <w:t>β, and glycosyl phosphatidyl inositol-anchored TFPI</w:t>
      </w:r>
      <w:r w:rsidR="000240B0">
        <w:t>−</w:t>
      </w:r>
      <w:r w:rsidR="000164AF" w:rsidRPr="000164AF">
        <w:t>β. The predominant form in humans is TFPI</w:t>
      </w:r>
      <w:r w:rsidR="000240B0">
        <w:t>−</w:t>
      </w:r>
      <w:r w:rsidR="000164AF" w:rsidRPr="000164AF">
        <w:t xml:space="preserve">α, which is attached to the surface of the endothelium. </w:t>
      </w:r>
      <w:r w:rsidR="000240B0" w:rsidRPr="000164AF">
        <w:t xml:space="preserve">Tissue factor pathway inhibitor </w:t>
      </w:r>
      <w:r w:rsidR="000164AF" w:rsidRPr="000164AF">
        <w:t>is a Kunitz</w:t>
      </w:r>
      <w:r w:rsidR="00E17818">
        <w:t>-</w:t>
      </w:r>
      <w:r w:rsidR="000164AF" w:rsidRPr="000164AF">
        <w:t xml:space="preserve">type protease inhibitor. It has </w:t>
      </w:r>
      <w:r w:rsidR="00E17818">
        <w:t>3</w:t>
      </w:r>
      <w:r w:rsidR="000164AF" w:rsidRPr="000164AF">
        <w:t xml:space="preserve"> Kunitz domains, and the Kunitz-2 domain is the target for marstacimab. By inhibiting the Kunitz-2 domain, marstacimab interferes with the function of the </w:t>
      </w:r>
      <w:r w:rsidR="00581E44">
        <w:t>f</w:t>
      </w:r>
      <w:r w:rsidR="000164AF" w:rsidRPr="000164AF">
        <w:t xml:space="preserve">actor </w:t>
      </w:r>
      <w:proofErr w:type="spellStart"/>
      <w:r w:rsidR="000164AF" w:rsidRPr="000164AF">
        <w:t>VIIa</w:t>
      </w:r>
      <w:proofErr w:type="spellEnd"/>
      <w:r w:rsidR="000164AF" w:rsidRPr="000164AF">
        <w:t>-</w:t>
      </w:r>
      <w:r w:rsidR="00581E44">
        <w:t>f</w:t>
      </w:r>
      <w:r w:rsidR="000164AF" w:rsidRPr="000164AF">
        <w:t>actor Xa complex.</w:t>
      </w:r>
    </w:p>
    <w:p w14:paraId="7AA07BF0" w14:textId="11314F4E" w:rsidR="009F1C56" w:rsidRDefault="009F1C56" w:rsidP="009F1C56">
      <w:pPr>
        <w:pStyle w:val="Heading5"/>
      </w:pPr>
      <w:r>
        <w:lastRenderedPageBreak/>
        <w:t>Haemophilia A</w:t>
      </w:r>
    </w:p>
    <w:p w14:paraId="3649136A" w14:textId="0D3D5F80" w:rsidR="006449DF" w:rsidRDefault="0040700F" w:rsidP="006449DF">
      <w:r w:rsidRPr="0040700F">
        <w:t>Haemophilia A is an X-linked recessive bleeding disorder caused by a deficiency in the activation of coagulation factor VIII</w:t>
      </w:r>
      <w:r>
        <w:t>.</w:t>
      </w:r>
      <w:r w:rsidR="00120438">
        <w:rPr>
          <w:rStyle w:val="FootnoteReference"/>
        </w:rPr>
        <w:footnoteReference w:id="4"/>
      </w:r>
      <w:r w:rsidR="006449DF">
        <w:t xml:space="preserve"> The condition is caused by mutation on the gene encoding </w:t>
      </w:r>
      <w:r w:rsidR="00831A59">
        <w:t>f</w:t>
      </w:r>
      <w:r w:rsidR="006449DF">
        <w:t xml:space="preserve">actor VIII, on chromosome Xq28. It can present with variable severity, depending upon the mutation, and the activity of </w:t>
      </w:r>
      <w:r w:rsidR="00831A59">
        <w:t>f</w:t>
      </w:r>
      <w:r w:rsidR="006449DF">
        <w:t>actor VIII. The severity of the mutation depends upon the position of the amino acid within the 3-dimensional structure of the protein, and the potential for partial correction during transcription or ribosomal frameshifting (resulting in production of functional protein). As the condition is X-linked recessive, it is predominantly males who are affected, and inheritance is through the female line.</w:t>
      </w:r>
    </w:p>
    <w:p w14:paraId="2C7A8933" w14:textId="77777777" w:rsidR="006449DF" w:rsidRDefault="006449DF" w:rsidP="006449DF">
      <w:r>
        <w:t>The severity is classified as:</w:t>
      </w:r>
    </w:p>
    <w:p w14:paraId="73EE2C23" w14:textId="51B29223" w:rsidR="006449DF" w:rsidRDefault="00BC4E8F" w:rsidP="00BC4E8F">
      <w:pPr>
        <w:pStyle w:val="ListBullet"/>
      </w:pPr>
      <w:r>
        <w:t>m</w:t>
      </w:r>
      <w:r w:rsidR="006449DF">
        <w:t>ild: levels 3</w:t>
      </w:r>
      <w:r w:rsidR="00C122A2">
        <w:t>%</w:t>
      </w:r>
      <w:r w:rsidR="006449DF">
        <w:t xml:space="preserve"> to 30% of normal; 40% of affected patients</w:t>
      </w:r>
    </w:p>
    <w:p w14:paraId="132026EA" w14:textId="4A9D2CBE" w:rsidR="006449DF" w:rsidRDefault="00BC4E8F" w:rsidP="00BC4E8F">
      <w:pPr>
        <w:pStyle w:val="ListBullet"/>
      </w:pPr>
      <w:r>
        <w:t>m</w:t>
      </w:r>
      <w:r w:rsidR="006449DF">
        <w:t xml:space="preserve">oderate: levels </w:t>
      </w:r>
      <w:r w:rsidR="00185231">
        <w:t>≥ </w:t>
      </w:r>
      <w:r w:rsidR="006449DF">
        <w:t>1</w:t>
      </w:r>
      <w:r w:rsidR="00C122A2">
        <w:t>%</w:t>
      </w:r>
      <w:r w:rsidR="006449DF">
        <w:t xml:space="preserve"> to 5% of normal: 10% of affected patients</w:t>
      </w:r>
    </w:p>
    <w:p w14:paraId="53819D92" w14:textId="21C58550" w:rsidR="006449DF" w:rsidRDefault="00BC4E8F" w:rsidP="00BC4E8F">
      <w:pPr>
        <w:pStyle w:val="ListBullet"/>
      </w:pPr>
      <w:r>
        <w:t>s</w:t>
      </w:r>
      <w:r w:rsidR="006449DF">
        <w:t>evere: levels &lt;</w:t>
      </w:r>
      <w:r w:rsidR="00FC48AF">
        <w:t> </w:t>
      </w:r>
      <w:r w:rsidR="006449DF">
        <w:t>1% of normal: 50% of affected patients</w:t>
      </w:r>
      <w:r w:rsidR="00FC48AF">
        <w:t>.</w:t>
      </w:r>
    </w:p>
    <w:p w14:paraId="2E86DD94" w14:textId="77FBF045" w:rsidR="006449DF" w:rsidRDefault="006449DF" w:rsidP="006449DF">
      <w:r>
        <w:t xml:space="preserve">The clinical signs are due to increased bleeding, with joint and muscles haemorrhages, easy bruising, increased haemorrhage after major surgery or trauma and an increased risk of </w:t>
      </w:r>
      <w:r w:rsidRPr="000F3AD4">
        <w:t>intracranial haemorrhage. Bleeding into joints (</w:t>
      </w:r>
      <w:proofErr w:type="spellStart"/>
      <w:r w:rsidRPr="000F3AD4">
        <w:t>h</w:t>
      </w:r>
      <w:r w:rsidR="000F3AD4" w:rsidRPr="000F3AD4">
        <w:t>a</w:t>
      </w:r>
      <w:r w:rsidRPr="000F3AD4">
        <w:t>emarthrosis</w:t>
      </w:r>
      <w:proofErr w:type="spellEnd"/>
      <w:r w:rsidRPr="000F3AD4">
        <w:t>) leads to joint damage</w:t>
      </w:r>
      <w:r>
        <w:t xml:space="preserve"> (degenerative arthritis), limitation of motion and permanent disability. Haemorrhage into muscles can lead to muscle necrosis, contractures and peripheral nerve damage (compartment syndrome). Heterozygous female carriers of </w:t>
      </w:r>
      <w:r w:rsidR="000705D4">
        <w:t>h</w:t>
      </w:r>
      <w:r>
        <w:t>aemophilia A have concentrations of factor VIII around 50% of normal, and in most cases have decreased coagulability without clinical signs.</w:t>
      </w:r>
    </w:p>
    <w:p w14:paraId="09125FC8" w14:textId="4234D90D" w:rsidR="009F1C56" w:rsidRDefault="006449DF" w:rsidP="006449DF">
      <w:r>
        <w:t>In Australia, in the year 2020</w:t>
      </w:r>
      <w:r w:rsidR="002C44F6">
        <w:t xml:space="preserve"> to 20</w:t>
      </w:r>
      <w:r>
        <w:t>21, there were 2621 patients with haemophilia A, which translates to a prevalence of 10.2 per 100,000 population</w:t>
      </w:r>
      <w:r w:rsidR="00120438">
        <w:t>.</w:t>
      </w:r>
      <w:r w:rsidR="00120438">
        <w:rPr>
          <w:rStyle w:val="FootnoteReference"/>
        </w:rPr>
        <w:footnoteReference w:id="5"/>
      </w:r>
      <w:r>
        <w:t xml:space="preserve"> There were 742 (28.3%) patients with severe phenotype, 248 (9.5%) with moderate, 1441 (55.0%) with mild and 190 (7.2%) unknown. There were 751 (28.7%) patients aged 0 to 19 years, 792 (30.2%) aged 20 to 39 years, 610 (23.3%) aged 40 to 59 years, 403 (15.4%) aged 60 to 79 years and 65 (2.5%) aged ≥</w:t>
      </w:r>
      <w:r w:rsidR="00C126D6">
        <w:t> </w:t>
      </w:r>
      <w:r>
        <w:t>80 years. There were 1,110 patients who received product for treatment of haemophilia A.</w:t>
      </w:r>
    </w:p>
    <w:p w14:paraId="73BD34F6" w14:textId="09F261B8" w:rsidR="00C126D6" w:rsidRDefault="00C126D6" w:rsidP="00C126D6">
      <w:pPr>
        <w:pStyle w:val="Heading5"/>
      </w:pPr>
      <w:r>
        <w:t>Haemophilia B</w:t>
      </w:r>
    </w:p>
    <w:p w14:paraId="40F84A1D" w14:textId="6E31A298" w:rsidR="00215C84" w:rsidRPr="00215C84" w:rsidRDefault="00215C84" w:rsidP="00215C84">
      <w:r w:rsidRPr="00215C84">
        <w:t xml:space="preserve">Haemophilia B, also known as Christmas Disease or </w:t>
      </w:r>
      <w:r>
        <w:t>f</w:t>
      </w:r>
      <w:r w:rsidRPr="00215C84">
        <w:t xml:space="preserve">actor IX </w:t>
      </w:r>
      <w:r>
        <w:t>d</w:t>
      </w:r>
      <w:r w:rsidRPr="00215C84">
        <w:t xml:space="preserve">eficiency, is phenotypically indistinguishable from </w:t>
      </w:r>
      <w:r>
        <w:t>h</w:t>
      </w:r>
      <w:r w:rsidRPr="00215C84">
        <w:t>aemophilia A. It is an X-linked recessive bleeding disorder caused by a deficiency in the activation of coagulation factor IX.</w:t>
      </w:r>
      <w:r w:rsidR="00120438">
        <w:rPr>
          <w:rStyle w:val="FootnoteReference"/>
        </w:rPr>
        <w:footnoteReference w:id="6"/>
      </w:r>
      <w:r w:rsidRPr="00215C84">
        <w:t xml:space="preserve"> The condition is caused by mutation on the gene encoding factor IX, on chromosome Xq27.1, which is separated from the gene encoding factor VIII by about 50 map units. There are </w:t>
      </w:r>
      <w:proofErr w:type="gramStart"/>
      <w:r w:rsidRPr="00215C84">
        <w:t>a large number of</w:t>
      </w:r>
      <w:proofErr w:type="gramEnd"/>
      <w:r w:rsidRPr="00215C84">
        <w:t xml:space="preserve"> independent mutations described, each independently leading to </w:t>
      </w:r>
      <w:r w:rsidR="00142BD5">
        <w:t>h</w:t>
      </w:r>
      <w:r w:rsidRPr="00215C84">
        <w:t>aemophilia B.</w:t>
      </w:r>
    </w:p>
    <w:p w14:paraId="104023D0" w14:textId="77777777" w:rsidR="00215C84" w:rsidRPr="00215C84" w:rsidRDefault="00215C84" w:rsidP="00215C84">
      <w:r w:rsidRPr="00215C84">
        <w:t xml:space="preserve">The severity is classified as: </w:t>
      </w:r>
    </w:p>
    <w:p w14:paraId="07AA9DE9" w14:textId="27FC63C0" w:rsidR="00215C84" w:rsidRPr="00215C84" w:rsidRDefault="00142BD5" w:rsidP="00142BD5">
      <w:pPr>
        <w:pStyle w:val="ListBullet"/>
      </w:pPr>
      <w:r>
        <w:t>m</w:t>
      </w:r>
      <w:r w:rsidR="00215C84" w:rsidRPr="00215C84">
        <w:t>ild: levels &gt;</w:t>
      </w:r>
      <w:r>
        <w:t> </w:t>
      </w:r>
      <w:r w:rsidR="00215C84" w:rsidRPr="00215C84">
        <w:t>5</w:t>
      </w:r>
      <w:r>
        <w:t>%</w:t>
      </w:r>
      <w:r w:rsidR="00215C84" w:rsidRPr="00215C84">
        <w:t xml:space="preserve"> to &lt;</w:t>
      </w:r>
      <w:r>
        <w:t> </w:t>
      </w:r>
      <w:r w:rsidR="00215C84" w:rsidRPr="00215C84">
        <w:t>40% of normal</w:t>
      </w:r>
    </w:p>
    <w:p w14:paraId="3778A1BA" w14:textId="2FA79F9C" w:rsidR="00215C84" w:rsidRPr="00215C84" w:rsidRDefault="00142BD5" w:rsidP="00142BD5">
      <w:pPr>
        <w:pStyle w:val="ListBullet"/>
      </w:pPr>
      <w:r>
        <w:lastRenderedPageBreak/>
        <w:t>m</w:t>
      </w:r>
      <w:r w:rsidR="00215C84" w:rsidRPr="00215C84">
        <w:t>oderate: levels ≥</w:t>
      </w:r>
      <w:r>
        <w:t> </w:t>
      </w:r>
      <w:r w:rsidR="00215C84" w:rsidRPr="00215C84">
        <w:t>1</w:t>
      </w:r>
      <w:r>
        <w:t>%</w:t>
      </w:r>
      <w:r w:rsidR="00215C84" w:rsidRPr="00215C84">
        <w:t xml:space="preserve"> to ≤</w:t>
      </w:r>
      <w:r>
        <w:t> </w:t>
      </w:r>
      <w:r w:rsidR="00215C84" w:rsidRPr="00215C84">
        <w:t>5% of normal</w:t>
      </w:r>
    </w:p>
    <w:p w14:paraId="29E12B3F" w14:textId="1825B0C7" w:rsidR="00215C84" w:rsidRPr="00215C84" w:rsidRDefault="00142BD5" w:rsidP="00142BD5">
      <w:pPr>
        <w:pStyle w:val="ListBullet"/>
      </w:pPr>
      <w:r>
        <w:t>s</w:t>
      </w:r>
      <w:r w:rsidR="00215C84" w:rsidRPr="00215C84">
        <w:t>evere: levels &lt;</w:t>
      </w:r>
      <w:r>
        <w:t> </w:t>
      </w:r>
      <w:r w:rsidR="00215C84" w:rsidRPr="00215C84">
        <w:t>1% of normal</w:t>
      </w:r>
      <w:r>
        <w:t>.</w:t>
      </w:r>
    </w:p>
    <w:p w14:paraId="61439A98" w14:textId="51AA82D0" w:rsidR="009F1C56" w:rsidRDefault="00215C84" w:rsidP="00215C84">
      <w:r w:rsidRPr="00215C84">
        <w:t>In Australia, in the year 2020</w:t>
      </w:r>
      <w:r w:rsidR="00C122A2">
        <w:t xml:space="preserve"> to 20</w:t>
      </w:r>
      <w:r w:rsidRPr="00215C84">
        <w:t>21, there were 622 patients with haemophilia B, which translates to a prevalence of 2.5 per 100,000 population</w:t>
      </w:r>
      <w:r w:rsidR="00120438">
        <w:t>.</w:t>
      </w:r>
      <w:r w:rsidR="00120438">
        <w:rPr>
          <w:rStyle w:val="FootnoteReference"/>
        </w:rPr>
        <w:footnoteReference w:id="7"/>
      </w:r>
      <w:r w:rsidRPr="00215C84">
        <w:t xml:space="preserve"> There were 113 (18.2%) patients with severe phenotype, 134 (21.5%) with moderate, 312 (50.2%) with mild and 63 (10.1%) unknown. There were 162 (26.0%) patients aged 0 to 19 years, 180 (28.9%) aged 20 to 39 years, 162 (26.0%) aged 40 to 59 years, 103 (16.6%) aged 60 to 79 years and 15 (2.4%) aged ≥</w:t>
      </w:r>
      <w:r w:rsidR="008C70AD">
        <w:t> </w:t>
      </w:r>
      <w:r w:rsidRPr="00215C84">
        <w:t>80 years. There were 251 patients who received product for treatment of haemophilia B.</w:t>
      </w:r>
    </w:p>
    <w:p w14:paraId="255E083A" w14:textId="77777777" w:rsidR="00CB6813" w:rsidRDefault="00CB6813" w:rsidP="00CB6813">
      <w:pPr>
        <w:pStyle w:val="Heading4"/>
      </w:pPr>
      <w:bookmarkStart w:id="22" w:name="_Toc212036836"/>
      <w:r>
        <w:t>Current treatment options</w:t>
      </w:r>
      <w:bookmarkEnd w:id="22"/>
    </w:p>
    <w:p w14:paraId="640B0B28" w14:textId="77777777" w:rsidR="00467F0A" w:rsidRDefault="00467F0A" w:rsidP="00467F0A">
      <w:pPr>
        <w:pStyle w:val="Heading5"/>
      </w:pPr>
      <w:r>
        <w:t>Haemophilia A</w:t>
      </w:r>
    </w:p>
    <w:p w14:paraId="3E23A115" w14:textId="77777777" w:rsidR="00467F0A" w:rsidRPr="00467F0A" w:rsidRDefault="00467F0A" w:rsidP="00B86CAC">
      <w:r w:rsidRPr="00467F0A">
        <w:t xml:space="preserve">The </w:t>
      </w:r>
      <w:proofErr w:type="gramStart"/>
      <w:r w:rsidRPr="00467F0A">
        <w:t>most commonly used</w:t>
      </w:r>
      <w:proofErr w:type="gramEnd"/>
      <w:r w:rsidRPr="00467F0A">
        <w:t xml:space="preserve"> products are recombinant human factor VIII. These can be used prophylactically (either on a regular basis or prior to surgery) or as treatment for a haemorrhage. The frequency of prophylactic treatment depends upon the severity and frequency of bleeding. The aim of prophylactic treatment is to prevent bleeding and joint destruction and to preserve normal musculoskeletal function. Treatment does not reverse established joint damage. </w:t>
      </w:r>
    </w:p>
    <w:p w14:paraId="77E787DB" w14:textId="17DBCDC8" w:rsidR="00467F0A" w:rsidRPr="00467F0A" w:rsidRDefault="00467F0A" w:rsidP="00B86CAC">
      <w:r w:rsidRPr="00467F0A">
        <w:t>Previously, haemophilia A had been treated with factor VIII concentrates from pooled human serum, obtained from blood donors. This had led to a high rate of transmitted infections, including hepatitis C and AIDS. Hence, the availability of human factor VIII from genetically modified organisms was a major advance. However, human plasma derived products are still available. The Guidelines for Management of Haemophilia in Australia recommend using recombinant products in preference to human plasma derived products</w:t>
      </w:r>
      <w:r w:rsidR="00120438">
        <w:t>.</w:t>
      </w:r>
      <w:r w:rsidR="00120438">
        <w:rPr>
          <w:rStyle w:val="FootnoteReference"/>
        </w:rPr>
        <w:footnoteReference w:id="8"/>
      </w:r>
    </w:p>
    <w:p w14:paraId="0853C59D" w14:textId="69451D6B" w:rsidR="00467F0A" w:rsidRPr="00467F0A" w:rsidRDefault="00467F0A" w:rsidP="00B86CAC">
      <w:r w:rsidRPr="00467F0A">
        <w:t>Patients with haemophilia A who have developed factor VIII inhibitors require alternative treatments. These include recombinant human factor VII and Factor Eight Inhibitor Bypassing Fraction (</w:t>
      </w:r>
      <w:proofErr w:type="spellStart"/>
      <w:r w:rsidRPr="00467F0A">
        <w:t>F</w:t>
      </w:r>
      <w:r w:rsidR="00120438">
        <w:t>eiba</w:t>
      </w:r>
      <w:proofErr w:type="spellEnd"/>
      <w:r w:rsidRPr="00467F0A">
        <w:t>).</w:t>
      </w:r>
    </w:p>
    <w:p w14:paraId="10D0BEA0" w14:textId="23EB47DF" w:rsidR="00467F0A" w:rsidRPr="00467F0A" w:rsidRDefault="00467F0A" w:rsidP="00B86CAC">
      <w:r w:rsidRPr="00467F0A">
        <w:t xml:space="preserve">The blood factor replacement products, including recombinant factor VIII are administered by intravenous infusion. This requires intravenous access, which is commonly provided by indwelling central venous access devices. These devices are prone to obstruction from clots, and to bacterial colonisation. Hence, they have a limited lifespan and require replacement. Intermittent intravenous access can be painful and distressing to the patient, and result in </w:t>
      </w:r>
      <w:r w:rsidR="002F1381">
        <w:t>‘</w:t>
      </w:r>
      <w:proofErr w:type="spellStart"/>
      <w:r w:rsidRPr="00467F0A">
        <w:t>needlephobia</w:t>
      </w:r>
      <w:proofErr w:type="spellEnd"/>
      <w:r w:rsidR="002F1381">
        <w:t>’</w:t>
      </w:r>
      <w:r w:rsidRPr="00467F0A">
        <w:t>.</w:t>
      </w:r>
    </w:p>
    <w:p w14:paraId="332DC882" w14:textId="25919ABE" w:rsidR="00467F0A" w:rsidRPr="00467F0A" w:rsidRDefault="00467F0A" w:rsidP="00B86CAC">
      <w:r w:rsidRPr="00467F0A">
        <w:t xml:space="preserve">An alternative treatment is </w:t>
      </w:r>
      <w:proofErr w:type="spellStart"/>
      <w:r w:rsidRPr="00467F0A">
        <w:t>emicizumab</w:t>
      </w:r>
      <w:proofErr w:type="spellEnd"/>
      <w:r w:rsidRPr="00467F0A">
        <w:t xml:space="preserve">. </w:t>
      </w:r>
      <w:proofErr w:type="spellStart"/>
      <w:r w:rsidRPr="00467F0A">
        <w:t>Emicizumab</w:t>
      </w:r>
      <w:proofErr w:type="spellEnd"/>
      <w:r w:rsidRPr="00467F0A">
        <w:t xml:space="preserve"> is a humanized bispecific monoclonal antibody that restores the function of missing activated factor VIII by bridging factor </w:t>
      </w:r>
      <w:proofErr w:type="spellStart"/>
      <w:r w:rsidRPr="00467F0A">
        <w:t>IXa</w:t>
      </w:r>
      <w:proofErr w:type="spellEnd"/>
      <w:r w:rsidRPr="00467F0A">
        <w:t xml:space="preserve"> and factor X, mimicking activated factor </w:t>
      </w:r>
      <w:proofErr w:type="spellStart"/>
      <w:r w:rsidRPr="00467F0A">
        <w:t>VIIIa</w:t>
      </w:r>
      <w:proofErr w:type="spellEnd"/>
      <w:r w:rsidRPr="00467F0A">
        <w:t xml:space="preserve"> independently of </w:t>
      </w:r>
      <w:r w:rsidR="00261374">
        <w:t>f</w:t>
      </w:r>
      <w:r w:rsidRPr="00467F0A">
        <w:t xml:space="preserve">actor VIII levels. It can be used in patients with factor VIII inhibitors. It is administered by subcutaneous injection. It can be administered weekly, every </w:t>
      </w:r>
      <w:r w:rsidR="00261374">
        <w:t>2</w:t>
      </w:r>
      <w:r w:rsidRPr="00467F0A">
        <w:t xml:space="preserve"> weeks or every </w:t>
      </w:r>
      <w:r w:rsidR="00261374">
        <w:t>4</w:t>
      </w:r>
      <w:r w:rsidRPr="00467F0A">
        <w:t xml:space="preserve"> weeks.</w:t>
      </w:r>
    </w:p>
    <w:p w14:paraId="7E71E888" w14:textId="5DEA211F" w:rsidR="00467F0A" w:rsidRDefault="00467F0A" w:rsidP="00B86CAC">
      <w:r w:rsidRPr="00467F0A">
        <w:t>Treatments currently approved in Australia for use in patients with haemophilia A include:</w:t>
      </w:r>
    </w:p>
    <w:p w14:paraId="501FB4F4" w14:textId="77777777" w:rsidR="00FF499A" w:rsidRPr="00467F0A" w:rsidRDefault="00FF499A" w:rsidP="00FF499A">
      <w:pPr>
        <w:pStyle w:val="ListBullet"/>
      </w:pPr>
      <w:proofErr w:type="spellStart"/>
      <w:r w:rsidRPr="00467F0A">
        <w:t>Biostate</w:t>
      </w:r>
      <w:proofErr w:type="spellEnd"/>
      <w:r>
        <w:t xml:space="preserve">, including </w:t>
      </w:r>
      <w:r w:rsidRPr="00467F0A">
        <w:t xml:space="preserve">human </w:t>
      </w:r>
      <w:r>
        <w:t xml:space="preserve">coagulation </w:t>
      </w:r>
      <w:r w:rsidRPr="00467F0A">
        <w:t>factor VIII, manufactured from New Zealand blood donors</w:t>
      </w:r>
      <w:r>
        <w:t>, approved in 2000</w:t>
      </w:r>
    </w:p>
    <w:p w14:paraId="1DB5939E" w14:textId="78594FB9" w:rsidR="00DC39B4" w:rsidRDefault="00D11404" w:rsidP="00BE2C01">
      <w:pPr>
        <w:pStyle w:val="ListBullet"/>
      </w:pPr>
      <w:r w:rsidRPr="00467F0A">
        <w:lastRenderedPageBreak/>
        <w:t>recombinant human factor VIII</w:t>
      </w:r>
    </w:p>
    <w:p w14:paraId="17CEA0A2" w14:textId="77777777" w:rsidR="00B71982" w:rsidRDefault="00634E5F" w:rsidP="00B71982">
      <w:pPr>
        <w:pStyle w:val="ListBullet2"/>
      </w:pPr>
      <w:proofErr w:type="spellStart"/>
      <w:r>
        <w:t>Advate</w:t>
      </w:r>
      <w:proofErr w:type="spellEnd"/>
      <w:r>
        <w:t xml:space="preserve"> (</w:t>
      </w:r>
      <w:proofErr w:type="spellStart"/>
      <w:r w:rsidR="00467F0A" w:rsidRPr="00467F0A">
        <w:t>octocog</w:t>
      </w:r>
      <w:proofErr w:type="spellEnd"/>
      <w:r w:rsidR="00467F0A" w:rsidRPr="00467F0A">
        <w:t xml:space="preserve"> al</w:t>
      </w:r>
      <w:r w:rsidR="002F0A1A">
        <w:t xml:space="preserve">fa </w:t>
      </w:r>
      <w:r>
        <w:t>(</w:t>
      </w:r>
      <w:proofErr w:type="spellStart"/>
      <w:r>
        <w:t>rch</w:t>
      </w:r>
      <w:proofErr w:type="spellEnd"/>
      <w:r>
        <w:t>)</w:t>
      </w:r>
      <w:r w:rsidR="00885865">
        <w:t>, approved 2005</w:t>
      </w:r>
    </w:p>
    <w:p w14:paraId="4CAF842F" w14:textId="77777777" w:rsidR="00A113FD" w:rsidRDefault="00467F0A" w:rsidP="00A113FD">
      <w:pPr>
        <w:pStyle w:val="ListBullet2"/>
      </w:pPr>
      <w:proofErr w:type="spellStart"/>
      <w:r w:rsidRPr="00467F0A">
        <w:t>Xyntha</w:t>
      </w:r>
      <w:proofErr w:type="spellEnd"/>
      <w:r w:rsidRPr="00467F0A">
        <w:t xml:space="preserve"> (</w:t>
      </w:r>
      <w:proofErr w:type="spellStart"/>
      <w:r w:rsidRPr="00467F0A">
        <w:t>moroctocog</w:t>
      </w:r>
      <w:proofErr w:type="spellEnd"/>
      <w:r w:rsidRPr="00467F0A">
        <w:t xml:space="preserve"> al</w:t>
      </w:r>
      <w:r w:rsidR="00D65249">
        <w:t>fa</w:t>
      </w:r>
      <w:r w:rsidRPr="00467F0A">
        <w:t xml:space="preserve"> [</w:t>
      </w:r>
      <w:proofErr w:type="spellStart"/>
      <w:r w:rsidRPr="00467F0A">
        <w:t>rch</w:t>
      </w:r>
      <w:proofErr w:type="spellEnd"/>
      <w:r w:rsidRPr="00467F0A">
        <w:t xml:space="preserve">], </w:t>
      </w:r>
      <w:r w:rsidR="00B71982">
        <w:t>approved 2009</w:t>
      </w:r>
    </w:p>
    <w:p w14:paraId="6F7E34C9" w14:textId="2419D1E6" w:rsidR="00467F0A" w:rsidRPr="00975429" w:rsidRDefault="00467F0A" w:rsidP="000326DE">
      <w:pPr>
        <w:pStyle w:val="ListBullet2"/>
      </w:pPr>
      <w:r w:rsidRPr="00975429">
        <w:t xml:space="preserve">Eloctate </w:t>
      </w:r>
      <w:r w:rsidR="00D326B1">
        <w:t>(</w:t>
      </w:r>
      <w:proofErr w:type="spellStart"/>
      <w:r w:rsidRPr="00975429">
        <w:t>efmoroctocog</w:t>
      </w:r>
      <w:proofErr w:type="spellEnd"/>
      <w:r w:rsidRPr="00975429">
        <w:t xml:space="preserve"> alfa [</w:t>
      </w:r>
      <w:proofErr w:type="spellStart"/>
      <w:r w:rsidRPr="00975429">
        <w:t>rhu</w:t>
      </w:r>
      <w:proofErr w:type="spellEnd"/>
      <w:r w:rsidRPr="00975429">
        <w:t>]</w:t>
      </w:r>
      <w:r w:rsidR="000326DE" w:rsidRPr="00975429">
        <w:t>)</w:t>
      </w:r>
      <w:r w:rsidRPr="00975429">
        <w:t xml:space="preserve">, </w:t>
      </w:r>
      <w:r w:rsidR="00AF234F" w:rsidRPr="00975429">
        <w:t>approved 2014</w:t>
      </w:r>
    </w:p>
    <w:p w14:paraId="376ECE64" w14:textId="643AFA84" w:rsidR="00AF234F" w:rsidRPr="00975429" w:rsidRDefault="00AF234F" w:rsidP="00AF234F">
      <w:pPr>
        <w:pStyle w:val="ListBullet2"/>
      </w:pPr>
      <w:proofErr w:type="spellStart"/>
      <w:r w:rsidRPr="00975429">
        <w:t>Adynovate</w:t>
      </w:r>
      <w:proofErr w:type="spellEnd"/>
      <w:r w:rsidRPr="00975429">
        <w:t>, (</w:t>
      </w:r>
      <w:proofErr w:type="spellStart"/>
      <w:r w:rsidRPr="00975429">
        <w:t>rurioctocog</w:t>
      </w:r>
      <w:proofErr w:type="spellEnd"/>
      <w:r w:rsidRPr="00975429">
        <w:t xml:space="preserve"> alfa pegol [rch]), approved 2017</w:t>
      </w:r>
    </w:p>
    <w:p w14:paraId="6022927E" w14:textId="64BB9810" w:rsidR="00467F0A" w:rsidRPr="00467F0A" w:rsidRDefault="00467F0A" w:rsidP="00BE2C01">
      <w:pPr>
        <w:pStyle w:val="ListBullet"/>
      </w:pPr>
      <w:proofErr w:type="spellStart"/>
      <w:r w:rsidRPr="00467F0A">
        <w:t>F</w:t>
      </w:r>
      <w:r w:rsidR="00365DF9">
        <w:t>eiba</w:t>
      </w:r>
      <w:proofErr w:type="spellEnd"/>
      <w:r w:rsidR="00365DF9">
        <w:t>-NF</w:t>
      </w:r>
      <w:r w:rsidRPr="00467F0A">
        <w:t xml:space="preserve"> (factor VIII inhibitor bypassing faction): used in patients who have acquired inhibitors </w:t>
      </w:r>
      <w:proofErr w:type="gramStart"/>
      <w:r w:rsidRPr="00467F0A">
        <w:t>during the course of</w:t>
      </w:r>
      <w:proofErr w:type="gramEnd"/>
      <w:r w:rsidRPr="00467F0A">
        <w:t xml:space="preserve"> treatment for haemophilia A. FEIBA results in the generation of Xa and thrombin without the help of the factor </w:t>
      </w:r>
      <w:proofErr w:type="spellStart"/>
      <w:r w:rsidRPr="00467F0A">
        <w:t>VIIIa</w:t>
      </w:r>
      <w:r w:rsidR="006B03AE">
        <w:t>−</w:t>
      </w:r>
      <w:r w:rsidRPr="00467F0A">
        <w:t>IXa</w:t>
      </w:r>
      <w:proofErr w:type="spellEnd"/>
      <w:r w:rsidRPr="00467F0A">
        <w:t xml:space="preserve"> complex, thereby bypassing the inhibitory action of factor VIII (or factor IX) inhibitors</w:t>
      </w:r>
      <w:r w:rsidR="00365DF9">
        <w:t>; approved in 2007</w:t>
      </w:r>
    </w:p>
    <w:p w14:paraId="295AC3BE" w14:textId="6AECD524" w:rsidR="00467F0A" w:rsidRPr="00467F0A" w:rsidRDefault="00467F0A" w:rsidP="00BE2C01">
      <w:pPr>
        <w:pStyle w:val="ListBullet"/>
      </w:pPr>
      <w:proofErr w:type="spellStart"/>
      <w:r w:rsidRPr="00467F0A">
        <w:t>NovoSeven</w:t>
      </w:r>
      <w:proofErr w:type="spellEnd"/>
      <w:r w:rsidR="00C1740A">
        <w:t xml:space="preserve"> RT</w:t>
      </w:r>
      <w:r w:rsidRPr="00467F0A">
        <w:t xml:space="preserve"> (</w:t>
      </w:r>
      <w:r w:rsidR="00A75A25">
        <w:t xml:space="preserve">activated </w:t>
      </w:r>
      <w:proofErr w:type="spellStart"/>
      <w:r w:rsidRPr="00467F0A">
        <w:t>eptacog</w:t>
      </w:r>
      <w:proofErr w:type="spellEnd"/>
      <w:r w:rsidRPr="00467F0A">
        <w:t xml:space="preserve"> al</w:t>
      </w:r>
      <w:r w:rsidR="00DE432F">
        <w:t>fa</w:t>
      </w:r>
      <w:r w:rsidRPr="00467F0A">
        <w:t xml:space="preserve"> [</w:t>
      </w:r>
      <w:proofErr w:type="spellStart"/>
      <w:r w:rsidRPr="00467F0A">
        <w:t>bhk</w:t>
      </w:r>
      <w:proofErr w:type="spellEnd"/>
      <w:r w:rsidRPr="00467F0A">
        <w:t>])</w:t>
      </w:r>
      <w:r w:rsidR="00222CE0">
        <w:t>, a</w:t>
      </w:r>
      <w:r w:rsidRPr="00467F0A">
        <w:t xml:space="preserve"> recombinant factor VII, used in patients who have acquired inhibitors of factor VIII</w:t>
      </w:r>
      <w:r w:rsidR="00D633B6">
        <w:t xml:space="preserve"> or factor </w:t>
      </w:r>
      <w:r w:rsidR="00A379F1">
        <w:t>IX</w:t>
      </w:r>
      <w:r w:rsidR="00222CE0">
        <w:t>, approved in 2013</w:t>
      </w:r>
    </w:p>
    <w:p w14:paraId="1A140CF1" w14:textId="1BBE20E1" w:rsidR="00467F0A" w:rsidRPr="00467F0A" w:rsidRDefault="00467F0A" w:rsidP="00BE2C01">
      <w:pPr>
        <w:pStyle w:val="ListBullet"/>
      </w:pPr>
      <w:proofErr w:type="spellStart"/>
      <w:r w:rsidRPr="00467F0A">
        <w:t>Hemlibra</w:t>
      </w:r>
      <w:proofErr w:type="spellEnd"/>
      <w:r w:rsidRPr="00467F0A">
        <w:t xml:space="preserve"> (</w:t>
      </w:r>
      <w:proofErr w:type="spellStart"/>
      <w:r w:rsidRPr="00467F0A">
        <w:t>emicizumab</w:t>
      </w:r>
      <w:proofErr w:type="spellEnd"/>
      <w:r w:rsidRPr="00467F0A">
        <w:t xml:space="preserve"> [</w:t>
      </w:r>
      <w:proofErr w:type="spellStart"/>
      <w:r w:rsidRPr="00467F0A">
        <w:t>rch</w:t>
      </w:r>
      <w:proofErr w:type="spellEnd"/>
      <w:r w:rsidRPr="00467F0A">
        <w:t>])</w:t>
      </w:r>
      <w:r w:rsidR="00266FC0">
        <w:t>, approved 2018.</w:t>
      </w:r>
    </w:p>
    <w:p w14:paraId="04A0A21D" w14:textId="0A193263" w:rsidR="00CC27D9" w:rsidRDefault="00CC27D9" w:rsidP="00CC27D9">
      <w:pPr>
        <w:pStyle w:val="Heading5"/>
      </w:pPr>
      <w:r>
        <w:t xml:space="preserve">Haemophilia </w:t>
      </w:r>
      <w:r w:rsidR="0022605D">
        <w:t>B</w:t>
      </w:r>
    </w:p>
    <w:p w14:paraId="24EE7D50" w14:textId="06089E32" w:rsidR="003279AA" w:rsidRPr="003279AA" w:rsidRDefault="003279AA" w:rsidP="003279AA">
      <w:r w:rsidRPr="003279AA">
        <w:t xml:space="preserve">The principles of treating </w:t>
      </w:r>
      <w:r>
        <w:t>h</w:t>
      </w:r>
      <w:r w:rsidRPr="003279AA">
        <w:t xml:space="preserve">aemophilia B are the same as for </w:t>
      </w:r>
      <w:r>
        <w:t>h</w:t>
      </w:r>
      <w:r w:rsidRPr="003279AA">
        <w:t xml:space="preserve">aemophilia A, but the specific products used differ. The </w:t>
      </w:r>
      <w:proofErr w:type="gramStart"/>
      <w:r w:rsidRPr="003279AA">
        <w:t>most commonly used</w:t>
      </w:r>
      <w:proofErr w:type="gramEnd"/>
      <w:r w:rsidRPr="003279AA">
        <w:t xml:space="preserve"> products are recombinant human factor IX products. Products used in Australia for treating Haemophilia B include: </w:t>
      </w:r>
    </w:p>
    <w:p w14:paraId="2FECA8A3" w14:textId="01546510" w:rsidR="00BE6B62" w:rsidRPr="003279AA" w:rsidRDefault="00BE6B62" w:rsidP="00BE6B62">
      <w:pPr>
        <w:pStyle w:val="ListBullet"/>
      </w:pPr>
      <w:proofErr w:type="spellStart"/>
      <w:r w:rsidRPr="003279AA">
        <w:t>MonoFIX</w:t>
      </w:r>
      <w:proofErr w:type="spellEnd"/>
      <w:r w:rsidRPr="003279AA">
        <w:t>-VF (purified, plasma</w:t>
      </w:r>
      <w:r w:rsidR="007307C5">
        <w:t>-</w:t>
      </w:r>
      <w:r w:rsidRPr="003279AA">
        <w:t xml:space="preserve">derived </w:t>
      </w:r>
      <w:r>
        <w:t>f</w:t>
      </w:r>
      <w:r w:rsidRPr="003279AA">
        <w:t>actor IX)</w:t>
      </w:r>
      <w:r>
        <w:t>, approved 2005</w:t>
      </w:r>
    </w:p>
    <w:p w14:paraId="6C4A31D0" w14:textId="0039FCBC" w:rsidR="003279AA" w:rsidRPr="003279AA" w:rsidRDefault="003279AA" w:rsidP="003279AA">
      <w:pPr>
        <w:pStyle w:val="ListBullet"/>
      </w:pPr>
      <w:proofErr w:type="spellStart"/>
      <w:r w:rsidRPr="003279AA">
        <w:t>BeneFIX</w:t>
      </w:r>
      <w:proofErr w:type="spellEnd"/>
      <w:r w:rsidR="00447A57">
        <w:t xml:space="preserve"> (</w:t>
      </w:r>
      <w:proofErr w:type="spellStart"/>
      <w:r w:rsidR="00447A57">
        <w:t>nonacog</w:t>
      </w:r>
      <w:proofErr w:type="spellEnd"/>
      <w:r w:rsidR="00447A57">
        <w:t xml:space="preserve"> alfa</w:t>
      </w:r>
      <w:r w:rsidR="007D01C8">
        <w:t>)</w:t>
      </w:r>
      <w:r w:rsidR="00911907">
        <w:t xml:space="preserve">, a </w:t>
      </w:r>
      <w:r w:rsidRPr="003279AA">
        <w:t xml:space="preserve">recombinant </w:t>
      </w:r>
      <w:r w:rsidR="00911907">
        <w:t>f</w:t>
      </w:r>
      <w:r w:rsidRPr="003279AA">
        <w:t>actor IX</w:t>
      </w:r>
      <w:r w:rsidR="006C338F">
        <w:t xml:space="preserve"> approved 2007</w:t>
      </w:r>
    </w:p>
    <w:p w14:paraId="7565EAE6" w14:textId="6D32E090" w:rsidR="003279AA" w:rsidRPr="003279AA" w:rsidRDefault="003279AA" w:rsidP="003279AA">
      <w:pPr>
        <w:pStyle w:val="ListBullet"/>
      </w:pPr>
      <w:proofErr w:type="spellStart"/>
      <w:r w:rsidRPr="003279AA">
        <w:t>Rixubis</w:t>
      </w:r>
      <w:proofErr w:type="spellEnd"/>
      <w:r w:rsidRPr="003279AA">
        <w:t xml:space="preserve"> (</w:t>
      </w:r>
      <w:proofErr w:type="spellStart"/>
      <w:r w:rsidRPr="003279AA">
        <w:t>nonacog</w:t>
      </w:r>
      <w:proofErr w:type="spellEnd"/>
      <w:r w:rsidRPr="003279AA">
        <w:t xml:space="preserve"> gamma [</w:t>
      </w:r>
      <w:proofErr w:type="spellStart"/>
      <w:r w:rsidRPr="003279AA">
        <w:t>rch</w:t>
      </w:r>
      <w:proofErr w:type="spellEnd"/>
      <w:r w:rsidRPr="003279AA">
        <w:t>]</w:t>
      </w:r>
      <w:r w:rsidR="00325AC0">
        <w:t>), approved 2014</w:t>
      </w:r>
    </w:p>
    <w:p w14:paraId="08ECCCD0" w14:textId="0EB8A1C9" w:rsidR="003279AA" w:rsidRPr="00A57FA0" w:rsidRDefault="003279AA" w:rsidP="003279AA">
      <w:pPr>
        <w:pStyle w:val="ListBullet"/>
      </w:pPr>
      <w:proofErr w:type="spellStart"/>
      <w:r w:rsidRPr="003279AA">
        <w:t>Alprolix</w:t>
      </w:r>
      <w:proofErr w:type="spellEnd"/>
      <w:r w:rsidRPr="003279AA">
        <w:t xml:space="preserve"> (</w:t>
      </w:r>
      <w:proofErr w:type="spellStart"/>
      <w:r w:rsidRPr="003279AA">
        <w:t>eftrenonacog</w:t>
      </w:r>
      <w:proofErr w:type="spellEnd"/>
      <w:r w:rsidRPr="003279AA">
        <w:t xml:space="preserve"> alfa</w:t>
      </w:r>
      <w:r w:rsidR="00887F25">
        <w:t xml:space="preserve"> [</w:t>
      </w:r>
      <w:proofErr w:type="spellStart"/>
      <w:r w:rsidR="00887F25">
        <w:t>rhu</w:t>
      </w:r>
      <w:proofErr w:type="spellEnd"/>
      <w:r w:rsidR="00887F25">
        <w:t>])</w:t>
      </w:r>
      <w:r w:rsidRPr="003279AA">
        <w:t xml:space="preserve">, a long-acting, fully recombinant, fusion protein comprising human coagulation factor IX (FIX) covalently linked to the Fc domain of human </w:t>
      </w:r>
      <w:r w:rsidRPr="00A57FA0">
        <w:t>IgG1</w:t>
      </w:r>
    </w:p>
    <w:p w14:paraId="486F2882" w14:textId="1FEA9C27" w:rsidR="00A75A25" w:rsidRPr="00467F0A" w:rsidRDefault="003279AA" w:rsidP="00A75A25">
      <w:pPr>
        <w:pStyle w:val="ListBullet"/>
      </w:pPr>
      <w:proofErr w:type="spellStart"/>
      <w:r w:rsidRPr="003279AA">
        <w:t>NovoSeven</w:t>
      </w:r>
      <w:proofErr w:type="spellEnd"/>
      <w:r w:rsidRPr="003279AA">
        <w:t xml:space="preserve"> </w:t>
      </w:r>
      <w:r w:rsidR="00D603FD">
        <w:t xml:space="preserve">RT </w:t>
      </w:r>
      <w:r w:rsidR="00A75A25" w:rsidRPr="00467F0A">
        <w:t>(</w:t>
      </w:r>
      <w:r w:rsidR="00A75A25">
        <w:t xml:space="preserve">activated </w:t>
      </w:r>
      <w:proofErr w:type="spellStart"/>
      <w:r w:rsidR="00A75A25" w:rsidRPr="00467F0A">
        <w:t>eptacog</w:t>
      </w:r>
      <w:proofErr w:type="spellEnd"/>
      <w:r w:rsidR="00A75A25" w:rsidRPr="00467F0A">
        <w:t xml:space="preserve"> al</w:t>
      </w:r>
      <w:r w:rsidR="00A75A25">
        <w:t>fa</w:t>
      </w:r>
      <w:r w:rsidR="00A75A25" w:rsidRPr="00467F0A">
        <w:t xml:space="preserve"> [</w:t>
      </w:r>
      <w:proofErr w:type="spellStart"/>
      <w:r w:rsidR="00A75A25" w:rsidRPr="00467F0A">
        <w:t>bhk</w:t>
      </w:r>
      <w:proofErr w:type="spellEnd"/>
      <w:r w:rsidR="00A75A25" w:rsidRPr="00467F0A">
        <w:t>])</w:t>
      </w:r>
      <w:r w:rsidR="00A75A25">
        <w:t>, a</w:t>
      </w:r>
      <w:r w:rsidR="00A75A25" w:rsidRPr="00467F0A">
        <w:t xml:space="preserve"> recombinant factor VII, used in patients who have acquired inhibitors of factor VIII</w:t>
      </w:r>
      <w:r w:rsidR="00D633B6">
        <w:t xml:space="preserve"> </w:t>
      </w:r>
      <w:r w:rsidR="00A379F1">
        <w:t>or</w:t>
      </w:r>
      <w:r w:rsidR="00D633B6">
        <w:t xml:space="preserve"> factor IX</w:t>
      </w:r>
      <w:r w:rsidR="00A75A25">
        <w:t>, approved in 2013</w:t>
      </w:r>
    </w:p>
    <w:p w14:paraId="5FC38B76" w14:textId="609CD75C" w:rsidR="00344381" w:rsidRDefault="00344381" w:rsidP="00344381">
      <w:pPr>
        <w:pStyle w:val="Heading5"/>
      </w:pPr>
      <w:r>
        <w:t>TFPI inhibitors</w:t>
      </w:r>
    </w:p>
    <w:p w14:paraId="6BCA16B1" w14:textId="42C1335E" w:rsidR="00344381" w:rsidRDefault="00344381" w:rsidP="00BA4177">
      <w:proofErr w:type="spellStart"/>
      <w:r>
        <w:t>Concizumab</w:t>
      </w:r>
      <w:proofErr w:type="spellEnd"/>
      <w:r>
        <w:t xml:space="preserve"> (</w:t>
      </w:r>
      <w:proofErr w:type="spellStart"/>
      <w:r>
        <w:t>A</w:t>
      </w:r>
      <w:r w:rsidR="003056EA">
        <w:t>lhemo</w:t>
      </w:r>
      <w:proofErr w:type="spellEnd"/>
      <w:r w:rsidR="003056EA">
        <w:t>; approved 2023</w:t>
      </w:r>
      <w:r>
        <w:t>) is an antibody against TFPI that binds to the Kunitz</w:t>
      </w:r>
      <w:r w:rsidR="0067639D">
        <w:t>-</w:t>
      </w:r>
      <w:r>
        <w:t xml:space="preserve">2 domain of TFPI and inhibits the actions of TFPI. </w:t>
      </w:r>
      <w:r w:rsidR="0067639D">
        <w:t xml:space="preserve">This medicine is </w:t>
      </w:r>
      <w:r>
        <w:t xml:space="preserve">approved in Australia for the indication </w:t>
      </w:r>
      <w:r w:rsidR="0067639D">
        <w:t>‘</w:t>
      </w:r>
      <w:proofErr w:type="spellStart"/>
      <w:r w:rsidRPr="00BA4177">
        <w:rPr>
          <w:i/>
          <w:iCs/>
        </w:rPr>
        <w:t>Alhemo</w:t>
      </w:r>
      <w:proofErr w:type="spellEnd"/>
      <w:r w:rsidRPr="00BA4177">
        <w:rPr>
          <w:i/>
          <w:iCs/>
        </w:rPr>
        <w:t xml:space="preserve"> is indicated where prophylaxis is required to prevent or reduce the frequency of bleeding in patients at least 12 years of age who have haemophilia B (congenital factor IX [FIX] deficiency) with FIX inhibitors</w:t>
      </w:r>
      <w:r w:rsidR="00BA4177" w:rsidRPr="00BA4177">
        <w:rPr>
          <w:i/>
          <w:iCs/>
        </w:rPr>
        <w:t>, haemophilia A (congenital factor VIII [FVIII] deficiency) and haemophilia A (congenital factor VIII [FVIII] deficiency) with FVIII inhibitors</w:t>
      </w:r>
      <w:r w:rsidR="00D72449" w:rsidRPr="00BA4177">
        <w:rPr>
          <w:i/>
          <w:iCs/>
        </w:rPr>
        <w:t>’</w:t>
      </w:r>
      <w:r>
        <w:t xml:space="preserve">. </w:t>
      </w:r>
    </w:p>
    <w:p w14:paraId="54DF26B3" w14:textId="76993690" w:rsidR="00CC27D9" w:rsidRDefault="00344381" w:rsidP="00344381">
      <w:pPr>
        <w:rPr>
          <w:i/>
          <w:color w:val="007099"/>
        </w:rPr>
      </w:pPr>
      <w:proofErr w:type="spellStart"/>
      <w:r>
        <w:t>Befovacimab</w:t>
      </w:r>
      <w:proofErr w:type="spellEnd"/>
      <w:r>
        <w:t xml:space="preserve"> is a TFPI-inhibitor in development, that had an early termination of a Phase </w:t>
      </w:r>
      <w:r w:rsidR="00662B60">
        <w:t>II</w:t>
      </w:r>
      <w:r>
        <w:t xml:space="preserve"> trial because of thrombotic events</w:t>
      </w:r>
      <w:r w:rsidR="00192FF8">
        <w:t>.</w:t>
      </w:r>
      <w:r w:rsidR="00192FF8">
        <w:rPr>
          <w:rStyle w:val="FootnoteReference"/>
        </w:rPr>
        <w:footnoteReference w:id="9"/>
      </w:r>
      <w:r>
        <w:t xml:space="preserve"> As a result</w:t>
      </w:r>
      <w:r w:rsidR="00383101">
        <w:t xml:space="preserve">, development has </w:t>
      </w:r>
      <w:r>
        <w:t>halted</w:t>
      </w:r>
      <w:r w:rsidR="00A57FA0">
        <w:t>.</w:t>
      </w:r>
      <w:r w:rsidR="00A57FA0" w:rsidRPr="00A57FA0">
        <w:rPr>
          <w:vertAlign w:val="superscript"/>
        </w:rPr>
        <w:fldChar w:fldCharType="begin"/>
      </w:r>
      <w:r w:rsidR="00A57FA0" w:rsidRPr="00A57FA0">
        <w:rPr>
          <w:vertAlign w:val="superscript"/>
        </w:rPr>
        <w:instrText xml:space="preserve"> NOTEREF _Ref202958346 \h </w:instrText>
      </w:r>
      <w:r w:rsidR="00A57FA0">
        <w:rPr>
          <w:vertAlign w:val="superscript"/>
        </w:rPr>
        <w:instrText xml:space="preserve"> \* MERGEFORMAT </w:instrText>
      </w:r>
      <w:r w:rsidR="00A57FA0" w:rsidRPr="00A57FA0">
        <w:rPr>
          <w:vertAlign w:val="superscript"/>
        </w:rPr>
      </w:r>
      <w:r w:rsidR="00A57FA0" w:rsidRPr="00A57FA0">
        <w:rPr>
          <w:vertAlign w:val="superscript"/>
        </w:rPr>
        <w:fldChar w:fldCharType="separate"/>
      </w:r>
      <w:r w:rsidR="00A57FA0" w:rsidRPr="00A57FA0">
        <w:rPr>
          <w:vertAlign w:val="superscript"/>
        </w:rPr>
        <w:t>9</w:t>
      </w:r>
      <w:r w:rsidR="00A57FA0" w:rsidRPr="00A57FA0">
        <w:rPr>
          <w:vertAlign w:val="superscript"/>
        </w:rPr>
        <w:fldChar w:fldCharType="end"/>
      </w:r>
    </w:p>
    <w:p w14:paraId="37C47E09" w14:textId="14D3762D" w:rsidR="00CB6813" w:rsidRDefault="00CB6813" w:rsidP="00CB6813">
      <w:pPr>
        <w:pStyle w:val="Heading4"/>
      </w:pPr>
      <w:bookmarkStart w:id="23" w:name="_Toc212036837"/>
      <w:r>
        <w:t>C</w:t>
      </w:r>
      <w:r w:rsidRPr="00DE1344">
        <w:t>linical rational</w:t>
      </w:r>
      <w:r w:rsidR="0025785B">
        <w:t>e</w:t>
      </w:r>
      <w:bookmarkEnd w:id="23"/>
    </w:p>
    <w:p w14:paraId="6F221722" w14:textId="08C2B295" w:rsidR="000470CD" w:rsidRDefault="000470CD" w:rsidP="000470CD">
      <w:r w:rsidRPr="000470CD">
        <w:t xml:space="preserve">Marstacimab is a human monoclonal IgG1 antibody directed against the Kunitz domain 2 (K2) of TFPI, the primary inhibitor of the extrinsic coagulation cascade. </w:t>
      </w:r>
      <w:proofErr w:type="spellStart"/>
      <w:r w:rsidR="008A3A3A" w:rsidRPr="008A3A3A">
        <w:t>Marstacimab’s</w:t>
      </w:r>
      <w:proofErr w:type="spellEnd"/>
      <w:r w:rsidR="008A3A3A" w:rsidRPr="008A3A3A">
        <w:t xml:space="preserve"> binding to TFPI </w:t>
      </w:r>
      <w:r w:rsidR="008A3A3A" w:rsidRPr="008A3A3A">
        <w:lastRenderedPageBreak/>
        <w:t>prevents TFPI’s inhibition of factor Xa.</w:t>
      </w:r>
      <w:r w:rsidR="008A3A3A">
        <w:t xml:space="preserve"> </w:t>
      </w:r>
      <w:r w:rsidRPr="000470CD">
        <w:t>Thus, neutrali</w:t>
      </w:r>
      <w:r w:rsidR="008A3A3A">
        <w:t>s</w:t>
      </w:r>
      <w:r w:rsidRPr="000470CD">
        <w:t xml:space="preserve">ing the activity of TFPI may serve to enhance the extrinsic pathway and </w:t>
      </w:r>
      <w:r w:rsidR="00D81F29">
        <w:t>bypass</w:t>
      </w:r>
      <w:r w:rsidRPr="000470CD">
        <w:t xml:space="preserve"> the need for replacement </w:t>
      </w:r>
      <w:r w:rsidR="00B04CC3">
        <w:t>factor</w:t>
      </w:r>
      <w:r w:rsidR="006624B4">
        <w:t xml:space="preserve"> </w:t>
      </w:r>
      <w:r w:rsidRPr="000470CD">
        <w:t xml:space="preserve">VIII or </w:t>
      </w:r>
      <w:r w:rsidR="006624B4">
        <w:t xml:space="preserve">factor </w:t>
      </w:r>
      <w:r w:rsidRPr="000470CD">
        <w:t>IX.</w:t>
      </w:r>
    </w:p>
    <w:p w14:paraId="0D615854" w14:textId="77777777" w:rsidR="00324B33" w:rsidRPr="003F31A2" w:rsidRDefault="00324B33" w:rsidP="000163D1">
      <w:pPr>
        <w:pStyle w:val="Heading2"/>
      </w:pPr>
      <w:bookmarkStart w:id="24" w:name="_Toc103679291"/>
      <w:bookmarkStart w:id="25" w:name="_Toc212036838"/>
      <w:r>
        <w:t>Regulatory status</w:t>
      </w:r>
      <w:bookmarkEnd w:id="20"/>
      <w:bookmarkEnd w:id="21"/>
      <w:bookmarkEnd w:id="24"/>
      <w:bookmarkEnd w:id="25"/>
    </w:p>
    <w:p w14:paraId="72C889D6" w14:textId="7E200950" w:rsidR="0017005C" w:rsidRPr="00BD5DBD" w:rsidRDefault="0017005C" w:rsidP="000163D1">
      <w:pPr>
        <w:pStyle w:val="Heading3"/>
      </w:pPr>
      <w:bookmarkStart w:id="26" w:name="_Toc212036839"/>
      <w:r w:rsidRPr="00BD5DBD">
        <w:t>Australian regulatory</w:t>
      </w:r>
      <w:r>
        <w:t xml:space="preserve"> sta</w:t>
      </w:r>
      <w:r w:rsidR="0025785B">
        <w:t>t</w:t>
      </w:r>
      <w:r>
        <w:t>us</w:t>
      </w:r>
      <w:bookmarkEnd w:id="26"/>
    </w:p>
    <w:p w14:paraId="6A8633FA" w14:textId="7FAC1BD1" w:rsidR="00324B33" w:rsidRDefault="00324B33" w:rsidP="00324B33">
      <w:pPr>
        <w:rPr>
          <w:szCs w:val="22"/>
        </w:rPr>
      </w:pPr>
      <w:r w:rsidRPr="00BD5DBD">
        <w:rPr>
          <w:szCs w:val="22"/>
        </w:rPr>
        <w:t xml:space="preserve">This product is considered a </w:t>
      </w:r>
      <w:r w:rsidR="008C754C" w:rsidRPr="00BD5DBD">
        <w:rPr>
          <w:szCs w:val="22"/>
        </w:rPr>
        <w:t xml:space="preserve">new </w:t>
      </w:r>
      <w:r w:rsidRPr="00BD5DBD">
        <w:rPr>
          <w:szCs w:val="22"/>
        </w:rPr>
        <w:t>biological entity for Australian regulatory purposes.</w:t>
      </w:r>
    </w:p>
    <w:p w14:paraId="546C1031" w14:textId="4EF98FA1" w:rsidR="0017005C" w:rsidRDefault="00131B1B" w:rsidP="000163D1">
      <w:pPr>
        <w:pStyle w:val="Heading4"/>
      </w:pPr>
      <w:bookmarkStart w:id="27" w:name="_Toc212036840"/>
      <w:r>
        <w:t xml:space="preserve">International </w:t>
      </w:r>
      <w:r w:rsidR="0017005C" w:rsidRPr="00BD5DBD">
        <w:t>regulatory</w:t>
      </w:r>
      <w:r w:rsidR="0017005C">
        <w:t xml:space="preserve"> status</w:t>
      </w:r>
      <w:bookmarkEnd w:id="27"/>
    </w:p>
    <w:p w14:paraId="0600C1EA" w14:textId="0C0316A3" w:rsidR="00960357" w:rsidRPr="00960357" w:rsidRDefault="00960357" w:rsidP="00960357">
      <w:r w:rsidRPr="00BD5DBD">
        <w:rPr>
          <w:szCs w:val="22"/>
        </w:rPr>
        <w:t xml:space="preserve">This submission was evaluated as part of the </w:t>
      </w:r>
      <w:hyperlink r:id="rId18" w:history="1">
        <w:r w:rsidRPr="00BD5DBD">
          <w:rPr>
            <w:rStyle w:val="Hyperlink"/>
            <w:szCs w:val="22"/>
          </w:rPr>
          <w:t>Australia-Canada-Singapore-Switzerland-United Kingdom (ACCESS) Consortium</w:t>
        </w:r>
      </w:hyperlink>
      <w:r w:rsidRPr="00BD5DBD">
        <w:rPr>
          <w:szCs w:val="22"/>
        </w:rPr>
        <w:t xml:space="preserve"> with work-sharing between the TGA</w:t>
      </w:r>
      <w:r w:rsidR="00CC6D82">
        <w:rPr>
          <w:szCs w:val="22"/>
        </w:rPr>
        <w:t>,</w:t>
      </w:r>
      <w:r w:rsidRPr="00774789">
        <w:t xml:space="preserve"> Health Sciences Authority Singapore</w:t>
      </w:r>
      <w:r w:rsidR="00CC6D82">
        <w:t xml:space="preserve"> and Swissmedic</w:t>
      </w:r>
      <w:r w:rsidRPr="00BD5DBD">
        <w:rPr>
          <w:iCs/>
          <w:szCs w:val="22"/>
        </w:rPr>
        <w:t>.</w:t>
      </w:r>
      <w:r w:rsidRPr="00BD5DBD">
        <w:rPr>
          <w:szCs w:val="22"/>
        </w:rPr>
        <w:t xml:space="preserve"> Each regulator ma</w:t>
      </w:r>
      <w:r w:rsidR="000153BF">
        <w:rPr>
          <w:szCs w:val="22"/>
        </w:rPr>
        <w:t>kes</w:t>
      </w:r>
      <w:r w:rsidRPr="00BD5DBD">
        <w:rPr>
          <w:szCs w:val="22"/>
        </w:rPr>
        <w:t xml:space="preserve"> independent decisions regarding </w:t>
      </w:r>
      <w:r w:rsidRPr="0017005C">
        <w:t xml:space="preserve">approval </w:t>
      </w:r>
      <w:r w:rsidRPr="00774789">
        <w:t>(market authorisation) of the new medicine</w:t>
      </w:r>
      <w:r>
        <w:t>.</w:t>
      </w:r>
    </w:p>
    <w:p w14:paraId="7FDF4A0B" w14:textId="6DF45BF3" w:rsidR="008F4A62" w:rsidRPr="0017005C" w:rsidRDefault="008F4A62" w:rsidP="008F4A62">
      <w:r w:rsidRPr="00BD5DBD">
        <w:rPr>
          <w:szCs w:val="22"/>
        </w:rPr>
        <w:t xml:space="preserve">At the time the TGA considered this submission, a similar submission had been </w:t>
      </w:r>
      <w:r>
        <w:rPr>
          <w:szCs w:val="22"/>
        </w:rPr>
        <w:t xml:space="preserve">considered by other regulatory agencies. </w:t>
      </w:r>
      <w:r w:rsidRPr="00BD5DBD">
        <w:rPr>
          <w:szCs w:val="22"/>
        </w:rPr>
        <w:t>The following table summarises these submissions and provides the indications where approved.</w:t>
      </w:r>
    </w:p>
    <w:p w14:paraId="19B9E0AC" w14:textId="76275A30" w:rsidR="00324B33" w:rsidRDefault="00324B33" w:rsidP="00324B33">
      <w:pPr>
        <w:pStyle w:val="TableTitle"/>
      </w:pPr>
      <w:bookmarkStart w:id="28" w:name="_Ref99705479"/>
      <w:r>
        <w:t xml:space="preserve">Table </w:t>
      </w:r>
      <w:r w:rsidR="007F1E37">
        <w:fldChar w:fldCharType="begin"/>
      </w:r>
      <w:r w:rsidR="007F1E37">
        <w:instrText xml:space="preserve"> SEQ Table \* ARABIC </w:instrText>
      </w:r>
      <w:r w:rsidR="007F1E37">
        <w:fldChar w:fldCharType="separate"/>
      </w:r>
      <w:r w:rsidR="007D6551">
        <w:rPr>
          <w:noProof/>
        </w:rPr>
        <w:t>1</w:t>
      </w:r>
      <w:r w:rsidR="007F1E37">
        <w:rPr>
          <w:noProof/>
        </w:rPr>
        <w:fldChar w:fldCharType="end"/>
      </w:r>
      <w:bookmarkEnd w:id="28"/>
      <w:r>
        <w:t>: International regulatory status</w:t>
      </w:r>
    </w:p>
    <w:tbl>
      <w:tblPr>
        <w:tblStyle w:val="TableTGAblue2023"/>
        <w:tblW w:w="5000" w:type="pct"/>
        <w:tblLook w:val="04A0" w:firstRow="1" w:lastRow="0" w:firstColumn="1" w:lastColumn="0" w:noHBand="0" w:noVBand="1"/>
      </w:tblPr>
      <w:tblGrid>
        <w:gridCol w:w="1837"/>
        <w:gridCol w:w="1845"/>
        <w:gridCol w:w="2125"/>
        <w:gridCol w:w="3253"/>
      </w:tblGrid>
      <w:tr w:rsidR="00324B33" w:rsidRPr="00D01DDB" w14:paraId="405E5D78" w14:textId="16839333" w:rsidTr="00131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4" w:type="pct"/>
          </w:tcPr>
          <w:p w14:paraId="185B099B" w14:textId="7A4C0E6C" w:rsidR="00324B33" w:rsidRPr="00D01DDB" w:rsidRDefault="00324B33" w:rsidP="000163D1">
            <w:r w:rsidRPr="00D01DDB">
              <w:t>Region</w:t>
            </w:r>
          </w:p>
        </w:tc>
        <w:tc>
          <w:tcPr>
            <w:tcW w:w="1018" w:type="pct"/>
          </w:tcPr>
          <w:p w14:paraId="778C35C7" w14:textId="52D23C85" w:rsidR="00324B33" w:rsidRPr="00D01DDB" w:rsidRDefault="00324B33" w:rsidP="000163D1">
            <w:pPr>
              <w:cnfStyle w:val="100000000000" w:firstRow="1" w:lastRow="0" w:firstColumn="0" w:lastColumn="0" w:oddVBand="0" w:evenVBand="0" w:oddHBand="0" w:evenHBand="0" w:firstRowFirstColumn="0" w:firstRowLastColumn="0" w:lastRowFirstColumn="0" w:lastRowLastColumn="0"/>
            </w:pPr>
            <w:r w:rsidRPr="00D01DDB">
              <w:t>Submission date</w:t>
            </w:r>
          </w:p>
        </w:tc>
        <w:tc>
          <w:tcPr>
            <w:tcW w:w="1173" w:type="pct"/>
          </w:tcPr>
          <w:p w14:paraId="58F81584" w14:textId="66689ABF" w:rsidR="00324B33" w:rsidRPr="00D01DDB" w:rsidRDefault="00324B33" w:rsidP="000163D1">
            <w:pPr>
              <w:cnfStyle w:val="100000000000" w:firstRow="1" w:lastRow="0" w:firstColumn="0" w:lastColumn="0" w:oddVBand="0" w:evenVBand="0" w:oddHBand="0" w:evenHBand="0" w:firstRowFirstColumn="0" w:firstRowLastColumn="0" w:lastRowFirstColumn="0" w:lastRowLastColumn="0"/>
            </w:pPr>
            <w:r w:rsidRPr="00D01DDB">
              <w:t>Status</w:t>
            </w:r>
          </w:p>
        </w:tc>
        <w:tc>
          <w:tcPr>
            <w:tcW w:w="1795" w:type="pct"/>
          </w:tcPr>
          <w:p w14:paraId="50B2D435" w14:textId="560588D2" w:rsidR="00324B33" w:rsidRPr="00D01DDB" w:rsidRDefault="00324B33" w:rsidP="000163D1">
            <w:pPr>
              <w:cnfStyle w:val="100000000000" w:firstRow="1" w:lastRow="0" w:firstColumn="0" w:lastColumn="0" w:oddVBand="0" w:evenVBand="0" w:oddHBand="0" w:evenHBand="0" w:firstRowFirstColumn="0" w:firstRowLastColumn="0" w:lastRowFirstColumn="0" w:lastRowLastColumn="0"/>
            </w:pPr>
            <w:r w:rsidRPr="00D01DDB">
              <w:t>Approved indications</w:t>
            </w:r>
          </w:p>
        </w:tc>
      </w:tr>
      <w:tr w:rsidR="00DA75F5" w:rsidRPr="00D01DDB" w14:paraId="267F8FE2" w14:textId="77777777" w:rsidTr="0013132F">
        <w:tc>
          <w:tcPr>
            <w:cnfStyle w:val="001000000000" w:firstRow="0" w:lastRow="0" w:firstColumn="1" w:lastColumn="0" w:oddVBand="0" w:evenVBand="0" w:oddHBand="0" w:evenHBand="0" w:firstRowFirstColumn="0" w:firstRowLastColumn="0" w:lastRowFirstColumn="0" w:lastRowLastColumn="0"/>
            <w:tcW w:w="1014" w:type="pct"/>
          </w:tcPr>
          <w:p w14:paraId="69010275" w14:textId="22625A98" w:rsidR="00DA75F5" w:rsidRDefault="00DA75F5" w:rsidP="000163D1">
            <w:r>
              <w:t>United States of America</w:t>
            </w:r>
          </w:p>
        </w:tc>
        <w:tc>
          <w:tcPr>
            <w:tcW w:w="1018" w:type="pct"/>
          </w:tcPr>
          <w:p w14:paraId="66C8366A" w14:textId="22DB2293" w:rsidR="00DA75F5" w:rsidRDefault="00DA75F5" w:rsidP="000163D1">
            <w:pPr>
              <w:cnfStyle w:val="000000000000" w:firstRow="0" w:lastRow="0" w:firstColumn="0" w:lastColumn="0" w:oddVBand="0" w:evenVBand="0" w:oddHBand="0" w:evenHBand="0" w:firstRowFirstColumn="0" w:firstRowLastColumn="0" w:lastRowFirstColumn="0" w:lastRowLastColumn="0"/>
            </w:pPr>
            <w:r>
              <w:t>October 2023</w:t>
            </w:r>
          </w:p>
        </w:tc>
        <w:tc>
          <w:tcPr>
            <w:tcW w:w="1173" w:type="pct"/>
          </w:tcPr>
          <w:p w14:paraId="29DC80A3" w14:textId="636029F9" w:rsidR="00DA75F5" w:rsidRPr="00D01DDB" w:rsidRDefault="00DA75F5" w:rsidP="000163D1">
            <w:pPr>
              <w:cnfStyle w:val="000000000000" w:firstRow="0" w:lastRow="0" w:firstColumn="0" w:lastColumn="0" w:oddVBand="0" w:evenVBand="0" w:oddHBand="0" w:evenHBand="0" w:firstRowFirstColumn="0" w:firstRowLastColumn="0" w:lastRowFirstColumn="0" w:lastRowLastColumn="0"/>
            </w:pPr>
            <w:r>
              <w:t xml:space="preserve">Approved on </w:t>
            </w:r>
            <w:r w:rsidR="003F675F">
              <w:t>11</w:t>
            </w:r>
            <w:r>
              <w:t xml:space="preserve"> October 2024</w:t>
            </w:r>
          </w:p>
        </w:tc>
        <w:tc>
          <w:tcPr>
            <w:tcW w:w="1795" w:type="pct"/>
          </w:tcPr>
          <w:p w14:paraId="3580AFBB" w14:textId="77777777" w:rsidR="00E63ED7" w:rsidRDefault="00E63ED7" w:rsidP="000163D1">
            <w:pPr>
              <w:cnfStyle w:val="000000000000" w:firstRow="0" w:lastRow="0" w:firstColumn="0" w:lastColumn="0" w:oddVBand="0" w:evenVBand="0" w:oddHBand="0" w:evenHBand="0" w:firstRowFirstColumn="0" w:firstRowLastColumn="0" w:lastRowFirstColumn="0" w:lastRowLastColumn="0"/>
            </w:pPr>
            <w:r>
              <w:t>HYMPAVZI is a tissue factor pathway inhibitor (TFPI) antagonist indicated for routine prophylaxis to prevent or reduce the frequency of bleeding episodes in adult and pediatric patients 12 years of age and older with:</w:t>
            </w:r>
          </w:p>
          <w:p w14:paraId="24E26C41" w14:textId="3D4BA906" w:rsidR="00E63ED7" w:rsidRDefault="00CC5702" w:rsidP="000163D1">
            <w:pPr>
              <w:cnfStyle w:val="000000000000" w:firstRow="0" w:lastRow="0" w:firstColumn="0" w:lastColumn="0" w:oddVBand="0" w:evenVBand="0" w:oddHBand="0" w:evenHBand="0" w:firstRowFirstColumn="0" w:firstRowLastColumn="0" w:lastRowFirstColumn="0" w:lastRowLastColumn="0"/>
            </w:pPr>
            <w:r>
              <w:t xml:space="preserve">Haemophilia </w:t>
            </w:r>
            <w:r w:rsidR="00E63ED7">
              <w:t>A (congenital factor VIII deficiency) without factor VIII inhibitors, or</w:t>
            </w:r>
          </w:p>
          <w:p w14:paraId="0B3FB7EC" w14:textId="0CC481F9" w:rsidR="00DA75F5" w:rsidRPr="00DA75F5" w:rsidRDefault="00CC5702" w:rsidP="000163D1">
            <w:pPr>
              <w:cnfStyle w:val="000000000000" w:firstRow="0" w:lastRow="0" w:firstColumn="0" w:lastColumn="0" w:oddVBand="0" w:evenVBand="0" w:oddHBand="0" w:evenHBand="0" w:firstRowFirstColumn="0" w:firstRowLastColumn="0" w:lastRowFirstColumn="0" w:lastRowLastColumn="0"/>
            </w:pPr>
            <w:r>
              <w:t>H</w:t>
            </w:r>
            <w:r w:rsidR="008F1D06">
              <w:t>aemophilia</w:t>
            </w:r>
            <w:r w:rsidR="00E63ED7">
              <w:t xml:space="preserve"> B (congenital factor IX deficiency) without factor IX inhibito</w:t>
            </w:r>
            <w:r w:rsidR="007A549E">
              <w:t>rs.</w:t>
            </w:r>
          </w:p>
        </w:tc>
      </w:tr>
      <w:tr w:rsidR="00324B33" w:rsidRPr="00D01DDB" w14:paraId="38D24E86" w14:textId="77777777" w:rsidTr="0013132F">
        <w:tc>
          <w:tcPr>
            <w:cnfStyle w:val="001000000000" w:firstRow="0" w:lastRow="0" w:firstColumn="1" w:lastColumn="0" w:oddVBand="0" w:evenVBand="0" w:oddHBand="0" w:evenHBand="0" w:firstRowFirstColumn="0" w:firstRowLastColumn="0" w:lastRowFirstColumn="0" w:lastRowLastColumn="0"/>
            <w:tcW w:w="1014" w:type="pct"/>
          </w:tcPr>
          <w:p w14:paraId="4C540DE5" w14:textId="0ABDE7DD" w:rsidR="00324B33" w:rsidRPr="00D01DDB" w:rsidRDefault="007916D2" w:rsidP="000163D1">
            <w:r>
              <w:lastRenderedPageBreak/>
              <w:t>European Union</w:t>
            </w:r>
          </w:p>
        </w:tc>
        <w:tc>
          <w:tcPr>
            <w:tcW w:w="1018" w:type="pct"/>
          </w:tcPr>
          <w:p w14:paraId="4FA5DDA9" w14:textId="50E21EBB" w:rsidR="00324B33" w:rsidRPr="00D01DDB" w:rsidRDefault="007916D2" w:rsidP="000163D1">
            <w:pPr>
              <w:cnfStyle w:val="000000000000" w:firstRow="0" w:lastRow="0" w:firstColumn="0" w:lastColumn="0" w:oddVBand="0" w:evenVBand="0" w:oddHBand="0" w:evenHBand="0" w:firstRowFirstColumn="0" w:firstRowLastColumn="0" w:lastRowFirstColumn="0" w:lastRowLastColumn="0"/>
            </w:pPr>
            <w:r>
              <w:t>October 2023</w:t>
            </w:r>
          </w:p>
        </w:tc>
        <w:tc>
          <w:tcPr>
            <w:tcW w:w="1173" w:type="pct"/>
          </w:tcPr>
          <w:p w14:paraId="29358393" w14:textId="76195A0E" w:rsidR="00324B33" w:rsidRPr="00D01DDB" w:rsidRDefault="00324B33" w:rsidP="000163D1">
            <w:pPr>
              <w:cnfStyle w:val="000000000000" w:firstRow="0" w:lastRow="0" w:firstColumn="0" w:lastColumn="0" w:oddVBand="0" w:evenVBand="0" w:oddHBand="0" w:evenHBand="0" w:firstRowFirstColumn="0" w:firstRowLastColumn="0" w:lastRowFirstColumn="0" w:lastRowLastColumn="0"/>
            </w:pPr>
            <w:r w:rsidRPr="00D01DDB">
              <w:t xml:space="preserve">Approved on </w:t>
            </w:r>
            <w:r w:rsidR="00B2149F">
              <w:t>18</w:t>
            </w:r>
            <w:r w:rsidR="007916D2">
              <w:t xml:space="preserve"> November 2024</w:t>
            </w:r>
          </w:p>
        </w:tc>
        <w:tc>
          <w:tcPr>
            <w:tcW w:w="1795" w:type="pct"/>
          </w:tcPr>
          <w:p w14:paraId="4C4E1B4E" w14:textId="24D844A8" w:rsidR="00DA75F5" w:rsidRPr="00DA75F5" w:rsidRDefault="00DA75F5" w:rsidP="000163D1">
            <w:pPr>
              <w:cnfStyle w:val="000000000000" w:firstRow="0" w:lastRow="0" w:firstColumn="0" w:lastColumn="0" w:oddVBand="0" w:evenVBand="0" w:oddHBand="0" w:evenHBand="0" w:firstRowFirstColumn="0" w:firstRowLastColumn="0" w:lastRowFirstColumn="0" w:lastRowLastColumn="0"/>
            </w:pPr>
            <w:r w:rsidRPr="00DA75F5">
              <w:t>Hympavzi is indicated for routine prophylaxis of bleeding episodes in patients 12 years of age and older, weighing at least 35kg, with:</w:t>
            </w:r>
          </w:p>
          <w:p w14:paraId="6B7A6C21" w14:textId="00F489A4" w:rsidR="00DA75F5" w:rsidRPr="00DA75F5" w:rsidRDefault="00DA75F5" w:rsidP="000163D1">
            <w:pPr>
              <w:cnfStyle w:val="000000000000" w:firstRow="0" w:lastRow="0" w:firstColumn="0" w:lastColumn="0" w:oddVBand="0" w:evenVBand="0" w:oddHBand="0" w:evenHBand="0" w:firstRowFirstColumn="0" w:firstRowLastColumn="0" w:lastRowFirstColumn="0" w:lastRowLastColumn="0"/>
            </w:pPr>
            <w:r w:rsidRPr="00DA75F5">
              <w:t xml:space="preserve">severe haemophilia A (congenital factor VIII deficiency, FVIII &lt;1%) without factor VIII inhibitors, or </w:t>
            </w:r>
          </w:p>
          <w:p w14:paraId="05055674" w14:textId="55AC3424" w:rsidR="00324B33" w:rsidRPr="00D01DDB" w:rsidRDefault="00DA75F5" w:rsidP="000163D1">
            <w:pPr>
              <w:cnfStyle w:val="000000000000" w:firstRow="0" w:lastRow="0" w:firstColumn="0" w:lastColumn="0" w:oddVBand="0" w:evenVBand="0" w:oddHBand="0" w:evenHBand="0" w:firstRowFirstColumn="0" w:firstRowLastColumn="0" w:lastRowFirstColumn="0" w:lastRowLastColumn="0"/>
            </w:pPr>
            <w:r w:rsidRPr="00DA75F5">
              <w:t xml:space="preserve">severe haemophilia B (congenital factor IX deficiency, FIX &lt;1%) without factor IX inhibitors. </w:t>
            </w:r>
          </w:p>
        </w:tc>
      </w:tr>
      <w:tr w:rsidR="00324B33" w:rsidRPr="00D01DDB" w14:paraId="18B6E2AA" w14:textId="7783D66F" w:rsidTr="0013132F">
        <w:tc>
          <w:tcPr>
            <w:cnfStyle w:val="001000000000" w:firstRow="0" w:lastRow="0" w:firstColumn="1" w:lastColumn="0" w:oddVBand="0" w:evenVBand="0" w:oddHBand="0" w:evenHBand="0" w:firstRowFirstColumn="0" w:firstRowLastColumn="0" w:lastRowFirstColumn="0" w:lastRowLastColumn="0"/>
            <w:tcW w:w="1014" w:type="pct"/>
          </w:tcPr>
          <w:p w14:paraId="7F348960" w14:textId="2480E434" w:rsidR="00324B33" w:rsidRPr="00D01DDB" w:rsidRDefault="007A549E" w:rsidP="000163D1">
            <w:r>
              <w:t>Switzerland</w:t>
            </w:r>
          </w:p>
        </w:tc>
        <w:tc>
          <w:tcPr>
            <w:tcW w:w="1018" w:type="pct"/>
          </w:tcPr>
          <w:p w14:paraId="1D871E57" w14:textId="2715A03E" w:rsidR="00324B33" w:rsidRPr="00D01DDB" w:rsidRDefault="007A549E" w:rsidP="000163D1">
            <w:pPr>
              <w:cnfStyle w:val="000000000000" w:firstRow="0" w:lastRow="0" w:firstColumn="0" w:lastColumn="0" w:oddVBand="0" w:evenVBand="0" w:oddHBand="0" w:evenHBand="0" w:firstRowFirstColumn="0" w:firstRowLastColumn="0" w:lastRowFirstColumn="0" w:lastRowLastColumn="0"/>
            </w:pPr>
            <w:r>
              <w:t>January 2024</w:t>
            </w:r>
          </w:p>
        </w:tc>
        <w:tc>
          <w:tcPr>
            <w:tcW w:w="1173" w:type="pct"/>
          </w:tcPr>
          <w:p w14:paraId="63A3A9D3" w14:textId="00313862" w:rsidR="00324B33" w:rsidRPr="00D01DDB" w:rsidRDefault="007A549E" w:rsidP="000163D1">
            <w:pPr>
              <w:cnfStyle w:val="000000000000" w:firstRow="0" w:lastRow="0" w:firstColumn="0" w:lastColumn="0" w:oddVBand="0" w:evenVBand="0" w:oddHBand="0" w:evenHBand="0" w:firstRowFirstColumn="0" w:firstRowLastColumn="0" w:lastRowFirstColumn="0" w:lastRowLastColumn="0"/>
            </w:pPr>
            <w:r>
              <w:t xml:space="preserve">Approved on </w:t>
            </w:r>
            <w:r w:rsidR="006B22C0">
              <w:t>23</w:t>
            </w:r>
            <w:r>
              <w:t xml:space="preserve"> December 2024</w:t>
            </w:r>
          </w:p>
        </w:tc>
        <w:tc>
          <w:tcPr>
            <w:tcW w:w="1795" w:type="pct"/>
          </w:tcPr>
          <w:p w14:paraId="065B7949" w14:textId="60E061C7" w:rsidR="007A426A" w:rsidRDefault="00D567A1" w:rsidP="000163D1">
            <w:pPr>
              <w:cnfStyle w:val="000000000000" w:firstRow="0" w:lastRow="0" w:firstColumn="0" w:lastColumn="0" w:oddVBand="0" w:evenVBand="0" w:oddHBand="0" w:evenHBand="0" w:firstRowFirstColumn="0" w:firstRowLastColumn="0" w:lastRowFirstColumn="0" w:lastRowLastColumn="0"/>
            </w:pPr>
            <w:r w:rsidRPr="00D567A1">
              <w:t xml:space="preserve">Hympavzi is indicated as a routine prophylaxis of bleeding episodes in patients aged </w:t>
            </w:r>
            <w:r w:rsidR="007A426A" w:rsidRPr="007A426A">
              <w:t xml:space="preserve">12 years and </w:t>
            </w:r>
            <w:proofErr w:type="gramStart"/>
            <w:r w:rsidR="007A426A" w:rsidRPr="007A426A">
              <w:t xml:space="preserve">older </w:t>
            </w:r>
            <w:r w:rsidR="00583CB6" w:rsidRPr="00583CB6">
              <w:t xml:space="preserve"> weighing</w:t>
            </w:r>
            <w:proofErr w:type="gramEnd"/>
            <w:r w:rsidR="00583CB6" w:rsidRPr="00583CB6">
              <w:t xml:space="preserve"> at least </w:t>
            </w:r>
            <w:r w:rsidR="007A426A" w:rsidRPr="007A426A">
              <w:t>35 kg w</w:t>
            </w:r>
            <w:r w:rsidR="008C6BC8">
              <w:t>ith:</w:t>
            </w:r>
          </w:p>
          <w:p w14:paraId="4005D89F" w14:textId="7D9E6682" w:rsidR="007A426A" w:rsidRDefault="007A426A" w:rsidP="000163D1">
            <w:pPr>
              <w:cnfStyle w:val="000000000000" w:firstRow="0" w:lastRow="0" w:firstColumn="0" w:lastColumn="0" w:oddVBand="0" w:evenVBand="0" w:oddHBand="0" w:evenHBand="0" w:firstRowFirstColumn="0" w:firstRowLastColumn="0" w:lastRowFirstColumn="0" w:lastRowLastColumn="0"/>
            </w:pPr>
            <w:r w:rsidRPr="007A426A">
              <w:t xml:space="preserve">severe </w:t>
            </w:r>
            <w:r w:rsidR="005703A5">
              <w:t>haemophilia</w:t>
            </w:r>
            <w:r w:rsidRPr="007A426A">
              <w:t xml:space="preserve"> A (congenital factor VIII deficiency</w:t>
            </w:r>
            <w:r w:rsidR="00970ADD">
              <w:t>, F</w:t>
            </w:r>
            <w:r w:rsidRPr="007A426A">
              <w:t xml:space="preserve">VIII </w:t>
            </w:r>
            <w:r w:rsidR="001E4695">
              <w:t>&lt; </w:t>
            </w:r>
            <w:r w:rsidRPr="007A426A">
              <w:t>1%) without factor VIII inhibitors</w:t>
            </w:r>
            <w:r w:rsidR="008C6BC8">
              <w:t>,</w:t>
            </w:r>
            <w:r w:rsidRPr="007A426A">
              <w:t xml:space="preserve"> or</w:t>
            </w:r>
          </w:p>
          <w:p w14:paraId="17C650B8" w14:textId="75ACC922" w:rsidR="00324B33" w:rsidRPr="00D01DDB" w:rsidRDefault="007A426A" w:rsidP="000163D1">
            <w:pPr>
              <w:cnfStyle w:val="000000000000" w:firstRow="0" w:lastRow="0" w:firstColumn="0" w:lastColumn="0" w:oddVBand="0" w:evenVBand="0" w:oddHBand="0" w:evenHBand="0" w:firstRowFirstColumn="0" w:firstRowLastColumn="0" w:lastRowFirstColumn="0" w:lastRowLastColumn="0"/>
            </w:pPr>
            <w:r w:rsidRPr="007A426A">
              <w:t xml:space="preserve">severe </w:t>
            </w:r>
            <w:r w:rsidR="005703A5">
              <w:t>haemophilia</w:t>
            </w:r>
            <w:r w:rsidRPr="007A426A">
              <w:t xml:space="preserve"> B (congenital factor IX deficiency</w:t>
            </w:r>
            <w:r w:rsidR="001E4695">
              <w:t>,</w:t>
            </w:r>
            <w:r w:rsidRPr="007A426A">
              <w:t xml:space="preserve"> </w:t>
            </w:r>
            <w:r w:rsidR="001E4695">
              <w:t>F</w:t>
            </w:r>
            <w:r w:rsidRPr="007A426A">
              <w:t xml:space="preserve">IX </w:t>
            </w:r>
            <w:r w:rsidR="0044554C">
              <w:t>&lt; </w:t>
            </w:r>
            <w:r w:rsidRPr="007A426A">
              <w:t>1%) without factor IX inhibitors</w:t>
            </w:r>
            <w:r>
              <w:t>.</w:t>
            </w:r>
          </w:p>
        </w:tc>
      </w:tr>
      <w:tr w:rsidR="00DD742F" w:rsidRPr="00D01DDB" w14:paraId="571FD73E" w14:textId="77777777" w:rsidTr="00B65584">
        <w:tc>
          <w:tcPr>
            <w:cnfStyle w:val="001000000000" w:firstRow="0" w:lastRow="0" w:firstColumn="1" w:lastColumn="0" w:oddVBand="0" w:evenVBand="0" w:oddHBand="0" w:evenHBand="0" w:firstRowFirstColumn="0" w:firstRowLastColumn="0" w:lastRowFirstColumn="0" w:lastRowLastColumn="0"/>
            <w:tcW w:w="1014" w:type="pct"/>
          </w:tcPr>
          <w:p w14:paraId="143783DC" w14:textId="77777777" w:rsidR="00DD742F" w:rsidRDefault="00DD742F" w:rsidP="000163D1">
            <w:r>
              <w:t>Singapore</w:t>
            </w:r>
          </w:p>
        </w:tc>
        <w:tc>
          <w:tcPr>
            <w:tcW w:w="1018" w:type="pct"/>
          </w:tcPr>
          <w:p w14:paraId="30CA5402" w14:textId="77777777" w:rsidR="00DD742F" w:rsidRDefault="00DD742F" w:rsidP="000163D1">
            <w:pPr>
              <w:cnfStyle w:val="000000000000" w:firstRow="0" w:lastRow="0" w:firstColumn="0" w:lastColumn="0" w:oddVBand="0" w:evenVBand="0" w:oddHBand="0" w:evenHBand="0" w:firstRowFirstColumn="0" w:firstRowLastColumn="0" w:lastRowFirstColumn="0" w:lastRowLastColumn="0"/>
            </w:pPr>
            <w:r>
              <w:t>January 2024</w:t>
            </w:r>
          </w:p>
        </w:tc>
        <w:tc>
          <w:tcPr>
            <w:tcW w:w="1173" w:type="pct"/>
          </w:tcPr>
          <w:p w14:paraId="5D059655" w14:textId="77777777" w:rsidR="00DD742F" w:rsidRDefault="00DD742F" w:rsidP="000163D1">
            <w:pPr>
              <w:cnfStyle w:val="000000000000" w:firstRow="0" w:lastRow="0" w:firstColumn="0" w:lastColumn="0" w:oddVBand="0" w:evenVBand="0" w:oddHBand="0" w:evenHBand="0" w:firstRowFirstColumn="0" w:firstRowLastColumn="0" w:lastRowFirstColumn="0" w:lastRowLastColumn="0"/>
            </w:pPr>
            <w:r>
              <w:t>Under evaluation</w:t>
            </w:r>
          </w:p>
        </w:tc>
        <w:tc>
          <w:tcPr>
            <w:tcW w:w="1795" w:type="pct"/>
          </w:tcPr>
          <w:p w14:paraId="3A653144" w14:textId="77777777" w:rsidR="00DD742F" w:rsidRPr="00D567A1" w:rsidRDefault="00DD742F" w:rsidP="000163D1">
            <w:pPr>
              <w:cnfStyle w:val="000000000000" w:firstRow="0" w:lastRow="0" w:firstColumn="0" w:lastColumn="0" w:oddVBand="0" w:evenVBand="0" w:oddHBand="0" w:evenHBand="0" w:firstRowFirstColumn="0" w:firstRowLastColumn="0" w:lastRowFirstColumn="0" w:lastRowLastColumn="0"/>
            </w:pPr>
          </w:p>
        </w:tc>
      </w:tr>
      <w:tr w:rsidR="005F67EC" w:rsidRPr="00D01DDB" w14:paraId="3C4B1E72" w14:textId="77777777" w:rsidTr="0013132F">
        <w:tc>
          <w:tcPr>
            <w:cnfStyle w:val="001000000000" w:firstRow="0" w:lastRow="0" w:firstColumn="1" w:lastColumn="0" w:oddVBand="0" w:evenVBand="0" w:oddHBand="0" w:evenHBand="0" w:firstRowFirstColumn="0" w:firstRowLastColumn="0" w:lastRowFirstColumn="0" w:lastRowLastColumn="0"/>
            <w:tcW w:w="1014" w:type="pct"/>
          </w:tcPr>
          <w:p w14:paraId="0C832EAA" w14:textId="566FC48C" w:rsidR="005F67EC" w:rsidRDefault="00DD742F" w:rsidP="000163D1">
            <w:r>
              <w:t>United Kingdom</w:t>
            </w:r>
          </w:p>
        </w:tc>
        <w:tc>
          <w:tcPr>
            <w:tcW w:w="1018" w:type="pct"/>
          </w:tcPr>
          <w:p w14:paraId="1FA1F00C" w14:textId="54A73765" w:rsidR="005F67EC" w:rsidRDefault="00B05DBB" w:rsidP="000163D1">
            <w:pPr>
              <w:cnfStyle w:val="000000000000" w:firstRow="0" w:lastRow="0" w:firstColumn="0" w:lastColumn="0" w:oddVBand="0" w:evenVBand="0" w:oddHBand="0" w:evenHBand="0" w:firstRowFirstColumn="0" w:firstRowLastColumn="0" w:lastRowFirstColumn="0" w:lastRowLastColumn="0"/>
            </w:pPr>
            <w:r>
              <w:t>October 2024</w:t>
            </w:r>
          </w:p>
        </w:tc>
        <w:tc>
          <w:tcPr>
            <w:tcW w:w="1173" w:type="pct"/>
          </w:tcPr>
          <w:p w14:paraId="2282D05B" w14:textId="193BD053" w:rsidR="005F67EC" w:rsidRDefault="00B05DBB" w:rsidP="000163D1">
            <w:pPr>
              <w:cnfStyle w:val="000000000000" w:firstRow="0" w:lastRow="0" w:firstColumn="0" w:lastColumn="0" w:oddVBand="0" w:evenVBand="0" w:oddHBand="0" w:evenHBand="0" w:firstRowFirstColumn="0" w:firstRowLastColumn="0" w:lastRowFirstColumn="0" w:lastRowLastColumn="0"/>
            </w:pPr>
            <w:r>
              <w:t>Under evaluation</w:t>
            </w:r>
          </w:p>
        </w:tc>
        <w:tc>
          <w:tcPr>
            <w:tcW w:w="1795" w:type="pct"/>
          </w:tcPr>
          <w:p w14:paraId="0F7FFE4A" w14:textId="77777777" w:rsidR="005F67EC" w:rsidRPr="00D567A1" w:rsidRDefault="005F67EC" w:rsidP="000163D1">
            <w:pPr>
              <w:cnfStyle w:val="000000000000" w:firstRow="0" w:lastRow="0" w:firstColumn="0" w:lastColumn="0" w:oddVBand="0" w:evenVBand="0" w:oddHBand="0" w:evenHBand="0" w:firstRowFirstColumn="0" w:firstRowLastColumn="0" w:lastRowFirstColumn="0" w:lastRowLastColumn="0"/>
            </w:pPr>
          </w:p>
        </w:tc>
      </w:tr>
      <w:tr w:rsidR="00C11C24" w:rsidRPr="00D01DDB" w14:paraId="095076A2" w14:textId="77777777" w:rsidTr="0013132F">
        <w:tc>
          <w:tcPr>
            <w:cnfStyle w:val="001000000000" w:firstRow="0" w:lastRow="0" w:firstColumn="1" w:lastColumn="0" w:oddVBand="0" w:evenVBand="0" w:oddHBand="0" w:evenHBand="0" w:firstRowFirstColumn="0" w:firstRowLastColumn="0" w:lastRowFirstColumn="0" w:lastRowLastColumn="0"/>
            <w:tcW w:w="1014" w:type="pct"/>
          </w:tcPr>
          <w:p w14:paraId="7779D9D0" w14:textId="5CED849E" w:rsidR="00C11C24" w:rsidRDefault="00C11C24" w:rsidP="000163D1">
            <w:r>
              <w:t>Canada</w:t>
            </w:r>
          </w:p>
        </w:tc>
        <w:tc>
          <w:tcPr>
            <w:tcW w:w="1018" w:type="pct"/>
          </w:tcPr>
          <w:p w14:paraId="18A5EE09" w14:textId="1F057B17" w:rsidR="00C11C24" w:rsidRDefault="00C11C24" w:rsidP="000163D1">
            <w:pPr>
              <w:cnfStyle w:val="000000000000" w:firstRow="0" w:lastRow="0" w:firstColumn="0" w:lastColumn="0" w:oddVBand="0" w:evenVBand="0" w:oddHBand="0" w:evenHBand="0" w:firstRowFirstColumn="0" w:firstRowLastColumn="0" w:lastRowFirstColumn="0" w:lastRowLastColumn="0"/>
            </w:pPr>
            <w:r>
              <w:t>October 2023</w:t>
            </w:r>
          </w:p>
        </w:tc>
        <w:tc>
          <w:tcPr>
            <w:tcW w:w="1173" w:type="pct"/>
          </w:tcPr>
          <w:p w14:paraId="30A99148" w14:textId="7470D4DF" w:rsidR="00C11C24" w:rsidRDefault="00C11C24" w:rsidP="000163D1">
            <w:pPr>
              <w:cnfStyle w:val="000000000000" w:firstRow="0" w:lastRow="0" w:firstColumn="0" w:lastColumn="0" w:oddVBand="0" w:evenVBand="0" w:oddHBand="0" w:evenHBand="0" w:firstRowFirstColumn="0" w:firstRowLastColumn="0" w:lastRowFirstColumn="0" w:lastRowLastColumn="0"/>
            </w:pPr>
            <w:r>
              <w:t>Application withdrawn</w:t>
            </w:r>
          </w:p>
        </w:tc>
        <w:tc>
          <w:tcPr>
            <w:tcW w:w="1795" w:type="pct"/>
          </w:tcPr>
          <w:p w14:paraId="743751F7" w14:textId="77777777" w:rsidR="00C11C24" w:rsidRPr="00D567A1" w:rsidRDefault="00C11C24" w:rsidP="000163D1">
            <w:pPr>
              <w:cnfStyle w:val="000000000000" w:firstRow="0" w:lastRow="0" w:firstColumn="0" w:lastColumn="0" w:oddVBand="0" w:evenVBand="0" w:oddHBand="0" w:evenHBand="0" w:firstRowFirstColumn="0" w:firstRowLastColumn="0" w:lastRowFirstColumn="0" w:lastRowLastColumn="0"/>
            </w:pPr>
          </w:p>
        </w:tc>
      </w:tr>
    </w:tbl>
    <w:p w14:paraId="6D92589C" w14:textId="09786CEF" w:rsidR="00324B33" w:rsidRDefault="00324B33" w:rsidP="00324B33">
      <w:pPr>
        <w:pStyle w:val="Heading2"/>
      </w:pPr>
      <w:bookmarkStart w:id="29" w:name="_Toc504480011"/>
      <w:bookmarkStart w:id="30" w:name="_Toc103679293"/>
      <w:bookmarkStart w:id="31" w:name="_Toc212036841"/>
      <w:r>
        <w:t>Registration timeline</w:t>
      </w:r>
      <w:bookmarkEnd w:id="29"/>
      <w:bookmarkEnd w:id="30"/>
      <w:bookmarkEnd w:id="31"/>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19" w:history="1">
        <w:r w:rsidRPr="00BD5DBD">
          <w:rPr>
            <w:rStyle w:val="Hyperlink"/>
            <w:szCs w:val="22"/>
          </w:rPr>
          <w:t>standard prescription medicines registration process</w:t>
        </w:r>
      </w:hyperlink>
      <w:r w:rsidRPr="00BD5DBD">
        <w:rPr>
          <w:szCs w:val="22"/>
        </w:rPr>
        <w:t>.</w:t>
      </w:r>
    </w:p>
    <w:p w14:paraId="44628C5F" w14:textId="14A7360A" w:rsidR="00324B33" w:rsidRDefault="00324B33" w:rsidP="002C1232">
      <w:pPr>
        <w:pStyle w:val="TableTitle"/>
      </w:pPr>
      <w:r w:rsidRPr="002C1232">
        <w:t xml:space="preserve">Table </w:t>
      </w:r>
      <w:r w:rsidR="007F1E37">
        <w:fldChar w:fldCharType="begin"/>
      </w:r>
      <w:r w:rsidR="007F1E37">
        <w:instrText xml:space="preserve"> SEQ Table \* ARABIC </w:instrText>
      </w:r>
      <w:r w:rsidR="007F1E37">
        <w:fldChar w:fldCharType="separate"/>
      </w:r>
      <w:r w:rsidR="007D6551">
        <w:rPr>
          <w:noProof/>
        </w:rPr>
        <w:t>2</w:t>
      </w:r>
      <w:r w:rsidR="007F1E37">
        <w:fldChar w:fldCharType="end"/>
      </w:r>
      <w:r w:rsidRPr="002C1232">
        <w:t>: Timeline for Submission PM-202</w:t>
      </w:r>
      <w:r w:rsidR="001A2048">
        <w:t>4</w:t>
      </w:r>
      <w:r w:rsidRPr="002C1232">
        <w:t>-</w:t>
      </w:r>
      <w:r w:rsidR="001A2048">
        <w:t>00030</w:t>
      </w:r>
      <w:r w:rsidRPr="002C1232">
        <w:t>-1-</w:t>
      </w:r>
      <w:r w:rsidR="001A2048">
        <w:t>6</w:t>
      </w:r>
    </w:p>
    <w:tbl>
      <w:tblPr>
        <w:tblStyle w:val="TableTGAblue2023"/>
        <w:tblW w:w="8642" w:type="dxa"/>
        <w:tblLook w:val="04A0" w:firstRow="1" w:lastRow="0" w:firstColumn="1" w:lastColumn="0" w:noHBand="0" w:noVBand="1"/>
      </w:tblPr>
      <w:tblGrid>
        <w:gridCol w:w="6374"/>
        <w:gridCol w:w="2268"/>
      </w:tblGrid>
      <w:tr w:rsidR="00324B33" w:rsidRPr="00D01DDB" w14:paraId="6C59BE9C" w14:textId="77777777" w:rsidTr="000163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16D80E78" w14:textId="3EC0CCAF" w:rsidR="00324B33" w:rsidRPr="00D01DDB" w:rsidRDefault="00324B33" w:rsidP="00324B33">
            <w:pPr>
              <w:rPr>
                <w:szCs w:val="22"/>
              </w:rPr>
            </w:pPr>
            <w:r w:rsidRPr="00D01DDB">
              <w:rPr>
                <w:szCs w:val="22"/>
              </w:rPr>
              <w:t>Description</w:t>
            </w:r>
          </w:p>
        </w:tc>
        <w:tc>
          <w:tcPr>
            <w:tcW w:w="2268"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0163D1">
        <w:tc>
          <w:tcPr>
            <w:cnfStyle w:val="001000000000" w:firstRow="0" w:lastRow="0" w:firstColumn="1" w:lastColumn="0" w:oddVBand="0" w:evenVBand="0" w:oddHBand="0" w:evenHBand="0" w:firstRowFirstColumn="0" w:firstRowLastColumn="0" w:lastRowFirstColumn="0" w:lastRowLastColumn="0"/>
            <w:tcW w:w="6374" w:type="dxa"/>
          </w:tcPr>
          <w:p w14:paraId="759D2A12" w14:textId="0D705F83" w:rsidR="00324B33" w:rsidRPr="00E679D1" w:rsidRDefault="00324B33" w:rsidP="00EE296B">
            <w:pPr>
              <w:ind w:left="177"/>
            </w:pPr>
            <w:r w:rsidRPr="00E679D1">
              <w:t>Submission dossier accepted and first round evaluation commenced</w:t>
            </w:r>
          </w:p>
        </w:tc>
        <w:tc>
          <w:tcPr>
            <w:tcW w:w="2268" w:type="dxa"/>
          </w:tcPr>
          <w:p w14:paraId="2963D9D8" w14:textId="0AFAAE21" w:rsidR="00324B33" w:rsidRPr="00D01DDB" w:rsidRDefault="008B0381"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 March 2024</w:t>
            </w:r>
          </w:p>
        </w:tc>
      </w:tr>
      <w:tr w:rsidR="00803926" w:rsidRPr="00D01DDB" w14:paraId="16D13F79" w14:textId="77777777" w:rsidTr="000163D1">
        <w:tc>
          <w:tcPr>
            <w:cnfStyle w:val="001000000000" w:firstRow="0" w:lastRow="0" w:firstColumn="1" w:lastColumn="0" w:oddVBand="0" w:evenVBand="0" w:oddHBand="0" w:evenHBand="0" w:firstRowFirstColumn="0" w:firstRowLastColumn="0" w:lastRowFirstColumn="0" w:lastRowLastColumn="0"/>
            <w:tcW w:w="6374" w:type="dxa"/>
          </w:tcPr>
          <w:p w14:paraId="6858B45A" w14:textId="1567E345" w:rsidR="00803926" w:rsidRPr="00E679D1" w:rsidDel="00C62B1C" w:rsidRDefault="00803926" w:rsidP="00EE296B">
            <w:pPr>
              <w:ind w:left="177"/>
            </w:pPr>
            <w:r>
              <w:t>Evaluation completed</w:t>
            </w:r>
          </w:p>
        </w:tc>
        <w:tc>
          <w:tcPr>
            <w:tcW w:w="2268" w:type="dxa"/>
          </w:tcPr>
          <w:p w14:paraId="2E0BD403" w14:textId="4E4B0C60" w:rsidR="00803926" w:rsidRPr="00D01DDB" w:rsidRDefault="009E27C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28 October 2024</w:t>
            </w:r>
          </w:p>
        </w:tc>
      </w:tr>
      <w:tr w:rsidR="00324B33" w:rsidRPr="00D01DDB" w14:paraId="6E5D32FE" w14:textId="77777777" w:rsidTr="000163D1">
        <w:tc>
          <w:tcPr>
            <w:cnfStyle w:val="001000000000" w:firstRow="0" w:lastRow="0" w:firstColumn="1" w:lastColumn="0" w:oddVBand="0" w:evenVBand="0" w:oddHBand="0" w:evenHBand="0" w:firstRowFirstColumn="0" w:firstRowLastColumn="0" w:lastRowFirstColumn="0" w:lastRowLastColumn="0"/>
            <w:tcW w:w="6374" w:type="dxa"/>
          </w:tcPr>
          <w:p w14:paraId="4E95C44C" w14:textId="7A91C710" w:rsidR="00324B33" w:rsidRPr="00E679D1" w:rsidRDefault="00324B33" w:rsidP="00EE296B">
            <w:pPr>
              <w:ind w:firstLine="64"/>
            </w:pPr>
            <w:r w:rsidRPr="00E679D1">
              <w:lastRenderedPageBreak/>
              <w:t>Registration decision (Outcome)</w:t>
            </w:r>
          </w:p>
        </w:tc>
        <w:tc>
          <w:tcPr>
            <w:tcW w:w="2268" w:type="dxa"/>
          </w:tcPr>
          <w:p w14:paraId="62987ABD" w14:textId="37651B46" w:rsidR="00324B33" w:rsidRPr="00D01DDB" w:rsidRDefault="00C933B9"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29 January 2025</w:t>
            </w:r>
          </w:p>
        </w:tc>
      </w:tr>
      <w:tr w:rsidR="00324B33" w:rsidRPr="00D01DDB" w14:paraId="6DDCDDA4" w14:textId="77777777" w:rsidTr="000163D1">
        <w:tc>
          <w:tcPr>
            <w:cnfStyle w:val="001000000000" w:firstRow="0" w:lastRow="0" w:firstColumn="1" w:lastColumn="0" w:oddVBand="0" w:evenVBand="0" w:oddHBand="0" w:evenHBand="0" w:firstRowFirstColumn="0" w:firstRowLastColumn="0" w:lastRowFirstColumn="0" w:lastRowLastColumn="0"/>
            <w:tcW w:w="6374" w:type="dxa"/>
          </w:tcPr>
          <w:p w14:paraId="192FD19D" w14:textId="32914435" w:rsidR="00324B33" w:rsidRPr="00E679D1" w:rsidRDefault="00C00844" w:rsidP="00EE296B">
            <w:pPr>
              <w:ind w:left="177"/>
            </w:pPr>
            <w:r>
              <w:t>R</w:t>
            </w:r>
            <w:r w:rsidR="0013132F" w:rsidRPr="00E679D1">
              <w:t xml:space="preserve">egistration </w:t>
            </w:r>
            <w:r w:rsidR="005C4B46" w:rsidRPr="00E679D1">
              <w:t xml:space="preserve">in </w:t>
            </w:r>
            <w:r w:rsidR="0013132F" w:rsidRPr="00E679D1">
              <w:t>the ARTG completed</w:t>
            </w:r>
          </w:p>
        </w:tc>
        <w:tc>
          <w:tcPr>
            <w:tcW w:w="2268" w:type="dxa"/>
          </w:tcPr>
          <w:p w14:paraId="5A8923FD" w14:textId="0FFD42A0" w:rsidR="00324B33" w:rsidRPr="00D01DDB" w:rsidRDefault="00160F81"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29 January 2025</w:t>
            </w:r>
          </w:p>
        </w:tc>
      </w:tr>
      <w:tr w:rsidR="00324B33" w:rsidRPr="00D01DDB" w14:paraId="56D922E2" w14:textId="77777777" w:rsidTr="000163D1">
        <w:tc>
          <w:tcPr>
            <w:cnfStyle w:val="001000000000" w:firstRow="0" w:lastRow="0" w:firstColumn="1" w:lastColumn="0" w:oddVBand="0" w:evenVBand="0" w:oddHBand="0" w:evenHBand="0" w:firstRowFirstColumn="0" w:firstRowLastColumn="0" w:lastRowFirstColumn="0" w:lastRowLastColumn="0"/>
            <w:tcW w:w="6374" w:type="dxa"/>
          </w:tcPr>
          <w:p w14:paraId="787FD8DD" w14:textId="0E0CF97F" w:rsidR="00324B33" w:rsidRPr="00E679D1" w:rsidRDefault="00324B33" w:rsidP="00C933B9">
            <w:pPr>
              <w:ind w:left="177"/>
            </w:pPr>
            <w:r w:rsidRPr="00E679D1">
              <w:t>Number of working days from submission dossier acceptance to registration decision*</w:t>
            </w:r>
          </w:p>
        </w:tc>
        <w:tc>
          <w:tcPr>
            <w:tcW w:w="2268" w:type="dxa"/>
          </w:tcPr>
          <w:p w14:paraId="5BAF9FA1" w14:textId="319E74E1" w:rsidR="00324B33" w:rsidRPr="00D01DDB" w:rsidRDefault="008E7007" w:rsidP="00324B33">
            <w:pPr>
              <w:cnfStyle w:val="000000000000" w:firstRow="0" w:lastRow="0" w:firstColumn="0" w:lastColumn="0" w:oddVBand="0" w:evenVBand="0" w:oddHBand="0" w:evenHBand="0" w:firstRowFirstColumn="0" w:firstRowLastColumn="0" w:lastRowFirstColumn="0" w:lastRowLastColumn="0"/>
              <w:rPr>
                <w:szCs w:val="22"/>
              </w:rPr>
            </w:pPr>
            <w:r w:rsidRPr="008E7007">
              <w:rPr>
                <w:szCs w:val="22"/>
              </w:rPr>
              <w:t>232 days</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0B9358FE" w:rsidR="00C22214" w:rsidRPr="00792A32" w:rsidRDefault="00083763" w:rsidP="00C22214">
      <w:pPr>
        <w:pStyle w:val="Heading2"/>
      </w:pPr>
      <w:bookmarkStart w:id="32" w:name="_Toc196046504"/>
      <w:bookmarkStart w:id="33" w:name="_Toc247691527"/>
      <w:bookmarkStart w:id="34" w:name="_Toc314842510"/>
      <w:bookmarkStart w:id="35" w:name="_Toc103679294"/>
      <w:bookmarkStart w:id="36" w:name="_Toc212036842"/>
      <w:r>
        <w:t xml:space="preserve">Assessment </w:t>
      </w:r>
      <w:r w:rsidR="00C22214" w:rsidRPr="00006FAB">
        <w:t>overview</w:t>
      </w:r>
      <w:bookmarkEnd w:id="32"/>
      <w:bookmarkEnd w:id="33"/>
      <w:bookmarkEnd w:id="34"/>
      <w:bookmarkEnd w:id="35"/>
      <w:bookmarkEnd w:id="36"/>
    </w:p>
    <w:p w14:paraId="668E3E84" w14:textId="265B0038" w:rsidR="007072A1" w:rsidRDefault="007072A1" w:rsidP="00966EF1">
      <w:pPr>
        <w:rPr>
          <w:color w:val="00709D"/>
          <w:szCs w:val="22"/>
        </w:rPr>
      </w:pPr>
      <w:bookmarkStart w:id="37" w:name="_Toc247691528"/>
      <w:bookmarkStart w:id="38" w:name="_Toc314842511"/>
      <w:r w:rsidRPr="00E34770">
        <w:rPr>
          <w:szCs w:val="22"/>
        </w:rPr>
        <w:t xml:space="preserve">Relevant guidelines or guidance documents referred to by the Delegate </w:t>
      </w:r>
      <w:r w:rsidR="00285DB6">
        <w:rPr>
          <w:szCs w:val="22"/>
        </w:rPr>
        <w:t>include</w:t>
      </w:r>
      <w:r w:rsidRPr="00E34770">
        <w:rPr>
          <w:szCs w:val="22"/>
        </w:rPr>
        <w:t>:</w:t>
      </w:r>
    </w:p>
    <w:p w14:paraId="5EAAA533" w14:textId="20103388" w:rsidR="00E34770" w:rsidRDefault="00E34770" w:rsidP="00E34770">
      <w:pPr>
        <w:pStyle w:val="ListBullet"/>
        <w:rPr>
          <w:lang w:eastAsia="ja-JP"/>
        </w:rPr>
      </w:pPr>
      <w:hyperlink r:id="rId20" w:history="1">
        <w:r w:rsidRPr="003D3D27">
          <w:rPr>
            <w:rStyle w:val="Hyperlink"/>
          </w:rPr>
          <w:t>Guideline on immunogenicity assessment of monoclonal antibodies intended for in vivo clinical use</w:t>
        </w:r>
      </w:hyperlink>
      <w:r w:rsidRPr="006D1BF2">
        <w:t>. EMA/CHMP/BMWP/86289/2010</w:t>
      </w:r>
    </w:p>
    <w:p w14:paraId="53907F40" w14:textId="2355F33E" w:rsidR="00E34770" w:rsidRDefault="00E34770" w:rsidP="00E34770">
      <w:pPr>
        <w:pStyle w:val="ListBullet"/>
        <w:rPr>
          <w:lang w:eastAsia="ja-JP"/>
        </w:rPr>
      </w:pPr>
      <w:hyperlink r:id="rId21" w:history="1">
        <w:r w:rsidRPr="004A2361">
          <w:rPr>
            <w:rStyle w:val="Hyperlink"/>
          </w:rPr>
          <w:t>Guideline on Reporting the Results of population Pharmacokinetic Analyses</w:t>
        </w:r>
      </w:hyperlink>
      <w:r>
        <w:t>.</w:t>
      </w:r>
      <w:r w:rsidRPr="00111A5E">
        <w:t xml:space="preserve"> CHMP/EWP/185990/06</w:t>
      </w:r>
    </w:p>
    <w:p w14:paraId="696E9F67" w14:textId="02DD9129" w:rsidR="00E34770" w:rsidRDefault="00E34770" w:rsidP="00E34770">
      <w:pPr>
        <w:pStyle w:val="ListBullet"/>
        <w:rPr>
          <w:lang w:eastAsia="ja-JP"/>
        </w:rPr>
      </w:pPr>
      <w:hyperlink r:id="rId22" w:history="1">
        <w:r w:rsidRPr="004E1F7E">
          <w:rPr>
            <w:rStyle w:val="Hyperlink"/>
          </w:rPr>
          <w:t>Note for guidance on population exposure: the extent of population exposure to assess clinical safety</w:t>
        </w:r>
      </w:hyperlink>
      <w:r>
        <w:t>. CPMP/ICH/375/95.</w:t>
      </w:r>
    </w:p>
    <w:p w14:paraId="53E61480" w14:textId="172E8020" w:rsidR="00E34770" w:rsidRDefault="00E34770" w:rsidP="00E34770">
      <w:pPr>
        <w:pStyle w:val="ListBullet"/>
      </w:pPr>
      <w:hyperlink r:id="rId23" w:history="1">
        <w:r w:rsidRPr="00E163B1">
          <w:rPr>
            <w:rStyle w:val="Hyperlink"/>
          </w:rPr>
          <w:t>Points to consider on application with 1. Meta-analyses; 2. One pivotal study</w:t>
        </w:r>
      </w:hyperlink>
      <w:r w:rsidRPr="00985CAF">
        <w:t>. CPMP/EWP/2330/99.</w:t>
      </w:r>
    </w:p>
    <w:p w14:paraId="37F5A1C0" w14:textId="5D3D5FE0" w:rsidR="00C22214" w:rsidRDefault="00095C6A" w:rsidP="00C22214">
      <w:pPr>
        <w:pStyle w:val="Heading3"/>
      </w:pPr>
      <w:bookmarkStart w:id="39" w:name="_Toc103679295"/>
      <w:bookmarkStart w:id="40" w:name="_Toc212036843"/>
      <w:r>
        <w:t>Q</w:t>
      </w:r>
      <w:r w:rsidR="00C22214">
        <w:t>uality</w:t>
      </w:r>
      <w:bookmarkEnd w:id="37"/>
      <w:bookmarkEnd w:id="38"/>
      <w:bookmarkEnd w:id="39"/>
      <w:r w:rsidR="007E6443">
        <w:t xml:space="preserve"> evaluation</w:t>
      </w:r>
      <w:r>
        <w:t xml:space="preserve"> summary</w:t>
      </w:r>
      <w:bookmarkEnd w:id="40"/>
    </w:p>
    <w:p w14:paraId="11D31A85" w14:textId="77777777" w:rsidR="003D6932" w:rsidRPr="0099434D" w:rsidRDefault="003D6932" w:rsidP="003D6932">
      <w:r w:rsidRPr="0099434D">
        <w:t xml:space="preserve">Marstacimab is an IgG1 lambda mAb with </w:t>
      </w:r>
      <w:r>
        <w:t>2</w:t>
      </w:r>
      <w:r w:rsidRPr="0099434D">
        <w:t xml:space="preserve"> identical heavy (H)</w:t>
      </w:r>
      <w:r>
        <w:t xml:space="preserve"> </w:t>
      </w:r>
      <w:r w:rsidRPr="0099434D">
        <w:t xml:space="preserve">chains and two identical light (L) chains, covalently linked with </w:t>
      </w:r>
      <w:r>
        <w:t>4</w:t>
      </w:r>
      <w:r w:rsidRPr="0099434D">
        <w:t xml:space="preserve"> inter-chain disulfide</w:t>
      </w:r>
      <w:r>
        <w:t xml:space="preserve"> </w:t>
      </w:r>
      <w:r w:rsidRPr="0099434D">
        <w:t>bonds. The</w:t>
      </w:r>
      <w:r>
        <w:t xml:space="preserve"> </w:t>
      </w:r>
      <w:r w:rsidRPr="0099434D">
        <w:t xml:space="preserve">N-terminus of the L chain is </w:t>
      </w:r>
      <w:r w:rsidRPr="00A57FA0">
        <w:t>mainly pyroglutamic acid, which is known to spontaneously form in mAbs when the N−terminal</w:t>
      </w:r>
      <w:r w:rsidRPr="0099434D">
        <w:t xml:space="preserve"> residue is Q. The H chain includes </w:t>
      </w:r>
      <w:r>
        <w:t>3</w:t>
      </w:r>
      <w:r w:rsidRPr="0099434D">
        <w:t xml:space="preserve"> alanine</w:t>
      </w:r>
      <w:r>
        <w:t xml:space="preserve"> </w:t>
      </w:r>
      <w:r w:rsidRPr="0099434D">
        <w:t xml:space="preserve">substitutions at positions 237, 238, and 240 to </w:t>
      </w:r>
      <w:r w:rsidRPr="00A57FA0">
        <w:t xml:space="preserve">minimise the Fc effector functions of the molecule. The N−linked glycosylation consensus sequence, NST, in the CH2 region is essentially fully occupied with </w:t>
      </w:r>
      <w:proofErr w:type="spellStart"/>
      <w:r w:rsidRPr="00A57FA0">
        <w:t>asialo</w:t>
      </w:r>
      <w:proofErr w:type="spellEnd"/>
      <w:r w:rsidRPr="00A57FA0">
        <w:t>, core-</w:t>
      </w:r>
      <w:proofErr w:type="spellStart"/>
      <w:r w:rsidRPr="00A57FA0">
        <w:t>fucosylated</w:t>
      </w:r>
      <w:proofErr w:type="spellEnd"/>
      <w:r w:rsidRPr="00A57FA0">
        <w:t xml:space="preserve"> and</w:t>
      </w:r>
      <w:r w:rsidRPr="0099434D">
        <w:t xml:space="preserve"> complex-type biantennary</w:t>
      </w:r>
      <w:r>
        <w:t xml:space="preserve"> </w:t>
      </w:r>
      <w:r w:rsidRPr="0099434D">
        <w:t xml:space="preserve">N-linked glycans with zero, one, and two terminal galactose residues, </w:t>
      </w:r>
      <w:r w:rsidRPr="00A57FA0">
        <w:t>abbreviated as G0F, G1F, and G2F, respectively. C-terminal K is not encoded by the H chain</w:t>
      </w:r>
      <w:r w:rsidRPr="0099434D">
        <w:t xml:space="preserve"> expression vector cDNA</w:t>
      </w:r>
      <w:r>
        <w:t xml:space="preserve"> </w:t>
      </w:r>
      <w:r w:rsidRPr="0099434D">
        <w:t>sequence, and therefore the G residue is the H chain C-terminus in marstacimab.</w:t>
      </w:r>
    </w:p>
    <w:p w14:paraId="13407543" w14:textId="77777777" w:rsidR="004C5E24" w:rsidRPr="008500F1" w:rsidRDefault="004C5E24" w:rsidP="004C5E24">
      <w:pPr>
        <w:rPr>
          <w:lang w:val="en-GB"/>
        </w:rPr>
      </w:pPr>
      <w:r w:rsidRPr="008500F1">
        <w:rPr>
          <w:lang w:val="en-GB"/>
        </w:rPr>
        <w:t>The same formulation composition has been used throughout all clinical studies and commercial production.</w:t>
      </w:r>
    </w:p>
    <w:p w14:paraId="2ADF4676" w14:textId="13BDDDCC" w:rsidR="004C5E24" w:rsidRPr="008500F1" w:rsidRDefault="004C5E24" w:rsidP="004C5E24">
      <w:pPr>
        <w:rPr>
          <w:lang w:val="en-GB"/>
        </w:rPr>
      </w:pPr>
      <w:r w:rsidRPr="008500F1">
        <w:rPr>
          <w:lang w:val="en-GB"/>
        </w:rPr>
        <w:t>The formulation is essentially sodium</w:t>
      </w:r>
      <w:r w:rsidR="00E163B1">
        <w:rPr>
          <w:lang w:val="en-GB"/>
        </w:rPr>
        <w:t>-</w:t>
      </w:r>
      <w:r w:rsidRPr="008500F1">
        <w:rPr>
          <w:lang w:val="en-GB"/>
        </w:rPr>
        <w:t xml:space="preserve">free as it contains </w:t>
      </w:r>
      <w:r w:rsidR="007B2ED1">
        <w:rPr>
          <w:lang w:val="en-GB"/>
        </w:rPr>
        <w:t xml:space="preserve">less than </w:t>
      </w:r>
      <w:r w:rsidRPr="008500F1">
        <w:rPr>
          <w:lang w:val="en-GB"/>
        </w:rPr>
        <w:t>1 mmol (23</w:t>
      </w:r>
      <w:r w:rsidR="007B2ED1">
        <w:rPr>
          <w:lang w:val="en-GB"/>
        </w:rPr>
        <w:t> </w:t>
      </w:r>
      <w:r w:rsidRPr="008500F1">
        <w:rPr>
          <w:lang w:val="en-GB"/>
        </w:rPr>
        <w:t>mg) of sodium per 150</w:t>
      </w:r>
      <w:r w:rsidR="007B2ED1">
        <w:rPr>
          <w:lang w:val="en-GB"/>
        </w:rPr>
        <w:t> </w:t>
      </w:r>
      <w:r w:rsidRPr="008500F1">
        <w:rPr>
          <w:lang w:val="en-GB"/>
        </w:rPr>
        <w:t>mg dose.</w:t>
      </w:r>
    </w:p>
    <w:p w14:paraId="464D7808" w14:textId="54188AF0" w:rsidR="00C7378C" w:rsidRPr="008500F1" w:rsidRDefault="00C7378C" w:rsidP="00C7378C">
      <w:pPr>
        <w:rPr>
          <w:lang w:val="en-GB"/>
        </w:rPr>
      </w:pPr>
      <w:r w:rsidRPr="008500F1">
        <w:rPr>
          <w:lang w:val="en-GB"/>
        </w:rPr>
        <w:t>The prefilled pen consists of a prefilled syringe, assembled with pen components to form a delivery device.</w:t>
      </w:r>
    </w:p>
    <w:p w14:paraId="0FF4013C" w14:textId="35BACDDA" w:rsidR="003650C6" w:rsidRDefault="003650C6" w:rsidP="003650C6">
      <w:pPr>
        <w:rPr>
          <w:iCs/>
        </w:rPr>
      </w:pPr>
      <w:r w:rsidRPr="00332C0A">
        <w:rPr>
          <w:iCs/>
        </w:rPr>
        <w:t xml:space="preserve">The quality of this product is acceptable when used in accordance with the conditions defined in the PI, labels, </w:t>
      </w:r>
      <w:r w:rsidR="00FB19E6">
        <w:rPr>
          <w:iCs/>
        </w:rPr>
        <w:t>C</w:t>
      </w:r>
      <w:r w:rsidRPr="00332C0A">
        <w:rPr>
          <w:iCs/>
        </w:rPr>
        <w:t xml:space="preserve">onsumer medicines information </w:t>
      </w:r>
      <w:r w:rsidR="00FB19E6">
        <w:rPr>
          <w:iCs/>
        </w:rPr>
        <w:t xml:space="preserve">(CMI) </w:t>
      </w:r>
      <w:r w:rsidRPr="00332C0A">
        <w:rPr>
          <w:iCs/>
        </w:rPr>
        <w:t xml:space="preserve">and the ARTG. Physicochemical and biological aspects relevant to the uniform clinical performance of the product have been investigated and are controlled in a satisfactory way. Information on development, manufacture and control of the active substance and finished product has been presented in a satisfactory manner. The results of tests carried out indicate consistency and uniformity of important product quality characteristics, and these in turn lead to the conclusion that the product should </w:t>
      </w:r>
      <w:r w:rsidRPr="00332C0A">
        <w:rPr>
          <w:iCs/>
        </w:rPr>
        <w:lastRenderedPageBreak/>
        <w:t xml:space="preserve">have a satisfactory and uniform performance in clinical use. From quality perspective, compliance with </w:t>
      </w:r>
      <w:r w:rsidR="000B357D">
        <w:rPr>
          <w:iCs/>
        </w:rPr>
        <w:t>t</w:t>
      </w:r>
      <w:r w:rsidRPr="00332C0A">
        <w:rPr>
          <w:iCs/>
        </w:rPr>
        <w:t xml:space="preserve">herapeutic </w:t>
      </w:r>
      <w:r w:rsidR="000B357D">
        <w:rPr>
          <w:iCs/>
        </w:rPr>
        <w:t>g</w:t>
      </w:r>
      <w:r w:rsidRPr="00332C0A">
        <w:rPr>
          <w:iCs/>
        </w:rPr>
        <w:t xml:space="preserve">oods </w:t>
      </w:r>
      <w:r w:rsidR="000B357D">
        <w:rPr>
          <w:iCs/>
        </w:rPr>
        <w:t>l</w:t>
      </w:r>
      <w:r w:rsidRPr="00332C0A">
        <w:rPr>
          <w:iCs/>
        </w:rPr>
        <w:t xml:space="preserve">egislation and relevant </w:t>
      </w:r>
      <w:r w:rsidR="0084790C">
        <w:rPr>
          <w:iCs/>
        </w:rPr>
        <w:t>therapeutic good orders</w:t>
      </w:r>
      <w:r w:rsidRPr="00332C0A">
        <w:rPr>
          <w:iCs/>
        </w:rPr>
        <w:t xml:space="preserve"> as well as consistency with relevant guidelines and the </w:t>
      </w:r>
      <w:r w:rsidR="00CD36E1" w:rsidRPr="00EA7E54">
        <w:t>Australian Regulatory Guidelines for Prescription Medicines</w:t>
      </w:r>
      <w:r w:rsidR="00CD36E1">
        <w:t xml:space="preserve"> </w:t>
      </w:r>
      <w:r w:rsidRPr="00332C0A">
        <w:rPr>
          <w:iCs/>
        </w:rPr>
        <w:t>has been demonstrated.</w:t>
      </w:r>
    </w:p>
    <w:p w14:paraId="2BE90AAE" w14:textId="35796FD3" w:rsidR="00C22214" w:rsidRDefault="00C22214" w:rsidP="00C22214">
      <w:pPr>
        <w:pStyle w:val="Heading3"/>
      </w:pPr>
      <w:bookmarkStart w:id="41" w:name="_Toc314842512"/>
      <w:bookmarkStart w:id="42" w:name="_Toc103679296"/>
      <w:bookmarkStart w:id="43" w:name="_Toc212036844"/>
      <w:r>
        <w:t>Nonclinical</w:t>
      </w:r>
      <w:bookmarkEnd w:id="41"/>
      <w:bookmarkEnd w:id="42"/>
      <w:r w:rsidR="007E6443">
        <w:t xml:space="preserve"> evaluation</w:t>
      </w:r>
      <w:r w:rsidR="00095C6A">
        <w:t xml:space="preserve"> summary</w:t>
      </w:r>
      <w:bookmarkEnd w:id="43"/>
    </w:p>
    <w:p w14:paraId="62B83A49" w14:textId="77777777" w:rsidR="006D6F14" w:rsidRPr="006D6F14" w:rsidRDefault="006D6F14" w:rsidP="00553F2A">
      <w:pPr>
        <w:pStyle w:val="Heading5"/>
      </w:pPr>
      <w:bookmarkStart w:id="44" w:name="_Toc23258983"/>
      <w:bookmarkStart w:id="45" w:name="_Toc178323621"/>
      <w:r w:rsidRPr="006D6F14">
        <w:t>General comments</w:t>
      </w:r>
      <w:bookmarkEnd w:id="44"/>
      <w:bookmarkEnd w:id="45"/>
    </w:p>
    <w:p w14:paraId="47FE7267" w14:textId="15B9AEAC" w:rsidR="006D6F14" w:rsidRPr="006D6F14" w:rsidRDefault="006D6F14" w:rsidP="006D6F14">
      <w:r w:rsidRPr="00787A36">
        <w:t>The nonclinical dossier was of high quality and adequate in scope, consistent with the ICH S6 (R1) guideline for biotechnology-derived pharmaceuticals.</w:t>
      </w:r>
      <w:r w:rsidR="00444FC1" w:rsidRPr="00787A36">
        <w:rPr>
          <w:rStyle w:val="FootnoteReference"/>
        </w:rPr>
        <w:footnoteReference w:id="10"/>
      </w:r>
      <w:r w:rsidRPr="00787A36">
        <w:t xml:space="preserve"> All pivotal safety-related studies, as well as the tissue cross-reactivity study, were G</w:t>
      </w:r>
      <w:r w:rsidR="00787A36" w:rsidRPr="00787A36">
        <w:t>ood Laboratory Practice</w:t>
      </w:r>
      <w:r w:rsidRPr="00787A36">
        <w:t>-compliant.</w:t>
      </w:r>
    </w:p>
    <w:p w14:paraId="6CB35DBD" w14:textId="77777777" w:rsidR="002948A8" w:rsidRDefault="006D6F14" w:rsidP="006D6F14">
      <w:r w:rsidRPr="006D6F14">
        <w:t xml:space="preserve">Marstacimab belongs to the same pharmacological class as </w:t>
      </w:r>
      <w:proofErr w:type="spellStart"/>
      <w:r w:rsidRPr="006D6F14">
        <w:t>concizumab</w:t>
      </w:r>
      <w:proofErr w:type="spellEnd"/>
      <w:r w:rsidR="002948A8">
        <w:t>.</w:t>
      </w:r>
    </w:p>
    <w:p w14:paraId="0777AB9E" w14:textId="75738B49" w:rsidR="006D6F14" w:rsidRPr="006D6F14" w:rsidRDefault="006D6F14" w:rsidP="006D6F14">
      <w:r w:rsidRPr="006D6F14">
        <w:t>The product contains no novel excipients.</w:t>
      </w:r>
    </w:p>
    <w:p w14:paraId="2A57D4D9" w14:textId="77777777" w:rsidR="006D6F14" w:rsidRPr="006D6F14" w:rsidRDefault="006D6F14" w:rsidP="00553F2A">
      <w:pPr>
        <w:pStyle w:val="Heading5"/>
      </w:pPr>
      <w:bookmarkStart w:id="46" w:name="_Toc294861723"/>
      <w:bookmarkStart w:id="47" w:name="_Toc295290865"/>
      <w:bookmarkStart w:id="48" w:name="_Toc23258984"/>
      <w:bookmarkStart w:id="49" w:name="_Toc178323622"/>
      <w:r w:rsidRPr="006D6F14">
        <w:t>Pharmacology</w:t>
      </w:r>
      <w:bookmarkEnd w:id="46"/>
      <w:bookmarkEnd w:id="47"/>
      <w:bookmarkEnd w:id="48"/>
      <w:bookmarkEnd w:id="49"/>
    </w:p>
    <w:p w14:paraId="068D5736" w14:textId="77777777" w:rsidR="006D6F14" w:rsidRPr="006D6F14" w:rsidRDefault="006D6F14" w:rsidP="00553F2A">
      <w:pPr>
        <w:pStyle w:val="Heading6"/>
      </w:pPr>
      <w:r w:rsidRPr="006D6F14">
        <w:t>Mechanism of action and rationale</w:t>
      </w:r>
    </w:p>
    <w:p w14:paraId="775765F1" w14:textId="1229FF66" w:rsidR="006D6F14" w:rsidRPr="006C18FF" w:rsidRDefault="006D6F14" w:rsidP="006C18FF">
      <w:r w:rsidRPr="006C18FF">
        <w:t xml:space="preserve">Marstacimab is an IgG1 monoclonal antibody directed against the second Kunitz (K2) domain of </w:t>
      </w:r>
      <w:r w:rsidR="000C6F37" w:rsidRPr="006C18FF">
        <w:t>TFPI. T</w:t>
      </w:r>
      <w:r w:rsidRPr="006C18FF">
        <w:t xml:space="preserve">issue factor pathway inhibitor is involved in the </w:t>
      </w:r>
      <w:proofErr w:type="gramStart"/>
      <w:r w:rsidRPr="006C18FF">
        <w:t>down-regulation</w:t>
      </w:r>
      <w:proofErr w:type="gramEnd"/>
      <w:r w:rsidRPr="006C18FF">
        <w:t xml:space="preserve"> of the initiation of the coagulation cascade through binding to the active site of </w:t>
      </w:r>
      <w:r w:rsidR="000C6F37" w:rsidRPr="006C18FF">
        <w:t xml:space="preserve">factor </w:t>
      </w:r>
      <w:r w:rsidRPr="006C18FF">
        <w:t>Xa.</w:t>
      </w:r>
    </w:p>
    <w:p w14:paraId="6EEEB8A6" w14:textId="4FBD97F2" w:rsidR="006D6F14" w:rsidRPr="006C18FF" w:rsidRDefault="006D6F14" w:rsidP="006C18FF">
      <w:r w:rsidRPr="006C18FF">
        <w:t xml:space="preserve">Haemophilia A and B patients have normal initiation of the coagulation system but suffer from an inadequate propagation of the coagulation process due to deficiency in </w:t>
      </w:r>
      <w:r w:rsidR="0035522B" w:rsidRPr="006C18FF">
        <w:t xml:space="preserve">factor </w:t>
      </w:r>
      <w:r w:rsidRPr="006C18FF">
        <w:t xml:space="preserve">VIII or </w:t>
      </w:r>
      <w:r w:rsidR="0035522B" w:rsidRPr="006C18FF">
        <w:t xml:space="preserve">factor </w:t>
      </w:r>
      <w:r w:rsidRPr="006C18FF">
        <w:t xml:space="preserve">IX, leading to impaired </w:t>
      </w:r>
      <w:r w:rsidR="0035522B" w:rsidRPr="006C18FF">
        <w:t xml:space="preserve">factor </w:t>
      </w:r>
      <w:r w:rsidRPr="006C18FF">
        <w:t>Xa generation and, consequently, impaired fibrin clot formation.</w:t>
      </w:r>
    </w:p>
    <w:p w14:paraId="16BD3651" w14:textId="520E8AE7" w:rsidR="006D6F14" w:rsidRPr="006C18FF" w:rsidRDefault="006C18FF" w:rsidP="006C18FF">
      <w:r w:rsidRPr="006C18FF">
        <w:t>By binding to TFPI, marstacimab is intended to reduce TFPI inhibitory activity so that the</w:t>
      </w:r>
      <w:r>
        <w:t xml:space="preserve"> </w:t>
      </w:r>
      <w:r w:rsidRPr="00787A36">
        <w:t>factor Xa produced by the factor </w:t>
      </w:r>
      <w:proofErr w:type="spellStart"/>
      <w:r w:rsidRPr="00787A36">
        <w:t>VIIa</w:t>
      </w:r>
      <w:proofErr w:type="spellEnd"/>
      <w:r w:rsidRPr="00787A36">
        <w:t>/tissue factor complex will result in sufficient generation of thrombin to achieve haemostasis.</w:t>
      </w:r>
    </w:p>
    <w:p w14:paraId="3EF86766" w14:textId="77777777" w:rsidR="002E4780" w:rsidRPr="002E4780" w:rsidRDefault="002E4780" w:rsidP="00553F2A">
      <w:pPr>
        <w:pStyle w:val="Heading6"/>
      </w:pPr>
      <w:r w:rsidRPr="002E4780">
        <w:t>Primary pharmacology</w:t>
      </w:r>
    </w:p>
    <w:p w14:paraId="5AA3825A" w14:textId="67BD73B0" w:rsidR="002E4780" w:rsidRPr="002E4780" w:rsidRDefault="002E4780" w:rsidP="002E4780">
      <w:r>
        <w:t>In vitro, marstacimab was shown to bind to human TFPI with nanomolar affinity (K</w:t>
      </w:r>
      <w:r w:rsidRPr="3FA0CC2C">
        <w:rPr>
          <w:vertAlign w:val="subscript"/>
        </w:rPr>
        <w:t>D</w:t>
      </w:r>
      <w:r>
        <w:t>, 3.7</w:t>
      </w:r>
      <w:r w:rsidR="00777D6A">
        <w:t> </w:t>
      </w:r>
      <w:r>
        <w:t>nM), targeting the K2 domain and not the K1 domain. Marstacimab also recognises the mouse, rat, rabbit and cynomolgus monkey forms of TFPI, displaying higher (2.4</w:t>
      </w:r>
      <w:r w:rsidR="00777D6A">
        <w:t xml:space="preserve"> to </w:t>
      </w:r>
      <w:r>
        <w:t xml:space="preserve">6.4-fold) or comparable affinity cf. for human TFPI. Marstacimab neutralised human TFPI to increase </w:t>
      </w:r>
      <w:r w:rsidR="00677B8C">
        <w:t xml:space="preserve">factor </w:t>
      </w:r>
      <w:r>
        <w:t>Xa activity (</w:t>
      </w:r>
      <w:r w:rsidR="009B319F">
        <w:t>half maximal effect concentration (</w:t>
      </w:r>
      <w:r>
        <w:t>EC</w:t>
      </w:r>
      <w:r w:rsidRPr="3FA0CC2C">
        <w:rPr>
          <w:vertAlign w:val="subscript"/>
        </w:rPr>
        <w:t>50</w:t>
      </w:r>
      <w:r w:rsidR="009B319F">
        <w:t xml:space="preserve">), </w:t>
      </w:r>
      <w:r>
        <w:t>8.75 nM), enhanced thrombin generation and shortened dilute prothrombin time in human plasma (</w:t>
      </w:r>
      <w:proofErr w:type="spellStart"/>
      <w:r>
        <w:t>nonhaemophilic</w:t>
      </w:r>
      <w:proofErr w:type="spellEnd"/>
      <w:r>
        <w:t xml:space="preserve"> and haemophilic A and B</w:t>
      </w:r>
      <w:proofErr w:type="gramStart"/>
      <w:r>
        <w:t>), and</w:t>
      </w:r>
      <w:proofErr w:type="gramEnd"/>
      <w:r>
        <w:t xml:space="preserve"> decreased clotting time and clot formation time in normal human whole blood.</w:t>
      </w:r>
    </w:p>
    <w:p w14:paraId="4DCCAFC7" w14:textId="2561D5D2" w:rsidR="002E4780" w:rsidRPr="002E4780" w:rsidRDefault="002E4780" w:rsidP="002E4780">
      <w:r w:rsidRPr="00D326B1">
        <w:t>In vivo, marstacimab reduced blood loss induced by injury in mouse models of haemophilia A</w:t>
      </w:r>
      <w:r w:rsidRPr="002E4780">
        <w:t xml:space="preserve"> </w:t>
      </w:r>
      <w:r w:rsidRPr="009B319F">
        <w:t xml:space="preserve">and </w:t>
      </w:r>
      <w:r w:rsidR="003D3136" w:rsidRPr="009B319F">
        <w:t xml:space="preserve">haemophilia </w:t>
      </w:r>
      <w:r w:rsidRPr="009B319F">
        <w:t xml:space="preserve">B when administered </w:t>
      </w:r>
      <w:r w:rsidR="009B319F" w:rsidRPr="009B319F">
        <w:t>intravenously (</w:t>
      </w:r>
      <w:r w:rsidRPr="009B319F">
        <w:t>IV</w:t>
      </w:r>
      <w:r w:rsidR="009B319F" w:rsidRPr="009B319F">
        <w:t>)</w:t>
      </w:r>
      <w:r w:rsidRPr="009B319F">
        <w:t xml:space="preserve"> prior to induction of bleeding;</w:t>
      </w:r>
      <w:r w:rsidRPr="002E4780">
        <w:t xml:space="preserve"> protection was long lasting (at least 72–189 h after a single 6</w:t>
      </w:r>
      <w:r w:rsidR="007000CA">
        <w:t> </w:t>
      </w:r>
      <w:r w:rsidRPr="002E4780">
        <w:t>mg/kg dose). Restoration of haemostasis was also shown with administration post</w:t>
      </w:r>
      <w:r w:rsidRPr="002E4780">
        <w:noBreakHyphen/>
        <w:t xml:space="preserve">injury. </w:t>
      </w:r>
      <w:r w:rsidRPr="00D13D04">
        <w:t xml:space="preserve">Decreased </w:t>
      </w:r>
      <w:r w:rsidR="00D13D04" w:rsidRPr="00D13D04">
        <w:t xml:space="preserve">dilute prothrombin time </w:t>
      </w:r>
      <w:r w:rsidRPr="00D13D04">
        <w:t>was shown</w:t>
      </w:r>
      <w:r w:rsidRPr="002E4780">
        <w:t xml:space="preserve"> in plasma from cynomolgus monkeys treated with marstacimab </w:t>
      </w:r>
      <w:r w:rsidR="009B319F">
        <w:t xml:space="preserve">subcutaneously </w:t>
      </w:r>
      <w:r w:rsidR="009B319F" w:rsidRPr="009B319F">
        <w:t>(</w:t>
      </w:r>
      <w:r w:rsidRPr="009B319F">
        <w:t>SC</w:t>
      </w:r>
      <w:r w:rsidR="009B319F" w:rsidRPr="009B319F">
        <w:t>)</w:t>
      </w:r>
      <w:r w:rsidRPr="009B319F">
        <w:t xml:space="preserve"> or IV.</w:t>
      </w:r>
    </w:p>
    <w:p w14:paraId="1610A9DA" w14:textId="77777777" w:rsidR="002E4780" w:rsidRPr="002E4780" w:rsidRDefault="002E4780" w:rsidP="00553F2A">
      <w:pPr>
        <w:pStyle w:val="Heading6"/>
      </w:pPr>
      <w:r w:rsidRPr="002E4780">
        <w:lastRenderedPageBreak/>
        <w:t>Secondary pharmacodynamics and cross reactivity</w:t>
      </w:r>
    </w:p>
    <w:p w14:paraId="1850BAD5" w14:textId="7091C851" w:rsidR="002E4780" w:rsidRPr="002E4780" w:rsidRDefault="002E4780" w:rsidP="002E4780">
      <w:r w:rsidRPr="002E4780">
        <w:t>The Fc region of marstacimab contains mutations introduced to reduce effector function. Marstacimab (≤</w:t>
      </w:r>
      <w:r w:rsidR="005123BB">
        <w:t> </w:t>
      </w:r>
      <w:r w:rsidRPr="002E4780">
        <w:t>30</w:t>
      </w:r>
      <w:r w:rsidR="005123BB">
        <w:t> </w:t>
      </w:r>
      <w:r w:rsidRPr="002E4780">
        <w:t xml:space="preserve">μg/mL) displayed no binding to C1q or </w:t>
      </w:r>
      <w:proofErr w:type="spellStart"/>
      <w:r w:rsidRPr="002E4780">
        <w:t>FcγR</w:t>
      </w:r>
      <w:proofErr w:type="spellEnd"/>
      <w:r w:rsidRPr="002E4780">
        <w:t>, supporting a low potential for induction of complement-dependent cytotoxicity and antibody-dependent cell-mediated cytotoxicity.</w:t>
      </w:r>
    </w:p>
    <w:p w14:paraId="6C1C3E6A" w14:textId="0F088A13" w:rsidR="002E4780" w:rsidRPr="002E4780" w:rsidRDefault="002E4780" w:rsidP="002E4780">
      <w:r w:rsidRPr="002E4780">
        <w:t>Immunohistochemical studies using a suitably comprehensive panel of human (as well as cynomolgus monkey and rat) tissues revealed a binding pattern consistent with the known expression of TFPI (</w:t>
      </w:r>
      <w:r w:rsidR="00C5438B">
        <w:t>for example</w:t>
      </w:r>
      <w:r w:rsidRPr="002E4780">
        <w:t xml:space="preserve">, vascular endothelial cells, fibroblasts, mononuclear cells and spindle cells) for the most part. Where binding was observed in sites not known to express TFPI, this was localised to the cytoplasm (largely inaccessible to marstacimab in vivo). Accordingly, </w:t>
      </w:r>
      <w:proofErr w:type="gramStart"/>
      <w:r w:rsidRPr="002E4780">
        <w:t>no</w:t>
      </w:r>
      <w:proofErr w:type="gramEnd"/>
      <w:r w:rsidRPr="002E4780">
        <w:t xml:space="preserve"> toxicologically relevant off</w:t>
      </w:r>
      <w:r w:rsidRPr="002E4780">
        <w:noBreakHyphen/>
        <w:t>target binding by marstacimab is identified.</w:t>
      </w:r>
    </w:p>
    <w:p w14:paraId="528C944F" w14:textId="026D317A" w:rsidR="00C67D64" w:rsidRPr="00C67D64" w:rsidRDefault="00C67D64" w:rsidP="00553F2A">
      <w:pPr>
        <w:pStyle w:val="Heading6"/>
      </w:pPr>
      <w:r>
        <w:t>Pharmacodynamic drug interactions</w:t>
      </w:r>
    </w:p>
    <w:p w14:paraId="76227D87" w14:textId="2C144116" w:rsidR="00C67D64" w:rsidRPr="00C67D64" w:rsidRDefault="00C67D64" w:rsidP="00C67D64">
      <w:r w:rsidRPr="00C67D64">
        <w:t xml:space="preserve">The pharmacodynamic </w:t>
      </w:r>
      <w:r w:rsidR="00D326B1">
        <w:t xml:space="preserve">(PD) </w:t>
      </w:r>
      <w:r w:rsidRPr="00C67D64">
        <w:t xml:space="preserve">effect of marstacimab in combination with </w:t>
      </w:r>
      <w:proofErr w:type="spellStart"/>
      <w:r w:rsidRPr="00C67D64">
        <w:t>eptacog</w:t>
      </w:r>
      <w:proofErr w:type="spellEnd"/>
      <w:r w:rsidRPr="00C67D64">
        <w:t xml:space="preserve"> alfa (</w:t>
      </w:r>
      <w:proofErr w:type="spellStart"/>
      <w:r w:rsidRPr="00C67D64">
        <w:t>NovoSeven</w:t>
      </w:r>
      <w:proofErr w:type="spellEnd"/>
      <w:r w:rsidRPr="00C67D64">
        <w:t xml:space="preserve">), </w:t>
      </w:r>
      <w:r w:rsidRPr="008B7A8A">
        <w:t>activated prothrombin complex concentrate (</w:t>
      </w:r>
      <w:proofErr w:type="spellStart"/>
      <w:r w:rsidRPr="008B7A8A">
        <w:t>aPCC</w:t>
      </w:r>
      <w:proofErr w:type="spellEnd"/>
      <w:r w:rsidRPr="008B7A8A">
        <w:t>; factor VIII inhibitor bypassing fraction;</w:t>
      </w:r>
      <w:r w:rsidRPr="00C67D64">
        <w:t xml:space="preserve"> </w:t>
      </w:r>
      <w:proofErr w:type="spellStart"/>
      <w:r w:rsidRPr="00C67D64">
        <w:t>Feiba</w:t>
      </w:r>
      <w:proofErr w:type="spellEnd"/>
      <w:r w:rsidRPr="00C67D64">
        <w:t xml:space="preserve">) or </w:t>
      </w:r>
      <w:r w:rsidR="0024452A">
        <w:t xml:space="preserve">factor </w:t>
      </w:r>
      <w:proofErr w:type="spellStart"/>
      <w:r w:rsidRPr="00C67D64">
        <w:t>VIIa</w:t>
      </w:r>
      <w:proofErr w:type="spellEnd"/>
      <w:r w:rsidRPr="00C67D64">
        <w:t> + </w:t>
      </w:r>
      <w:r w:rsidR="0024452A">
        <w:t xml:space="preserve">factor </w:t>
      </w:r>
      <w:r w:rsidRPr="00C67D64">
        <w:t>X in a 1:10 ratio (</w:t>
      </w:r>
      <w:proofErr w:type="spellStart"/>
      <w:r w:rsidRPr="00C67D64">
        <w:t>Byclot</w:t>
      </w:r>
      <w:proofErr w:type="spellEnd"/>
      <w:r w:rsidRPr="00C67D64">
        <w:t>) was examined in vitro (in platelet-poor human haemophilic A and B plasma [mostly with inhibitors]) and in vivo (in rats).</w:t>
      </w:r>
    </w:p>
    <w:p w14:paraId="2436944A" w14:textId="77777777" w:rsidR="00C67D64" w:rsidRPr="008B7A8A" w:rsidRDefault="00C67D64" w:rsidP="00CF7150">
      <w:pPr>
        <w:pStyle w:val="ListBullet"/>
      </w:pPr>
      <w:r w:rsidRPr="008B7A8A">
        <w:t xml:space="preserve">Combination of </w:t>
      </w:r>
      <w:proofErr w:type="spellStart"/>
      <w:r w:rsidRPr="008B7A8A">
        <w:t>marstacimab</w:t>
      </w:r>
      <w:proofErr w:type="spellEnd"/>
      <w:r w:rsidRPr="008B7A8A">
        <w:t xml:space="preserve"> with </w:t>
      </w:r>
      <w:proofErr w:type="spellStart"/>
      <w:r w:rsidRPr="008B7A8A">
        <w:t>NovoSeven</w:t>
      </w:r>
      <w:proofErr w:type="spellEnd"/>
      <w:r w:rsidRPr="008B7A8A">
        <w:t xml:space="preserve"> resulted in only a minimal increase in thrombin generation cf. that obtained with marstacimab alone in plasma in vitro; peak thrombin levels did not exceed the level observed in non-haemophilic plasma with marstacimab alone.</w:t>
      </w:r>
    </w:p>
    <w:p w14:paraId="5CE39241" w14:textId="77777777" w:rsidR="00C67D64" w:rsidRPr="008B7A8A" w:rsidRDefault="00C67D64" w:rsidP="00CF7150">
      <w:pPr>
        <w:pStyle w:val="ListBullet"/>
      </w:pPr>
      <w:r w:rsidRPr="008B7A8A">
        <w:t xml:space="preserve">Combination of </w:t>
      </w:r>
      <w:proofErr w:type="spellStart"/>
      <w:r w:rsidRPr="008B7A8A">
        <w:t>marstacimab</w:t>
      </w:r>
      <w:proofErr w:type="spellEnd"/>
      <w:r w:rsidRPr="008B7A8A">
        <w:t xml:space="preserve"> with </w:t>
      </w:r>
      <w:proofErr w:type="spellStart"/>
      <w:r w:rsidRPr="008B7A8A">
        <w:t>Feiba</w:t>
      </w:r>
      <w:proofErr w:type="spellEnd"/>
      <w:r w:rsidRPr="008B7A8A">
        <w:t xml:space="preserve"> enhanced thrombin generation cf. either single agent in vitro, with peak thrombin concentrations within the range in studies reported for normal non</w:t>
      </w:r>
      <w:r w:rsidRPr="008B7A8A">
        <w:noBreakHyphen/>
        <w:t>haemophilic plasma.</w:t>
      </w:r>
    </w:p>
    <w:p w14:paraId="216EAA5F" w14:textId="77777777" w:rsidR="00C67D64" w:rsidRPr="008B7A8A" w:rsidRDefault="00C67D64" w:rsidP="00CF7150">
      <w:pPr>
        <w:pStyle w:val="ListBullet"/>
      </w:pPr>
      <w:r w:rsidRPr="008B7A8A">
        <w:t xml:space="preserve">A similar additive effect as seen with </w:t>
      </w:r>
      <w:proofErr w:type="spellStart"/>
      <w:r w:rsidRPr="008B7A8A">
        <w:t>Feiba</w:t>
      </w:r>
      <w:proofErr w:type="spellEnd"/>
      <w:r w:rsidRPr="008B7A8A">
        <w:t xml:space="preserve"> was found for marstacimab in combination with </w:t>
      </w:r>
      <w:proofErr w:type="spellStart"/>
      <w:r w:rsidRPr="008B7A8A">
        <w:t>Byclot</w:t>
      </w:r>
      <w:proofErr w:type="spellEnd"/>
      <w:r w:rsidRPr="008B7A8A">
        <w:t xml:space="preserve"> in vitro.</w:t>
      </w:r>
    </w:p>
    <w:p w14:paraId="2D8AC16D" w14:textId="103C40B4" w:rsidR="00C67D64" w:rsidRPr="008B7A8A" w:rsidRDefault="00C67D64" w:rsidP="00CF7150">
      <w:pPr>
        <w:pStyle w:val="ListBullet"/>
      </w:pPr>
      <w:r w:rsidRPr="008B7A8A">
        <w:t xml:space="preserve">An increase in the incidence/severity of thrombi/emboli (pharmacologically mediated) cf. that with the single agents was seen with marstacimab in combination with </w:t>
      </w:r>
      <w:proofErr w:type="spellStart"/>
      <w:r w:rsidRPr="008B7A8A">
        <w:t>NovoSeven</w:t>
      </w:r>
      <w:proofErr w:type="spellEnd"/>
      <w:r w:rsidRPr="008B7A8A">
        <w:t xml:space="preserve"> in rats; the combination produced no significant additional reduction in prothrombin time.</w:t>
      </w:r>
    </w:p>
    <w:p w14:paraId="3F2B2DF1" w14:textId="77777777" w:rsidR="00C67D64" w:rsidRPr="008B7A8A" w:rsidRDefault="00C67D64" w:rsidP="00CF7150">
      <w:pPr>
        <w:pStyle w:val="ListBullet"/>
      </w:pPr>
      <w:proofErr w:type="spellStart"/>
      <w:r w:rsidRPr="008B7A8A">
        <w:t>Marstacimab</w:t>
      </w:r>
      <w:proofErr w:type="spellEnd"/>
      <w:r w:rsidRPr="008B7A8A">
        <w:t xml:space="preserve"> and </w:t>
      </w:r>
      <w:proofErr w:type="spellStart"/>
      <w:r w:rsidRPr="008B7A8A">
        <w:t>Feiba</w:t>
      </w:r>
      <w:proofErr w:type="spellEnd"/>
      <w:r w:rsidRPr="008B7A8A">
        <w:t xml:space="preserve"> co</w:t>
      </w:r>
      <w:r w:rsidRPr="008B7A8A">
        <w:noBreakHyphen/>
        <w:t xml:space="preserve">treatment in rats led to an increase in mean thrombin-antithrombin complexes (an indicator of thrombin generation) and mean platelet volume cf. that with </w:t>
      </w:r>
      <w:proofErr w:type="spellStart"/>
      <w:r w:rsidRPr="008B7A8A">
        <w:t>Feiba</w:t>
      </w:r>
      <w:proofErr w:type="spellEnd"/>
      <w:r w:rsidRPr="008B7A8A">
        <w:t xml:space="preserve"> alone; reductions in prothrombin time with the combination were comparable to that with single-agent </w:t>
      </w:r>
      <w:proofErr w:type="spellStart"/>
      <w:r w:rsidRPr="008B7A8A">
        <w:t>Feiba</w:t>
      </w:r>
      <w:proofErr w:type="spellEnd"/>
      <w:r w:rsidRPr="008B7A8A">
        <w:t>.</w:t>
      </w:r>
    </w:p>
    <w:p w14:paraId="768E4AFE" w14:textId="77777777" w:rsidR="00C67D64" w:rsidRPr="008B7A8A" w:rsidRDefault="00C67D64" w:rsidP="00CF7150">
      <w:pPr>
        <w:pStyle w:val="ListBullet"/>
      </w:pPr>
      <w:r w:rsidRPr="008B7A8A">
        <w:t xml:space="preserve">Combined treatment with </w:t>
      </w:r>
      <w:proofErr w:type="spellStart"/>
      <w:r w:rsidRPr="008B7A8A">
        <w:t>marstacimab</w:t>
      </w:r>
      <w:proofErr w:type="spellEnd"/>
      <w:r w:rsidRPr="008B7A8A">
        <w:t xml:space="preserve"> and </w:t>
      </w:r>
      <w:proofErr w:type="spellStart"/>
      <w:r w:rsidRPr="008B7A8A">
        <w:t>Byclot</w:t>
      </w:r>
      <w:proofErr w:type="spellEnd"/>
      <w:r w:rsidRPr="008B7A8A">
        <w:t xml:space="preserve"> in rats produced similar effects on coagulation parameters cf. that observed with </w:t>
      </w:r>
      <w:proofErr w:type="spellStart"/>
      <w:r w:rsidRPr="008B7A8A">
        <w:t>Byclot</w:t>
      </w:r>
      <w:proofErr w:type="spellEnd"/>
      <w:r w:rsidRPr="008B7A8A">
        <w:t xml:space="preserve"> alone.</w:t>
      </w:r>
    </w:p>
    <w:p w14:paraId="0994573E" w14:textId="77777777" w:rsidR="004D6CB0" w:rsidRPr="004D6CB0" w:rsidRDefault="004D6CB0" w:rsidP="00553F2A">
      <w:pPr>
        <w:pStyle w:val="Heading6"/>
      </w:pPr>
      <w:r w:rsidRPr="004D6CB0">
        <w:t>Safety pharmacology</w:t>
      </w:r>
    </w:p>
    <w:p w14:paraId="1AE389A4" w14:textId="3FED2DC2" w:rsidR="004D6CB0" w:rsidRPr="004D6CB0" w:rsidRDefault="004D6CB0" w:rsidP="004D6CB0">
      <w:r w:rsidRPr="004D6CB0">
        <w:t xml:space="preserve">Examination of safety pharmacology endpoints was incorporated into the 13-week repeat-dose toxicity study in cynomolgus monkeys. No effects on neurobehavioral parameters, </w:t>
      </w:r>
      <w:r w:rsidR="008B7A8A" w:rsidRPr="008B7A8A">
        <w:t>electrocardiogram (</w:t>
      </w:r>
      <w:r w:rsidRPr="008B7A8A">
        <w:t>ECG</w:t>
      </w:r>
      <w:r w:rsidR="008B7A8A" w:rsidRPr="008B7A8A">
        <w:t>)</w:t>
      </w:r>
      <w:r w:rsidRPr="008B7A8A">
        <w:t>, heart rate, blood pressure or respiratory rate were observed with</w:t>
      </w:r>
      <w:r w:rsidRPr="004D6CB0">
        <w:t xml:space="preserve"> marstacimab up to the highest doses tested (90 mg/kg/week SC and 500 mg/kg/week IV), </w:t>
      </w:r>
      <w:r w:rsidRPr="000E0D84">
        <w:t xml:space="preserve">yielding plasma concentrations </w:t>
      </w:r>
      <w:r w:rsidR="00220E4F" w:rsidRPr="000E0D84">
        <w:t xml:space="preserve">at least </w:t>
      </w:r>
      <w:r w:rsidRPr="000E0D84">
        <w:t>33 times higher than the</w:t>
      </w:r>
      <w:r w:rsidR="008B7A8A" w:rsidRPr="000E0D84">
        <w:t xml:space="preserve"> maximum plasma concentration (</w:t>
      </w:r>
      <w:r w:rsidRPr="000E0D84">
        <w:t>C</w:t>
      </w:r>
      <w:r w:rsidRPr="000E0D84">
        <w:rPr>
          <w:vertAlign w:val="subscript"/>
        </w:rPr>
        <w:t>max</w:t>
      </w:r>
      <w:r w:rsidR="008B7A8A" w:rsidRPr="000E0D84">
        <w:t xml:space="preserve">) </w:t>
      </w:r>
      <w:r w:rsidRPr="000E0D84">
        <w:t>in patients at the maximum recommended clinical dose of 300</w:t>
      </w:r>
      <w:r w:rsidR="00CA3DEF" w:rsidRPr="000E0D84">
        <w:t> </w:t>
      </w:r>
      <w:r w:rsidRPr="000E0D84">
        <w:t>mg SC once</w:t>
      </w:r>
      <w:r w:rsidRPr="004D6CB0">
        <w:t xml:space="preserve"> weekly [= 75.2 μg/mL].</w:t>
      </w:r>
    </w:p>
    <w:p w14:paraId="2624212F" w14:textId="77777777" w:rsidR="004D6CB0" w:rsidRPr="004D6CB0" w:rsidRDefault="004D6CB0" w:rsidP="00553F2A">
      <w:pPr>
        <w:pStyle w:val="Heading6"/>
      </w:pPr>
      <w:bookmarkStart w:id="50" w:name="_Toc178323623"/>
      <w:r w:rsidRPr="004D6CB0">
        <w:lastRenderedPageBreak/>
        <w:t>Pharmacokinetics</w:t>
      </w:r>
      <w:bookmarkEnd w:id="50"/>
    </w:p>
    <w:p w14:paraId="5319E249" w14:textId="05F2D7E9" w:rsidR="004D6CB0" w:rsidRPr="004D6CB0" w:rsidRDefault="004D6CB0" w:rsidP="004D6CB0">
      <w:r w:rsidRPr="004D6CB0">
        <w:t xml:space="preserve">Marstacimab displayed a pharmacokinetic </w:t>
      </w:r>
      <w:r w:rsidR="00004F0C">
        <w:t xml:space="preserve">(PK) </w:t>
      </w:r>
      <w:r w:rsidRPr="004D6CB0">
        <w:t xml:space="preserve">profile typical of a monoclonal antibody in laboratory animal species and humans, characterised by a long plasma half-life and low volume of distribution (consistent with limited distribution outside the vascular compartment). Target-mediated drug disposition was evident. Bioavailability by the SC route in rats was </w:t>
      </w:r>
      <w:r w:rsidR="00153D15">
        <w:t xml:space="preserve">approximately </w:t>
      </w:r>
      <w:r w:rsidRPr="004D6CB0">
        <w:t xml:space="preserve">70%, </w:t>
      </w:r>
      <w:proofErr w:type="gramStart"/>
      <w:r w:rsidRPr="004D6CB0">
        <w:t>similar to</w:t>
      </w:r>
      <w:proofErr w:type="gramEnd"/>
      <w:r w:rsidRPr="004D6CB0">
        <w:t xml:space="preserve"> humans. No</w:t>
      </w:r>
      <w:r w:rsidR="00153D15">
        <w:t xml:space="preserve"> </w:t>
      </w:r>
      <w:r w:rsidRPr="004D6CB0">
        <w:t>studies on tissue distribution, metabolism, excretion or enzyme/transporter interactions were included in the submission; this is acceptable for a protein drug. Marstacimab exposure was seen to be unaffected by co</w:t>
      </w:r>
      <w:r w:rsidRPr="004D6CB0">
        <w:noBreakHyphen/>
        <w:t xml:space="preserve">treatment with </w:t>
      </w:r>
      <w:proofErr w:type="spellStart"/>
      <w:r w:rsidRPr="004D6CB0">
        <w:t>NovoSeven</w:t>
      </w:r>
      <w:proofErr w:type="spellEnd"/>
      <w:r w:rsidRPr="004D6CB0">
        <w:t xml:space="preserve">, </w:t>
      </w:r>
      <w:proofErr w:type="spellStart"/>
      <w:r w:rsidRPr="004D6CB0">
        <w:t>Feiba</w:t>
      </w:r>
      <w:proofErr w:type="spellEnd"/>
      <w:r w:rsidRPr="004D6CB0">
        <w:t xml:space="preserve"> or </w:t>
      </w:r>
      <w:proofErr w:type="spellStart"/>
      <w:r w:rsidRPr="004D6CB0">
        <w:t>Byclot</w:t>
      </w:r>
      <w:proofErr w:type="spellEnd"/>
      <w:r w:rsidRPr="004D6CB0">
        <w:t xml:space="preserve">; and </w:t>
      </w:r>
      <w:proofErr w:type="spellStart"/>
      <w:r w:rsidRPr="004D6CB0">
        <w:t>NovoSeven</w:t>
      </w:r>
      <w:proofErr w:type="spellEnd"/>
      <w:r w:rsidRPr="004D6CB0">
        <w:t xml:space="preserve"> exposure unaffected by marstacimab in pharmacology studies in rats.</w:t>
      </w:r>
    </w:p>
    <w:p w14:paraId="5DA5B776" w14:textId="0FDFEE15" w:rsidR="00D62637" w:rsidRPr="00D62637" w:rsidRDefault="00D62637" w:rsidP="00553F2A">
      <w:pPr>
        <w:pStyle w:val="Heading5"/>
      </w:pPr>
      <w:bookmarkStart w:id="51" w:name="_Toc294861726"/>
      <w:bookmarkStart w:id="52" w:name="_Toc295290867"/>
      <w:bookmarkStart w:id="53" w:name="_Toc428868158"/>
      <w:bookmarkStart w:id="54" w:name="_Toc178323624"/>
      <w:r w:rsidRPr="00D62637">
        <w:t>Toxicity</w:t>
      </w:r>
      <w:bookmarkEnd w:id="51"/>
      <w:bookmarkEnd w:id="52"/>
      <w:bookmarkEnd w:id="53"/>
      <w:bookmarkEnd w:id="54"/>
    </w:p>
    <w:p w14:paraId="397C0043" w14:textId="77777777" w:rsidR="00D62637" w:rsidRPr="00D62637" w:rsidRDefault="00D62637" w:rsidP="00553F2A">
      <w:pPr>
        <w:pStyle w:val="Heading6"/>
      </w:pPr>
      <w:bookmarkStart w:id="55" w:name="_Toc294861727"/>
      <w:r w:rsidRPr="00D62637">
        <w:t>Acute toxicity</w:t>
      </w:r>
      <w:bookmarkEnd w:id="55"/>
    </w:p>
    <w:p w14:paraId="6522CE5F" w14:textId="240BDC2B" w:rsidR="00D62637" w:rsidRPr="00D62637" w:rsidRDefault="00D62637" w:rsidP="00D62637">
      <w:r w:rsidRPr="00D62637">
        <w:t>Single-dose toxicity studies were not conducted. A low order of acute toxicity is seen for marstacimab from findings in the repeat-dose toxicity program, with no treatment-related mortality or adverse clinical signs encountered up to the highest doses tested (180</w:t>
      </w:r>
      <w:r w:rsidR="00946E1C">
        <w:t> </w:t>
      </w:r>
      <w:r w:rsidRPr="00D62637">
        <w:t>mg/kg/week SC and 1000 mg/kg/week IV in rats, and 90 mg/kg/week SC and 500 mg/kg/week IV in monkeys).</w:t>
      </w:r>
    </w:p>
    <w:p w14:paraId="4AF74CCF" w14:textId="77777777" w:rsidR="00D62637" w:rsidRPr="00D62637" w:rsidRDefault="00D62637" w:rsidP="00553F2A">
      <w:pPr>
        <w:pStyle w:val="Heading6"/>
      </w:pPr>
      <w:bookmarkStart w:id="56" w:name="_Toc294861728"/>
      <w:r w:rsidRPr="00D62637">
        <w:t>Repeat-dose toxicity</w:t>
      </w:r>
      <w:bookmarkEnd w:id="56"/>
    </w:p>
    <w:p w14:paraId="0C4A7580" w14:textId="0C23EC3E" w:rsidR="00D62637" w:rsidRPr="00D62637" w:rsidRDefault="00D62637" w:rsidP="00D62637">
      <w:r w:rsidRPr="00D62637">
        <w:t xml:space="preserve">Key repeat-dose toxicity studies comprised 3- and 6-month studies in rats and a 3-month study in cynomolgus monkeys; 8-day pilot studies were also performed in the </w:t>
      </w:r>
      <w:r w:rsidR="00BB6819">
        <w:t>2</w:t>
      </w:r>
      <w:r w:rsidRPr="00D62637">
        <w:t xml:space="preserve"> species. All involved once</w:t>
      </w:r>
      <w:r w:rsidR="00BB6819">
        <w:t>-</w:t>
      </w:r>
      <w:r w:rsidRPr="00D62637">
        <w:t>weekly SC and/or IV administration. The pivotal studies were appropriately designed and conducted in terms of dose selection, duration, group size and range of endpoints examined. Findings by the IV route in animals can be applied to SC administration in patients, bridged by toxicokinetic data.</w:t>
      </w:r>
    </w:p>
    <w:p w14:paraId="1AB3661E" w14:textId="77777777" w:rsidR="00D62637" w:rsidRPr="00D62637" w:rsidRDefault="00D62637" w:rsidP="00553F2A">
      <w:pPr>
        <w:pStyle w:val="Heading6"/>
      </w:pPr>
      <w:r w:rsidRPr="00D62637">
        <w:t xml:space="preserve">Relative </w:t>
      </w:r>
      <w:r w:rsidRPr="00553F2A">
        <w:t>exposure</w:t>
      </w:r>
    </w:p>
    <w:p w14:paraId="6F614039" w14:textId="2DEA9065" w:rsidR="00D62637" w:rsidRPr="00D62637" w:rsidRDefault="00D62637" w:rsidP="00D62637">
      <w:r w:rsidRPr="00D62637">
        <w:t xml:space="preserve">Exposure ratios achieved in the key repeat-dose toxicity studies have been calculated based on </w:t>
      </w:r>
      <w:r w:rsidRPr="00004F0C">
        <w:t>plasma AUC</w:t>
      </w:r>
      <w:r w:rsidRPr="00004F0C">
        <w:rPr>
          <w:vertAlign w:val="subscript"/>
        </w:rPr>
        <w:t>0–168 h</w:t>
      </w:r>
      <w:r w:rsidRPr="00004F0C">
        <w:t>. The human reference AUC value used is for the maximum recommended</w:t>
      </w:r>
      <w:r w:rsidRPr="00D62637">
        <w:t xml:space="preserve"> clinical dose of 300</w:t>
      </w:r>
      <w:r w:rsidR="00723161">
        <w:t> </w:t>
      </w:r>
      <w:r w:rsidRPr="00D62637">
        <w:t>mg/week in adolescents. Very high multiples of the maximum anticipated human exposure were obtained at the highest dose levels tested in rats and monkeys.</w:t>
      </w:r>
    </w:p>
    <w:p w14:paraId="00E9B4CF" w14:textId="25ACEEBE" w:rsidR="00D62637" w:rsidRPr="00D62637" w:rsidRDefault="00D62637" w:rsidP="00D62637">
      <w:r w:rsidRPr="00D62637">
        <w:t xml:space="preserve">Anti-drug antibodies </w:t>
      </w:r>
      <w:r w:rsidR="00680636">
        <w:t xml:space="preserve">(ADA) </w:t>
      </w:r>
      <w:r w:rsidRPr="00D62637">
        <w:t>developed in treated rats, without affecting exposure or abolishing pharmacological activity. Anti</w:t>
      </w:r>
      <w:r w:rsidRPr="00D62637">
        <w:noBreakHyphen/>
        <w:t>drug antibodies were not observed in monkeys. Immunogenicity in animals is of low predictive value for humans.</w:t>
      </w:r>
    </w:p>
    <w:p w14:paraId="05E5DD13" w14:textId="77777777" w:rsidR="00D62637" w:rsidRPr="00D62637" w:rsidRDefault="00D62637" w:rsidP="00553F2A">
      <w:pPr>
        <w:pStyle w:val="Heading6"/>
      </w:pPr>
      <w:r w:rsidRPr="00D62637">
        <w:t xml:space="preserve">Major </w:t>
      </w:r>
      <w:r w:rsidRPr="00553F2A">
        <w:t>findings</w:t>
      </w:r>
    </w:p>
    <w:p w14:paraId="5E5ED9D6" w14:textId="77777777" w:rsidR="00D62637" w:rsidRPr="00D62637" w:rsidRDefault="00D62637" w:rsidP="00D62637">
      <w:r w:rsidRPr="00D62637">
        <w:t>Marstacimab was well tolerated. Key findings in the repeat-dose toxicity program were:</w:t>
      </w:r>
    </w:p>
    <w:p w14:paraId="77D7C436" w14:textId="1F0D6DEA" w:rsidR="00D62637" w:rsidRPr="00D62637" w:rsidRDefault="00D62637" w:rsidP="00924860">
      <w:pPr>
        <w:pStyle w:val="ListBullet"/>
      </w:pPr>
      <w:r w:rsidRPr="00D62637">
        <w:t>effects on the coagulation cascade (including altered prothrombin time, decreased serum fibrinogen and increased D-dimer [= fibrinolytic by-product] concentration</w:t>
      </w:r>
      <w:r w:rsidR="00907445">
        <w:t xml:space="preserve"> </w:t>
      </w:r>
      <w:r w:rsidRPr="00D62637">
        <w:t>[seen across species and studies])</w:t>
      </w:r>
    </w:p>
    <w:p w14:paraId="2B8F4F7E" w14:textId="77777777" w:rsidR="00D62637" w:rsidRPr="00D62637" w:rsidRDefault="00D62637" w:rsidP="00924860">
      <w:pPr>
        <w:pStyle w:val="ListBullet"/>
      </w:pPr>
      <w:r w:rsidRPr="00D62637">
        <w:t>thrombi/emboli in the lung and IV injection site (tail vein) [rats only; minimal grade].</w:t>
      </w:r>
    </w:p>
    <w:p w14:paraId="33E962A0" w14:textId="601523F0" w:rsidR="00D62637" w:rsidRPr="00D62637" w:rsidRDefault="00D62637" w:rsidP="00D62637">
      <w:r w:rsidRPr="00D62637">
        <w:t>These were not regarded as adverse based on magnitude/</w:t>
      </w:r>
      <w:proofErr w:type="gramStart"/>
      <w:r w:rsidRPr="00D62637">
        <w:t>severity, and</w:t>
      </w:r>
      <w:proofErr w:type="gramEnd"/>
      <w:r w:rsidRPr="00D62637">
        <w:t xml:space="preserve"> represent exaggerated pharmacological effects in animals with a normal coagulation system. Treatment-related microscopic changes with marstacimab were confined to rats, with none observed in monkeys. </w:t>
      </w:r>
      <w:r w:rsidRPr="00004F0C">
        <w:t xml:space="preserve">The pivotal studies establish </w:t>
      </w:r>
      <w:r w:rsidR="00004F0C" w:rsidRPr="00004F0C">
        <w:t>no-observed-adverse-effect level</w:t>
      </w:r>
      <w:r w:rsidR="00004F0C">
        <w:t>s</w:t>
      </w:r>
      <w:r w:rsidR="00004F0C" w:rsidRPr="00004F0C">
        <w:t xml:space="preserve"> (</w:t>
      </w:r>
      <w:r w:rsidRPr="00004F0C">
        <w:t>NOAELs</w:t>
      </w:r>
      <w:r w:rsidR="00004F0C" w:rsidRPr="00004F0C">
        <w:t>)</w:t>
      </w:r>
      <w:r w:rsidRPr="00004F0C">
        <w:t xml:space="preserve"> of 1000</w:t>
      </w:r>
      <w:r w:rsidR="001F1734" w:rsidRPr="00004F0C">
        <w:t> </w:t>
      </w:r>
      <w:r w:rsidRPr="00004F0C">
        <w:t>mg/kg/week</w:t>
      </w:r>
      <w:r w:rsidRPr="00D62637">
        <w:t xml:space="preserve"> </w:t>
      </w:r>
      <w:r w:rsidRPr="00D62637">
        <w:lastRenderedPageBreak/>
        <w:t>IV in rats, and 90</w:t>
      </w:r>
      <w:r w:rsidR="00AA2FB5">
        <w:t> </w:t>
      </w:r>
      <w:r w:rsidRPr="00D62637">
        <w:t>mg/kg/week SC and 500 mg/kg/week IV in monkeys (relative exposure, 30</w:t>
      </w:r>
      <w:r w:rsidR="00AA2FB5">
        <w:t xml:space="preserve"> to </w:t>
      </w:r>
      <w:r w:rsidRPr="00D62637">
        <w:t>165).</w:t>
      </w:r>
    </w:p>
    <w:p w14:paraId="1B796367" w14:textId="77777777" w:rsidR="00D62637" w:rsidRPr="00D62637" w:rsidRDefault="00D62637" w:rsidP="00553F2A">
      <w:pPr>
        <w:pStyle w:val="Heading6"/>
      </w:pPr>
      <w:bookmarkStart w:id="57" w:name="_Toc294861729"/>
      <w:r w:rsidRPr="00D62637">
        <w:t>Genotoxicity</w:t>
      </w:r>
      <w:bookmarkEnd w:id="57"/>
    </w:p>
    <w:p w14:paraId="1AE720A4" w14:textId="5C6F594D" w:rsidR="00D62637" w:rsidRPr="00D62637" w:rsidRDefault="00D62637" w:rsidP="00D62637">
      <w:r w:rsidRPr="00004F0C">
        <w:t>No genotoxicity studies were submitted. This is acceptable, and in accordance with ICH S6 (R1).</w:t>
      </w:r>
      <w:r w:rsidRPr="00D62637">
        <w:t xml:space="preserve"> </w:t>
      </w:r>
      <w:r w:rsidRPr="00004F0C">
        <w:t>As</w:t>
      </w:r>
      <w:r w:rsidR="008A1D15" w:rsidRPr="00004F0C">
        <w:t xml:space="preserve"> </w:t>
      </w:r>
      <w:r w:rsidRPr="00004F0C">
        <w:t>a</w:t>
      </w:r>
      <w:r w:rsidR="008A1D15" w:rsidRPr="00004F0C">
        <w:t xml:space="preserve"> </w:t>
      </w:r>
      <w:r w:rsidRPr="00004F0C">
        <w:t>large protein molecule, marstacimab is not expected to interact directly with DNA or other</w:t>
      </w:r>
      <w:r w:rsidRPr="00D62637">
        <w:t xml:space="preserve"> chromosomal material.</w:t>
      </w:r>
    </w:p>
    <w:p w14:paraId="2FDBEC3A" w14:textId="77777777" w:rsidR="00D62637" w:rsidRPr="00D62637" w:rsidRDefault="00D62637" w:rsidP="00553F2A">
      <w:pPr>
        <w:pStyle w:val="Heading6"/>
      </w:pPr>
      <w:bookmarkStart w:id="58" w:name="_Toc294861730"/>
      <w:r w:rsidRPr="00D62637">
        <w:t>Carcinogenicity</w:t>
      </w:r>
      <w:bookmarkEnd w:id="58"/>
    </w:p>
    <w:p w14:paraId="23022CD6" w14:textId="77777777" w:rsidR="00D62637" w:rsidRPr="00D62637" w:rsidRDefault="00D62637" w:rsidP="00D62637">
      <w:r w:rsidRPr="00D62637">
        <w:t>No carcinogenicity studies were submitted. In line with ICH S6 (R1), carcinogenic potential was considered from the mode of action of the drug and the physiological role of the target based on a review of the scientific literature, and from findings in the general toxicity program. No cause for concern for increased/enhanced tumour development in patients treated with marstacimab is seen.</w:t>
      </w:r>
    </w:p>
    <w:p w14:paraId="0E174CDE" w14:textId="77777777" w:rsidR="00D62637" w:rsidRPr="00D62637" w:rsidRDefault="00D62637" w:rsidP="00553F2A">
      <w:pPr>
        <w:pStyle w:val="Heading6"/>
      </w:pPr>
      <w:r w:rsidRPr="00D62637">
        <w:t>Reproductive and developmental toxicity</w:t>
      </w:r>
    </w:p>
    <w:p w14:paraId="2EEC9F97" w14:textId="2CF68874" w:rsidR="00D62637" w:rsidRPr="00D62637" w:rsidRDefault="00D62637" w:rsidP="00D62637">
      <w:r w:rsidRPr="00D62637">
        <w:t>Reproductive and developmental toxicity studies with marstacimab covered male fertility only. The</w:t>
      </w:r>
      <w:r w:rsidR="00DB2CD9">
        <w:t xml:space="preserve"> </w:t>
      </w:r>
      <w:r w:rsidRPr="00D62637">
        <w:t>absence of studies on female fertility, early embryonic development (in treated females), embryofetal development and pre- and postnatal development is acceptable, justified by the indicated patient population (which is almost exclusively male). The male fertility study was appropriately designed and conducted in terms of number of animals, species selection, dose selection and the timing/duration of treatment.</w:t>
      </w:r>
    </w:p>
    <w:p w14:paraId="46B32D83" w14:textId="2FD3BC9D" w:rsidR="00D62637" w:rsidRPr="00D62637" w:rsidRDefault="00D62637" w:rsidP="00D62637">
      <w:r w:rsidRPr="00D62637">
        <w:t>Fertility was unaffected in male rats up to the highest dose tested (≤</w:t>
      </w:r>
      <w:r w:rsidR="0067443F">
        <w:t> </w:t>
      </w:r>
      <w:r w:rsidRPr="00D62637">
        <w:t>1000 mg/kg/week IV; estimated relative exposure</w:t>
      </w:r>
      <w:r w:rsidR="0067443F">
        <w:t xml:space="preserve"> above</w:t>
      </w:r>
      <w:r w:rsidR="005156C3">
        <w:t xml:space="preserve"> </w:t>
      </w:r>
      <w:r w:rsidRPr="00D62637">
        <w:t>150 [from toxicokinetic data obtained in the general repeat-dose toxicity studies]). No treatment-related histopathological changes in the male or female reproductive tract to suggest potential impairment of fertility were observed in the general repeat-dose toxicity program.</w:t>
      </w:r>
    </w:p>
    <w:p w14:paraId="62E5C345" w14:textId="77777777" w:rsidR="00D62637" w:rsidRPr="00D62637" w:rsidRDefault="00D62637" w:rsidP="00D62637">
      <w:r w:rsidRPr="00D62637">
        <w:t>Published knockout studies identify TFPI as critical for development, with inactivation of the TFPI gene in mice shown to result in embryofetal lethality.</w:t>
      </w:r>
      <w:r w:rsidRPr="003915F9">
        <w:rPr>
          <w:vertAlign w:val="superscript"/>
        </w:rPr>
        <w:footnoteReference w:id="11"/>
      </w:r>
      <w:r w:rsidRPr="003915F9">
        <w:rPr>
          <w:vertAlign w:val="superscript"/>
        </w:rPr>
        <w:t>,</w:t>
      </w:r>
      <w:r w:rsidRPr="003915F9">
        <w:rPr>
          <w:vertAlign w:val="superscript"/>
        </w:rPr>
        <w:footnoteReference w:id="12"/>
      </w:r>
      <w:r w:rsidRPr="003915F9">
        <w:rPr>
          <w:vertAlign w:val="superscript"/>
        </w:rPr>
        <w:t xml:space="preserve"> </w:t>
      </w:r>
      <w:r w:rsidRPr="00D62637">
        <w:t>As an IgG antibody, placental transfer of marstacimab is expected, increasing in a linear fashion as pregnancy progresses.</w:t>
      </w:r>
    </w:p>
    <w:p w14:paraId="23810F40" w14:textId="77777777" w:rsidR="00D62637" w:rsidRPr="00D62637" w:rsidRDefault="00D62637" w:rsidP="00553F2A">
      <w:pPr>
        <w:pStyle w:val="Heading6"/>
      </w:pPr>
      <w:r w:rsidRPr="00D62637">
        <w:t xml:space="preserve">Pregnancy </w:t>
      </w:r>
      <w:r w:rsidRPr="00553F2A">
        <w:t>classification</w:t>
      </w:r>
    </w:p>
    <w:p w14:paraId="2932D448" w14:textId="713069A7" w:rsidR="00D62637" w:rsidRPr="00D62637" w:rsidRDefault="00D62637" w:rsidP="00D62637">
      <w:r w:rsidRPr="00D62637">
        <w:t xml:space="preserve">The </w:t>
      </w:r>
      <w:r w:rsidR="006C56B5">
        <w:t>s</w:t>
      </w:r>
      <w:r w:rsidRPr="00D62637">
        <w:t xml:space="preserve">ponsor has proposed Pregnancy Category B2. Given concerns for potential embryofetal lethality seen from the mode of action, assignment to Pregnancy Category D is warranted instead. Category D is also better aligned with the </w:t>
      </w:r>
      <w:r w:rsidR="007F2CA7">
        <w:t>s</w:t>
      </w:r>
      <w:r w:rsidRPr="00D62637">
        <w:t xml:space="preserve">ponsor’s recommendation for the use of contraception in women of childbearing </w:t>
      </w:r>
      <w:proofErr w:type="gramStart"/>
      <w:r w:rsidRPr="00D62637">
        <w:t>potential, and</w:t>
      </w:r>
      <w:proofErr w:type="gramEnd"/>
      <w:r w:rsidRPr="00D62637">
        <w:t xml:space="preserve"> matches the existing category for </w:t>
      </w:r>
      <w:proofErr w:type="spellStart"/>
      <w:r w:rsidRPr="00D62637">
        <w:t>concizumab</w:t>
      </w:r>
      <w:proofErr w:type="spellEnd"/>
      <w:r w:rsidRPr="00D62637">
        <w:t>.</w:t>
      </w:r>
    </w:p>
    <w:p w14:paraId="7D4E5700" w14:textId="77777777" w:rsidR="00D62637" w:rsidRPr="00D62637" w:rsidRDefault="00D62637" w:rsidP="00553F2A">
      <w:pPr>
        <w:pStyle w:val="Heading6"/>
      </w:pPr>
      <w:r w:rsidRPr="00D62637">
        <w:t>Immunotoxicity</w:t>
      </w:r>
    </w:p>
    <w:p w14:paraId="416C8D44" w14:textId="149F907A" w:rsidR="00D62637" w:rsidRPr="00D62637" w:rsidRDefault="00D62637" w:rsidP="00D62637">
      <w:r w:rsidRPr="00D62637">
        <w:t>Marstacimab (≤</w:t>
      </w:r>
      <w:r w:rsidR="007F2CA7">
        <w:t> </w:t>
      </w:r>
      <w:r w:rsidRPr="00D62637">
        <w:t>1000</w:t>
      </w:r>
      <w:r w:rsidR="007F2CA7">
        <w:t> </w:t>
      </w:r>
      <w:r w:rsidRPr="00D62637">
        <w:t>μg/mL) did not induce cytokine release in human whole blood in vitro.</w:t>
      </w:r>
    </w:p>
    <w:p w14:paraId="1355BCEA" w14:textId="2A748588" w:rsidR="00D62637" w:rsidRPr="00D62637" w:rsidRDefault="00D62637" w:rsidP="00553F2A">
      <w:pPr>
        <w:pStyle w:val="Heading6"/>
      </w:pPr>
      <w:r w:rsidRPr="00D62637">
        <w:t>Local tolerance</w:t>
      </w:r>
    </w:p>
    <w:p w14:paraId="5B3D07CA" w14:textId="77315140" w:rsidR="00D62637" w:rsidRPr="00D62637" w:rsidRDefault="00D62637" w:rsidP="00D62637">
      <w:r w:rsidRPr="00D62637">
        <w:t>A dedicated study in rats established good local tolerance of marstacimab following SC injection at</w:t>
      </w:r>
      <w:r w:rsidR="00BC27A2">
        <w:t xml:space="preserve"> </w:t>
      </w:r>
      <w:r w:rsidRPr="00D62637">
        <w:t xml:space="preserve">the proposed clinical strength (150 mg/mL). Injection site findings were minor and not </w:t>
      </w:r>
      <w:r w:rsidRPr="00D62637">
        <w:lastRenderedPageBreak/>
        <w:t>toxicologically significant, comprising minimal to mild mixed cell infiltration that was often associated with minimal oedema and/or haemorrhage. Good local tolerance was also evident from the general repeat-dose toxicity program, but the highest tested strengths in those studies (18 mg/mL SC and 100 mg/mL IV) were well below the strength proposed for administration to patients.</w:t>
      </w:r>
    </w:p>
    <w:p w14:paraId="4E8E0EEA" w14:textId="77777777" w:rsidR="00D62637" w:rsidRPr="00D62637" w:rsidRDefault="00D62637" w:rsidP="00553F2A">
      <w:pPr>
        <w:pStyle w:val="Heading6"/>
      </w:pPr>
      <w:bookmarkStart w:id="59" w:name="_Toc295290868"/>
      <w:bookmarkStart w:id="60" w:name="_Toc428868159"/>
      <w:bookmarkStart w:id="61" w:name="_Toc178323625"/>
      <w:r w:rsidRPr="00D62637">
        <w:t>Comments on the Nonclinical Safety Specification of the Risk Management Plan</w:t>
      </w:r>
      <w:bookmarkEnd w:id="59"/>
      <w:bookmarkEnd w:id="60"/>
      <w:bookmarkEnd w:id="61"/>
    </w:p>
    <w:p w14:paraId="3ADF1680" w14:textId="03DD5231" w:rsidR="00D62637" w:rsidRPr="00D62637" w:rsidRDefault="00D62637" w:rsidP="00D62637">
      <w:r w:rsidRPr="00D62637">
        <w:t>Key safety concerns raised by the nonclinical program for marstacimab are mostly adequately identified in</w:t>
      </w:r>
      <w:r w:rsidR="00570AC1">
        <w:t xml:space="preserve"> </w:t>
      </w:r>
      <w:r w:rsidRPr="00D62637">
        <w:t xml:space="preserve">the draft Risk Management Plan. While, as the </w:t>
      </w:r>
      <w:r w:rsidR="00570AC1">
        <w:t>s</w:t>
      </w:r>
      <w:r w:rsidRPr="00D62637">
        <w:t>ponsor states, no</w:t>
      </w:r>
      <w:r w:rsidR="00570AC1">
        <w:t xml:space="preserve"> </w:t>
      </w:r>
      <w:r w:rsidRPr="00D62637">
        <w:t>hazard for embryofetal development was identified (as no such study was performed), concerns for potential harm are held based on the drug’s mode of action (</w:t>
      </w:r>
      <w:r w:rsidR="000E4B97">
        <w:t xml:space="preserve">that is, </w:t>
      </w:r>
      <w:r w:rsidRPr="00D62637">
        <w:t>its pharmacological target is recognised to be critical to development). Revision of the Pregnancy Category and Use in pregnancy statement in the Product Information will serve as an appropriate risk mitigation strategy.</w:t>
      </w:r>
    </w:p>
    <w:p w14:paraId="3A5CB861" w14:textId="39D31349" w:rsidR="00DE7176" w:rsidRPr="0006494A" w:rsidRDefault="00264D44" w:rsidP="00553F2A">
      <w:pPr>
        <w:pStyle w:val="Heading4"/>
      </w:pPr>
      <w:bookmarkStart w:id="62" w:name="_Toc178323626"/>
      <w:bookmarkStart w:id="63" w:name="_Toc212036845"/>
      <w:r w:rsidRPr="0006494A">
        <w:t xml:space="preserve">Conclusions </w:t>
      </w:r>
      <w:r>
        <w:t>a</w:t>
      </w:r>
      <w:r w:rsidRPr="0006494A">
        <w:t xml:space="preserve">nd </w:t>
      </w:r>
      <w:r w:rsidR="000163D1">
        <w:t>r</w:t>
      </w:r>
      <w:r w:rsidRPr="00553F2A">
        <w:t>ecommendation</w:t>
      </w:r>
      <w:bookmarkEnd w:id="62"/>
      <w:bookmarkEnd w:id="63"/>
    </w:p>
    <w:p w14:paraId="121A29FF" w14:textId="3DF7FE40" w:rsidR="00DE7176" w:rsidRPr="0006494A" w:rsidRDefault="000E4B97" w:rsidP="00DE7176">
      <w:r>
        <w:t>The nonclinical dossier</w:t>
      </w:r>
      <w:r w:rsidR="00DE7176" w:rsidRPr="0006494A">
        <w:t xml:space="preserve"> contained no major deficiencies.</w:t>
      </w:r>
    </w:p>
    <w:p w14:paraId="10C9DD6D" w14:textId="008682B3" w:rsidR="00DE7176" w:rsidRPr="0006494A" w:rsidRDefault="00DE7176" w:rsidP="00DE7176">
      <w:r w:rsidRPr="0006494A">
        <w:t>The submitted primary pharmacology studies offer support for the utility of marstacimab for</w:t>
      </w:r>
      <w:r w:rsidR="00000D22">
        <w:t xml:space="preserve"> </w:t>
      </w:r>
      <w:r w:rsidRPr="0006494A">
        <w:t>the</w:t>
      </w:r>
      <w:r w:rsidR="00000D22">
        <w:t xml:space="preserve"> </w:t>
      </w:r>
      <w:r w:rsidRPr="0006494A">
        <w:t>proposed indications.</w:t>
      </w:r>
    </w:p>
    <w:p w14:paraId="2B406482" w14:textId="77777777" w:rsidR="00DE7176" w:rsidRPr="0006494A" w:rsidRDefault="00DE7176" w:rsidP="00DE7176">
      <w:r w:rsidRPr="0006494A">
        <w:t>The key concerns for patients identified from nonclinical data are:</w:t>
      </w:r>
    </w:p>
    <w:p w14:paraId="605C94C2" w14:textId="4CA6047C" w:rsidR="00DE7176" w:rsidRPr="0006494A" w:rsidRDefault="00DE7176" w:rsidP="00000D22">
      <w:pPr>
        <w:pStyle w:val="ListBullet"/>
      </w:pPr>
      <w:r w:rsidRPr="0006494A">
        <w:t>thromboembolic events at high doses</w:t>
      </w:r>
    </w:p>
    <w:p w14:paraId="5AC3C5E5" w14:textId="77777777" w:rsidR="00DE7176" w:rsidRPr="0006494A" w:rsidRDefault="00DE7176" w:rsidP="00000D22">
      <w:pPr>
        <w:pStyle w:val="ListBullet"/>
      </w:pPr>
      <w:r w:rsidRPr="0006494A">
        <w:t>embryofetal lethality if used during pregnancy.</w:t>
      </w:r>
    </w:p>
    <w:p w14:paraId="238BBFDB" w14:textId="5B2F70A7" w:rsidR="00DE7176" w:rsidRPr="00D927E0" w:rsidRDefault="00DE7176" w:rsidP="00DE7176">
      <w:r w:rsidRPr="00D927E0">
        <w:t xml:space="preserve">Marstacimab should be assigned to Pregnancy Category D, rather than Category B2 as the </w:t>
      </w:r>
      <w:r w:rsidR="00000D22">
        <w:t>s</w:t>
      </w:r>
      <w:r w:rsidRPr="00D927E0">
        <w:t>ponsor proposes.</w:t>
      </w:r>
    </w:p>
    <w:p w14:paraId="434BE9FC" w14:textId="59B402BF" w:rsidR="00DE7176" w:rsidRPr="00D927E0" w:rsidRDefault="00DE7176" w:rsidP="00DE7176">
      <w:r w:rsidRPr="00D927E0">
        <w:t xml:space="preserve">There </w:t>
      </w:r>
      <w:r w:rsidR="00000D22">
        <w:t>is</w:t>
      </w:r>
      <w:r w:rsidRPr="00D927E0">
        <w:t xml:space="preserve"> no nonclinical objection to registration of </w:t>
      </w:r>
      <w:r w:rsidR="00000D22">
        <w:t>Hympavzi</w:t>
      </w:r>
      <w:r w:rsidRPr="00D927E0">
        <w:t xml:space="preserve"> for the proposed indications.</w:t>
      </w:r>
    </w:p>
    <w:p w14:paraId="35B580A5" w14:textId="40B226DC" w:rsidR="00C22214" w:rsidRDefault="00C22214" w:rsidP="008804CF">
      <w:pPr>
        <w:pStyle w:val="Heading3"/>
      </w:pPr>
      <w:bookmarkStart w:id="64" w:name="_Toc247691530"/>
      <w:bookmarkStart w:id="65" w:name="_Toc314842513"/>
      <w:bookmarkStart w:id="66" w:name="_Toc103679297"/>
      <w:bookmarkStart w:id="67" w:name="_Toc212036846"/>
      <w:r>
        <w:t>Clinical</w:t>
      </w:r>
      <w:bookmarkEnd w:id="64"/>
      <w:bookmarkEnd w:id="65"/>
      <w:bookmarkEnd w:id="66"/>
      <w:r w:rsidR="00095C6A">
        <w:t xml:space="preserve"> evaluation summary</w:t>
      </w:r>
      <w:bookmarkEnd w:id="67"/>
    </w:p>
    <w:p w14:paraId="32B0DEDA" w14:textId="77777777" w:rsidR="00C22214" w:rsidRPr="00433318" w:rsidRDefault="00C22214" w:rsidP="00433318">
      <w:pPr>
        <w:pStyle w:val="Heading4"/>
      </w:pPr>
      <w:bookmarkStart w:id="68" w:name="_Toc98931928"/>
      <w:bookmarkStart w:id="69" w:name="_Toc212036847"/>
      <w:r>
        <w:t>Summary of clinical studies</w:t>
      </w:r>
      <w:bookmarkEnd w:id="68"/>
      <w:bookmarkEnd w:id="69"/>
    </w:p>
    <w:p w14:paraId="46622364" w14:textId="2C728F95" w:rsidR="00C22214" w:rsidRPr="00BD5DBD" w:rsidRDefault="00C22214" w:rsidP="00C22214">
      <w:pPr>
        <w:rPr>
          <w:szCs w:val="22"/>
        </w:rPr>
      </w:pPr>
      <w:r w:rsidRPr="00BD5DBD">
        <w:rPr>
          <w:szCs w:val="22"/>
        </w:rPr>
        <w:t>The clinical dossier consisted of</w:t>
      </w:r>
      <w:r w:rsidR="007357B9" w:rsidRPr="00BD5DBD">
        <w:rPr>
          <w:szCs w:val="22"/>
        </w:rPr>
        <w:t>:</w:t>
      </w:r>
      <w:r w:rsidRPr="00BD5DBD">
        <w:rPr>
          <w:szCs w:val="22"/>
        </w:rPr>
        <w:t xml:space="preserve"> </w:t>
      </w:r>
    </w:p>
    <w:p w14:paraId="3DF49722" w14:textId="492C2F48" w:rsidR="00C22214" w:rsidRPr="00BD5DBD" w:rsidRDefault="00057B10" w:rsidP="00C22214">
      <w:pPr>
        <w:pStyle w:val="ListBullet"/>
        <w:rPr>
          <w:szCs w:val="22"/>
        </w:rPr>
      </w:pPr>
      <w:r>
        <w:rPr>
          <w:szCs w:val="22"/>
        </w:rPr>
        <w:t>four</w:t>
      </w:r>
      <w:r w:rsidR="00C22214" w:rsidRPr="00BD5DBD">
        <w:rPr>
          <w:szCs w:val="22"/>
        </w:rPr>
        <w:t xml:space="preserve"> Phase I</w:t>
      </w:r>
      <w:r w:rsidR="00A42C47">
        <w:rPr>
          <w:szCs w:val="22"/>
        </w:rPr>
        <w:t xml:space="preserve">/II </w:t>
      </w:r>
      <w:r w:rsidR="00C22214" w:rsidRPr="00BD5DBD">
        <w:rPr>
          <w:szCs w:val="22"/>
        </w:rPr>
        <w:t>studies</w:t>
      </w:r>
    </w:p>
    <w:p w14:paraId="6B56CB17" w14:textId="30F73D92" w:rsidR="00C22214" w:rsidRDefault="00057B10" w:rsidP="00C22214">
      <w:pPr>
        <w:pStyle w:val="ListBullet"/>
        <w:rPr>
          <w:szCs w:val="22"/>
        </w:rPr>
      </w:pPr>
      <w:r>
        <w:rPr>
          <w:szCs w:val="22"/>
        </w:rPr>
        <w:t>one</w:t>
      </w:r>
      <w:r w:rsidR="00C22214" w:rsidRPr="00BD5DBD">
        <w:rPr>
          <w:szCs w:val="22"/>
        </w:rPr>
        <w:t xml:space="preserve"> Phase II</w:t>
      </w:r>
      <w:r>
        <w:rPr>
          <w:szCs w:val="22"/>
        </w:rPr>
        <w:t>I</w:t>
      </w:r>
      <w:r w:rsidR="00C22214" w:rsidRPr="00BD5DBD">
        <w:rPr>
          <w:szCs w:val="22"/>
        </w:rPr>
        <w:t xml:space="preserve"> stud</w:t>
      </w:r>
      <w:r>
        <w:rPr>
          <w:szCs w:val="22"/>
        </w:rPr>
        <w:t>y</w:t>
      </w:r>
      <w:r w:rsidR="0080443D">
        <w:rPr>
          <w:szCs w:val="22"/>
        </w:rPr>
        <w:t xml:space="preserve"> (pivotal study)</w:t>
      </w:r>
    </w:p>
    <w:p w14:paraId="1727C4C0" w14:textId="1DA2E23E" w:rsidR="00057B10" w:rsidRDefault="009F5BDF" w:rsidP="00C22214">
      <w:pPr>
        <w:pStyle w:val="ListBullet"/>
        <w:rPr>
          <w:szCs w:val="22"/>
        </w:rPr>
      </w:pPr>
      <w:r>
        <w:rPr>
          <w:szCs w:val="22"/>
        </w:rPr>
        <w:t>two other efficacy studies, including a follow-on exten</w:t>
      </w:r>
      <w:r w:rsidR="00370E89">
        <w:rPr>
          <w:szCs w:val="22"/>
        </w:rPr>
        <w:t>sion study of the pivotal study</w:t>
      </w:r>
    </w:p>
    <w:p w14:paraId="5ED4E091" w14:textId="4FBCCCE3" w:rsidR="001F54B2" w:rsidRPr="00BD5DBD" w:rsidRDefault="001F54B2" w:rsidP="00C22214">
      <w:pPr>
        <w:pStyle w:val="ListBullet"/>
        <w:rPr>
          <w:szCs w:val="22"/>
        </w:rPr>
      </w:pPr>
      <w:r>
        <w:rPr>
          <w:szCs w:val="22"/>
        </w:rPr>
        <w:t>two population pharmacokinetic (PopPK) studies.</w:t>
      </w:r>
    </w:p>
    <w:p w14:paraId="0B1B41D8" w14:textId="1D963BA8" w:rsidR="009C4AE7" w:rsidRDefault="009C4AE7" w:rsidP="009C4AE7">
      <w:pPr>
        <w:rPr>
          <w:lang w:eastAsia="ja-JP"/>
        </w:rPr>
      </w:pPr>
      <w:r>
        <w:rPr>
          <w:lang w:eastAsia="ja-JP"/>
        </w:rPr>
        <w:t xml:space="preserve">The dossier includes data for </w:t>
      </w:r>
      <w:r w:rsidR="00583CB6">
        <w:rPr>
          <w:lang w:eastAsia="ja-JP"/>
        </w:rPr>
        <w:t xml:space="preserve">adults and </w:t>
      </w:r>
      <w:r>
        <w:rPr>
          <w:lang w:eastAsia="ja-JP"/>
        </w:rPr>
        <w:t>adolescents aged 12 to 17 years.</w:t>
      </w:r>
    </w:p>
    <w:p w14:paraId="033117CE" w14:textId="020F0DCF" w:rsidR="009C4AE7" w:rsidRPr="00C94167" w:rsidRDefault="009C4AE7" w:rsidP="009C4AE7">
      <w:r>
        <w:rPr>
          <w:lang w:eastAsia="ja-JP"/>
        </w:rPr>
        <w:t>There is an agreed Paediatric Investigation Plan in Europe.</w:t>
      </w:r>
      <w:r w:rsidR="00FC65C9">
        <w:rPr>
          <w:lang w:eastAsia="ja-JP"/>
        </w:rPr>
        <w:t xml:space="preserve"> </w:t>
      </w:r>
      <w:r w:rsidRPr="00C94167">
        <w:t>There is a waiver in the US for a P</w:t>
      </w:r>
      <w:r w:rsidR="00581E44">
        <w:t>a</w:t>
      </w:r>
      <w:r w:rsidRPr="00C94167">
        <w:t>ediatric Assessment on the following grounds:</w:t>
      </w:r>
    </w:p>
    <w:p w14:paraId="0D6ADC28" w14:textId="658AEFCE" w:rsidR="009C4AE7" w:rsidRPr="00D064A6" w:rsidRDefault="009C4AE7" w:rsidP="00D064A6">
      <w:pPr>
        <w:ind w:left="720"/>
        <w:rPr>
          <w:sz w:val="20"/>
        </w:rPr>
      </w:pPr>
      <w:r w:rsidRPr="00D064A6">
        <w:rPr>
          <w:sz w:val="20"/>
          <w:lang w:eastAsia="ja-JP"/>
        </w:rPr>
        <w:t xml:space="preserve">Marstacimab received Orphan Designation and is therefore exempt from PREA requirements, however, Pfizer has proactively submitted an initial Pediatric Study </w:t>
      </w:r>
      <w:proofErr w:type="gramStart"/>
      <w:r w:rsidRPr="00D064A6">
        <w:rPr>
          <w:sz w:val="20"/>
          <w:lang w:eastAsia="ja-JP"/>
        </w:rPr>
        <w:t>Plan</w:t>
      </w:r>
      <w:proofErr w:type="gramEnd"/>
      <w:r w:rsidRPr="00D064A6">
        <w:rPr>
          <w:sz w:val="20"/>
          <w:lang w:eastAsia="ja-JP"/>
        </w:rPr>
        <w:t xml:space="preserve"> and it was agreed with the FDA in September 2021. As agreed in the Type B meeting 21 June 2023, the initial Pediatric Study Plan is provided in the </w:t>
      </w:r>
      <w:proofErr w:type="gramStart"/>
      <w:r w:rsidRPr="00D064A6">
        <w:rPr>
          <w:sz w:val="20"/>
          <w:lang w:eastAsia="ja-JP"/>
        </w:rPr>
        <w:t>BLA</w:t>
      </w:r>
      <w:proofErr w:type="gramEnd"/>
      <w:r w:rsidRPr="00D064A6">
        <w:rPr>
          <w:sz w:val="20"/>
          <w:lang w:eastAsia="ja-JP"/>
        </w:rPr>
        <w:t xml:space="preserve"> and an assessment is not needed.</w:t>
      </w:r>
    </w:p>
    <w:p w14:paraId="578CA55A" w14:textId="5E2BCCDE" w:rsidR="009C4AE7" w:rsidRPr="009A141C" w:rsidRDefault="0082680A" w:rsidP="009C4AE7">
      <w:pPr>
        <w:pStyle w:val="BodyCopy"/>
      </w:pPr>
      <w:bookmarkStart w:id="70" w:name="_Toc441843502"/>
      <w:r>
        <w:lastRenderedPageBreak/>
        <w:t xml:space="preserve">The clinical evaluation </w:t>
      </w:r>
      <w:r w:rsidR="009C4AE7">
        <w:t>comment</w:t>
      </w:r>
      <w:r>
        <w:t>ed</w:t>
      </w:r>
      <w:bookmarkEnd w:id="70"/>
      <w:r w:rsidR="003C23D2">
        <w:t>:</w:t>
      </w:r>
    </w:p>
    <w:p w14:paraId="49B04EBA" w14:textId="46A37863" w:rsidR="009C4AE7" w:rsidRPr="003C23D2" w:rsidRDefault="009C4AE7" w:rsidP="003C23D2">
      <w:pPr>
        <w:ind w:left="720"/>
        <w:rPr>
          <w:sz w:val="20"/>
          <w:lang w:eastAsia="ja-JP"/>
        </w:rPr>
      </w:pPr>
      <w:r w:rsidRPr="003C23D2">
        <w:rPr>
          <w:sz w:val="20"/>
          <w:lang w:eastAsia="ja-JP"/>
        </w:rPr>
        <w:t xml:space="preserve">For several of the clinical studies the submitted reports were interim reports. (NOTE sponsor amendment – </w:t>
      </w:r>
      <w:r w:rsidR="002954ED">
        <w:rPr>
          <w:sz w:val="20"/>
          <w:lang w:eastAsia="ja-JP"/>
        </w:rPr>
        <w:t>‘</w:t>
      </w:r>
      <w:r w:rsidRPr="003C23D2">
        <w:rPr>
          <w:sz w:val="20"/>
          <w:lang w:eastAsia="ja-JP"/>
        </w:rPr>
        <w:t>For two of the clinical studies (B7841005 &amp; B7841007) the submitted reports were interim reports, although for B7841005 the sponsor clarified that the data and documentation provided are that of a final, completed study in the population strata of individuals without inhibitors</w:t>
      </w:r>
      <w:r w:rsidR="002954ED">
        <w:rPr>
          <w:sz w:val="20"/>
          <w:lang w:eastAsia="ja-JP"/>
        </w:rPr>
        <w:t>’</w:t>
      </w:r>
      <w:r w:rsidRPr="003C23D2">
        <w:rPr>
          <w:sz w:val="20"/>
          <w:lang w:eastAsia="ja-JP"/>
        </w:rPr>
        <w:t>.) These reports did not include complete descriptions of the statistical methods and instead provided links to the study protocols. However, the study protocols were also incomplete, particularly in the description of the non-inferiority analyses. Hence, in the opinion of the Clinical Evaluator, given that the non-inferiority analysis is key to the interpretation of the results, this should have been explained in the study report.</w:t>
      </w:r>
    </w:p>
    <w:p w14:paraId="0BC91808" w14:textId="77777777" w:rsidR="009C4AE7" w:rsidRPr="003C23D2" w:rsidRDefault="009C4AE7" w:rsidP="003C23D2">
      <w:pPr>
        <w:ind w:left="720"/>
        <w:rPr>
          <w:sz w:val="20"/>
          <w:lang w:eastAsia="ja-JP"/>
        </w:rPr>
      </w:pPr>
      <w:r w:rsidRPr="003C23D2">
        <w:rPr>
          <w:sz w:val="20"/>
          <w:lang w:eastAsia="ja-JP"/>
        </w:rPr>
        <w:t>However, the population pharmacokinetic studies were conducted to a high standard and were reported satisfactorily.</w:t>
      </w:r>
    </w:p>
    <w:p w14:paraId="5BCEB6CB" w14:textId="5E826239" w:rsidR="00DA36D9" w:rsidRPr="00DA36D9" w:rsidRDefault="00DA36D9" w:rsidP="00DA36D9">
      <w:pPr>
        <w:pStyle w:val="Heading4"/>
      </w:pPr>
      <w:bookmarkStart w:id="71" w:name="_Toc212036848"/>
      <w:r w:rsidRPr="00DA36D9">
        <w:t>Pharmacology</w:t>
      </w:r>
      <w:bookmarkEnd w:id="71"/>
    </w:p>
    <w:p w14:paraId="24476CA7" w14:textId="4817707E" w:rsidR="00DA36D9" w:rsidRPr="00DA36D9" w:rsidRDefault="00DA36D9" w:rsidP="00DA36D9">
      <w:pPr>
        <w:pStyle w:val="Heading5"/>
      </w:pPr>
      <w:r w:rsidRPr="00DA36D9">
        <w:t>Pharmacokinetics</w:t>
      </w:r>
    </w:p>
    <w:p w14:paraId="55B7F3A3" w14:textId="02D624CD" w:rsidR="00533693" w:rsidRDefault="00507C9B" w:rsidP="00507C9B">
      <w:pPr>
        <w:pStyle w:val="TableTitle"/>
      </w:pPr>
      <w:r>
        <w:t xml:space="preserve">Table </w:t>
      </w:r>
      <w:r>
        <w:fldChar w:fldCharType="begin"/>
      </w:r>
      <w:r>
        <w:instrText xml:space="preserve"> SEQ Table \* ARABIC </w:instrText>
      </w:r>
      <w:r>
        <w:fldChar w:fldCharType="separate"/>
      </w:r>
      <w:r w:rsidR="007D6551">
        <w:rPr>
          <w:noProof/>
        </w:rPr>
        <w:t>3</w:t>
      </w:r>
      <w:r>
        <w:fldChar w:fldCharType="end"/>
      </w:r>
      <w:r>
        <w:t>: Pharmacokinetic studies</w:t>
      </w:r>
    </w:p>
    <w:tbl>
      <w:tblPr>
        <w:tblStyle w:val="TableTGAblue"/>
        <w:tblW w:w="9062" w:type="dxa"/>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Layout w:type="fixed"/>
        <w:tblLook w:val="04A0" w:firstRow="1" w:lastRow="0" w:firstColumn="1" w:lastColumn="0" w:noHBand="0" w:noVBand="1"/>
      </w:tblPr>
      <w:tblGrid>
        <w:gridCol w:w="2400"/>
        <w:gridCol w:w="3402"/>
        <w:gridCol w:w="3260"/>
      </w:tblGrid>
      <w:tr w:rsidR="00A47B4A" w:rsidRPr="00583CB6" w14:paraId="558BFA45" w14:textId="77777777" w:rsidTr="003C3397">
        <w:trPr>
          <w:cnfStyle w:val="100000000000" w:firstRow="1" w:lastRow="0" w:firstColumn="0" w:lastColumn="0" w:oddVBand="0" w:evenVBand="0" w:oddHBand="0" w:evenHBand="0" w:firstRowFirstColumn="0" w:firstRowLastColumn="0" w:lastRowFirstColumn="0" w:lastRowLastColumn="0"/>
        </w:trPr>
        <w:tc>
          <w:tcPr>
            <w:tcW w:w="24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tcPr>
          <w:p w14:paraId="518CDE59" w14:textId="77777777" w:rsidR="00A47B4A" w:rsidRPr="00F34758" w:rsidRDefault="00A47B4A" w:rsidP="00B65584">
            <w:pPr>
              <w:pStyle w:val="Tabletext0"/>
              <w:rPr>
                <w:b w:val="0"/>
                <w:color w:val="263287"/>
                <w:sz w:val="22"/>
              </w:rPr>
            </w:pPr>
            <w:r w:rsidRPr="00F34758">
              <w:rPr>
                <w:color w:val="263287"/>
                <w:sz w:val="22"/>
              </w:rPr>
              <w:t>PK topic</w:t>
            </w:r>
          </w:p>
        </w:tc>
        <w:tc>
          <w:tcPr>
            <w:tcW w:w="340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tcPr>
          <w:p w14:paraId="243AED40" w14:textId="77777777" w:rsidR="00A47B4A" w:rsidRPr="00F34758" w:rsidRDefault="00A47B4A" w:rsidP="00B65584">
            <w:pPr>
              <w:pStyle w:val="Tabletext0"/>
              <w:rPr>
                <w:b w:val="0"/>
                <w:color w:val="263287"/>
                <w:sz w:val="22"/>
              </w:rPr>
            </w:pPr>
            <w:r w:rsidRPr="00F34758">
              <w:rPr>
                <w:color w:val="263287"/>
                <w:sz w:val="22"/>
              </w:rPr>
              <w:t>Subtopic</w:t>
            </w:r>
          </w:p>
        </w:tc>
        <w:tc>
          <w:tcPr>
            <w:tcW w:w="32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EEAF6"/>
          </w:tcPr>
          <w:p w14:paraId="03AC7FD4" w14:textId="77777777" w:rsidR="00A47B4A" w:rsidRPr="00F34758" w:rsidRDefault="00A47B4A" w:rsidP="00B65584">
            <w:pPr>
              <w:pStyle w:val="Tabletext0"/>
              <w:rPr>
                <w:b w:val="0"/>
                <w:color w:val="263287"/>
                <w:sz w:val="22"/>
              </w:rPr>
            </w:pPr>
            <w:r w:rsidRPr="00F34758">
              <w:rPr>
                <w:color w:val="263287"/>
                <w:sz w:val="22"/>
              </w:rPr>
              <w:t>Study ID</w:t>
            </w:r>
          </w:p>
        </w:tc>
      </w:tr>
      <w:tr w:rsidR="00A47B4A" w:rsidRPr="00583CB6" w14:paraId="4B8D96D0" w14:textId="77777777" w:rsidTr="003C3397">
        <w:tc>
          <w:tcPr>
            <w:tcW w:w="2400" w:type="dxa"/>
            <w:vMerge w:val="restart"/>
          </w:tcPr>
          <w:p w14:paraId="760D0AEB" w14:textId="77777777" w:rsidR="00A47B4A" w:rsidRPr="00583CB6" w:rsidRDefault="00A47B4A" w:rsidP="00035303">
            <w:pPr>
              <w:pStyle w:val="Tabletext0"/>
              <w:rPr>
                <w:sz w:val="22"/>
              </w:rPr>
            </w:pPr>
            <w:r w:rsidRPr="00583CB6">
              <w:rPr>
                <w:sz w:val="22"/>
              </w:rPr>
              <w:t>PK in healthy adults</w:t>
            </w:r>
          </w:p>
        </w:tc>
        <w:tc>
          <w:tcPr>
            <w:tcW w:w="3402" w:type="dxa"/>
          </w:tcPr>
          <w:p w14:paraId="6D68E21D" w14:textId="77777777" w:rsidR="00A47B4A" w:rsidRPr="00583CB6" w:rsidRDefault="00A47B4A" w:rsidP="00035303">
            <w:pPr>
              <w:pStyle w:val="Tabletext0"/>
              <w:rPr>
                <w:sz w:val="22"/>
              </w:rPr>
            </w:pPr>
            <w:r w:rsidRPr="00583CB6">
              <w:rPr>
                <w:sz w:val="22"/>
              </w:rPr>
              <w:t>General PK</w:t>
            </w:r>
            <w:r w:rsidRPr="00583CB6">
              <w:rPr>
                <w:sz w:val="22"/>
              </w:rPr>
              <w:tab/>
              <w:t>- Single dose</w:t>
            </w:r>
          </w:p>
        </w:tc>
        <w:tc>
          <w:tcPr>
            <w:tcW w:w="3260" w:type="dxa"/>
          </w:tcPr>
          <w:p w14:paraId="6BB75F67" w14:textId="3CB31836" w:rsidR="00A47B4A" w:rsidRPr="00583CB6" w:rsidRDefault="00A47B4A" w:rsidP="00035303">
            <w:pPr>
              <w:pStyle w:val="Tabletext0"/>
              <w:rPr>
                <w:sz w:val="22"/>
              </w:rPr>
            </w:pPr>
            <w:r w:rsidRPr="00583CB6">
              <w:rPr>
                <w:sz w:val="22"/>
              </w:rPr>
              <w:t>Study B7841001</w:t>
            </w:r>
          </w:p>
        </w:tc>
      </w:tr>
      <w:tr w:rsidR="00A47B4A" w:rsidRPr="00583CB6" w14:paraId="74EA8FCD" w14:textId="77777777" w:rsidTr="003C3397">
        <w:tc>
          <w:tcPr>
            <w:tcW w:w="2400" w:type="dxa"/>
            <w:vMerge/>
          </w:tcPr>
          <w:p w14:paraId="23B558C6" w14:textId="77777777" w:rsidR="00A47B4A" w:rsidRPr="00583CB6" w:rsidRDefault="00A47B4A" w:rsidP="00035303">
            <w:pPr>
              <w:pStyle w:val="Tabletext0"/>
              <w:rPr>
                <w:sz w:val="22"/>
              </w:rPr>
            </w:pPr>
          </w:p>
        </w:tc>
        <w:tc>
          <w:tcPr>
            <w:tcW w:w="3402" w:type="dxa"/>
          </w:tcPr>
          <w:p w14:paraId="7F1B6ABC" w14:textId="5B8CEE56" w:rsidR="00A47B4A" w:rsidRPr="00583CB6" w:rsidRDefault="00A47B4A" w:rsidP="00035303">
            <w:pPr>
              <w:pStyle w:val="Tabletext0"/>
              <w:rPr>
                <w:sz w:val="22"/>
              </w:rPr>
            </w:pPr>
            <w:r w:rsidRPr="00583CB6">
              <w:rPr>
                <w:sz w:val="22"/>
              </w:rPr>
              <w:t>Bioequivalence * - Single dose</w:t>
            </w:r>
          </w:p>
        </w:tc>
        <w:tc>
          <w:tcPr>
            <w:tcW w:w="3260" w:type="dxa"/>
          </w:tcPr>
          <w:p w14:paraId="59DAA116" w14:textId="3DB49E84" w:rsidR="00A47B4A" w:rsidRPr="00583CB6" w:rsidRDefault="00A47B4A" w:rsidP="00035303">
            <w:pPr>
              <w:pStyle w:val="Tabletext0"/>
              <w:rPr>
                <w:sz w:val="22"/>
              </w:rPr>
            </w:pPr>
            <w:r w:rsidRPr="00583CB6">
              <w:rPr>
                <w:sz w:val="22"/>
              </w:rPr>
              <w:t>Study B7841009</w:t>
            </w:r>
          </w:p>
        </w:tc>
      </w:tr>
      <w:tr w:rsidR="00214004" w:rsidRPr="00583CB6" w14:paraId="6F90DA52" w14:textId="77777777" w:rsidTr="003C3397">
        <w:tc>
          <w:tcPr>
            <w:tcW w:w="2400" w:type="dxa"/>
            <w:vMerge w:val="restart"/>
          </w:tcPr>
          <w:p w14:paraId="711FA5A5" w14:textId="1C4C921B" w:rsidR="00214004" w:rsidRPr="00583CB6" w:rsidRDefault="00214004" w:rsidP="00035303">
            <w:pPr>
              <w:pStyle w:val="Tabletext0"/>
              <w:rPr>
                <w:sz w:val="22"/>
              </w:rPr>
            </w:pPr>
            <w:r w:rsidRPr="00583CB6">
              <w:rPr>
                <w:sz w:val="22"/>
              </w:rPr>
              <w:t>PK in haemophilia patients</w:t>
            </w:r>
          </w:p>
        </w:tc>
        <w:tc>
          <w:tcPr>
            <w:tcW w:w="3402" w:type="dxa"/>
          </w:tcPr>
          <w:p w14:paraId="6622A54C" w14:textId="1D91C31D" w:rsidR="00214004" w:rsidRPr="00583CB6" w:rsidRDefault="00214004" w:rsidP="00035303">
            <w:pPr>
              <w:pStyle w:val="Tabletext0"/>
              <w:rPr>
                <w:sz w:val="22"/>
              </w:rPr>
            </w:pPr>
            <w:r w:rsidRPr="00583CB6">
              <w:rPr>
                <w:sz w:val="22"/>
              </w:rPr>
              <w:t>General PK</w:t>
            </w:r>
            <w:r w:rsidRPr="00583CB6">
              <w:rPr>
                <w:sz w:val="22"/>
              </w:rPr>
              <w:tab/>
              <w:t>- Single dose</w:t>
            </w:r>
          </w:p>
        </w:tc>
        <w:tc>
          <w:tcPr>
            <w:tcW w:w="3260" w:type="dxa"/>
          </w:tcPr>
          <w:p w14:paraId="5A2C4646" w14:textId="3EFCBA52" w:rsidR="00214004" w:rsidRPr="00583CB6" w:rsidRDefault="00214004" w:rsidP="00035303">
            <w:pPr>
              <w:pStyle w:val="Tabletext0"/>
              <w:rPr>
                <w:sz w:val="22"/>
              </w:rPr>
            </w:pPr>
            <w:r w:rsidRPr="00583CB6">
              <w:rPr>
                <w:sz w:val="22"/>
              </w:rPr>
              <w:t>Study B7841010</w:t>
            </w:r>
          </w:p>
        </w:tc>
      </w:tr>
      <w:tr w:rsidR="00214004" w:rsidRPr="00583CB6" w14:paraId="748A1E25" w14:textId="77777777" w:rsidTr="003C3397">
        <w:tc>
          <w:tcPr>
            <w:tcW w:w="2400" w:type="dxa"/>
            <w:vMerge/>
          </w:tcPr>
          <w:p w14:paraId="0EF9BDE2" w14:textId="77777777" w:rsidR="00214004" w:rsidRPr="00583CB6" w:rsidRDefault="00214004" w:rsidP="00035303">
            <w:pPr>
              <w:pStyle w:val="Tabletext0"/>
              <w:rPr>
                <w:sz w:val="22"/>
              </w:rPr>
            </w:pPr>
          </w:p>
        </w:tc>
        <w:tc>
          <w:tcPr>
            <w:tcW w:w="3402" w:type="dxa"/>
          </w:tcPr>
          <w:p w14:paraId="1DF64BAA" w14:textId="2101054F" w:rsidR="00214004" w:rsidRPr="00583CB6" w:rsidRDefault="002423DF" w:rsidP="00035303">
            <w:pPr>
              <w:pStyle w:val="Tabletext0"/>
              <w:rPr>
                <w:sz w:val="22"/>
              </w:rPr>
            </w:pPr>
            <w:r w:rsidRPr="00583CB6">
              <w:rPr>
                <w:sz w:val="22"/>
              </w:rPr>
              <w:t>General PK</w:t>
            </w:r>
            <w:r w:rsidR="00214004" w:rsidRPr="00583CB6">
              <w:rPr>
                <w:sz w:val="22"/>
              </w:rPr>
              <w:tab/>
              <w:t>- Multi-dose</w:t>
            </w:r>
          </w:p>
        </w:tc>
        <w:tc>
          <w:tcPr>
            <w:tcW w:w="3260" w:type="dxa"/>
          </w:tcPr>
          <w:p w14:paraId="0CC173F4" w14:textId="33992BA7" w:rsidR="00214004" w:rsidRPr="00583CB6" w:rsidRDefault="00214004" w:rsidP="00035303">
            <w:pPr>
              <w:pStyle w:val="Tabletext0"/>
              <w:rPr>
                <w:sz w:val="22"/>
              </w:rPr>
            </w:pPr>
            <w:r w:rsidRPr="00583CB6">
              <w:rPr>
                <w:sz w:val="22"/>
              </w:rPr>
              <w:t>Study B7841002</w:t>
            </w:r>
          </w:p>
        </w:tc>
      </w:tr>
      <w:tr w:rsidR="00214004" w:rsidRPr="00583CB6" w14:paraId="0158AA5B" w14:textId="77777777" w:rsidTr="003C3397">
        <w:tc>
          <w:tcPr>
            <w:tcW w:w="2400" w:type="dxa"/>
            <w:vMerge w:val="restart"/>
          </w:tcPr>
          <w:p w14:paraId="659BAE38" w14:textId="77777777" w:rsidR="00214004" w:rsidRPr="00583CB6" w:rsidRDefault="00214004" w:rsidP="00035303">
            <w:pPr>
              <w:pStyle w:val="Tabletext0"/>
              <w:rPr>
                <w:sz w:val="22"/>
              </w:rPr>
            </w:pPr>
            <w:r w:rsidRPr="00583CB6">
              <w:rPr>
                <w:sz w:val="22"/>
              </w:rPr>
              <w:t>Population PK analyses</w:t>
            </w:r>
          </w:p>
        </w:tc>
        <w:tc>
          <w:tcPr>
            <w:tcW w:w="3402" w:type="dxa"/>
          </w:tcPr>
          <w:p w14:paraId="20779933" w14:textId="77777777" w:rsidR="00214004" w:rsidRPr="00583CB6" w:rsidRDefault="00214004" w:rsidP="00035303">
            <w:pPr>
              <w:pStyle w:val="Tabletext0"/>
              <w:rPr>
                <w:sz w:val="22"/>
              </w:rPr>
            </w:pPr>
            <w:r w:rsidRPr="00583CB6">
              <w:rPr>
                <w:sz w:val="22"/>
              </w:rPr>
              <w:t>Target population</w:t>
            </w:r>
          </w:p>
        </w:tc>
        <w:tc>
          <w:tcPr>
            <w:tcW w:w="3260" w:type="dxa"/>
          </w:tcPr>
          <w:p w14:paraId="273D00DC" w14:textId="77777777" w:rsidR="00214004" w:rsidRPr="00583CB6" w:rsidRDefault="00214004" w:rsidP="00035303">
            <w:pPr>
              <w:pStyle w:val="Tabletext0"/>
              <w:rPr>
                <w:sz w:val="22"/>
              </w:rPr>
            </w:pPr>
            <w:r w:rsidRPr="00583CB6">
              <w:rPr>
                <w:sz w:val="22"/>
              </w:rPr>
              <w:t>PMAR-EQDD-B784a-DP3-1021</w:t>
            </w:r>
          </w:p>
        </w:tc>
      </w:tr>
      <w:tr w:rsidR="00214004" w:rsidRPr="00583CB6" w14:paraId="43843F2C" w14:textId="77777777" w:rsidTr="003C3397">
        <w:tc>
          <w:tcPr>
            <w:tcW w:w="2400" w:type="dxa"/>
            <w:vMerge/>
          </w:tcPr>
          <w:p w14:paraId="418C244C" w14:textId="77777777" w:rsidR="00214004" w:rsidRPr="00583CB6" w:rsidRDefault="00214004" w:rsidP="00035303">
            <w:pPr>
              <w:pStyle w:val="Tabletext0"/>
              <w:rPr>
                <w:sz w:val="22"/>
              </w:rPr>
            </w:pPr>
          </w:p>
        </w:tc>
        <w:tc>
          <w:tcPr>
            <w:tcW w:w="3402" w:type="dxa"/>
          </w:tcPr>
          <w:p w14:paraId="38595D24" w14:textId="77777777" w:rsidR="00214004" w:rsidRPr="00583CB6" w:rsidRDefault="00214004" w:rsidP="00035303">
            <w:pPr>
              <w:pStyle w:val="Tabletext0"/>
              <w:rPr>
                <w:sz w:val="22"/>
              </w:rPr>
            </w:pPr>
          </w:p>
        </w:tc>
        <w:tc>
          <w:tcPr>
            <w:tcW w:w="3260" w:type="dxa"/>
          </w:tcPr>
          <w:p w14:paraId="5756F1BD" w14:textId="77777777" w:rsidR="00214004" w:rsidRPr="00583CB6" w:rsidRDefault="00214004" w:rsidP="00035303">
            <w:pPr>
              <w:pStyle w:val="Tabletext0"/>
              <w:rPr>
                <w:sz w:val="22"/>
              </w:rPr>
            </w:pPr>
            <w:r w:rsidRPr="00583CB6">
              <w:rPr>
                <w:sz w:val="22"/>
              </w:rPr>
              <w:t>PMAR-EQDD-B784a-DP3-1331</w:t>
            </w:r>
          </w:p>
        </w:tc>
      </w:tr>
    </w:tbl>
    <w:p w14:paraId="793B8141" w14:textId="73BFEDFB" w:rsidR="00F878E2" w:rsidRPr="003D6932" w:rsidRDefault="00A47B4A" w:rsidP="003D6932">
      <w:pPr>
        <w:pStyle w:val="TableDescription"/>
      </w:pPr>
      <w:r w:rsidRPr="003D6932">
        <w:t>*</w:t>
      </w:r>
      <w:r w:rsidR="00F878E2" w:rsidRPr="003D6932">
        <w:t xml:space="preserve"> Bioequivalence of different formulations.</w:t>
      </w:r>
    </w:p>
    <w:p w14:paraId="7ADA9079" w14:textId="77777777" w:rsidR="00F878E2" w:rsidRPr="003D6932" w:rsidRDefault="00F878E2" w:rsidP="003D6932">
      <w:pPr>
        <w:pStyle w:val="TableDescription"/>
      </w:pPr>
      <w:r w:rsidRPr="003D6932">
        <w:t>§ Subjects who would be eligible to receive the drug if approved for the proposed indication.</w:t>
      </w:r>
    </w:p>
    <w:p w14:paraId="64C56423" w14:textId="77777777" w:rsidR="00646BB0" w:rsidRPr="005B0142" w:rsidRDefault="00646BB0" w:rsidP="00646BB0">
      <w:pPr>
        <w:pStyle w:val="Heading6"/>
      </w:pPr>
      <w:r w:rsidRPr="005B0142">
        <w:t>Absorption</w:t>
      </w:r>
    </w:p>
    <w:p w14:paraId="16C68D3E" w14:textId="3990501B" w:rsidR="00646BB0" w:rsidRPr="00FE6654" w:rsidRDefault="00646BB0" w:rsidP="00646BB0">
      <w:bookmarkStart w:id="72" w:name="_Toc241374287"/>
      <w:bookmarkStart w:id="73" w:name="_Toc272414620"/>
      <w:bookmarkStart w:id="74" w:name="_Toc290888469"/>
      <w:bookmarkStart w:id="75" w:name="_Toc416353665"/>
      <w:r>
        <w:rPr>
          <w:lang w:eastAsia="ja-JP"/>
        </w:rPr>
        <w:t>In Study B7841010 following SC administration the absorption of marstacimab appears to be first order. For a 300</w:t>
      </w:r>
      <w:r w:rsidR="007242E3">
        <w:rPr>
          <w:lang w:eastAsia="ja-JP"/>
        </w:rPr>
        <w:t> </w:t>
      </w:r>
      <w:r>
        <w:rPr>
          <w:lang w:eastAsia="ja-JP"/>
        </w:rPr>
        <w:t xml:space="preserve">mg single dose administered SC, </w:t>
      </w:r>
      <w:r>
        <w:t>t</w:t>
      </w:r>
      <w:r w:rsidRPr="00FE6654">
        <w:t>he geometric</w:t>
      </w:r>
      <w:r>
        <w:t xml:space="preserve"> </w:t>
      </w:r>
      <w:r w:rsidRPr="00FE6654">
        <w:t xml:space="preserve">mean </w:t>
      </w:r>
      <w:r>
        <w:t xml:space="preserve">(CV%) for </w:t>
      </w:r>
      <w:r w:rsidRPr="00FE6654">
        <w:t>C</w:t>
      </w:r>
      <w:r w:rsidRPr="00FE6654">
        <w:rPr>
          <w:vertAlign w:val="subscript"/>
        </w:rPr>
        <w:t>max</w:t>
      </w:r>
      <w:r>
        <w:t xml:space="preserve"> was </w:t>
      </w:r>
      <w:r w:rsidRPr="00FE6654">
        <w:t>15</w:t>
      </w:r>
      <w:r w:rsidR="00190D97">
        <w:t>,</w:t>
      </w:r>
      <w:r w:rsidRPr="00FE6654">
        <w:t>610</w:t>
      </w:r>
      <w:r w:rsidR="00190D97">
        <w:t> </w:t>
      </w:r>
      <w:r w:rsidRPr="00FE6654">
        <w:t>ng/mL</w:t>
      </w:r>
      <w:r>
        <w:t xml:space="preserve"> (35%)</w:t>
      </w:r>
      <w:r w:rsidRPr="00FE6654">
        <w:t xml:space="preserve">, </w:t>
      </w:r>
      <w:r>
        <w:t xml:space="preserve">for </w:t>
      </w:r>
      <w:proofErr w:type="spellStart"/>
      <w:r w:rsidRPr="00FE6654">
        <w:t>AUC</w:t>
      </w:r>
      <w:r w:rsidRPr="00FE6654">
        <w:rPr>
          <w:vertAlign w:val="subscript"/>
        </w:rPr>
        <w:t>last</w:t>
      </w:r>
      <w:proofErr w:type="spellEnd"/>
      <w:r w:rsidRPr="00FE6654">
        <w:t xml:space="preserve"> </w:t>
      </w:r>
      <w:r>
        <w:t xml:space="preserve">was </w:t>
      </w:r>
      <w:r w:rsidRPr="00FE6654">
        <w:t>2</w:t>
      </w:r>
      <w:r w:rsidR="00190D97">
        <w:t>,</w:t>
      </w:r>
      <w:r w:rsidRPr="00FE6654">
        <w:t>917</w:t>
      </w:r>
      <w:r w:rsidR="00190D97">
        <w:t>,</w:t>
      </w:r>
      <w:r w:rsidRPr="00FE6654">
        <w:t>000</w:t>
      </w:r>
      <w:r w:rsidR="00190D97">
        <w:t> </w:t>
      </w:r>
      <w:proofErr w:type="spellStart"/>
      <w:r w:rsidRPr="00FE6654">
        <w:t>ng</w:t>
      </w:r>
      <w:r>
        <w:t>•</w:t>
      </w:r>
      <w:r w:rsidRPr="00FE6654">
        <w:t>hr</w:t>
      </w:r>
      <w:proofErr w:type="spellEnd"/>
      <w:r w:rsidRPr="00FE6654">
        <w:t>/mL</w:t>
      </w:r>
      <w:r>
        <w:t xml:space="preserve"> (60%) </w:t>
      </w:r>
      <w:r w:rsidRPr="00FE6654">
        <w:t>and AUC</w:t>
      </w:r>
      <w:r w:rsidRPr="00FE6654">
        <w:rPr>
          <w:vertAlign w:val="subscript"/>
        </w:rPr>
        <w:t>inf</w:t>
      </w:r>
      <w:r w:rsidRPr="00FE6654">
        <w:t xml:space="preserve"> w</w:t>
      </w:r>
      <w:r>
        <w:t xml:space="preserve">as </w:t>
      </w:r>
      <w:r w:rsidRPr="00690284">
        <w:t>4</w:t>
      </w:r>
      <w:r w:rsidR="00133A7D" w:rsidRPr="00690284">
        <w:t>,</w:t>
      </w:r>
      <w:r w:rsidRPr="00690284">
        <w:t>549</w:t>
      </w:r>
      <w:r w:rsidR="00133A7D" w:rsidRPr="00690284">
        <w:t>,</w:t>
      </w:r>
      <w:r w:rsidRPr="00690284">
        <w:t>000</w:t>
      </w:r>
      <w:r w:rsidR="00133A7D" w:rsidRPr="00690284">
        <w:t> </w:t>
      </w:r>
      <w:proofErr w:type="spellStart"/>
      <w:r w:rsidRPr="00690284">
        <w:t>ng•hr</w:t>
      </w:r>
      <w:proofErr w:type="spellEnd"/>
      <w:r w:rsidRPr="00690284">
        <w:t xml:space="preserve">/mL (7%). Median (range) </w:t>
      </w:r>
      <w:r w:rsidR="00690284" w:rsidRPr="00690284">
        <w:t>time of occurrence of maximum observed concentration</w:t>
      </w:r>
      <w:r w:rsidRPr="00690284">
        <w:rPr>
          <w:vertAlign w:val="subscript"/>
        </w:rPr>
        <w:t xml:space="preserve"> </w:t>
      </w:r>
      <w:r w:rsidRPr="00690284">
        <w:t>was 73.15 (71.9 to 167) hours.</w:t>
      </w:r>
    </w:p>
    <w:p w14:paraId="5A254396" w14:textId="77777777" w:rsidR="00646BB0" w:rsidRPr="005B0142" w:rsidRDefault="00646BB0" w:rsidP="007D3E43">
      <w:pPr>
        <w:pStyle w:val="Heading6"/>
      </w:pPr>
      <w:r w:rsidRPr="005B0142">
        <w:t>Bioavailability</w:t>
      </w:r>
      <w:bookmarkEnd w:id="72"/>
      <w:bookmarkEnd w:id="73"/>
      <w:bookmarkEnd w:id="74"/>
      <w:bookmarkEnd w:id="75"/>
    </w:p>
    <w:p w14:paraId="7DDD3980" w14:textId="36D7319E" w:rsidR="00646BB0" w:rsidRDefault="00646BB0" w:rsidP="00646BB0">
      <w:pPr>
        <w:rPr>
          <w:lang w:eastAsia="ja-JP"/>
        </w:rPr>
      </w:pPr>
      <w:r>
        <w:rPr>
          <w:lang w:eastAsia="ja-JP"/>
        </w:rPr>
        <w:t>In Study B7841001</w:t>
      </w:r>
      <w:r w:rsidRPr="0031517C">
        <w:rPr>
          <w:lang w:eastAsia="ja-JP"/>
        </w:rPr>
        <w:t>, following single dose administration to healthy volunteers</w:t>
      </w:r>
      <w:r>
        <w:rPr>
          <w:lang w:eastAsia="ja-JP"/>
        </w:rPr>
        <w:t xml:space="preserve">, the </w:t>
      </w:r>
      <w:r w:rsidR="004644DB">
        <w:rPr>
          <w:lang w:eastAsia="ja-JP"/>
        </w:rPr>
        <w:t>SC</w:t>
      </w:r>
      <w:r>
        <w:rPr>
          <w:lang w:eastAsia="ja-JP"/>
        </w:rPr>
        <w:t xml:space="preserve"> and </w:t>
      </w:r>
      <w:r w:rsidR="004644DB">
        <w:rPr>
          <w:lang w:eastAsia="ja-JP"/>
        </w:rPr>
        <w:t>IV</w:t>
      </w:r>
      <w:r>
        <w:rPr>
          <w:lang w:eastAsia="ja-JP"/>
        </w:rPr>
        <w:t xml:space="preserve"> routes were not bioequivalent: </w:t>
      </w:r>
      <w:r w:rsidR="00FD0D15">
        <w:rPr>
          <w:lang w:eastAsia="ja-JP"/>
        </w:rPr>
        <w:t xml:space="preserve">the </w:t>
      </w:r>
      <w:r>
        <w:rPr>
          <w:lang w:eastAsia="ja-JP"/>
        </w:rPr>
        <w:t>ratio (90% CI) of adjusted means</w:t>
      </w:r>
      <w:r w:rsidR="00617896">
        <w:rPr>
          <w:lang w:eastAsia="ja-JP"/>
        </w:rPr>
        <w:t xml:space="preserve"> of </w:t>
      </w:r>
      <w:r w:rsidR="004644DB">
        <w:rPr>
          <w:lang w:eastAsia="ja-JP"/>
        </w:rPr>
        <w:t>SC</w:t>
      </w:r>
      <w:r w:rsidR="00617896">
        <w:rPr>
          <w:lang w:eastAsia="ja-JP"/>
        </w:rPr>
        <w:t xml:space="preserve"> to </w:t>
      </w:r>
      <w:r w:rsidR="004644DB">
        <w:rPr>
          <w:lang w:eastAsia="ja-JP"/>
        </w:rPr>
        <w:t>IV</w:t>
      </w:r>
      <w:r w:rsidR="00617896">
        <w:rPr>
          <w:lang w:eastAsia="ja-JP"/>
        </w:rPr>
        <w:t xml:space="preserve"> was</w:t>
      </w:r>
      <w:r>
        <w:rPr>
          <w:lang w:eastAsia="ja-JP"/>
        </w:rPr>
        <w:t xml:space="preserve"> 27.31</w:t>
      </w:r>
      <w:r w:rsidR="00617896">
        <w:rPr>
          <w:lang w:eastAsia="ja-JP"/>
        </w:rPr>
        <w:t>%</w:t>
      </w:r>
      <w:r>
        <w:rPr>
          <w:lang w:eastAsia="ja-JP"/>
        </w:rPr>
        <w:t xml:space="preserve"> (20.04 to 37.23</w:t>
      </w:r>
      <w:r w:rsidR="003F609B">
        <w:rPr>
          <w:lang w:eastAsia="ja-JP"/>
        </w:rPr>
        <w:t>%</w:t>
      </w:r>
      <w:r>
        <w:rPr>
          <w:lang w:eastAsia="ja-JP"/>
        </w:rPr>
        <w:t>).</w:t>
      </w:r>
    </w:p>
    <w:p w14:paraId="2AF3F0AB" w14:textId="77777777" w:rsidR="00646BB0" w:rsidRDefault="00646BB0" w:rsidP="00646BB0">
      <w:pPr>
        <w:rPr>
          <w:lang w:eastAsia="ja-JP"/>
        </w:rPr>
      </w:pPr>
      <w:r>
        <w:rPr>
          <w:lang w:eastAsia="ja-JP"/>
        </w:rPr>
        <w:t xml:space="preserve">In </w:t>
      </w:r>
      <w:r w:rsidRPr="004D3DE6">
        <w:t>PopPK analysis PMAR-EQDD-B784a-DP3-</w:t>
      </w:r>
      <w:r>
        <w:t xml:space="preserve">Amendment bioavailability was estimated as </w:t>
      </w:r>
      <w:r>
        <w:rPr>
          <w:lang w:eastAsia="ja-JP"/>
        </w:rPr>
        <w:t>70.5%.</w:t>
      </w:r>
    </w:p>
    <w:p w14:paraId="0B4FC84A" w14:textId="6E00675E" w:rsidR="00646BB0" w:rsidRDefault="00646BB0" w:rsidP="00646BB0">
      <w:pPr>
        <w:rPr>
          <w:lang w:eastAsia="ja-JP"/>
        </w:rPr>
      </w:pPr>
      <w:r>
        <w:rPr>
          <w:lang w:eastAsia="ja-JP"/>
        </w:rPr>
        <w:t>In Study B7841001</w:t>
      </w:r>
      <w:r w:rsidR="005075A0">
        <w:rPr>
          <w:lang w:eastAsia="ja-JP"/>
        </w:rPr>
        <w:t>,</w:t>
      </w:r>
      <w:r>
        <w:rPr>
          <w:lang w:eastAsia="ja-JP"/>
        </w:rPr>
        <w:t xml:space="preserve"> </w:t>
      </w:r>
      <w:r w:rsidR="00581E44">
        <w:rPr>
          <w:lang w:eastAsia="ja-JP"/>
        </w:rPr>
        <w:t>the steady-state volume of distribution (</w:t>
      </w:r>
      <w:r>
        <w:rPr>
          <w:lang w:eastAsia="ja-JP"/>
        </w:rPr>
        <w:t>V</w:t>
      </w:r>
      <w:r w:rsidRPr="003C4371">
        <w:rPr>
          <w:vertAlign w:val="subscript"/>
          <w:lang w:eastAsia="ja-JP"/>
        </w:rPr>
        <w:t>ss</w:t>
      </w:r>
      <w:r w:rsidR="00581E44">
        <w:rPr>
          <w:lang w:eastAsia="ja-JP"/>
        </w:rPr>
        <w:t xml:space="preserve">) </w:t>
      </w:r>
      <w:r>
        <w:rPr>
          <w:lang w:eastAsia="ja-JP"/>
        </w:rPr>
        <w:t xml:space="preserve">following IV dosing ranged from 3.525 L to 3.880 </w:t>
      </w:r>
      <w:r w:rsidR="00CB3156">
        <w:rPr>
          <w:lang w:eastAsia="ja-JP"/>
        </w:rPr>
        <w:t>L.</w:t>
      </w:r>
    </w:p>
    <w:p w14:paraId="0EC38159" w14:textId="70889187" w:rsidR="00646BB0" w:rsidRDefault="00646BB0" w:rsidP="00646BB0">
      <w:r w:rsidRPr="00004F0C">
        <w:rPr>
          <w:lang w:eastAsia="ja-JP"/>
        </w:rPr>
        <w:t>In Study B7841010</w:t>
      </w:r>
      <w:r w:rsidR="00CB3156" w:rsidRPr="00004F0C">
        <w:rPr>
          <w:lang w:eastAsia="ja-JP"/>
        </w:rPr>
        <w:t>,</w:t>
      </w:r>
      <w:r w:rsidRPr="00004F0C">
        <w:rPr>
          <w:lang w:eastAsia="ja-JP"/>
        </w:rPr>
        <w:t xml:space="preserve"> following SC administration of a 300</w:t>
      </w:r>
      <w:r w:rsidR="00CB3156" w:rsidRPr="00004F0C">
        <w:rPr>
          <w:lang w:eastAsia="ja-JP"/>
        </w:rPr>
        <w:t> </w:t>
      </w:r>
      <w:r w:rsidRPr="00004F0C">
        <w:rPr>
          <w:lang w:eastAsia="ja-JP"/>
        </w:rPr>
        <w:t xml:space="preserve">mg dose, </w:t>
      </w:r>
      <w:r w:rsidR="00004F0C" w:rsidRPr="00004F0C">
        <w:rPr>
          <w:lang w:eastAsia="ja-JP"/>
        </w:rPr>
        <w:t xml:space="preserve">the apparent volume of distribution </w:t>
      </w:r>
      <w:r w:rsidRPr="00004F0C">
        <w:t>was 8.305 L (29%).</w:t>
      </w:r>
    </w:p>
    <w:p w14:paraId="7D45EB3A" w14:textId="77777777" w:rsidR="00646BB0" w:rsidRPr="00533011" w:rsidRDefault="00646BB0" w:rsidP="00DE6E14">
      <w:pPr>
        <w:pStyle w:val="Heading6"/>
      </w:pPr>
      <w:r w:rsidRPr="00533011">
        <w:lastRenderedPageBreak/>
        <w:t>Sites of metabolism and mechanisms / enzyme systems involved</w:t>
      </w:r>
    </w:p>
    <w:p w14:paraId="7D8FE4B7" w14:textId="77777777" w:rsidR="00CB3156" w:rsidRDefault="00646BB0" w:rsidP="00646BB0">
      <w:r w:rsidRPr="003F5753">
        <w:t xml:space="preserve">The </w:t>
      </w:r>
      <w:r w:rsidR="00CB3156">
        <w:t>s</w:t>
      </w:r>
      <w:r w:rsidRPr="003F5753">
        <w:t>ponsor states in the PI:</w:t>
      </w:r>
    </w:p>
    <w:p w14:paraId="7C86993B" w14:textId="6AC267A1" w:rsidR="00CB3156" w:rsidRPr="00CB3156" w:rsidRDefault="00646BB0" w:rsidP="00CB3156">
      <w:pPr>
        <w:ind w:left="720"/>
        <w:rPr>
          <w:sz w:val="20"/>
        </w:rPr>
      </w:pPr>
      <w:proofErr w:type="gramStart"/>
      <w:r w:rsidRPr="00CB3156">
        <w:rPr>
          <w:sz w:val="20"/>
        </w:rPr>
        <w:t>Similar to</w:t>
      </w:r>
      <w:proofErr w:type="gramEnd"/>
      <w:r w:rsidRPr="00CB3156">
        <w:rPr>
          <w:sz w:val="20"/>
        </w:rPr>
        <w:t xml:space="preserve"> other therapeutic proteins with molecular weights above the glomerular filtration cut-off, marstacimab is expected to undergo proteolytic catabolism </w:t>
      </w:r>
      <w:r w:rsidRPr="00004F0C">
        <w:t xml:space="preserve">and </w:t>
      </w:r>
      <w:r w:rsidRPr="00004F0C">
        <w:rPr>
          <w:sz w:val="20"/>
        </w:rPr>
        <w:t xml:space="preserve">receptor-mediated clearance. In addition, based on the </w:t>
      </w:r>
      <w:r w:rsidR="00004F0C" w:rsidRPr="00004F0C">
        <w:rPr>
          <w:sz w:val="20"/>
        </w:rPr>
        <w:t xml:space="preserve">[target mediated drug disposition] </w:t>
      </w:r>
      <w:r w:rsidRPr="00004F0C">
        <w:rPr>
          <w:sz w:val="20"/>
        </w:rPr>
        <w:t>TMDD, marstacimab is expected</w:t>
      </w:r>
      <w:r w:rsidRPr="00CB3156">
        <w:rPr>
          <w:sz w:val="20"/>
        </w:rPr>
        <w:t xml:space="preserve"> to be also cleared by target-mediated clearance as formation of marstacimab/TFPI complex.</w:t>
      </w:r>
    </w:p>
    <w:p w14:paraId="7E5DFD3D" w14:textId="03F5D8EA" w:rsidR="00646BB0" w:rsidRPr="003F5753" w:rsidRDefault="00646BB0" w:rsidP="00646BB0">
      <w:r w:rsidRPr="004D6E5F">
        <w:t>This statement is consistent with the PK and PK</w:t>
      </w:r>
      <w:r w:rsidR="004D6E5F" w:rsidRPr="004D6E5F">
        <w:t>-</w:t>
      </w:r>
      <w:r w:rsidRPr="004D6E5F">
        <w:t>PD data.</w:t>
      </w:r>
    </w:p>
    <w:p w14:paraId="76C90006" w14:textId="77777777" w:rsidR="00646BB0" w:rsidRPr="00533011" w:rsidRDefault="00646BB0" w:rsidP="00DE6E14">
      <w:pPr>
        <w:pStyle w:val="Heading6"/>
      </w:pPr>
      <w:r w:rsidRPr="00533011">
        <w:t>Routes and mechanisms of excretion</w:t>
      </w:r>
    </w:p>
    <w:p w14:paraId="1812D18E" w14:textId="3D81B225" w:rsidR="00646BB0" w:rsidRPr="006B3DE6" w:rsidRDefault="00646BB0" w:rsidP="00646BB0">
      <w:r w:rsidRPr="006B3DE6">
        <w:t>As a mAb, marstacimab is expected to be cleared by catabolism following endocytosis by the mononuclear phagocytic system.</w:t>
      </w:r>
      <w:r>
        <w:t xml:space="preserve"> This would be expected to extend also to the marstacimab-TFPI complex.</w:t>
      </w:r>
    </w:p>
    <w:p w14:paraId="24FDF34E" w14:textId="73EB4A0C" w:rsidR="00646BB0" w:rsidRPr="006B3DE6" w:rsidRDefault="00646BB0" w:rsidP="00646BB0">
      <w:r>
        <w:rPr>
          <w:lang w:eastAsia="ja-JP"/>
        </w:rPr>
        <w:t xml:space="preserve">In Study B7841001 clearance decreased with increasing dose, and exposure to marstacimab was not </w:t>
      </w:r>
      <w:proofErr w:type="gramStart"/>
      <w:r>
        <w:rPr>
          <w:lang w:eastAsia="ja-JP"/>
        </w:rPr>
        <w:t>dose-proportional</w:t>
      </w:r>
      <w:proofErr w:type="gramEnd"/>
      <w:r>
        <w:rPr>
          <w:lang w:eastAsia="ja-JP"/>
        </w:rPr>
        <w:t>. The plasma concentration time profiles suggest a one-compartment model, with decreased clearance at higher doses. Half-life ranged from 33.3</w:t>
      </w:r>
      <w:r w:rsidR="00D90A74">
        <w:rPr>
          <w:lang w:eastAsia="ja-JP"/>
        </w:rPr>
        <w:t> </w:t>
      </w:r>
      <w:r>
        <w:rPr>
          <w:lang w:eastAsia="ja-JP"/>
        </w:rPr>
        <w:t>hours for the 100</w:t>
      </w:r>
      <w:r w:rsidR="00D90A74">
        <w:rPr>
          <w:lang w:eastAsia="ja-JP"/>
        </w:rPr>
        <w:t> </w:t>
      </w:r>
      <w:r>
        <w:rPr>
          <w:lang w:eastAsia="ja-JP"/>
        </w:rPr>
        <w:t xml:space="preserve">mg SC dose </w:t>
      </w:r>
      <w:r w:rsidRPr="0096473B">
        <w:rPr>
          <w:lang w:eastAsia="ja-JP"/>
        </w:rPr>
        <w:t xml:space="preserve">in </w:t>
      </w:r>
      <w:r w:rsidR="00537B04" w:rsidRPr="0096473B">
        <w:rPr>
          <w:lang w:eastAsia="ja-JP"/>
        </w:rPr>
        <w:t>non-Japanese</w:t>
      </w:r>
      <w:r w:rsidRPr="0096473B">
        <w:rPr>
          <w:lang w:eastAsia="ja-JP"/>
        </w:rPr>
        <w:t xml:space="preserve"> subjects</w:t>
      </w:r>
      <w:r>
        <w:rPr>
          <w:lang w:eastAsia="ja-JP"/>
        </w:rPr>
        <w:t xml:space="preserve"> to 98.35</w:t>
      </w:r>
      <w:r w:rsidR="00D90A74">
        <w:rPr>
          <w:lang w:eastAsia="ja-JP"/>
        </w:rPr>
        <w:t> </w:t>
      </w:r>
      <w:r>
        <w:rPr>
          <w:lang w:eastAsia="ja-JP"/>
        </w:rPr>
        <w:t>hours for the 300</w:t>
      </w:r>
      <w:r w:rsidR="00D90A74">
        <w:rPr>
          <w:lang w:eastAsia="ja-JP"/>
        </w:rPr>
        <w:t> </w:t>
      </w:r>
      <w:r>
        <w:rPr>
          <w:lang w:eastAsia="ja-JP"/>
        </w:rPr>
        <w:t>mg SC dose in Japanese subjects.</w:t>
      </w:r>
    </w:p>
    <w:p w14:paraId="3D6BAC16" w14:textId="137D4136" w:rsidR="00646BB0" w:rsidRPr="00FE6654" w:rsidRDefault="00646BB0" w:rsidP="00646BB0">
      <w:r>
        <w:rPr>
          <w:lang w:eastAsia="ja-JP"/>
        </w:rPr>
        <w:t>In Study B7841010 following SC administration of a 300</w:t>
      </w:r>
      <w:r w:rsidR="00D90A74">
        <w:rPr>
          <w:lang w:eastAsia="ja-JP"/>
        </w:rPr>
        <w:t> </w:t>
      </w:r>
      <w:r>
        <w:rPr>
          <w:lang w:eastAsia="ja-JP"/>
        </w:rPr>
        <w:t xml:space="preserve">mg dose, the </w:t>
      </w:r>
      <w:r w:rsidRPr="00FE6654">
        <w:t>geometric</w:t>
      </w:r>
      <w:r>
        <w:t xml:space="preserve"> </w:t>
      </w:r>
      <w:r w:rsidRPr="00FE6654">
        <w:t xml:space="preserve">mean </w:t>
      </w:r>
      <w:r>
        <w:t xml:space="preserve">(CV%) for </w:t>
      </w:r>
      <w:r w:rsidR="004D6E5F">
        <w:t xml:space="preserve">clearance/bioavailability </w:t>
      </w:r>
      <w:r>
        <w:t xml:space="preserve">was </w:t>
      </w:r>
      <w:r w:rsidRPr="00FE6654">
        <w:t>0.06595</w:t>
      </w:r>
      <w:r w:rsidR="00D90A74">
        <w:t> </w:t>
      </w:r>
      <w:r w:rsidRPr="00FE6654">
        <w:t xml:space="preserve">L/hr </w:t>
      </w:r>
      <w:r>
        <w:t>(7%). T</w:t>
      </w:r>
      <w:r w:rsidRPr="00FE6654">
        <w:t>he arithmetic mean</w:t>
      </w:r>
      <w:r>
        <w:t xml:space="preserve"> (SD)</w:t>
      </w:r>
      <w:r w:rsidRPr="00FE6654">
        <w:t xml:space="preserve"> t</w:t>
      </w:r>
      <w:r w:rsidR="00EF382E" w:rsidRPr="007F2855">
        <w:rPr>
          <w:vertAlign w:val="subscript"/>
        </w:rPr>
        <w:t>½</w:t>
      </w:r>
      <w:r w:rsidRPr="00FE6654">
        <w:t xml:space="preserve"> was 90.48 </w:t>
      </w:r>
      <w:r>
        <w:t xml:space="preserve">(26.025) </w:t>
      </w:r>
      <w:r w:rsidRPr="00FE6654">
        <w:t>hours.</w:t>
      </w:r>
    </w:p>
    <w:p w14:paraId="66B59D09" w14:textId="0C280A32" w:rsidR="00646BB0" w:rsidRDefault="00646BB0" w:rsidP="00646BB0">
      <w:pPr>
        <w:rPr>
          <w:lang w:eastAsia="ja-JP"/>
        </w:rPr>
      </w:pPr>
      <w:r w:rsidRPr="00E07BCD">
        <w:rPr>
          <w:lang w:eastAsia="ja-JP"/>
        </w:rPr>
        <w:t xml:space="preserve">In Study B7841002 steady state was reached after the fifth dose or week on treatment. </w:t>
      </w:r>
      <w:r w:rsidR="007F2855" w:rsidRPr="00E07BCD">
        <w:rPr>
          <w:lang w:eastAsia="ja-JP"/>
        </w:rPr>
        <w:t>The</w:t>
      </w:r>
      <w:r w:rsidRPr="00E07BCD">
        <w:rPr>
          <w:lang w:eastAsia="ja-JP"/>
        </w:rPr>
        <w:t xml:space="preserve"> </w:t>
      </w:r>
      <w:r w:rsidR="008B7A8A" w:rsidRPr="00E07BCD">
        <w:rPr>
          <w:lang w:eastAsia="ja-JP"/>
        </w:rPr>
        <w:t>minimum and maximum plasma concentrations (</w:t>
      </w:r>
      <w:r w:rsidRPr="00E07BCD">
        <w:rPr>
          <w:lang w:eastAsia="ja-JP"/>
        </w:rPr>
        <w:t>C</w:t>
      </w:r>
      <w:r w:rsidR="00942D89" w:rsidRPr="00E07BCD">
        <w:rPr>
          <w:vertAlign w:val="subscript"/>
          <w:lang w:eastAsia="ja-JP"/>
        </w:rPr>
        <w:t>min</w:t>
      </w:r>
      <w:r w:rsidRPr="00E07BCD">
        <w:rPr>
          <w:lang w:eastAsia="ja-JP"/>
        </w:rPr>
        <w:t xml:space="preserve"> and C</w:t>
      </w:r>
      <w:r w:rsidRPr="00E07BCD">
        <w:rPr>
          <w:vertAlign w:val="subscript"/>
          <w:lang w:eastAsia="ja-JP"/>
        </w:rPr>
        <w:t>max</w:t>
      </w:r>
      <w:r w:rsidR="008B7A8A" w:rsidRPr="00E07BCD">
        <w:rPr>
          <w:lang w:eastAsia="ja-JP"/>
        </w:rPr>
        <w:t xml:space="preserve">) </w:t>
      </w:r>
      <w:r w:rsidRPr="00E07BCD">
        <w:rPr>
          <w:lang w:eastAsia="ja-JP"/>
        </w:rPr>
        <w:t>reflected the dose sizes, but</w:t>
      </w:r>
      <w:r w:rsidR="004D6E5F" w:rsidRPr="00E07BCD">
        <w:rPr>
          <w:lang w:eastAsia="ja-JP"/>
        </w:rPr>
        <w:t xml:space="preserve"> </w:t>
      </w:r>
      <w:r w:rsidR="004D6E5F" w:rsidRPr="00E07BCD">
        <w:t>clearance/bioavailability</w:t>
      </w:r>
      <w:r w:rsidRPr="00E07BCD">
        <w:rPr>
          <w:lang w:eastAsia="ja-JP"/>
        </w:rPr>
        <w:t xml:space="preserve"> was similar for all the dose regimens. Overall, mean (CV%)] </w:t>
      </w:r>
      <w:r w:rsidR="004D6E5F" w:rsidRPr="00E07BCD">
        <w:t xml:space="preserve">clearance/bioavailability </w:t>
      </w:r>
      <w:r w:rsidRPr="00E07BCD">
        <w:rPr>
          <w:lang w:eastAsia="ja-JP"/>
        </w:rPr>
        <w:t>at 300</w:t>
      </w:r>
      <w:r w:rsidR="00942D89" w:rsidRPr="00E07BCD">
        <w:rPr>
          <w:lang w:eastAsia="ja-JP"/>
        </w:rPr>
        <w:t> </w:t>
      </w:r>
      <w:r w:rsidRPr="00E07BCD">
        <w:rPr>
          <w:lang w:eastAsia="ja-JP"/>
        </w:rPr>
        <w:t xml:space="preserve">mg SC </w:t>
      </w:r>
      <w:r w:rsidR="000D3A9A" w:rsidRPr="00E07BCD">
        <w:rPr>
          <w:lang w:eastAsia="ja-JP"/>
        </w:rPr>
        <w:t>once weekly</w:t>
      </w:r>
      <w:r w:rsidRPr="00E07BCD">
        <w:rPr>
          <w:lang w:eastAsia="ja-JP"/>
        </w:rPr>
        <w:t xml:space="preserve"> (Inhibitors and Non-Inhibitors combined) was 32.79</w:t>
      </w:r>
      <w:r w:rsidR="000D3A9A" w:rsidRPr="00E07BCD">
        <w:rPr>
          <w:lang w:eastAsia="ja-JP"/>
        </w:rPr>
        <w:t> </w:t>
      </w:r>
      <w:r w:rsidRPr="00E07BCD">
        <w:rPr>
          <w:lang w:eastAsia="ja-JP"/>
        </w:rPr>
        <w:t>mL/hour (41%).</w:t>
      </w:r>
    </w:p>
    <w:p w14:paraId="035D4042" w14:textId="77777777" w:rsidR="007E236B" w:rsidRPr="00150A99" w:rsidRDefault="007E236B" w:rsidP="007E236B">
      <w:pPr>
        <w:pStyle w:val="Heading5"/>
      </w:pPr>
      <w:bookmarkStart w:id="76" w:name="_Toc416353677"/>
      <w:bookmarkStart w:id="77" w:name="_Toc421005247"/>
      <w:bookmarkStart w:id="78" w:name="_Toc432079129"/>
      <w:bookmarkStart w:id="79" w:name="_Toc432080702"/>
      <w:r w:rsidRPr="00150A99">
        <w:t xml:space="preserve">Population </w:t>
      </w:r>
      <w:r>
        <w:t>p</w:t>
      </w:r>
      <w:r w:rsidRPr="00150A99">
        <w:t>harmacokinetics</w:t>
      </w:r>
      <w:bookmarkEnd w:id="76"/>
      <w:bookmarkEnd w:id="77"/>
      <w:bookmarkEnd w:id="78"/>
      <w:bookmarkEnd w:id="79"/>
      <w:r>
        <w:t xml:space="preserve"> (Pop PK)</w:t>
      </w:r>
    </w:p>
    <w:p w14:paraId="2B76E5B1" w14:textId="77777777" w:rsidR="007E236B" w:rsidRPr="000F56D0" w:rsidRDefault="007E236B" w:rsidP="00155F6A">
      <w:pPr>
        <w:pStyle w:val="Heading6"/>
        <w:rPr>
          <w:lang w:eastAsia="ja-JP"/>
        </w:rPr>
      </w:pPr>
      <w:r w:rsidRPr="000F56D0">
        <w:rPr>
          <w:lang w:eastAsia="ja-JP"/>
        </w:rPr>
        <w:t>PopPK analysis PMAR-EQDD-B784a-DP3-1021</w:t>
      </w:r>
    </w:p>
    <w:p w14:paraId="0B56763E" w14:textId="7BEC987F" w:rsidR="007E236B" w:rsidRPr="000F56D0" w:rsidRDefault="007E236B" w:rsidP="007E236B">
      <w:pPr>
        <w:rPr>
          <w:lang w:eastAsia="ja-JP"/>
        </w:rPr>
      </w:pPr>
      <w:r w:rsidRPr="000F56D0">
        <w:rPr>
          <w:lang w:eastAsia="ja-JP"/>
        </w:rPr>
        <w:t xml:space="preserve">PopPK analysis PMAR-EQDD-B784a-DP3-1021 was a </w:t>
      </w:r>
      <w:r w:rsidR="00D326B1">
        <w:rPr>
          <w:lang w:eastAsia="ja-JP"/>
        </w:rPr>
        <w:t>p</w:t>
      </w:r>
      <w:r w:rsidRPr="000F56D0">
        <w:rPr>
          <w:lang w:eastAsia="ja-JP"/>
        </w:rPr>
        <w:t xml:space="preserve">opulation </w:t>
      </w:r>
      <w:r w:rsidR="00D326B1">
        <w:rPr>
          <w:lang w:eastAsia="ja-JP"/>
        </w:rPr>
        <w:t>PK and PD</w:t>
      </w:r>
      <w:r w:rsidRPr="000F56D0">
        <w:rPr>
          <w:lang w:eastAsia="ja-JP"/>
        </w:rPr>
        <w:t xml:space="preserve"> modelling of marstacimab. The study analysed data from Study B7841001 in healthy volunteers and Study </w:t>
      </w:r>
      <w:r w:rsidRPr="00D326B1">
        <w:rPr>
          <w:lang w:eastAsia="ja-JP"/>
        </w:rPr>
        <w:t>B7841002 in subjects with haemophilia. The base model used a target mediated drug disposition (TMDD) model. The final model was a TMDD model with quasi-steady state approximation with a non-linear clearance for both total drug and the drug-target complex.</w:t>
      </w:r>
      <w:r w:rsidRPr="000F56D0">
        <w:rPr>
          <w:lang w:eastAsia="ja-JP"/>
        </w:rPr>
        <w:t xml:space="preserve"> Weight was retained as a covariate on </w:t>
      </w:r>
      <w:r w:rsidR="00E07BCD">
        <w:rPr>
          <w:lang w:eastAsia="ja-JP"/>
        </w:rPr>
        <w:t xml:space="preserve">clearance and intercompartmental clearance </w:t>
      </w:r>
      <w:r w:rsidRPr="000F56D0">
        <w:rPr>
          <w:lang w:eastAsia="ja-JP"/>
        </w:rPr>
        <w:t xml:space="preserve">with an </w:t>
      </w:r>
      <w:r w:rsidRPr="00014C8C">
        <w:rPr>
          <w:lang w:eastAsia="ja-JP"/>
        </w:rPr>
        <w:t xml:space="preserve">allometric exponent of 0.75, and on </w:t>
      </w:r>
      <w:r w:rsidR="00014C8C" w:rsidRPr="00014C8C">
        <w:rPr>
          <w:lang w:eastAsia="ja-JP"/>
        </w:rPr>
        <w:t xml:space="preserve">central volume of distribution </w:t>
      </w:r>
      <w:r w:rsidRPr="00014C8C">
        <w:rPr>
          <w:lang w:eastAsia="ja-JP"/>
        </w:rPr>
        <w:t xml:space="preserve">and </w:t>
      </w:r>
      <w:r w:rsidR="00014C8C" w:rsidRPr="00014C8C">
        <w:rPr>
          <w:lang w:eastAsia="ja-JP"/>
        </w:rPr>
        <w:t>peripheral volume of distribution</w:t>
      </w:r>
      <w:r w:rsidRPr="00014C8C">
        <w:rPr>
          <w:lang w:eastAsia="ja-JP"/>
        </w:rPr>
        <w:t xml:space="preserve"> with an allometric exponent of 1.</w:t>
      </w:r>
    </w:p>
    <w:p w14:paraId="0F02F22E" w14:textId="12A01522" w:rsidR="007E236B" w:rsidRPr="000F56D0" w:rsidRDefault="007E236B" w:rsidP="007E236B">
      <w:pPr>
        <w:rPr>
          <w:lang w:eastAsia="ja-JP"/>
        </w:rPr>
      </w:pPr>
      <w:r w:rsidRPr="000F56D0">
        <w:rPr>
          <w:lang w:eastAsia="ja-JP"/>
        </w:rPr>
        <w:t xml:space="preserve">The parameters were estimated with acceptable precision. The typical values (RSE%) were 2.78 (11.2%) L for </w:t>
      </w:r>
      <w:r w:rsidR="00581E44">
        <w:rPr>
          <w:lang w:eastAsia="ja-JP"/>
        </w:rPr>
        <w:t>central volume of distribution</w:t>
      </w:r>
      <w:r w:rsidRPr="000F56D0">
        <w:rPr>
          <w:lang w:eastAsia="ja-JP"/>
        </w:rPr>
        <w:t xml:space="preserve">, 2.71 (17.5%) for </w:t>
      </w:r>
      <w:r w:rsidR="00581E44">
        <w:rPr>
          <w:lang w:eastAsia="ja-JP"/>
        </w:rPr>
        <w:t>peripheral volume of distribution</w:t>
      </w:r>
      <w:r w:rsidRPr="000F56D0">
        <w:rPr>
          <w:lang w:eastAsia="ja-JP"/>
        </w:rPr>
        <w:t xml:space="preserve">, and 0.00871(23.5%) L/h for </w:t>
      </w:r>
      <w:r w:rsidR="00581E44">
        <w:rPr>
          <w:lang w:eastAsia="ja-JP"/>
        </w:rPr>
        <w:t>clearance.</w:t>
      </w:r>
    </w:p>
    <w:p w14:paraId="7F119763" w14:textId="77777777" w:rsidR="007E236B" w:rsidRPr="000F56D0" w:rsidRDefault="007E236B" w:rsidP="00155F6A">
      <w:pPr>
        <w:pStyle w:val="Heading6"/>
        <w:rPr>
          <w:lang w:eastAsia="ja-JP"/>
        </w:rPr>
      </w:pPr>
      <w:proofErr w:type="spellStart"/>
      <w:r w:rsidRPr="000F56D0">
        <w:rPr>
          <w:lang w:eastAsia="ja-JP"/>
        </w:rPr>
        <w:t>PopPK</w:t>
      </w:r>
      <w:proofErr w:type="spellEnd"/>
      <w:r w:rsidRPr="000F56D0">
        <w:rPr>
          <w:lang w:eastAsia="ja-JP"/>
        </w:rPr>
        <w:t xml:space="preserve"> analysis PMAR-EQDD-B784a-DP3-1331</w:t>
      </w:r>
      <w:r>
        <w:rPr>
          <w:lang w:eastAsia="ja-JP"/>
        </w:rPr>
        <w:t>-Amendment</w:t>
      </w:r>
    </w:p>
    <w:p w14:paraId="60E9B882" w14:textId="438FFB52" w:rsidR="007E236B" w:rsidRPr="000F56D0" w:rsidRDefault="007E236B" w:rsidP="007E236B">
      <w:pPr>
        <w:rPr>
          <w:lang w:eastAsia="ja-JP"/>
        </w:rPr>
      </w:pPr>
      <w:r w:rsidRPr="00014C8C">
        <w:rPr>
          <w:lang w:eastAsia="ja-JP"/>
        </w:rPr>
        <w:t>PopPK analysis PMAR-EQDD-B784a-DP3-1331-Amendment was a population PK and PK</w:t>
      </w:r>
      <w:r w:rsidR="00E07BCD" w:rsidRPr="00014C8C">
        <w:rPr>
          <w:lang w:eastAsia="ja-JP"/>
        </w:rPr>
        <w:t>-</w:t>
      </w:r>
      <w:r w:rsidRPr="00014C8C">
        <w:rPr>
          <w:lang w:eastAsia="ja-JP"/>
        </w:rPr>
        <w:t>PD</w:t>
      </w:r>
      <w:r w:rsidRPr="000F56D0">
        <w:rPr>
          <w:lang w:eastAsia="ja-JP"/>
        </w:rPr>
        <w:t xml:space="preserve"> analysis that was conducted using data from healthy adult participants as well as adult (≥</w:t>
      </w:r>
      <w:r w:rsidR="00EB3E67">
        <w:rPr>
          <w:lang w:eastAsia="ja-JP"/>
        </w:rPr>
        <w:t> </w:t>
      </w:r>
      <w:r w:rsidRPr="000F56D0">
        <w:rPr>
          <w:lang w:eastAsia="ja-JP"/>
        </w:rPr>
        <w:t>18</w:t>
      </w:r>
      <w:r w:rsidR="00EB3E67">
        <w:rPr>
          <w:lang w:eastAsia="ja-JP"/>
        </w:rPr>
        <w:t> </w:t>
      </w:r>
      <w:r w:rsidRPr="000F56D0">
        <w:rPr>
          <w:lang w:eastAsia="ja-JP"/>
        </w:rPr>
        <w:t>years of age) and adolescent (12 to &lt;</w:t>
      </w:r>
      <w:r w:rsidR="00EB3E67">
        <w:rPr>
          <w:lang w:eastAsia="ja-JP"/>
        </w:rPr>
        <w:t> </w:t>
      </w:r>
      <w:r w:rsidRPr="000F56D0">
        <w:rPr>
          <w:lang w:eastAsia="ja-JP"/>
        </w:rPr>
        <w:t>18</w:t>
      </w:r>
      <w:r w:rsidR="00EB3E67">
        <w:rPr>
          <w:lang w:eastAsia="ja-JP"/>
        </w:rPr>
        <w:t> </w:t>
      </w:r>
      <w:r w:rsidRPr="000F56D0">
        <w:rPr>
          <w:lang w:eastAsia="ja-JP"/>
        </w:rPr>
        <w:t xml:space="preserve">years of age) participants with haemophilia in the Phase </w:t>
      </w:r>
      <w:r w:rsidR="00EB3E67">
        <w:rPr>
          <w:lang w:eastAsia="ja-JP"/>
        </w:rPr>
        <w:t>I</w:t>
      </w:r>
      <w:r w:rsidRPr="000F56D0">
        <w:rPr>
          <w:lang w:eastAsia="ja-JP"/>
        </w:rPr>
        <w:t xml:space="preserve">, </w:t>
      </w:r>
      <w:r w:rsidR="00EB3E67">
        <w:rPr>
          <w:lang w:eastAsia="ja-JP"/>
        </w:rPr>
        <w:t xml:space="preserve">II </w:t>
      </w:r>
      <w:r w:rsidRPr="000F56D0">
        <w:rPr>
          <w:lang w:eastAsia="ja-JP"/>
        </w:rPr>
        <w:t xml:space="preserve">and </w:t>
      </w:r>
      <w:r w:rsidR="00EB3E67">
        <w:rPr>
          <w:lang w:eastAsia="ja-JP"/>
        </w:rPr>
        <w:t>III</w:t>
      </w:r>
      <w:r w:rsidRPr="000F56D0">
        <w:rPr>
          <w:lang w:eastAsia="ja-JP"/>
        </w:rPr>
        <w:t xml:space="preserve"> studies to characterise marstacimab PK and total TFPI concentrations and their effect on the key biomarker peak thrombin. The study was used a confirmatory study of the previously developed PK</w:t>
      </w:r>
      <w:r w:rsidR="00E07BCD">
        <w:rPr>
          <w:lang w:eastAsia="ja-JP"/>
        </w:rPr>
        <w:t>-</w:t>
      </w:r>
      <w:r w:rsidRPr="000F56D0">
        <w:rPr>
          <w:lang w:eastAsia="ja-JP"/>
        </w:rPr>
        <w:t>PD model and the dosing regimen used in the Phase III study.</w:t>
      </w:r>
    </w:p>
    <w:p w14:paraId="015843B3" w14:textId="77777777" w:rsidR="007E236B" w:rsidRPr="000F56D0" w:rsidRDefault="007E236B" w:rsidP="007E236B">
      <w:pPr>
        <w:rPr>
          <w:lang w:eastAsia="ja-JP"/>
        </w:rPr>
      </w:pPr>
      <w:r w:rsidRPr="000F56D0">
        <w:rPr>
          <w:lang w:eastAsia="ja-JP"/>
        </w:rPr>
        <w:lastRenderedPageBreak/>
        <w:t>The data were obtained from six studies:</w:t>
      </w:r>
    </w:p>
    <w:p w14:paraId="3229CFCB" w14:textId="2EDB411C" w:rsidR="007E236B" w:rsidRPr="000F56D0" w:rsidRDefault="007E236B" w:rsidP="009065B8">
      <w:pPr>
        <w:pStyle w:val="ListBullet"/>
        <w:rPr>
          <w:lang w:eastAsia="ja-JP"/>
        </w:rPr>
      </w:pPr>
      <w:r w:rsidRPr="000F56D0">
        <w:rPr>
          <w:lang w:eastAsia="ja-JP"/>
        </w:rPr>
        <w:t>Study B7841001 conducted in healthy volunteers</w:t>
      </w:r>
    </w:p>
    <w:p w14:paraId="09156735" w14:textId="2FB805BE" w:rsidR="007E236B" w:rsidRPr="000F56D0" w:rsidRDefault="007E236B" w:rsidP="009065B8">
      <w:pPr>
        <w:pStyle w:val="ListBullet"/>
        <w:rPr>
          <w:lang w:eastAsia="ja-JP"/>
        </w:rPr>
      </w:pPr>
      <w:r w:rsidRPr="000F56D0">
        <w:rPr>
          <w:lang w:eastAsia="ja-JP"/>
        </w:rPr>
        <w:t>Study B7841009 conducted in healthy volunteers</w:t>
      </w:r>
    </w:p>
    <w:p w14:paraId="15250DAC" w14:textId="7D6D5C11" w:rsidR="007E236B" w:rsidRPr="000F56D0" w:rsidRDefault="007E236B" w:rsidP="009065B8">
      <w:pPr>
        <w:pStyle w:val="ListBullet"/>
        <w:rPr>
          <w:lang w:eastAsia="ja-JP"/>
        </w:rPr>
      </w:pPr>
      <w:r w:rsidRPr="000F56D0">
        <w:rPr>
          <w:lang w:eastAsia="ja-JP"/>
        </w:rPr>
        <w:t>Study B7841002 conducted in subjects with haemophilia</w:t>
      </w:r>
    </w:p>
    <w:p w14:paraId="498A3E29" w14:textId="47F0B432" w:rsidR="007E236B" w:rsidRPr="000F56D0" w:rsidRDefault="007E236B" w:rsidP="009065B8">
      <w:pPr>
        <w:pStyle w:val="ListBullet"/>
        <w:rPr>
          <w:lang w:eastAsia="ja-JP"/>
        </w:rPr>
      </w:pPr>
      <w:r w:rsidRPr="000F56D0">
        <w:rPr>
          <w:lang w:eastAsia="ja-JP"/>
        </w:rPr>
        <w:t>Study B7841003 conducted in subjects with haemophilia</w:t>
      </w:r>
    </w:p>
    <w:p w14:paraId="577F95B4" w14:textId="0503BFB1" w:rsidR="007E236B" w:rsidRPr="000F56D0" w:rsidRDefault="007E236B" w:rsidP="009065B8">
      <w:pPr>
        <w:pStyle w:val="ListBullet"/>
        <w:rPr>
          <w:lang w:eastAsia="ja-JP"/>
        </w:rPr>
      </w:pPr>
      <w:r w:rsidRPr="000F56D0">
        <w:rPr>
          <w:lang w:eastAsia="ja-JP"/>
        </w:rPr>
        <w:t>Study B7841005 conducted in subjects with haemophilia</w:t>
      </w:r>
    </w:p>
    <w:p w14:paraId="549F04A3" w14:textId="6C0CA13E" w:rsidR="007E236B" w:rsidRPr="000F56D0" w:rsidRDefault="007E236B" w:rsidP="009065B8">
      <w:pPr>
        <w:pStyle w:val="ListBullet"/>
        <w:rPr>
          <w:lang w:eastAsia="ja-JP"/>
        </w:rPr>
      </w:pPr>
      <w:r w:rsidRPr="000F56D0">
        <w:rPr>
          <w:lang w:eastAsia="ja-JP"/>
        </w:rPr>
        <w:t>Study B7841010 conducted in Chinese subjects with haemophilia</w:t>
      </w:r>
      <w:r w:rsidR="009065B8">
        <w:rPr>
          <w:lang w:eastAsia="ja-JP"/>
        </w:rPr>
        <w:t>.</w:t>
      </w:r>
    </w:p>
    <w:p w14:paraId="7381D0C8" w14:textId="77777777" w:rsidR="007E236B" w:rsidRPr="000F56D0" w:rsidRDefault="007E236B" w:rsidP="007E236B">
      <w:pPr>
        <w:rPr>
          <w:lang w:eastAsia="ja-JP"/>
        </w:rPr>
      </w:pPr>
      <w:r w:rsidRPr="000F56D0">
        <w:rPr>
          <w:lang w:eastAsia="ja-JP"/>
        </w:rPr>
        <w:t>The final model included the following additional covariate effects, in addition to body weight:</w:t>
      </w:r>
    </w:p>
    <w:p w14:paraId="56337441" w14:textId="78634394" w:rsidR="007E236B" w:rsidRPr="000F56D0" w:rsidRDefault="007E236B" w:rsidP="009065B8">
      <w:pPr>
        <w:pStyle w:val="ListBullet"/>
        <w:rPr>
          <w:lang w:eastAsia="ja-JP"/>
        </w:rPr>
      </w:pPr>
      <w:r w:rsidRPr="000F56D0">
        <w:rPr>
          <w:lang w:eastAsia="ja-JP"/>
        </w:rPr>
        <w:t xml:space="preserve">Additional effect on </w:t>
      </w:r>
      <w:r w:rsidR="00581E44">
        <w:rPr>
          <w:lang w:eastAsia="ja-JP"/>
        </w:rPr>
        <w:t>clearance</w:t>
      </w:r>
      <w:r w:rsidRPr="000F56D0">
        <w:rPr>
          <w:lang w:eastAsia="ja-JP"/>
        </w:rPr>
        <w:t xml:space="preserve"> for Healthy Population</w:t>
      </w:r>
    </w:p>
    <w:p w14:paraId="0EFFB529" w14:textId="4A9C799B" w:rsidR="007E236B" w:rsidRPr="000F56D0" w:rsidRDefault="007E236B" w:rsidP="009065B8">
      <w:pPr>
        <w:pStyle w:val="ListBullet"/>
        <w:rPr>
          <w:lang w:eastAsia="ja-JP"/>
        </w:rPr>
      </w:pPr>
      <w:r w:rsidRPr="000F56D0">
        <w:rPr>
          <w:lang w:eastAsia="ja-JP"/>
        </w:rPr>
        <w:t xml:space="preserve">Additional effect on </w:t>
      </w:r>
      <w:r w:rsidR="00581E44">
        <w:rPr>
          <w:lang w:eastAsia="ja-JP"/>
        </w:rPr>
        <w:t>clearance</w:t>
      </w:r>
      <w:r w:rsidRPr="000F56D0">
        <w:rPr>
          <w:lang w:eastAsia="ja-JP"/>
        </w:rPr>
        <w:t xml:space="preserve"> for Asian subjects</w:t>
      </w:r>
    </w:p>
    <w:p w14:paraId="77A5626F" w14:textId="1432410A" w:rsidR="009065B8" w:rsidRDefault="007E236B" w:rsidP="00B65584">
      <w:pPr>
        <w:pStyle w:val="ListBullet"/>
        <w:rPr>
          <w:lang w:eastAsia="ja-JP"/>
        </w:rPr>
      </w:pPr>
      <w:r w:rsidRPr="000F56D0">
        <w:rPr>
          <w:lang w:eastAsia="ja-JP"/>
        </w:rPr>
        <w:t xml:space="preserve">Additional effect on </w:t>
      </w:r>
      <w:r w:rsidR="00581E44">
        <w:rPr>
          <w:lang w:eastAsia="ja-JP"/>
        </w:rPr>
        <w:t>clearance</w:t>
      </w:r>
      <w:r w:rsidRPr="000F56D0">
        <w:rPr>
          <w:lang w:eastAsia="ja-JP"/>
        </w:rPr>
        <w:t xml:space="preserve"> for ADA positive subjects</w:t>
      </w:r>
    </w:p>
    <w:p w14:paraId="5A74A023" w14:textId="271129BB" w:rsidR="007E236B" w:rsidRPr="000F56D0" w:rsidRDefault="007E236B" w:rsidP="00B65584">
      <w:pPr>
        <w:pStyle w:val="ListBullet"/>
        <w:rPr>
          <w:lang w:eastAsia="ja-JP"/>
        </w:rPr>
      </w:pPr>
      <w:r w:rsidRPr="000F56D0">
        <w:rPr>
          <w:lang w:eastAsia="ja-JP"/>
        </w:rPr>
        <w:t xml:space="preserve">Additional effect on </w:t>
      </w:r>
      <w:r w:rsidR="00581E44">
        <w:rPr>
          <w:lang w:eastAsia="ja-JP"/>
        </w:rPr>
        <w:t>clearance</w:t>
      </w:r>
      <w:r w:rsidRPr="000F56D0">
        <w:rPr>
          <w:lang w:eastAsia="ja-JP"/>
        </w:rPr>
        <w:t xml:space="preserve"> for Mild-renal impairment</w:t>
      </w:r>
    </w:p>
    <w:p w14:paraId="473033D6" w14:textId="758AF064" w:rsidR="007E236B" w:rsidRPr="000F56D0" w:rsidRDefault="007E236B" w:rsidP="009065B8">
      <w:pPr>
        <w:pStyle w:val="ListBullet"/>
        <w:rPr>
          <w:lang w:eastAsia="ja-JP"/>
        </w:rPr>
      </w:pPr>
      <w:r w:rsidRPr="000F56D0">
        <w:rPr>
          <w:lang w:eastAsia="ja-JP"/>
        </w:rPr>
        <w:t xml:space="preserve">Additional effect on </w:t>
      </w:r>
      <w:r w:rsidR="00581E44">
        <w:rPr>
          <w:lang w:eastAsia="ja-JP"/>
        </w:rPr>
        <w:t>clearance</w:t>
      </w:r>
      <w:r w:rsidRPr="000F56D0">
        <w:rPr>
          <w:lang w:eastAsia="ja-JP"/>
        </w:rPr>
        <w:t xml:space="preserve"> for Haemophilia B subjects</w:t>
      </w:r>
      <w:r w:rsidR="009065B8">
        <w:rPr>
          <w:lang w:eastAsia="ja-JP"/>
        </w:rPr>
        <w:t>.</w:t>
      </w:r>
    </w:p>
    <w:p w14:paraId="1F417069" w14:textId="08627F74" w:rsidR="007E236B" w:rsidRPr="000F56D0" w:rsidRDefault="007E236B" w:rsidP="007E236B">
      <w:pPr>
        <w:rPr>
          <w:lang w:eastAsia="ja-JP"/>
        </w:rPr>
      </w:pPr>
      <w:r w:rsidRPr="000F56D0">
        <w:rPr>
          <w:lang w:eastAsia="ja-JP"/>
        </w:rPr>
        <w:t>A</w:t>
      </w:r>
      <w:r w:rsidR="009065B8">
        <w:rPr>
          <w:lang w:eastAsia="ja-JP"/>
        </w:rPr>
        <w:t>nti</w:t>
      </w:r>
      <w:r w:rsidR="00E96870">
        <w:rPr>
          <w:lang w:eastAsia="ja-JP"/>
        </w:rPr>
        <w:t>-drug antibody</w:t>
      </w:r>
      <w:r w:rsidRPr="000F56D0">
        <w:rPr>
          <w:lang w:eastAsia="ja-JP"/>
        </w:rPr>
        <w:t xml:space="preserve"> positive status was estimated to result in 2</w:t>
      </w:r>
      <w:r>
        <w:rPr>
          <w:lang w:eastAsia="ja-JP"/>
        </w:rPr>
        <w:t>2.9</w:t>
      </w:r>
      <w:r w:rsidRPr="000F56D0">
        <w:rPr>
          <w:lang w:eastAsia="ja-JP"/>
        </w:rPr>
        <w:t xml:space="preserve">% increase in CL, the corresponding change in </w:t>
      </w:r>
      <w:r w:rsidR="00690284">
        <w:rPr>
          <w:lang w:eastAsia="ja-JP"/>
        </w:rPr>
        <w:t>clearance</w:t>
      </w:r>
      <w:r w:rsidRPr="000F56D0">
        <w:rPr>
          <w:lang w:eastAsia="ja-JP"/>
        </w:rPr>
        <w:t xml:space="preserve"> due to mild renal impairment (creatinine clearance (CRCL) &lt;</w:t>
      </w:r>
      <w:r w:rsidR="00E96870">
        <w:rPr>
          <w:lang w:eastAsia="ja-JP"/>
        </w:rPr>
        <w:t> </w:t>
      </w:r>
      <w:r w:rsidRPr="000F56D0">
        <w:rPr>
          <w:lang w:eastAsia="ja-JP"/>
        </w:rPr>
        <w:t>90</w:t>
      </w:r>
      <w:r w:rsidR="00E96870">
        <w:rPr>
          <w:lang w:eastAsia="ja-JP"/>
        </w:rPr>
        <w:t> </w:t>
      </w:r>
      <w:r w:rsidRPr="000F56D0">
        <w:rPr>
          <w:lang w:eastAsia="ja-JP"/>
        </w:rPr>
        <w:t>mL/min/m</w:t>
      </w:r>
      <w:r w:rsidRPr="00E96870">
        <w:rPr>
          <w:vertAlign w:val="superscript"/>
          <w:lang w:eastAsia="ja-JP"/>
        </w:rPr>
        <w:t>2</w:t>
      </w:r>
      <w:r w:rsidRPr="000F56D0">
        <w:rPr>
          <w:lang w:eastAsia="ja-JP"/>
        </w:rPr>
        <w:t>) and in haemophilia B participants was estimated to be a 1</w:t>
      </w:r>
      <w:r>
        <w:rPr>
          <w:lang w:eastAsia="ja-JP"/>
        </w:rPr>
        <w:t>6</w:t>
      </w:r>
      <w:r w:rsidRPr="000F56D0">
        <w:rPr>
          <w:lang w:eastAsia="ja-JP"/>
        </w:rPr>
        <w:t>.</w:t>
      </w:r>
      <w:r>
        <w:rPr>
          <w:lang w:eastAsia="ja-JP"/>
        </w:rPr>
        <w:t>8</w:t>
      </w:r>
      <w:r w:rsidRPr="000F56D0">
        <w:rPr>
          <w:lang w:eastAsia="ja-JP"/>
        </w:rPr>
        <w:t xml:space="preserve">5% </w:t>
      </w:r>
      <w:r>
        <w:rPr>
          <w:lang w:eastAsia="ja-JP"/>
        </w:rPr>
        <w:t xml:space="preserve">decrease </w:t>
      </w:r>
      <w:r w:rsidRPr="000F56D0">
        <w:rPr>
          <w:lang w:eastAsia="ja-JP"/>
        </w:rPr>
        <w:t xml:space="preserve">and </w:t>
      </w:r>
      <w:r>
        <w:rPr>
          <w:lang w:eastAsia="ja-JP"/>
        </w:rPr>
        <w:t>11.8</w:t>
      </w:r>
      <w:r w:rsidRPr="000F56D0">
        <w:rPr>
          <w:lang w:eastAsia="ja-JP"/>
        </w:rPr>
        <w:t xml:space="preserve">% decrease respectively. These were not considered to be clinically significant. In addition, there was no </w:t>
      </w:r>
      <w:r>
        <w:rPr>
          <w:lang w:eastAsia="ja-JP"/>
        </w:rPr>
        <w:t xml:space="preserve">clinically </w:t>
      </w:r>
      <w:r w:rsidRPr="000F56D0">
        <w:rPr>
          <w:lang w:eastAsia="ja-JP"/>
        </w:rPr>
        <w:t xml:space="preserve">significant difference in PK between adults and </w:t>
      </w:r>
      <w:proofErr w:type="gramStart"/>
      <w:r w:rsidRPr="000F56D0">
        <w:rPr>
          <w:lang w:eastAsia="ja-JP"/>
        </w:rPr>
        <w:t>adolescents, or</w:t>
      </w:r>
      <w:proofErr w:type="gramEnd"/>
      <w:r w:rsidRPr="000F56D0">
        <w:rPr>
          <w:lang w:eastAsia="ja-JP"/>
        </w:rPr>
        <w:t xml:space="preserve"> based on race or patient type.</w:t>
      </w:r>
    </w:p>
    <w:p w14:paraId="2C82338D" w14:textId="16DEDD35" w:rsidR="007E236B" w:rsidRDefault="007E236B" w:rsidP="007E236B">
      <w:pPr>
        <w:rPr>
          <w:lang w:eastAsia="ja-JP"/>
        </w:rPr>
      </w:pPr>
      <w:r w:rsidRPr="000F56D0">
        <w:rPr>
          <w:lang w:eastAsia="ja-JP"/>
        </w:rPr>
        <w:t xml:space="preserve">The typical estimates (RSE%) were </w:t>
      </w:r>
      <w:r w:rsidRPr="00CC16D1">
        <w:rPr>
          <w:lang w:eastAsia="ja-JP"/>
        </w:rPr>
        <w:t>3.61 (9.2%)</w:t>
      </w:r>
      <w:r w:rsidRPr="000F56D0">
        <w:rPr>
          <w:lang w:eastAsia="ja-JP"/>
        </w:rPr>
        <w:t xml:space="preserve"> L for </w:t>
      </w:r>
      <w:r w:rsidR="00690284">
        <w:rPr>
          <w:lang w:eastAsia="ja-JP"/>
        </w:rPr>
        <w:t>central volume of distribution</w:t>
      </w:r>
      <w:r w:rsidRPr="000F56D0">
        <w:rPr>
          <w:lang w:eastAsia="ja-JP"/>
        </w:rPr>
        <w:t xml:space="preserve">, </w:t>
      </w:r>
      <w:r w:rsidRPr="00AF51F7">
        <w:rPr>
          <w:lang w:eastAsia="ja-JP"/>
        </w:rPr>
        <w:t>0.0188 (11.3%)</w:t>
      </w:r>
      <w:r w:rsidR="00960316">
        <w:rPr>
          <w:lang w:eastAsia="ja-JP"/>
        </w:rPr>
        <w:t xml:space="preserve"> </w:t>
      </w:r>
      <w:r w:rsidRPr="000F56D0">
        <w:rPr>
          <w:lang w:eastAsia="ja-JP"/>
        </w:rPr>
        <w:t xml:space="preserve">L/h for </w:t>
      </w:r>
      <w:r w:rsidR="00581E44">
        <w:rPr>
          <w:lang w:eastAsia="ja-JP"/>
        </w:rPr>
        <w:t>clearance</w:t>
      </w:r>
      <w:r w:rsidRPr="000F56D0">
        <w:rPr>
          <w:lang w:eastAsia="ja-JP"/>
        </w:rPr>
        <w:t xml:space="preserve"> and </w:t>
      </w:r>
      <w:r w:rsidRPr="004F2AC4">
        <w:rPr>
          <w:lang w:eastAsia="ja-JP"/>
        </w:rPr>
        <w:t>4.99</w:t>
      </w:r>
      <w:r w:rsidR="007C24BC">
        <w:rPr>
          <w:lang w:eastAsia="ja-JP"/>
        </w:rPr>
        <w:t> </w:t>
      </w:r>
      <w:r w:rsidRPr="004F2AC4">
        <w:rPr>
          <w:lang w:eastAsia="ja-JP"/>
        </w:rPr>
        <w:t>(10.5%)</w:t>
      </w:r>
      <w:r w:rsidRPr="000F56D0">
        <w:rPr>
          <w:lang w:eastAsia="ja-JP"/>
        </w:rPr>
        <w:t xml:space="preserve"> L for </w:t>
      </w:r>
      <w:r w:rsidR="00581E44">
        <w:rPr>
          <w:lang w:eastAsia="ja-JP"/>
        </w:rPr>
        <w:t>peripheral volume of distribution</w:t>
      </w:r>
      <w:r w:rsidRPr="000F56D0">
        <w:rPr>
          <w:lang w:eastAsia="ja-JP"/>
        </w:rPr>
        <w:t>.</w:t>
      </w:r>
    </w:p>
    <w:p w14:paraId="1A008609" w14:textId="77777777" w:rsidR="007E236B" w:rsidRPr="00BD32EF" w:rsidRDefault="007E236B" w:rsidP="007E236B">
      <w:pPr>
        <w:rPr>
          <w:lang w:eastAsia="ja-JP"/>
        </w:rPr>
      </w:pPr>
      <w:r w:rsidRPr="00BD32EF">
        <w:rPr>
          <w:lang w:eastAsia="ja-JP"/>
        </w:rPr>
        <w:t>The pharmacokinetics of marstacimab have been adequately characterised.</w:t>
      </w:r>
    </w:p>
    <w:p w14:paraId="2122CAA2" w14:textId="2EBFAD93" w:rsidR="007E236B" w:rsidRPr="00BD32EF" w:rsidRDefault="007E236B" w:rsidP="007E236B">
      <w:pPr>
        <w:rPr>
          <w:lang w:eastAsia="ja-JP"/>
        </w:rPr>
      </w:pPr>
      <w:r w:rsidRPr="00BD32EF">
        <w:rPr>
          <w:lang w:eastAsia="ja-JP"/>
        </w:rPr>
        <w:t>Marstacimab has complex pharmacokinetics, primarily because of target mediated disposition. The target mediated disposition does not appear to be saturated at the concentrations expected from 150</w:t>
      </w:r>
      <w:r w:rsidR="009859CC">
        <w:rPr>
          <w:lang w:eastAsia="ja-JP"/>
        </w:rPr>
        <w:t> </w:t>
      </w:r>
      <w:r w:rsidRPr="00BD32EF">
        <w:rPr>
          <w:lang w:eastAsia="ja-JP"/>
        </w:rPr>
        <w:t xml:space="preserve">mg </w:t>
      </w:r>
      <w:r w:rsidR="009859CC">
        <w:rPr>
          <w:lang w:eastAsia="ja-JP"/>
        </w:rPr>
        <w:t>once weekly</w:t>
      </w:r>
      <w:r w:rsidRPr="00BD32EF">
        <w:rPr>
          <w:lang w:eastAsia="ja-JP"/>
        </w:rPr>
        <w:t xml:space="preserve"> and 300</w:t>
      </w:r>
      <w:r w:rsidR="009859CC">
        <w:rPr>
          <w:lang w:eastAsia="ja-JP"/>
        </w:rPr>
        <w:t> </w:t>
      </w:r>
      <w:r w:rsidRPr="00BD32EF">
        <w:rPr>
          <w:lang w:eastAsia="ja-JP"/>
        </w:rPr>
        <w:t xml:space="preserve">mg </w:t>
      </w:r>
      <w:r w:rsidR="009859CC">
        <w:rPr>
          <w:lang w:eastAsia="ja-JP"/>
        </w:rPr>
        <w:t>once weekly</w:t>
      </w:r>
      <w:r w:rsidRPr="00BD32EF">
        <w:rPr>
          <w:lang w:eastAsia="ja-JP"/>
        </w:rPr>
        <w:t xml:space="preserve"> administration. This is because the nonlinear kinetics are apparent in this concentration range. Typically, with a monoclonal antibody, the target mediated disposition is saturated at lower doses, and the nonlinear kinetics are not apparent at higher doses. However, for marstacimab the interindividual and intraindividual variability are acceptable and the plasma concentrations are predictable.</w:t>
      </w:r>
    </w:p>
    <w:p w14:paraId="4EC467A4" w14:textId="07D57881" w:rsidR="007E236B" w:rsidRPr="00BD32EF" w:rsidRDefault="007E236B" w:rsidP="007E236B">
      <w:pPr>
        <w:rPr>
          <w:lang w:eastAsia="ja-JP"/>
        </w:rPr>
      </w:pPr>
      <w:r w:rsidRPr="00BD32EF">
        <w:rPr>
          <w:lang w:eastAsia="ja-JP"/>
        </w:rPr>
        <w:t xml:space="preserve">The clearance of marstacimab is higher than is typical for a monoclonal antibody. This is because the disposition is primarily target mediated at the concentrations expected from the proposed dosing regimen. In comparison, the clearance of monoclonal antibodies is typically due primarily to catabolism in the lymphoreticular system. Hence the dosing is more frequent (at </w:t>
      </w:r>
      <w:r w:rsidR="00D0282B">
        <w:rPr>
          <w:lang w:eastAsia="ja-JP"/>
        </w:rPr>
        <w:t>once weekly</w:t>
      </w:r>
      <w:r w:rsidRPr="00BD32EF">
        <w:rPr>
          <w:lang w:eastAsia="ja-JP"/>
        </w:rPr>
        <w:t>) for marstacimab than for a typical monoclonal antibody drug product.</w:t>
      </w:r>
    </w:p>
    <w:p w14:paraId="5FC8E0A8" w14:textId="184F00FB" w:rsidR="007E236B" w:rsidRPr="00BD32EF" w:rsidRDefault="007E236B" w:rsidP="007E236B">
      <w:pPr>
        <w:rPr>
          <w:lang w:eastAsia="ja-JP"/>
        </w:rPr>
      </w:pPr>
      <w:r w:rsidRPr="00BD32EF">
        <w:rPr>
          <w:lang w:eastAsia="ja-JP"/>
        </w:rPr>
        <w:t xml:space="preserve">The </w:t>
      </w:r>
      <w:r w:rsidR="002A56E2">
        <w:rPr>
          <w:lang w:eastAsia="ja-JP"/>
        </w:rPr>
        <w:t>s</w:t>
      </w:r>
      <w:r w:rsidRPr="00BD32EF">
        <w:rPr>
          <w:lang w:eastAsia="ja-JP"/>
        </w:rPr>
        <w:t xml:space="preserve">ponsor has demonstrated the </w:t>
      </w:r>
      <w:r w:rsidR="00D01E32">
        <w:rPr>
          <w:lang w:eastAsia="ja-JP"/>
        </w:rPr>
        <w:t>prefilled syringe (</w:t>
      </w:r>
      <w:r w:rsidRPr="00BD32EF">
        <w:rPr>
          <w:lang w:eastAsia="ja-JP"/>
        </w:rPr>
        <w:t>PFS</w:t>
      </w:r>
      <w:r w:rsidR="00D01E32">
        <w:rPr>
          <w:lang w:eastAsia="ja-JP"/>
        </w:rPr>
        <w:t>)</w:t>
      </w:r>
      <w:r w:rsidRPr="00BD32EF">
        <w:rPr>
          <w:lang w:eastAsia="ja-JP"/>
        </w:rPr>
        <w:t xml:space="preserve"> and </w:t>
      </w:r>
      <w:r w:rsidR="00D01E32">
        <w:rPr>
          <w:lang w:eastAsia="ja-JP"/>
        </w:rPr>
        <w:t>prefilled pen (</w:t>
      </w:r>
      <w:r w:rsidRPr="00BD32EF">
        <w:rPr>
          <w:lang w:eastAsia="ja-JP"/>
        </w:rPr>
        <w:t>PFP</w:t>
      </w:r>
      <w:r w:rsidR="00D01E32">
        <w:rPr>
          <w:lang w:eastAsia="ja-JP"/>
        </w:rPr>
        <w:t>)</w:t>
      </w:r>
      <w:r w:rsidRPr="00BD32EF">
        <w:rPr>
          <w:lang w:eastAsia="ja-JP"/>
        </w:rPr>
        <w:t xml:space="preserve"> are bioequivalent, and therefore interchangeable.</w:t>
      </w:r>
    </w:p>
    <w:p w14:paraId="5DD86710" w14:textId="76DBE0FA" w:rsidR="005F1F96" w:rsidRPr="005F1F96" w:rsidRDefault="005F1F96" w:rsidP="005F1F96">
      <w:pPr>
        <w:pStyle w:val="Heading5"/>
      </w:pPr>
      <w:r w:rsidRPr="005F1F96">
        <w:t>Pharmacodynamics</w:t>
      </w:r>
    </w:p>
    <w:p w14:paraId="51F6A628" w14:textId="550CB73F" w:rsidR="005F1F96" w:rsidRPr="005F1F96" w:rsidRDefault="005F1F96" w:rsidP="005F1F96">
      <w:r w:rsidRPr="005F1F96">
        <w:t xml:space="preserve">The pharmacodynamics </w:t>
      </w:r>
      <w:r>
        <w:t xml:space="preserve">(PD) </w:t>
      </w:r>
      <w:r w:rsidRPr="005F1F96">
        <w:t>of marstacimab have been adequately characterised.</w:t>
      </w:r>
    </w:p>
    <w:p w14:paraId="7E512219" w14:textId="6749EDA9" w:rsidR="005F1F96" w:rsidRPr="005F1F96" w:rsidRDefault="005F1F96" w:rsidP="005F1F96">
      <w:r w:rsidRPr="005F1F96">
        <w:lastRenderedPageBreak/>
        <w:t>The thrombin generation assay provides a picture of the status of thrombin generation and inhibition</w:t>
      </w:r>
      <w:r w:rsidR="001C3401">
        <w:t>.</w:t>
      </w:r>
      <w:r w:rsidR="001C3401">
        <w:rPr>
          <w:rStyle w:val="FootnoteReference"/>
        </w:rPr>
        <w:footnoteReference w:id="13"/>
      </w:r>
      <w:r w:rsidRPr="005F1F96">
        <w:t xml:space="preserve"> It is a marker of coagulation activity. Peak thrombin activity measures the maximum amount of thrombin generated during the test. Hence, these tests measure the ability of the coagulation system to respond to clotting stimuli.</w:t>
      </w:r>
    </w:p>
    <w:p w14:paraId="0996038F" w14:textId="0B526255" w:rsidR="005F1F96" w:rsidRPr="005F1F96" w:rsidRDefault="005F1F96" w:rsidP="005F1F96">
      <w:r w:rsidRPr="005F1F96">
        <w:t>Prothrombin fragments 1+2 is a marker of coagulation activation and has a high sensitivity and specificity for thrombosis, specifically for thrombin generation</w:t>
      </w:r>
      <w:r w:rsidR="001C3401">
        <w:t>.</w:t>
      </w:r>
      <w:r w:rsidR="001C3401">
        <w:rPr>
          <w:rStyle w:val="FootnoteReference"/>
        </w:rPr>
        <w:footnoteReference w:id="14"/>
      </w:r>
      <w:r w:rsidRPr="005F1F96">
        <w:t xml:space="preserve"> It is released from prothrombin by the catalytic action of the prothrombinase complex. D-dimer is formed from the D-units of </w:t>
      </w:r>
      <w:proofErr w:type="gramStart"/>
      <w:r w:rsidRPr="005F1F96">
        <w:t>platelets, and</w:t>
      </w:r>
      <w:proofErr w:type="gramEnd"/>
      <w:r w:rsidRPr="005F1F96">
        <w:t xml:space="preserve"> are broken from the platelets as a clot breaks down</w:t>
      </w:r>
      <w:r w:rsidRPr="001C3401">
        <w:t>.</w:t>
      </w:r>
      <w:r w:rsidR="007E2138">
        <w:rPr>
          <w:rStyle w:val="FootnoteReference"/>
        </w:rPr>
        <w:footnoteReference w:id="15"/>
      </w:r>
      <w:r w:rsidRPr="005F1F96">
        <w:t xml:space="preserve"> Hence, prothrombin fragments 1+2 indicate clot formation and D-dimer indicates clot degradation.</w:t>
      </w:r>
    </w:p>
    <w:p w14:paraId="5B133CC5" w14:textId="76D91D03" w:rsidR="005F1F96" w:rsidRPr="005F1F96" w:rsidRDefault="005F1F96" w:rsidP="005F1F96">
      <w:r w:rsidRPr="005F1F96">
        <w:t>Hence, the PD data indicate that following marstacimab administration, there is an increase in the ability to generate clots and increase in thrombosis, followed by an increase in clot degradation. Overall, the coagulation system is stimulated.</w:t>
      </w:r>
    </w:p>
    <w:p w14:paraId="0C0F37C6" w14:textId="37FA38A7" w:rsidR="005F1F96" w:rsidRDefault="005F1F96" w:rsidP="005F1F96">
      <w:r w:rsidRPr="005F1F96">
        <w:t xml:space="preserve">The effect appears to be significantly greater in healthy subjects compared to subjects with haemophilia. </w:t>
      </w:r>
      <w:r w:rsidR="00851A0A">
        <w:t>P</w:t>
      </w:r>
      <w:r w:rsidRPr="005F1F96">
        <w:t>eak thrombin in healthy subjects was double the value for subjects with haemophilia.</w:t>
      </w:r>
    </w:p>
    <w:p w14:paraId="545F6037" w14:textId="05A959AD" w:rsidR="00851A0A" w:rsidRPr="005F1F96" w:rsidRDefault="00851A0A" w:rsidP="005F1F96">
      <w:r>
        <w:rPr>
          <w:lang w:eastAsia="ja-JP"/>
        </w:rPr>
        <w:t xml:space="preserve">The conclusion of the clinical evaluation was that the </w:t>
      </w:r>
      <w:r w:rsidRPr="00BD32EF">
        <w:rPr>
          <w:lang w:eastAsia="ja-JP"/>
        </w:rPr>
        <w:t xml:space="preserve">PK data </w:t>
      </w:r>
      <w:r>
        <w:rPr>
          <w:lang w:eastAsia="ja-JP"/>
        </w:rPr>
        <w:t>and the PK</w:t>
      </w:r>
      <w:r w:rsidR="00E07BCD">
        <w:rPr>
          <w:lang w:eastAsia="ja-JP"/>
        </w:rPr>
        <w:t>-</w:t>
      </w:r>
      <w:r>
        <w:rPr>
          <w:lang w:eastAsia="ja-JP"/>
        </w:rPr>
        <w:t xml:space="preserve">PD data </w:t>
      </w:r>
      <w:r w:rsidRPr="00BD32EF">
        <w:rPr>
          <w:lang w:eastAsia="ja-JP"/>
        </w:rPr>
        <w:t>support the proposed dosing regimen.</w:t>
      </w:r>
    </w:p>
    <w:p w14:paraId="3FE3BBAA" w14:textId="683BCE8E" w:rsidR="009C5944" w:rsidRPr="004D23E1" w:rsidRDefault="009576D7" w:rsidP="004D23E1">
      <w:pPr>
        <w:pStyle w:val="Heading4"/>
      </w:pPr>
      <w:bookmarkStart w:id="80" w:name="_Toc212036849"/>
      <w:r w:rsidRPr="004D23E1">
        <w:t>Efficacy</w:t>
      </w:r>
      <w:bookmarkEnd w:id="80"/>
    </w:p>
    <w:p w14:paraId="641E450C" w14:textId="77777777" w:rsidR="009576D7" w:rsidRPr="009576D7" w:rsidRDefault="009576D7" w:rsidP="004D23E1">
      <w:pPr>
        <w:pStyle w:val="Heading5"/>
      </w:pPr>
      <w:r w:rsidRPr="009576D7">
        <w:t>Study B7841005</w:t>
      </w:r>
    </w:p>
    <w:p w14:paraId="784BB70C" w14:textId="22DDC45D" w:rsidR="009576D7" w:rsidRPr="009576D7" w:rsidRDefault="009576D7" w:rsidP="009576D7">
      <w:r w:rsidRPr="009576D7">
        <w:t xml:space="preserve">This was an open-label, one-way crossover study to demonstrate efficacy and safety of marstacimab in adolescents and adults with severe haemophilia A or moderately severe to severe haemophilia B, with or without inhibitors. The study was conducted at 52 sites in 19 countries. The study commenced on 9 March </w:t>
      </w:r>
      <w:proofErr w:type="gramStart"/>
      <w:r w:rsidRPr="009576D7">
        <w:t>2020</w:t>
      </w:r>
      <w:proofErr w:type="gramEnd"/>
      <w:r w:rsidRPr="009576D7">
        <w:t xml:space="preserve"> and an interim report </w:t>
      </w:r>
      <w:r w:rsidR="004D23E1">
        <w:t>wa</w:t>
      </w:r>
      <w:r w:rsidRPr="009576D7">
        <w:t>s provided for the period up to 17 April 2023.</w:t>
      </w:r>
    </w:p>
    <w:p w14:paraId="0BBA3176" w14:textId="5129460A" w:rsidR="009576D7" w:rsidRPr="009576D7" w:rsidRDefault="009576D7" w:rsidP="009576D7">
      <w:r w:rsidRPr="009576D7">
        <w:t>Inclusion criteria were males 12-75yrs of age with a diagnosis of severe haemophilia A or B (</w:t>
      </w:r>
      <w:r w:rsidR="004D23E1">
        <w:t xml:space="preserve">factor </w:t>
      </w:r>
      <w:r w:rsidRPr="009576D7">
        <w:t xml:space="preserve">VIII or </w:t>
      </w:r>
      <w:r w:rsidR="004D23E1">
        <w:t xml:space="preserve">factor </w:t>
      </w:r>
      <w:r w:rsidRPr="009576D7">
        <w:t xml:space="preserve">IX activity </w:t>
      </w:r>
      <w:r w:rsidR="004D23E1">
        <w:t>less than</w:t>
      </w:r>
      <w:r w:rsidR="003C3397">
        <w:t xml:space="preserve"> </w:t>
      </w:r>
      <w:r w:rsidR="003C3397" w:rsidRPr="003C3397">
        <w:t>≤ 2</w:t>
      </w:r>
      <w:r w:rsidRPr="009576D7">
        <w:t>%, respectively). There were different criteria for the Non-Inhibitor Cohort v</w:t>
      </w:r>
      <w:r w:rsidR="004E2C38">
        <w:t>ersus</w:t>
      </w:r>
      <w:r w:rsidRPr="009576D7">
        <w:t xml:space="preserve"> the Inhibitor cohort.</w:t>
      </w:r>
    </w:p>
    <w:p w14:paraId="01083724" w14:textId="77777777" w:rsidR="009576D7" w:rsidRPr="009576D7" w:rsidRDefault="009576D7" w:rsidP="009576D7">
      <w:r w:rsidRPr="009576D7">
        <w:t>The study treatments were:</w:t>
      </w:r>
    </w:p>
    <w:p w14:paraId="33380731" w14:textId="1C7C1D88" w:rsidR="009576D7" w:rsidRPr="009576D7" w:rsidRDefault="009576D7" w:rsidP="004E2C38">
      <w:pPr>
        <w:pStyle w:val="ListBullet"/>
      </w:pPr>
      <w:r w:rsidRPr="009576D7">
        <w:t>Marstacimab 300</w:t>
      </w:r>
      <w:r w:rsidR="004E2C38">
        <w:t> </w:t>
      </w:r>
      <w:r w:rsidRPr="009576D7">
        <w:t>mg loading dose, followed by 150</w:t>
      </w:r>
      <w:r w:rsidR="004E2C38">
        <w:t> </w:t>
      </w:r>
      <w:r w:rsidRPr="009576D7">
        <w:t xml:space="preserve">mg </w:t>
      </w:r>
      <w:r w:rsidR="004E2C38">
        <w:t>once weekly</w:t>
      </w:r>
      <w:r w:rsidRPr="009576D7">
        <w:t>. Participants who met the dose escalation criteria could have the dose increased to 300</w:t>
      </w:r>
      <w:r w:rsidR="004E2C38">
        <w:t> </w:t>
      </w:r>
      <w:r w:rsidRPr="009576D7">
        <w:t xml:space="preserve">mg </w:t>
      </w:r>
      <w:r w:rsidR="004E2C38">
        <w:t>once weekly</w:t>
      </w:r>
      <w:r w:rsidRPr="009576D7">
        <w:t>. The dose escalation criteria were:</w:t>
      </w:r>
    </w:p>
    <w:p w14:paraId="0778B59A" w14:textId="3237CCA1" w:rsidR="009576D7" w:rsidRPr="009576D7" w:rsidRDefault="009576D7" w:rsidP="004E2C38">
      <w:pPr>
        <w:pStyle w:val="ListBullet2"/>
      </w:pPr>
      <w:r w:rsidRPr="009576D7">
        <w:t xml:space="preserve">Non-Inhibitor Cohort: Two or more spontaneous (atraumatic) bleeds (consisting of joint bleeds and/or significant soft tissue/muscle or other site bleeds) treated with infusion(s) of coagulation </w:t>
      </w:r>
      <w:r w:rsidR="00C63966">
        <w:t xml:space="preserve">factor </w:t>
      </w:r>
      <w:r w:rsidRPr="009576D7">
        <w:t xml:space="preserve">VIII or </w:t>
      </w:r>
      <w:r w:rsidR="00C63966">
        <w:t xml:space="preserve">factor </w:t>
      </w:r>
      <w:r w:rsidRPr="009576D7">
        <w:t>IX over a 6</w:t>
      </w:r>
      <w:r w:rsidR="00014C8C">
        <w:t>-</w:t>
      </w:r>
      <w:r w:rsidRPr="009576D7">
        <w:t xml:space="preserve">month period in the absence of a confirmed </w:t>
      </w:r>
      <w:r w:rsidR="00C63966">
        <w:t xml:space="preserve">factor </w:t>
      </w:r>
      <w:r w:rsidRPr="009576D7">
        <w:t xml:space="preserve">VIII or </w:t>
      </w:r>
      <w:r w:rsidR="00C63966">
        <w:t xml:space="preserve">factor </w:t>
      </w:r>
      <w:r w:rsidRPr="009576D7">
        <w:t>IX inhibitor, respectively.</w:t>
      </w:r>
    </w:p>
    <w:p w14:paraId="3CDB88E9" w14:textId="44ED6A45" w:rsidR="009576D7" w:rsidRPr="009576D7" w:rsidRDefault="009576D7" w:rsidP="004E2C38">
      <w:pPr>
        <w:pStyle w:val="ListBullet2"/>
      </w:pPr>
      <w:r w:rsidRPr="009576D7">
        <w:lastRenderedPageBreak/>
        <w:t xml:space="preserve">Inhibitor Cohort: Two or more spontaneous (atraumatic) bleeds (consisting of joint bleeds and/or significant soft tissue/muscle or other site bleeds) treated with infusion(s) of </w:t>
      </w:r>
      <w:proofErr w:type="spellStart"/>
      <w:r w:rsidRPr="009576D7">
        <w:t>Novo</w:t>
      </w:r>
      <w:r w:rsidR="005B03EF">
        <w:t>S</w:t>
      </w:r>
      <w:r w:rsidRPr="009576D7">
        <w:t>even</w:t>
      </w:r>
      <w:proofErr w:type="spellEnd"/>
      <w:r w:rsidRPr="009576D7">
        <w:t xml:space="preserve"> over a 6</w:t>
      </w:r>
      <w:r w:rsidR="00014C8C">
        <w:t>-</w:t>
      </w:r>
      <w:r w:rsidRPr="009576D7">
        <w:t>month period.</w:t>
      </w:r>
    </w:p>
    <w:p w14:paraId="4D201811" w14:textId="05813564" w:rsidR="009576D7" w:rsidRPr="009576D7" w:rsidRDefault="009576D7" w:rsidP="009576D7">
      <w:r w:rsidRPr="00D01E32">
        <w:t>The study treatment was provided as a PFS. Multiple injections were to use a unique site for</w:t>
      </w:r>
      <w:r w:rsidRPr="009576D7">
        <w:t xml:space="preserve"> each injection.</w:t>
      </w:r>
    </w:p>
    <w:p w14:paraId="634815FF" w14:textId="77777777" w:rsidR="009576D7" w:rsidRPr="009576D7" w:rsidRDefault="009576D7" w:rsidP="009576D7">
      <w:r w:rsidRPr="009576D7">
        <w:t>Following completion of the observation phase, participants were required to adhere to a required washout period from their haemostatic products as follows:</w:t>
      </w:r>
    </w:p>
    <w:p w14:paraId="5F80BEF6" w14:textId="5903AA47" w:rsidR="009576D7" w:rsidRPr="009576D7" w:rsidRDefault="009576D7" w:rsidP="005B03EF">
      <w:pPr>
        <w:pStyle w:val="ListBullet"/>
      </w:pPr>
      <w:r w:rsidRPr="009576D7">
        <w:t xml:space="preserve">from </w:t>
      </w:r>
      <w:r w:rsidR="005B03EF">
        <w:t xml:space="preserve">factor </w:t>
      </w:r>
      <w:r w:rsidRPr="009576D7">
        <w:t>VIII replacement therapy for at least 72</w:t>
      </w:r>
      <w:r w:rsidR="005B03EF">
        <w:t> </w:t>
      </w:r>
      <w:r w:rsidRPr="009576D7">
        <w:t>hours</w:t>
      </w:r>
    </w:p>
    <w:p w14:paraId="692ACFB6" w14:textId="349D0387" w:rsidR="009576D7" w:rsidRPr="009576D7" w:rsidRDefault="009576D7" w:rsidP="005B03EF">
      <w:pPr>
        <w:pStyle w:val="ListBullet"/>
      </w:pPr>
      <w:r w:rsidRPr="009576D7">
        <w:t xml:space="preserve">from extended half-life </w:t>
      </w:r>
      <w:r w:rsidR="005B03EF">
        <w:t xml:space="preserve">factor </w:t>
      </w:r>
      <w:r w:rsidRPr="009576D7">
        <w:t>VIII replacement therapy for at least 4 half-lives</w:t>
      </w:r>
    </w:p>
    <w:p w14:paraId="2A6F6BFC" w14:textId="076737DB" w:rsidR="009576D7" w:rsidRPr="009576D7" w:rsidRDefault="009576D7" w:rsidP="005B03EF">
      <w:pPr>
        <w:pStyle w:val="ListBullet"/>
      </w:pPr>
      <w:r w:rsidRPr="009576D7">
        <w:t xml:space="preserve">from </w:t>
      </w:r>
      <w:r w:rsidR="005B03EF">
        <w:t xml:space="preserve">factor </w:t>
      </w:r>
      <w:r w:rsidRPr="009576D7">
        <w:t>IX replacement therapy for at least 96 hours</w:t>
      </w:r>
    </w:p>
    <w:p w14:paraId="0F8E677C" w14:textId="45CE21A5" w:rsidR="009576D7" w:rsidRPr="009576D7" w:rsidRDefault="009576D7" w:rsidP="005B03EF">
      <w:pPr>
        <w:pStyle w:val="ListBullet"/>
      </w:pPr>
      <w:r w:rsidRPr="009576D7">
        <w:t xml:space="preserve">from extended half-life </w:t>
      </w:r>
      <w:r w:rsidR="00C17E2E">
        <w:t xml:space="preserve">factor </w:t>
      </w:r>
      <w:r w:rsidRPr="009576D7">
        <w:t>IX replacement therapy for at 4 half-lives</w:t>
      </w:r>
    </w:p>
    <w:p w14:paraId="6524B7B7" w14:textId="2AB0B40B" w:rsidR="009576D7" w:rsidRPr="00541315" w:rsidRDefault="009576D7" w:rsidP="00541315">
      <w:pPr>
        <w:pStyle w:val="ListBullet"/>
      </w:pPr>
      <w:r w:rsidRPr="00541315">
        <w:t>from bypass agent therapy from either r</w:t>
      </w:r>
      <w:r w:rsidR="00C17E2E" w:rsidRPr="00541315">
        <w:t xml:space="preserve">ecombinant factor </w:t>
      </w:r>
      <w:proofErr w:type="spellStart"/>
      <w:r w:rsidRPr="00541315">
        <w:t>VIIa</w:t>
      </w:r>
      <w:proofErr w:type="spellEnd"/>
      <w:r w:rsidRPr="00541315">
        <w:t xml:space="preserve"> or </w:t>
      </w:r>
      <w:r w:rsidR="00541315" w:rsidRPr="00541315">
        <w:t xml:space="preserve">activated prothrombin complex concentrate </w:t>
      </w:r>
      <w:r w:rsidR="008B7A8A">
        <w:t>(</w:t>
      </w:r>
      <w:proofErr w:type="spellStart"/>
      <w:r w:rsidR="008B7A8A">
        <w:t>aPCC</w:t>
      </w:r>
      <w:proofErr w:type="spellEnd"/>
      <w:r w:rsidR="008B7A8A">
        <w:t xml:space="preserve">) </w:t>
      </w:r>
      <w:r w:rsidRPr="00541315">
        <w:t>for at least 72 hours.</w:t>
      </w:r>
    </w:p>
    <w:p w14:paraId="4CA8E61C" w14:textId="77777777" w:rsidR="009576D7" w:rsidRPr="009576D7" w:rsidRDefault="009576D7" w:rsidP="009576D7">
      <w:r w:rsidRPr="009576D7">
        <w:t>The permitted treatments for breakthrough bleeding were:</w:t>
      </w:r>
    </w:p>
    <w:p w14:paraId="069098F7" w14:textId="3FB8D6DB" w:rsidR="009576D7" w:rsidRPr="009576D7" w:rsidRDefault="004D6689" w:rsidP="004D6689">
      <w:pPr>
        <w:pStyle w:val="ListBullet"/>
      </w:pPr>
      <w:r>
        <w:t>s</w:t>
      </w:r>
      <w:r w:rsidR="009576D7" w:rsidRPr="009576D7">
        <w:t xml:space="preserve">ubjects without inhibitor: </w:t>
      </w:r>
      <w:r>
        <w:t xml:space="preserve">factor </w:t>
      </w:r>
      <w:r w:rsidR="009576D7" w:rsidRPr="009576D7">
        <w:t xml:space="preserve">VIII or </w:t>
      </w:r>
      <w:r>
        <w:t xml:space="preserve">factor </w:t>
      </w:r>
      <w:r w:rsidR="009576D7" w:rsidRPr="009576D7">
        <w:t>IX at minimum effective dose as per label</w:t>
      </w:r>
    </w:p>
    <w:p w14:paraId="7448F892" w14:textId="420BABE3" w:rsidR="009576D7" w:rsidRPr="009576D7" w:rsidRDefault="004D6689" w:rsidP="004D6689">
      <w:pPr>
        <w:pStyle w:val="ListBullet"/>
      </w:pPr>
      <w:r>
        <w:t>s</w:t>
      </w:r>
      <w:r w:rsidR="009576D7" w:rsidRPr="009576D7">
        <w:t>ubjects with inhibitor: r</w:t>
      </w:r>
      <w:r>
        <w:t xml:space="preserve">ecombinant factor </w:t>
      </w:r>
      <w:proofErr w:type="spellStart"/>
      <w:r w:rsidR="009576D7" w:rsidRPr="009576D7">
        <w:t>VIIa</w:t>
      </w:r>
      <w:proofErr w:type="spellEnd"/>
      <w:r w:rsidR="009576D7" w:rsidRPr="009576D7">
        <w:t xml:space="preserve"> (≤</w:t>
      </w:r>
      <w:r>
        <w:t> </w:t>
      </w:r>
      <w:r w:rsidR="009576D7" w:rsidRPr="009576D7">
        <w:t>90</w:t>
      </w:r>
      <w:r>
        <w:t> </w:t>
      </w:r>
      <w:proofErr w:type="spellStart"/>
      <w:r w:rsidR="009576D7" w:rsidRPr="009576D7">
        <w:t>μg</w:t>
      </w:r>
      <w:proofErr w:type="spellEnd"/>
      <w:r w:rsidR="009576D7" w:rsidRPr="009576D7">
        <w:t>/kg approximately every 2 hours)</w:t>
      </w:r>
      <w:r w:rsidR="007710DB">
        <w:t xml:space="preserve"> or </w:t>
      </w:r>
      <w:proofErr w:type="spellStart"/>
      <w:r w:rsidR="007710DB">
        <w:t>aPCC</w:t>
      </w:r>
      <w:proofErr w:type="spellEnd"/>
    </w:p>
    <w:p w14:paraId="2E74E5C3" w14:textId="77777777" w:rsidR="009576D7" w:rsidRPr="009576D7" w:rsidRDefault="009576D7" w:rsidP="009576D7">
      <w:r w:rsidRPr="009576D7">
        <w:t>The prohibited medications included immunomodulatory agents, systemic antifibrinolytic agents and medications known to affect platelet function.</w:t>
      </w:r>
    </w:p>
    <w:p w14:paraId="559F32E5" w14:textId="32FF0F00" w:rsidR="009576D7" w:rsidRPr="009576D7" w:rsidRDefault="009576D7" w:rsidP="009576D7">
      <w:r w:rsidRPr="00014C8C">
        <w:t>The primary efficacy outcome measure was the annualised bleeding rate (ABR). The secondary efficacy outcome measures were:</w:t>
      </w:r>
    </w:p>
    <w:p w14:paraId="577058DA" w14:textId="77777777" w:rsidR="009576D7" w:rsidRPr="009576D7" w:rsidRDefault="009576D7" w:rsidP="007F681B">
      <w:pPr>
        <w:pStyle w:val="ListBullet"/>
      </w:pPr>
      <w:r w:rsidRPr="009576D7">
        <w:t>incidence of joint bleeds</w:t>
      </w:r>
    </w:p>
    <w:p w14:paraId="0C0D7EFC" w14:textId="77777777" w:rsidR="009576D7" w:rsidRPr="009576D7" w:rsidRDefault="009576D7" w:rsidP="007F681B">
      <w:pPr>
        <w:pStyle w:val="ListBullet"/>
      </w:pPr>
      <w:r w:rsidRPr="009576D7">
        <w:t>incidence of spontaneous bleeds</w:t>
      </w:r>
    </w:p>
    <w:p w14:paraId="7CCD5093" w14:textId="77777777" w:rsidR="009576D7" w:rsidRPr="009576D7" w:rsidRDefault="009576D7" w:rsidP="007F681B">
      <w:pPr>
        <w:pStyle w:val="ListBullet"/>
      </w:pPr>
      <w:r w:rsidRPr="009576D7">
        <w:t>incidence of target joint bleeds</w:t>
      </w:r>
    </w:p>
    <w:p w14:paraId="6B991F18" w14:textId="77777777" w:rsidR="009576D7" w:rsidRPr="009576D7" w:rsidRDefault="009576D7" w:rsidP="007F681B">
      <w:pPr>
        <w:pStyle w:val="ListBullet"/>
      </w:pPr>
      <w:r w:rsidRPr="009576D7">
        <w:t>incidence of total bleeds (treated and untreated)</w:t>
      </w:r>
    </w:p>
    <w:p w14:paraId="6C4ADA1F" w14:textId="0D9873A6" w:rsidR="009576D7" w:rsidRPr="00014C8C" w:rsidRDefault="00E540C0" w:rsidP="007F681B">
      <w:pPr>
        <w:pStyle w:val="ListBullet"/>
      </w:pPr>
      <w:r w:rsidRPr="00014C8C">
        <w:t>c</w:t>
      </w:r>
      <w:r w:rsidR="009576D7" w:rsidRPr="00014C8C">
        <w:t xml:space="preserve">hange from baseline in </w:t>
      </w:r>
      <w:r w:rsidR="005703A5">
        <w:t>Haemophilia</w:t>
      </w:r>
      <w:r w:rsidR="009576D7" w:rsidRPr="00014C8C">
        <w:t xml:space="preserve"> Joint Health Score (HJHS)</w:t>
      </w:r>
    </w:p>
    <w:p w14:paraId="0E9EC197" w14:textId="77777777" w:rsidR="009576D7" w:rsidRPr="009576D7" w:rsidRDefault="009576D7" w:rsidP="009576D7">
      <w:r w:rsidRPr="009576D7">
        <w:t>The patient reported outcome measures were:</w:t>
      </w:r>
    </w:p>
    <w:p w14:paraId="7B7567BD" w14:textId="5834A01C" w:rsidR="009576D7" w:rsidRPr="009576D7" w:rsidRDefault="005703A5" w:rsidP="00E540C0">
      <w:pPr>
        <w:pStyle w:val="ListBullet"/>
      </w:pPr>
      <w:r>
        <w:t>Haemophilia</w:t>
      </w:r>
      <w:r w:rsidR="009576D7" w:rsidRPr="009576D7">
        <w:t xml:space="preserve"> Quality of Life Questionnaire for Adults/</w:t>
      </w:r>
      <w:r>
        <w:t>Haemophilia</w:t>
      </w:r>
      <w:r w:rsidR="009576D7" w:rsidRPr="009576D7">
        <w:t xml:space="preserve"> Quality of Life Questionnaire for Children (Haem-A-QoL/</w:t>
      </w:r>
      <w:proofErr w:type="spellStart"/>
      <w:r w:rsidR="009576D7" w:rsidRPr="009576D7">
        <w:t>Haemo</w:t>
      </w:r>
      <w:proofErr w:type="spellEnd"/>
      <w:r w:rsidR="009576D7" w:rsidRPr="009576D7">
        <w:t>-QoL)</w:t>
      </w:r>
    </w:p>
    <w:p w14:paraId="6219AC1A" w14:textId="749EE377" w:rsidR="009576D7" w:rsidRPr="009576D7" w:rsidRDefault="005703A5" w:rsidP="00E540C0">
      <w:pPr>
        <w:pStyle w:val="ListBullet"/>
      </w:pPr>
      <w:r>
        <w:t>Haemophilia</w:t>
      </w:r>
      <w:r w:rsidR="009576D7" w:rsidRPr="009576D7">
        <w:t xml:space="preserve"> Activities List (HAL/</w:t>
      </w:r>
      <w:proofErr w:type="spellStart"/>
      <w:r w:rsidR="009576D7" w:rsidRPr="009576D7">
        <w:t>pedHAL</w:t>
      </w:r>
      <w:proofErr w:type="spellEnd"/>
      <w:r w:rsidR="009576D7" w:rsidRPr="009576D7">
        <w:t>)</w:t>
      </w:r>
    </w:p>
    <w:p w14:paraId="0DEC57C3" w14:textId="77777777" w:rsidR="009576D7" w:rsidRPr="009576D7" w:rsidRDefault="009576D7" w:rsidP="00E540C0">
      <w:pPr>
        <w:pStyle w:val="ListBullet"/>
      </w:pPr>
      <w:proofErr w:type="spellStart"/>
      <w:r w:rsidRPr="009576D7">
        <w:t>EuroQol</w:t>
      </w:r>
      <w:proofErr w:type="spellEnd"/>
      <w:r w:rsidRPr="009576D7">
        <w:t xml:space="preserve"> 5 Dimensions 5 Level (EQ-5D-5L)</w:t>
      </w:r>
    </w:p>
    <w:p w14:paraId="3EEF800C" w14:textId="43A51750" w:rsidR="009576D7" w:rsidRPr="009576D7" w:rsidRDefault="009576D7" w:rsidP="00E540C0">
      <w:pPr>
        <w:pStyle w:val="ListBullet"/>
      </w:pPr>
      <w:r w:rsidRPr="009576D7">
        <w:t xml:space="preserve">Patient Global Impression of Change – </w:t>
      </w:r>
      <w:r w:rsidR="005703A5">
        <w:t>Haemophilia</w:t>
      </w:r>
      <w:r w:rsidRPr="009576D7">
        <w:t xml:space="preserve"> (PGIC-H)</w:t>
      </w:r>
      <w:r w:rsidR="0084699B">
        <w:t>.</w:t>
      </w:r>
    </w:p>
    <w:p w14:paraId="31C970A0" w14:textId="6B82D55A" w:rsidR="00355CAE" w:rsidRDefault="009576D7" w:rsidP="00355CAE">
      <w:r w:rsidRPr="009576D7">
        <w:t>The primary efficacy outcome measure was tested using the 95% CI for the ratio of ABR prophylaxis/demand (</w:t>
      </w:r>
      <w:r w:rsidR="0084699B">
        <w:t xml:space="preserve">that is, </w:t>
      </w:r>
      <w:r w:rsidRPr="009576D7">
        <w:t>marstacimab/observational)</w:t>
      </w:r>
      <w:r w:rsidR="00C26100">
        <w:t xml:space="preserve"> for </w:t>
      </w:r>
      <w:r w:rsidR="00BF5034">
        <w:t>non-inhibitor cohort with on-demand</w:t>
      </w:r>
      <w:r w:rsidR="00355CAE">
        <w:t xml:space="preserve"> treatment</w:t>
      </w:r>
      <w:r w:rsidRPr="009576D7">
        <w:t>. Superiority for the non-inhibitor, prior on-demand group was demonstrated if the 95% CI were below the pre-set threshold of 0.5.</w:t>
      </w:r>
      <w:r w:rsidR="00355CAE">
        <w:t xml:space="preserve"> </w:t>
      </w:r>
      <w:r w:rsidR="00355CAE" w:rsidRPr="009576D7">
        <w:t xml:space="preserve">The primary efficacy outcome measure was tested using the 95% CI for the </w:t>
      </w:r>
      <w:r w:rsidR="00355CAE">
        <w:t>difference</w:t>
      </w:r>
      <w:r w:rsidR="00355CAE" w:rsidRPr="009576D7">
        <w:t xml:space="preserve"> of ABR prophylaxis</w:t>
      </w:r>
      <w:r w:rsidR="00355CAE">
        <w:t xml:space="preserve"> versus routine </w:t>
      </w:r>
      <w:r w:rsidR="005049F9">
        <w:t>factor</w:t>
      </w:r>
      <w:r w:rsidR="00355CAE">
        <w:t xml:space="preserve"> prophylaxis</w:t>
      </w:r>
      <w:r w:rsidR="00355CAE" w:rsidRPr="009576D7">
        <w:t xml:space="preserve"> (</w:t>
      </w:r>
      <w:r w:rsidR="00355CAE">
        <w:t xml:space="preserve">that is, </w:t>
      </w:r>
      <w:r w:rsidR="00355CAE" w:rsidRPr="009576D7">
        <w:t>marstacimab</w:t>
      </w:r>
      <w:r w:rsidR="005049F9">
        <w:t xml:space="preserve"> - </w:t>
      </w:r>
      <w:r w:rsidR="00355CAE" w:rsidRPr="009576D7">
        <w:t>observational)</w:t>
      </w:r>
      <w:r w:rsidR="00355CAE">
        <w:t xml:space="preserve"> for non-inhibitor cohort with </w:t>
      </w:r>
      <w:r w:rsidR="005049F9">
        <w:t xml:space="preserve">routine </w:t>
      </w:r>
      <w:r w:rsidR="005049F9">
        <w:lastRenderedPageBreak/>
        <w:t>prophylaxis</w:t>
      </w:r>
      <w:r w:rsidR="00355CAE">
        <w:t xml:space="preserve"> treatment</w:t>
      </w:r>
      <w:r w:rsidR="00355CAE" w:rsidRPr="009576D7">
        <w:t xml:space="preserve">. </w:t>
      </w:r>
      <w:r w:rsidR="005049F9">
        <w:t>Non-inferiority</w:t>
      </w:r>
      <w:r w:rsidR="00355CAE" w:rsidRPr="009576D7">
        <w:t xml:space="preserve"> for was demonstrated if the 95% CI were below the pre-set threshold of </w:t>
      </w:r>
      <w:r w:rsidR="005049F9">
        <w:t>2</w:t>
      </w:r>
      <w:r w:rsidR="00355CAE" w:rsidRPr="009576D7">
        <w:t>.5.</w:t>
      </w:r>
    </w:p>
    <w:p w14:paraId="588D7913" w14:textId="77777777" w:rsidR="009576D7" w:rsidRPr="009576D7" w:rsidRDefault="009576D7" w:rsidP="004D23E1">
      <w:pPr>
        <w:pStyle w:val="Heading6"/>
      </w:pPr>
      <w:r w:rsidRPr="009576D7">
        <w:t>Results for the primary efficacy outcome</w:t>
      </w:r>
    </w:p>
    <w:p w14:paraId="466AC484" w14:textId="77777777" w:rsidR="009576D7" w:rsidRPr="009576D7" w:rsidRDefault="009576D7" w:rsidP="000163D1">
      <w:pPr>
        <w:pStyle w:val="Heading7"/>
      </w:pPr>
      <w:r w:rsidRPr="009576D7">
        <w:t>Non-inhibitor, on-demand group: test for superiority</w:t>
      </w:r>
    </w:p>
    <w:p w14:paraId="0901C40A" w14:textId="6EDDAE45" w:rsidR="009576D7" w:rsidRPr="009576D7" w:rsidRDefault="009576D7" w:rsidP="009576D7">
      <w:r w:rsidRPr="009576D7">
        <w:t xml:space="preserve">For the non-inhibitor, on-demand group, the mean (95% CI) </w:t>
      </w:r>
      <w:proofErr w:type="gramStart"/>
      <w:r w:rsidRPr="009576D7">
        <w:t>model based</w:t>
      </w:r>
      <w:proofErr w:type="gramEnd"/>
      <w:r w:rsidRPr="009576D7">
        <w:t xml:space="preserve"> estimate for ABR during the observation period was 38.00 (31.03 to 46.54) /year and during the active treatment phase was 3.18 (2.09 to 4.85) /year</w:t>
      </w:r>
      <w:r w:rsidR="006E0B63">
        <w:t>;</w:t>
      </w:r>
      <w:r w:rsidRPr="009576D7">
        <w:t xml:space="preserve"> ratio estimate (95% CI) 0.084 (0.059 to 0.119) p</w:t>
      </w:r>
      <w:r w:rsidR="006E0B63">
        <w:t> </w:t>
      </w:r>
      <w:r w:rsidRPr="009576D7">
        <w:t>&lt;</w:t>
      </w:r>
      <w:r w:rsidR="006E0B63">
        <w:t> </w:t>
      </w:r>
      <w:r w:rsidRPr="009576D7">
        <w:t>0.001</w:t>
      </w:r>
      <w:r w:rsidR="006E0B63">
        <w:t>.</w:t>
      </w:r>
      <w:r w:rsidRPr="009576D7">
        <w:t xml:space="preserve"> Efficacy was demonstrated for haemophilia A</w:t>
      </w:r>
      <w:r w:rsidR="006E0B63">
        <w:t xml:space="preserve"> </w:t>
      </w:r>
      <w:r w:rsidR="0037314B">
        <w:t>[</w:t>
      </w:r>
      <w:r w:rsidRPr="009576D7">
        <w:t>ratio estimate (95% CI) 0.0894 (0.062 to 0.130)</w:t>
      </w:r>
      <w:r w:rsidR="0037314B">
        <w:t>]</w:t>
      </w:r>
      <w:r w:rsidRPr="009576D7">
        <w:t xml:space="preserve"> and </w:t>
      </w:r>
      <w:r w:rsidR="006E0B63">
        <w:t>h</w:t>
      </w:r>
      <w:r w:rsidRPr="009576D7">
        <w:t>aemophilia B</w:t>
      </w:r>
      <w:r w:rsidR="0037314B">
        <w:t xml:space="preserve"> [</w:t>
      </w:r>
      <w:r w:rsidRPr="009576D7">
        <w:t>ratio estimate (95% CI) 0.036 (0.012 to 0.111)</w:t>
      </w:r>
      <w:r w:rsidR="0037314B">
        <w:t>]</w:t>
      </w:r>
      <w:r w:rsidRPr="009576D7">
        <w:t>. There were insufficient subjects to test for efficacy separately in adolescents.</w:t>
      </w:r>
    </w:p>
    <w:p w14:paraId="23CA5D12" w14:textId="77777777" w:rsidR="009576D7" w:rsidRPr="009576D7" w:rsidRDefault="009576D7" w:rsidP="004D23E1">
      <w:pPr>
        <w:pStyle w:val="Heading7"/>
      </w:pPr>
      <w:r w:rsidRPr="009576D7">
        <w:t>Non-inhibitor, prior prophylaxis group: test for non-inferiority</w:t>
      </w:r>
    </w:p>
    <w:p w14:paraId="2561402D" w14:textId="237B3EDD" w:rsidR="009576D7" w:rsidRPr="009576D7" w:rsidRDefault="009576D7" w:rsidP="009576D7">
      <w:r w:rsidRPr="009576D7">
        <w:t>For the non-inhibitor, prophylaxis group, the mean (95% CI) model based estimate for ABR during the observation period was 7.85 (5.09 to 10.61) /year and during the active treatment phase was 5.08 (3.40 to 6.77) /year</w:t>
      </w:r>
      <w:r w:rsidR="0037314B">
        <w:t>;</w:t>
      </w:r>
      <w:r w:rsidRPr="009576D7">
        <w:t xml:space="preserve"> rate difference (95% CI) </w:t>
      </w:r>
      <w:r w:rsidR="0037314B">
        <w:t>−</w:t>
      </w:r>
      <w:r w:rsidRPr="009576D7">
        <w:t>2.77 (</w:t>
      </w:r>
      <w:r w:rsidR="0037314B">
        <w:t>−</w:t>
      </w:r>
      <w:r w:rsidRPr="009576D7">
        <w:t xml:space="preserve">5.37 to </w:t>
      </w:r>
      <w:r w:rsidR="0037314B">
        <w:t>−</w:t>
      </w:r>
      <w:r w:rsidRPr="009576D7">
        <w:t xml:space="preserve">0.16), non-inferiority criterion was the upper bound of 95% CI </w:t>
      </w:r>
      <w:r w:rsidR="0037314B">
        <w:t xml:space="preserve">less than </w:t>
      </w:r>
      <w:r w:rsidRPr="009576D7">
        <w:t xml:space="preserve">2.5. In the subgroup analysis, non-inferiority was not demonstrated separately for </w:t>
      </w:r>
      <w:r w:rsidR="0037314B">
        <w:t>h</w:t>
      </w:r>
      <w:r w:rsidRPr="009576D7">
        <w:t>aemophilia B or for adolescents.</w:t>
      </w:r>
    </w:p>
    <w:p w14:paraId="1EE7C083" w14:textId="21372A65" w:rsidR="009576D7" w:rsidRPr="009576D7" w:rsidRDefault="009576D7" w:rsidP="004D23E1">
      <w:pPr>
        <w:pStyle w:val="Heading6"/>
      </w:pPr>
      <w:r w:rsidRPr="009576D7">
        <w:t>Evaluat</w:t>
      </w:r>
      <w:r w:rsidR="0037314B">
        <w:t>ion</w:t>
      </w:r>
      <w:r w:rsidRPr="009576D7">
        <w:t xml:space="preserve"> commentary</w:t>
      </w:r>
    </w:p>
    <w:p w14:paraId="3BD123FA" w14:textId="15ED68F6" w:rsidR="009576D7" w:rsidRPr="0037314B" w:rsidRDefault="009576D7" w:rsidP="0037314B">
      <w:pPr>
        <w:ind w:left="720"/>
        <w:rPr>
          <w:sz w:val="20"/>
        </w:rPr>
      </w:pPr>
      <w:r w:rsidRPr="0037314B">
        <w:rPr>
          <w:sz w:val="20"/>
        </w:rPr>
        <w:t xml:space="preserve">The study population is </w:t>
      </w:r>
      <w:proofErr w:type="gramStart"/>
      <w:r w:rsidRPr="0037314B">
        <w:rPr>
          <w:sz w:val="20"/>
        </w:rPr>
        <w:t>similar to</w:t>
      </w:r>
      <w:proofErr w:type="gramEnd"/>
      <w:r w:rsidRPr="0037314B">
        <w:rPr>
          <w:sz w:val="20"/>
        </w:rPr>
        <w:t xml:space="preserve"> the target population in Australia. The inclusion criteria were not overly restrictive, and do not limit the generalisability of the results. The study treatment was administered at the same dose, and in the same way, as the dosing and administration advice in </w:t>
      </w:r>
      <w:r w:rsidRPr="00014C8C">
        <w:rPr>
          <w:sz w:val="20"/>
        </w:rPr>
        <w:t>the PI. However, the study did not use the PFP, but instead only used the PFS.</w:t>
      </w:r>
    </w:p>
    <w:p w14:paraId="615E051C" w14:textId="4FE06521" w:rsidR="009576D7" w:rsidRPr="0037314B" w:rsidRDefault="009576D7" w:rsidP="0037314B">
      <w:pPr>
        <w:ind w:left="720"/>
        <w:rPr>
          <w:sz w:val="20"/>
        </w:rPr>
      </w:pPr>
      <w:r w:rsidRPr="0037314B">
        <w:rPr>
          <w:sz w:val="20"/>
        </w:rPr>
        <w:t>The outcome measures were clinically relevant and reflected measures used in clinical practice to guide and monitor treatment. The outcome measures were objective and had sufficient sensitivity to demonstrate a change with treatment.</w:t>
      </w:r>
    </w:p>
    <w:p w14:paraId="6EF6F476" w14:textId="65BA9EDF" w:rsidR="009576D7" w:rsidRPr="0037314B" w:rsidRDefault="009576D7" w:rsidP="0037314B">
      <w:pPr>
        <w:ind w:left="720"/>
        <w:rPr>
          <w:sz w:val="20"/>
        </w:rPr>
      </w:pPr>
      <w:r w:rsidRPr="0037314B">
        <w:rPr>
          <w:sz w:val="20"/>
        </w:rPr>
        <w:t xml:space="preserve">The study was not blinded and was </w:t>
      </w:r>
      <w:proofErr w:type="gramStart"/>
      <w:r w:rsidRPr="0037314B">
        <w:rPr>
          <w:sz w:val="20"/>
        </w:rPr>
        <w:t>sequential;</w:t>
      </w:r>
      <w:proofErr w:type="gramEnd"/>
      <w:r w:rsidRPr="0037314B">
        <w:rPr>
          <w:sz w:val="20"/>
        </w:rPr>
        <w:t xml:space="preserve"> i.e. the observation phase occurred before the active treatment phase. However, the primary outcome measure was objective and not open to measurement bias. The effect size for the on-demand group was large, and unlikely to have occurred due to disease progression or changes in study personnel. A placebo</w:t>
      </w:r>
      <w:r w:rsidR="0037314B">
        <w:rPr>
          <w:sz w:val="20"/>
        </w:rPr>
        <w:t>-</w:t>
      </w:r>
      <w:r w:rsidRPr="0037314B">
        <w:rPr>
          <w:sz w:val="20"/>
        </w:rPr>
        <w:t>controlled trial might also have been unblinded due to investigations. Hence, the Clinical Evaluator considers the study design to be acceptable.</w:t>
      </w:r>
    </w:p>
    <w:p w14:paraId="130D4549" w14:textId="22295B77" w:rsidR="009576D7" w:rsidRPr="0037314B" w:rsidRDefault="009576D7" w:rsidP="0037314B">
      <w:pPr>
        <w:ind w:left="720"/>
        <w:rPr>
          <w:sz w:val="20"/>
        </w:rPr>
      </w:pPr>
      <w:r w:rsidRPr="0037314B">
        <w:rPr>
          <w:sz w:val="20"/>
        </w:rPr>
        <w:t xml:space="preserve">The interim results of the study demonstrated superiority for marstacimab in patients who were negative for inhibitor and had prior on-demand treatment. The effect size was clinically </w:t>
      </w:r>
      <w:r w:rsidR="000163D1" w:rsidRPr="0037314B">
        <w:rPr>
          <w:sz w:val="20"/>
        </w:rPr>
        <w:t>significant,</w:t>
      </w:r>
      <w:r w:rsidRPr="0037314B">
        <w:rPr>
          <w:sz w:val="20"/>
        </w:rPr>
        <w:t xml:space="preserve"> and the level of statistical significance was high. The secondary outcome measures had similar effect sizes to the primary outcome measure.</w:t>
      </w:r>
    </w:p>
    <w:p w14:paraId="7F27C314" w14:textId="2431755D" w:rsidR="009576D7" w:rsidRPr="0037314B" w:rsidRDefault="009576D7" w:rsidP="0037314B">
      <w:pPr>
        <w:ind w:left="720"/>
        <w:rPr>
          <w:sz w:val="20"/>
        </w:rPr>
      </w:pPr>
      <w:r w:rsidRPr="0037314B">
        <w:rPr>
          <w:sz w:val="20"/>
        </w:rPr>
        <w:t xml:space="preserve">The study also demonstrated superiority for the primary outcome measure of efficacy for marstacimab in patients who were negative for inhibitor and had prior prophylactic treatment. Superiority was also demonstrated for most of the secondary efficacy outcome measures, and non-inferiority for the remainder. However, this is the patient group that is the most likely target population, and for this patient group the effect size was not </w:t>
      </w:r>
      <w:proofErr w:type="gramStart"/>
      <w:r w:rsidRPr="0037314B">
        <w:rPr>
          <w:sz w:val="20"/>
        </w:rPr>
        <w:t>large</w:t>
      </w:r>
      <w:proofErr w:type="gramEnd"/>
      <w:r w:rsidRPr="0037314B">
        <w:rPr>
          <w:sz w:val="20"/>
        </w:rPr>
        <w:t xml:space="preserve"> and the statistical significance was marginal. </w:t>
      </w:r>
    </w:p>
    <w:p w14:paraId="64BC2B23" w14:textId="77777777" w:rsidR="0037314B" w:rsidRPr="0037314B" w:rsidRDefault="0037314B" w:rsidP="0037314B">
      <w:pPr>
        <w:pStyle w:val="Heading5"/>
      </w:pPr>
      <w:bookmarkStart w:id="81" w:name="_Toc290888504"/>
      <w:bookmarkStart w:id="82" w:name="_Toc416353720"/>
      <w:r w:rsidRPr="0037314B">
        <w:t>Study</w:t>
      </w:r>
      <w:bookmarkEnd w:id="81"/>
      <w:r w:rsidRPr="0037314B">
        <w:t xml:space="preserve"> B7841003</w:t>
      </w:r>
      <w:bookmarkEnd w:id="82"/>
    </w:p>
    <w:p w14:paraId="21CFBC5A" w14:textId="50B01981" w:rsidR="0037314B" w:rsidRPr="0037314B" w:rsidRDefault="0037314B" w:rsidP="0037314B">
      <w:r w:rsidRPr="0037314B">
        <w:t>Study B7841003 was an open-label, long</w:t>
      </w:r>
      <w:r>
        <w:t>-</w:t>
      </w:r>
      <w:r w:rsidRPr="0037314B">
        <w:t xml:space="preserve">term safety and efficacy trial of marstacimab in participants with haemophilia A or </w:t>
      </w:r>
      <w:r>
        <w:t xml:space="preserve">haemophilia </w:t>
      </w:r>
      <w:r w:rsidRPr="0037314B">
        <w:t>B, with or without inhibitors. The study was up to one year in duration. The study was a follow-on study from Study B7841002. Participants enrolled in Cohort 1 (300</w:t>
      </w:r>
      <w:r>
        <w:t> </w:t>
      </w:r>
      <w:r w:rsidRPr="0037314B">
        <w:t xml:space="preserve">mg </w:t>
      </w:r>
      <w:r>
        <w:t>once weekly</w:t>
      </w:r>
      <w:r w:rsidRPr="0037314B">
        <w:t>, without inhibitor group) continued at the 300</w:t>
      </w:r>
      <w:r>
        <w:t> </w:t>
      </w:r>
      <w:r w:rsidRPr="0037314B">
        <w:t xml:space="preserve">mg </w:t>
      </w:r>
      <w:r>
        <w:t>once weekly</w:t>
      </w:r>
      <w:r w:rsidRPr="0037314B">
        <w:t xml:space="preserve"> dose level, but all other participants were treated with 150</w:t>
      </w:r>
      <w:r>
        <w:t> </w:t>
      </w:r>
      <w:r w:rsidRPr="0037314B">
        <w:t xml:space="preserve">mg </w:t>
      </w:r>
      <w:r>
        <w:t>once weekly</w:t>
      </w:r>
      <w:r w:rsidRPr="0037314B">
        <w:t xml:space="preserve">, and </w:t>
      </w:r>
      <w:r w:rsidRPr="0037314B">
        <w:lastRenderedPageBreak/>
        <w:t>used the same treatment regimens and allocations, except the 450</w:t>
      </w:r>
      <w:r>
        <w:t> </w:t>
      </w:r>
      <w:r w:rsidRPr="0037314B">
        <w:t>mg dose level was reduced to 150</w:t>
      </w:r>
      <w:r>
        <w:t> </w:t>
      </w:r>
      <w:r w:rsidRPr="0037314B">
        <w:t>mg.</w:t>
      </w:r>
    </w:p>
    <w:p w14:paraId="39798BFB" w14:textId="6A41330F" w:rsidR="0037314B" w:rsidRPr="0037314B" w:rsidRDefault="0037314B" w:rsidP="0037314B">
      <w:r w:rsidRPr="0037314B">
        <w:t>The participants continuing from Study B7841002 within 30</w:t>
      </w:r>
      <w:r>
        <w:t> </w:t>
      </w:r>
      <w:r w:rsidRPr="0037314B">
        <w:t>days of the Study B7841003 Day</w:t>
      </w:r>
      <w:r>
        <w:t> </w:t>
      </w:r>
      <w:r w:rsidRPr="0037314B">
        <w:t xml:space="preserve">1 visit did not require screening procedures to confirm eligibility: male participants with severe haemophilia A or </w:t>
      </w:r>
      <w:r w:rsidR="00E23165">
        <w:t xml:space="preserve">haemophilia </w:t>
      </w:r>
      <w:r w:rsidRPr="0037314B">
        <w:t xml:space="preserve">B of </w:t>
      </w:r>
      <w:r w:rsidR="00E23165">
        <w:t>at least 1</w:t>
      </w:r>
      <w:r w:rsidRPr="0037314B">
        <w:t xml:space="preserve">8 </w:t>
      </w:r>
      <w:r w:rsidR="00E23165">
        <w:t xml:space="preserve">years of age </w:t>
      </w:r>
      <w:r w:rsidRPr="0037314B">
        <w:t xml:space="preserve">and </w:t>
      </w:r>
      <w:r w:rsidR="00E23165">
        <w:t xml:space="preserve">less than </w:t>
      </w:r>
      <w:r w:rsidRPr="0037314B">
        <w:t xml:space="preserve">75 years old, with body </w:t>
      </w:r>
      <w:r w:rsidRPr="00014C8C">
        <w:t xml:space="preserve">mass index (BMI) of </w:t>
      </w:r>
      <w:r w:rsidR="00E23165" w:rsidRPr="00014C8C">
        <w:t xml:space="preserve">at least </w:t>
      </w:r>
      <w:r w:rsidRPr="00014C8C">
        <w:t xml:space="preserve">17.5 and </w:t>
      </w:r>
      <w:r w:rsidR="00E23165" w:rsidRPr="00014C8C">
        <w:t xml:space="preserve">no more than </w:t>
      </w:r>
      <w:r w:rsidRPr="00014C8C">
        <w:t>30.5</w:t>
      </w:r>
      <w:r w:rsidR="00E23165" w:rsidRPr="00014C8C">
        <w:t> </w:t>
      </w:r>
      <w:r w:rsidRPr="00014C8C">
        <w:t>kg/m</w:t>
      </w:r>
      <w:r w:rsidRPr="00014C8C">
        <w:rPr>
          <w:vertAlign w:val="superscript"/>
        </w:rPr>
        <w:t xml:space="preserve">2 </w:t>
      </w:r>
      <w:r w:rsidRPr="00014C8C">
        <w:t xml:space="preserve">and a total body weight of </w:t>
      </w:r>
      <w:r w:rsidR="00E23165" w:rsidRPr="00014C8C">
        <w:t xml:space="preserve">at least </w:t>
      </w:r>
      <w:r w:rsidRPr="00014C8C">
        <w:t>50</w:t>
      </w:r>
      <w:r w:rsidR="00E23165" w:rsidRPr="00014C8C">
        <w:t> kg</w:t>
      </w:r>
      <w:r w:rsidRPr="00014C8C">
        <w:t xml:space="preserve"> and </w:t>
      </w:r>
      <w:r w:rsidR="00E23165" w:rsidRPr="00014C8C">
        <w:t xml:space="preserve">no more than </w:t>
      </w:r>
      <w:r w:rsidRPr="00014C8C">
        <w:t>100</w:t>
      </w:r>
      <w:r w:rsidR="00E23165" w:rsidRPr="00014C8C">
        <w:t> </w:t>
      </w:r>
      <w:r w:rsidRPr="00014C8C">
        <w:t xml:space="preserve">kg were eligible to participate in the study. For de novo participants: adolescent males of </w:t>
      </w:r>
      <w:r w:rsidR="00E23165" w:rsidRPr="00014C8C">
        <w:t xml:space="preserve">at least </w:t>
      </w:r>
      <w:r w:rsidRPr="00014C8C">
        <w:t xml:space="preserve">12 </w:t>
      </w:r>
      <w:r w:rsidR="00E23165" w:rsidRPr="00014C8C">
        <w:t xml:space="preserve">years of age to less than </w:t>
      </w:r>
      <w:r w:rsidRPr="00014C8C">
        <w:t xml:space="preserve">18 years old with BMI of </w:t>
      </w:r>
      <w:r w:rsidR="00E23165" w:rsidRPr="00014C8C">
        <w:t>at</w:t>
      </w:r>
      <w:r w:rsidR="00E23165">
        <w:t xml:space="preserve"> least </w:t>
      </w:r>
      <w:r w:rsidRPr="0037314B">
        <w:t>14</w:t>
      </w:r>
      <w:r w:rsidR="00E23165">
        <w:t> </w:t>
      </w:r>
      <w:r w:rsidRPr="0037314B">
        <w:t>kg/m</w:t>
      </w:r>
      <w:r w:rsidRPr="00E23165">
        <w:rPr>
          <w:vertAlign w:val="superscript"/>
        </w:rPr>
        <w:t>2</w:t>
      </w:r>
      <w:r w:rsidRPr="0037314B">
        <w:t xml:space="preserve"> and a total body weight of </w:t>
      </w:r>
      <w:r w:rsidR="00E23165">
        <w:t>at least 3</w:t>
      </w:r>
      <w:r w:rsidRPr="0037314B">
        <w:t>0</w:t>
      </w:r>
      <w:r w:rsidR="00E23165">
        <w:t> </w:t>
      </w:r>
      <w:r w:rsidRPr="0037314B">
        <w:t xml:space="preserve">kg (only for Cohort 5) and adults, who had at least </w:t>
      </w:r>
      <w:r w:rsidR="00E23165">
        <w:t>6</w:t>
      </w:r>
      <w:r w:rsidRPr="0037314B">
        <w:t xml:space="preserve"> acute bleeding episodes (spontaneous/traumatic) during the 6-month period prior to screening were eligible.</w:t>
      </w:r>
    </w:p>
    <w:p w14:paraId="06FBFA5F" w14:textId="77777777" w:rsidR="0037314B" w:rsidRPr="0037314B" w:rsidRDefault="0037314B" w:rsidP="0037314B">
      <w:r w:rsidRPr="0037314B">
        <w:t>The treatment groups were:</w:t>
      </w:r>
    </w:p>
    <w:p w14:paraId="0BC0CE5B" w14:textId="6269DDAC" w:rsidR="0037314B" w:rsidRPr="0037314B" w:rsidRDefault="0037314B" w:rsidP="0037314B">
      <w:pPr>
        <w:pStyle w:val="ListBullet"/>
      </w:pPr>
      <w:r w:rsidRPr="0037314B">
        <w:t>Cohort 1: 300</w:t>
      </w:r>
      <w:r w:rsidR="00E23165">
        <w:t> </w:t>
      </w:r>
      <w:r w:rsidRPr="0037314B">
        <w:t>mg SC, continuing as 300</w:t>
      </w:r>
      <w:r w:rsidR="00E23165">
        <w:t> </w:t>
      </w:r>
      <w:r w:rsidRPr="0037314B">
        <w:t>mg SC</w:t>
      </w:r>
    </w:p>
    <w:p w14:paraId="7EB9233D" w14:textId="1FC3C789" w:rsidR="0037314B" w:rsidRPr="0037314B" w:rsidRDefault="0037314B" w:rsidP="0037314B">
      <w:pPr>
        <w:pStyle w:val="ListBullet"/>
      </w:pPr>
      <w:r w:rsidRPr="0037314B">
        <w:t>Cohort 2: 150</w:t>
      </w:r>
      <w:r w:rsidR="00E23165">
        <w:t> </w:t>
      </w:r>
      <w:r w:rsidRPr="0037314B">
        <w:t>mg SC, continuing as 150</w:t>
      </w:r>
      <w:r w:rsidR="00E23165">
        <w:t> </w:t>
      </w:r>
      <w:r w:rsidRPr="0037314B">
        <w:t>mg SC</w:t>
      </w:r>
    </w:p>
    <w:p w14:paraId="1F89E57B" w14:textId="5C080877" w:rsidR="0037314B" w:rsidRPr="0037314B" w:rsidRDefault="0037314B" w:rsidP="0037314B">
      <w:pPr>
        <w:pStyle w:val="ListBullet"/>
      </w:pPr>
      <w:r w:rsidRPr="0037314B">
        <w:t>Cohort 3: 450</w:t>
      </w:r>
      <w:r w:rsidR="00E23165">
        <w:t> </w:t>
      </w:r>
      <w:r w:rsidRPr="0037314B">
        <w:t>mg SC, continuing as 150</w:t>
      </w:r>
      <w:r w:rsidR="00E23165">
        <w:t> </w:t>
      </w:r>
      <w:r w:rsidRPr="0037314B">
        <w:t>mg SC</w:t>
      </w:r>
    </w:p>
    <w:p w14:paraId="08355F27" w14:textId="61178653" w:rsidR="0037314B" w:rsidRPr="0037314B" w:rsidRDefault="0037314B" w:rsidP="0037314B">
      <w:pPr>
        <w:pStyle w:val="ListBullet"/>
      </w:pPr>
      <w:r w:rsidRPr="0037314B">
        <w:t>Cohort 4: 300</w:t>
      </w:r>
      <w:r w:rsidR="00E23165">
        <w:t> </w:t>
      </w:r>
      <w:r w:rsidRPr="0037314B">
        <w:t>mg SC (inhibitor subjects), continuing as 300</w:t>
      </w:r>
      <w:r w:rsidR="00E23165">
        <w:t> </w:t>
      </w:r>
      <w:r w:rsidRPr="0037314B">
        <w:t>mg SC</w:t>
      </w:r>
    </w:p>
    <w:p w14:paraId="212DCFC3" w14:textId="77777777" w:rsidR="00E23165" w:rsidRDefault="0037314B" w:rsidP="0037314B">
      <w:pPr>
        <w:pStyle w:val="ListBullet"/>
      </w:pPr>
      <w:r w:rsidRPr="0037314B">
        <w:t>Cohort 5: adolescents with or without inhibitors, continuing as 150</w:t>
      </w:r>
      <w:r w:rsidR="00E23165">
        <w:t> </w:t>
      </w:r>
      <w:r w:rsidRPr="0037314B">
        <w:t>mg SC</w:t>
      </w:r>
    </w:p>
    <w:p w14:paraId="6AB14B92" w14:textId="077B9AAC" w:rsidR="0037314B" w:rsidRPr="0037314B" w:rsidRDefault="0037314B" w:rsidP="0037314B">
      <w:pPr>
        <w:pStyle w:val="ListBullet"/>
      </w:pPr>
      <w:r w:rsidRPr="0037314B">
        <w:t>Cohort 6: adults with inhibitors, continuing as 150</w:t>
      </w:r>
      <w:r w:rsidR="00E23165">
        <w:t> </w:t>
      </w:r>
      <w:r w:rsidRPr="0037314B">
        <w:t>mg SC</w:t>
      </w:r>
    </w:p>
    <w:p w14:paraId="2EAD03D9" w14:textId="05F4085D" w:rsidR="0037314B" w:rsidRPr="0037314B" w:rsidRDefault="0037314B" w:rsidP="0037314B">
      <w:r w:rsidRPr="0037314B">
        <w:t xml:space="preserve">Treatments were administered </w:t>
      </w:r>
      <w:r w:rsidR="00E23165">
        <w:t>once weekly</w:t>
      </w:r>
      <w:r w:rsidRPr="0037314B">
        <w:t>.</w:t>
      </w:r>
    </w:p>
    <w:p w14:paraId="3E796437" w14:textId="77777777" w:rsidR="0037314B" w:rsidRPr="0037314B" w:rsidRDefault="0037314B" w:rsidP="0037314B">
      <w:r w:rsidRPr="0037314B">
        <w:t>The efficacy outcome measures were:</w:t>
      </w:r>
    </w:p>
    <w:p w14:paraId="5206574A" w14:textId="782CA91C" w:rsidR="0037314B" w:rsidRPr="0037314B" w:rsidRDefault="0037314B" w:rsidP="0037314B">
      <w:pPr>
        <w:pStyle w:val="ListBullet"/>
      </w:pPr>
      <w:r w:rsidRPr="0037314B">
        <w:t>frequency and annualised rate of bleeding episodes from Day</w:t>
      </w:r>
      <w:r w:rsidR="00E23165">
        <w:t> </w:t>
      </w:r>
      <w:r w:rsidRPr="0037314B">
        <w:t>1 to Day</w:t>
      </w:r>
      <w:r w:rsidR="00E23165">
        <w:t> </w:t>
      </w:r>
      <w:r w:rsidRPr="0037314B">
        <w:t>393</w:t>
      </w:r>
    </w:p>
    <w:p w14:paraId="584F8C65" w14:textId="6CCB042E" w:rsidR="0037314B" w:rsidRPr="0037314B" w:rsidRDefault="0037314B" w:rsidP="0037314B">
      <w:pPr>
        <w:pStyle w:val="ListBullet"/>
      </w:pPr>
      <w:r w:rsidRPr="0037314B">
        <w:t>frequency of rescue (</w:t>
      </w:r>
      <w:r w:rsidR="00E23165">
        <w:t xml:space="preserve">factor </w:t>
      </w:r>
      <w:r w:rsidRPr="0037314B">
        <w:t xml:space="preserve">VIII or </w:t>
      </w:r>
      <w:r w:rsidR="00E23165">
        <w:t xml:space="preserve">factor </w:t>
      </w:r>
      <w:r w:rsidRPr="0037314B">
        <w:t>IX) therapy for treatment of breakthrough bleeding episodes.</w:t>
      </w:r>
    </w:p>
    <w:p w14:paraId="7EC9E8B6" w14:textId="40E6852E" w:rsidR="0037314B" w:rsidRPr="0037314B" w:rsidRDefault="0037314B" w:rsidP="0037314B">
      <w:r w:rsidRPr="0037314B">
        <w:t xml:space="preserve">The safety outcome measures </w:t>
      </w:r>
      <w:proofErr w:type="gramStart"/>
      <w:r w:rsidRPr="0037314B">
        <w:t>were:</w:t>
      </w:r>
      <w:proofErr w:type="gramEnd"/>
      <w:r w:rsidRPr="0037314B">
        <w:t xml:space="preserve"> </w:t>
      </w:r>
      <w:r w:rsidR="00E23165">
        <w:t>treatment-emergent adverse events (</w:t>
      </w:r>
      <w:r w:rsidRPr="0037314B">
        <w:t>TEAEs</w:t>
      </w:r>
      <w:r w:rsidR="00E23165">
        <w:t>)</w:t>
      </w:r>
      <w:r w:rsidRPr="0037314B">
        <w:t>, clinical laboratory tests, vital signs, and infusion and injection site reactions.</w:t>
      </w:r>
    </w:p>
    <w:p w14:paraId="22F18F25" w14:textId="732D0C9C" w:rsidR="0037314B" w:rsidRPr="0037314B" w:rsidRDefault="0037314B" w:rsidP="0037314B">
      <w:r w:rsidRPr="0037314B">
        <w:t xml:space="preserve">There were 24 subjects screened and 20 were assigned to study treatment and received treatment: </w:t>
      </w:r>
      <w:r w:rsidR="00E23165">
        <w:t>10</w:t>
      </w:r>
      <w:r w:rsidRPr="0037314B">
        <w:t xml:space="preserve"> in the 300</w:t>
      </w:r>
      <w:r w:rsidR="00E23165">
        <w:t> </w:t>
      </w:r>
      <w:r w:rsidRPr="0037314B">
        <w:t xml:space="preserve">mg dose group and </w:t>
      </w:r>
      <w:r w:rsidR="00E23165">
        <w:t>10</w:t>
      </w:r>
      <w:r w:rsidRPr="0037314B">
        <w:t xml:space="preserve"> in the 150</w:t>
      </w:r>
      <w:r w:rsidR="00E23165">
        <w:t> </w:t>
      </w:r>
      <w:r w:rsidRPr="0037314B">
        <w:t xml:space="preserve">mg dose group. Eighteen subjects completed the study, </w:t>
      </w:r>
      <w:r w:rsidR="00E23165">
        <w:t>9</w:t>
      </w:r>
      <w:r w:rsidRPr="0037314B">
        <w:t xml:space="preserve"> in each treatment group. Two subjects discontinued due to withdrawal by subject. All the 20 treated subjects were included in the analysis.</w:t>
      </w:r>
    </w:p>
    <w:p w14:paraId="280D5031" w14:textId="4A935BF6" w:rsidR="0037314B" w:rsidRPr="0037314B" w:rsidRDefault="0037314B" w:rsidP="0037314B">
      <w:r w:rsidRPr="0037314B">
        <w:t xml:space="preserve">All the subjects were </w:t>
      </w:r>
      <w:proofErr w:type="gramStart"/>
      <w:r w:rsidRPr="0037314B">
        <w:t>male</w:t>
      </w:r>
      <w:proofErr w:type="gramEnd"/>
      <w:r w:rsidRPr="0037314B">
        <w:t xml:space="preserve"> and the age range was 19 to 57 years. There were 14 (70%) white subjects and </w:t>
      </w:r>
      <w:r w:rsidR="00E23165">
        <w:t>6</w:t>
      </w:r>
      <w:r w:rsidRPr="0037314B">
        <w:t xml:space="preserve"> (30%) Black or African American. The weight range was 50.7</w:t>
      </w:r>
      <w:r w:rsidR="00E23165">
        <w:t> kg</w:t>
      </w:r>
      <w:r w:rsidRPr="0037314B">
        <w:t xml:space="preserve"> to 86.7</w:t>
      </w:r>
      <w:r w:rsidR="00E23165">
        <w:t> </w:t>
      </w:r>
      <w:proofErr w:type="gramStart"/>
      <w:r w:rsidRPr="0037314B">
        <w:t>kg</w:t>
      </w:r>
      <w:proofErr w:type="gramEnd"/>
      <w:r w:rsidRPr="0037314B">
        <w:t xml:space="preserve"> and the BMI range was 17.9 to 23.4 kg/m</w:t>
      </w:r>
      <w:r w:rsidRPr="00E23165">
        <w:rPr>
          <w:vertAlign w:val="superscript"/>
        </w:rPr>
        <w:t>2</w:t>
      </w:r>
      <w:r w:rsidRPr="0037314B">
        <w:t>. There were 19 (95%) subjects with haemophilia A and one (5%) with haemophilia B. Thirteen (65%) subjects had haemophilic arthropathy.</w:t>
      </w:r>
    </w:p>
    <w:p w14:paraId="21CA21CC" w14:textId="2D575C4D" w:rsidR="0037314B" w:rsidRPr="0037314B" w:rsidRDefault="0037314B" w:rsidP="0037314B">
      <w:r w:rsidRPr="0037314B">
        <w:t>The mean (SD) ABR decreased from 20.200 (5.6921) /year to 1.486 (2.4312) /year in the 300</w:t>
      </w:r>
      <w:r w:rsidR="00E23165">
        <w:t> </w:t>
      </w:r>
      <w:r w:rsidRPr="0037314B">
        <w:t>mg treatment group; and from 17.400 (8.9464) /year to 2.699 (4.4561) /year in the 150</w:t>
      </w:r>
      <w:r w:rsidR="00E23165">
        <w:t> </w:t>
      </w:r>
      <w:r w:rsidRPr="0037314B">
        <w:t>mg treatment group. There was only one subject with haemophilia B, so comparisons by dose and haemophilia type were not possible. The one subject with haemophilia B was in the 150</w:t>
      </w:r>
      <w:r w:rsidR="00E23165">
        <w:t> </w:t>
      </w:r>
      <w:r w:rsidRPr="0037314B">
        <w:t>mg cohort and had no bleeding events during the study.</w:t>
      </w:r>
    </w:p>
    <w:p w14:paraId="627F5936" w14:textId="2CD708F6" w:rsidR="0037314B" w:rsidRPr="0037314B" w:rsidRDefault="00E23165" w:rsidP="0037314B">
      <w:r>
        <w:rPr>
          <w:lang w:eastAsia="ja-JP"/>
        </w:rPr>
        <w:t xml:space="preserve">Tissue factor pathway inhibitor </w:t>
      </w:r>
      <w:r w:rsidR="0037314B" w:rsidRPr="0037314B">
        <w:t>concentrations increased to a greater extent in the 300</w:t>
      </w:r>
      <w:r>
        <w:t> </w:t>
      </w:r>
      <w:r w:rsidR="0037314B" w:rsidRPr="0037314B">
        <w:t>mg dose group compared to the 150</w:t>
      </w:r>
      <w:r>
        <w:t> </w:t>
      </w:r>
      <w:r w:rsidR="0037314B" w:rsidRPr="0037314B">
        <w:t>mg. There was no significant difference between the groups in thrombin generation lag time. The increase in peak thrombin generation was greater in the 300</w:t>
      </w:r>
      <w:r>
        <w:t> </w:t>
      </w:r>
      <w:r w:rsidR="0037314B" w:rsidRPr="0037314B">
        <w:t>mg group overall compared to the 150</w:t>
      </w:r>
      <w:r>
        <w:t> </w:t>
      </w:r>
      <w:r w:rsidR="0037314B" w:rsidRPr="0037314B">
        <w:t xml:space="preserve">mg group overall. There was no significant difference between the groups in thrombin generation potential. There was no apparent difference </w:t>
      </w:r>
      <w:r w:rsidR="0037314B" w:rsidRPr="0037314B">
        <w:lastRenderedPageBreak/>
        <w:t xml:space="preserve">between the groups </w:t>
      </w:r>
      <w:r w:rsidR="0037314B" w:rsidRPr="00E23165">
        <w:t xml:space="preserve">in </w:t>
      </w:r>
      <w:r w:rsidRPr="00E23165">
        <w:rPr>
          <w:lang w:eastAsia="ja-JP"/>
        </w:rPr>
        <w:t xml:space="preserve">thrombin generation assay </w:t>
      </w:r>
      <w:r w:rsidR="0037314B" w:rsidRPr="00E23165">
        <w:t>endogenous</w:t>
      </w:r>
      <w:r w:rsidR="0037314B" w:rsidRPr="0037314B">
        <w:t xml:space="preserve"> thrombin potential. Prothrombin fragments 1+2 were increased in all the treatment groups throughout the treatment period</w:t>
      </w:r>
      <w:r w:rsidR="00D31ABC">
        <w:t>.</w:t>
      </w:r>
    </w:p>
    <w:p w14:paraId="0E9C9DC7" w14:textId="77777777" w:rsidR="00D31ABC" w:rsidRPr="00D31ABC" w:rsidRDefault="00D31ABC" w:rsidP="00D31ABC">
      <w:pPr>
        <w:pStyle w:val="Heading5"/>
      </w:pPr>
      <w:r w:rsidRPr="00D31ABC">
        <w:t>Study B7841007</w:t>
      </w:r>
    </w:p>
    <w:p w14:paraId="295DA58C" w14:textId="20AC9884" w:rsidR="00D31ABC" w:rsidRPr="00D31ABC" w:rsidRDefault="00D31ABC" w:rsidP="00D31ABC">
      <w:bookmarkStart w:id="83" w:name="_Toc290888506"/>
      <w:bookmarkStart w:id="84" w:name="_Toc416353722"/>
      <w:r w:rsidRPr="00D31ABC">
        <w:t>Study B7841007 was an open</w:t>
      </w:r>
      <w:r>
        <w:t>-</w:t>
      </w:r>
      <w:r w:rsidRPr="00D31ABC">
        <w:t>label extension of Study B7841005. The study is planned to continue until marstacimab is commercially available to the participants or for up to 7</w:t>
      </w:r>
      <w:r>
        <w:t> </w:t>
      </w:r>
      <w:r w:rsidRPr="00D31ABC">
        <w:t xml:space="preserve">years. Hence the study is </w:t>
      </w:r>
      <w:proofErr w:type="gramStart"/>
      <w:r w:rsidRPr="00D31ABC">
        <w:t>ongoing</w:t>
      </w:r>
      <w:proofErr w:type="gramEnd"/>
      <w:r w:rsidRPr="00D31ABC">
        <w:t xml:space="preserve"> and an interim report was provided. The study was conducted at 36 centres in 14 countries: Canada (2 centres), Croatia (2), France (1), Hong Kong (2), India (2), Japan (2), Korea (3), Mexico (1), Oman (2), Serbia (3), Spain (4), Taiwan (1) Turkey (9), and the US (2).</w:t>
      </w:r>
    </w:p>
    <w:p w14:paraId="08A4C5ED" w14:textId="1863BBF9" w:rsidR="00D31ABC" w:rsidRPr="00D31ABC" w:rsidRDefault="00D31ABC" w:rsidP="00D31ABC">
      <w:r w:rsidRPr="00014C8C">
        <w:t>The study used the same efficacy and safety endpoints as for Study B7841005 and the participants continued with their final regimen from that study. The preferred administration method was the PFP but if subjects had difficulty using the PFP they could use the PFS.</w:t>
      </w:r>
    </w:p>
    <w:p w14:paraId="3449D550" w14:textId="66B68E15" w:rsidR="00D31ABC" w:rsidRPr="00D31ABC" w:rsidRDefault="00D31ABC" w:rsidP="00D31ABC">
      <w:r w:rsidRPr="00D31ABC">
        <w:t xml:space="preserve">The study enrolled adult or adolescent male participants with severe haemophilia A or moderately severe to severe haemophilia B (defined as </w:t>
      </w:r>
      <w:r>
        <w:t xml:space="preserve">factor </w:t>
      </w:r>
      <w:r w:rsidRPr="00D31ABC">
        <w:t xml:space="preserve">VIII activity </w:t>
      </w:r>
      <w:r>
        <w:t xml:space="preserve">less than </w:t>
      </w:r>
      <w:r w:rsidRPr="00D31ABC">
        <w:t xml:space="preserve">1% or </w:t>
      </w:r>
      <w:r>
        <w:t>factor </w:t>
      </w:r>
      <w:r w:rsidRPr="00D31ABC">
        <w:t xml:space="preserve">IX activity </w:t>
      </w:r>
      <w:r>
        <w:t>≤ </w:t>
      </w:r>
      <w:r w:rsidRPr="00D31ABC">
        <w:t>2%, respectively) with or without inhibitors who successfully completed the Study B7841005.</w:t>
      </w:r>
    </w:p>
    <w:p w14:paraId="0F892B18" w14:textId="0EDC481E" w:rsidR="00D31ABC" w:rsidRPr="00D31ABC" w:rsidRDefault="00D31ABC" w:rsidP="00D31ABC">
      <w:r w:rsidRPr="00D31ABC">
        <w:t>There were 88 subjects who entered the study: 29 in the on-demand cohort and 59 in the prophylaxis cohort. None of the subjects had inhibitors. Two subjects withdrew (withdrawn by subject). One subject is not included in the analysis because data were not available by the cut-off date.</w:t>
      </w:r>
    </w:p>
    <w:p w14:paraId="1C46E0B5" w14:textId="50A4B8BF" w:rsidR="00D31ABC" w:rsidRPr="00D31ABC" w:rsidRDefault="00D31ABC" w:rsidP="00D31ABC">
      <w:r w:rsidRPr="00D31ABC">
        <w:t xml:space="preserve">All the subjects were male. The age range was 13 to 66 years. Fourteen (16.1%) subjects were aged </w:t>
      </w:r>
      <w:r>
        <w:t xml:space="preserve">under </w:t>
      </w:r>
      <w:r w:rsidRPr="00D31ABC">
        <w:t xml:space="preserve">18 </w:t>
      </w:r>
      <w:proofErr w:type="gramStart"/>
      <w:r w:rsidRPr="00D31ABC">
        <w:t>years</w:t>
      </w:r>
      <w:proofErr w:type="gramEnd"/>
      <w:r w:rsidRPr="00D31ABC">
        <w:t xml:space="preserve"> and one was aged </w:t>
      </w:r>
      <w:r>
        <w:t>at least </w:t>
      </w:r>
      <w:r w:rsidRPr="00D31ABC">
        <w:t>65</w:t>
      </w:r>
      <w:r>
        <w:t> </w:t>
      </w:r>
      <w:r w:rsidRPr="00D31ABC">
        <w:t>years. The weight range was 39.0 to 128.8</w:t>
      </w:r>
      <w:r>
        <w:t> </w:t>
      </w:r>
      <w:r w:rsidRPr="00D31ABC">
        <w:t>kg. There were 67 (77.0%) subjects with haemophilia A and 20 (23.0%) with haemophilia B. All the subjects were negative for inhibitor.</w:t>
      </w:r>
    </w:p>
    <w:p w14:paraId="662740F1" w14:textId="756558A0" w:rsidR="00D31ABC" w:rsidRDefault="00D31ABC" w:rsidP="00D31ABC">
      <w:r w:rsidRPr="00D31ABC">
        <w:t xml:space="preserve">The median (range) duration of treatment was 193 (34 to 483) days. There were 13 subjects treated for </w:t>
      </w:r>
      <w:r>
        <w:t xml:space="preserve">at least </w:t>
      </w:r>
      <w:r w:rsidRPr="00D31ABC">
        <w:t>12</w:t>
      </w:r>
      <w:r>
        <w:t> </w:t>
      </w:r>
      <w:r w:rsidRPr="00D31ABC">
        <w:t xml:space="preserve">months. The median (range) number of exposure days (treatments) was 28 (5 to 68) days (treatments). There were no dose reductions due to </w:t>
      </w:r>
      <w:r>
        <w:t>adverse events (</w:t>
      </w:r>
      <w:r w:rsidRPr="00D31ABC">
        <w:t>AEs</w:t>
      </w:r>
      <w:r>
        <w:t>)</w:t>
      </w:r>
      <w:r w:rsidRPr="00D31ABC">
        <w:t xml:space="preserve"> during the study. Four participants had their weekly dose increased from 150</w:t>
      </w:r>
      <w:r>
        <w:t> </w:t>
      </w:r>
      <w:r w:rsidRPr="00D31ABC">
        <w:t>mg to 300</w:t>
      </w:r>
      <w:r>
        <w:t> </w:t>
      </w:r>
      <w:r w:rsidRPr="00D31ABC">
        <w:t>mg, as allowed per protocol, due to insufficient clinical response.</w:t>
      </w:r>
    </w:p>
    <w:p w14:paraId="0AF33871" w14:textId="0FFA500D" w:rsidR="00D31ABC" w:rsidRPr="00D31ABC" w:rsidRDefault="00D31ABC" w:rsidP="00D31ABC">
      <w:r w:rsidRPr="00D31ABC">
        <w:t xml:space="preserve">The model base mean estimate (95% CI) for ABR was 2.79 (1.90 to 4.09) overall, 3.86 (2.02 to 7.37) for the on-demand group and 2.27 (1.40 to 3.67) for the prophylaxis group. Over the treatment period 13 (44.8%) subjects in the </w:t>
      </w:r>
      <w:proofErr w:type="gramStart"/>
      <w:r w:rsidRPr="00D31ABC">
        <w:t>on demand</w:t>
      </w:r>
      <w:proofErr w:type="gramEnd"/>
      <w:r w:rsidRPr="00D31ABC">
        <w:t xml:space="preserve"> group and 36 (62.1%) in the prophylaxis group had no bleeds.</w:t>
      </w:r>
    </w:p>
    <w:p w14:paraId="2FC90731" w14:textId="24A953F1" w:rsidR="00D31ABC" w:rsidRPr="00D31ABC" w:rsidRDefault="00D31ABC" w:rsidP="00D31ABC">
      <w:r w:rsidRPr="00D31ABC">
        <w:t>The model base mean estimate (95% CI) for incidence of joint bleeds was 1.88 (1.29 to 2.74) overall, 1.87 (1.07 to 3.26) for the on-demand group and 1.87 (1.14 to 3.08) for the prophylaxis group.</w:t>
      </w:r>
    </w:p>
    <w:p w14:paraId="4E25A8DC" w14:textId="77777777" w:rsidR="00D31ABC" w:rsidRPr="00D31ABC" w:rsidRDefault="00D31ABC" w:rsidP="00D31ABC">
      <w:r w:rsidRPr="00D31ABC">
        <w:t xml:space="preserve">The model base mean estimate (95% CI) for incidence of spontaneous bleeds was 1.91 (1.26 to 2.89) overall, 2.54 (1.22 to 5.29) for the on-demand group and 1.62 (0.96 to 2.73) for the prophylaxis group. </w:t>
      </w:r>
    </w:p>
    <w:p w14:paraId="15CBD365" w14:textId="777B4300" w:rsidR="00D31ABC" w:rsidRPr="00D31ABC" w:rsidRDefault="00D31ABC" w:rsidP="00D31ABC">
      <w:r w:rsidRPr="00D31ABC">
        <w:t>The model base mean estimate (95% CI) for incidence of targeted joint bleeds was 0.94 (0.54 to 1.63) overall, 0.90 (0.51 to 1.58) for the on-demand group and 0.91 (0.36 to 2.27) for the prophylaxis group.</w:t>
      </w:r>
    </w:p>
    <w:p w14:paraId="47798A81" w14:textId="26E19C1C" w:rsidR="00D31ABC" w:rsidRPr="00D31ABC" w:rsidRDefault="00D31ABC" w:rsidP="00D31ABC">
      <w:r w:rsidRPr="00D31ABC">
        <w:t>The model base mean estimate (95% CI) for incidence of total bleeds was 3.59 (2.56 to 5.04) overall, 5.10 (3.25 to 8.00) for the on-demand group and 2.73 (1.70 to 4.38) for the prophylaxis group.</w:t>
      </w:r>
    </w:p>
    <w:p w14:paraId="1CC35547" w14:textId="3258040D" w:rsidR="00D31ABC" w:rsidRPr="00D31ABC" w:rsidRDefault="00D31ABC" w:rsidP="00D31ABC">
      <w:r w:rsidRPr="00D31ABC">
        <w:lastRenderedPageBreak/>
        <w:t>For the prior on-demand group (n</w:t>
      </w:r>
      <w:r w:rsidR="00F159F7">
        <w:t> </w:t>
      </w:r>
      <w:r w:rsidRPr="00D31ABC">
        <w:t>=</w:t>
      </w:r>
      <w:r w:rsidR="00F159F7">
        <w:t> </w:t>
      </w:r>
      <w:r w:rsidRPr="00D31ABC">
        <w:t>19) and the prior prophylaxis group (n</w:t>
      </w:r>
      <w:r w:rsidR="00F159F7">
        <w:t> </w:t>
      </w:r>
      <w:r w:rsidRPr="00D31ABC">
        <w:t>=</w:t>
      </w:r>
      <w:r w:rsidR="00F159F7">
        <w:t> </w:t>
      </w:r>
      <w:r w:rsidRPr="00D31ABC">
        <w:t xml:space="preserve">24), the mean </w:t>
      </w:r>
      <w:r w:rsidRPr="00014C8C">
        <w:t>change from B7841007 baseline in the total HJHS score at 180 days was 1.1 and -2.7,</w:t>
      </w:r>
      <w:r w:rsidRPr="00D31ABC">
        <w:t xml:space="preserve"> respectively.</w:t>
      </w:r>
    </w:p>
    <w:p w14:paraId="0CAB332D" w14:textId="057D1C76" w:rsidR="00D31ABC" w:rsidRPr="00D31ABC" w:rsidRDefault="00D31ABC" w:rsidP="00D31ABC">
      <w:r w:rsidRPr="00D31ABC">
        <w:t>The mean total annuali</w:t>
      </w:r>
      <w:r w:rsidR="00F159F7">
        <w:t>s</w:t>
      </w:r>
      <w:r w:rsidRPr="00D31ABC">
        <w:t>ed factor replacement consumption was 9</w:t>
      </w:r>
      <w:r w:rsidR="00F159F7">
        <w:t>,</w:t>
      </w:r>
      <w:r w:rsidRPr="00D31ABC">
        <w:t>954.9</w:t>
      </w:r>
      <w:r w:rsidR="00F159F7">
        <w:t> </w:t>
      </w:r>
      <w:r w:rsidRPr="00D31ABC">
        <w:t>IU, and for the prior on-demand group and prior prophylaxis group was 14</w:t>
      </w:r>
      <w:r w:rsidR="00F159F7">
        <w:t>,</w:t>
      </w:r>
      <w:r w:rsidRPr="00D31ABC">
        <w:t>807.1</w:t>
      </w:r>
      <w:r w:rsidR="00F159F7">
        <w:t> </w:t>
      </w:r>
      <w:r w:rsidRPr="00D31ABC">
        <w:t>IU and 7</w:t>
      </w:r>
      <w:r w:rsidR="00F159F7">
        <w:t>,</w:t>
      </w:r>
      <w:r w:rsidRPr="00D31ABC">
        <w:t>528.8</w:t>
      </w:r>
      <w:r w:rsidR="00F159F7">
        <w:t> </w:t>
      </w:r>
      <w:r w:rsidRPr="00D31ABC">
        <w:t>IU, respectively.</w:t>
      </w:r>
    </w:p>
    <w:p w14:paraId="1ED70989" w14:textId="2D69FD74" w:rsidR="00D31ABC" w:rsidRPr="00D31ABC" w:rsidRDefault="00D31ABC" w:rsidP="00D31ABC">
      <w:r w:rsidRPr="00D31ABC">
        <w:t>For the Haem-A-QoL, across all participants who reported values at 180</w:t>
      </w:r>
      <w:r w:rsidR="00F159F7">
        <w:t> </w:t>
      </w:r>
      <w:r w:rsidRPr="00D31ABC">
        <w:t>days (n</w:t>
      </w:r>
      <w:r w:rsidR="00F159F7">
        <w:t> </w:t>
      </w:r>
      <w:r w:rsidRPr="00D31ABC">
        <w:t>=</w:t>
      </w:r>
      <w:r w:rsidR="00F159F7">
        <w:t> </w:t>
      </w:r>
      <w:r w:rsidRPr="00D31ABC">
        <w:t>42), the mean change from B7841007 baseline at 180</w:t>
      </w:r>
      <w:r w:rsidR="00F159F7">
        <w:t> </w:t>
      </w:r>
      <w:r w:rsidRPr="00D31ABC">
        <w:t xml:space="preserve">days in the physical health domain and total scores was </w:t>
      </w:r>
      <w:r w:rsidR="00F159F7">
        <w:t>−</w:t>
      </w:r>
      <w:r w:rsidRPr="00D31ABC">
        <w:t xml:space="preserve">0.7 and </w:t>
      </w:r>
      <w:r w:rsidR="00F159F7">
        <w:t>−</w:t>
      </w:r>
      <w:r w:rsidRPr="00D31ABC">
        <w:t>0.2, respectively.</w:t>
      </w:r>
    </w:p>
    <w:p w14:paraId="3A958B7C" w14:textId="79F3A50A" w:rsidR="00D31ABC" w:rsidRPr="00D31ABC" w:rsidRDefault="00D31ABC" w:rsidP="00D31ABC">
      <w:r w:rsidRPr="00D31ABC">
        <w:t xml:space="preserve">There was no change from B7841007 baseline in the EQ-5D-5L index, and the mean change in the EQ-VAS score was </w:t>
      </w:r>
      <w:r w:rsidR="00F159F7">
        <w:t>−</w:t>
      </w:r>
      <w:r w:rsidRPr="00D31ABC">
        <w:t>1.8.</w:t>
      </w:r>
    </w:p>
    <w:p w14:paraId="1614EF2A" w14:textId="520C97A0" w:rsidR="00D31ABC" w:rsidRPr="00D31ABC" w:rsidRDefault="00D31ABC" w:rsidP="00D31ABC">
      <w:r w:rsidRPr="00D31ABC">
        <w:t xml:space="preserve">A sub-study of the feasibility of the PFP device enrolled 23 subjects. The study found a rapid </w:t>
      </w:r>
      <w:r w:rsidRPr="00014C8C">
        <w:t>learning effect for the use of the device. The delivery success rate (DSSR) was 100% at all visits</w:t>
      </w:r>
      <w:r w:rsidRPr="00D31ABC">
        <w:t xml:space="preserve"> except for Week 2, which had a DSSR of 95.0%, with an overall DSSR across all visits of 99.2%.</w:t>
      </w:r>
    </w:p>
    <w:bookmarkEnd w:id="83"/>
    <w:bookmarkEnd w:id="84"/>
    <w:p w14:paraId="3C27CCF0" w14:textId="7C52CED3" w:rsidR="00D31ABC" w:rsidRPr="00D31ABC" w:rsidRDefault="00F159F7" w:rsidP="00D31ABC">
      <w:pPr>
        <w:pStyle w:val="Heading5"/>
      </w:pPr>
      <w:r>
        <w:t>C</w:t>
      </w:r>
      <w:r w:rsidR="00D31ABC" w:rsidRPr="00D31ABC">
        <w:t>ommentary on other efficacy studies</w:t>
      </w:r>
    </w:p>
    <w:p w14:paraId="5DEDF33E" w14:textId="0C2CF915" w:rsidR="00D31ABC" w:rsidRPr="00D31ABC" w:rsidRDefault="00D31ABC" w:rsidP="00D31ABC">
      <w:r w:rsidRPr="00D31ABC">
        <w:t>The other efficacy studies were both follow-on studies. The studies demonstrated long-term maintenance of efficacy. There was no apparent loss of effect over the time course of the studies.</w:t>
      </w:r>
    </w:p>
    <w:p w14:paraId="502B2CE6" w14:textId="3A15F28B" w:rsidR="00D31ABC" w:rsidRDefault="00F159F7" w:rsidP="00F159F7">
      <w:pPr>
        <w:pStyle w:val="Heading5"/>
      </w:pPr>
      <w:r>
        <w:t>Assessment of efficacy benefits</w:t>
      </w:r>
    </w:p>
    <w:p w14:paraId="2B9D73B8" w14:textId="439BE94A" w:rsidR="00F159F7" w:rsidRDefault="00F159F7" w:rsidP="00F159F7">
      <w:r w:rsidRPr="00D31ABC">
        <w:t xml:space="preserve">The </w:t>
      </w:r>
      <w:r>
        <w:t>benefits</w:t>
      </w:r>
      <w:r w:rsidR="00F61CD5">
        <w:t xml:space="preserve"> with</w:t>
      </w:r>
      <w:r>
        <w:t xml:space="preserve"> strengths and uncertainties for the proposed indication are </w:t>
      </w:r>
      <w:r w:rsidR="006701C7">
        <w:t>summarised</w:t>
      </w:r>
      <w:r>
        <w:t xml:space="preserve"> below.</w:t>
      </w:r>
    </w:p>
    <w:p w14:paraId="71D9012B" w14:textId="5D1B76DE" w:rsidR="00D31ABC" w:rsidRDefault="00F159F7" w:rsidP="006701C7">
      <w:pPr>
        <w:pStyle w:val="TableTitle"/>
      </w:pPr>
      <w:r>
        <w:t xml:space="preserve">Table </w:t>
      </w:r>
      <w:r>
        <w:fldChar w:fldCharType="begin"/>
      </w:r>
      <w:r>
        <w:instrText xml:space="preserve"> SEQ Table \* ARABIC </w:instrText>
      </w:r>
      <w:r>
        <w:fldChar w:fldCharType="separate"/>
      </w:r>
      <w:r w:rsidR="007D6551">
        <w:rPr>
          <w:noProof/>
        </w:rPr>
        <w:t>4</w:t>
      </w:r>
      <w:r>
        <w:fldChar w:fldCharType="end"/>
      </w:r>
      <w:r>
        <w:t>: Assessment of benefits</w:t>
      </w:r>
    </w:p>
    <w:tbl>
      <w:tblPr>
        <w:tblStyle w:val="TableTGAblue2023"/>
        <w:tblW w:w="9015" w:type="dxa"/>
        <w:tblLayout w:type="fixed"/>
        <w:tblLook w:val="04A0" w:firstRow="1" w:lastRow="0" w:firstColumn="1" w:lastColumn="0" w:noHBand="0" w:noVBand="1"/>
      </w:tblPr>
      <w:tblGrid>
        <w:gridCol w:w="4531"/>
        <w:gridCol w:w="4484"/>
      </w:tblGrid>
      <w:tr w:rsidR="006701C7" w:rsidRPr="007E2138" w14:paraId="2F081198" w14:textId="77777777" w:rsidTr="006701C7">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cPr>
          <w:p w14:paraId="4954F538" w14:textId="7A777987" w:rsidR="006701C7" w:rsidRPr="007E2138" w:rsidRDefault="006701C7" w:rsidP="006701C7">
            <w:pPr>
              <w:pStyle w:val="Tabletext0"/>
              <w:rPr>
                <w:b w:val="0"/>
                <w:sz w:val="22"/>
              </w:rPr>
            </w:pPr>
            <w:r w:rsidRPr="007E2138">
              <w:rPr>
                <w:sz w:val="22"/>
              </w:rPr>
              <w:t>Benefits</w:t>
            </w:r>
          </w:p>
        </w:tc>
        <w:tc>
          <w:tcPr>
            <w:tcW w:w="4484" w:type="dxa"/>
            <w:shd w:val="clear" w:color="auto" w:fill="DEEAF6"/>
          </w:tcPr>
          <w:p w14:paraId="5B5034D7" w14:textId="11679F12" w:rsidR="006701C7" w:rsidRPr="007E2138" w:rsidRDefault="006701C7" w:rsidP="006701C7">
            <w:pPr>
              <w:pStyle w:val="Tabletext0"/>
              <w:cnfStyle w:val="100000000000" w:firstRow="1" w:lastRow="0" w:firstColumn="0" w:lastColumn="0" w:oddVBand="0" w:evenVBand="0" w:oddHBand="0" w:evenHBand="0" w:firstRowFirstColumn="0" w:firstRowLastColumn="0" w:lastRowFirstColumn="0" w:lastRowLastColumn="0"/>
              <w:rPr>
                <w:b w:val="0"/>
                <w:sz w:val="22"/>
              </w:rPr>
            </w:pPr>
            <w:r w:rsidRPr="007E2138">
              <w:rPr>
                <w:sz w:val="22"/>
              </w:rPr>
              <w:t>Strengths and Uncertainties</w:t>
            </w:r>
          </w:p>
        </w:tc>
      </w:tr>
      <w:tr w:rsidR="006701C7" w:rsidRPr="007E2138" w14:paraId="171548E3" w14:textId="77777777" w:rsidTr="006701C7">
        <w:trPr>
          <w:trHeight w:val="137"/>
        </w:trPr>
        <w:tc>
          <w:tcPr>
            <w:cnfStyle w:val="001000000000" w:firstRow="0" w:lastRow="0" w:firstColumn="1" w:lastColumn="0" w:oddVBand="0" w:evenVBand="0" w:oddHBand="0" w:evenHBand="0" w:firstRowFirstColumn="0" w:firstRowLastColumn="0" w:lastRowFirstColumn="0" w:lastRowLastColumn="0"/>
            <w:tcW w:w="4531" w:type="dxa"/>
          </w:tcPr>
          <w:p w14:paraId="1DEA8B17" w14:textId="1B34599C" w:rsidR="006701C7" w:rsidRPr="007E2138" w:rsidRDefault="006701C7" w:rsidP="006701C7">
            <w:pPr>
              <w:pStyle w:val="Tabletext0"/>
              <w:rPr>
                <w:sz w:val="22"/>
              </w:rPr>
            </w:pPr>
            <w:r w:rsidRPr="007E2138">
              <w:rPr>
                <w:sz w:val="22"/>
              </w:rPr>
              <w:t xml:space="preserve">In the pivotal study, for the non-inhibitor, on-demand group, the mean (95% CI) </w:t>
            </w:r>
            <w:proofErr w:type="gramStart"/>
            <w:r w:rsidRPr="007E2138">
              <w:rPr>
                <w:sz w:val="22"/>
              </w:rPr>
              <w:t>model based</w:t>
            </w:r>
            <w:proofErr w:type="gramEnd"/>
            <w:r w:rsidRPr="007E2138">
              <w:rPr>
                <w:sz w:val="22"/>
              </w:rPr>
              <w:t xml:space="preserve"> estimate for ABR during the observation period was 38.00 (31.03 to 46.54) /year and during the active treatment phase was 3.18 (2.09 to 4.85) /year, ratio estimate (95% CI) 0.084 (0.059 to 0.119) </w:t>
            </w:r>
            <w:proofErr w:type="gramStart"/>
            <w:r w:rsidRPr="007E2138">
              <w:rPr>
                <w:sz w:val="22"/>
              </w:rPr>
              <w:t>p  &lt;</w:t>
            </w:r>
            <w:proofErr w:type="gramEnd"/>
            <w:r w:rsidRPr="007E2138">
              <w:rPr>
                <w:sz w:val="22"/>
              </w:rPr>
              <w:t> 0.001.</w:t>
            </w:r>
          </w:p>
          <w:p w14:paraId="49E6ADF9" w14:textId="3D75ABA3" w:rsidR="006701C7" w:rsidRPr="007E2138" w:rsidRDefault="006701C7" w:rsidP="006701C7">
            <w:pPr>
              <w:pStyle w:val="Tabletext0"/>
              <w:rPr>
                <w:sz w:val="22"/>
              </w:rPr>
            </w:pPr>
            <w:r w:rsidRPr="007E2138">
              <w:rPr>
                <w:sz w:val="22"/>
              </w:rPr>
              <w:t>In this group, efficacy was demonstrated separately for haemophilia A, ratio estimate (95% CI) 0.0894 (0.062 to 0.130) and haemophilia B, ratio estimate (95% CI) 0.036 (0.012 to 0.111).</w:t>
            </w:r>
          </w:p>
          <w:p w14:paraId="2584BFA0" w14:textId="2A83AE64" w:rsidR="006701C7" w:rsidRPr="007E2138" w:rsidRDefault="006701C7" w:rsidP="006701C7">
            <w:pPr>
              <w:pStyle w:val="Tabletext0"/>
              <w:rPr>
                <w:sz w:val="22"/>
              </w:rPr>
            </w:pPr>
            <w:r w:rsidRPr="007E2138">
              <w:rPr>
                <w:sz w:val="22"/>
              </w:rPr>
              <w:t>Non-inferiority was demonstrated in the non-inhibitor, prophylaxis group, the mean (95% CI) model based estimate for ABR during the observation period was 7.85 (5.09 to 10.61) /year and during the active treatment phase was 5.08 (3.40 to 6.77) /year; rate difference (95% CI) −2.77 (−5.37 to −0.16); non-inferiority criterion was the upper bound of 95% CI less than 2.5.</w:t>
            </w:r>
          </w:p>
          <w:p w14:paraId="383ACE85" w14:textId="74C57E32" w:rsidR="006701C7" w:rsidRPr="007E2138" w:rsidRDefault="006701C7" w:rsidP="006701C7">
            <w:pPr>
              <w:pStyle w:val="Tabletext0"/>
              <w:rPr>
                <w:sz w:val="22"/>
              </w:rPr>
            </w:pPr>
            <w:r w:rsidRPr="007E2138">
              <w:rPr>
                <w:sz w:val="22"/>
              </w:rPr>
              <w:t>Bioequivalence has been demonstrated for the PFS and PFP devices.</w:t>
            </w:r>
          </w:p>
        </w:tc>
        <w:tc>
          <w:tcPr>
            <w:tcW w:w="4484" w:type="dxa"/>
          </w:tcPr>
          <w:p w14:paraId="5D90D691" w14:textId="543C6D4D" w:rsidR="006701C7" w:rsidRPr="007E2138" w:rsidRDefault="006701C7" w:rsidP="006701C7">
            <w:pPr>
              <w:pStyle w:val="Tabletext0"/>
              <w:cnfStyle w:val="000000000000" w:firstRow="0" w:lastRow="0" w:firstColumn="0" w:lastColumn="0" w:oddVBand="0" w:evenVBand="0" w:oddHBand="0" w:evenHBand="0" w:firstRowFirstColumn="0" w:firstRowLastColumn="0" w:lastRowFirstColumn="0" w:lastRowLastColumn="0"/>
              <w:rPr>
                <w:sz w:val="22"/>
              </w:rPr>
            </w:pPr>
            <w:r w:rsidRPr="007E2138">
              <w:rPr>
                <w:sz w:val="22"/>
              </w:rPr>
              <w:t>The efficacy data are based on a single pivotal study. The study report was described as interim, but the sponsor indicates the analyses presented in the dossier are final. The baseline ABR in the prior prophylaxis population was unusually high and this might bias the estimate of treatment effect because of the phenomenon of deviation towards the mean.</w:t>
            </w:r>
          </w:p>
          <w:p w14:paraId="4311A5E0" w14:textId="188451EB" w:rsidR="006701C7" w:rsidRPr="007E2138" w:rsidRDefault="006701C7" w:rsidP="006701C7">
            <w:pPr>
              <w:pStyle w:val="Tabletext0"/>
              <w:cnfStyle w:val="000000000000" w:firstRow="0" w:lastRow="0" w:firstColumn="0" w:lastColumn="0" w:oddVBand="0" w:evenVBand="0" w:oddHBand="0" w:evenHBand="0" w:firstRowFirstColumn="0" w:firstRowLastColumn="0" w:lastRowFirstColumn="0" w:lastRowLastColumn="0"/>
              <w:rPr>
                <w:sz w:val="22"/>
              </w:rPr>
            </w:pPr>
            <w:r w:rsidRPr="007E2138">
              <w:rPr>
                <w:sz w:val="22"/>
              </w:rPr>
              <w:t xml:space="preserve">The target population is primarily the prior prophylaxis group and for this population the effect size was not </w:t>
            </w:r>
            <w:proofErr w:type="gramStart"/>
            <w:r w:rsidRPr="007E2138">
              <w:rPr>
                <w:sz w:val="22"/>
              </w:rPr>
              <w:t>large</w:t>
            </w:r>
            <w:proofErr w:type="gramEnd"/>
            <w:r w:rsidRPr="007E2138">
              <w:rPr>
                <w:sz w:val="22"/>
              </w:rPr>
              <w:t xml:space="preserve"> and the statistical significance was marginal.</w:t>
            </w:r>
          </w:p>
        </w:tc>
      </w:tr>
    </w:tbl>
    <w:p w14:paraId="6F0A5305" w14:textId="77777777" w:rsidR="006701C7" w:rsidRPr="006701C7" w:rsidRDefault="006701C7" w:rsidP="006701C7">
      <w:pPr>
        <w:pStyle w:val="Heading4"/>
      </w:pPr>
      <w:bookmarkStart w:id="85" w:name="_Toc212036850"/>
      <w:r w:rsidRPr="006701C7">
        <w:lastRenderedPageBreak/>
        <w:t>Safety</w:t>
      </w:r>
      <w:bookmarkEnd w:id="85"/>
    </w:p>
    <w:p w14:paraId="7A1FEBD0" w14:textId="77777777" w:rsidR="006701C7" w:rsidRPr="006701C7" w:rsidRDefault="006701C7" w:rsidP="006701C7">
      <w:r w:rsidRPr="006701C7">
        <w:t>The same studies mentioned above for efficacy looked at safety outcome measures being:</w:t>
      </w:r>
    </w:p>
    <w:p w14:paraId="35A6744A" w14:textId="75732513" w:rsidR="006701C7" w:rsidRPr="00014C8C" w:rsidRDefault="006701C7" w:rsidP="006701C7">
      <w:pPr>
        <w:pStyle w:val="ListBullet"/>
      </w:pPr>
      <w:r w:rsidRPr="006701C7">
        <w:t>Study B7841005</w:t>
      </w:r>
      <w:r>
        <w:t>:</w:t>
      </w:r>
      <w:r w:rsidRPr="006701C7">
        <w:t xml:space="preserve"> the safety outcome measures were AEs, ECGs, vital signs, clinical </w:t>
      </w:r>
      <w:r w:rsidRPr="00014C8C">
        <w:t xml:space="preserve">laboratory tests, ADA and </w:t>
      </w:r>
      <w:r w:rsidR="00014C8C" w:rsidRPr="00014C8C">
        <w:t>neutralising antibody (</w:t>
      </w:r>
      <w:r w:rsidRPr="00014C8C">
        <w:t>N</w:t>
      </w:r>
      <w:r w:rsidR="00014C8C">
        <w:t>A</w:t>
      </w:r>
      <w:r w:rsidRPr="00014C8C">
        <w:t>b</w:t>
      </w:r>
      <w:r w:rsidR="00014C8C" w:rsidRPr="00014C8C">
        <w:t>)</w:t>
      </w:r>
    </w:p>
    <w:p w14:paraId="4DC7F9BF" w14:textId="22B34731" w:rsidR="006701C7" w:rsidRPr="006701C7" w:rsidRDefault="006701C7" w:rsidP="006701C7">
      <w:pPr>
        <w:pStyle w:val="ListBullet"/>
      </w:pPr>
      <w:r w:rsidRPr="006701C7">
        <w:t>Study B7841003 and Study B7841007</w:t>
      </w:r>
      <w:r>
        <w:t>: t</w:t>
      </w:r>
      <w:r w:rsidRPr="006701C7">
        <w:t>he safety outcome measures were AEs, ECGs, vital signs, clinical laboratory tests, ADA and NAb.</w:t>
      </w:r>
    </w:p>
    <w:p w14:paraId="0DBEE9F5" w14:textId="3AEB1347" w:rsidR="006701C7" w:rsidRPr="006701C7" w:rsidRDefault="006701C7" w:rsidP="006701C7">
      <w:r>
        <w:t>There were also 4</w:t>
      </w:r>
      <w:r w:rsidRPr="006701C7">
        <w:t xml:space="preserve"> clinical pharmacology studies:</w:t>
      </w:r>
      <w:r>
        <w:t xml:space="preserve"> </w:t>
      </w:r>
      <w:r w:rsidRPr="006701C7">
        <w:t>Study B7841009</w:t>
      </w:r>
      <w:r>
        <w:t xml:space="preserve">, </w:t>
      </w:r>
      <w:r w:rsidRPr="006701C7">
        <w:t>Study B7841001</w:t>
      </w:r>
      <w:r>
        <w:t xml:space="preserve">, </w:t>
      </w:r>
      <w:r w:rsidRPr="006701C7">
        <w:t>Study B7841010</w:t>
      </w:r>
      <w:r>
        <w:t xml:space="preserve">, and </w:t>
      </w:r>
      <w:r w:rsidRPr="006701C7">
        <w:t>Study B7841002</w:t>
      </w:r>
      <w:r>
        <w:t>.</w:t>
      </w:r>
    </w:p>
    <w:p w14:paraId="702226B4" w14:textId="77777777" w:rsidR="006701C7" w:rsidRPr="006701C7" w:rsidRDefault="006701C7" w:rsidP="006701C7">
      <w:r w:rsidRPr="006701C7">
        <w:t>The safety outcome measures were AEs, ECGs, vital signs, clinical laboratory tests (including clotting studies), ADA and NAb.</w:t>
      </w:r>
    </w:p>
    <w:p w14:paraId="6933CB43" w14:textId="04981DF3" w:rsidR="006701C7" w:rsidRPr="006701C7" w:rsidRDefault="006701C7" w:rsidP="006701C7">
      <w:r w:rsidRPr="006701C7">
        <w:t xml:space="preserve">Overall, there were 144 subjects with haemophilia, 52 healthy volunteers and </w:t>
      </w:r>
      <w:r w:rsidR="00D07F8C">
        <w:t>6</w:t>
      </w:r>
      <w:r w:rsidRPr="006701C7">
        <w:t xml:space="preserve"> Chinese males with haemophilia included in the safety dataset. The median (range) duration of exposure for haemophilia patients was 464 (28 to 847) days. There were 73 subjects treated for </w:t>
      </w:r>
      <w:r w:rsidR="00D07F8C">
        <w:t xml:space="preserve">at least </w:t>
      </w:r>
      <w:r w:rsidRPr="006701C7">
        <w:t>12</w:t>
      </w:r>
      <w:r w:rsidR="00D07F8C">
        <w:t xml:space="preserve"> months up </w:t>
      </w:r>
      <w:r w:rsidRPr="006701C7">
        <w:t xml:space="preserve">to 18 months, 38 subjects treated for </w:t>
      </w:r>
      <w:r w:rsidR="00D07F8C">
        <w:t xml:space="preserve">at least </w:t>
      </w:r>
      <w:r w:rsidRPr="006701C7">
        <w:t>18</w:t>
      </w:r>
      <w:r w:rsidR="00D07F8C">
        <w:t xml:space="preserve"> months up </w:t>
      </w:r>
      <w:r w:rsidRPr="006701C7">
        <w:t>to 24 months, and 14</w:t>
      </w:r>
      <w:r w:rsidR="00D07F8C">
        <w:t xml:space="preserve"> subjects</w:t>
      </w:r>
      <w:r w:rsidRPr="006701C7">
        <w:t xml:space="preserve"> treated for </w:t>
      </w:r>
      <w:r w:rsidR="00D07F8C">
        <w:t xml:space="preserve">at least </w:t>
      </w:r>
      <w:r w:rsidRPr="006701C7">
        <w:t>24</w:t>
      </w:r>
      <w:r w:rsidR="00D07F8C">
        <w:t> </w:t>
      </w:r>
      <w:r w:rsidRPr="006701C7">
        <w:t>months.</w:t>
      </w:r>
    </w:p>
    <w:p w14:paraId="0309BD8F" w14:textId="30FF5079" w:rsidR="006701C7" w:rsidRPr="006701C7" w:rsidRDefault="006701C7" w:rsidP="006701C7">
      <w:r w:rsidRPr="006701C7">
        <w:t>In Study B7841005 in the non-inhibitor on-demand cohort, there were 22 TEAEs reported in 18</w:t>
      </w:r>
      <w:r w:rsidR="001A5B70">
        <w:t> </w:t>
      </w:r>
      <w:r w:rsidRPr="006701C7">
        <w:t xml:space="preserve">(48.6%) subjects during the observational phase and 35 in 20 (60.6%) </w:t>
      </w:r>
      <w:r w:rsidR="001A5B70">
        <w:t xml:space="preserve">subjects </w:t>
      </w:r>
      <w:r w:rsidRPr="006701C7">
        <w:t xml:space="preserve">during the active treatment phase. In the non-inhibitor prophylaxis cohort, there were 44 TEAEs reported in 25 (27.5%) subjects during the observational phase and 262 in 66 (79.5%) </w:t>
      </w:r>
      <w:r w:rsidR="001A5B70">
        <w:t xml:space="preserve">subjects </w:t>
      </w:r>
      <w:r w:rsidRPr="006701C7">
        <w:t>during the active treatment phase. Overall, the most frequently reported TEAEs during the active treatment phase was COVID-19 in 20 (17.2%) subjects, and the timing of COVID-19 might explain the difference between the study phases in TEAEs.</w:t>
      </w:r>
    </w:p>
    <w:p w14:paraId="27B9BFDD" w14:textId="2EA56DBB" w:rsidR="006701C7" w:rsidRPr="006701C7" w:rsidRDefault="006701C7" w:rsidP="006701C7">
      <w:r w:rsidRPr="006701C7">
        <w:t xml:space="preserve">In Study B7841003 there were 15 TEAEs reported in </w:t>
      </w:r>
      <w:r w:rsidR="001A5B70">
        <w:t>7</w:t>
      </w:r>
      <w:r w:rsidRPr="006701C7">
        <w:t xml:space="preserve"> (70%) subjects in the 300</w:t>
      </w:r>
      <w:r w:rsidR="001A5B70">
        <w:t> </w:t>
      </w:r>
      <w:r w:rsidRPr="006701C7">
        <w:t xml:space="preserve">mg group and 24 in </w:t>
      </w:r>
      <w:r w:rsidR="001A5B70">
        <w:t>7</w:t>
      </w:r>
      <w:r w:rsidRPr="006701C7">
        <w:t xml:space="preserve"> (70%) </w:t>
      </w:r>
      <w:r w:rsidR="001A5B70">
        <w:t xml:space="preserve">subjects </w:t>
      </w:r>
      <w:r w:rsidRPr="006701C7">
        <w:t>in the 150</w:t>
      </w:r>
      <w:r w:rsidR="001A5B70">
        <w:t> </w:t>
      </w:r>
      <w:r w:rsidRPr="006701C7">
        <w:t xml:space="preserve">mg group. There was no apparent pattern to the TEAEs. Injection site reactions were reported in </w:t>
      </w:r>
      <w:r w:rsidR="001A5B70">
        <w:t>2</w:t>
      </w:r>
      <w:r w:rsidRPr="006701C7">
        <w:t xml:space="preserve"> (20%) subjects in the 300</w:t>
      </w:r>
      <w:r w:rsidR="001A5B70">
        <w:t> </w:t>
      </w:r>
      <w:r w:rsidRPr="006701C7">
        <w:t>mg group and one (10%) in the 150</w:t>
      </w:r>
      <w:r w:rsidR="001A5B70">
        <w:t> </w:t>
      </w:r>
      <w:r w:rsidRPr="006701C7">
        <w:t>mg</w:t>
      </w:r>
      <w:r w:rsidR="001A5B70">
        <w:t xml:space="preserve"> group</w:t>
      </w:r>
      <w:r w:rsidRPr="006701C7">
        <w:t>. Erythema was reported in one subject, induration in two and ecchymosis in one.</w:t>
      </w:r>
    </w:p>
    <w:p w14:paraId="1C023B82" w14:textId="2FDCAF86" w:rsidR="006701C7" w:rsidRPr="006701C7" w:rsidRDefault="006701C7" w:rsidP="006701C7">
      <w:r w:rsidRPr="006701C7">
        <w:t xml:space="preserve">In Study B7841007 there were 45 TEAEs reported in 27 (31.0%) subjects, including </w:t>
      </w:r>
      <w:r w:rsidR="001A5B70">
        <w:t>5</w:t>
      </w:r>
      <w:r w:rsidRPr="006701C7">
        <w:t xml:space="preserve"> TEAEs reported in </w:t>
      </w:r>
      <w:r w:rsidR="001A5B70">
        <w:t>5</w:t>
      </w:r>
      <w:r w:rsidRPr="006701C7">
        <w:t xml:space="preserve"> (17.2%) subjects in the on-demand group and 40 in 22 (37.9%) </w:t>
      </w:r>
      <w:r w:rsidR="001A5B70">
        <w:t xml:space="preserve">subjects </w:t>
      </w:r>
      <w:r w:rsidRPr="006701C7">
        <w:t xml:space="preserve">in the prophylaxis group. There were 14 TEAEs reported in </w:t>
      </w:r>
      <w:r w:rsidR="001A5B70">
        <w:t>4</w:t>
      </w:r>
      <w:r w:rsidRPr="006701C7">
        <w:t xml:space="preserve"> (28.6%) subjects aged </w:t>
      </w:r>
      <w:r w:rsidR="001A5B70">
        <w:t>at least 1</w:t>
      </w:r>
      <w:r w:rsidRPr="006701C7">
        <w:t>2</w:t>
      </w:r>
      <w:r w:rsidR="001A5B70">
        <w:t xml:space="preserve"> years and less than </w:t>
      </w:r>
      <w:r w:rsidRPr="006701C7">
        <w:t>18</w:t>
      </w:r>
      <w:r w:rsidR="001A5B70">
        <w:t> </w:t>
      </w:r>
      <w:r w:rsidRPr="006701C7">
        <w:t>years. The TEAEs were predominantly intercurrent infections and injuries</w:t>
      </w:r>
      <w:r w:rsidR="001A5B70">
        <w:t>.</w:t>
      </w:r>
    </w:p>
    <w:p w14:paraId="1CB1B9E1" w14:textId="7CD888E6" w:rsidR="006701C7" w:rsidRPr="006701C7" w:rsidRDefault="006701C7" w:rsidP="006701C7">
      <w:r w:rsidRPr="006701C7">
        <w:t>In Study B7841009 there were 60 TEAEs reported in 17 (89.5%) of the 19 participants who received marstacimab by PFP. There were 52 TEAEs reported in 15 (83.3%) of the 18</w:t>
      </w:r>
      <w:r w:rsidR="001A5B70">
        <w:t> </w:t>
      </w:r>
      <w:r w:rsidRPr="006701C7">
        <w:t xml:space="preserve">participants who received marstacimab by PFS. The </w:t>
      </w:r>
      <w:proofErr w:type="gramStart"/>
      <w:r w:rsidRPr="006701C7">
        <w:t>most commonly reported</w:t>
      </w:r>
      <w:proofErr w:type="gramEnd"/>
      <w:r w:rsidRPr="006701C7">
        <w:t xml:space="preserve"> TEAEs were injection site erythema (6 subjects in the PFP group and 3 in the PFS), induration (</w:t>
      </w:r>
      <w:r w:rsidR="001A5B70">
        <w:t>5</w:t>
      </w:r>
      <w:r w:rsidR="001A5B70" w:rsidRPr="006701C7">
        <w:t xml:space="preserve"> subjects in the PFP group and 3 in the PFS</w:t>
      </w:r>
      <w:r w:rsidRPr="006701C7">
        <w:t>), pain (</w:t>
      </w:r>
      <w:r w:rsidR="001A5B70">
        <w:t>4</w:t>
      </w:r>
      <w:r w:rsidR="001A5B70" w:rsidRPr="006701C7">
        <w:t xml:space="preserve"> subjects in the PFP group and </w:t>
      </w:r>
      <w:r w:rsidR="001A5B70">
        <w:t>5</w:t>
      </w:r>
      <w:r w:rsidR="001A5B70" w:rsidRPr="006701C7">
        <w:t xml:space="preserve"> in the PFS)</w:t>
      </w:r>
      <w:r w:rsidRPr="006701C7">
        <w:t xml:space="preserve"> and haemorrhage (</w:t>
      </w:r>
      <w:r w:rsidR="001A5B70">
        <w:t>4</w:t>
      </w:r>
      <w:r w:rsidR="001A5B70" w:rsidRPr="006701C7">
        <w:t xml:space="preserve"> subjects in the PFP group and </w:t>
      </w:r>
      <w:r w:rsidR="001A5B70">
        <w:t>4</w:t>
      </w:r>
      <w:r w:rsidR="001A5B70" w:rsidRPr="006701C7">
        <w:t xml:space="preserve"> in the PFS</w:t>
      </w:r>
      <w:r w:rsidRPr="006701C7">
        <w:t>).</w:t>
      </w:r>
    </w:p>
    <w:p w14:paraId="6934A36F" w14:textId="6D036B7A" w:rsidR="006701C7" w:rsidRPr="006701C7" w:rsidRDefault="006701C7" w:rsidP="006701C7">
      <w:r w:rsidRPr="006701C7">
        <w:t xml:space="preserve">In Study B7841001 there were 35 TEAEs reported in 20 (62.5%) subjects treated with marstacimab and 20 in </w:t>
      </w:r>
      <w:r w:rsidR="0015444B">
        <w:t>4</w:t>
      </w:r>
      <w:r w:rsidRPr="006701C7">
        <w:t xml:space="preserve"> (44.4%) </w:t>
      </w:r>
      <w:r w:rsidR="0015444B">
        <w:t xml:space="preserve">subjects </w:t>
      </w:r>
      <w:r w:rsidRPr="006701C7">
        <w:t xml:space="preserve">treated with placebo. There was one moderate </w:t>
      </w:r>
      <w:r w:rsidRPr="0015444B">
        <w:t>severity TEAE of swollen right foot reported in one subject in the 440</w:t>
      </w:r>
      <w:r w:rsidR="0015444B" w:rsidRPr="0015444B">
        <w:t> </w:t>
      </w:r>
      <w:r w:rsidRPr="0015444B">
        <w:t>mg IV group (doppler scan</w:t>
      </w:r>
      <w:r w:rsidRPr="006701C7">
        <w:t xml:space="preserve"> negative and not considered to be treatment related).</w:t>
      </w:r>
    </w:p>
    <w:p w14:paraId="236ECA18" w14:textId="07A65383" w:rsidR="006701C7" w:rsidRPr="006701C7" w:rsidRDefault="006701C7" w:rsidP="006701C7">
      <w:r w:rsidRPr="006701C7">
        <w:t>In Study B7841010 one TEAE was recorded in one subject (upper respiratory tract infection).</w:t>
      </w:r>
    </w:p>
    <w:p w14:paraId="6C4BBC5B" w14:textId="27A298BE" w:rsidR="006701C7" w:rsidRPr="006701C7" w:rsidRDefault="006701C7" w:rsidP="006701C7">
      <w:r w:rsidRPr="006701C7">
        <w:t xml:space="preserve">In Study B7841002 there were 56 TEAEs in 21 (80.8%) subjects: 16 TEAEs in </w:t>
      </w:r>
      <w:r w:rsidR="0015444B">
        <w:t>7</w:t>
      </w:r>
      <w:r w:rsidRPr="006701C7">
        <w:t xml:space="preserve"> (100%) subjects in the 300</w:t>
      </w:r>
      <w:r w:rsidR="0015444B">
        <w:t> </w:t>
      </w:r>
      <w:r w:rsidRPr="006701C7">
        <w:t xml:space="preserve">mg </w:t>
      </w:r>
      <w:r w:rsidR="0015444B">
        <w:t>once weekly</w:t>
      </w:r>
      <w:r w:rsidRPr="006701C7">
        <w:t xml:space="preserve"> group, 12 in </w:t>
      </w:r>
      <w:r w:rsidR="0015444B">
        <w:t>4</w:t>
      </w:r>
      <w:r w:rsidRPr="006701C7">
        <w:t xml:space="preserve"> (66.7%) </w:t>
      </w:r>
      <w:r w:rsidR="0015444B">
        <w:t xml:space="preserve">subjects </w:t>
      </w:r>
      <w:r w:rsidRPr="006701C7">
        <w:t>in the 300/150</w:t>
      </w:r>
      <w:r w:rsidR="0015444B">
        <w:t> </w:t>
      </w:r>
      <w:r w:rsidRPr="006701C7">
        <w:t xml:space="preserve">mg </w:t>
      </w:r>
      <w:r w:rsidR="0015444B">
        <w:t>once weekly</w:t>
      </w:r>
      <w:r w:rsidRPr="006701C7">
        <w:t xml:space="preserve"> group, 15 in </w:t>
      </w:r>
      <w:r w:rsidR="0015444B">
        <w:t>6</w:t>
      </w:r>
      <w:r w:rsidRPr="006701C7">
        <w:t xml:space="preserve"> (100%) </w:t>
      </w:r>
      <w:r w:rsidR="0015444B">
        <w:t xml:space="preserve">subjects </w:t>
      </w:r>
      <w:r w:rsidRPr="006701C7">
        <w:t>in the 450</w:t>
      </w:r>
      <w:r w:rsidR="0015444B">
        <w:t> </w:t>
      </w:r>
      <w:r w:rsidRPr="006701C7">
        <w:t xml:space="preserve">mg </w:t>
      </w:r>
      <w:r w:rsidR="0015444B">
        <w:t>once weekly</w:t>
      </w:r>
      <w:r w:rsidRPr="006701C7">
        <w:t xml:space="preserve"> group and 13 in </w:t>
      </w:r>
      <w:r w:rsidR="0015444B">
        <w:t>4</w:t>
      </w:r>
      <w:r w:rsidRPr="006701C7">
        <w:t xml:space="preserve"> (57.1%) </w:t>
      </w:r>
      <w:r w:rsidR="0015444B">
        <w:t xml:space="preserve">subjects </w:t>
      </w:r>
      <w:r w:rsidRPr="006701C7">
        <w:t xml:space="preserve">in </w:t>
      </w:r>
      <w:r w:rsidRPr="006701C7">
        <w:lastRenderedPageBreak/>
        <w:t>the 300</w:t>
      </w:r>
      <w:r w:rsidR="0015444B">
        <w:t> </w:t>
      </w:r>
      <w:r w:rsidRPr="006701C7">
        <w:t xml:space="preserve">mg </w:t>
      </w:r>
      <w:r w:rsidR="0015444B">
        <w:t xml:space="preserve">once weekly </w:t>
      </w:r>
      <w:r w:rsidRPr="006701C7">
        <w:t>inhibitor group. The most frequently reported TEAEs were injection site pain (3 [11.5%] subjects), injection site swelling (3 [11.5%]), and hypertension (3 [11.5%]).</w:t>
      </w:r>
    </w:p>
    <w:p w14:paraId="3085CD65" w14:textId="322697E0" w:rsidR="006701C7" w:rsidRPr="006701C7" w:rsidRDefault="006701C7" w:rsidP="006701C7">
      <w:r w:rsidRPr="000F3AD4">
        <w:t xml:space="preserve">In Study B7841005 there were no deaths. In the non-inhibitor on-demand cohort, </w:t>
      </w:r>
      <w:r w:rsidR="000F3AD4" w:rsidRPr="000F3AD4">
        <w:t>serious adverse effects (SAE)</w:t>
      </w:r>
      <w:r w:rsidRPr="000F3AD4">
        <w:t xml:space="preserve"> were reported in one (2.7%) subject during the observational phase and</w:t>
      </w:r>
      <w:r w:rsidRPr="006701C7">
        <w:t xml:space="preserve"> none during the active treatment phase. In the non-inhibitor prophylaxis cohort, SAEs were reported in </w:t>
      </w:r>
      <w:r w:rsidR="0015444B">
        <w:t>2</w:t>
      </w:r>
      <w:r w:rsidRPr="006701C7">
        <w:t xml:space="preserve"> (2.2%) subjects during the observational phase and </w:t>
      </w:r>
      <w:r w:rsidR="0015444B">
        <w:t>7</w:t>
      </w:r>
      <w:r w:rsidRPr="006701C7">
        <w:t xml:space="preserve"> (8.4%) </w:t>
      </w:r>
      <w:r w:rsidR="0015444B">
        <w:t xml:space="preserve">subjects </w:t>
      </w:r>
      <w:r w:rsidRPr="006701C7">
        <w:t>during the active treatment phase. There were no apparent patterns to the SAEs.</w:t>
      </w:r>
    </w:p>
    <w:p w14:paraId="1825698B" w14:textId="02372D88" w:rsidR="006701C7" w:rsidRPr="006701C7" w:rsidRDefault="006701C7" w:rsidP="006701C7">
      <w:r w:rsidRPr="006701C7">
        <w:t>In Study B7841003 there were no deaths. Two SAEs were reported in one (10%) subject in the 300</w:t>
      </w:r>
      <w:r w:rsidR="0015444B">
        <w:t> </w:t>
      </w:r>
      <w:r w:rsidRPr="006701C7">
        <w:t>mg group (cerebral haemorrhage, generalised tonic-clonic seizure) and none in the 150</w:t>
      </w:r>
      <w:r w:rsidR="0015444B">
        <w:t> </w:t>
      </w:r>
      <w:r w:rsidRPr="006701C7">
        <w:t xml:space="preserve">mg group. The cerebral haemorrhage occurred in the context of </w:t>
      </w:r>
      <w:r w:rsidR="0015444B">
        <w:t>‘</w:t>
      </w:r>
      <w:r w:rsidRPr="006701C7">
        <w:t>the participant was hit as an innocent bystander with an object against the left temple</w:t>
      </w:r>
      <w:r w:rsidR="0015444B">
        <w:t>’</w:t>
      </w:r>
      <w:r w:rsidRPr="006701C7">
        <w:t>.</w:t>
      </w:r>
    </w:p>
    <w:p w14:paraId="6E4EC8C5" w14:textId="50840645" w:rsidR="006701C7" w:rsidRPr="006701C7" w:rsidRDefault="006701C7" w:rsidP="006701C7">
      <w:r w:rsidRPr="006701C7">
        <w:t xml:space="preserve">In Study B7841007 there were no deaths. There were </w:t>
      </w:r>
      <w:r w:rsidR="0015444B">
        <w:t>2</w:t>
      </w:r>
      <w:r w:rsidRPr="006701C7">
        <w:t xml:space="preserve"> SAEs (contusion of the head, </w:t>
      </w:r>
      <w:proofErr w:type="spellStart"/>
      <w:r w:rsidRPr="006701C7">
        <w:t>h</w:t>
      </w:r>
      <w:r w:rsidR="000F3AD4">
        <w:t>a</w:t>
      </w:r>
      <w:r w:rsidRPr="006701C7">
        <w:t>emarthrosis</w:t>
      </w:r>
      <w:proofErr w:type="spellEnd"/>
      <w:r w:rsidRPr="006701C7">
        <w:t>).</w:t>
      </w:r>
    </w:p>
    <w:p w14:paraId="5F790E26" w14:textId="7BB9BB37" w:rsidR="006701C7" w:rsidRPr="006701C7" w:rsidRDefault="006701C7" w:rsidP="0015444B">
      <w:pPr>
        <w:pStyle w:val="Heading6"/>
      </w:pPr>
      <w:r w:rsidRPr="006701C7">
        <w:t>Studies with evaluable safety data: dose finding and pharmacology</w:t>
      </w:r>
    </w:p>
    <w:p w14:paraId="4220A6E4" w14:textId="3EE649EA" w:rsidR="006701C7" w:rsidRPr="006701C7" w:rsidRDefault="0015444B" w:rsidP="006701C7">
      <w:r>
        <w:t xml:space="preserve">In </w:t>
      </w:r>
      <w:r w:rsidR="006701C7" w:rsidRPr="006701C7">
        <w:t>Study B7841009 there were no deaths. There was one SAE in the PFP group: pulmonary embolus.</w:t>
      </w:r>
    </w:p>
    <w:p w14:paraId="79AF3F8F" w14:textId="2EBF6B09" w:rsidR="006701C7" w:rsidRPr="006701C7" w:rsidRDefault="006701C7" w:rsidP="006701C7">
      <w:r w:rsidRPr="006701C7">
        <w:t>In Study B7841001 and Study B7841010 there were no deaths or SAEs.</w:t>
      </w:r>
    </w:p>
    <w:p w14:paraId="53263CC5" w14:textId="434D4C6C" w:rsidR="006701C7" w:rsidRPr="006701C7" w:rsidRDefault="006701C7" w:rsidP="006701C7">
      <w:r w:rsidRPr="000F3AD4">
        <w:t>In Study B7841002 there were no deaths. S</w:t>
      </w:r>
      <w:r w:rsidR="000F3AD4" w:rsidRPr="000F3AD4">
        <w:t>erious adverse effects</w:t>
      </w:r>
      <w:r w:rsidRPr="000F3AD4">
        <w:t xml:space="preserve"> were reported in </w:t>
      </w:r>
      <w:r w:rsidR="0015444B" w:rsidRPr="000F3AD4">
        <w:t>4</w:t>
      </w:r>
      <w:r w:rsidRPr="000F3AD4">
        <w:t xml:space="preserve"> (15.4%)</w:t>
      </w:r>
      <w:r w:rsidRPr="006701C7">
        <w:t xml:space="preserve"> subjects: one (14.3%) subject in the 300</w:t>
      </w:r>
      <w:r w:rsidR="0015444B">
        <w:t> </w:t>
      </w:r>
      <w:r w:rsidRPr="006701C7">
        <w:t xml:space="preserve">mg </w:t>
      </w:r>
      <w:r w:rsidR="0015444B">
        <w:t>once weekly</w:t>
      </w:r>
      <w:r w:rsidRPr="006701C7">
        <w:t xml:space="preserve"> group (appendicitis), one (16.7%) in the 300/150</w:t>
      </w:r>
      <w:r w:rsidR="0015444B">
        <w:t> </w:t>
      </w:r>
      <w:r w:rsidRPr="006701C7">
        <w:t xml:space="preserve">mg </w:t>
      </w:r>
      <w:r w:rsidR="0015444B">
        <w:t>once weekly</w:t>
      </w:r>
      <w:r w:rsidRPr="006701C7">
        <w:t xml:space="preserve"> group (physical assault), one (16.7%) in the 450</w:t>
      </w:r>
      <w:r w:rsidR="0015444B">
        <w:t> </w:t>
      </w:r>
      <w:r w:rsidRPr="006701C7">
        <w:t xml:space="preserve">mg </w:t>
      </w:r>
      <w:r w:rsidR="0015444B">
        <w:t>once weekly</w:t>
      </w:r>
      <w:r w:rsidRPr="006701C7">
        <w:t xml:space="preserve"> group (cholelithiasis) and one (14.3%) in the 300</w:t>
      </w:r>
      <w:r w:rsidR="0015444B">
        <w:t> </w:t>
      </w:r>
      <w:r w:rsidRPr="006701C7">
        <w:t xml:space="preserve">mg </w:t>
      </w:r>
      <w:r w:rsidR="0015444B">
        <w:t>once weekly</w:t>
      </w:r>
      <w:r w:rsidRPr="006701C7">
        <w:t xml:space="preserve"> inhibitor group (haemorrhage).</w:t>
      </w:r>
    </w:p>
    <w:p w14:paraId="14399D96" w14:textId="791CE333" w:rsidR="0015444B" w:rsidRPr="0015444B" w:rsidRDefault="0015444B" w:rsidP="0015444B">
      <w:pPr>
        <w:pStyle w:val="Heading5"/>
      </w:pPr>
      <w:r w:rsidRPr="0015444B">
        <w:t>Evaluat</w:t>
      </w:r>
      <w:r>
        <w:t>ion</w:t>
      </w:r>
      <w:r w:rsidRPr="0015444B">
        <w:t>’s overall conclusions on clinical safety</w:t>
      </w:r>
    </w:p>
    <w:p w14:paraId="015F437C" w14:textId="039F4B11" w:rsidR="0015444B" w:rsidRPr="0077780A" w:rsidRDefault="0015444B" w:rsidP="0077780A">
      <w:pPr>
        <w:rPr>
          <w:szCs w:val="22"/>
        </w:rPr>
      </w:pPr>
      <w:r w:rsidRPr="0077780A">
        <w:rPr>
          <w:szCs w:val="22"/>
        </w:rPr>
        <w:t xml:space="preserve">There are limited safety data, partly because the studies are incomplete and partly because of the low numbers of subjects in the development program. The sponsor did not provide total numbers of subjects exposed to marstacimab, but from the submitted data it appears that overall, there were 144 subjects with haemophilia, 52 healthy volunteers and </w:t>
      </w:r>
      <w:r w:rsidR="00F61CD5" w:rsidRPr="0077780A">
        <w:rPr>
          <w:szCs w:val="22"/>
        </w:rPr>
        <w:t>6</w:t>
      </w:r>
      <w:r w:rsidRPr="0077780A">
        <w:rPr>
          <w:szCs w:val="22"/>
        </w:rPr>
        <w:t xml:space="preserve"> Chinese males with haemophilia included in the safety dataset. The duration of exposure is also difficult to assess, but in the Summary of Clinical Safety, there were 73 subjects treated for </w:t>
      </w:r>
      <w:r w:rsidR="00F61CD5" w:rsidRPr="0077780A">
        <w:rPr>
          <w:szCs w:val="22"/>
        </w:rPr>
        <w:t>≥ </w:t>
      </w:r>
      <w:r w:rsidRPr="0077780A">
        <w:rPr>
          <w:szCs w:val="22"/>
        </w:rPr>
        <w:t>12 to &lt;</w:t>
      </w:r>
      <w:r w:rsidR="00F61CD5" w:rsidRPr="0077780A">
        <w:rPr>
          <w:szCs w:val="22"/>
        </w:rPr>
        <w:t> </w:t>
      </w:r>
      <w:r w:rsidRPr="0077780A">
        <w:rPr>
          <w:szCs w:val="22"/>
        </w:rPr>
        <w:t xml:space="preserve">18 months, 38 subjects treated for </w:t>
      </w:r>
      <w:r w:rsidR="00F61CD5" w:rsidRPr="0077780A">
        <w:rPr>
          <w:szCs w:val="22"/>
        </w:rPr>
        <w:t>≥ </w:t>
      </w:r>
      <w:r w:rsidRPr="0077780A">
        <w:rPr>
          <w:szCs w:val="22"/>
        </w:rPr>
        <w:t>18 to &lt;24</w:t>
      </w:r>
      <w:r w:rsidR="00F61CD5" w:rsidRPr="0077780A">
        <w:rPr>
          <w:szCs w:val="22"/>
        </w:rPr>
        <w:t> </w:t>
      </w:r>
      <w:r w:rsidRPr="0077780A">
        <w:rPr>
          <w:szCs w:val="22"/>
        </w:rPr>
        <w:t xml:space="preserve">months, and 14 treated for </w:t>
      </w:r>
      <w:r w:rsidR="00F61CD5" w:rsidRPr="0077780A">
        <w:rPr>
          <w:szCs w:val="22"/>
        </w:rPr>
        <w:t>≥ </w:t>
      </w:r>
      <w:r w:rsidRPr="0077780A">
        <w:rPr>
          <w:szCs w:val="22"/>
        </w:rPr>
        <w:t>24</w:t>
      </w:r>
      <w:r w:rsidR="00F61CD5" w:rsidRPr="0077780A">
        <w:rPr>
          <w:szCs w:val="22"/>
        </w:rPr>
        <w:t> </w:t>
      </w:r>
      <w:r w:rsidRPr="0077780A">
        <w:rPr>
          <w:szCs w:val="22"/>
        </w:rPr>
        <w:t>months.</w:t>
      </w:r>
    </w:p>
    <w:p w14:paraId="3EACA42B" w14:textId="207E445E" w:rsidR="0015444B" w:rsidRPr="0077780A" w:rsidRDefault="0015444B" w:rsidP="0077780A">
      <w:pPr>
        <w:rPr>
          <w:szCs w:val="22"/>
        </w:rPr>
      </w:pPr>
      <w:r w:rsidRPr="0077780A">
        <w:rPr>
          <w:szCs w:val="22"/>
        </w:rPr>
        <w:t xml:space="preserve">However, the submitted data indicate a favourable safety profile in subjects with haemophilia. The rates of TEAEs in the pivotal study were increased in the active treatment phase compared with the observational phase, but this can be attributed to COVID-19 appearing </w:t>
      </w:r>
      <w:proofErr w:type="gramStart"/>
      <w:r w:rsidRPr="0077780A">
        <w:rPr>
          <w:szCs w:val="22"/>
        </w:rPr>
        <w:t>during the course of</w:t>
      </w:r>
      <w:proofErr w:type="gramEnd"/>
      <w:r w:rsidRPr="0077780A">
        <w:rPr>
          <w:szCs w:val="22"/>
        </w:rPr>
        <w:t xml:space="preserve"> the study. In the non-inhibitor on-demand cohort, there were 22 TEAEs reported in 18 (48.6%) subjects during the observational phase and 35 in 20 (60.6%) during the active treatment phase. In the non-inhibitor prophylaxis cohort, there were 44 TEAEs reported in 25 (27.5%) subjects during the observational phase and 262 in 66 (79.5%) during the active treatment phase.</w:t>
      </w:r>
    </w:p>
    <w:p w14:paraId="0022E157" w14:textId="77777777" w:rsidR="0015444B" w:rsidRPr="0077780A" w:rsidRDefault="0015444B" w:rsidP="0077780A">
      <w:pPr>
        <w:rPr>
          <w:szCs w:val="22"/>
        </w:rPr>
      </w:pPr>
      <w:r w:rsidRPr="0077780A">
        <w:rPr>
          <w:szCs w:val="22"/>
        </w:rPr>
        <w:t>There were few administration site reactions, and these were predominantly of minor severity.</w:t>
      </w:r>
    </w:p>
    <w:p w14:paraId="552B6BC5" w14:textId="77777777" w:rsidR="0015444B" w:rsidRPr="0077780A" w:rsidRDefault="0015444B" w:rsidP="0077780A">
      <w:pPr>
        <w:rPr>
          <w:szCs w:val="22"/>
        </w:rPr>
      </w:pPr>
      <w:r w:rsidRPr="0077780A">
        <w:rPr>
          <w:szCs w:val="22"/>
        </w:rPr>
        <w:t>There were no deaths reported during the development program.</w:t>
      </w:r>
    </w:p>
    <w:p w14:paraId="7DD24200" w14:textId="271197C7" w:rsidR="0015444B" w:rsidRPr="0077780A" w:rsidRDefault="0015444B" w:rsidP="0077780A">
      <w:pPr>
        <w:rPr>
          <w:szCs w:val="22"/>
        </w:rPr>
      </w:pPr>
      <w:r w:rsidRPr="0077780A">
        <w:rPr>
          <w:szCs w:val="22"/>
        </w:rPr>
        <w:t>There were few SAEs, and one</w:t>
      </w:r>
      <w:r w:rsidR="00F61CD5" w:rsidRPr="0077780A">
        <w:rPr>
          <w:szCs w:val="22"/>
        </w:rPr>
        <w:t xml:space="preserve"> </w:t>
      </w:r>
      <w:r w:rsidRPr="0077780A">
        <w:rPr>
          <w:szCs w:val="22"/>
        </w:rPr>
        <w:t>(in a healthy volunteer) that was attributable to treatment.</w:t>
      </w:r>
    </w:p>
    <w:p w14:paraId="063AF5A3" w14:textId="77777777" w:rsidR="0015444B" w:rsidRPr="0077780A" w:rsidRDefault="0015444B" w:rsidP="0077780A">
      <w:pPr>
        <w:rPr>
          <w:szCs w:val="22"/>
        </w:rPr>
      </w:pPr>
      <w:r w:rsidRPr="0077780A">
        <w:rPr>
          <w:szCs w:val="22"/>
        </w:rPr>
        <w:t>There were few discontinuations and the changes in treatment dose were predominantly increases in dose in response to breakthrough bleeds.</w:t>
      </w:r>
    </w:p>
    <w:p w14:paraId="1EEE169B" w14:textId="77777777" w:rsidR="0015444B" w:rsidRPr="0077780A" w:rsidRDefault="0015444B" w:rsidP="0077780A">
      <w:pPr>
        <w:rPr>
          <w:szCs w:val="22"/>
        </w:rPr>
      </w:pPr>
      <w:r w:rsidRPr="0077780A">
        <w:rPr>
          <w:szCs w:val="22"/>
        </w:rPr>
        <w:lastRenderedPageBreak/>
        <w:t>There were no concerning trends in clinical laboratory tests, including liver function, renal function and haematology.</w:t>
      </w:r>
    </w:p>
    <w:p w14:paraId="2EE5E81D" w14:textId="388299B2" w:rsidR="0015444B" w:rsidRPr="0077780A" w:rsidRDefault="0015444B" w:rsidP="0077780A">
      <w:pPr>
        <w:rPr>
          <w:szCs w:val="22"/>
        </w:rPr>
      </w:pPr>
      <w:r w:rsidRPr="0077780A">
        <w:rPr>
          <w:szCs w:val="22"/>
        </w:rPr>
        <w:t xml:space="preserve">Few subjects developed persisting ADAs. In the PK analysis ADAs were associated with an increase in clearance of 20%, which was not considered clinically significant. In the pivotal study, there were </w:t>
      </w:r>
      <w:r w:rsidR="00F61CD5" w:rsidRPr="0077780A">
        <w:rPr>
          <w:szCs w:val="22"/>
        </w:rPr>
        <w:t>6</w:t>
      </w:r>
      <w:r w:rsidRPr="0077780A">
        <w:rPr>
          <w:szCs w:val="22"/>
        </w:rPr>
        <w:t xml:space="preserve"> (5.2%) subjects with NAb, all of which were transient and had resolved by the end of the study. There were no episodes of anaphylaxis or hypersensitivity.</w:t>
      </w:r>
    </w:p>
    <w:p w14:paraId="45067607" w14:textId="6C6C2A46" w:rsidR="0015444B" w:rsidRPr="0077780A" w:rsidRDefault="0015444B" w:rsidP="0077780A">
      <w:pPr>
        <w:rPr>
          <w:szCs w:val="22"/>
        </w:rPr>
      </w:pPr>
      <w:r w:rsidRPr="0077780A">
        <w:rPr>
          <w:szCs w:val="22"/>
        </w:rPr>
        <w:t xml:space="preserve">However, in the healthy volunteer population there was one thromboembolic SAE. In Study B7841009 there was one participant with pulmonary embolism. This occurred in a </w:t>
      </w:r>
      <w:r w:rsidR="00F61CD5" w:rsidRPr="0077780A">
        <w:rPr>
          <w:szCs w:val="22"/>
        </w:rPr>
        <w:t>54-year-old</w:t>
      </w:r>
      <w:r w:rsidRPr="0077780A">
        <w:rPr>
          <w:szCs w:val="22"/>
        </w:rPr>
        <w:t xml:space="preserve"> male on study Day 10. He had no prior risk factors for VTE. However, he had received the AstraZeneca COVID vaccine on Days</w:t>
      </w:r>
      <w:r w:rsidR="00F61CD5" w:rsidRPr="0077780A">
        <w:rPr>
          <w:szCs w:val="22"/>
        </w:rPr>
        <w:t xml:space="preserve"> −</w:t>
      </w:r>
      <w:r w:rsidRPr="0077780A">
        <w:rPr>
          <w:szCs w:val="22"/>
        </w:rPr>
        <w:t xml:space="preserve">77 and </w:t>
      </w:r>
      <w:r w:rsidR="00F61CD5" w:rsidRPr="0077780A">
        <w:rPr>
          <w:szCs w:val="22"/>
        </w:rPr>
        <w:t>−</w:t>
      </w:r>
      <w:r w:rsidRPr="0077780A">
        <w:rPr>
          <w:szCs w:val="22"/>
        </w:rPr>
        <w:t>20. This event is consistent with the expected timing of marstacimab effects, specifically with the timing of peak thrombin generation, coagulation activation and clot breakdown, as described in the PD data. The PD data indicate greater effect on thrombin generation in the healthy population compared with the haemophilia population. Peak thrombin in healthy subjects was double the value for subjects with haemophilia. This indicates the risk of thromboembolism may be greater in healthy subjects than in subjects with haemophilia.</w:t>
      </w:r>
    </w:p>
    <w:p w14:paraId="6445D3B9" w14:textId="156435FD" w:rsidR="00F61CD5" w:rsidRDefault="00F61CD5" w:rsidP="00F61CD5">
      <w:pPr>
        <w:pStyle w:val="Heading5"/>
      </w:pPr>
      <w:r>
        <w:t>Assessment of risk</w:t>
      </w:r>
    </w:p>
    <w:p w14:paraId="65D852B2" w14:textId="3C6E7A31" w:rsidR="00F61CD5" w:rsidRDefault="00F61CD5" w:rsidP="00F61CD5">
      <w:r w:rsidRPr="00D31ABC">
        <w:t xml:space="preserve">The </w:t>
      </w:r>
      <w:r>
        <w:t>overall assessment of risks with strengths and uncertainties are summarised below.</w:t>
      </w:r>
    </w:p>
    <w:p w14:paraId="4DEBB140" w14:textId="4992A2A4" w:rsidR="00851A0A" w:rsidRPr="00AD3E9B" w:rsidRDefault="00B32837" w:rsidP="00851A0A">
      <w:r w:rsidRPr="00B32837">
        <w:t>Real-world evidence (RWE) and real</w:t>
      </w:r>
      <w:r>
        <w:t>-</w:t>
      </w:r>
      <w:r w:rsidRPr="00B32837">
        <w:t>world data (RWD)</w:t>
      </w:r>
      <w:r w:rsidR="00851A0A" w:rsidRPr="00B32837">
        <w:t xml:space="preserve"> were not included in the submission.</w:t>
      </w:r>
    </w:p>
    <w:p w14:paraId="3350EBAC" w14:textId="60D31338" w:rsidR="007D6551" w:rsidRDefault="007D6551" w:rsidP="007D6551">
      <w:pPr>
        <w:pStyle w:val="TableTitle"/>
      </w:pPr>
      <w:r>
        <w:lastRenderedPageBreak/>
        <w:t xml:space="preserve">Table </w:t>
      </w:r>
      <w:r>
        <w:fldChar w:fldCharType="begin"/>
      </w:r>
      <w:r>
        <w:instrText xml:space="preserve"> SEQ Table \* ARABIC </w:instrText>
      </w:r>
      <w:r>
        <w:fldChar w:fldCharType="separate"/>
      </w:r>
      <w:r>
        <w:rPr>
          <w:noProof/>
        </w:rPr>
        <w:t>5</w:t>
      </w:r>
      <w:r>
        <w:fldChar w:fldCharType="end"/>
      </w:r>
      <w:r>
        <w:t>: Overall assessment of risk</w:t>
      </w:r>
    </w:p>
    <w:tbl>
      <w:tblPr>
        <w:tblStyle w:val="TableTGAblue2023"/>
        <w:tblW w:w="9015" w:type="dxa"/>
        <w:tblLayout w:type="fixed"/>
        <w:tblLook w:val="04A0" w:firstRow="1" w:lastRow="0" w:firstColumn="1" w:lastColumn="0" w:noHBand="0" w:noVBand="1"/>
      </w:tblPr>
      <w:tblGrid>
        <w:gridCol w:w="4531"/>
        <w:gridCol w:w="4484"/>
      </w:tblGrid>
      <w:tr w:rsidR="00F61CD5" w:rsidRPr="0077780A" w14:paraId="316B4EE5" w14:textId="77777777" w:rsidTr="00B65584">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31" w:type="dxa"/>
            <w:shd w:val="clear" w:color="auto" w:fill="DEEAF6"/>
          </w:tcPr>
          <w:p w14:paraId="32E71253" w14:textId="62DA564A" w:rsidR="00F61CD5" w:rsidRPr="0077780A" w:rsidRDefault="00851A0A" w:rsidP="000163D1">
            <w:pPr>
              <w:rPr>
                <w:b w:val="0"/>
              </w:rPr>
            </w:pPr>
            <w:r w:rsidRPr="0077780A">
              <w:t>Risks</w:t>
            </w:r>
          </w:p>
        </w:tc>
        <w:tc>
          <w:tcPr>
            <w:tcW w:w="4484" w:type="dxa"/>
            <w:shd w:val="clear" w:color="auto" w:fill="DEEAF6"/>
          </w:tcPr>
          <w:p w14:paraId="65B6D08B" w14:textId="77777777" w:rsidR="00F61CD5" w:rsidRPr="0077780A" w:rsidRDefault="00F61CD5" w:rsidP="000163D1">
            <w:pPr>
              <w:cnfStyle w:val="100000000000" w:firstRow="1" w:lastRow="0" w:firstColumn="0" w:lastColumn="0" w:oddVBand="0" w:evenVBand="0" w:oddHBand="0" w:evenHBand="0" w:firstRowFirstColumn="0" w:firstRowLastColumn="0" w:lastRowFirstColumn="0" w:lastRowLastColumn="0"/>
              <w:rPr>
                <w:b w:val="0"/>
              </w:rPr>
            </w:pPr>
            <w:r w:rsidRPr="0077780A">
              <w:t>Strengths and Uncertainties</w:t>
            </w:r>
          </w:p>
        </w:tc>
      </w:tr>
      <w:tr w:rsidR="00F61CD5" w:rsidRPr="0077780A" w14:paraId="4AC2CB34" w14:textId="77777777" w:rsidTr="00B65584">
        <w:trPr>
          <w:trHeight w:val="137"/>
        </w:trPr>
        <w:tc>
          <w:tcPr>
            <w:cnfStyle w:val="001000000000" w:firstRow="0" w:lastRow="0" w:firstColumn="1" w:lastColumn="0" w:oddVBand="0" w:evenVBand="0" w:oddHBand="0" w:evenHBand="0" w:firstRowFirstColumn="0" w:firstRowLastColumn="0" w:lastRowFirstColumn="0" w:lastRowLastColumn="0"/>
            <w:tcW w:w="4531" w:type="dxa"/>
          </w:tcPr>
          <w:p w14:paraId="5383E3C1" w14:textId="77FED9CC" w:rsidR="007D6551" w:rsidRPr="0077780A" w:rsidRDefault="007D6551" w:rsidP="000163D1">
            <w:pPr>
              <w:rPr>
                <w:szCs w:val="22"/>
                <w:lang w:eastAsia="ja-JP"/>
              </w:rPr>
            </w:pPr>
            <w:r w:rsidRPr="0077780A">
              <w:rPr>
                <w:szCs w:val="22"/>
                <w:lang w:eastAsia="ja-JP"/>
              </w:rPr>
              <w:t xml:space="preserve">The rates of TEAEs in the pivotal study were increased in the active treatment phase compared with the observational phase, but this can be attributed to COVID-19 appearing </w:t>
            </w:r>
            <w:proofErr w:type="gramStart"/>
            <w:r w:rsidRPr="0077780A">
              <w:rPr>
                <w:szCs w:val="22"/>
                <w:lang w:eastAsia="ja-JP"/>
              </w:rPr>
              <w:t>during the course of</w:t>
            </w:r>
            <w:proofErr w:type="gramEnd"/>
            <w:r w:rsidRPr="0077780A">
              <w:rPr>
                <w:szCs w:val="22"/>
                <w:lang w:eastAsia="ja-JP"/>
              </w:rPr>
              <w:t xml:space="preserve"> the study. In </w:t>
            </w:r>
            <w:r w:rsidRPr="0077780A">
              <w:rPr>
                <w:szCs w:val="22"/>
              </w:rPr>
              <w:t>the non-inhibitor on-demand cohort, there were 22 TEAEs reported in 18 (48.6%) subjects during the observational phase and 35 in 20 (60.6%) subjects during the active treatment phase. In the non-inhibitor prophylaxis cohort, there were 44 TEAEs reported in 25 (27.5%) subjects during the observational phase and 262 in 66 (79.5%) subjects during the active treatment phase.</w:t>
            </w:r>
          </w:p>
          <w:p w14:paraId="05C543B3" w14:textId="77777777" w:rsidR="007D6551" w:rsidRPr="0077780A" w:rsidRDefault="007D6551" w:rsidP="000163D1">
            <w:pPr>
              <w:rPr>
                <w:szCs w:val="22"/>
                <w:lang w:eastAsia="ja-JP"/>
              </w:rPr>
            </w:pPr>
            <w:r w:rsidRPr="0077780A">
              <w:rPr>
                <w:szCs w:val="22"/>
                <w:lang w:eastAsia="ja-JP"/>
              </w:rPr>
              <w:t>There were few administration site reactions, and these were predominantly of minor severity.</w:t>
            </w:r>
          </w:p>
          <w:p w14:paraId="7BC2E2AB" w14:textId="77777777" w:rsidR="007D6551" w:rsidRPr="0077780A" w:rsidRDefault="007D6551" w:rsidP="000163D1">
            <w:pPr>
              <w:rPr>
                <w:szCs w:val="22"/>
                <w:lang w:eastAsia="ja-JP"/>
              </w:rPr>
            </w:pPr>
            <w:r w:rsidRPr="0077780A">
              <w:rPr>
                <w:szCs w:val="22"/>
                <w:lang w:eastAsia="ja-JP"/>
              </w:rPr>
              <w:t>There were no deaths reported during the development program.</w:t>
            </w:r>
          </w:p>
          <w:p w14:paraId="7E7EC69C" w14:textId="6D2D4174" w:rsidR="007D6551" w:rsidRPr="0077780A" w:rsidRDefault="007D6551" w:rsidP="000163D1">
            <w:pPr>
              <w:rPr>
                <w:szCs w:val="22"/>
                <w:lang w:eastAsia="ja-JP"/>
              </w:rPr>
            </w:pPr>
            <w:r w:rsidRPr="0077780A">
              <w:rPr>
                <w:szCs w:val="22"/>
                <w:lang w:eastAsia="ja-JP"/>
              </w:rPr>
              <w:t>There were few SAEs, and one (in a healthy volunteer) that was attributable to treatment. This event was deep venous thrombosis and pulmonary embolism and resulted in the premature termination of the trial.</w:t>
            </w:r>
          </w:p>
          <w:p w14:paraId="60963EB0" w14:textId="77777777" w:rsidR="007D6551" w:rsidRPr="0077780A" w:rsidRDefault="007D6551" w:rsidP="000163D1">
            <w:pPr>
              <w:rPr>
                <w:szCs w:val="22"/>
                <w:lang w:eastAsia="ja-JP"/>
              </w:rPr>
            </w:pPr>
            <w:r w:rsidRPr="0077780A">
              <w:rPr>
                <w:szCs w:val="22"/>
                <w:lang w:eastAsia="ja-JP"/>
              </w:rPr>
              <w:t>There were few discontinuations and the changes in treatment dose were predominantly increases in dose in response to breakthrough bleeds.</w:t>
            </w:r>
          </w:p>
          <w:p w14:paraId="7EEFD50D" w14:textId="77777777" w:rsidR="007D6551" w:rsidRPr="0077780A" w:rsidRDefault="007D6551" w:rsidP="000163D1">
            <w:pPr>
              <w:rPr>
                <w:szCs w:val="22"/>
                <w:lang w:eastAsia="ja-JP"/>
              </w:rPr>
            </w:pPr>
            <w:r w:rsidRPr="0077780A">
              <w:rPr>
                <w:szCs w:val="22"/>
                <w:lang w:eastAsia="ja-JP"/>
              </w:rPr>
              <w:t>There were no concerning trends in clinical laboratory tests, including liver function, renal function and haematology.</w:t>
            </w:r>
          </w:p>
          <w:p w14:paraId="5D967932" w14:textId="765E4EB7" w:rsidR="00F61CD5" w:rsidRPr="0077780A" w:rsidRDefault="007D6551" w:rsidP="000163D1">
            <w:pPr>
              <w:rPr>
                <w:szCs w:val="22"/>
              </w:rPr>
            </w:pPr>
            <w:r w:rsidRPr="0077780A">
              <w:rPr>
                <w:szCs w:val="22"/>
                <w:lang w:eastAsia="ja-JP"/>
              </w:rPr>
              <w:t xml:space="preserve">Few subjects developed persisting ADAs. In the PK analysis ADAs were associated with an increase in clearance of 20%, which was not considered clinically significant. In the pivotal study, </w:t>
            </w:r>
            <w:r w:rsidRPr="0077780A">
              <w:rPr>
                <w:szCs w:val="22"/>
              </w:rPr>
              <w:t xml:space="preserve">there were </w:t>
            </w:r>
            <w:r w:rsidR="00851A0A" w:rsidRPr="0077780A">
              <w:rPr>
                <w:szCs w:val="22"/>
              </w:rPr>
              <w:t>6</w:t>
            </w:r>
            <w:r w:rsidRPr="0077780A">
              <w:rPr>
                <w:szCs w:val="22"/>
              </w:rPr>
              <w:t xml:space="preserve"> (5.2%) subjects with NAb, all of which were transient and had resolved by the end of the study. There were no episodes of anaphylaxis or hypersensitivity.</w:t>
            </w:r>
          </w:p>
        </w:tc>
        <w:tc>
          <w:tcPr>
            <w:tcW w:w="4484" w:type="dxa"/>
          </w:tcPr>
          <w:p w14:paraId="26DA7F7B" w14:textId="369A121F" w:rsidR="007D6551" w:rsidRPr="0077780A" w:rsidRDefault="007D6551" w:rsidP="000163D1">
            <w:pPr>
              <w:cnfStyle w:val="000000000000" w:firstRow="0" w:lastRow="0" w:firstColumn="0" w:lastColumn="0" w:oddVBand="0" w:evenVBand="0" w:oddHBand="0" w:evenHBand="0" w:firstRowFirstColumn="0" w:firstRowLastColumn="0" w:lastRowFirstColumn="0" w:lastRowLastColumn="0"/>
              <w:rPr>
                <w:szCs w:val="22"/>
                <w:lang w:eastAsia="ja-JP"/>
              </w:rPr>
            </w:pPr>
            <w:r w:rsidRPr="0077780A">
              <w:rPr>
                <w:szCs w:val="22"/>
                <w:lang w:eastAsia="ja-JP"/>
              </w:rPr>
              <w:t>There are limited safety data, partly because the studies are incomplete and partly because of the low numbers of subjects in the development program.</w:t>
            </w:r>
          </w:p>
          <w:p w14:paraId="27594BC1" w14:textId="3D1E0BDA" w:rsidR="007D6551" w:rsidRPr="0077780A" w:rsidRDefault="007D6551" w:rsidP="000163D1">
            <w:pPr>
              <w:cnfStyle w:val="000000000000" w:firstRow="0" w:lastRow="0" w:firstColumn="0" w:lastColumn="0" w:oddVBand="0" w:evenVBand="0" w:oddHBand="0" w:evenHBand="0" w:firstRowFirstColumn="0" w:firstRowLastColumn="0" w:lastRowFirstColumn="0" w:lastRowLastColumn="0"/>
              <w:rPr>
                <w:szCs w:val="22"/>
                <w:lang w:eastAsia="ja-JP"/>
              </w:rPr>
            </w:pPr>
            <w:r w:rsidRPr="0077780A">
              <w:rPr>
                <w:szCs w:val="22"/>
                <w:lang w:eastAsia="ja-JP"/>
              </w:rPr>
              <w:t xml:space="preserve">Two similar products have had interruptions in development because of thromboembolic events: </w:t>
            </w:r>
            <w:proofErr w:type="spellStart"/>
            <w:r w:rsidR="00851A0A" w:rsidRPr="0077780A">
              <w:rPr>
                <w:szCs w:val="22"/>
                <w:lang w:eastAsia="ja-JP"/>
              </w:rPr>
              <w:t>c</w:t>
            </w:r>
            <w:r w:rsidRPr="0077780A">
              <w:rPr>
                <w:szCs w:val="22"/>
                <w:lang w:eastAsia="ja-JP"/>
              </w:rPr>
              <w:t>oncizumab</w:t>
            </w:r>
            <w:proofErr w:type="spellEnd"/>
            <w:r w:rsidRPr="0077780A">
              <w:rPr>
                <w:szCs w:val="22"/>
                <w:lang w:eastAsia="ja-JP"/>
              </w:rPr>
              <w:t xml:space="preserve"> </w:t>
            </w:r>
            <w:r w:rsidRPr="0077780A">
              <w:rPr>
                <w:szCs w:val="22"/>
              </w:rPr>
              <w:t>(</w:t>
            </w:r>
            <w:proofErr w:type="spellStart"/>
            <w:r w:rsidRPr="0077780A">
              <w:rPr>
                <w:szCs w:val="22"/>
              </w:rPr>
              <w:t>A</w:t>
            </w:r>
            <w:r w:rsidR="00851A0A" w:rsidRPr="0077780A">
              <w:rPr>
                <w:szCs w:val="22"/>
              </w:rPr>
              <w:t>lhemo</w:t>
            </w:r>
            <w:proofErr w:type="spellEnd"/>
            <w:r w:rsidRPr="0077780A">
              <w:rPr>
                <w:szCs w:val="22"/>
              </w:rPr>
              <w:t xml:space="preserve">) and </w:t>
            </w:r>
            <w:proofErr w:type="spellStart"/>
            <w:r w:rsidR="00851A0A" w:rsidRPr="0077780A">
              <w:rPr>
                <w:szCs w:val="22"/>
              </w:rPr>
              <w:t>b</w:t>
            </w:r>
            <w:r w:rsidRPr="0077780A">
              <w:rPr>
                <w:szCs w:val="22"/>
                <w:lang w:eastAsia="ja-JP"/>
              </w:rPr>
              <w:t>efovacimab</w:t>
            </w:r>
            <w:proofErr w:type="spellEnd"/>
            <w:r w:rsidR="00851A0A" w:rsidRPr="0077780A">
              <w:rPr>
                <w:szCs w:val="22"/>
                <w:lang w:eastAsia="ja-JP"/>
              </w:rPr>
              <w:t>.</w:t>
            </w:r>
          </w:p>
          <w:p w14:paraId="27BBFC30" w14:textId="44B97340" w:rsidR="007D6551" w:rsidRPr="0077780A" w:rsidRDefault="007D6551" w:rsidP="000163D1">
            <w:pPr>
              <w:cnfStyle w:val="000000000000" w:firstRow="0" w:lastRow="0" w:firstColumn="0" w:lastColumn="0" w:oddVBand="0" w:evenVBand="0" w:oddHBand="0" w:evenHBand="0" w:firstRowFirstColumn="0" w:firstRowLastColumn="0" w:lastRowFirstColumn="0" w:lastRowLastColumn="0"/>
              <w:rPr>
                <w:rFonts w:cstheme="minorHAnsi"/>
                <w:szCs w:val="22"/>
              </w:rPr>
            </w:pPr>
            <w:r w:rsidRPr="0077780A">
              <w:rPr>
                <w:rFonts w:cstheme="minorHAnsi"/>
                <w:szCs w:val="22"/>
              </w:rPr>
              <w:t>The risk of thromboembolism may be greater in healthy volunteers because of a greater effect on thrombin generation. This may also indicate a greater risk in patients with mild or moderate severity haemophilia.</w:t>
            </w:r>
          </w:p>
          <w:p w14:paraId="71C68571" w14:textId="7412356E" w:rsidR="007D6551" w:rsidRPr="0077780A" w:rsidRDefault="007D6551" w:rsidP="000163D1">
            <w:pPr>
              <w:cnfStyle w:val="000000000000" w:firstRow="0" w:lastRow="0" w:firstColumn="0" w:lastColumn="0" w:oddVBand="0" w:evenVBand="0" w:oddHBand="0" w:evenHBand="0" w:firstRowFirstColumn="0" w:firstRowLastColumn="0" w:lastRowFirstColumn="0" w:lastRowLastColumn="0"/>
              <w:rPr>
                <w:rFonts w:cstheme="minorHAnsi"/>
                <w:szCs w:val="22"/>
              </w:rPr>
            </w:pPr>
            <w:r w:rsidRPr="0077780A">
              <w:rPr>
                <w:rFonts w:cstheme="minorHAnsi"/>
                <w:szCs w:val="22"/>
              </w:rPr>
              <w:t xml:space="preserve">The </w:t>
            </w:r>
            <w:r w:rsidR="00851A0A" w:rsidRPr="0077780A">
              <w:rPr>
                <w:rFonts w:cstheme="minorHAnsi"/>
                <w:szCs w:val="22"/>
              </w:rPr>
              <w:t>s</w:t>
            </w:r>
            <w:r w:rsidRPr="0077780A">
              <w:rPr>
                <w:rFonts w:cstheme="minorHAnsi"/>
                <w:szCs w:val="22"/>
              </w:rPr>
              <w:t>ponsor has reported a single case of venous thrombosis occurring in a patient treated with marstacimab.</w:t>
            </w:r>
          </w:p>
          <w:p w14:paraId="5422812F" w14:textId="623A9068" w:rsidR="00F61CD5" w:rsidRPr="0077780A" w:rsidRDefault="007D6551" w:rsidP="000163D1">
            <w:pPr>
              <w:cnfStyle w:val="000000000000" w:firstRow="0" w:lastRow="0" w:firstColumn="0" w:lastColumn="0" w:oddVBand="0" w:evenVBand="0" w:oddHBand="0" w:evenHBand="0" w:firstRowFirstColumn="0" w:firstRowLastColumn="0" w:lastRowFirstColumn="0" w:lastRowLastColumn="0"/>
              <w:rPr>
                <w:szCs w:val="22"/>
              </w:rPr>
            </w:pPr>
            <w:r w:rsidRPr="0077780A">
              <w:rPr>
                <w:rFonts w:cstheme="minorHAnsi"/>
                <w:szCs w:val="22"/>
              </w:rPr>
              <w:t xml:space="preserve">The </w:t>
            </w:r>
            <w:r w:rsidR="00851A0A" w:rsidRPr="0077780A">
              <w:rPr>
                <w:rFonts w:cstheme="minorHAnsi"/>
                <w:szCs w:val="22"/>
              </w:rPr>
              <w:t>s</w:t>
            </w:r>
            <w:r w:rsidRPr="0077780A">
              <w:rPr>
                <w:rFonts w:cstheme="minorHAnsi"/>
                <w:szCs w:val="22"/>
              </w:rPr>
              <w:t xml:space="preserve">ponsor assesses that the risks of thromboembolism in patients treated with marstacimab are </w:t>
            </w:r>
            <w:proofErr w:type="gramStart"/>
            <w:r w:rsidRPr="0077780A">
              <w:rPr>
                <w:rFonts w:cstheme="minorHAnsi"/>
                <w:szCs w:val="22"/>
              </w:rPr>
              <w:t>similar to</w:t>
            </w:r>
            <w:proofErr w:type="gramEnd"/>
            <w:r w:rsidRPr="0077780A">
              <w:rPr>
                <w:rFonts w:cstheme="minorHAnsi"/>
                <w:szCs w:val="22"/>
              </w:rPr>
              <w:t xml:space="preserve"> similar patients treated with </w:t>
            </w:r>
            <w:proofErr w:type="spellStart"/>
            <w:r w:rsidR="00851A0A" w:rsidRPr="0077780A">
              <w:rPr>
                <w:rFonts w:cstheme="minorHAnsi"/>
                <w:szCs w:val="22"/>
              </w:rPr>
              <w:t>emicizumab</w:t>
            </w:r>
            <w:proofErr w:type="spellEnd"/>
            <w:r w:rsidR="00851A0A" w:rsidRPr="0077780A">
              <w:rPr>
                <w:rFonts w:cstheme="minorHAnsi"/>
                <w:szCs w:val="22"/>
              </w:rPr>
              <w:t xml:space="preserve"> (</w:t>
            </w:r>
            <w:proofErr w:type="spellStart"/>
            <w:r w:rsidR="00851A0A" w:rsidRPr="0077780A">
              <w:rPr>
                <w:rFonts w:cstheme="minorHAnsi"/>
                <w:szCs w:val="22"/>
              </w:rPr>
              <w:t>Hemlibra</w:t>
            </w:r>
            <w:proofErr w:type="spellEnd"/>
            <w:r w:rsidR="00851A0A" w:rsidRPr="0077780A">
              <w:rPr>
                <w:rFonts w:cstheme="minorHAnsi"/>
                <w:szCs w:val="22"/>
              </w:rPr>
              <w:t>)</w:t>
            </w:r>
            <w:r w:rsidRPr="0077780A">
              <w:rPr>
                <w:szCs w:val="22"/>
                <w:lang w:eastAsia="ja-JP"/>
              </w:rPr>
              <w:t>. These risks could be addressed with strengthened warnings and patient education.</w:t>
            </w:r>
          </w:p>
        </w:tc>
      </w:tr>
    </w:tbl>
    <w:p w14:paraId="2858B006" w14:textId="77777777" w:rsidR="00C22214" w:rsidRDefault="00C22214" w:rsidP="00C22214">
      <w:pPr>
        <w:pStyle w:val="Heading3"/>
        <w:rPr>
          <w:lang w:eastAsia="en-AU"/>
        </w:rPr>
      </w:pPr>
      <w:bookmarkStart w:id="86" w:name="_Toc314842514"/>
      <w:bookmarkStart w:id="87" w:name="_Toc103679298"/>
      <w:bookmarkStart w:id="88" w:name="_Toc212036851"/>
      <w:r>
        <w:rPr>
          <w:lang w:eastAsia="en-AU"/>
        </w:rPr>
        <w:lastRenderedPageBreak/>
        <w:t>Risk management plan</w:t>
      </w:r>
      <w:bookmarkEnd w:id="86"/>
      <w:bookmarkEnd w:id="87"/>
      <w:bookmarkEnd w:id="88"/>
    </w:p>
    <w:p w14:paraId="39F3CD1D" w14:textId="68AECE72" w:rsidR="0072003B" w:rsidRPr="00BD5DBD" w:rsidRDefault="00C22214" w:rsidP="00C22214">
      <w:pPr>
        <w:rPr>
          <w:szCs w:val="22"/>
        </w:rPr>
      </w:pPr>
      <w:bookmarkStart w:id="89" w:name="_Toc247691531"/>
      <w:bookmarkStart w:id="90" w:name="_Toc314842515"/>
      <w:r w:rsidRPr="00BD5DBD">
        <w:rPr>
          <w:szCs w:val="22"/>
        </w:rPr>
        <w:t xml:space="preserve">The summary of safety concerns and their associated risk monitoring and mitigation strategies </w:t>
      </w:r>
      <w:r w:rsidR="004C0E1B">
        <w:rPr>
          <w:szCs w:val="22"/>
        </w:rPr>
        <w:t xml:space="preserve">is provided below. </w:t>
      </w:r>
      <w:r w:rsidR="0072003B" w:rsidRPr="00BD5DBD">
        <w:rPr>
          <w:szCs w:val="22"/>
        </w:rPr>
        <w:t>The TGA</w:t>
      </w:r>
      <w:r w:rsidR="00C07551" w:rsidRPr="00BD5DBD">
        <w:rPr>
          <w:szCs w:val="22"/>
        </w:rPr>
        <w:t xml:space="preserve"> may</w:t>
      </w:r>
      <w:r w:rsidR="0072003B" w:rsidRPr="00BD5DBD">
        <w:rPr>
          <w:szCs w:val="22"/>
        </w:rPr>
        <w:t xml:space="preserve"> request an updated </w:t>
      </w:r>
      <w:r w:rsidR="005415B2">
        <w:rPr>
          <w:szCs w:val="22"/>
        </w:rPr>
        <w:t>risk management plan (</w:t>
      </w:r>
      <w:r w:rsidR="0072003B" w:rsidRPr="00BD5DBD">
        <w:rPr>
          <w:szCs w:val="22"/>
        </w:rPr>
        <w:t>RMP</w:t>
      </w:r>
      <w:r w:rsidR="005415B2">
        <w:rPr>
          <w:szCs w:val="22"/>
        </w:rPr>
        <w:t>)</w:t>
      </w:r>
      <w:r w:rsidR="0072003B" w:rsidRPr="00BD5DBD">
        <w:rPr>
          <w:szCs w:val="22"/>
        </w:rPr>
        <w:t xml:space="preserve"> at any stage of a product's </w:t>
      </w:r>
      <w:proofErr w:type="gramStart"/>
      <w:r w:rsidR="0072003B" w:rsidRPr="00BD5DBD">
        <w:rPr>
          <w:szCs w:val="22"/>
        </w:rPr>
        <w:t>life-cycle</w:t>
      </w:r>
      <w:proofErr w:type="gramEnd"/>
      <w:r w:rsidR="0072003B" w:rsidRPr="00BD5DBD">
        <w:rPr>
          <w:szCs w:val="22"/>
        </w:rPr>
        <w:t>, during both the pre-approval and post-approval phases.</w:t>
      </w:r>
    </w:p>
    <w:p w14:paraId="56B51A93" w14:textId="43153CF2" w:rsidR="006A277A" w:rsidRDefault="00C22214" w:rsidP="00C22214">
      <w:pPr>
        <w:pStyle w:val="TableTitle"/>
      </w:pPr>
      <w:bookmarkStart w:id="91" w:name="_Ref97629131"/>
      <w:r>
        <w:t xml:space="preserve">Table </w:t>
      </w:r>
      <w:r w:rsidR="007F1E37">
        <w:fldChar w:fldCharType="begin"/>
      </w:r>
      <w:r w:rsidR="007F1E37">
        <w:instrText xml:space="preserve"> SEQ Table \* ARABIC </w:instrText>
      </w:r>
      <w:r w:rsidR="007F1E37">
        <w:fldChar w:fldCharType="separate"/>
      </w:r>
      <w:r w:rsidR="007D6551">
        <w:rPr>
          <w:noProof/>
        </w:rPr>
        <w:t>6</w:t>
      </w:r>
      <w:r w:rsidR="007F1E37">
        <w:rPr>
          <w:noProof/>
        </w:rPr>
        <w:fldChar w:fldCharType="end"/>
      </w:r>
      <w:bookmarkEnd w:id="91"/>
      <w:r>
        <w:t>: Summary of safety concerns</w:t>
      </w:r>
    </w:p>
    <w:tbl>
      <w:tblPr>
        <w:tblStyle w:val="TableTGAblue2023"/>
        <w:tblW w:w="9067" w:type="dxa"/>
        <w:tblLayout w:type="fixed"/>
        <w:tblLook w:val="04A0" w:firstRow="1" w:lastRow="0" w:firstColumn="1" w:lastColumn="0" w:noHBand="0" w:noVBand="1"/>
      </w:tblPr>
      <w:tblGrid>
        <w:gridCol w:w="1696"/>
        <w:gridCol w:w="2268"/>
        <w:gridCol w:w="1134"/>
        <w:gridCol w:w="1418"/>
        <w:gridCol w:w="1134"/>
        <w:gridCol w:w="1417"/>
      </w:tblGrid>
      <w:tr w:rsidR="00127A74" w:rsidRPr="007A1992" w14:paraId="359A0C59" w14:textId="77777777" w:rsidTr="00E91F11">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3964" w:type="dxa"/>
            <w:gridSpan w:val="2"/>
            <w:vMerge w:val="restart"/>
          </w:tcPr>
          <w:p w14:paraId="24B1F090" w14:textId="77777777" w:rsidR="00127A74" w:rsidRPr="00127A74" w:rsidRDefault="00127A74" w:rsidP="00127A74">
            <w:r w:rsidRPr="00127A74">
              <w:t>Summary of safety concerns</w:t>
            </w:r>
          </w:p>
        </w:tc>
        <w:tc>
          <w:tcPr>
            <w:tcW w:w="2552" w:type="dxa"/>
            <w:gridSpan w:val="2"/>
          </w:tcPr>
          <w:p w14:paraId="596694C9" w14:textId="77777777" w:rsidR="00127A74" w:rsidRPr="00127A74" w:rsidRDefault="00127A74" w:rsidP="00127A74">
            <w:pPr>
              <w:cnfStyle w:val="100000000000" w:firstRow="1" w:lastRow="0" w:firstColumn="0" w:lastColumn="0" w:oddVBand="0" w:evenVBand="0" w:oddHBand="0" w:evenHBand="0" w:firstRowFirstColumn="0" w:firstRowLastColumn="0" w:lastRowFirstColumn="0" w:lastRowLastColumn="0"/>
            </w:pPr>
            <w:r w:rsidRPr="00127A74">
              <w:t>Pharmacovigilance</w:t>
            </w:r>
          </w:p>
        </w:tc>
        <w:tc>
          <w:tcPr>
            <w:tcW w:w="2551" w:type="dxa"/>
            <w:gridSpan w:val="2"/>
          </w:tcPr>
          <w:p w14:paraId="4F66CB82" w14:textId="77777777" w:rsidR="00127A74" w:rsidRPr="00127A74" w:rsidRDefault="00127A74" w:rsidP="00127A74">
            <w:pPr>
              <w:cnfStyle w:val="100000000000" w:firstRow="1" w:lastRow="0" w:firstColumn="0" w:lastColumn="0" w:oddVBand="0" w:evenVBand="0" w:oddHBand="0" w:evenHBand="0" w:firstRowFirstColumn="0" w:firstRowLastColumn="0" w:lastRowFirstColumn="0" w:lastRowLastColumn="0"/>
            </w:pPr>
            <w:r w:rsidRPr="00127A74">
              <w:t>Risk minimisation</w:t>
            </w:r>
          </w:p>
        </w:tc>
      </w:tr>
      <w:tr w:rsidR="00127A74" w:rsidRPr="007A1992" w14:paraId="12411E68" w14:textId="77777777" w:rsidTr="00E91F11">
        <w:trPr>
          <w:trHeight w:val="150"/>
        </w:trPr>
        <w:tc>
          <w:tcPr>
            <w:cnfStyle w:val="001000000000" w:firstRow="0" w:lastRow="0" w:firstColumn="1" w:lastColumn="0" w:oddVBand="0" w:evenVBand="0" w:oddHBand="0" w:evenHBand="0" w:firstRowFirstColumn="0" w:firstRowLastColumn="0" w:lastRowFirstColumn="0" w:lastRowLastColumn="0"/>
            <w:tcW w:w="3964" w:type="dxa"/>
            <w:gridSpan w:val="2"/>
            <w:vMerge/>
          </w:tcPr>
          <w:p w14:paraId="71D88F2A" w14:textId="77777777" w:rsidR="00127A74" w:rsidRPr="00127A74" w:rsidRDefault="00127A74" w:rsidP="00127A74"/>
        </w:tc>
        <w:tc>
          <w:tcPr>
            <w:tcW w:w="1134" w:type="dxa"/>
            <w:shd w:val="clear" w:color="auto" w:fill="DEEAF6"/>
          </w:tcPr>
          <w:p w14:paraId="1BF9407C"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Routine</w:t>
            </w:r>
          </w:p>
        </w:tc>
        <w:tc>
          <w:tcPr>
            <w:tcW w:w="1418" w:type="dxa"/>
            <w:shd w:val="clear" w:color="auto" w:fill="DEEAF6"/>
          </w:tcPr>
          <w:p w14:paraId="442BA332"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Additional</w:t>
            </w:r>
          </w:p>
        </w:tc>
        <w:tc>
          <w:tcPr>
            <w:tcW w:w="1134" w:type="dxa"/>
            <w:shd w:val="clear" w:color="auto" w:fill="DEEAF6"/>
          </w:tcPr>
          <w:p w14:paraId="5920A04F"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Routine</w:t>
            </w:r>
          </w:p>
        </w:tc>
        <w:tc>
          <w:tcPr>
            <w:tcW w:w="1417" w:type="dxa"/>
            <w:shd w:val="clear" w:color="auto" w:fill="DEEAF6"/>
          </w:tcPr>
          <w:p w14:paraId="53B2ED29" w14:textId="77777777" w:rsidR="00127A74" w:rsidRPr="00127A74" w:rsidRDefault="00127A74" w:rsidP="00127A74">
            <w:pPr>
              <w:keepNext/>
              <w:cnfStyle w:val="000000000000" w:firstRow="0" w:lastRow="0" w:firstColumn="0" w:lastColumn="0" w:oddVBand="0" w:evenVBand="0" w:oddHBand="0" w:evenHBand="0" w:firstRowFirstColumn="0" w:firstRowLastColumn="0" w:lastRowFirstColumn="0" w:lastRowLastColumn="0"/>
              <w:rPr>
                <w:b/>
                <w:color w:val="263287"/>
              </w:rPr>
            </w:pPr>
            <w:r w:rsidRPr="00127A74">
              <w:rPr>
                <w:b/>
                <w:color w:val="263287"/>
              </w:rPr>
              <w:t>Additional</w:t>
            </w:r>
          </w:p>
        </w:tc>
      </w:tr>
      <w:tr w:rsidR="00127A74" w:rsidRPr="007A1992" w14:paraId="05599231" w14:textId="77777777" w:rsidTr="00C642C9">
        <w:trPr>
          <w:trHeight w:val="137"/>
        </w:trPr>
        <w:tc>
          <w:tcPr>
            <w:cnfStyle w:val="001000000000" w:firstRow="0" w:lastRow="0" w:firstColumn="1" w:lastColumn="0" w:oddVBand="0" w:evenVBand="0" w:oddHBand="0" w:evenHBand="0" w:firstRowFirstColumn="0" w:firstRowLastColumn="0" w:lastRowFirstColumn="0" w:lastRowLastColumn="0"/>
            <w:tcW w:w="1696" w:type="dxa"/>
          </w:tcPr>
          <w:p w14:paraId="67382D75" w14:textId="77777777" w:rsidR="00127A74" w:rsidRPr="00127A74" w:rsidRDefault="00127A74" w:rsidP="00127A74">
            <w:pPr>
              <w:rPr>
                <w:b/>
                <w:bCs/>
              </w:rPr>
            </w:pPr>
            <w:r w:rsidRPr="00127A74">
              <w:rPr>
                <w:b/>
                <w:bCs/>
              </w:rPr>
              <w:t>Important identified risks</w:t>
            </w:r>
          </w:p>
        </w:tc>
        <w:tc>
          <w:tcPr>
            <w:tcW w:w="2268" w:type="dxa"/>
          </w:tcPr>
          <w:p w14:paraId="7134CBC0" w14:textId="155ED5F5" w:rsidR="00127A74" w:rsidRPr="00127A74" w:rsidRDefault="000F4DB6" w:rsidP="00127A74">
            <w:pPr>
              <w:cnfStyle w:val="000000000000" w:firstRow="0" w:lastRow="0" w:firstColumn="0" w:lastColumn="0" w:oddVBand="0" w:evenVBand="0" w:oddHBand="0" w:evenHBand="0" w:firstRowFirstColumn="0" w:firstRowLastColumn="0" w:lastRowFirstColumn="0" w:lastRowLastColumn="0"/>
            </w:pPr>
            <w:r>
              <w:t>Nil</w:t>
            </w:r>
          </w:p>
        </w:tc>
        <w:tc>
          <w:tcPr>
            <w:tcW w:w="1134" w:type="dxa"/>
          </w:tcPr>
          <w:p w14:paraId="11797452" w14:textId="1411310D" w:rsidR="00127A74" w:rsidRPr="00127A74" w:rsidRDefault="00992F13" w:rsidP="00127A74">
            <w:pPr>
              <w:cnfStyle w:val="000000000000" w:firstRow="0" w:lastRow="0" w:firstColumn="0" w:lastColumn="0" w:oddVBand="0" w:evenVBand="0" w:oddHBand="0" w:evenHBand="0" w:firstRowFirstColumn="0" w:firstRowLastColumn="0" w:lastRowFirstColumn="0" w:lastRowLastColumn="0"/>
            </w:pPr>
            <w:r>
              <w:t>_</w:t>
            </w:r>
          </w:p>
        </w:tc>
        <w:tc>
          <w:tcPr>
            <w:tcW w:w="1418" w:type="dxa"/>
          </w:tcPr>
          <w:p w14:paraId="7B703318" w14:textId="72937033" w:rsidR="00127A74" w:rsidRPr="00127A74" w:rsidRDefault="00992F13" w:rsidP="00127A74">
            <w:pPr>
              <w:cnfStyle w:val="000000000000" w:firstRow="0" w:lastRow="0" w:firstColumn="0" w:lastColumn="0" w:oddVBand="0" w:evenVBand="0" w:oddHBand="0" w:evenHBand="0" w:firstRowFirstColumn="0" w:firstRowLastColumn="0" w:lastRowFirstColumn="0" w:lastRowLastColumn="0"/>
            </w:pPr>
            <w:r>
              <w:t>_</w:t>
            </w:r>
          </w:p>
        </w:tc>
        <w:tc>
          <w:tcPr>
            <w:tcW w:w="1134" w:type="dxa"/>
          </w:tcPr>
          <w:p w14:paraId="1A652099" w14:textId="1D444260" w:rsidR="00127A74" w:rsidRPr="00127A74" w:rsidRDefault="00992F13" w:rsidP="00127A74">
            <w:pPr>
              <w:cnfStyle w:val="000000000000" w:firstRow="0" w:lastRow="0" w:firstColumn="0" w:lastColumn="0" w:oddVBand="0" w:evenVBand="0" w:oddHBand="0" w:evenHBand="0" w:firstRowFirstColumn="0" w:firstRowLastColumn="0" w:lastRowFirstColumn="0" w:lastRowLastColumn="0"/>
            </w:pPr>
            <w:r>
              <w:t>_</w:t>
            </w:r>
          </w:p>
        </w:tc>
        <w:tc>
          <w:tcPr>
            <w:tcW w:w="1417" w:type="dxa"/>
          </w:tcPr>
          <w:p w14:paraId="34A0513E" w14:textId="5EB31B70" w:rsidR="00127A74" w:rsidRPr="00127A74" w:rsidRDefault="00992F13" w:rsidP="00127A74">
            <w:pPr>
              <w:cnfStyle w:val="000000000000" w:firstRow="0" w:lastRow="0" w:firstColumn="0" w:lastColumn="0" w:oddVBand="0" w:evenVBand="0" w:oddHBand="0" w:evenHBand="0" w:firstRowFirstColumn="0" w:firstRowLastColumn="0" w:lastRowFirstColumn="0" w:lastRowLastColumn="0"/>
            </w:pPr>
            <w:r>
              <w:t>_</w:t>
            </w:r>
          </w:p>
        </w:tc>
      </w:tr>
      <w:tr w:rsidR="00AC2403" w:rsidRPr="007A1992" w14:paraId="176B93B3" w14:textId="77777777" w:rsidTr="00C642C9">
        <w:trPr>
          <w:trHeight w:val="159"/>
        </w:trPr>
        <w:tc>
          <w:tcPr>
            <w:cnfStyle w:val="001000000000" w:firstRow="0" w:lastRow="0" w:firstColumn="1" w:lastColumn="0" w:oddVBand="0" w:evenVBand="0" w:oddHBand="0" w:evenHBand="0" w:firstRowFirstColumn="0" w:firstRowLastColumn="0" w:lastRowFirstColumn="0" w:lastRowLastColumn="0"/>
            <w:tcW w:w="1696" w:type="dxa"/>
          </w:tcPr>
          <w:p w14:paraId="77F0DB3E" w14:textId="77777777" w:rsidR="00AC2403" w:rsidRPr="00127A74" w:rsidRDefault="00AC2403" w:rsidP="00AC2403">
            <w:pPr>
              <w:rPr>
                <w:b/>
                <w:bCs/>
              </w:rPr>
            </w:pPr>
            <w:r w:rsidRPr="00127A74">
              <w:rPr>
                <w:b/>
                <w:bCs/>
              </w:rPr>
              <w:t>Important potential risks</w:t>
            </w:r>
          </w:p>
        </w:tc>
        <w:tc>
          <w:tcPr>
            <w:tcW w:w="2268" w:type="dxa"/>
          </w:tcPr>
          <w:p w14:paraId="6E17E14A" w14:textId="70E4C630" w:rsidR="00AC2403" w:rsidRPr="00127A74" w:rsidRDefault="00AC2403" w:rsidP="00AC2403">
            <w:pPr>
              <w:cnfStyle w:val="000000000000" w:firstRow="0" w:lastRow="0" w:firstColumn="0" w:lastColumn="0" w:oddVBand="0" w:evenVBand="0" w:oddHBand="0" w:evenHBand="0" w:firstRowFirstColumn="0" w:firstRowLastColumn="0" w:lastRowFirstColumn="0" w:lastRowLastColumn="0"/>
            </w:pPr>
            <w:r>
              <w:t>Thromboembolism</w:t>
            </w:r>
          </w:p>
        </w:tc>
        <w:tc>
          <w:tcPr>
            <w:tcW w:w="1134" w:type="dxa"/>
          </w:tcPr>
          <w:p w14:paraId="252AD92F" w14:textId="7C836F08" w:rsidR="00AC2403" w:rsidRPr="00127A74" w:rsidRDefault="00520C28" w:rsidP="00AC2403">
            <w:pP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418" w:type="dxa"/>
          </w:tcPr>
          <w:p w14:paraId="77DA98F1" w14:textId="72281345" w:rsidR="00AC2403" w:rsidRPr="00127A74" w:rsidRDefault="00520C28" w:rsidP="00AC2403">
            <w:pP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r w:rsidR="00BB524C">
              <w:t>∗</w:t>
            </w:r>
          </w:p>
        </w:tc>
        <w:tc>
          <w:tcPr>
            <w:tcW w:w="1134" w:type="dxa"/>
          </w:tcPr>
          <w:p w14:paraId="182A5096" w14:textId="0BFF5584" w:rsidR="00AC2403" w:rsidRPr="00127A74" w:rsidRDefault="00520C28" w:rsidP="00AC2403">
            <w:pP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417" w:type="dxa"/>
          </w:tcPr>
          <w:p w14:paraId="2A6247DC" w14:textId="2963136A" w:rsidR="00AC2403" w:rsidRPr="00127A74" w:rsidRDefault="00AC2403" w:rsidP="00AC2403">
            <w:pPr>
              <w:cnfStyle w:val="000000000000" w:firstRow="0" w:lastRow="0" w:firstColumn="0" w:lastColumn="0" w:oddVBand="0" w:evenVBand="0" w:oddHBand="0" w:evenHBand="0" w:firstRowFirstColumn="0" w:firstRowLastColumn="0" w:lastRowFirstColumn="0" w:lastRowLastColumn="0"/>
            </w:pPr>
            <w:r w:rsidRPr="003A2A16">
              <w:t>_</w:t>
            </w:r>
          </w:p>
        </w:tc>
      </w:tr>
      <w:tr w:rsidR="00520C28" w:rsidRPr="007A1992" w14:paraId="74C5E610" w14:textId="77777777" w:rsidTr="00C642C9">
        <w:trPr>
          <w:trHeight w:val="178"/>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262C65E3" w14:textId="77777777" w:rsidR="00520C28" w:rsidRPr="00127A74" w:rsidRDefault="00520C28" w:rsidP="00520C28">
            <w:pPr>
              <w:rPr>
                <w:b/>
                <w:bCs/>
              </w:rPr>
            </w:pPr>
            <w:r w:rsidRPr="00127A74">
              <w:rPr>
                <w:b/>
                <w:bCs/>
              </w:rPr>
              <w:t>Missing information</w:t>
            </w:r>
          </w:p>
        </w:tc>
        <w:tc>
          <w:tcPr>
            <w:tcW w:w="2268" w:type="dxa"/>
          </w:tcPr>
          <w:p w14:paraId="104D79CD" w14:textId="2A000B81"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t>Use in pregnancy</w:t>
            </w:r>
            <w:r w:rsidR="00963E5D">
              <w:t>†</w:t>
            </w:r>
          </w:p>
        </w:tc>
        <w:tc>
          <w:tcPr>
            <w:tcW w:w="1134" w:type="dxa"/>
          </w:tcPr>
          <w:p w14:paraId="07467A21" w14:textId="495DB944"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A013AB">
              <w:rPr>
                <w:rFonts w:ascii="Wingdings" w:eastAsia="Wingdings" w:hAnsi="Wingdings" w:cs="Wingdings"/>
              </w:rPr>
              <w:t>ü</w:t>
            </w:r>
          </w:p>
        </w:tc>
        <w:tc>
          <w:tcPr>
            <w:tcW w:w="1418" w:type="dxa"/>
          </w:tcPr>
          <w:p w14:paraId="35C7F07F" w14:textId="32BE6AB1"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3A2A16">
              <w:t>_</w:t>
            </w:r>
          </w:p>
        </w:tc>
        <w:tc>
          <w:tcPr>
            <w:tcW w:w="1134" w:type="dxa"/>
          </w:tcPr>
          <w:p w14:paraId="52620DEE" w14:textId="21F367CA"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417" w:type="dxa"/>
          </w:tcPr>
          <w:p w14:paraId="16BD3C7B" w14:textId="58EC9483"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3A2A16">
              <w:t>_</w:t>
            </w:r>
          </w:p>
        </w:tc>
      </w:tr>
      <w:tr w:rsidR="00520C28" w:rsidRPr="007A1992" w14:paraId="0E5AEFE4" w14:textId="77777777" w:rsidTr="00C642C9">
        <w:trPr>
          <w:trHeight w:val="103"/>
        </w:trPr>
        <w:tc>
          <w:tcPr>
            <w:cnfStyle w:val="001000000000" w:firstRow="0" w:lastRow="0" w:firstColumn="1" w:lastColumn="0" w:oddVBand="0" w:evenVBand="0" w:oddHBand="0" w:evenHBand="0" w:firstRowFirstColumn="0" w:firstRowLastColumn="0" w:lastRowFirstColumn="0" w:lastRowLastColumn="0"/>
            <w:tcW w:w="1696" w:type="dxa"/>
            <w:vMerge/>
          </w:tcPr>
          <w:p w14:paraId="6717FA88" w14:textId="77777777" w:rsidR="00520C28" w:rsidRPr="00127A74" w:rsidRDefault="00520C28" w:rsidP="00520C28"/>
        </w:tc>
        <w:tc>
          <w:tcPr>
            <w:tcW w:w="2268" w:type="dxa"/>
          </w:tcPr>
          <w:p w14:paraId="1DF32407" w14:textId="71086443"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t>Use in lactation</w:t>
            </w:r>
            <w:r w:rsidR="00963E5D">
              <w:t>†</w:t>
            </w:r>
          </w:p>
        </w:tc>
        <w:tc>
          <w:tcPr>
            <w:tcW w:w="1134" w:type="dxa"/>
          </w:tcPr>
          <w:p w14:paraId="13B9D43F" w14:textId="2B992F96"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A013AB">
              <w:rPr>
                <w:rFonts w:ascii="Wingdings" w:eastAsia="Wingdings" w:hAnsi="Wingdings" w:cs="Wingdings"/>
              </w:rPr>
              <w:t>ü</w:t>
            </w:r>
          </w:p>
        </w:tc>
        <w:tc>
          <w:tcPr>
            <w:tcW w:w="1418" w:type="dxa"/>
          </w:tcPr>
          <w:p w14:paraId="5B103519" w14:textId="4E0FDD1E"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3A2A16">
              <w:t>_</w:t>
            </w:r>
          </w:p>
        </w:tc>
        <w:tc>
          <w:tcPr>
            <w:tcW w:w="1134" w:type="dxa"/>
          </w:tcPr>
          <w:p w14:paraId="17D1F379" w14:textId="0FB235BC"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417" w:type="dxa"/>
          </w:tcPr>
          <w:p w14:paraId="6C76384E" w14:textId="070A389D"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3A2A16">
              <w:t>_</w:t>
            </w:r>
          </w:p>
        </w:tc>
      </w:tr>
      <w:tr w:rsidR="00520C28" w:rsidRPr="007A1992" w14:paraId="4E408A76" w14:textId="77777777" w:rsidTr="00C642C9">
        <w:trPr>
          <w:trHeight w:val="103"/>
        </w:trPr>
        <w:tc>
          <w:tcPr>
            <w:cnfStyle w:val="001000000000" w:firstRow="0" w:lastRow="0" w:firstColumn="1" w:lastColumn="0" w:oddVBand="0" w:evenVBand="0" w:oddHBand="0" w:evenHBand="0" w:firstRowFirstColumn="0" w:firstRowLastColumn="0" w:lastRowFirstColumn="0" w:lastRowLastColumn="0"/>
            <w:tcW w:w="1696" w:type="dxa"/>
            <w:vMerge/>
          </w:tcPr>
          <w:p w14:paraId="616A0C36" w14:textId="77777777" w:rsidR="00520C28" w:rsidRPr="00127A74" w:rsidRDefault="00520C28" w:rsidP="00520C28"/>
        </w:tc>
        <w:tc>
          <w:tcPr>
            <w:tcW w:w="2268" w:type="dxa"/>
          </w:tcPr>
          <w:p w14:paraId="3C6353C0" w14:textId="69FB546D"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t>Use in female patients</w:t>
            </w:r>
            <w:r w:rsidR="00963E5D">
              <w:t>†</w:t>
            </w:r>
          </w:p>
        </w:tc>
        <w:tc>
          <w:tcPr>
            <w:tcW w:w="1134" w:type="dxa"/>
          </w:tcPr>
          <w:p w14:paraId="4990C850" w14:textId="2EC344B7"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A013AB">
              <w:rPr>
                <w:rFonts w:ascii="Wingdings" w:eastAsia="Wingdings" w:hAnsi="Wingdings" w:cs="Wingdings"/>
              </w:rPr>
              <w:t>ü</w:t>
            </w:r>
          </w:p>
        </w:tc>
        <w:tc>
          <w:tcPr>
            <w:tcW w:w="1418" w:type="dxa"/>
          </w:tcPr>
          <w:p w14:paraId="52617D8D" w14:textId="51A2B96A"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3A2A16">
              <w:t>_</w:t>
            </w:r>
          </w:p>
        </w:tc>
        <w:tc>
          <w:tcPr>
            <w:tcW w:w="1134" w:type="dxa"/>
          </w:tcPr>
          <w:p w14:paraId="011A77EC" w14:textId="31D73D9A"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3A2A16">
              <w:t>_</w:t>
            </w:r>
          </w:p>
        </w:tc>
        <w:tc>
          <w:tcPr>
            <w:tcW w:w="1417" w:type="dxa"/>
          </w:tcPr>
          <w:p w14:paraId="6F774936" w14:textId="2E2A9C67"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3A2A16">
              <w:t>_</w:t>
            </w:r>
          </w:p>
        </w:tc>
      </w:tr>
      <w:tr w:rsidR="00520C28" w:rsidRPr="007A1992" w14:paraId="759154D1" w14:textId="77777777" w:rsidTr="00C642C9">
        <w:trPr>
          <w:trHeight w:val="103"/>
        </w:trPr>
        <w:tc>
          <w:tcPr>
            <w:cnfStyle w:val="001000000000" w:firstRow="0" w:lastRow="0" w:firstColumn="1" w:lastColumn="0" w:oddVBand="0" w:evenVBand="0" w:oddHBand="0" w:evenHBand="0" w:firstRowFirstColumn="0" w:firstRowLastColumn="0" w:lastRowFirstColumn="0" w:lastRowLastColumn="0"/>
            <w:tcW w:w="1696" w:type="dxa"/>
            <w:vMerge/>
          </w:tcPr>
          <w:p w14:paraId="751CF241" w14:textId="77777777" w:rsidR="00520C28" w:rsidRPr="00127A74" w:rsidRDefault="00520C28" w:rsidP="00520C28"/>
        </w:tc>
        <w:tc>
          <w:tcPr>
            <w:tcW w:w="2268" w:type="dxa"/>
          </w:tcPr>
          <w:p w14:paraId="7286AE2F" w14:textId="795F7A7A"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74D3E">
              <w:t xml:space="preserve">Patients with current or history of </w:t>
            </w:r>
            <w:proofErr w:type="gramStart"/>
            <w:r w:rsidRPr="00F74D3E">
              <w:t>cardiovascular  conditions</w:t>
            </w:r>
            <w:proofErr w:type="gramEnd"/>
            <w:r w:rsidRPr="00F74D3E">
              <w:t xml:space="preserve"> (coronary artery disease</w:t>
            </w:r>
            <w:r w:rsidR="00963E5D">
              <w:t xml:space="preserve"> </w:t>
            </w:r>
            <w:r w:rsidRPr="00F74D3E">
              <w:t>/</w:t>
            </w:r>
            <w:r w:rsidR="00963E5D">
              <w:t xml:space="preserve"> </w:t>
            </w:r>
            <w:r w:rsidRPr="00F74D3E">
              <w:t>thrombosis/</w:t>
            </w:r>
            <w:r w:rsidR="00963E5D">
              <w:t xml:space="preserve"> </w:t>
            </w:r>
            <w:r w:rsidRPr="00F74D3E">
              <w:t xml:space="preserve">ischaemic </w:t>
            </w:r>
            <w:proofErr w:type="gramStart"/>
            <w:r w:rsidRPr="00F74D3E">
              <w:t>disease)</w:t>
            </w:r>
            <w:r w:rsidR="00963E5D">
              <w:t>†</w:t>
            </w:r>
            <w:proofErr w:type="gramEnd"/>
          </w:p>
        </w:tc>
        <w:tc>
          <w:tcPr>
            <w:tcW w:w="1134" w:type="dxa"/>
          </w:tcPr>
          <w:p w14:paraId="33D5239B" w14:textId="142FF54D"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A013AB">
              <w:rPr>
                <w:rFonts w:ascii="Wingdings" w:eastAsia="Wingdings" w:hAnsi="Wingdings" w:cs="Wingdings"/>
              </w:rPr>
              <w:t>ü</w:t>
            </w:r>
          </w:p>
        </w:tc>
        <w:tc>
          <w:tcPr>
            <w:tcW w:w="1418" w:type="dxa"/>
          </w:tcPr>
          <w:p w14:paraId="12C3C5C2" w14:textId="4D09CC2F"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04B31">
              <w:t>_</w:t>
            </w:r>
          </w:p>
        </w:tc>
        <w:tc>
          <w:tcPr>
            <w:tcW w:w="1134" w:type="dxa"/>
          </w:tcPr>
          <w:p w14:paraId="7B864BC9" w14:textId="78F65FED"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417" w:type="dxa"/>
          </w:tcPr>
          <w:p w14:paraId="6A165394" w14:textId="28946F22"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04B31">
              <w:t>_</w:t>
            </w:r>
          </w:p>
        </w:tc>
      </w:tr>
      <w:tr w:rsidR="00520C28" w:rsidRPr="007A1992" w14:paraId="6FAC234E" w14:textId="77777777" w:rsidTr="00C642C9">
        <w:trPr>
          <w:trHeight w:val="103"/>
        </w:trPr>
        <w:tc>
          <w:tcPr>
            <w:cnfStyle w:val="001000000000" w:firstRow="0" w:lastRow="0" w:firstColumn="1" w:lastColumn="0" w:oddVBand="0" w:evenVBand="0" w:oddHBand="0" w:evenHBand="0" w:firstRowFirstColumn="0" w:firstRowLastColumn="0" w:lastRowFirstColumn="0" w:lastRowLastColumn="0"/>
            <w:tcW w:w="1696" w:type="dxa"/>
            <w:vMerge/>
          </w:tcPr>
          <w:p w14:paraId="75F553E7" w14:textId="77777777" w:rsidR="00520C28" w:rsidRPr="00127A74" w:rsidRDefault="00520C28" w:rsidP="00520C28"/>
        </w:tc>
        <w:tc>
          <w:tcPr>
            <w:tcW w:w="2268" w:type="dxa"/>
          </w:tcPr>
          <w:p w14:paraId="5FA0A8CC" w14:textId="7D4560F0"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74D3E">
              <w:t>Use in elderly patients</w:t>
            </w:r>
            <w:r w:rsidR="00963E5D">
              <w:t>†</w:t>
            </w:r>
          </w:p>
        </w:tc>
        <w:tc>
          <w:tcPr>
            <w:tcW w:w="1134" w:type="dxa"/>
          </w:tcPr>
          <w:p w14:paraId="317878E5" w14:textId="0EE25621"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A013AB">
              <w:rPr>
                <w:rFonts w:ascii="Wingdings" w:eastAsia="Wingdings" w:hAnsi="Wingdings" w:cs="Wingdings"/>
              </w:rPr>
              <w:t>ü</w:t>
            </w:r>
          </w:p>
        </w:tc>
        <w:tc>
          <w:tcPr>
            <w:tcW w:w="1418" w:type="dxa"/>
          </w:tcPr>
          <w:p w14:paraId="75C2BA69" w14:textId="0BEAFE38"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04B31">
              <w:t>_</w:t>
            </w:r>
          </w:p>
        </w:tc>
        <w:tc>
          <w:tcPr>
            <w:tcW w:w="1134" w:type="dxa"/>
          </w:tcPr>
          <w:p w14:paraId="4A764A73" w14:textId="6D70EBE4"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417" w:type="dxa"/>
          </w:tcPr>
          <w:p w14:paraId="371304CE" w14:textId="617830F5"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04B31">
              <w:t>_</w:t>
            </w:r>
          </w:p>
        </w:tc>
      </w:tr>
      <w:tr w:rsidR="00520C28" w:rsidRPr="007A1992" w14:paraId="2844C40C" w14:textId="77777777" w:rsidTr="00C642C9">
        <w:trPr>
          <w:trHeight w:val="103"/>
        </w:trPr>
        <w:tc>
          <w:tcPr>
            <w:cnfStyle w:val="001000000000" w:firstRow="0" w:lastRow="0" w:firstColumn="1" w:lastColumn="0" w:oddVBand="0" w:evenVBand="0" w:oddHBand="0" w:evenHBand="0" w:firstRowFirstColumn="0" w:firstRowLastColumn="0" w:lastRowFirstColumn="0" w:lastRowLastColumn="0"/>
            <w:tcW w:w="1696" w:type="dxa"/>
            <w:vMerge/>
          </w:tcPr>
          <w:p w14:paraId="52180E1D" w14:textId="77777777" w:rsidR="00520C28" w:rsidRPr="00127A74" w:rsidRDefault="00520C28" w:rsidP="00520C28"/>
        </w:tc>
        <w:tc>
          <w:tcPr>
            <w:tcW w:w="2268" w:type="dxa"/>
          </w:tcPr>
          <w:p w14:paraId="7FE260A6" w14:textId="69A4D85D"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74D3E">
              <w:t>Use in moderate to severe hepatic impairment</w:t>
            </w:r>
            <w:r w:rsidR="00963E5D">
              <w:t>†</w:t>
            </w:r>
          </w:p>
        </w:tc>
        <w:tc>
          <w:tcPr>
            <w:tcW w:w="1134" w:type="dxa"/>
          </w:tcPr>
          <w:p w14:paraId="2AA2B2A6" w14:textId="1C0EEA96"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A013AB">
              <w:rPr>
                <w:rFonts w:ascii="Wingdings" w:eastAsia="Wingdings" w:hAnsi="Wingdings" w:cs="Wingdings"/>
              </w:rPr>
              <w:t>ü</w:t>
            </w:r>
          </w:p>
        </w:tc>
        <w:tc>
          <w:tcPr>
            <w:tcW w:w="1418" w:type="dxa"/>
          </w:tcPr>
          <w:p w14:paraId="3EAC44F9" w14:textId="51276756"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04B31">
              <w:t>_</w:t>
            </w:r>
          </w:p>
        </w:tc>
        <w:tc>
          <w:tcPr>
            <w:tcW w:w="1134" w:type="dxa"/>
          </w:tcPr>
          <w:p w14:paraId="71DEE6E9" w14:textId="18A96A09"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t>ü</w:t>
            </w:r>
          </w:p>
        </w:tc>
        <w:tc>
          <w:tcPr>
            <w:tcW w:w="1417" w:type="dxa"/>
          </w:tcPr>
          <w:p w14:paraId="0F4D6C69" w14:textId="5AFB1D64"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04B31">
              <w:t>_</w:t>
            </w:r>
          </w:p>
        </w:tc>
      </w:tr>
      <w:tr w:rsidR="00520C28" w:rsidRPr="007A1992" w14:paraId="7D0EBB55" w14:textId="77777777" w:rsidTr="006B2987">
        <w:trPr>
          <w:trHeight w:val="595"/>
        </w:trPr>
        <w:tc>
          <w:tcPr>
            <w:cnfStyle w:val="001000000000" w:firstRow="0" w:lastRow="0" w:firstColumn="1" w:lastColumn="0" w:oddVBand="0" w:evenVBand="0" w:oddHBand="0" w:evenHBand="0" w:firstRowFirstColumn="0" w:firstRowLastColumn="0" w:lastRowFirstColumn="0" w:lastRowLastColumn="0"/>
            <w:tcW w:w="1696" w:type="dxa"/>
            <w:vMerge/>
          </w:tcPr>
          <w:p w14:paraId="51B1B281" w14:textId="77777777" w:rsidR="00520C28" w:rsidRPr="00127A74" w:rsidRDefault="00520C28" w:rsidP="00520C28"/>
        </w:tc>
        <w:tc>
          <w:tcPr>
            <w:tcW w:w="2268" w:type="dxa"/>
          </w:tcPr>
          <w:p w14:paraId="2919CCF1" w14:textId="074212E1"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t>Long-term use</w:t>
            </w:r>
            <w:r w:rsidR="00963E5D">
              <w:t>†</w:t>
            </w:r>
          </w:p>
        </w:tc>
        <w:tc>
          <w:tcPr>
            <w:tcW w:w="1134" w:type="dxa"/>
          </w:tcPr>
          <w:p w14:paraId="5DD7F75D" w14:textId="034A319F"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A013AB">
              <w:rPr>
                <w:rFonts w:ascii="Wingdings" w:eastAsia="Wingdings" w:hAnsi="Wingdings" w:cs="Wingdings"/>
              </w:rPr>
              <w:t>ü</w:t>
            </w:r>
          </w:p>
        </w:tc>
        <w:tc>
          <w:tcPr>
            <w:tcW w:w="1418" w:type="dxa"/>
          </w:tcPr>
          <w:p w14:paraId="4139A55E" w14:textId="6FB42289"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04B31">
              <w:t>_</w:t>
            </w:r>
          </w:p>
        </w:tc>
        <w:tc>
          <w:tcPr>
            <w:tcW w:w="1134" w:type="dxa"/>
          </w:tcPr>
          <w:p w14:paraId="5B89E748" w14:textId="692E197B"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04B31">
              <w:t>_</w:t>
            </w:r>
          </w:p>
        </w:tc>
        <w:tc>
          <w:tcPr>
            <w:tcW w:w="1417" w:type="dxa"/>
          </w:tcPr>
          <w:p w14:paraId="547A90B8" w14:textId="6EA35EDD" w:rsidR="00520C28" w:rsidRPr="00127A74" w:rsidRDefault="00520C28" w:rsidP="00520C28">
            <w:pPr>
              <w:cnfStyle w:val="000000000000" w:firstRow="0" w:lastRow="0" w:firstColumn="0" w:lastColumn="0" w:oddVBand="0" w:evenVBand="0" w:oddHBand="0" w:evenHBand="0" w:firstRowFirstColumn="0" w:firstRowLastColumn="0" w:lastRowFirstColumn="0" w:lastRowLastColumn="0"/>
            </w:pPr>
            <w:r w:rsidRPr="00F04B31">
              <w:t>_</w:t>
            </w:r>
          </w:p>
        </w:tc>
      </w:tr>
    </w:tbl>
    <w:p w14:paraId="6C04A31B" w14:textId="0B2ED985" w:rsidR="00963E5D" w:rsidRPr="0077780A" w:rsidRDefault="00BB524C" w:rsidP="0077780A">
      <w:pPr>
        <w:pStyle w:val="TableDescription"/>
      </w:pPr>
      <w:r w:rsidRPr="0077780A">
        <w:t>∗</w:t>
      </w:r>
      <w:r w:rsidR="00963E5D" w:rsidRPr="0077780A">
        <w:t xml:space="preserve"> Post Authorisation Safety Study (PASS) (B7841016)</w:t>
      </w:r>
    </w:p>
    <w:p w14:paraId="3C75DEF8" w14:textId="376FB499" w:rsidR="00963E5D" w:rsidRPr="0077780A" w:rsidRDefault="00963E5D" w:rsidP="0077780A">
      <w:pPr>
        <w:pStyle w:val="TableDescription"/>
      </w:pPr>
      <w:r w:rsidRPr="0077780A">
        <w:t>†</w:t>
      </w:r>
      <w:r w:rsidR="0000013E" w:rsidRPr="0077780A">
        <w:t xml:space="preserve"> Australian specific safety concern</w:t>
      </w:r>
    </w:p>
    <w:p w14:paraId="6436B692" w14:textId="5861594D" w:rsidR="00B53CE5" w:rsidRPr="00E62061" w:rsidRDefault="00B53CE5" w:rsidP="00B53CE5">
      <w:r w:rsidRPr="00B32837">
        <w:t xml:space="preserve">The summary of safety concerns proposed in the </w:t>
      </w:r>
      <w:r w:rsidR="00B32837" w:rsidRPr="00B32837">
        <w:t>Australia-specific annex (</w:t>
      </w:r>
      <w:r w:rsidRPr="00B32837">
        <w:t>ASA</w:t>
      </w:r>
      <w:r w:rsidR="00B32837" w:rsidRPr="00B32837">
        <w:t>)</w:t>
      </w:r>
      <w:r w:rsidRPr="00B32837">
        <w:t xml:space="preserve"> align</w:t>
      </w:r>
      <w:r w:rsidR="002110C6" w:rsidRPr="00B32837">
        <w:t>s</w:t>
      </w:r>
      <w:r w:rsidRPr="00B32837">
        <w:t xml:space="preserve"> with the</w:t>
      </w:r>
      <w:r w:rsidRPr="00E62061">
        <w:t xml:space="preserve"> draft EU</w:t>
      </w:r>
      <w:r w:rsidR="005415B2">
        <w:t>-</w:t>
      </w:r>
      <w:r w:rsidRPr="00E62061">
        <w:t>RMP with additional Australian specific missing information categories. The summary of safety concerns is acceptable from an RMP perspective.</w:t>
      </w:r>
    </w:p>
    <w:p w14:paraId="2206DFEC" w14:textId="72682273" w:rsidR="00B53CE5" w:rsidRPr="00E62061" w:rsidRDefault="00B53CE5" w:rsidP="00B53CE5">
      <w:pPr>
        <w:rPr>
          <w:b/>
        </w:rPr>
      </w:pPr>
      <w:r w:rsidRPr="00B32837">
        <w:t>The proposed pharmacovigilance (PV) plan in the ASA aligns with the PV plan in the draft EU</w:t>
      </w:r>
      <w:r w:rsidR="005415B2">
        <w:t>-</w:t>
      </w:r>
      <w:r w:rsidRPr="00B32837">
        <w:t xml:space="preserve">RMP which includes routine PV as well as additional PV to address ‘thromboembolism’ in the form of a </w:t>
      </w:r>
      <w:r w:rsidR="007C41AF" w:rsidRPr="00B32837">
        <w:t>Post Authorisation Safety Study (PASS)</w:t>
      </w:r>
      <w:r w:rsidRPr="00B32837">
        <w:t xml:space="preserve">. </w:t>
      </w:r>
      <w:r w:rsidR="007C41AF" w:rsidRPr="00B32837">
        <w:t>T</w:t>
      </w:r>
      <w:r w:rsidRPr="00B32837">
        <w:t>he Australian specific missing information</w:t>
      </w:r>
      <w:r w:rsidRPr="00E62061">
        <w:t xml:space="preserve"> categories will be further characterised by routine PV activities. The PV plan is acceptable from an RMP perspective.</w:t>
      </w:r>
    </w:p>
    <w:p w14:paraId="7CC93540" w14:textId="77777777" w:rsidR="00B53CE5" w:rsidRPr="00E62061" w:rsidRDefault="00B53CE5" w:rsidP="00B53CE5">
      <w:r w:rsidRPr="00E62061">
        <w:lastRenderedPageBreak/>
        <w:t>Routine risk minimisation activities have been proposed in the ASA for all safety concerns except missing information ‘use in female patents’ and ‘long term use’. No additional risk minimisation has been proposed. This is acceptable from an RMP perspective.</w:t>
      </w:r>
    </w:p>
    <w:p w14:paraId="16E5DFAA" w14:textId="24C21550" w:rsidR="00032A0F" w:rsidRPr="005415B2" w:rsidRDefault="00032A0F" w:rsidP="003B149C">
      <w:pPr>
        <w:rPr>
          <w:rFonts w:eastAsia="Cambria" w:cs="Times New Roman"/>
          <w:i/>
          <w:szCs w:val="22"/>
        </w:rPr>
      </w:pPr>
      <w:r w:rsidRPr="005415B2">
        <w:t>The RMP evaluation recommended conditions of registration relating to the versions of the risk management plan, requirement for periodic safety update reports, and inclusion of the medicine in the Black Triangle Scheme.</w:t>
      </w:r>
    </w:p>
    <w:p w14:paraId="74A4F87F" w14:textId="77777777" w:rsidR="00C22214" w:rsidRDefault="00C22214" w:rsidP="00C22214">
      <w:pPr>
        <w:pStyle w:val="Heading3"/>
      </w:pPr>
      <w:bookmarkStart w:id="92" w:name="_Toc103679299"/>
      <w:bookmarkStart w:id="93" w:name="_Toc212036852"/>
      <w:r>
        <w:t>Risk-benefit analysis</w:t>
      </w:r>
      <w:bookmarkEnd w:id="89"/>
      <w:bookmarkEnd w:id="90"/>
      <w:bookmarkEnd w:id="92"/>
      <w:bookmarkEnd w:id="93"/>
    </w:p>
    <w:p w14:paraId="77DE2655" w14:textId="77777777" w:rsidR="00C22214" w:rsidRDefault="00C22214" w:rsidP="0077780A">
      <w:pPr>
        <w:pStyle w:val="Heading5"/>
      </w:pPr>
      <w:bookmarkStart w:id="94" w:name="_Toc98931932"/>
      <w:r>
        <w:t>Delegate’s considerations</w:t>
      </w:r>
      <w:bookmarkEnd w:id="94"/>
    </w:p>
    <w:p w14:paraId="08CF47FD" w14:textId="29554C39" w:rsidR="00CB53EB" w:rsidRDefault="00CB53EB" w:rsidP="00CB53EB">
      <w:r w:rsidRPr="008456EE">
        <w:t>Marstacimab</w:t>
      </w:r>
      <w:r>
        <w:t xml:space="preserve"> is proposed for the routine prophylaxis of patients aged 12 years and older for severe haemophilia A and haemophilia B with no factor VIII or factor IX inhibitors respectively. The key data are based on a single pivotal study which was open-label and a single-arm, sequential crossover design.</w:t>
      </w:r>
    </w:p>
    <w:p w14:paraId="13096FE2" w14:textId="77777777" w:rsidR="00CB53EB" w:rsidRPr="00E009B8" w:rsidRDefault="00CB53EB" w:rsidP="00CB53EB">
      <w:pPr>
        <w:pStyle w:val="Heading5"/>
        <w:rPr>
          <w:lang w:eastAsia="ja-JP"/>
        </w:rPr>
      </w:pPr>
      <w:r w:rsidRPr="00E009B8">
        <w:rPr>
          <w:lang w:eastAsia="ja-JP"/>
        </w:rPr>
        <w:t>Efficacy</w:t>
      </w:r>
    </w:p>
    <w:p w14:paraId="6C15E2B4" w14:textId="0574E778" w:rsidR="00CB53EB" w:rsidRPr="00CB53EB" w:rsidRDefault="00CB53EB" w:rsidP="00CB53EB">
      <w:pPr>
        <w:rPr>
          <w:lang w:eastAsia="ja-JP"/>
        </w:rPr>
      </w:pPr>
      <w:r w:rsidRPr="00CB53EB">
        <w:rPr>
          <w:lang w:eastAsia="ja-JP"/>
        </w:rPr>
        <w:t>In the pivotal study, for the non-inhibitor, on-demand group, the mean (95% CI) model</w:t>
      </w:r>
      <w:r w:rsidR="00B32837">
        <w:rPr>
          <w:lang w:eastAsia="ja-JP"/>
        </w:rPr>
        <w:t>-</w:t>
      </w:r>
      <w:r w:rsidRPr="00CB53EB">
        <w:rPr>
          <w:lang w:eastAsia="ja-JP"/>
        </w:rPr>
        <w:t>based estimate for ABR during the observation period was 38.00 (31.03 to 46.54) /year and during the active treatment phase was 3.18 (2.09 to 4.85) /year, ratio estimate (95% CI) 0.084 (0.059 to 0.119) p</w:t>
      </w:r>
      <w:r>
        <w:rPr>
          <w:lang w:eastAsia="ja-JP"/>
        </w:rPr>
        <w:t> </w:t>
      </w:r>
      <w:r w:rsidRPr="00CB53EB">
        <w:rPr>
          <w:lang w:eastAsia="ja-JP"/>
        </w:rPr>
        <w:t>&lt;</w:t>
      </w:r>
      <w:r>
        <w:rPr>
          <w:lang w:eastAsia="ja-JP"/>
        </w:rPr>
        <w:t> </w:t>
      </w:r>
      <w:r w:rsidRPr="00CB53EB">
        <w:rPr>
          <w:lang w:eastAsia="ja-JP"/>
        </w:rPr>
        <w:t>0.001.</w:t>
      </w:r>
    </w:p>
    <w:p w14:paraId="1EA6F6AC" w14:textId="6527901A" w:rsidR="00CB53EB" w:rsidRPr="00CB53EB" w:rsidRDefault="00CB53EB" w:rsidP="00CB53EB">
      <w:pPr>
        <w:rPr>
          <w:lang w:eastAsia="ja-JP"/>
        </w:rPr>
      </w:pPr>
      <w:r w:rsidRPr="00CB53EB">
        <w:rPr>
          <w:lang w:eastAsia="ja-JP"/>
        </w:rPr>
        <w:t xml:space="preserve">In this group, efficacy was demonstrated separately for haemophilia A, ratio estimate (95% CI) 0.0894 (0.062 to 0.130) and </w:t>
      </w:r>
      <w:r>
        <w:rPr>
          <w:lang w:eastAsia="ja-JP"/>
        </w:rPr>
        <w:t>h</w:t>
      </w:r>
      <w:r w:rsidRPr="00CB53EB">
        <w:rPr>
          <w:lang w:eastAsia="ja-JP"/>
        </w:rPr>
        <w:t>aemophilia B, ratio estimate (95% CI) 0.036 (0.012 to 0.111).</w:t>
      </w:r>
    </w:p>
    <w:p w14:paraId="0651F1E4" w14:textId="679E53D8" w:rsidR="00CB53EB" w:rsidRPr="00CB53EB" w:rsidRDefault="00CB53EB" w:rsidP="00CB53EB">
      <w:pPr>
        <w:rPr>
          <w:lang w:eastAsia="ja-JP"/>
        </w:rPr>
      </w:pPr>
      <w:r w:rsidRPr="00CB53EB">
        <w:rPr>
          <w:lang w:eastAsia="ja-JP"/>
        </w:rPr>
        <w:t>Non-inferiority was demonstrated in the non-inhibitor, prophylaxis group, the mean (95% CI) model based estimate for ABR during the observation period was 7.85 (5.09 to 10.61) /year and during the active treatment phase was 5.08 (3.40 to 6.77) /year, rate difference (95% CI)</w:t>
      </w:r>
      <w:r w:rsidR="00475574">
        <w:rPr>
          <w:lang w:eastAsia="ja-JP"/>
        </w:rPr>
        <w:t xml:space="preserve"> −</w:t>
      </w:r>
      <w:r w:rsidRPr="00CB53EB">
        <w:rPr>
          <w:lang w:eastAsia="ja-JP"/>
        </w:rPr>
        <w:t>2.77 (</w:t>
      </w:r>
      <w:r w:rsidR="00475574">
        <w:rPr>
          <w:lang w:eastAsia="ja-JP"/>
        </w:rPr>
        <w:t>−</w:t>
      </w:r>
      <w:r w:rsidRPr="00CB53EB">
        <w:rPr>
          <w:lang w:eastAsia="ja-JP"/>
        </w:rPr>
        <w:t xml:space="preserve">5.37 to </w:t>
      </w:r>
      <w:r w:rsidR="00475574">
        <w:rPr>
          <w:lang w:eastAsia="ja-JP"/>
        </w:rPr>
        <w:t>−</w:t>
      </w:r>
      <w:r w:rsidRPr="00CB53EB">
        <w:rPr>
          <w:lang w:eastAsia="ja-JP"/>
        </w:rPr>
        <w:t xml:space="preserve">0.16), non-inferiority criterion was the upper bound of 95% CI </w:t>
      </w:r>
      <w:r w:rsidR="00475574">
        <w:rPr>
          <w:lang w:eastAsia="ja-JP"/>
        </w:rPr>
        <w:t xml:space="preserve">less than </w:t>
      </w:r>
      <w:r w:rsidRPr="00CB53EB">
        <w:rPr>
          <w:lang w:eastAsia="ja-JP"/>
        </w:rPr>
        <w:t>2.5.</w:t>
      </w:r>
    </w:p>
    <w:p w14:paraId="10B95D4C" w14:textId="77777777" w:rsidR="00CB53EB" w:rsidRPr="002A2CBD" w:rsidRDefault="00CB53EB" w:rsidP="00CB53EB">
      <w:pPr>
        <w:pStyle w:val="Heading6"/>
        <w:rPr>
          <w:lang w:eastAsia="ja-JP"/>
        </w:rPr>
      </w:pPr>
      <w:r w:rsidRPr="002A2CBD">
        <w:rPr>
          <w:lang w:eastAsia="ja-JP"/>
        </w:rPr>
        <w:t>Strengths and uncertainties</w:t>
      </w:r>
      <w:r>
        <w:rPr>
          <w:lang w:eastAsia="ja-JP"/>
        </w:rPr>
        <w:t xml:space="preserve"> of efficacy</w:t>
      </w:r>
    </w:p>
    <w:p w14:paraId="323CD931" w14:textId="515F10F1" w:rsidR="00CB53EB" w:rsidRPr="00CB53EB" w:rsidRDefault="00CB53EB" w:rsidP="00CB53EB">
      <w:pPr>
        <w:rPr>
          <w:lang w:eastAsia="ja-JP"/>
        </w:rPr>
      </w:pPr>
      <w:r w:rsidRPr="00CB53EB">
        <w:rPr>
          <w:lang w:eastAsia="ja-JP"/>
        </w:rPr>
        <w:t xml:space="preserve">The efficacy data </w:t>
      </w:r>
      <w:r w:rsidR="00475574">
        <w:rPr>
          <w:lang w:eastAsia="ja-JP"/>
        </w:rPr>
        <w:t>are</w:t>
      </w:r>
      <w:r w:rsidRPr="00CB53EB">
        <w:rPr>
          <w:lang w:eastAsia="ja-JP"/>
        </w:rPr>
        <w:t xml:space="preserve"> based on a single pivotal study. The study report was described as interim, but the </w:t>
      </w:r>
      <w:r w:rsidR="00475574">
        <w:rPr>
          <w:lang w:eastAsia="ja-JP"/>
        </w:rPr>
        <w:t>s</w:t>
      </w:r>
      <w:r w:rsidRPr="00CB53EB">
        <w:rPr>
          <w:lang w:eastAsia="ja-JP"/>
        </w:rPr>
        <w:t>ponsor indicates the analyses presented in the dossier are final. The baseline ABR in the prior prophylaxis population was unusually high and this might bias the estimate of treatment effect because of the phenomenon of deviation towards the mean.</w:t>
      </w:r>
    </w:p>
    <w:p w14:paraId="6365098F" w14:textId="77777777" w:rsidR="00CB53EB" w:rsidRPr="00CB53EB" w:rsidRDefault="00CB53EB" w:rsidP="00CB53EB">
      <w:pPr>
        <w:rPr>
          <w:lang w:eastAsia="ja-JP"/>
        </w:rPr>
      </w:pPr>
      <w:r w:rsidRPr="00CB53EB">
        <w:t xml:space="preserve">The target population is primarily the prior prophylaxis group and for this population the effect size was not </w:t>
      </w:r>
      <w:proofErr w:type="gramStart"/>
      <w:r w:rsidRPr="00CB53EB">
        <w:t>large</w:t>
      </w:r>
      <w:proofErr w:type="gramEnd"/>
      <w:r w:rsidRPr="00CB53EB">
        <w:t xml:space="preserve"> and the statistical significance was marginal.</w:t>
      </w:r>
    </w:p>
    <w:p w14:paraId="362CAE35" w14:textId="77777777" w:rsidR="00CB53EB" w:rsidRPr="002A2CBD" w:rsidRDefault="00CB53EB" w:rsidP="00CB53EB">
      <w:pPr>
        <w:pStyle w:val="Heading5"/>
        <w:rPr>
          <w:lang w:eastAsia="ja-JP"/>
        </w:rPr>
      </w:pPr>
      <w:r w:rsidRPr="002A2CBD">
        <w:rPr>
          <w:lang w:eastAsia="ja-JP"/>
        </w:rPr>
        <w:t>Safety</w:t>
      </w:r>
    </w:p>
    <w:p w14:paraId="6B23F95F" w14:textId="68C6BAD5" w:rsidR="00CB53EB" w:rsidRPr="00CB53EB" w:rsidRDefault="00CB53EB" w:rsidP="00CB53EB">
      <w:pPr>
        <w:rPr>
          <w:lang w:eastAsia="ja-JP"/>
        </w:rPr>
      </w:pPr>
      <w:r w:rsidRPr="00CB53EB">
        <w:rPr>
          <w:lang w:eastAsia="ja-JP"/>
        </w:rPr>
        <w:t xml:space="preserve">The rates of TEAEs in the pivotal study were increased in the active treatment phase compared with the observational phase, but this can be attributed to COVID-19 appearing </w:t>
      </w:r>
      <w:proofErr w:type="gramStart"/>
      <w:r w:rsidRPr="00CB53EB">
        <w:rPr>
          <w:lang w:eastAsia="ja-JP"/>
        </w:rPr>
        <w:t>during the course of</w:t>
      </w:r>
      <w:proofErr w:type="gramEnd"/>
      <w:r w:rsidRPr="00CB53EB">
        <w:rPr>
          <w:lang w:eastAsia="ja-JP"/>
        </w:rPr>
        <w:t xml:space="preserve"> the study. In </w:t>
      </w:r>
      <w:r w:rsidRPr="00CB53EB">
        <w:t xml:space="preserve">the non-inhibitor on-demand cohort, there were 22 TEAEs reported in 18 (48.6%) subjects during the observational phase and 35 in 20 (60.6%) </w:t>
      </w:r>
      <w:r w:rsidR="004700B5">
        <w:t xml:space="preserve">subjects </w:t>
      </w:r>
      <w:r w:rsidRPr="00CB53EB">
        <w:t xml:space="preserve">during the active treatment phase. In the non-inhibitor prophylaxis cohort, there were 44 TEAEs reported in 25 (27.5%) subjects during the observational phase and 262 in 66 (79.5%) </w:t>
      </w:r>
      <w:r w:rsidR="0069011B">
        <w:t xml:space="preserve">subjects </w:t>
      </w:r>
      <w:r w:rsidRPr="00CB53EB">
        <w:t>during the active treatment phase.</w:t>
      </w:r>
    </w:p>
    <w:p w14:paraId="5E22B4B6" w14:textId="77777777" w:rsidR="00CB53EB" w:rsidRPr="00CB53EB" w:rsidRDefault="00CB53EB" w:rsidP="00CB53EB">
      <w:pPr>
        <w:rPr>
          <w:lang w:eastAsia="ja-JP"/>
        </w:rPr>
      </w:pPr>
      <w:r w:rsidRPr="00CB53EB">
        <w:rPr>
          <w:lang w:eastAsia="ja-JP"/>
        </w:rPr>
        <w:t>There were few administration site reactions, and these were predominantly of minor severity.</w:t>
      </w:r>
    </w:p>
    <w:p w14:paraId="747B860D" w14:textId="77777777" w:rsidR="00CB53EB" w:rsidRPr="00CB53EB" w:rsidRDefault="00CB53EB" w:rsidP="00CB53EB">
      <w:pPr>
        <w:rPr>
          <w:lang w:eastAsia="ja-JP"/>
        </w:rPr>
      </w:pPr>
      <w:r w:rsidRPr="00CB53EB">
        <w:rPr>
          <w:lang w:eastAsia="ja-JP"/>
        </w:rPr>
        <w:t>There were no deaths reported during the development program.</w:t>
      </w:r>
    </w:p>
    <w:p w14:paraId="41D29C0E" w14:textId="2AFA5CEA" w:rsidR="00CB53EB" w:rsidRPr="00CB53EB" w:rsidRDefault="00CB53EB" w:rsidP="00CB53EB">
      <w:pPr>
        <w:rPr>
          <w:lang w:eastAsia="ja-JP"/>
        </w:rPr>
      </w:pPr>
      <w:r w:rsidRPr="00CB53EB">
        <w:rPr>
          <w:lang w:eastAsia="ja-JP"/>
        </w:rPr>
        <w:lastRenderedPageBreak/>
        <w:t xml:space="preserve">There were few SAEs, and one (in a healthy volunteer) that was attributable to treatment. This </w:t>
      </w:r>
      <w:r w:rsidRPr="005415B2">
        <w:rPr>
          <w:lang w:eastAsia="ja-JP"/>
        </w:rPr>
        <w:t>event was deep venous thrombosis and pulmonary embolism and resulted in the premature termination of the trial.</w:t>
      </w:r>
    </w:p>
    <w:p w14:paraId="47B99E53" w14:textId="77777777" w:rsidR="00CB53EB" w:rsidRPr="00CB53EB" w:rsidRDefault="00CB53EB" w:rsidP="00CB53EB">
      <w:pPr>
        <w:rPr>
          <w:lang w:eastAsia="ja-JP"/>
        </w:rPr>
      </w:pPr>
      <w:r w:rsidRPr="00CB53EB">
        <w:rPr>
          <w:lang w:eastAsia="ja-JP"/>
        </w:rPr>
        <w:t>There were few discontinuations and the changes in treatment dose were predominantly increases in dose in response to breakthrough bleeds.</w:t>
      </w:r>
    </w:p>
    <w:p w14:paraId="36FBBCCE" w14:textId="77777777" w:rsidR="00CB53EB" w:rsidRPr="00CB53EB" w:rsidRDefault="00CB53EB" w:rsidP="00CB53EB">
      <w:pPr>
        <w:rPr>
          <w:lang w:eastAsia="ja-JP"/>
        </w:rPr>
      </w:pPr>
      <w:r w:rsidRPr="00CB53EB">
        <w:rPr>
          <w:lang w:eastAsia="ja-JP"/>
        </w:rPr>
        <w:t>There were no concerning trends in clinical laboratory tests, including liver function, renal function and haematology.</w:t>
      </w:r>
    </w:p>
    <w:p w14:paraId="7286FED4" w14:textId="3F047F1B" w:rsidR="00CB53EB" w:rsidRPr="00CB53EB" w:rsidRDefault="00CB53EB" w:rsidP="00CB53EB">
      <w:r w:rsidRPr="00CB53EB">
        <w:rPr>
          <w:lang w:eastAsia="ja-JP"/>
        </w:rPr>
        <w:t xml:space="preserve">Few subjects developed persisting ADAs. In the PK analysis ADAs were associated with an increase in clearance of 20%, which was not considered clinically significant. In the pivotal study, </w:t>
      </w:r>
      <w:r w:rsidRPr="00CB53EB">
        <w:t>there were six (5.2%) subjects with NAb, all of which were transient and had resolved by the end of the study. There were no episodes of anaphylaxis or hypersensitivity.</w:t>
      </w:r>
    </w:p>
    <w:p w14:paraId="3FEAFC9B" w14:textId="77777777" w:rsidR="00CB53EB" w:rsidRPr="00F0467A" w:rsidRDefault="00CB53EB" w:rsidP="0077780A">
      <w:pPr>
        <w:pStyle w:val="Heading6"/>
        <w:rPr>
          <w:lang w:eastAsia="ja-JP"/>
        </w:rPr>
      </w:pPr>
      <w:r w:rsidRPr="00F0467A">
        <w:rPr>
          <w:lang w:eastAsia="ja-JP"/>
        </w:rPr>
        <w:t xml:space="preserve">Strengths and </w:t>
      </w:r>
      <w:r w:rsidRPr="0077780A">
        <w:t>uncertainties</w:t>
      </w:r>
      <w:r w:rsidRPr="00F0467A">
        <w:rPr>
          <w:lang w:eastAsia="ja-JP"/>
        </w:rPr>
        <w:t xml:space="preserve"> of risk</w:t>
      </w:r>
    </w:p>
    <w:p w14:paraId="34E9AE3C" w14:textId="7D97B0BC" w:rsidR="00CB53EB" w:rsidRPr="00CB53EB" w:rsidRDefault="00CB53EB" w:rsidP="00CB53EB">
      <w:pPr>
        <w:rPr>
          <w:lang w:eastAsia="ja-JP"/>
        </w:rPr>
      </w:pPr>
      <w:r w:rsidRPr="00CB53EB">
        <w:rPr>
          <w:lang w:eastAsia="ja-JP"/>
        </w:rPr>
        <w:t>There are limited safety data, partly because the studies are incomplete and partly because of the low numbers of subjects in the development program.</w:t>
      </w:r>
    </w:p>
    <w:p w14:paraId="03CE0B2B" w14:textId="5AEBB648" w:rsidR="00CB53EB" w:rsidRPr="00CB53EB" w:rsidRDefault="00CB53EB" w:rsidP="00CB53EB">
      <w:pPr>
        <w:rPr>
          <w:lang w:eastAsia="ja-JP"/>
        </w:rPr>
      </w:pPr>
      <w:r w:rsidRPr="00CB53EB">
        <w:rPr>
          <w:lang w:eastAsia="ja-JP"/>
        </w:rPr>
        <w:t xml:space="preserve">Two similar products have had interruptions in development because of thromboembolic events: </w:t>
      </w:r>
      <w:proofErr w:type="spellStart"/>
      <w:r w:rsidR="0069011B">
        <w:rPr>
          <w:lang w:eastAsia="ja-JP"/>
        </w:rPr>
        <w:t>c</w:t>
      </w:r>
      <w:r w:rsidRPr="00CB53EB">
        <w:rPr>
          <w:lang w:eastAsia="ja-JP"/>
        </w:rPr>
        <w:t>oncizumab</w:t>
      </w:r>
      <w:proofErr w:type="spellEnd"/>
      <w:r w:rsidRPr="00CB53EB">
        <w:rPr>
          <w:lang w:eastAsia="ja-JP"/>
        </w:rPr>
        <w:t xml:space="preserve"> </w:t>
      </w:r>
      <w:r w:rsidRPr="00CB53EB">
        <w:t>(</w:t>
      </w:r>
      <w:proofErr w:type="spellStart"/>
      <w:r w:rsidRPr="00CB53EB">
        <w:t>A</w:t>
      </w:r>
      <w:r w:rsidR="0069011B">
        <w:t>lhemo</w:t>
      </w:r>
      <w:proofErr w:type="spellEnd"/>
      <w:r w:rsidRPr="00CB53EB">
        <w:t xml:space="preserve">) and </w:t>
      </w:r>
      <w:proofErr w:type="spellStart"/>
      <w:r w:rsidR="0069011B">
        <w:t>b</w:t>
      </w:r>
      <w:r w:rsidRPr="00CB53EB">
        <w:rPr>
          <w:lang w:eastAsia="ja-JP"/>
        </w:rPr>
        <w:t>efovacimab</w:t>
      </w:r>
      <w:proofErr w:type="spellEnd"/>
      <w:r w:rsidR="0069011B">
        <w:rPr>
          <w:lang w:eastAsia="ja-JP"/>
        </w:rPr>
        <w:t>.</w:t>
      </w:r>
    </w:p>
    <w:p w14:paraId="128F1C28" w14:textId="1FBCE032" w:rsidR="00CB53EB" w:rsidRPr="00CB53EB" w:rsidRDefault="00CB53EB" w:rsidP="00CB53EB">
      <w:pPr>
        <w:rPr>
          <w:rFonts w:cstheme="minorHAnsi"/>
        </w:rPr>
      </w:pPr>
      <w:r w:rsidRPr="00CB53EB">
        <w:rPr>
          <w:rFonts w:cstheme="minorHAnsi"/>
        </w:rPr>
        <w:t>The risk of thromboembolism may be greater in healthy volunteers because of a greater effect on thrombin generation. This may also indicate a greater risk in patients with mild or moderate severity haemophilia.</w:t>
      </w:r>
    </w:p>
    <w:p w14:paraId="1737F277" w14:textId="6D5BD306" w:rsidR="00CB53EB" w:rsidRPr="00CB53EB" w:rsidRDefault="00CB53EB" w:rsidP="00CB53EB">
      <w:pPr>
        <w:rPr>
          <w:rFonts w:cstheme="minorHAnsi"/>
        </w:rPr>
      </w:pPr>
      <w:r w:rsidRPr="00CB53EB">
        <w:rPr>
          <w:rFonts w:cstheme="minorHAnsi"/>
        </w:rPr>
        <w:t xml:space="preserve">The </w:t>
      </w:r>
      <w:r w:rsidR="0069011B">
        <w:rPr>
          <w:rFonts w:cstheme="minorHAnsi"/>
        </w:rPr>
        <w:t>s</w:t>
      </w:r>
      <w:r w:rsidRPr="00CB53EB">
        <w:rPr>
          <w:rFonts w:cstheme="minorHAnsi"/>
        </w:rPr>
        <w:t>ponsor has reported a single case of venous thrombosis occurring in a patient treated with marstacimab.</w:t>
      </w:r>
    </w:p>
    <w:p w14:paraId="585D8117" w14:textId="2B301924" w:rsidR="00CB53EB" w:rsidRPr="00CB53EB" w:rsidRDefault="00CB53EB" w:rsidP="00CB53EB">
      <w:r w:rsidRPr="00CB53EB">
        <w:rPr>
          <w:rFonts w:cstheme="minorHAnsi"/>
        </w:rPr>
        <w:t xml:space="preserve">The </w:t>
      </w:r>
      <w:r w:rsidR="0069011B">
        <w:rPr>
          <w:rFonts w:cstheme="minorHAnsi"/>
        </w:rPr>
        <w:t>s</w:t>
      </w:r>
      <w:r w:rsidRPr="00CB53EB">
        <w:rPr>
          <w:rFonts w:cstheme="minorHAnsi"/>
        </w:rPr>
        <w:t xml:space="preserve">ponsor assesses that the risks of thromboembolism in patients treated with marstacimab are </w:t>
      </w:r>
      <w:proofErr w:type="gramStart"/>
      <w:r w:rsidRPr="00CB53EB">
        <w:rPr>
          <w:rFonts w:cstheme="minorHAnsi"/>
        </w:rPr>
        <w:t>similar to</w:t>
      </w:r>
      <w:proofErr w:type="gramEnd"/>
      <w:r w:rsidRPr="00CB53EB">
        <w:rPr>
          <w:rFonts w:cstheme="minorHAnsi"/>
        </w:rPr>
        <w:t xml:space="preserve"> similar patients treated with </w:t>
      </w:r>
      <w:proofErr w:type="spellStart"/>
      <w:r w:rsidRPr="00CB53EB">
        <w:rPr>
          <w:lang w:eastAsia="ja-JP"/>
        </w:rPr>
        <w:t>emicizumab</w:t>
      </w:r>
      <w:proofErr w:type="spellEnd"/>
      <w:r w:rsidR="0069011B">
        <w:rPr>
          <w:lang w:eastAsia="ja-JP"/>
        </w:rPr>
        <w:t xml:space="preserve"> (</w:t>
      </w:r>
      <w:proofErr w:type="spellStart"/>
      <w:r w:rsidR="0069011B">
        <w:rPr>
          <w:lang w:eastAsia="ja-JP"/>
        </w:rPr>
        <w:t>Hemlibra</w:t>
      </w:r>
      <w:proofErr w:type="spellEnd"/>
      <w:r w:rsidRPr="00CB53EB">
        <w:rPr>
          <w:lang w:eastAsia="ja-JP"/>
        </w:rPr>
        <w:t>). These risks could be addressed with strengthened warnings and patient education.</w:t>
      </w:r>
    </w:p>
    <w:p w14:paraId="3916F296" w14:textId="77777777" w:rsidR="00C22214" w:rsidRDefault="00C22214" w:rsidP="0077780A">
      <w:pPr>
        <w:pStyle w:val="Heading5"/>
      </w:pPr>
      <w:bookmarkStart w:id="95" w:name="_Toc98931933"/>
      <w:r w:rsidRPr="00D23139">
        <w:t>Proposed action</w:t>
      </w:r>
      <w:bookmarkEnd w:id="95"/>
    </w:p>
    <w:p w14:paraId="15C5EEE4" w14:textId="5CFAD4AA" w:rsidR="0069011B" w:rsidRPr="00C53E69" w:rsidRDefault="0069011B" w:rsidP="0069011B">
      <w:pPr>
        <w:rPr>
          <w:lang w:eastAsia="en-AU"/>
        </w:rPr>
      </w:pPr>
      <w:r>
        <w:rPr>
          <w:rFonts w:cstheme="minorHAnsi"/>
        </w:rPr>
        <w:t xml:space="preserve">Marstacimab is approvable for the </w:t>
      </w:r>
      <w:r w:rsidRPr="00C53E69">
        <w:rPr>
          <w:lang w:eastAsia="en-AU"/>
        </w:rPr>
        <w:t>routine prophylaxis of bleeding episodes in patients 12</w:t>
      </w:r>
      <w:r>
        <w:rPr>
          <w:lang w:eastAsia="en-AU"/>
        </w:rPr>
        <w:t> </w:t>
      </w:r>
      <w:r w:rsidRPr="00C53E69">
        <w:rPr>
          <w:lang w:eastAsia="en-AU"/>
        </w:rPr>
        <w:t>years of age and older with:</w:t>
      </w:r>
    </w:p>
    <w:p w14:paraId="656A567A" w14:textId="1DBD70A0" w:rsidR="0069011B" w:rsidRPr="00C53E69" w:rsidRDefault="0069011B" w:rsidP="0069011B">
      <w:pPr>
        <w:pStyle w:val="ListBullet"/>
        <w:rPr>
          <w:lang w:eastAsia="en-AU"/>
        </w:rPr>
      </w:pPr>
      <w:r w:rsidRPr="00C53E69">
        <w:rPr>
          <w:lang w:eastAsia="en-AU"/>
        </w:rPr>
        <w:t>severe haemophilia A (congenital factor VIII deficiency, FVIII &lt;</w:t>
      </w:r>
      <w:r>
        <w:rPr>
          <w:lang w:eastAsia="en-AU"/>
        </w:rPr>
        <w:t> </w:t>
      </w:r>
      <w:r w:rsidRPr="00C53E69">
        <w:rPr>
          <w:lang w:eastAsia="en-AU"/>
        </w:rPr>
        <w:t>1%) without factor VIII inhibitors, or</w:t>
      </w:r>
    </w:p>
    <w:p w14:paraId="0D2DBDC5" w14:textId="77777777" w:rsidR="000D2A2A" w:rsidRDefault="0069011B" w:rsidP="0069011B">
      <w:pPr>
        <w:pStyle w:val="ListBullet"/>
        <w:rPr>
          <w:lang w:eastAsia="en-AU"/>
        </w:rPr>
      </w:pPr>
      <w:r w:rsidRPr="0069011B">
        <w:rPr>
          <w:lang w:eastAsia="en-AU"/>
        </w:rPr>
        <w:t>severe haemophilia B (congenital factor IX deficiency, FIX &lt;</w:t>
      </w:r>
      <w:r>
        <w:rPr>
          <w:lang w:eastAsia="en-AU"/>
        </w:rPr>
        <w:t> </w:t>
      </w:r>
      <w:r w:rsidRPr="0069011B">
        <w:rPr>
          <w:lang w:eastAsia="en-AU"/>
        </w:rPr>
        <w:t>1%) without factor IX inhibitors.</w:t>
      </w:r>
    </w:p>
    <w:p w14:paraId="307F236C" w14:textId="7FD19BD3" w:rsidR="00C22214" w:rsidRPr="002E238E" w:rsidRDefault="0046285C" w:rsidP="00C22214">
      <w:pPr>
        <w:pStyle w:val="Heading2"/>
      </w:pPr>
      <w:bookmarkStart w:id="96" w:name="_Toc247691532"/>
      <w:bookmarkStart w:id="97" w:name="_Toc314842516"/>
      <w:bookmarkStart w:id="98" w:name="_Toc103679300"/>
      <w:bookmarkStart w:id="99" w:name="_Toc212036853"/>
      <w:r>
        <w:t>Assessment</w:t>
      </w:r>
      <w:r w:rsidR="00190853">
        <w:t xml:space="preserve"> </w:t>
      </w:r>
      <w:r>
        <w:t>o</w:t>
      </w:r>
      <w:r w:rsidR="00C22214">
        <w:t>utcome</w:t>
      </w:r>
      <w:bookmarkEnd w:id="96"/>
      <w:bookmarkEnd w:id="97"/>
      <w:bookmarkEnd w:id="98"/>
      <w:bookmarkEnd w:id="99"/>
    </w:p>
    <w:p w14:paraId="4EF22939" w14:textId="2FDB0F80" w:rsidR="00C22214" w:rsidRPr="0017005C"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69011B" w:rsidRPr="00CB7510">
        <w:t>H</w:t>
      </w:r>
      <w:r w:rsidR="0069011B">
        <w:t>ympavzi</w:t>
      </w:r>
      <w:r w:rsidR="0069011B" w:rsidRPr="00CB7510">
        <w:t xml:space="preserve"> </w:t>
      </w:r>
      <w:r w:rsidR="0069011B">
        <w:t>(</w:t>
      </w:r>
      <w:r w:rsidR="0069011B" w:rsidRPr="00CB7510">
        <w:t>marstacimab</w:t>
      </w:r>
      <w:r w:rsidR="0069011B">
        <w:t>)</w:t>
      </w:r>
      <w:r w:rsidR="0069011B" w:rsidRPr="00CB7510">
        <w:t xml:space="preserve"> 150</w:t>
      </w:r>
      <w:r w:rsidR="0069011B">
        <w:t> </w:t>
      </w:r>
      <w:r w:rsidR="0069011B" w:rsidRPr="00CB7510">
        <w:t>mg/mL solution for injection</w:t>
      </w:r>
      <w:r w:rsidR="0069011B">
        <w:t xml:space="preserve"> in</w:t>
      </w:r>
      <w:r w:rsidR="0069011B" w:rsidRPr="00CB7510">
        <w:t xml:space="preserve"> prefilled pen</w:t>
      </w:r>
      <w:r w:rsidRPr="0017005C">
        <w:t>, indicated for:</w:t>
      </w:r>
    </w:p>
    <w:p w14:paraId="4D5FCCBF" w14:textId="77777777" w:rsidR="0069011B" w:rsidRPr="009813CD" w:rsidRDefault="0069011B" w:rsidP="0077780A">
      <w:pPr>
        <w:pStyle w:val="Indication"/>
      </w:pPr>
      <w:r w:rsidRPr="009813CD">
        <w:t>Hympavzi is indicated for routine prophylaxis of bleeding episodes in patients 12</w:t>
      </w:r>
      <w:r>
        <w:t> </w:t>
      </w:r>
      <w:r w:rsidRPr="009813CD">
        <w:t>years of age and older with:</w:t>
      </w:r>
    </w:p>
    <w:p w14:paraId="6F3E888F" w14:textId="5D8E8CA5" w:rsidR="0069011B" w:rsidRPr="009813CD" w:rsidRDefault="0069011B" w:rsidP="00BC3D09">
      <w:pPr>
        <w:pStyle w:val="Indication"/>
        <w:numPr>
          <w:ilvl w:val="0"/>
          <w:numId w:val="32"/>
        </w:numPr>
      </w:pPr>
      <w:r w:rsidRPr="009813CD">
        <w:t>severe haemophilia A (congenital factor VIII deficiency, FVIII</w:t>
      </w:r>
      <w:r>
        <w:t> </w:t>
      </w:r>
      <w:r w:rsidRPr="009813CD">
        <w:t>&lt;</w:t>
      </w:r>
      <w:r>
        <w:t> </w:t>
      </w:r>
      <w:r w:rsidRPr="009813CD">
        <w:t>1%) without factor VIII inhibitors, or</w:t>
      </w:r>
    </w:p>
    <w:p w14:paraId="3D284805" w14:textId="32107BA6" w:rsidR="0069011B" w:rsidRPr="0069011B" w:rsidRDefault="0069011B" w:rsidP="00BC3D09">
      <w:pPr>
        <w:pStyle w:val="Indication"/>
        <w:numPr>
          <w:ilvl w:val="0"/>
          <w:numId w:val="32"/>
        </w:numPr>
      </w:pPr>
      <w:r w:rsidRPr="009813CD">
        <w:t>severe haemophilia B (congenital factor IX deficiency, FIX</w:t>
      </w:r>
      <w:r>
        <w:t> </w:t>
      </w:r>
      <w:r w:rsidRPr="009813CD">
        <w:t>&lt;</w:t>
      </w:r>
      <w:r>
        <w:t> </w:t>
      </w:r>
      <w:r w:rsidRPr="009813CD">
        <w:t>1%) without factor IX inhibitors.</w:t>
      </w:r>
    </w:p>
    <w:p w14:paraId="0D732DA4" w14:textId="74882685" w:rsidR="00854D98" w:rsidRPr="00D23139" w:rsidRDefault="00854D98" w:rsidP="00853701">
      <w:pPr>
        <w:pStyle w:val="Heading4"/>
      </w:pPr>
      <w:bookmarkStart w:id="100" w:name="_Toc212036854"/>
      <w:bookmarkStart w:id="101" w:name="_Toc103679301"/>
      <w:r w:rsidRPr="00D23139">
        <w:lastRenderedPageBreak/>
        <w:t>Specific conditions of registration</w:t>
      </w:r>
      <w:bookmarkEnd w:id="100"/>
      <w:r w:rsidRPr="00D23139">
        <w:t xml:space="preserve"> </w:t>
      </w:r>
      <w:bookmarkEnd w:id="101"/>
    </w:p>
    <w:p w14:paraId="0891A0A6" w14:textId="36032CD8" w:rsidR="00EA7E54" w:rsidRPr="00EA7E54" w:rsidRDefault="00EA7E54" w:rsidP="00B65584">
      <w:pPr>
        <w:pStyle w:val="ListBullet"/>
      </w:pPr>
      <w:r w:rsidRPr="00EA7E54">
        <w:t>Hympavzi (marstacimab) is to be included in the Black Triangle Scheme. The PI and</w:t>
      </w:r>
      <w:r>
        <w:t xml:space="preserve"> </w:t>
      </w:r>
      <w:r w:rsidRPr="00EA7E54">
        <w:t>CMI for Hympavzi must include the black triangle symbol and mandatory</w:t>
      </w:r>
      <w:r>
        <w:t xml:space="preserve"> </w:t>
      </w:r>
      <w:r w:rsidRPr="00EA7E54">
        <w:t xml:space="preserve">accompanying text for </w:t>
      </w:r>
      <w:r>
        <w:t>5 </w:t>
      </w:r>
      <w:r w:rsidRPr="00EA7E54">
        <w:t>years, which starts from the date of first supply of the</w:t>
      </w:r>
      <w:r>
        <w:t xml:space="preserve"> </w:t>
      </w:r>
      <w:r w:rsidRPr="00EA7E54">
        <w:t>product.</w:t>
      </w:r>
    </w:p>
    <w:p w14:paraId="77358805" w14:textId="2449D1A3" w:rsidR="00EA7E54" w:rsidRDefault="00EA7E54" w:rsidP="00B65584">
      <w:pPr>
        <w:pStyle w:val="ListBullet"/>
      </w:pPr>
      <w:r w:rsidRPr="005415B2">
        <w:t>The Hympavzi EU-Risk Management Plan (RMP) (version 0.3, dated 6 August 2024,</w:t>
      </w:r>
      <w:r w:rsidR="00590D85" w:rsidRPr="005415B2">
        <w:t xml:space="preserve"> </w:t>
      </w:r>
      <w:r w:rsidRPr="005415B2">
        <w:t>data lock</w:t>
      </w:r>
      <w:r w:rsidRPr="00EA7E54">
        <w:t xml:space="preserve"> point 17 April 2023), with Australian Specific Annex (version 1.1, dated 19</w:t>
      </w:r>
      <w:r w:rsidR="00590D85">
        <w:t xml:space="preserve"> </w:t>
      </w:r>
      <w:r w:rsidRPr="00EA7E54">
        <w:t>August 2024), included with submission PM-2024-00030-1-6, and any subsequent</w:t>
      </w:r>
      <w:r w:rsidR="00590D85">
        <w:t xml:space="preserve"> </w:t>
      </w:r>
      <w:r w:rsidRPr="00EA7E54">
        <w:t>revisions, as agreed with the TGA will be implemented in Australia.</w:t>
      </w:r>
    </w:p>
    <w:p w14:paraId="1850C67E" w14:textId="236B49A1" w:rsidR="00EA7E54" w:rsidRPr="005415B2" w:rsidRDefault="00EA7E54" w:rsidP="00B65584">
      <w:pPr>
        <w:pStyle w:val="ListBullet"/>
      </w:pPr>
      <w:r w:rsidRPr="00EA7E54">
        <w:t>An obligatory component of risk management plans is routine pharmacovigilance.</w:t>
      </w:r>
      <w:r w:rsidR="009C45F3">
        <w:t xml:space="preserve"> </w:t>
      </w:r>
      <w:r w:rsidRPr="00EA7E54">
        <w:t xml:space="preserve">Routine </w:t>
      </w:r>
      <w:r w:rsidRPr="005415B2">
        <w:t>pharmacovigilance includes the submission of periodic safety update reports</w:t>
      </w:r>
      <w:r w:rsidR="009C45F3" w:rsidRPr="005415B2">
        <w:t xml:space="preserve"> </w:t>
      </w:r>
      <w:r w:rsidRPr="005415B2">
        <w:t>(PSURs).</w:t>
      </w:r>
    </w:p>
    <w:p w14:paraId="3D32DD8B" w14:textId="53E47A1D" w:rsidR="00EA7E54" w:rsidRPr="00EA7E54" w:rsidRDefault="00EA7E54" w:rsidP="00500FC5">
      <w:pPr>
        <w:pStyle w:val="ListBullet"/>
        <w:numPr>
          <w:ilvl w:val="0"/>
          <w:numId w:val="0"/>
        </w:numPr>
        <w:ind w:left="360"/>
      </w:pPr>
      <w:r w:rsidRPr="00EA7E54">
        <w:t>Unless agreed separately between the supplier who is the recipient of the approval</w:t>
      </w:r>
      <w:r w:rsidR="009C45F3">
        <w:t xml:space="preserve"> </w:t>
      </w:r>
      <w:r w:rsidRPr="00EA7E54">
        <w:t>and the TGA, the first report must be submitted to TGA no later than 15 calendar</w:t>
      </w:r>
      <w:r w:rsidR="008575B4">
        <w:t xml:space="preserve"> </w:t>
      </w:r>
      <w:r w:rsidRPr="00EA7E54">
        <w:t>months after the date of th</w:t>
      </w:r>
      <w:r w:rsidR="008575B4">
        <w:t>e</w:t>
      </w:r>
      <w:r w:rsidRPr="00EA7E54">
        <w:t xml:space="preserve"> approval letter. The subsequent reports must be</w:t>
      </w:r>
      <w:r w:rsidR="008575B4">
        <w:t xml:space="preserve"> </w:t>
      </w:r>
      <w:r w:rsidRPr="00EA7E54">
        <w:t>submitted no less frequently than annually from the date of the first submitted report</w:t>
      </w:r>
      <w:r w:rsidR="008575B4">
        <w:t xml:space="preserve"> </w:t>
      </w:r>
      <w:r w:rsidRPr="00EA7E54">
        <w:t xml:space="preserve">until the period covered by such reports is not less than </w:t>
      </w:r>
      <w:r w:rsidR="008575B4">
        <w:t>3 </w:t>
      </w:r>
      <w:r w:rsidRPr="00EA7E54">
        <w:t>years from the date of</w:t>
      </w:r>
      <w:r w:rsidR="008575B4">
        <w:t xml:space="preserve"> </w:t>
      </w:r>
      <w:r w:rsidRPr="00EA7E54">
        <w:t>th</w:t>
      </w:r>
      <w:r w:rsidR="008575B4">
        <w:t>e</w:t>
      </w:r>
      <w:r w:rsidRPr="00EA7E54">
        <w:t xml:space="preserve"> approval letter. The annual submission may be made up of </w:t>
      </w:r>
      <w:r w:rsidR="00500FC5">
        <w:t>2</w:t>
      </w:r>
      <w:r w:rsidRPr="00EA7E54">
        <w:t xml:space="preserve"> PSURs each</w:t>
      </w:r>
      <w:r w:rsidR="00500FC5">
        <w:t xml:space="preserve"> </w:t>
      </w:r>
      <w:r w:rsidRPr="00EA7E54">
        <w:t xml:space="preserve">covering </w:t>
      </w:r>
      <w:r w:rsidR="00500FC5">
        <w:t>6 </w:t>
      </w:r>
      <w:r w:rsidRPr="00EA7E54">
        <w:t xml:space="preserve">months. If the sponsor wishes, the </w:t>
      </w:r>
      <w:r w:rsidR="00500FC5">
        <w:t>6-</w:t>
      </w:r>
      <w:r w:rsidRPr="00EA7E54">
        <w:t>monthly reports may be submitted</w:t>
      </w:r>
      <w:r w:rsidR="00500FC5">
        <w:t xml:space="preserve"> </w:t>
      </w:r>
      <w:r w:rsidRPr="00EA7E54">
        <w:t>separately as they become available.</w:t>
      </w:r>
    </w:p>
    <w:p w14:paraId="12D682C1" w14:textId="4228C898" w:rsidR="00EA7E54" w:rsidRPr="00EA7E54" w:rsidRDefault="00EA7E54" w:rsidP="0069011B">
      <w:pPr>
        <w:pStyle w:val="ListBullet"/>
        <w:numPr>
          <w:ilvl w:val="0"/>
          <w:numId w:val="0"/>
        </w:numPr>
        <w:ind w:left="360"/>
      </w:pPr>
      <w:r w:rsidRPr="00EA7E54">
        <w:t xml:space="preserve">If the product is approved in the EU during the </w:t>
      </w:r>
      <w:r w:rsidR="000531C4">
        <w:t>3</w:t>
      </w:r>
      <w:r w:rsidRPr="00EA7E54">
        <w:t xml:space="preserve"> years period, reports can be</w:t>
      </w:r>
      <w:r w:rsidR="000531C4">
        <w:t xml:space="preserve"> </w:t>
      </w:r>
      <w:r w:rsidRPr="00EA7E54">
        <w:t>provided in line with the published list of EU reference dates no less frequently than</w:t>
      </w:r>
      <w:r w:rsidR="000531C4">
        <w:t xml:space="preserve"> </w:t>
      </w:r>
      <w:r w:rsidRPr="00EA7E54">
        <w:t>annually from the date of the first submitted report until the period covered by such</w:t>
      </w:r>
      <w:r w:rsidR="00CA587F">
        <w:t xml:space="preserve"> </w:t>
      </w:r>
      <w:r w:rsidRPr="00EA7E54">
        <w:t xml:space="preserve">reports is not less than </w:t>
      </w:r>
      <w:r w:rsidR="00CA587F">
        <w:t>3 </w:t>
      </w:r>
      <w:r w:rsidRPr="00EA7E54">
        <w:t>years from the date of th</w:t>
      </w:r>
      <w:r w:rsidR="00CA587F">
        <w:t>e</w:t>
      </w:r>
      <w:r w:rsidRPr="00EA7E54">
        <w:t xml:space="preserve"> approval letter.</w:t>
      </w:r>
    </w:p>
    <w:p w14:paraId="3B098F52" w14:textId="68C2A229" w:rsidR="00EA7E54" w:rsidRPr="00EA7E54" w:rsidRDefault="00EA7E54" w:rsidP="0069011B">
      <w:pPr>
        <w:pStyle w:val="ListBullet"/>
        <w:numPr>
          <w:ilvl w:val="0"/>
          <w:numId w:val="0"/>
        </w:numPr>
        <w:ind w:left="360"/>
      </w:pPr>
      <w:r w:rsidRPr="00EA7E54">
        <w:t>The reports are to at least meet the requirements for PSURs as described in the</w:t>
      </w:r>
      <w:r w:rsidR="00CA587F">
        <w:t xml:space="preserve"> </w:t>
      </w:r>
      <w:r w:rsidRPr="00EA7E54">
        <w:t>European Medicines Agency’s Guideline on good pharmacovigilance practices (GVP)</w:t>
      </w:r>
      <w:r w:rsidR="00CA587F">
        <w:t xml:space="preserve"> </w:t>
      </w:r>
      <w:r w:rsidRPr="00EA7E54">
        <w:t>Module VII-periodic safety update report (Rev 1), Part VII.B Structures and processes.</w:t>
      </w:r>
      <w:r w:rsidR="00C51D50">
        <w:t xml:space="preserve"> </w:t>
      </w:r>
      <w:r w:rsidRPr="00EA7E54">
        <w:t>Note that submission of a PSUR does not constitute an application to vary the</w:t>
      </w:r>
      <w:r w:rsidR="00C51D50">
        <w:t xml:space="preserve"> </w:t>
      </w:r>
      <w:r w:rsidRPr="00EA7E54">
        <w:t xml:space="preserve">registration. Each report must be submitted within </w:t>
      </w:r>
      <w:r w:rsidR="00C51D50">
        <w:t>90 </w:t>
      </w:r>
      <w:r w:rsidRPr="00EA7E54">
        <w:t>calendar days of the data</w:t>
      </w:r>
      <w:r w:rsidR="00C51D50">
        <w:t xml:space="preserve"> </w:t>
      </w:r>
      <w:r w:rsidRPr="00EA7E54">
        <w:t>lock point for that report.</w:t>
      </w:r>
    </w:p>
    <w:p w14:paraId="78CC094A" w14:textId="58F32581" w:rsidR="00EA7E54" w:rsidRPr="0056184E" w:rsidRDefault="00EA7E54" w:rsidP="00EA7E54">
      <w:pPr>
        <w:pStyle w:val="ListBullet"/>
      </w:pPr>
      <w:r w:rsidRPr="0056184E">
        <w:t xml:space="preserve">Laboratory testing </w:t>
      </w:r>
      <w:r w:rsidR="0056184E">
        <w:t>and</w:t>
      </w:r>
      <w:r w:rsidRPr="0056184E">
        <w:t xml:space="preserve"> compliance with Certified Product Details</w:t>
      </w:r>
    </w:p>
    <w:p w14:paraId="0B7AB0A8" w14:textId="2DD5F0EB" w:rsidR="00EA7E54" w:rsidRPr="00EA7E54" w:rsidRDefault="00EA7E54" w:rsidP="00B65584">
      <w:pPr>
        <w:pStyle w:val="ListBullet2"/>
      </w:pPr>
      <w:r w:rsidRPr="00EA7E54">
        <w:t>All batches of H</w:t>
      </w:r>
      <w:r w:rsidR="002F0ACD">
        <w:t>ympavzi</w:t>
      </w:r>
      <w:r w:rsidRPr="00EA7E54">
        <w:t xml:space="preserve"> supplied in Australia must comply with the product</w:t>
      </w:r>
      <w:r w:rsidR="00560477">
        <w:t xml:space="preserve"> </w:t>
      </w:r>
      <w:r w:rsidRPr="00EA7E54">
        <w:t>details and specifications approved during evaluation and detailed in the Certified</w:t>
      </w:r>
      <w:r w:rsidR="00560477">
        <w:t xml:space="preserve"> </w:t>
      </w:r>
      <w:r w:rsidRPr="00EA7E54">
        <w:t>Product Details (CPD).</w:t>
      </w:r>
    </w:p>
    <w:p w14:paraId="2152368F" w14:textId="0C159EF0" w:rsidR="00EA7E54" w:rsidRPr="00EA7E54" w:rsidRDefault="00EA7E54" w:rsidP="00B65584">
      <w:pPr>
        <w:pStyle w:val="ListBullet2"/>
      </w:pPr>
      <w:r w:rsidRPr="00EA7E54">
        <w:t xml:space="preserve">When requested by the TGA, the </w:t>
      </w:r>
      <w:r w:rsidR="002F0ACD">
        <w:t>s</w:t>
      </w:r>
      <w:r w:rsidRPr="00EA7E54">
        <w:t>ponsor should be prepared to provide product</w:t>
      </w:r>
      <w:r w:rsidR="002F0ACD">
        <w:t xml:space="preserve"> </w:t>
      </w:r>
      <w:r w:rsidRPr="00EA7E54">
        <w:t>samples, specified reference materials and documentary evidence to enable the TGA</w:t>
      </w:r>
      <w:r w:rsidR="002F0ACD">
        <w:t xml:space="preserve"> </w:t>
      </w:r>
      <w:r w:rsidRPr="00EA7E54">
        <w:t>to conduct laboratory testing on the Product. Outcomes of laboratory testing are</w:t>
      </w:r>
      <w:r w:rsidR="002F0ACD">
        <w:t xml:space="preserve"> </w:t>
      </w:r>
      <w:r w:rsidRPr="00EA7E54">
        <w:t>published biannually in the TGA Database of Laboratory Testing Results</w:t>
      </w:r>
      <w:r w:rsidR="00730090">
        <w:t xml:space="preserve"> </w:t>
      </w:r>
      <w:hyperlink r:id="rId24" w:history="1">
        <w:r w:rsidR="00043B64" w:rsidRPr="00043B64">
          <w:rPr>
            <w:rStyle w:val="Hyperlink"/>
          </w:rPr>
          <w:t>Laboratory test results | Therapeutic Goods Administration (TGA)</w:t>
        </w:r>
      </w:hyperlink>
      <w:r w:rsidR="00043B64" w:rsidRPr="00043B64">
        <w:t xml:space="preserve"> </w:t>
      </w:r>
      <w:r w:rsidRPr="00EA7E54">
        <w:t>and periodically in testing reports on the TGA</w:t>
      </w:r>
      <w:r w:rsidR="00730090">
        <w:t xml:space="preserve"> </w:t>
      </w:r>
      <w:r w:rsidRPr="00EA7E54">
        <w:t>website.</w:t>
      </w:r>
    </w:p>
    <w:p w14:paraId="6A03D2FB" w14:textId="49D6FDD4" w:rsidR="00EA7E54" w:rsidRPr="00C17666" w:rsidRDefault="00EA7E54" w:rsidP="00EA7E54">
      <w:pPr>
        <w:pStyle w:val="ListBullet"/>
      </w:pPr>
      <w:r w:rsidRPr="00C17666">
        <w:t>Certified Product Details</w:t>
      </w:r>
    </w:p>
    <w:p w14:paraId="5D823234" w14:textId="6F1692C0" w:rsidR="00EA7E54" w:rsidRPr="00EA7E54" w:rsidRDefault="00EA7E54" w:rsidP="00B65584">
      <w:pPr>
        <w:pStyle w:val="ListBullet2"/>
      </w:pPr>
      <w:r w:rsidRPr="00EA7E54">
        <w:t>The CPD, as described in Guidance 7: Certified Product</w:t>
      </w:r>
      <w:r w:rsidR="00C17666">
        <w:t xml:space="preserve"> </w:t>
      </w:r>
      <w:r w:rsidRPr="00EA7E54">
        <w:t>Details of the Australian Regulatory Guidelines for Prescription Medicines</w:t>
      </w:r>
      <w:r w:rsidR="00C17666">
        <w:t xml:space="preserve"> </w:t>
      </w:r>
      <w:r w:rsidRPr="00EA7E54">
        <w:t>(ARGPM), in PDF format, for the above products should be provided upon registration</w:t>
      </w:r>
      <w:r w:rsidR="00785EBE">
        <w:t xml:space="preserve"> </w:t>
      </w:r>
      <w:r w:rsidRPr="00EA7E54">
        <w:t>of these therapeutic goods. In addition, an updated CPD should be provided when</w:t>
      </w:r>
      <w:r w:rsidR="00785EBE">
        <w:t xml:space="preserve"> </w:t>
      </w:r>
      <w:r w:rsidRPr="00EA7E54">
        <w:t>changes to finished product specifications and test methods are approved in a</w:t>
      </w:r>
      <w:r w:rsidR="00785EBE">
        <w:t xml:space="preserve"> </w:t>
      </w:r>
      <w:r w:rsidRPr="00EA7E54">
        <w:t>Category 3 application or notified through a self-assessable change.</w:t>
      </w:r>
    </w:p>
    <w:p w14:paraId="5A856935" w14:textId="065C6369" w:rsidR="00EA7E54" w:rsidRPr="00EA7E54" w:rsidRDefault="00EA7E54" w:rsidP="00B65584">
      <w:pPr>
        <w:pStyle w:val="ListBullet2"/>
      </w:pPr>
      <w:r w:rsidRPr="00EA7E54">
        <w:t>A template for preparation of CPD for biological prescription medicines can be</w:t>
      </w:r>
      <w:r w:rsidR="00785EBE">
        <w:t xml:space="preserve"> </w:t>
      </w:r>
      <w:r w:rsidRPr="00EA7E54">
        <w:t>obtained from the TGA website</w:t>
      </w:r>
    </w:p>
    <w:p w14:paraId="71F30425" w14:textId="061E5BEC" w:rsidR="00EA7E54" w:rsidRPr="00EA7E54" w:rsidRDefault="00EA7E54" w:rsidP="00B65584">
      <w:pPr>
        <w:pStyle w:val="ListBullet2"/>
      </w:pPr>
      <w:r w:rsidRPr="00EA7E54">
        <w:lastRenderedPageBreak/>
        <w:t xml:space="preserve">[for the form] </w:t>
      </w:r>
      <w:hyperlink r:id="rId25" w:history="1">
        <w:r w:rsidR="00F435ED" w:rsidRPr="00C938B6">
          <w:rPr>
            <w:rStyle w:val="Hyperlink"/>
          </w:rPr>
          <w:t>https://www.tga.gov.au/form/certified-product-details-cpd-biologicalprescription</w:t>
        </w:r>
      </w:hyperlink>
      <w:r w:rsidR="00F435ED">
        <w:t xml:space="preserve"> </w:t>
      </w:r>
      <w:r w:rsidRPr="00EA7E54">
        <w:t>medicines</w:t>
      </w:r>
    </w:p>
    <w:p w14:paraId="79882AE3" w14:textId="5C3DD977" w:rsidR="00EA7E54" w:rsidRPr="00F73346" w:rsidRDefault="00EA7E54" w:rsidP="00C17666">
      <w:pPr>
        <w:pStyle w:val="ListBullet2"/>
      </w:pPr>
      <w:r w:rsidRPr="00EA7E54">
        <w:t xml:space="preserve">[for the CPD guidance] </w:t>
      </w:r>
      <w:hyperlink r:id="rId26" w:history="1">
        <w:r w:rsidR="00F435ED" w:rsidRPr="00C938B6">
          <w:rPr>
            <w:rStyle w:val="Hyperlink"/>
          </w:rPr>
          <w:t>https://www.tga.gov.au/guidance-7-certified-product-details</w:t>
        </w:r>
      </w:hyperlink>
      <w:r w:rsidR="00F435ED">
        <w:t>.</w:t>
      </w:r>
    </w:p>
    <w:p w14:paraId="0F9C1952" w14:textId="44C3DAD6" w:rsidR="00BA657C" w:rsidRPr="00BA657C" w:rsidRDefault="00BA657C" w:rsidP="000163D1">
      <w:pPr>
        <w:pStyle w:val="Heading2"/>
      </w:pPr>
      <w:bookmarkStart w:id="102" w:name="_Toc196738290"/>
      <w:bookmarkStart w:id="103" w:name="_Toc212036855"/>
      <w:r w:rsidRPr="00BA657C">
        <w:t>Product Information (PI) and Consumer Medicine Information (CMI)</w:t>
      </w:r>
      <w:bookmarkEnd w:id="102"/>
      <w:bookmarkEnd w:id="103"/>
    </w:p>
    <w:p w14:paraId="5F276616" w14:textId="77777777" w:rsidR="004D0933" w:rsidRPr="004D0933" w:rsidRDefault="004D0933" w:rsidP="004D0933">
      <w:bookmarkStart w:id="104" w:name="_Hlk200021736"/>
      <w:r w:rsidRPr="004D0933">
        <w:t xml:space="preserve">For the most recent Product Information (PI) and Consumer Medicines Information (CMI), please refer to the TGA </w:t>
      </w:r>
      <w:hyperlink r:id="rId27" w:history="1">
        <w:r w:rsidRPr="004D0933">
          <w:rPr>
            <w:rStyle w:val="Hyperlink"/>
          </w:rPr>
          <w:t>PI/CMI search facility.</w:t>
        </w:r>
      </w:hyperlink>
    </w:p>
    <w:bookmarkEnd w:id="104"/>
    <w:p w14:paraId="11222186" w14:textId="77777777" w:rsidR="004D0933" w:rsidRPr="00BD5DBD" w:rsidRDefault="004D0933" w:rsidP="00675F81">
      <w:pPr>
        <w:rPr>
          <w:szCs w:val="22"/>
        </w:rPr>
      </w:pPr>
    </w:p>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28"/>
          <w:footerReference w:type="default" r:id="rId2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6"/>
          <w:bookmarkEnd w:id="7"/>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0"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31" w:history="1">
              <w:r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2"/>
      <w:footerReference w:type="first" r:id="rId3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6630" w14:textId="77777777" w:rsidR="0049754A" w:rsidRDefault="0049754A" w:rsidP="00F02AEC">
      <w:pPr>
        <w:spacing w:after="0" w:line="240" w:lineRule="auto"/>
      </w:pPr>
      <w:r>
        <w:separator/>
      </w:r>
    </w:p>
  </w:endnote>
  <w:endnote w:type="continuationSeparator" w:id="0">
    <w:p w14:paraId="02601481" w14:textId="77777777" w:rsidR="0049754A" w:rsidRDefault="0049754A"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3">
    <w:altName w:val="Symbol"/>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5478CFB6"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540DD5B"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1348CEE3" w:rsidR="007452E8" w:rsidRPr="004A3084" w:rsidRDefault="007452E8" w:rsidP="007452E8">
          <w:pPr>
            <w:pStyle w:val="Footer"/>
          </w:pPr>
          <w:r w:rsidRPr="00487162">
            <w:t>AusPA</w:t>
          </w:r>
          <w:r>
            <w:t xml:space="preserve">R - </w:t>
          </w:r>
          <w:proofErr w:type="spellStart"/>
          <w:r w:rsidR="00C768A2">
            <w:t>Hympavzi</w:t>
          </w:r>
          <w:proofErr w:type="spellEnd"/>
          <w:r>
            <w:t xml:space="preserve"> -</w:t>
          </w:r>
          <w:r w:rsidRPr="00460036">
            <w:t xml:space="preserve"> </w:t>
          </w:r>
          <w:proofErr w:type="spellStart"/>
          <w:r w:rsidR="00EA55A0">
            <w:t>marstacimab</w:t>
          </w:r>
          <w:proofErr w:type="spellEnd"/>
          <w:r w:rsidRPr="00460036">
            <w:t xml:space="preserve"> </w:t>
          </w:r>
          <w:r w:rsidR="00EA55A0">
            <w:t>–</w:t>
          </w:r>
          <w:r>
            <w:t xml:space="preserve"> </w:t>
          </w:r>
          <w:r w:rsidR="00EA55A0">
            <w:t xml:space="preserve">Pfizer Australia Pty Ltd </w:t>
          </w:r>
          <w:r>
            <w:t>- PM-202</w:t>
          </w:r>
          <w:r w:rsidR="00EA55A0">
            <w:t>4</w:t>
          </w:r>
          <w:r w:rsidRPr="00487162">
            <w:t>-</w:t>
          </w:r>
          <w:r w:rsidR="006256C3">
            <w:t>00030-1-6</w:t>
          </w:r>
          <w:r w:rsidR="00D17C0D">
            <w:t xml:space="preserve"> – Type A</w:t>
          </w:r>
          <w:r>
            <w:br/>
          </w:r>
          <w:r w:rsidR="0022605D">
            <w:t>Final draft: 22 October 2025</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fldChar w:fldCharType="begin"/>
              </w:r>
              <w:r>
                <w:instrText>NUMPAGES</w:instrText>
              </w:r>
              <w:r>
                <w:fldChar w:fldCharType="separate"/>
              </w:r>
              <w:r w:rsidR="006D6B44">
                <w:rPr>
                  <w:noProof/>
                </w:rPr>
                <w:t>17</w:t>
              </w:r>
              <w:r>
                <w:fldChar w:fldCharType="end"/>
              </w:r>
            </w:p>
          </w:sdtContent>
        </w:sdt>
      </w:tc>
    </w:tr>
  </w:tbl>
  <w:p w14:paraId="1A4EDE60" w14:textId="77777777" w:rsidR="007452E8" w:rsidRPr="00826007" w:rsidRDefault="007452E8" w:rsidP="0022605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3D19783B"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27AC" w14:textId="77777777" w:rsidR="0049754A" w:rsidRDefault="0049754A" w:rsidP="00F02AEC">
      <w:pPr>
        <w:spacing w:after="0" w:line="240" w:lineRule="auto"/>
      </w:pPr>
      <w:r>
        <w:separator/>
      </w:r>
    </w:p>
  </w:footnote>
  <w:footnote w:type="continuationSeparator" w:id="0">
    <w:p w14:paraId="7266B982" w14:textId="77777777" w:rsidR="0049754A" w:rsidRDefault="0049754A" w:rsidP="00F02AEC">
      <w:pPr>
        <w:spacing w:after="0" w:line="240" w:lineRule="auto"/>
      </w:pPr>
      <w:r>
        <w:continuationSeparator/>
      </w:r>
    </w:p>
  </w:footnote>
  <w:footnote w:id="1">
    <w:p w14:paraId="68402A9B" w14:textId="42E6F8E0" w:rsidR="007452E8" w:rsidRPr="00A93DC6" w:rsidRDefault="007452E8" w:rsidP="00F71C39">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09BC0C1E" w14:textId="02CDA822" w:rsidR="001900FE" w:rsidRDefault="001900FE" w:rsidP="00F71C39">
      <w:pPr>
        <w:pStyle w:val="FootnoteText"/>
      </w:pPr>
      <w:r>
        <w:rPr>
          <w:rStyle w:val="FootnoteReference"/>
        </w:rPr>
        <w:footnoteRef/>
      </w:r>
      <w:r>
        <w:t xml:space="preserve"> </w:t>
      </w:r>
      <w:r w:rsidR="005618D5" w:rsidRPr="00AC7CCD">
        <w:t xml:space="preserve">Mast AE, Ruf W. Regulation of coagulation by tissue factor pathway inhibitor: Implications for hemophilia therapy. </w:t>
      </w:r>
      <w:r w:rsidR="005618D5" w:rsidRPr="00F71C39">
        <w:rPr>
          <w:i/>
          <w:iCs/>
        </w:rPr>
        <w:t>J Thromb Haemost</w:t>
      </w:r>
      <w:r w:rsidR="005618D5" w:rsidRPr="00AC7CCD">
        <w:t>. 2022 Jun;20(6):1290-1300. doi:</w:t>
      </w:r>
      <w:r w:rsidR="007579D6">
        <w:t> </w:t>
      </w:r>
      <w:r w:rsidR="005618D5" w:rsidRPr="00AC7CCD">
        <w:t>10.1111/jth.15697.</w:t>
      </w:r>
    </w:p>
  </w:footnote>
  <w:footnote w:id="3">
    <w:p w14:paraId="108580B1" w14:textId="609B0F49" w:rsidR="005139A0" w:rsidRDefault="005139A0">
      <w:pPr>
        <w:pStyle w:val="FootnoteText"/>
      </w:pPr>
      <w:r>
        <w:rPr>
          <w:rStyle w:val="FootnoteReference"/>
        </w:rPr>
        <w:footnoteRef/>
      </w:r>
      <w:r>
        <w:t xml:space="preserve"> </w:t>
      </w:r>
      <w:r w:rsidRPr="005139A0">
        <w:t xml:space="preserve">Broze GJ, Girard TJ. Tissue factor pathway inhibitor: structure-function. </w:t>
      </w:r>
      <w:r w:rsidRPr="005139A0">
        <w:rPr>
          <w:i/>
          <w:iCs/>
        </w:rPr>
        <w:t>Frontiers in Bioscience</w:t>
      </w:r>
      <w:r w:rsidRPr="005139A0">
        <w:t xml:space="preserve"> </w:t>
      </w:r>
      <w:r w:rsidR="009B1A53">
        <w:t xml:space="preserve">2012; </w:t>
      </w:r>
      <w:r w:rsidRPr="005139A0">
        <w:t>17</w:t>
      </w:r>
      <w:r w:rsidR="009B1A53">
        <w:t>:</w:t>
      </w:r>
      <w:r w:rsidRPr="005139A0">
        <w:t xml:space="preserve"> 262-280</w:t>
      </w:r>
      <w:r w:rsidR="009B1A53">
        <w:t>.</w:t>
      </w:r>
      <w:r w:rsidR="007579D6">
        <w:t xml:space="preserve"> </w:t>
      </w:r>
      <w:r w:rsidR="007579D6" w:rsidRPr="007579D6">
        <w:t>doi:</w:t>
      </w:r>
      <w:r w:rsidR="007579D6">
        <w:t> </w:t>
      </w:r>
      <w:r w:rsidR="007579D6" w:rsidRPr="007579D6">
        <w:t>10.2741/3926.</w:t>
      </w:r>
    </w:p>
  </w:footnote>
  <w:footnote w:id="4">
    <w:p w14:paraId="06856372" w14:textId="56D09031" w:rsidR="00120438" w:rsidRPr="00120438" w:rsidRDefault="00120438" w:rsidP="00192FF8">
      <w:pPr>
        <w:pStyle w:val="FootnoteText"/>
      </w:pPr>
      <w:r>
        <w:rPr>
          <w:rStyle w:val="FootnoteReference"/>
        </w:rPr>
        <w:footnoteRef/>
      </w:r>
      <w:r>
        <w:t xml:space="preserve"> </w:t>
      </w:r>
      <w:r w:rsidRPr="00120438">
        <w:rPr>
          <w:lang w:eastAsia="ja-JP"/>
        </w:rPr>
        <w:t xml:space="preserve">Online Mendelian Inheritance in Man (OMIM).  #306700 Hemophilia A. </w:t>
      </w:r>
      <w:hyperlink r:id="rId1" w:history="1">
        <w:r w:rsidRPr="00120438">
          <w:rPr>
            <w:rStyle w:val="Hyperlink"/>
            <w:szCs w:val="17"/>
            <w:lang w:eastAsia="ja-JP"/>
          </w:rPr>
          <w:t>https://www.omim.org/entry/306700?search=haemophilia%20A&amp;highlight=%28haemophilia%7Chemophilia%29%20a</w:t>
        </w:r>
      </w:hyperlink>
      <w:r w:rsidRPr="00120438">
        <w:rPr>
          <w:lang w:eastAsia="ja-JP"/>
        </w:rPr>
        <w:t xml:space="preserve"> , accessed 2 February 2024.</w:t>
      </w:r>
    </w:p>
  </w:footnote>
  <w:footnote w:id="5">
    <w:p w14:paraId="60C57D19" w14:textId="4F019FD7" w:rsidR="00120438" w:rsidRDefault="00120438" w:rsidP="00192FF8">
      <w:pPr>
        <w:pStyle w:val="FootnoteText"/>
      </w:pPr>
      <w:r>
        <w:rPr>
          <w:rStyle w:val="FootnoteReference"/>
        </w:rPr>
        <w:footnoteRef/>
      </w:r>
      <w:r>
        <w:t xml:space="preserve"> </w:t>
      </w:r>
      <w:r w:rsidRPr="00120438">
        <w:rPr>
          <w:lang w:eastAsia="ja-JP"/>
        </w:rPr>
        <w:t xml:space="preserve">Australian Bleeding Disorders Registry (ABDR) Annual Report 2021-22 published by the National Blood Authority. ISSN 1839-0811 (online version) This report is available online at </w:t>
      </w:r>
      <w:hyperlink r:id="rId2" w:history="1">
        <w:r w:rsidRPr="00120438">
          <w:rPr>
            <w:rStyle w:val="Hyperlink"/>
            <w:szCs w:val="17"/>
            <w:lang w:eastAsia="ja-JP"/>
          </w:rPr>
          <w:t>http://www.blood.gov.au/data-analysis-reporting</w:t>
        </w:r>
      </w:hyperlink>
      <w:r w:rsidRPr="00120438">
        <w:rPr>
          <w:lang w:eastAsia="ja-JP"/>
        </w:rPr>
        <w:t xml:space="preserve">  Version: 22 March 2023</w:t>
      </w:r>
      <w:r>
        <w:rPr>
          <w:lang w:eastAsia="ja-JP"/>
        </w:rPr>
        <w:t>.</w:t>
      </w:r>
    </w:p>
  </w:footnote>
  <w:footnote w:id="6">
    <w:p w14:paraId="0137967C" w14:textId="1D33B1A5" w:rsidR="00120438" w:rsidRDefault="00120438">
      <w:pPr>
        <w:pStyle w:val="FootnoteText"/>
      </w:pPr>
      <w:r>
        <w:rPr>
          <w:rStyle w:val="FootnoteReference"/>
        </w:rPr>
        <w:footnoteRef/>
      </w:r>
      <w:r>
        <w:t xml:space="preserve"> </w:t>
      </w:r>
      <w:r w:rsidRPr="00120438">
        <w:rPr>
          <w:lang w:eastAsia="ja-JP"/>
        </w:rPr>
        <w:t xml:space="preserve">Online Mendelian Inheritance in Man (OMIM).  #306900 Hemophilia B. </w:t>
      </w:r>
      <w:hyperlink r:id="rId3" w:history="1">
        <w:r w:rsidRPr="00120438">
          <w:rPr>
            <w:rStyle w:val="Hyperlink"/>
            <w:szCs w:val="17"/>
            <w:lang w:eastAsia="ja-JP"/>
          </w:rPr>
          <w:t>https://www.omim.org/entry/306900?search=Haemophilia%20B&amp;highlight=%28haemophilia%7Chemophilia%29%2Cb</w:t>
        </w:r>
      </w:hyperlink>
      <w:r w:rsidRPr="00120438">
        <w:rPr>
          <w:lang w:eastAsia="ja-JP"/>
        </w:rPr>
        <w:t xml:space="preserve"> , accessed 11 May 2024.</w:t>
      </w:r>
    </w:p>
  </w:footnote>
  <w:footnote w:id="7">
    <w:p w14:paraId="15694EEA" w14:textId="67549785" w:rsidR="00120438" w:rsidRDefault="00120438" w:rsidP="00192FF8">
      <w:pPr>
        <w:pStyle w:val="FootnoteText"/>
      </w:pPr>
      <w:r>
        <w:rPr>
          <w:rStyle w:val="FootnoteReference"/>
        </w:rPr>
        <w:footnoteRef/>
      </w:r>
      <w:r>
        <w:t xml:space="preserve"> </w:t>
      </w:r>
      <w:r w:rsidRPr="00120438">
        <w:rPr>
          <w:lang w:eastAsia="ja-JP"/>
        </w:rPr>
        <w:t xml:space="preserve">Australian Bleeding Disorders Registry (ABDR) Annual Report 2021-22 published by the National Blood Authority. ISSN 1839-0811 (online version) This report is available online at </w:t>
      </w:r>
      <w:hyperlink r:id="rId4" w:history="1">
        <w:r w:rsidRPr="00120438">
          <w:rPr>
            <w:rStyle w:val="Hyperlink"/>
            <w:szCs w:val="17"/>
            <w:lang w:eastAsia="ja-JP"/>
          </w:rPr>
          <w:t>http://www.blood.gov.au/data-analysis-reporting</w:t>
        </w:r>
      </w:hyperlink>
      <w:r w:rsidRPr="00120438">
        <w:rPr>
          <w:lang w:eastAsia="ja-JP"/>
        </w:rPr>
        <w:t xml:space="preserve"> Version: 22 March 2023</w:t>
      </w:r>
      <w:r>
        <w:rPr>
          <w:lang w:eastAsia="ja-JP"/>
        </w:rPr>
        <w:t>.</w:t>
      </w:r>
    </w:p>
  </w:footnote>
  <w:footnote w:id="8">
    <w:p w14:paraId="2C98B05F" w14:textId="0F1C5FCB" w:rsidR="00120438" w:rsidRDefault="00120438" w:rsidP="00192FF8">
      <w:pPr>
        <w:pStyle w:val="FootnoteText"/>
      </w:pPr>
      <w:r>
        <w:rPr>
          <w:rStyle w:val="FootnoteReference"/>
        </w:rPr>
        <w:footnoteRef/>
      </w:r>
      <w:r>
        <w:t xml:space="preserve"> </w:t>
      </w:r>
      <w:r w:rsidRPr="00120438">
        <w:rPr>
          <w:lang w:eastAsia="ja-JP"/>
        </w:rPr>
        <w:t>Australian Haemophilia Centre Directors’ Organisation. Guidelines for Management of Haemophilia in Australia. 2016.</w:t>
      </w:r>
    </w:p>
  </w:footnote>
  <w:footnote w:id="9">
    <w:p w14:paraId="31FA80D1" w14:textId="297B54A5" w:rsidR="00192FF8" w:rsidRDefault="00192FF8" w:rsidP="00192FF8">
      <w:pPr>
        <w:pStyle w:val="FootnoteText"/>
      </w:pPr>
      <w:r>
        <w:rPr>
          <w:rStyle w:val="FootnoteReference"/>
        </w:rPr>
        <w:footnoteRef/>
      </w:r>
      <w:r>
        <w:t xml:space="preserve"> </w:t>
      </w:r>
      <w:r>
        <w:rPr>
          <w:lang w:eastAsia="ja-JP"/>
        </w:rPr>
        <w:t xml:space="preserve">Mancuso ME, Ingham SJM, Kunze M. </w:t>
      </w:r>
      <w:r w:rsidRPr="0038655C">
        <w:rPr>
          <w:lang w:eastAsia="ja-JP"/>
        </w:rPr>
        <w:t>Befovacimab,</w:t>
      </w:r>
      <w:r>
        <w:rPr>
          <w:lang w:eastAsia="ja-JP"/>
        </w:rPr>
        <w:t xml:space="preserve"> </w:t>
      </w:r>
      <w:r w:rsidRPr="0038655C">
        <w:rPr>
          <w:lang w:eastAsia="ja-JP"/>
        </w:rPr>
        <w:t>an</w:t>
      </w:r>
      <w:r>
        <w:rPr>
          <w:lang w:eastAsia="ja-JP"/>
        </w:rPr>
        <w:t xml:space="preserve"> </w:t>
      </w:r>
      <w:r w:rsidRPr="0038655C">
        <w:rPr>
          <w:lang w:eastAsia="ja-JP"/>
        </w:rPr>
        <w:t>anti-tissue</w:t>
      </w:r>
      <w:r>
        <w:rPr>
          <w:lang w:eastAsia="ja-JP"/>
        </w:rPr>
        <w:t xml:space="preserve"> </w:t>
      </w:r>
      <w:r w:rsidRPr="0038655C">
        <w:rPr>
          <w:lang w:eastAsia="ja-JP"/>
        </w:rPr>
        <w:t>factor</w:t>
      </w:r>
      <w:r>
        <w:rPr>
          <w:lang w:eastAsia="ja-JP"/>
        </w:rPr>
        <w:t xml:space="preserve"> </w:t>
      </w:r>
      <w:r w:rsidRPr="0038655C">
        <w:rPr>
          <w:lang w:eastAsia="ja-JP"/>
        </w:rPr>
        <w:t>pathway</w:t>
      </w:r>
      <w:r>
        <w:rPr>
          <w:lang w:eastAsia="ja-JP"/>
        </w:rPr>
        <w:t xml:space="preserve"> </w:t>
      </w:r>
      <w:r w:rsidRPr="0038655C">
        <w:rPr>
          <w:lang w:eastAsia="ja-JP"/>
        </w:rPr>
        <w:t>inhibitor</w:t>
      </w:r>
      <w:r>
        <w:rPr>
          <w:lang w:eastAsia="ja-JP"/>
        </w:rPr>
        <w:t xml:space="preserve"> </w:t>
      </w:r>
      <w:r w:rsidRPr="0038655C">
        <w:rPr>
          <w:lang w:eastAsia="ja-JP"/>
        </w:rPr>
        <w:t>antibody:</w:t>
      </w:r>
      <w:r>
        <w:rPr>
          <w:lang w:eastAsia="ja-JP"/>
        </w:rPr>
        <w:t xml:space="preserve"> </w:t>
      </w:r>
      <w:r w:rsidRPr="0038655C">
        <w:rPr>
          <w:lang w:eastAsia="ja-JP"/>
        </w:rPr>
        <w:t>Early</w:t>
      </w:r>
      <w:r>
        <w:rPr>
          <w:lang w:eastAsia="ja-JP"/>
        </w:rPr>
        <w:t xml:space="preserve"> </w:t>
      </w:r>
      <w:r w:rsidRPr="0038655C">
        <w:rPr>
          <w:lang w:eastAsia="ja-JP"/>
        </w:rPr>
        <w:t>termination</w:t>
      </w:r>
      <w:r>
        <w:rPr>
          <w:lang w:eastAsia="ja-JP"/>
        </w:rPr>
        <w:t xml:space="preserve"> </w:t>
      </w:r>
      <w:r w:rsidRPr="0038655C">
        <w:rPr>
          <w:lang w:eastAsia="ja-JP"/>
        </w:rPr>
        <w:t>of</w:t>
      </w:r>
      <w:r>
        <w:rPr>
          <w:lang w:eastAsia="ja-JP"/>
        </w:rPr>
        <w:t xml:space="preserve"> </w:t>
      </w:r>
      <w:r w:rsidRPr="0038655C">
        <w:rPr>
          <w:lang w:eastAsia="ja-JP"/>
        </w:rPr>
        <w:t>the</w:t>
      </w:r>
      <w:r>
        <w:rPr>
          <w:lang w:eastAsia="ja-JP"/>
        </w:rPr>
        <w:t xml:space="preserve"> </w:t>
      </w:r>
      <w:r w:rsidRPr="0038655C">
        <w:rPr>
          <w:lang w:eastAsia="ja-JP"/>
        </w:rPr>
        <w:t>multiple-dose,</w:t>
      </w:r>
      <w:r>
        <w:rPr>
          <w:lang w:eastAsia="ja-JP"/>
        </w:rPr>
        <w:t xml:space="preserve"> </w:t>
      </w:r>
      <w:r w:rsidRPr="0038655C">
        <w:rPr>
          <w:lang w:eastAsia="ja-JP"/>
        </w:rPr>
        <w:t>dose-escalating</w:t>
      </w:r>
      <w:r>
        <w:rPr>
          <w:lang w:eastAsia="ja-JP"/>
        </w:rPr>
        <w:t xml:space="preserve"> </w:t>
      </w:r>
      <w:r w:rsidRPr="0038655C">
        <w:rPr>
          <w:lang w:eastAsia="ja-JP"/>
        </w:rPr>
        <w:t>Phase</w:t>
      </w:r>
      <w:r>
        <w:rPr>
          <w:lang w:eastAsia="ja-JP"/>
        </w:rPr>
        <w:t xml:space="preserve"> </w:t>
      </w:r>
      <w:r w:rsidRPr="0038655C">
        <w:rPr>
          <w:lang w:eastAsia="ja-JP"/>
        </w:rPr>
        <w:t>2</w:t>
      </w:r>
      <w:r>
        <w:rPr>
          <w:lang w:eastAsia="ja-JP"/>
        </w:rPr>
        <w:t xml:space="preserve"> </w:t>
      </w:r>
      <w:r w:rsidRPr="0038655C">
        <w:rPr>
          <w:lang w:eastAsia="ja-JP"/>
        </w:rPr>
        <w:t>study</w:t>
      </w:r>
      <w:r>
        <w:rPr>
          <w:lang w:eastAsia="ja-JP"/>
        </w:rPr>
        <w:t xml:space="preserve"> </w:t>
      </w:r>
      <w:r w:rsidRPr="0038655C">
        <w:rPr>
          <w:lang w:eastAsia="ja-JP"/>
        </w:rPr>
        <w:t>due</w:t>
      </w:r>
      <w:r>
        <w:rPr>
          <w:lang w:eastAsia="ja-JP"/>
        </w:rPr>
        <w:t xml:space="preserve"> </w:t>
      </w:r>
      <w:r w:rsidRPr="0038655C">
        <w:rPr>
          <w:lang w:eastAsia="ja-JP"/>
        </w:rPr>
        <w:t>to</w:t>
      </w:r>
      <w:r>
        <w:rPr>
          <w:lang w:eastAsia="ja-JP"/>
        </w:rPr>
        <w:t xml:space="preserve"> </w:t>
      </w:r>
      <w:r w:rsidRPr="0038655C">
        <w:rPr>
          <w:lang w:eastAsia="ja-JP"/>
        </w:rPr>
        <w:t>thrombosis</w:t>
      </w:r>
      <w:r>
        <w:rPr>
          <w:lang w:eastAsia="ja-JP"/>
        </w:rPr>
        <w:t xml:space="preserve">. </w:t>
      </w:r>
      <w:r w:rsidRPr="00192FF8">
        <w:rPr>
          <w:i/>
          <w:iCs/>
          <w:lang w:eastAsia="ja-JP"/>
        </w:rPr>
        <w:t>Haemophilia</w:t>
      </w:r>
      <w:r>
        <w:rPr>
          <w:lang w:eastAsia="ja-JP"/>
        </w:rPr>
        <w:t>. 2022; 28: 702-212.</w:t>
      </w:r>
    </w:p>
  </w:footnote>
  <w:footnote w:id="10">
    <w:p w14:paraId="7B5B72D2" w14:textId="0FAB521C" w:rsidR="00444FC1" w:rsidRDefault="00444FC1">
      <w:pPr>
        <w:pStyle w:val="FootnoteText"/>
      </w:pPr>
      <w:r>
        <w:rPr>
          <w:rStyle w:val="FootnoteReference"/>
        </w:rPr>
        <w:footnoteRef/>
      </w:r>
      <w:r>
        <w:t xml:space="preserve"> </w:t>
      </w:r>
      <w:hyperlink r:id="rId5" w:history="1">
        <w:r w:rsidRPr="00444FC1">
          <w:rPr>
            <w:rStyle w:val="Hyperlink"/>
          </w:rPr>
          <w:t>ICH guideline S6 (R1) - preclinical safety evaluation of biotechnology-derived pharmaceuticals | Therapeutic Goods Administration (TGA)</w:t>
        </w:r>
      </w:hyperlink>
    </w:p>
  </w:footnote>
  <w:footnote w:id="11">
    <w:p w14:paraId="1B6F1122" w14:textId="63F07025" w:rsidR="00D62637" w:rsidRDefault="00D62637" w:rsidP="00D62637">
      <w:pPr>
        <w:pStyle w:val="FootnoteText"/>
      </w:pPr>
      <w:r>
        <w:rPr>
          <w:rStyle w:val="FootnoteReference"/>
        </w:rPr>
        <w:footnoteRef/>
      </w:r>
      <w:r>
        <w:t xml:space="preserve"> </w:t>
      </w:r>
      <w:r w:rsidRPr="0069557B">
        <w:t>Ellery PE, Maroney SA, Cooley BC, et al</w:t>
      </w:r>
      <w:r w:rsidR="00E826E5">
        <w:t>.</w:t>
      </w:r>
      <w:r w:rsidRPr="0069557B">
        <w:t xml:space="preserve"> A balance between TFPI and thrombin-mediated platelet activation is required for murine embryonic development. </w:t>
      </w:r>
      <w:r w:rsidRPr="00BA57F8">
        <w:rPr>
          <w:i/>
          <w:iCs/>
        </w:rPr>
        <w:t xml:space="preserve">Blood </w:t>
      </w:r>
      <w:r w:rsidR="0008188B" w:rsidRPr="0008188B">
        <w:t xml:space="preserve">2015; </w:t>
      </w:r>
      <w:r w:rsidRPr="0008188B">
        <w:t>125(26):4078-84</w:t>
      </w:r>
      <w:r w:rsidRPr="0069557B">
        <w:t>.</w:t>
      </w:r>
      <w:r w:rsidR="004839EE">
        <w:t xml:space="preserve"> </w:t>
      </w:r>
      <w:r w:rsidR="004839EE" w:rsidRPr="004839EE">
        <w:t>doi: 10.1182/blood-2015-03-633958</w:t>
      </w:r>
    </w:p>
  </w:footnote>
  <w:footnote w:id="12">
    <w:p w14:paraId="0EF0F6A8" w14:textId="6F4DD949" w:rsidR="00D62637" w:rsidRPr="00E826E5" w:rsidRDefault="00D62637" w:rsidP="00D62637">
      <w:pPr>
        <w:pStyle w:val="FootnoteText"/>
      </w:pPr>
      <w:r w:rsidRPr="00E826E5">
        <w:rPr>
          <w:rStyle w:val="FootnoteReference"/>
        </w:rPr>
        <w:footnoteRef/>
      </w:r>
      <w:r w:rsidRPr="00E826E5">
        <w:t xml:space="preserve"> Huang ZF, Higuchi D, Lasky N, Broze GJ</w:t>
      </w:r>
      <w:r w:rsidR="00E826E5" w:rsidRPr="00E826E5">
        <w:t>.</w:t>
      </w:r>
      <w:r w:rsidRPr="00E826E5">
        <w:t xml:space="preserve"> Tissue factor pathway inhibitor gene disruption produces intrauterine lethality in mice. </w:t>
      </w:r>
      <w:r w:rsidRPr="00E826E5">
        <w:rPr>
          <w:i/>
          <w:iCs/>
        </w:rPr>
        <w:t>Blood</w:t>
      </w:r>
      <w:r w:rsidRPr="00E826E5">
        <w:t xml:space="preserve"> </w:t>
      </w:r>
      <w:r w:rsidR="0008188B" w:rsidRPr="00E826E5">
        <w:t>1997</w:t>
      </w:r>
      <w:r w:rsidR="00E826E5" w:rsidRPr="00E826E5">
        <w:t xml:space="preserve">; </w:t>
      </w:r>
      <w:r w:rsidRPr="00E826E5">
        <w:t>90(3):944-51.</w:t>
      </w:r>
      <w:r w:rsidR="001D4B99">
        <w:t xml:space="preserve"> </w:t>
      </w:r>
      <w:r w:rsidR="001D4B99" w:rsidRPr="001D4B99">
        <w:t>doi: 10.1182/</w:t>
      </w:r>
      <w:r w:rsidR="001D4B99" w:rsidRPr="001D4B99">
        <w:t>blood.V90.3.944</w:t>
      </w:r>
    </w:p>
  </w:footnote>
  <w:footnote w:id="13">
    <w:p w14:paraId="1A2F55D2" w14:textId="2FBEB9AE" w:rsidR="001C3401" w:rsidRDefault="001C3401" w:rsidP="001C3401">
      <w:r>
        <w:rPr>
          <w:rStyle w:val="FootnoteReference"/>
        </w:rPr>
        <w:footnoteRef/>
      </w:r>
      <w:r>
        <w:t xml:space="preserve"> </w:t>
      </w:r>
      <w:r w:rsidRPr="001C3401">
        <w:rPr>
          <w:rStyle w:val="FootnoteTextChar"/>
        </w:rPr>
        <w:t xml:space="preserve">Depasse F, Binder NB, Mueller J, Wissel T, Schwers S, Germer M, et al. Thrombin generation assays are versatile tools in blood coagulation analysis: A review of technical features, and applications from research to laboratory routine. </w:t>
      </w:r>
      <w:r w:rsidRPr="001C3401">
        <w:rPr>
          <w:rStyle w:val="FootnoteTextChar"/>
          <w:i/>
          <w:iCs/>
        </w:rPr>
        <w:t>J Thromb Haemost</w:t>
      </w:r>
      <w:r w:rsidRPr="001C3401">
        <w:rPr>
          <w:rStyle w:val="FootnoteTextChar"/>
        </w:rPr>
        <w:t>. 2021;19(12):2907-2917. doi: 10.1111/jth.15529.</w:t>
      </w:r>
    </w:p>
  </w:footnote>
  <w:footnote w:id="14">
    <w:p w14:paraId="52E79E9C" w14:textId="0889290F" w:rsidR="001C3401" w:rsidRDefault="001C3401" w:rsidP="001C3401">
      <w:r>
        <w:rPr>
          <w:rStyle w:val="FootnoteReference"/>
        </w:rPr>
        <w:footnoteRef/>
      </w:r>
      <w:r>
        <w:t xml:space="preserve"> </w:t>
      </w:r>
      <w:r w:rsidRPr="001C3401">
        <w:rPr>
          <w:rStyle w:val="FootnoteTextChar"/>
        </w:rPr>
        <w:t xml:space="preserve">Al-Samkari H, Song F, Van Cott EM, Kuter DJ, Rosovsky R. Evaluation of the prothrombin fragment 1.2 in patients with coronavirus disease 2019 (COVID-19). </w:t>
      </w:r>
      <w:r w:rsidRPr="001C3401">
        <w:rPr>
          <w:rStyle w:val="FootnoteTextChar"/>
          <w:i/>
          <w:iCs/>
        </w:rPr>
        <w:t>Am J Hematol</w:t>
      </w:r>
      <w:r w:rsidRPr="001C3401">
        <w:rPr>
          <w:rStyle w:val="FootnoteTextChar"/>
        </w:rPr>
        <w:t>. 2020;95(12):1479-1485. doi: 10.1002/ajh.25962.</w:t>
      </w:r>
    </w:p>
  </w:footnote>
  <w:footnote w:id="15">
    <w:p w14:paraId="72930016" w14:textId="6869BD42" w:rsidR="007E2138" w:rsidRDefault="007E2138">
      <w:pPr>
        <w:pStyle w:val="FootnoteText"/>
      </w:pPr>
      <w:r>
        <w:rPr>
          <w:rStyle w:val="FootnoteReference"/>
        </w:rPr>
        <w:footnoteRef/>
      </w:r>
      <w:r>
        <w:t xml:space="preserve"> </w:t>
      </w:r>
      <w:r w:rsidRPr="007E2138">
        <w:t>Killeen RB, Kok SJ. D-Dimer Test. [Updated 2025 Jun 22]. In: StatPearls [Internet]. Treasure Island (FL): StatPearls Publishing; 2025 Jan-. Available from: https://www.ncbi.nlm.nih.gov/books/NBK431064/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5D028244"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199DFD13" w:rsidR="007452E8" w:rsidRPr="002B29B2" w:rsidRDefault="00F6414B"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58240"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A0B2BD8"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6C545343"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3E8"/>
    <w:multiLevelType w:val="hybridMultilevel"/>
    <w:tmpl w:val="B8BA67DE"/>
    <w:lvl w:ilvl="0" w:tplc="E78A4D44">
      <w:start w:val="1"/>
      <w:numFmt w:val="bullet"/>
      <w:lvlText w:val=""/>
      <w:lvlJc w:val="left"/>
      <w:pPr>
        <w:tabs>
          <w:tab w:val="num" w:pos="369"/>
        </w:tabs>
        <w:ind w:left="369" w:hanging="227"/>
      </w:pPr>
      <w:rPr>
        <w:rFonts w:ascii="Symbol" w:hAnsi="Symbol" w:hint="default"/>
        <w:color w:val="auto"/>
        <w:position w:val="0"/>
        <w:sz w:val="22"/>
        <w:szCs w:val="22"/>
      </w:rPr>
    </w:lvl>
    <w:lvl w:ilvl="1" w:tplc="B622CBF4">
      <w:start w:val="1"/>
      <w:numFmt w:val="bullet"/>
      <w:lvlText w:val="—"/>
      <w:lvlJc w:val="left"/>
      <w:pPr>
        <w:tabs>
          <w:tab w:val="num" w:pos="1440"/>
        </w:tabs>
        <w:ind w:left="1440" w:hanging="360"/>
      </w:pPr>
      <w:rPr>
        <w:rFonts w:ascii="Cambria" w:hAnsi="Cambria" w:hint="default"/>
        <w:sz w:val="22"/>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53C4E"/>
    <w:multiLevelType w:val="hybridMultilevel"/>
    <w:tmpl w:val="8FFE716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4" w15:restartNumberingAfterBreak="0">
    <w:nsid w:val="11C15A1B"/>
    <w:multiLevelType w:val="hybridMultilevel"/>
    <w:tmpl w:val="E7DCA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30CB230B"/>
    <w:multiLevelType w:val="hybridMultilevel"/>
    <w:tmpl w:val="1E2492AC"/>
    <w:lvl w:ilvl="0" w:tplc="17A6BD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C427069"/>
    <w:multiLevelType w:val="hybridMultilevel"/>
    <w:tmpl w:val="7A02FE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62490B"/>
    <w:multiLevelType w:val="hybridMultilevel"/>
    <w:tmpl w:val="BA4C7952"/>
    <w:lvl w:ilvl="0" w:tplc="B49C5BF8">
      <w:start w:val="1"/>
      <w:numFmt w:val="bullet"/>
      <w:lvlText w:val=""/>
      <w:lvlJc w:val="left"/>
      <w:pPr>
        <w:ind w:left="1440" w:hanging="360"/>
      </w:pPr>
      <w:rPr>
        <w:rFonts w:ascii="Symbol" w:hAnsi="Symbol"/>
      </w:rPr>
    </w:lvl>
    <w:lvl w:ilvl="1" w:tplc="9260D022">
      <w:start w:val="1"/>
      <w:numFmt w:val="bullet"/>
      <w:lvlText w:val=""/>
      <w:lvlJc w:val="left"/>
      <w:pPr>
        <w:ind w:left="1440" w:hanging="360"/>
      </w:pPr>
      <w:rPr>
        <w:rFonts w:ascii="Symbol" w:hAnsi="Symbol"/>
      </w:rPr>
    </w:lvl>
    <w:lvl w:ilvl="2" w:tplc="4CEEA2E4">
      <w:start w:val="1"/>
      <w:numFmt w:val="bullet"/>
      <w:lvlText w:val=""/>
      <w:lvlJc w:val="left"/>
      <w:pPr>
        <w:ind w:left="1440" w:hanging="360"/>
      </w:pPr>
      <w:rPr>
        <w:rFonts w:ascii="Symbol" w:hAnsi="Symbol"/>
      </w:rPr>
    </w:lvl>
    <w:lvl w:ilvl="3" w:tplc="970C382E">
      <w:start w:val="1"/>
      <w:numFmt w:val="bullet"/>
      <w:lvlText w:val=""/>
      <w:lvlJc w:val="left"/>
      <w:pPr>
        <w:ind w:left="1440" w:hanging="360"/>
      </w:pPr>
      <w:rPr>
        <w:rFonts w:ascii="Symbol" w:hAnsi="Symbol"/>
      </w:rPr>
    </w:lvl>
    <w:lvl w:ilvl="4" w:tplc="B4E2C472">
      <w:start w:val="1"/>
      <w:numFmt w:val="bullet"/>
      <w:lvlText w:val=""/>
      <w:lvlJc w:val="left"/>
      <w:pPr>
        <w:ind w:left="1440" w:hanging="360"/>
      </w:pPr>
      <w:rPr>
        <w:rFonts w:ascii="Symbol" w:hAnsi="Symbol"/>
      </w:rPr>
    </w:lvl>
    <w:lvl w:ilvl="5" w:tplc="EB523150">
      <w:start w:val="1"/>
      <w:numFmt w:val="bullet"/>
      <w:lvlText w:val=""/>
      <w:lvlJc w:val="left"/>
      <w:pPr>
        <w:ind w:left="1440" w:hanging="360"/>
      </w:pPr>
      <w:rPr>
        <w:rFonts w:ascii="Symbol" w:hAnsi="Symbol"/>
      </w:rPr>
    </w:lvl>
    <w:lvl w:ilvl="6" w:tplc="39A600B4">
      <w:start w:val="1"/>
      <w:numFmt w:val="bullet"/>
      <w:lvlText w:val=""/>
      <w:lvlJc w:val="left"/>
      <w:pPr>
        <w:ind w:left="1440" w:hanging="360"/>
      </w:pPr>
      <w:rPr>
        <w:rFonts w:ascii="Symbol" w:hAnsi="Symbol"/>
      </w:rPr>
    </w:lvl>
    <w:lvl w:ilvl="7" w:tplc="329621CC">
      <w:start w:val="1"/>
      <w:numFmt w:val="bullet"/>
      <w:lvlText w:val=""/>
      <w:lvlJc w:val="left"/>
      <w:pPr>
        <w:ind w:left="1440" w:hanging="360"/>
      </w:pPr>
      <w:rPr>
        <w:rFonts w:ascii="Symbol" w:hAnsi="Symbol"/>
      </w:rPr>
    </w:lvl>
    <w:lvl w:ilvl="8" w:tplc="000C28C0">
      <w:start w:val="1"/>
      <w:numFmt w:val="bullet"/>
      <w:lvlText w:val=""/>
      <w:lvlJc w:val="left"/>
      <w:pPr>
        <w:ind w:left="1440" w:hanging="360"/>
      </w:pPr>
      <w:rPr>
        <w:rFonts w:ascii="Symbol" w:hAnsi="Symbol"/>
      </w:rPr>
    </w:lvl>
  </w:abstractNum>
  <w:abstractNum w:abstractNumId="12" w15:restartNumberingAfterBreak="0">
    <w:nsid w:val="437366E0"/>
    <w:multiLevelType w:val="hybridMultilevel"/>
    <w:tmpl w:val="B59CD2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3E14812"/>
    <w:multiLevelType w:val="hybridMultilevel"/>
    <w:tmpl w:val="1EEE15CE"/>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4C57E04"/>
    <w:multiLevelType w:val="hybridMultilevel"/>
    <w:tmpl w:val="75F48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D679C0"/>
    <w:multiLevelType w:val="hybridMultilevel"/>
    <w:tmpl w:val="0CA8F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7" w15:restartNumberingAfterBreak="0">
    <w:nsid w:val="46DA5DB1"/>
    <w:multiLevelType w:val="hybridMultilevel"/>
    <w:tmpl w:val="55E48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1454C"/>
    <w:multiLevelType w:val="hybridMultilevel"/>
    <w:tmpl w:val="7C321C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1"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2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65437E"/>
    <w:multiLevelType w:val="hybridMultilevel"/>
    <w:tmpl w:val="03BCA6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9126380"/>
    <w:multiLevelType w:val="hybridMultilevel"/>
    <w:tmpl w:val="E32ED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3E6CBF"/>
    <w:multiLevelType w:val="hybridMultilevel"/>
    <w:tmpl w:val="FFD4FD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27" w15:restartNumberingAfterBreak="0">
    <w:nsid w:val="6023666E"/>
    <w:multiLevelType w:val="hybridMultilevel"/>
    <w:tmpl w:val="A78E7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F40A9A"/>
    <w:multiLevelType w:val="hybridMultilevel"/>
    <w:tmpl w:val="DE9CAF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71C5A37"/>
    <w:multiLevelType w:val="hybridMultilevel"/>
    <w:tmpl w:val="7D2A3B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6CC3AC1"/>
    <w:multiLevelType w:val="hybridMultilevel"/>
    <w:tmpl w:val="57BC4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6"/>
  </w:num>
  <w:num w:numId="2" w16cid:durableId="1856573705">
    <w:abstractNumId w:val="2"/>
  </w:num>
  <w:num w:numId="3" w16cid:durableId="357703499">
    <w:abstractNumId w:val="5"/>
  </w:num>
  <w:num w:numId="4" w16cid:durableId="1869176708">
    <w:abstractNumId w:val="22"/>
  </w:num>
  <w:num w:numId="5" w16cid:durableId="1652950129">
    <w:abstractNumId w:val="8"/>
  </w:num>
  <w:num w:numId="6" w16cid:durableId="1053193207">
    <w:abstractNumId w:val="20"/>
  </w:num>
  <w:num w:numId="7" w16cid:durableId="201135927">
    <w:abstractNumId w:val="2"/>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21"/>
  </w:num>
  <w:num w:numId="9" w16cid:durableId="173421270">
    <w:abstractNumId w:val="3"/>
  </w:num>
  <w:num w:numId="10" w16cid:durableId="2108043357">
    <w:abstractNumId w:val="7"/>
  </w:num>
  <w:num w:numId="11" w16cid:durableId="1725904230">
    <w:abstractNumId w:val="16"/>
  </w:num>
  <w:num w:numId="12" w16cid:durableId="141579354">
    <w:abstractNumId w:val="26"/>
  </w:num>
  <w:num w:numId="13" w16cid:durableId="283735081">
    <w:abstractNumId w:val="31"/>
  </w:num>
  <w:num w:numId="14" w16cid:durableId="559826653">
    <w:abstractNumId w:val="25"/>
  </w:num>
  <w:num w:numId="15" w16cid:durableId="1332559469">
    <w:abstractNumId w:val="18"/>
  </w:num>
  <w:num w:numId="16" w16cid:durableId="830560087">
    <w:abstractNumId w:val="0"/>
  </w:num>
  <w:num w:numId="17" w16cid:durableId="181092964">
    <w:abstractNumId w:val="14"/>
  </w:num>
  <w:num w:numId="18" w16cid:durableId="1746339275">
    <w:abstractNumId w:val="28"/>
  </w:num>
  <w:num w:numId="19" w16cid:durableId="1749034015">
    <w:abstractNumId w:val="29"/>
  </w:num>
  <w:num w:numId="20" w16cid:durableId="538204163">
    <w:abstractNumId w:val="15"/>
  </w:num>
  <w:num w:numId="21" w16cid:durableId="928273781">
    <w:abstractNumId w:val="9"/>
  </w:num>
  <w:num w:numId="22" w16cid:durableId="1114713943">
    <w:abstractNumId w:val="24"/>
  </w:num>
  <w:num w:numId="23" w16cid:durableId="546069071">
    <w:abstractNumId w:val="12"/>
  </w:num>
  <w:num w:numId="24" w16cid:durableId="231082245">
    <w:abstractNumId w:val="13"/>
  </w:num>
  <w:num w:numId="25" w16cid:durableId="1251618163">
    <w:abstractNumId w:val="27"/>
  </w:num>
  <w:num w:numId="26" w16cid:durableId="1586722371">
    <w:abstractNumId w:val="17"/>
  </w:num>
  <w:num w:numId="27" w16cid:durableId="2118089089">
    <w:abstractNumId w:val="4"/>
  </w:num>
  <w:num w:numId="28" w16cid:durableId="1732729504">
    <w:abstractNumId w:val="30"/>
  </w:num>
  <w:num w:numId="29" w16cid:durableId="799568023">
    <w:abstractNumId w:val="1"/>
  </w:num>
  <w:num w:numId="30" w16cid:durableId="719941117">
    <w:abstractNumId w:val="19"/>
  </w:num>
  <w:num w:numId="31" w16cid:durableId="391925212">
    <w:abstractNumId w:val="10"/>
  </w:num>
  <w:num w:numId="32" w16cid:durableId="464858263">
    <w:abstractNumId w:val="23"/>
  </w:num>
  <w:num w:numId="33" w16cid:durableId="14677010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13E"/>
    <w:rsid w:val="00000814"/>
    <w:rsid w:val="00000D22"/>
    <w:rsid w:val="00000E6E"/>
    <w:rsid w:val="00001EFD"/>
    <w:rsid w:val="00004431"/>
    <w:rsid w:val="00004F0C"/>
    <w:rsid w:val="00005062"/>
    <w:rsid w:val="00005DFC"/>
    <w:rsid w:val="00007C02"/>
    <w:rsid w:val="0001064C"/>
    <w:rsid w:val="0001384A"/>
    <w:rsid w:val="00014C8C"/>
    <w:rsid w:val="000153BF"/>
    <w:rsid w:val="000163D1"/>
    <w:rsid w:val="00016460"/>
    <w:rsid w:val="000164AF"/>
    <w:rsid w:val="00017E0E"/>
    <w:rsid w:val="000201ED"/>
    <w:rsid w:val="00021C13"/>
    <w:rsid w:val="000240B0"/>
    <w:rsid w:val="00030561"/>
    <w:rsid w:val="000326DE"/>
    <w:rsid w:val="00032A0F"/>
    <w:rsid w:val="00035303"/>
    <w:rsid w:val="00035651"/>
    <w:rsid w:val="000370EE"/>
    <w:rsid w:val="0003773B"/>
    <w:rsid w:val="00040D8D"/>
    <w:rsid w:val="000427B4"/>
    <w:rsid w:val="00042B20"/>
    <w:rsid w:val="00043B64"/>
    <w:rsid w:val="00046423"/>
    <w:rsid w:val="000470CD"/>
    <w:rsid w:val="000477F5"/>
    <w:rsid w:val="00051DD2"/>
    <w:rsid w:val="000531C4"/>
    <w:rsid w:val="00053BC0"/>
    <w:rsid w:val="00056508"/>
    <w:rsid w:val="0005725B"/>
    <w:rsid w:val="00057B10"/>
    <w:rsid w:val="0006104E"/>
    <w:rsid w:val="000610E4"/>
    <w:rsid w:val="00062A53"/>
    <w:rsid w:val="000640BD"/>
    <w:rsid w:val="0006545D"/>
    <w:rsid w:val="00065839"/>
    <w:rsid w:val="00065FDF"/>
    <w:rsid w:val="0006693A"/>
    <w:rsid w:val="00067BBE"/>
    <w:rsid w:val="000705D4"/>
    <w:rsid w:val="00072C39"/>
    <w:rsid w:val="000732B0"/>
    <w:rsid w:val="00073E03"/>
    <w:rsid w:val="000768B2"/>
    <w:rsid w:val="00077844"/>
    <w:rsid w:val="0008188B"/>
    <w:rsid w:val="00082AD5"/>
    <w:rsid w:val="00083648"/>
    <w:rsid w:val="00083763"/>
    <w:rsid w:val="000869B5"/>
    <w:rsid w:val="00090510"/>
    <w:rsid w:val="000917AE"/>
    <w:rsid w:val="00093F5A"/>
    <w:rsid w:val="00094B81"/>
    <w:rsid w:val="00095C6A"/>
    <w:rsid w:val="000975AA"/>
    <w:rsid w:val="000A3537"/>
    <w:rsid w:val="000A4F86"/>
    <w:rsid w:val="000A6159"/>
    <w:rsid w:val="000A6189"/>
    <w:rsid w:val="000A7C4B"/>
    <w:rsid w:val="000B357D"/>
    <w:rsid w:val="000B6B15"/>
    <w:rsid w:val="000B6B39"/>
    <w:rsid w:val="000C25A7"/>
    <w:rsid w:val="000C2BAF"/>
    <w:rsid w:val="000C39C4"/>
    <w:rsid w:val="000C43E5"/>
    <w:rsid w:val="000C5E0D"/>
    <w:rsid w:val="000C6F37"/>
    <w:rsid w:val="000D1BA4"/>
    <w:rsid w:val="000D2112"/>
    <w:rsid w:val="000D2A2A"/>
    <w:rsid w:val="000D3A9A"/>
    <w:rsid w:val="000D78EC"/>
    <w:rsid w:val="000D7934"/>
    <w:rsid w:val="000E002D"/>
    <w:rsid w:val="000E0D84"/>
    <w:rsid w:val="000E2328"/>
    <w:rsid w:val="000E2434"/>
    <w:rsid w:val="000E2597"/>
    <w:rsid w:val="000E33A5"/>
    <w:rsid w:val="000E4B97"/>
    <w:rsid w:val="000E504E"/>
    <w:rsid w:val="000E6746"/>
    <w:rsid w:val="000F3AD4"/>
    <w:rsid w:val="000F4DB6"/>
    <w:rsid w:val="000F7B51"/>
    <w:rsid w:val="00101BEE"/>
    <w:rsid w:val="00101CE6"/>
    <w:rsid w:val="00101FB1"/>
    <w:rsid w:val="0010558A"/>
    <w:rsid w:val="001101FF"/>
    <w:rsid w:val="00110AC1"/>
    <w:rsid w:val="00111989"/>
    <w:rsid w:val="00113735"/>
    <w:rsid w:val="00113F9F"/>
    <w:rsid w:val="00114025"/>
    <w:rsid w:val="00114887"/>
    <w:rsid w:val="00120438"/>
    <w:rsid w:val="0012473C"/>
    <w:rsid w:val="00126F08"/>
    <w:rsid w:val="001274AC"/>
    <w:rsid w:val="00127A74"/>
    <w:rsid w:val="00130274"/>
    <w:rsid w:val="0013132F"/>
    <w:rsid w:val="00131B1B"/>
    <w:rsid w:val="0013306D"/>
    <w:rsid w:val="00133A7D"/>
    <w:rsid w:val="0013528C"/>
    <w:rsid w:val="0013604D"/>
    <w:rsid w:val="00140089"/>
    <w:rsid w:val="00141424"/>
    <w:rsid w:val="00142BD5"/>
    <w:rsid w:val="001442A2"/>
    <w:rsid w:val="00145D2D"/>
    <w:rsid w:val="001468CA"/>
    <w:rsid w:val="001500A8"/>
    <w:rsid w:val="00150240"/>
    <w:rsid w:val="00150ED2"/>
    <w:rsid w:val="001519C9"/>
    <w:rsid w:val="00153D15"/>
    <w:rsid w:val="0015444B"/>
    <w:rsid w:val="00154B3C"/>
    <w:rsid w:val="001552A8"/>
    <w:rsid w:val="00155D85"/>
    <w:rsid w:val="00155F6A"/>
    <w:rsid w:val="001563ED"/>
    <w:rsid w:val="00160F81"/>
    <w:rsid w:val="00162F9A"/>
    <w:rsid w:val="001653C4"/>
    <w:rsid w:val="00165D28"/>
    <w:rsid w:val="001661C2"/>
    <w:rsid w:val="00166680"/>
    <w:rsid w:val="0017005C"/>
    <w:rsid w:val="001713A4"/>
    <w:rsid w:val="00172D26"/>
    <w:rsid w:val="00175CD8"/>
    <w:rsid w:val="00177ABA"/>
    <w:rsid w:val="00180D9C"/>
    <w:rsid w:val="00182BD8"/>
    <w:rsid w:val="00185231"/>
    <w:rsid w:val="0018587F"/>
    <w:rsid w:val="001900FE"/>
    <w:rsid w:val="00190853"/>
    <w:rsid w:val="00190D97"/>
    <w:rsid w:val="00192FF8"/>
    <w:rsid w:val="001A2048"/>
    <w:rsid w:val="001A5B70"/>
    <w:rsid w:val="001A76F9"/>
    <w:rsid w:val="001B06FF"/>
    <w:rsid w:val="001B1703"/>
    <w:rsid w:val="001C1C2E"/>
    <w:rsid w:val="001C31A1"/>
    <w:rsid w:val="001C3401"/>
    <w:rsid w:val="001C3FA2"/>
    <w:rsid w:val="001C5C87"/>
    <w:rsid w:val="001C5EE2"/>
    <w:rsid w:val="001C633E"/>
    <w:rsid w:val="001D0077"/>
    <w:rsid w:val="001D4B99"/>
    <w:rsid w:val="001E2A95"/>
    <w:rsid w:val="001E3511"/>
    <w:rsid w:val="001E407B"/>
    <w:rsid w:val="001E4695"/>
    <w:rsid w:val="001E6788"/>
    <w:rsid w:val="001E7FC6"/>
    <w:rsid w:val="001F071C"/>
    <w:rsid w:val="001F1734"/>
    <w:rsid w:val="001F2502"/>
    <w:rsid w:val="001F54B2"/>
    <w:rsid w:val="001F70A5"/>
    <w:rsid w:val="0020176D"/>
    <w:rsid w:val="0020235D"/>
    <w:rsid w:val="0020369B"/>
    <w:rsid w:val="00207B4D"/>
    <w:rsid w:val="00207E11"/>
    <w:rsid w:val="00210F9B"/>
    <w:rsid w:val="002110C6"/>
    <w:rsid w:val="002117B1"/>
    <w:rsid w:val="00214004"/>
    <w:rsid w:val="00215C84"/>
    <w:rsid w:val="002163CF"/>
    <w:rsid w:val="00216F53"/>
    <w:rsid w:val="00217CCE"/>
    <w:rsid w:val="002203B1"/>
    <w:rsid w:val="00220E4F"/>
    <w:rsid w:val="00222CE0"/>
    <w:rsid w:val="0022340D"/>
    <w:rsid w:val="00223B05"/>
    <w:rsid w:val="00224031"/>
    <w:rsid w:val="0022605D"/>
    <w:rsid w:val="00226F39"/>
    <w:rsid w:val="00232883"/>
    <w:rsid w:val="002334AD"/>
    <w:rsid w:val="00241B60"/>
    <w:rsid w:val="002423DF"/>
    <w:rsid w:val="0024452A"/>
    <w:rsid w:val="0025785B"/>
    <w:rsid w:val="00257969"/>
    <w:rsid w:val="00261374"/>
    <w:rsid w:val="002623EF"/>
    <w:rsid w:val="00264D44"/>
    <w:rsid w:val="00265CD1"/>
    <w:rsid w:val="00266FC0"/>
    <w:rsid w:val="002677FF"/>
    <w:rsid w:val="00271560"/>
    <w:rsid w:val="00274978"/>
    <w:rsid w:val="0027622B"/>
    <w:rsid w:val="00277412"/>
    <w:rsid w:val="00280048"/>
    <w:rsid w:val="002821AC"/>
    <w:rsid w:val="002830E1"/>
    <w:rsid w:val="002835EA"/>
    <w:rsid w:val="0028489E"/>
    <w:rsid w:val="002848DE"/>
    <w:rsid w:val="00285C70"/>
    <w:rsid w:val="00285DB6"/>
    <w:rsid w:val="0028794E"/>
    <w:rsid w:val="002948A8"/>
    <w:rsid w:val="002954ED"/>
    <w:rsid w:val="0029733B"/>
    <w:rsid w:val="002A35D8"/>
    <w:rsid w:val="002A56E2"/>
    <w:rsid w:val="002A5841"/>
    <w:rsid w:val="002B0525"/>
    <w:rsid w:val="002B1EDF"/>
    <w:rsid w:val="002B2061"/>
    <w:rsid w:val="002B33C3"/>
    <w:rsid w:val="002B4505"/>
    <w:rsid w:val="002B5DB0"/>
    <w:rsid w:val="002B7835"/>
    <w:rsid w:val="002C1232"/>
    <w:rsid w:val="002C1E44"/>
    <w:rsid w:val="002C44F6"/>
    <w:rsid w:val="002C5C92"/>
    <w:rsid w:val="002C5E29"/>
    <w:rsid w:val="002C6165"/>
    <w:rsid w:val="002D0478"/>
    <w:rsid w:val="002D17D1"/>
    <w:rsid w:val="002D2E99"/>
    <w:rsid w:val="002D37B2"/>
    <w:rsid w:val="002D37F2"/>
    <w:rsid w:val="002D7127"/>
    <w:rsid w:val="002E0660"/>
    <w:rsid w:val="002E4780"/>
    <w:rsid w:val="002E544B"/>
    <w:rsid w:val="002F002B"/>
    <w:rsid w:val="002F0A1A"/>
    <w:rsid w:val="002F0ACD"/>
    <w:rsid w:val="002F1381"/>
    <w:rsid w:val="002F599E"/>
    <w:rsid w:val="002F7E3D"/>
    <w:rsid w:val="003008D8"/>
    <w:rsid w:val="00301D9A"/>
    <w:rsid w:val="00302CC5"/>
    <w:rsid w:val="00303959"/>
    <w:rsid w:val="00304354"/>
    <w:rsid w:val="00304A63"/>
    <w:rsid w:val="003056EA"/>
    <w:rsid w:val="0030614C"/>
    <w:rsid w:val="00306E72"/>
    <w:rsid w:val="003111C9"/>
    <w:rsid w:val="00312879"/>
    <w:rsid w:val="00312AC3"/>
    <w:rsid w:val="00314430"/>
    <w:rsid w:val="003163BC"/>
    <w:rsid w:val="003212D9"/>
    <w:rsid w:val="0032351A"/>
    <w:rsid w:val="00323E95"/>
    <w:rsid w:val="00324B33"/>
    <w:rsid w:val="00325AC0"/>
    <w:rsid w:val="00326BE5"/>
    <w:rsid w:val="00327488"/>
    <w:rsid w:val="003279AA"/>
    <w:rsid w:val="00335A2B"/>
    <w:rsid w:val="00336FE1"/>
    <w:rsid w:val="00337BD8"/>
    <w:rsid w:val="00342D56"/>
    <w:rsid w:val="00343765"/>
    <w:rsid w:val="00344381"/>
    <w:rsid w:val="003456E7"/>
    <w:rsid w:val="00346EC2"/>
    <w:rsid w:val="003477F9"/>
    <w:rsid w:val="0035444D"/>
    <w:rsid w:val="00354970"/>
    <w:rsid w:val="0035522B"/>
    <w:rsid w:val="00355CAE"/>
    <w:rsid w:val="00356D62"/>
    <w:rsid w:val="0036099E"/>
    <w:rsid w:val="00363EE3"/>
    <w:rsid w:val="00363FEC"/>
    <w:rsid w:val="003650C6"/>
    <w:rsid w:val="00365DF9"/>
    <w:rsid w:val="00370E89"/>
    <w:rsid w:val="00372473"/>
    <w:rsid w:val="00372868"/>
    <w:rsid w:val="0037314B"/>
    <w:rsid w:val="003735F3"/>
    <w:rsid w:val="00374729"/>
    <w:rsid w:val="00382F73"/>
    <w:rsid w:val="00383101"/>
    <w:rsid w:val="00387298"/>
    <w:rsid w:val="00387984"/>
    <w:rsid w:val="00390FC5"/>
    <w:rsid w:val="003915F9"/>
    <w:rsid w:val="00394244"/>
    <w:rsid w:val="00395140"/>
    <w:rsid w:val="00397638"/>
    <w:rsid w:val="003A2422"/>
    <w:rsid w:val="003B0702"/>
    <w:rsid w:val="003B149C"/>
    <w:rsid w:val="003B1DE8"/>
    <w:rsid w:val="003B3CE0"/>
    <w:rsid w:val="003B64A6"/>
    <w:rsid w:val="003B67BA"/>
    <w:rsid w:val="003C0FDB"/>
    <w:rsid w:val="003C1192"/>
    <w:rsid w:val="003C23D2"/>
    <w:rsid w:val="003C2FF6"/>
    <w:rsid w:val="003C3397"/>
    <w:rsid w:val="003C4269"/>
    <w:rsid w:val="003C4E4F"/>
    <w:rsid w:val="003C55E2"/>
    <w:rsid w:val="003C63D5"/>
    <w:rsid w:val="003C7AA8"/>
    <w:rsid w:val="003D0B1D"/>
    <w:rsid w:val="003D3136"/>
    <w:rsid w:val="003D3D27"/>
    <w:rsid w:val="003D4335"/>
    <w:rsid w:val="003D6932"/>
    <w:rsid w:val="003D71A1"/>
    <w:rsid w:val="003E13FE"/>
    <w:rsid w:val="003E18B8"/>
    <w:rsid w:val="003E44CF"/>
    <w:rsid w:val="003F02E5"/>
    <w:rsid w:val="003F49EB"/>
    <w:rsid w:val="003F609B"/>
    <w:rsid w:val="003F675F"/>
    <w:rsid w:val="004012C1"/>
    <w:rsid w:val="0040700F"/>
    <w:rsid w:val="00410BBC"/>
    <w:rsid w:val="00410C1A"/>
    <w:rsid w:val="0041297F"/>
    <w:rsid w:val="004141D9"/>
    <w:rsid w:val="004162AC"/>
    <w:rsid w:val="0041688F"/>
    <w:rsid w:val="00417060"/>
    <w:rsid w:val="00417972"/>
    <w:rsid w:val="0042376F"/>
    <w:rsid w:val="0042409A"/>
    <w:rsid w:val="004246B8"/>
    <w:rsid w:val="004248F1"/>
    <w:rsid w:val="00425578"/>
    <w:rsid w:val="00425976"/>
    <w:rsid w:val="00430EEB"/>
    <w:rsid w:val="00433318"/>
    <w:rsid w:val="0043462C"/>
    <w:rsid w:val="0043697F"/>
    <w:rsid w:val="004411D9"/>
    <w:rsid w:val="00442A56"/>
    <w:rsid w:val="004444B0"/>
    <w:rsid w:val="00444FC1"/>
    <w:rsid w:val="0044554C"/>
    <w:rsid w:val="00447A57"/>
    <w:rsid w:val="0045060B"/>
    <w:rsid w:val="00451A81"/>
    <w:rsid w:val="0045585F"/>
    <w:rsid w:val="0045669C"/>
    <w:rsid w:val="004602CE"/>
    <w:rsid w:val="004626FF"/>
    <w:rsid w:val="0046285C"/>
    <w:rsid w:val="0046437A"/>
    <w:rsid w:val="004644DB"/>
    <w:rsid w:val="00464EEE"/>
    <w:rsid w:val="00465C97"/>
    <w:rsid w:val="00467BBE"/>
    <w:rsid w:val="00467F0A"/>
    <w:rsid w:val="004700B5"/>
    <w:rsid w:val="00470A52"/>
    <w:rsid w:val="00471BD5"/>
    <w:rsid w:val="00475574"/>
    <w:rsid w:val="004769B2"/>
    <w:rsid w:val="00477C4E"/>
    <w:rsid w:val="00477F07"/>
    <w:rsid w:val="00481503"/>
    <w:rsid w:val="00481D12"/>
    <w:rsid w:val="004839EE"/>
    <w:rsid w:val="00483D63"/>
    <w:rsid w:val="004854A6"/>
    <w:rsid w:val="00486DB3"/>
    <w:rsid w:val="00491A55"/>
    <w:rsid w:val="00493C4B"/>
    <w:rsid w:val="00494C3E"/>
    <w:rsid w:val="0049754A"/>
    <w:rsid w:val="00497DF1"/>
    <w:rsid w:val="004A2361"/>
    <w:rsid w:val="004A318E"/>
    <w:rsid w:val="004A45D4"/>
    <w:rsid w:val="004A57E8"/>
    <w:rsid w:val="004B039B"/>
    <w:rsid w:val="004B0B74"/>
    <w:rsid w:val="004B3081"/>
    <w:rsid w:val="004B4A09"/>
    <w:rsid w:val="004B54D6"/>
    <w:rsid w:val="004B5AFD"/>
    <w:rsid w:val="004B67A3"/>
    <w:rsid w:val="004B690F"/>
    <w:rsid w:val="004C09CA"/>
    <w:rsid w:val="004C0E1B"/>
    <w:rsid w:val="004C0FA6"/>
    <w:rsid w:val="004C310C"/>
    <w:rsid w:val="004C41CE"/>
    <w:rsid w:val="004C5E24"/>
    <w:rsid w:val="004C631B"/>
    <w:rsid w:val="004D0933"/>
    <w:rsid w:val="004D23E1"/>
    <w:rsid w:val="004D2CF8"/>
    <w:rsid w:val="004D2F00"/>
    <w:rsid w:val="004D31D8"/>
    <w:rsid w:val="004D35D1"/>
    <w:rsid w:val="004D5388"/>
    <w:rsid w:val="004D6689"/>
    <w:rsid w:val="004D6CB0"/>
    <w:rsid w:val="004D6E5F"/>
    <w:rsid w:val="004E0D60"/>
    <w:rsid w:val="004E1F7E"/>
    <w:rsid w:val="004E2C38"/>
    <w:rsid w:val="004E7F16"/>
    <w:rsid w:val="004F18EC"/>
    <w:rsid w:val="004F4315"/>
    <w:rsid w:val="00500548"/>
    <w:rsid w:val="00500D68"/>
    <w:rsid w:val="00500FC5"/>
    <w:rsid w:val="005049F9"/>
    <w:rsid w:val="005075A0"/>
    <w:rsid w:val="00507C9B"/>
    <w:rsid w:val="005123BB"/>
    <w:rsid w:val="005139A0"/>
    <w:rsid w:val="005156C3"/>
    <w:rsid w:val="00520B48"/>
    <w:rsid w:val="00520C28"/>
    <w:rsid w:val="005279B5"/>
    <w:rsid w:val="005279C6"/>
    <w:rsid w:val="00533693"/>
    <w:rsid w:val="0053377D"/>
    <w:rsid w:val="00533D24"/>
    <w:rsid w:val="00535DFE"/>
    <w:rsid w:val="005373B5"/>
    <w:rsid w:val="00537AB7"/>
    <w:rsid w:val="00537B04"/>
    <w:rsid w:val="0054035D"/>
    <w:rsid w:val="00541315"/>
    <w:rsid w:val="005415B2"/>
    <w:rsid w:val="00543CCF"/>
    <w:rsid w:val="00544F1A"/>
    <w:rsid w:val="0054669B"/>
    <w:rsid w:val="0055276F"/>
    <w:rsid w:val="00553F2A"/>
    <w:rsid w:val="00557684"/>
    <w:rsid w:val="00560477"/>
    <w:rsid w:val="005610D1"/>
    <w:rsid w:val="0056184E"/>
    <w:rsid w:val="005618D5"/>
    <w:rsid w:val="00562F42"/>
    <w:rsid w:val="00564A62"/>
    <w:rsid w:val="00565739"/>
    <w:rsid w:val="0056766D"/>
    <w:rsid w:val="005703A5"/>
    <w:rsid w:val="00570AC1"/>
    <w:rsid w:val="00570E60"/>
    <w:rsid w:val="005737D2"/>
    <w:rsid w:val="00573F00"/>
    <w:rsid w:val="00575215"/>
    <w:rsid w:val="00577095"/>
    <w:rsid w:val="005775D0"/>
    <w:rsid w:val="00581138"/>
    <w:rsid w:val="00581E44"/>
    <w:rsid w:val="00583CB6"/>
    <w:rsid w:val="0058575E"/>
    <w:rsid w:val="0058783C"/>
    <w:rsid w:val="00590B00"/>
    <w:rsid w:val="00590D85"/>
    <w:rsid w:val="005911AE"/>
    <w:rsid w:val="005926E2"/>
    <w:rsid w:val="0059313A"/>
    <w:rsid w:val="00594DFD"/>
    <w:rsid w:val="005A2B50"/>
    <w:rsid w:val="005A54EA"/>
    <w:rsid w:val="005B0139"/>
    <w:rsid w:val="005B023F"/>
    <w:rsid w:val="005B02A2"/>
    <w:rsid w:val="005B03EF"/>
    <w:rsid w:val="005B1417"/>
    <w:rsid w:val="005B2548"/>
    <w:rsid w:val="005B56AC"/>
    <w:rsid w:val="005B69CF"/>
    <w:rsid w:val="005B7604"/>
    <w:rsid w:val="005B7ED0"/>
    <w:rsid w:val="005C1E60"/>
    <w:rsid w:val="005C3E0D"/>
    <w:rsid w:val="005C3F07"/>
    <w:rsid w:val="005C4B46"/>
    <w:rsid w:val="005C5DC5"/>
    <w:rsid w:val="005C6603"/>
    <w:rsid w:val="005D0597"/>
    <w:rsid w:val="005D0E1E"/>
    <w:rsid w:val="005D2089"/>
    <w:rsid w:val="005D2F6B"/>
    <w:rsid w:val="005D3BE6"/>
    <w:rsid w:val="005D6B4E"/>
    <w:rsid w:val="005D7514"/>
    <w:rsid w:val="005E04F3"/>
    <w:rsid w:val="005E0FC6"/>
    <w:rsid w:val="005E1A7B"/>
    <w:rsid w:val="005E231F"/>
    <w:rsid w:val="005E3EC6"/>
    <w:rsid w:val="005E409D"/>
    <w:rsid w:val="005E741F"/>
    <w:rsid w:val="005F1F96"/>
    <w:rsid w:val="005F67EC"/>
    <w:rsid w:val="005F6EE0"/>
    <w:rsid w:val="006005E2"/>
    <w:rsid w:val="00602D6E"/>
    <w:rsid w:val="00605C05"/>
    <w:rsid w:val="006101DB"/>
    <w:rsid w:val="00610A1D"/>
    <w:rsid w:val="00611351"/>
    <w:rsid w:val="0061217D"/>
    <w:rsid w:val="006129AE"/>
    <w:rsid w:val="00617896"/>
    <w:rsid w:val="006256C3"/>
    <w:rsid w:val="006277A1"/>
    <w:rsid w:val="00631466"/>
    <w:rsid w:val="00631940"/>
    <w:rsid w:val="00632DB5"/>
    <w:rsid w:val="00633BD7"/>
    <w:rsid w:val="00634580"/>
    <w:rsid w:val="00634884"/>
    <w:rsid w:val="00634E5F"/>
    <w:rsid w:val="006351D9"/>
    <w:rsid w:val="00637130"/>
    <w:rsid w:val="00637F0E"/>
    <w:rsid w:val="006423F2"/>
    <w:rsid w:val="006428C5"/>
    <w:rsid w:val="00643999"/>
    <w:rsid w:val="006449DF"/>
    <w:rsid w:val="00646BB0"/>
    <w:rsid w:val="00650234"/>
    <w:rsid w:val="00653A0E"/>
    <w:rsid w:val="0066044B"/>
    <w:rsid w:val="00661D0D"/>
    <w:rsid w:val="006624B4"/>
    <w:rsid w:val="00662B60"/>
    <w:rsid w:val="006630AA"/>
    <w:rsid w:val="00663544"/>
    <w:rsid w:val="00664961"/>
    <w:rsid w:val="006650FD"/>
    <w:rsid w:val="00666539"/>
    <w:rsid w:val="00666911"/>
    <w:rsid w:val="006701C7"/>
    <w:rsid w:val="006720ED"/>
    <w:rsid w:val="0067443F"/>
    <w:rsid w:val="00675F81"/>
    <w:rsid w:val="0067639D"/>
    <w:rsid w:val="00676D76"/>
    <w:rsid w:val="00677B8C"/>
    <w:rsid w:val="00680636"/>
    <w:rsid w:val="0068143E"/>
    <w:rsid w:val="0068504B"/>
    <w:rsid w:val="0068507D"/>
    <w:rsid w:val="00687FC3"/>
    <w:rsid w:val="0069011B"/>
    <w:rsid w:val="00690284"/>
    <w:rsid w:val="00691AF2"/>
    <w:rsid w:val="00692B80"/>
    <w:rsid w:val="00692CCD"/>
    <w:rsid w:val="00692D51"/>
    <w:rsid w:val="00694DD7"/>
    <w:rsid w:val="0069636B"/>
    <w:rsid w:val="00696A7E"/>
    <w:rsid w:val="006A1762"/>
    <w:rsid w:val="006A19CE"/>
    <w:rsid w:val="006A1F0B"/>
    <w:rsid w:val="006A277A"/>
    <w:rsid w:val="006A5973"/>
    <w:rsid w:val="006A7C83"/>
    <w:rsid w:val="006B03AE"/>
    <w:rsid w:val="006B04F3"/>
    <w:rsid w:val="006B22C0"/>
    <w:rsid w:val="006B2987"/>
    <w:rsid w:val="006B2BAA"/>
    <w:rsid w:val="006B6696"/>
    <w:rsid w:val="006B7126"/>
    <w:rsid w:val="006C18FF"/>
    <w:rsid w:val="006C338F"/>
    <w:rsid w:val="006C3CC6"/>
    <w:rsid w:val="006C56B5"/>
    <w:rsid w:val="006C5A4B"/>
    <w:rsid w:val="006C5D49"/>
    <w:rsid w:val="006C6784"/>
    <w:rsid w:val="006C6B86"/>
    <w:rsid w:val="006C74E7"/>
    <w:rsid w:val="006C7C3A"/>
    <w:rsid w:val="006D4553"/>
    <w:rsid w:val="006D4768"/>
    <w:rsid w:val="006D4A35"/>
    <w:rsid w:val="006D6B44"/>
    <w:rsid w:val="006D6F14"/>
    <w:rsid w:val="006E0B63"/>
    <w:rsid w:val="006E0F71"/>
    <w:rsid w:val="006E23EB"/>
    <w:rsid w:val="006E27FE"/>
    <w:rsid w:val="006E5C95"/>
    <w:rsid w:val="007000CA"/>
    <w:rsid w:val="00701110"/>
    <w:rsid w:val="00702856"/>
    <w:rsid w:val="00702E91"/>
    <w:rsid w:val="0070330F"/>
    <w:rsid w:val="00703624"/>
    <w:rsid w:val="007046ED"/>
    <w:rsid w:val="0070541F"/>
    <w:rsid w:val="007072A1"/>
    <w:rsid w:val="0071060C"/>
    <w:rsid w:val="00710BC5"/>
    <w:rsid w:val="007121CA"/>
    <w:rsid w:val="007171A1"/>
    <w:rsid w:val="0072003B"/>
    <w:rsid w:val="007202F4"/>
    <w:rsid w:val="00720910"/>
    <w:rsid w:val="00720F6B"/>
    <w:rsid w:val="00721059"/>
    <w:rsid w:val="007211E6"/>
    <w:rsid w:val="007220C4"/>
    <w:rsid w:val="00723161"/>
    <w:rsid w:val="007242E3"/>
    <w:rsid w:val="00730090"/>
    <w:rsid w:val="007305ED"/>
    <w:rsid w:val="007307C5"/>
    <w:rsid w:val="007311B9"/>
    <w:rsid w:val="00732361"/>
    <w:rsid w:val="00732BDE"/>
    <w:rsid w:val="007357B9"/>
    <w:rsid w:val="00741AB9"/>
    <w:rsid w:val="00742D03"/>
    <w:rsid w:val="00744216"/>
    <w:rsid w:val="007452E8"/>
    <w:rsid w:val="00746990"/>
    <w:rsid w:val="00747093"/>
    <w:rsid w:val="00750D70"/>
    <w:rsid w:val="00751800"/>
    <w:rsid w:val="0075664D"/>
    <w:rsid w:val="007575D0"/>
    <w:rsid w:val="007579D6"/>
    <w:rsid w:val="00761C86"/>
    <w:rsid w:val="007662E0"/>
    <w:rsid w:val="007710DB"/>
    <w:rsid w:val="00772B35"/>
    <w:rsid w:val="00772C1C"/>
    <w:rsid w:val="00776E9C"/>
    <w:rsid w:val="0077780A"/>
    <w:rsid w:val="00777D6A"/>
    <w:rsid w:val="007816D8"/>
    <w:rsid w:val="00784150"/>
    <w:rsid w:val="00785EBE"/>
    <w:rsid w:val="00786FC9"/>
    <w:rsid w:val="00787A36"/>
    <w:rsid w:val="007916D2"/>
    <w:rsid w:val="00793272"/>
    <w:rsid w:val="0079499A"/>
    <w:rsid w:val="00794B64"/>
    <w:rsid w:val="007967C3"/>
    <w:rsid w:val="007A0A33"/>
    <w:rsid w:val="007A426A"/>
    <w:rsid w:val="007A549E"/>
    <w:rsid w:val="007A691E"/>
    <w:rsid w:val="007B01ED"/>
    <w:rsid w:val="007B04DE"/>
    <w:rsid w:val="007B0AE6"/>
    <w:rsid w:val="007B2ED1"/>
    <w:rsid w:val="007B3C69"/>
    <w:rsid w:val="007C0F0B"/>
    <w:rsid w:val="007C24BC"/>
    <w:rsid w:val="007C352C"/>
    <w:rsid w:val="007C41AF"/>
    <w:rsid w:val="007C5715"/>
    <w:rsid w:val="007C57BC"/>
    <w:rsid w:val="007D01C8"/>
    <w:rsid w:val="007D04CA"/>
    <w:rsid w:val="007D0A2B"/>
    <w:rsid w:val="007D12A1"/>
    <w:rsid w:val="007D3E43"/>
    <w:rsid w:val="007D40E5"/>
    <w:rsid w:val="007D4138"/>
    <w:rsid w:val="007D6551"/>
    <w:rsid w:val="007E1D6E"/>
    <w:rsid w:val="007E2138"/>
    <w:rsid w:val="007E236B"/>
    <w:rsid w:val="007E4178"/>
    <w:rsid w:val="007E6443"/>
    <w:rsid w:val="007E6726"/>
    <w:rsid w:val="007F0A77"/>
    <w:rsid w:val="007F1E37"/>
    <w:rsid w:val="007F2855"/>
    <w:rsid w:val="007F2CA7"/>
    <w:rsid w:val="007F50D3"/>
    <w:rsid w:val="007F681B"/>
    <w:rsid w:val="007F6834"/>
    <w:rsid w:val="007F6B1F"/>
    <w:rsid w:val="00800452"/>
    <w:rsid w:val="008013F0"/>
    <w:rsid w:val="00801764"/>
    <w:rsid w:val="00803926"/>
    <w:rsid w:val="0080443D"/>
    <w:rsid w:val="00804897"/>
    <w:rsid w:val="0082680A"/>
    <w:rsid w:val="00831A59"/>
    <w:rsid w:val="008329DB"/>
    <w:rsid w:val="00834216"/>
    <w:rsid w:val="008361C5"/>
    <w:rsid w:val="0083628F"/>
    <w:rsid w:val="00837AB9"/>
    <w:rsid w:val="0084699B"/>
    <w:rsid w:val="0084790C"/>
    <w:rsid w:val="00850637"/>
    <w:rsid w:val="00851A0A"/>
    <w:rsid w:val="00853701"/>
    <w:rsid w:val="00854D98"/>
    <w:rsid w:val="0085751E"/>
    <w:rsid w:val="008575B4"/>
    <w:rsid w:val="008579D5"/>
    <w:rsid w:val="00860B29"/>
    <w:rsid w:val="008622E8"/>
    <w:rsid w:val="00863E75"/>
    <w:rsid w:val="008645EE"/>
    <w:rsid w:val="00864602"/>
    <w:rsid w:val="0086515E"/>
    <w:rsid w:val="00870144"/>
    <w:rsid w:val="0087072C"/>
    <w:rsid w:val="00871312"/>
    <w:rsid w:val="00871D95"/>
    <w:rsid w:val="008739BF"/>
    <w:rsid w:val="00873D7A"/>
    <w:rsid w:val="00877CB3"/>
    <w:rsid w:val="008804CF"/>
    <w:rsid w:val="00882D58"/>
    <w:rsid w:val="00882F19"/>
    <w:rsid w:val="00883D35"/>
    <w:rsid w:val="00884569"/>
    <w:rsid w:val="00885865"/>
    <w:rsid w:val="00887A51"/>
    <w:rsid w:val="00887EAA"/>
    <w:rsid w:val="00887F25"/>
    <w:rsid w:val="0089038A"/>
    <w:rsid w:val="00890D9B"/>
    <w:rsid w:val="00891942"/>
    <w:rsid w:val="00891C6C"/>
    <w:rsid w:val="00893CCD"/>
    <w:rsid w:val="00894199"/>
    <w:rsid w:val="008964B3"/>
    <w:rsid w:val="008A0407"/>
    <w:rsid w:val="008A1D15"/>
    <w:rsid w:val="008A3A3A"/>
    <w:rsid w:val="008A6A0D"/>
    <w:rsid w:val="008B0381"/>
    <w:rsid w:val="008B1CB5"/>
    <w:rsid w:val="008B3CFF"/>
    <w:rsid w:val="008B4A15"/>
    <w:rsid w:val="008B7A8A"/>
    <w:rsid w:val="008C2007"/>
    <w:rsid w:val="008C2D69"/>
    <w:rsid w:val="008C49C6"/>
    <w:rsid w:val="008C6BC8"/>
    <w:rsid w:val="008C70AD"/>
    <w:rsid w:val="008C754C"/>
    <w:rsid w:val="008D3A25"/>
    <w:rsid w:val="008D427A"/>
    <w:rsid w:val="008D528F"/>
    <w:rsid w:val="008D56C9"/>
    <w:rsid w:val="008D56CA"/>
    <w:rsid w:val="008D6A54"/>
    <w:rsid w:val="008E0F33"/>
    <w:rsid w:val="008E2585"/>
    <w:rsid w:val="008E2D7A"/>
    <w:rsid w:val="008E4FE7"/>
    <w:rsid w:val="008E6C31"/>
    <w:rsid w:val="008E7007"/>
    <w:rsid w:val="008F1D06"/>
    <w:rsid w:val="008F3215"/>
    <w:rsid w:val="008F4A62"/>
    <w:rsid w:val="008F7256"/>
    <w:rsid w:val="009009E7"/>
    <w:rsid w:val="00903A33"/>
    <w:rsid w:val="0090424C"/>
    <w:rsid w:val="0090605E"/>
    <w:rsid w:val="009065B8"/>
    <w:rsid w:val="00906C74"/>
    <w:rsid w:val="00907445"/>
    <w:rsid w:val="009108CE"/>
    <w:rsid w:val="00911907"/>
    <w:rsid w:val="009119BC"/>
    <w:rsid w:val="00915A9F"/>
    <w:rsid w:val="00916F53"/>
    <w:rsid w:val="00921580"/>
    <w:rsid w:val="00924860"/>
    <w:rsid w:val="00930D58"/>
    <w:rsid w:val="00933672"/>
    <w:rsid w:val="00935AAA"/>
    <w:rsid w:val="00935F88"/>
    <w:rsid w:val="00942D89"/>
    <w:rsid w:val="0094480A"/>
    <w:rsid w:val="0094550A"/>
    <w:rsid w:val="00946E1C"/>
    <w:rsid w:val="0095031E"/>
    <w:rsid w:val="00950DA0"/>
    <w:rsid w:val="00954297"/>
    <w:rsid w:val="00955256"/>
    <w:rsid w:val="009573FD"/>
    <w:rsid w:val="009576D7"/>
    <w:rsid w:val="00960316"/>
    <w:rsid w:val="00960357"/>
    <w:rsid w:val="009604AA"/>
    <w:rsid w:val="00960A56"/>
    <w:rsid w:val="00963E5D"/>
    <w:rsid w:val="009651B0"/>
    <w:rsid w:val="00966EF1"/>
    <w:rsid w:val="00967223"/>
    <w:rsid w:val="00970ADD"/>
    <w:rsid w:val="0097251F"/>
    <w:rsid w:val="009751F7"/>
    <w:rsid w:val="00975429"/>
    <w:rsid w:val="00980420"/>
    <w:rsid w:val="009806B6"/>
    <w:rsid w:val="009813CD"/>
    <w:rsid w:val="0098168B"/>
    <w:rsid w:val="0098350E"/>
    <w:rsid w:val="00984ECB"/>
    <w:rsid w:val="009859CC"/>
    <w:rsid w:val="00990C12"/>
    <w:rsid w:val="009919AF"/>
    <w:rsid w:val="00991F43"/>
    <w:rsid w:val="00992F13"/>
    <w:rsid w:val="0099404F"/>
    <w:rsid w:val="00994BA1"/>
    <w:rsid w:val="0099618C"/>
    <w:rsid w:val="00996FA5"/>
    <w:rsid w:val="009A2F13"/>
    <w:rsid w:val="009B0860"/>
    <w:rsid w:val="009B1A53"/>
    <w:rsid w:val="009B319F"/>
    <w:rsid w:val="009B5662"/>
    <w:rsid w:val="009B769B"/>
    <w:rsid w:val="009C2211"/>
    <w:rsid w:val="009C40E8"/>
    <w:rsid w:val="009C45C5"/>
    <w:rsid w:val="009C45F3"/>
    <w:rsid w:val="009C4AE7"/>
    <w:rsid w:val="009C5944"/>
    <w:rsid w:val="009D457C"/>
    <w:rsid w:val="009E27CB"/>
    <w:rsid w:val="009E3DF8"/>
    <w:rsid w:val="009E6858"/>
    <w:rsid w:val="009E6F8C"/>
    <w:rsid w:val="009F0128"/>
    <w:rsid w:val="009F1C56"/>
    <w:rsid w:val="009F405F"/>
    <w:rsid w:val="009F5BDF"/>
    <w:rsid w:val="00A00012"/>
    <w:rsid w:val="00A01C56"/>
    <w:rsid w:val="00A05C1C"/>
    <w:rsid w:val="00A113FD"/>
    <w:rsid w:val="00A130AF"/>
    <w:rsid w:val="00A2060F"/>
    <w:rsid w:val="00A226E4"/>
    <w:rsid w:val="00A238DD"/>
    <w:rsid w:val="00A312F8"/>
    <w:rsid w:val="00A32C50"/>
    <w:rsid w:val="00A3363D"/>
    <w:rsid w:val="00A3388B"/>
    <w:rsid w:val="00A358E7"/>
    <w:rsid w:val="00A379F1"/>
    <w:rsid w:val="00A37A6E"/>
    <w:rsid w:val="00A42C47"/>
    <w:rsid w:val="00A4380B"/>
    <w:rsid w:val="00A45209"/>
    <w:rsid w:val="00A47B4A"/>
    <w:rsid w:val="00A51A2D"/>
    <w:rsid w:val="00A5596B"/>
    <w:rsid w:val="00A56323"/>
    <w:rsid w:val="00A57147"/>
    <w:rsid w:val="00A57293"/>
    <w:rsid w:val="00A579FA"/>
    <w:rsid w:val="00A57FA0"/>
    <w:rsid w:val="00A63C07"/>
    <w:rsid w:val="00A63D9B"/>
    <w:rsid w:val="00A661B6"/>
    <w:rsid w:val="00A661E2"/>
    <w:rsid w:val="00A67802"/>
    <w:rsid w:val="00A704DC"/>
    <w:rsid w:val="00A75A25"/>
    <w:rsid w:val="00A83537"/>
    <w:rsid w:val="00A936F2"/>
    <w:rsid w:val="00A93DC6"/>
    <w:rsid w:val="00A9411A"/>
    <w:rsid w:val="00A97405"/>
    <w:rsid w:val="00AA2A41"/>
    <w:rsid w:val="00AA2FB5"/>
    <w:rsid w:val="00AA4A4B"/>
    <w:rsid w:val="00AA6682"/>
    <w:rsid w:val="00AB0613"/>
    <w:rsid w:val="00AB1D0B"/>
    <w:rsid w:val="00AB7C5C"/>
    <w:rsid w:val="00AB7CBF"/>
    <w:rsid w:val="00AC2403"/>
    <w:rsid w:val="00AC7CCD"/>
    <w:rsid w:val="00AD0111"/>
    <w:rsid w:val="00AD0B68"/>
    <w:rsid w:val="00AD21A4"/>
    <w:rsid w:val="00AD40C3"/>
    <w:rsid w:val="00AD4C72"/>
    <w:rsid w:val="00AD5451"/>
    <w:rsid w:val="00AD7B5C"/>
    <w:rsid w:val="00AE1947"/>
    <w:rsid w:val="00AE7399"/>
    <w:rsid w:val="00AF199E"/>
    <w:rsid w:val="00AF1C8B"/>
    <w:rsid w:val="00AF234F"/>
    <w:rsid w:val="00AF299B"/>
    <w:rsid w:val="00AF3EA2"/>
    <w:rsid w:val="00AF63AF"/>
    <w:rsid w:val="00AF7E43"/>
    <w:rsid w:val="00B02AE0"/>
    <w:rsid w:val="00B03F25"/>
    <w:rsid w:val="00B04CC3"/>
    <w:rsid w:val="00B05326"/>
    <w:rsid w:val="00B05DBB"/>
    <w:rsid w:val="00B14545"/>
    <w:rsid w:val="00B14E60"/>
    <w:rsid w:val="00B17BA2"/>
    <w:rsid w:val="00B2149F"/>
    <w:rsid w:val="00B26DC3"/>
    <w:rsid w:val="00B27069"/>
    <w:rsid w:val="00B27B96"/>
    <w:rsid w:val="00B3076C"/>
    <w:rsid w:val="00B30B9D"/>
    <w:rsid w:val="00B32837"/>
    <w:rsid w:val="00B37A27"/>
    <w:rsid w:val="00B40246"/>
    <w:rsid w:val="00B4574D"/>
    <w:rsid w:val="00B468E1"/>
    <w:rsid w:val="00B46BC0"/>
    <w:rsid w:val="00B46DFB"/>
    <w:rsid w:val="00B5141B"/>
    <w:rsid w:val="00B538BC"/>
    <w:rsid w:val="00B53CE5"/>
    <w:rsid w:val="00B55681"/>
    <w:rsid w:val="00B57555"/>
    <w:rsid w:val="00B57AAD"/>
    <w:rsid w:val="00B6040D"/>
    <w:rsid w:val="00B6374E"/>
    <w:rsid w:val="00B65584"/>
    <w:rsid w:val="00B6606F"/>
    <w:rsid w:val="00B71982"/>
    <w:rsid w:val="00B729F1"/>
    <w:rsid w:val="00B72B16"/>
    <w:rsid w:val="00B73364"/>
    <w:rsid w:val="00B74114"/>
    <w:rsid w:val="00B7588C"/>
    <w:rsid w:val="00B803F6"/>
    <w:rsid w:val="00B80408"/>
    <w:rsid w:val="00B81397"/>
    <w:rsid w:val="00B843AA"/>
    <w:rsid w:val="00B86CAC"/>
    <w:rsid w:val="00B925DB"/>
    <w:rsid w:val="00B967DC"/>
    <w:rsid w:val="00B967FF"/>
    <w:rsid w:val="00B974B9"/>
    <w:rsid w:val="00B97E8E"/>
    <w:rsid w:val="00BA22DE"/>
    <w:rsid w:val="00BA2D8F"/>
    <w:rsid w:val="00BA3F6D"/>
    <w:rsid w:val="00BA4177"/>
    <w:rsid w:val="00BA4BE6"/>
    <w:rsid w:val="00BA4FC0"/>
    <w:rsid w:val="00BA61E0"/>
    <w:rsid w:val="00BA657C"/>
    <w:rsid w:val="00BA6F75"/>
    <w:rsid w:val="00BA7F7D"/>
    <w:rsid w:val="00BB00BB"/>
    <w:rsid w:val="00BB1C14"/>
    <w:rsid w:val="00BB4A1F"/>
    <w:rsid w:val="00BB524C"/>
    <w:rsid w:val="00BB66B9"/>
    <w:rsid w:val="00BB6819"/>
    <w:rsid w:val="00BB6847"/>
    <w:rsid w:val="00BB7F8F"/>
    <w:rsid w:val="00BC032E"/>
    <w:rsid w:val="00BC1DF3"/>
    <w:rsid w:val="00BC24AB"/>
    <w:rsid w:val="00BC27A2"/>
    <w:rsid w:val="00BC3D09"/>
    <w:rsid w:val="00BC4E8F"/>
    <w:rsid w:val="00BC716A"/>
    <w:rsid w:val="00BD07DF"/>
    <w:rsid w:val="00BD2345"/>
    <w:rsid w:val="00BD26F4"/>
    <w:rsid w:val="00BD5DBD"/>
    <w:rsid w:val="00BD5DF6"/>
    <w:rsid w:val="00BE0041"/>
    <w:rsid w:val="00BE1A2F"/>
    <w:rsid w:val="00BE2C01"/>
    <w:rsid w:val="00BE640F"/>
    <w:rsid w:val="00BE6B62"/>
    <w:rsid w:val="00BE6D2A"/>
    <w:rsid w:val="00BF4638"/>
    <w:rsid w:val="00BF5034"/>
    <w:rsid w:val="00BF5130"/>
    <w:rsid w:val="00BF689D"/>
    <w:rsid w:val="00BF6D86"/>
    <w:rsid w:val="00C00844"/>
    <w:rsid w:val="00C05615"/>
    <w:rsid w:val="00C059D0"/>
    <w:rsid w:val="00C07551"/>
    <w:rsid w:val="00C1038B"/>
    <w:rsid w:val="00C1109F"/>
    <w:rsid w:val="00C11C24"/>
    <w:rsid w:val="00C122A2"/>
    <w:rsid w:val="00C126C5"/>
    <w:rsid w:val="00C126D6"/>
    <w:rsid w:val="00C12D65"/>
    <w:rsid w:val="00C133AB"/>
    <w:rsid w:val="00C1740A"/>
    <w:rsid w:val="00C17666"/>
    <w:rsid w:val="00C17E2E"/>
    <w:rsid w:val="00C20298"/>
    <w:rsid w:val="00C20B56"/>
    <w:rsid w:val="00C21F08"/>
    <w:rsid w:val="00C22214"/>
    <w:rsid w:val="00C26100"/>
    <w:rsid w:val="00C26F72"/>
    <w:rsid w:val="00C27BF7"/>
    <w:rsid w:val="00C309A7"/>
    <w:rsid w:val="00C335AB"/>
    <w:rsid w:val="00C3432C"/>
    <w:rsid w:val="00C407AB"/>
    <w:rsid w:val="00C519D2"/>
    <w:rsid w:val="00C51D50"/>
    <w:rsid w:val="00C52B7B"/>
    <w:rsid w:val="00C5438B"/>
    <w:rsid w:val="00C547CD"/>
    <w:rsid w:val="00C5563A"/>
    <w:rsid w:val="00C570FF"/>
    <w:rsid w:val="00C57CEA"/>
    <w:rsid w:val="00C60AB8"/>
    <w:rsid w:val="00C60FEC"/>
    <w:rsid w:val="00C62B1C"/>
    <w:rsid w:val="00C63966"/>
    <w:rsid w:val="00C642C9"/>
    <w:rsid w:val="00C6574E"/>
    <w:rsid w:val="00C663D1"/>
    <w:rsid w:val="00C67611"/>
    <w:rsid w:val="00C67D64"/>
    <w:rsid w:val="00C707FD"/>
    <w:rsid w:val="00C7378C"/>
    <w:rsid w:val="00C7440B"/>
    <w:rsid w:val="00C768A2"/>
    <w:rsid w:val="00C76DEB"/>
    <w:rsid w:val="00C811D8"/>
    <w:rsid w:val="00C816C6"/>
    <w:rsid w:val="00C863A7"/>
    <w:rsid w:val="00C912F4"/>
    <w:rsid w:val="00C9156F"/>
    <w:rsid w:val="00C933B9"/>
    <w:rsid w:val="00C9581A"/>
    <w:rsid w:val="00C97D29"/>
    <w:rsid w:val="00CA35BD"/>
    <w:rsid w:val="00CA3DEF"/>
    <w:rsid w:val="00CA48C6"/>
    <w:rsid w:val="00CA587F"/>
    <w:rsid w:val="00CB0550"/>
    <w:rsid w:val="00CB183C"/>
    <w:rsid w:val="00CB3156"/>
    <w:rsid w:val="00CB3E30"/>
    <w:rsid w:val="00CB4A4D"/>
    <w:rsid w:val="00CB53EB"/>
    <w:rsid w:val="00CB6813"/>
    <w:rsid w:val="00CB7510"/>
    <w:rsid w:val="00CC22CC"/>
    <w:rsid w:val="00CC27D9"/>
    <w:rsid w:val="00CC5702"/>
    <w:rsid w:val="00CC6966"/>
    <w:rsid w:val="00CC6D82"/>
    <w:rsid w:val="00CD36E1"/>
    <w:rsid w:val="00CD63DF"/>
    <w:rsid w:val="00CE2C15"/>
    <w:rsid w:val="00CF482B"/>
    <w:rsid w:val="00CF5762"/>
    <w:rsid w:val="00CF6A55"/>
    <w:rsid w:val="00CF6DC6"/>
    <w:rsid w:val="00CF6DCF"/>
    <w:rsid w:val="00CF7150"/>
    <w:rsid w:val="00D0175C"/>
    <w:rsid w:val="00D01DDB"/>
    <w:rsid w:val="00D01E32"/>
    <w:rsid w:val="00D0282B"/>
    <w:rsid w:val="00D064A6"/>
    <w:rsid w:val="00D078BE"/>
    <w:rsid w:val="00D07DA4"/>
    <w:rsid w:val="00D07F8C"/>
    <w:rsid w:val="00D11404"/>
    <w:rsid w:val="00D11757"/>
    <w:rsid w:val="00D12D6B"/>
    <w:rsid w:val="00D13C69"/>
    <w:rsid w:val="00D13D04"/>
    <w:rsid w:val="00D13E67"/>
    <w:rsid w:val="00D13F8A"/>
    <w:rsid w:val="00D16F60"/>
    <w:rsid w:val="00D17C0D"/>
    <w:rsid w:val="00D2212D"/>
    <w:rsid w:val="00D22981"/>
    <w:rsid w:val="00D24129"/>
    <w:rsid w:val="00D24B42"/>
    <w:rsid w:val="00D25AEA"/>
    <w:rsid w:val="00D25D2B"/>
    <w:rsid w:val="00D31ABC"/>
    <w:rsid w:val="00D326B1"/>
    <w:rsid w:val="00D330CE"/>
    <w:rsid w:val="00D3349B"/>
    <w:rsid w:val="00D424A8"/>
    <w:rsid w:val="00D44846"/>
    <w:rsid w:val="00D45035"/>
    <w:rsid w:val="00D450A0"/>
    <w:rsid w:val="00D50797"/>
    <w:rsid w:val="00D5165D"/>
    <w:rsid w:val="00D55449"/>
    <w:rsid w:val="00D567A1"/>
    <w:rsid w:val="00D6036F"/>
    <w:rsid w:val="00D603FD"/>
    <w:rsid w:val="00D62637"/>
    <w:rsid w:val="00D62877"/>
    <w:rsid w:val="00D633B6"/>
    <w:rsid w:val="00D63760"/>
    <w:rsid w:val="00D65249"/>
    <w:rsid w:val="00D6703F"/>
    <w:rsid w:val="00D70D0C"/>
    <w:rsid w:val="00D723ED"/>
    <w:rsid w:val="00D72449"/>
    <w:rsid w:val="00D734EB"/>
    <w:rsid w:val="00D81F29"/>
    <w:rsid w:val="00D82532"/>
    <w:rsid w:val="00D82713"/>
    <w:rsid w:val="00D86F00"/>
    <w:rsid w:val="00D90A74"/>
    <w:rsid w:val="00D918D5"/>
    <w:rsid w:val="00D94C8E"/>
    <w:rsid w:val="00D952F9"/>
    <w:rsid w:val="00DA0F0C"/>
    <w:rsid w:val="00DA36D9"/>
    <w:rsid w:val="00DA3CA8"/>
    <w:rsid w:val="00DA5359"/>
    <w:rsid w:val="00DA75F5"/>
    <w:rsid w:val="00DB1372"/>
    <w:rsid w:val="00DB192C"/>
    <w:rsid w:val="00DB1CF3"/>
    <w:rsid w:val="00DB2CD9"/>
    <w:rsid w:val="00DB3B1A"/>
    <w:rsid w:val="00DB5425"/>
    <w:rsid w:val="00DB72A6"/>
    <w:rsid w:val="00DC33AF"/>
    <w:rsid w:val="00DC39B4"/>
    <w:rsid w:val="00DC6611"/>
    <w:rsid w:val="00DC7D1A"/>
    <w:rsid w:val="00DD2244"/>
    <w:rsid w:val="00DD2FC8"/>
    <w:rsid w:val="00DD3568"/>
    <w:rsid w:val="00DD5AFB"/>
    <w:rsid w:val="00DD742F"/>
    <w:rsid w:val="00DE0E07"/>
    <w:rsid w:val="00DE1344"/>
    <w:rsid w:val="00DE3999"/>
    <w:rsid w:val="00DE432F"/>
    <w:rsid w:val="00DE4B5D"/>
    <w:rsid w:val="00DE6E14"/>
    <w:rsid w:val="00DE7176"/>
    <w:rsid w:val="00DF1CFD"/>
    <w:rsid w:val="00DF2FD1"/>
    <w:rsid w:val="00DF48C6"/>
    <w:rsid w:val="00DF5BFE"/>
    <w:rsid w:val="00E0523F"/>
    <w:rsid w:val="00E07BCD"/>
    <w:rsid w:val="00E1227F"/>
    <w:rsid w:val="00E1500F"/>
    <w:rsid w:val="00E163B1"/>
    <w:rsid w:val="00E17818"/>
    <w:rsid w:val="00E208FE"/>
    <w:rsid w:val="00E22EA8"/>
    <w:rsid w:val="00E23165"/>
    <w:rsid w:val="00E23E50"/>
    <w:rsid w:val="00E23E54"/>
    <w:rsid w:val="00E23F4E"/>
    <w:rsid w:val="00E260F9"/>
    <w:rsid w:val="00E26213"/>
    <w:rsid w:val="00E274DF"/>
    <w:rsid w:val="00E32CFE"/>
    <w:rsid w:val="00E34770"/>
    <w:rsid w:val="00E34D66"/>
    <w:rsid w:val="00E362C4"/>
    <w:rsid w:val="00E46CC2"/>
    <w:rsid w:val="00E47104"/>
    <w:rsid w:val="00E4723E"/>
    <w:rsid w:val="00E47E0C"/>
    <w:rsid w:val="00E50D1A"/>
    <w:rsid w:val="00E51813"/>
    <w:rsid w:val="00E529E0"/>
    <w:rsid w:val="00E52C0B"/>
    <w:rsid w:val="00E53C7E"/>
    <w:rsid w:val="00E53D3F"/>
    <w:rsid w:val="00E540C0"/>
    <w:rsid w:val="00E54A41"/>
    <w:rsid w:val="00E5579B"/>
    <w:rsid w:val="00E57FF4"/>
    <w:rsid w:val="00E60882"/>
    <w:rsid w:val="00E63ED7"/>
    <w:rsid w:val="00E66E61"/>
    <w:rsid w:val="00E679D1"/>
    <w:rsid w:val="00E67C1C"/>
    <w:rsid w:val="00E707D7"/>
    <w:rsid w:val="00E807D3"/>
    <w:rsid w:val="00E826E5"/>
    <w:rsid w:val="00E87D64"/>
    <w:rsid w:val="00E9171E"/>
    <w:rsid w:val="00E91A75"/>
    <w:rsid w:val="00E91F11"/>
    <w:rsid w:val="00E941A9"/>
    <w:rsid w:val="00E96870"/>
    <w:rsid w:val="00E9706D"/>
    <w:rsid w:val="00EA3AF4"/>
    <w:rsid w:val="00EA4182"/>
    <w:rsid w:val="00EA55A0"/>
    <w:rsid w:val="00EA7E54"/>
    <w:rsid w:val="00EB1639"/>
    <w:rsid w:val="00EB2367"/>
    <w:rsid w:val="00EB2EB1"/>
    <w:rsid w:val="00EB3E67"/>
    <w:rsid w:val="00EB3FBA"/>
    <w:rsid w:val="00EB72DC"/>
    <w:rsid w:val="00EB7E2A"/>
    <w:rsid w:val="00EC0CFF"/>
    <w:rsid w:val="00EC128C"/>
    <w:rsid w:val="00EC342B"/>
    <w:rsid w:val="00ED5A74"/>
    <w:rsid w:val="00ED5E4E"/>
    <w:rsid w:val="00EE296B"/>
    <w:rsid w:val="00EE4920"/>
    <w:rsid w:val="00EE4B01"/>
    <w:rsid w:val="00EE60C2"/>
    <w:rsid w:val="00EE6846"/>
    <w:rsid w:val="00EF20AB"/>
    <w:rsid w:val="00EF382E"/>
    <w:rsid w:val="00EF3F0B"/>
    <w:rsid w:val="00EF548D"/>
    <w:rsid w:val="00EF5583"/>
    <w:rsid w:val="00EF6C28"/>
    <w:rsid w:val="00F0289D"/>
    <w:rsid w:val="00F02AEC"/>
    <w:rsid w:val="00F067D8"/>
    <w:rsid w:val="00F07572"/>
    <w:rsid w:val="00F076F4"/>
    <w:rsid w:val="00F157FC"/>
    <w:rsid w:val="00F159F7"/>
    <w:rsid w:val="00F15D48"/>
    <w:rsid w:val="00F16A12"/>
    <w:rsid w:val="00F24880"/>
    <w:rsid w:val="00F24F62"/>
    <w:rsid w:val="00F27361"/>
    <w:rsid w:val="00F30AF3"/>
    <w:rsid w:val="00F34758"/>
    <w:rsid w:val="00F435ED"/>
    <w:rsid w:val="00F43CD1"/>
    <w:rsid w:val="00F45AE0"/>
    <w:rsid w:val="00F4783E"/>
    <w:rsid w:val="00F51D8C"/>
    <w:rsid w:val="00F5224D"/>
    <w:rsid w:val="00F52E88"/>
    <w:rsid w:val="00F55F84"/>
    <w:rsid w:val="00F6007F"/>
    <w:rsid w:val="00F609D7"/>
    <w:rsid w:val="00F60CF2"/>
    <w:rsid w:val="00F61CD5"/>
    <w:rsid w:val="00F6414B"/>
    <w:rsid w:val="00F650D9"/>
    <w:rsid w:val="00F657B4"/>
    <w:rsid w:val="00F71C39"/>
    <w:rsid w:val="00F72725"/>
    <w:rsid w:val="00F74D3E"/>
    <w:rsid w:val="00F7649F"/>
    <w:rsid w:val="00F8083B"/>
    <w:rsid w:val="00F81215"/>
    <w:rsid w:val="00F82A63"/>
    <w:rsid w:val="00F82D1B"/>
    <w:rsid w:val="00F8490F"/>
    <w:rsid w:val="00F8568E"/>
    <w:rsid w:val="00F865A7"/>
    <w:rsid w:val="00F870A3"/>
    <w:rsid w:val="00F878E2"/>
    <w:rsid w:val="00F92246"/>
    <w:rsid w:val="00F92570"/>
    <w:rsid w:val="00FA0754"/>
    <w:rsid w:val="00FA1BC9"/>
    <w:rsid w:val="00FA2F44"/>
    <w:rsid w:val="00FA49C3"/>
    <w:rsid w:val="00FA5404"/>
    <w:rsid w:val="00FA5DE7"/>
    <w:rsid w:val="00FB19E6"/>
    <w:rsid w:val="00FB236E"/>
    <w:rsid w:val="00FB240A"/>
    <w:rsid w:val="00FB3F7B"/>
    <w:rsid w:val="00FB4C2A"/>
    <w:rsid w:val="00FB78DE"/>
    <w:rsid w:val="00FC2107"/>
    <w:rsid w:val="00FC48AF"/>
    <w:rsid w:val="00FC48FE"/>
    <w:rsid w:val="00FC65C9"/>
    <w:rsid w:val="00FC6761"/>
    <w:rsid w:val="00FC6F56"/>
    <w:rsid w:val="00FD0D15"/>
    <w:rsid w:val="00FD5E68"/>
    <w:rsid w:val="00FE087C"/>
    <w:rsid w:val="00FE31CC"/>
    <w:rsid w:val="00FE79A0"/>
    <w:rsid w:val="00FF030B"/>
    <w:rsid w:val="00FF0939"/>
    <w:rsid w:val="00FF33E5"/>
    <w:rsid w:val="00FF499A"/>
    <w:rsid w:val="00FF4A88"/>
    <w:rsid w:val="067ACF7B"/>
    <w:rsid w:val="154E259E"/>
    <w:rsid w:val="2C1CFF7E"/>
    <w:rsid w:val="3FA0CC2C"/>
    <w:rsid w:val="5188B005"/>
    <w:rsid w:val="587AAE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AE3E6A91-4705-4505-9FF2-A6C6B7AD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D1"/>
    <w:rPr>
      <w:rFonts w:ascii="Cambria" w:hAnsi="Cambria"/>
      <w:sz w:val="22"/>
    </w:rPr>
  </w:style>
  <w:style w:type="paragraph" w:styleId="Heading1">
    <w:name w:val="heading 1"/>
    <w:basedOn w:val="Normal"/>
    <w:next w:val="Normal"/>
    <w:link w:val="Heading1Char"/>
    <w:uiPriority w:val="9"/>
    <w:qFormat/>
    <w:rsid w:val="000D2A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646BB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903A3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Wingdings 3" w:hAnsi="Wingdings 3"/>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Default">
    <w:name w:val="Default"/>
    <w:rsid w:val="00DA75F5"/>
    <w:pPr>
      <w:autoSpaceDE w:val="0"/>
      <w:autoSpaceDN w:val="0"/>
      <w:adjustRightInd w:val="0"/>
      <w:spacing w:after="0" w:line="240" w:lineRule="auto"/>
    </w:pPr>
    <w:rPr>
      <w:rFonts w:ascii="Cambria" w:hAnsi="Cambria" w:cs="Cambria"/>
      <w:color w:val="000000"/>
      <w:sz w:val="24"/>
      <w:szCs w:val="24"/>
    </w:rPr>
  </w:style>
  <w:style w:type="paragraph" w:customStyle="1" w:styleId="BodyCopy">
    <w:name w:val="Body Copy"/>
    <w:basedOn w:val="Normal"/>
    <w:qFormat/>
    <w:rsid w:val="006D6F14"/>
    <w:pPr>
      <w:adjustRightInd w:val="0"/>
      <w:snapToGrid w:val="0"/>
      <w:spacing w:before="180" w:after="180" w:line="240" w:lineRule="atLeast"/>
    </w:pPr>
    <w:rPr>
      <w:rFonts w:eastAsia="MS Mincho" w:cs="Times New Roman"/>
      <w:lang w:eastAsia="ja-JP"/>
    </w:rPr>
  </w:style>
  <w:style w:type="paragraph" w:customStyle="1" w:styleId="Standard">
    <w:name w:val="Standard"/>
    <w:basedOn w:val="Normal"/>
    <w:link w:val="StandardChar"/>
    <w:qFormat/>
    <w:rsid w:val="006D6F14"/>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6D6F14"/>
    <w:rPr>
      <w:rFonts w:ascii="Cambria" w:eastAsia="Times New Roman" w:hAnsi="Cambria" w:cs="Times New Roman"/>
      <w:snapToGrid w:val="0"/>
      <w:kern w:val="16"/>
      <w:sz w:val="23"/>
      <w:szCs w:val="24"/>
    </w:rPr>
  </w:style>
  <w:style w:type="paragraph" w:customStyle="1" w:styleId="WhiteSpace">
    <w:name w:val="White Space"/>
    <w:basedOn w:val="Standard"/>
    <w:next w:val="Standard"/>
    <w:link w:val="WhiteSpaceChar"/>
    <w:rsid w:val="006D6F14"/>
    <w:pPr>
      <w:spacing w:after="0"/>
    </w:pPr>
    <w:rPr>
      <w:sz w:val="16"/>
      <w:szCs w:val="16"/>
    </w:rPr>
  </w:style>
  <w:style w:type="paragraph" w:customStyle="1" w:styleId="AssessmentSubsection">
    <w:name w:val="Assessment Subsection"/>
    <w:basedOn w:val="Standard"/>
    <w:next w:val="Standard"/>
    <w:rsid w:val="006D6F14"/>
    <w:pPr>
      <w:keepNext/>
      <w:spacing w:after="110"/>
      <w:outlineLvl w:val="2"/>
    </w:pPr>
    <w:rPr>
      <w:b/>
      <w:i/>
      <w:sz w:val="22"/>
    </w:rPr>
  </w:style>
  <w:style w:type="character" w:customStyle="1" w:styleId="WhiteSpaceChar">
    <w:name w:val="White Space Char"/>
    <w:basedOn w:val="DefaultParagraphFont"/>
    <w:link w:val="WhiteSpace"/>
    <w:rsid w:val="006D6F14"/>
    <w:rPr>
      <w:rFonts w:ascii="Cambria" w:eastAsia="Times New Roman" w:hAnsi="Cambria" w:cs="Times New Roman"/>
      <w:snapToGrid w:val="0"/>
      <w:kern w:val="16"/>
      <w:sz w:val="16"/>
      <w:szCs w:val="16"/>
    </w:rPr>
  </w:style>
  <w:style w:type="paragraph" w:customStyle="1" w:styleId="AssessmentSection">
    <w:name w:val="Assessment Section"/>
    <w:basedOn w:val="AssessmentSubsection"/>
    <w:next w:val="Standard"/>
    <w:rsid w:val="006D6F14"/>
    <w:pPr>
      <w:outlineLvl w:val="1"/>
    </w:pPr>
    <w:rPr>
      <w:i w:val="0"/>
    </w:rPr>
  </w:style>
  <w:style w:type="paragraph" w:customStyle="1" w:styleId="Bulletpoint">
    <w:name w:val="Bullet point"/>
    <w:basedOn w:val="Standard"/>
    <w:rsid w:val="00C67D64"/>
    <w:pPr>
      <w:numPr>
        <w:numId w:val="15"/>
      </w:numPr>
      <w:tabs>
        <w:tab w:val="clear" w:pos="369"/>
        <w:tab w:val="left" w:pos="397"/>
        <w:tab w:val="num" w:pos="511"/>
      </w:tabs>
      <w:spacing w:after="180"/>
      <w:ind w:left="0" w:firstLine="0"/>
    </w:pPr>
    <w:rPr>
      <w:sz w:val="22"/>
    </w:rPr>
  </w:style>
  <w:style w:type="paragraph" w:customStyle="1" w:styleId="AssessmentSubsection2">
    <w:name w:val="Assessment Subsection 2"/>
    <w:basedOn w:val="AssessmentSubsection"/>
    <w:next w:val="Standard"/>
    <w:rsid w:val="00D62637"/>
    <w:pPr>
      <w:spacing w:after="100"/>
      <w:outlineLvl w:val="3"/>
    </w:pPr>
    <w:rPr>
      <w:b w:val="0"/>
    </w:rPr>
  </w:style>
  <w:style w:type="paragraph" w:customStyle="1" w:styleId="SectionHeading">
    <w:name w:val="Section Heading"/>
    <w:basedOn w:val="Standard"/>
    <w:next w:val="Standard"/>
    <w:link w:val="SectionHeadingCharChar"/>
    <w:rsid w:val="00DE7176"/>
    <w:pPr>
      <w:keepNext/>
      <w:spacing w:after="180"/>
      <w:outlineLvl w:val="0"/>
    </w:pPr>
    <w:rPr>
      <w:b/>
      <w:caps/>
      <w:sz w:val="24"/>
    </w:rPr>
  </w:style>
  <w:style w:type="character" w:customStyle="1" w:styleId="SectionHeadingCharChar">
    <w:name w:val="Section Heading Char Char"/>
    <w:basedOn w:val="DefaultParagraphFont"/>
    <w:link w:val="SectionHeading"/>
    <w:rsid w:val="00DE7176"/>
    <w:rPr>
      <w:rFonts w:ascii="Cambria" w:eastAsia="Times New Roman" w:hAnsi="Cambria" w:cs="Times New Roman"/>
      <w:b/>
      <w:caps/>
      <w:snapToGrid w:val="0"/>
      <w:kern w:val="16"/>
      <w:sz w:val="24"/>
      <w:szCs w:val="24"/>
    </w:rPr>
  </w:style>
  <w:style w:type="paragraph" w:customStyle="1" w:styleId="Tabletext0">
    <w:name w:val="Table text"/>
    <w:basedOn w:val="Normal"/>
    <w:rsid w:val="00F878E2"/>
    <w:pPr>
      <w:spacing w:before="120" w:line="240" w:lineRule="atLeast"/>
    </w:pPr>
    <w:rPr>
      <w:rFonts w:eastAsia="Cambria" w:cs="Times New Roman"/>
      <w:sz w:val="19"/>
      <w:szCs w:val="22"/>
    </w:rPr>
  </w:style>
  <w:style w:type="character" w:customStyle="1" w:styleId="Heading7Char">
    <w:name w:val="Heading 7 Char"/>
    <w:basedOn w:val="DefaultParagraphFont"/>
    <w:link w:val="Heading7"/>
    <w:uiPriority w:val="9"/>
    <w:rsid w:val="00646BB0"/>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rsid w:val="00903A33"/>
    <w:rPr>
      <w:rFonts w:asciiTheme="majorHAnsi" w:eastAsiaTheme="majorEastAsia" w:hAnsiTheme="majorHAnsi" w:cstheme="majorBidi"/>
      <w:color w:val="272727" w:themeColor="text1" w:themeTint="D8"/>
      <w:sz w:val="21"/>
      <w:szCs w:val="21"/>
    </w:rPr>
  </w:style>
  <w:style w:type="paragraph" w:customStyle="1" w:styleId="Addressee">
    <w:name w:val="Addressee"/>
    <w:basedOn w:val="Normal"/>
    <w:qFormat/>
    <w:rsid w:val="007D6551"/>
    <w:pPr>
      <w:adjustRightInd w:val="0"/>
      <w:snapToGrid w:val="0"/>
      <w:spacing w:before="180" w:after="180" w:line="240" w:lineRule="atLeast"/>
    </w:pPr>
    <w:rPr>
      <w:rFonts w:eastAsia="MS Mincho" w:cs="Times New Roman"/>
      <w:lang w:eastAsia="ja-JP"/>
    </w:rPr>
  </w:style>
  <w:style w:type="character" w:customStyle="1" w:styleId="Heading1Char">
    <w:name w:val="Heading 1 Char"/>
    <w:basedOn w:val="DefaultParagraphFont"/>
    <w:link w:val="Heading1"/>
    <w:uiPriority w:val="9"/>
    <w:rsid w:val="000D2A2A"/>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2234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933896567">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517503408">
      <w:bodyDiv w:val="1"/>
      <w:marLeft w:val="0"/>
      <w:marRight w:val="0"/>
      <w:marTop w:val="0"/>
      <w:marBottom w:val="0"/>
      <w:divBdr>
        <w:top w:val="none" w:sz="0" w:space="0" w:color="auto"/>
        <w:left w:val="none" w:sz="0" w:space="0" w:color="auto"/>
        <w:bottom w:val="none" w:sz="0" w:space="0" w:color="auto"/>
        <w:right w:val="none" w:sz="0" w:space="0" w:color="auto"/>
      </w:divBdr>
    </w:div>
    <w:div w:id="2018069674">
      <w:bodyDiv w:val="1"/>
      <w:marLeft w:val="0"/>
      <w:marRight w:val="0"/>
      <w:marTop w:val="0"/>
      <w:marBottom w:val="0"/>
      <w:divBdr>
        <w:top w:val="none" w:sz="0" w:space="0" w:color="auto"/>
        <w:left w:val="none" w:sz="0" w:space="0" w:color="auto"/>
        <w:bottom w:val="none" w:sz="0" w:space="0" w:color="auto"/>
        <w:right w:val="none" w:sz="0" w:space="0" w:color="auto"/>
      </w:divBdr>
    </w:div>
    <w:div w:id="2075155750">
      <w:bodyDiv w:val="1"/>
      <w:marLeft w:val="0"/>
      <w:marRight w:val="0"/>
      <w:marTop w:val="0"/>
      <w:marBottom w:val="0"/>
      <w:divBdr>
        <w:top w:val="none" w:sz="0" w:space="0" w:color="auto"/>
        <w:left w:val="none" w:sz="0" w:space="0" w:color="auto"/>
        <w:bottom w:val="none" w:sz="0" w:space="0" w:color="auto"/>
        <w:right w:val="none" w:sz="0" w:space="0" w:color="auto"/>
      </w:divBdr>
      <w:divsChild>
        <w:div w:id="696084574">
          <w:marLeft w:val="0"/>
          <w:marRight w:val="0"/>
          <w:marTop w:val="0"/>
          <w:marBottom w:val="0"/>
          <w:divBdr>
            <w:top w:val="single" w:sz="18" w:space="0" w:color="3E72A6"/>
            <w:left w:val="single" w:sz="18" w:space="0" w:color="3E72A6"/>
            <w:bottom w:val="single" w:sz="18" w:space="0" w:color="3E72A6"/>
            <w:right w:val="single" w:sz="18" w:space="0" w:color="3E72A6"/>
          </w:divBdr>
          <w:divsChild>
            <w:div w:id="139003672">
              <w:marLeft w:val="0"/>
              <w:marRight w:val="0"/>
              <w:marTop w:val="0"/>
              <w:marBottom w:val="0"/>
              <w:divBdr>
                <w:top w:val="none" w:sz="0" w:space="0" w:color="auto"/>
                <w:left w:val="none" w:sz="0" w:space="0" w:color="auto"/>
                <w:bottom w:val="none" w:sz="0" w:space="0" w:color="auto"/>
                <w:right w:val="none" w:sz="0" w:space="0" w:color="auto"/>
              </w:divBdr>
              <w:divsChild>
                <w:div w:id="18115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australia-canada-singapore-switzerland-united-kingdom-access-consortium" TargetMode="External"/><Relationship Id="rId26" Type="http://schemas.openxmlformats.org/officeDocument/2006/relationships/hyperlink" Target="https://www.tga.gov.au/guidance-7-certified-product-details" TargetMode="External"/><Relationship Id="rId3" Type="http://schemas.openxmlformats.org/officeDocument/2006/relationships/styles" Target="styles.xml"/><Relationship Id="rId21" Type="http://schemas.openxmlformats.org/officeDocument/2006/relationships/hyperlink" Target="https://www.ema.europa.eu/en/reporting-results-population-pharmacokinetic-analyses-scientific-guidelin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obstetric-drug-information-services" TargetMode="External"/><Relationship Id="rId25" Type="http://schemas.openxmlformats.org/officeDocument/2006/relationships/hyperlink" Target="https://www.tga.gov.au/form/certified-product-details-cpd-biologicalprescription"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products/medicines/find-information-about-medicine/prescribing-medicines-pregnancy-database" TargetMode="External"/><Relationship Id="rId20" Type="http://schemas.openxmlformats.org/officeDocument/2006/relationships/hyperlink" Target="https://www.ema.europa.eu/en/immunogenicity-assessment-monoclonal-antibodies-intended-vivo-clinical-use-scientific-guidelin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resources/laboratory-test-results"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hyperlink" Target="https://www.ema.europa.eu/en/documents/scientific-guideline/points-consider-application-1meta-analyses-2one-pivotal-study_en.pdf"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tga.gov.au/how-we-regulate/supply-therapeutic-good-0/supply-prescription-medicine/application-process/prescription-medicines-registration-process" TargetMode="External"/><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yperlink" Target="https://www.ema.europa.eu/en/documents/scientific-guideline/ich-e-1-population-exposure-extent-population-exposure-assess-clinical-safety-step-5_en.pdf" TargetMode="External"/><Relationship Id="rId27" Type="http://schemas.openxmlformats.org/officeDocument/2006/relationships/hyperlink" Target="https://www.ebs.tga.gov.au/" TargetMode="External"/><Relationship Id="rId30" Type="http://schemas.openxmlformats.org/officeDocument/2006/relationships/hyperlink" Target="mailto:info@tga.gov.au" TargetMode="Externa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mim.org/entry/306900?search=Haemophilia%20B&amp;highlight=%28haemophilia%7Chemophilia%29%2Cb" TargetMode="External"/><Relationship Id="rId2" Type="http://schemas.openxmlformats.org/officeDocument/2006/relationships/hyperlink" Target="http://www.blood.gov.au/data-analysis-reporting" TargetMode="External"/><Relationship Id="rId1" Type="http://schemas.openxmlformats.org/officeDocument/2006/relationships/hyperlink" Target="https://www.omim.org/entry/306700?search=haemophilia%20A&amp;highlight=%28haemophilia%7Chemophilia%29%20a" TargetMode="External"/><Relationship Id="rId5" Type="http://schemas.openxmlformats.org/officeDocument/2006/relationships/hyperlink" Target="https://www.tga.gov.au/resources/resource/international-scientific-guidelines/ich-guideline-s6-r1-preclinical-safety-evaluation-biotechnology-derived-pharmaceuticals" TargetMode="External"/><Relationship Id="rId4" Type="http://schemas.openxmlformats.org/officeDocument/2006/relationships/hyperlink" Target="http://www.blood.gov.au/data-analysis-reporti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37</Pages>
  <Words>12807</Words>
  <Characters>71859</Characters>
  <Application>Microsoft Office Word</Application>
  <DocSecurity>0</DocSecurity>
  <Lines>1486</Lines>
  <Paragraphs>679</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Disability and Ageing</Company>
  <LinksUpToDate>false</LinksUpToDate>
  <CharactersWithSpaces>84106</CharactersWithSpaces>
  <SharedDoc>false</SharedDoc>
  <HLinks>
    <vt:vector size="498" baseType="variant">
      <vt:variant>
        <vt:i4>3473445</vt:i4>
      </vt:variant>
      <vt:variant>
        <vt:i4>225</vt:i4>
      </vt:variant>
      <vt:variant>
        <vt:i4>0</vt:i4>
      </vt:variant>
      <vt:variant>
        <vt:i4>5</vt:i4>
      </vt:variant>
      <vt:variant>
        <vt:lpwstr>https://www.tga.gov.au/</vt:lpwstr>
      </vt:variant>
      <vt:variant>
        <vt:lpwstr/>
      </vt:variant>
      <vt:variant>
        <vt:i4>5242926</vt:i4>
      </vt:variant>
      <vt:variant>
        <vt:i4>222</vt:i4>
      </vt:variant>
      <vt:variant>
        <vt:i4>0</vt:i4>
      </vt:variant>
      <vt:variant>
        <vt:i4>5</vt:i4>
      </vt:variant>
      <vt:variant>
        <vt:lpwstr>mailto:info@tga.gov.au</vt:lpwstr>
      </vt:variant>
      <vt:variant>
        <vt:lpwstr/>
      </vt:variant>
      <vt:variant>
        <vt:i4>7929907</vt:i4>
      </vt:variant>
      <vt:variant>
        <vt:i4>219</vt:i4>
      </vt:variant>
      <vt:variant>
        <vt:i4>0</vt:i4>
      </vt:variant>
      <vt:variant>
        <vt:i4>5</vt:i4>
      </vt:variant>
      <vt:variant>
        <vt:lpwstr>https://www.ebs.tga.gov.au/</vt:lpwstr>
      </vt:variant>
      <vt:variant>
        <vt:lpwstr/>
      </vt:variant>
      <vt:variant>
        <vt:i4>3538997</vt:i4>
      </vt:variant>
      <vt:variant>
        <vt:i4>216</vt:i4>
      </vt:variant>
      <vt:variant>
        <vt:i4>0</vt:i4>
      </vt:variant>
      <vt:variant>
        <vt:i4>5</vt:i4>
      </vt:variant>
      <vt:variant>
        <vt:lpwstr>https://www.tga.gov.au/guidance-7-certified-product-details</vt:lpwstr>
      </vt:variant>
      <vt:variant>
        <vt:lpwstr/>
      </vt:variant>
      <vt:variant>
        <vt:i4>1572864</vt:i4>
      </vt:variant>
      <vt:variant>
        <vt:i4>213</vt:i4>
      </vt:variant>
      <vt:variant>
        <vt:i4>0</vt:i4>
      </vt:variant>
      <vt:variant>
        <vt:i4>5</vt:i4>
      </vt:variant>
      <vt:variant>
        <vt:lpwstr>https://www.tga.gov.au/form/certified-product-details-cpd-biologicalprescription</vt:lpwstr>
      </vt:variant>
      <vt:variant>
        <vt:lpwstr/>
      </vt:variant>
      <vt:variant>
        <vt:i4>589839</vt:i4>
      </vt:variant>
      <vt:variant>
        <vt:i4>210</vt:i4>
      </vt:variant>
      <vt:variant>
        <vt:i4>0</vt:i4>
      </vt:variant>
      <vt:variant>
        <vt:i4>5</vt:i4>
      </vt:variant>
      <vt:variant>
        <vt:lpwstr>https://www.tga.gov.au/resources/laboratory-test-results</vt:lpwstr>
      </vt:variant>
      <vt:variant>
        <vt:lpwstr/>
      </vt:variant>
      <vt:variant>
        <vt:i4>7012370</vt:i4>
      </vt:variant>
      <vt:variant>
        <vt:i4>195</vt:i4>
      </vt:variant>
      <vt:variant>
        <vt:i4>0</vt:i4>
      </vt:variant>
      <vt:variant>
        <vt:i4>5</vt:i4>
      </vt:variant>
      <vt:variant>
        <vt:lpwstr>https://www.ema.europa.eu/en/documents/scientific-guideline/points-consider-application-1meta-analyses-2one-pivotal-study_en.pdf</vt:lpwstr>
      </vt:variant>
      <vt:variant>
        <vt:lpwstr/>
      </vt:variant>
      <vt:variant>
        <vt:i4>6946900</vt:i4>
      </vt:variant>
      <vt:variant>
        <vt:i4>192</vt:i4>
      </vt:variant>
      <vt:variant>
        <vt:i4>0</vt:i4>
      </vt:variant>
      <vt:variant>
        <vt:i4>5</vt:i4>
      </vt:variant>
      <vt:variant>
        <vt:lpwstr>https://www.ema.europa.eu/en/documents/scientific-guideline/ich-e-1-population-exposure-extent-population-exposure-assess-clinical-safety-step-5_en.pdf</vt:lpwstr>
      </vt:variant>
      <vt:variant>
        <vt:lpwstr/>
      </vt:variant>
      <vt:variant>
        <vt:i4>7995507</vt:i4>
      </vt:variant>
      <vt:variant>
        <vt:i4>189</vt:i4>
      </vt:variant>
      <vt:variant>
        <vt:i4>0</vt:i4>
      </vt:variant>
      <vt:variant>
        <vt:i4>5</vt:i4>
      </vt:variant>
      <vt:variant>
        <vt:lpwstr>https://www.ema.europa.eu/en/reporting-results-population-pharmacokinetic-analyses-scientific-guideline</vt:lpwstr>
      </vt:variant>
      <vt:variant>
        <vt:lpwstr/>
      </vt:variant>
      <vt:variant>
        <vt:i4>1310802</vt:i4>
      </vt:variant>
      <vt:variant>
        <vt:i4>186</vt:i4>
      </vt:variant>
      <vt:variant>
        <vt:i4>0</vt:i4>
      </vt:variant>
      <vt:variant>
        <vt:i4>5</vt:i4>
      </vt:variant>
      <vt:variant>
        <vt:lpwstr>https://www.ema.europa.eu/en/immunogenicity-assessment-monoclonal-antibodies-intended-vivo-clinical-use-scientific-guideline</vt:lpwstr>
      </vt:variant>
      <vt:variant>
        <vt:lpwstr/>
      </vt:variant>
      <vt:variant>
        <vt:i4>1835097</vt:i4>
      </vt:variant>
      <vt:variant>
        <vt:i4>180</vt:i4>
      </vt:variant>
      <vt:variant>
        <vt:i4>0</vt:i4>
      </vt:variant>
      <vt:variant>
        <vt:i4>5</vt:i4>
      </vt:variant>
      <vt:variant>
        <vt:lpwstr>https://www.tga.gov.au/how-we-regulate/supply-therapeutic-good-0/supply-prescription-medicine/application-process/prescription-medicines-registration-process</vt:lpwstr>
      </vt:variant>
      <vt:variant>
        <vt:lpwstr/>
      </vt:variant>
      <vt:variant>
        <vt:i4>3145760</vt:i4>
      </vt:variant>
      <vt:variant>
        <vt:i4>174</vt:i4>
      </vt:variant>
      <vt:variant>
        <vt:i4>0</vt:i4>
      </vt:variant>
      <vt:variant>
        <vt:i4>5</vt:i4>
      </vt:variant>
      <vt:variant>
        <vt:lpwstr>https://www.tga.gov.au/australia-canada-singapore-switzerland-united-kingdom-access-consortium</vt:lpwstr>
      </vt:variant>
      <vt:variant>
        <vt:lpwstr/>
      </vt:variant>
      <vt:variant>
        <vt:i4>3670063</vt:i4>
      </vt:variant>
      <vt:variant>
        <vt:i4>168</vt:i4>
      </vt:variant>
      <vt:variant>
        <vt:i4>0</vt:i4>
      </vt:variant>
      <vt:variant>
        <vt:i4>5</vt:i4>
      </vt:variant>
      <vt:variant>
        <vt:lpwstr>https://www.tga.gov.au/obstetric-drug-information-services</vt:lpwstr>
      </vt:variant>
      <vt:variant>
        <vt:lpwstr/>
      </vt:variant>
      <vt:variant>
        <vt:i4>2949173</vt:i4>
      </vt:variant>
      <vt:variant>
        <vt:i4>165</vt:i4>
      </vt:variant>
      <vt:variant>
        <vt:i4>0</vt:i4>
      </vt:variant>
      <vt:variant>
        <vt:i4>5</vt:i4>
      </vt:variant>
      <vt:variant>
        <vt:lpwstr>https://www.tga.gov.au/products/medicines/find-information-about-medicine/prescribing-medicines-pregnancy-database</vt:lpwstr>
      </vt:variant>
      <vt:variant>
        <vt:lpwstr/>
      </vt:variant>
      <vt:variant>
        <vt:i4>786511</vt:i4>
      </vt:variant>
      <vt:variant>
        <vt:i4>162</vt:i4>
      </vt:variant>
      <vt:variant>
        <vt:i4>0</vt:i4>
      </vt:variant>
      <vt:variant>
        <vt:i4>5</vt:i4>
      </vt:variant>
      <vt:variant>
        <vt:lpwstr>https://www.tga.gov.au/black-triangle-scheme</vt:lpwstr>
      </vt:variant>
      <vt:variant>
        <vt:lpwstr/>
      </vt:variant>
      <vt:variant>
        <vt:i4>1638459</vt:i4>
      </vt:variant>
      <vt:variant>
        <vt:i4>155</vt:i4>
      </vt:variant>
      <vt:variant>
        <vt:i4>0</vt:i4>
      </vt:variant>
      <vt:variant>
        <vt:i4>5</vt:i4>
      </vt:variant>
      <vt:variant>
        <vt:lpwstr/>
      </vt:variant>
      <vt:variant>
        <vt:lpwstr>_Toc209708015</vt:lpwstr>
      </vt:variant>
      <vt:variant>
        <vt:i4>1638459</vt:i4>
      </vt:variant>
      <vt:variant>
        <vt:i4>149</vt:i4>
      </vt:variant>
      <vt:variant>
        <vt:i4>0</vt:i4>
      </vt:variant>
      <vt:variant>
        <vt:i4>5</vt:i4>
      </vt:variant>
      <vt:variant>
        <vt:lpwstr/>
      </vt:variant>
      <vt:variant>
        <vt:lpwstr>_Toc209708014</vt:lpwstr>
      </vt:variant>
      <vt:variant>
        <vt:i4>1638459</vt:i4>
      </vt:variant>
      <vt:variant>
        <vt:i4>143</vt:i4>
      </vt:variant>
      <vt:variant>
        <vt:i4>0</vt:i4>
      </vt:variant>
      <vt:variant>
        <vt:i4>5</vt:i4>
      </vt:variant>
      <vt:variant>
        <vt:lpwstr/>
      </vt:variant>
      <vt:variant>
        <vt:lpwstr>_Toc209708013</vt:lpwstr>
      </vt:variant>
      <vt:variant>
        <vt:i4>1638459</vt:i4>
      </vt:variant>
      <vt:variant>
        <vt:i4>137</vt:i4>
      </vt:variant>
      <vt:variant>
        <vt:i4>0</vt:i4>
      </vt:variant>
      <vt:variant>
        <vt:i4>5</vt:i4>
      </vt:variant>
      <vt:variant>
        <vt:lpwstr/>
      </vt:variant>
      <vt:variant>
        <vt:lpwstr>_Toc209708012</vt:lpwstr>
      </vt:variant>
      <vt:variant>
        <vt:i4>1638459</vt:i4>
      </vt:variant>
      <vt:variant>
        <vt:i4>131</vt:i4>
      </vt:variant>
      <vt:variant>
        <vt:i4>0</vt:i4>
      </vt:variant>
      <vt:variant>
        <vt:i4>5</vt:i4>
      </vt:variant>
      <vt:variant>
        <vt:lpwstr/>
      </vt:variant>
      <vt:variant>
        <vt:lpwstr>_Toc209708011</vt:lpwstr>
      </vt:variant>
      <vt:variant>
        <vt:i4>1638459</vt:i4>
      </vt:variant>
      <vt:variant>
        <vt:i4>125</vt:i4>
      </vt:variant>
      <vt:variant>
        <vt:i4>0</vt:i4>
      </vt:variant>
      <vt:variant>
        <vt:i4>5</vt:i4>
      </vt:variant>
      <vt:variant>
        <vt:lpwstr/>
      </vt:variant>
      <vt:variant>
        <vt:lpwstr>_Toc209708010</vt:lpwstr>
      </vt:variant>
      <vt:variant>
        <vt:i4>1572923</vt:i4>
      </vt:variant>
      <vt:variant>
        <vt:i4>119</vt:i4>
      </vt:variant>
      <vt:variant>
        <vt:i4>0</vt:i4>
      </vt:variant>
      <vt:variant>
        <vt:i4>5</vt:i4>
      </vt:variant>
      <vt:variant>
        <vt:lpwstr/>
      </vt:variant>
      <vt:variant>
        <vt:lpwstr>_Toc209708009</vt:lpwstr>
      </vt:variant>
      <vt:variant>
        <vt:i4>1572923</vt:i4>
      </vt:variant>
      <vt:variant>
        <vt:i4>113</vt:i4>
      </vt:variant>
      <vt:variant>
        <vt:i4>0</vt:i4>
      </vt:variant>
      <vt:variant>
        <vt:i4>5</vt:i4>
      </vt:variant>
      <vt:variant>
        <vt:lpwstr/>
      </vt:variant>
      <vt:variant>
        <vt:lpwstr>_Toc209708008</vt:lpwstr>
      </vt:variant>
      <vt:variant>
        <vt:i4>1572923</vt:i4>
      </vt:variant>
      <vt:variant>
        <vt:i4>107</vt:i4>
      </vt:variant>
      <vt:variant>
        <vt:i4>0</vt:i4>
      </vt:variant>
      <vt:variant>
        <vt:i4>5</vt:i4>
      </vt:variant>
      <vt:variant>
        <vt:lpwstr/>
      </vt:variant>
      <vt:variant>
        <vt:lpwstr>_Toc209708007</vt:lpwstr>
      </vt:variant>
      <vt:variant>
        <vt:i4>1572923</vt:i4>
      </vt:variant>
      <vt:variant>
        <vt:i4>101</vt:i4>
      </vt:variant>
      <vt:variant>
        <vt:i4>0</vt:i4>
      </vt:variant>
      <vt:variant>
        <vt:i4>5</vt:i4>
      </vt:variant>
      <vt:variant>
        <vt:lpwstr/>
      </vt:variant>
      <vt:variant>
        <vt:lpwstr>_Toc209708006</vt:lpwstr>
      </vt:variant>
      <vt:variant>
        <vt:i4>1572923</vt:i4>
      </vt:variant>
      <vt:variant>
        <vt:i4>95</vt:i4>
      </vt:variant>
      <vt:variant>
        <vt:i4>0</vt:i4>
      </vt:variant>
      <vt:variant>
        <vt:i4>5</vt:i4>
      </vt:variant>
      <vt:variant>
        <vt:lpwstr/>
      </vt:variant>
      <vt:variant>
        <vt:lpwstr>_Toc209708005</vt:lpwstr>
      </vt:variant>
      <vt:variant>
        <vt:i4>1572923</vt:i4>
      </vt:variant>
      <vt:variant>
        <vt:i4>89</vt:i4>
      </vt:variant>
      <vt:variant>
        <vt:i4>0</vt:i4>
      </vt:variant>
      <vt:variant>
        <vt:i4>5</vt:i4>
      </vt:variant>
      <vt:variant>
        <vt:lpwstr/>
      </vt:variant>
      <vt:variant>
        <vt:lpwstr>_Toc209708004</vt:lpwstr>
      </vt:variant>
      <vt:variant>
        <vt:i4>1572923</vt:i4>
      </vt:variant>
      <vt:variant>
        <vt:i4>83</vt:i4>
      </vt:variant>
      <vt:variant>
        <vt:i4>0</vt:i4>
      </vt:variant>
      <vt:variant>
        <vt:i4>5</vt:i4>
      </vt:variant>
      <vt:variant>
        <vt:lpwstr/>
      </vt:variant>
      <vt:variant>
        <vt:lpwstr>_Toc209708003</vt:lpwstr>
      </vt:variant>
      <vt:variant>
        <vt:i4>1572923</vt:i4>
      </vt:variant>
      <vt:variant>
        <vt:i4>77</vt:i4>
      </vt:variant>
      <vt:variant>
        <vt:i4>0</vt:i4>
      </vt:variant>
      <vt:variant>
        <vt:i4>5</vt:i4>
      </vt:variant>
      <vt:variant>
        <vt:lpwstr/>
      </vt:variant>
      <vt:variant>
        <vt:lpwstr>_Toc209708002</vt:lpwstr>
      </vt:variant>
      <vt:variant>
        <vt:i4>1572923</vt:i4>
      </vt:variant>
      <vt:variant>
        <vt:i4>71</vt:i4>
      </vt:variant>
      <vt:variant>
        <vt:i4>0</vt:i4>
      </vt:variant>
      <vt:variant>
        <vt:i4>5</vt:i4>
      </vt:variant>
      <vt:variant>
        <vt:lpwstr/>
      </vt:variant>
      <vt:variant>
        <vt:lpwstr>_Toc209708001</vt:lpwstr>
      </vt:variant>
      <vt:variant>
        <vt:i4>1572923</vt:i4>
      </vt:variant>
      <vt:variant>
        <vt:i4>65</vt:i4>
      </vt:variant>
      <vt:variant>
        <vt:i4>0</vt:i4>
      </vt:variant>
      <vt:variant>
        <vt:i4>5</vt:i4>
      </vt:variant>
      <vt:variant>
        <vt:lpwstr/>
      </vt:variant>
      <vt:variant>
        <vt:lpwstr>_Toc209708000</vt:lpwstr>
      </vt:variant>
      <vt:variant>
        <vt:i4>1966130</vt:i4>
      </vt:variant>
      <vt:variant>
        <vt:i4>59</vt:i4>
      </vt:variant>
      <vt:variant>
        <vt:i4>0</vt:i4>
      </vt:variant>
      <vt:variant>
        <vt:i4>5</vt:i4>
      </vt:variant>
      <vt:variant>
        <vt:lpwstr/>
      </vt:variant>
      <vt:variant>
        <vt:lpwstr>_Toc209707999</vt:lpwstr>
      </vt:variant>
      <vt:variant>
        <vt:i4>1966130</vt:i4>
      </vt:variant>
      <vt:variant>
        <vt:i4>53</vt:i4>
      </vt:variant>
      <vt:variant>
        <vt:i4>0</vt:i4>
      </vt:variant>
      <vt:variant>
        <vt:i4>5</vt:i4>
      </vt:variant>
      <vt:variant>
        <vt:lpwstr/>
      </vt:variant>
      <vt:variant>
        <vt:lpwstr>_Toc209707998</vt:lpwstr>
      </vt:variant>
      <vt:variant>
        <vt:i4>1966130</vt:i4>
      </vt:variant>
      <vt:variant>
        <vt:i4>47</vt:i4>
      </vt:variant>
      <vt:variant>
        <vt:i4>0</vt:i4>
      </vt:variant>
      <vt:variant>
        <vt:i4>5</vt:i4>
      </vt:variant>
      <vt:variant>
        <vt:lpwstr/>
      </vt:variant>
      <vt:variant>
        <vt:lpwstr>_Toc209707997</vt:lpwstr>
      </vt:variant>
      <vt:variant>
        <vt:i4>1966130</vt:i4>
      </vt:variant>
      <vt:variant>
        <vt:i4>41</vt:i4>
      </vt:variant>
      <vt:variant>
        <vt:i4>0</vt:i4>
      </vt:variant>
      <vt:variant>
        <vt:i4>5</vt:i4>
      </vt:variant>
      <vt:variant>
        <vt:lpwstr/>
      </vt:variant>
      <vt:variant>
        <vt:lpwstr>_Toc209707996</vt:lpwstr>
      </vt:variant>
      <vt:variant>
        <vt:i4>1966130</vt:i4>
      </vt:variant>
      <vt:variant>
        <vt:i4>35</vt:i4>
      </vt:variant>
      <vt:variant>
        <vt:i4>0</vt:i4>
      </vt:variant>
      <vt:variant>
        <vt:i4>5</vt:i4>
      </vt:variant>
      <vt:variant>
        <vt:lpwstr/>
      </vt:variant>
      <vt:variant>
        <vt:lpwstr>_Toc209707995</vt:lpwstr>
      </vt:variant>
      <vt:variant>
        <vt:i4>1966130</vt:i4>
      </vt:variant>
      <vt:variant>
        <vt:i4>29</vt:i4>
      </vt:variant>
      <vt:variant>
        <vt:i4>0</vt:i4>
      </vt:variant>
      <vt:variant>
        <vt:i4>5</vt:i4>
      </vt:variant>
      <vt:variant>
        <vt:lpwstr/>
      </vt:variant>
      <vt:variant>
        <vt:lpwstr>_Toc209707994</vt:lpwstr>
      </vt:variant>
      <vt:variant>
        <vt:i4>1966130</vt:i4>
      </vt:variant>
      <vt:variant>
        <vt:i4>23</vt:i4>
      </vt:variant>
      <vt:variant>
        <vt:i4>0</vt:i4>
      </vt:variant>
      <vt:variant>
        <vt:i4>5</vt:i4>
      </vt:variant>
      <vt:variant>
        <vt:lpwstr/>
      </vt:variant>
      <vt:variant>
        <vt:lpwstr>_Toc209707993</vt:lpwstr>
      </vt:variant>
      <vt:variant>
        <vt:i4>1966130</vt:i4>
      </vt:variant>
      <vt:variant>
        <vt:i4>17</vt:i4>
      </vt:variant>
      <vt:variant>
        <vt:i4>0</vt:i4>
      </vt:variant>
      <vt:variant>
        <vt:i4>5</vt:i4>
      </vt:variant>
      <vt:variant>
        <vt:lpwstr/>
      </vt:variant>
      <vt:variant>
        <vt:lpwstr>_Toc209707992</vt:lpwstr>
      </vt:variant>
      <vt:variant>
        <vt:i4>1966130</vt:i4>
      </vt:variant>
      <vt:variant>
        <vt:i4>11</vt:i4>
      </vt:variant>
      <vt:variant>
        <vt:i4>0</vt:i4>
      </vt:variant>
      <vt:variant>
        <vt:i4>5</vt:i4>
      </vt:variant>
      <vt:variant>
        <vt:lpwstr/>
      </vt:variant>
      <vt:variant>
        <vt:lpwstr>_Toc209707991</vt:lpwstr>
      </vt:variant>
      <vt:variant>
        <vt:i4>6291548</vt:i4>
      </vt:variant>
      <vt:variant>
        <vt:i4>6</vt:i4>
      </vt:variant>
      <vt:variant>
        <vt:i4>0</vt:i4>
      </vt:variant>
      <vt:variant>
        <vt:i4>5</vt:i4>
      </vt:variant>
      <vt:variant>
        <vt:lpwstr>mailto:tga.copyright@tga.gov.au</vt:lpwstr>
      </vt:variant>
      <vt:variant>
        <vt:lpwstr/>
      </vt:variant>
      <vt:variant>
        <vt:i4>7995497</vt:i4>
      </vt:variant>
      <vt:variant>
        <vt:i4>3</vt:i4>
      </vt:variant>
      <vt:variant>
        <vt:i4>0</vt:i4>
      </vt:variant>
      <vt:variant>
        <vt:i4>5</vt:i4>
      </vt:variant>
      <vt:variant>
        <vt:lpwstr>https://www.tga.gov.au/australian-public-assessment-report-auspar-guidance</vt:lpwstr>
      </vt:variant>
      <vt:variant>
        <vt:lpwstr/>
      </vt:variant>
      <vt:variant>
        <vt:i4>3473445</vt:i4>
      </vt:variant>
      <vt:variant>
        <vt:i4>0</vt:i4>
      </vt:variant>
      <vt:variant>
        <vt:i4>0</vt:i4>
      </vt:variant>
      <vt:variant>
        <vt:i4>5</vt:i4>
      </vt:variant>
      <vt:variant>
        <vt:lpwstr>https://www.tga.gov.au/</vt:lpwstr>
      </vt:variant>
      <vt:variant>
        <vt:lpwstr/>
      </vt:variant>
      <vt:variant>
        <vt:i4>852039</vt:i4>
      </vt:variant>
      <vt:variant>
        <vt:i4>15</vt:i4>
      </vt:variant>
      <vt:variant>
        <vt:i4>0</vt:i4>
      </vt:variant>
      <vt:variant>
        <vt:i4>5</vt:i4>
      </vt:variant>
      <vt:variant>
        <vt:lpwstr>https://www.tga.gov.au/resources/resource/international-scientific-guidelines/ich-guideline-s6-r1-preclinical-safety-evaluation-biotechnology-derived-pharmaceuticals</vt:lpwstr>
      </vt:variant>
      <vt:variant>
        <vt:lpwstr/>
      </vt:variant>
      <vt:variant>
        <vt:i4>65548</vt:i4>
      </vt:variant>
      <vt:variant>
        <vt:i4>12</vt:i4>
      </vt:variant>
      <vt:variant>
        <vt:i4>0</vt:i4>
      </vt:variant>
      <vt:variant>
        <vt:i4>5</vt:i4>
      </vt:variant>
      <vt:variant>
        <vt:lpwstr>https://firstwordpharma.com/story/5745662</vt:lpwstr>
      </vt:variant>
      <vt:variant>
        <vt:lpwstr/>
      </vt:variant>
      <vt:variant>
        <vt:i4>3145839</vt:i4>
      </vt:variant>
      <vt:variant>
        <vt:i4>9</vt:i4>
      </vt:variant>
      <vt:variant>
        <vt:i4>0</vt:i4>
      </vt:variant>
      <vt:variant>
        <vt:i4>5</vt:i4>
      </vt:variant>
      <vt:variant>
        <vt:lpwstr>http://www.blood.gov.au/data-analysis-reporting</vt:lpwstr>
      </vt:variant>
      <vt:variant>
        <vt:lpwstr/>
      </vt:variant>
      <vt:variant>
        <vt:i4>4587608</vt:i4>
      </vt:variant>
      <vt:variant>
        <vt:i4>6</vt:i4>
      </vt:variant>
      <vt:variant>
        <vt:i4>0</vt:i4>
      </vt:variant>
      <vt:variant>
        <vt:i4>5</vt:i4>
      </vt:variant>
      <vt:variant>
        <vt:lpwstr>https://www.omim.org/entry/306900?search=Haemophilia%20B&amp;highlight=%28haemophilia%7Chemophilia%29%2Cb</vt:lpwstr>
      </vt:variant>
      <vt:variant>
        <vt:lpwstr/>
      </vt:variant>
      <vt:variant>
        <vt:i4>3145839</vt:i4>
      </vt:variant>
      <vt:variant>
        <vt:i4>3</vt:i4>
      </vt:variant>
      <vt:variant>
        <vt:i4>0</vt:i4>
      </vt:variant>
      <vt:variant>
        <vt:i4>5</vt:i4>
      </vt:variant>
      <vt:variant>
        <vt:lpwstr>http://www.blood.gov.au/data-analysis-reporting</vt:lpwstr>
      </vt:variant>
      <vt:variant>
        <vt:lpwstr/>
      </vt:variant>
      <vt:variant>
        <vt:i4>1441878</vt:i4>
      </vt:variant>
      <vt:variant>
        <vt:i4>0</vt:i4>
      </vt:variant>
      <vt:variant>
        <vt:i4>0</vt:i4>
      </vt:variant>
      <vt:variant>
        <vt:i4>5</vt:i4>
      </vt:variant>
      <vt:variant>
        <vt:lpwstr>https://www.omim.org/entry/306700?search=haemophilia%20A&amp;highlight=%28haemophilia%7Chemophilia%29%20a</vt:lpwstr>
      </vt:variant>
      <vt:variant>
        <vt:lpwstr/>
      </vt:variant>
      <vt:variant>
        <vt:i4>5439583</vt:i4>
      </vt:variant>
      <vt:variant>
        <vt:i4>99</vt:i4>
      </vt:variant>
      <vt:variant>
        <vt:i4>0</vt:i4>
      </vt:variant>
      <vt:variant>
        <vt:i4>5</vt:i4>
      </vt:variant>
      <vt:variant>
        <vt:lpwstr>http://gdms.pfizer.com/gdms/drl/objectId/090177e1a41bd45b</vt:lpwstr>
      </vt:variant>
      <vt:variant>
        <vt:lpwstr/>
      </vt:variant>
      <vt:variant>
        <vt:i4>65547</vt:i4>
      </vt:variant>
      <vt:variant>
        <vt:i4>96</vt:i4>
      </vt:variant>
      <vt:variant>
        <vt:i4>0</vt:i4>
      </vt:variant>
      <vt:variant>
        <vt:i4>5</vt:i4>
      </vt:variant>
      <vt:variant>
        <vt:lpwstr>http://gdms.pfizer.com/gdms/drl/objectId/090177e1a2a713b2</vt:lpwstr>
      </vt:variant>
      <vt:variant>
        <vt:lpwstr/>
      </vt:variant>
      <vt:variant>
        <vt:i4>5374045</vt:i4>
      </vt:variant>
      <vt:variant>
        <vt:i4>93</vt:i4>
      </vt:variant>
      <vt:variant>
        <vt:i4>0</vt:i4>
      </vt:variant>
      <vt:variant>
        <vt:i4>5</vt:i4>
      </vt:variant>
      <vt:variant>
        <vt:lpwstr>http://gdms.pfizer.com/gdms/drl/objectId/090177e1a16a50ba</vt:lpwstr>
      </vt:variant>
      <vt:variant>
        <vt:lpwstr/>
      </vt:variant>
      <vt:variant>
        <vt:i4>131105</vt:i4>
      </vt:variant>
      <vt:variant>
        <vt:i4>90</vt:i4>
      </vt:variant>
      <vt:variant>
        <vt:i4>0</vt:i4>
      </vt:variant>
      <vt:variant>
        <vt:i4>5</vt:i4>
      </vt:variant>
      <vt:variant>
        <vt:lpwstr>mailto:WILLIK28@pfizer.com</vt:lpwstr>
      </vt:variant>
      <vt:variant>
        <vt:lpwstr/>
      </vt:variant>
      <vt:variant>
        <vt:i4>65547</vt:i4>
      </vt:variant>
      <vt:variant>
        <vt:i4>87</vt:i4>
      </vt:variant>
      <vt:variant>
        <vt:i4>0</vt:i4>
      </vt:variant>
      <vt:variant>
        <vt:i4>5</vt:i4>
      </vt:variant>
      <vt:variant>
        <vt:lpwstr>http://gdms.pfizer.com/gdms/drl/objectId/090177e1a2a713b2</vt:lpwstr>
      </vt:variant>
      <vt:variant>
        <vt:lpwstr/>
      </vt:variant>
      <vt:variant>
        <vt:i4>262236</vt:i4>
      </vt:variant>
      <vt:variant>
        <vt:i4>84</vt:i4>
      </vt:variant>
      <vt:variant>
        <vt:i4>0</vt:i4>
      </vt:variant>
      <vt:variant>
        <vt:i4>5</vt:i4>
      </vt:variant>
      <vt:variant>
        <vt:lpwstr>http://gdms.pfizer.com/gdms/drl/objectId/090177e1a16f3629</vt:lpwstr>
      </vt:variant>
      <vt:variant>
        <vt:lpwstr/>
      </vt:variant>
      <vt:variant>
        <vt:i4>8126558</vt:i4>
      </vt:variant>
      <vt:variant>
        <vt:i4>81</vt:i4>
      </vt:variant>
      <vt:variant>
        <vt:i4>0</vt:i4>
      </vt:variant>
      <vt:variant>
        <vt:i4>5</vt:i4>
      </vt:variant>
      <vt:variant>
        <vt:lpwstr>mailto:ZHUQ10@pfizer.com</vt:lpwstr>
      </vt:variant>
      <vt:variant>
        <vt:lpwstr/>
      </vt:variant>
      <vt:variant>
        <vt:i4>262236</vt:i4>
      </vt:variant>
      <vt:variant>
        <vt:i4>78</vt:i4>
      </vt:variant>
      <vt:variant>
        <vt:i4>0</vt:i4>
      </vt:variant>
      <vt:variant>
        <vt:i4>5</vt:i4>
      </vt:variant>
      <vt:variant>
        <vt:lpwstr>http://gdms.pfizer.com/gdms/drl/objectId/090177e1a16f3629</vt:lpwstr>
      </vt:variant>
      <vt:variant>
        <vt:lpwstr/>
      </vt:variant>
      <vt:variant>
        <vt:i4>262236</vt:i4>
      </vt:variant>
      <vt:variant>
        <vt:i4>75</vt:i4>
      </vt:variant>
      <vt:variant>
        <vt:i4>0</vt:i4>
      </vt:variant>
      <vt:variant>
        <vt:i4>5</vt:i4>
      </vt:variant>
      <vt:variant>
        <vt:lpwstr>http://gdms.pfizer.com/gdms/drl/objectId/090177e1a16f3629</vt:lpwstr>
      </vt:variant>
      <vt:variant>
        <vt:lpwstr/>
      </vt:variant>
      <vt:variant>
        <vt:i4>5439583</vt:i4>
      </vt:variant>
      <vt:variant>
        <vt:i4>72</vt:i4>
      </vt:variant>
      <vt:variant>
        <vt:i4>0</vt:i4>
      </vt:variant>
      <vt:variant>
        <vt:i4>5</vt:i4>
      </vt:variant>
      <vt:variant>
        <vt:lpwstr>http://gdms.pfizer.com/gdms/drl/objectId/090177e1a41bd45b</vt:lpwstr>
      </vt:variant>
      <vt:variant>
        <vt:lpwstr/>
      </vt:variant>
      <vt:variant>
        <vt:i4>262236</vt:i4>
      </vt:variant>
      <vt:variant>
        <vt:i4>69</vt:i4>
      </vt:variant>
      <vt:variant>
        <vt:i4>0</vt:i4>
      </vt:variant>
      <vt:variant>
        <vt:i4>5</vt:i4>
      </vt:variant>
      <vt:variant>
        <vt:lpwstr>http://gdms.pfizer.com/gdms/drl/objectId/090177e1a16f3629</vt:lpwstr>
      </vt:variant>
      <vt:variant>
        <vt:lpwstr/>
      </vt:variant>
      <vt:variant>
        <vt:i4>262236</vt:i4>
      </vt:variant>
      <vt:variant>
        <vt:i4>66</vt:i4>
      </vt:variant>
      <vt:variant>
        <vt:i4>0</vt:i4>
      </vt:variant>
      <vt:variant>
        <vt:i4>5</vt:i4>
      </vt:variant>
      <vt:variant>
        <vt:lpwstr>http://gdms.pfizer.com/gdms/drl/objectId/090177e1a16f3629</vt:lpwstr>
      </vt:variant>
      <vt:variant>
        <vt:lpwstr/>
      </vt:variant>
      <vt:variant>
        <vt:i4>131105</vt:i4>
      </vt:variant>
      <vt:variant>
        <vt:i4>63</vt:i4>
      </vt:variant>
      <vt:variant>
        <vt:i4>0</vt:i4>
      </vt:variant>
      <vt:variant>
        <vt:i4>5</vt:i4>
      </vt:variant>
      <vt:variant>
        <vt:lpwstr>mailto:WILLIK28@pfizer.com</vt:lpwstr>
      </vt:variant>
      <vt:variant>
        <vt:lpwstr/>
      </vt:variant>
      <vt:variant>
        <vt:i4>262236</vt:i4>
      </vt:variant>
      <vt:variant>
        <vt:i4>60</vt:i4>
      </vt:variant>
      <vt:variant>
        <vt:i4>0</vt:i4>
      </vt:variant>
      <vt:variant>
        <vt:i4>5</vt:i4>
      </vt:variant>
      <vt:variant>
        <vt:lpwstr>http://gdms.pfizer.com/gdms/drl/objectId/090177e1a16f3629</vt:lpwstr>
      </vt:variant>
      <vt:variant>
        <vt:lpwstr/>
      </vt:variant>
      <vt:variant>
        <vt:i4>262236</vt:i4>
      </vt:variant>
      <vt:variant>
        <vt:i4>57</vt:i4>
      </vt:variant>
      <vt:variant>
        <vt:i4>0</vt:i4>
      </vt:variant>
      <vt:variant>
        <vt:i4>5</vt:i4>
      </vt:variant>
      <vt:variant>
        <vt:lpwstr>http://gdms.pfizer.com/gdms/drl/objectId/090177e1a16f3629</vt:lpwstr>
      </vt:variant>
      <vt:variant>
        <vt:lpwstr/>
      </vt:variant>
      <vt:variant>
        <vt:i4>262236</vt:i4>
      </vt:variant>
      <vt:variant>
        <vt:i4>54</vt:i4>
      </vt:variant>
      <vt:variant>
        <vt:i4>0</vt:i4>
      </vt:variant>
      <vt:variant>
        <vt:i4>5</vt:i4>
      </vt:variant>
      <vt:variant>
        <vt:lpwstr>http://gdms.pfizer.com/gdms/drl/objectId/090177e1a16f3629</vt:lpwstr>
      </vt:variant>
      <vt:variant>
        <vt:lpwstr/>
      </vt:variant>
      <vt:variant>
        <vt:i4>131105</vt:i4>
      </vt:variant>
      <vt:variant>
        <vt:i4>51</vt:i4>
      </vt:variant>
      <vt:variant>
        <vt:i4>0</vt:i4>
      </vt:variant>
      <vt:variant>
        <vt:i4>5</vt:i4>
      </vt:variant>
      <vt:variant>
        <vt:lpwstr>mailto:WILLIK28@pfizer.com</vt:lpwstr>
      </vt:variant>
      <vt:variant>
        <vt:lpwstr/>
      </vt:variant>
      <vt:variant>
        <vt:i4>5636198</vt:i4>
      </vt:variant>
      <vt:variant>
        <vt:i4>48</vt:i4>
      </vt:variant>
      <vt:variant>
        <vt:i4>0</vt:i4>
      </vt:variant>
      <vt:variant>
        <vt:i4>5</vt:i4>
      </vt:variant>
      <vt:variant>
        <vt:lpwstr>https://www.ema.europa.eu/en/documents/assessment-report/hympavzi-epar-public-assessment-report_en.pdf</vt:lpwstr>
      </vt:variant>
      <vt:variant>
        <vt:lpwstr/>
      </vt:variant>
      <vt:variant>
        <vt:i4>5636198</vt:i4>
      </vt:variant>
      <vt:variant>
        <vt:i4>45</vt:i4>
      </vt:variant>
      <vt:variant>
        <vt:i4>0</vt:i4>
      </vt:variant>
      <vt:variant>
        <vt:i4>5</vt:i4>
      </vt:variant>
      <vt:variant>
        <vt:lpwstr>https://www.ema.europa.eu/en/documents/assessment-report/hympavzi-epar-public-assessment-report_en.pdf</vt:lpwstr>
      </vt:variant>
      <vt:variant>
        <vt:lpwstr/>
      </vt:variant>
      <vt:variant>
        <vt:i4>3407875</vt:i4>
      </vt:variant>
      <vt:variant>
        <vt:i4>42</vt:i4>
      </vt:variant>
      <vt:variant>
        <vt:i4>0</vt:i4>
      </vt:variant>
      <vt:variant>
        <vt:i4>5</vt:i4>
      </vt:variant>
      <vt:variant>
        <vt:lpwstr>mailto:RAJES@pfizer.com</vt:lpwstr>
      </vt:variant>
      <vt:variant>
        <vt:lpwstr/>
      </vt:variant>
      <vt:variant>
        <vt:i4>5636198</vt:i4>
      </vt:variant>
      <vt:variant>
        <vt:i4>39</vt:i4>
      </vt:variant>
      <vt:variant>
        <vt:i4>0</vt:i4>
      </vt:variant>
      <vt:variant>
        <vt:i4>5</vt:i4>
      </vt:variant>
      <vt:variant>
        <vt:lpwstr>https://www.ema.europa.eu/en/documents/assessment-report/hympavzi-epar-public-assessment-report_en.pdf</vt:lpwstr>
      </vt:variant>
      <vt:variant>
        <vt:lpwstr/>
      </vt:variant>
      <vt:variant>
        <vt:i4>4915325</vt:i4>
      </vt:variant>
      <vt:variant>
        <vt:i4>36</vt:i4>
      </vt:variant>
      <vt:variant>
        <vt:i4>0</vt:i4>
      </vt:variant>
      <vt:variant>
        <vt:i4>5</vt:i4>
      </vt:variant>
      <vt:variant>
        <vt:lpwstr>mailto:SchwenJ@pfizer.com</vt:lpwstr>
      </vt:variant>
      <vt:variant>
        <vt:lpwstr/>
      </vt:variant>
      <vt:variant>
        <vt:i4>3080220</vt:i4>
      </vt:variant>
      <vt:variant>
        <vt:i4>33</vt:i4>
      </vt:variant>
      <vt:variant>
        <vt:i4>0</vt:i4>
      </vt:variant>
      <vt:variant>
        <vt:i4>5</vt:i4>
      </vt:variant>
      <vt:variant>
        <vt:lpwstr>https://pfizer.sharepoint.com/:b:/s/RareDiseaseNCEFilingQueryManagement/Eb48CDhXqpZOqid25ly-sBcB7OrwqoeSBbmK_6aSkEFeQA?e=dyjvSb</vt:lpwstr>
      </vt:variant>
      <vt:variant>
        <vt:lpwstr/>
      </vt:variant>
      <vt:variant>
        <vt:i4>589883</vt:i4>
      </vt:variant>
      <vt:variant>
        <vt:i4>30</vt:i4>
      </vt:variant>
      <vt:variant>
        <vt:i4>0</vt:i4>
      </vt:variant>
      <vt:variant>
        <vt:i4>5</vt:i4>
      </vt:variant>
      <vt:variant>
        <vt:lpwstr>mailto:DUFFYJ05@pfizer.com</vt:lpwstr>
      </vt:variant>
      <vt:variant>
        <vt:lpwstr/>
      </vt:variant>
      <vt:variant>
        <vt:i4>3080220</vt:i4>
      </vt:variant>
      <vt:variant>
        <vt:i4>27</vt:i4>
      </vt:variant>
      <vt:variant>
        <vt:i4>0</vt:i4>
      </vt:variant>
      <vt:variant>
        <vt:i4>5</vt:i4>
      </vt:variant>
      <vt:variant>
        <vt:lpwstr>https://pfizer.sharepoint.com/:b:/s/RareDiseaseNCEFilingQueryManagement/Eb48CDhXqpZOqid25ly-sBcB7OrwqoeSBbmK_6aSkEFeQA?e=dyjvSb</vt:lpwstr>
      </vt:variant>
      <vt:variant>
        <vt:lpwstr/>
      </vt:variant>
      <vt:variant>
        <vt:i4>2031658</vt:i4>
      </vt:variant>
      <vt:variant>
        <vt:i4>24</vt:i4>
      </vt:variant>
      <vt:variant>
        <vt:i4>0</vt:i4>
      </vt:variant>
      <vt:variant>
        <vt:i4>5</vt:i4>
      </vt:variant>
      <vt:variant>
        <vt:lpwstr>mailto:BUCKLP03@pfizer.com</vt:lpwstr>
      </vt:variant>
      <vt:variant>
        <vt:lpwstr/>
      </vt:variant>
      <vt:variant>
        <vt:i4>589883</vt:i4>
      </vt:variant>
      <vt:variant>
        <vt:i4>21</vt:i4>
      </vt:variant>
      <vt:variant>
        <vt:i4>0</vt:i4>
      </vt:variant>
      <vt:variant>
        <vt:i4>5</vt:i4>
      </vt:variant>
      <vt:variant>
        <vt:lpwstr>mailto:DUFFYJ05@pfizer.com</vt:lpwstr>
      </vt:variant>
      <vt:variant>
        <vt:lpwstr/>
      </vt:variant>
      <vt:variant>
        <vt:i4>458757</vt:i4>
      </vt:variant>
      <vt:variant>
        <vt:i4>18</vt:i4>
      </vt:variant>
      <vt:variant>
        <vt:i4>0</vt:i4>
      </vt:variant>
      <vt:variant>
        <vt:i4>5</vt:i4>
      </vt:variant>
      <vt:variant>
        <vt:lpwstr>http://gdms.pfizer.com/gdms/drl/objectId/0b0177e1a1177e24</vt:lpwstr>
      </vt:variant>
      <vt:variant>
        <vt:lpwstr/>
      </vt:variant>
      <vt:variant>
        <vt:i4>2031658</vt:i4>
      </vt:variant>
      <vt:variant>
        <vt:i4>15</vt:i4>
      </vt:variant>
      <vt:variant>
        <vt:i4>0</vt:i4>
      </vt:variant>
      <vt:variant>
        <vt:i4>5</vt:i4>
      </vt:variant>
      <vt:variant>
        <vt:lpwstr>mailto:BUCKLP03@pfizer.com</vt:lpwstr>
      </vt:variant>
      <vt:variant>
        <vt:lpwstr/>
      </vt:variant>
      <vt:variant>
        <vt:i4>2031658</vt:i4>
      </vt:variant>
      <vt:variant>
        <vt:i4>12</vt:i4>
      </vt:variant>
      <vt:variant>
        <vt:i4>0</vt:i4>
      </vt:variant>
      <vt:variant>
        <vt:i4>5</vt:i4>
      </vt:variant>
      <vt:variant>
        <vt:lpwstr>mailto:BUCKLP03@pfizer.com</vt:lpwstr>
      </vt:variant>
      <vt:variant>
        <vt:lpwstr/>
      </vt:variant>
      <vt:variant>
        <vt:i4>131105</vt:i4>
      </vt:variant>
      <vt:variant>
        <vt:i4>9</vt:i4>
      </vt:variant>
      <vt:variant>
        <vt:i4>0</vt:i4>
      </vt:variant>
      <vt:variant>
        <vt:i4>5</vt:i4>
      </vt:variant>
      <vt:variant>
        <vt:lpwstr>mailto:WILLIK28@pfizer.com</vt:lpwstr>
      </vt:variant>
      <vt:variant>
        <vt:lpwstr/>
      </vt:variant>
      <vt:variant>
        <vt:i4>7798833</vt:i4>
      </vt:variant>
      <vt:variant>
        <vt:i4>6</vt:i4>
      </vt:variant>
      <vt:variant>
        <vt:i4>0</vt:i4>
      </vt:variant>
      <vt:variant>
        <vt:i4>5</vt:i4>
      </vt:variant>
      <vt:variant>
        <vt:lpwstr>https://pfizer.sharepoint.com/:b:/s/RareDiseaseNCEFilingQueryManagement/EeYVeNv9fXtEvjHcIs-cnMABvi7lANGLF5ffKZ3Yunb7bg?e=rmJiqr</vt:lpwstr>
      </vt:variant>
      <vt:variant>
        <vt:lpwstr/>
      </vt:variant>
      <vt:variant>
        <vt:i4>7798833</vt:i4>
      </vt:variant>
      <vt:variant>
        <vt:i4>3</vt:i4>
      </vt:variant>
      <vt:variant>
        <vt:i4>0</vt:i4>
      </vt:variant>
      <vt:variant>
        <vt:i4>5</vt:i4>
      </vt:variant>
      <vt:variant>
        <vt:lpwstr>https://pfizer.sharepoint.com/:b:/s/RareDiseaseNCEFilingQueryManagement/EeYVeNv9fXtEvjHcIs-cnMABvi7lANGLF5ffKZ3Yunb7bg?e=rmJiqr</vt:lpwstr>
      </vt:variant>
      <vt:variant>
        <vt:lpwstr/>
      </vt:variant>
      <vt:variant>
        <vt:i4>5636198</vt:i4>
      </vt:variant>
      <vt:variant>
        <vt:i4>0</vt:i4>
      </vt:variant>
      <vt:variant>
        <vt:i4>0</vt:i4>
      </vt:variant>
      <vt:variant>
        <vt:i4>5</vt:i4>
      </vt:variant>
      <vt:variant>
        <vt:lpwstr>https://www.ema.europa.eu/en/documents/assessment-report/hympavzi-epar-public-assessment-report_en.pdf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Hympavzi</dc:title>
  <dc:subject>Prescription medicines</dc:subject>
  <dc:creator>Therapeutic Goods Administration</dc:creator>
  <cp:keywords/>
  <dc:description/>
  <cp:lastModifiedBy>LACK, Janet</cp:lastModifiedBy>
  <cp:revision>4</cp:revision>
  <dcterms:created xsi:type="dcterms:W3CDTF">2025-10-23T04:34:00Z</dcterms:created>
  <dcterms:modified xsi:type="dcterms:W3CDTF">2025-10-23T04:47:00Z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2025-09-24T00:57:49Z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5479a31a-6edf-49be-97e2-b38515b10a1f</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y fmtid="{D5CDD505-2E9C-101B-9397-08002B2CF9AE}" pid="10" name="MSIP_Label_4791b42f-c435-42ca-9531-75a3f42aae3d_Enabled">
    <vt:lpwstr>true</vt:lpwstr>
  </property>
  <property fmtid="{D5CDD505-2E9C-101B-9397-08002B2CF9AE}" pid="11" name="MSIP_Label_4791b42f-c435-42ca-9531-75a3f42aae3d_SetDate">
    <vt:lpwstr>2025-09-26T04:51:42Z</vt:lpwstr>
  </property>
  <property fmtid="{D5CDD505-2E9C-101B-9397-08002B2CF9AE}" pid="12" name="MSIP_Label_4791b42f-c435-42ca-9531-75a3f42aae3d_Method">
    <vt:lpwstr>Privileged</vt:lpwstr>
  </property>
  <property fmtid="{D5CDD505-2E9C-101B-9397-08002B2CF9AE}" pid="13" name="MSIP_Label_4791b42f-c435-42ca-9531-75a3f42aae3d_Name">
    <vt:lpwstr>4791b42f-c435-42ca-9531-75a3f42aae3d</vt:lpwstr>
  </property>
  <property fmtid="{D5CDD505-2E9C-101B-9397-08002B2CF9AE}" pid="14" name="MSIP_Label_4791b42f-c435-42ca-9531-75a3f42aae3d_SiteId">
    <vt:lpwstr>7a916015-20ae-4ad1-9170-eefd915e9272</vt:lpwstr>
  </property>
  <property fmtid="{D5CDD505-2E9C-101B-9397-08002B2CF9AE}" pid="15" name="MSIP_Label_4791b42f-c435-42ca-9531-75a3f42aae3d_ActionId">
    <vt:lpwstr>916d02a2-abf8-4362-8c12-6e16133a342d</vt:lpwstr>
  </property>
  <property fmtid="{D5CDD505-2E9C-101B-9397-08002B2CF9AE}" pid="16" name="MSIP_Label_4791b42f-c435-42ca-9531-75a3f42aae3d_ContentBits">
    <vt:lpwstr>0</vt:lpwstr>
  </property>
  <property fmtid="{D5CDD505-2E9C-101B-9397-08002B2CF9AE}" pid="17" name="MSIP_Label_4791b42f-c435-42ca-9531-75a3f42aae3d_Tag">
    <vt:lpwstr>10, 0, 1, 2</vt:lpwstr>
  </property>
</Properties>
</file>