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0EDA0447" w:rsidR="00F02AEC" w:rsidRPr="00215D48" w:rsidRDefault="00346EC2" w:rsidP="007452E8">
            <w:pPr>
              <w:pStyle w:val="Title"/>
            </w:pPr>
            <w:r w:rsidRPr="00346EC2">
              <w:t xml:space="preserve">Australian Public Assessment Report for </w:t>
            </w:r>
            <w:bookmarkStart w:id="0" w:name="_Hlk211337190"/>
            <w:r w:rsidR="005347AE">
              <w:t>Dex</w:t>
            </w:r>
            <w:r w:rsidR="005855C8">
              <w:t>razoxane-Reach</w:t>
            </w:r>
            <w:bookmarkEnd w:id="0"/>
          </w:p>
        </w:tc>
      </w:tr>
      <w:tr w:rsidR="00F02AEC" w:rsidRPr="00215D48" w14:paraId="318A40A3" w14:textId="77777777" w:rsidTr="00346EC2">
        <w:trPr>
          <w:trHeight w:val="995"/>
        </w:trPr>
        <w:tc>
          <w:tcPr>
            <w:tcW w:w="8720" w:type="dxa"/>
          </w:tcPr>
          <w:p w14:paraId="1AA7C701" w14:textId="5E77DBB8" w:rsidR="00F02AEC" w:rsidRPr="00215D48" w:rsidRDefault="00346EC2" w:rsidP="007452E8">
            <w:pPr>
              <w:pStyle w:val="Subtitle"/>
              <w:ind w:left="0"/>
            </w:pPr>
            <w:r w:rsidRPr="00346EC2">
              <w:t xml:space="preserve">Active ingredient: </w:t>
            </w:r>
            <w:bookmarkStart w:id="1" w:name="_Hlk211337086"/>
            <w:r w:rsidR="005855C8">
              <w:t>Dexra</w:t>
            </w:r>
            <w:r w:rsidR="00544730">
              <w:t>zoxane</w:t>
            </w:r>
            <w:bookmarkEnd w:id="1"/>
          </w:p>
        </w:tc>
      </w:tr>
      <w:tr w:rsidR="00346EC2" w:rsidRPr="00215D48" w14:paraId="362CCAE4" w14:textId="77777777" w:rsidTr="007452E8">
        <w:trPr>
          <w:trHeight w:val="1916"/>
        </w:trPr>
        <w:tc>
          <w:tcPr>
            <w:tcW w:w="8720" w:type="dxa"/>
          </w:tcPr>
          <w:p w14:paraId="709C45C0" w14:textId="5D7B5D51" w:rsidR="00346EC2" w:rsidRPr="00215D48" w:rsidRDefault="00346EC2" w:rsidP="007452E8">
            <w:pPr>
              <w:pStyle w:val="Subtitle"/>
              <w:ind w:left="0"/>
            </w:pPr>
            <w:r w:rsidRPr="00346EC2">
              <w:t xml:space="preserve">Sponsor: </w:t>
            </w:r>
            <w:bookmarkStart w:id="2" w:name="_Hlk211337146"/>
            <w:r w:rsidR="00544730">
              <w:t>Reach Pharmaceuticals Pty Ltd</w:t>
            </w:r>
            <w:bookmarkEnd w:id="2"/>
          </w:p>
        </w:tc>
      </w:tr>
      <w:tr w:rsidR="00F02AEC" w:rsidRPr="00215D48" w14:paraId="37F2AA1F" w14:textId="77777777" w:rsidTr="007452E8">
        <w:tc>
          <w:tcPr>
            <w:tcW w:w="8720" w:type="dxa"/>
          </w:tcPr>
          <w:p w14:paraId="1FDE8DCD" w14:textId="3B83EA16" w:rsidR="00F02AEC" w:rsidRPr="00215D48" w:rsidRDefault="00DE17E8" w:rsidP="007452E8">
            <w:pPr>
              <w:pStyle w:val="Date"/>
            </w:pPr>
            <w:r>
              <w:t>October</w:t>
            </w:r>
            <w:r w:rsidR="000A0D83">
              <w:t xml:space="preserve">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4"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5"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19993484"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w:t>
      </w:r>
      <w:r w:rsidR="009B442B">
        <w:rPr>
          <w:rFonts w:cs="Arial"/>
        </w:rPr>
        <w:t>,</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6"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09F6EEC9" w14:textId="7F946D15" w:rsidR="00D740B3"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10912393" w:history="1">
            <w:r w:rsidR="00D740B3" w:rsidRPr="00FD4751">
              <w:rPr>
                <w:rStyle w:val="Hyperlink"/>
                <w:noProof/>
              </w:rPr>
              <w:t>List of abbreviations</w:t>
            </w:r>
            <w:r w:rsidR="00D740B3">
              <w:rPr>
                <w:noProof/>
                <w:webHidden/>
              </w:rPr>
              <w:tab/>
            </w:r>
            <w:r w:rsidR="00D740B3">
              <w:rPr>
                <w:noProof/>
                <w:webHidden/>
              </w:rPr>
              <w:fldChar w:fldCharType="begin"/>
            </w:r>
            <w:r w:rsidR="00D740B3">
              <w:rPr>
                <w:noProof/>
                <w:webHidden/>
              </w:rPr>
              <w:instrText xml:space="preserve"> PAGEREF _Toc210912393 \h </w:instrText>
            </w:r>
            <w:r w:rsidR="00D740B3">
              <w:rPr>
                <w:noProof/>
                <w:webHidden/>
              </w:rPr>
            </w:r>
            <w:r w:rsidR="00D740B3">
              <w:rPr>
                <w:noProof/>
                <w:webHidden/>
              </w:rPr>
              <w:fldChar w:fldCharType="separate"/>
            </w:r>
            <w:r w:rsidR="00D740B3">
              <w:rPr>
                <w:noProof/>
                <w:webHidden/>
              </w:rPr>
              <w:t>4</w:t>
            </w:r>
            <w:r w:rsidR="00D740B3">
              <w:rPr>
                <w:noProof/>
                <w:webHidden/>
              </w:rPr>
              <w:fldChar w:fldCharType="end"/>
            </w:r>
          </w:hyperlink>
        </w:p>
        <w:p w14:paraId="613341C0" w14:textId="69A75665" w:rsidR="00D740B3" w:rsidRDefault="00D740B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912394" w:history="1">
            <w:r w:rsidRPr="00FD4751">
              <w:rPr>
                <w:rStyle w:val="Hyperlink"/>
                <w:noProof/>
              </w:rPr>
              <w:t>Product submission</w:t>
            </w:r>
            <w:r>
              <w:rPr>
                <w:noProof/>
                <w:webHidden/>
              </w:rPr>
              <w:tab/>
            </w:r>
            <w:r>
              <w:rPr>
                <w:noProof/>
                <w:webHidden/>
              </w:rPr>
              <w:fldChar w:fldCharType="begin"/>
            </w:r>
            <w:r>
              <w:rPr>
                <w:noProof/>
                <w:webHidden/>
              </w:rPr>
              <w:instrText xml:space="preserve"> PAGEREF _Toc210912394 \h </w:instrText>
            </w:r>
            <w:r>
              <w:rPr>
                <w:noProof/>
                <w:webHidden/>
              </w:rPr>
            </w:r>
            <w:r>
              <w:rPr>
                <w:noProof/>
                <w:webHidden/>
              </w:rPr>
              <w:fldChar w:fldCharType="separate"/>
            </w:r>
            <w:r>
              <w:rPr>
                <w:noProof/>
                <w:webHidden/>
              </w:rPr>
              <w:t>6</w:t>
            </w:r>
            <w:r>
              <w:rPr>
                <w:noProof/>
                <w:webHidden/>
              </w:rPr>
              <w:fldChar w:fldCharType="end"/>
            </w:r>
          </w:hyperlink>
        </w:p>
        <w:p w14:paraId="066E4D74" w14:textId="48B6157C"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395" w:history="1">
            <w:r w:rsidRPr="00FD4751">
              <w:rPr>
                <w:rStyle w:val="Hyperlink"/>
                <w:noProof/>
                <w:lang w:eastAsia="en-AU"/>
              </w:rPr>
              <w:t>Submission details</w:t>
            </w:r>
            <w:r>
              <w:rPr>
                <w:noProof/>
                <w:webHidden/>
              </w:rPr>
              <w:tab/>
            </w:r>
            <w:r>
              <w:rPr>
                <w:noProof/>
                <w:webHidden/>
              </w:rPr>
              <w:fldChar w:fldCharType="begin"/>
            </w:r>
            <w:r>
              <w:rPr>
                <w:noProof/>
                <w:webHidden/>
              </w:rPr>
              <w:instrText xml:space="preserve"> PAGEREF _Toc210912395 \h </w:instrText>
            </w:r>
            <w:r>
              <w:rPr>
                <w:noProof/>
                <w:webHidden/>
              </w:rPr>
            </w:r>
            <w:r>
              <w:rPr>
                <w:noProof/>
                <w:webHidden/>
              </w:rPr>
              <w:fldChar w:fldCharType="separate"/>
            </w:r>
            <w:r>
              <w:rPr>
                <w:noProof/>
                <w:webHidden/>
              </w:rPr>
              <w:t>6</w:t>
            </w:r>
            <w:r>
              <w:rPr>
                <w:noProof/>
                <w:webHidden/>
              </w:rPr>
              <w:fldChar w:fldCharType="end"/>
            </w:r>
          </w:hyperlink>
        </w:p>
        <w:p w14:paraId="509E016E" w14:textId="5205EAE0"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396" w:history="1">
            <w:r w:rsidRPr="00FD4751">
              <w:rPr>
                <w:rStyle w:val="Hyperlink"/>
                <w:noProof/>
              </w:rPr>
              <w:t>Product background</w:t>
            </w:r>
            <w:r>
              <w:rPr>
                <w:noProof/>
                <w:webHidden/>
              </w:rPr>
              <w:tab/>
            </w:r>
            <w:r>
              <w:rPr>
                <w:noProof/>
                <w:webHidden/>
              </w:rPr>
              <w:fldChar w:fldCharType="begin"/>
            </w:r>
            <w:r>
              <w:rPr>
                <w:noProof/>
                <w:webHidden/>
              </w:rPr>
              <w:instrText xml:space="preserve"> PAGEREF _Toc210912396 \h </w:instrText>
            </w:r>
            <w:r>
              <w:rPr>
                <w:noProof/>
                <w:webHidden/>
              </w:rPr>
            </w:r>
            <w:r>
              <w:rPr>
                <w:noProof/>
                <w:webHidden/>
              </w:rPr>
              <w:fldChar w:fldCharType="separate"/>
            </w:r>
            <w:r>
              <w:rPr>
                <w:noProof/>
                <w:webHidden/>
              </w:rPr>
              <w:t>7</w:t>
            </w:r>
            <w:r>
              <w:rPr>
                <w:noProof/>
                <w:webHidden/>
              </w:rPr>
              <w:fldChar w:fldCharType="end"/>
            </w:r>
          </w:hyperlink>
        </w:p>
        <w:p w14:paraId="58A9ABD5" w14:textId="3860327B" w:rsidR="00D740B3" w:rsidRDefault="00D740B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912397" w:history="1">
            <w:r w:rsidRPr="00FD4751">
              <w:rPr>
                <w:rStyle w:val="Hyperlink"/>
                <w:noProof/>
              </w:rPr>
              <w:t>Disease or condition</w:t>
            </w:r>
            <w:r>
              <w:rPr>
                <w:noProof/>
                <w:webHidden/>
              </w:rPr>
              <w:tab/>
            </w:r>
            <w:r>
              <w:rPr>
                <w:noProof/>
                <w:webHidden/>
              </w:rPr>
              <w:fldChar w:fldCharType="begin"/>
            </w:r>
            <w:r>
              <w:rPr>
                <w:noProof/>
                <w:webHidden/>
              </w:rPr>
              <w:instrText xml:space="preserve"> PAGEREF _Toc210912397 \h </w:instrText>
            </w:r>
            <w:r>
              <w:rPr>
                <w:noProof/>
                <w:webHidden/>
              </w:rPr>
            </w:r>
            <w:r>
              <w:rPr>
                <w:noProof/>
                <w:webHidden/>
              </w:rPr>
              <w:fldChar w:fldCharType="separate"/>
            </w:r>
            <w:r>
              <w:rPr>
                <w:noProof/>
                <w:webHidden/>
              </w:rPr>
              <w:t>7</w:t>
            </w:r>
            <w:r>
              <w:rPr>
                <w:noProof/>
                <w:webHidden/>
              </w:rPr>
              <w:fldChar w:fldCharType="end"/>
            </w:r>
          </w:hyperlink>
        </w:p>
        <w:p w14:paraId="0031E02D" w14:textId="317F8644" w:rsidR="00D740B3" w:rsidRDefault="00D740B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912398" w:history="1">
            <w:r w:rsidRPr="00FD4751">
              <w:rPr>
                <w:rStyle w:val="Hyperlink"/>
                <w:noProof/>
              </w:rPr>
              <w:t>Current treatment options</w:t>
            </w:r>
            <w:r>
              <w:rPr>
                <w:noProof/>
                <w:webHidden/>
              </w:rPr>
              <w:tab/>
            </w:r>
            <w:r>
              <w:rPr>
                <w:noProof/>
                <w:webHidden/>
              </w:rPr>
              <w:fldChar w:fldCharType="begin"/>
            </w:r>
            <w:r>
              <w:rPr>
                <w:noProof/>
                <w:webHidden/>
              </w:rPr>
              <w:instrText xml:space="preserve"> PAGEREF _Toc210912398 \h </w:instrText>
            </w:r>
            <w:r>
              <w:rPr>
                <w:noProof/>
                <w:webHidden/>
              </w:rPr>
            </w:r>
            <w:r>
              <w:rPr>
                <w:noProof/>
                <w:webHidden/>
              </w:rPr>
              <w:fldChar w:fldCharType="separate"/>
            </w:r>
            <w:r>
              <w:rPr>
                <w:noProof/>
                <w:webHidden/>
              </w:rPr>
              <w:t>8</w:t>
            </w:r>
            <w:r>
              <w:rPr>
                <w:noProof/>
                <w:webHidden/>
              </w:rPr>
              <w:fldChar w:fldCharType="end"/>
            </w:r>
          </w:hyperlink>
        </w:p>
        <w:p w14:paraId="1471D101" w14:textId="58CB9808" w:rsidR="00D740B3" w:rsidRDefault="00D740B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912399" w:history="1">
            <w:r w:rsidRPr="00FD4751">
              <w:rPr>
                <w:rStyle w:val="Hyperlink"/>
                <w:noProof/>
              </w:rPr>
              <w:t>Clinical rationale</w:t>
            </w:r>
            <w:r>
              <w:rPr>
                <w:noProof/>
                <w:webHidden/>
              </w:rPr>
              <w:tab/>
            </w:r>
            <w:r>
              <w:rPr>
                <w:noProof/>
                <w:webHidden/>
              </w:rPr>
              <w:fldChar w:fldCharType="begin"/>
            </w:r>
            <w:r>
              <w:rPr>
                <w:noProof/>
                <w:webHidden/>
              </w:rPr>
              <w:instrText xml:space="preserve"> PAGEREF _Toc210912399 \h </w:instrText>
            </w:r>
            <w:r>
              <w:rPr>
                <w:noProof/>
                <w:webHidden/>
              </w:rPr>
            </w:r>
            <w:r>
              <w:rPr>
                <w:noProof/>
                <w:webHidden/>
              </w:rPr>
              <w:fldChar w:fldCharType="separate"/>
            </w:r>
            <w:r>
              <w:rPr>
                <w:noProof/>
                <w:webHidden/>
              </w:rPr>
              <w:t>8</w:t>
            </w:r>
            <w:r>
              <w:rPr>
                <w:noProof/>
                <w:webHidden/>
              </w:rPr>
              <w:fldChar w:fldCharType="end"/>
            </w:r>
          </w:hyperlink>
        </w:p>
        <w:p w14:paraId="6D6BBEBF" w14:textId="76D5C5C2"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400" w:history="1">
            <w:r w:rsidRPr="00FD4751">
              <w:rPr>
                <w:rStyle w:val="Hyperlink"/>
                <w:noProof/>
              </w:rPr>
              <w:t>Regulatory status</w:t>
            </w:r>
            <w:r>
              <w:rPr>
                <w:noProof/>
                <w:webHidden/>
              </w:rPr>
              <w:tab/>
            </w:r>
            <w:r>
              <w:rPr>
                <w:noProof/>
                <w:webHidden/>
              </w:rPr>
              <w:fldChar w:fldCharType="begin"/>
            </w:r>
            <w:r>
              <w:rPr>
                <w:noProof/>
                <w:webHidden/>
              </w:rPr>
              <w:instrText xml:space="preserve"> PAGEREF _Toc210912400 \h </w:instrText>
            </w:r>
            <w:r>
              <w:rPr>
                <w:noProof/>
                <w:webHidden/>
              </w:rPr>
            </w:r>
            <w:r>
              <w:rPr>
                <w:noProof/>
                <w:webHidden/>
              </w:rPr>
              <w:fldChar w:fldCharType="separate"/>
            </w:r>
            <w:r>
              <w:rPr>
                <w:noProof/>
                <w:webHidden/>
              </w:rPr>
              <w:t>8</w:t>
            </w:r>
            <w:r>
              <w:rPr>
                <w:noProof/>
                <w:webHidden/>
              </w:rPr>
              <w:fldChar w:fldCharType="end"/>
            </w:r>
          </w:hyperlink>
        </w:p>
        <w:p w14:paraId="5981941C" w14:textId="53589C79" w:rsidR="00D740B3" w:rsidRDefault="00D740B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912401" w:history="1">
            <w:r w:rsidRPr="00FD4751">
              <w:rPr>
                <w:rStyle w:val="Hyperlink"/>
                <w:noProof/>
              </w:rPr>
              <w:t>Australian regulatory status</w:t>
            </w:r>
            <w:r>
              <w:rPr>
                <w:noProof/>
                <w:webHidden/>
              </w:rPr>
              <w:tab/>
            </w:r>
            <w:r>
              <w:rPr>
                <w:noProof/>
                <w:webHidden/>
              </w:rPr>
              <w:fldChar w:fldCharType="begin"/>
            </w:r>
            <w:r>
              <w:rPr>
                <w:noProof/>
                <w:webHidden/>
              </w:rPr>
              <w:instrText xml:space="preserve"> PAGEREF _Toc210912401 \h </w:instrText>
            </w:r>
            <w:r>
              <w:rPr>
                <w:noProof/>
                <w:webHidden/>
              </w:rPr>
            </w:r>
            <w:r>
              <w:rPr>
                <w:noProof/>
                <w:webHidden/>
              </w:rPr>
              <w:fldChar w:fldCharType="separate"/>
            </w:r>
            <w:r>
              <w:rPr>
                <w:noProof/>
                <w:webHidden/>
              </w:rPr>
              <w:t>8</w:t>
            </w:r>
            <w:r>
              <w:rPr>
                <w:noProof/>
                <w:webHidden/>
              </w:rPr>
              <w:fldChar w:fldCharType="end"/>
            </w:r>
          </w:hyperlink>
        </w:p>
        <w:p w14:paraId="5B1BE9C9" w14:textId="51DF9E15" w:rsidR="00D740B3" w:rsidRDefault="00D740B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912402" w:history="1">
            <w:r w:rsidRPr="00FD4751">
              <w:rPr>
                <w:rStyle w:val="Hyperlink"/>
                <w:noProof/>
              </w:rPr>
              <w:t>International regulatory status</w:t>
            </w:r>
            <w:r>
              <w:rPr>
                <w:noProof/>
                <w:webHidden/>
              </w:rPr>
              <w:tab/>
            </w:r>
            <w:r>
              <w:rPr>
                <w:noProof/>
                <w:webHidden/>
              </w:rPr>
              <w:fldChar w:fldCharType="begin"/>
            </w:r>
            <w:r>
              <w:rPr>
                <w:noProof/>
                <w:webHidden/>
              </w:rPr>
              <w:instrText xml:space="preserve"> PAGEREF _Toc210912402 \h </w:instrText>
            </w:r>
            <w:r>
              <w:rPr>
                <w:noProof/>
                <w:webHidden/>
              </w:rPr>
            </w:r>
            <w:r>
              <w:rPr>
                <w:noProof/>
                <w:webHidden/>
              </w:rPr>
              <w:fldChar w:fldCharType="separate"/>
            </w:r>
            <w:r>
              <w:rPr>
                <w:noProof/>
                <w:webHidden/>
              </w:rPr>
              <w:t>9</w:t>
            </w:r>
            <w:r>
              <w:rPr>
                <w:noProof/>
                <w:webHidden/>
              </w:rPr>
              <w:fldChar w:fldCharType="end"/>
            </w:r>
          </w:hyperlink>
        </w:p>
        <w:p w14:paraId="58E4A846" w14:textId="10B40D45" w:rsidR="00D740B3" w:rsidRDefault="00D740B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912403" w:history="1">
            <w:r w:rsidRPr="00FD4751">
              <w:rPr>
                <w:rStyle w:val="Hyperlink"/>
                <w:noProof/>
              </w:rPr>
              <w:t>Registration timeline</w:t>
            </w:r>
            <w:r>
              <w:rPr>
                <w:noProof/>
                <w:webHidden/>
              </w:rPr>
              <w:tab/>
            </w:r>
            <w:r>
              <w:rPr>
                <w:noProof/>
                <w:webHidden/>
              </w:rPr>
              <w:fldChar w:fldCharType="begin"/>
            </w:r>
            <w:r>
              <w:rPr>
                <w:noProof/>
                <w:webHidden/>
              </w:rPr>
              <w:instrText xml:space="preserve"> PAGEREF _Toc210912403 \h </w:instrText>
            </w:r>
            <w:r>
              <w:rPr>
                <w:noProof/>
                <w:webHidden/>
              </w:rPr>
            </w:r>
            <w:r>
              <w:rPr>
                <w:noProof/>
                <w:webHidden/>
              </w:rPr>
              <w:fldChar w:fldCharType="separate"/>
            </w:r>
            <w:r>
              <w:rPr>
                <w:noProof/>
                <w:webHidden/>
              </w:rPr>
              <w:t>9</w:t>
            </w:r>
            <w:r>
              <w:rPr>
                <w:noProof/>
                <w:webHidden/>
              </w:rPr>
              <w:fldChar w:fldCharType="end"/>
            </w:r>
          </w:hyperlink>
        </w:p>
        <w:p w14:paraId="5718609E" w14:textId="1E889F6D" w:rsidR="00D740B3" w:rsidRDefault="00D740B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912404" w:history="1">
            <w:r w:rsidRPr="00FD4751">
              <w:rPr>
                <w:rStyle w:val="Hyperlink"/>
                <w:noProof/>
              </w:rPr>
              <w:t>Assessment overview</w:t>
            </w:r>
            <w:r>
              <w:rPr>
                <w:noProof/>
                <w:webHidden/>
              </w:rPr>
              <w:tab/>
            </w:r>
            <w:r>
              <w:rPr>
                <w:noProof/>
                <w:webHidden/>
              </w:rPr>
              <w:fldChar w:fldCharType="begin"/>
            </w:r>
            <w:r>
              <w:rPr>
                <w:noProof/>
                <w:webHidden/>
              </w:rPr>
              <w:instrText xml:space="preserve"> PAGEREF _Toc210912404 \h </w:instrText>
            </w:r>
            <w:r>
              <w:rPr>
                <w:noProof/>
                <w:webHidden/>
              </w:rPr>
            </w:r>
            <w:r>
              <w:rPr>
                <w:noProof/>
                <w:webHidden/>
              </w:rPr>
              <w:fldChar w:fldCharType="separate"/>
            </w:r>
            <w:r>
              <w:rPr>
                <w:noProof/>
                <w:webHidden/>
              </w:rPr>
              <w:t>9</w:t>
            </w:r>
            <w:r>
              <w:rPr>
                <w:noProof/>
                <w:webHidden/>
              </w:rPr>
              <w:fldChar w:fldCharType="end"/>
            </w:r>
          </w:hyperlink>
        </w:p>
        <w:p w14:paraId="5D3F6969" w14:textId="3D37B3F4"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405" w:history="1">
            <w:r w:rsidRPr="00FD4751">
              <w:rPr>
                <w:rStyle w:val="Hyperlink"/>
                <w:noProof/>
              </w:rPr>
              <w:t>Quality evaluation summary</w:t>
            </w:r>
            <w:r>
              <w:rPr>
                <w:noProof/>
                <w:webHidden/>
              </w:rPr>
              <w:tab/>
            </w:r>
            <w:r>
              <w:rPr>
                <w:noProof/>
                <w:webHidden/>
              </w:rPr>
              <w:fldChar w:fldCharType="begin"/>
            </w:r>
            <w:r>
              <w:rPr>
                <w:noProof/>
                <w:webHidden/>
              </w:rPr>
              <w:instrText xml:space="preserve"> PAGEREF _Toc210912405 \h </w:instrText>
            </w:r>
            <w:r>
              <w:rPr>
                <w:noProof/>
                <w:webHidden/>
              </w:rPr>
            </w:r>
            <w:r>
              <w:rPr>
                <w:noProof/>
                <w:webHidden/>
              </w:rPr>
              <w:fldChar w:fldCharType="separate"/>
            </w:r>
            <w:r>
              <w:rPr>
                <w:noProof/>
                <w:webHidden/>
              </w:rPr>
              <w:t>10</w:t>
            </w:r>
            <w:r>
              <w:rPr>
                <w:noProof/>
                <w:webHidden/>
              </w:rPr>
              <w:fldChar w:fldCharType="end"/>
            </w:r>
          </w:hyperlink>
        </w:p>
        <w:p w14:paraId="64BBBD14" w14:textId="0BF3ECEA"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406" w:history="1">
            <w:r w:rsidRPr="00FD4751">
              <w:rPr>
                <w:rStyle w:val="Hyperlink"/>
                <w:noProof/>
              </w:rPr>
              <w:t>Nonclinical evaluation summary</w:t>
            </w:r>
            <w:r>
              <w:rPr>
                <w:noProof/>
                <w:webHidden/>
              </w:rPr>
              <w:tab/>
            </w:r>
            <w:r>
              <w:rPr>
                <w:noProof/>
                <w:webHidden/>
              </w:rPr>
              <w:fldChar w:fldCharType="begin"/>
            </w:r>
            <w:r>
              <w:rPr>
                <w:noProof/>
                <w:webHidden/>
              </w:rPr>
              <w:instrText xml:space="preserve"> PAGEREF _Toc210912406 \h </w:instrText>
            </w:r>
            <w:r>
              <w:rPr>
                <w:noProof/>
                <w:webHidden/>
              </w:rPr>
            </w:r>
            <w:r>
              <w:rPr>
                <w:noProof/>
                <w:webHidden/>
              </w:rPr>
              <w:fldChar w:fldCharType="separate"/>
            </w:r>
            <w:r>
              <w:rPr>
                <w:noProof/>
                <w:webHidden/>
              </w:rPr>
              <w:t>10</w:t>
            </w:r>
            <w:r>
              <w:rPr>
                <w:noProof/>
                <w:webHidden/>
              </w:rPr>
              <w:fldChar w:fldCharType="end"/>
            </w:r>
          </w:hyperlink>
        </w:p>
        <w:p w14:paraId="1151A39A" w14:textId="1F771988"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407" w:history="1">
            <w:r w:rsidRPr="00FD4751">
              <w:rPr>
                <w:rStyle w:val="Hyperlink"/>
                <w:noProof/>
              </w:rPr>
              <w:t>Clinical evaluation summary</w:t>
            </w:r>
            <w:r>
              <w:rPr>
                <w:noProof/>
                <w:webHidden/>
              </w:rPr>
              <w:tab/>
            </w:r>
            <w:r>
              <w:rPr>
                <w:noProof/>
                <w:webHidden/>
              </w:rPr>
              <w:fldChar w:fldCharType="begin"/>
            </w:r>
            <w:r>
              <w:rPr>
                <w:noProof/>
                <w:webHidden/>
              </w:rPr>
              <w:instrText xml:space="preserve"> PAGEREF _Toc210912407 \h </w:instrText>
            </w:r>
            <w:r>
              <w:rPr>
                <w:noProof/>
                <w:webHidden/>
              </w:rPr>
            </w:r>
            <w:r>
              <w:rPr>
                <w:noProof/>
                <w:webHidden/>
              </w:rPr>
              <w:fldChar w:fldCharType="separate"/>
            </w:r>
            <w:r>
              <w:rPr>
                <w:noProof/>
                <w:webHidden/>
              </w:rPr>
              <w:t>11</w:t>
            </w:r>
            <w:r>
              <w:rPr>
                <w:noProof/>
                <w:webHidden/>
              </w:rPr>
              <w:fldChar w:fldCharType="end"/>
            </w:r>
          </w:hyperlink>
        </w:p>
        <w:p w14:paraId="03FDFDAD" w14:textId="285092B5" w:rsidR="00D740B3" w:rsidRDefault="00D740B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912408" w:history="1">
            <w:r w:rsidRPr="00FD4751">
              <w:rPr>
                <w:rStyle w:val="Hyperlink"/>
                <w:noProof/>
              </w:rPr>
              <w:t>Pharmacology</w:t>
            </w:r>
            <w:r>
              <w:rPr>
                <w:noProof/>
                <w:webHidden/>
              </w:rPr>
              <w:tab/>
            </w:r>
            <w:r>
              <w:rPr>
                <w:noProof/>
                <w:webHidden/>
              </w:rPr>
              <w:fldChar w:fldCharType="begin"/>
            </w:r>
            <w:r>
              <w:rPr>
                <w:noProof/>
                <w:webHidden/>
              </w:rPr>
              <w:instrText xml:space="preserve"> PAGEREF _Toc210912408 \h </w:instrText>
            </w:r>
            <w:r>
              <w:rPr>
                <w:noProof/>
                <w:webHidden/>
              </w:rPr>
            </w:r>
            <w:r>
              <w:rPr>
                <w:noProof/>
                <w:webHidden/>
              </w:rPr>
              <w:fldChar w:fldCharType="separate"/>
            </w:r>
            <w:r>
              <w:rPr>
                <w:noProof/>
                <w:webHidden/>
              </w:rPr>
              <w:t>11</w:t>
            </w:r>
            <w:r>
              <w:rPr>
                <w:noProof/>
                <w:webHidden/>
              </w:rPr>
              <w:fldChar w:fldCharType="end"/>
            </w:r>
          </w:hyperlink>
        </w:p>
        <w:p w14:paraId="41F98833" w14:textId="7478A041" w:rsidR="00D740B3" w:rsidRDefault="00D740B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912409" w:history="1">
            <w:r w:rsidRPr="00FD4751">
              <w:rPr>
                <w:rStyle w:val="Hyperlink"/>
                <w:noProof/>
              </w:rPr>
              <w:t>Efficacy</w:t>
            </w:r>
            <w:r>
              <w:rPr>
                <w:noProof/>
                <w:webHidden/>
              </w:rPr>
              <w:tab/>
            </w:r>
            <w:r>
              <w:rPr>
                <w:noProof/>
                <w:webHidden/>
              </w:rPr>
              <w:fldChar w:fldCharType="begin"/>
            </w:r>
            <w:r>
              <w:rPr>
                <w:noProof/>
                <w:webHidden/>
              </w:rPr>
              <w:instrText xml:space="preserve"> PAGEREF _Toc210912409 \h </w:instrText>
            </w:r>
            <w:r>
              <w:rPr>
                <w:noProof/>
                <w:webHidden/>
              </w:rPr>
            </w:r>
            <w:r>
              <w:rPr>
                <w:noProof/>
                <w:webHidden/>
              </w:rPr>
              <w:fldChar w:fldCharType="separate"/>
            </w:r>
            <w:r>
              <w:rPr>
                <w:noProof/>
                <w:webHidden/>
              </w:rPr>
              <w:t>13</w:t>
            </w:r>
            <w:r>
              <w:rPr>
                <w:noProof/>
                <w:webHidden/>
              </w:rPr>
              <w:fldChar w:fldCharType="end"/>
            </w:r>
          </w:hyperlink>
        </w:p>
        <w:p w14:paraId="1CEAE8C4" w14:textId="3443E1CF" w:rsidR="00D740B3" w:rsidRDefault="00D740B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912410" w:history="1">
            <w:r w:rsidRPr="00FD4751">
              <w:rPr>
                <w:rStyle w:val="Hyperlink"/>
                <w:noProof/>
              </w:rPr>
              <w:t>Safety</w:t>
            </w:r>
            <w:r>
              <w:rPr>
                <w:noProof/>
                <w:webHidden/>
              </w:rPr>
              <w:tab/>
            </w:r>
            <w:r>
              <w:rPr>
                <w:noProof/>
                <w:webHidden/>
              </w:rPr>
              <w:fldChar w:fldCharType="begin"/>
            </w:r>
            <w:r>
              <w:rPr>
                <w:noProof/>
                <w:webHidden/>
              </w:rPr>
              <w:instrText xml:space="preserve"> PAGEREF _Toc210912410 \h </w:instrText>
            </w:r>
            <w:r>
              <w:rPr>
                <w:noProof/>
                <w:webHidden/>
              </w:rPr>
            </w:r>
            <w:r>
              <w:rPr>
                <w:noProof/>
                <w:webHidden/>
              </w:rPr>
              <w:fldChar w:fldCharType="separate"/>
            </w:r>
            <w:r>
              <w:rPr>
                <w:noProof/>
                <w:webHidden/>
              </w:rPr>
              <w:t>22</w:t>
            </w:r>
            <w:r>
              <w:rPr>
                <w:noProof/>
                <w:webHidden/>
              </w:rPr>
              <w:fldChar w:fldCharType="end"/>
            </w:r>
          </w:hyperlink>
        </w:p>
        <w:p w14:paraId="7AF071AE" w14:textId="0358939C"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411" w:history="1">
            <w:r w:rsidRPr="00FD4751">
              <w:rPr>
                <w:rStyle w:val="Hyperlink"/>
                <w:noProof/>
                <w:lang w:eastAsia="en-AU"/>
              </w:rPr>
              <w:t>Risk management plan</w:t>
            </w:r>
            <w:r>
              <w:rPr>
                <w:noProof/>
                <w:webHidden/>
              </w:rPr>
              <w:tab/>
            </w:r>
            <w:r>
              <w:rPr>
                <w:noProof/>
                <w:webHidden/>
              </w:rPr>
              <w:fldChar w:fldCharType="begin"/>
            </w:r>
            <w:r>
              <w:rPr>
                <w:noProof/>
                <w:webHidden/>
              </w:rPr>
              <w:instrText xml:space="preserve"> PAGEREF _Toc210912411 \h </w:instrText>
            </w:r>
            <w:r>
              <w:rPr>
                <w:noProof/>
                <w:webHidden/>
              </w:rPr>
            </w:r>
            <w:r>
              <w:rPr>
                <w:noProof/>
                <w:webHidden/>
              </w:rPr>
              <w:fldChar w:fldCharType="separate"/>
            </w:r>
            <w:r>
              <w:rPr>
                <w:noProof/>
                <w:webHidden/>
              </w:rPr>
              <w:t>24</w:t>
            </w:r>
            <w:r>
              <w:rPr>
                <w:noProof/>
                <w:webHidden/>
              </w:rPr>
              <w:fldChar w:fldCharType="end"/>
            </w:r>
          </w:hyperlink>
        </w:p>
        <w:p w14:paraId="75460F2D" w14:textId="03D39702"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412" w:history="1">
            <w:r w:rsidRPr="00FD4751">
              <w:rPr>
                <w:rStyle w:val="Hyperlink"/>
                <w:noProof/>
              </w:rPr>
              <w:t>Risk-benefit analysis</w:t>
            </w:r>
            <w:r>
              <w:rPr>
                <w:noProof/>
                <w:webHidden/>
              </w:rPr>
              <w:tab/>
            </w:r>
            <w:r>
              <w:rPr>
                <w:noProof/>
                <w:webHidden/>
              </w:rPr>
              <w:fldChar w:fldCharType="begin"/>
            </w:r>
            <w:r>
              <w:rPr>
                <w:noProof/>
                <w:webHidden/>
              </w:rPr>
              <w:instrText xml:space="preserve"> PAGEREF _Toc210912412 \h </w:instrText>
            </w:r>
            <w:r>
              <w:rPr>
                <w:noProof/>
                <w:webHidden/>
              </w:rPr>
            </w:r>
            <w:r>
              <w:rPr>
                <w:noProof/>
                <w:webHidden/>
              </w:rPr>
              <w:fldChar w:fldCharType="separate"/>
            </w:r>
            <w:r>
              <w:rPr>
                <w:noProof/>
                <w:webHidden/>
              </w:rPr>
              <w:t>24</w:t>
            </w:r>
            <w:r>
              <w:rPr>
                <w:noProof/>
                <w:webHidden/>
              </w:rPr>
              <w:fldChar w:fldCharType="end"/>
            </w:r>
          </w:hyperlink>
        </w:p>
        <w:p w14:paraId="1BC13201" w14:textId="3BFA3C1E" w:rsidR="00D740B3" w:rsidRDefault="00D740B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0912413" w:history="1">
            <w:r w:rsidRPr="00FD4751">
              <w:rPr>
                <w:rStyle w:val="Hyperlink"/>
                <w:noProof/>
              </w:rPr>
              <w:t>Delegate’s considerations</w:t>
            </w:r>
            <w:r>
              <w:rPr>
                <w:noProof/>
                <w:webHidden/>
              </w:rPr>
              <w:tab/>
            </w:r>
            <w:r>
              <w:rPr>
                <w:noProof/>
                <w:webHidden/>
              </w:rPr>
              <w:fldChar w:fldCharType="begin"/>
            </w:r>
            <w:r>
              <w:rPr>
                <w:noProof/>
                <w:webHidden/>
              </w:rPr>
              <w:instrText xml:space="preserve"> PAGEREF _Toc210912413 \h </w:instrText>
            </w:r>
            <w:r>
              <w:rPr>
                <w:noProof/>
                <w:webHidden/>
              </w:rPr>
            </w:r>
            <w:r>
              <w:rPr>
                <w:noProof/>
                <w:webHidden/>
              </w:rPr>
              <w:fldChar w:fldCharType="separate"/>
            </w:r>
            <w:r>
              <w:rPr>
                <w:noProof/>
                <w:webHidden/>
              </w:rPr>
              <w:t>24</w:t>
            </w:r>
            <w:r>
              <w:rPr>
                <w:noProof/>
                <w:webHidden/>
              </w:rPr>
              <w:fldChar w:fldCharType="end"/>
            </w:r>
          </w:hyperlink>
        </w:p>
        <w:p w14:paraId="5DA7FF31" w14:textId="1BCA09AA" w:rsidR="00D740B3" w:rsidRDefault="00D740B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912414" w:history="1">
            <w:r w:rsidRPr="00FD4751">
              <w:rPr>
                <w:rStyle w:val="Hyperlink"/>
                <w:noProof/>
              </w:rPr>
              <w:t>Assessment outcome</w:t>
            </w:r>
            <w:r>
              <w:rPr>
                <w:noProof/>
                <w:webHidden/>
              </w:rPr>
              <w:tab/>
            </w:r>
            <w:r>
              <w:rPr>
                <w:noProof/>
                <w:webHidden/>
              </w:rPr>
              <w:fldChar w:fldCharType="begin"/>
            </w:r>
            <w:r>
              <w:rPr>
                <w:noProof/>
                <w:webHidden/>
              </w:rPr>
              <w:instrText xml:space="preserve"> PAGEREF _Toc210912414 \h </w:instrText>
            </w:r>
            <w:r>
              <w:rPr>
                <w:noProof/>
                <w:webHidden/>
              </w:rPr>
            </w:r>
            <w:r>
              <w:rPr>
                <w:noProof/>
                <w:webHidden/>
              </w:rPr>
              <w:fldChar w:fldCharType="separate"/>
            </w:r>
            <w:r>
              <w:rPr>
                <w:noProof/>
                <w:webHidden/>
              </w:rPr>
              <w:t>25</w:t>
            </w:r>
            <w:r>
              <w:rPr>
                <w:noProof/>
                <w:webHidden/>
              </w:rPr>
              <w:fldChar w:fldCharType="end"/>
            </w:r>
          </w:hyperlink>
        </w:p>
        <w:p w14:paraId="10F5E8CC" w14:textId="561BA01F"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415" w:history="1">
            <w:r w:rsidRPr="00FD4751">
              <w:rPr>
                <w:rStyle w:val="Hyperlink"/>
                <w:noProof/>
              </w:rPr>
              <w:t>Specific conditions of registration</w:t>
            </w:r>
            <w:r>
              <w:rPr>
                <w:noProof/>
                <w:webHidden/>
              </w:rPr>
              <w:tab/>
            </w:r>
            <w:r>
              <w:rPr>
                <w:noProof/>
                <w:webHidden/>
              </w:rPr>
              <w:fldChar w:fldCharType="begin"/>
            </w:r>
            <w:r>
              <w:rPr>
                <w:noProof/>
                <w:webHidden/>
              </w:rPr>
              <w:instrText xml:space="preserve"> PAGEREF _Toc210912415 \h </w:instrText>
            </w:r>
            <w:r>
              <w:rPr>
                <w:noProof/>
                <w:webHidden/>
              </w:rPr>
            </w:r>
            <w:r>
              <w:rPr>
                <w:noProof/>
                <w:webHidden/>
              </w:rPr>
              <w:fldChar w:fldCharType="separate"/>
            </w:r>
            <w:r>
              <w:rPr>
                <w:noProof/>
                <w:webHidden/>
              </w:rPr>
              <w:t>26</w:t>
            </w:r>
            <w:r>
              <w:rPr>
                <w:noProof/>
                <w:webHidden/>
              </w:rPr>
              <w:fldChar w:fldCharType="end"/>
            </w:r>
          </w:hyperlink>
        </w:p>
        <w:p w14:paraId="44F0A676" w14:textId="69B4BE83" w:rsidR="00D740B3" w:rsidRDefault="00D740B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0912416" w:history="1">
            <w:r w:rsidRPr="00FD4751">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_Toc210912416 \h </w:instrText>
            </w:r>
            <w:r>
              <w:rPr>
                <w:noProof/>
                <w:webHidden/>
              </w:rPr>
            </w:r>
            <w:r>
              <w:rPr>
                <w:noProof/>
                <w:webHidden/>
              </w:rPr>
              <w:fldChar w:fldCharType="separate"/>
            </w:r>
            <w:r>
              <w:rPr>
                <w:noProof/>
                <w:webHidden/>
              </w:rPr>
              <w:t>26</w:t>
            </w:r>
            <w:r>
              <w:rPr>
                <w:noProof/>
                <w:webHidden/>
              </w:rPr>
              <w:fldChar w:fldCharType="end"/>
            </w:r>
          </w:hyperlink>
        </w:p>
        <w:p w14:paraId="77659F2D" w14:textId="5F2EDA3A"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3" w:name="_Toc98931917"/>
      <w:bookmarkStart w:id="4" w:name="_Toc103679287"/>
      <w:bookmarkStart w:id="5" w:name="_Toc210912393"/>
      <w:bookmarkStart w:id="6" w:name="_Toc323739589"/>
      <w:bookmarkStart w:id="7" w:name="_Toc356305216"/>
      <w:r>
        <w:lastRenderedPageBreak/>
        <w:t>List of abbreviations</w:t>
      </w:r>
      <w:bookmarkEnd w:id="3"/>
      <w:bookmarkEnd w:id="4"/>
      <w:bookmarkEnd w:id="5"/>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A236A4" w:rsidRPr="00D01DDB" w14:paraId="4B5FA1F2" w14:textId="77777777" w:rsidTr="00BD5DBD">
        <w:trPr>
          <w:trHeight w:val="447"/>
        </w:trPr>
        <w:tc>
          <w:tcPr>
            <w:cnfStyle w:val="001000000000" w:firstRow="0" w:lastRow="0" w:firstColumn="1" w:lastColumn="0" w:oddVBand="0" w:evenVBand="0" w:oddHBand="0" w:evenHBand="0" w:firstRowFirstColumn="0" w:firstRowLastColumn="0" w:lastRowFirstColumn="0" w:lastRowLastColumn="0"/>
            <w:tcW w:w="1200" w:type="pct"/>
          </w:tcPr>
          <w:p w14:paraId="217C904F" w14:textId="2412FC4F" w:rsidR="00A236A4" w:rsidRPr="00D01DDB" w:rsidRDefault="00665FAD" w:rsidP="00324B33">
            <w:pPr>
              <w:rPr>
                <w:szCs w:val="22"/>
              </w:rPr>
            </w:pPr>
            <w:r>
              <w:rPr>
                <w:szCs w:val="22"/>
              </w:rPr>
              <w:t>5FU</w:t>
            </w:r>
          </w:p>
        </w:tc>
        <w:tc>
          <w:tcPr>
            <w:tcW w:w="3800" w:type="pct"/>
          </w:tcPr>
          <w:p w14:paraId="42B8ECC2" w14:textId="65789EB8" w:rsidR="00A236A4" w:rsidRPr="00D01DDB" w:rsidRDefault="000304E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F</w:t>
            </w:r>
            <w:r w:rsidR="00665FAD" w:rsidRPr="00665FAD">
              <w:rPr>
                <w:szCs w:val="22"/>
              </w:rPr>
              <w:t>luorouracil</w:t>
            </w:r>
          </w:p>
        </w:tc>
      </w:tr>
      <w:tr w:rsidR="002D441B" w:rsidRPr="00D01DDB" w14:paraId="0E75583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636B40" w14:textId="4914C312" w:rsidR="002D441B" w:rsidRPr="00D01DDB" w:rsidRDefault="002D441B" w:rsidP="00324B33">
            <w:pPr>
              <w:rPr>
                <w:szCs w:val="22"/>
              </w:rPr>
            </w:pPr>
            <w:r>
              <w:rPr>
                <w:szCs w:val="22"/>
              </w:rPr>
              <w:t>AE(s)</w:t>
            </w:r>
          </w:p>
        </w:tc>
        <w:tc>
          <w:tcPr>
            <w:tcW w:w="3800" w:type="pct"/>
          </w:tcPr>
          <w:p w14:paraId="6D166032" w14:textId="0FCCD0AD" w:rsidR="002D441B" w:rsidRPr="00D01DDB" w:rsidRDefault="002D441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Adverse event(s)</w:t>
            </w:r>
          </w:p>
        </w:tc>
      </w:tr>
      <w:tr w:rsidR="00324B33"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01DDB" w:rsidRDefault="00324B33" w:rsidP="00324B33">
            <w:pPr>
              <w:rPr>
                <w:szCs w:val="22"/>
              </w:rPr>
            </w:pPr>
            <w:r w:rsidRPr="00D01DDB">
              <w:rPr>
                <w:szCs w:val="22"/>
              </w:rPr>
              <w:t>ARTG</w:t>
            </w:r>
          </w:p>
        </w:tc>
        <w:tc>
          <w:tcPr>
            <w:tcW w:w="3800" w:type="pct"/>
          </w:tcPr>
          <w:p w14:paraId="228A203A" w14:textId="47EBCFA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324B33" w:rsidRPr="00D01DDB" w14:paraId="05366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16A80" w14:textId="1329E9D5" w:rsidR="00324B33" w:rsidRPr="00D01DDB" w:rsidRDefault="00324B33" w:rsidP="00324B33">
            <w:pPr>
              <w:rPr>
                <w:szCs w:val="22"/>
              </w:rPr>
            </w:pPr>
            <w:r w:rsidRPr="00D01DDB">
              <w:rPr>
                <w:szCs w:val="22"/>
              </w:rPr>
              <w:t>ASA</w:t>
            </w:r>
          </w:p>
        </w:tc>
        <w:tc>
          <w:tcPr>
            <w:tcW w:w="3800" w:type="pct"/>
          </w:tcPr>
          <w:p w14:paraId="4E6F5284" w14:textId="21C063B1"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w:t>
            </w:r>
            <w:r w:rsidR="00873D7A">
              <w:rPr>
                <w:szCs w:val="22"/>
              </w:rPr>
              <w:noBreakHyphen/>
            </w:r>
            <w:r w:rsidRPr="00D01DDB">
              <w:rPr>
                <w:szCs w:val="22"/>
              </w:rPr>
              <w:t>specific annex</w:t>
            </w:r>
          </w:p>
        </w:tc>
      </w:tr>
      <w:tr w:rsidR="00BE445F" w:rsidRPr="00D01DDB" w14:paraId="4C15A152"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78E91322" w14:textId="39787A06" w:rsidR="00BE445F" w:rsidRPr="00D01DDB" w:rsidRDefault="00BE445F" w:rsidP="00BE445F">
            <w:pPr>
              <w:rPr>
                <w:szCs w:val="22"/>
              </w:rPr>
            </w:pPr>
            <w:r w:rsidRPr="00A75C47">
              <w:rPr>
                <w:szCs w:val="22"/>
              </w:rPr>
              <w:t>AUC</w:t>
            </w:r>
          </w:p>
        </w:tc>
        <w:tc>
          <w:tcPr>
            <w:tcW w:w="3800" w:type="pct"/>
            <w:shd w:val="clear" w:color="auto" w:fill="auto"/>
          </w:tcPr>
          <w:p w14:paraId="208FEA20" w14:textId="5DEE0A60" w:rsidR="00BE445F" w:rsidRPr="00D01DDB" w:rsidRDefault="00BE445F" w:rsidP="00BE445F">
            <w:pPr>
              <w:cnfStyle w:val="000000000000" w:firstRow="0" w:lastRow="0" w:firstColumn="0" w:lastColumn="0" w:oddVBand="0" w:evenVBand="0" w:oddHBand="0" w:evenHBand="0" w:firstRowFirstColumn="0" w:firstRowLastColumn="0" w:lastRowFirstColumn="0" w:lastRowLastColumn="0"/>
              <w:rPr>
                <w:szCs w:val="22"/>
              </w:rPr>
            </w:pPr>
            <w:r w:rsidRPr="00A75C47">
              <w:rPr>
                <w:szCs w:val="22"/>
              </w:rPr>
              <w:t>Area under the concentration/time curve</w:t>
            </w:r>
          </w:p>
        </w:tc>
      </w:tr>
      <w:tr w:rsidR="005717FB" w:rsidRPr="00D01DDB" w14:paraId="2C26FF7A"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3A423E29" w14:textId="51FC808C" w:rsidR="005717FB" w:rsidRPr="00A75C47" w:rsidRDefault="00F7171D" w:rsidP="00BE445F">
            <w:pPr>
              <w:rPr>
                <w:szCs w:val="22"/>
              </w:rPr>
            </w:pPr>
            <w:r w:rsidRPr="00F7171D">
              <w:rPr>
                <w:szCs w:val="22"/>
              </w:rPr>
              <w:t>AUC</w:t>
            </w:r>
            <w:r w:rsidRPr="00F7171D">
              <w:rPr>
                <w:szCs w:val="22"/>
                <w:vertAlign w:val="subscript"/>
              </w:rPr>
              <w:t>0-inf</w:t>
            </w:r>
          </w:p>
        </w:tc>
        <w:tc>
          <w:tcPr>
            <w:tcW w:w="3800" w:type="pct"/>
            <w:shd w:val="clear" w:color="auto" w:fill="auto"/>
          </w:tcPr>
          <w:p w14:paraId="1A578F73" w14:textId="0B11D881" w:rsidR="005717FB" w:rsidRPr="00A75C47" w:rsidRDefault="00374B04" w:rsidP="00BE445F">
            <w:pPr>
              <w:cnfStyle w:val="000000000000" w:firstRow="0" w:lastRow="0" w:firstColumn="0" w:lastColumn="0" w:oddVBand="0" w:evenVBand="0" w:oddHBand="0" w:evenHBand="0" w:firstRowFirstColumn="0" w:firstRowLastColumn="0" w:lastRowFirstColumn="0" w:lastRowLastColumn="0"/>
              <w:rPr>
                <w:szCs w:val="22"/>
              </w:rPr>
            </w:pPr>
            <w:r w:rsidRPr="00374B04">
              <w:rPr>
                <w:szCs w:val="22"/>
              </w:rPr>
              <w:t>Area under the concentration/time curve extrapolated to time infinity</w:t>
            </w:r>
          </w:p>
        </w:tc>
      </w:tr>
      <w:tr w:rsidR="00AC4D1D" w:rsidRPr="00D01DDB" w14:paraId="0822D512"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33CE0D1F" w14:textId="13D9FB3D" w:rsidR="00AC4D1D" w:rsidRPr="00F7171D" w:rsidRDefault="00AC4D1D" w:rsidP="00BE445F">
            <w:pPr>
              <w:rPr>
                <w:szCs w:val="22"/>
              </w:rPr>
            </w:pPr>
            <w:r>
              <w:rPr>
                <w:szCs w:val="22"/>
              </w:rPr>
              <w:t>CCF</w:t>
            </w:r>
          </w:p>
        </w:tc>
        <w:tc>
          <w:tcPr>
            <w:tcW w:w="3800" w:type="pct"/>
            <w:shd w:val="clear" w:color="auto" w:fill="auto"/>
          </w:tcPr>
          <w:p w14:paraId="02DA34A8" w14:textId="198AF96C" w:rsidR="00AC4D1D" w:rsidRPr="00374B04" w:rsidRDefault="00AC4D1D" w:rsidP="00BE445F">
            <w:pPr>
              <w:cnfStyle w:val="000000000000" w:firstRow="0" w:lastRow="0" w:firstColumn="0" w:lastColumn="0" w:oddVBand="0" w:evenVBand="0" w:oddHBand="0" w:evenHBand="0" w:firstRowFirstColumn="0" w:firstRowLastColumn="0" w:lastRowFirstColumn="0" w:lastRowLastColumn="0"/>
              <w:rPr>
                <w:szCs w:val="22"/>
              </w:rPr>
            </w:pPr>
            <w:r>
              <w:rPr>
                <w:szCs w:val="22"/>
              </w:rPr>
              <w:t>Congestive cardiac failure</w:t>
            </w:r>
          </w:p>
        </w:tc>
      </w:tr>
      <w:tr w:rsidR="0086267F" w:rsidRPr="00D01DDB" w14:paraId="62DC360B"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39D28559" w14:textId="78645AB5" w:rsidR="0086267F" w:rsidRPr="00F7171D" w:rsidRDefault="0086267F" w:rsidP="00BE445F">
            <w:pPr>
              <w:rPr>
                <w:szCs w:val="22"/>
              </w:rPr>
            </w:pPr>
            <w:r>
              <w:rPr>
                <w:szCs w:val="22"/>
              </w:rPr>
              <w:t>CFT</w:t>
            </w:r>
          </w:p>
        </w:tc>
        <w:tc>
          <w:tcPr>
            <w:tcW w:w="3800" w:type="pct"/>
            <w:shd w:val="clear" w:color="auto" w:fill="auto"/>
          </w:tcPr>
          <w:p w14:paraId="5C527841" w14:textId="7390219D" w:rsidR="0086267F" w:rsidRPr="00A75C47" w:rsidRDefault="00775AED" w:rsidP="00BE445F">
            <w:pPr>
              <w:cnfStyle w:val="000000000000" w:firstRow="0" w:lastRow="0" w:firstColumn="0" w:lastColumn="0" w:oddVBand="0" w:evenVBand="0" w:oddHBand="0" w:evenHBand="0" w:firstRowFirstColumn="0" w:firstRowLastColumn="0" w:lastRowFirstColumn="0" w:lastRowLastColumn="0"/>
              <w:rPr>
                <w:szCs w:val="22"/>
              </w:rPr>
            </w:pPr>
            <w:r w:rsidRPr="00775AED">
              <w:rPr>
                <w:bCs/>
                <w:szCs w:val="22"/>
              </w:rPr>
              <w:t>Cyclophosphamide, 5-fluorouracil, and tamoxifen</w:t>
            </w:r>
          </w:p>
        </w:tc>
      </w:tr>
      <w:tr w:rsidR="006B62E4" w:rsidRPr="00D01DDB" w14:paraId="328BCDB2"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7DCF7DE4" w14:textId="761B7FF6" w:rsidR="006B62E4" w:rsidRDefault="006B62E4" w:rsidP="00BE445F">
            <w:pPr>
              <w:rPr>
                <w:szCs w:val="22"/>
              </w:rPr>
            </w:pPr>
            <w:r>
              <w:rPr>
                <w:szCs w:val="22"/>
              </w:rPr>
              <w:t>CHF</w:t>
            </w:r>
          </w:p>
        </w:tc>
        <w:tc>
          <w:tcPr>
            <w:tcW w:w="3800" w:type="pct"/>
            <w:shd w:val="clear" w:color="auto" w:fill="auto"/>
          </w:tcPr>
          <w:p w14:paraId="1C1D7E87" w14:textId="138CC8B3" w:rsidR="006B62E4" w:rsidRPr="00775AED" w:rsidRDefault="006B62E4" w:rsidP="00BE445F">
            <w:pPr>
              <w:cnfStyle w:val="000000000000" w:firstRow="0" w:lastRow="0" w:firstColumn="0" w:lastColumn="0" w:oddVBand="0" w:evenVBand="0" w:oddHBand="0" w:evenHBand="0" w:firstRowFirstColumn="0" w:firstRowLastColumn="0" w:lastRowFirstColumn="0" w:lastRowLastColumn="0"/>
              <w:rPr>
                <w:bCs/>
                <w:szCs w:val="22"/>
              </w:rPr>
            </w:pPr>
            <w:r>
              <w:rPr>
                <w:bCs/>
                <w:szCs w:val="22"/>
              </w:rPr>
              <w:t>C</w:t>
            </w:r>
            <w:r w:rsidRPr="006B62E4">
              <w:rPr>
                <w:bCs/>
                <w:szCs w:val="22"/>
              </w:rPr>
              <w:t xml:space="preserve">ongestive heart failure </w:t>
            </w:r>
          </w:p>
        </w:tc>
      </w:tr>
      <w:tr w:rsidR="00F7171D" w:rsidRPr="00D01DDB" w14:paraId="04D5A641"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00A999C0" w14:textId="27DEADE3" w:rsidR="00F7171D" w:rsidRPr="00F7171D" w:rsidRDefault="00F7171D" w:rsidP="00BE445F">
            <w:pPr>
              <w:rPr>
                <w:szCs w:val="22"/>
              </w:rPr>
            </w:pPr>
            <w:r>
              <w:rPr>
                <w:szCs w:val="22"/>
              </w:rPr>
              <w:t>CL</w:t>
            </w:r>
          </w:p>
        </w:tc>
        <w:tc>
          <w:tcPr>
            <w:tcW w:w="3800" w:type="pct"/>
            <w:shd w:val="clear" w:color="auto" w:fill="auto"/>
          </w:tcPr>
          <w:p w14:paraId="057C18F2" w14:textId="485AD335" w:rsidR="00F7171D" w:rsidRPr="00A75C47" w:rsidRDefault="00210F0C" w:rsidP="00BE445F">
            <w:pPr>
              <w:cnfStyle w:val="000000000000" w:firstRow="0" w:lastRow="0" w:firstColumn="0" w:lastColumn="0" w:oddVBand="0" w:evenVBand="0" w:oddHBand="0" w:evenHBand="0" w:firstRowFirstColumn="0" w:firstRowLastColumn="0" w:lastRowFirstColumn="0" w:lastRowLastColumn="0"/>
              <w:rPr>
                <w:szCs w:val="22"/>
              </w:rPr>
            </w:pPr>
            <w:r w:rsidRPr="00210F0C">
              <w:rPr>
                <w:szCs w:val="22"/>
              </w:rPr>
              <w:t>Clearance</w:t>
            </w:r>
            <w:r>
              <w:rPr>
                <w:szCs w:val="22"/>
              </w:rPr>
              <w:t xml:space="preserve"> </w:t>
            </w:r>
          </w:p>
        </w:tc>
      </w:tr>
      <w:tr w:rsidR="00A12CC5" w:rsidRPr="00D01DDB" w14:paraId="21C897F8"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0F7595FE" w14:textId="3DE6DBF3" w:rsidR="00A12CC5" w:rsidRPr="00A75C47" w:rsidRDefault="00A12CC5" w:rsidP="00A12CC5">
            <w:pPr>
              <w:rPr>
                <w:szCs w:val="22"/>
              </w:rPr>
            </w:pPr>
            <w:proofErr w:type="spellStart"/>
            <w:r w:rsidRPr="00A75C47">
              <w:rPr>
                <w:szCs w:val="22"/>
              </w:rPr>
              <w:t>CLcr</w:t>
            </w:r>
            <w:proofErr w:type="spellEnd"/>
          </w:p>
        </w:tc>
        <w:tc>
          <w:tcPr>
            <w:tcW w:w="3800" w:type="pct"/>
            <w:shd w:val="clear" w:color="auto" w:fill="auto"/>
          </w:tcPr>
          <w:p w14:paraId="2D07DD7C" w14:textId="5C90D8A9" w:rsidR="00A12CC5" w:rsidRPr="00A75C47" w:rsidRDefault="00A12CC5" w:rsidP="00A12CC5">
            <w:pPr>
              <w:cnfStyle w:val="000000000000" w:firstRow="0" w:lastRow="0" w:firstColumn="0" w:lastColumn="0" w:oddVBand="0" w:evenVBand="0" w:oddHBand="0" w:evenHBand="0" w:firstRowFirstColumn="0" w:firstRowLastColumn="0" w:lastRowFirstColumn="0" w:lastRowLastColumn="0"/>
              <w:rPr>
                <w:szCs w:val="22"/>
              </w:rPr>
            </w:pPr>
            <w:r w:rsidRPr="00A75C47">
              <w:rPr>
                <w:bCs/>
                <w:szCs w:val="22"/>
              </w:rPr>
              <w:t>Creatine clearance</w:t>
            </w:r>
          </w:p>
        </w:tc>
      </w:tr>
      <w:tr w:rsidR="00A12CC5" w:rsidRPr="00D01DDB" w14:paraId="0EECDDC2"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25834B97" w14:textId="3BD4AE00" w:rsidR="00A12CC5" w:rsidRPr="00A75C47" w:rsidRDefault="00A12CC5" w:rsidP="00A12CC5">
            <w:pPr>
              <w:rPr>
                <w:szCs w:val="22"/>
              </w:rPr>
            </w:pPr>
            <w:proofErr w:type="spellStart"/>
            <w:r w:rsidRPr="00A75C47">
              <w:rPr>
                <w:szCs w:val="22"/>
              </w:rPr>
              <w:t>CLea</w:t>
            </w:r>
            <w:proofErr w:type="spellEnd"/>
          </w:p>
        </w:tc>
        <w:tc>
          <w:tcPr>
            <w:tcW w:w="3800" w:type="pct"/>
            <w:shd w:val="clear" w:color="auto" w:fill="auto"/>
          </w:tcPr>
          <w:p w14:paraId="38F7A11E" w14:textId="69241156" w:rsidR="00A12CC5" w:rsidRPr="00A75C47" w:rsidRDefault="00A12CC5" w:rsidP="00A12CC5">
            <w:pPr>
              <w:cnfStyle w:val="000000000000" w:firstRow="0" w:lastRow="0" w:firstColumn="0" w:lastColumn="0" w:oddVBand="0" w:evenVBand="0" w:oddHBand="0" w:evenHBand="0" w:firstRowFirstColumn="0" w:firstRowLastColumn="0" w:lastRowFirstColumn="0" w:lastRowLastColumn="0"/>
              <w:rPr>
                <w:szCs w:val="22"/>
              </w:rPr>
            </w:pPr>
            <w:r w:rsidRPr="00A75C47">
              <w:rPr>
                <w:szCs w:val="22"/>
              </w:rPr>
              <w:t>Early clearance</w:t>
            </w:r>
          </w:p>
        </w:tc>
      </w:tr>
      <w:tr w:rsidR="00A12CC5" w:rsidRPr="00D01DDB" w14:paraId="092B85CA"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6C127381" w14:textId="27B9FA31" w:rsidR="00A12CC5" w:rsidRPr="00A75C47" w:rsidRDefault="00A12CC5" w:rsidP="00A12CC5">
            <w:pPr>
              <w:rPr>
                <w:szCs w:val="22"/>
              </w:rPr>
            </w:pPr>
            <w:r w:rsidRPr="00A75C47">
              <w:rPr>
                <w:szCs w:val="22"/>
              </w:rPr>
              <w:t>CL</w:t>
            </w:r>
            <w:r w:rsidRPr="00A75C47">
              <w:rPr>
                <w:szCs w:val="22"/>
                <w:vertAlign w:val="subscript"/>
              </w:rPr>
              <w:t>NR</w:t>
            </w:r>
          </w:p>
        </w:tc>
        <w:tc>
          <w:tcPr>
            <w:tcW w:w="3800" w:type="pct"/>
            <w:shd w:val="clear" w:color="auto" w:fill="auto"/>
          </w:tcPr>
          <w:p w14:paraId="1AE61E77" w14:textId="24BFFD7F" w:rsidR="00A12CC5" w:rsidRPr="00A75C47" w:rsidRDefault="00A12CC5" w:rsidP="00A12CC5">
            <w:pPr>
              <w:cnfStyle w:val="000000000000" w:firstRow="0" w:lastRow="0" w:firstColumn="0" w:lastColumn="0" w:oddVBand="0" w:evenVBand="0" w:oddHBand="0" w:evenHBand="0" w:firstRowFirstColumn="0" w:firstRowLastColumn="0" w:lastRowFirstColumn="0" w:lastRowLastColumn="0"/>
              <w:rPr>
                <w:szCs w:val="22"/>
              </w:rPr>
            </w:pPr>
            <w:r w:rsidRPr="00A75C47">
              <w:rPr>
                <w:bCs/>
                <w:szCs w:val="22"/>
              </w:rPr>
              <w:t>Non-renal clearance</w:t>
            </w:r>
          </w:p>
        </w:tc>
      </w:tr>
      <w:tr w:rsidR="00A12CC5" w:rsidRPr="00D01DDB" w14:paraId="560B6593"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1B898949" w14:textId="746CC6DA" w:rsidR="00A12CC5" w:rsidRPr="00A75C47" w:rsidRDefault="00A12CC5" w:rsidP="00A12CC5">
            <w:pPr>
              <w:rPr>
                <w:szCs w:val="22"/>
              </w:rPr>
            </w:pPr>
            <w:proofErr w:type="spellStart"/>
            <w:r w:rsidRPr="00A75C47">
              <w:rPr>
                <w:rFonts w:cstheme="minorHAnsi"/>
                <w:bCs/>
                <w:color w:val="auto"/>
                <w:szCs w:val="22"/>
              </w:rPr>
              <w:t>CLren</w:t>
            </w:r>
            <w:proofErr w:type="spellEnd"/>
            <w:r w:rsidRPr="00A75C47">
              <w:rPr>
                <w:rFonts w:cstheme="minorHAnsi"/>
                <w:bCs/>
                <w:color w:val="auto"/>
                <w:szCs w:val="22"/>
              </w:rPr>
              <w:t xml:space="preserve"> or CL</w:t>
            </w:r>
            <w:r w:rsidRPr="00A75C47">
              <w:rPr>
                <w:rFonts w:cstheme="minorHAnsi"/>
                <w:bCs/>
                <w:color w:val="auto"/>
                <w:szCs w:val="22"/>
                <w:vertAlign w:val="subscript"/>
              </w:rPr>
              <w:t>R</w:t>
            </w:r>
          </w:p>
        </w:tc>
        <w:tc>
          <w:tcPr>
            <w:tcW w:w="3800" w:type="pct"/>
            <w:shd w:val="clear" w:color="auto" w:fill="auto"/>
          </w:tcPr>
          <w:p w14:paraId="06646F38" w14:textId="0C15919C" w:rsidR="00A12CC5" w:rsidRPr="00A75C47" w:rsidRDefault="00A12CC5" w:rsidP="00A12CC5">
            <w:pPr>
              <w:cnfStyle w:val="000000000000" w:firstRow="0" w:lastRow="0" w:firstColumn="0" w:lastColumn="0" w:oddVBand="0" w:evenVBand="0" w:oddHBand="0" w:evenHBand="0" w:firstRowFirstColumn="0" w:firstRowLastColumn="0" w:lastRowFirstColumn="0" w:lastRowLastColumn="0"/>
              <w:rPr>
                <w:szCs w:val="22"/>
              </w:rPr>
            </w:pPr>
            <w:r w:rsidRPr="00A75C47">
              <w:rPr>
                <w:szCs w:val="22"/>
              </w:rPr>
              <w:t>Renal clearance</w:t>
            </w:r>
          </w:p>
        </w:tc>
      </w:tr>
      <w:tr w:rsidR="00A12CC5" w:rsidRPr="00D01DDB" w14:paraId="46A63C00"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5868CFFE" w14:textId="327FBD41" w:rsidR="00A12CC5" w:rsidRPr="00A75C47" w:rsidRDefault="00A12CC5" w:rsidP="00A12CC5">
            <w:pPr>
              <w:rPr>
                <w:szCs w:val="22"/>
              </w:rPr>
            </w:pPr>
            <w:proofErr w:type="spellStart"/>
            <w:r w:rsidRPr="00A75C47">
              <w:rPr>
                <w:rFonts w:cstheme="minorHAnsi"/>
                <w:bCs/>
                <w:szCs w:val="22"/>
              </w:rPr>
              <w:t>CLss</w:t>
            </w:r>
            <w:proofErr w:type="spellEnd"/>
          </w:p>
        </w:tc>
        <w:tc>
          <w:tcPr>
            <w:tcW w:w="3800" w:type="pct"/>
            <w:shd w:val="clear" w:color="auto" w:fill="auto"/>
          </w:tcPr>
          <w:p w14:paraId="48001804" w14:textId="698C2733" w:rsidR="00A12CC5" w:rsidRPr="00A75C47" w:rsidRDefault="00A12CC5" w:rsidP="00A12CC5">
            <w:pPr>
              <w:cnfStyle w:val="000000000000" w:firstRow="0" w:lastRow="0" w:firstColumn="0" w:lastColumn="0" w:oddVBand="0" w:evenVBand="0" w:oddHBand="0" w:evenHBand="0" w:firstRowFirstColumn="0" w:firstRowLastColumn="0" w:lastRowFirstColumn="0" w:lastRowLastColumn="0"/>
              <w:rPr>
                <w:szCs w:val="22"/>
              </w:rPr>
            </w:pPr>
            <w:r w:rsidRPr="00A75C47">
              <w:rPr>
                <w:szCs w:val="22"/>
              </w:rPr>
              <w:t>Clearance at steady state</w:t>
            </w:r>
          </w:p>
        </w:tc>
      </w:tr>
      <w:tr w:rsidR="00A12CC5" w:rsidRPr="00D01DDB" w14:paraId="6D4F9B7F"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560F8925" w14:textId="40C8BF65" w:rsidR="00A12CC5" w:rsidRPr="00A75C47" w:rsidRDefault="00A12CC5" w:rsidP="00A12CC5">
            <w:pPr>
              <w:rPr>
                <w:szCs w:val="22"/>
              </w:rPr>
            </w:pPr>
            <w:proofErr w:type="spellStart"/>
            <w:r w:rsidRPr="00A75C47">
              <w:rPr>
                <w:szCs w:val="22"/>
              </w:rPr>
              <w:t>CLtot</w:t>
            </w:r>
            <w:proofErr w:type="spellEnd"/>
          </w:p>
        </w:tc>
        <w:tc>
          <w:tcPr>
            <w:tcW w:w="3800" w:type="pct"/>
            <w:shd w:val="clear" w:color="auto" w:fill="auto"/>
          </w:tcPr>
          <w:p w14:paraId="2D0D2BA1" w14:textId="706366CC" w:rsidR="00A12CC5" w:rsidRPr="00A75C47" w:rsidRDefault="00A12CC5" w:rsidP="00A12CC5">
            <w:pPr>
              <w:cnfStyle w:val="000000000000" w:firstRow="0" w:lastRow="0" w:firstColumn="0" w:lastColumn="0" w:oddVBand="0" w:evenVBand="0" w:oddHBand="0" w:evenHBand="0" w:firstRowFirstColumn="0" w:firstRowLastColumn="0" w:lastRowFirstColumn="0" w:lastRowLastColumn="0"/>
              <w:rPr>
                <w:szCs w:val="22"/>
              </w:rPr>
            </w:pPr>
            <w:r w:rsidRPr="00A75C47">
              <w:rPr>
                <w:szCs w:val="22"/>
              </w:rPr>
              <w:t>Total clearance</w:t>
            </w:r>
          </w:p>
        </w:tc>
      </w:tr>
      <w:tr w:rsidR="00A12CC5" w:rsidRPr="00D01DDB" w14:paraId="2791D99B"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6641A0A4" w14:textId="306B8989" w:rsidR="00A12CC5" w:rsidRPr="00A75C47" w:rsidRDefault="00A12CC5" w:rsidP="00A12CC5">
            <w:pPr>
              <w:rPr>
                <w:szCs w:val="22"/>
              </w:rPr>
            </w:pPr>
            <w:r w:rsidRPr="00A75C47">
              <w:rPr>
                <w:szCs w:val="22"/>
              </w:rPr>
              <w:t>C</w:t>
            </w:r>
            <w:r w:rsidRPr="002E0FF7">
              <w:rPr>
                <w:szCs w:val="22"/>
                <w:vertAlign w:val="subscript"/>
              </w:rPr>
              <w:t>max</w:t>
            </w:r>
          </w:p>
        </w:tc>
        <w:tc>
          <w:tcPr>
            <w:tcW w:w="3800" w:type="pct"/>
            <w:shd w:val="clear" w:color="auto" w:fill="auto"/>
          </w:tcPr>
          <w:p w14:paraId="7EBCAEFB" w14:textId="28881620" w:rsidR="00A12CC5" w:rsidRPr="00A75C47" w:rsidRDefault="00A12CC5" w:rsidP="00A12CC5">
            <w:pPr>
              <w:cnfStyle w:val="000000000000" w:firstRow="0" w:lastRow="0" w:firstColumn="0" w:lastColumn="0" w:oddVBand="0" w:evenVBand="0" w:oddHBand="0" w:evenHBand="0" w:firstRowFirstColumn="0" w:firstRowLastColumn="0" w:lastRowFirstColumn="0" w:lastRowLastColumn="0"/>
              <w:rPr>
                <w:szCs w:val="22"/>
              </w:rPr>
            </w:pPr>
            <w:r w:rsidRPr="00A75C47">
              <w:rPr>
                <w:szCs w:val="22"/>
              </w:rPr>
              <w:t>Maximum concentration</w:t>
            </w:r>
          </w:p>
        </w:tc>
      </w:tr>
      <w:tr w:rsidR="007E66A7" w:rsidRPr="00D01DDB" w14:paraId="67B63BC4" w14:textId="77777777" w:rsidTr="00CC1D19">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0E1294A" w14:textId="7C6FE4FF" w:rsidR="007E66A7" w:rsidRPr="00A75C47" w:rsidRDefault="007E66A7" w:rsidP="007E66A7">
            <w:pPr>
              <w:rPr>
                <w:szCs w:val="22"/>
              </w:rPr>
            </w:pPr>
            <w:r w:rsidRPr="00D01DDB">
              <w:rPr>
                <w:szCs w:val="22"/>
              </w:rPr>
              <w:t>CMI</w:t>
            </w:r>
          </w:p>
        </w:tc>
        <w:tc>
          <w:tcPr>
            <w:tcW w:w="3800" w:type="pct"/>
          </w:tcPr>
          <w:p w14:paraId="38F9F199" w14:textId="6BB10C1C" w:rsidR="007E66A7" w:rsidRPr="00A75C47"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8473E9" w:rsidRPr="00D01DDB" w14:paraId="409EC205" w14:textId="77777777" w:rsidTr="00CC1D19">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1A7E79" w14:textId="36EC07A9" w:rsidR="008473E9" w:rsidRPr="00D01DDB" w:rsidRDefault="008473E9" w:rsidP="007E66A7">
            <w:pPr>
              <w:rPr>
                <w:szCs w:val="22"/>
              </w:rPr>
            </w:pPr>
            <w:r>
              <w:rPr>
                <w:szCs w:val="22"/>
              </w:rPr>
              <w:t>CR</w:t>
            </w:r>
          </w:p>
        </w:tc>
        <w:tc>
          <w:tcPr>
            <w:tcW w:w="3800" w:type="pct"/>
          </w:tcPr>
          <w:p w14:paraId="6E72AE89" w14:textId="7B601354" w:rsidR="008473E9" w:rsidRPr="00D01DDB" w:rsidRDefault="008473E9" w:rsidP="007E66A7">
            <w:pPr>
              <w:cnfStyle w:val="000000000000" w:firstRow="0" w:lastRow="0" w:firstColumn="0" w:lastColumn="0" w:oddVBand="0" w:evenVBand="0" w:oddHBand="0" w:evenHBand="0" w:firstRowFirstColumn="0" w:firstRowLastColumn="0" w:lastRowFirstColumn="0" w:lastRowLastColumn="0"/>
              <w:rPr>
                <w:szCs w:val="22"/>
              </w:rPr>
            </w:pPr>
            <w:r w:rsidRPr="008473E9">
              <w:rPr>
                <w:szCs w:val="22"/>
              </w:rPr>
              <w:t>Complete response</w:t>
            </w:r>
          </w:p>
        </w:tc>
      </w:tr>
      <w:tr w:rsidR="007E66A7" w:rsidRPr="00D01DDB" w14:paraId="1F93FA5B"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33E659E2" w14:textId="76057DF7" w:rsidR="007E66A7" w:rsidRPr="00A75C47" w:rsidRDefault="007E66A7" w:rsidP="007E66A7">
            <w:pPr>
              <w:rPr>
                <w:szCs w:val="22"/>
              </w:rPr>
            </w:pPr>
            <w:proofErr w:type="spellStart"/>
            <w:r w:rsidRPr="00A75C47">
              <w:rPr>
                <w:szCs w:val="22"/>
              </w:rPr>
              <w:t>Css</w:t>
            </w:r>
            <w:proofErr w:type="spellEnd"/>
          </w:p>
        </w:tc>
        <w:tc>
          <w:tcPr>
            <w:tcW w:w="3800" w:type="pct"/>
            <w:shd w:val="clear" w:color="auto" w:fill="auto"/>
          </w:tcPr>
          <w:p w14:paraId="2713042D" w14:textId="4BBE6896" w:rsidR="007E66A7" w:rsidRPr="00A75C47"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rsidRPr="00A75C47">
              <w:rPr>
                <w:rFonts w:cstheme="minorHAnsi"/>
                <w:bCs/>
                <w:szCs w:val="22"/>
              </w:rPr>
              <w:t>Steady-state plasma concentrations</w:t>
            </w:r>
          </w:p>
        </w:tc>
      </w:tr>
      <w:tr w:rsidR="007E66A7" w:rsidRPr="00D01DDB" w14:paraId="45BF7E72"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42A03566" w14:textId="62BF2612" w:rsidR="007E66A7" w:rsidRPr="00A75C47" w:rsidRDefault="007E66A7" w:rsidP="007E66A7">
            <w:pPr>
              <w:rPr>
                <w:szCs w:val="22"/>
              </w:rPr>
            </w:pPr>
            <w:r>
              <w:t>DEX</w:t>
            </w:r>
          </w:p>
        </w:tc>
        <w:tc>
          <w:tcPr>
            <w:tcW w:w="3800" w:type="pct"/>
            <w:shd w:val="clear" w:color="auto" w:fill="auto"/>
          </w:tcPr>
          <w:p w14:paraId="172D73C8" w14:textId="34574FE5" w:rsidR="007E66A7" w:rsidRPr="00A75C47"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t>Dexrazoxane reach/dexrazoxane/</w:t>
            </w:r>
            <w:r w:rsidRPr="00A236A4">
              <w:t>ICRF-187</w:t>
            </w:r>
            <w:r w:rsidRPr="00AA218D">
              <w:t>/</w:t>
            </w:r>
            <w:r w:rsidRPr="00AA218D">
              <w:rPr>
                <w:color w:val="auto"/>
              </w:rPr>
              <w:t>ADR-5</w:t>
            </w:r>
            <w:r>
              <w:rPr>
                <w:color w:val="auto"/>
              </w:rPr>
              <w:t>29/</w:t>
            </w:r>
            <w:r w:rsidRPr="00132EE7">
              <w:rPr>
                <w:color w:val="auto"/>
              </w:rPr>
              <w:t>NSC 169780</w:t>
            </w:r>
          </w:p>
        </w:tc>
      </w:tr>
      <w:tr w:rsidR="007E66A7" w:rsidRPr="00D01DDB" w14:paraId="75AA5289"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1FB22D8B" w14:textId="5D940521" w:rsidR="007E66A7" w:rsidRPr="00A75C47" w:rsidRDefault="007E66A7" w:rsidP="007E66A7">
            <w:pPr>
              <w:rPr>
                <w:szCs w:val="22"/>
              </w:rPr>
            </w:pPr>
            <w:proofErr w:type="spellStart"/>
            <w:r>
              <w:t>DHOase</w:t>
            </w:r>
            <w:proofErr w:type="spellEnd"/>
          </w:p>
        </w:tc>
        <w:tc>
          <w:tcPr>
            <w:tcW w:w="3800" w:type="pct"/>
            <w:shd w:val="clear" w:color="auto" w:fill="auto"/>
          </w:tcPr>
          <w:p w14:paraId="1189FC8C" w14:textId="12959962" w:rsidR="007E66A7" w:rsidRPr="00A75C47"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t>D</w:t>
            </w:r>
            <w:r w:rsidRPr="007333FF">
              <w:t>ihydroorotase</w:t>
            </w:r>
          </w:p>
        </w:tc>
      </w:tr>
      <w:tr w:rsidR="007E66A7" w:rsidRPr="00D01DDB" w14:paraId="2EAC2F59" w14:textId="77777777" w:rsidTr="009102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0DA8141C" w14:textId="102A08A4" w:rsidR="007E66A7" w:rsidRPr="00A75C47" w:rsidRDefault="007E66A7" w:rsidP="007E66A7">
            <w:pPr>
              <w:rPr>
                <w:szCs w:val="22"/>
              </w:rPr>
            </w:pPr>
            <w:proofErr w:type="spellStart"/>
            <w:r>
              <w:t>DHPase</w:t>
            </w:r>
            <w:proofErr w:type="spellEnd"/>
          </w:p>
        </w:tc>
        <w:tc>
          <w:tcPr>
            <w:tcW w:w="3800" w:type="pct"/>
            <w:shd w:val="clear" w:color="auto" w:fill="auto"/>
          </w:tcPr>
          <w:p w14:paraId="04182E13" w14:textId="379A2C5B" w:rsidR="007E66A7" w:rsidRPr="00A75C47" w:rsidRDefault="007E66A7" w:rsidP="007E66A7">
            <w:pPr>
              <w:cnfStyle w:val="000000000000" w:firstRow="0" w:lastRow="0" w:firstColumn="0" w:lastColumn="0" w:oddVBand="0" w:evenVBand="0" w:oddHBand="0" w:evenHBand="0" w:firstRowFirstColumn="0" w:firstRowLastColumn="0" w:lastRowFirstColumn="0" w:lastRowLastColumn="0"/>
              <w:rPr>
                <w:szCs w:val="22"/>
              </w:rPr>
            </w:pPr>
            <w:proofErr w:type="spellStart"/>
            <w:r>
              <w:t>Dihydropyrimidine</w:t>
            </w:r>
            <w:proofErr w:type="spellEnd"/>
            <w:r>
              <w:t xml:space="preserve"> amidohydrolase or </w:t>
            </w:r>
            <w:proofErr w:type="spellStart"/>
            <w:r>
              <w:t>dihydropyrimidinase</w:t>
            </w:r>
            <w:proofErr w:type="spellEnd"/>
          </w:p>
        </w:tc>
      </w:tr>
      <w:tr w:rsidR="007E66A7" w:rsidRPr="0075077A" w14:paraId="57D957B6"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296E83CF" w14:textId="24C0998A" w:rsidR="007E66A7" w:rsidRPr="00D01DDB" w:rsidRDefault="007E66A7" w:rsidP="007E66A7">
            <w:pPr>
              <w:rPr>
                <w:szCs w:val="22"/>
              </w:rPr>
            </w:pPr>
            <w:r w:rsidRPr="00A75C47">
              <w:rPr>
                <w:szCs w:val="22"/>
              </w:rPr>
              <w:t>EDTA</w:t>
            </w:r>
          </w:p>
        </w:tc>
        <w:tc>
          <w:tcPr>
            <w:tcW w:w="3800" w:type="pct"/>
            <w:shd w:val="clear" w:color="auto" w:fill="auto"/>
          </w:tcPr>
          <w:p w14:paraId="0FC3712C" w14:textId="2B4C524F" w:rsidR="007E66A7" w:rsidRPr="00425C50" w:rsidRDefault="007E66A7" w:rsidP="007E66A7">
            <w:pPr>
              <w:cnfStyle w:val="000000000000" w:firstRow="0" w:lastRow="0" w:firstColumn="0" w:lastColumn="0" w:oddVBand="0" w:evenVBand="0" w:oddHBand="0" w:evenHBand="0" w:firstRowFirstColumn="0" w:firstRowLastColumn="0" w:lastRowFirstColumn="0" w:lastRowLastColumn="0"/>
              <w:rPr>
                <w:szCs w:val="22"/>
                <w:lang w:val="it-IT"/>
              </w:rPr>
            </w:pPr>
            <w:r w:rsidRPr="00425C50">
              <w:rPr>
                <w:szCs w:val="22"/>
                <w:lang w:val="it-IT"/>
              </w:rPr>
              <w:t>Ethylene diamine tetra-acetic acid</w:t>
            </w:r>
          </w:p>
        </w:tc>
      </w:tr>
      <w:tr w:rsidR="007E66A7" w:rsidRPr="00D01DDB" w14:paraId="74661821"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61985F5E" w14:textId="1DEECF99" w:rsidR="007E66A7" w:rsidRPr="00D01DDB" w:rsidRDefault="007E66A7" w:rsidP="007E66A7">
            <w:pPr>
              <w:rPr>
                <w:szCs w:val="22"/>
              </w:rPr>
            </w:pPr>
            <w:r>
              <w:rPr>
                <w:lang w:eastAsia="ja-JP"/>
              </w:rPr>
              <w:t>EF</w:t>
            </w:r>
          </w:p>
        </w:tc>
        <w:tc>
          <w:tcPr>
            <w:tcW w:w="3800" w:type="pct"/>
            <w:shd w:val="clear" w:color="auto" w:fill="auto"/>
          </w:tcPr>
          <w:p w14:paraId="2D8F7AC8" w14:textId="6D9EF420"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rPr>
                <w:lang w:eastAsia="ja-JP"/>
              </w:rPr>
              <w:t xml:space="preserve">ejection fraction </w:t>
            </w:r>
          </w:p>
        </w:tc>
      </w:tr>
      <w:tr w:rsidR="007E66A7" w:rsidRPr="00D01DDB" w14:paraId="113D8EE2"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29BE6771" w14:textId="06085DC6" w:rsidR="007E66A7" w:rsidRPr="00D01DDB" w:rsidRDefault="007E66A7" w:rsidP="007E66A7">
            <w:pPr>
              <w:rPr>
                <w:szCs w:val="22"/>
              </w:rPr>
            </w:pPr>
            <w:r>
              <w:t>EMC</w:t>
            </w:r>
          </w:p>
        </w:tc>
        <w:tc>
          <w:tcPr>
            <w:tcW w:w="3800" w:type="pct"/>
            <w:shd w:val="clear" w:color="auto" w:fill="auto"/>
          </w:tcPr>
          <w:p w14:paraId="08932D4D" w14:textId="0A022902"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rPr>
                <w:rFonts w:eastAsiaTheme="minorHAnsi"/>
              </w:rPr>
              <w:t>Electronic Medicines Compendium</w:t>
            </w:r>
          </w:p>
        </w:tc>
      </w:tr>
      <w:tr w:rsidR="007E66A7" w:rsidRPr="00D01DDB" w14:paraId="297E6EB9"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087BFC5F" w14:textId="0FEBEE6C" w:rsidR="007E66A7" w:rsidRPr="00D01DDB" w:rsidRDefault="007E66A7" w:rsidP="007E66A7">
            <w:pPr>
              <w:rPr>
                <w:szCs w:val="22"/>
              </w:rPr>
            </w:pPr>
            <w:r>
              <w:t>EPI</w:t>
            </w:r>
          </w:p>
        </w:tc>
        <w:tc>
          <w:tcPr>
            <w:tcW w:w="3800" w:type="pct"/>
            <w:shd w:val="clear" w:color="auto" w:fill="auto"/>
          </w:tcPr>
          <w:p w14:paraId="178D7998" w14:textId="69265DA7"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t>E</w:t>
            </w:r>
            <w:r w:rsidRPr="00320C3D">
              <w:t>pirubicin</w:t>
            </w:r>
          </w:p>
        </w:tc>
      </w:tr>
      <w:tr w:rsidR="007E66A7" w:rsidRPr="00D01DDB" w14:paraId="27E2B3CC"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4C359B22" w14:textId="03CA97B3" w:rsidR="007E66A7" w:rsidRDefault="007E66A7" w:rsidP="007E66A7">
            <w:r>
              <w:t>FDA</w:t>
            </w:r>
          </w:p>
        </w:tc>
        <w:tc>
          <w:tcPr>
            <w:tcW w:w="3800" w:type="pct"/>
            <w:shd w:val="clear" w:color="auto" w:fill="auto"/>
          </w:tcPr>
          <w:p w14:paraId="3F8D3979" w14:textId="22B7BE98" w:rsidR="007E66A7" w:rsidRDefault="007E66A7" w:rsidP="007E66A7">
            <w:pPr>
              <w:cnfStyle w:val="000000000000" w:firstRow="0" w:lastRow="0" w:firstColumn="0" w:lastColumn="0" w:oddVBand="0" w:evenVBand="0" w:oddHBand="0" w:evenHBand="0" w:firstRowFirstColumn="0" w:firstRowLastColumn="0" w:lastRowFirstColumn="0" w:lastRowLastColumn="0"/>
            </w:pPr>
            <w:r>
              <w:t>Food and Drug Administration (USA)</w:t>
            </w:r>
          </w:p>
        </w:tc>
      </w:tr>
      <w:tr w:rsidR="00E12F30" w:rsidRPr="00D01DDB" w14:paraId="0E80B6C4"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3226AEB1" w14:textId="7AF039E4" w:rsidR="00E12F30" w:rsidRDefault="00E12F30" w:rsidP="007E66A7">
            <w:r w:rsidRPr="00E12F30">
              <w:t>Fe</w:t>
            </w:r>
            <w:r w:rsidRPr="00164D48">
              <w:rPr>
                <w:vertAlign w:val="superscript"/>
              </w:rPr>
              <w:t>2+</w:t>
            </w:r>
          </w:p>
        </w:tc>
        <w:tc>
          <w:tcPr>
            <w:tcW w:w="3800" w:type="pct"/>
            <w:shd w:val="clear" w:color="auto" w:fill="auto"/>
          </w:tcPr>
          <w:p w14:paraId="11088270" w14:textId="34FD57D2" w:rsidR="00E12F30" w:rsidRDefault="00E12F30" w:rsidP="007E66A7">
            <w:pPr>
              <w:cnfStyle w:val="000000000000" w:firstRow="0" w:lastRow="0" w:firstColumn="0" w:lastColumn="0" w:oddVBand="0" w:evenVBand="0" w:oddHBand="0" w:evenHBand="0" w:firstRowFirstColumn="0" w:firstRowLastColumn="0" w:lastRowFirstColumn="0" w:lastRowLastColumn="0"/>
            </w:pPr>
            <w:r>
              <w:t>Ferrous ion</w:t>
            </w:r>
          </w:p>
        </w:tc>
      </w:tr>
      <w:tr w:rsidR="007E66A7" w:rsidRPr="00D01DDB" w14:paraId="4671308E"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245FA561" w14:textId="5B229F4F" w:rsidR="007E66A7" w:rsidRDefault="007E66A7" w:rsidP="007E66A7">
            <w:r>
              <w:t>ICH Q3A</w:t>
            </w:r>
          </w:p>
        </w:tc>
        <w:tc>
          <w:tcPr>
            <w:tcW w:w="3800" w:type="pct"/>
            <w:shd w:val="clear" w:color="auto" w:fill="auto"/>
          </w:tcPr>
          <w:p w14:paraId="0458318A" w14:textId="66C9634F" w:rsidR="007E66A7" w:rsidRDefault="007E66A7" w:rsidP="007E66A7">
            <w:pPr>
              <w:cnfStyle w:val="000000000000" w:firstRow="0" w:lastRow="0" w:firstColumn="0" w:lastColumn="0" w:oddVBand="0" w:evenVBand="0" w:oddHBand="0" w:evenHBand="0" w:firstRowFirstColumn="0" w:firstRowLastColumn="0" w:lastRowFirstColumn="0" w:lastRowLastColumn="0"/>
            </w:pPr>
            <w:r w:rsidRPr="000B79E3">
              <w:t>International Council for Harmonisation</w:t>
            </w:r>
            <w:r>
              <w:t xml:space="preserve">- </w:t>
            </w:r>
            <w:r w:rsidRPr="00F53633">
              <w:t>Impurities in new drug substances - Scientific guideline</w:t>
            </w:r>
          </w:p>
        </w:tc>
      </w:tr>
      <w:tr w:rsidR="007E66A7" w:rsidRPr="00D01DDB" w14:paraId="3781C42E" w14:textId="77777777" w:rsidTr="00ED223E">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FD5488F" w14:textId="5573272B" w:rsidR="007E66A7" w:rsidRDefault="007E66A7" w:rsidP="007E66A7">
            <w:r w:rsidRPr="00A236A4">
              <w:rPr>
                <w:szCs w:val="22"/>
              </w:rPr>
              <w:lastRenderedPageBreak/>
              <w:t>ICRF-187</w:t>
            </w:r>
          </w:p>
        </w:tc>
        <w:tc>
          <w:tcPr>
            <w:tcW w:w="3800" w:type="pct"/>
          </w:tcPr>
          <w:p w14:paraId="544D60A7" w14:textId="3DB2866C" w:rsidR="007E66A7" w:rsidRDefault="007E66A7" w:rsidP="007E66A7">
            <w:pPr>
              <w:cnfStyle w:val="000000000000" w:firstRow="0" w:lastRow="0" w:firstColumn="0" w:lastColumn="0" w:oddVBand="0" w:evenVBand="0" w:oddHBand="0" w:evenHBand="0" w:firstRowFirstColumn="0" w:firstRowLastColumn="0" w:lastRowFirstColumn="0" w:lastRowLastColumn="0"/>
            </w:pPr>
            <w:r w:rsidRPr="00A236A4">
              <w:rPr>
                <w:szCs w:val="22"/>
              </w:rPr>
              <w:t>Dexrazoxane reach</w:t>
            </w:r>
          </w:p>
        </w:tc>
      </w:tr>
      <w:tr w:rsidR="007E66A7" w:rsidRPr="00D01DDB" w14:paraId="758336DF"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3E375DB3" w14:textId="6C1A6E93" w:rsidR="007E66A7" w:rsidRDefault="007E66A7" w:rsidP="007E66A7">
            <w:r>
              <w:t>IP</w:t>
            </w:r>
          </w:p>
        </w:tc>
        <w:tc>
          <w:tcPr>
            <w:tcW w:w="3800" w:type="pct"/>
            <w:shd w:val="clear" w:color="auto" w:fill="auto"/>
          </w:tcPr>
          <w:p w14:paraId="6D126395" w14:textId="30A99AD4" w:rsidR="007E66A7" w:rsidRDefault="007E66A7" w:rsidP="007E66A7">
            <w:pPr>
              <w:cnfStyle w:val="000000000000" w:firstRow="0" w:lastRow="0" w:firstColumn="0" w:lastColumn="0" w:oddVBand="0" w:evenVBand="0" w:oddHBand="0" w:evenHBand="0" w:firstRowFirstColumn="0" w:firstRowLastColumn="0" w:lastRowFirstColumn="0" w:lastRowLastColumn="0"/>
            </w:pPr>
            <w:r w:rsidRPr="008E6884">
              <w:t>Intraperitoneal</w:t>
            </w:r>
          </w:p>
        </w:tc>
      </w:tr>
      <w:tr w:rsidR="007E66A7" w:rsidRPr="00D01DDB" w14:paraId="098DC778"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7E9F51FE" w14:textId="1AD62EFF" w:rsidR="007E66A7" w:rsidRDefault="007E66A7" w:rsidP="007E66A7">
            <w:r>
              <w:t>IV</w:t>
            </w:r>
          </w:p>
        </w:tc>
        <w:tc>
          <w:tcPr>
            <w:tcW w:w="3800" w:type="pct"/>
            <w:shd w:val="clear" w:color="auto" w:fill="auto"/>
          </w:tcPr>
          <w:p w14:paraId="41197AEE" w14:textId="64DBEA70" w:rsidR="007E66A7" w:rsidRDefault="007E66A7" w:rsidP="007E66A7">
            <w:pPr>
              <w:cnfStyle w:val="000000000000" w:firstRow="0" w:lastRow="0" w:firstColumn="0" w:lastColumn="0" w:oddVBand="0" w:evenVBand="0" w:oddHBand="0" w:evenHBand="0" w:firstRowFirstColumn="0" w:firstRowLastColumn="0" w:lastRowFirstColumn="0" w:lastRowLastColumn="0"/>
            </w:pPr>
            <w:r>
              <w:t>Intravenous</w:t>
            </w:r>
          </w:p>
        </w:tc>
      </w:tr>
      <w:tr w:rsidR="007E66A7" w:rsidRPr="00D01DDB" w14:paraId="47462EFD"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7DA9E515" w14:textId="767383DE" w:rsidR="007E66A7" w:rsidRDefault="007E66A7" w:rsidP="007E66A7">
            <w:r w:rsidRPr="00A75C47">
              <w:rPr>
                <w:szCs w:val="22"/>
              </w:rPr>
              <w:t>KPS</w:t>
            </w:r>
          </w:p>
        </w:tc>
        <w:tc>
          <w:tcPr>
            <w:tcW w:w="3800" w:type="pct"/>
            <w:shd w:val="clear" w:color="auto" w:fill="auto"/>
          </w:tcPr>
          <w:p w14:paraId="79C64B5D" w14:textId="4896C9DE" w:rsidR="007E66A7" w:rsidRDefault="007E66A7" w:rsidP="007E66A7">
            <w:pPr>
              <w:cnfStyle w:val="000000000000" w:firstRow="0" w:lastRow="0" w:firstColumn="0" w:lastColumn="0" w:oddVBand="0" w:evenVBand="0" w:oddHBand="0" w:evenHBand="0" w:firstRowFirstColumn="0" w:firstRowLastColumn="0" w:lastRowFirstColumn="0" w:lastRowLastColumn="0"/>
            </w:pPr>
            <w:r w:rsidRPr="00A75C47">
              <w:rPr>
                <w:bCs/>
                <w:szCs w:val="22"/>
              </w:rPr>
              <w:t>Karnofsky</w:t>
            </w:r>
            <w:r w:rsidRPr="00A75C47">
              <w:rPr>
                <w:szCs w:val="22"/>
              </w:rPr>
              <w:t xml:space="preserve"> </w:t>
            </w:r>
            <w:r w:rsidRPr="00A75C47">
              <w:rPr>
                <w:bCs/>
                <w:szCs w:val="22"/>
              </w:rPr>
              <w:t>performance status</w:t>
            </w:r>
          </w:p>
        </w:tc>
      </w:tr>
      <w:tr w:rsidR="007E66A7" w:rsidRPr="00D01DDB" w14:paraId="483D99CA"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26E13F32" w14:textId="5BCB2AFB" w:rsidR="007E66A7" w:rsidRDefault="007E66A7" w:rsidP="007E66A7">
            <w:r w:rsidRPr="00A75C47">
              <w:rPr>
                <w:szCs w:val="22"/>
              </w:rPr>
              <w:t>LLOQ</w:t>
            </w:r>
          </w:p>
        </w:tc>
        <w:tc>
          <w:tcPr>
            <w:tcW w:w="3800" w:type="pct"/>
            <w:shd w:val="clear" w:color="auto" w:fill="auto"/>
          </w:tcPr>
          <w:p w14:paraId="2A423024" w14:textId="1C3CB727" w:rsidR="007E66A7" w:rsidRDefault="007E66A7" w:rsidP="007E66A7">
            <w:pPr>
              <w:cnfStyle w:val="000000000000" w:firstRow="0" w:lastRow="0" w:firstColumn="0" w:lastColumn="0" w:oddVBand="0" w:evenVBand="0" w:oddHBand="0" w:evenHBand="0" w:firstRowFirstColumn="0" w:firstRowLastColumn="0" w:lastRowFirstColumn="0" w:lastRowLastColumn="0"/>
            </w:pPr>
            <w:r w:rsidRPr="00A75C47">
              <w:rPr>
                <w:rFonts w:cs="Melior"/>
                <w:bCs/>
                <w:color w:val="auto"/>
                <w:szCs w:val="22"/>
              </w:rPr>
              <w:t>Lower limit of quantitation</w:t>
            </w:r>
          </w:p>
        </w:tc>
      </w:tr>
      <w:tr w:rsidR="007E66A7" w:rsidRPr="00D01DDB" w14:paraId="237EC6C0"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5182AFEA" w14:textId="604B1015" w:rsidR="007E66A7" w:rsidRDefault="007E66A7" w:rsidP="007E66A7">
            <w:r w:rsidRPr="00A75C47">
              <w:rPr>
                <w:szCs w:val="22"/>
              </w:rPr>
              <w:t>LVEF</w:t>
            </w:r>
          </w:p>
        </w:tc>
        <w:tc>
          <w:tcPr>
            <w:tcW w:w="3800" w:type="pct"/>
            <w:shd w:val="clear" w:color="auto" w:fill="auto"/>
          </w:tcPr>
          <w:p w14:paraId="1DA379A7" w14:textId="3AB4E952" w:rsidR="007E66A7" w:rsidRDefault="007E66A7" w:rsidP="007E66A7">
            <w:pPr>
              <w:cnfStyle w:val="000000000000" w:firstRow="0" w:lastRow="0" w:firstColumn="0" w:lastColumn="0" w:oddVBand="0" w:evenVBand="0" w:oddHBand="0" w:evenHBand="0" w:firstRowFirstColumn="0" w:firstRowLastColumn="0" w:lastRowFirstColumn="0" w:lastRowLastColumn="0"/>
            </w:pPr>
            <w:r w:rsidRPr="00A75C47">
              <w:rPr>
                <w:bCs/>
                <w:color w:val="auto"/>
                <w:szCs w:val="22"/>
              </w:rPr>
              <w:t>Left ventricular ejection fraction</w:t>
            </w:r>
          </w:p>
        </w:tc>
      </w:tr>
      <w:tr w:rsidR="007E66A7" w:rsidRPr="00D01DDB" w14:paraId="6302E94B"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5B5C5320" w14:textId="4967B3A6" w:rsidR="007E66A7" w:rsidRDefault="007E66A7" w:rsidP="007E66A7">
            <w:r>
              <w:rPr>
                <w:lang w:eastAsia="ja-JP"/>
              </w:rPr>
              <w:t>LVSD</w:t>
            </w:r>
          </w:p>
        </w:tc>
        <w:tc>
          <w:tcPr>
            <w:tcW w:w="3800" w:type="pct"/>
            <w:shd w:val="clear" w:color="auto" w:fill="auto"/>
          </w:tcPr>
          <w:p w14:paraId="7FEDDB4C" w14:textId="2A63BE5F" w:rsidR="007E66A7" w:rsidRDefault="007E66A7" w:rsidP="007E66A7">
            <w:pPr>
              <w:cnfStyle w:val="000000000000" w:firstRow="0" w:lastRow="0" w:firstColumn="0" w:lastColumn="0" w:oddVBand="0" w:evenVBand="0" w:oddHBand="0" w:evenHBand="0" w:firstRowFirstColumn="0" w:firstRowLastColumn="0" w:lastRowFirstColumn="0" w:lastRowLastColumn="0"/>
            </w:pPr>
            <w:r>
              <w:rPr>
                <w:lang w:eastAsia="ja-JP"/>
              </w:rPr>
              <w:t>left ventricular systolic dysfunction</w:t>
            </w:r>
          </w:p>
        </w:tc>
      </w:tr>
      <w:tr w:rsidR="00164D48" w:rsidRPr="00D01DDB" w14:paraId="27CC1738"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4732B3F2" w14:textId="0006A1C5" w:rsidR="00164D48" w:rsidRDefault="00164D48" w:rsidP="007E66A7">
            <w:pPr>
              <w:rPr>
                <w:lang w:eastAsia="ja-JP"/>
              </w:rPr>
            </w:pPr>
            <w:r w:rsidRPr="00164D48">
              <w:rPr>
                <w:lang w:eastAsia="ja-JP"/>
              </w:rPr>
              <w:t>Mg</w:t>
            </w:r>
            <w:r w:rsidRPr="00164D48">
              <w:rPr>
                <w:vertAlign w:val="superscript"/>
                <w:lang w:eastAsia="ja-JP"/>
              </w:rPr>
              <w:t>2+</w:t>
            </w:r>
          </w:p>
        </w:tc>
        <w:tc>
          <w:tcPr>
            <w:tcW w:w="3800" w:type="pct"/>
            <w:shd w:val="clear" w:color="auto" w:fill="auto"/>
          </w:tcPr>
          <w:p w14:paraId="7F2E219A" w14:textId="578D203C" w:rsidR="00164D48" w:rsidRDefault="00164D48" w:rsidP="007E66A7">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Magnesium ion</w:t>
            </w:r>
          </w:p>
        </w:tc>
      </w:tr>
      <w:tr w:rsidR="007E66A7" w:rsidRPr="00D01DDB" w14:paraId="5082F9CB"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00A98295" w14:textId="4F8B1EE6" w:rsidR="007E66A7" w:rsidRDefault="007E66A7" w:rsidP="007E66A7">
            <w:r>
              <w:t>MHRA</w:t>
            </w:r>
          </w:p>
        </w:tc>
        <w:tc>
          <w:tcPr>
            <w:tcW w:w="3800" w:type="pct"/>
            <w:shd w:val="clear" w:color="auto" w:fill="auto"/>
          </w:tcPr>
          <w:p w14:paraId="020337DE" w14:textId="272D35F9" w:rsidR="007E66A7" w:rsidRDefault="007E66A7" w:rsidP="007E66A7">
            <w:pPr>
              <w:cnfStyle w:val="000000000000" w:firstRow="0" w:lastRow="0" w:firstColumn="0" w:lastColumn="0" w:oddVBand="0" w:evenVBand="0" w:oddHBand="0" w:evenHBand="0" w:firstRowFirstColumn="0" w:firstRowLastColumn="0" w:lastRowFirstColumn="0" w:lastRowLastColumn="0"/>
            </w:pPr>
            <w:r>
              <w:t>Medicines and Healthcare Products Regulatory Agency, UK Gov.</w:t>
            </w:r>
          </w:p>
        </w:tc>
      </w:tr>
      <w:tr w:rsidR="007E66A7" w:rsidRPr="00D01DDB" w14:paraId="1149B17E"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1949741B" w14:textId="0C7C51D3" w:rsidR="007E66A7" w:rsidRDefault="007E66A7" w:rsidP="007E66A7">
            <w:r>
              <w:t>min</w:t>
            </w:r>
          </w:p>
        </w:tc>
        <w:tc>
          <w:tcPr>
            <w:tcW w:w="3800" w:type="pct"/>
            <w:shd w:val="clear" w:color="auto" w:fill="auto"/>
          </w:tcPr>
          <w:p w14:paraId="31F7FA4A" w14:textId="185BC041" w:rsidR="007E66A7" w:rsidRDefault="007E66A7" w:rsidP="007E66A7">
            <w:pPr>
              <w:cnfStyle w:val="000000000000" w:firstRow="0" w:lastRow="0" w:firstColumn="0" w:lastColumn="0" w:oddVBand="0" w:evenVBand="0" w:oddHBand="0" w:evenHBand="0" w:firstRowFirstColumn="0" w:firstRowLastColumn="0" w:lastRowFirstColumn="0" w:lastRowLastColumn="0"/>
            </w:pPr>
            <w:r>
              <w:t>Minute/s</w:t>
            </w:r>
          </w:p>
        </w:tc>
      </w:tr>
      <w:tr w:rsidR="007E66A7" w:rsidRPr="00D01DDB" w14:paraId="30CCD444" w14:textId="77777777" w:rsidTr="007327C3">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72278FD6" w14:textId="12EB44B9" w:rsidR="007E66A7" w:rsidRDefault="007E66A7" w:rsidP="007E66A7">
            <w:r w:rsidRPr="00A75C47">
              <w:rPr>
                <w:szCs w:val="22"/>
              </w:rPr>
              <w:t>MRT</w:t>
            </w:r>
          </w:p>
        </w:tc>
        <w:tc>
          <w:tcPr>
            <w:tcW w:w="3800" w:type="pct"/>
            <w:shd w:val="clear" w:color="auto" w:fill="auto"/>
          </w:tcPr>
          <w:p w14:paraId="72C5FECC" w14:textId="66B82F24" w:rsidR="007E66A7" w:rsidRDefault="007E66A7" w:rsidP="007E66A7">
            <w:pPr>
              <w:cnfStyle w:val="000000000000" w:firstRow="0" w:lastRow="0" w:firstColumn="0" w:lastColumn="0" w:oddVBand="0" w:evenVBand="0" w:oddHBand="0" w:evenHBand="0" w:firstRowFirstColumn="0" w:firstRowLastColumn="0" w:lastRowFirstColumn="0" w:lastRowLastColumn="0"/>
            </w:pPr>
            <w:r w:rsidRPr="00A75C47">
              <w:rPr>
                <w:szCs w:val="22"/>
              </w:rPr>
              <w:t>Mean residence time</w:t>
            </w:r>
          </w:p>
        </w:tc>
      </w:tr>
      <w:tr w:rsidR="007E66A7" w:rsidRPr="00D01DDB" w14:paraId="633374BB" w14:textId="77777777" w:rsidTr="00B7123F">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299CDF78" w14:textId="37525F52" w:rsidR="007E66A7" w:rsidRPr="00D01DDB" w:rsidRDefault="007E66A7" w:rsidP="007E66A7">
            <w:pPr>
              <w:rPr>
                <w:szCs w:val="22"/>
              </w:rPr>
            </w:pPr>
            <w:r>
              <w:rPr>
                <w:lang w:eastAsia="ja-JP"/>
              </w:rPr>
              <w:t>MUGA</w:t>
            </w:r>
          </w:p>
        </w:tc>
        <w:tc>
          <w:tcPr>
            <w:tcW w:w="3800" w:type="pct"/>
            <w:shd w:val="clear" w:color="auto" w:fill="auto"/>
          </w:tcPr>
          <w:p w14:paraId="0235C0D6" w14:textId="5373296C" w:rsidR="007E66A7" w:rsidRPr="00D01DDB" w:rsidRDefault="00DC1347" w:rsidP="007E66A7">
            <w:pPr>
              <w:cnfStyle w:val="000000000000" w:firstRow="0" w:lastRow="0" w:firstColumn="0" w:lastColumn="0" w:oddVBand="0" w:evenVBand="0" w:oddHBand="0" w:evenHBand="0" w:firstRowFirstColumn="0" w:firstRowLastColumn="0" w:lastRowFirstColumn="0" w:lastRowLastColumn="0"/>
              <w:rPr>
                <w:szCs w:val="22"/>
              </w:rPr>
            </w:pPr>
            <w:proofErr w:type="spellStart"/>
            <w:r>
              <w:rPr>
                <w:lang w:eastAsia="ja-JP"/>
              </w:rPr>
              <w:t>M</w:t>
            </w:r>
            <w:r w:rsidR="007E66A7">
              <w:rPr>
                <w:lang w:eastAsia="ja-JP"/>
              </w:rPr>
              <w:t>ultigated</w:t>
            </w:r>
            <w:proofErr w:type="spellEnd"/>
            <w:r w:rsidR="007E66A7">
              <w:rPr>
                <w:lang w:eastAsia="ja-JP"/>
              </w:rPr>
              <w:t xml:space="preserve"> radionuclide</w:t>
            </w:r>
          </w:p>
        </w:tc>
      </w:tr>
      <w:tr w:rsidR="007E66A7" w:rsidRPr="00D01DDB" w14:paraId="3FF4C77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560223D" w14:textId="2DCEA6DF" w:rsidR="007E66A7" w:rsidRPr="00D01DDB" w:rsidRDefault="007E66A7" w:rsidP="007E66A7">
            <w:pPr>
              <w:rPr>
                <w:szCs w:val="22"/>
              </w:rPr>
            </w:pPr>
            <w:r w:rsidRPr="00943417">
              <w:rPr>
                <w:szCs w:val="22"/>
              </w:rPr>
              <w:t>NYHA</w:t>
            </w:r>
          </w:p>
        </w:tc>
        <w:tc>
          <w:tcPr>
            <w:tcW w:w="3800" w:type="pct"/>
          </w:tcPr>
          <w:p w14:paraId="540E342F" w14:textId="7FD1BDA8"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rPr>
                <w:szCs w:val="22"/>
              </w:rPr>
              <w:t>New York Heart Association Grade measure</w:t>
            </w:r>
          </w:p>
        </w:tc>
      </w:tr>
      <w:tr w:rsidR="00CA321B" w:rsidRPr="00D01DDB" w14:paraId="2B547F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86E02CA" w14:textId="55D9C640" w:rsidR="00CA321B" w:rsidRPr="00943417" w:rsidRDefault="00CA321B" w:rsidP="007E66A7">
            <w:pPr>
              <w:rPr>
                <w:szCs w:val="22"/>
              </w:rPr>
            </w:pPr>
            <w:r>
              <w:rPr>
                <w:szCs w:val="22"/>
              </w:rPr>
              <w:t>OS</w:t>
            </w:r>
          </w:p>
        </w:tc>
        <w:tc>
          <w:tcPr>
            <w:tcW w:w="3800" w:type="pct"/>
          </w:tcPr>
          <w:p w14:paraId="2F6E08CD" w14:textId="23DC3AFE" w:rsidR="00CA321B" w:rsidRDefault="00CA321B" w:rsidP="007E66A7">
            <w:pPr>
              <w:cnfStyle w:val="000000000000" w:firstRow="0" w:lastRow="0" w:firstColumn="0" w:lastColumn="0" w:oddVBand="0" w:evenVBand="0" w:oddHBand="0" w:evenHBand="0" w:firstRowFirstColumn="0" w:firstRowLastColumn="0" w:lastRowFirstColumn="0" w:lastRowLastColumn="0"/>
              <w:rPr>
                <w:szCs w:val="22"/>
              </w:rPr>
            </w:pPr>
            <w:r>
              <w:rPr>
                <w:szCs w:val="22"/>
              </w:rPr>
              <w:t>O</w:t>
            </w:r>
            <w:r w:rsidRPr="00CA321B">
              <w:rPr>
                <w:szCs w:val="22"/>
              </w:rPr>
              <w:t>verall survival</w:t>
            </w:r>
          </w:p>
        </w:tc>
      </w:tr>
      <w:tr w:rsidR="007E66A7" w:rsidRPr="00D01DDB" w14:paraId="2547F69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8B2382A" w14:textId="71618896" w:rsidR="007E66A7" w:rsidRPr="00943417" w:rsidRDefault="007E66A7" w:rsidP="007E66A7">
            <w:pPr>
              <w:rPr>
                <w:szCs w:val="22"/>
              </w:rPr>
            </w:pPr>
            <w:r>
              <w:rPr>
                <w:szCs w:val="22"/>
              </w:rPr>
              <w:t>PBS</w:t>
            </w:r>
          </w:p>
        </w:tc>
        <w:tc>
          <w:tcPr>
            <w:tcW w:w="3800" w:type="pct"/>
          </w:tcPr>
          <w:p w14:paraId="28216C64" w14:textId="3BC5E657"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rsidRPr="003E7C19">
              <w:rPr>
                <w:szCs w:val="22"/>
              </w:rPr>
              <w:t>Pharmaceutical Benefits Scheme</w:t>
            </w:r>
          </w:p>
        </w:tc>
      </w:tr>
      <w:tr w:rsidR="007E66A7" w:rsidRPr="00D01DDB" w14:paraId="5EDE005B" w14:textId="77777777" w:rsidTr="0017719E">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51B0729F" w14:textId="10A1CBB1" w:rsidR="007E66A7" w:rsidRPr="00943417" w:rsidRDefault="007E66A7" w:rsidP="007E66A7">
            <w:pPr>
              <w:rPr>
                <w:szCs w:val="22"/>
              </w:rPr>
            </w:pPr>
            <w:r>
              <w:t>PD</w:t>
            </w:r>
          </w:p>
        </w:tc>
        <w:tc>
          <w:tcPr>
            <w:tcW w:w="3800" w:type="pct"/>
            <w:shd w:val="clear" w:color="auto" w:fill="auto"/>
          </w:tcPr>
          <w:p w14:paraId="792A17BF" w14:textId="2A100943"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t>Pharmacodynamics</w:t>
            </w:r>
          </w:p>
        </w:tc>
      </w:tr>
      <w:tr w:rsidR="00497B78" w:rsidRPr="00D01DDB" w14:paraId="2E73948E" w14:textId="77777777" w:rsidTr="0017719E">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06C0CE5A" w14:textId="00723D7B" w:rsidR="00497B78" w:rsidRDefault="00497B78" w:rsidP="007E66A7">
            <w:r>
              <w:t>PFS</w:t>
            </w:r>
          </w:p>
        </w:tc>
        <w:tc>
          <w:tcPr>
            <w:tcW w:w="3800" w:type="pct"/>
            <w:shd w:val="clear" w:color="auto" w:fill="auto"/>
          </w:tcPr>
          <w:p w14:paraId="2DB907F9" w14:textId="10561D76" w:rsidR="00497B78" w:rsidRDefault="00497B78" w:rsidP="007E66A7">
            <w:pPr>
              <w:cnfStyle w:val="000000000000" w:firstRow="0" w:lastRow="0" w:firstColumn="0" w:lastColumn="0" w:oddVBand="0" w:evenVBand="0" w:oddHBand="0" w:evenHBand="0" w:firstRowFirstColumn="0" w:firstRowLastColumn="0" w:lastRowFirstColumn="0" w:lastRowLastColumn="0"/>
            </w:pPr>
            <w:r>
              <w:t>P</w:t>
            </w:r>
            <w:r w:rsidRPr="00497B78">
              <w:t>rogression-free survival</w:t>
            </w:r>
          </w:p>
        </w:tc>
      </w:tr>
      <w:tr w:rsidR="007E66A7" w:rsidRPr="00D01DDB" w14:paraId="760A5A19" w14:textId="77777777" w:rsidTr="0017719E">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6EBD87F5" w14:textId="44401F83" w:rsidR="007E66A7" w:rsidRPr="00943417" w:rsidRDefault="007E66A7" w:rsidP="007E66A7">
            <w:pPr>
              <w:rPr>
                <w:szCs w:val="22"/>
              </w:rPr>
            </w:pPr>
            <w:r>
              <w:t>PI</w:t>
            </w:r>
          </w:p>
        </w:tc>
        <w:tc>
          <w:tcPr>
            <w:tcW w:w="3800" w:type="pct"/>
            <w:shd w:val="clear" w:color="auto" w:fill="auto"/>
          </w:tcPr>
          <w:p w14:paraId="7815C3ED" w14:textId="36F04987"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t xml:space="preserve">Product information </w:t>
            </w:r>
          </w:p>
        </w:tc>
      </w:tr>
      <w:tr w:rsidR="007E66A7" w:rsidRPr="00D01DDB" w14:paraId="64A4B046" w14:textId="77777777" w:rsidTr="0017719E">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2D4FAB89" w14:textId="58727C18" w:rsidR="007E66A7" w:rsidRPr="00943417" w:rsidRDefault="007E66A7" w:rsidP="007E66A7">
            <w:pPr>
              <w:rPr>
                <w:szCs w:val="22"/>
              </w:rPr>
            </w:pPr>
            <w:r>
              <w:t>PK</w:t>
            </w:r>
          </w:p>
        </w:tc>
        <w:tc>
          <w:tcPr>
            <w:tcW w:w="3800" w:type="pct"/>
            <w:shd w:val="clear" w:color="auto" w:fill="auto"/>
          </w:tcPr>
          <w:p w14:paraId="647481CE" w14:textId="3B0F8F58"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t>Pharmacokinetics</w:t>
            </w:r>
          </w:p>
        </w:tc>
      </w:tr>
      <w:tr w:rsidR="0097105D" w:rsidRPr="00D01DDB" w14:paraId="2380B958" w14:textId="77777777" w:rsidTr="0017719E">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63F40D29" w14:textId="3BA6D609" w:rsidR="0097105D" w:rsidRDefault="0097105D" w:rsidP="007E66A7">
            <w:r>
              <w:t>PR</w:t>
            </w:r>
          </w:p>
        </w:tc>
        <w:tc>
          <w:tcPr>
            <w:tcW w:w="3800" w:type="pct"/>
            <w:shd w:val="clear" w:color="auto" w:fill="auto"/>
          </w:tcPr>
          <w:p w14:paraId="24A9DC9A" w14:textId="7A2E84CC" w:rsidR="0097105D" w:rsidRDefault="00601C18" w:rsidP="007E66A7">
            <w:pPr>
              <w:cnfStyle w:val="000000000000" w:firstRow="0" w:lastRow="0" w:firstColumn="0" w:lastColumn="0" w:oddVBand="0" w:evenVBand="0" w:oddHBand="0" w:evenHBand="0" w:firstRowFirstColumn="0" w:firstRowLastColumn="0" w:lastRowFirstColumn="0" w:lastRowLastColumn="0"/>
            </w:pPr>
            <w:r w:rsidRPr="00601C18">
              <w:t>Partial response</w:t>
            </w:r>
          </w:p>
        </w:tc>
      </w:tr>
      <w:tr w:rsidR="007E66A7" w:rsidRPr="00D01DDB" w14:paraId="3D3C70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FC5D65" w14:textId="2915A0B8" w:rsidR="007E66A7" w:rsidRPr="00D01DDB" w:rsidRDefault="007E66A7" w:rsidP="007E66A7">
            <w:pPr>
              <w:rPr>
                <w:szCs w:val="22"/>
              </w:rPr>
            </w:pPr>
            <w:r w:rsidRPr="00D01DDB">
              <w:rPr>
                <w:szCs w:val="22"/>
              </w:rPr>
              <w:t>PSUR</w:t>
            </w:r>
          </w:p>
        </w:tc>
        <w:tc>
          <w:tcPr>
            <w:tcW w:w="3800" w:type="pct"/>
          </w:tcPr>
          <w:p w14:paraId="4A97D112" w14:textId="3DC38D82"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7E66A7"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7E66A7" w:rsidRPr="00D01DDB" w:rsidRDefault="007E66A7" w:rsidP="007E66A7">
            <w:pPr>
              <w:rPr>
                <w:szCs w:val="22"/>
              </w:rPr>
            </w:pPr>
            <w:r w:rsidRPr="00D01DDB">
              <w:rPr>
                <w:szCs w:val="22"/>
              </w:rPr>
              <w:t>RMP</w:t>
            </w:r>
          </w:p>
        </w:tc>
        <w:tc>
          <w:tcPr>
            <w:tcW w:w="3800" w:type="pct"/>
          </w:tcPr>
          <w:p w14:paraId="2C862F75" w14:textId="2355E842"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7E66A7" w:rsidRPr="00D01DDB" w14:paraId="5C0A6F3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3094949" w14:textId="03DD01C6" w:rsidR="007E66A7" w:rsidRPr="00D01DDB" w:rsidRDefault="007E66A7" w:rsidP="007E66A7">
            <w:pPr>
              <w:rPr>
                <w:szCs w:val="22"/>
              </w:rPr>
            </w:pPr>
            <w:r>
              <w:rPr>
                <w:szCs w:val="22"/>
              </w:rPr>
              <w:t>t</w:t>
            </w:r>
            <w:r w:rsidRPr="00EE2610">
              <w:rPr>
                <w:szCs w:val="22"/>
                <w:vertAlign w:val="subscript"/>
              </w:rPr>
              <w:t>1/2</w:t>
            </w:r>
          </w:p>
        </w:tc>
        <w:tc>
          <w:tcPr>
            <w:tcW w:w="3800" w:type="pct"/>
          </w:tcPr>
          <w:p w14:paraId="064D3C2E" w14:textId="26B865AD" w:rsidR="007E66A7" w:rsidRPr="00D01DDB" w:rsidRDefault="007E66A7" w:rsidP="007E66A7">
            <w:pPr>
              <w:cnfStyle w:val="000000000000" w:firstRow="0" w:lastRow="0" w:firstColumn="0" w:lastColumn="0" w:oddVBand="0" w:evenVBand="0" w:oddHBand="0" w:evenHBand="0" w:firstRowFirstColumn="0" w:firstRowLastColumn="0" w:lastRowFirstColumn="0" w:lastRowLastColumn="0"/>
              <w:rPr>
                <w:szCs w:val="22"/>
              </w:rPr>
            </w:pPr>
            <w:r w:rsidRPr="005D79A0">
              <w:rPr>
                <w:szCs w:val="22"/>
              </w:rPr>
              <w:t>Half</w:t>
            </w:r>
            <w:r w:rsidR="002600C5">
              <w:rPr>
                <w:szCs w:val="22"/>
              </w:rPr>
              <w:t>-</w:t>
            </w:r>
            <w:r w:rsidRPr="005D79A0">
              <w:rPr>
                <w:szCs w:val="22"/>
              </w:rPr>
              <w:t>life</w:t>
            </w:r>
          </w:p>
        </w:tc>
      </w:tr>
      <w:tr w:rsidR="002E5BDA" w:rsidRPr="00D01DDB" w14:paraId="2055D51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6FC6DC" w14:textId="1C4D9D41" w:rsidR="002E5BDA" w:rsidRDefault="00C43E72" w:rsidP="007E66A7">
            <w:pPr>
              <w:rPr>
                <w:szCs w:val="22"/>
              </w:rPr>
            </w:pPr>
            <w:r w:rsidRPr="00C43E72">
              <w:rPr>
                <w:szCs w:val="22"/>
              </w:rPr>
              <w:t>t</w:t>
            </w:r>
            <w:r w:rsidRPr="00C43E72">
              <w:rPr>
                <w:szCs w:val="22"/>
                <w:vertAlign w:val="subscript"/>
              </w:rPr>
              <w:t>1/2α</w:t>
            </w:r>
          </w:p>
        </w:tc>
        <w:tc>
          <w:tcPr>
            <w:tcW w:w="3800" w:type="pct"/>
          </w:tcPr>
          <w:p w14:paraId="642CA8D5" w14:textId="0E4DDE26" w:rsidR="002E5BDA" w:rsidRPr="005D79A0" w:rsidRDefault="00C43E72" w:rsidP="007E66A7">
            <w:pPr>
              <w:cnfStyle w:val="000000000000" w:firstRow="0" w:lastRow="0" w:firstColumn="0" w:lastColumn="0" w:oddVBand="0" w:evenVBand="0" w:oddHBand="0" w:evenHBand="0" w:firstRowFirstColumn="0" w:firstRowLastColumn="0" w:lastRowFirstColumn="0" w:lastRowLastColumn="0"/>
              <w:rPr>
                <w:szCs w:val="22"/>
              </w:rPr>
            </w:pPr>
            <w:r>
              <w:rPr>
                <w:szCs w:val="22"/>
              </w:rPr>
              <w:t>Half-life alpha</w:t>
            </w:r>
          </w:p>
        </w:tc>
      </w:tr>
      <w:tr w:rsidR="002E5BDA" w:rsidRPr="00D01DDB" w14:paraId="0CF8C29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B0525B4" w14:textId="1E858465" w:rsidR="002E5BDA" w:rsidRDefault="00C43E72" w:rsidP="007E66A7">
            <w:pPr>
              <w:rPr>
                <w:szCs w:val="22"/>
              </w:rPr>
            </w:pPr>
            <w:r w:rsidRPr="00C43E72">
              <w:rPr>
                <w:szCs w:val="22"/>
              </w:rPr>
              <w:t>t</w:t>
            </w:r>
            <w:r w:rsidRPr="00C43E72">
              <w:rPr>
                <w:szCs w:val="22"/>
                <w:vertAlign w:val="subscript"/>
              </w:rPr>
              <w:t>1/2β</w:t>
            </w:r>
          </w:p>
        </w:tc>
        <w:tc>
          <w:tcPr>
            <w:tcW w:w="3800" w:type="pct"/>
          </w:tcPr>
          <w:p w14:paraId="7F842E7F" w14:textId="6C20BD98" w:rsidR="002E5BDA" w:rsidRPr="005D79A0" w:rsidRDefault="002600C5" w:rsidP="007E66A7">
            <w:pPr>
              <w:cnfStyle w:val="000000000000" w:firstRow="0" w:lastRow="0" w:firstColumn="0" w:lastColumn="0" w:oddVBand="0" w:evenVBand="0" w:oddHBand="0" w:evenHBand="0" w:firstRowFirstColumn="0" w:firstRowLastColumn="0" w:lastRowFirstColumn="0" w:lastRowLastColumn="0"/>
              <w:rPr>
                <w:szCs w:val="22"/>
              </w:rPr>
            </w:pPr>
            <w:r>
              <w:rPr>
                <w:szCs w:val="22"/>
              </w:rPr>
              <w:t>Half-life beta</w:t>
            </w:r>
          </w:p>
        </w:tc>
      </w:tr>
      <w:tr w:rsidR="00A75650" w:rsidRPr="00D01DDB" w14:paraId="61F6685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7BD5287" w14:textId="66767246" w:rsidR="00A75650" w:rsidRPr="00C43E72" w:rsidRDefault="00A75650" w:rsidP="00A75650">
            <w:pPr>
              <w:rPr>
                <w:szCs w:val="22"/>
              </w:rPr>
            </w:pPr>
            <w:proofErr w:type="spellStart"/>
            <w:r w:rsidRPr="00E45DD0">
              <w:rPr>
                <w:szCs w:val="22"/>
              </w:rPr>
              <w:t>T</w:t>
            </w:r>
            <w:r w:rsidRPr="00E45DD0">
              <w:rPr>
                <w:szCs w:val="22"/>
                <w:vertAlign w:val="subscript"/>
              </w:rPr>
              <w:t>max</w:t>
            </w:r>
            <w:proofErr w:type="spellEnd"/>
          </w:p>
        </w:tc>
        <w:tc>
          <w:tcPr>
            <w:tcW w:w="3800" w:type="pct"/>
          </w:tcPr>
          <w:p w14:paraId="0513C197" w14:textId="690ACB02" w:rsidR="00A75650" w:rsidRDefault="00A75650" w:rsidP="00A75650">
            <w:pPr>
              <w:cnfStyle w:val="000000000000" w:firstRow="0" w:lastRow="0" w:firstColumn="0" w:lastColumn="0" w:oddVBand="0" w:evenVBand="0" w:oddHBand="0" w:evenHBand="0" w:firstRowFirstColumn="0" w:firstRowLastColumn="0" w:lastRowFirstColumn="0" w:lastRowLastColumn="0"/>
              <w:rPr>
                <w:szCs w:val="22"/>
              </w:rPr>
            </w:pPr>
            <w:r w:rsidRPr="006327A6">
              <w:rPr>
                <w:szCs w:val="22"/>
              </w:rPr>
              <w:t>Time after administration of a drug when the maximum plasma concentration is reached</w:t>
            </w:r>
          </w:p>
        </w:tc>
      </w:tr>
      <w:tr w:rsidR="00A75650"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A75650" w:rsidRPr="00D01DDB" w:rsidRDefault="00A75650" w:rsidP="00A75650">
            <w:pPr>
              <w:rPr>
                <w:szCs w:val="22"/>
              </w:rPr>
            </w:pPr>
            <w:r w:rsidRPr="00D01DDB">
              <w:rPr>
                <w:szCs w:val="22"/>
              </w:rPr>
              <w:t>TGA</w:t>
            </w:r>
          </w:p>
        </w:tc>
        <w:tc>
          <w:tcPr>
            <w:tcW w:w="3800" w:type="pct"/>
          </w:tcPr>
          <w:p w14:paraId="29EA6BA3" w14:textId="6F99059F" w:rsidR="00A75650" w:rsidRPr="00D01DDB" w:rsidRDefault="00A75650" w:rsidP="00A75650">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A75650" w:rsidRPr="00D01DDB" w14:paraId="79A55A3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0153DE7" w14:textId="02C4A49D" w:rsidR="00A75650" w:rsidRPr="00D01DDB" w:rsidRDefault="00A75650" w:rsidP="00A75650">
            <w:pPr>
              <w:rPr>
                <w:szCs w:val="22"/>
              </w:rPr>
            </w:pPr>
            <w:r>
              <w:rPr>
                <w:szCs w:val="22"/>
              </w:rPr>
              <w:t>UK</w:t>
            </w:r>
          </w:p>
        </w:tc>
        <w:tc>
          <w:tcPr>
            <w:tcW w:w="3800" w:type="pct"/>
          </w:tcPr>
          <w:p w14:paraId="39F4A687" w14:textId="55FCB79D" w:rsidR="00A75650" w:rsidRPr="00D01DDB" w:rsidRDefault="00A75650" w:rsidP="00A75650">
            <w:pPr>
              <w:cnfStyle w:val="000000000000" w:firstRow="0" w:lastRow="0" w:firstColumn="0" w:lastColumn="0" w:oddVBand="0" w:evenVBand="0" w:oddHBand="0" w:evenHBand="0" w:firstRowFirstColumn="0" w:firstRowLastColumn="0" w:lastRowFirstColumn="0" w:lastRowLastColumn="0"/>
              <w:rPr>
                <w:szCs w:val="22"/>
              </w:rPr>
            </w:pPr>
            <w:r>
              <w:rPr>
                <w:szCs w:val="22"/>
              </w:rPr>
              <w:t>United Kingdom</w:t>
            </w:r>
          </w:p>
        </w:tc>
      </w:tr>
      <w:tr w:rsidR="00A75650" w:rsidRPr="00D01DDB" w14:paraId="3D99D60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28BD5BF" w14:textId="1EE2103D" w:rsidR="00A75650" w:rsidRPr="00D01DDB" w:rsidRDefault="00A75650" w:rsidP="00A75650">
            <w:pPr>
              <w:rPr>
                <w:szCs w:val="22"/>
              </w:rPr>
            </w:pPr>
            <w:r>
              <w:rPr>
                <w:szCs w:val="22"/>
              </w:rPr>
              <w:t>US(A)</w:t>
            </w:r>
          </w:p>
        </w:tc>
        <w:tc>
          <w:tcPr>
            <w:tcW w:w="3800" w:type="pct"/>
          </w:tcPr>
          <w:p w14:paraId="7993FE90" w14:textId="4FD1C6DE" w:rsidR="00A75650" w:rsidRPr="00D01DDB" w:rsidRDefault="00A75650" w:rsidP="00A75650">
            <w:pPr>
              <w:cnfStyle w:val="000000000000" w:firstRow="0" w:lastRow="0" w:firstColumn="0" w:lastColumn="0" w:oddVBand="0" w:evenVBand="0" w:oddHBand="0" w:evenHBand="0" w:firstRowFirstColumn="0" w:firstRowLastColumn="0" w:lastRowFirstColumn="0" w:lastRowLastColumn="0"/>
              <w:rPr>
                <w:szCs w:val="22"/>
              </w:rPr>
            </w:pPr>
            <w:r>
              <w:rPr>
                <w:szCs w:val="22"/>
              </w:rPr>
              <w:t>United States (of America)</w:t>
            </w:r>
          </w:p>
        </w:tc>
      </w:tr>
      <w:tr w:rsidR="00692F6A" w:rsidRPr="00D01DDB" w14:paraId="1499DE2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8B82E49" w14:textId="7969E6FE" w:rsidR="00692F6A" w:rsidRDefault="00692F6A" w:rsidP="00A75650">
            <w:pPr>
              <w:rPr>
                <w:szCs w:val="22"/>
              </w:rPr>
            </w:pPr>
            <w:proofErr w:type="spellStart"/>
            <w:r>
              <w:rPr>
                <w:szCs w:val="22"/>
              </w:rPr>
              <w:t>Vd</w:t>
            </w:r>
            <w:proofErr w:type="spellEnd"/>
          </w:p>
        </w:tc>
        <w:tc>
          <w:tcPr>
            <w:tcW w:w="3800" w:type="pct"/>
          </w:tcPr>
          <w:p w14:paraId="4CD4A3B9" w14:textId="0BB80F5F" w:rsidR="00692F6A" w:rsidRDefault="00E471AD" w:rsidP="00A75650">
            <w:pPr>
              <w:cnfStyle w:val="000000000000" w:firstRow="0" w:lastRow="0" w:firstColumn="0" w:lastColumn="0" w:oddVBand="0" w:evenVBand="0" w:oddHBand="0" w:evenHBand="0" w:firstRowFirstColumn="0" w:firstRowLastColumn="0" w:lastRowFirstColumn="0" w:lastRowLastColumn="0"/>
              <w:rPr>
                <w:szCs w:val="22"/>
              </w:rPr>
            </w:pPr>
            <w:r>
              <w:rPr>
                <w:szCs w:val="22"/>
              </w:rPr>
              <w:t>V</w:t>
            </w:r>
            <w:r w:rsidR="00692F6A" w:rsidRPr="00692F6A">
              <w:rPr>
                <w:szCs w:val="22"/>
              </w:rPr>
              <w:t>olum</w:t>
            </w:r>
            <w:r w:rsidR="00692F6A">
              <w:rPr>
                <w:szCs w:val="22"/>
              </w:rPr>
              <w:t>e</w:t>
            </w:r>
            <w:r w:rsidR="00692F6A" w:rsidRPr="00692F6A">
              <w:rPr>
                <w:szCs w:val="22"/>
              </w:rPr>
              <w:t xml:space="preserve"> of distribution</w:t>
            </w:r>
          </w:p>
        </w:tc>
      </w:tr>
      <w:tr w:rsidR="00A75650" w:rsidRPr="00D01DDB" w14:paraId="7C73D65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8AC04C" w14:textId="6DE74C1F" w:rsidR="00A75650" w:rsidRPr="00D01DDB" w:rsidRDefault="00A75650" w:rsidP="00A75650">
            <w:pPr>
              <w:rPr>
                <w:szCs w:val="22"/>
              </w:rPr>
            </w:pPr>
            <w:r w:rsidRPr="00E12F30">
              <w:rPr>
                <w:szCs w:val="22"/>
              </w:rPr>
              <w:t>Zn</w:t>
            </w:r>
            <w:r w:rsidRPr="00164D48">
              <w:rPr>
                <w:szCs w:val="22"/>
                <w:vertAlign w:val="superscript"/>
              </w:rPr>
              <w:t>2+</w:t>
            </w:r>
          </w:p>
        </w:tc>
        <w:tc>
          <w:tcPr>
            <w:tcW w:w="3800" w:type="pct"/>
          </w:tcPr>
          <w:p w14:paraId="6B001007" w14:textId="6B579DB8" w:rsidR="00A75650" w:rsidRPr="00D01DDB" w:rsidRDefault="00A75650" w:rsidP="00A75650">
            <w:pPr>
              <w:cnfStyle w:val="000000000000" w:firstRow="0" w:lastRow="0" w:firstColumn="0" w:lastColumn="0" w:oddVBand="0" w:evenVBand="0" w:oddHBand="0" w:evenHBand="0" w:firstRowFirstColumn="0" w:firstRowLastColumn="0" w:lastRowFirstColumn="0" w:lastRowLastColumn="0"/>
              <w:rPr>
                <w:szCs w:val="22"/>
              </w:rPr>
            </w:pPr>
            <w:r>
              <w:rPr>
                <w:szCs w:val="22"/>
              </w:rPr>
              <w:t>Zinc ion</w:t>
            </w:r>
          </w:p>
        </w:tc>
      </w:tr>
    </w:tbl>
    <w:p w14:paraId="795D392D" w14:textId="77777777" w:rsidR="00DC1347" w:rsidRDefault="00DC1347">
      <w:pPr>
        <w:rPr>
          <w:rFonts w:ascii="Arial" w:eastAsia="Times New Roman" w:hAnsi="Arial" w:cs="Times New Roman"/>
          <w:b/>
          <w:bCs/>
          <w:color w:val="001871"/>
          <w:sz w:val="38"/>
          <w:szCs w:val="38"/>
        </w:rPr>
      </w:pPr>
      <w:bookmarkStart w:id="8" w:name="_Toc103679288"/>
      <w:r>
        <w:br w:type="page"/>
      </w:r>
    </w:p>
    <w:p w14:paraId="44C2A39C" w14:textId="66698697" w:rsidR="00324B33" w:rsidRDefault="00DE17E8" w:rsidP="00324B33">
      <w:pPr>
        <w:pStyle w:val="Heading2"/>
      </w:pPr>
      <w:bookmarkStart w:id="9" w:name="_Toc210912394"/>
      <w:r>
        <w:lastRenderedPageBreak/>
        <w:t>Pr</w:t>
      </w:r>
      <w:r w:rsidR="00324B33">
        <w:t>oduct submission</w:t>
      </w:r>
      <w:bookmarkEnd w:id="8"/>
      <w:bookmarkEnd w:id="9"/>
    </w:p>
    <w:p w14:paraId="21D559DF" w14:textId="77777777" w:rsidR="00324B33" w:rsidRDefault="00324B33" w:rsidP="00324B33">
      <w:pPr>
        <w:pStyle w:val="Heading3"/>
        <w:rPr>
          <w:lang w:eastAsia="en-AU"/>
        </w:rPr>
      </w:pPr>
      <w:bookmarkStart w:id="10" w:name="_Toc247691502"/>
      <w:bookmarkStart w:id="11" w:name="_Toc314842483"/>
      <w:bookmarkStart w:id="12" w:name="_Toc103679289"/>
      <w:bookmarkStart w:id="13" w:name="_Toc210912395"/>
      <w:r>
        <w:rPr>
          <w:lang w:eastAsia="en-AU"/>
        </w:rPr>
        <w:t>Submission details</w:t>
      </w:r>
      <w:bookmarkEnd w:id="10"/>
      <w:bookmarkEnd w:id="11"/>
      <w:bookmarkEnd w:id="12"/>
      <w:bookmarkEnd w:id="13"/>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6E58212C" w:rsidR="00324B33" w:rsidRPr="00BD5DBD" w:rsidRDefault="00324B33" w:rsidP="007452E8">
            <w:pPr>
              <w:rPr>
                <w:i/>
                <w:szCs w:val="22"/>
              </w:rPr>
            </w:pPr>
            <w:r w:rsidRPr="00BD5DBD">
              <w:rPr>
                <w:i/>
                <w:szCs w:val="22"/>
              </w:rPr>
              <w:t>Type of submission:</w:t>
            </w:r>
          </w:p>
        </w:tc>
        <w:tc>
          <w:tcPr>
            <w:tcW w:w="3423" w:type="pct"/>
          </w:tcPr>
          <w:p w14:paraId="4F07C303" w14:textId="4C006817" w:rsidR="00324B33" w:rsidRPr="00BD5DBD" w:rsidRDefault="00324B33" w:rsidP="007452E8">
            <w:pPr>
              <w:rPr>
                <w:szCs w:val="22"/>
              </w:rPr>
            </w:pPr>
            <w:r w:rsidRPr="00BD5DBD">
              <w:rPr>
                <w:szCs w:val="22"/>
              </w:rPr>
              <w:t xml:space="preserve">New </w:t>
            </w:r>
            <w:bookmarkStart w:id="14" w:name="_Hlk211337318"/>
            <w:r w:rsidRPr="00BD5DBD">
              <w:rPr>
                <w:szCs w:val="22"/>
              </w:rPr>
              <w:t xml:space="preserve">chemical </w:t>
            </w:r>
            <w:bookmarkEnd w:id="14"/>
            <w:r w:rsidRPr="00BD5DBD">
              <w:rPr>
                <w:szCs w:val="22"/>
              </w:rPr>
              <w:t>entity</w:t>
            </w:r>
          </w:p>
        </w:tc>
      </w:tr>
      <w:tr w:rsidR="00324B33" w:rsidRPr="00BD5DBD" w14:paraId="13482B61" w14:textId="77777777" w:rsidTr="00F865A7">
        <w:tc>
          <w:tcPr>
            <w:tcW w:w="1577" w:type="pct"/>
          </w:tcPr>
          <w:p w14:paraId="2C427FCF" w14:textId="77FADEDF" w:rsidR="00324B33" w:rsidRPr="00BD5DBD" w:rsidRDefault="00324B33" w:rsidP="007452E8">
            <w:pPr>
              <w:rPr>
                <w:i/>
                <w:szCs w:val="22"/>
              </w:rPr>
            </w:pPr>
            <w:r w:rsidRPr="00BD5DBD">
              <w:rPr>
                <w:i/>
                <w:szCs w:val="22"/>
              </w:rPr>
              <w:t>Product name:</w:t>
            </w:r>
          </w:p>
        </w:tc>
        <w:tc>
          <w:tcPr>
            <w:tcW w:w="3423" w:type="pct"/>
          </w:tcPr>
          <w:p w14:paraId="0E2DEF76" w14:textId="74409D96" w:rsidR="00324B33" w:rsidRPr="00BD5DBD" w:rsidRDefault="00644B41" w:rsidP="007452E8">
            <w:pPr>
              <w:rPr>
                <w:szCs w:val="22"/>
              </w:rPr>
            </w:pPr>
            <w:r w:rsidRPr="00644B41">
              <w:rPr>
                <w:szCs w:val="22"/>
              </w:rPr>
              <w:t>Dexrazoxane-Reach</w:t>
            </w:r>
          </w:p>
        </w:tc>
      </w:tr>
      <w:tr w:rsidR="00324B33" w:rsidRPr="00BD5DBD" w14:paraId="01255B5B" w14:textId="77777777" w:rsidTr="00F865A7">
        <w:tc>
          <w:tcPr>
            <w:tcW w:w="1577" w:type="pct"/>
          </w:tcPr>
          <w:p w14:paraId="52B4F3D7" w14:textId="487A4511" w:rsidR="00324B33" w:rsidRPr="00BD5DBD" w:rsidRDefault="00324B33" w:rsidP="007452E8">
            <w:pPr>
              <w:rPr>
                <w:i/>
                <w:szCs w:val="22"/>
              </w:rPr>
            </w:pPr>
            <w:r w:rsidRPr="00BD5DBD">
              <w:rPr>
                <w:i/>
                <w:szCs w:val="22"/>
              </w:rPr>
              <w:t>Active ingredient:</w:t>
            </w:r>
          </w:p>
        </w:tc>
        <w:tc>
          <w:tcPr>
            <w:tcW w:w="3423" w:type="pct"/>
          </w:tcPr>
          <w:p w14:paraId="02FB6383" w14:textId="6F7BB164" w:rsidR="00324B33" w:rsidRPr="00BD5DBD" w:rsidRDefault="006F2BC0" w:rsidP="007452E8">
            <w:pPr>
              <w:rPr>
                <w:szCs w:val="22"/>
              </w:rPr>
            </w:pPr>
            <w:r w:rsidRPr="006F2BC0">
              <w:rPr>
                <w:szCs w:val="22"/>
              </w:rPr>
              <w:t>dexrazoxane</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43D369D2" w:rsidR="00324B33" w:rsidRPr="00BD5DBD" w:rsidRDefault="00324B33" w:rsidP="007452E8">
            <w:pPr>
              <w:rPr>
                <w:szCs w:val="22"/>
              </w:rPr>
            </w:pPr>
            <w:r w:rsidRPr="00BD5DBD">
              <w:rPr>
                <w:szCs w:val="22"/>
              </w:rPr>
              <w:t xml:space="preserve">Approved </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69C4017F" w:rsidR="00AE1947" w:rsidRPr="00BD5DBD" w:rsidRDefault="006F2BC0" w:rsidP="00602658">
            <w:pPr>
              <w:rPr>
                <w:szCs w:val="22"/>
              </w:rPr>
            </w:pPr>
            <w:r>
              <w:rPr>
                <w:szCs w:val="22"/>
              </w:rPr>
              <w:t xml:space="preserve">20 March 2025 </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526484AF" w:rsidR="00324B33" w:rsidRPr="00BD5DBD" w:rsidRDefault="002D4FA9" w:rsidP="007452E8">
            <w:pPr>
              <w:rPr>
                <w:szCs w:val="22"/>
              </w:rPr>
            </w:pPr>
            <w:r>
              <w:rPr>
                <w:szCs w:val="22"/>
              </w:rPr>
              <w:t>24 March 2025</w:t>
            </w:r>
          </w:p>
        </w:tc>
      </w:tr>
      <w:tr w:rsidR="00324B33" w:rsidRPr="00BD5DBD" w14:paraId="547E08D7" w14:textId="77777777" w:rsidTr="00F865A7">
        <w:tc>
          <w:tcPr>
            <w:tcW w:w="1577" w:type="pct"/>
          </w:tcPr>
          <w:p w14:paraId="5030EF30" w14:textId="5F2304AB" w:rsidR="00324B33" w:rsidRPr="00BD5DBD" w:rsidRDefault="00324B33" w:rsidP="007452E8">
            <w:pPr>
              <w:rPr>
                <w:i/>
                <w:szCs w:val="22"/>
              </w:rPr>
            </w:pPr>
            <w:r w:rsidRPr="00BD5DBD">
              <w:rPr>
                <w:i/>
                <w:szCs w:val="22"/>
              </w:rPr>
              <w:t>ARTG number</w:t>
            </w:r>
            <w:r w:rsidR="00A356A2">
              <w:rPr>
                <w:i/>
                <w:szCs w:val="22"/>
              </w:rPr>
              <w:t>s</w:t>
            </w:r>
            <w:r w:rsidRPr="00BD5DBD">
              <w:rPr>
                <w:i/>
                <w:szCs w:val="22"/>
              </w:rPr>
              <w:t>:</w:t>
            </w:r>
          </w:p>
        </w:tc>
        <w:tc>
          <w:tcPr>
            <w:tcW w:w="3423" w:type="pct"/>
          </w:tcPr>
          <w:p w14:paraId="0054E912" w14:textId="33E65F04" w:rsidR="00324B33" w:rsidRPr="00BD5DBD" w:rsidRDefault="00181F69" w:rsidP="007452E8">
            <w:pPr>
              <w:rPr>
                <w:szCs w:val="22"/>
              </w:rPr>
            </w:pPr>
            <w:r>
              <w:rPr>
                <w:szCs w:val="22"/>
              </w:rPr>
              <w:t>42803</w:t>
            </w:r>
            <w:r w:rsidR="008709D3">
              <w:rPr>
                <w:szCs w:val="22"/>
              </w:rPr>
              <w:t>3</w:t>
            </w:r>
            <w:r w:rsidR="002D045E">
              <w:rPr>
                <w:szCs w:val="22"/>
              </w:rPr>
              <w:t xml:space="preserve"> and</w:t>
            </w:r>
            <w:r w:rsidR="008709D3">
              <w:rPr>
                <w:szCs w:val="22"/>
              </w:rPr>
              <w:t xml:space="preserve"> </w:t>
            </w:r>
            <w:r w:rsidR="008709D3" w:rsidRPr="008709D3">
              <w:rPr>
                <w:szCs w:val="22"/>
              </w:rPr>
              <w:t>428034</w:t>
            </w:r>
          </w:p>
        </w:tc>
      </w:tr>
      <w:tr w:rsidR="00324B33" w:rsidRPr="00BD5DBD" w14:paraId="7618393F" w14:textId="77777777" w:rsidTr="00F865A7">
        <w:tc>
          <w:tcPr>
            <w:tcW w:w="1577" w:type="pct"/>
          </w:tcPr>
          <w:p w14:paraId="6C24CEB6" w14:textId="6A7FE944" w:rsidR="00E47E0C" w:rsidRPr="00040EBD" w:rsidRDefault="00324B33" w:rsidP="007452E8">
            <w:pPr>
              <w:rPr>
                <w:rStyle w:val="Hyperlink"/>
                <w:i/>
                <w:szCs w:val="22"/>
              </w:rPr>
            </w:pPr>
            <w:r w:rsidRPr="00040EBD">
              <w:rPr>
                <w:rFonts w:ascii="Wingdings 3" w:hAnsi="Wingdings 3"/>
                <w:szCs w:val="22"/>
                <w:lang w:eastAsia="en-AU"/>
              </w:rPr>
              <w:t></w:t>
            </w:r>
            <w:hyperlink r:id="rId17" w:history="1">
              <w:r w:rsidRPr="00040EBD">
                <w:rPr>
                  <w:rStyle w:val="Hyperlink"/>
                  <w:i/>
                  <w:szCs w:val="22"/>
                </w:rPr>
                <w:t>Black Triangle Scheme</w:t>
              </w:r>
            </w:hyperlink>
          </w:p>
          <w:p w14:paraId="02260DE2" w14:textId="1FC334AE" w:rsidR="00324B33" w:rsidRPr="00040EBD" w:rsidRDefault="00E47E0C" w:rsidP="007452E8">
            <w:pPr>
              <w:rPr>
                <w:i/>
                <w:szCs w:val="22"/>
              </w:rPr>
            </w:pPr>
            <w:r w:rsidRPr="00040EBD">
              <w:rPr>
                <w:i/>
                <w:szCs w:val="22"/>
              </w:rPr>
              <w:t xml:space="preserve">for </w:t>
            </w:r>
            <w:r w:rsidR="007B04DE" w:rsidRPr="00040EBD">
              <w:rPr>
                <w:i/>
                <w:szCs w:val="22"/>
              </w:rPr>
              <w:t>the current</w:t>
            </w:r>
            <w:r w:rsidRPr="00040EBD">
              <w:rPr>
                <w:i/>
                <w:szCs w:val="22"/>
              </w:rPr>
              <w:t xml:space="preserve"> submission</w:t>
            </w:r>
            <w:r w:rsidR="00324B33" w:rsidRPr="00040EBD">
              <w:rPr>
                <w:i/>
                <w:szCs w:val="22"/>
              </w:rPr>
              <w:t>:</w:t>
            </w:r>
          </w:p>
        </w:tc>
        <w:tc>
          <w:tcPr>
            <w:tcW w:w="3423" w:type="pct"/>
          </w:tcPr>
          <w:p w14:paraId="6FF3C6A2" w14:textId="505422AA" w:rsidR="00324B33" w:rsidRPr="00040EBD" w:rsidRDefault="00324B33" w:rsidP="007452E8">
            <w:pPr>
              <w:rPr>
                <w:szCs w:val="22"/>
              </w:rPr>
            </w:pPr>
            <w:r w:rsidRPr="00040EBD">
              <w:rPr>
                <w:szCs w:val="22"/>
              </w:rPr>
              <w:t>Yes</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29AFDFA8" w14:textId="77777777" w:rsidR="00324B33" w:rsidRDefault="00044A26" w:rsidP="007452E8">
            <w:pPr>
              <w:rPr>
                <w:szCs w:val="22"/>
              </w:rPr>
            </w:pPr>
            <w:r w:rsidRPr="00044A26">
              <w:rPr>
                <w:szCs w:val="22"/>
              </w:rPr>
              <w:t>Reach Pharmaceuticals Pty Ltd</w:t>
            </w:r>
          </w:p>
          <w:p w14:paraId="73E28E72" w14:textId="77777777" w:rsidR="00F13EEE" w:rsidRPr="00F13EEE" w:rsidRDefault="00F13EEE" w:rsidP="00F13EEE">
            <w:pPr>
              <w:rPr>
                <w:szCs w:val="22"/>
              </w:rPr>
            </w:pPr>
            <w:r w:rsidRPr="00F13EEE">
              <w:rPr>
                <w:szCs w:val="22"/>
              </w:rPr>
              <w:t xml:space="preserve">Ground Floor, Corporate One </w:t>
            </w:r>
          </w:p>
          <w:p w14:paraId="557F9DAE" w14:textId="77777777" w:rsidR="00F13EEE" w:rsidRPr="00F13EEE" w:rsidRDefault="00F13EEE" w:rsidP="00F13EEE">
            <w:pPr>
              <w:rPr>
                <w:szCs w:val="22"/>
              </w:rPr>
            </w:pPr>
            <w:r w:rsidRPr="00F13EEE">
              <w:rPr>
                <w:szCs w:val="22"/>
              </w:rPr>
              <w:t xml:space="preserve">84 Hotham Rd, </w:t>
            </w:r>
          </w:p>
          <w:p w14:paraId="68DD94B0" w14:textId="005D4F4B" w:rsidR="00044A26" w:rsidRPr="00BD5DBD" w:rsidRDefault="00F13EEE" w:rsidP="00F13EEE">
            <w:pPr>
              <w:rPr>
                <w:szCs w:val="22"/>
              </w:rPr>
            </w:pPr>
            <w:r w:rsidRPr="00F13EEE">
              <w:rPr>
                <w:szCs w:val="22"/>
              </w:rPr>
              <w:t xml:space="preserve">Preston VIC 3072 </w:t>
            </w:r>
          </w:p>
        </w:tc>
      </w:tr>
      <w:tr w:rsidR="00324B33" w:rsidRPr="00BD5DBD" w14:paraId="5322B989" w14:textId="77777777" w:rsidTr="00F865A7">
        <w:tc>
          <w:tcPr>
            <w:tcW w:w="1577" w:type="pct"/>
          </w:tcPr>
          <w:p w14:paraId="24F217E3" w14:textId="7AD21247" w:rsidR="00324B33" w:rsidRPr="00BD5DBD" w:rsidRDefault="00324B33" w:rsidP="007452E8">
            <w:pPr>
              <w:rPr>
                <w:i/>
                <w:szCs w:val="22"/>
              </w:rPr>
            </w:pPr>
            <w:r w:rsidRPr="00BD5DBD">
              <w:rPr>
                <w:i/>
                <w:szCs w:val="22"/>
              </w:rPr>
              <w:t>Dose forms:</w:t>
            </w:r>
          </w:p>
        </w:tc>
        <w:tc>
          <w:tcPr>
            <w:tcW w:w="3423" w:type="pct"/>
          </w:tcPr>
          <w:p w14:paraId="3EF89320" w14:textId="14A0E4C7" w:rsidR="006E0287" w:rsidRPr="006E0287" w:rsidRDefault="006E0287" w:rsidP="006E0287">
            <w:pPr>
              <w:rPr>
                <w:szCs w:val="22"/>
              </w:rPr>
            </w:pPr>
            <w:r w:rsidRPr="006E0287">
              <w:rPr>
                <w:szCs w:val="22"/>
              </w:rPr>
              <w:t xml:space="preserve">250 mg vial: Each vial of powder contains 250 mg of dexrazoxane. </w:t>
            </w:r>
          </w:p>
          <w:p w14:paraId="768B254C" w14:textId="613107F7" w:rsidR="00324B33" w:rsidRPr="00BD5DBD" w:rsidRDefault="006E0287" w:rsidP="006E0287">
            <w:pPr>
              <w:rPr>
                <w:szCs w:val="22"/>
              </w:rPr>
            </w:pPr>
            <w:r w:rsidRPr="006E0287">
              <w:rPr>
                <w:szCs w:val="22"/>
              </w:rPr>
              <w:t>500 mg vial: Each vial of powder contains 500 mg of dexrazoxane.</w:t>
            </w:r>
          </w:p>
        </w:tc>
      </w:tr>
      <w:tr w:rsidR="00324B33" w:rsidRPr="00BD5DBD" w14:paraId="34B07BA6" w14:textId="77777777" w:rsidTr="00F865A7">
        <w:tc>
          <w:tcPr>
            <w:tcW w:w="1577" w:type="pct"/>
          </w:tcPr>
          <w:p w14:paraId="1C039224" w14:textId="5FD7FA2A" w:rsidR="00324B33" w:rsidRPr="00BD5DBD" w:rsidRDefault="00324B33" w:rsidP="007452E8">
            <w:pPr>
              <w:rPr>
                <w:i/>
                <w:szCs w:val="22"/>
              </w:rPr>
            </w:pPr>
            <w:r w:rsidRPr="00BD5DBD">
              <w:rPr>
                <w:i/>
                <w:szCs w:val="22"/>
              </w:rPr>
              <w:t>Container:</w:t>
            </w:r>
          </w:p>
        </w:tc>
        <w:tc>
          <w:tcPr>
            <w:tcW w:w="3423" w:type="pct"/>
          </w:tcPr>
          <w:p w14:paraId="500A42C6" w14:textId="73964715" w:rsidR="00324B33" w:rsidRPr="00BD5DBD" w:rsidRDefault="0027496F" w:rsidP="007452E8">
            <w:pPr>
              <w:rPr>
                <w:szCs w:val="22"/>
              </w:rPr>
            </w:pPr>
            <w:r>
              <w:rPr>
                <w:szCs w:val="22"/>
              </w:rPr>
              <w:t>C</w:t>
            </w:r>
            <w:r w:rsidR="00511DD2" w:rsidRPr="00511DD2">
              <w:rPr>
                <w:szCs w:val="22"/>
              </w:rPr>
              <w:t xml:space="preserve">lear moulded glass vial </w:t>
            </w:r>
          </w:p>
        </w:tc>
      </w:tr>
      <w:tr w:rsidR="00324B33" w:rsidRPr="00BD5DBD" w14:paraId="176B6773" w14:textId="77777777" w:rsidTr="00F865A7">
        <w:tc>
          <w:tcPr>
            <w:tcW w:w="1577" w:type="pct"/>
          </w:tcPr>
          <w:p w14:paraId="71846159" w14:textId="15D2BA05" w:rsidR="00324B33" w:rsidRPr="00BD5DBD" w:rsidRDefault="00324B33" w:rsidP="007452E8">
            <w:pPr>
              <w:rPr>
                <w:i/>
                <w:szCs w:val="22"/>
              </w:rPr>
            </w:pPr>
            <w:r w:rsidRPr="00BD5DBD">
              <w:rPr>
                <w:i/>
                <w:szCs w:val="22"/>
              </w:rPr>
              <w:t>Pack sizes:</w:t>
            </w:r>
          </w:p>
        </w:tc>
        <w:tc>
          <w:tcPr>
            <w:tcW w:w="3423" w:type="pct"/>
          </w:tcPr>
          <w:p w14:paraId="7E978F8F" w14:textId="0CFCA4C7" w:rsidR="00324B33" w:rsidRPr="00BD5DBD" w:rsidRDefault="00446103" w:rsidP="007452E8">
            <w:pPr>
              <w:rPr>
                <w:szCs w:val="22"/>
              </w:rPr>
            </w:pPr>
            <w:r>
              <w:rPr>
                <w:szCs w:val="22"/>
              </w:rPr>
              <w:t>S</w:t>
            </w:r>
            <w:r w:rsidR="00BD2682">
              <w:rPr>
                <w:szCs w:val="22"/>
              </w:rPr>
              <w:t xml:space="preserve">ingle </w:t>
            </w:r>
            <w:r w:rsidR="00BD2682" w:rsidRPr="00BD2682">
              <w:rPr>
                <w:szCs w:val="22"/>
              </w:rPr>
              <w:t xml:space="preserve">packs </w:t>
            </w:r>
            <w:r w:rsidR="00BD2682">
              <w:rPr>
                <w:szCs w:val="22"/>
              </w:rPr>
              <w:t xml:space="preserve">only. </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246B5EAD" w:rsidR="00324B33" w:rsidRPr="00BD5DBD" w:rsidRDefault="007C412D" w:rsidP="007C412D">
            <w:pPr>
              <w:rPr>
                <w:szCs w:val="22"/>
              </w:rPr>
            </w:pPr>
            <w:r w:rsidRPr="007C412D">
              <w:rPr>
                <w:i/>
                <w:iCs/>
                <w:szCs w:val="22"/>
              </w:rPr>
              <w:t>D</w:t>
            </w:r>
            <w:r>
              <w:rPr>
                <w:i/>
                <w:iCs/>
                <w:szCs w:val="22"/>
              </w:rPr>
              <w:t>exrazoxane-Reach</w:t>
            </w:r>
            <w:r w:rsidRPr="007C412D">
              <w:rPr>
                <w:i/>
                <w:iCs/>
                <w:szCs w:val="22"/>
              </w:rPr>
              <w:t xml:space="preserve"> is indicated for reducing the incidence and severity of</w:t>
            </w:r>
            <w:r>
              <w:rPr>
                <w:i/>
                <w:iCs/>
                <w:szCs w:val="22"/>
              </w:rPr>
              <w:t xml:space="preserve"> </w:t>
            </w:r>
            <w:r w:rsidRPr="007C412D">
              <w:rPr>
                <w:i/>
                <w:iCs/>
                <w:szCs w:val="22"/>
              </w:rPr>
              <w:t>cardiomyopathy associated with doxorubicin administration in women with metastatic</w:t>
            </w:r>
            <w:r>
              <w:rPr>
                <w:i/>
                <w:iCs/>
                <w:szCs w:val="22"/>
              </w:rPr>
              <w:t xml:space="preserve"> </w:t>
            </w:r>
            <w:r w:rsidRPr="007C412D">
              <w:rPr>
                <w:i/>
                <w:iCs/>
                <w:szCs w:val="22"/>
              </w:rPr>
              <w:t>breast cancer who have received a cumulative doxorubicin dose of 300 mg/m2 and who</w:t>
            </w:r>
            <w:r>
              <w:rPr>
                <w:i/>
                <w:iCs/>
                <w:szCs w:val="22"/>
              </w:rPr>
              <w:t xml:space="preserve"> </w:t>
            </w:r>
            <w:r w:rsidRPr="007C412D">
              <w:rPr>
                <w:i/>
                <w:iCs/>
                <w:szCs w:val="22"/>
              </w:rPr>
              <w:t>will continue to receive doxorubicin therapy to maintain tumour control.</w:t>
            </w:r>
          </w:p>
        </w:tc>
      </w:tr>
      <w:tr w:rsidR="00324B33" w:rsidRPr="00BD5DBD" w14:paraId="5AFDEED3" w14:textId="77777777" w:rsidTr="00F865A7">
        <w:tc>
          <w:tcPr>
            <w:tcW w:w="1577" w:type="pct"/>
          </w:tcPr>
          <w:p w14:paraId="03884BD1" w14:textId="38D70493" w:rsidR="00324B33" w:rsidRPr="00BD5DBD" w:rsidRDefault="00324B33" w:rsidP="007452E8">
            <w:pPr>
              <w:rPr>
                <w:i/>
                <w:szCs w:val="22"/>
              </w:rPr>
            </w:pPr>
            <w:r w:rsidRPr="00BD5DBD">
              <w:rPr>
                <w:i/>
                <w:szCs w:val="22"/>
              </w:rPr>
              <w:t>Route of administration:</w:t>
            </w:r>
          </w:p>
        </w:tc>
        <w:tc>
          <w:tcPr>
            <w:tcW w:w="3423" w:type="pct"/>
          </w:tcPr>
          <w:p w14:paraId="1ED1357E" w14:textId="433797FA" w:rsidR="00324B33" w:rsidRPr="00BD5DBD" w:rsidRDefault="007D0E04" w:rsidP="007452E8">
            <w:pPr>
              <w:rPr>
                <w:szCs w:val="22"/>
              </w:rPr>
            </w:pPr>
            <w:r>
              <w:rPr>
                <w:szCs w:val="22"/>
              </w:rPr>
              <w:t>Intravenous infusion</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4BD4ECF7" w14:textId="6FE24574" w:rsidR="00666911" w:rsidRDefault="0023442B" w:rsidP="0023442B">
            <w:pPr>
              <w:rPr>
                <w:szCs w:val="22"/>
              </w:rPr>
            </w:pPr>
            <w:r w:rsidRPr="0023442B">
              <w:rPr>
                <w:szCs w:val="22"/>
              </w:rPr>
              <w:t>D</w:t>
            </w:r>
            <w:r w:rsidR="00C2614A">
              <w:rPr>
                <w:szCs w:val="22"/>
              </w:rPr>
              <w:t>exrazoxane</w:t>
            </w:r>
            <w:r w:rsidRPr="0023442B">
              <w:rPr>
                <w:szCs w:val="22"/>
              </w:rPr>
              <w:t>-</w:t>
            </w:r>
            <w:r w:rsidR="00C2614A">
              <w:rPr>
                <w:szCs w:val="22"/>
              </w:rPr>
              <w:t>Reach</w:t>
            </w:r>
            <w:r w:rsidRPr="0023442B">
              <w:rPr>
                <w:szCs w:val="22"/>
              </w:rPr>
              <w:t xml:space="preserve"> is a cardio</w:t>
            </w:r>
            <w:r w:rsidR="00805486">
              <w:rPr>
                <w:szCs w:val="22"/>
              </w:rPr>
              <w:t>-</w:t>
            </w:r>
            <w:r w:rsidRPr="0023442B">
              <w:rPr>
                <w:szCs w:val="22"/>
              </w:rPr>
              <w:t xml:space="preserve">protective agent for use in conjunction with doxorubicin, for intravenous administration. </w:t>
            </w:r>
          </w:p>
          <w:p w14:paraId="7018E270" w14:textId="71D99F91" w:rsidR="00634F3D" w:rsidRDefault="00634F3D" w:rsidP="00634F3D">
            <w:pPr>
              <w:rPr>
                <w:szCs w:val="22"/>
              </w:rPr>
            </w:pPr>
            <w:r w:rsidRPr="00634F3D">
              <w:rPr>
                <w:szCs w:val="22"/>
              </w:rPr>
              <w:t>Administer dexrazoxane for injection via intravenous infusion over 15 minutes. The recommended dosage ratio of dexrazoxane for injection to doxorubicin is 10:1. Do not administer doxorubicin before dexrazoxane for injection. Administer doxorubicin within 30 minutes after the completion of dexrazoxane for injection infusion.</w:t>
            </w:r>
          </w:p>
          <w:p w14:paraId="3D0B2D5C" w14:textId="36CB22D6" w:rsidR="00324B33" w:rsidRPr="00BD5DBD" w:rsidRDefault="00324B33" w:rsidP="007452E8">
            <w:pPr>
              <w:rPr>
                <w:szCs w:val="22"/>
              </w:rPr>
            </w:pPr>
            <w:r w:rsidRPr="00BD5DBD">
              <w:rPr>
                <w:szCs w:val="22"/>
              </w:rPr>
              <w:lastRenderedPageBreak/>
              <w:t xml:space="preserve">For further information regarding dosage, </w:t>
            </w:r>
            <w:r w:rsidR="006B7126">
              <w:rPr>
                <w:szCs w:val="22"/>
              </w:rPr>
              <w:t xml:space="preserve">such as dosage modifications to manage adverse reactions, </w:t>
            </w:r>
            <w:r w:rsidRPr="00BD5DBD">
              <w:rPr>
                <w:szCs w:val="22"/>
              </w:rPr>
              <w:t xml:space="preserve">refer to the </w:t>
            </w:r>
            <w:hyperlink w:anchor="_Product_Information_and" w:history="1">
              <w:r w:rsidRPr="00425C50">
                <w:rPr>
                  <w:rStyle w:val="Hyperlink"/>
                  <w:szCs w:val="22"/>
                </w:rPr>
                <w:t>Product Information.</w:t>
              </w:r>
            </w:hyperlink>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lastRenderedPageBreak/>
              <w:t>Pregnancy category:</w:t>
            </w:r>
          </w:p>
        </w:tc>
        <w:tc>
          <w:tcPr>
            <w:tcW w:w="3423" w:type="pct"/>
          </w:tcPr>
          <w:p w14:paraId="4817F4F4" w14:textId="6CA02CF1" w:rsidR="00000E6E" w:rsidRDefault="00D44599" w:rsidP="00D44599">
            <w:pPr>
              <w:rPr>
                <w:szCs w:val="22"/>
              </w:rPr>
            </w:pPr>
            <w:r w:rsidRPr="00D44599">
              <w:rPr>
                <w:szCs w:val="22"/>
              </w:rPr>
              <w:t>Pregnancy Category D</w:t>
            </w:r>
          </w:p>
          <w:p w14:paraId="4CCA6E5F" w14:textId="090D84A4" w:rsidR="00D00C0C" w:rsidRPr="00D44599" w:rsidRDefault="00D00C0C" w:rsidP="00D44599">
            <w:pPr>
              <w:rPr>
                <w:szCs w:val="22"/>
              </w:rPr>
            </w:pPr>
            <w:r w:rsidRPr="00D00C0C">
              <w:rPr>
                <w:szCs w:val="22"/>
              </w:rPr>
              <w:t>There are no adequate data from the use of dexrazoxane in pregnant women.</w:t>
            </w:r>
          </w:p>
          <w:p w14:paraId="76497789" w14:textId="634DC28C" w:rsidR="0017005C" w:rsidRPr="00BD5DBD" w:rsidRDefault="0070330F" w:rsidP="00306E72">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18"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9"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5" w:name="_Toc247691503"/>
      <w:bookmarkStart w:id="16" w:name="_Toc314842484"/>
      <w:bookmarkStart w:id="17" w:name="_Toc103679290"/>
      <w:bookmarkStart w:id="18" w:name="_Toc210912396"/>
      <w:r>
        <w:t>Product background</w:t>
      </w:r>
      <w:bookmarkEnd w:id="15"/>
      <w:bookmarkEnd w:id="16"/>
      <w:bookmarkEnd w:id="17"/>
      <w:bookmarkEnd w:id="18"/>
    </w:p>
    <w:p w14:paraId="59BF31D1" w14:textId="1F3C0B94" w:rsidR="001500A8" w:rsidRDefault="00324B33" w:rsidP="00065839">
      <w:r w:rsidRPr="00065839">
        <w:t xml:space="preserve">This AusPAR describes the submission by </w:t>
      </w:r>
      <w:r w:rsidR="009E7B35" w:rsidRPr="009E7B35">
        <w:t xml:space="preserve">Reach Pharmaceuticals </w:t>
      </w:r>
      <w:r w:rsidRPr="00065839">
        <w:t xml:space="preserve">to register </w:t>
      </w:r>
      <w:r w:rsidR="00401917" w:rsidRPr="00401917">
        <w:t xml:space="preserve">Dexrazoxane-Reach </w:t>
      </w:r>
      <w:r w:rsidRPr="00065839">
        <w:t>(</w:t>
      </w:r>
      <w:r w:rsidR="00401917">
        <w:t>d</w:t>
      </w:r>
      <w:r w:rsidR="00401917" w:rsidRPr="00401917">
        <w:t>exrazoxane</w:t>
      </w:r>
      <w:r w:rsidRPr="00065839">
        <w:t xml:space="preserve">) </w:t>
      </w:r>
      <w:r w:rsidR="002377CB" w:rsidRPr="002377CB">
        <w:t>250 mg</w:t>
      </w:r>
      <w:r w:rsidR="002377CB">
        <w:t xml:space="preserve"> and </w:t>
      </w:r>
      <w:r w:rsidR="002377CB" w:rsidRPr="002377CB">
        <w:t>500 mg</w:t>
      </w:r>
      <w:r w:rsidR="002377CB">
        <w:t xml:space="preserve"> p</w:t>
      </w:r>
      <w:r w:rsidR="002377CB" w:rsidRPr="002377CB">
        <w:t>owder for injection</w:t>
      </w:r>
      <w:r w:rsidRPr="00065839">
        <w:t xml:space="preserve"> for the following proposed indication:</w:t>
      </w:r>
      <w:r w:rsidR="00D63760" w:rsidRPr="00065839">
        <w:rPr>
          <w:vertAlign w:val="superscript"/>
        </w:rPr>
        <w:footnoteReference w:id="1"/>
      </w:r>
    </w:p>
    <w:p w14:paraId="542CF531" w14:textId="6F1EF103" w:rsidR="003E0D9F" w:rsidRPr="003E0D9F" w:rsidRDefault="003E0D9F" w:rsidP="003E0D9F">
      <w:pPr>
        <w:ind w:left="720"/>
        <w:rPr>
          <w:i/>
          <w:iCs/>
        </w:rPr>
      </w:pPr>
      <w:r w:rsidRPr="003E0D9F">
        <w:rPr>
          <w:i/>
          <w:iCs/>
        </w:rPr>
        <w:t>DEXRAZOXANE-REACH is indicated for reducing the</w:t>
      </w:r>
      <w:r>
        <w:rPr>
          <w:i/>
          <w:iCs/>
        </w:rPr>
        <w:t xml:space="preserve"> </w:t>
      </w:r>
      <w:r w:rsidRPr="003E0D9F">
        <w:rPr>
          <w:i/>
          <w:iCs/>
        </w:rPr>
        <w:t>incidence and severity of cardiomyopathy associated with</w:t>
      </w:r>
      <w:r>
        <w:rPr>
          <w:i/>
          <w:iCs/>
        </w:rPr>
        <w:t xml:space="preserve"> </w:t>
      </w:r>
      <w:r w:rsidRPr="003E0D9F">
        <w:rPr>
          <w:i/>
          <w:iCs/>
        </w:rPr>
        <w:t>doxorubicin administration in women with metastatic</w:t>
      </w:r>
      <w:r w:rsidR="008140C9">
        <w:rPr>
          <w:i/>
          <w:iCs/>
        </w:rPr>
        <w:t xml:space="preserve"> </w:t>
      </w:r>
      <w:r w:rsidRPr="003E0D9F">
        <w:rPr>
          <w:i/>
          <w:iCs/>
        </w:rPr>
        <w:t>breast cancer who have received a cumulative doxorubicin</w:t>
      </w:r>
      <w:r w:rsidR="008140C9">
        <w:rPr>
          <w:i/>
          <w:iCs/>
        </w:rPr>
        <w:t xml:space="preserve"> </w:t>
      </w:r>
      <w:r w:rsidRPr="003E0D9F">
        <w:rPr>
          <w:i/>
          <w:iCs/>
        </w:rPr>
        <w:t>dose of 300 mg/m2 and who will continue to receive</w:t>
      </w:r>
      <w:r w:rsidR="008140C9">
        <w:rPr>
          <w:i/>
          <w:iCs/>
        </w:rPr>
        <w:t xml:space="preserve"> </w:t>
      </w:r>
      <w:r w:rsidRPr="003E0D9F">
        <w:rPr>
          <w:i/>
          <w:iCs/>
        </w:rPr>
        <w:t>doxorubicin therapy to maintain tumo</w:t>
      </w:r>
      <w:r w:rsidR="008140C9">
        <w:rPr>
          <w:i/>
          <w:iCs/>
        </w:rPr>
        <w:t>u</w:t>
      </w:r>
      <w:r w:rsidRPr="003E0D9F">
        <w:rPr>
          <w:i/>
          <w:iCs/>
        </w:rPr>
        <w:t>r control.</w:t>
      </w:r>
    </w:p>
    <w:p w14:paraId="1E63A2AE" w14:textId="5FCD6C6F" w:rsidR="00CB6813" w:rsidRDefault="00005DFC" w:rsidP="00CB6813">
      <w:pPr>
        <w:pStyle w:val="Heading4"/>
      </w:pPr>
      <w:bookmarkStart w:id="19" w:name="_Toc210912397"/>
      <w:bookmarkStart w:id="20" w:name="_Toc314842485"/>
      <w:bookmarkStart w:id="21" w:name="_Toc247691504"/>
      <w:r>
        <w:t>D</w:t>
      </w:r>
      <w:r w:rsidR="00CB6813" w:rsidRPr="00C12D65">
        <w:t>isease</w:t>
      </w:r>
      <w:r w:rsidR="006428C5">
        <w:t xml:space="preserve"> or condition</w:t>
      </w:r>
      <w:bookmarkEnd w:id="19"/>
    </w:p>
    <w:p w14:paraId="70EA3A9F" w14:textId="0C033A46" w:rsidR="00D015A7" w:rsidRPr="00D015A7" w:rsidRDefault="00D015A7" w:rsidP="00D015A7">
      <w:r w:rsidRPr="00D015A7">
        <w:t>An important complication of chemotherapy seen with anthracyclines is</w:t>
      </w:r>
      <w:r>
        <w:t xml:space="preserve"> </w:t>
      </w:r>
      <w:r w:rsidRPr="00D015A7">
        <w:t xml:space="preserve">cardiotoxicity and </w:t>
      </w:r>
      <w:r w:rsidR="00654C08">
        <w:t xml:space="preserve">the </w:t>
      </w:r>
      <w:r w:rsidRPr="00D015A7">
        <w:t>potential development of life-threatening cardiomyopathy. Whilst the precise</w:t>
      </w:r>
      <w:r>
        <w:t xml:space="preserve"> </w:t>
      </w:r>
      <w:r w:rsidRPr="00D015A7">
        <w:t>pathogenesis of anthracycline-induced cardiotoxicity is uncertain, an oxidative stress-based</w:t>
      </w:r>
      <w:r>
        <w:t xml:space="preserve"> </w:t>
      </w:r>
      <w:r w:rsidRPr="00D015A7">
        <w:t>hypothesis involving intramyocardial production of reactive oxygen species is considered as the</w:t>
      </w:r>
      <w:r>
        <w:t xml:space="preserve"> </w:t>
      </w:r>
      <w:r w:rsidRPr="00D015A7">
        <w:t>most likely possibility.</w:t>
      </w:r>
      <w:r w:rsidR="00ED3003">
        <w:rPr>
          <w:rStyle w:val="FootnoteReference"/>
        </w:rPr>
        <w:footnoteReference w:id="2"/>
      </w:r>
    </w:p>
    <w:p w14:paraId="0DA889AB" w14:textId="1A342676" w:rsidR="00D015A7" w:rsidRPr="00D015A7" w:rsidRDefault="00D015A7" w:rsidP="00D015A7">
      <w:r w:rsidRPr="00D015A7">
        <w:t xml:space="preserve">The use of an agent such as dexrazoxane, a derivative of </w:t>
      </w:r>
      <w:r w:rsidRPr="00801E88">
        <w:t>EDTA</w:t>
      </w:r>
      <w:r w:rsidR="00D10246" w:rsidRPr="00801E88">
        <w:t xml:space="preserve"> (</w:t>
      </w:r>
      <w:r w:rsidR="00801E88" w:rsidRPr="00801E88">
        <w:t>ethylene diamine tetra-acetic acid)</w:t>
      </w:r>
      <w:r w:rsidRPr="00801E88">
        <w:t>, through the metal-chelating activity of its intracellular</w:t>
      </w:r>
      <w:r w:rsidRPr="00D015A7">
        <w:t xml:space="preserve"> hydrolysis product in the myocardium, is biologically plausible. This</w:t>
      </w:r>
      <w:r>
        <w:t xml:space="preserve"> </w:t>
      </w:r>
      <w:r w:rsidRPr="00D015A7">
        <w:t>involves chelation of free iron and iron-bounded anthracycline complexes, thus preventing</w:t>
      </w:r>
      <w:r>
        <w:t xml:space="preserve"> </w:t>
      </w:r>
      <w:r w:rsidRPr="00D015A7">
        <w:t>formation of cardiotoxic reactive oxygen radicals.</w:t>
      </w:r>
    </w:p>
    <w:p w14:paraId="14F64484" w14:textId="22E831DB" w:rsidR="00D015A7" w:rsidRPr="00D015A7" w:rsidRDefault="00D015A7" w:rsidP="00D015A7">
      <w:r w:rsidRPr="00D015A7">
        <w:t xml:space="preserve">The process by </w:t>
      </w:r>
      <w:r w:rsidRPr="00652512">
        <w:t>which dexrazoxane (DEX) has</w:t>
      </w:r>
      <w:r w:rsidRPr="00D015A7">
        <w:t xml:space="preserve"> its claimed cardio</w:t>
      </w:r>
      <w:r w:rsidR="00652512">
        <w:t>-</w:t>
      </w:r>
      <w:r w:rsidRPr="00D015A7">
        <w:t>protective effect is uncertain</w:t>
      </w:r>
      <w:r>
        <w:t xml:space="preserve"> </w:t>
      </w:r>
      <w:r w:rsidRPr="00D015A7">
        <w:t>although it is known that the dose-dependent cardiotoxicity seen with anthracycline</w:t>
      </w:r>
      <w:r>
        <w:t xml:space="preserve"> </w:t>
      </w:r>
      <w:r w:rsidRPr="00D015A7">
        <w:t>administration is due to anthracycline-induced, iron-dependent free radical oxidative stress on</w:t>
      </w:r>
      <w:r>
        <w:t xml:space="preserve"> </w:t>
      </w:r>
      <w:r w:rsidRPr="00D015A7">
        <w:t xml:space="preserve">relatively unprotected cardiac muscle. Dexrazoxane is an analogue </w:t>
      </w:r>
      <w:r w:rsidRPr="00652512">
        <w:t>of EDTA and is</w:t>
      </w:r>
      <w:r w:rsidRPr="00D015A7">
        <w:t xml:space="preserve"> hydrolysed in cardiac cells to the ring-opened product ICRF-198. Both</w:t>
      </w:r>
      <w:r>
        <w:t xml:space="preserve"> </w:t>
      </w:r>
      <w:r w:rsidRPr="00D015A7">
        <w:t xml:space="preserve">dexrazoxane (ICRF-187) and ICRF-198 </w:t>
      </w:r>
      <w:proofErr w:type="gramStart"/>
      <w:r w:rsidRPr="00D015A7">
        <w:t>are able to</w:t>
      </w:r>
      <w:proofErr w:type="gramEnd"/>
      <w:r w:rsidRPr="00D015A7">
        <w:t xml:space="preserve"> chelate metal ions. Thus, cardio</w:t>
      </w:r>
      <w:r w:rsidR="00652512">
        <w:t>-</w:t>
      </w:r>
      <w:r w:rsidRPr="00D015A7">
        <w:t>protection is</w:t>
      </w:r>
      <w:r>
        <w:t xml:space="preserve"> </w:t>
      </w:r>
      <w:r w:rsidRPr="00D015A7">
        <w:t>thought to occur by scavenging metal ions, thereby preventing the Fe3+-anthracycline complex</w:t>
      </w:r>
      <w:r>
        <w:t xml:space="preserve"> </w:t>
      </w:r>
      <w:r w:rsidRPr="00D015A7">
        <w:t xml:space="preserve">from redox cycling and forming </w:t>
      </w:r>
      <w:r w:rsidRPr="00D015A7">
        <w:lastRenderedPageBreak/>
        <w:t xml:space="preserve">reactive radicals. </w:t>
      </w:r>
      <w:r>
        <w:t>T</w:t>
      </w:r>
      <w:r w:rsidRPr="00D015A7">
        <w:t>here are currently no dexrazoxane products</w:t>
      </w:r>
      <w:r>
        <w:t xml:space="preserve"> </w:t>
      </w:r>
      <w:r w:rsidRPr="00D015A7">
        <w:t>on the ARTG, but dexrazoxane injections are supplied in Australia under the Special Access</w:t>
      </w:r>
      <w:r>
        <w:t xml:space="preserve"> </w:t>
      </w:r>
      <w:r w:rsidRPr="00D015A7">
        <w:t>Scheme.</w:t>
      </w:r>
    </w:p>
    <w:p w14:paraId="255E083A" w14:textId="77777777" w:rsidR="00CB6813" w:rsidRDefault="00CB6813" w:rsidP="00CB6813">
      <w:pPr>
        <w:pStyle w:val="Heading4"/>
      </w:pPr>
      <w:bookmarkStart w:id="22" w:name="_Toc210912398"/>
      <w:r>
        <w:t>Current treatment options</w:t>
      </w:r>
      <w:bookmarkEnd w:id="22"/>
    </w:p>
    <w:p w14:paraId="054ABF19" w14:textId="105EBC31" w:rsidR="0012699E" w:rsidRPr="0012699E" w:rsidRDefault="0012699E" w:rsidP="0012699E">
      <w:r w:rsidRPr="0012699E">
        <w:t>Nil available.</w:t>
      </w:r>
      <w:r w:rsidR="003A3E6C" w:rsidRPr="003A3E6C">
        <w:t xml:space="preserve"> </w:t>
      </w:r>
    </w:p>
    <w:p w14:paraId="37C47E09" w14:textId="14D3762D" w:rsidR="00CB6813" w:rsidRDefault="00CB6813" w:rsidP="00CB6813">
      <w:pPr>
        <w:pStyle w:val="Heading4"/>
      </w:pPr>
      <w:bookmarkStart w:id="23" w:name="_Toc210912399"/>
      <w:r>
        <w:t>C</w:t>
      </w:r>
      <w:r w:rsidRPr="00DE1344">
        <w:t>linical rational</w:t>
      </w:r>
      <w:r w:rsidR="0025785B">
        <w:t>e</w:t>
      </w:r>
      <w:bookmarkEnd w:id="23"/>
    </w:p>
    <w:p w14:paraId="1D098318" w14:textId="1BB6E60D" w:rsidR="004F5F03" w:rsidRPr="004F5F03" w:rsidRDefault="004F5F03" w:rsidP="004F5F03">
      <w:r w:rsidRPr="004F5F03">
        <w:t xml:space="preserve">In Australia, doxorubicin accounts for </w:t>
      </w:r>
      <w:proofErr w:type="gramStart"/>
      <w:r w:rsidRPr="004F5F03">
        <w:t>the majority of</w:t>
      </w:r>
      <w:proofErr w:type="gramEnd"/>
      <w:r w:rsidRPr="004F5F03">
        <w:t xml:space="preserve"> anthracycline use</w:t>
      </w:r>
      <w:r w:rsidR="0021442F">
        <w:t>,</w:t>
      </w:r>
      <w:r w:rsidR="009750F9">
        <w:t xml:space="preserve"> to treat </w:t>
      </w:r>
      <w:r w:rsidR="00407BF3">
        <w:t xml:space="preserve">a variety of cancers </w:t>
      </w:r>
      <w:r w:rsidRPr="004F5F03">
        <w:t xml:space="preserve">which </w:t>
      </w:r>
      <w:r w:rsidR="006337D8">
        <w:t xml:space="preserve">may </w:t>
      </w:r>
      <w:r w:rsidRPr="004F5F03">
        <w:t>include leukaemia, lymphomas, multiple myeloma, sarcomas, breast and small cell lung cancers.</w:t>
      </w:r>
    </w:p>
    <w:p w14:paraId="10F6F3E8" w14:textId="3A446EBF" w:rsidR="004F5F03" w:rsidRPr="004F5F03" w:rsidRDefault="004F5F03" w:rsidP="004F5F03">
      <w:r w:rsidRPr="004F5F03">
        <w:t>The prevalence of anthracycline use in Australia is low, with an estimated 1,925 to 10,435 people receiving anthracyclines in 2022. This represents a prevalence of less than 1/10,000 to 4/10,000 individuals</w:t>
      </w:r>
      <w:r w:rsidR="00562B15">
        <w:t>,</w:t>
      </w:r>
      <w:r w:rsidRPr="004F5F03">
        <w:t xml:space="preserve"> in Australia</w:t>
      </w:r>
      <w:r w:rsidR="00562B15">
        <w:t>,</w:t>
      </w:r>
      <w:r w:rsidRPr="004F5F03">
        <w:t xml:space="preserve"> per year. This conclusion is supported by data from the literature revie</w:t>
      </w:r>
      <w:r w:rsidRPr="003E7C19">
        <w:t>w, Pharmaceutical Benefits Scheme (PBS) and</w:t>
      </w:r>
      <w:r w:rsidRPr="004F5F03">
        <w:t xml:space="preserve"> health department data </w:t>
      </w:r>
      <w:r w:rsidR="003E7C19">
        <w:t>from</w:t>
      </w:r>
      <w:r w:rsidRPr="004F5F03">
        <w:t xml:space="preserve"> New South Wales, Queensland, and Victoria. </w:t>
      </w:r>
    </w:p>
    <w:p w14:paraId="2F8E1B14" w14:textId="216DC647" w:rsidR="00E723C6" w:rsidRPr="00E723C6" w:rsidRDefault="004F5F03" w:rsidP="00E723C6">
      <w:r w:rsidRPr="004F5F03">
        <w:t xml:space="preserve">Anthracyclines used in breast cancer treatment are known to cause irreversible cardiac dysfunction classified as type I cardiotoxicity leading to another cause of mortality after </w:t>
      </w:r>
      <w:r w:rsidR="00973F46">
        <w:t>t</w:t>
      </w:r>
      <w:r w:rsidRPr="004F5F03">
        <w:t>reatment of breast cancer.</w:t>
      </w:r>
      <w:r w:rsidR="00973F46">
        <w:t xml:space="preserve"> </w:t>
      </w:r>
      <w:r w:rsidR="00E723C6" w:rsidRPr="00E723C6">
        <w:t xml:space="preserve">In Australia, there is no approved treatment for cardiotoxicity caused by the administration of doxorubicin or other anthracyclines. Dexrazoxane is the only product available globally </w:t>
      </w:r>
      <w:r w:rsidR="00524754">
        <w:t>offering cardio-protection</w:t>
      </w:r>
      <w:r w:rsidR="00E723C6" w:rsidRPr="00E723C6">
        <w:t xml:space="preserve"> and is currently used under the Special Access Scheme in Australia.</w:t>
      </w:r>
    </w:p>
    <w:p w14:paraId="7ADBAC26" w14:textId="568F6AF3" w:rsidR="006E6023" w:rsidRDefault="006E6023" w:rsidP="006E6023">
      <w:r w:rsidRPr="006E6023">
        <w:t>The exact mechanism by which dexrazoxane exerts its cardio</w:t>
      </w:r>
      <w:r w:rsidR="00805486">
        <w:t>-</w:t>
      </w:r>
      <w:r w:rsidRPr="006E6023">
        <w:t xml:space="preserve">protective effect has not been fully elucidated, however based on the available evidence the following mechanism has been suggested. The dose-dependent cardiotoxicity observed during anthracycline administration is due to anthracycline-induced iron-dependent free radical oxidative stress on the relatively unprotected cardiac muscle. Dexrazoxane, an </w:t>
      </w:r>
      <w:r w:rsidRPr="006D1CF0">
        <w:t>analogue of EDTA (ethylene diamine tetra-acetic acid), is hydrolysed in cardiac cells to the ring-opened product ICRF-198. ICRF-198 is capable of chelating metal ions. It is generally thought that they can provide cardio</w:t>
      </w:r>
      <w:r w:rsidR="00167ED7" w:rsidRPr="006D1CF0">
        <w:t>-</w:t>
      </w:r>
      <w:r w:rsidRPr="006D1CF0">
        <w:t>protection by scavenging metal ions thus preventing the Fe3+-anthracycline</w:t>
      </w:r>
      <w:r w:rsidRPr="006E6023">
        <w:t xml:space="preserve"> complex from redox cycling and forming reactive radicals. Dexrazoxane also inhibits topoisomerase IIb, which may also contribute to protection of anthracycline-induced cardiotoxicity.</w:t>
      </w:r>
    </w:p>
    <w:p w14:paraId="566B444C" w14:textId="65E2FF5B" w:rsidR="000564F2" w:rsidRPr="000564F2" w:rsidRDefault="000564F2" w:rsidP="000564F2">
      <w:r w:rsidRPr="000564F2">
        <w:t xml:space="preserve">The products </w:t>
      </w:r>
      <w:r w:rsidR="00D91E6F">
        <w:t>dexrazoxane</w:t>
      </w:r>
      <w:r w:rsidRPr="000564F2">
        <w:t xml:space="preserve"> 250 mg and 500 mg powder for solution for injection are generic products of the reference medicinal product Marketing Authorization holder </w:t>
      </w:r>
      <w:proofErr w:type="spellStart"/>
      <w:r w:rsidRPr="000564F2">
        <w:t>Clinigen</w:t>
      </w:r>
      <w:proofErr w:type="spellEnd"/>
      <w:r w:rsidRPr="000564F2">
        <w:t xml:space="preserve"> Healthcare.</w:t>
      </w:r>
      <w:r w:rsidR="0088418E">
        <w:t xml:space="preserve"> </w:t>
      </w:r>
      <w:r w:rsidRPr="000564F2">
        <w:t>D</w:t>
      </w:r>
      <w:r w:rsidR="00E64998">
        <w:t>exrazoxane</w:t>
      </w:r>
      <w:r w:rsidRPr="000564F2">
        <w:t xml:space="preserve"> is a well-established drug and has been used since 1995 as a cytoprotective agent indicated for reducing the incidence and severity of cardiomyopathy associated with doxorubicin administration in women with metastatic breast cancer who have received a cumulative doxorubicin dose of 300 mg/m</w:t>
      </w:r>
      <w:r w:rsidRPr="000564F2">
        <w:rPr>
          <w:vertAlign w:val="superscript"/>
        </w:rPr>
        <w:t>2</w:t>
      </w:r>
      <w:r w:rsidRPr="000564F2">
        <w:t xml:space="preserve"> and who will continue to receive doxorubicin therapy to maintain tumour control.</w:t>
      </w:r>
    </w:p>
    <w:p w14:paraId="0D615854" w14:textId="77777777" w:rsidR="00324B33" w:rsidRPr="003F31A2" w:rsidRDefault="00324B33" w:rsidP="00324B33">
      <w:pPr>
        <w:pStyle w:val="Heading3"/>
      </w:pPr>
      <w:bookmarkStart w:id="24" w:name="_Toc103679291"/>
      <w:bookmarkStart w:id="25" w:name="_Toc210912400"/>
      <w:r>
        <w:t>Regulatory status</w:t>
      </w:r>
      <w:bookmarkEnd w:id="20"/>
      <w:bookmarkEnd w:id="21"/>
      <w:bookmarkEnd w:id="24"/>
      <w:bookmarkEnd w:id="25"/>
    </w:p>
    <w:p w14:paraId="72C889D6" w14:textId="7E200950" w:rsidR="0017005C" w:rsidRPr="00BD5DBD" w:rsidRDefault="0017005C" w:rsidP="00741AB9">
      <w:pPr>
        <w:pStyle w:val="Heading4"/>
      </w:pPr>
      <w:bookmarkStart w:id="26" w:name="_Toc210912401"/>
      <w:r w:rsidRPr="00BD5DBD">
        <w:t>Australian regulatory</w:t>
      </w:r>
      <w:r>
        <w:t xml:space="preserve"> sta</w:t>
      </w:r>
      <w:r w:rsidR="0025785B">
        <w:t>t</w:t>
      </w:r>
      <w:r>
        <w:t>us</w:t>
      </w:r>
      <w:bookmarkEnd w:id="26"/>
    </w:p>
    <w:p w14:paraId="6A8633FA" w14:textId="1E492D5E" w:rsidR="00324B33" w:rsidRDefault="00324B33" w:rsidP="00324B33">
      <w:pPr>
        <w:rPr>
          <w:szCs w:val="22"/>
        </w:rPr>
      </w:pPr>
      <w:r w:rsidRPr="00BD5DBD">
        <w:rPr>
          <w:szCs w:val="22"/>
        </w:rPr>
        <w:t>This product is considered a new chemical</w:t>
      </w:r>
      <w:r w:rsidR="008C754C" w:rsidRPr="00BD5DBD">
        <w:rPr>
          <w:szCs w:val="22"/>
        </w:rPr>
        <w:t xml:space="preserve"> entity</w:t>
      </w:r>
      <w:r w:rsidRPr="00BD5DBD">
        <w:rPr>
          <w:szCs w:val="22"/>
        </w:rPr>
        <w:t xml:space="preserve"> for Australian regulatory purposes.</w:t>
      </w:r>
    </w:p>
    <w:p w14:paraId="546C1031" w14:textId="4EF98FA1" w:rsidR="0017005C" w:rsidRDefault="00131B1B" w:rsidP="0017005C">
      <w:pPr>
        <w:pStyle w:val="Heading4"/>
      </w:pPr>
      <w:bookmarkStart w:id="27" w:name="_Toc210912402"/>
      <w:r>
        <w:lastRenderedPageBreak/>
        <w:t xml:space="preserve">International </w:t>
      </w:r>
      <w:r w:rsidR="0017005C" w:rsidRPr="00BD5DBD">
        <w:t>regulatory</w:t>
      </w:r>
      <w:r w:rsidR="0017005C">
        <w:t xml:space="preserve"> status</w:t>
      </w:r>
      <w:bookmarkEnd w:id="27"/>
    </w:p>
    <w:p w14:paraId="52AF9C23" w14:textId="16247528" w:rsidR="00146231" w:rsidRPr="00146231" w:rsidRDefault="00146231" w:rsidP="00146231">
      <w:r w:rsidRPr="00146231">
        <w:t>Dexrazoxane (different sponsor) is under review by the F</w:t>
      </w:r>
      <w:r w:rsidR="002F5DF4">
        <w:t xml:space="preserve">ood and Drug </w:t>
      </w:r>
      <w:r w:rsidR="00EE7BEF">
        <w:t>A</w:t>
      </w:r>
      <w:r w:rsidR="004856BF">
        <w:t>dministration</w:t>
      </w:r>
      <w:r w:rsidR="00425C50">
        <w:br/>
      </w:r>
      <w:r w:rsidRPr="00146231">
        <w:t>(</w:t>
      </w:r>
      <w:r w:rsidR="00EE7BEF">
        <w:t>FDA-</w:t>
      </w:r>
      <w:r w:rsidRPr="00146231">
        <w:t>submitted 30 August 2021) for a</w:t>
      </w:r>
      <w:r>
        <w:t xml:space="preserve"> </w:t>
      </w:r>
      <w:r w:rsidRPr="00146231">
        <w:t>similar indication as proposed for Australia</w:t>
      </w:r>
      <w:r w:rsidR="00607CFA">
        <w:t>.</w:t>
      </w:r>
      <w:r>
        <w:t xml:space="preserve"> </w:t>
      </w:r>
      <w:r w:rsidRPr="00146231">
        <w:t>Dexrazoxane (</w:t>
      </w:r>
      <w:proofErr w:type="spellStart"/>
      <w:r w:rsidRPr="00146231">
        <w:t>Zinecard</w:t>
      </w:r>
      <w:proofErr w:type="spellEnd"/>
      <w:r w:rsidRPr="00146231">
        <w:t>) (Pfizer) has been available in the U</w:t>
      </w:r>
      <w:r w:rsidR="004856BF">
        <w:t>nited States</w:t>
      </w:r>
      <w:r w:rsidRPr="00146231">
        <w:t xml:space="preserve"> since 1995 for the following</w:t>
      </w:r>
      <w:r>
        <w:t xml:space="preserve"> </w:t>
      </w:r>
      <w:r w:rsidRPr="00146231">
        <w:t>indication:</w:t>
      </w:r>
    </w:p>
    <w:p w14:paraId="70580DC3" w14:textId="11CD19F5" w:rsidR="00146231" w:rsidRPr="00146231" w:rsidRDefault="00146231" w:rsidP="00146231">
      <w:pPr>
        <w:ind w:left="720"/>
        <w:rPr>
          <w:i/>
          <w:iCs/>
        </w:rPr>
      </w:pPr>
      <w:r w:rsidRPr="00146231">
        <w:rPr>
          <w:i/>
          <w:iCs/>
        </w:rPr>
        <w:t xml:space="preserve">ZINECARD is a cytoprotective agent indicated for reducing the incidence and severity of cardiomyopathy associated with doxorubicin administration in women with metastatic breast cancer who have received a cumulative doxorubicin dose of 300 mg/m2 and who will continue to receive doxorubicin therapy to maintain </w:t>
      </w:r>
      <w:proofErr w:type="spellStart"/>
      <w:r w:rsidRPr="00146231">
        <w:rPr>
          <w:i/>
          <w:iCs/>
        </w:rPr>
        <w:t>tumor</w:t>
      </w:r>
      <w:proofErr w:type="spellEnd"/>
      <w:r w:rsidRPr="00146231">
        <w:rPr>
          <w:i/>
          <w:iCs/>
        </w:rPr>
        <w:t xml:space="preserve"> control. Do not use ZINECARD with doxorubicin initiation.</w:t>
      </w:r>
    </w:p>
    <w:p w14:paraId="29B41964" w14:textId="087F3072" w:rsidR="00290A82" w:rsidRPr="00290A82" w:rsidRDefault="00290A82" w:rsidP="00290A82">
      <w:r w:rsidRPr="00290A82">
        <w:t xml:space="preserve">There is also another brand of dexrazoxane registered in the US – </w:t>
      </w:r>
      <w:proofErr w:type="spellStart"/>
      <w:r w:rsidRPr="00290A82">
        <w:t>Totect</w:t>
      </w:r>
      <w:proofErr w:type="spellEnd"/>
      <w:r w:rsidRPr="00290A82">
        <w:t xml:space="preserve"> (</w:t>
      </w:r>
      <w:proofErr w:type="spellStart"/>
      <w:r w:rsidRPr="00290A82">
        <w:t>Clinigen</w:t>
      </w:r>
      <w:proofErr w:type="spellEnd"/>
      <w:r w:rsidRPr="00290A82">
        <w:t xml:space="preserve"> Group)-</w:t>
      </w:r>
      <w:r>
        <w:t xml:space="preserve"> </w:t>
      </w:r>
      <w:r w:rsidRPr="00290A82">
        <w:t>which received approval for the reduction of cardiotoxicity indication in November 2020. It has</w:t>
      </w:r>
      <w:r>
        <w:t xml:space="preserve"> </w:t>
      </w:r>
      <w:r w:rsidRPr="00290A82">
        <w:t>previously received approval in 2007 for the treatment of extravasation resulting from</w:t>
      </w:r>
      <w:r>
        <w:t xml:space="preserve"> </w:t>
      </w:r>
      <w:r w:rsidRPr="00290A82">
        <w:t>intravenous anthracycline chemotherapy.</w:t>
      </w:r>
    </w:p>
    <w:p w14:paraId="6EC5A556" w14:textId="31736202" w:rsidR="00290A82" w:rsidRPr="00290A82" w:rsidRDefault="00290A82" w:rsidP="00290A82">
      <w:r w:rsidRPr="00290A82">
        <w:t>Dexrazoxane has been registered in the EU since July 2006 and currently has the following</w:t>
      </w:r>
      <w:r>
        <w:t xml:space="preserve"> </w:t>
      </w:r>
      <w:r w:rsidRPr="00290A82">
        <w:t>indication:</w:t>
      </w:r>
    </w:p>
    <w:p w14:paraId="7D996429" w14:textId="62826A4D" w:rsidR="00146231" w:rsidRPr="00290A82" w:rsidRDefault="00290A82" w:rsidP="00290A82">
      <w:pPr>
        <w:ind w:left="720"/>
        <w:rPr>
          <w:i/>
          <w:iCs/>
        </w:rPr>
      </w:pPr>
      <w:r w:rsidRPr="00290A82">
        <w:rPr>
          <w:i/>
          <w:iCs/>
        </w:rPr>
        <w:t xml:space="preserve">Use in adults for the prevention of chronic cumulative cardiotoxicity caused by anthracycline use in advanced and/or metastatic breast cancer patients who have received a prior cumulative dose of 300 mg/m2 of doxorubicin or a prior cumulative dose of 540 mg/m2 of </w:t>
      </w:r>
      <w:proofErr w:type="spellStart"/>
      <w:r w:rsidRPr="00290A82">
        <w:rPr>
          <w:i/>
          <w:iCs/>
        </w:rPr>
        <w:t>epirubicin</w:t>
      </w:r>
      <w:proofErr w:type="spellEnd"/>
      <w:r w:rsidRPr="00290A82">
        <w:rPr>
          <w:i/>
          <w:iCs/>
        </w:rPr>
        <w:t xml:space="preserve"> when further anthracycline treatment is required.</w:t>
      </w:r>
    </w:p>
    <w:p w14:paraId="6D92589C" w14:textId="09786CEF" w:rsidR="00324B33" w:rsidRDefault="00324B33" w:rsidP="00324B33">
      <w:pPr>
        <w:pStyle w:val="Heading2"/>
      </w:pPr>
      <w:bookmarkStart w:id="28" w:name="_Toc504480011"/>
      <w:bookmarkStart w:id="29" w:name="_Toc103679293"/>
      <w:bookmarkStart w:id="30" w:name="_Toc210912403"/>
      <w:r>
        <w:t>Registration timeline</w:t>
      </w:r>
      <w:bookmarkEnd w:id="28"/>
      <w:bookmarkEnd w:id="29"/>
      <w:bookmarkEnd w:id="30"/>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0" w:history="1">
        <w:r w:rsidRPr="00BD5DBD">
          <w:rPr>
            <w:rStyle w:val="Hyperlink"/>
            <w:szCs w:val="22"/>
          </w:rPr>
          <w:t>standard prescription medicines registration process</w:t>
        </w:r>
      </w:hyperlink>
      <w:r w:rsidRPr="00BD5DBD">
        <w:rPr>
          <w:szCs w:val="22"/>
        </w:rPr>
        <w:t>.</w:t>
      </w:r>
    </w:p>
    <w:p w14:paraId="44628C5F" w14:textId="731EB9D6" w:rsidR="00324B33" w:rsidRDefault="00324B33" w:rsidP="002C1232">
      <w:pPr>
        <w:pStyle w:val="TableTitle"/>
      </w:pPr>
      <w:r w:rsidRPr="002C1232">
        <w:t xml:space="preserve">Table </w:t>
      </w:r>
      <w:r w:rsidR="008B1CB5">
        <w:fldChar w:fldCharType="begin"/>
      </w:r>
      <w:r w:rsidR="008B1CB5">
        <w:instrText xml:space="preserve"> SEQ Table \* ARABIC </w:instrText>
      </w:r>
      <w:r w:rsidR="008B1CB5">
        <w:fldChar w:fldCharType="separate"/>
      </w:r>
      <w:r w:rsidR="008B1CB5" w:rsidRPr="002C1232">
        <w:t>2</w:t>
      </w:r>
      <w:r w:rsidR="008B1CB5">
        <w:fldChar w:fldCharType="end"/>
      </w:r>
      <w:r w:rsidRPr="002C1232">
        <w:t>: Timeline for Submission PM-202</w:t>
      </w:r>
      <w:r w:rsidR="00470B39">
        <w:t>3</w:t>
      </w:r>
      <w:r w:rsidRPr="002C1232">
        <w:t>-</w:t>
      </w:r>
      <w:r w:rsidR="00A32852">
        <w:t>05309</w:t>
      </w:r>
      <w:r w:rsidRPr="002C1232">
        <w:t>-1-</w:t>
      </w:r>
      <w:r w:rsidR="00A32852">
        <w:t>4</w:t>
      </w:r>
    </w:p>
    <w:tbl>
      <w:tblPr>
        <w:tblStyle w:val="TableTGAblue2023"/>
        <w:tblW w:w="8642" w:type="dxa"/>
        <w:tblLook w:val="04A0" w:firstRow="1" w:lastRow="0" w:firstColumn="1" w:lastColumn="0" w:noHBand="0" w:noVBand="1"/>
      </w:tblPr>
      <w:tblGrid>
        <w:gridCol w:w="6232"/>
        <w:gridCol w:w="2410"/>
      </w:tblGrid>
      <w:tr w:rsidR="00324B33" w:rsidRPr="00D01DDB" w14:paraId="6C59BE9C" w14:textId="77777777" w:rsidTr="009C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6D80E78" w14:textId="3EC0CCAF" w:rsidR="00324B33" w:rsidRPr="00D01DDB" w:rsidRDefault="00324B33" w:rsidP="00324B33">
            <w:pPr>
              <w:rPr>
                <w:szCs w:val="22"/>
              </w:rPr>
            </w:pPr>
            <w:r w:rsidRPr="00D01DDB">
              <w:rPr>
                <w:szCs w:val="22"/>
              </w:rPr>
              <w:t>Description</w:t>
            </w:r>
          </w:p>
        </w:tc>
        <w:tc>
          <w:tcPr>
            <w:tcW w:w="2410"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1398460B" w14:textId="77777777" w:rsidTr="009C7970">
        <w:tc>
          <w:tcPr>
            <w:cnfStyle w:val="001000000000" w:firstRow="0" w:lastRow="0" w:firstColumn="1" w:lastColumn="0" w:oddVBand="0" w:evenVBand="0" w:oddHBand="0" w:evenHBand="0" w:firstRowFirstColumn="0" w:firstRowLastColumn="0" w:lastRowFirstColumn="0" w:lastRowLastColumn="0"/>
            <w:tcW w:w="6232" w:type="dxa"/>
          </w:tcPr>
          <w:p w14:paraId="1106CC1E" w14:textId="56269E33" w:rsidR="00324B33" w:rsidRPr="00E679D1" w:rsidRDefault="00324B33" w:rsidP="00E679D1">
            <w:r w:rsidRPr="00E679D1">
              <w:t>Designation (Orphan)</w:t>
            </w:r>
          </w:p>
        </w:tc>
        <w:tc>
          <w:tcPr>
            <w:tcW w:w="2410" w:type="dxa"/>
          </w:tcPr>
          <w:p w14:paraId="4CD143CF" w14:textId="6B3EA472" w:rsidR="00324B33" w:rsidRPr="00D01DDB" w:rsidRDefault="00126C08"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11 October 2023</w:t>
            </w:r>
          </w:p>
        </w:tc>
      </w:tr>
      <w:tr w:rsidR="00324B33" w:rsidRPr="00D01DDB" w14:paraId="23610C53" w14:textId="77777777" w:rsidTr="009C7970">
        <w:tc>
          <w:tcPr>
            <w:cnfStyle w:val="001000000000" w:firstRow="0" w:lastRow="0" w:firstColumn="1" w:lastColumn="0" w:oddVBand="0" w:evenVBand="0" w:oddHBand="0" w:evenHBand="0" w:firstRowFirstColumn="0" w:firstRowLastColumn="0" w:lastRowFirstColumn="0" w:lastRowLastColumn="0"/>
            <w:tcW w:w="6232" w:type="dxa"/>
          </w:tcPr>
          <w:p w14:paraId="759D2A12" w14:textId="0D705F83" w:rsidR="00324B33" w:rsidRPr="00E679D1" w:rsidRDefault="00324B33" w:rsidP="00E679D1">
            <w:r w:rsidRPr="00E679D1">
              <w:t>Submission dossier accepted and first round evaluation commenced</w:t>
            </w:r>
          </w:p>
        </w:tc>
        <w:tc>
          <w:tcPr>
            <w:tcW w:w="2410" w:type="dxa"/>
          </w:tcPr>
          <w:p w14:paraId="2963D9D8" w14:textId="78550BC1" w:rsidR="00324B33" w:rsidRPr="00D01DDB" w:rsidRDefault="0081019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January 20</w:t>
            </w:r>
            <w:r w:rsidR="00BC47B6">
              <w:rPr>
                <w:szCs w:val="22"/>
              </w:rPr>
              <w:t>24</w:t>
            </w:r>
          </w:p>
        </w:tc>
      </w:tr>
      <w:tr w:rsidR="00803926" w:rsidRPr="00D01DDB" w14:paraId="16D13F79" w14:textId="77777777" w:rsidTr="009C7970">
        <w:tc>
          <w:tcPr>
            <w:cnfStyle w:val="001000000000" w:firstRow="0" w:lastRow="0" w:firstColumn="1" w:lastColumn="0" w:oddVBand="0" w:evenVBand="0" w:oddHBand="0" w:evenHBand="0" w:firstRowFirstColumn="0" w:firstRowLastColumn="0" w:lastRowFirstColumn="0" w:lastRowLastColumn="0"/>
            <w:tcW w:w="6232" w:type="dxa"/>
          </w:tcPr>
          <w:p w14:paraId="6858B45A" w14:textId="615A218B" w:rsidR="00803926" w:rsidRPr="00E679D1" w:rsidDel="00C62B1C" w:rsidRDefault="00803926" w:rsidP="00E679D1">
            <w:r>
              <w:t>Evaluation completed</w:t>
            </w:r>
            <w:r w:rsidR="005775D0">
              <w:t xml:space="preserve"> (End of round </w:t>
            </w:r>
            <w:r w:rsidR="00C00844">
              <w:t>2)</w:t>
            </w:r>
          </w:p>
        </w:tc>
        <w:tc>
          <w:tcPr>
            <w:tcW w:w="2410" w:type="dxa"/>
          </w:tcPr>
          <w:p w14:paraId="2E0BD403" w14:textId="44EF45F5" w:rsidR="00803926" w:rsidRPr="00D01DDB" w:rsidRDefault="00EA68A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September 2024</w:t>
            </w:r>
          </w:p>
        </w:tc>
      </w:tr>
      <w:tr w:rsidR="00324B33" w:rsidRPr="00D01DDB" w14:paraId="6E5D32FE" w14:textId="77777777" w:rsidTr="009C7970">
        <w:tc>
          <w:tcPr>
            <w:cnfStyle w:val="001000000000" w:firstRow="0" w:lastRow="0" w:firstColumn="1" w:lastColumn="0" w:oddVBand="0" w:evenVBand="0" w:oddHBand="0" w:evenHBand="0" w:firstRowFirstColumn="0" w:firstRowLastColumn="0" w:lastRowFirstColumn="0" w:lastRowLastColumn="0"/>
            <w:tcW w:w="6232" w:type="dxa"/>
          </w:tcPr>
          <w:p w14:paraId="4E95C44C" w14:textId="7A91C710" w:rsidR="00324B33" w:rsidRPr="00E679D1" w:rsidRDefault="00324B33" w:rsidP="00E679D1">
            <w:r w:rsidRPr="00E679D1">
              <w:t>Registration decision (Outcome)</w:t>
            </w:r>
          </w:p>
        </w:tc>
        <w:tc>
          <w:tcPr>
            <w:tcW w:w="2410" w:type="dxa"/>
          </w:tcPr>
          <w:p w14:paraId="62987ABD" w14:textId="47A2A133" w:rsidR="00324B33" w:rsidRPr="00D01DDB" w:rsidRDefault="00470B3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 March 2025</w:t>
            </w:r>
          </w:p>
        </w:tc>
      </w:tr>
      <w:tr w:rsidR="00324B33" w:rsidRPr="00D01DDB" w14:paraId="6DDCDDA4" w14:textId="77777777" w:rsidTr="009C7970">
        <w:tc>
          <w:tcPr>
            <w:cnfStyle w:val="001000000000" w:firstRow="0" w:lastRow="0" w:firstColumn="1" w:lastColumn="0" w:oddVBand="0" w:evenVBand="0" w:oddHBand="0" w:evenHBand="0" w:firstRowFirstColumn="0" w:firstRowLastColumn="0" w:lastRowFirstColumn="0" w:lastRowLastColumn="0"/>
            <w:tcW w:w="6232" w:type="dxa"/>
          </w:tcPr>
          <w:p w14:paraId="192FD19D" w14:textId="25502ED3" w:rsidR="00324B33" w:rsidRPr="00E679D1" w:rsidRDefault="0013132F" w:rsidP="007311B9">
            <w:pPr>
              <w:ind w:left="0"/>
            </w:pPr>
            <w:r w:rsidRPr="00E679D1">
              <w:t xml:space="preserve"> </w:t>
            </w:r>
            <w:r w:rsidR="00C00844">
              <w:t>R</w:t>
            </w:r>
            <w:r w:rsidRPr="00E679D1">
              <w:t xml:space="preserve">egistration </w:t>
            </w:r>
            <w:r w:rsidR="005C4B46" w:rsidRPr="00E679D1">
              <w:t xml:space="preserve">in </w:t>
            </w:r>
            <w:r w:rsidRPr="00E679D1">
              <w:t>the ARTG completed</w:t>
            </w:r>
          </w:p>
        </w:tc>
        <w:tc>
          <w:tcPr>
            <w:tcW w:w="2410" w:type="dxa"/>
          </w:tcPr>
          <w:p w14:paraId="5A8923FD" w14:textId="5924E186" w:rsidR="00324B33" w:rsidRPr="00D01DDB" w:rsidRDefault="00470B3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24 March 2025</w:t>
            </w:r>
          </w:p>
        </w:tc>
      </w:tr>
      <w:tr w:rsidR="00324B33" w:rsidRPr="00D01DDB" w14:paraId="56D922E2" w14:textId="77777777" w:rsidTr="009C7970">
        <w:tc>
          <w:tcPr>
            <w:cnfStyle w:val="001000000000" w:firstRow="0" w:lastRow="0" w:firstColumn="1" w:lastColumn="0" w:oddVBand="0" w:evenVBand="0" w:oddHBand="0" w:evenHBand="0" w:firstRowFirstColumn="0" w:firstRowLastColumn="0" w:lastRowFirstColumn="0" w:lastRowLastColumn="0"/>
            <w:tcW w:w="6232" w:type="dxa"/>
          </w:tcPr>
          <w:p w14:paraId="787FD8DD" w14:textId="0E0CF97F" w:rsidR="00324B33" w:rsidRPr="00E679D1" w:rsidRDefault="00324B33" w:rsidP="00E679D1">
            <w:r w:rsidRPr="00E679D1">
              <w:t>Number of working days from submission dossier acceptance to registration decision*</w:t>
            </w:r>
          </w:p>
        </w:tc>
        <w:tc>
          <w:tcPr>
            <w:tcW w:w="2410" w:type="dxa"/>
          </w:tcPr>
          <w:p w14:paraId="5BAF9FA1" w14:textId="3DEE64B6" w:rsidR="00324B33" w:rsidRPr="00D01DDB" w:rsidRDefault="00470B3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193</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75C7430A" w:rsidR="00C22214" w:rsidRPr="00792A32" w:rsidRDefault="00083763" w:rsidP="00C22214">
      <w:pPr>
        <w:pStyle w:val="Heading2"/>
      </w:pPr>
      <w:bookmarkStart w:id="31" w:name="_Toc210912404"/>
      <w:bookmarkStart w:id="32" w:name="_Toc196046504"/>
      <w:bookmarkStart w:id="33" w:name="_Toc247691527"/>
      <w:bookmarkStart w:id="34" w:name="_Toc314842510"/>
      <w:bookmarkStart w:id="35" w:name="_Toc103679294"/>
      <w:r>
        <w:t xml:space="preserve">Assessment </w:t>
      </w:r>
      <w:r w:rsidR="00C22214" w:rsidRPr="00006FAB">
        <w:t>overview</w:t>
      </w:r>
      <w:bookmarkEnd w:id="31"/>
      <w:r w:rsidR="00C22214" w:rsidRPr="00006FAB">
        <w:t xml:space="preserve"> </w:t>
      </w:r>
      <w:bookmarkEnd w:id="32"/>
      <w:bookmarkEnd w:id="33"/>
      <w:bookmarkEnd w:id="34"/>
      <w:bookmarkEnd w:id="35"/>
    </w:p>
    <w:p w14:paraId="540151FC" w14:textId="77777777" w:rsidR="00C22214" w:rsidRPr="00BD5DBD" w:rsidRDefault="00C22214" w:rsidP="00BD5DBD">
      <w:pPr>
        <w:rPr>
          <w:szCs w:val="22"/>
        </w:rPr>
      </w:pPr>
      <w:bookmarkStart w:id="36" w:name="_Toc247691528"/>
      <w:bookmarkStart w:id="37" w:name="_Toc314842511"/>
      <w:r w:rsidRPr="00BD5DBD">
        <w:rPr>
          <w:szCs w:val="22"/>
        </w:rPr>
        <w:t>A summary of the TGA’s assessment for this submission is provided below.</w:t>
      </w:r>
    </w:p>
    <w:p w14:paraId="37F5A1C0" w14:textId="3A6E8261" w:rsidR="00C22214" w:rsidRDefault="00625526" w:rsidP="00C22214">
      <w:pPr>
        <w:pStyle w:val="Heading3"/>
      </w:pPr>
      <w:bookmarkStart w:id="38" w:name="_Toc103679295"/>
      <w:bookmarkStart w:id="39" w:name="_Toc210912405"/>
      <w:r>
        <w:lastRenderedPageBreak/>
        <w:t>Q</w:t>
      </w:r>
      <w:r w:rsidR="00C22214">
        <w:t>uality</w:t>
      </w:r>
      <w:bookmarkEnd w:id="36"/>
      <w:bookmarkEnd w:id="37"/>
      <w:bookmarkEnd w:id="38"/>
      <w:r w:rsidR="007E6443">
        <w:t xml:space="preserve"> evaluation</w:t>
      </w:r>
      <w:r w:rsidR="00095C6A">
        <w:t xml:space="preserve"> summary</w:t>
      </w:r>
      <w:bookmarkEnd w:id="39"/>
    </w:p>
    <w:p w14:paraId="1BB60E89" w14:textId="05C57EAB" w:rsidR="00722E8C" w:rsidRPr="00722E8C" w:rsidRDefault="00722E8C" w:rsidP="00722E8C">
      <w:pPr>
        <w:rPr>
          <w:szCs w:val="22"/>
        </w:rPr>
      </w:pPr>
      <w:r w:rsidRPr="00722E8C">
        <w:rPr>
          <w:szCs w:val="22"/>
        </w:rPr>
        <w:t>Dexrazoxane is produced</w:t>
      </w:r>
      <w:r w:rsidR="00B46D26">
        <w:rPr>
          <w:szCs w:val="22"/>
        </w:rPr>
        <w:t xml:space="preserve"> </w:t>
      </w:r>
      <w:r w:rsidRPr="00722E8C">
        <w:rPr>
          <w:szCs w:val="22"/>
        </w:rPr>
        <w:t>by chemical synthesis in four synthetic steps (and one chiral resolution step).</w:t>
      </w:r>
      <w:r w:rsidR="00DC1347">
        <w:rPr>
          <w:szCs w:val="22"/>
        </w:rPr>
        <w:t xml:space="preserve"> </w:t>
      </w:r>
      <w:r w:rsidRPr="00722E8C">
        <w:rPr>
          <w:szCs w:val="22"/>
        </w:rPr>
        <w:t>The proposed specification adequately controls the identity, potency, purity and chemical and</w:t>
      </w:r>
      <w:r w:rsidR="00B46D26">
        <w:rPr>
          <w:szCs w:val="22"/>
        </w:rPr>
        <w:t xml:space="preserve"> </w:t>
      </w:r>
      <w:r w:rsidRPr="00722E8C">
        <w:rPr>
          <w:szCs w:val="22"/>
        </w:rPr>
        <w:t>physical properties of the drug substance relevant to the dose form. As the drug substance is</w:t>
      </w:r>
      <w:r w:rsidR="00B46D26">
        <w:rPr>
          <w:szCs w:val="22"/>
        </w:rPr>
        <w:t xml:space="preserve"> </w:t>
      </w:r>
      <w:r w:rsidRPr="00722E8C">
        <w:rPr>
          <w:szCs w:val="22"/>
        </w:rPr>
        <w:t>fully dissolved during manufacture of the drug product, control of polymorphic form and</w:t>
      </w:r>
      <w:r w:rsidR="00B46D26">
        <w:rPr>
          <w:szCs w:val="22"/>
        </w:rPr>
        <w:t xml:space="preserve"> </w:t>
      </w:r>
      <w:r w:rsidRPr="00722E8C">
        <w:rPr>
          <w:szCs w:val="22"/>
        </w:rPr>
        <w:t>particle size of the drug substance is not required. The synthetic impurities are controlled to</w:t>
      </w:r>
      <w:r w:rsidR="00B46D26">
        <w:rPr>
          <w:szCs w:val="22"/>
        </w:rPr>
        <w:t xml:space="preserve"> </w:t>
      </w:r>
      <w:r w:rsidRPr="00722E8C">
        <w:rPr>
          <w:szCs w:val="22"/>
        </w:rPr>
        <w:t>either ICH Q3A or where higher were adequately qualified.</w:t>
      </w:r>
    </w:p>
    <w:p w14:paraId="33A698F4" w14:textId="77777777" w:rsidR="003D67F0" w:rsidRDefault="00722E8C" w:rsidP="00722E8C">
      <w:pPr>
        <w:rPr>
          <w:szCs w:val="22"/>
        </w:rPr>
      </w:pPr>
      <w:r w:rsidRPr="00722E8C">
        <w:rPr>
          <w:szCs w:val="22"/>
        </w:rPr>
        <w:t>The analytical methods used to analyse the product were adequately described and validated.</w:t>
      </w:r>
      <w:r w:rsidR="00B46D26">
        <w:rPr>
          <w:szCs w:val="22"/>
        </w:rPr>
        <w:t xml:space="preserve"> </w:t>
      </w:r>
    </w:p>
    <w:p w14:paraId="77F58B36" w14:textId="33E357A8" w:rsidR="00722E8C" w:rsidRPr="00722E8C" w:rsidRDefault="00722E8C" w:rsidP="00722E8C">
      <w:pPr>
        <w:rPr>
          <w:szCs w:val="22"/>
        </w:rPr>
      </w:pPr>
      <w:r w:rsidRPr="00722E8C">
        <w:rPr>
          <w:szCs w:val="22"/>
        </w:rPr>
        <w:t>Risk evaluations on the potential presence of nitrosamines and elemental impurities were</w:t>
      </w:r>
      <w:r w:rsidR="00B46D26">
        <w:rPr>
          <w:szCs w:val="22"/>
        </w:rPr>
        <w:t xml:space="preserve"> </w:t>
      </w:r>
      <w:r w:rsidRPr="00722E8C">
        <w:rPr>
          <w:szCs w:val="22"/>
        </w:rPr>
        <w:t>performed. No significant risk was identified. Dexrazoxane is a cytotoxic substance.</w:t>
      </w:r>
    </w:p>
    <w:p w14:paraId="3FE6D953" w14:textId="78540B13" w:rsidR="00722E8C" w:rsidRPr="00722E8C" w:rsidRDefault="00722E8C" w:rsidP="00722E8C">
      <w:pPr>
        <w:rPr>
          <w:szCs w:val="22"/>
        </w:rPr>
      </w:pPr>
      <w:r w:rsidRPr="00722E8C">
        <w:rPr>
          <w:szCs w:val="22"/>
        </w:rPr>
        <w:t>The proposed product is an off white to pale yellow lyophilised cake or powder. After</w:t>
      </w:r>
      <w:r w:rsidR="003D67F0">
        <w:rPr>
          <w:szCs w:val="22"/>
        </w:rPr>
        <w:t xml:space="preserve"> </w:t>
      </w:r>
      <w:r w:rsidRPr="00722E8C">
        <w:rPr>
          <w:szCs w:val="22"/>
        </w:rPr>
        <w:t>reconstitution, the product yields a clear, colourless to light pink solution free of visible</w:t>
      </w:r>
      <w:r w:rsidR="003D67F0">
        <w:rPr>
          <w:szCs w:val="22"/>
        </w:rPr>
        <w:t xml:space="preserve"> </w:t>
      </w:r>
      <w:r w:rsidRPr="00722E8C">
        <w:rPr>
          <w:szCs w:val="22"/>
        </w:rPr>
        <w:t>particles. Two strengths (250 mg and 500 mg) are proposed. The different strengths are direct</w:t>
      </w:r>
      <w:r w:rsidR="00B5791A">
        <w:rPr>
          <w:szCs w:val="22"/>
        </w:rPr>
        <w:t xml:space="preserve"> </w:t>
      </w:r>
      <w:r w:rsidRPr="00722E8C">
        <w:rPr>
          <w:szCs w:val="22"/>
        </w:rPr>
        <w:t>scales.</w:t>
      </w:r>
    </w:p>
    <w:p w14:paraId="2781CA14" w14:textId="5F6F5A3C" w:rsidR="00722E8C" w:rsidRPr="00722E8C" w:rsidRDefault="00722E8C" w:rsidP="00722E8C">
      <w:pPr>
        <w:rPr>
          <w:szCs w:val="22"/>
        </w:rPr>
      </w:pPr>
      <w:r w:rsidRPr="00722E8C">
        <w:rPr>
          <w:szCs w:val="22"/>
        </w:rPr>
        <w:t>The drug product specifications adequately control the quality of the drug product at release</w:t>
      </w:r>
      <w:r w:rsidR="00B5791A">
        <w:rPr>
          <w:szCs w:val="22"/>
        </w:rPr>
        <w:t xml:space="preserve"> </w:t>
      </w:r>
      <w:r w:rsidRPr="00722E8C">
        <w:rPr>
          <w:szCs w:val="22"/>
        </w:rPr>
        <w:t>and throughout the shelf-life. The impurities are controlled to either ICH Q3B or where higher</w:t>
      </w:r>
      <w:r w:rsidR="00B5791A">
        <w:rPr>
          <w:szCs w:val="22"/>
        </w:rPr>
        <w:t xml:space="preserve"> </w:t>
      </w:r>
      <w:r w:rsidRPr="00722E8C">
        <w:rPr>
          <w:szCs w:val="22"/>
        </w:rPr>
        <w:t>were adequately qualified. The analytical methods used to analyse the product were adequately</w:t>
      </w:r>
      <w:r w:rsidR="00B5791A">
        <w:rPr>
          <w:szCs w:val="22"/>
        </w:rPr>
        <w:t xml:space="preserve"> </w:t>
      </w:r>
      <w:r w:rsidRPr="00722E8C">
        <w:rPr>
          <w:szCs w:val="22"/>
        </w:rPr>
        <w:t>described and validated. A risk assessment on the potential contamination of the product with</w:t>
      </w:r>
      <w:r w:rsidR="00B5791A">
        <w:rPr>
          <w:szCs w:val="22"/>
        </w:rPr>
        <w:t xml:space="preserve"> </w:t>
      </w:r>
      <w:r w:rsidRPr="00722E8C">
        <w:rPr>
          <w:szCs w:val="22"/>
        </w:rPr>
        <w:t>nitrosamine impurities did not identify any significant risk.</w:t>
      </w:r>
    </w:p>
    <w:p w14:paraId="53D671BA" w14:textId="0B11D860" w:rsidR="00722E8C" w:rsidRPr="00722E8C" w:rsidRDefault="00722E8C" w:rsidP="00722E8C">
      <w:pPr>
        <w:rPr>
          <w:szCs w:val="22"/>
        </w:rPr>
      </w:pPr>
      <w:r w:rsidRPr="00722E8C">
        <w:rPr>
          <w:szCs w:val="22"/>
        </w:rPr>
        <w:t>A shelf life of 24 months when stored below 25 °C is supported. In-use period of 1 hour at room</w:t>
      </w:r>
      <w:r w:rsidR="00456A79">
        <w:rPr>
          <w:szCs w:val="22"/>
        </w:rPr>
        <w:t xml:space="preserve"> </w:t>
      </w:r>
      <w:r w:rsidRPr="00722E8C">
        <w:rPr>
          <w:szCs w:val="22"/>
        </w:rPr>
        <w:t>temperature or 4 hours when refrigerated (2–8 °C) following reconstitution is supported.</w:t>
      </w:r>
    </w:p>
    <w:p w14:paraId="77BC40BA" w14:textId="77777777" w:rsidR="00722E8C" w:rsidRPr="00722E8C" w:rsidRDefault="00722E8C" w:rsidP="00722E8C">
      <w:pPr>
        <w:rPr>
          <w:szCs w:val="22"/>
        </w:rPr>
      </w:pPr>
      <w:r w:rsidRPr="00722E8C">
        <w:rPr>
          <w:szCs w:val="22"/>
        </w:rPr>
        <w:t>The labelling is considered acceptable from a pharmaceutical quality perspective.</w:t>
      </w:r>
    </w:p>
    <w:p w14:paraId="3A81531D" w14:textId="6A51DD27" w:rsidR="00722E8C" w:rsidRPr="00BD5DBD" w:rsidRDefault="00456A79" w:rsidP="00722E8C">
      <w:pPr>
        <w:rPr>
          <w:szCs w:val="22"/>
        </w:rPr>
      </w:pPr>
      <w:r>
        <w:rPr>
          <w:szCs w:val="22"/>
        </w:rPr>
        <w:t xml:space="preserve">The </w:t>
      </w:r>
      <w:r w:rsidR="00286E44" w:rsidRPr="00722E8C">
        <w:rPr>
          <w:szCs w:val="22"/>
        </w:rPr>
        <w:t xml:space="preserve">Module 3 evaluator has recommended approval from a quality perspective. </w:t>
      </w:r>
    </w:p>
    <w:p w14:paraId="2BE90AAE" w14:textId="35796FD3" w:rsidR="00C22214" w:rsidRDefault="00C22214" w:rsidP="00C22214">
      <w:pPr>
        <w:pStyle w:val="Heading3"/>
      </w:pPr>
      <w:bookmarkStart w:id="40" w:name="_Toc314842512"/>
      <w:bookmarkStart w:id="41" w:name="_Toc103679296"/>
      <w:bookmarkStart w:id="42" w:name="_Toc210912406"/>
      <w:r>
        <w:t>Nonclinical</w:t>
      </w:r>
      <w:bookmarkEnd w:id="40"/>
      <w:bookmarkEnd w:id="41"/>
      <w:r w:rsidR="007E6443">
        <w:t xml:space="preserve"> evaluation</w:t>
      </w:r>
      <w:r w:rsidR="00095C6A">
        <w:t xml:space="preserve"> summary</w:t>
      </w:r>
      <w:bookmarkEnd w:id="42"/>
    </w:p>
    <w:p w14:paraId="243E864C" w14:textId="6BBBAF1C" w:rsidR="001A40BE" w:rsidRPr="001A40BE" w:rsidRDefault="001A40BE" w:rsidP="007B6961">
      <w:r w:rsidRPr="001A40BE">
        <w:t xml:space="preserve">This is a literature-based submission for </w:t>
      </w:r>
      <w:r w:rsidR="009E3893">
        <w:t>the nonclinical assessment</w:t>
      </w:r>
      <w:r w:rsidR="0034156A">
        <w:t>. T</w:t>
      </w:r>
      <w:r w:rsidRPr="001A40BE">
        <w:t xml:space="preserve">he submitted dossier was adequate given the long history of clinical use in other countries including </w:t>
      </w:r>
      <w:r w:rsidR="004F4E56">
        <w:t xml:space="preserve">United States of </w:t>
      </w:r>
      <w:r w:rsidR="004F4E56" w:rsidRPr="00D5363F">
        <w:t>America (</w:t>
      </w:r>
      <w:r w:rsidRPr="00D5363F">
        <w:t>USA</w:t>
      </w:r>
      <w:r w:rsidR="004F4E56" w:rsidRPr="00D5363F">
        <w:t>)</w:t>
      </w:r>
      <w:r w:rsidRPr="00D5363F">
        <w:t>,</w:t>
      </w:r>
      <w:r w:rsidR="004F4E56" w:rsidRPr="00D5363F">
        <w:t xml:space="preserve"> United Kingdom (</w:t>
      </w:r>
      <w:r w:rsidRPr="00D5363F">
        <w:t>UK</w:t>
      </w:r>
      <w:r w:rsidR="004F4E56" w:rsidRPr="00D5363F">
        <w:t>)</w:t>
      </w:r>
      <w:r w:rsidRPr="00D5363F">
        <w:t xml:space="preserve"> and Canada</w:t>
      </w:r>
      <w:r w:rsidRPr="001A40BE">
        <w:t xml:space="preserve">. There are no data on safety pharmacology. Information on carcinogenicity and reproductive and developmental toxicity were limited, and the latter was assessed based </w:t>
      </w:r>
      <w:r w:rsidRPr="00D5363F">
        <w:t xml:space="preserve">on US </w:t>
      </w:r>
      <w:r w:rsidR="009826EA" w:rsidRPr="00D5363F">
        <w:t>FDA</w:t>
      </w:r>
      <w:r w:rsidRPr="00D5363F">
        <w:t xml:space="preserve"> summary</w:t>
      </w:r>
      <w:r w:rsidRPr="001A40BE">
        <w:t xml:space="preserve"> evaluation reports. As a literature-based submission, the </w:t>
      </w:r>
      <w:r w:rsidR="009826EA">
        <w:t>s</w:t>
      </w:r>
      <w:r w:rsidRPr="001A40BE">
        <w:t xml:space="preserve">ponsor has provided most available relevant published studies. Carcinogenicity studies conducted by the National Institute of Health was not provided by the </w:t>
      </w:r>
      <w:r w:rsidR="00C1552D">
        <w:t>s</w:t>
      </w:r>
      <w:r w:rsidRPr="001A40BE">
        <w:t>ponsor but was sourced by the TGA evaluator.</w:t>
      </w:r>
    </w:p>
    <w:p w14:paraId="0DB2D02E" w14:textId="105E2172" w:rsidR="001A40BE" w:rsidRPr="001A40BE" w:rsidRDefault="001A40BE" w:rsidP="00C1552D">
      <w:r w:rsidRPr="001A40BE">
        <w:t xml:space="preserve">Cardiac protection by </w:t>
      </w:r>
      <w:r w:rsidR="00E64998">
        <w:t>dexrazoxane</w:t>
      </w:r>
      <w:r w:rsidRPr="001A40BE">
        <w:t xml:space="preserve"> was demonstrated in animal models. Efficacy of </w:t>
      </w:r>
      <w:r w:rsidR="00E64998">
        <w:t>dexrazoxane</w:t>
      </w:r>
      <w:r w:rsidRPr="001A40BE">
        <w:t xml:space="preserve"> was time and dose dependent. It reduced DOX-induced cardiomyopathy in mice, rabbits, and dogs at various IP or IV doses, administered 15 or 30 min before DOX injection. The exact mechanism of action is unclear, but antioxidant/free radical scavenging activity and inhibition of topoisomerase IIb (Top2B) were observed both in vitro and in vivo, which might contribute to the reduction of anthracycline-induced cardiomyopathy.</w:t>
      </w:r>
    </w:p>
    <w:p w14:paraId="4CD1C0F7" w14:textId="32176F61" w:rsidR="001A40BE" w:rsidRPr="001A40BE" w:rsidRDefault="001A40BE" w:rsidP="009F038C">
      <w:r w:rsidRPr="001A40BE">
        <w:t xml:space="preserve">Pharmacokinetic profiles available in rats, rabbits, and dogs (species used in the repeat-dose toxicity studies) were </w:t>
      </w:r>
      <w:proofErr w:type="gramStart"/>
      <w:r w:rsidRPr="001A40BE">
        <w:t>similar to</w:t>
      </w:r>
      <w:proofErr w:type="gramEnd"/>
      <w:r w:rsidRPr="001A40BE">
        <w:t xml:space="preserve"> humans, making it an appropriate species for the assessment of </w:t>
      </w:r>
      <w:r w:rsidR="00E64998">
        <w:t>dexrazoxane</w:t>
      </w:r>
      <w:r w:rsidRPr="001A40BE">
        <w:t xml:space="preserve"> toxicity.</w:t>
      </w:r>
      <w:r w:rsidR="009F038C">
        <w:t xml:space="preserve"> </w:t>
      </w:r>
      <w:r w:rsidRPr="001A40BE">
        <w:t xml:space="preserve">Primary pharmacology studies support the proposed clinical use of </w:t>
      </w:r>
      <w:r w:rsidR="00E64998">
        <w:t>dexrazoxane</w:t>
      </w:r>
      <w:r w:rsidRPr="001A40BE">
        <w:t xml:space="preserve"> for cardiac protection associated with DOX.</w:t>
      </w:r>
    </w:p>
    <w:p w14:paraId="25E4A30B" w14:textId="5849BFDA" w:rsidR="001A40BE" w:rsidRPr="001A40BE" w:rsidRDefault="001A40BE" w:rsidP="009F038C">
      <w:r w:rsidRPr="001A40BE">
        <w:lastRenderedPageBreak/>
        <w:t xml:space="preserve">Based on published literature and the US FDA evaluation, the toxicity profile of </w:t>
      </w:r>
      <w:r w:rsidR="00E64998">
        <w:t>dexrazoxane</w:t>
      </w:r>
      <w:r w:rsidRPr="001A40BE">
        <w:t xml:space="preserve"> has been adequately characterised. </w:t>
      </w:r>
      <w:r w:rsidR="00E64998">
        <w:t>dexrazoxane</w:t>
      </w:r>
      <w:r w:rsidRPr="001A40BE">
        <w:t xml:space="preserve"> may cause haematological, lymphoid, testicular, kidney and liver toxicity. The absence of safety pharmacology studies is considered a minor deficiency and should not preclude approval. </w:t>
      </w:r>
    </w:p>
    <w:p w14:paraId="21B7F685" w14:textId="68193A2F" w:rsidR="001A40BE" w:rsidRPr="001A40BE" w:rsidRDefault="001A40BE" w:rsidP="00D95DCE">
      <w:r w:rsidRPr="001A40BE">
        <w:t>There are no nonclinical objections to the proposed clinical use.</w:t>
      </w:r>
      <w:r w:rsidR="00D95DCE">
        <w:t xml:space="preserve"> The</w:t>
      </w:r>
      <w:r w:rsidR="007B6961" w:rsidRPr="001A40BE">
        <w:t xml:space="preserve"> evaluator has recommended approval from a nonclinical perspective. </w:t>
      </w:r>
    </w:p>
    <w:p w14:paraId="35B580A5" w14:textId="40B226DC" w:rsidR="00C22214" w:rsidRDefault="00C22214" w:rsidP="008804CF">
      <w:pPr>
        <w:pStyle w:val="Heading3"/>
      </w:pPr>
      <w:bookmarkStart w:id="43" w:name="_Toc247691530"/>
      <w:bookmarkStart w:id="44" w:name="_Toc314842513"/>
      <w:bookmarkStart w:id="45" w:name="_Toc103679297"/>
      <w:bookmarkStart w:id="46" w:name="_Toc210912407"/>
      <w:r>
        <w:t>Clinical</w:t>
      </w:r>
      <w:bookmarkEnd w:id="43"/>
      <w:bookmarkEnd w:id="44"/>
      <w:bookmarkEnd w:id="45"/>
      <w:r w:rsidR="00095C6A">
        <w:t xml:space="preserve"> evaluation summary</w:t>
      </w:r>
      <w:bookmarkEnd w:id="46"/>
    </w:p>
    <w:p w14:paraId="14FD1F11" w14:textId="18C8EA72" w:rsidR="005F7FB5" w:rsidRPr="005F7FB5" w:rsidRDefault="005F7FB5" w:rsidP="005F7FB5">
      <w:r w:rsidRPr="005F7FB5">
        <w:t xml:space="preserve">The current submission is a Literature-Based Submission based on the availability of dexrazoxane products on global markets for over 15 years. No new clinical studies have been completed by the </w:t>
      </w:r>
      <w:r w:rsidR="00DE5063">
        <w:t>s</w:t>
      </w:r>
      <w:r w:rsidRPr="005F7FB5">
        <w:t>ponsor. The clinical evaluators considered that the literature-based survey conducted by the sponsor was appropriate for the proposed indication.</w:t>
      </w:r>
    </w:p>
    <w:p w14:paraId="327B665F" w14:textId="77777777" w:rsidR="005F7FB5" w:rsidRPr="005F7FB5" w:rsidRDefault="005F7FB5" w:rsidP="002F3627">
      <w:pPr>
        <w:pStyle w:val="Heading4"/>
        <w:rPr>
          <w:i/>
        </w:rPr>
      </w:pPr>
      <w:bookmarkStart w:id="47" w:name="_Toc210912408"/>
      <w:r w:rsidRPr="005F7FB5">
        <w:t>Pharmacology</w:t>
      </w:r>
      <w:bookmarkEnd w:id="47"/>
      <w:r w:rsidRPr="005F7FB5">
        <w:rPr>
          <w:i/>
        </w:rPr>
        <w:t xml:space="preserve"> </w:t>
      </w:r>
    </w:p>
    <w:p w14:paraId="43130FD2" w14:textId="77777777" w:rsidR="005F7FB5" w:rsidRPr="005F7FB5" w:rsidRDefault="005F7FB5" w:rsidP="002F3627">
      <w:pPr>
        <w:pStyle w:val="Heading5"/>
      </w:pPr>
      <w:r w:rsidRPr="005F7FB5">
        <w:t xml:space="preserve">Pharmacokinetics (PK) </w:t>
      </w:r>
    </w:p>
    <w:p w14:paraId="4D52C5CD" w14:textId="77777777" w:rsidR="005F7FB5" w:rsidRPr="005F7FB5" w:rsidRDefault="005F7FB5" w:rsidP="005F7FB5">
      <w:r w:rsidRPr="005F7FB5">
        <w:t>The literature studies submitted in support of the current application were primarily undertaken in cancer patients. Therefore, where no data in healthy subjects are available the following sections will describe dexrazoxane PKs in cancer patients.</w:t>
      </w:r>
    </w:p>
    <w:p w14:paraId="407369CD" w14:textId="77777777" w:rsidR="005F7FB5" w:rsidRPr="00C044BF" w:rsidRDefault="005F7FB5" w:rsidP="00C044BF">
      <w:pPr>
        <w:pStyle w:val="ListBullet"/>
      </w:pPr>
      <w:r w:rsidRPr="00C044BF">
        <w:t xml:space="preserve">Dexrazoxane is to be administered via IV infusion over 15 min. In healthy subjects, the </w:t>
      </w:r>
      <w:proofErr w:type="spellStart"/>
      <w:r w:rsidRPr="00C044BF">
        <w:t>T</w:t>
      </w:r>
      <w:r w:rsidRPr="00382448">
        <w:rPr>
          <w:vertAlign w:val="subscript"/>
        </w:rPr>
        <w:t>max</w:t>
      </w:r>
      <w:proofErr w:type="spellEnd"/>
      <w:r w:rsidRPr="00C044BF">
        <w:t xml:space="preserve"> was attained 0.3h after dosing.</w:t>
      </w:r>
    </w:p>
    <w:p w14:paraId="26AEAF39" w14:textId="77777777" w:rsidR="005F7FB5" w:rsidRPr="00C044BF" w:rsidRDefault="005F7FB5" w:rsidP="00C044BF">
      <w:pPr>
        <w:pStyle w:val="ListBullet"/>
      </w:pPr>
      <w:r w:rsidRPr="00C044BF">
        <w:t xml:space="preserve">In patients with histologically proven cancer, there was no difference in PKs between </w:t>
      </w:r>
      <w:proofErr w:type="spellStart"/>
      <w:r w:rsidRPr="00C044BF">
        <w:t>Cardioxane</w:t>
      </w:r>
      <w:proofErr w:type="spellEnd"/>
      <w:r w:rsidRPr="00C044BF">
        <w:t xml:space="preserve"> and dexrazoxane sourced from the NCI.</w:t>
      </w:r>
    </w:p>
    <w:p w14:paraId="1684D7B4" w14:textId="7F657A41" w:rsidR="005F7FB5" w:rsidRPr="00C044BF" w:rsidRDefault="005F7FB5" w:rsidP="00C044BF">
      <w:pPr>
        <w:pStyle w:val="ListBullet"/>
      </w:pPr>
      <w:r w:rsidRPr="00C044BF">
        <w:t>Across the dosage range of 125 to 250</w:t>
      </w:r>
      <w:r w:rsidR="00491432" w:rsidRPr="00C044BF">
        <w:t xml:space="preserve"> </w:t>
      </w:r>
      <w:r w:rsidRPr="00C044BF">
        <w:t xml:space="preserve">mg/m2/day, dexrazoxane </w:t>
      </w:r>
      <w:proofErr w:type="spellStart"/>
      <w:r w:rsidRPr="00C044BF">
        <w:t>Css</w:t>
      </w:r>
      <w:proofErr w:type="spellEnd"/>
      <w:r w:rsidRPr="00C044BF">
        <w:t xml:space="preserve"> increased linearly with dose, whereas dexrazoxane </w:t>
      </w:r>
      <w:proofErr w:type="spellStart"/>
      <w:r w:rsidRPr="00C044BF">
        <w:t>CLss</w:t>
      </w:r>
      <w:proofErr w:type="spellEnd"/>
      <w:r w:rsidRPr="00C044BF">
        <w:t xml:space="preserve"> and t1/2 appeared to be independent of dose.</w:t>
      </w:r>
    </w:p>
    <w:p w14:paraId="0153DE80" w14:textId="4177DAB5" w:rsidR="005F7FB5" w:rsidRPr="00C044BF" w:rsidRDefault="005F7FB5" w:rsidP="00C044BF">
      <w:pPr>
        <w:pStyle w:val="ListBullet"/>
      </w:pPr>
      <w:r w:rsidRPr="00C044BF">
        <w:t>Across a dosage range of 60 to 900 mg/m2, dexrazoxane concentration v</w:t>
      </w:r>
      <w:r w:rsidR="002E0FF7" w:rsidRPr="00C044BF">
        <w:t>ersu</w:t>
      </w:r>
      <w:r w:rsidRPr="00C044BF">
        <w:t>s time data was best described by a two-compartment model and no variations were identified in dexrazoxane t1/2 or CL. Between dexrazoxane doses of 300 and 600 mg, mean Cmax and AUC values increased greater than proportionally with dose and then at higher doses Cmax remained relatively unchanged, whereas AUC continued to increase, albeit marginally, with dose.</w:t>
      </w:r>
    </w:p>
    <w:p w14:paraId="098B7A44" w14:textId="77777777" w:rsidR="005F7FB5" w:rsidRPr="00C044BF" w:rsidRDefault="005F7FB5" w:rsidP="00C044BF">
      <w:pPr>
        <w:pStyle w:val="ListBullet"/>
      </w:pPr>
      <w:r w:rsidRPr="00C044BF">
        <w:t xml:space="preserve">A 2-compartment analysis indicated that mean dexrazoxane Cmax levels decreased as infusion length increased, i.e. from 75.3 µg/mL for the 30 min infusion to 2.9 µg/mL for the 48h infusion. By contrast, </w:t>
      </w:r>
      <w:r w:rsidRPr="00D8270B">
        <w:t xml:space="preserve">the </w:t>
      </w:r>
      <w:proofErr w:type="spellStart"/>
      <w:r w:rsidRPr="00D8270B">
        <w:t>Vc</w:t>
      </w:r>
      <w:proofErr w:type="spellEnd"/>
      <w:r w:rsidRPr="00D8270B">
        <w:t xml:space="preserve"> val</w:t>
      </w:r>
      <w:r w:rsidRPr="00C044BF">
        <w:t>ues were similar, regardless of infusion length, as were the micro rate constants for drug transfer between compartments.</w:t>
      </w:r>
    </w:p>
    <w:p w14:paraId="46DE4B29" w14:textId="77777777" w:rsidR="005F7FB5" w:rsidRPr="00C044BF" w:rsidRDefault="005F7FB5" w:rsidP="00C044BF">
      <w:pPr>
        <w:pStyle w:val="ListBullet"/>
      </w:pPr>
      <w:proofErr w:type="spellStart"/>
      <w:r w:rsidRPr="00D8270B">
        <w:t>Vda</w:t>
      </w:r>
      <w:proofErr w:type="spellEnd"/>
      <w:r w:rsidRPr="00D8270B">
        <w:t xml:space="preserve"> estimated</w:t>
      </w:r>
      <w:r w:rsidRPr="00C044BF">
        <w:t xml:space="preserve"> from the AUC was 1.3 ± 0.4 L/kg and plasma protein binding is considered low (2%).</w:t>
      </w:r>
    </w:p>
    <w:p w14:paraId="58F63BAC" w14:textId="77777777" w:rsidR="005F7FB5" w:rsidRPr="00C044BF" w:rsidRDefault="005F7FB5" w:rsidP="00C044BF">
      <w:pPr>
        <w:pStyle w:val="ListBullet"/>
      </w:pPr>
      <w:r w:rsidRPr="00C044BF">
        <w:t xml:space="preserve">Dexrazoxane undergoes base-catalysed hydrolysis via </w:t>
      </w:r>
      <w:proofErr w:type="spellStart"/>
      <w:r w:rsidRPr="00C044BF">
        <w:t>DHPase</w:t>
      </w:r>
      <w:proofErr w:type="spellEnd"/>
      <w:r w:rsidRPr="00C044BF">
        <w:t xml:space="preserve"> to two open-ring intermediate products, B and C, which undergo further metabolism by </w:t>
      </w:r>
      <w:proofErr w:type="spellStart"/>
      <w:r w:rsidRPr="00C044BF">
        <w:t>DHOase</w:t>
      </w:r>
      <w:proofErr w:type="spellEnd"/>
      <w:r w:rsidRPr="00C044BF">
        <w:t xml:space="preserve"> to form the fully opened-ring, metal ion-chelating form, which is identified as ADR-925.</w:t>
      </w:r>
    </w:p>
    <w:p w14:paraId="795C1A7C" w14:textId="37242F92" w:rsidR="005F7FB5" w:rsidRPr="00C044BF" w:rsidRDefault="005F7FB5" w:rsidP="00C044BF">
      <w:pPr>
        <w:pStyle w:val="ListBullet"/>
      </w:pPr>
      <w:r w:rsidRPr="00C044BF">
        <w:t>Dexrazoxane is considered a prodrug of its active iron-chelating metabolite ADR-925. However, recent animal studies possibly suggest that dexrazoxane itself has cardio</w:t>
      </w:r>
      <w:r w:rsidR="00FA24DC">
        <w:t>-</w:t>
      </w:r>
      <w:r w:rsidRPr="00C044BF">
        <w:t>protective effects.</w:t>
      </w:r>
    </w:p>
    <w:p w14:paraId="5D71018E" w14:textId="10F7ED02" w:rsidR="005F7FB5" w:rsidRPr="00C044BF" w:rsidRDefault="005F7FB5" w:rsidP="00C044BF">
      <w:pPr>
        <w:pStyle w:val="ListBullet"/>
      </w:pPr>
      <w:r w:rsidRPr="00C044BF">
        <w:lastRenderedPageBreak/>
        <w:t>The metabolic intermediates B and C could be identified in plasma shortly following dexrazoxane administration and levels of the intermediates were detectable for 8h. Over this</w:t>
      </w:r>
      <w:r w:rsidRPr="005F7FB5">
        <w:t xml:space="preserve"> </w:t>
      </w:r>
      <w:r w:rsidRPr="00C044BF">
        <w:t>period, levels of C were a nearly constant 3–5% of dexrazoxane plasma levels, whereas plasma levels of B increased from an initial 8% to a maximum of 29% of the dexrazoxane levels at 3h. The t1/2 values for B and C were 2.5±1.1 and 0.6±0.2 h, respectively and Cmax values were 19.3±5.2 and 9.1±3.0 µM, respectively.</w:t>
      </w:r>
    </w:p>
    <w:p w14:paraId="53557DD3" w14:textId="7C899B4E" w:rsidR="005F7FB5" w:rsidRPr="00C044BF" w:rsidRDefault="005F7FB5" w:rsidP="00C044BF">
      <w:pPr>
        <w:pStyle w:val="ListBullet"/>
      </w:pPr>
      <w:r w:rsidRPr="00C044BF">
        <w:t>ADR-925 was detected in the first sample post-dexrazoxane infusion. ADR-925 levels then rapidly increased nearly 3-fold to 29±9 µM by 15 min following the infusion. Levels then remained relatively constant for the next 4h before slowly decreasing to approximately half by 24h. By 16h, total ADR-925 levels exceeded that of dexrazoxane, B or C.</w:t>
      </w:r>
    </w:p>
    <w:p w14:paraId="11C8EE4F" w14:textId="1F65DD78" w:rsidR="005F7FB5" w:rsidRPr="00C044BF" w:rsidRDefault="005F7FB5" w:rsidP="00C044BF">
      <w:pPr>
        <w:pStyle w:val="ListBullet"/>
      </w:pPr>
      <w:r w:rsidRPr="00C044BF">
        <w:t xml:space="preserve">Dexrazoxane displays biphasic elimination kinetics. The t1/2α for the initial component of elimination ranged from approximately 10 min to 1.0h and the t1/2β ranged from approximately 2 to 9.1h. </w:t>
      </w:r>
      <w:proofErr w:type="spellStart"/>
      <w:r w:rsidRPr="00C044BF">
        <w:t>Cardioxane</w:t>
      </w:r>
      <w:proofErr w:type="spellEnd"/>
      <w:r w:rsidRPr="00C044BF">
        <w:t xml:space="preserve"> </w:t>
      </w:r>
      <w:proofErr w:type="spellStart"/>
      <w:r w:rsidRPr="00C044BF">
        <w:t>CLtot</w:t>
      </w:r>
      <w:proofErr w:type="spellEnd"/>
      <w:r w:rsidRPr="00C044BF">
        <w:t xml:space="preserve"> and </w:t>
      </w:r>
      <w:proofErr w:type="spellStart"/>
      <w:r w:rsidRPr="00C044BF">
        <w:t>CLren</w:t>
      </w:r>
      <w:proofErr w:type="spellEnd"/>
      <w:r w:rsidRPr="00C044BF">
        <w:t xml:space="preserve"> values were 13.8 L/h and 5.9 L/h, respectively. Across the studies, the mean percentage of administered dexrazoxane recovered in the urine was consistent and ranged from 33.7% to 56%.</w:t>
      </w:r>
    </w:p>
    <w:p w14:paraId="646AFA54" w14:textId="77777777" w:rsidR="005F7FB5" w:rsidRPr="005F7FB5" w:rsidRDefault="005F7FB5" w:rsidP="009C7970">
      <w:pPr>
        <w:pStyle w:val="Heading6"/>
      </w:pPr>
      <w:r w:rsidRPr="005F7FB5">
        <w:t>Impaired renal function</w:t>
      </w:r>
    </w:p>
    <w:p w14:paraId="77125A1B" w14:textId="77777777" w:rsidR="005F7FB5" w:rsidRPr="00C044BF" w:rsidRDefault="005F7FB5" w:rsidP="00C044BF">
      <w:pPr>
        <w:pStyle w:val="ListBullet"/>
      </w:pPr>
      <w:r w:rsidRPr="00C044BF">
        <w:t>Dexrazoxane AUC0-inf and t1/2 values increased, and mean CL values decreased as kidney function declined in a non-linear fashion. For AUC, the values ranged from 19.3 µ</w:t>
      </w:r>
      <w:proofErr w:type="spellStart"/>
      <w:r w:rsidRPr="00C044BF">
        <w:t>g.h</w:t>
      </w:r>
      <w:proofErr w:type="spellEnd"/>
      <w:r w:rsidRPr="00C044BF">
        <w:t>/mL for subjects with normal kidney function to 39.1 µ</w:t>
      </w:r>
      <w:proofErr w:type="spellStart"/>
      <w:r w:rsidRPr="00C044BF">
        <w:t>g.h</w:t>
      </w:r>
      <w:proofErr w:type="spellEnd"/>
      <w:r w:rsidRPr="00C044BF">
        <w:t xml:space="preserve">/mL with severe dysfunction. By contrast, a linear relationship existed between the decrease in mean </w:t>
      </w:r>
      <w:proofErr w:type="spellStart"/>
      <w:r w:rsidRPr="00C044BF">
        <w:t>CLren</w:t>
      </w:r>
      <w:proofErr w:type="spellEnd"/>
      <w:r w:rsidRPr="00C044BF">
        <w:t xml:space="preserve"> and decline in kidney function. </w:t>
      </w:r>
    </w:p>
    <w:p w14:paraId="1617A5BD" w14:textId="52E181F7" w:rsidR="005F7FB5" w:rsidRPr="00C044BF" w:rsidRDefault="005F7FB5" w:rsidP="00C044BF">
      <w:pPr>
        <w:pStyle w:val="ListBullet"/>
      </w:pPr>
      <w:r w:rsidRPr="00C044BF">
        <w:t xml:space="preserve">Simulations were also undertaken that indicated a 50% dose reduction would normalise dexrazoxane AUC to healthy levels in subjects with creatinine clearance of &lt;40 mL/min (i.e. moderate to severe renal impairment). </w:t>
      </w:r>
    </w:p>
    <w:p w14:paraId="243DF4BD" w14:textId="77777777" w:rsidR="005F7FB5" w:rsidRPr="001B413F" w:rsidRDefault="005F7FB5" w:rsidP="009C7970">
      <w:pPr>
        <w:pStyle w:val="Heading6"/>
      </w:pPr>
      <w:r w:rsidRPr="001B413F">
        <w:t>PK interactions</w:t>
      </w:r>
    </w:p>
    <w:p w14:paraId="77E2CF86" w14:textId="4FF93395" w:rsidR="005F7FB5" w:rsidRPr="00C044BF" w:rsidRDefault="005F7FB5" w:rsidP="00C044BF">
      <w:pPr>
        <w:pStyle w:val="ListBullet"/>
      </w:pPr>
      <w:r w:rsidRPr="00C044BF">
        <w:t>As the dose of dexrazoxane was increased from 60 to 900</w:t>
      </w:r>
      <w:r w:rsidR="001B413F" w:rsidRPr="00C044BF">
        <w:t xml:space="preserve"> </w:t>
      </w:r>
      <w:r w:rsidRPr="00C044BF">
        <w:t>mg/m2, there was little change in doxorubicin AUC0-inf and CL.</w:t>
      </w:r>
    </w:p>
    <w:p w14:paraId="534031DA" w14:textId="2448C3C3" w:rsidR="005F7FB5" w:rsidRPr="00C044BF" w:rsidRDefault="005F7FB5" w:rsidP="00C044BF">
      <w:pPr>
        <w:pStyle w:val="ListBullet"/>
      </w:pPr>
      <w:r w:rsidRPr="00C044BF">
        <w:t xml:space="preserve">Compared to when a dose of 120 mg/m2 </w:t>
      </w:r>
      <w:proofErr w:type="spellStart"/>
      <w:r w:rsidRPr="00C044BF">
        <w:t>epirubicin</w:t>
      </w:r>
      <w:proofErr w:type="spellEnd"/>
      <w:r w:rsidRPr="00C044BF">
        <w:t xml:space="preserve"> was given alone, co-administration with 600 mg/m2 dexrazoxane resulted in an approximate 28% decrease in </w:t>
      </w:r>
      <w:proofErr w:type="spellStart"/>
      <w:r w:rsidRPr="00C044BF">
        <w:t>epirubicin</w:t>
      </w:r>
      <w:proofErr w:type="spellEnd"/>
      <w:r w:rsidRPr="00C044BF">
        <w:t xml:space="preserve"> Cmax, whereas there was little effect on AUC. By contrast, following co-administration of 900 mg/m2 dexrazoxane, </w:t>
      </w:r>
      <w:proofErr w:type="spellStart"/>
      <w:r w:rsidRPr="00C044BF">
        <w:t>epirubicin</w:t>
      </w:r>
      <w:proofErr w:type="spellEnd"/>
      <w:r w:rsidRPr="00C044BF">
        <w:t xml:space="preserve"> Cmax and AUC decreased by 56% and 34%, respectively. Compared to a dose of 135 mg/m2 </w:t>
      </w:r>
      <w:proofErr w:type="spellStart"/>
      <w:r w:rsidRPr="00C044BF">
        <w:t>epirubicin</w:t>
      </w:r>
      <w:proofErr w:type="spellEnd"/>
      <w:r w:rsidRPr="00C044BF">
        <w:t xml:space="preserve"> given alone, co-administration with 900 or 1200</w:t>
      </w:r>
      <w:r w:rsidR="003112A9" w:rsidRPr="00C044BF">
        <w:t xml:space="preserve"> </w:t>
      </w:r>
      <w:r w:rsidRPr="00C044BF">
        <w:t xml:space="preserve">mg/m2 dexrazoxane resulted in decreases in </w:t>
      </w:r>
      <w:proofErr w:type="spellStart"/>
      <w:r w:rsidRPr="00C044BF">
        <w:t>epirubicin</w:t>
      </w:r>
      <w:proofErr w:type="spellEnd"/>
      <w:r w:rsidRPr="00C044BF">
        <w:t xml:space="preserve"> Cmax and AUC of approximately 95% and 70%, respectively.</w:t>
      </w:r>
    </w:p>
    <w:p w14:paraId="60C560DE" w14:textId="77777777" w:rsidR="005F7FB5" w:rsidRPr="00C044BF" w:rsidRDefault="005F7FB5" w:rsidP="00C044BF">
      <w:pPr>
        <w:pStyle w:val="ListBullet"/>
      </w:pPr>
      <w:r w:rsidRPr="00C044BF">
        <w:t xml:space="preserve">Epirubicin dosing from 60-100 mg/m2 appeared to have little effect on dexrazoxane t1/2α, t1/2β, MRT, </w:t>
      </w:r>
      <w:proofErr w:type="spellStart"/>
      <w:r w:rsidRPr="00C044BF">
        <w:t>CLtot</w:t>
      </w:r>
      <w:proofErr w:type="spellEnd"/>
      <w:r w:rsidRPr="00C044BF">
        <w:t xml:space="preserve"> </w:t>
      </w:r>
      <w:r w:rsidRPr="00BB1413">
        <w:t xml:space="preserve">and </w:t>
      </w:r>
      <w:proofErr w:type="spellStart"/>
      <w:r w:rsidRPr="00BB1413">
        <w:t>Vd</w:t>
      </w:r>
      <w:proofErr w:type="spellEnd"/>
      <w:r w:rsidRPr="00BB1413">
        <w:t xml:space="preserve"> when</w:t>
      </w:r>
      <w:r w:rsidRPr="00C044BF">
        <w:t xml:space="preserve"> administered with CFT. In contrast to the preceding study, when </w:t>
      </w:r>
      <w:proofErr w:type="spellStart"/>
      <w:r w:rsidRPr="00C044BF">
        <w:t>epirubicin</w:t>
      </w:r>
      <w:proofErr w:type="spellEnd"/>
      <w:r w:rsidRPr="00C044BF">
        <w:t xml:space="preserve"> was administered with CFT, increasing the dose of dexrazoxane from 0 to 1000 mg/m2 had little to no effect on </w:t>
      </w:r>
      <w:proofErr w:type="spellStart"/>
      <w:r w:rsidRPr="00C044BF">
        <w:t>epirubicin</w:t>
      </w:r>
      <w:proofErr w:type="spellEnd"/>
      <w:r w:rsidRPr="00C044BF">
        <w:t xml:space="preserve"> PKs. Given the relative lack of information provided regarding the methodologies used in the literature-based studies, it is difficult to reconcile this finding with the results of the previous </w:t>
      </w:r>
      <w:proofErr w:type="spellStart"/>
      <w:r w:rsidRPr="00C044BF">
        <w:t>epirubicin</w:t>
      </w:r>
      <w:proofErr w:type="spellEnd"/>
      <w:r w:rsidRPr="00C044BF">
        <w:t xml:space="preserve"> study.</w:t>
      </w:r>
    </w:p>
    <w:p w14:paraId="0F221B57" w14:textId="77777777" w:rsidR="005F7FB5" w:rsidRPr="005F7FB5" w:rsidRDefault="005F7FB5" w:rsidP="00FE0C00">
      <w:pPr>
        <w:pStyle w:val="Heading5"/>
      </w:pPr>
      <w:r w:rsidRPr="005F7FB5">
        <w:t>Population PK data (</w:t>
      </w:r>
      <w:proofErr w:type="spellStart"/>
      <w:r w:rsidRPr="005F7FB5">
        <w:t>popPK</w:t>
      </w:r>
      <w:proofErr w:type="spellEnd"/>
      <w:r w:rsidRPr="005F7FB5">
        <w:t xml:space="preserve">) </w:t>
      </w:r>
    </w:p>
    <w:p w14:paraId="2A7F814B" w14:textId="0CA8D165" w:rsidR="005F7FB5" w:rsidRPr="005F7FB5" w:rsidRDefault="005F7FB5" w:rsidP="005F7FB5">
      <w:r w:rsidRPr="005F7FB5">
        <w:t>N</w:t>
      </w:r>
      <w:r w:rsidR="00425C50">
        <w:t>ot applicable.</w:t>
      </w:r>
    </w:p>
    <w:p w14:paraId="788FE5EC" w14:textId="77777777" w:rsidR="005F7FB5" w:rsidRPr="005F7FB5" w:rsidRDefault="005F7FB5" w:rsidP="00FE0C00">
      <w:pPr>
        <w:pStyle w:val="Heading5"/>
      </w:pPr>
      <w:r w:rsidRPr="005F7FB5">
        <w:t xml:space="preserve">Pharmacodynamics (PD) </w:t>
      </w:r>
    </w:p>
    <w:p w14:paraId="43747A1B" w14:textId="0241C5CA" w:rsidR="005F7FB5" w:rsidRPr="005F7FB5" w:rsidRDefault="005F7FB5" w:rsidP="005F7FB5">
      <w:r w:rsidRPr="005F7FB5">
        <w:t>The exact mechanism by which dexrazoxane exerts its cardio</w:t>
      </w:r>
      <w:r w:rsidR="00FA24DC">
        <w:t>-</w:t>
      </w:r>
      <w:r w:rsidRPr="005F7FB5">
        <w:t>protective effect has not been fully elucidated.</w:t>
      </w:r>
    </w:p>
    <w:p w14:paraId="667D42E3" w14:textId="77777777" w:rsidR="005F7FB5" w:rsidRPr="00F0104F" w:rsidRDefault="005F7FB5" w:rsidP="009C7970">
      <w:pPr>
        <w:pStyle w:val="Heading6"/>
      </w:pPr>
      <w:r w:rsidRPr="00F0104F">
        <w:lastRenderedPageBreak/>
        <w:t>Primary PDs</w:t>
      </w:r>
    </w:p>
    <w:p w14:paraId="6E7BD993" w14:textId="03A1D913" w:rsidR="005F7FB5" w:rsidRPr="00937DCE" w:rsidRDefault="005F7FB5" w:rsidP="00937DCE">
      <w:r w:rsidRPr="00937DCE">
        <w:t>Compared with pre-infusion levels, Fe2+ and Zn2+ ion excretion increased in 12 of 18 and 19 of 19 patients studied, by a median of 3.7- and 2.4-fold, respectively on day 3 during a dexrazoxane infusion of 125 to 250</w:t>
      </w:r>
      <w:r w:rsidR="00A4501A" w:rsidRPr="00937DCE">
        <w:t xml:space="preserve"> </w:t>
      </w:r>
      <w:r w:rsidRPr="00937DCE">
        <w:t xml:space="preserve">mg/m2/day. The magnitude of the change in excretion of Fe2+ and Zn2+ was unrelated to dexrazoxane dose, </w:t>
      </w:r>
      <w:proofErr w:type="spellStart"/>
      <w:r w:rsidRPr="00937DCE">
        <w:t>Css</w:t>
      </w:r>
      <w:proofErr w:type="spellEnd"/>
      <w:r w:rsidRPr="00937DCE">
        <w:t>, or renal clearance. By contrast, urinary excretion of Mg2+ ions was unchanged by dexrazoxane infusion.</w:t>
      </w:r>
    </w:p>
    <w:p w14:paraId="2056D7D0" w14:textId="0239A8A1" w:rsidR="005F7FB5" w:rsidRPr="00937DCE" w:rsidRDefault="005F7FB5" w:rsidP="00937DCE">
      <w:r w:rsidRPr="00937DCE">
        <w:t>In patients administered dexrazoxane doses ranging from 125 to 250 mg/m2/day for 4 days, as well as 5 µg/kg G-CSF daily starting 24h after the end of the dexrazoxane infusion, there were no objective responses in 21 evaluable patients.</w:t>
      </w:r>
    </w:p>
    <w:p w14:paraId="3EA20055" w14:textId="77777777" w:rsidR="005F7FB5" w:rsidRPr="00937DCE" w:rsidRDefault="005F7FB5" w:rsidP="00937DCE">
      <w:r w:rsidRPr="00937DCE">
        <w:t>In 66 evaluable patients with solid tumours who were administered dexrazoxane doses ranging from 0.85 to 7.42 g/m2/week for 4 weeks, three patients experienced partial responses.</w:t>
      </w:r>
    </w:p>
    <w:p w14:paraId="67F39870" w14:textId="77777777" w:rsidR="005F7FB5" w:rsidRPr="00F0104F" w:rsidRDefault="005F7FB5" w:rsidP="009C7970">
      <w:pPr>
        <w:pStyle w:val="Heading6"/>
      </w:pPr>
      <w:r w:rsidRPr="00F0104F">
        <w:t>Secondary PDs</w:t>
      </w:r>
    </w:p>
    <w:p w14:paraId="072BFF8B" w14:textId="19E9AAE9" w:rsidR="005F7FB5" w:rsidRPr="00E710A2" w:rsidRDefault="005F7FB5" w:rsidP="0041713D">
      <w:r w:rsidRPr="00E710A2">
        <w:t xml:space="preserve">In patients with advanced malignancies dexrazoxane plasma concentration correlated with the occurrence of dose-limiting toxicity. For instance, 4 out of 4 patients who experienced dose-limiting toxicity had dexrazoxane </w:t>
      </w:r>
      <w:proofErr w:type="spellStart"/>
      <w:r w:rsidRPr="00E710A2">
        <w:t>Css</w:t>
      </w:r>
      <w:proofErr w:type="spellEnd"/>
      <w:r w:rsidRPr="00E710A2">
        <w:t xml:space="preserve"> values </w:t>
      </w:r>
      <w:r w:rsidR="002F5B47" w:rsidRPr="00E710A2">
        <w:t>greater than</w:t>
      </w:r>
      <w:r w:rsidRPr="00E710A2">
        <w:t xml:space="preserve"> 1300 µg/L, whereas none of the patients (0 of 17) with a </w:t>
      </w:r>
      <w:proofErr w:type="spellStart"/>
      <w:r w:rsidRPr="00E710A2">
        <w:t>Css</w:t>
      </w:r>
      <w:proofErr w:type="spellEnd"/>
      <w:r w:rsidRPr="00E710A2">
        <w:t xml:space="preserve"> </w:t>
      </w:r>
      <w:r w:rsidR="002F5B47" w:rsidRPr="00E710A2">
        <w:t>less than</w:t>
      </w:r>
      <w:r w:rsidR="00CC313F" w:rsidRPr="00E710A2">
        <w:t xml:space="preserve"> </w:t>
      </w:r>
      <w:r w:rsidRPr="00E710A2">
        <w:t>1300 µg/L experienced a dose-limiting toxicity.</w:t>
      </w:r>
    </w:p>
    <w:p w14:paraId="3DF73ED4" w14:textId="77777777" w:rsidR="005F7FB5" w:rsidRPr="00E710A2" w:rsidRDefault="005F7FB5" w:rsidP="0041713D">
      <w:r w:rsidRPr="00E710A2">
        <w:t>A MTD study identified that in “heavily pretreated patients”, dexrazoxane 3.8 g/m2/week x 4 was a practical dose for future Phase II trials, on the proviso that most patients may tolerate only 3 weekly doses. By contrast, in “good-risk patients”, dexrazoxane 7.42 g/m2/week x 4 was considered a reasonable dose and schedule for future Phase II trials.</w:t>
      </w:r>
    </w:p>
    <w:p w14:paraId="513221DB" w14:textId="77777777" w:rsidR="005F7FB5" w:rsidRPr="005F7FB5" w:rsidRDefault="005F7FB5" w:rsidP="00FE025C">
      <w:pPr>
        <w:pStyle w:val="Heading6"/>
      </w:pPr>
      <w:r w:rsidRPr="005F7FB5">
        <w:t>PD interactions</w:t>
      </w:r>
    </w:p>
    <w:p w14:paraId="0B49BC68" w14:textId="77777777" w:rsidR="005F7FB5" w:rsidRPr="00E710A2" w:rsidRDefault="005F7FB5" w:rsidP="0041713D">
      <w:r w:rsidRPr="00E710A2">
        <w:t xml:space="preserve">When given in combination the MTDs of </w:t>
      </w:r>
      <w:proofErr w:type="spellStart"/>
      <w:r w:rsidRPr="00E710A2">
        <w:t>epirubicin</w:t>
      </w:r>
      <w:proofErr w:type="spellEnd"/>
      <w:r w:rsidRPr="00E710A2">
        <w:t xml:space="preserve"> and dexrazoxane were determined to be 135 mg/m2 and 1,200 mg/m2, respectively. The dose-limiting toxicities encountered were grade 4 neutropenia (two patients) and stomatitis (one patient) and occurred at doses of dexrazoxane 900 mg/m2 and </w:t>
      </w:r>
      <w:proofErr w:type="spellStart"/>
      <w:r w:rsidRPr="00E710A2">
        <w:t>epirubicin</w:t>
      </w:r>
      <w:proofErr w:type="spellEnd"/>
      <w:r w:rsidRPr="00E710A2">
        <w:t xml:space="preserve"> 150 mg/m2. </w:t>
      </w:r>
    </w:p>
    <w:p w14:paraId="26CDA033" w14:textId="32392AB3" w:rsidR="005F7FB5" w:rsidRPr="005F7FB5" w:rsidRDefault="005F7FB5" w:rsidP="005F7FB5">
      <w:r w:rsidRPr="005F7FB5">
        <w:t>Hochster et al</w:t>
      </w:r>
      <w:r w:rsidRPr="005F7FB5">
        <w:rPr>
          <w:i/>
          <w:iCs/>
        </w:rPr>
        <w:t>.</w:t>
      </w:r>
      <w:r w:rsidR="00DB512F" w:rsidRPr="00635DDE">
        <w:rPr>
          <w:rStyle w:val="FootnoteReference"/>
          <w:i/>
          <w:iCs/>
        </w:rPr>
        <w:footnoteReference w:id="3"/>
      </w:r>
      <w:r w:rsidRPr="005F7FB5">
        <w:t xml:space="preserve"> investigated the PKs of the cardio</w:t>
      </w:r>
      <w:r w:rsidR="00270E78">
        <w:t>-</w:t>
      </w:r>
      <w:r w:rsidRPr="005F7FB5">
        <w:t xml:space="preserve">protector dexrazoxane in escalating doses combined with a </w:t>
      </w:r>
      <w:r w:rsidR="00270E78" w:rsidRPr="005F7FB5">
        <w:t>fixed dose</w:t>
      </w:r>
      <w:r w:rsidRPr="005F7FB5">
        <w:t xml:space="preserve"> of 60 mg/m</w:t>
      </w:r>
      <w:r w:rsidRPr="005F7FB5">
        <w:rPr>
          <w:vertAlign w:val="superscript"/>
        </w:rPr>
        <w:t>2</w:t>
      </w:r>
      <w:r w:rsidRPr="005F7FB5">
        <w:t xml:space="preserve">. The proposed dexrazoxane doses for marketing are in line with those previously approved for use by the MHRA, UK and </w:t>
      </w:r>
      <w:proofErr w:type="spellStart"/>
      <w:r w:rsidRPr="005F7FB5">
        <w:t>MedEffect</w:t>
      </w:r>
      <w:proofErr w:type="spellEnd"/>
      <w:r w:rsidRPr="005F7FB5">
        <w:t>, Canada</w:t>
      </w:r>
      <w:r w:rsidRPr="005F7FB5">
        <w:rPr>
          <w:vertAlign w:val="superscript"/>
        </w:rPr>
        <w:footnoteReference w:id="4"/>
      </w:r>
      <w:r w:rsidRPr="005F7FB5">
        <w:t>.</w:t>
      </w:r>
    </w:p>
    <w:p w14:paraId="1ED6DBBC" w14:textId="77777777" w:rsidR="005F7FB5" w:rsidRPr="005F7FB5" w:rsidRDefault="005F7FB5" w:rsidP="00270E78">
      <w:pPr>
        <w:pStyle w:val="Heading4"/>
      </w:pPr>
      <w:bookmarkStart w:id="48" w:name="_Toc210912409"/>
      <w:r w:rsidRPr="005F7FB5">
        <w:t>Efficacy</w:t>
      </w:r>
      <w:bookmarkEnd w:id="48"/>
    </w:p>
    <w:p w14:paraId="46338B74" w14:textId="77777777" w:rsidR="005F7FB5" w:rsidRPr="005F7FB5" w:rsidRDefault="005F7FB5" w:rsidP="00DE17E8">
      <w:pPr>
        <w:pStyle w:val="Heading6"/>
      </w:pPr>
      <w:r w:rsidRPr="005F7FB5">
        <w:t>Controlled breast cancer studies</w:t>
      </w:r>
    </w:p>
    <w:p w14:paraId="4279C372" w14:textId="27592B44" w:rsidR="005F7FB5" w:rsidRPr="009C7970" w:rsidRDefault="005F7FB5" w:rsidP="005F7FB5">
      <w:pPr>
        <w:rPr>
          <w:i/>
          <w:iCs/>
        </w:rPr>
      </w:pPr>
      <w:r w:rsidRPr="009C7970">
        <w:rPr>
          <w:i/>
          <w:iCs/>
        </w:rPr>
        <w:t>Marty</w:t>
      </w:r>
      <w:r w:rsidR="00686B29" w:rsidRPr="009C7970">
        <w:rPr>
          <w:i/>
          <w:iCs/>
        </w:rPr>
        <w:t xml:space="preserve">, </w:t>
      </w:r>
      <w:r w:rsidR="004B3DF1" w:rsidRPr="009C7970">
        <w:rPr>
          <w:i/>
          <w:iCs/>
        </w:rPr>
        <w:t>M.,</w:t>
      </w:r>
      <w:r w:rsidR="00686B29" w:rsidRPr="009C7970">
        <w:rPr>
          <w:i/>
          <w:iCs/>
        </w:rPr>
        <w:t xml:space="preserve"> </w:t>
      </w:r>
      <w:proofErr w:type="spellStart"/>
      <w:r w:rsidR="00686B29" w:rsidRPr="009C7970">
        <w:rPr>
          <w:i/>
          <w:iCs/>
        </w:rPr>
        <w:t>Espié</w:t>
      </w:r>
      <w:proofErr w:type="spellEnd"/>
      <w:r w:rsidR="00686B29" w:rsidRPr="009C7970">
        <w:rPr>
          <w:i/>
          <w:iCs/>
        </w:rPr>
        <w:t xml:space="preserve">, M., </w:t>
      </w:r>
      <w:proofErr w:type="spellStart"/>
      <w:r w:rsidR="00686B29" w:rsidRPr="009C7970">
        <w:rPr>
          <w:i/>
          <w:iCs/>
        </w:rPr>
        <w:t>Llombart</w:t>
      </w:r>
      <w:proofErr w:type="spellEnd"/>
      <w:r w:rsidR="00686B29" w:rsidRPr="009C7970">
        <w:rPr>
          <w:i/>
          <w:iCs/>
        </w:rPr>
        <w:t xml:space="preserve">, A., Monnier, A., Rapoport, B. L., </w:t>
      </w:r>
      <w:proofErr w:type="spellStart"/>
      <w:r w:rsidR="00686B29" w:rsidRPr="009C7970">
        <w:rPr>
          <w:i/>
          <w:iCs/>
        </w:rPr>
        <w:t>Stahalova</w:t>
      </w:r>
      <w:proofErr w:type="spellEnd"/>
      <w:r w:rsidR="00686B29" w:rsidRPr="009C7970">
        <w:rPr>
          <w:i/>
          <w:iCs/>
        </w:rPr>
        <w:t>, V., &amp; Dexrazoxane Study Group</w:t>
      </w:r>
      <w:r w:rsidRPr="009C7970">
        <w:rPr>
          <w:i/>
          <w:iCs/>
        </w:rPr>
        <w:t xml:space="preserve"> et al. </w:t>
      </w:r>
      <w:r w:rsidR="00613F7F" w:rsidRPr="009C7970">
        <w:rPr>
          <w:i/>
          <w:iCs/>
        </w:rPr>
        <w:t>(2006)</w:t>
      </w:r>
      <w:r w:rsidR="00613F7F" w:rsidRPr="009C7970">
        <w:rPr>
          <w:rStyle w:val="FootnoteReference"/>
          <w:i/>
          <w:iCs/>
        </w:rPr>
        <w:footnoteReference w:id="5"/>
      </w:r>
    </w:p>
    <w:p w14:paraId="544BD23E" w14:textId="487F509E" w:rsidR="005F7FB5" w:rsidRPr="005F7FB5" w:rsidRDefault="005F7FB5" w:rsidP="005F7FB5">
      <w:r w:rsidRPr="005F7FB5">
        <w:t xml:space="preserve">A multicentre, randomised phase 3 study of dexrazoxane use in 164 advanced/metastatic breast cancer patients previously treated with anthracyclines and receiving an anthracycline-based </w:t>
      </w:r>
      <w:r w:rsidRPr="005F7FB5">
        <w:lastRenderedPageBreak/>
        <w:t>chemotherapy either with (n=85) or without (n=79) dexrazoxane, for a maximum of 6 cycles, was reported</w:t>
      </w:r>
      <w:r w:rsidR="00425C50">
        <w:t>.</w:t>
      </w:r>
      <w:r w:rsidRPr="005F7FB5">
        <w:t xml:space="preserve"> </w:t>
      </w:r>
    </w:p>
    <w:p w14:paraId="67886D09" w14:textId="04A37CB2" w:rsidR="00720E84" w:rsidRPr="009C7970" w:rsidRDefault="005F7FB5" w:rsidP="009C7970">
      <w:pPr>
        <w:pStyle w:val="Heading6"/>
      </w:pPr>
      <w:r w:rsidRPr="009C7970">
        <w:rPr>
          <w:rStyle w:val="Heading7Char"/>
          <w:rFonts w:ascii="Arial" w:hAnsi="Arial" w:cs="Times New Roman"/>
          <w:i/>
          <w:iCs w:val="0"/>
          <w:color w:val="001871"/>
          <w:sz w:val="24"/>
        </w:rPr>
        <w:t>Treatment</w:t>
      </w:r>
    </w:p>
    <w:p w14:paraId="7BCD6897" w14:textId="1741B927" w:rsidR="005F7FB5" w:rsidRPr="005F7FB5" w:rsidRDefault="00720E84" w:rsidP="005F7FB5">
      <w:r>
        <w:t xml:space="preserve">Treatment </w:t>
      </w:r>
      <w:r w:rsidR="005F7FB5" w:rsidRPr="005F7FB5">
        <w:t xml:space="preserve">included dexrazoxane administration 30 minutes before infusion of the anthracycline, given IV over </w:t>
      </w:r>
      <w:r w:rsidR="00665FAD">
        <w:t xml:space="preserve">approximately </w:t>
      </w:r>
      <w:r w:rsidR="005F7FB5" w:rsidRPr="005F7FB5">
        <w:t xml:space="preserve">15 minutes and 20:1 dexrazoxane: doxorubicin dose ratio or at a 10:1 dexrazoxane: </w:t>
      </w:r>
      <w:proofErr w:type="spellStart"/>
      <w:r w:rsidR="005F7FB5" w:rsidRPr="005F7FB5">
        <w:t>epirubicin</w:t>
      </w:r>
      <w:proofErr w:type="spellEnd"/>
      <w:r w:rsidR="005F7FB5" w:rsidRPr="005F7FB5">
        <w:t xml:space="preserve"> dose ratio. Treatment cycles were given every 3 weeks provided a neutrophil count </w:t>
      </w:r>
      <w:r w:rsidR="005F7FB5" w:rsidRPr="0025226D">
        <w:t xml:space="preserve">was </w:t>
      </w:r>
      <w:r w:rsidR="0025226D" w:rsidRPr="0025226D">
        <w:t>less than or equal to</w:t>
      </w:r>
      <w:r w:rsidR="0025226D">
        <w:t xml:space="preserve"> </w:t>
      </w:r>
      <w:r w:rsidR="005F7FB5" w:rsidRPr="0025226D">
        <w:t>1.</w:t>
      </w:r>
      <w:r w:rsidR="005F7FB5" w:rsidRPr="005F7FB5">
        <w:t>5x10</w:t>
      </w:r>
      <w:r w:rsidR="005F7FB5" w:rsidRPr="005F7FB5">
        <w:rPr>
          <w:vertAlign w:val="superscript"/>
        </w:rPr>
        <w:t>9</w:t>
      </w:r>
      <w:r w:rsidR="005F7FB5" w:rsidRPr="005F7FB5">
        <w:t xml:space="preserve">/L and the platelet count was </w:t>
      </w:r>
      <w:r w:rsidR="0025226D">
        <w:t>greater than</w:t>
      </w:r>
      <w:r w:rsidR="00A553E6">
        <w:t xml:space="preserve"> or equal to </w:t>
      </w:r>
      <w:r w:rsidR="005F7FB5" w:rsidRPr="005F7FB5">
        <w:t>100x10</w:t>
      </w:r>
      <w:r w:rsidR="005F7FB5" w:rsidRPr="005F7FB5">
        <w:rPr>
          <w:vertAlign w:val="superscript"/>
        </w:rPr>
        <w:t>9</w:t>
      </w:r>
      <w:r w:rsidR="005F7FB5" w:rsidRPr="005F7FB5">
        <w:t>/L. Treatment was withheld if neutrophil and platelet count values were below 1x10</w:t>
      </w:r>
      <w:r w:rsidR="005F7FB5" w:rsidRPr="005F7FB5">
        <w:rPr>
          <w:vertAlign w:val="superscript"/>
        </w:rPr>
        <w:t>9</w:t>
      </w:r>
      <w:r w:rsidR="005F7FB5" w:rsidRPr="005F7FB5">
        <w:t xml:space="preserve">/L and </w:t>
      </w:r>
      <w:r w:rsidR="00A553E6">
        <w:t xml:space="preserve">below </w:t>
      </w:r>
      <w:r w:rsidR="005F7FB5" w:rsidRPr="005F7FB5">
        <w:t>75x10</w:t>
      </w:r>
      <w:r w:rsidR="005F7FB5" w:rsidRPr="005F7FB5">
        <w:rPr>
          <w:vertAlign w:val="superscript"/>
        </w:rPr>
        <w:t>9</w:t>
      </w:r>
      <w:r w:rsidR="005F7FB5" w:rsidRPr="005F7FB5">
        <w:t>/L, respectively. Doses were reduced by 50% in case of a bilirubin value between 1.5 and 3.0</w:t>
      </w:r>
      <w:r w:rsidR="00EB3AA3">
        <w:t xml:space="preserve"> </w:t>
      </w:r>
      <w:r w:rsidR="005F7FB5" w:rsidRPr="005F7FB5">
        <w:t>mg/dL and by 75% for a value more than 3.0</w:t>
      </w:r>
      <w:r w:rsidR="00EB3AA3">
        <w:t xml:space="preserve"> </w:t>
      </w:r>
      <w:r w:rsidR="005F7FB5" w:rsidRPr="005F7FB5">
        <w:t>mg/dL</w:t>
      </w:r>
      <w:r w:rsidR="00425C50">
        <w:t>.</w:t>
      </w:r>
    </w:p>
    <w:p w14:paraId="6949796C" w14:textId="3967759C" w:rsidR="00720E84" w:rsidRPr="009C7970" w:rsidRDefault="005F7FB5" w:rsidP="009C7970">
      <w:pPr>
        <w:pStyle w:val="Heading6"/>
      </w:pPr>
      <w:r w:rsidRPr="009C7970">
        <w:rPr>
          <w:rStyle w:val="Heading7Char"/>
          <w:rFonts w:ascii="Arial" w:hAnsi="Arial" w:cs="Times New Roman"/>
          <w:i/>
          <w:iCs w:val="0"/>
          <w:color w:val="001871"/>
          <w:sz w:val="24"/>
        </w:rPr>
        <w:t>Exclusion criteria</w:t>
      </w:r>
    </w:p>
    <w:p w14:paraId="1232616B" w14:textId="28E80D0D" w:rsidR="005F7FB5" w:rsidRPr="005F7FB5" w:rsidRDefault="005F7FB5" w:rsidP="005F7FB5">
      <w:r w:rsidRPr="005F7FB5">
        <w:t xml:space="preserve">Patients with cardiac history including myocardial infarction in the previous year, history of uncontrolled angina, </w:t>
      </w:r>
      <w:r w:rsidR="006C367B">
        <w:t>congestive cardiac fail</w:t>
      </w:r>
      <w:r w:rsidR="00AC4D1D">
        <w:t>ure (</w:t>
      </w:r>
      <w:r w:rsidRPr="005F7FB5">
        <w:t>CCF</w:t>
      </w:r>
      <w:r w:rsidR="00AC4D1D">
        <w:t>)</w:t>
      </w:r>
      <w:r w:rsidRPr="005F7FB5">
        <w:t xml:space="preserve"> or symptomatic valvular heart disease.</w:t>
      </w:r>
    </w:p>
    <w:p w14:paraId="6B465BC0" w14:textId="6437F283" w:rsidR="00720E84" w:rsidRPr="009C7970" w:rsidRDefault="005F7FB5" w:rsidP="009C7970">
      <w:pPr>
        <w:pStyle w:val="Heading6"/>
      </w:pPr>
      <w:r w:rsidRPr="009C7970">
        <w:rPr>
          <w:rStyle w:val="Heading7Char"/>
          <w:rFonts w:ascii="Arial" w:hAnsi="Arial" w:cs="Times New Roman"/>
          <w:i/>
          <w:iCs w:val="0"/>
          <w:color w:val="001871"/>
          <w:sz w:val="24"/>
        </w:rPr>
        <w:t>Primary efficacy endpoint</w:t>
      </w:r>
    </w:p>
    <w:p w14:paraId="141ECBAD" w14:textId="1F2F0E5A" w:rsidR="005F7FB5" w:rsidRPr="005F7FB5" w:rsidRDefault="005F7FB5" w:rsidP="005F7FB5">
      <w:r w:rsidRPr="005F7FB5">
        <w:t xml:space="preserve">The incidence of cardiac events, defined as a reduction in LVEF by 10% or more as measured </w:t>
      </w:r>
      <w:r w:rsidRPr="00410CEF">
        <w:t>by MUGA scan</w:t>
      </w:r>
      <w:r w:rsidRPr="005F7FB5">
        <w:t xml:space="preserve"> or 15% or more as measured by echocardiography; reduction in </w:t>
      </w:r>
      <w:r w:rsidRPr="009A082B">
        <w:t>absolute LVEF as</w:t>
      </w:r>
      <w:r w:rsidRPr="005F7FB5">
        <w:t xml:space="preserve"> measured by MUGA scan or echocardiograph</w:t>
      </w:r>
      <w:r w:rsidR="007F2A23">
        <w:t xml:space="preserve"> </w:t>
      </w:r>
      <w:r w:rsidRPr="005F7FB5">
        <w:t>to a value below 45%; or the appearance of clinical signs of cardiac failure.</w:t>
      </w:r>
    </w:p>
    <w:p w14:paraId="7C787619" w14:textId="1C6F9EF9" w:rsidR="005F7FB5" w:rsidRPr="005F7FB5" w:rsidRDefault="005F7FB5" w:rsidP="005F7FB5">
      <w:r w:rsidRPr="005F7FB5">
        <w:t>The cardiac assessment modality (MUGA scan or echocardiography) was used throughout the study in each individual patient and echocardiography was performed by the same operator on each occasion. Cardiac assessments were performed after each cycle during treatment, up to a cumulative dose of 500</w:t>
      </w:r>
      <w:r w:rsidR="00EE027A">
        <w:t xml:space="preserve"> </w:t>
      </w:r>
      <w:r w:rsidRPr="005F7FB5">
        <w:t>mg/m</w:t>
      </w:r>
      <w:r w:rsidRPr="005F7FB5">
        <w:rPr>
          <w:vertAlign w:val="superscript"/>
        </w:rPr>
        <w:t>2</w:t>
      </w:r>
      <w:r w:rsidRPr="005F7FB5">
        <w:t xml:space="preserve"> doxorubicin or 900</w:t>
      </w:r>
      <w:r w:rsidR="00EE027A">
        <w:t xml:space="preserve"> </w:t>
      </w:r>
      <w:r w:rsidRPr="005F7FB5">
        <w:t>mg/m</w:t>
      </w:r>
      <w:r w:rsidRPr="005F7FB5">
        <w:rPr>
          <w:vertAlign w:val="superscript"/>
        </w:rPr>
        <w:t>2</w:t>
      </w:r>
      <w:r w:rsidRPr="005F7FB5">
        <w:t xml:space="preserve"> </w:t>
      </w:r>
      <w:proofErr w:type="spellStart"/>
      <w:r w:rsidRPr="005F7FB5">
        <w:t>epirubicin</w:t>
      </w:r>
      <w:proofErr w:type="spellEnd"/>
      <w:r w:rsidRPr="005F7FB5">
        <w:t xml:space="preserve">. Cardiac assessments were performed at the first follow-up visit and during long-term follow-up (3 monthly during the first 2 years and 6 monthly during the next 3 years). </w:t>
      </w:r>
    </w:p>
    <w:p w14:paraId="34579D83" w14:textId="3CBD6714" w:rsidR="005F7FB5" w:rsidRPr="005F7FB5" w:rsidRDefault="005F7FB5" w:rsidP="005F7FB5">
      <w:r w:rsidRPr="005F7FB5">
        <w:t xml:space="preserve">Thirty-six centres in the Czech Republic, France, Germany, Poland, South Africa and Spain enrolled patients between December 2000 and September 2003, all receiving either anthracycline (doxorubicin or </w:t>
      </w:r>
      <w:proofErr w:type="spellStart"/>
      <w:r w:rsidRPr="005F7FB5">
        <w:t>epirubicin</w:t>
      </w:r>
      <w:proofErr w:type="spellEnd"/>
      <w:r w:rsidRPr="005F7FB5">
        <w:t xml:space="preserve">)-based combination chemotherapy with or without concomitant dexrazoxane. </w:t>
      </w:r>
    </w:p>
    <w:p w14:paraId="1A4BEEFF" w14:textId="5C1783C8" w:rsidR="00720E84" w:rsidRPr="009C7970" w:rsidRDefault="005F7FB5" w:rsidP="009C7970">
      <w:pPr>
        <w:pStyle w:val="Heading6"/>
      </w:pPr>
      <w:r w:rsidRPr="009C7970">
        <w:rPr>
          <w:rStyle w:val="Heading7Char"/>
          <w:rFonts w:ascii="Arial" w:hAnsi="Arial" w:cs="Times New Roman"/>
          <w:i/>
          <w:iCs w:val="0"/>
          <w:color w:val="001871"/>
          <w:sz w:val="24"/>
        </w:rPr>
        <w:t>Demographic characteristics</w:t>
      </w:r>
    </w:p>
    <w:p w14:paraId="20426AF5" w14:textId="74A93465" w:rsidR="005F7FB5" w:rsidRPr="005F7FB5" w:rsidRDefault="00B814D1" w:rsidP="005F7FB5">
      <w:r>
        <w:t>P</w:t>
      </w:r>
      <w:r w:rsidR="005F7FB5" w:rsidRPr="005F7FB5">
        <w:t>atients in both treatment groups were comparable at baseline. The median age was 52 years (range 30-76</w:t>
      </w:r>
      <w:proofErr w:type="gramStart"/>
      <w:r w:rsidR="005F7FB5" w:rsidRPr="005F7FB5">
        <w:t>)</w:t>
      </w:r>
      <w:proofErr w:type="gramEnd"/>
      <w:r w:rsidR="005F7FB5" w:rsidRPr="005F7FB5">
        <w:t xml:space="preserve"> and most patients were </w:t>
      </w:r>
      <w:proofErr w:type="spellStart"/>
      <w:r w:rsidR="007408A3">
        <w:t>c</w:t>
      </w:r>
      <w:r w:rsidR="005F7FB5" w:rsidRPr="005F7FB5">
        <w:t>aucasian</w:t>
      </w:r>
      <w:proofErr w:type="spellEnd"/>
      <w:r w:rsidR="005F7FB5" w:rsidRPr="005F7FB5">
        <w:t xml:space="preserve">, non-smokers and with an ECOG PS of 0-1. The median time between relapse and start of treatment was 4.8 months (range 0.1-200 months). All patients had received prior systemic therapy, and the median cumulative anthracycline dose received before study entry was similar in both groups. All 6 cycles of study treatment were given to 49 patients (58%) in the dexrazoxane group and 36 (46%) in the control group. Fewer patients discontinued treatment due </w:t>
      </w:r>
      <w:r w:rsidR="005F7FB5" w:rsidRPr="00A872D1">
        <w:t xml:space="preserve">to </w:t>
      </w:r>
      <w:r w:rsidR="00A872D1">
        <w:t>adverse events (</w:t>
      </w:r>
      <w:r w:rsidR="005F7FB5" w:rsidRPr="00A872D1">
        <w:t>AEs</w:t>
      </w:r>
      <w:r w:rsidR="00A872D1">
        <w:t>)</w:t>
      </w:r>
      <w:r w:rsidR="005F7FB5" w:rsidRPr="00A872D1">
        <w:t xml:space="preserve"> in</w:t>
      </w:r>
      <w:r w:rsidR="005F7FB5" w:rsidRPr="005F7FB5">
        <w:t xml:space="preserve"> the dexrazoxane group </w:t>
      </w:r>
      <w:r w:rsidR="00B1143D">
        <w:t>versus</w:t>
      </w:r>
      <w:r w:rsidR="005F7FB5" w:rsidRPr="005F7FB5">
        <w:t xml:space="preserve"> the control group (11% </w:t>
      </w:r>
      <w:r w:rsidR="00B1143D">
        <w:t>versus</w:t>
      </w:r>
      <w:r w:rsidR="005F7FB5" w:rsidRPr="005F7FB5">
        <w:t xml:space="preserve"> 19%). In most cases the </w:t>
      </w:r>
      <w:r w:rsidR="00A872D1">
        <w:t>adverse event</w:t>
      </w:r>
      <w:r w:rsidR="005F7FB5" w:rsidRPr="005F7FB5">
        <w:t xml:space="preserve"> causing study discontinuation was a decrease in LVEF (dexrazoxane 5% </w:t>
      </w:r>
      <w:r w:rsidR="00B1143D">
        <w:t>versus</w:t>
      </w:r>
      <w:r w:rsidR="005F7FB5" w:rsidRPr="005F7FB5">
        <w:t xml:space="preserve"> control group 13%).</w:t>
      </w:r>
    </w:p>
    <w:p w14:paraId="7757F57A" w14:textId="4DA5C5F2" w:rsidR="00720E84" w:rsidRPr="009C7970" w:rsidRDefault="005F7FB5" w:rsidP="009C7970">
      <w:pPr>
        <w:pStyle w:val="Heading6"/>
      </w:pPr>
      <w:r w:rsidRPr="009C7970">
        <w:rPr>
          <w:rStyle w:val="Heading7Char"/>
          <w:rFonts w:ascii="Arial" w:hAnsi="Arial" w:cs="Times New Roman"/>
          <w:i/>
          <w:iCs w:val="0"/>
          <w:color w:val="001871"/>
          <w:sz w:val="24"/>
        </w:rPr>
        <w:t>Results</w:t>
      </w:r>
    </w:p>
    <w:p w14:paraId="44611A6A" w14:textId="73E01A25" w:rsidR="005F7FB5" w:rsidRDefault="005F7FB5" w:rsidP="005F7FB5">
      <w:r w:rsidRPr="005F7FB5">
        <w:t>There were significantly fewer cardiac events in the dexrazoxane group v</w:t>
      </w:r>
      <w:r w:rsidR="00B1143D">
        <w:t>ersus</w:t>
      </w:r>
      <w:r w:rsidRPr="005F7FB5">
        <w:t xml:space="preserve"> the control group (p&lt;0.001). Ten (10) patients (13%, 95% CI 6%-22%) receiving dexrazoxane had a cardiac event v</w:t>
      </w:r>
      <w:r w:rsidR="00DA6683">
        <w:t>ersus</w:t>
      </w:r>
      <w:r w:rsidRPr="005F7FB5">
        <w:t xml:space="preserve"> 29 patients (39%, 95% CI 28%-51%) in the control group (</w:t>
      </w:r>
      <w:r w:rsidR="006864F2">
        <w:t>Fi</w:t>
      </w:r>
      <w:r w:rsidRPr="005F7FB5">
        <w:t xml:space="preserve">gure </w:t>
      </w:r>
      <w:r w:rsidR="0003223E">
        <w:t>1)</w:t>
      </w:r>
      <w:r w:rsidRPr="005F7FB5">
        <w:t>.</w:t>
      </w:r>
    </w:p>
    <w:p w14:paraId="547F6FE6" w14:textId="433C7928" w:rsidR="00A25810" w:rsidRPr="00A25810" w:rsidRDefault="00A25810" w:rsidP="00A25810">
      <w:r w:rsidRPr="00A25810">
        <w:lastRenderedPageBreak/>
        <w:t>There were fewer cases of CCF in the dexrazoxane group (p=0.015</w:t>
      </w:r>
      <w:proofErr w:type="gramStart"/>
      <w:r w:rsidRPr="00A25810">
        <w:t>)</w:t>
      </w:r>
      <w:proofErr w:type="gramEnd"/>
      <w:r w:rsidRPr="00A25810">
        <w:t xml:space="preserve"> and these were less severe than those experienced in the control group. Thus, 1 patient (1%, 95% CI 0.032%-7%) in the dexrazoxane group developed CCF (NYHA Grade 2) </w:t>
      </w:r>
      <w:r w:rsidR="00DA6683">
        <w:t>versus</w:t>
      </w:r>
      <w:r w:rsidRPr="00A25810">
        <w:t xml:space="preserve"> 8 patients (11%, 95% CI 5%-20%) in the control group (1 NYHA Grade 2, 3 NYHA Grade 3 and 4 NYHA Grade 4), a relative risk reduction of 88%. </w:t>
      </w:r>
    </w:p>
    <w:p w14:paraId="5C3F3CCE" w14:textId="30A30C1E" w:rsidR="005F7FB5" w:rsidRPr="005F7FB5" w:rsidRDefault="005F7FB5" w:rsidP="0003223E">
      <w:pPr>
        <w:pStyle w:val="FigureTitle"/>
      </w:pPr>
      <w:r w:rsidRPr="005F7FB5">
        <w:t>Figure</w:t>
      </w:r>
      <w:r w:rsidR="0003223E">
        <w:t xml:space="preserve"> 1</w:t>
      </w:r>
      <w:r w:rsidRPr="005F7FB5">
        <w:t>: (A) Incidence of cardiac events. (B) Incidence of CHF. One patient did not have evaluable data.</w:t>
      </w:r>
      <w:r w:rsidR="00D44188">
        <w:rPr>
          <w:vertAlign w:val="superscript"/>
        </w:rPr>
        <w:t>5</w:t>
      </w:r>
    </w:p>
    <w:p w14:paraId="56B6C47A" w14:textId="613207BC" w:rsidR="005F7FB5" w:rsidRDefault="00B12C5D" w:rsidP="005F7FB5">
      <w:r>
        <w:rPr>
          <w:noProof/>
        </w:rPr>
        <w:drawing>
          <wp:inline distT="0" distB="0" distL="0" distR="0" wp14:anchorId="575FA3F1" wp14:editId="0B213CEE">
            <wp:extent cx="3072130" cy="3524250"/>
            <wp:effectExtent l="0" t="0" r="0" b="0"/>
            <wp:docPr id="1554229850" name="Picture 1" descr="A diagram of a patient's cho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29850" name="Picture 1" descr="A diagram of a patient's choice&#10;&#10;Description automatically generated with medium confidence"/>
                    <pic:cNvPicPr/>
                  </pic:nvPicPr>
                  <pic:blipFill>
                    <a:blip r:embed="rId21"/>
                    <a:stretch>
                      <a:fillRect/>
                    </a:stretch>
                  </pic:blipFill>
                  <pic:spPr>
                    <a:xfrm>
                      <a:off x="0" y="0"/>
                      <a:ext cx="3072391" cy="3524549"/>
                    </a:xfrm>
                    <a:prstGeom prst="rect">
                      <a:avLst/>
                    </a:prstGeom>
                  </pic:spPr>
                </pic:pic>
              </a:graphicData>
            </a:graphic>
          </wp:inline>
        </w:drawing>
      </w:r>
    </w:p>
    <w:p w14:paraId="57378445" w14:textId="38627DBC" w:rsidR="006864F2" w:rsidRPr="00B424C7" w:rsidRDefault="006864F2" w:rsidP="00B424C7">
      <w:r w:rsidRPr="006864F2">
        <w:t xml:space="preserve">Patients in the dexrazoxane group had a significantly longer cardiac event-free survival time (median not reached for dexrazoxane [range 0.8 – 28+ months] </w:t>
      </w:r>
      <w:r w:rsidR="00DA6683">
        <w:t>versus</w:t>
      </w:r>
      <w:r w:rsidRPr="006864F2">
        <w:t xml:space="preserve"> 7.1 months </w:t>
      </w:r>
      <w:r w:rsidR="005A1D67" w:rsidRPr="005A1D67">
        <w:t>[</w:t>
      </w:r>
      <w:r w:rsidRPr="006864F2">
        <w:t>1.3-13.4+ months</w:t>
      </w:r>
      <w:r w:rsidR="005A1D67" w:rsidRPr="005A1D67">
        <w:t>]</w:t>
      </w:r>
      <w:r w:rsidRPr="006864F2">
        <w:t xml:space="preserve"> for control, p=0.004</w:t>
      </w:r>
      <w:r w:rsidR="0027240C">
        <w:t>)</w:t>
      </w:r>
      <w:r w:rsidRPr="006864F2">
        <w:t xml:space="preserve">. The patients in the dexrazoxane group having significantly longer cardiac event-free survival time received significantly higher total cumulative anthracycline doses prior to the occurrence of a cardiac event, when compared to those receiving chemotherapy alone (Figure 2). </w:t>
      </w:r>
    </w:p>
    <w:p w14:paraId="5C73F17E" w14:textId="041C4E3A" w:rsidR="00B424C7" w:rsidRPr="00751C4B" w:rsidRDefault="00B424C7" w:rsidP="00751C4B">
      <w:pPr>
        <w:pStyle w:val="FigureTitle"/>
        <w:rPr>
          <w:vertAlign w:val="superscript"/>
        </w:rPr>
      </w:pPr>
      <w:r w:rsidRPr="00B424C7">
        <w:lastRenderedPageBreak/>
        <w:t>Figure</w:t>
      </w:r>
      <w:r w:rsidR="005D4E00">
        <w:t xml:space="preserve"> 2</w:t>
      </w:r>
      <w:r w:rsidRPr="00B424C7">
        <w:t>: Kaplan–Meier analysis of (A) cardiac event-free survival and (B) total cumulative anthracycline dose until occurrence of a cardiac event</w:t>
      </w:r>
      <w:r w:rsidR="00751C4B">
        <w:t>.</w:t>
      </w:r>
      <w:r w:rsidR="00D44188">
        <w:rPr>
          <w:vertAlign w:val="superscript"/>
        </w:rPr>
        <w:t>5</w:t>
      </w:r>
    </w:p>
    <w:p w14:paraId="11C064C7" w14:textId="34B12714" w:rsidR="005F7FB5" w:rsidRDefault="000B4D32" w:rsidP="009C7970">
      <w:r>
        <w:rPr>
          <w:noProof/>
        </w:rPr>
        <w:drawing>
          <wp:inline distT="0" distB="0" distL="0" distR="0" wp14:anchorId="0B350C6D" wp14:editId="35763E38">
            <wp:extent cx="5553075" cy="6355655"/>
            <wp:effectExtent l="0" t="0" r="0" b="7620"/>
            <wp:docPr id="961662229" name="Picture 1" descr="A graph of survival and surv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62229" name="Picture 1" descr="A graph of survival and survival&#10;&#10;Description automatically generated"/>
                    <pic:cNvPicPr/>
                  </pic:nvPicPr>
                  <pic:blipFill>
                    <a:blip r:embed="rId22"/>
                    <a:stretch>
                      <a:fillRect/>
                    </a:stretch>
                  </pic:blipFill>
                  <pic:spPr>
                    <a:xfrm>
                      <a:off x="0" y="0"/>
                      <a:ext cx="5600369" cy="6409785"/>
                    </a:xfrm>
                    <a:prstGeom prst="rect">
                      <a:avLst/>
                    </a:prstGeom>
                  </pic:spPr>
                </pic:pic>
              </a:graphicData>
            </a:graphic>
          </wp:inline>
        </w:drawing>
      </w:r>
    </w:p>
    <w:p w14:paraId="3ADC583B" w14:textId="5BA6CC98" w:rsidR="00EF757A" w:rsidRDefault="0036133D" w:rsidP="00EF757A">
      <w:r w:rsidRPr="0036133D">
        <w:t xml:space="preserve">There were no statistically significant differences in either </w:t>
      </w:r>
      <w:r w:rsidR="00110A08">
        <w:t>progression-free survival (</w:t>
      </w:r>
      <w:r w:rsidRPr="0036133D">
        <w:t>PFS</w:t>
      </w:r>
      <w:r w:rsidR="00110A08">
        <w:t>)</w:t>
      </w:r>
      <w:r w:rsidRPr="0036133D">
        <w:t xml:space="preserve"> or </w:t>
      </w:r>
      <w:r w:rsidR="00497B78">
        <w:t>overall survival (</w:t>
      </w:r>
      <w:r w:rsidRPr="0036133D">
        <w:t>OS</w:t>
      </w:r>
      <w:r w:rsidR="00497B78">
        <w:t>)</w:t>
      </w:r>
      <w:r w:rsidRPr="0036133D">
        <w:t xml:space="preserve"> (</w:t>
      </w:r>
      <w:r w:rsidR="006864F2">
        <w:t>F</w:t>
      </w:r>
      <w:r w:rsidRPr="0036133D">
        <w:t>igure</w:t>
      </w:r>
      <w:r w:rsidR="006864F2">
        <w:t xml:space="preserve"> 3</w:t>
      </w:r>
      <w:r w:rsidRPr="0036133D">
        <w:t xml:space="preserve">). </w:t>
      </w:r>
    </w:p>
    <w:p w14:paraId="3F23071D" w14:textId="733A7FC0" w:rsidR="0036133D" w:rsidRPr="0036133D" w:rsidRDefault="0036133D" w:rsidP="00EF757A">
      <w:pPr>
        <w:pStyle w:val="FigureTitle"/>
      </w:pPr>
      <w:r w:rsidRPr="0036133D">
        <w:lastRenderedPageBreak/>
        <w:t>Figure</w:t>
      </w:r>
      <w:r w:rsidR="00854783">
        <w:t xml:space="preserve"> 3</w:t>
      </w:r>
      <w:r w:rsidRPr="0036133D">
        <w:t>:  Kaplan–Meier analysis of (A) progression-free survival and (B) overall survival.</w:t>
      </w:r>
      <w:r w:rsidR="00D44188">
        <w:rPr>
          <w:vertAlign w:val="superscript"/>
        </w:rPr>
        <w:t>5</w:t>
      </w:r>
    </w:p>
    <w:p w14:paraId="35989913" w14:textId="546FF273" w:rsidR="00BF2FE8" w:rsidRDefault="00EF757A" w:rsidP="009C7970">
      <w:r>
        <w:rPr>
          <w:noProof/>
        </w:rPr>
        <w:drawing>
          <wp:inline distT="0" distB="0" distL="0" distR="0" wp14:anchorId="65B50FCD" wp14:editId="211B0BE3">
            <wp:extent cx="5648325" cy="5073732"/>
            <wp:effectExtent l="0" t="0" r="0" b="0"/>
            <wp:docPr id="199472837" name="Picture 1" descr="A graph of survival and surviva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2837" name="Picture 1" descr="A graph of survival and survival&#10;&#10;Description automatically generated with medium confidence"/>
                    <pic:cNvPicPr/>
                  </pic:nvPicPr>
                  <pic:blipFill>
                    <a:blip r:embed="rId23"/>
                    <a:stretch>
                      <a:fillRect/>
                    </a:stretch>
                  </pic:blipFill>
                  <pic:spPr>
                    <a:xfrm>
                      <a:off x="0" y="0"/>
                      <a:ext cx="5661830" cy="5085863"/>
                    </a:xfrm>
                    <a:prstGeom prst="rect">
                      <a:avLst/>
                    </a:prstGeom>
                  </pic:spPr>
                </pic:pic>
              </a:graphicData>
            </a:graphic>
          </wp:inline>
        </w:drawing>
      </w:r>
    </w:p>
    <w:p w14:paraId="6D4064C8" w14:textId="1289F4BA" w:rsidR="006F16E2" w:rsidRPr="009C7970" w:rsidRDefault="00E849C4" w:rsidP="00BC40D7">
      <w:pPr>
        <w:rPr>
          <w:i/>
          <w:iCs/>
          <w:lang w:val="de-DE"/>
        </w:rPr>
      </w:pPr>
      <w:r w:rsidRPr="009C7970">
        <w:rPr>
          <w:i/>
          <w:iCs/>
          <w:lang w:val="de-DE"/>
        </w:rPr>
        <w:t>Speyer, J. L., Green, M. D., Kramer, E., Rey, M., Sanger, J., Ward, C., Dubin, N., Ferrans, V., Stecy, P., &amp; Zeleniuch-Jacquotte, A. (1988).</w:t>
      </w:r>
      <w:r w:rsidR="0093706C" w:rsidRPr="009C7970">
        <w:rPr>
          <w:rStyle w:val="FootnoteReference"/>
          <w:i/>
          <w:iCs/>
        </w:rPr>
        <w:footnoteReference w:id="6"/>
      </w:r>
      <w:r w:rsidRPr="009C7970">
        <w:rPr>
          <w:i/>
          <w:iCs/>
          <w:lang w:val="de-DE"/>
        </w:rPr>
        <w:t xml:space="preserve"> </w:t>
      </w:r>
    </w:p>
    <w:p w14:paraId="5A674238" w14:textId="039DF7A8" w:rsidR="006F16E2" w:rsidRPr="006F16E2" w:rsidRDefault="006F16E2" w:rsidP="00BC40D7">
      <w:r w:rsidRPr="006F16E2">
        <w:rPr>
          <w:bCs/>
        </w:rPr>
        <w:t xml:space="preserve">A randomised trial </w:t>
      </w:r>
      <w:r w:rsidRPr="006F16E2">
        <w:t xml:space="preserve">in 92 women with advanced breast cancer comparing fluorouracil, doxorubicin and cyclophosphamide given every 21 days with the same regimen, preceded by </w:t>
      </w:r>
      <w:r w:rsidR="00E64998">
        <w:t>dexrazoxane</w:t>
      </w:r>
      <w:r w:rsidRPr="006F16E2">
        <w:t xml:space="preserve"> (ICRF-187). </w:t>
      </w:r>
    </w:p>
    <w:p w14:paraId="06E86B4C" w14:textId="76A0AE40" w:rsidR="00720E84" w:rsidRPr="009C7970" w:rsidRDefault="006F16E2" w:rsidP="009C7970">
      <w:pPr>
        <w:pStyle w:val="Heading6"/>
      </w:pPr>
      <w:r w:rsidRPr="009C7970">
        <w:rPr>
          <w:rStyle w:val="Heading7Char"/>
          <w:rFonts w:ascii="Arial" w:hAnsi="Arial" w:cs="Times New Roman"/>
          <w:i/>
          <w:iCs w:val="0"/>
          <w:color w:val="001871"/>
          <w:sz w:val="24"/>
        </w:rPr>
        <w:t>Inclusion criteria</w:t>
      </w:r>
    </w:p>
    <w:p w14:paraId="46643808" w14:textId="032393C4" w:rsidR="006F16E2" w:rsidRPr="006F16E2" w:rsidRDefault="006F16E2" w:rsidP="00BC40D7">
      <w:r w:rsidRPr="006F16E2">
        <w:t xml:space="preserve">All patients had advanced or metastatic carcinoma of the breast not previously treated with doxorubicin or other anthracyclines and were stratified according to whether they had previously received adjuvant chemotherapy and whether they had cardiac risk factors. These risk factors included age </w:t>
      </w:r>
      <w:r w:rsidR="000C3CB0">
        <w:t xml:space="preserve">over </w:t>
      </w:r>
      <w:r w:rsidRPr="006F16E2">
        <w:t>65 years, previous radiation to the heart, mediastinum or chest wall, history of hypertension, cardiac failure, diabetes mellitus, angina, rheumatic heart disease or abnormality on echocardiogram.</w:t>
      </w:r>
    </w:p>
    <w:p w14:paraId="4A240208" w14:textId="5B2E32DA" w:rsidR="00720E84" w:rsidRPr="009C7970" w:rsidRDefault="006F16E2" w:rsidP="009C7970">
      <w:pPr>
        <w:pStyle w:val="Heading6"/>
      </w:pPr>
      <w:r w:rsidRPr="009C7970">
        <w:rPr>
          <w:rStyle w:val="Heading7Char"/>
          <w:rFonts w:ascii="Arial" w:hAnsi="Arial" w:cs="Times New Roman"/>
          <w:i/>
          <w:iCs w:val="0"/>
          <w:color w:val="001871"/>
          <w:sz w:val="24"/>
        </w:rPr>
        <w:lastRenderedPageBreak/>
        <w:t>Treatments</w:t>
      </w:r>
    </w:p>
    <w:p w14:paraId="0DC67502" w14:textId="60C3947A" w:rsidR="006F16E2" w:rsidRPr="006F16E2" w:rsidRDefault="006F16E2" w:rsidP="00BC40D7">
      <w:r w:rsidRPr="006F16E2">
        <w:t>Patients were randomised to chemotherapy with or without dexrazoxane. The chemotherapy regimen was IV doxorubicin bolus dose of 50</w:t>
      </w:r>
      <w:r w:rsidR="00D9600B">
        <w:t xml:space="preserve"> </w:t>
      </w:r>
      <w:r w:rsidRPr="006F16E2">
        <w:t>mg/m</w:t>
      </w:r>
      <w:r w:rsidRPr="00D9600B">
        <w:rPr>
          <w:vertAlign w:val="superscript"/>
        </w:rPr>
        <w:t xml:space="preserve">2 </w:t>
      </w:r>
      <w:r w:rsidRPr="006F16E2">
        <w:t>given over 5-15 minutes followed by IV cyclophosphamide (500</w:t>
      </w:r>
      <w:r w:rsidR="00D9600B">
        <w:t xml:space="preserve"> </w:t>
      </w:r>
      <w:r w:rsidRPr="006F16E2">
        <w:t>mg/m</w:t>
      </w:r>
      <w:r w:rsidRPr="00D9600B">
        <w:rPr>
          <w:vertAlign w:val="superscript"/>
        </w:rPr>
        <w:t>2</w:t>
      </w:r>
      <w:r w:rsidRPr="006F16E2">
        <w:t>) and IV fluorouracil (500</w:t>
      </w:r>
      <w:r w:rsidR="00D9600B">
        <w:t xml:space="preserve"> </w:t>
      </w:r>
      <w:r w:rsidRPr="006F16E2">
        <w:t>mg/m</w:t>
      </w:r>
      <w:r w:rsidRPr="00D9600B">
        <w:rPr>
          <w:vertAlign w:val="superscript"/>
        </w:rPr>
        <w:t>2</w:t>
      </w:r>
      <w:r w:rsidRPr="006F16E2">
        <w:t>). Dexrazoxane was given as 1000</w:t>
      </w:r>
      <w:r w:rsidR="00DA6432">
        <w:t xml:space="preserve"> </w:t>
      </w:r>
      <w:r w:rsidRPr="006F16E2">
        <w:t>mg/m</w:t>
      </w:r>
      <w:r w:rsidRPr="00DA6432">
        <w:rPr>
          <w:vertAlign w:val="superscript"/>
        </w:rPr>
        <w:t>2</w:t>
      </w:r>
      <w:r w:rsidRPr="006F16E2">
        <w:t xml:space="preserve"> IV over 15 minutes, 30 minutes before chemotherapy (i.e., dexrazoxane:</w:t>
      </w:r>
      <w:r w:rsidR="00DA6432">
        <w:t xml:space="preserve"> </w:t>
      </w:r>
      <w:r w:rsidRPr="006F16E2">
        <w:t xml:space="preserve">doxorubicin ratio of 20:1). Treatment was repeated every 21 days. Treatments were delayed if white cell count on the first day of each planned cycle was </w:t>
      </w:r>
      <w:r w:rsidR="00944C82">
        <w:t xml:space="preserve">less than </w:t>
      </w:r>
      <w:r w:rsidRPr="006F16E2">
        <w:t>4.0x10</w:t>
      </w:r>
      <w:r w:rsidRPr="00DA6432">
        <w:rPr>
          <w:vertAlign w:val="superscript"/>
        </w:rPr>
        <w:t>9</w:t>
      </w:r>
      <w:r w:rsidRPr="006F16E2">
        <w:t xml:space="preserve">/L or platelet count was </w:t>
      </w:r>
      <w:r w:rsidR="00944C82">
        <w:t xml:space="preserve">less than </w:t>
      </w:r>
      <w:r w:rsidRPr="006F16E2">
        <w:t>100x10</w:t>
      </w:r>
      <w:r w:rsidRPr="00DA6432">
        <w:rPr>
          <w:vertAlign w:val="superscript"/>
        </w:rPr>
        <w:t>9</w:t>
      </w:r>
      <w:r w:rsidRPr="006F16E2">
        <w:t xml:space="preserve">/L and if the nadir white blood cell count was </w:t>
      </w:r>
      <w:r w:rsidR="00944C82">
        <w:t xml:space="preserve">less than </w:t>
      </w:r>
      <w:r w:rsidRPr="006F16E2">
        <w:t>1.5x10</w:t>
      </w:r>
      <w:r w:rsidRPr="00DA6432">
        <w:rPr>
          <w:vertAlign w:val="superscript"/>
        </w:rPr>
        <w:t>9</w:t>
      </w:r>
      <w:r w:rsidRPr="006F16E2">
        <w:t xml:space="preserve"> or if the granulocyte count was </w:t>
      </w:r>
      <w:r w:rsidR="00944C82">
        <w:t>less than</w:t>
      </w:r>
      <w:r w:rsidR="001E2EA1">
        <w:t xml:space="preserve"> </w:t>
      </w:r>
      <w:r w:rsidRPr="006F16E2">
        <w:t>1.0x10</w:t>
      </w:r>
      <w:r w:rsidRPr="009C3822">
        <w:rPr>
          <w:vertAlign w:val="superscript"/>
        </w:rPr>
        <w:t>9</w:t>
      </w:r>
      <w:r w:rsidRPr="006F16E2">
        <w:t xml:space="preserve"> and the platelet count ranged from 75-100x10</w:t>
      </w:r>
      <w:r w:rsidRPr="009C3822">
        <w:rPr>
          <w:vertAlign w:val="superscript"/>
        </w:rPr>
        <w:t>9</w:t>
      </w:r>
      <w:r w:rsidRPr="006F16E2">
        <w:t xml:space="preserve">, 75% of the dose of fluorouracil and cyclophosphamide was given. If the corresponding white cell count was </w:t>
      </w:r>
      <w:r w:rsidR="001E2EA1">
        <w:t xml:space="preserve">less than </w:t>
      </w:r>
      <w:r w:rsidRPr="006F16E2">
        <w:t xml:space="preserve">1.5 or granulocyte count </w:t>
      </w:r>
      <w:r w:rsidR="001E2EA1">
        <w:t xml:space="preserve">less than </w:t>
      </w:r>
      <w:r w:rsidRPr="006F16E2">
        <w:t xml:space="preserve">1 or platelet count </w:t>
      </w:r>
      <w:r w:rsidR="002D68BB">
        <w:t xml:space="preserve">less than </w:t>
      </w:r>
      <w:r w:rsidRPr="006F16E2">
        <w:t>75, 50% of the dose of chemotherapy was given and if counts remained low after reductions were made during the first 2 cycles, the dose of doxorubicin was reduced according to the same guidelines.</w:t>
      </w:r>
    </w:p>
    <w:p w14:paraId="118388FF" w14:textId="77777777" w:rsidR="006F16E2" w:rsidRPr="006F16E2" w:rsidRDefault="006F16E2" w:rsidP="009C3822">
      <w:r w:rsidRPr="006F16E2">
        <w:t xml:space="preserve">Cardiac toxicity was assessed by clinical examination, determination of left ventricular ejection fraction by </w:t>
      </w:r>
      <w:proofErr w:type="spellStart"/>
      <w:r w:rsidRPr="006F16E2">
        <w:t>multigated</w:t>
      </w:r>
      <w:proofErr w:type="spellEnd"/>
      <w:r w:rsidRPr="006F16E2">
        <w:t xml:space="preserve"> nuclear scans and endomyocardial biopsy. </w:t>
      </w:r>
    </w:p>
    <w:p w14:paraId="7E2B6C1C" w14:textId="77777777" w:rsidR="006F16E2" w:rsidRPr="006F16E2" w:rsidRDefault="006F16E2" w:rsidP="009C3822">
      <w:r w:rsidRPr="006F16E2">
        <w:t>Both treatment arms were balanced in terms of baseline demographic characteristics and previous therapies</w:t>
      </w:r>
    </w:p>
    <w:p w14:paraId="2D0E322A" w14:textId="2AF677AD" w:rsidR="00720E84" w:rsidRPr="009C7970" w:rsidRDefault="006F16E2" w:rsidP="009C7970">
      <w:pPr>
        <w:pStyle w:val="Heading6"/>
      </w:pPr>
      <w:r w:rsidRPr="009C7970">
        <w:rPr>
          <w:rStyle w:val="Heading7Char"/>
          <w:rFonts w:ascii="Arial" w:hAnsi="Arial" w:cs="Times New Roman"/>
          <w:i/>
          <w:iCs w:val="0"/>
          <w:color w:val="001871"/>
          <w:sz w:val="24"/>
        </w:rPr>
        <w:t>Results</w:t>
      </w:r>
    </w:p>
    <w:p w14:paraId="2F8BF6C8" w14:textId="6090C624" w:rsidR="006F16E2" w:rsidRPr="006F16E2" w:rsidRDefault="006F16E2" w:rsidP="009C3822">
      <w:r w:rsidRPr="006F16E2">
        <w:t xml:space="preserve">Of the 44 evaluable patients for response in each treatment arm, there were 3 CR and 17 PR in the chemotherapy alone group and 4 CR and 17 PR responses in the combination group with dexrazoxane. The overall response rates were 45% and 48%, respectively. The median time to progression of disease was 9.3 and 10.3 months in the chemotherapy alone and chemotherapy plus dexrazoxane groups, respectively. </w:t>
      </w:r>
    </w:p>
    <w:p w14:paraId="27871466" w14:textId="77777777" w:rsidR="006F16E2" w:rsidRPr="006F16E2" w:rsidRDefault="006F16E2" w:rsidP="00B40D64">
      <w:r w:rsidRPr="006F16E2">
        <w:t xml:space="preserve">There were 11 episodes of clinical cardiac toxicity in the combination chemotherapy arm and 2 episodes in the combination chemotherapy plus dexrazoxane arm (p=0.02). In the combination chemotherapy arm, there were 3 patients </w:t>
      </w:r>
      <w:r w:rsidRPr="0055591E">
        <w:t>with NYHA Grade</w:t>
      </w:r>
      <w:r w:rsidRPr="006F16E2">
        <w:t xml:space="preserve"> 1, 1 with Grade 2, 2 with Grade 3 and 4 with Grade 4. Both patients in the combination chemotherapy with dexrazoxane arm who had clinical toxicity had NYHA Grade 2 status. </w:t>
      </w:r>
    </w:p>
    <w:p w14:paraId="04265A4F" w14:textId="06F96020" w:rsidR="006F16E2" w:rsidRPr="006F16E2" w:rsidRDefault="006F16E2" w:rsidP="00D6216A">
      <w:r w:rsidRPr="006F16E2">
        <w:t xml:space="preserve">The change in resting LVEF as measured by </w:t>
      </w:r>
      <w:proofErr w:type="spellStart"/>
      <w:r w:rsidRPr="006F16E2">
        <w:t>multigated</w:t>
      </w:r>
      <w:proofErr w:type="spellEnd"/>
      <w:r w:rsidRPr="006F16E2">
        <w:t xml:space="preserve"> nuclear scans in the combination chemotherapy arm was from a baseline of 66.1% and in the combination chemotherapy plus dexrazoxane arm of 63.6%. For cumulative doses of doxorubicin between 250-599</w:t>
      </w:r>
      <w:r w:rsidR="00B40D64">
        <w:t xml:space="preserve"> </w:t>
      </w:r>
      <w:r w:rsidRPr="006F16E2">
        <w:t>mg/m</w:t>
      </w:r>
      <w:r w:rsidRPr="006F16E2">
        <w:rPr>
          <w:vertAlign w:val="superscript"/>
        </w:rPr>
        <w:t>2</w:t>
      </w:r>
      <w:r w:rsidRPr="006F16E2">
        <w:t>, the mean fall from baseline was significantly less in the combination chemotherapy plus dexrazoxane arm. For the range from 250-399</w:t>
      </w:r>
      <w:r w:rsidR="00B40D64">
        <w:t xml:space="preserve"> </w:t>
      </w:r>
      <w:r w:rsidRPr="006F16E2">
        <w:t>mg/m</w:t>
      </w:r>
      <w:r w:rsidRPr="006F16E2">
        <w:rPr>
          <w:vertAlign w:val="superscript"/>
        </w:rPr>
        <w:t>2</w:t>
      </w:r>
      <w:r w:rsidRPr="006F16E2">
        <w:t>, the mean fall was 1.6% for combination plus dexrazoxane and 6.6% for combination chemotherapy alone (p=0.02). For 400-499</w:t>
      </w:r>
      <w:r w:rsidR="00B40D64">
        <w:t xml:space="preserve"> </w:t>
      </w:r>
      <w:r w:rsidRPr="006F16E2">
        <w:t>mg/m</w:t>
      </w:r>
      <w:r w:rsidRPr="006F16E2">
        <w:rPr>
          <w:vertAlign w:val="superscript"/>
        </w:rPr>
        <w:t>2</w:t>
      </w:r>
      <w:r w:rsidRPr="006F16E2">
        <w:t xml:space="preserve">, these values were 1.4% </w:t>
      </w:r>
      <w:r w:rsidR="00210497">
        <w:t>versus</w:t>
      </w:r>
      <w:r w:rsidRPr="006F16E2">
        <w:t xml:space="preserve"> 15.4% (p&lt;0.001) and from 500-599</w:t>
      </w:r>
      <w:r w:rsidR="0064774B">
        <w:t xml:space="preserve"> </w:t>
      </w:r>
      <w:r w:rsidRPr="006F16E2">
        <w:t>mg/m</w:t>
      </w:r>
      <w:r w:rsidRPr="006F16E2">
        <w:rPr>
          <w:vertAlign w:val="superscript"/>
        </w:rPr>
        <w:t>2</w:t>
      </w:r>
      <w:r w:rsidRPr="006F16E2">
        <w:t xml:space="preserve"> it was 3.0% vs. 15.8% (p=0.003). There was no apparent decrease in LVEF with dose ranges over 600</w:t>
      </w:r>
      <w:r w:rsidR="0064774B">
        <w:t xml:space="preserve"> </w:t>
      </w:r>
      <w:r w:rsidRPr="006F16E2">
        <w:t>mg/m</w:t>
      </w:r>
      <w:r w:rsidRPr="006F16E2">
        <w:rPr>
          <w:vertAlign w:val="superscript"/>
        </w:rPr>
        <w:t>2</w:t>
      </w:r>
      <w:r w:rsidRPr="006F16E2">
        <w:t xml:space="preserve"> as only 1 patient in the combination chemotherapy arm remained in the study compared to 11 patients in the combination chemotherapy plus dexrazoxane.</w:t>
      </w:r>
    </w:p>
    <w:p w14:paraId="4E634697" w14:textId="2866AC6A" w:rsidR="006F16E2" w:rsidRPr="006F16E2" w:rsidRDefault="006F16E2" w:rsidP="00D6216A">
      <w:r w:rsidRPr="006F16E2">
        <w:t>A total of 28 endomyocardial biopsies were conducted, 15 in patients with chemotherapy alone and 13 in those receiving chemotherapy plus dexrazoxane (representing 52% and 48% of patients respectively receiving the cumulative dose of doxorubicin reaching 450</w:t>
      </w:r>
      <w:r w:rsidR="0064774B">
        <w:t xml:space="preserve"> </w:t>
      </w:r>
      <w:r w:rsidRPr="006F16E2">
        <w:t>mg/m</w:t>
      </w:r>
      <w:r w:rsidRPr="006F16E2">
        <w:rPr>
          <w:vertAlign w:val="superscript"/>
        </w:rPr>
        <w:t>2</w:t>
      </w:r>
      <w:r w:rsidR="00560AA8">
        <w:t>). T</w:t>
      </w:r>
      <w:r w:rsidRPr="006F16E2">
        <w:t xml:space="preserve">he </w:t>
      </w:r>
      <w:r w:rsidR="000B22D7">
        <w:t xml:space="preserve">Billingham </w:t>
      </w:r>
      <w:r w:rsidRPr="006F16E2">
        <w:t>biopsy scores in the chemotherapy alone group were grade 2 in 5 patients, grade 1.5 in 1 patient, grade 1 in 3 patients, grade 0.5 in 1 patient and grade 0 in 3 patients. In the chemotherapy plus dexrazoxane arm, the scores were grade 1 in 6 patients and grade 0 in 7.</w:t>
      </w:r>
    </w:p>
    <w:p w14:paraId="1172E9C0" w14:textId="5C451E8A" w:rsidR="003338E3" w:rsidRPr="009C7970" w:rsidRDefault="00A16021" w:rsidP="00D6216A">
      <w:pPr>
        <w:rPr>
          <w:i/>
          <w:iCs/>
        </w:rPr>
      </w:pPr>
      <w:r w:rsidRPr="009C7970">
        <w:rPr>
          <w:i/>
          <w:iCs/>
        </w:rPr>
        <w:lastRenderedPageBreak/>
        <w:t xml:space="preserve">Speyer, J. L., Green, M. D., </w:t>
      </w:r>
      <w:r w:rsidR="00901D4D" w:rsidRPr="009C7970">
        <w:rPr>
          <w:i/>
          <w:iCs/>
        </w:rPr>
        <w:t xml:space="preserve">Sanger, J., </w:t>
      </w:r>
      <w:proofErr w:type="spellStart"/>
      <w:r w:rsidRPr="009C7970">
        <w:rPr>
          <w:i/>
          <w:iCs/>
        </w:rPr>
        <w:t>Zeleniuch</w:t>
      </w:r>
      <w:proofErr w:type="spellEnd"/>
      <w:r w:rsidRPr="009C7970">
        <w:rPr>
          <w:i/>
          <w:iCs/>
        </w:rPr>
        <w:t xml:space="preserve">-Jacquotte, A., </w:t>
      </w:r>
      <w:r w:rsidR="00901D4D" w:rsidRPr="009C7970">
        <w:rPr>
          <w:i/>
          <w:iCs/>
        </w:rPr>
        <w:t xml:space="preserve">Kramer, E., </w:t>
      </w:r>
      <w:r w:rsidRPr="009C7970">
        <w:rPr>
          <w:i/>
          <w:iCs/>
        </w:rPr>
        <w:t xml:space="preserve">Rey, M., </w:t>
      </w:r>
      <w:r w:rsidR="00FD0754" w:rsidRPr="009C7970">
        <w:rPr>
          <w:i/>
          <w:iCs/>
        </w:rPr>
        <w:t>Wernz, J. C., Blum</w:t>
      </w:r>
      <w:r w:rsidRPr="009C7970">
        <w:rPr>
          <w:i/>
          <w:iCs/>
        </w:rPr>
        <w:t>,</w:t>
      </w:r>
      <w:r w:rsidR="00FD0754" w:rsidRPr="009C7970">
        <w:rPr>
          <w:i/>
          <w:iCs/>
        </w:rPr>
        <w:t xml:space="preserve"> R.H.,</w:t>
      </w:r>
      <w:r w:rsidRPr="009C7970">
        <w:rPr>
          <w:i/>
          <w:iCs/>
        </w:rPr>
        <w:t xml:space="preserve"> Hochster, H., Meyers, M</w:t>
      </w:r>
      <w:r w:rsidR="003B3DBD" w:rsidRPr="009C7970">
        <w:rPr>
          <w:i/>
          <w:iCs/>
        </w:rPr>
        <w:t>. &amp; Muggia F.M</w:t>
      </w:r>
      <w:r w:rsidR="00AA7511" w:rsidRPr="009C7970">
        <w:rPr>
          <w:i/>
          <w:iCs/>
        </w:rPr>
        <w:t>.</w:t>
      </w:r>
      <w:r w:rsidRPr="009C7970">
        <w:rPr>
          <w:i/>
          <w:iCs/>
        </w:rPr>
        <w:t xml:space="preserve"> (</w:t>
      </w:r>
      <w:r w:rsidR="00AA7511" w:rsidRPr="009C7970">
        <w:rPr>
          <w:i/>
          <w:iCs/>
        </w:rPr>
        <w:t>1990)</w:t>
      </w:r>
      <w:r w:rsidR="00C81EE2" w:rsidRPr="009C7970">
        <w:rPr>
          <w:rStyle w:val="FootnoteReference"/>
          <w:i/>
          <w:iCs/>
        </w:rPr>
        <w:footnoteReference w:id="7"/>
      </w:r>
      <w:r w:rsidR="008520B0" w:rsidRPr="009C7970">
        <w:rPr>
          <w:i/>
          <w:iCs/>
        </w:rPr>
        <w:t xml:space="preserve"> </w:t>
      </w:r>
    </w:p>
    <w:p w14:paraId="0F5EBB4F" w14:textId="1DBDF528" w:rsidR="003D7DAB" w:rsidRDefault="008162F5" w:rsidP="00D6216A">
      <w:r>
        <w:t xml:space="preserve">Speyer </w:t>
      </w:r>
      <w:r w:rsidR="00BA5376">
        <w:t xml:space="preserve">et al. </w:t>
      </w:r>
      <w:r w:rsidR="00BC2508">
        <w:t xml:space="preserve">subsequently </w:t>
      </w:r>
      <w:r w:rsidR="005F605B">
        <w:t xml:space="preserve">reported </w:t>
      </w:r>
      <w:r w:rsidR="006F16E2" w:rsidRPr="007A4AE0">
        <w:t>a single</w:t>
      </w:r>
      <w:r w:rsidR="006F16E2" w:rsidRPr="005B0688">
        <w:t xml:space="preserve"> institutional prospective RCT of dexrazoxane in 150 women</w:t>
      </w:r>
      <w:r w:rsidR="005F605B">
        <w:t xml:space="preserve"> </w:t>
      </w:r>
      <w:r w:rsidR="006F16E2" w:rsidRPr="005B0688">
        <w:t xml:space="preserve">with advanced carcinoma of the breast randomly assigned to receive either a standard regimen of 5FU </w:t>
      </w:r>
      <w:r w:rsidR="003A47EA">
        <w:t>(</w:t>
      </w:r>
      <w:r w:rsidR="003A47EA" w:rsidRPr="003A47EA">
        <w:t>Fluorouracil</w:t>
      </w:r>
      <w:r w:rsidR="003A47EA">
        <w:t xml:space="preserve">) </w:t>
      </w:r>
      <w:r w:rsidR="006F16E2" w:rsidRPr="005B0688">
        <w:t>500</w:t>
      </w:r>
      <w:r w:rsidR="00326F86">
        <w:t xml:space="preserve"> </w:t>
      </w:r>
      <w:r w:rsidR="006F16E2" w:rsidRPr="005B0688">
        <w:t>mg/m</w:t>
      </w:r>
      <w:r w:rsidR="006F16E2" w:rsidRPr="005B0688">
        <w:rPr>
          <w:vertAlign w:val="superscript"/>
        </w:rPr>
        <w:t>2</w:t>
      </w:r>
      <w:r w:rsidR="006F16E2" w:rsidRPr="005B0688">
        <w:t>, doxorubicin 50</w:t>
      </w:r>
      <w:r w:rsidR="00326F86">
        <w:t xml:space="preserve"> </w:t>
      </w:r>
      <w:r w:rsidR="006F16E2" w:rsidRPr="005B0688">
        <w:t>mg/m</w:t>
      </w:r>
      <w:r w:rsidR="006F16E2" w:rsidRPr="005B0688">
        <w:rPr>
          <w:vertAlign w:val="superscript"/>
        </w:rPr>
        <w:t>2</w:t>
      </w:r>
      <w:r w:rsidR="006F16E2" w:rsidRPr="005B0688">
        <w:t xml:space="preserve"> and cyclophosphamide 500</w:t>
      </w:r>
      <w:r w:rsidR="00326F86">
        <w:t xml:space="preserve"> </w:t>
      </w:r>
      <w:r w:rsidR="006F16E2" w:rsidRPr="005B0688">
        <w:t>mg/m</w:t>
      </w:r>
      <w:r w:rsidR="006F16E2" w:rsidRPr="005B0688">
        <w:rPr>
          <w:vertAlign w:val="superscript"/>
        </w:rPr>
        <w:t>2</w:t>
      </w:r>
      <w:r w:rsidR="006F16E2" w:rsidRPr="005B0688">
        <w:t xml:space="preserve"> IV </w:t>
      </w:r>
      <w:r w:rsidR="008220C5">
        <w:t xml:space="preserve">(FDC) </w:t>
      </w:r>
      <w:r w:rsidR="006F16E2" w:rsidRPr="005B0688">
        <w:t>every 21 days, or the same regimen given 30 minutes after infusion with dexrazoxane 1000</w:t>
      </w:r>
      <w:r w:rsidR="00326F86">
        <w:t xml:space="preserve"> </w:t>
      </w:r>
      <w:r w:rsidR="006F16E2" w:rsidRPr="005B0688">
        <w:t>mg/m</w:t>
      </w:r>
      <w:r w:rsidR="006F16E2" w:rsidRPr="005B0688">
        <w:rPr>
          <w:vertAlign w:val="superscript"/>
        </w:rPr>
        <w:t>2</w:t>
      </w:r>
      <w:r w:rsidR="006F16E2" w:rsidRPr="005B0688">
        <w:t>. A total of 74 patients were treated with</w:t>
      </w:r>
      <w:r w:rsidR="006F16E2" w:rsidRPr="006F16E2">
        <w:t xml:space="preserve"> FDC alone and 76 with FDC plus dexrazoxane. </w:t>
      </w:r>
    </w:p>
    <w:p w14:paraId="5197EA0B" w14:textId="7239A76C" w:rsidR="006F16E2" w:rsidRPr="006F16E2" w:rsidRDefault="006F16E2" w:rsidP="00D6216A">
      <w:r w:rsidRPr="006F16E2">
        <w:t xml:space="preserve">A total of 135 patients were </w:t>
      </w:r>
      <w:r w:rsidR="0092079B" w:rsidRPr="0092079B">
        <w:t>evaluable</w:t>
      </w:r>
      <w:r w:rsidRPr="006F16E2">
        <w:t xml:space="preserve">. Patients were evenly balanced between the treatment arms. Dexrazoxane showed cardiac protection: 35/74 (47%) on the FDC arm had clinical cardiac toxicity </w:t>
      </w:r>
      <w:r w:rsidR="0077678F">
        <w:t>versus</w:t>
      </w:r>
      <w:r w:rsidRPr="006F16E2">
        <w:t xml:space="preserve"> 5/76 (6%) on the FDC plus dexrazoxane arm (p&lt;0.001). Patients on the FDC alone arm were more likely to be removed from treatment at earlier timepoints. Moreover, patients receiving dexrazoxane were able to receive higher cumulative doses of doxorubicin with at least 10 receiving cumulative doxorubicin doses </w:t>
      </w:r>
      <w:proofErr w:type="gramStart"/>
      <w:r w:rsidRPr="006F16E2">
        <w:t>in excess of</w:t>
      </w:r>
      <w:proofErr w:type="gramEnd"/>
      <w:r w:rsidRPr="006F16E2">
        <w:t xml:space="preserve"> 1g/m</w:t>
      </w:r>
      <w:r w:rsidRPr="006F16E2">
        <w:rPr>
          <w:vertAlign w:val="superscript"/>
        </w:rPr>
        <w:t>2</w:t>
      </w:r>
      <w:r w:rsidRPr="006F16E2">
        <w:t>.</w:t>
      </w:r>
    </w:p>
    <w:p w14:paraId="21E27080" w14:textId="0702A3BD" w:rsidR="0026684B" w:rsidRPr="009C7970" w:rsidRDefault="0026684B" w:rsidP="009C7970">
      <w:pPr>
        <w:rPr>
          <w:b/>
          <w:i/>
          <w:iCs/>
          <w:lang w:val="de-DE"/>
        </w:rPr>
      </w:pPr>
      <w:r w:rsidRPr="009C7970">
        <w:rPr>
          <w:i/>
          <w:iCs/>
          <w:lang w:val="de-DE"/>
        </w:rPr>
        <w:t xml:space="preserve">Speyer, J. L., Green, M. D., Zeleniuch-Jacquotte, A., Wernz, J. C., Rey, M., Sanger, J., Kramer, E., Ferrans, V., Hochster, H., &amp; Meyers, M. (1992). </w:t>
      </w:r>
      <w:r w:rsidRPr="009C7970">
        <w:rPr>
          <w:rStyle w:val="FootnoteReference"/>
          <w:bCs/>
          <w:i/>
          <w:iCs/>
        </w:rPr>
        <w:footnoteReference w:id="8"/>
      </w:r>
    </w:p>
    <w:p w14:paraId="4BFA8402" w14:textId="7BB663B7" w:rsidR="006F16E2" w:rsidRPr="006F16E2" w:rsidRDefault="006F16E2" w:rsidP="009C7970">
      <w:pPr>
        <w:rPr>
          <w:b/>
        </w:rPr>
      </w:pPr>
      <w:r w:rsidRPr="006F16E2">
        <w:t>In a further publication by Speyer et al.</w:t>
      </w:r>
      <w:r w:rsidR="00B57DDD">
        <w:t xml:space="preserve"> </w:t>
      </w:r>
      <w:r w:rsidRPr="006F16E2">
        <w:t>patients received the chemotherapy regimen for advanced breast cancer together with or without prior dexrazoxane 1000</w:t>
      </w:r>
      <w:r w:rsidR="00B57DDD">
        <w:t xml:space="preserve"> </w:t>
      </w:r>
      <w:r w:rsidRPr="006F16E2">
        <w:t>mg/m</w:t>
      </w:r>
      <w:r w:rsidRPr="006F16E2">
        <w:rPr>
          <w:vertAlign w:val="superscript"/>
        </w:rPr>
        <w:t>2</w:t>
      </w:r>
      <w:r w:rsidRPr="006F16E2">
        <w:t xml:space="preserve"> (IV). </w:t>
      </w:r>
    </w:p>
    <w:p w14:paraId="64A71CA9" w14:textId="649D38E8" w:rsidR="006F16E2" w:rsidRPr="006F16E2" w:rsidRDefault="006F16E2" w:rsidP="009C7970">
      <w:pPr>
        <w:rPr>
          <w:b/>
        </w:rPr>
      </w:pPr>
      <w:r w:rsidRPr="006F16E2">
        <w:t xml:space="preserve">Objective response rates were similar in both treatment groups </w:t>
      </w:r>
      <w:r w:rsidRPr="00601C18">
        <w:t>(CR in</w:t>
      </w:r>
      <w:r w:rsidRPr="006F16E2">
        <w:t xml:space="preserve"> 7 [9%] in the dexrazoxane group </w:t>
      </w:r>
      <w:r w:rsidR="00855789">
        <w:t>versus</w:t>
      </w:r>
      <w:r w:rsidRPr="006F16E2">
        <w:t xml:space="preserve"> 5 [7%] in the control grou</w:t>
      </w:r>
      <w:r w:rsidRPr="00CD3913">
        <w:t>p [NS] and</w:t>
      </w:r>
      <w:r w:rsidRPr="006F16E2">
        <w:t xml:space="preserve"> </w:t>
      </w:r>
      <w:r w:rsidRPr="00601C18">
        <w:t>PR</w:t>
      </w:r>
      <w:r w:rsidRPr="006F16E2">
        <w:t xml:space="preserve"> in 21 [28%] v</w:t>
      </w:r>
      <w:r w:rsidR="009C7342">
        <w:t>ersus</w:t>
      </w:r>
      <w:r w:rsidRPr="006F16E2">
        <w:t xml:space="preserve"> 25 [34%] for the dexrazoxane and control groups, respectively [NS]). There was no statistical difference in </w:t>
      </w:r>
      <w:r w:rsidRPr="00A206A1">
        <w:t>either PFS</w:t>
      </w:r>
      <w:r w:rsidRPr="006F16E2">
        <w:t xml:space="preserve"> (median 10.1 months for dexrazoxane v</w:t>
      </w:r>
      <w:r w:rsidR="00855789">
        <w:t>ersus</w:t>
      </w:r>
      <w:r w:rsidRPr="006F16E2">
        <w:t xml:space="preserve"> 9.4 months for control) or </w:t>
      </w:r>
      <w:r w:rsidRPr="00A206A1">
        <w:t>OS</w:t>
      </w:r>
      <w:r w:rsidRPr="006F16E2">
        <w:t xml:space="preserve"> (median 18.3 months for dexrazoxane v</w:t>
      </w:r>
      <w:r w:rsidR="00A206A1">
        <w:t>ersus</w:t>
      </w:r>
      <w:r w:rsidRPr="006F16E2">
        <w:t xml:space="preserve"> 16.7 months for control).</w:t>
      </w:r>
    </w:p>
    <w:p w14:paraId="350B75D7" w14:textId="197A72A1" w:rsidR="00036C89" w:rsidRPr="006F16E2" w:rsidRDefault="006F16E2" w:rsidP="009C7970">
      <w:pPr>
        <w:rPr>
          <w:b/>
        </w:rPr>
      </w:pPr>
      <w:r w:rsidRPr="006F16E2">
        <w:t>In terms of cardiac toxicity, 43 patients (37 in the control group and 6 in the dexrazoxane group) were taken off study for cardiac toxicity. Moreover, more severe events were seen in the control groups (NYHA 1 to 3 and 4 in 5-17 patients, compared to NYHA 1 and 2 seen in 4 and 2 patients receiving dexrazoxane, respectively). One death in the control arm was attributable to CCF while</w:t>
      </w:r>
      <w:r w:rsidR="00DF771E">
        <w:t xml:space="preserve"> </w:t>
      </w:r>
      <w:r w:rsidR="00036C89" w:rsidRPr="006F16E2">
        <w:t>on study. In addition, 1 other patient in the dexrazoxane group developed CCF and subsequently died of CCF 1 month after being removed from the study.</w:t>
      </w:r>
    </w:p>
    <w:p w14:paraId="13B48A2E" w14:textId="63CB6BD0" w:rsidR="00036C89" w:rsidRPr="00036C89" w:rsidRDefault="00036C89" w:rsidP="001D0892">
      <w:pPr>
        <w:rPr>
          <w:b/>
        </w:rPr>
      </w:pPr>
      <w:r w:rsidRPr="00036C89">
        <w:t>For all dose ranges of cumulative doxorubicin, the median decrease in LVEF from baseline was greater for the control patients compared to the dexrazoxane group.</w:t>
      </w:r>
    </w:p>
    <w:p w14:paraId="1025CEB8" w14:textId="0CCF8FAB" w:rsidR="00036C89" w:rsidRPr="00036C89" w:rsidRDefault="00036C89" w:rsidP="001D0892">
      <w:pPr>
        <w:rPr>
          <w:b/>
        </w:rPr>
      </w:pPr>
      <w:r w:rsidRPr="00036C89">
        <w:t>The probability of remaining free of clinical cardiac toxicity with increasing dose of doxorubicin and free of off-study criteria for change in LVEF are shown in Figure</w:t>
      </w:r>
      <w:r w:rsidR="00C12697">
        <w:t xml:space="preserve"> 4</w:t>
      </w:r>
      <w:r w:rsidR="001E1EFE">
        <w:t xml:space="preserve"> and Figure 5</w:t>
      </w:r>
      <w:r w:rsidRPr="00036C89">
        <w:t>.</w:t>
      </w:r>
    </w:p>
    <w:p w14:paraId="6B42FA99" w14:textId="30AE2515" w:rsidR="00BF2FE8" w:rsidRPr="00B244E0" w:rsidRDefault="006F16E2" w:rsidP="007F5FE8">
      <w:pPr>
        <w:pStyle w:val="FigureTitle"/>
        <w:rPr>
          <w:vertAlign w:val="superscript"/>
        </w:rPr>
      </w:pPr>
      <w:r w:rsidRPr="00362FB4">
        <w:lastRenderedPageBreak/>
        <w:t>Figure</w:t>
      </w:r>
      <w:r w:rsidR="00C12697" w:rsidRPr="00362FB4">
        <w:t xml:space="preserve"> 4</w:t>
      </w:r>
      <w:r w:rsidRPr="00362FB4">
        <w:t>: Probability of remaining</w:t>
      </w:r>
      <w:r w:rsidRPr="007F5FE8">
        <w:t xml:space="preserve"> free of clinical cardiac toxicity and free of off study criteria for change in LVEF.</w:t>
      </w:r>
      <w:r w:rsidR="00B244E0" w:rsidRPr="00B244E0">
        <w:rPr>
          <w:vertAlign w:val="superscript"/>
        </w:rPr>
        <w:t>8</w:t>
      </w:r>
    </w:p>
    <w:p w14:paraId="1DBFF278" w14:textId="3A812F86" w:rsidR="00BF2FE8" w:rsidRDefault="00AB05EB" w:rsidP="001D0892">
      <w:pPr>
        <w:rPr>
          <w:b/>
          <w:bCs/>
        </w:rPr>
      </w:pPr>
      <w:r>
        <w:rPr>
          <w:noProof/>
        </w:rPr>
        <w:drawing>
          <wp:inline distT="0" distB="0" distL="0" distR="0" wp14:anchorId="090902DF" wp14:editId="0D4F42DA">
            <wp:extent cx="5095875" cy="3459889"/>
            <wp:effectExtent l="0" t="0" r="0" b="7620"/>
            <wp:docPr id="1943776858"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6858" name="Picture 1" descr="A graph of a number of patients&#10;&#10;AI-generated content may be incorrect."/>
                    <pic:cNvPicPr/>
                  </pic:nvPicPr>
                  <pic:blipFill>
                    <a:blip r:embed="rId24"/>
                    <a:stretch>
                      <a:fillRect/>
                    </a:stretch>
                  </pic:blipFill>
                  <pic:spPr>
                    <a:xfrm>
                      <a:off x="0" y="0"/>
                      <a:ext cx="5105073" cy="3466134"/>
                    </a:xfrm>
                    <a:prstGeom prst="rect">
                      <a:avLst/>
                    </a:prstGeom>
                  </pic:spPr>
                </pic:pic>
              </a:graphicData>
            </a:graphic>
          </wp:inline>
        </w:drawing>
      </w:r>
    </w:p>
    <w:p w14:paraId="59076E6F" w14:textId="3495401D" w:rsidR="00AB05EB" w:rsidRDefault="00AB05EB" w:rsidP="007F5FE8">
      <w:pPr>
        <w:pStyle w:val="FigureTitle"/>
        <w:rPr>
          <w:vertAlign w:val="superscript"/>
        </w:rPr>
      </w:pPr>
      <w:r w:rsidRPr="007F5FE8">
        <w:t xml:space="preserve">Figure 5: </w:t>
      </w:r>
      <w:r w:rsidR="00B62A99" w:rsidRPr="007F5FE8">
        <w:t xml:space="preserve">Probability of remaining free of any </w:t>
      </w:r>
      <w:proofErr w:type="gramStart"/>
      <w:r w:rsidR="00B62A99" w:rsidRPr="007F5FE8">
        <w:t>off study</w:t>
      </w:r>
      <w:proofErr w:type="gramEnd"/>
      <w:r w:rsidR="00B62A99" w:rsidRPr="007F5FE8">
        <w:t xml:space="preserve"> criteria.</w:t>
      </w:r>
      <w:r w:rsidR="00B244E0" w:rsidRPr="00B244E0">
        <w:rPr>
          <w:vertAlign w:val="superscript"/>
        </w:rPr>
        <w:t>8</w:t>
      </w:r>
    </w:p>
    <w:p w14:paraId="7D87531E" w14:textId="52CB713A" w:rsidR="00BF2FE8" w:rsidRPr="00D6216A" w:rsidRDefault="00D22E37" w:rsidP="001D0892">
      <w:r w:rsidRPr="00D22E37">
        <w:rPr>
          <w:noProof/>
        </w:rPr>
        <w:drawing>
          <wp:inline distT="0" distB="0" distL="0" distR="0" wp14:anchorId="61C39237" wp14:editId="3C8E4712">
            <wp:extent cx="5400675" cy="3371692"/>
            <wp:effectExtent l="0" t="0" r="0" b="635"/>
            <wp:docPr id="448423244" name="Picture 1" descr="A graph of a patient's dise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23244" name="Picture 1" descr="A graph of a patient's disease&#10;&#10;AI-generated content may be incorrect."/>
                    <pic:cNvPicPr/>
                  </pic:nvPicPr>
                  <pic:blipFill>
                    <a:blip r:embed="rId25"/>
                    <a:stretch>
                      <a:fillRect/>
                    </a:stretch>
                  </pic:blipFill>
                  <pic:spPr>
                    <a:xfrm>
                      <a:off x="0" y="0"/>
                      <a:ext cx="5409654" cy="3377298"/>
                    </a:xfrm>
                    <a:prstGeom prst="rect">
                      <a:avLst/>
                    </a:prstGeom>
                  </pic:spPr>
                </pic:pic>
              </a:graphicData>
            </a:graphic>
          </wp:inline>
        </w:drawing>
      </w:r>
    </w:p>
    <w:p w14:paraId="5550E9D6" w14:textId="1BB3E8C1" w:rsidR="00580983" w:rsidRPr="001D0892" w:rsidRDefault="00580983" w:rsidP="00B449DE">
      <w:pPr>
        <w:rPr>
          <w:bCs/>
          <w:i/>
          <w:iCs/>
        </w:rPr>
      </w:pPr>
      <w:r w:rsidRPr="001D0892">
        <w:rPr>
          <w:bCs/>
          <w:i/>
          <w:iCs/>
        </w:rPr>
        <w:lastRenderedPageBreak/>
        <w:t xml:space="preserve">Swain, S. M., Whaley, F. S., Gerber, M. C., Weisberg, S., York, M., Spicer, D., Jones, S. E., Wadler, S., Desai, A., Vogel, C., Speyer, J., Mittelman, A., Reddy, S., Pendergrass, K., Velez-Garcia, E., Ewer, M. S., </w:t>
      </w:r>
      <w:proofErr w:type="spellStart"/>
      <w:r w:rsidRPr="001D0892">
        <w:rPr>
          <w:bCs/>
          <w:i/>
          <w:iCs/>
        </w:rPr>
        <w:t>Bianchine</w:t>
      </w:r>
      <w:proofErr w:type="spellEnd"/>
      <w:r w:rsidRPr="001D0892">
        <w:rPr>
          <w:bCs/>
          <w:i/>
          <w:iCs/>
        </w:rPr>
        <w:t xml:space="preserve">, J. R., &amp; Gams, R. A. (1997). </w:t>
      </w:r>
      <w:r w:rsidR="005945CC" w:rsidRPr="001D0892">
        <w:rPr>
          <w:rStyle w:val="FootnoteReference"/>
          <w:bCs/>
          <w:i/>
          <w:iCs/>
        </w:rPr>
        <w:footnoteReference w:id="9"/>
      </w:r>
    </w:p>
    <w:p w14:paraId="3D295EE0" w14:textId="57DA8514" w:rsidR="00B449DE" w:rsidRPr="00B449DE" w:rsidRDefault="00B449DE" w:rsidP="00B449DE">
      <w:r w:rsidRPr="00B449DE">
        <w:t>This multicentre US study recruited 534 patients with advanced breast cancer between November 1988 and January 1991 and were randomised to the 2 multicentre, double-blind studies receiving either FAC with dexrazoxane (dexrazoxane:</w:t>
      </w:r>
      <w:r w:rsidR="005945CC">
        <w:t xml:space="preserve"> </w:t>
      </w:r>
      <w:r w:rsidRPr="00B449DE">
        <w:t xml:space="preserve">doxorubicin ratio 10:1) or placebo every 3 weeks and monitored with serial MUGA scans. </w:t>
      </w:r>
    </w:p>
    <w:p w14:paraId="77298EE3" w14:textId="1AAA12B5" w:rsidR="00B449DE" w:rsidRPr="00B449DE" w:rsidRDefault="00B449DE" w:rsidP="00B449DE">
      <w:r w:rsidRPr="00B449DE">
        <w:t xml:space="preserve">A cardiac event was defined as congestive heart failure (CHF) or a decline in LVEF from baseline by </w:t>
      </w:r>
      <w:r w:rsidR="009D18EA">
        <w:t xml:space="preserve">equal to or greater than </w:t>
      </w:r>
      <w:r w:rsidRPr="00B449DE">
        <w:t>20 percentage points, from baseline by</w:t>
      </w:r>
      <w:r w:rsidR="00004BB4" w:rsidRPr="00004BB4">
        <w:t xml:space="preserve"> equal to or greater than</w:t>
      </w:r>
      <w:r w:rsidRPr="00B449DE">
        <w:t xml:space="preserve"> 10 percentage points and to a value below the locally defined lower limit of normal or to a value </w:t>
      </w:r>
      <w:r w:rsidR="00E17C49" w:rsidRPr="00E17C49">
        <w:t xml:space="preserve">equal to or greater than </w:t>
      </w:r>
      <w:r w:rsidRPr="00B449DE">
        <w:t>5 percentage points below the local lower limit of normal. Ejection fractions were measured by MUGA scans after patients received 150, 300, 400 and 500</w:t>
      </w:r>
      <w:r w:rsidR="00E51433">
        <w:t xml:space="preserve"> </w:t>
      </w:r>
      <w:r w:rsidRPr="00B449DE">
        <w:t>mg/m</w:t>
      </w:r>
      <w:r w:rsidRPr="00B449DE">
        <w:rPr>
          <w:vertAlign w:val="superscript"/>
        </w:rPr>
        <w:t>2</w:t>
      </w:r>
      <w:r w:rsidRPr="00B449DE">
        <w:t xml:space="preserve"> of doxorubicin.</w:t>
      </w:r>
    </w:p>
    <w:p w14:paraId="105BA0AA" w14:textId="4EA6A754" w:rsidR="00B449DE" w:rsidRPr="00B449DE" w:rsidRDefault="00B449DE" w:rsidP="00B449DE">
      <w:r w:rsidRPr="00B449DE">
        <w:t>A total of 26% of placebo/dexrazoxane groups received at least 15 courses of therapy compared with 5% of patients in the placebo group. In terms of cardio protection, there were 25 cardiac events (25%) in the placebo/dexrazoxane group compared with 59 events (60%) in the placebo group. The hazards ratio was 3.5 (95% CI, 2.2-5.7, p&lt;0.001 by Log-Rank test and p&lt;0.001 by Wilcoxon test). The overall CHF incidence in the placebo/dexrazoxane group was 3% v</w:t>
      </w:r>
      <w:r w:rsidR="00A97F4B">
        <w:t>ersus</w:t>
      </w:r>
      <w:r w:rsidRPr="00B449DE">
        <w:t xml:space="preserve"> 22% in the placebo group (p&lt;0.001, Fisher’s exact test). </w:t>
      </w:r>
    </w:p>
    <w:p w14:paraId="262F5986" w14:textId="77777777" w:rsidR="00B449DE" w:rsidRPr="00B449DE" w:rsidRDefault="00B449DE" w:rsidP="00B449DE">
      <w:r w:rsidRPr="00B449DE">
        <w:t>Despite the differences in baseline and on study disease characteristics, the time to progression revealed no significant difference between the 2 treatment groups (p=0.72 by Log-Rank test or 0.58 by Wilcoxon test). The HR was 0.8 after adjustment for disease-related prognostic factors (p=0.18, Wald X</w:t>
      </w:r>
      <w:r w:rsidRPr="00B449DE">
        <w:rPr>
          <w:vertAlign w:val="superscript"/>
        </w:rPr>
        <w:t>2</w:t>
      </w:r>
      <w:r w:rsidRPr="00B449DE">
        <w:t xml:space="preserve"> test).</w:t>
      </w:r>
    </w:p>
    <w:p w14:paraId="01EFB1AE" w14:textId="4F337B92" w:rsidR="00662C86" w:rsidRPr="001D0892" w:rsidRDefault="00662C86" w:rsidP="00B449DE">
      <w:pPr>
        <w:rPr>
          <w:i/>
          <w:iCs/>
          <w:lang w:val="it-IT"/>
        </w:rPr>
      </w:pPr>
      <w:r w:rsidRPr="001D0892">
        <w:rPr>
          <w:i/>
          <w:iCs/>
          <w:lang w:val="it-IT"/>
        </w:rPr>
        <w:t>Venturini, M., Michelotti, A., Del Mastro, L., Gallo, L., Carnino, F., Garrone, O., Tibaldi, C., Molea, N., Bellina, R. C., Pronzato, P., Cyrus, P., Vinke, J., Testore, F., Guelfi, M., Lionetto, R., Bruzzi, P., Conte, P. F., &amp; Rosso, R. (1996).</w:t>
      </w:r>
      <w:r w:rsidRPr="001D0892">
        <w:rPr>
          <w:rStyle w:val="FootnoteReference"/>
          <w:i/>
          <w:iCs/>
        </w:rPr>
        <w:footnoteReference w:id="10"/>
      </w:r>
      <w:r w:rsidRPr="001D0892">
        <w:rPr>
          <w:i/>
          <w:iCs/>
          <w:lang w:val="it-IT"/>
        </w:rPr>
        <w:t xml:space="preserve">  </w:t>
      </w:r>
    </w:p>
    <w:p w14:paraId="1EC7FF07" w14:textId="6F74EEFC" w:rsidR="00B449DE" w:rsidRPr="00B449DE" w:rsidRDefault="00B449DE" w:rsidP="00B449DE">
      <w:pPr>
        <w:rPr>
          <w:u w:val="single"/>
        </w:rPr>
      </w:pPr>
      <w:r w:rsidRPr="00B449DE">
        <w:t xml:space="preserve">A multicentre, European study (Italy, Switzerland and The Netherlands) which sought to assess the efficacy of dexrazoxane in terms of cardio protection given at a dose of 10:1 </w:t>
      </w:r>
      <w:r w:rsidR="00F4202B">
        <w:t>versus</w:t>
      </w:r>
      <w:r w:rsidRPr="00B449DE">
        <w:t xml:space="preserve"> </w:t>
      </w:r>
      <w:proofErr w:type="spellStart"/>
      <w:r w:rsidRPr="00B449DE">
        <w:t>epirubicin</w:t>
      </w:r>
      <w:proofErr w:type="spellEnd"/>
      <w:r w:rsidRPr="00B449DE">
        <w:t>, in women receiving chemotherapy for advanced breast cancer.</w:t>
      </w:r>
    </w:p>
    <w:p w14:paraId="798F84B2" w14:textId="220DF327" w:rsidR="00B449DE" w:rsidRPr="00B449DE" w:rsidRDefault="00B449DE" w:rsidP="00B449DE">
      <w:r w:rsidRPr="00B449DE">
        <w:t xml:space="preserve">A total of 162 patients were randomised to receive </w:t>
      </w:r>
      <w:proofErr w:type="spellStart"/>
      <w:r w:rsidRPr="00B449DE">
        <w:t>epirubicin</w:t>
      </w:r>
      <w:proofErr w:type="spellEnd"/>
      <w:r w:rsidRPr="00B449DE">
        <w:t>-based chemotherapy with or without dexrazoxane. Patients who had previously received adjuvant chemotherapy containing anthracyclines were treated with cyclophosphamide 600</w:t>
      </w:r>
      <w:r w:rsidR="00F4116F">
        <w:t xml:space="preserve"> </w:t>
      </w:r>
      <w:r w:rsidRPr="00B449DE">
        <w:t>mg/m</w:t>
      </w:r>
      <w:r w:rsidRPr="00B449DE">
        <w:rPr>
          <w:vertAlign w:val="superscript"/>
        </w:rPr>
        <w:t>2</w:t>
      </w:r>
      <w:r w:rsidRPr="00B449DE">
        <w:t xml:space="preserve"> IV, </w:t>
      </w:r>
      <w:proofErr w:type="spellStart"/>
      <w:r w:rsidRPr="00B449DE">
        <w:t>epirubicin</w:t>
      </w:r>
      <w:proofErr w:type="spellEnd"/>
      <w:r w:rsidRPr="00B449DE">
        <w:t xml:space="preserve"> 60</w:t>
      </w:r>
      <w:r w:rsidR="00F4116F">
        <w:t xml:space="preserve"> </w:t>
      </w:r>
      <w:r w:rsidRPr="00B449DE">
        <w:t>mg/m</w:t>
      </w:r>
      <w:r w:rsidRPr="00B449DE">
        <w:rPr>
          <w:vertAlign w:val="superscript"/>
        </w:rPr>
        <w:t>2</w:t>
      </w:r>
      <w:r w:rsidRPr="00B449DE">
        <w:t xml:space="preserve"> IV and fluorouracil 600</w:t>
      </w:r>
      <w:r w:rsidR="00F4116F">
        <w:t xml:space="preserve"> </w:t>
      </w:r>
      <w:r w:rsidRPr="00B449DE">
        <w:t>mg/m</w:t>
      </w:r>
      <w:r w:rsidRPr="00B449DE">
        <w:rPr>
          <w:vertAlign w:val="superscript"/>
        </w:rPr>
        <w:t>2</w:t>
      </w:r>
      <w:r w:rsidRPr="00B449DE">
        <w:t xml:space="preserve"> IV on day 1 every 3 weeks.  Other patients were treated with </w:t>
      </w:r>
      <w:proofErr w:type="spellStart"/>
      <w:r w:rsidRPr="00B449DE">
        <w:t>epirubicin</w:t>
      </w:r>
      <w:proofErr w:type="spellEnd"/>
      <w:r w:rsidRPr="00B449DE">
        <w:t xml:space="preserve"> 120</w:t>
      </w:r>
      <w:r w:rsidR="00F4116F">
        <w:t xml:space="preserve"> </w:t>
      </w:r>
      <w:r w:rsidRPr="00B449DE">
        <w:t>mg/m</w:t>
      </w:r>
      <w:r w:rsidRPr="00B449DE">
        <w:rPr>
          <w:vertAlign w:val="superscript"/>
        </w:rPr>
        <w:t>2</w:t>
      </w:r>
      <w:r w:rsidRPr="00B449DE">
        <w:t xml:space="preserve"> IV on day every 3 weeks. </w:t>
      </w:r>
    </w:p>
    <w:p w14:paraId="11E29E5C" w14:textId="64609E0B" w:rsidR="00B449DE" w:rsidRPr="00B449DE" w:rsidRDefault="00B449DE" w:rsidP="00B449DE">
      <w:r w:rsidRPr="00B449DE">
        <w:t xml:space="preserve">Patient eligibility was clinical or histologic evidence of metastatic, locally advanced or inflammatory breast cancer; either measurable or assessable disease; ECOG performance status </w:t>
      </w:r>
      <w:r w:rsidR="00FC082A">
        <w:rPr>
          <w:u w:val="single"/>
        </w:rPr>
        <w:t xml:space="preserve">equal to or less than </w:t>
      </w:r>
      <w:r w:rsidRPr="00B449DE">
        <w:t xml:space="preserve">2 and WBC </w:t>
      </w:r>
      <w:r w:rsidRPr="00B449DE">
        <w:rPr>
          <w:u w:val="single"/>
        </w:rPr>
        <w:t>&gt;</w:t>
      </w:r>
      <w:r w:rsidRPr="00B449DE">
        <w:t>4000 x 10</w:t>
      </w:r>
      <w:r w:rsidRPr="00B449DE">
        <w:rPr>
          <w:vertAlign w:val="superscript"/>
        </w:rPr>
        <w:t>2</w:t>
      </w:r>
      <w:r w:rsidRPr="00B449DE">
        <w:t xml:space="preserve">L platelet count </w:t>
      </w:r>
      <w:r w:rsidRPr="00B449DE">
        <w:rPr>
          <w:u w:val="single"/>
        </w:rPr>
        <w:t>&gt;</w:t>
      </w:r>
      <w:r w:rsidRPr="00B449DE">
        <w:t>100 x 10</w:t>
      </w:r>
      <w:r w:rsidRPr="00B449DE">
        <w:rPr>
          <w:vertAlign w:val="superscript"/>
        </w:rPr>
        <w:t>9</w:t>
      </w:r>
      <w:r w:rsidRPr="00B449DE">
        <w:t xml:space="preserve">/L and haemoglobin </w:t>
      </w:r>
      <w:r w:rsidRPr="00B449DE">
        <w:rPr>
          <w:u w:val="single"/>
        </w:rPr>
        <w:t>&gt;</w:t>
      </w:r>
      <w:r w:rsidRPr="00B449DE">
        <w:t>10g/dL. Patients were to have a baseline resting LVEF</w:t>
      </w:r>
      <w:r w:rsidR="0019024D">
        <w:t xml:space="preserve"> </w:t>
      </w:r>
      <w:r w:rsidR="0019024D" w:rsidRPr="0019024D">
        <w:t xml:space="preserve">greater than or equal to </w:t>
      </w:r>
      <w:r w:rsidRPr="00B449DE">
        <w:t xml:space="preserve">50% </w:t>
      </w:r>
      <w:r w:rsidRPr="00B449DE">
        <w:lastRenderedPageBreak/>
        <w:t xml:space="preserve">determined by MUGA scanning. Criteria for exclusion were myocardial infarction within the previous year, history of CHF, symptomatic valvular heart disease, previous chemotherapy </w:t>
      </w:r>
      <w:proofErr w:type="gramStart"/>
      <w:r w:rsidRPr="00B449DE">
        <w:t>with the exception of</w:t>
      </w:r>
      <w:proofErr w:type="gramEnd"/>
      <w:r w:rsidRPr="00B449DE">
        <w:t xml:space="preserve"> adjuvant chemotherapy and </w:t>
      </w:r>
      <w:r w:rsidRPr="0019024D">
        <w:t xml:space="preserve">bilirubin </w:t>
      </w:r>
      <w:r w:rsidR="0019024D" w:rsidRPr="0019024D">
        <w:t xml:space="preserve">greater than or equal to </w:t>
      </w:r>
      <w:r w:rsidRPr="0019024D">
        <w:t>3</w:t>
      </w:r>
      <w:r w:rsidR="005C1866">
        <w:t xml:space="preserve"> </w:t>
      </w:r>
      <w:r w:rsidRPr="00B449DE">
        <w:t xml:space="preserve">mg/dL and </w:t>
      </w:r>
      <w:r w:rsidRPr="00F04E8F">
        <w:t xml:space="preserve">creatinine </w:t>
      </w:r>
      <w:r w:rsidR="00F04E8F" w:rsidRPr="00F04E8F">
        <w:t xml:space="preserve">greater than or equal to </w:t>
      </w:r>
      <w:r w:rsidRPr="00F04E8F">
        <w:t>2</w:t>
      </w:r>
      <w:r w:rsidR="005C1866">
        <w:t xml:space="preserve"> </w:t>
      </w:r>
      <w:r w:rsidRPr="00B449DE">
        <w:t xml:space="preserve">mg/dL. </w:t>
      </w:r>
    </w:p>
    <w:p w14:paraId="3DE1EAB1" w14:textId="77777777" w:rsidR="00B449DE" w:rsidRPr="00B449DE" w:rsidRDefault="00B449DE" w:rsidP="00B449DE">
      <w:r w:rsidRPr="00B449DE">
        <w:t>There were no statistically significant differences in baseline characteristics.</w:t>
      </w:r>
    </w:p>
    <w:p w14:paraId="1EF555C7" w14:textId="68FF4652" w:rsidR="00B449DE" w:rsidRPr="00B449DE" w:rsidRDefault="00B449DE" w:rsidP="00B449DE">
      <w:r w:rsidRPr="00B449DE">
        <w:t xml:space="preserve">Cardiotoxicity was defined as clinical signs of CHF, a decrease in resting LVEF to </w:t>
      </w:r>
      <w:r w:rsidR="00F04E8F">
        <w:t>equal to or less than</w:t>
      </w:r>
      <w:r w:rsidR="00645290">
        <w:t xml:space="preserve"> </w:t>
      </w:r>
      <w:r w:rsidRPr="00B449DE">
        <w:t xml:space="preserve">45% or decrease from baseline resting LVEF </w:t>
      </w:r>
      <w:r w:rsidRPr="00645290">
        <w:t xml:space="preserve">of </w:t>
      </w:r>
      <w:r w:rsidR="00645290" w:rsidRPr="00645290">
        <w:t xml:space="preserve">greater than or equal to </w:t>
      </w:r>
      <w:r w:rsidRPr="00645290">
        <w:t>20EF units</w:t>
      </w:r>
      <w:r w:rsidRPr="00B449DE">
        <w:t xml:space="preserve">. </w:t>
      </w:r>
    </w:p>
    <w:p w14:paraId="44E88617" w14:textId="77777777" w:rsidR="00B449DE" w:rsidRPr="00B449DE" w:rsidRDefault="00B449DE" w:rsidP="00B449DE">
      <w:r w:rsidRPr="00B449DE">
        <w:t xml:space="preserve">Cardiotoxicity was seen in 18/78 patients (23.1%) in the control arm and in 6/82 (7.3%) in the dexrazoxane arm. A cumulative probability of developing cardiotoxicity was significantly lower in the dexrazoxane-treated patients than in control patients (p=0.006, OR 0.29; 95% CI: 0.09-0.78). </w:t>
      </w:r>
    </w:p>
    <w:p w14:paraId="276CEF2F" w14:textId="75525994" w:rsidR="00B449DE" w:rsidRPr="00B449DE" w:rsidRDefault="00B449DE" w:rsidP="00B449DE">
      <w:r w:rsidRPr="00B8153B">
        <w:rPr>
          <w:bCs/>
          <w:lang w:val="nb-NO"/>
        </w:rPr>
        <w:t>Cochrane reviews</w:t>
      </w:r>
      <w:r w:rsidRPr="00B8153B">
        <w:rPr>
          <w:lang w:val="nb-NO"/>
        </w:rPr>
        <w:t xml:space="preserve"> </w:t>
      </w:r>
      <w:r w:rsidR="00901700" w:rsidRPr="00B8153B">
        <w:rPr>
          <w:lang w:val="nb-NO"/>
        </w:rPr>
        <w:t xml:space="preserve">by </w:t>
      </w:r>
      <w:r w:rsidRPr="00B8153B">
        <w:rPr>
          <w:lang w:val="nb-NO"/>
        </w:rPr>
        <w:t>de Baat et al.</w:t>
      </w:r>
      <w:r w:rsidR="00901700">
        <w:rPr>
          <w:rStyle w:val="FootnoteReference"/>
        </w:rPr>
        <w:footnoteReference w:id="11"/>
      </w:r>
      <w:r w:rsidRPr="00B8153B">
        <w:rPr>
          <w:lang w:val="nb-NO"/>
        </w:rPr>
        <w:t xml:space="preserve"> and Van Dalen et al.</w:t>
      </w:r>
      <w:r w:rsidR="00127E23">
        <w:rPr>
          <w:rStyle w:val="FootnoteReference"/>
        </w:rPr>
        <w:footnoteReference w:id="12"/>
      </w:r>
      <w:r w:rsidRPr="00B8153B">
        <w:rPr>
          <w:lang w:val="nb-NO"/>
        </w:rPr>
        <w:t xml:space="preserve">  </w:t>
      </w:r>
      <w:r w:rsidRPr="00B449DE">
        <w:t>showed cardio</w:t>
      </w:r>
      <w:r w:rsidR="00127E23">
        <w:t>-</w:t>
      </w:r>
      <w:r w:rsidRPr="00B449DE">
        <w:t xml:space="preserve">protection without impact on cancer progression in adults. These did overlap with studies provided in the current </w:t>
      </w:r>
      <w:r w:rsidR="00FF4129">
        <w:t>clinical evaluation summary</w:t>
      </w:r>
      <w:r w:rsidRPr="00B449DE">
        <w:t>.</w:t>
      </w:r>
    </w:p>
    <w:p w14:paraId="2967843A" w14:textId="77777777" w:rsidR="007F5FE8" w:rsidRPr="007F5FE8" w:rsidRDefault="007F5FE8" w:rsidP="002300A2">
      <w:pPr>
        <w:pStyle w:val="Heading4"/>
      </w:pPr>
      <w:bookmarkStart w:id="49" w:name="_Toc210912410"/>
      <w:r w:rsidRPr="007F5FE8">
        <w:t>Safety</w:t>
      </w:r>
      <w:bookmarkEnd w:id="49"/>
    </w:p>
    <w:p w14:paraId="03485B2C" w14:textId="77777777" w:rsidR="007F5FE8" w:rsidRPr="007F5FE8" w:rsidRDefault="007F5FE8" w:rsidP="002300A2">
      <w:pPr>
        <w:pStyle w:val="Heading6"/>
      </w:pPr>
      <w:bookmarkStart w:id="50" w:name="_Toc177579338"/>
      <w:r w:rsidRPr="007F5FE8">
        <w:t>Breast Cancer Studies</w:t>
      </w:r>
      <w:bookmarkEnd w:id="50"/>
    </w:p>
    <w:p w14:paraId="0379194A" w14:textId="267A747B" w:rsidR="00FC2AED" w:rsidRPr="001D0892" w:rsidRDefault="00FC2AED" w:rsidP="00FC2AED">
      <w:pPr>
        <w:rPr>
          <w:i/>
          <w:iCs/>
        </w:rPr>
      </w:pPr>
      <w:r w:rsidRPr="001D0892">
        <w:rPr>
          <w:i/>
          <w:iCs/>
        </w:rPr>
        <w:t xml:space="preserve">Marty, M., </w:t>
      </w:r>
      <w:proofErr w:type="spellStart"/>
      <w:r w:rsidRPr="001D0892">
        <w:rPr>
          <w:i/>
          <w:iCs/>
        </w:rPr>
        <w:t>Espié</w:t>
      </w:r>
      <w:proofErr w:type="spellEnd"/>
      <w:r w:rsidRPr="001D0892">
        <w:rPr>
          <w:i/>
          <w:iCs/>
        </w:rPr>
        <w:t xml:space="preserve">, M., </w:t>
      </w:r>
      <w:proofErr w:type="spellStart"/>
      <w:r w:rsidRPr="001D0892">
        <w:rPr>
          <w:i/>
          <w:iCs/>
        </w:rPr>
        <w:t>Llombart</w:t>
      </w:r>
      <w:proofErr w:type="spellEnd"/>
      <w:r w:rsidRPr="001D0892">
        <w:rPr>
          <w:i/>
          <w:iCs/>
        </w:rPr>
        <w:t xml:space="preserve">, A., Monnier, A., Rapoport, B. L., </w:t>
      </w:r>
      <w:proofErr w:type="spellStart"/>
      <w:r w:rsidRPr="001D0892">
        <w:rPr>
          <w:i/>
          <w:iCs/>
        </w:rPr>
        <w:t>Stahalova</w:t>
      </w:r>
      <w:proofErr w:type="spellEnd"/>
      <w:r w:rsidRPr="001D0892">
        <w:rPr>
          <w:i/>
          <w:iCs/>
        </w:rPr>
        <w:t>, V., &amp; Dexrazoxane Study Group et al. (2006)</w:t>
      </w:r>
      <w:r w:rsidR="005022AB" w:rsidRPr="001D0892">
        <w:rPr>
          <w:i/>
          <w:iCs/>
          <w:vertAlign w:val="superscript"/>
        </w:rPr>
        <w:t>5</w:t>
      </w:r>
    </w:p>
    <w:p w14:paraId="3315E8F9" w14:textId="5A171AE6" w:rsidR="007F5FE8" w:rsidRPr="007F5FE8" w:rsidRDefault="007F5FE8" w:rsidP="002300A2">
      <w:r w:rsidRPr="007F5FE8">
        <w:t>A phase 3 RCT of anthracycline v</w:t>
      </w:r>
      <w:r w:rsidR="00340493">
        <w:t>er</w:t>
      </w:r>
      <w:r w:rsidRPr="007F5FE8">
        <w:t>s</w:t>
      </w:r>
      <w:r w:rsidR="00340493">
        <w:t>us</w:t>
      </w:r>
      <w:r w:rsidRPr="007F5FE8">
        <w:t xml:space="preserve"> anthracycline plus dexrazoxane in breast cancer patients.</w:t>
      </w:r>
    </w:p>
    <w:p w14:paraId="6A97646C" w14:textId="7A882876" w:rsidR="007F5FE8" w:rsidRPr="007F5FE8" w:rsidRDefault="007F5FE8" w:rsidP="002300A2">
      <w:r w:rsidRPr="007F5FE8">
        <w:t xml:space="preserve">Most patients had at least </w:t>
      </w:r>
      <w:r w:rsidR="00340493">
        <w:t>one</w:t>
      </w:r>
      <w:r w:rsidRPr="007F5FE8">
        <w:t xml:space="preserve"> </w:t>
      </w:r>
      <w:r w:rsidR="005B2560">
        <w:t>adverse event (</w:t>
      </w:r>
      <w:r w:rsidRPr="007F5FE8">
        <w:t>AE</w:t>
      </w:r>
      <w:r w:rsidR="005B2560">
        <w:t>)</w:t>
      </w:r>
      <w:r w:rsidRPr="007F5FE8">
        <w:t xml:space="preserve">, the most common being alopecia, nausea, neutropenia, vomiting, leukopenia and anaemia. The incidence of AEs was comparable between the </w:t>
      </w:r>
      <w:r w:rsidR="00340493">
        <w:t>two</w:t>
      </w:r>
      <w:r w:rsidRPr="007F5FE8">
        <w:t xml:space="preserve"> groups with the possible exceptions of anaemia which appeared to be more common in the dexrazoxane group and asthenia and mucosal inflammation appearing more frequently in the control group, although grade 3 and 4 events were comparable across groups. These were usually anaemia, febrile </w:t>
      </w:r>
      <w:proofErr w:type="spellStart"/>
      <w:r w:rsidRPr="007F5FE8">
        <w:t>neutropaenia</w:t>
      </w:r>
      <w:proofErr w:type="spellEnd"/>
      <w:r w:rsidRPr="007F5FE8">
        <w:t xml:space="preserve">, leukopenia and </w:t>
      </w:r>
      <w:proofErr w:type="spellStart"/>
      <w:r w:rsidRPr="007F5FE8">
        <w:t>neutropaenia</w:t>
      </w:r>
      <w:proofErr w:type="spellEnd"/>
      <w:r w:rsidRPr="007F5FE8">
        <w:t xml:space="preserve">, consistent with chemotherapy usage. Six deaths occurred within 28 days of final administration of chemotherapy, 4 in the dexrazoxane group and </w:t>
      </w:r>
      <w:r w:rsidR="002B1E8F">
        <w:t>two</w:t>
      </w:r>
      <w:r w:rsidRPr="007F5FE8">
        <w:t xml:space="preserve"> in the control group, none being considered related to dexrazoxane. There appeared no differences between groups with respect to biochemical or haematological laboratory measurements.</w:t>
      </w:r>
    </w:p>
    <w:p w14:paraId="779E1EB7" w14:textId="7A693598" w:rsidR="002B1E8F" w:rsidRPr="001D0892" w:rsidRDefault="002B1E8F" w:rsidP="002B1E8F">
      <w:pPr>
        <w:rPr>
          <w:i/>
          <w:iCs/>
          <w:lang w:val="de-DE"/>
        </w:rPr>
      </w:pPr>
      <w:r w:rsidRPr="001D0892">
        <w:rPr>
          <w:i/>
          <w:iCs/>
          <w:lang w:val="de-DE"/>
        </w:rPr>
        <w:t>Speyer, J. L., Green, M. D., Kramer, E., Rey, M., Sanger, J., Ward, C., Dubin, N., Ferrans, V., Stecy, P., &amp; Zeleniuch-Jacquotte, A. (1988).</w:t>
      </w:r>
      <w:r w:rsidR="00617063" w:rsidRPr="001D0892">
        <w:rPr>
          <w:i/>
          <w:iCs/>
          <w:vertAlign w:val="superscript"/>
          <w:lang w:val="de-DE"/>
        </w:rPr>
        <w:t>6</w:t>
      </w:r>
    </w:p>
    <w:p w14:paraId="5A286F7B" w14:textId="43B945F1" w:rsidR="007F5FE8" w:rsidRDefault="007F5FE8" w:rsidP="002300A2">
      <w:r w:rsidRPr="007F5FE8">
        <w:t xml:space="preserve">In the randomised study, non-cardiac toxicity did not differ significantly between the </w:t>
      </w:r>
      <w:r w:rsidR="002B1E8F">
        <w:t>two</w:t>
      </w:r>
      <w:r w:rsidRPr="007F5FE8">
        <w:t xml:space="preserve"> treatment groups of chemotherapy v</w:t>
      </w:r>
      <w:r w:rsidR="002B1E8F">
        <w:t>ersu</w:t>
      </w:r>
      <w:r w:rsidRPr="007F5FE8">
        <w:t xml:space="preserve">s chemotherapy plus dexrazoxane in patients with breast cancer. </w:t>
      </w:r>
    </w:p>
    <w:p w14:paraId="0624807E" w14:textId="172EADEB" w:rsidR="00D43BF0" w:rsidRPr="001D0892" w:rsidRDefault="00D43BF0" w:rsidP="00D43BF0">
      <w:pPr>
        <w:rPr>
          <w:i/>
          <w:iCs/>
        </w:rPr>
      </w:pPr>
      <w:r w:rsidRPr="001D0892">
        <w:rPr>
          <w:i/>
          <w:iCs/>
        </w:rPr>
        <w:lastRenderedPageBreak/>
        <w:t xml:space="preserve">Speyer, J. L., Green, M. D., Sanger, J., </w:t>
      </w:r>
      <w:proofErr w:type="spellStart"/>
      <w:r w:rsidRPr="001D0892">
        <w:rPr>
          <w:i/>
          <w:iCs/>
        </w:rPr>
        <w:t>Zeleniuch</w:t>
      </w:r>
      <w:proofErr w:type="spellEnd"/>
      <w:r w:rsidRPr="001D0892">
        <w:rPr>
          <w:i/>
          <w:iCs/>
        </w:rPr>
        <w:t>-Jacquotte, A., Kramer, E., Rey, M., Wernz, J. C., Blum, R.H., Hochster, H., Meyers, M. &amp; Muggia F.M. (1990)</w:t>
      </w:r>
      <w:r w:rsidR="00617063" w:rsidRPr="001D0892">
        <w:rPr>
          <w:i/>
          <w:iCs/>
          <w:vertAlign w:val="superscript"/>
        </w:rPr>
        <w:t>7</w:t>
      </w:r>
      <w:r w:rsidRPr="001D0892">
        <w:rPr>
          <w:i/>
          <w:iCs/>
          <w:vertAlign w:val="superscript"/>
        </w:rPr>
        <w:t xml:space="preserve"> </w:t>
      </w:r>
    </w:p>
    <w:p w14:paraId="5C49B4D9" w14:textId="1854AE77" w:rsidR="007F5FE8" w:rsidRPr="007F5FE8" w:rsidRDefault="007F5FE8" w:rsidP="002300A2">
      <w:r w:rsidRPr="00B85E87">
        <w:t>In Speyer et al.</w:t>
      </w:r>
      <w:r w:rsidR="00321422">
        <w:rPr>
          <w:vertAlign w:val="superscript"/>
        </w:rPr>
        <w:t>7</w:t>
      </w:r>
      <w:r w:rsidRPr="00B85E87">
        <w:t>, there</w:t>
      </w:r>
      <w:r w:rsidRPr="007F5FE8">
        <w:t xml:space="preserve"> were no major differences in toxicities between the </w:t>
      </w:r>
      <w:r w:rsidR="00980A4D">
        <w:t>two</w:t>
      </w:r>
      <w:r w:rsidRPr="007F5FE8">
        <w:t xml:space="preserve"> treatment arms. There were 5 non-cardiotoxic deaths in the FDC arm and </w:t>
      </w:r>
      <w:r w:rsidR="00980A4D">
        <w:t>two</w:t>
      </w:r>
      <w:r w:rsidRPr="007F5FE8">
        <w:t xml:space="preserve"> in the FDC plus dexrazoxane arm. Fever and </w:t>
      </w:r>
      <w:proofErr w:type="spellStart"/>
      <w:r w:rsidRPr="007F5FE8">
        <w:t>neutropaenia</w:t>
      </w:r>
      <w:proofErr w:type="spellEnd"/>
      <w:r w:rsidRPr="007F5FE8">
        <w:t xml:space="preserve"> occurred in 18% and 15% of the FDC and FDC plus dexrazoxane arms, respectively. There were no differences in alopecia, stomatitis, nausea and vomiting between the </w:t>
      </w:r>
      <w:r w:rsidR="00980A4D">
        <w:t>two</w:t>
      </w:r>
      <w:r w:rsidRPr="007F5FE8">
        <w:t xml:space="preserve"> treatment arms, however these data were not systematically presented. Haematologic toxicities revealed a tendency for the addition of dexrazoxane to increase </w:t>
      </w:r>
      <w:proofErr w:type="spellStart"/>
      <w:r w:rsidRPr="007F5FE8">
        <w:t>neutropaenia</w:t>
      </w:r>
      <w:proofErr w:type="spellEnd"/>
      <w:r w:rsidRPr="007F5FE8">
        <w:t xml:space="preserve"> in the second course of treatment although not in the first course of treatment. There was no difference in the amount of anaemia or transfusion requirement between the </w:t>
      </w:r>
      <w:r w:rsidR="00980A4D">
        <w:t>two</w:t>
      </w:r>
      <w:r w:rsidRPr="007F5FE8">
        <w:t xml:space="preserve"> treatment arms.</w:t>
      </w:r>
    </w:p>
    <w:p w14:paraId="0E1C4CD8" w14:textId="547F4FB4" w:rsidR="009A7EE7" w:rsidRPr="001D0892" w:rsidRDefault="009A7EE7" w:rsidP="009A7EE7">
      <w:pPr>
        <w:rPr>
          <w:bCs/>
          <w:i/>
          <w:iCs/>
        </w:rPr>
      </w:pPr>
      <w:r w:rsidRPr="001D0892">
        <w:rPr>
          <w:bCs/>
          <w:i/>
          <w:iCs/>
          <w:lang w:val="de-DE"/>
        </w:rPr>
        <w:t>Speyer, J. L., Green, M. D., Zeleniuch-Jacquotte, A., Wernz, J. C., Rey, M., Sanger, J., Kramer, E., Ferrans, V., Hochster, H., &amp; Meyers, M. (1992).</w:t>
      </w:r>
      <w:r w:rsidRPr="001D0892">
        <w:rPr>
          <w:bCs/>
          <w:i/>
          <w:iCs/>
          <w:vertAlign w:val="superscript"/>
          <w:lang w:val="de-DE"/>
        </w:rPr>
        <w:t xml:space="preserve"> </w:t>
      </w:r>
      <w:r w:rsidR="00617063" w:rsidRPr="001D0892">
        <w:rPr>
          <w:bCs/>
          <w:i/>
          <w:iCs/>
          <w:vertAlign w:val="superscript"/>
        </w:rPr>
        <w:t>8</w:t>
      </w:r>
    </w:p>
    <w:p w14:paraId="12ABC9A4" w14:textId="6F6D4B65" w:rsidR="007F5FE8" w:rsidRPr="007F5FE8" w:rsidRDefault="007F5FE8" w:rsidP="002300A2">
      <w:r w:rsidRPr="00600763">
        <w:t>Speyer et al.</w:t>
      </w:r>
      <w:r w:rsidR="00321422">
        <w:rPr>
          <w:vertAlign w:val="superscript"/>
        </w:rPr>
        <w:t>8</w:t>
      </w:r>
      <w:r w:rsidR="00485761">
        <w:t xml:space="preserve"> found t</w:t>
      </w:r>
      <w:r w:rsidRPr="00600763">
        <w:t>here</w:t>
      </w:r>
      <w:r w:rsidRPr="007F5FE8">
        <w:t xml:space="preserve"> w</w:t>
      </w:r>
      <w:r w:rsidR="00485761">
        <w:t>ere</w:t>
      </w:r>
      <w:r w:rsidRPr="007F5FE8">
        <w:t xml:space="preserve"> minimal difference</w:t>
      </w:r>
      <w:r w:rsidR="00485761">
        <w:t>s</w:t>
      </w:r>
      <w:r w:rsidRPr="007F5FE8">
        <w:t xml:space="preserve"> in the non-cardiac toxicities for the </w:t>
      </w:r>
      <w:r w:rsidR="00485761">
        <w:t>two</w:t>
      </w:r>
      <w:r w:rsidRPr="007F5FE8">
        <w:t xml:space="preserve"> treatment groups</w:t>
      </w:r>
      <w:r w:rsidR="00E63637">
        <w:t xml:space="preserve">. Though </w:t>
      </w:r>
      <w:r w:rsidRPr="007F5FE8">
        <w:t>seen in small numbers</w:t>
      </w:r>
      <w:r w:rsidR="00E63637">
        <w:t>, they</w:t>
      </w:r>
      <w:r w:rsidRPr="007F5FE8">
        <w:t xml:space="preserve"> included fever, alopecia, stomatitis, nausea and vomiting.</w:t>
      </w:r>
    </w:p>
    <w:p w14:paraId="7E632F9D" w14:textId="0C14054B" w:rsidR="00E63637" w:rsidRPr="001D0892" w:rsidRDefault="00E63637" w:rsidP="00E63637">
      <w:pPr>
        <w:rPr>
          <w:bCs/>
          <w:i/>
          <w:iCs/>
        </w:rPr>
      </w:pPr>
      <w:r w:rsidRPr="001D0892">
        <w:rPr>
          <w:bCs/>
          <w:i/>
          <w:iCs/>
        </w:rPr>
        <w:t xml:space="preserve">Swain, S. M., Whaley, F. S., Gerber, M. C., Weisberg, S., York, M., Spicer, D., Jones, S. E., Wadler, S., Desai, A., Vogel, C., Speyer, J., Mittelman, A., Reddy, S., Pendergrass, K., Velez-Garcia, E., Ewer, M. S., </w:t>
      </w:r>
      <w:proofErr w:type="spellStart"/>
      <w:r w:rsidRPr="001D0892">
        <w:rPr>
          <w:bCs/>
          <w:i/>
          <w:iCs/>
        </w:rPr>
        <w:t>Bianchine</w:t>
      </w:r>
      <w:proofErr w:type="spellEnd"/>
      <w:r w:rsidRPr="001D0892">
        <w:rPr>
          <w:bCs/>
          <w:i/>
          <w:iCs/>
        </w:rPr>
        <w:t>, J. R., &amp; Gams, R. A. (1997).</w:t>
      </w:r>
      <w:r w:rsidR="00E95461" w:rsidRPr="001D0892">
        <w:rPr>
          <w:bCs/>
          <w:i/>
          <w:iCs/>
          <w:vertAlign w:val="superscript"/>
        </w:rPr>
        <w:t>9</w:t>
      </w:r>
    </w:p>
    <w:p w14:paraId="63636621" w14:textId="439F8024" w:rsidR="007F5FE8" w:rsidRPr="007F5FE8" w:rsidRDefault="007F5FE8" w:rsidP="002300A2">
      <w:r w:rsidRPr="008249C3">
        <w:t>Swain et al.</w:t>
      </w:r>
      <w:r w:rsidR="00321422">
        <w:rPr>
          <w:vertAlign w:val="superscript"/>
        </w:rPr>
        <w:t>9</w:t>
      </w:r>
      <w:r w:rsidRPr="008249C3">
        <w:t xml:space="preserve"> </w:t>
      </w:r>
      <w:r w:rsidR="00212EA2">
        <w:t>reported</w:t>
      </w:r>
      <w:r w:rsidRPr="008249C3">
        <w:t xml:space="preserve"> </w:t>
      </w:r>
      <w:r w:rsidR="008249C3">
        <w:t>t</w:t>
      </w:r>
      <w:r w:rsidRPr="008249C3">
        <w:t>here</w:t>
      </w:r>
      <w:r w:rsidRPr="007F5FE8">
        <w:t xml:space="preserve"> was more injection site pain in the placebo/dexrazoxane v</w:t>
      </w:r>
      <w:r w:rsidR="00212EA2">
        <w:t>ersus</w:t>
      </w:r>
      <w:r w:rsidRPr="007F5FE8">
        <w:t xml:space="preserve"> placebo group (13% </w:t>
      </w:r>
      <w:r w:rsidR="001A567A">
        <w:t>versus</w:t>
      </w:r>
      <w:r w:rsidRPr="007F5FE8">
        <w:t xml:space="preserve"> 0%, p=0.001) and dysphagia was reported more frequently in placebo patients (5% </w:t>
      </w:r>
      <w:r w:rsidR="001A567A">
        <w:t>versus</w:t>
      </w:r>
      <w:r w:rsidRPr="007F5FE8">
        <w:t xml:space="preserve"> 0%). There were no other significant differences reported in the AE profile.</w:t>
      </w:r>
    </w:p>
    <w:p w14:paraId="1D1BA610" w14:textId="0E9E0B49" w:rsidR="0063747B" w:rsidRPr="001D0892" w:rsidRDefault="0063747B" w:rsidP="0063747B">
      <w:pPr>
        <w:rPr>
          <w:i/>
          <w:iCs/>
          <w:lang w:val="it-IT"/>
        </w:rPr>
      </w:pPr>
      <w:r w:rsidRPr="001D0892">
        <w:rPr>
          <w:i/>
          <w:iCs/>
          <w:lang w:val="it-IT"/>
        </w:rPr>
        <w:t>Venturini, M., Michelotti, A., Del Mastro, L., Gallo, L., Carnino, F., Garrone, O., Tibaldi, C., Molea, N., Bellina, R. C., Pronzato, P., Cyrus, P., Vinke, J., Testore, F., Guelfi, M., Lionetto, R., Bruzzi, P., Conte, P. F., &amp; Rosso, R. (1996).</w:t>
      </w:r>
      <w:r w:rsidR="00E95461" w:rsidRPr="001D0892">
        <w:rPr>
          <w:i/>
          <w:iCs/>
          <w:vertAlign w:val="superscript"/>
          <w:lang w:val="it-IT"/>
        </w:rPr>
        <w:t>10</w:t>
      </w:r>
      <w:r w:rsidRPr="001D0892">
        <w:rPr>
          <w:i/>
          <w:iCs/>
          <w:lang w:val="it-IT"/>
        </w:rPr>
        <w:t xml:space="preserve"> </w:t>
      </w:r>
    </w:p>
    <w:p w14:paraId="1A1B8BD2" w14:textId="5C32772F" w:rsidR="007F5FE8" w:rsidRPr="007F5FE8" w:rsidRDefault="007F5FE8" w:rsidP="002300A2">
      <w:r w:rsidRPr="007F5FE8">
        <w:t xml:space="preserve">Haematologic parameters and biochemistry were not systematically presented. </w:t>
      </w:r>
      <w:r w:rsidR="007C1D6F">
        <w:t>O</w:t>
      </w:r>
      <w:r w:rsidRPr="007F5FE8">
        <w:t>n visual inspection there appear</w:t>
      </w:r>
      <w:r w:rsidR="007C1D6F">
        <w:t>ed</w:t>
      </w:r>
      <w:r w:rsidRPr="007F5FE8">
        <w:t xml:space="preserve"> to be no overall difference </w:t>
      </w:r>
      <w:r w:rsidR="007548C4">
        <w:t>between</w:t>
      </w:r>
      <w:r w:rsidRPr="007F5FE8">
        <w:t xml:space="preserve"> treatment groups. However, there were numerically greater clinical signs of phlebitis with dexrazoxane v</w:t>
      </w:r>
      <w:r w:rsidR="007548C4">
        <w:t>ersus the</w:t>
      </w:r>
      <w:r w:rsidRPr="007F5FE8">
        <w:t xml:space="preserve"> control</w:t>
      </w:r>
      <w:r w:rsidR="007548C4">
        <w:t xml:space="preserve"> group</w:t>
      </w:r>
      <w:r w:rsidRPr="007F5FE8">
        <w:t xml:space="preserve">, being 12.2% and 3.8%, respectively. </w:t>
      </w:r>
    </w:p>
    <w:p w14:paraId="2DCFAE83" w14:textId="22DFC7EC" w:rsidR="007F5FE8" w:rsidRPr="0057665A" w:rsidRDefault="007F5FE8" w:rsidP="0057665A">
      <w:pPr>
        <w:pStyle w:val="Heading6"/>
      </w:pPr>
      <w:r w:rsidRPr="0057665A">
        <w:t>Cochrane review</w:t>
      </w:r>
    </w:p>
    <w:p w14:paraId="1366AC69" w14:textId="23149129" w:rsidR="007F5FE8" w:rsidRPr="001D0892" w:rsidRDefault="00736AEE" w:rsidP="002300A2">
      <w:pPr>
        <w:rPr>
          <w:i/>
          <w:iCs/>
        </w:rPr>
      </w:pPr>
      <w:r w:rsidRPr="001D0892">
        <w:rPr>
          <w:i/>
          <w:iCs/>
        </w:rPr>
        <w:t xml:space="preserve">de Baat, E. C., van Dalen, E. C., Mulder, R. L., Hudson, M. M., Ehrhardt, M. J., Engels, F. K., Feijen, E. A. M., Grotenhuis, H. B., Leerink, J. M., Kapusta, L., Kaspers, G. J. L., </w:t>
      </w:r>
      <w:proofErr w:type="spellStart"/>
      <w:r w:rsidRPr="001D0892">
        <w:rPr>
          <w:i/>
          <w:iCs/>
        </w:rPr>
        <w:t>Merkx</w:t>
      </w:r>
      <w:proofErr w:type="spellEnd"/>
      <w:r w:rsidRPr="001D0892">
        <w:rPr>
          <w:i/>
          <w:iCs/>
        </w:rPr>
        <w:t xml:space="preserve">, R., Mertens, L., Skinner, R., </w:t>
      </w:r>
      <w:proofErr w:type="spellStart"/>
      <w:r w:rsidRPr="001D0892">
        <w:rPr>
          <w:i/>
          <w:iCs/>
        </w:rPr>
        <w:t>Tissing</w:t>
      </w:r>
      <w:proofErr w:type="spellEnd"/>
      <w:r w:rsidRPr="001D0892">
        <w:rPr>
          <w:i/>
          <w:iCs/>
        </w:rPr>
        <w:t xml:space="preserve">, W. J. E., de </w:t>
      </w:r>
      <w:proofErr w:type="spellStart"/>
      <w:r w:rsidRPr="001D0892">
        <w:rPr>
          <w:i/>
          <w:iCs/>
        </w:rPr>
        <w:t>Vathaire</w:t>
      </w:r>
      <w:proofErr w:type="spellEnd"/>
      <w:r w:rsidRPr="001D0892">
        <w:rPr>
          <w:i/>
          <w:iCs/>
        </w:rPr>
        <w:t xml:space="preserve">, F., Nathan, P. C., Kremer, L. C. M., </w:t>
      </w:r>
      <w:proofErr w:type="spellStart"/>
      <w:r w:rsidRPr="001D0892">
        <w:rPr>
          <w:i/>
          <w:iCs/>
        </w:rPr>
        <w:t>Mavinkurve</w:t>
      </w:r>
      <w:proofErr w:type="spellEnd"/>
      <w:r w:rsidRPr="001D0892">
        <w:rPr>
          <w:i/>
          <w:iCs/>
        </w:rPr>
        <w:t>-Groothuis, A. M. C., &amp; Armenian, S. (2022).</w:t>
      </w:r>
      <w:r w:rsidR="005C0AF5" w:rsidRPr="001D0892">
        <w:rPr>
          <w:i/>
          <w:iCs/>
          <w:vertAlign w:val="superscript"/>
        </w:rPr>
        <w:t>1</w:t>
      </w:r>
      <w:r w:rsidR="00597D81" w:rsidRPr="001D0892">
        <w:rPr>
          <w:i/>
          <w:iCs/>
          <w:vertAlign w:val="superscript"/>
        </w:rPr>
        <w:t>1</w:t>
      </w:r>
    </w:p>
    <w:p w14:paraId="64F1034C" w14:textId="77777777" w:rsidR="007F5FE8" w:rsidRPr="007F5FE8" w:rsidRDefault="007F5FE8" w:rsidP="002300A2">
      <w:r w:rsidRPr="007F5FE8">
        <w:t xml:space="preserve">In terms of haematologic effects, grade 3 or 4 thrombocytopaenia was assessed and could be extracted from 3 studies, with a total of 452 participants. There was no significant difference between treatment groups. In the adult studies, there were no significant differences in small numbers of studies with documented evidence of fever, bone marrow aplasia or febrile </w:t>
      </w:r>
      <w:proofErr w:type="spellStart"/>
      <w:r w:rsidRPr="007F5FE8">
        <w:t>neutropaenia</w:t>
      </w:r>
      <w:proofErr w:type="spellEnd"/>
      <w:r w:rsidRPr="007F5FE8">
        <w:t xml:space="preserve">. There was no difference in the adult studies of nausea, vomiting, stomatitis or diarrhoea. Similarly, there was no differences between treatment groups, where data could be extracted, in limited study numbers having liver function abnormality. </w:t>
      </w:r>
    </w:p>
    <w:p w14:paraId="0D185B92" w14:textId="77777777" w:rsidR="007F5FE8" w:rsidRPr="007F5FE8" w:rsidRDefault="007F5FE8" w:rsidP="002300A2">
      <w:r w:rsidRPr="007F5FE8">
        <w:t>The sponsor also confirmed that a search of the literature did not result in new information relating to the risk of second malignancies following dexrazoxane use in adult populations.</w:t>
      </w:r>
    </w:p>
    <w:p w14:paraId="046817FE" w14:textId="77777777" w:rsidR="00BF2FE8" w:rsidRDefault="00BF2FE8" w:rsidP="002300A2"/>
    <w:p w14:paraId="2858B006" w14:textId="77777777" w:rsidR="00C22214" w:rsidRDefault="00C22214" w:rsidP="00C22214">
      <w:pPr>
        <w:pStyle w:val="Heading3"/>
        <w:rPr>
          <w:lang w:eastAsia="en-AU"/>
        </w:rPr>
      </w:pPr>
      <w:bookmarkStart w:id="51" w:name="_Toc314842514"/>
      <w:bookmarkStart w:id="52" w:name="_Toc103679298"/>
      <w:bookmarkStart w:id="53" w:name="_Toc210912411"/>
      <w:r>
        <w:rPr>
          <w:lang w:eastAsia="en-AU"/>
        </w:rPr>
        <w:lastRenderedPageBreak/>
        <w:t>Risk management plan</w:t>
      </w:r>
      <w:bookmarkEnd w:id="51"/>
      <w:bookmarkEnd w:id="52"/>
      <w:bookmarkEnd w:id="53"/>
    </w:p>
    <w:p w14:paraId="75559238" w14:textId="670D1C93" w:rsidR="007C7667" w:rsidRPr="007C7667" w:rsidRDefault="007C7667" w:rsidP="007C7667">
      <w:pPr>
        <w:rPr>
          <w:szCs w:val="22"/>
        </w:rPr>
      </w:pPr>
      <w:bookmarkStart w:id="54" w:name="_Toc247691531"/>
      <w:bookmarkStart w:id="55" w:name="_Toc314842515"/>
      <w:r w:rsidRPr="007C7667">
        <w:rPr>
          <w:szCs w:val="22"/>
        </w:rPr>
        <w:t xml:space="preserve">Reach Pharmaceuticals Pty Ltd has submitted AU-RMP version 2.0 (dated 27 August 2024; </w:t>
      </w:r>
      <w:r w:rsidR="004706A0">
        <w:rPr>
          <w:szCs w:val="22"/>
        </w:rPr>
        <w:t>d</w:t>
      </w:r>
      <w:r w:rsidR="00BF25A0">
        <w:rPr>
          <w:szCs w:val="22"/>
        </w:rPr>
        <w:t xml:space="preserve">ata </w:t>
      </w:r>
      <w:r w:rsidR="004706A0">
        <w:rPr>
          <w:szCs w:val="22"/>
        </w:rPr>
        <w:t>l</w:t>
      </w:r>
      <w:r w:rsidR="00BF25A0">
        <w:rPr>
          <w:szCs w:val="22"/>
        </w:rPr>
        <w:t xml:space="preserve">ock </w:t>
      </w:r>
      <w:r w:rsidR="004706A0">
        <w:rPr>
          <w:szCs w:val="22"/>
        </w:rPr>
        <w:t>p</w:t>
      </w:r>
      <w:r w:rsidR="00BF25A0">
        <w:rPr>
          <w:szCs w:val="22"/>
        </w:rPr>
        <w:t xml:space="preserve">oint </w:t>
      </w:r>
      <w:r w:rsidRPr="007C7667">
        <w:rPr>
          <w:szCs w:val="22"/>
        </w:rPr>
        <w:t>20 August 2024) in support of this application.</w:t>
      </w:r>
    </w:p>
    <w:p w14:paraId="39F3CD1D" w14:textId="5F009941" w:rsidR="0072003B" w:rsidRPr="00BD5DBD" w:rsidRDefault="00C22214" w:rsidP="00C22214">
      <w:pPr>
        <w:rPr>
          <w:szCs w:val="22"/>
        </w:rPr>
      </w:pPr>
      <w:r w:rsidRPr="00BD5DBD">
        <w:rPr>
          <w:szCs w:val="22"/>
        </w:rPr>
        <w:t>The summary of safety concerns and their associated risk monitoring and mitigation strategies are summarised in</w:t>
      </w:r>
      <w:r w:rsidR="003B149C">
        <w:rPr>
          <w:szCs w:val="22"/>
        </w:rPr>
        <w:t xml:space="preserve"> </w:t>
      </w:r>
      <w:r w:rsidR="003B149C" w:rsidRPr="003B149C">
        <w:rPr>
          <w:szCs w:val="22"/>
        </w:rPr>
        <w:fldChar w:fldCharType="begin"/>
      </w:r>
      <w:r w:rsidR="003B149C" w:rsidRPr="003B149C">
        <w:rPr>
          <w:szCs w:val="22"/>
        </w:rPr>
        <w:instrText xml:space="preserve"> REF _Ref97629131 \h </w:instrText>
      </w:r>
      <w:r w:rsidR="003B149C">
        <w:rPr>
          <w:szCs w:val="22"/>
        </w:rPr>
        <w:instrText xml:space="preserve"> \* MERGEFORMAT </w:instrText>
      </w:r>
      <w:r w:rsidR="003B149C" w:rsidRPr="003B149C">
        <w:rPr>
          <w:szCs w:val="22"/>
        </w:rPr>
      </w:r>
      <w:r w:rsidR="003B149C" w:rsidRPr="003B149C">
        <w:rPr>
          <w:szCs w:val="22"/>
        </w:rPr>
        <w:fldChar w:fldCharType="separate"/>
      </w:r>
      <w:r w:rsidR="008B1CB5" w:rsidRPr="008B1CB5">
        <w:rPr>
          <w:szCs w:val="22"/>
        </w:rPr>
        <w:t xml:space="preserve">Table </w:t>
      </w:r>
      <w:r w:rsidR="008B1CB5" w:rsidRPr="008B1CB5">
        <w:rPr>
          <w:noProof/>
          <w:szCs w:val="22"/>
        </w:rPr>
        <w:t>3</w:t>
      </w:r>
      <w:r w:rsidR="003B149C" w:rsidRPr="003B149C">
        <w:rPr>
          <w:szCs w:val="22"/>
        </w:rPr>
        <w:fldChar w:fldCharType="end"/>
      </w:r>
      <w:r w:rsidR="008C49C6" w:rsidRPr="003B149C">
        <w:rPr>
          <w:szCs w:val="22"/>
        </w:rPr>
        <w:t>.</w:t>
      </w:r>
      <w:r w:rsidR="0072003B" w:rsidRPr="00BD5DBD">
        <w:rPr>
          <w:szCs w:val="22"/>
        </w:rPr>
        <w:t xml:space="preserve"> The TGA</w:t>
      </w:r>
      <w:r w:rsidR="00C07551" w:rsidRPr="00BD5DBD">
        <w:rPr>
          <w:szCs w:val="22"/>
        </w:rPr>
        <w:t xml:space="preserve"> may</w:t>
      </w:r>
      <w:r w:rsidR="0072003B" w:rsidRPr="00BD5DBD">
        <w:rPr>
          <w:szCs w:val="22"/>
        </w:rPr>
        <w:t xml:space="preserve"> request an updated RMP at any stage of a product's lif</w:t>
      </w:r>
      <w:r w:rsidR="004D0BBD">
        <w:rPr>
          <w:szCs w:val="22"/>
        </w:rPr>
        <w:t xml:space="preserve">e </w:t>
      </w:r>
      <w:r w:rsidR="0072003B" w:rsidRPr="00BD5DBD">
        <w:rPr>
          <w:szCs w:val="22"/>
        </w:rPr>
        <w:t>cycle, during both the pre-approval and post-approval phases.</w:t>
      </w:r>
    </w:p>
    <w:p w14:paraId="56B51A93" w14:textId="5FD9FE46" w:rsidR="006A277A" w:rsidRDefault="00C22214" w:rsidP="00C22214">
      <w:pPr>
        <w:pStyle w:val="TableTitle"/>
      </w:pPr>
      <w:bookmarkStart w:id="56" w:name="_Ref97629131"/>
      <w:r>
        <w:t xml:space="preserve">Table </w:t>
      </w:r>
      <w:r w:rsidR="008B1CB5">
        <w:fldChar w:fldCharType="begin"/>
      </w:r>
      <w:r w:rsidR="008B1CB5">
        <w:instrText xml:space="preserve"> SEQ Table \* ARABIC </w:instrText>
      </w:r>
      <w:r w:rsidR="008B1CB5">
        <w:fldChar w:fldCharType="separate"/>
      </w:r>
      <w:r w:rsidR="008B1CB5">
        <w:rPr>
          <w:noProof/>
        </w:rPr>
        <w:t>3</w:t>
      </w:r>
      <w:r w:rsidR="008B1CB5">
        <w:rPr>
          <w:noProof/>
        </w:rPr>
        <w:fldChar w:fldCharType="end"/>
      </w:r>
      <w:bookmarkEnd w:id="56"/>
      <w:r>
        <w:t>: Summary of safety concerns</w:t>
      </w:r>
    </w:p>
    <w:tbl>
      <w:tblPr>
        <w:tblStyle w:val="TableTGAblue2023"/>
        <w:tblW w:w="9634" w:type="dxa"/>
        <w:tblLayout w:type="fixed"/>
        <w:tblLook w:val="04A0" w:firstRow="1" w:lastRow="0" w:firstColumn="1" w:lastColumn="0" w:noHBand="0" w:noVBand="1"/>
      </w:tblPr>
      <w:tblGrid>
        <w:gridCol w:w="1327"/>
        <w:gridCol w:w="3771"/>
        <w:gridCol w:w="1134"/>
        <w:gridCol w:w="1134"/>
        <w:gridCol w:w="1134"/>
        <w:gridCol w:w="1134"/>
      </w:tblGrid>
      <w:tr w:rsidR="003D3351" w:rsidRPr="001D0892" w14:paraId="02A84494" w14:textId="77777777" w:rsidTr="001D0892">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098" w:type="dxa"/>
            <w:gridSpan w:val="2"/>
            <w:vMerge w:val="restart"/>
          </w:tcPr>
          <w:p w14:paraId="23889E7A" w14:textId="77777777" w:rsidR="003D3351" w:rsidRPr="001D0892" w:rsidRDefault="003D3351" w:rsidP="003D3351">
            <w:pPr>
              <w:spacing w:before="20" w:after="20" w:line="252" w:lineRule="auto"/>
              <w:ind w:left="0"/>
              <w:rPr>
                <w:snapToGrid w:val="0"/>
                <w:color w:val="auto"/>
                <w:sz w:val="20"/>
                <w:szCs w:val="20"/>
              </w:rPr>
            </w:pPr>
            <w:r w:rsidRPr="001D0892">
              <w:rPr>
                <w:snapToGrid w:val="0"/>
                <w:color w:val="auto"/>
                <w:sz w:val="20"/>
                <w:szCs w:val="20"/>
              </w:rPr>
              <w:t>Summary of safety concerns</w:t>
            </w:r>
          </w:p>
        </w:tc>
        <w:tc>
          <w:tcPr>
            <w:tcW w:w="2268" w:type="dxa"/>
            <w:gridSpan w:val="2"/>
          </w:tcPr>
          <w:p w14:paraId="4B347CD8" w14:textId="77777777" w:rsidR="003D3351" w:rsidRPr="001D0892" w:rsidRDefault="003D3351" w:rsidP="003D3351">
            <w:pPr>
              <w:spacing w:before="20" w:after="20" w:line="252" w:lineRule="auto"/>
              <w:ind w:left="0"/>
              <w:cnfStyle w:val="100000000000" w:firstRow="1"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Pharmacovigilance</w:t>
            </w:r>
          </w:p>
        </w:tc>
        <w:tc>
          <w:tcPr>
            <w:tcW w:w="2268" w:type="dxa"/>
            <w:gridSpan w:val="2"/>
          </w:tcPr>
          <w:p w14:paraId="37A65218" w14:textId="77777777" w:rsidR="003D3351" w:rsidRPr="001D0892" w:rsidRDefault="003D3351" w:rsidP="003D3351">
            <w:pPr>
              <w:spacing w:before="20" w:after="20" w:line="252" w:lineRule="auto"/>
              <w:ind w:left="0"/>
              <w:cnfStyle w:val="100000000000" w:firstRow="1"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Risk Minimisation</w:t>
            </w:r>
          </w:p>
        </w:tc>
      </w:tr>
      <w:tr w:rsidR="003D3351" w:rsidRPr="001D0892" w14:paraId="2D4E7444" w14:textId="77777777" w:rsidTr="001D0892">
        <w:trPr>
          <w:trHeight w:val="150"/>
        </w:trPr>
        <w:tc>
          <w:tcPr>
            <w:cnfStyle w:val="001000000000" w:firstRow="0" w:lastRow="0" w:firstColumn="1" w:lastColumn="0" w:oddVBand="0" w:evenVBand="0" w:oddHBand="0" w:evenHBand="0" w:firstRowFirstColumn="0" w:firstRowLastColumn="0" w:lastRowFirstColumn="0" w:lastRowLastColumn="0"/>
            <w:tcW w:w="5098" w:type="dxa"/>
            <w:gridSpan w:val="2"/>
            <w:vMerge/>
          </w:tcPr>
          <w:p w14:paraId="0C5B9DC9" w14:textId="77777777" w:rsidR="003D3351" w:rsidRPr="001D0892" w:rsidRDefault="003D3351" w:rsidP="003D3351">
            <w:pPr>
              <w:spacing w:before="20" w:after="20" w:line="252" w:lineRule="auto"/>
              <w:ind w:left="0"/>
              <w:rPr>
                <w:b/>
                <w:snapToGrid w:val="0"/>
                <w:color w:val="auto"/>
                <w:sz w:val="20"/>
                <w:szCs w:val="20"/>
              </w:rPr>
            </w:pPr>
          </w:p>
        </w:tc>
        <w:tc>
          <w:tcPr>
            <w:tcW w:w="1134" w:type="dxa"/>
          </w:tcPr>
          <w:p w14:paraId="31C0EE75" w14:textId="77777777" w:rsidR="003D3351" w:rsidRPr="001D0892" w:rsidRDefault="003D3351" w:rsidP="003D3351">
            <w:pPr>
              <w:spacing w:before="20" w:after="20" w:line="252" w:lineRule="auto"/>
              <w:ind w:left="0"/>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Routine</w:t>
            </w:r>
          </w:p>
        </w:tc>
        <w:tc>
          <w:tcPr>
            <w:tcW w:w="1134" w:type="dxa"/>
          </w:tcPr>
          <w:p w14:paraId="5188BF15" w14:textId="77777777" w:rsidR="003D3351" w:rsidRPr="001D0892" w:rsidRDefault="003D3351" w:rsidP="003D3351">
            <w:pPr>
              <w:spacing w:before="20" w:after="20" w:line="252" w:lineRule="auto"/>
              <w:ind w:left="0"/>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Additional</w:t>
            </w:r>
          </w:p>
        </w:tc>
        <w:tc>
          <w:tcPr>
            <w:tcW w:w="1134" w:type="dxa"/>
          </w:tcPr>
          <w:p w14:paraId="06176941" w14:textId="77777777" w:rsidR="003D3351" w:rsidRPr="001D0892" w:rsidRDefault="003D3351" w:rsidP="003D3351">
            <w:pPr>
              <w:spacing w:before="20" w:after="20" w:line="252" w:lineRule="auto"/>
              <w:ind w:left="0"/>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Routine</w:t>
            </w:r>
          </w:p>
        </w:tc>
        <w:tc>
          <w:tcPr>
            <w:tcW w:w="1134" w:type="dxa"/>
          </w:tcPr>
          <w:p w14:paraId="4B2D8B86" w14:textId="77777777" w:rsidR="003D3351" w:rsidRPr="001D0892" w:rsidRDefault="003D3351" w:rsidP="003D3351">
            <w:pPr>
              <w:spacing w:before="20" w:after="20" w:line="252" w:lineRule="auto"/>
              <w:ind w:left="0"/>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Additional</w:t>
            </w:r>
          </w:p>
        </w:tc>
      </w:tr>
      <w:tr w:rsidR="003D3351" w:rsidRPr="001D0892" w14:paraId="382DFF65" w14:textId="77777777" w:rsidTr="001D0892">
        <w:trPr>
          <w:trHeight w:val="137"/>
        </w:trPr>
        <w:tc>
          <w:tcPr>
            <w:cnfStyle w:val="001000000000" w:firstRow="0" w:lastRow="0" w:firstColumn="1" w:lastColumn="0" w:oddVBand="0" w:evenVBand="0" w:oddHBand="0" w:evenHBand="0" w:firstRowFirstColumn="0" w:firstRowLastColumn="0" w:lastRowFirstColumn="0" w:lastRowLastColumn="0"/>
            <w:tcW w:w="1327" w:type="dxa"/>
            <w:vMerge w:val="restart"/>
          </w:tcPr>
          <w:p w14:paraId="35CF0D5A" w14:textId="77777777" w:rsidR="003D3351" w:rsidRPr="001D0892" w:rsidRDefault="003D3351" w:rsidP="003D3351">
            <w:pPr>
              <w:spacing w:before="20" w:after="20" w:line="252" w:lineRule="auto"/>
              <w:ind w:left="0"/>
              <w:rPr>
                <w:b/>
                <w:snapToGrid w:val="0"/>
                <w:color w:val="auto"/>
                <w:sz w:val="20"/>
                <w:szCs w:val="20"/>
              </w:rPr>
            </w:pPr>
            <w:r w:rsidRPr="001D0892">
              <w:rPr>
                <w:b/>
                <w:snapToGrid w:val="0"/>
                <w:color w:val="auto"/>
                <w:sz w:val="20"/>
                <w:szCs w:val="20"/>
              </w:rPr>
              <w:t>Important identified risks</w:t>
            </w:r>
          </w:p>
        </w:tc>
        <w:tc>
          <w:tcPr>
            <w:tcW w:w="3771" w:type="dxa"/>
          </w:tcPr>
          <w:p w14:paraId="633FF575" w14:textId="77777777" w:rsidR="003D3351" w:rsidRPr="001D0892" w:rsidRDefault="003D3351" w:rsidP="003D3351">
            <w:pPr>
              <w:spacing w:before="20" w:after="20" w:line="252" w:lineRule="auto"/>
              <w:ind w:left="0"/>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Myelosuppression</w:t>
            </w:r>
          </w:p>
        </w:tc>
        <w:tc>
          <w:tcPr>
            <w:tcW w:w="1134" w:type="dxa"/>
          </w:tcPr>
          <w:p w14:paraId="27B87973"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sym w:font="Wingdings" w:char="F0FC"/>
            </w:r>
          </w:p>
        </w:tc>
        <w:tc>
          <w:tcPr>
            <w:tcW w:w="1134" w:type="dxa"/>
          </w:tcPr>
          <w:p w14:paraId="6B17F27D"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c>
          <w:tcPr>
            <w:tcW w:w="1134" w:type="dxa"/>
          </w:tcPr>
          <w:p w14:paraId="10BE8AB7"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sym w:font="Wingdings" w:char="F0FC"/>
            </w:r>
          </w:p>
        </w:tc>
        <w:tc>
          <w:tcPr>
            <w:tcW w:w="1134" w:type="dxa"/>
          </w:tcPr>
          <w:p w14:paraId="78DC5822"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r>
      <w:tr w:rsidR="003D3351" w:rsidRPr="001D0892" w14:paraId="06437C2E" w14:textId="77777777" w:rsidTr="001D0892">
        <w:trPr>
          <w:trHeight w:val="94"/>
        </w:trPr>
        <w:tc>
          <w:tcPr>
            <w:cnfStyle w:val="001000000000" w:firstRow="0" w:lastRow="0" w:firstColumn="1" w:lastColumn="0" w:oddVBand="0" w:evenVBand="0" w:oddHBand="0" w:evenHBand="0" w:firstRowFirstColumn="0" w:firstRowLastColumn="0" w:lastRowFirstColumn="0" w:lastRowLastColumn="0"/>
            <w:tcW w:w="1327" w:type="dxa"/>
            <w:vMerge/>
          </w:tcPr>
          <w:p w14:paraId="57ABA706" w14:textId="77777777" w:rsidR="003D3351" w:rsidRPr="001D0892" w:rsidRDefault="003D3351" w:rsidP="003D3351">
            <w:pPr>
              <w:spacing w:before="20" w:after="20" w:line="252" w:lineRule="auto"/>
              <w:ind w:left="0"/>
              <w:rPr>
                <w:b/>
                <w:snapToGrid w:val="0"/>
                <w:color w:val="auto"/>
                <w:sz w:val="20"/>
                <w:szCs w:val="20"/>
              </w:rPr>
            </w:pPr>
          </w:p>
        </w:tc>
        <w:tc>
          <w:tcPr>
            <w:tcW w:w="3771" w:type="dxa"/>
          </w:tcPr>
          <w:p w14:paraId="6F336925" w14:textId="77777777" w:rsidR="003D3351" w:rsidRPr="001D0892" w:rsidRDefault="003D3351" w:rsidP="003D3351">
            <w:pPr>
              <w:spacing w:before="20" w:after="20" w:line="252" w:lineRule="auto"/>
              <w:ind w:left="0"/>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Secondary malignant neoplasm (SMN)</w:t>
            </w:r>
          </w:p>
        </w:tc>
        <w:tc>
          <w:tcPr>
            <w:tcW w:w="1134" w:type="dxa"/>
          </w:tcPr>
          <w:p w14:paraId="225593B9"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sym w:font="Wingdings" w:char="F0FC"/>
            </w:r>
          </w:p>
        </w:tc>
        <w:tc>
          <w:tcPr>
            <w:tcW w:w="1134" w:type="dxa"/>
          </w:tcPr>
          <w:p w14:paraId="4810ED9C"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c>
          <w:tcPr>
            <w:tcW w:w="1134" w:type="dxa"/>
          </w:tcPr>
          <w:p w14:paraId="4C784580"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sym w:font="Wingdings" w:char="F0FC"/>
            </w:r>
          </w:p>
        </w:tc>
        <w:tc>
          <w:tcPr>
            <w:tcW w:w="1134" w:type="dxa"/>
          </w:tcPr>
          <w:p w14:paraId="3D0F1272"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r>
      <w:tr w:rsidR="003D3351" w:rsidRPr="001D0892" w14:paraId="28C786BE" w14:textId="77777777" w:rsidTr="001D0892">
        <w:trPr>
          <w:trHeight w:val="159"/>
        </w:trPr>
        <w:tc>
          <w:tcPr>
            <w:cnfStyle w:val="001000000000" w:firstRow="0" w:lastRow="0" w:firstColumn="1" w:lastColumn="0" w:oddVBand="0" w:evenVBand="0" w:oddHBand="0" w:evenHBand="0" w:firstRowFirstColumn="0" w:firstRowLastColumn="0" w:lastRowFirstColumn="0" w:lastRowLastColumn="0"/>
            <w:tcW w:w="1327" w:type="dxa"/>
            <w:vMerge w:val="restart"/>
          </w:tcPr>
          <w:p w14:paraId="65FF9F3D" w14:textId="77777777" w:rsidR="003D3351" w:rsidRPr="001D0892" w:rsidRDefault="003D3351" w:rsidP="003D3351">
            <w:pPr>
              <w:spacing w:before="20" w:after="20" w:line="252" w:lineRule="auto"/>
              <w:ind w:left="0"/>
              <w:rPr>
                <w:b/>
                <w:snapToGrid w:val="0"/>
                <w:color w:val="auto"/>
                <w:sz w:val="20"/>
                <w:szCs w:val="20"/>
              </w:rPr>
            </w:pPr>
            <w:r w:rsidRPr="001D0892">
              <w:rPr>
                <w:b/>
                <w:snapToGrid w:val="0"/>
                <w:color w:val="auto"/>
                <w:sz w:val="20"/>
                <w:szCs w:val="20"/>
              </w:rPr>
              <w:t>Important potential risks</w:t>
            </w:r>
          </w:p>
        </w:tc>
        <w:tc>
          <w:tcPr>
            <w:tcW w:w="3771" w:type="dxa"/>
          </w:tcPr>
          <w:p w14:paraId="1A8CDFA6" w14:textId="77777777" w:rsidR="003D3351" w:rsidRPr="001D0892" w:rsidRDefault="003D3351" w:rsidP="003D3351">
            <w:pPr>
              <w:spacing w:before="20" w:after="20" w:line="252" w:lineRule="auto"/>
              <w:ind w:left="0"/>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Serious infections</w:t>
            </w:r>
          </w:p>
        </w:tc>
        <w:tc>
          <w:tcPr>
            <w:tcW w:w="1134" w:type="dxa"/>
          </w:tcPr>
          <w:p w14:paraId="296C99C7"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sym w:font="Wingdings" w:char="F0FC"/>
            </w:r>
          </w:p>
        </w:tc>
        <w:tc>
          <w:tcPr>
            <w:tcW w:w="1134" w:type="dxa"/>
          </w:tcPr>
          <w:p w14:paraId="46544328"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c>
          <w:tcPr>
            <w:tcW w:w="1134" w:type="dxa"/>
          </w:tcPr>
          <w:p w14:paraId="29A12389"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sym w:font="Wingdings" w:char="F0FC"/>
            </w:r>
          </w:p>
        </w:tc>
        <w:tc>
          <w:tcPr>
            <w:tcW w:w="1134" w:type="dxa"/>
          </w:tcPr>
          <w:p w14:paraId="25DCF59E"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r>
      <w:tr w:rsidR="003D3351" w:rsidRPr="001D0892" w14:paraId="4B9FAAF3" w14:textId="77777777" w:rsidTr="001D0892">
        <w:trPr>
          <w:trHeight w:val="122"/>
        </w:trPr>
        <w:tc>
          <w:tcPr>
            <w:cnfStyle w:val="001000000000" w:firstRow="0" w:lastRow="0" w:firstColumn="1" w:lastColumn="0" w:oddVBand="0" w:evenVBand="0" w:oddHBand="0" w:evenHBand="0" w:firstRowFirstColumn="0" w:firstRowLastColumn="0" w:lastRowFirstColumn="0" w:lastRowLastColumn="0"/>
            <w:tcW w:w="1327" w:type="dxa"/>
            <w:vMerge/>
          </w:tcPr>
          <w:p w14:paraId="0988E06C" w14:textId="77777777" w:rsidR="003D3351" w:rsidRPr="001D0892" w:rsidRDefault="003D3351" w:rsidP="003D3351">
            <w:pPr>
              <w:spacing w:before="20" w:after="20" w:line="252" w:lineRule="auto"/>
              <w:ind w:left="0"/>
              <w:rPr>
                <w:b/>
                <w:snapToGrid w:val="0"/>
                <w:color w:val="auto"/>
                <w:sz w:val="20"/>
                <w:szCs w:val="20"/>
              </w:rPr>
            </w:pPr>
          </w:p>
        </w:tc>
        <w:tc>
          <w:tcPr>
            <w:tcW w:w="3771" w:type="dxa"/>
          </w:tcPr>
          <w:p w14:paraId="631647F4" w14:textId="77777777" w:rsidR="003D3351" w:rsidRPr="001D0892" w:rsidRDefault="003D3351" w:rsidP="003D3351">
            <w:pPr>
              <w:spacing w:before="20" w:after="20" w:line="252" w:lineRule="auto"/>
              <w:ind w:left="0"/>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Early death</w:t>
            </w:r>
          </w:p>
        </w:tc>
        <w:tc>
          <w:tcPr>
            <w:tcW w:w="1134" w:type="dxa"/>
          </w:tcPr>
          <w:p w14:paraId="68D348BC"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sym w:font="Wingdings" w:char="F0FC"/>
            </w:r>
          </w:p>
        </w:tc>
        <w:tc>
          <w:tcPr>
            <w:tcW w:w="1134" w:type="dxa"/>
          </w:tcPr>
          <w:p w14:paraId="0C9A401F"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c>
          <w:tcPr>
            <w:tcW w:w="1134" w:type="dxa"/>
          </w:tcPr>
          <w:p w14:paraId="149AA75A"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sym w:font="Wingdings" w:char="F0FC"/>
            </w:r>
          </w:p>
        </w:tc>
        <w:tc>
          <w:tcPr>
            <w:tcW w:w="1134" w:type="dxa"/>
          </w:tcPr>
          <w:p w14:paraId="0C12E31E"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r>
      <w:tr w:rsidR="003D3351" w:rsidRPr="001D0892" w14:paraId="0B96F8AC" w14:textId="77777777" w:rsidTr="001D0892">
        <w:trPr>
          <w:trHeight w:val="178"/>
        </w:trPr>
        <w:tc>
          <w:tcPr>
            <w:cnfStyle w:val="001000000000" w:firstRow="0" w:lastRow="0" w:firstColumn="1" w:lastColumn="0" w:oddVBand="0" w:evenVBand="0" w:oddHBand="0" w:evenHBand="0" w:firstRowFirstColumn="0" w:firstRowLastColumn="0" w:lastRowFirstColumn="0" w:lastRowLastColumn="0"/>
            <w:tcW w:w="1327" w:type="dxa"/>
          </w:tcPr>
          <w:p w14:paraId="476DF6D5" w14:textId="77777777" w:rsidR="003D3351" w:rsidRPr="001D0892" w:rsidRDefault="003D3351" w:rsidP="003D3351">
            <w:pPr>
              <w:spacing w:before="20" w:after="20" w:line="252" w:lineRule="auto"/>
              <w:ind w:left="0"/>
              <w:rPr>
                <w:b/>
                <w:snapToGrid w:val="0"/>
                <w:color w:val="auto"/>
                <w:sz w:val="20"/>
                <w:szCs w:val="20"/>
              </w:rPr>
            </w:pPr>
            <w:r w:rsidRPr="001D0892">
              <w:rPr>
                <w:b/>
                <w:snapToGrid w:val="0"/>
                <w:color w:val="auto"/>
                <w:sz w:val="20"/>
                <w:szCs w:val="20"/>
              </w:rPr>
              <w:t>Missing information</w:t>
            </w:r>
          </w:p>
        </w:tc>
        <w:tc>
          <w:tcPr>
            <w:tcW w:w="3771" w:type="dxa"/>
          </w:tcPr>
          <w:p w14:paraId="60A318F3" w14:textId="77777777" w:rsidR="003D3351" w:rsidRPr="001D0892" w:rsidRDefault="003D3351" w:rsidP="003D3351">
            <w:pPr>
              <w:spacing w:before="20" w:after="20" w:line="252" w:lineRule="auto"/>
              <w:ind w:left="0"/>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None</w:t>
            </w:r>
          </w:p>
        </w:tc>
        <w:tc>
          <w:tcPr>
            <w:tcW w:w="1134" w:type="dxa"/>
          </w:tcPr>
          <w:p w14:paraId="6C011EBB"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c>
          <w:tcPr>
            <w:tcW w:w="1134" w:type="dxa"/>
          </w:tcPr>
          <w:p w14:paraId="0204E0D3"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c>
          <w:tcPr>
            <w:tcW w:w="1134" w:type="dxa"/>
          </w:tcPr>
          <w:p w14:paraId="1031BFEB"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c>
          <w:tcPr>
            <w:tcW w:w="1134" w:type="dxa"/>
          </w:tcPr>
          <w:p w14:paraId="5F9C55DD" w14:textId="77777777" w:rsidR="003D3351" w:rsidRPr="001D0892" w:rsidRDefault="003D3351" w:rsidP="003D3351">
            <w:pPr>
              <w:spacing w:before="20" w:after="20" w:line="252" w:lineRule="auto"/>
              <w:ind w:left="0"/>
              <w:jc w:val="center"/>
              <w:cnfStyle w:val="000000000000" w:firstRow="0" w:lastRow="0" w:firstColumn="0" w:lastColumn="0" w:oddVBand="0" w:evenVBand="0" w:oddHBand="0" w:evenHBand="0" w:firstRowFirstColumn="0" w:firstRowLastColumn="0" w:lastRowFirstColumn="0" w:lastRowLastColumn="0"/>
              <w:rPr>
                <w:snapToGrid w:val="0"/>
                <w:color w:val="auto"/>
                <w:sz w:val="20"/>
                <w:szCs w:val="20"/>
              </w:rPr>
            </w:pPr>
            <w:r w:rsidRPr="001D0892">
              <w:rPr>
                <w:snapToGrid w:val="0"/>
                <w:color w:val="auto"/>
                <w:sz w:val="20"/>
                <w:szCs w:val="20"/>
              </w:rPr>
              <w:t>–</w:t>
            </w:r>
          </w:p>
        </w:tc>
      </w:tr>
    </w:tbl>
    <w:p w14:paraId="2F6C4F94" w14:textId="77777777" w:rsidR="001D0892" w:rsidRDefault="001D0892" w:rsidP="001D0892"/>
    <w:p w14:paraId="5E98C5DC" w14:textId="13E0BAD6" w:rsidR="00C869B9" w:rsidRPr="00C869B9" w:rsidRDefault="00C869B9" w:rsidP="001D0892">
      <w:r w:rsidRPr="00C869B9">
        <w:t>The summary of safety concerns is consistent with the warnings and precautions in the PI and is satisfactory from an RMP perspective.</w:t>
      </w:r>
    </w:p>
    <w:p w14:paraId="25EB653D" w14:textId="77777777" w:rsidR="00C869B9" w:rsidRPr="00C869B9" w:rsidRDefault="00C869B9" w:rsidP="00C869B9">
      <w:r w:rsidRPr="00C869B9">
        <w:t xml:space="preserve">Routine pharmacovigilance activities only are proposed which is acceptable for a Literature Based Submission. </w:t>
      </w:r>
    </w:p>
    <w:p w14:paraId="52978EA1" w14:textId="77777777" w:rsidR="00C869B9" w:rsidRPr="00C869B9" w:rsidRDefault="00C869B9" w:rsidP="00C869B9">
      <w:r w:rsidRPr="00C869B9">
        <w:t xml:space="preserve">Routine risk minimisation activities only are proposed. As dexrazoxane will be administered by HCPs in specialised settings this is adequate to address the safety concerns. </w:t>
      </w:r>
    </w:p>
    <w:p w14:paraId="456C7934" w14:textId="2279B0A4" w:rsidR="00FA1BC9" w:rsidRDefault="00032A0F" w:rsidP="002A0859">
      <w:pPr>
        <w:rPr>
          <w:szCs w:val="22"/>
        </w:rPr>
      </w:pPr>
      <w:r>
        <w:t>The RMP evaluation recommended conditions of registration relating to the versions of the risk management plan, requirement for periodic safety update reports, and inclusion of the medicine in the Black Triangle Scheme.</w:t>
      </w:r>
      <w:r w:rsidRPr="00663544">
        <w:rPr>
          <w:rFonts w:eastAsia="Cambria" w:cs="Times New Roman"/>
          <w:i/>
          <w:color w:val="007099"/>
          <w:szCs w:val="22"/>
        </w:rPr>
        <w:t xml:space="preserve"> </w:t>
      </w:r>
      <w:bookmarkStart w:id="57" w:name="_Toc103679299"/>
    </w:p>
    <w:p w14:paraId="74A4F87F" w14:textId="77777777" w:rsidR="00C22214" w:rsidRDefault="00C22214" w:rsidP="00C22214">
      <w:pPr>
        <w:pStyle w:val="Heading3"/>
      </w:pPr>
      <w:bookmarkStart w:id="58" w:name="_Toc210912412"/>
      <w:r>
        <w:t>Risk-benefit analysis</w:t>
      </w:r>
      <w:bookmarkEnd w:id="54"/>
      <w:bookmarkEnd w:id="55"/>
      <w:bookmarkEnd w:id="57"/>
      <w:bookmarkEnd w:id="58"/>
    </w:p>
    <w:p w14:paraId="77DE2655" w14:textId="24C892C6" w:rsidR="00C22214" w:rsidRDefault="00E72C26" w:rsidP="00C22214">
      <w:pPr>
        <w:pStyle w:val="Heading4"/>
      </w:pPr>
      <w:bookmarkStart w:id="59" w:name="_Toc98931932"/>
      <w:bookmarkStart w:id="60" w:name="_Toc210912413"/>
      <w:r>
        <w:t>D</w:t>
      </w:r>
      <w:r w:rsidR="00C22214">
        <w:t>elegate’s considerations</w:t>
      </w:r>
      <w:bookmarkEnd w:id="59"/>
      <w:bookmarkEnd w:id="60"/>
    </w:p>
    <w:p w14:paraId="5C5C7EF8" w14:textId="7F2DD262" w:rsidR="00E72C26" w:rsidRPr="00E72C26" w:rsidRDefault="00E72C26" w:rsidP="00D00AC9">
      <w:pPr>
        <w:pStyle w:val="Heading6"/>
      </w:pPr>
      <w:r w:rsidRPr="00E72C26">
        <w:t>Quality</w:t>
      </w:r>
    </w:p>
    <w:p w14:paraId="637FDFCF" w14:textId="5801F62D" w:rsidR="00E72C26" w:rsidRPr="00E72C26" w:rsidRDefault="00720E84" w:rsidP="00E72C26">
      <w:r>
        <w:t xml:space="preserve">The </w:t>
      </w:r>
      <w:r w:rsidR="00E72C26" w:rsidRPr="00E72C26">
        <w:t xml:space="preserve">Module 3 evaluator has recommended approval from a quality perspective with no outstanding issues. </w:t>
      </w:r>
    </w:p>
    <w:p w14:paraId="3BBA01BC" w14:textId="1BED032C" w:rsidR="00E72C26" w:rsidRPr="00E72C26" w:rsidRDefault="00E72C26" w:rsidP="00D00AC9">
      <w:pPr>
        <w:pStyle w:val="Heading6"/>
      </w:pPr>
      <w:r w:rsidRPr="00E72C26">
        <w:t>Efficacy</w:t>
      </w:r>
    </w:p>
    <w:p w14:paraId="69E15499" w14:textId="24E1BEA9" w:rsidR="00E72C26" w:rsidRPr="00E72C26" w:rsidRDefault="00E72C26" w:rsidP="001B6CD1">
      <w:r w:rsidRPr="00E72C26">
        <w:t xml:space="preserve">The current submission is a Literature-Based Submission based on the availability of dexrazoxane products on global markets for over 15 years. No new clinical studies have been completed by the </w:t>
      </w:r>
      <w:r w:rsidR="00F615D3">
        <w:t>s</w:t>
      </w:r>
      <w:r w:rsidRPr="00E72C26">
        <w:t>ponsor. The literature-based survey conducted by the sponsor was appropriate for the proposed indication.</w:t>
      </w:r>
    </w:p>
    <w:p w14:paraId="0477607B" w14:textId="77777777" w:rsidR="00E72C26" w:rsidRPr="00E72C26" w:rsidRDefault="00E72C26" w:rsidP="001B6CD1">
      <w:r w:rsidRPr="00E72C26">
        <w:t xml:space="preserve">The mechanism of action of dexrazoxane is believed to be related to chelation of metal ions, resulting in a reduction in iron-dependent free-radical oxidative stress on cardiac muscle. </w:t>
      </w:r>
    </w:p>
    <w:p w14:paraId="72BCFB90" w14:textId="5509800F" w:rsidR="00E72C26" w:rsidRPr="00E72C26" w:rsidRDefault="00E72C26" w:rsidP="001B6CD1">
      <w:r w:rsidRPr="00E72C26">
        <w:lastRenderedPageBreak/>
        <w:t>Several pertinent reports were provided, including those that utilised 10:1 or 20:1 dexrazoxane:</w:t>
      </w:r>
      <w:r w:rsidR="00253A21">
        <w:t xml:space="preserve"> </w:t>
      </w:r>
      <w:r w:rsidRPr="00E72C26">
        <w:t>doxorubicin ratios. These reports relate to controlled and uncontrolled phase 3 and phase 2 studies that were conducted on patients with advanced breast cancer who were receiving doxorubicin-containing regimens.</w:t>
      </w:r>
    </w:p>
    <w:p w14:paraId="570BBBF2" w14:textId="38D7BF8E" w:rsidR="00E72C26" w:rsidRPr="00E72C26" w:rsidRDefault="00E72C26" w:rsidP="001B6CD1">
      <w:r w:rsidRPr="00E72C26">
        <w:t>In a multicentre phase 3 study of dexrazoxane use in 164 breast cancer patients treated with anthracyclines with or without dexrazoxane for a maximum of 6 cycles</w:t>
      </w:r>
      <w:r w:rsidR="00F76FC9">
        <w:rPr>
          <w:vertAlign w:val="superscript"/>
        </w:rPr>
        <w:t>5</w:t>
      </w:r>
      <w:r w:rsidRPr="00E72C26">
        <w:t>, there were significantly fewer cardiac events in the dexrazoxane v</w:t>
      </w:r>
      <w:r w:rsidR="003D115E">
        <w:t>ersus</w:t>
      </w:r>
      <w:r w:rsidRPr="00E72C26">
        <w:t xml:space="preserve"> control group (p&lt;0.001). This was observed in 13% of patients who received dexrazoxane compared to 39% who did not receive dexrazoxane. Furthermore, the dexrazoxane-containing group had a lower incidence of CCF than the non-dexrazoxane-containing group. </w:t>
      </w:r>
    </w:p>
    <w:p w14:paraId="78361DD5" w14:textId="304D9061" w:rsidR="00E72C26" w:rsidRPr="00E72C26" w:rsidRDefault="00E72C26" w:rsidP="001B6CD1">
      <w:r w:rsidRPr="00E72C26">
        <w:t>These results were reiterated in additional studies</w:t>
      </w:r>
      <w:r w:rsidR="00645865" w:rsidRPr="00645865">
        <w:rPr>
          <w:vertAlign w:val="superscript"/>
        </w:rPr>
        <w:t>6,7</w:t>
      </w:r>
      <w:r w:rsidR="003D115E">
        <w:rPr>
          <w:vertAlign w:val="superscript"/>
        </w:rPr>
        <w:t>,8</w:t>
      </w:r>
      <w:r w:rsidRPr="00E72C26">
        <w:t xml:space="preserve"> that involved 74 and 76 patients, respectively, who received combination chemotherapy for advanced breast cancer with fluorouracil, doxorubicin, and cyclophosphamide (FDC) or FDC plus dexrazoxane. Swain et al.</w:t>
      </w:r>
      <w:r w:rsidR="00CC1BB2" w:rsidRPr="00CC1BB2">
        <w:rPr>
          <w:vertAlign w:val="superscript"/>
        </w:rPr>
        <w:t>9</w:t>
      </w:r>
      <w:r w:rsidRPr="00E72C26">
        <w:t xml:space="preserve"> also discovered that dexrazoxane was cardio</w:t>
      </w:r>
      <w:r w:rsidR="00FA24DC">
        <w:t>-</w:t>
      </w:r>
      <w:r w:rsidRPr="00E72C26">
        <w:t>protective in patients with advanced breast cancer who were treated with fluorouracil, doxorubicin, and cyclophosphamide (FAC). This was after a cumulative doxorubicin dose of 300</w:t>
      </w:r>
      <w:r w:rsidR="00CC1BB2">
        <w:t xml:space="preserve"> </w:t>
      </w:r>
      <w:r w:rsidRPr="00E72C26">
        <w:t xml:space="preserve">mg/m2. </w:t>
      </w:r>
    </w:p>
    <w:p w14:paraId="4F237C4C" w14:textId="77777777" w:rsidR="00E72C26" w:rsidRPr="00E72C26" w:rsidRDefault="00E72C26" w:rsidP="001B6CD1">
      <w:pPr>
        <w:rPr>
          <w:iCs/>
        </w:rPr>
      </w:pPr>
      <w:r w:rsidRPr="00E72C26">
        <w:rPr>
          <w:iCs/>
        </w:rPr>
        <w:t xml:space="preserve">The use of dexrazoxane does not seem to have an overall impact on the overall survival or progression-free survival of breast cancer in comparison to the absence of dexrazoxane. </w:t>
      </w:r>
    </w:p>
    <w:p w14:paraId="1F645CA2" w14:textId="508E9E92" w:rsidR="00E72C26" w:rsidRPr="00E72C26" w:rsidRDefault="00E72C26" w:rsidP="001B6CD1">
      <w:pPr>
        <w:rPr>
          <w:iCs/>
        </w:rPr>
      </w:pPr>
      <w:r w:rsidRPr="00E72C26">
        <w:rPr>
          <w:iCs/>
        </w:rPr>
        <w:t>Cochrane reviews</w:t>
      </w:r>
      <w:r w:rsidR="00EB7BFF" w:rsidRPr="00EB7BFF">
        <w:rPr>
          <w:iCs/>
          <w:vertAlign w:val="superscript"/>
        </w:rPr>
        <w:t>11,12</w:t>
      </w:r>
      <w:r w:rsidR="00EB7BFF">
        <w:rPr>
          <w:iCs/>
          <w:vertAlign w:val="superscript"/>
        </w:rPr>
        <w:t xml:space="preserve"> </w:t>
      </w:r>
      <w:r w:rsidRPr="00E72C26">
        <w:rPr>
          <w:iCs/>
        </w:rPr>
        <w:t>showed cardio</w:t>
      </w:r>
      <w:r w:rsidR="00EB7BFF">
        <w:rPr>
          <w:iCs/>
        </w:rPr>
        <w:t>-</w:t>
      </w:r>
      <w:r w:rsidRPr="00E72C26">
        <w:rPr>
          <w:iCs/>
        </w:rPr>
        <w:t xml:space="preserve">protection without impact on cancer progression in adults. </w:t>
      </w:r>
    </w:p>
    <w:p w14:paraId="68427157" w14:textId="56094A48" w:rsidR="00E72C26" w:rsidRPr="00E72C26" w:rsidRDefault="00E72C26" w:rsidP="00D00AC9">
      <w:pPr>
        <w:pStyle w:val="Heading6"/>
      </w:pPr>
      <w:r w:rsidRPr="00E72C26">
        <w:t>Safety</w:t>
      </w:r>
    </w:p>
    <w:p w14:paraId="5803032D" w14:textId="44D6F1ED" w:rsidR="00E72C26" w:rsidRPr="00E72C26" w:rsidRDefault="00E72C26" w:rsidP="00E72C26">
      <w:r w:rsidRPr="00E72C26">
        <w:t>Several relevant research reports were furnished. There were no discernible differences in the common adverse effects with or without dexrazoxane, including alopecia, nausea, neutropenia, vomiting, leukopenia and anaemia., within the confines of a literature-based submission. The pharmacovigilance and risk minimisation activities were confirmed acceptable by the RMP team.</w:t>
      </w:r>
    </w:p>
    <w:p w14:paraId="40A76099" w14:textId="373D14D9" w:rsidR="009D7F4C" w:rsidRPr="009D7F4C" w:rsidRDefault="009D7F4C" w:rsidP="009D7F4C">
      <w:pPr>
        <w:pStyle w:val="Heading5"/>
        <w:rPr>
          <w:rFonts w:eastAsiaTheme="minorHAnsi"/>
        </w:rPr>
      </w:pPr>
      <w:bookmarkStart w:id="61" w:name="_Toc98931933"/>
      <w:r w:rsidRPr="009D7F4C">
        <w:rPr>
          <w:rFonts w:eastAsiaTheme="minorHAnsi"/>
        </w:rPr>
        <w:t>Proposed action</w:t>
      </w:r>
      <w:bookmarkEnd w:id="61"/>
    </w:p>
    <w:p w14:paraId="6B78E90C" w14:textId="77777777" w:rsidR="00E72C26" w:rsidRPr="00E72C26" w:rsidRDefault="00E72C26" w:rsidP="001B6CD1">
      <w:r w:rsidRPr="00E72C26">
        <w:t xml:space="preserve">Overall, the PK data presented in the proposed PI is consistent with the submitted literature. </w:t>
      </w:r>
    </w:p>
    <w:p w14:paraId="18915085" w14:textId="5CC4E372" w:rsidR="00E72C26" w:rsidRPr="00E72C26" w:rsidRDefault="00E72C26" w:rsidP="001B6CD1">
      <w:r w:rsidRPr="00E72C26">
        <w:t>The use of dexrazoxane in women with advanced breast cancer who were receiving doxorubicin-containing chemotherapy regimens appeared to provide cardio</w:t>
      </w:r>
      <w:r w:rsidR="00BB3F55">
        <w:t>-</w:t>
      </w:r>
      <w:r w:rsidRPr="00E72C26">
        <w:t xml:space="preserve">protection in terms of MUGA, echocardiographic findings, and clinical features of heart failure in several randomised, controlled trials. No significant safety concerns were identified. </w:t>
      </w:r>
    </w:p>
    <w:p w14:paraId="19CACC2B" w14:textId="044E2413" w:rsidR="00E72C26" w:rsidRPr="00E72C26" w:rsidRDefault="00E72C26" w:rsidP="001B6CD1">
      <w:r w:rsidRPr="00E72C26">
        <w:t xml:space="preserve">The Delegate considers the overall benefit risk profile favourable for Dexrazoxane-Reach for the following indication and subject to all GMP clearances being current at approval. </w:t>
      </w:r>
    </w:p>
    <w:p w14:paraId="14075CE6" w14:textId="6F1E9E33" w:rsidR="00E72C26" w:rsidRPr="00E72C26" w:rsidRDefault="00E72C26" w:rsidP="000A2A0A">
      <w:pPr>
        <w:ind w:left="720"/>
        <w:rPr>
          <w:i/>
          <w:iCs/>
          <w:lang w:val="en-GB"/>
        </w:rPr>
      </w:pPr>
      <w:r w:rsidRPr="00E72C26">
        <w:rPr>
          <w:i/>
          <w:iCs/>
          <w:lang w:val="en-GB"/>
        </w:rPr>
        <w:t>DEXRAZOXANE-REACH is indicated for reducing the incidence and severity of cardiomyopathy associated with doxorubicin administration in women with metastatic breast cancer who have received a cumulative doxorubicin dose of 300 mg/m</w:t>
      </w:r>
      <w:r w:rsidRPr="00E72C26">
        <w:rPr>
          <w:i/>
          <w:iCs/>
          <w:vertAlign w:val="superscript"/>
          <w:lang w:val="en-GB"/>
        </w:rPr>
        <w:t>2</w:t>
      </w:r>
      <w:r w:rsidRPr="00E72C26">
        <w:rPr>
          <w:i/>
          <w:iCs/>
          <w:lang w:val="en-GB"/>
        </w:rPr>
        <w:t xml:space="preserve"> and who will continue to receive doxorubicin therapy to maintain </w:t>
      </w:r>
      <w:r w:rsidR="000A2A0A" w:rsidRPr="00E72C26">
        <w:rPr>
          <w:i/>
          <w:iCs/>
          <w:lang w:val="en-GB"/>
        </w:rPr>
        <w:t>tumour</w:t>
      </w:r>
      <w:r w:rsidRPr="00E72C26">
        <w:rPr>
          <w:i/>
          <w:iCs/>
          <w:lang w:val="en-GB"/>
        </w:rPr>
        <w:t xml:space="preserve"> </w:t>
      </w:r>
      <w:proofErr w:type="spellStart"/>
      <w:r w:rsidRPr="00E72C26">
        <w:rPr>
          <w:i/>
          <w:iCs/>
          <w:lang w:val="en-GB"/>
        </w:rPr>
        <w:t>tumour</w:t>
      </w:r>
      <w:proofErr w:type="spellEnd"/>
      <w:r w:rsidRPr="00E72C26">
        <w:rPr>
          <w:i/>
          <w:iCs/>
          <w:lang w:val="en-GB"/>
        </w:rPr>
        <w:t xml:space="preserve"> control.  </w:t>
      </w:r>
    </w:p>
    <w:p w14:paraId="307F236C" w14:textId="7FD19BD3" w:rsidR="00C22214" w:rsidRPr="002E238E" w:rsidRDefault="0046285C" w:rsidP="00C22214">
      <w:pPr>
        <w:pStyle w:val="Heading2"/>
      </w:pPr>
      <w:bookmarkStart w:id="62" w:name="_Toc247691532"/>
      <w:bookmarkStart w:id="63" w:name="_Toc314842516"/>
      <w:bookmarkStart w:id="64" w:name="_Toc103679300"/>
      <w:bookmarkStart w:id="65" w:name="_Toc210912414"/>
      <w:r>
        <w:t>Assessment</w:t>
      </w:r>
      <w:r w:rsidR="00190853">
        <w:t xml:space="preserve"> </w:t>
      </w:r>
      <w:r>
        <w:t>o</w:t>
      </w:r>
      <w:r w:rsidR="00C22214">
        <w:t>utcome</w:t>
      </w:r>
      <w:bookmarkEnd w:id="62"/>
      <w:bookmarkEnd w:id="63"/>
      <w:bookmarkEnd w:id="64"/>
      <w:bookmarkEnd w:id="65"/>
    </w:p>
    <w:p w14:paraId="4EF22939" w14:textId="7AF96A5B" w:rsidR="00C22214" w:rsidRPr="0017005C"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304D31" w:rsidRPr="00304D31">
        <w:t xml:space="preserve">Dexrazoxane-Reach </w:t>
      </w:r>
      <w:r w:rsidRPr="0017005C">
        <w:t>(</w:t>
      </w:r>
      <w:r w:rsidR="00A35D31">
        <w:t>d</w:t>
      </w:r>
      <w:r w:rsidR="00A35D31" w:rsidRPr="00A35D31">
        <w:t>exrazoxan</w:t>
      </w:r>
      <w:r w:rsidR="00A35D31">
        <w:t>e</w:t>
      </w:r>
      <w:r w:rsidRPr="0017005C">
        <w:t xml:space="preserve">) </w:t>
      </w:r>
      <w:r w:rsidR="00DA5105" w:rsidRPr="00DA5105">
        <w:t>250 mg</w:t>
      </w:r>
      <w:r w:rsidR="00DA5105">
        <w:t xml:space="preserve"> and </w:t>
      </w:r>
      <w:r w:rsidR="00DA5105" w:rsidRPr="00DA5105">
        <w:t>500 mg</w:t>
      </w:r>
      <w:r w:rsidR="00DA5105">
        <w:t>-</w:t>
      </w:r>
      <w:r w:rsidR="00DA5105" w:rsidRPr="00DA5105">
        <w:t xml:space="preserve"> Powder for injection</w:t>
      </w:r>
      <w:r w:rsidR="00142345">
        <w:t xml:space="preserve"> for infusion vial</w:t>
      </w:r>
      <w:r w:rsidR="00DA5105">
        <w:t>,</w:t>
      </w:r>
      <w:r w:rsidRPr="0017005C">
        <w:t xml:space="preserve"> indicated for:</w:t>
      </w:r>
    </w:p>
    <w:p w14:paraId="2506E09F" w14:textId="72891EBD" w:rsidR="005B5793" w:rsidRPr="005B5793" w:rsidRDefault="005B5793" w:rsidP="005B5793">
      <w:pPr>
        <w:pStyle w:val="Indication"/>
        <w:rPr>
          <w:iCs/>
        </w:rPr>
      </w:pPr>
      <w:r w:rsidRPr="005B5793">
        <w:rPr>
          <w:iCs/>
        </w:rPr>
        <w:t>D</w:t>
      </w:r>
      <w:r>
        <w:rPr>
          <w:iCs/>
        </w:rPr>
        <w:t>exrazo</w:t>
      </w:r>
      <w:r w:rsidR="00756538">
        <w:rPr>
          <w:iCs/>
        </w:rPr>
        <w:t>xane</w:t>
      </w:r>
      <w:r w:rsidRPr="005B5793">
        <w:rPr>
          <w:iCs/>
        </w:rPr>
        <w:t>-</w:t>
      </w:r>
      <w:r w:rsidR="00756538">
        <w:rPr>
          <w:iCs/>
        </w:rPr>
        <w:t>Reach</w:t>
      </w:r>
      <w:r w:rsidRPr="005B5793">
        <w:rPr>
          <w:iCs/>
        </w:rPr>
        <w:t xml:space="preserve"> is indicated for reducing the incidence and severity of</w:t>
      </w:r>
    </w:p>
    <w:p w14:paraId="13E3E73E" w14:textId="77777777" w:rsidR="005B5793" w:rsidRPr="005B5793" w:rsidRDefault="005B5793" w:rsidP="005B5793">
      <w:pPr>
        <w:pStyle w:val="Indication"/>
        <w:rPr>
          <w:iCs/>
        </w:rPr>
      </w:pPr>
      <w:r w:rsidRPr="005B5793">
        <w:rPr>
          <w:iCs/>
        </w:rPr>
        <w:t>cardiomyopathy associated with doxorubicin administration in women with metastatic</w:t>
      </w:r>
    </w:p>
    <w:p w14:paraId="292AE0D5" w14:textId="77777777" w:rsidR="005B5793" w:rsidRPr="005B5793" w:rsidRDefault="005B5793" w:rsidP="005B5793">
      <w:pPr>
        <w:pStyle w:val="Indication"/>
        <w:rPr>
          <w:iCs/>
        </w:rPr>
      </w:pPr>
      <w:r w:rsidRPr="005B5793">
        <w:rPr>
          <w:iCs/>
        </w:rPr>
        <w:t xml:space="preserve">breast cancer who </w:t>
      </w:r>
      <w:proofErr w:type="gramStart"/>
      <w:r w:rsidRPr="005B5793">
        <w:rPr>
          <w:iCs/>
        </w:rPr>
        <w:t>have</w:t>
      </w:r>
      <w:proofErr w:type="gramEnd"/>
      <w:r w:rsidRPr="005B5793">
        <w:rPr>
          <w:iCs/>
        </w:rPr>
        <w:t xml:space="preserve"> received a cumulative doxorubicin dose of 300 mg/m2 and who</w:t>
      </w:r>
    </w:p>
    <w:p w14:paraId="3B245AB5" w14:textId="6D0024C4" w:rsidR="00C22214" w:rsidRPr="00BD5DBD" w:rsidRDefault="005B5793" w:rsidP="005B5793">
      <w:pPr>
        <w:pStyle w:val="Indication"/>
      </w:pPr>
      <w:r w:rsidRPr="005B5793">
        <w:rPr>
          <w:iCs/>
        </w:rPr>
        <w:lastRenderedPageBreak/>
        <w:t>will continue to receive doxorubicin therapy to maintain tumour control.</w:t>
      </w:r>
    </w:p>
    <w:p w14:paraId="0D732DA4" w14:textId="74882685" w:rsidR="00854D98" w:rsidRPr="00D23139" w:rsidRDefault="00854D98" w:rsidP="00EB6FF0">
      <w:pPr>
        <w:pStyle w:val="Heading3"/>
      </w:pPr>
      <w:bookmarkStart w:id="66" w:name="_Toc210912415"/>
      <w:bookmarkStart w:id="67" w:name="_Toc103679301"/>
      <w:r w:rsidRPr="00D23139">
        <w:t>Specific conditions of registration</w:t>
      </w:r>
      <w:bookmarkEnd w:id="66"/>
      <w:r w:rsidRPr="00D23139">
        <w:t xml:space="preserve"> </w:t>
      </w:r>
      <w:bookmarkEnd w:id="67"/>
    </w:p>
    <w:p w14:paraId="3896E8BA" w14:textId="7B3816BC" w:rsidR="00242DEE" w:rsidRPr="00363F86" w:rsidRDefault="00242DEE" w:rsidP="00036EF9">
      <w:pPr>
        <w:pStyle w:val="ListBullet"/>
        <w:autoSpaceDE w:val="0"/>
        <w:autoSpaceDN w:val="0"/>
        <w:adjustRightInd w:val="0"/>
        <w:spacing w:after="0" w:line="240" w:lineRule="auto"/>
        <w:rPr>
          <w:rFonts w:cs="Cambria"/>
          <w:szCs w:val="22"/>
        </w:rPr>
      </w:pPr>
      <w:r>
        <w:t>Dexrazoxane Reach (dexrazoxane) is to be included in the Black Triangle Scheme. The</w:t>
      </w:r>
      <w:r w:rsidR="00290A3C">
        <w:t xml:space="preserve"> </w:t>
      </w:r>
      <w:r w:rsidRPr="00363F86">
        <w:rPr>
          <w:rFonts w:cs="Cambria"/>
          <w:szCs w:val="22"/>
        </w:rPr>
        <w:t>PI and CMI for Dexrazoxane Reach must include the black triangle symbol and</w:t>
      </w:r>
      <w:r w:rsidR="00290A3C" w:rsidRPr="00363F86">
        <w:rPr>
          <w:rFonts w:cs="Cambria"/>
          <w:szCs w:val="22"/>
        </w:rPr>
        <w:t xml:space="preserve"> </w:t>
      </w:r>
      <w:r w:rsidRPr="00363F86">
        <w:rPr>
          <w:rFonts w:cs="Cambria"/>
          <w:szCs w:val="22"/>
        </w:rPr>
        <w:t>mandatory accompanying text for five years, which starts from the date of first supply</w:t>
      </w:r>
      <w:r w:rsidR="00290A3C" w:rsidRPr="00363F86">
        <w:rPr>
          <w:rFonts w:cs="Cambria"/>
          <w:szCs w:val="22"/>
        </w:rPr>
        <w:t xml:space="preserve"> </w:t>
      </w:r>
      <w:r w:rsidRPr="00363F86">
        <w:rPr>
          <w:rFonts w:cs="Cambria"/>
          <w:szCs w:val="22"/>
        </w:rPr>
        <w:t>of the product.</w:t>
      </w:r>
    </w:p>
    <w:p w14:paraId="1C7F773F" w14:textId="7D7191E2" w:rsidR="00F92684" w:rsidRPr="00363F86" w:rsidRDefault="00242DEE" w:rsidP="006F6F4B">
      <w:pPr>
        <w:pStyle w:val="ListBullet"/>
        <w:autoSpaceDE w:val="0"/>
        <w:autoSpaceDN w:val="0"/>
        <w:adjustRightInd w:val="0"/>
        <w:spacing w:after="0" w:line="240" w:lineRule="auto"/>
        <w:rPr>
          <w:rFonts w:cs="Cambria"/>
          <w:szCs w:val="22"/>
        </w:rPr>
      </w:pPr>
      <w:r>
        <w:t xml:space="preserve">The Dexrazoxane Reach AU-Risk Management Plan (RMP) version 2.0 </w:t>
      </w:r>
      <w:r w:rsidR="00FA42F9">
        <w:t>(</w:t>
      </w:r>
      <w:r>
        <w:t>dated 27</w:t>
      </w:r>
      <w:r w:rsidR="00290A3C">
        <w:t xml:space="preserve"> </w:t>
      </w:r>
      <w:r>
        <w:t>August 2024, data lock point 20 August 2024), included with submission PM-2023-05309-1-4, and any subsequent revisions, as agreed with the TGA will be implemented</w:t>
      </w:r>
      <w:r w:rsidR="00290A3C">
        <w:t xml:space="preserve"> </w:t>
      </w:r>
      <w:r>
        <w:t>in Australia.</w:t>
      </w:r>
    </w:p>
    <w:p w14:paraId="48EB87AB" w14:textId="51702EC8" w:rsidR="00242DEE" w:rsidRDefault="00242DEE" w:rsidP="007A3C96">
      <w:pPr>
        <w:pStyle w:val="ListBullet"/>
      </w:pPr>
      <w:r>
        <w:t>An obligatory component of risk management plans is routine pharmacovigilance.</w:t>
      </w:r>
      <w:r w:rsidR="00380DA0">
        <w:t xml:space="preserve"> </w:t>
      </w:r>
      <w:r>
        <w:t>Routine pharmacovigilance includes the submission of periodic safety update reports</w:t>
      </w:r>
      <w:r w:rsidR="00380DA0">
        <w:t xml:space="preserve"> </w:t>
      </w:r>
      <w:r>
        <w:t>(PSURs).</w:t>
      </w:r>
    </w:p>
    <w:p w14:paraId="0EC078C0" w14:textId="43614348" w:rsidR="00242DEE" w:rsidRDefault="00242DEE" w:rsidP="00363F86">
      <w:pPr>
        <w:autoSpaceDE w:val="0"/>
        <w:autoSpaceDN w:val="0"/>
        <w:adjustRightInd w:val="0"/>
        <w:spacing w:after="0" w:line="240" w:lineRule="auto"/>
        <w:ind w:left="360"/>
        <w:rPr>
          <w:rFonts w:cs="Cambria"/>
          <w:szCs w:val="22"/>
        </w:rPr>
      </w:pPr>
      <w:r>
        <w:rPr>
          <w:rFonts w:cs="Cambria"/>
          <w:szCs w:val="22"/>
        </w:rPr>
        <w:t>Unless agreed separately between the supplier who is the recipient of the approval and</w:t>
      </w:r>
    </w:p>
    <w:p w14:paraId="08E5181F" w14:textId="77777777" w:rsidR="00242DEE" w:rsidRDefault="00242DEE" w:rsidP="00363F86">
      <w:pPr>
        <w:autoSpaceDE w:val="0"/>
        <w:autoSpaceDN w:val="0"/>
        <w:adjustRightInd w:val="0"/>
        <w:spacing w:after="0" w:line="240" w:lineRule="auto"/>
        <w:ind w:left="360"/>
        <w:rPr>
          <w:rFonts w:cs="Cambria"/>
          <w:szCs w:val="22"/>
        </w:rPr>
      </w:pPr>
      <w:r>
        <w:rPr>
          <w:rFonts w:cs="Cambria"/>
          <w:szCs w:val="22"/>
        </w:rPr>
        <w:t>the TGA, the first report must be submitted to TGA no later than 15 calendar months</w:t>
      </w:r>
    </w:p>
    <w:p w14:paraId="57DB23D8" w14:textId="77777777" w:rsidR="00242DEE" w:rsidRDefault="00242DEE" w:rsidP="00363F86">
      <w:pPr>
        <w:autoSpaceDE w:val="0"/>
        <w:autoSpaceDN w:val="0"/>
        <w:adjustRightInd w:val="0"/>
        <w:spacing w:after="0" w:line="240" w:lineRule="auto"/>
        <w:ind w:left="360"/>
        <w:rPr>
          <w:rFonts w:cs="Cambria"/>
          <w:szCs w:val="22"/>
        </w:rPr>
      </w:pPr>
      <w:r>
        <w:rPr>
          <w:rFonts w:cs="Cambria"/>
          <w:szCs w:val="22"/>
        </w:rPr>
        <w:t>after the date of this approval letter. The subsequent reports must be submitted no less</w:t>
      </w:r>
    </w:p>
    <w:p w14:paraId="0CFAF35B" w14:textId="77777777" w:rsidR="00242DEE" w:rsidRDefault="00242DEE" w:rsidP="00363F86">
      <w:pPr>
        <w:autoSpaceDE w:val="0"/>
        <w:autoSpaceDN w:val="0"/>
        <w:adjustRightInd w:val="0"/>
        <w:spacing w:after="0" w:line="240" w:lineRule="auto"/>
        <w:ind w:left="360"/>
        <w:rPr>
          <w:rFonts w:cs="Cambria"/>
          <w:szCs w:val="22"/>
        </w:rPr>
      </w:pPr>
      <w:r>
        <w:rPr>
          <w:rFonts w:cs="Cambria"/>
          <w:szCs w:val="22"/>
        </w:rPr>
        <w:t>frequently than annually from the date of the first submitted report until the period</w:t>
      </w:r>
    </w:p>
    <w:p w14:paraId="1256B464" w14:textId="77777777" w:rsidR="00242DEE" w:rsidRDefault="00242DEE" w:rsidP="00363F86">
      <w:pPr>
        <w:autoSpaceDE w:val="0"/>
        <w:autoSpaceDN w:val="0"/>
        <w:adjustRightInd w:val="0"/>
        <w:spacing w:after="0" w:line="240" w:lineRule="auto"/>
        <w:ind w:left="360"/>
        <w:rPr>
          <w:rFonts w:cs="Cambria"/>
          <w:szCs w:val="22"/>
        </w:rPr>
      </w:pPr>
      <w:r>
        <w:rPr>
          <w:rFonts w:cs="Cambria"/>
          <w:szCs w:val="22"/>
        </w:rPr>
        <w:t>covered by such reports is not less than three years from the date of this approval</w:t>
      </w:r>
    </w:p>
    <w:p w14:paraId="23531B00" w14:textId="77777777" w:rsidR="00242DEE" w:rsidRDefault="00242DEE" w:rsidP="00363F86">
      <w:pPr>
        <w:autoSpaceDE w:val="0"/>
        <w:autoSpaceDN w:val="0"/>
        <w:adjustRightInd w:val="0"/>
        <w:spacing w:after="0" w:line="240" w:lineRule="auto"/>
        <w:ind w:left="360"/>
        <w:rPr>
          <w:rFonts w:cs="Cambria"/>
          <w:szCs w:val="22"/>
        </w:rPr>
      </w:pPr>
      <w:r>
        <w:rPr>
          <w:rFonts w:cs="Cambria"/>
          <w:szCs w:val="22"/>
        </w:rPr>
        <w:t>letter. The annual submission may be made up of two PSURs each covering six months.</w:t>
      </w:r>
    </w:p>
    <w:p w14:paraId="463F8B18" w14:textId="2E6F3346" w:rsidR="00242DEE" w:rsidRDefault="00242DEE" w:rsidP="00363F86">
      <w:pPr>
        <w:autoSpaceDE w:val="0"/>
        <w:autoSpaceDN w:val="0"/>
        <w:adjustRightInd w:val="0"/>
        <w:spacing w:after="0" w:line="240" w:lineRule="auto"/>
        <w:ind w:left="360"/>
        <w:rPr>
          <w:rFonts w:cs="Cambria"/>
          <w:szCs w:val="22"/>
        </w:rPr>
      </w:pPr>
      <w:r>
        <w:rPr>
          <w:rFonts w:cs="Cambria"/>
          <w:szCs w:val="22"/>
        </w:rPr>
        <w:t xml:space="preserve">If the sponsor wishes, the </w:t>
      </w:r>
      <w:r w:rsidR="00CD3913">
        <w:rPr>
          <w:rFonts w:cs="Cambria"/>
          <w:szCs w:val="22"/>
        </w:rPr>
        <w:t>six-monthly</w:t>
      </w:r>
      <w:r>
        <w:rPr>
          <w:rFonts w:cs="Cambria"/>
          <w:szCs w:val="22"/>
        </w:rPr>
        <w:t xml:space="preserve"> reports may be submitted separately as they</w:t>
      </w:r>
    </w:p>
    <w:p w14:paraId="665A16CE" w14:textId="77777777" w:rsidR="00D732B4" w:rsidRDefault="00242DEE" w:rsidP="00D732B4">
      <w:pPr>
        <w:autoSpaceDE w:val="0"/>
        <w:autoSpaceDN w:val="0"/>
        <w:adjustRightInd w:val="0"/>
        <w:spacing w:after="0" w:line="240" w:lineRule="auto"/>
        <w:ind w:left="357"/>
        <w:rPr>
          <w:rFonts w:cs="Cambria"/>
          <w:szCs w:val="22"/>
        </w:rPr>
      </w:pPr>
      <w:r>
        <w:rPr>
          <w:rFonts w:cs="Cambria"/>
          <w:szCs w:val="22"/>
        </w:rPr>
        <w:t>become available</w:t>
      </w:r>
      <w:r w:rsidR="001351AE">
        <w:rPr>
          <w:rFonts w:cs="Cambria"/>
          <w:szCs w:val="22"/>
        </w:rPr>
        <w:t>.</w:t>
      </w:r>
      <w:r w:rsidR="00D732B4">
        <w:rPr>
          <w:rFonts w:cs="Cambria"/>
          <w:szCs w:val="22"/>
        </w:rPr>
        <w:t xml:space="preserve"> </w:t>
      </w:r>
    </w:p>
    <w:p w14:paraId="25ADA217" w14:textId="2929D373" w:rsidR="00242DEE" w:rsidRDefault="00242DEE" w:rsidP="00D732B4">
      <w:pPr>
        <w:autoSpaceDE w:val="0"/>
        <w:autoSpaceDN w:val="0"/>
        <w:adjustRightInd w:val="0"/>
        <w:spacing w:before="240" w:after="0" w:line="240" w:lineRule="auto"/>
        <w:ind w:left="357"/>
        <w:rPr>
          <w:rFonts w:cs="Cambria"/>
          <w:szCs w:val="22"/>
        </w:rPr>
      </w:pPr>
      <w:r>
        <w:rPr>
          <w:rFonts w:cs="Cambria"/>
          <w:szCs w:val="22"/>
        </w:rPr>
        <w:t>If the product is approved in the EU during the three years period, reports can be</w:t>
      </w:r>
    </w:p>
    <w:p w14:paraId="11301F4E" w14:textId="77777777" w:rsidR="00242DEE" w:rsidRDefault="00242DEE" w:rsidP="001351AE">
      <w:pPr>
        <w:autoSpaceDE w:val="0"/>
        <w:autoSpaceDN w:val="0"/>
        <w:adjustRightInd w:val="0"/>
        <w:spacing w:after="0" w:line="240" w:lineRule="auto"/>
        <w:ind w:left="360"/>
        <w:rPr>
          <w:rFonts w:cs="Cambria"/>
          <w:szCs w:val="22"/>
        </w:rPr>
      </w:pPr>
      <w:r>
        <w:rPr>
          <w:rFonts w:cs="Cambria"/>
          <w:szCs w:val="22"/>
        </w:rPr>
        <w:t>provided in line with the published list of EU reference dates no less frequently than</w:t>
      </w:r>
    </w:p>
    <w:p w14:paraId="7E2DA9BB" w14:textId="77777777" w:rsidR="00242DEE" w:rsidRDefault="00242DEE" w:rsidP="001351AE">
      <w:pPr>
        <w:autoSpaceDE w:val="0"/>
        <w:autoSpaceDN w:val="0"/>
        <w:adjustRightInd w:val="0"/>
        <w:spacing w:after="0" w:line="240" w:lineRule="auto"/>
        <w:ind w:left="360"/>
        <w:rPr>
          <w:rFonts w:cs="Cambria"/>
          <w:szCs w:val="22"/>
        </w:rPr>
      </w:pPr>
      <w:r>
        <w:rPr>
          <w:rFonts w:cs="Cambria"/>
          <w:szCs w:val="22"/>
        </w:rPr>
        <w:t>annually from the date of the first submitted report until the period covered by such</w:t>
      </w:r>
    </w:p>
    <w:p w14:paraId="38D56631" w14:textId="77777777" w:rsidR="00242DEE" w:rsidRDefault="00242DEE" w:rsidP="001351AE">
      <w:pPr>
        <w:autoSpaceDE w:val="0"/>
        <w:autoSpaceDN w:val="0"/>
        <w:adjustRightInd w:val="0"/>
        <w:spacing w:after="0" w:line="240" w:lineRule="auto"/>
        <w:ind w:left="360"/>
        <w:rPr>
          <w:rFonts w:cs="Cambria"/>
          <w:szCs w:val="22"/>
        </w:rPr>
      </w:pPr>
      <w:r>
        <w:rPr>
          <w:rFonts w:cs="Cambria"/>
          <w:szCs w:val="22"/>
        </w:rPr>
        <w:t xml:space="preserve">reports </w:t>
      </w:r>
      <w:proofErr w:type="gramStart"/>
      <w:r>
        <w:rPr>
          <w:rFonts w:cs="Cambria"/>
          <w:szCs w:val="22"/>
        </w:rPr>
        <w:t>is</w:t>
      </w:r>
      <w:proofErr w:type="gramEnd"/>
      <w:r>
        <w:rPr>
          <w:rFonts w:cs="Cambria"/>
          <w:szCs w:val="22"/>
        </w:rPr>
        <w:t xml:space="preserve"> not less than three years from the date of this approval letter.</w:t>
      </w:r>
    </w:p>
    <w:p w14:paraId="6DBE37FF" w14:textId="77777777" w:rsidR="00242DEE" w:rsidRDefault="00242DEE" w:rsidP="001351AE">
      <w:pPr>
        <w:autoSpaceDE w:val="0"/>
        <w:autoSpaceDN w:val="0"/>
        <w:adjustRightInd w:val="0"/>
        <w:spacing w:after="0" w:line="240" w:lineRule="auto"/>
        <w:ind w:left="360"/>
        <w:rPr>
          <w:rFonts w:cs="Cambria"/>
          <w:szCs w:val="22"/>
        </w:rPr>
      </w:pPr>
      <w:r>
        <w:rPr>
          <w:rFonts w:cs="Cambria"/>
          <w:szCs w:val="22"/>
        </w:rPr>
        <w:t>The reports are to at least meet the requirements for PSURs as described in the</w:t>
      </w:r>
    </w:p>
    <w:p w14:paraId="35771571" w14:textId="77777777" w:rsidR="00242DEE" w:rsidRDefault="00242DEE" w:rsidP="001351AE">
      <w:pPr>
        <w:autoSpaceDE w:val="0"/>
        <w:autoSpaceDN w:val="0"/>
        <w:adjustRightInd w:val="0"/>
        <w:spacing w:after="0" w:line="240" w:lineRule="auto"/>
        <w:ind w:left="360"/>
        <w:rPr>
          <w:rFonts w:cs="Cambria"/>
          <w:szCs w:val="22"/>
        </w:rPr>
      </w:pPr>
      <w:r>
        <w:rPr>
          <w:rFonts w:cs="Cambria"/>
          <w:szCs w:val="22"/>
        </w:rPr>
        <w:t>European Medicines Agency’s Guideline on good pharmacovigilance practices (GVP)</w:t>
      </w:r>
    </w:p>
    <w:p w14:paraId="347E67CB" w14:textId="77777777" w:rsidR="00242DEE" w:rsidRDefault="00242DEE" w:rsidP="001351AE">
      <w:pPr>
        <w:autoSpaceDE w:val="0"/>
        <w:autoSpaceDN w:val="0"/>
        <w:adjustRightInd w:val="0"/>
        <w:spacing w:after="0" w:line="240" w:lineRule="auto"/>
        <w:ind w:left="360"/>
        <w:rPr>
          <w:rFonts w:cs="Cambria"/>
          <w:szCs w:val="22"/>
        </w:rPr>
      </w:pPr>
      <w:r>
        <w:rPr>
          <w:rFonts w:cs="Cambria"/>
          <w:szCs w:val="22"/>
        </w:rPr>
        <w:t>Module VII-periodic safety update report (Rev 1), Part VII.B Structures and processes.</w:t>
      </w:r>
    </w:p>
    <w:p w14:paraId="7060A51E" w14:textId="77777777" w:rsidR="00242DEE" w:rsidRDefault="00242DEE" w:rsidP="001351AE">
      <w:pPr>
        <w:autoSpaceDE w:val="0"/>
        <w:autoSpaceDN w:val="0"/>
        <w:adjustRightInd w:val="0"/>
        <w:spacing w:after="0" w:line="240" w:lineRule="auto"/>
        <w:ind w:left="360"/>
        <w:rPr>
          <w:rFonts w:cs="Cambria"/>
          <w:szCs w:val="22"/>
        </w:rPr>
      </w:pPr>
      <w:r>
        <w:rPr>
          <w:rFonts w:cs="Cambria"/>
          <w:szCs w:val="22"/>
        </w:rPr>
        <w:t>Note that submission of a PSUR does not constitute an application to vary the</w:t>
      </w:r>
    </w:p>
    <w:p w14:paraId="0A73E91F" w14:textId="5428AC9C" w:rsidR="00242DEE" w:rsidRPr="00D163C2" w:rsidRDefault="00242DEE" w:rsidP="001351AE">
      <w:pPr>
        <w:autoSpaceDE w:val="0"/>
        <w:autoSpaceDN w:val="0"/>
        <w:adjustRightInd w:val="0"/>
        <w:spacing w:after="0" w:line="240" w:lineRule="auto"/>
        <w:ind w:left="360"/>
        <w:rPr>
          <w:rFonts w:cs="Cambria"/>
          <w:szCs w:val="22"/>
        </w:rPr>
      </w:pPr>
      <w:r>
        <w:rPr>
          <w:rFonts w:cs="Cambria"/>
          <w:szCs w:val="22"/>
        </w:rPr>
        <w:t>registration. Each report must be submitted within ninety calendar days of the data</w:t>
      </w:r>
      <w:r w:rsidR="00D163C2">
        <w:rPr>
          <w:rFonts w:cs="Cambria"/>
          <w:szCs w:val="22"/>
        </w:rPr>
        <w:t xml:space="preserve"> </w:t>
      </w:r>
      <w:r>
        <w:rPr>
          <w:rFonts w:cs="Cambria"/>
          <w:szCs w:val="22"/>
        </w:rPr>
        <w:t>lock point for that report.</w:t>
      </w:r>
    </w:p>
    <w:p w14:paraId="0F9C1952" w14:textId="46BD475E" w:rsidR="00BA657C" w:rsidRPr="00BA657C" w:rsidRDefault="00BA657C" w:rsidP="001D0892">
      <w:pPr>
        <w:pStyle w:val="Heading2"/>
      </w:pPr>
      <w:bookmarkStart w:id="68" w:name="_Product_Information_and"/>
      <w:bookmarkStart w:id="69" w:name="_Toc210912416"/>
      <w:bookmarkStart w:id="70" w:name="_Toc196738290"/>
      <w:bookmarkEnd w:id="68"/>
      <w:r w:rsidRPr="00BA657C">
        <w:t>Product Information and Consumer Medicine Information</w:t>
      </w:r>
      <w:bookmarkEnd w:id="69"/>
      <w:r w:rsidRPr="00BA657C">
        <w:t xml:space="preserve"> </w:t>
      </w:r>
      <w:bookmarkEnd w:id="70"/>
    </w:p>
    <w:p w14:paraId="5F276616" w14:textId="6667B73D" w:rsidR="004D0933" w:rsidRPr="004D0933" w:rsidRDefault="004D0933" w:rsidP="004D0933">
      <w:bookmarkStart w:id="71" w:name="_Hlk200021736"/>
      <w:r w:rsidRPr="004D0933">
        <w:t xml:space="preserve">For the most recent Product Information (PI) and Consumer Medicine Information (CMI), please refer to the TGA </w:t>
      </w:r>
      <w:hyperlink r:id="rId26" w:history="1">
        <w:r w:rsidRPr="004D0933">
          <w:rPr>
            <w:rStyle w:val="Hyperlink"/>
          </w:rPr>
          <w:t>PI/CMI search facility.</w:t>
        </w:r>
      </w:hyperlink>
    </w:p>
    <w:bookmarkEnd w:id="71"/>
    <w:p w14:paraId="53357BF3" w14:textId="276457B5" w:rsidR="00C22214" w:rsidRDefault="00C22214" w:rsidP="00C22214">
      <w:pPr>
        <w:rPr>
          <w:lang w:eastAsia="ja-JP"/>
        </w:rPr>
        <w:sectPr w:rsidR="00C22214" w:rsidSect="007452E8">
          <w:headerReference w:type="default" r:id="rId27"/>
          <w:footerReference w:type="default" r:id="rId2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6"/>
          <w:bookmarkEnd w:id="7"/>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29"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30" w:history="1">
              <w:r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1"/>
      <w:footerReference w:type="first" r:id="rId3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0DA9" w14:textId="77777777" w:rsidR="00EF5F55" w:rsidRDefault="00EF5F55" w:rsidP="00F02AEC">
      <w:pPr>
        <w:spacing w:after="0" w:line="240" w:lineRule="auto"/>
      </w:pPr>
      <w:r>
        <w:separator/>
      </w:r>
    </w:p>
  </w:endnote>
  <w:endnote w:type="continuationSeparator" w:id="0">
    <w:p w14:paraId="1A4B7756" w14:textId="77777777" w:rsidR="00EF5F55" w:rsidRDefault="00EF5F55"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elior">
    <w:altName w:val="Cambria"/>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C5DF" w14:textId="7CE7FDB6" w:rsidR="00425C50" w:rsidRDefault="00425C50">
    <w:pPr>
      <w:pStyle w:val="Footer"/>
    </w:pPr>
    <w:r>
      <w:rPr>
        <w:noProof/>
      </w:rPr>
      <mc:AlternateContent>
        <mc:Choice Requires="wps">
          <w:drawing>
            <wp:anchor distT="0" distB="0" distL="0" distR="0" simplePos="0" relativeHeight="251667456" behindDoc="0" locked="0" layoutInCell="1" allowOverlap="1" wp14:anchorId="6AFD3370" wp14:editId="18853781">
              <wp:simplePos x="635" y="635"/>
              <wp:positionH relativeFrom="page">
                <wp:align>center</wp:align>
              </wp:positionH>
              <wp:positionV relativeFrom="page">
                <wp:align>bottom</wp:align>
              </wp:positionV>
              <wp:extent cx="551815" cy="391160"/>
              <wp:effectExtent l="0" t="0" r="635" b="0"/>
              <wp:wrapNone/>
              <wp:docPr id="73831534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4A22702" w14:textId="7BBF3E3B" w:rsidR="00425C50" w:rsidRPr="00425C50" w:rsidRDefault="00425C50" w:rsidP="00425C50">
                          <w:pPr>
                            <w:spacing w:after="0"/>
                            <w:rPr>
                              <w:rFonts w:ascii="Calibri" w:eastAsia="Calibri" w:hAnsi="Calibri" w:cs="Calibri"/>
                              <w:noProof/>
                              <w:color w:val="FF0000"/>
                              <w:sz w:val="24"/>
                              <w:szCs w:val="24"/>
                            </w:rPr>
                          </w:pPr>
                          <w:r w:rsidRPr="00425C5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D3370"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24A22702" w14:textId="7BBF3E3B" w:rsidR="00425C50" w:rsidRPr="00425C50" w:rsidRDefault="00425C50" w:rsidP="00425C50">
                    <w:pPr>
                      <w:spacing w:after="0"/>
                      <w:rPr>
                        <w:rFonts w:ascii="Calibri" w:eastAsia="Calibri" w:hAnsi="Calibri" w:cs="Calibri"/>
                        <w:noProof/>
                        <w:color w:val="FF0000"/>
                        <w:sz w:val="24"/>
                        <w:szCs w:val="24"/>
                      </w:rPr>
                    </w:pPr>
                    <w:r w:rsidRPr="00425C5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59F7B416" w:rsidR="007452E8" w:rsidRDefault="00425C50" w:rsidP="007452E8">
          <w:pPr>
            <w:pStyle w:val="Footer"/>
          </w:pPr>
          <w:r>
            <w:rPr>
              <w:noProof/>
            </w:rPr>
            <mc:AlternateContent>
              <mc:Choice Requires="wps">
                <w:drawing>
                  <wp:anchor distT="0" distB="0" distL="0" distR="0" simplePos="0" relativeHeight="251668480" behindDoc="0" locked="0" layoutInCell="1" allowOverlap="1" wp14:anchorId="0EC49CB7" wp14:editId="20395735">
                    <wp:simplePos x="635" y="635"/>
                    <wp:positionH relativeFrom="page">
                      <wp:align>center</wp:align>
                    </wp:positionH>
                    <wp:positionV relativeFrom="page">
                      <wp:align>bottom</wp:align>
                    </wp:positionV>
                    <wp:extent cx="551815" cy="391160"/>
                    <wp:effectExtent l="0" t="0" r="635" b="0"/>
                    <wp:wrapNone/>
                    <wp:docPr id="99652100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16047DD" w14:textId="65B18994" w:rsidR="00425C50" w:rsidRPr="00425C50" w:rsidRDefault="00425C50" w:rsidP="00425C50">
                                <w:pPr>
                                  <w:spacing w:after="0"/>
                                  <w:rPr>
                                    <w:rFonts w:ascii="Calibri" w:eastAsia="Calibri" w:hAnsi="Calibri" w:cs="Calibri"/>
                                    <w:noProof/>
                                    <w:color w:val="FF0000"/>
                                    <w:sz w:val="24"/>
                                    <w:szCs w:val="24"/>
                                  </w:rPr>
                                </w:pPr>
                                <w:r w:rsidRPr="00425C5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49CB7" id="_x0000_t202" coordsize="21600,21600" o:spt="202" path="m,l,21600r21600,l21600,xe">
                    <v:stroke joinstyle="miter"/>
                    <v:path gradientshapeok="t" o:connecttype="rect"/>
                  </v:shapetype>
                  <v:shape id="Text Box 8" o:spid="_x0000_s1029"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16047DD" w14:textId="65B18994" w:rsidR="00425C50" w:rsidRPr="00425C50" w:rsidRDefault="00425C50" w:rsidP="00425C50">
                          <w:pPr>
                            <w:spacing w:after="0"/>
                            <w:rPr>
                              <w:rFonts w:ascii="Calibri" w:eastAsia="Calibri" w:hAnsi="Calibri" w:cs="Calibri"/>
                              <w:noProof/>
                              <w:color w:val="FF0000"/>
                              <w:sz w:val="24"/>
                              <w:szCs w:val="24"/>
                            </w:rPr>
                          </w:pPr>
                          <w:r w:rsidRPr="00425C50">
                            <w:rPr>
                              <w:rFonts w:ascii="Calibri" w:eastAsia="Calibri" w:hAnsi="Calibri" w:cs="Calibri"/>
                              <w:noProof/>
                              <w:color w:val="FF0000"/>
                              <w:sz w:val="24"/>
                              <w:szCs w:val="24"/>
                            </w:rPr>
                            <w:t>OFFICIAL</w:t>
                          </w:r>
                        </w:p>
                      </w:txbxContent>
                    </v:textbox>
                    <w10:wrap anchorx="page" anchory="page"/>
                  </v:shape>
                </w:pict>
              </mc:Fallback>
            </mc:AlternateContent>
          </w: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B68AB9D" w:rsidR="007452E8" w:rsidRDefault="007452E8" w:rsidP="007452E8">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4AA2DD83" w14:textId="05F4A800" w:rsidR="007452E8" w:rsidRPr="000B7653" w:rsidRDefault="007452E8" w:rsidP="007452E8">
          <w:pPr>
            <w:pStyle w:val="Footer"/>
            <w:rPr>
              <w:sz w:val="20"/>
              <w:szCs w:val="20"/>
            </w:rPr>
          </w:pPr>
          <w:r w:rsidRPr="000B7653">
            <w:rPr>
              <w:sz w:val="20"/>
              <w:szCs w:val="20"/>
            </w:rPr>
            <w:t xml:space="preserve">AusPAR </w:t>
          </w:r>
          <w:r w:rsidR="00EB726B" w:rsidRPr="000B7653">
            <w:rPr>
              <w:sz w:val="20"/>
              <w:szCs w:val="20"/>
            </w:rPr>
            <w:t>–</w:t>
          </w:r>
          <w:r w:rsidR="00E867BD" w:rsidRPr="000B7653">
            <w:rPr>
              <w:sz w:val="20"/>
              <w:szCs w:val="20"/>
            </w:rPr>
            <w:t xml:space="preserve"> Dexrazoxane</w:t>
          </w:r>
          <w:r w:rsidR="00EB726B" w:rsidRPr="000B7653">
            <w:rPr>
              <w:sz w:val="20"/>
              <w:szCs w:val="20"/>
            </w:rPr>
            <w:t>-Reach</w:t>
          </w:r>
          <w:r w:rsidRPr="000B7653">
            <w:rPr>
              <w:sz w:val="20"/>
              <w:szCs w:val="20"/>
            </w:rPr>
            <w:t xml:space="preserve"> - </w:t>
          </w:r>
          <w:r w:rsidR="00EB726B" w:rsidRPr="000B7653">
            <w:rPr>
              <w:sz w:val="20"/>
              <w:szCs w:val="20"/>
            </w:rPr>
            <w:t>dexrazoxane</w:t>
          </w:r>
          <w:r w:rsidRPr="000B7653">
            <w:rPr>
              <w:sz w:val="20"/>
              <w:szCs w:val="20"/>
            </w:rPr>
            <w:t xml:space="preserve"> </w:t>
          </w:r>
          <w:r w:rsidR="00EB726B" w:rsidRPr="000B7653">
            <w:rPr>
              <w:sz w:val="20"/>
              <w:szCs w:val="20"/>
            </w:rPr>
            <w:t>–</w:t>
          </w:r>
          <w:r w:rsidRPr="000B7653">
            <w:rPr>
              <w:sz w:val="20"/>
              <w:szCs w:val="20"/>
            </w:rPr>
            <w:t xml:space="preserve"> </w:t>
          </w:r>
          <w:r w:rsidR="00EB726B" w:rsidRPr="000B7653">
            <w:rPr>
              <w:sz w:val="20"/>
              <w:szCs w:val="20"/>
            </w:rPr>
            <w:t>Reach Pharma</w:t>
          </w:r>
          <w:r w:rsidR="00E32743" w:rsidRPr="000B7653">
            <w:rPr>
              <w:sz w:val="20"/>
              <w:szCs w:val="20"/>
            </w:rPr>
            <w:t>ceuticals Pty</w:t>
          </w:r>
          <w:r w:rsidR="00286E44" w:rsidRPr="000B7653">
            <w:rPr>
              <w:sz w:val="20"/>
              <w:szCs w:val="20"/>
            </w:rPr>
            <w:t xml:space="preserve"> </w:t>
          </w:r>
          <w:r w:rsidR="00E32743" w:rsidRPr="000B7653">
            <w:rPr>
              <w:sz w:val="20"/>
              <w:szCs w:val="20"/>
            </w:rPr>
            <w:t>Ltd</w:t>
          </w:r>
          <w:r w:rsidRPr="000B7653">
            <w:rPr>
              <w:sz w:val="20"/>
              <w:szCs w:val="20"/>
            </w:rPr>
            <w:t xml:space="preserve"> - PM-202</w:t>
          </w:r>
          <w:r w:rsidR="00E32743" w:rsidRPr="000B7653">
            <w:rPr>
              <w:sz w:val="20"/>
              <w:szCs w:val="20"/>
            </w:rPr>
            <w:t>3</w:t>
          </w:r>
          <w:r w:rsidRPr="000B7653">
            <w:rPr>
              <w:sz w:val="20"/>
              <w:szCs w:val="20"/>
            </w:rPr>
            <w:t>-</w:t>
          </w:r>
          <w:r w:rsidR="00E32743" w:rsidRPr="000B7653">
            <w:rPr>
              <w:sz w:val="20"/>
              <w:szCs w:val="20"/>
            </w:rPr>
            <w:t>05309</w:t>
          </w:r>
          <w:r w:rsidRPr="000B7653">
            <w:rPr>
              <w:sz w:val="20"/>
              <w:szCs w:val="20"/>
            </w:rPr>
            <w:t>-</w:t>
          </w:r>
          <w:r w:rsidR="00DC1347" w:rsidRPr="000B7653">
            <w:rPr>
              <w:sz w:val="20"/>
              <w:szCs w:val="20"/>
            </w:rPr>
            <w:t>1</w:t>
          </w:r>
          <w:r w:rsidR="00F871BE" w:rsidRPr="000B7653">
            <w:rPr>
              <w:sz w:val="20"/>
              <w:szCs w:val="20"/>
            </w:rPr>
            <w:t xml:space="preserve">-4 </w:t>
          </w:r>
          <w:r w:rsidRPr="000B7653">
            <w:rPr>
              <w:sz w:val="20"/>
              <w:szCs w:val="20"/>
            </w:rPr>
            <w:t>V</w:t>
          </w:r>
          <w:r w:rsidR="00F871BE" w:rsidRPr="000B7653">
            <w:rPr>
              <w:sz w:val="20"/>
              <w:szCs w:val="20"/>
            </w:rPr>
            <w:t>1</w:t>
          </w:r>
          <w:r w:rsidRPr="000B7653">
            <w:rPr>
              <w:sz w:val="20"/>
              <w:szCs w:val="20"/>
            </w:rPr>
            <w:t>.</w:t>
          </w:r>
          <w:r w:rsidR="00286E44" w:rsidRPr="000B7653">
            <w:rPr>
              <w:sz w:val="20"/>
              <w:szCs w:val="20"/>
            </w:rPr>
            <w:t>0</w:t>
          </w:r>
          <w:r w:rsidRPr="000B7653">
            <w:rPr>
              <w:sz w:val="20"/>
              <w:szCs w:val="20"/>
            </w:rPr>
            <w:t xml:space="preserve"> </w:t>
          </w:r>
          <w:r w:rsidR="00DC1347" w:rsidRPr="000B7653">
            <w:rPr>
              <w:sz w:val="20"/>
              <w:szCs w:val="20"/>
            </w:rPr>
            <w:t>10 October 2025</w:t>
          </w:r>
        </w:p>
        <w:p w14:paraId="3C421323" w14:textId="024CB88C" w:rsidR="00DC1347" w:rsidRPr="004A3084" w:rsidRDefault="00DC1347" w:rsidP="007452E8">
          <w:pPr>
            <w:pStyle w:val="Footer"/>
          </w:pP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6D6B44">
                <w:fldChar w:fldCharType="begin"/>
              </w:r>
              <w:r w:rsidR="006D6B44">
                <w:instrText xml:space="preserve"> NUMPAGES  </w:instrText>
              </w:r>
              <w:r w:rsidR="006D6B44">
                <w:fldChar w:fldCharType="separate"/>
              </w:r>
              <w:r w:rsidR="006D6B44">
                <w:rPr>
                  <w:noProof/>
                </w:rPr>
                <w:t>17</w:t>
              </w:r>
              <w:r w:rsidR="006D6B44">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2345969E"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CA36" w14:textId="77777777" w:rsidR="00EF5F55" w:rsidRDefault="00EF5F55" w:rsidP="00F02AEC">
      <w:pPr>
        <w:spacing w:after="0" w:line="240" w:lineRule="auto"/>
      </w:pPr>
      <w:r>
        <w:separator/>
      </w:r>
    </w:p>
  </w:footnote>
  <w:footnote w:type="continuationSeparator" w:id="0">
    <w:p w14:paraId="22684D39" w14:textId="77777777" w:rsidR="00EF5F55" w:rsidRDefault="00EF5F55" w:rsidP="00F02AEC">
      <w:pPr>
        <w:spacing w:after="0" w:line="240" w:lineRule="auto"/>
      </w:pPr>
      <w:r>
        <w:continuationSeparator/>
      </w:r>
    </w:p>
  </w:footnote>
  <w:footnote w:id="1">
    <w:p w14:paraId="68402A9B" w14:textId="3BC43E09"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w:t>
      </w:r>
      <w:r w:rsidR="00425C50">
        <w:rPr>
          <w:lang w:val="en-GB"/>
        </w:rPr>
        <w:t>assessment</w:t>
      </w:r>
      <w:r w:rsidR="00FB236E">
        <w:rPr>
          <w:lang w:val="en-GB"/>
        </w:rPr>
        <w:t xml:space="preserve">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3563BD4A" w14:textId="6FD4D2CB" w:rsidR="00ED3003" w:rsidRDefault="00ED3003">
      <w:pPr>
        <w:pStyle w:val="FootnoteText"/>
      </w:pPr>
      <w:r>
        <w:rPr>
          <w:rStyle w:val="FootnoteReference"/>
        </w:rPr>
        <w:footnoteRef/>
      </w:r>
      <w:r>
        <w:t xml:space="preserve"> </w:t>
      </w:r>
      <w:r w:rsidRPr="00ED3003">
        <w:t>Simůnek, T., Stérba, M., Popelová, O., Adamcová, M., Hrdina, R., &amp; Gersl, V. (2009). Anthracycline-induced cardiotoxicity: overview of studies examining the roles of oxidative stress and free cellular iron. </w:t>
      </w:r>
      <w:r w:rsidRPr="00ED3003">
        <w:rPr>
          <w:i/>
          <w:iCs/>
        </w:rPr>
        <w:t xml:space="preserve">Pharmacological </w:t>
      </w:r>
      <w:r w:rsidRPr="00ED3003">
        <w:rPr>
          <w:i/>
          <w:iCs/>
        </w:rPr>
        <w:t>reports : PR</w:t>
      </w:r>
      <w:r w:rsidRPr="00ED3003">
        <w:t>, </w:t>
      </w:r>
      <w:r w:rsidRPr="00ED3003">
        <w:rPr>
          <w:i/>
          <w:iCs/>
        </w:rPr>
        <w:t>61</w:t>
      </w:r>
      <w:r w:rsidRPr="00ED3003">
        <w:t xml:space="preserve">(1), 154–171. </w:t>
      </w:r>
      <w:hyperlink r:id="rId1" w:history="1">
        <w:r w:rsidRPr="00CF736B">
          <w:rPr>
            <w:rStyle w:val="Hyperlink"/>
          </w:rPr>
          <w:t>https://doi.org/10.1016/s1734-1140(09)70018-0</w:t>
        </w:r>
      </w:hyperlink>
      <w:r>
        <w:t xml:space="preserve"> </w:t>
      </w:r>
    </w:p>
  </w:footnote>
  <w:footnote w:id="3">
    <w:p w14:paraId="4776916D" w14:textId="3EB596C9" w:rsidR="00DB512F" w:rsidRDefault="00DB512F">
      <w:pPr>
        <w:pStyle w:val="FootnoteText"/>
      </w:pPr>
      <w:r>
        <w:rPr>
          <w:rStyle w:val="FootnoteReference"/>
        </w:rPr>
        <w:footnoteRef/>
      </w:r>
      <w:r>
        <w:t xml:space="preserve"> </w:t>
      </w:r>
      <w:r w:rsidR="00DE5D29" w:rsidRPr="00DE5D29">
        <w:t xml:space="preserve">Hochster, Howard MD; </w:t>
      </w:r>
      <w:r w:rsidR="00DE5D29" w:rsidRPr="00DE5D29">
        <w:t xml:space="preserve">Wasserheit, Carolyn MD; Speyer, James MD. Cardiotoxicity and cardioprotection during </w:t>
      </w:r>
      <w:r w:rsidR="00DE5D29">
        <w:t>c</w:t>
      </w:r>
      <w:r w:rsidR="00DE5D29" w:rsidRPr="00DE5D29">
        <w:t>hemotherapy. Current Opinion in Oncology 7(4</w:t>
      </w:r>
      <w:r w:rsidR="00DE5D29" w:rsidRPr="00DE5D29">
        <w:t>):p 304-309, July 1995.</w:t>
      </w:r>
    </w:p>
  </w:footnote>
  <w:footnote w:id="4">
    <w:p w14:paraId="010CA50C" w14:textId="77777777" w:rsidR="005F7FB5" w:rsidRPr="0030038B" w:rsidRDefault="005F7FB5" w:rsidP="005F7FB5">
      <w:pPr>
        <w:pStyle w:val="FootnoteText"/>
        <w:rPr>
          <w:i/>
          <w:iCs/>
          <w:szCs w:val="18"/>
          <w:lang w:val="en-US"/>
        </w:rPr>
      </w:pPr>
      <w:r w:rsidRPr="0030038B">
        <w:rPr>
          <w:rStyle w:val="FootnoteReference"/>
          <w:i/>
          <w:iCs/>
          <w:szCs w:val="18"/>
        </w:rPr>
        <w:footnoteRef/>
      </w:r>
      <w:r w:rsidRPr="0030038B">
        <w:rPr>
          <w:i/>
          <w:iCs/>
          <w:szCs w:val="18"/>
        </w:rPr>
        <w:t xml:space="preserve"> Product monograph ZINECARD - https://pdf.hres.ca/dpd_pm/00029924.PDF</w:t>
      </w:r>
    </w:p>
  </w:footnote>
  <w:footnote w:id="5">
    <w:p w14:paraId="2C89FB6A" w14:textId="71653F0F" w:rsidR="00613F7F" w:rsidRDefault="00613F7F">
      <w:pPr>
        <w:pStyle w:val="FootnoteText"/>
      </w:pPr>
      <w:r>
        <w:rPr>
          <w:rStyle w:val="FootnoteReference"/>
        </w:rPr>
        <w:footnoteRef/>
      </w:r>
      <w:r>
        <w:t xml:space="preserve"> </w:t>
      </w:r>
      <w:r w:rsidRPr="00613F7F">
        <w:t xml:space="preserve">Marty, M., </w:t>
      </w:r>
      <w:r w:rsidRPr="00613F7F">
        <w:t>Espié, M., Llombart, A., Monnier, A., Rapoport, B. L., Stahalova, V., &amp; Dexrazoxane Study Group (2006). Multicenter randomized phase III study of the cardioprotective effect of dexrazoxane (Cardioxane) in advanced/metastatic breast cancer patients treated with anthracycline-based chemotherapy. </w:t>
      </w:r>
      <w:r w:rsidRPr="00613F7F">
        <w:rPr>
          <w:i/>
          <w:iCs/>
        </w:rPr>
        <w:t>Annals of oncology: official journal of the European Society for Medical Oncology</w:t>
      </w:r>
      <w:r w:rsidRPr="00613F7F">
        <w:t>, </w:t>
      </w:r>
      <w:r w:rsidRPr="00613F7F">
        <w:rPr>
          <w:i/>
          <w:iCs/>
        </w:rPr>
        <w:t>17</w:t>
      </w:r>
      <w:r w:rsidRPr="00613F7F">
        <w:t>(4), 614–622. https://doi.org/10.1093/annonc/mdj134</w:t>
      </w:r>
    </w:p>
  </w:footnote>
  <w:footnote w:id="6">
    <w:p w14:paraId="1EAC915F" w14:textId="5853C685" w:rsidR="0093706C" w:rsidRDefault="0093706C">
      <w:pPr>
        <w:pStyle w:val="FootnoteText"/>
      </w:pPr>
      <w:r>
        <w:rPr>
          <w:rStyle w:val="FootnoteReference"/>
        </w:rPr>
        <w:footnoteRef/>
      </w:r>
      <w:r w:rsidRPr="007E3E8F">
        <w:rPr>
          <w:lang w:val="de-DE"/>
        </w:rPr>
        <w:t xml:space="preserve"> Speyer, J. L., Green, M. D., Kramer, E., Rey, M., Sanger, J., Ward, C., Dubin, N., Ferrans, V., Stecy, P., &amp; Zeleniuch-Jacquotte, A. (1988). </w:t>
      </w:r>
      <w:r w:rsidRPr="0093706C">
        <w:t xml:space="preserve">Protective effect of the </w:t>
      </w:r>
      <w:r w:rsidRPr="0093706C">
        <w:t>bispiperazinedione ICRF-187 against doxorubicin-induced cardiac toxicity in women with advanced breast cancer. </w:t>
      </w:r>
      <w:r w:rsidRPr="0093706C">
        <w:rPr>
          <w:i/>
          <w:iCs/>
        </w:rPr>
        <w:t>The New England journal of medicine</w:t>
      </w:r>
      <w:r w:rsidRPr="0093706C">
        <w:t>, </w:t>
      </w:r>
      <w:r w:rsidRPr="0093706C">
        <w:rPr>
          <w:i/>
          <w:iCs/>
        </w:rPr>
        <w:t>319</w:t>
      </w:r>
      <w:r w:rsidRPr="0093706C">
        <w:t xml:space="preserve">(12), 745–752. </w:t>
      </w:r>
      <w:hyperlink r:id="rId2" w:history="1">
        <w:r w:rsidRPr="000923B9">
          <w:rPr>
            <w:rStyle w:val="Hyperlink"/>
          </w:rPr>
          <w:t>https://doi.org/10.1056/NEJM198809223191203</w:t>
        </w:r>
      </w:hyperlink>
      <w:r>
        <w:t xml:space="preserve"> </w:t>
      </w:r>
    </w:p>
  </w:footnote>
  <w:footnote w:id="7">
    <w:p w14:paraId="78E6C441" w14:textId="1C41C6BF" w:rsidR="00C81EE2" w:rsidRDefault="00C81EE2">
      <w:pPr>
        <w:pStyle w:val="FootnoteText"/>
      </w:pPr>
      <w:r>
        <w:rPr>
          <w:rStyle w:val="FootnoteReference"/>
        </w:rPr>
        <w:footnoteRef/>
      </w:r>
      <w:r>
        <w:t xml:space="preserve"> </w:t>
      </w:r>
      <w:r w:rsidRPr="00C81EE2">
        <w:t xml:space="preserve">Speyer, J. L., Green, M. D., Sanger, J., </w:t>
      </w:r>
      <w:r w:rsidRPr="00C81EE2">
        <w:t>Zeleniuch-Jacquotte, A., Kramer, E., Rey, M., Wernz, J. C., Blum, R.H., Hochster, H., Meyers, M. &amp; Muggia F.M. (1990) A prospective randomized trial of ICRF-187 for prevention of cumulative doxorubicin-induced cardiac toxicity in women with breast cancer. Cancer Treatment Review; 17,161-163.</w:t>
      </w:r>
    </w:p>
  </w:footnote>
  <w:footnote w:id="8">
    <w:p w14:paraId="0B5036D8" w14:textId="63A20FA0" w:rsidR="0026684B" w:rsidRDefault="0026684B">
      <w:pPr>
        <w:pStyle w:val="FootnoteText"/>
      </w:pPr>
      <w:r>
        <w:rPr>
          <w:rStyle w:val="FootnoteReference"/>
        </w:rPr>
        <w:footnoteRef/>
      </w:r>
      <w:r>
        <w:t xml:space="preserve"> </w:t>
      </w:r>
      <w:r w:rsidRPr="0026684B">
        <w:t xml:space="preserve">Speyer, J. L., Green, M. D., </w:t>
      </w:r>
      <w:r w:rsidRPr="0026684B">
        <w:t>Zeleniuch-Jacquotte, A., Wernz, J. C., Rey, M., Sanger, J., Kramer, E., Ferrans, V., Hochster, H., &amp; Meyers, M. (1992). ICRF-187 permits longer treatment with doxorubicin in women with breast cancer. </w:t>
      </w:r>
      <w:r w:rsidRPr="0026684B">
        <w:rPr>
          <w:i/>
          <w:iCs/>
        </w:rPr>
        <w:t>Journal of clinical oncology: official journal of the American Society of Clinical Oncology</w:t>
      </w:r>
      <w:r w:rsidRPr="0026684B">
        <w:t>, </w:t>
      </w:r>
      <w:r w:rsidRPr="0026684B">
        <w:rPr>
          <w:i/>
          <w:iCs/>
        </w:rPr>
        <w:t>10</w:t>
      </w:r>
      <w:r w:rsidRPr="0026684B">
        <w:t xml:space="preserve">(1), 117–127. </w:t>
      </w:r>
      <w:hyperlink r:id="rId3" w:history="1">
        <w:r w:rsidRPr="000923B9">
          <w:rPr>
            <w:rStyle w:val="Hyperlink"/>
          </w:rPr>
          <w:t>https://doi.org/10.1200/JCO.1992.10.1.117</w:t>
        </w:r>
      </w:hyperlink>
      <w:r>
        <w:t xml:space="preserve">  </w:t>
      </w:r>
    </w:p>
  </w:footnote>
  <w:footnote w:id="9">
    <w:p w14:paraId="14826073" w14:textId="32A74F66" w:rsidR="005945CC" w:rsidRPr="00425C50" w:rsidRDefault="005945CC">
      <w:pPr>
        <w:pStyle w:val="FootnoteText"/>
        <w:rPr>
          <w:lang w:val="it-IT"/>
        </w:rPr>
      </w:pPr>
      <w:r>
        <w:rPr>
          <w:rStyle w:val="FootnoteReference"/>
        </w:rPr>
        <w:footnoteRef/>
      </w:r>
      <w:r>
        <w:t xml:space="preserve"> </w:t>
      </w:r>
      <w:r w:rsidRPr="005945CC">
        <w:t xml:space="preserve">Swain, S. M., Whaley, F. S., Gerber, M. C., Weisberg, S., York, M., Spicer, D., Jones, S. E., Wadler, S., Desai, A., Vogel, C., Speyer, J., Mittelman, A., Reddy, S., Pendergrass, K., Velez-Garcia, E., Ewer, M. S., </w:t>
      </w:r>
      <w:r w:rsidRPr="005945CC">
        <w:t>Bianchine, J. R., &amp; Gams, R. A. (1997). Cardioprotection with dexrazoxane for doxorubicin-containing therapy in advanced breast cancer. </w:t>
      </w:r>
      <w:r w:rsidRPr="005945CC">
        <w:rPr>
          <w:i/>
          <w:iCs/>
        </w:rPr>
        <w:t xml:space="preserve">Journal of clinical </w:t>
      </w:r>
      <w:r w:rsidRPr="005945CC">
        <w:rPr>
          <w:i/>
          <w:iCs/>
        </w:rPr>
        <w:t>oncology : official journal of the American Society of Clinical Oncology</w:t>
      </w:r>
      <w:r w:rsidRPr="005945CC">
        <w:t>, </w:t>
      </w:r>
      <w:r w:rsidRPr="005945CC">
        <w:rPr>
          <w:i/>
          <w:iCs/>
        </w:rPr>
        <w:t>15</w:t>
      </w:r>
      <w:r w:rsidRPr="005945CC">
        <w:t xml:space="preserve">(4), 1318–1332. </w:t>
      </w:r>
      <w:hyperlink r:id="rId4" w:history="1">
        <w:r w:rsidRPr="00425C50">
          <w:rPr>
            <w:rStyle w:val="Hyperlink"/>
            <w:lang w:val="it-IT"/>
          </w:rPr>
          <w:t>https://doi.org/10.1200/JCO.1997.15.4.1318</w:t>
        </w:r>
      </w:hyperlink>
      <w:r w:rsidRPr="00425C50">
        <w:rPr>
          <w:lang w:val="it-IT"/>
        </w:rPr>
        <w:t xml:space="preserve"> </w:t>
      </w:r>
    </w:p>
  </w:footnote>
  <w:footnote w:id="10">
    <w:p w14:paraId="74E1C96D" w14:textId="6FDD22E8" w:rsidR="00662C86" w:rsidRDefault="00662C86">
      <w:pPr>
        <w:pStyle w:val="FootnoteText"/>
      </w:pPr>
      <w:r>
        <w:rPr>
          <w:rStyle w:val="FootnoteReference"/>
        </w:rPr>
        <w:footnoteRef/>
      </w:r>
      <w:r w:rsidRPr="00425C50">
        <w:rPr>
          <w:lang w:val="it-IT"/>
        </w:rPr>
        <w:t xml:space="preserve"> Venturini, M., Michelotti, A., Del Mastro, L., Gallo, L., Carnino, F., Garrone, O., Tibaldi, C., Molea, N., Bellina, R. C., Pronzato, P., Cyrus, P., Vinke, J., Testore, F., Guelfi, M., Lionetto, R., Bruzzi, P., Conte, P. F., &amp; Rosso, R. (1996). </w:t>
      </w:r>
      <w:r w:rsidRPr="00662C86">
        <w:t>Multicenter randomized controlled clinical trial to evaluate cardioprotection of dexrazoxane versus no cardioprotection in women receiving epirubicin chemotherapy for advanced breast cancer. </w:t>
      </w:r>
      <w:r w:rsidRPr="00662C86">
        <w:rPr>
          <w:i/>
          <w:iCs/>
        </w:rPr>
        <w:t xml:space="preserve">Journal of clinical </w:t>
      </w:r>
      <w:r w:rsidRPr="00662C86">
        <w:rPr>
          <w:i/>
          <w:iCs/>
        </w:rPr>
        <w:t>oncology : official journal of the American Society of Clinical Oncology</w:t>
      </w:r>
      <w:r w:rsidRPr="00662C86">
        <w:t>, </w:t>
      </w:r>
      <w:r w:rsidRPr="00662C86">
        <w:rPr>
          <w:i/>
          <w:iCs/>
        </w:rPr>
        <w:t>14</w:t>
      </w:r>
      <w:r w:rsidRPr="00662C86">
        <w:t xml:space="preserve">(12), 3112–3120. </w:t>
      </w:r>
      <w:hyperlink r:id="rId5" w:history="1">
        <w:r w:rsidRPr="000923B9">
          <w:rPr>
            <w:rStyle w:val="Hyperlink"/>
          </w:rPr>
          <w:t>https://doi.org/10.1200/JCO.1996.14.12.3112</w:t>
        </w:r>
      </w:hyperlink>
      <w:r>
        <w:t xml:space="preserve"> </w:t>
      </w:r>
    </w:p>
  </w:footnote>
  <w:footnote w:id="11">
    <w:p w14:paraId="455B29CA" w14:textId="6AF8BD05" w:rsidR="00901700" w:rsidRDefault="00901700">
      <w:pPr>
        <w:pStyle w:val="FootnoteText"/>
      </w:pPr>
      <w:r>
        <w:rPr>
          <w:rStyle w:val="FootnoteReference"/>
        </w:rPr>
        <w:footnoteRef/>
      </w:r>
      <w:r>
        <w:t xml:space="preserve"> </w:t>
      </w:r>
      <w:r w:rsidRPr="00901700">
        <w:t xml:space="preserve">de Baat, E. C., van Dalen, E. C., Mulder, R. L., Hudson, M. M., Ehrhardt, M. J., Engels, F. K., Feijen, E. A. M., Grotenhuis, H. B., Leerink, J. M., Kapusta, L., Kaspers, G. J. L., </w:t>
      </w:r>
      <w:r w:rsidRPr="00901700">
        <w:t>Merkx, R., Mertens, L., Skinner, R., Tissing, W. J. E., de Vathaire, F., Nathan, P. C., Kremer, L. C. M., Mavinkurve-Groothuis, A. M. C., &amp; Armenian, S. (2022). Primary cardioprotection with dexrazoxane in patients with childhood cancer who are expected to receive anthracyclines: recommendations from the International Late Effects of Childhood Cancer Guideline Harmonization Group. </w:t>
      </w:r>
      <w:r w:rsidRPr="00901700">
        <w:rPr>
          <w:i/>
          <w:iCs/>
        </w:rPr>
        <w:t>The Lancet. Child &amp; adolescent health</w:t>
      </w:r>
      <w:r w:rsidRPr="00901700">
        <w:t>, </w:t>
      </w:r>
      <w:r w:rsidRPr="00901700">
        <w:rPr>
          <w:i/>
          <w:iCs/>
        </w:rPr>
        <w:t>6</w:t>
      </w:r>
      <w:r w:rsidRPr="00901700">
        <w:t xml:space="preserve">(12), 885–894. </w:t>
      </w:r>
      <w:hyperlink r:id="rId6" w:history="1">
        <w:r w:rsidR="00127E23" w:rsidRPr="000923B9">
          <w:rPr>
            <w:rStyle w:val="Hyperlink"/>
          </w:rPr>
          <w:t>https://doi.org/10.1016/S2352-4642(22)00239-5</w:t>
        </w:r>
      </w:hyperlink>
      <w:r w:rsidR="00127E23">
        <w:t xml:space="preserve"> </w:t>
      </w:r>
    </w:p>
  </w:footnote>
  <w:footnote w:id="12">
    <w:p w14:paraId="5A11C8D7" w14:textId="50AEB379" w:rsidR="00127E23" w:rsidRDefault="00127E23">
      <w:pPr>
        <w:pStyle w:val="FootnoteText"/>
      </w:pPr>
      <w:r>
        <w:rPr>
          <w:rStyle w:val="FootnoteReference"/>
        </w:rPr>
        <w:footnoteRef/>
      </w:r>
      <w:r>
        <w:t xml:space="preserve"> </w:t>
      </w:r>
      <w:r w:rsidRPr="00127E23">
        <w:t>van Dalen, E. C., Caron, H. N., Dickinson, H. O., &amp; Kremer, L. C. (2011). Cardioprotective interventions for cancer patients receiving anthracyclines. </w:t>
      </w:r>
      <w:r w:rsidRPr="00127E23">
        <w:rPr>
          <w:i/>
          <w:iCs/>
        </w:rPr>
        <w:t>The Cochrane database of systematic reviews</w:t>
      </w:r>
      <w:r w:rsidRPr="00127E23">
        <w:t>, </w:t>
      </w:r>
      <w:r w:rsidRPr="00127E23">
        <w:rPr>
          <w:i/>
          <w:iCs/>
        </w:rPr>
        <w:t>2011</w:t>
      </w:r>
      <w:r w:rsidRPr="00127E23">
        <w:t xml:space="preserve">(6), CD003917. </w:t>
      </w:r>
      <w:hyperlink r:id="rId7" w:history="1">
        <w:r w:rsidRPr="000923B9">
          <w:rPr>
            <w:rStyle w:val="Hyperlink"/>
          </w:rPr>
          <w:t>https://doi.org/10.1002/14651858.CD003917.pub4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8421" w14:textId="782E25A4" w:rsidR="00425C50" w:rsidRDefault="00425C50">
    <w:pPr>
      <w:pStyle w:val="Header"/>
    </w:pPr>
    <w:r>
      <w:rPr>
        <w:noProof/>
      </w:rPr>
      <mc:AlternateContent>
        <mc:Choice Requires="wps">
          <w:drawing>
            <wp:anchor distT="0" distB="0" distL="0" distR="0" simplePos="0" relativeHeight="251662336" behindDoc="0" locked="0" layoutInCell="1" allowOverlap="1" wp14:anchorId="1D66F499" wp14:editId="14B6CC18">
              <wp:simplePos x="635" y="635"/>
              <wp:positionH relativeFrom="page">
                <wp:align>center</wp:align>
              </wp:positionH>
              <wp:positionV relativeFrom="page">
                <wp:align>top</wp:align>
              </wp:positionV>
              <wp:extent cx="551815" cy="391160"/>
              <wp:effectExtent l="0" t="0" r="635" b="8890"/>
              <wp:wrapNone/>
              <wp:docPr id="21421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BA75199" w14:textId="3CF2467B" w:rsidR="00425C50" w:rsidRPr="00425C50" w:rsidRDefault="00425C50" w:rsidP="00425C50">
                          <w:pPr>
                            <w:spacing w:after="0"/>
                            <w:rPr>
                              <w:rFonts w:ascii="Calibri" w:eastAsia="Calibri" w:hAnsi="Calibri" w:cs="Calibri"/>
                              <w:noProof/>
                              <w:color w:val="FF0000"/>
                              <w:sz w:val="24"/>
                              <w:szCs w:val="24"/>
                            </w:rPr>
                          </w:pPr>
                          <w:r w:rsidRPr="00425C5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6F49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BA75199" w14:textId="3CF2467B" w:rsidR="00425C50" w:rsidRPr="00425C50" w:rsidRDefault="00425C50" w:rsidP="00425C50">
                    <w:pPr>
                      <w:spacing w:after="0"/>
                      <w:rPr>
                        <w:rFonts w:ascii="Calibri" w:eastAsia="Calibri" w:hAnsi="Calibri" w:cs="Calibri"/>
                        <w:noProof/>
                        <w:color w:val="FF0000"/>
                        <w:sz w:val="24"/>
                        <w:szCs w:val="24"/>
                      </w:rPr>
                    </w:pPr>
                    <w:r w:rsidRPr="00425C5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49DF9B83" w:rsidR="007452E8" w:rsidRPr="00CB0550" w:rsidRDefault="00425C50" w:rsidP="00CB0550">
    <w:pPr>
      <w:pStyle w:val="Header"/>
      <w:jc w:val="left"/>
    </w:pPr>
    <w:r>
      <w:rPr>
        <w:noProof/>
      </w:rPr>
      <mc:AlternateContent>
        <mc:Choice Requires="wps">
          <w:drawing>
            <wp:anchor distT="0" distB="0" distL="0" distR="0" simplePos="0" relativeHeight="251663360" behindDoc="0" locked="0" layoutInCell="1" allowOverlap="1" wp14:anchorId="225DDC30" wp14:editId="1BD5CE92">
              <wp:simplePos x="635" y="635"/>
              <wp:positionH relativeFrom="page">
                <wp:align>center</wp:align>
              </wp:positionH>
              <wp:positionV relativeFrom="page">
                <wp:align>top</wp:align>
              </wp:positionV>
              <wp:extent cx="551815" cy="391160"/>
              <wp:effectExtent l="0" t="0" r="635" b="8890"/>
              <wp:wrapNone/>
              <wp:docPr id="3698894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785FCE" w14:textId="630036F4" w:rsidR="00425C50" w:rsidRPr="00425C50" w:rsidRDefault="00425C50" w:rsidP="00425C50">
                          <w:pPr>
                            <w:spacing w:after="0"/>
                            <w:rPr>
                              <w:rFonts w:ascii="Calibri" w:eastAsia="Calibri" w:hAnsi="Calibri" w:cs="Calibri"/>
                              <w:noProof/>
                              <w:color w:val="FF0000"/>
                              <w:sz w:val="24"/>
                              <w:szCs w:val="24"/>
                            </w:rPr>
                          </w:pPr>
                          <w:r w:rsidRPr="00425C5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DC30"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56785FCE" w14:textId="630036F4" w:rsidR="00425C50" w:rsidRPr="00425C50" w:rsidRDefault="00425C50" w:rsidP="00425C50">
                    <w:pPr>
                      <w:spacing w:after="0"/>
                      <w:rPr>
                        <w:rFonts w:ascii="Calibri" w:eastAsia="Calibri" w:hAnsi="Calibri" w:cs="Calibri"/>
                        <w:noProof/>
                        <w:color w:val="FF0000"/>
                        <w:sz w:val="24"/>
                        <w:szCs w:val="24"/>
                      </w:rPr>
                    </w:pPr>
                    <w:r w:rsidRPr="00425C50">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4B15149E" w:rsidR="007452E8" w:rsidRPr="002B29B2" w:rsidRDefault="00425C50" w:rsidP="007452E8">
          <w:pPr>
            <w:ind w:left="-57"/>
            <w:rPr>
              <w:noProof/>
            </w:rPr>
          </w:pPr>
          <w:r>
            <w:rPr>
              <w:noProof/>
            </w:rPr>
            <mc:AlternateContent>
              <mc:Choice Requires="wps">
                <w:drawing>
                  <wp:anchor distT="0" distB="0" distL="0" distR="0" simplePos="0" relativeHeight="251661312" behindDoc="0" locked="0" layoutInCell="1" allowOverlap="1" wp14:anchorId="02C4CED7" wp14:editId="70EA9D8A">
                    <wp:simplePos x="0" y="5124450"/>
                    <wp:positionH relativeFrom="page">
                      <wp:align>center</wp:align>
                    </wp:positionH>
                    <wp:positionV relativeFrom="page">
                      <wp:align>top</wp:align>
                    </wp:positionV>
                    <wp:extent cx="551815" cy="391160"/>
                    <wp:effectExtent l="0" t="0" r="635" b="8890"/>
                    <wp:wrapNone/>
                    <wp:docPr id="9858298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062FC88" w14:textId="0E721C4B" w:rsidR="00425C50" w:rsidRPr="00425C50" w:rsidRDefault="00425C50" w:rsidP="00425C5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4CED7"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2062FC88" w14:textId="0E721C4B" w:rsidR="00425C50" w:rsidRPr="00425C50" w:rsidRDefault="00425C50" w:rsidP="00425C50">
                          <w:pPr>
                            <w:spacing w:after="0"/>
                            <w:rPr>
                              <w:rFonts w:ascii="Calibri" w:eastAsia="Calibri" w:hAnsi="Calibri" w:cs="Calibri"/>
                              <w:noProof/>
                              <w:color w:val="FF0000"/>
                              <w:sz w:val="24"/>
                              <w:szCs w:val="24"/>
                            </w:rPr>
                          </w:pPr>
                        </w:p>
                      </w:txbxContent>
                    </v:textbox>
                    <w10:wrap anchorx="page" anchory="page"/>
                  </v:shape>
                </w:pict>
              </mc:Fallback>
            </mc:AlternateContent>
          </w: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549603282" name="Picture 154960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06869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60288"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455446530" name="Picture 45544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69C4476F" w:rsidR="007452E8" w:rsidRDefault="007452E8" w:rsidP="007452E8">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92BE03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42D"/>
    <w:multiLevelType w:val="hybridMultilevel"/>
    <w:tmpl w:val="A0D8F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4DB6783"/>
    <w:multiLevelType w:val="hybridMultilevel"/>
    <w:tmpl w:val="8F623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B75BC0"/>
    <w:multiLevelType w:val="hybridMultilevel"/>
    <w:tmpl w:val="5F244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0"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E52150"/>
    <w:multiLevelType w:val="hybridMultilevel"/>
    <w:tmpl w:val="968C1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7F64E3"/>
    <w:multiLevelType w:val="hybridMultilevel"/>
    <w:tmpl w:val="44AC0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6" w15:restartNumberingAfterBreak="0">
    <w:nsid w:val="6EFB69E4"/>
    <w:multiLevelType w:val="hybridMultilevel"/>
    <w:tmpl w:val="1D140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4"/>
  </w:num>
  <w:num w:numId="2" w16cid:durableId="1856573705">
    <w:abstractNumId w:val="1"/>
  </w:num>
  <w:num w:numId="3" w16cid:durableId="357703499">
    <w:abstractNumId w:val="3"/>
  </w:num>
  <w:num w:numId="4" w16cid:durableId="1869176708">
    <w:abstractNumId w:val="12"/>
  </w:num>
  <w:num w:numId="5" w16cid:durableId="1652950129">
    <w:abstractNumId w:val="6"/>
  </w:num>
  <w:num w:numId="6" w16cid:durableId="1053193207">
    <w:abstractNumId w:val="10"/>
  </w:num>
  <w:num w:numId="7" w16cid:durableId="20113592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1"/>
  </w:num>
  <w:num w:numId="9" w16cid:durableId="173421270">
    <w:abstractNumId w:val="2"/>
  </w:num>
  <w:num w:numId="10" w16cid:durableId="2108043357">
    <w:abstractNumId w:val="5"/>
  </w:num>
  <w:num w:numId="11" w16cid:durableId="1725904230">
    <w:abstractNumId w:val="9"/>
  </w:num>
  <w:num w:numId="12" w16cid:durableId="141579354">
    <w:abstractNumId w:val="15"/>
  </w:num>
  <w:num w:numId="13" w16cid:durableId="283735081">
    <w:abstractNumId w:val="17"/>
  </w:num>
  <w:num w:numId="14" w16cid:durableId="724715246">
    <w:abstractNumId w:val="13"/>
  </w:num>
  <w:num w:numId="15" w16cid:durableId="1740395431">
    <w:abstractNumId w:val="16"/>
  </w:num>
  <w:num w:numId="16" w16cid:durableId="1545870245">
    <w:abstractNumId w:val="7"/>
  </w:num>
  <w:num w:numId="17" w16cid:durableId="372508790">
    <w:abstractNumId w:val="8"/>
  </w:num>
  <w:num w:numId="18" w16cid:durableId="635991527">
    <w:abstractNumId w:val="0"/>
  </w:num>
  <w:num w:numId="19" w16cid:durableId="1400785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3112"/>
    <w:rsid w:val="0000393E"/>
    <w:rsid w:val="00004431"/>
    <w:rsid w:val="00004BB4"/>
    <w:rsid w:val="00005062"/>
    <w:rsid w:val="00005DFC"/>
    <w:rsid w:val="0001064C"/>
    <w:rsid w:val="0001384A"/>
    <w:rsid w:val="00021C13"/>
    <w:rsid w:val="00024DBD"/>
    <w:rsid w:val="000304E6"/>
    <w:rsid w:val="0003223E"/>
    <w:rsid w:val="00032A0F"/>
    <w:rsid w:val="000366F9"/>
    <w:rsid w:val="00036C89"/>
    <w:rsid w:val="00040D8D"/>
    <w:rsid w:val="00040EBD"/>
    <w:rsid w:val="00043ABA"/>
    <w:rsid w:val="00044A26"/>
    <w:rsid w:val="00046423"/>
    <w:rsid w:val="000477F5"/>
    <w:rsid w:val="0005167E"/>
    <w:rsid w:val="000564F2"/>
    <w:rsid w:val="0006075A"/>
    <w:rsid w:val="0006104E"/>
    <w:rsid w:val="000640BD"/>
    <w:rsid w:val="00065839"/>
    <w:rsid w:val="00065FDF"/>
    <w:rsid w:val="000660A3"/>
    <w:rsid w:val="0006693A"/>
    <w:rsid w:val="00077844"/>
    <w:rsid w:val="00083763"/>
    <w:rsid w:val="00083E1E"/>
    <w:rsid w:val="00090510"/>
    <w:rsid w:val="000917AE"/>
    <w:rsid w:val="00094B81"/>
    <w:rsid w:val="00095C6A"/>
    <w:rsid w:val="000960A2"/>
    <w:rsid w:val="000975AA"/>
    <w:rsid w:val="000A0D83"/>
    <w:rsid w:val="000A2A0A"/>
    <w:rsid w:val="000A40DE"/>
    <w:rsid w:val="000B22D7"/>
    <w:rsid w:val="000B36A2"/>
    <w:rsid w:val="000B4D32"/>
    <w:rsid w:val="000B6620"/>
    <w:rsid w:val="000B6B15"/>
    <w:rsid w:val="000B7653"/>
    <w:rsid w:val="000B79E3"/>
    <w:rsid w:val="000B7D5A"/>
    <w:rsid w:val="000C0091"/>
    <w:rsid w:val="000C12C9"/>
    <w:rsid w:val="000C25A7"/>
    <w:rsid w:val="000C3CB0"/>
    <w:rsid w:val="000D78EC"/>
    <w:rsid w:val="000D7934"/>
    <w:rsid w:val="000E2434"/>
    <w:rsid w:val="000E2597"/>
    <w:rsid w:val="000E504E"/>
    <w:rsid w:val="000E6746"/>
    <w:rsid w:val="000E7207"/>
    <w:rsid w:val="000F7AEA"/>
    <w:rsid w:val="000F7B51"/>
    <w:rsid w:val="00101BEE"/>
    <w:rsid w:val="00101CE6"/>
    <w:rsid w:val="00101FB1"/>
    <w:rsid w:val="00104B3B"/>
    <w:rsid w:val="0010558A"/>
    <w:rsid w:val="001101FF"/>
    <w:rsid w:val="00110A08"/>
    <w:rsid w:val="00111989"/>
    <w:rsid w:val="001133FB"/>
    <w:rsid w:val="00113F9F"/>
    <w:rsid w:val="00114025"/>
    <w:rsid w:val="0012473C"/>
    <w:rsid w:val="0012699E"/>
    <w:rsid w:val="00126C08"/>
    <w:rsid w:val="00127A74"/>
    <w:rsid w:val="00127E23"/>
    <w:rsid w:val="0013132F"/>
    <w:rsid w:val="00131B1B"/>
    <w:rsid w:val="00131E12"/>
    <w:rsid w:val="0013306D"/>
    <w:rsid w:val="001351AE"/>
    <w:rsid w:val="0013528C"/>
    <w:rsid w:val="00142345"/>
    <w:rsid w:val="001442A2"/>
    <w:rsid w:val="00144936"/>
    <w:rsid w:val="00146231"/>
    <w:rsid w:val="001468CA"/>
    <w:rsid w:val="001500A8"/>
    <w:rsid w:val="0015545B"/>
    <w:rsid w:val="00155D85"/>
    <w:rsid w:val="00160F93"/>
    <w:rsid w:val="00164D48"/>
    <w:rsid w:val="00165D28"/>
    <w:rsid w:val="00167ED7"/>
    <w:rsid w:val="0017005C"/>
    <w:rsid w:val="0017162C"/>
    <w:rsid w:val="00175CD8"/>
    <w:rsid w:val="00181F69"/>
    <w:rsid w:val="00182BD8"/>
    <w:rsid w:val="001843B4"/>
    <w:rsid w:val="00186B3B"/>
    <w:rsid w:val="0019024D"/>
    <w:rsid w:val="00190853"/>
    <w:rsid w:val="00196ECA"/>
    <w:rsid w:val="001A40BE"/>
    <w:rsid w:val="001A567A"/>
    <w:rsid w:val="001A76F9"/>
    <w:rsid w:val="001B06FF"/>
    <w:rsid w:val="001B1703"/>
    <w:rsid w:val="001B33BD"/>
    <w:rsid w:val="001B413F"/>
    <w:rsid w:val="001B6025"/>
    <w:rsid w:val="001B6CD1"/>
    <w:rsid w:val="001B72CA"/>
    <w:rsid w:val="001C1C2E"/>
    <w:rsid w:val="001C31A1"/>
    <w:rsid w:val="001C3FA2"/>
    <w:rsid w:val="001C5EE2"/>
    <w:rsid w:val="001D0077"/>
    <w:rsid w:val="001D03A8"/>
    <w:rsid w:val="001D0892"/>
    <w:rsid w:val="001E1EFE"/>
    <w:rsid w:val="001E2EA1"/>
    <w:rsid w:val="001E407B"/>
    <w:rsid w:val="001E7FC6"/>
    <w:rsid w:val="001F2502"/>
    <w:rsid w:val="001F539C"/>
    <w:rsid w:val="001F70A5"/>
    <w:rsid w:val="0020235D"/>
    <w:rsid w:val="0020369B"/>
    <w:rsid w:val="00203D11"/>
    <w:rsid w:val="00207A0A"/>
    <w:rsid w:val="00207B4D"/>
    <w:rsid w:val="00210497"/>
    <w:rsid w:val="00210F0C"/>
    <w:rsid w:val="00210F9B"/>
    <w:rsid w:val="002117B1"/>
    <w:rsid w:val="00212EA2"/>
    <w:rsid w:val="0021442F"/>
    <w:rsid w:val="00217CCE"/>
    <w:rsid w:val="002203B1"/>
    <w:rsid w:val="002229E8"/>
    <w:rsid w:val="00226F39"/>
    <w:rsid w:val="002300A2"/>
    <w:rsid w:val="002334AD"/>
    <w:rsid w:val="0023442B"/>
    <w:rsid w:val="002377CB"/>
    <w:rsid w:val="00241B60"/>
    <w:rsid w:val="00242DEE"/>
    <w:rsid w:val="0025226D"/>
    <w:rsid w:val="00253A21"/>
    <w:rsid w:val="0025785B"/>
    <w:rsid w:val="00257969"/>
    <w:rsid w:val="002600C5"/>
    <w:rsid w:val="00262A20"/>
    <w:rsid w:val="00265CD1"/>
    <w:rsid w:val="0026684B"/>
    <w:rsid w:val="00270E78"/>
    <w:rsid w:val="0027240C"/>
    <w:rsid w:val="0027496F"/>
    <w:rsid w:val="00277C00"/>
    <w:rsid w:val="00280048"/>
    <w:rsid w:val="0028489E"/>
    <w:rsid w:val="002848DE"/>
    <w:rsid w:val="00286E44"/>
    <w:rsid w:val="0028794E"/>
    <w:rsid w:val="002900AE"/>
    <w:rsid w:val="00290A3C"/>
    <w:rsid w:val="00290A82"/>
    <w:rsid w:val="0029733B"/>
    <w:rsid w:val="002A0859"/>
    <w:rsid w:val="002A0EB1"/>
    <w:rsid w:val="002A5841"/>
    <w:rsid w:val="002B1E8F"/>
    <w:rsid w:val="002B1EDF"/>
    <w:rsid w:val="002B2061"/>
    <w:rsid w:val="002B33C3"/>
    <w:rsid w:val="002C1232"/>
    <w:rsid w:val="002C1E44"/>
    <w:rsid w:val="002C2AD7"/>
    <w:rsid w:val="002C5C92"/>
    <w:rsid w:val="002C5E29"/>
    <w:rsid w:val="002D045E"/>
    <w:rsid w:val="002D0478"/>
    <w:rsid w:val="002D441B"/>
    <w:rsid w:val="002D4FA9"/>
    <w:rsid w:val="002D57BF"/>
    <w:rsid w:val="002D68BB"/>
    <w:rsid w:val="002D7127"/>
    <w:rsid w:val="002E0FF7"/>
    <w:rsid w:val="002E5BDA"/>
    <w:rsid w:val="002E73F8"/>
    <w:rsid w:val="002F199A"/>
    <w:rsid w:val="002F3627"/>
    <w:rsid w:val="002F599E"/>
    <w:rsid w:val="002F5B47"/>
    <w:rsid w:val="002F5DF4"/>
    <w:rsid w:val="003008D8"/>
    <w:rsid w:val="00301D9A"/>
    <w:rsid w:val="00303959"/>
    <w:rsid w:val="00304D31"/>
    <w:rsid w:val="00306E72"/>
    <w:rsid w:val="003112A9"/>
    <w:rsid w:val="00312AC3"/>
    <w:rsid w:val="00314430"/>
    <w:rsid w:val="003163BC"/>
    <w:rsid w:val="003205BA"/>
    <w:rsid w:val="003212D9"/>
    <w:rsid w:val="00321422"/>
    <w:rsid w:val="0032351A"/>
    <w:rsid w:val="00324B33"/>
    <w:rsid w:val="00325C62"/>
    <w:rsid w:val="00326F86"/>
    <w:rsid w:val="00327488"/>
    <w:rsid w:val="003301C8"/>
    <w:rsid w:val="00330AC8"/>
    <w:rsid w:val="003338E3"/>
    <w:rsid w:val="00336FE1"/>
    <w:rsid w:val="00337BD8"/>
    <w:rsid w:val="00340493"/>
    <w:rsid w:val="0034156A"/>
    <w:rsid w:val="00342D56"/>
    <w:rsid w:val="003456E7"/>
    <w:rsid w:val="00346EC2"/>
    <w:rsid w:val="003477F9"/>
    <w:rsid w:val="0035444D"/>
    <w:rsid w:val="00356D62"/>
    <w:rsid w:val="0036133D"/>
    <w:rsid w:val="00362FB4"/>
    <w:rsid w:val="003632B7"/>
    <w:rsid w:val="00363EE3"/>
    <w:rsid w:val="00363F86"/>
    <w:rsid w:val="003735F3"/>
    <w:rsid w:val="00374729"/>
    <w:rsid w:val="00374B04"/>
    <w:rsid w:val="00380DA0"/>
    <w:rsid w:val="00382448"/>
    <w:rsid w:val="00382530"/>
    <w:rsid w:val="00384AA9"/>
    <w:rsid w:val="003853CD"/>
    <w:rsid w:val="00387298"/>
    <w:rsid w:val="00387984"/>
    <w:rsid w:val="0039489C"/>
    <w:rsid w:val="00395140"/>
    <w:rsid w:val="003A2422"/>
    <w:rsid w:val="003A2766"/>
    <w:rsid w:val="003A3E6C"/>
    <w:rsid w:val="003A47EA"/>
    <w:rsid w:val="003A7C15"/>
    <w:rsid w:val="003B149C"/>
    <w:rsid w:val="003B3DBD"/>
    <w:rsid w:val="003C0FDB"/>
    <w:rsid w:val="003C1192"/>
    <w:rsid w:val="003C1A66"/>
    <w:rsid w:val="003C55E2"/>
    <w:rsid w:val="003C63D5"/>
    <w:rsid w:val="003C7AA8"/>
    <w:rsid w:val="003D115E"/>
    <w:rsid w:val="003D1F20"/>
    <w:rsid w:val="003D3351"/>
    <w:rsid w:val="003D67F0"/>
    <w:rsid w:val="003D71A1"/>
    <w:rsid w:val="003D7DAB"/>
    <w:rsid w:val="003E0D9F"/>
    <w:rsid w:val="003E1C55"/>
    <w:rsid w:val="003E380E"/>
    <w:rsid w:val="003E7C19"/>
    <w:rsid w:val="003F71DE"/>
    <w:rsid w:val="00401917"/>
    <w:rsid w:val="00407BF3"/>
    <w:rsid w:val="00410CEF"/>
    <w:rsid w:val="004121C5"/>
    <w:rsid w:val="0041688F"/>
    <w:rsid w:val="0041713D"/>
    <w:rsid w:val="0042376F"/>
    <w:rsid w:val="004246B8"/>
    <w:rsid w:val="004248F1"/>
    <w:rsid w:val="00425C50"/>
    <w:rsid w:val="00431BE4"/>
    <w:rsid w:val="00433318"/>
    <w:rsid w:val="00440866"/>
    <w:rsid w:val="004411D9"/>
    <w:rsid w:val="00442831"/>
    <w:rsid w:val="00442A56"/>
    <w:rsid w:val="004444B0"/>
    <w:rsid w:val="00446103"/>
    <w:rsid w:val="00447393"/>
    <w:rsid w:val="0045060B"/>
    <w:rsid w:val="00454AAD"/>
    <w:rsid w:val="00456A79"/>
    <w:rsid w:val="004626FF"/>
    <w:rsid w:val="0046285C"/>
    <w:rsid w:val="00467E5B"/>
    <w:rsid w:val="004706A0"/>
    <w:rsid w:val="00470A52"/>
    <w:rsid w:val="00470B39"/>
    <w:rsid w:val="00471BD5"/>
    <w:rsid w:val="004741BC"/>
    <w:rsid w:val="00476DD3"/>
    <w:rsid w:val="00477C4E"/>
    <w:rsid w:val="00477F07"/>
    <w:rsid w:val="00481503"/>
    <w:rsid w:val="00481D12"/>
    <w:rsid w:val="004854A6"/>
    <w:rsid w:val="004856BF"/>
    <w:rsid w:val="00485761"/>
    <w:rsid w:val="00491432"/>
    <w:rsid w:val="00491A55"/>
    <w:rsid w:val="00494C3E"/>
    <w:rsid w:val="00497B78"/>
    <w:rsid w:val="00497DF1"/>
    <w:rsid w:val="004A10E9"/>
    <w:rsid w:val="004A318E"/>
    <w:rsid w:val="004A407E"/>
    <w:rsid w:val="004A45D4"/>
    <w:rsid w:val="004A57E8"/>
    <w:rsid w:val="004A745B"/>
    <w:rsid w:val="004B3081"/>
    <w:rsid w:val="004B3DF1"/>
    <w:rsid w:val="004B4A09"/>
    <w:rsid w:val="004C18B5"/>
    <w:rsid w:val="004C41CE"/>
    <w:rsid w:val="004C631B"/>
    <w:rsid w:val="004D0933"/>
    <w:rsid w:val="004D0BBD"/>
    <w:rsid w:val="004D2F00"/>
    <w:rsid w:val="004D31D8"/>
    <w:rsid w:val="004D35D1"/>
    <w:rsid w:val="004D4AD5"/>
    <w:rsid w:val="004D5388"/>
    <w:rsid w:val="004E0DF3"/>
    <w:rsid w:val="004E7F16"/>
    <w:rsid w:val="004F18EC"/>
    <w:rsid w:val="004F4E56"/>
    <w:rsid w:val="004F5F03"/>
    <w:rsid w:val="005005D7"/>
    <w:rsid w:val="00500D68"/>
    <w:rsid w:val="005022AB"/>
    <w:rsid w:val="00511DD2"/>
    <w:rsid w:val="00524754"/>
    <w:rsid w:val="0053377D"/>
    <w:rsid w:val="005347AE"/>
    <w:rsid w:val="00535DFE"/>
    <w:rsid w:val="005373B5"/>
    <w:rsid w:val="00537AB7"/>
    <w:rsid w:val="00544730"/>
    <w:rsid w:val="0054513D"/>
    <w:rsid w:val="0054669B"/>
    <w:rsid w:val="0055591E"/>
    <w:rsid w:val="00557684"/>
    <w:rsid w:val="00560AA8"/>
    <w:rsid w:val="00560EC1"/>
    <w:rsid w:val="005610D1"/>
    <w:rsid w:val="00562B15"/>
    <w:rsid w:val="00562F42"/>
    <w:rsid w:val="00565739"/>
    <w:rsid w:val="0056766D"/>
    <w:rsid w:val="005717FB"/>
    <w:rsid w:val="00575215"/>
    <w:rsid w:val="0057665A"/>
    <w:rsid w:val="005775D0"/>
    <w:rsid w:val="00580983"/>
    <w:rsid w:val="00581138"/>
    <w:rsid w:val="005855C8"/>
    <w:rsid w:val="0058575E"/>
    <w:rsid w:val="0058783C"/>
    <w:rsid w:val="005911AE"/>
    <w:rsid w:val="005926E2"/>
    <w:rsid w:val="0059313A"/>
    <w:rsid w:val="005945CC"/>
    <w:rsid w:val="00597D81"/>
    <w:rsid w:val="005A1D67"/>
    <w:rsid w:val="005A54EA"/>
    <w:rsid w:val="005B023F"/>
    <w:rsid w:val="005B02A2"/>
    <w:rsid w:val="005B0688"/>
    <w:rsid w:val="005B0A9B"/>
    <w:rsid w:val="005B1417"/>
    <w:rsid w:val="005B2560"/>
    <w:rsid w:val="005B5793"/>
    <w:rsid w:val="005B69CF"/>
    <w:rsid w:val="005C0AF5"/>
    <w:rsid w:val="005C1866"/>
    <w:rsid w:val="005C3F07"/>
    <w:rsid w:val="005C4B46"/>
    <w:rsid w:val="005C5DC5"/>
    <w:rsid w:val="005D0E1E"/>
    <w:rsid w:val="005D2089"/>
    <w:rsid w:val="005D23BF"/>
    <w:rsid w:val="005D332D"/>
    <w:rsid w:val="005D4DCB"/>
    <w:rsid w:val="005D4E00"/>
    <w:rsid w:val="005D7514"/>
    <w:rsid w:val="005D79A0"/>
    <w:rsid w:val="005E0FC6"/>
    <w:rsid w:val="005E1A7B"/>
    <w:rsid w:val="005E231F"/>
    <w:rsid w:val="005E4AF2"/>
    <w:rsid w:val="005F605B"/>
    <w:rsid w:val="005F7FB5"/>
    <w:rsid w:val="00600763"/>
    <w:rsid w:val="00601C18"/>
    <w:rsid w:val="00602D6E"/>
    <w:rsid w:val="006035B4"/>
    <w:rsid w:val="00605C05"/>
    <w:rsid w:val="00606AFE"/>
    <w:rsid w:val="00607CFA"/>
    <w:rsid w:val="00611351"/>
    <w:rsid w:val="0061217D"/>
    <w:rsid w:val="006129AE"/>
    <w:rsid w:val="00613F7F"/>
    <w:rsid w:val="00614226"/>
    <w:rsid w:val="00617063"/>
    <w:rsid w:val="00625526"/>
    <w:rsid w:val="006277A1"/>
    <w:rsid w:val="006337D8"/>
    <w:rsid w:val="00633BD7"/>
    <w:rsid w:val="00634580"/>
    <w:rsid w:val="00634884"/>
    <w:rsid w:val="00634F3D"/>
    <w:rsid w:val="006351D9"/>
    <w:rsid w:val="00635DDE"/>
    <w:rsid w:val="00637130"/>
    <w:rsid w:val="006373B4"/>
    <w:rsid w:val="0063747B"/>
    <w:rsid w:val="00637F0E"/>
    <w:rsid w:val="00637FC3"/>
    <w:rsid w:val="006410B3"/>
    <w:rsid w:val="006423F2"/>
    <w:rsid w:val="006428C5"/>
    <w:rsid w:val="00644B41"/>
    <w:rsid w:val="00645290"/>
    <w:rsid w:val="00645865"/>
    <w:rsid w:val="0064774B"/>
    <w:rsid w:val="00650234"/>
    <w:rsid w:val="00652512"/>
    <w:rsid w:val="00654C08"/>
    <w:rsid w:val="0066044B"/>
    <w:rsid w:val="0066164B"/>
    <w:rsid w:val="00662C86"/>
    <w:rsid w:val="006630AA"/>
    <w:rsid w:val="00663544"/>
    <w:rsid w:val="00665FAD"/>
    <w:rsid w:val="00666539"/>
    <w:rsid w:val="00666911"/>
    <w:rsid w:val="00667D07"/>
    <w:rsid w:val="00667D7B"/>
    <w:rsid w:val="00675F81"/>
    <w:rsid w:val="0068143E"/>
    <w:rsid w:val="0068507D"/>
    <w:rsid w:val="006864F2"/>
    <w:rsid w:val="00686B29"/>
    <w:rsid w:val="00687A7A"/>
    <w:rsid w:val="00691AF2"/>
    <w:rsid w:val="00692B80"/>
    <w:rsid w:val="00692CCD"/>
    <w:rsid w:val="00692D51"/>
    <w:rsid w:val="00692F6A"/>
    <w:rsid w:val="00694DD7"/>
    <w:rsid w:val="0069636B"/>
    <w:rsid w:val="006A1762"/>
    <w:rsid w:val="006A19CE"/>
    <w:rsid w:val="006A1F0B"/>
    <w:rsid w:val="006A277A"/>
    <w:rsid w:val="006A5973"/>
    <w:rsid w:val="006B04F3"/>
    <w:rsid w:val="006B14B2"/>
    <w:rsid w:val="006B5E64"/>
    <w:rsid w:val="006B62E4"/>
    <w:rsid w:val="006B7126"/>
    <w:rsid w:val="006C367B"/>
    <w:rsid w:val="006C59A5"/>
    <w:rsid w:val="006C6B86"/>
    <w:rsid w:val="006D1CF0"/>
    <w:rsid w:val="006D4553"/>
    <w:rsid w:val="006D4A35"/>
    <w:rsid w:val="006D55CB"/>
    <w:rsid w:val="006D5C09"/>
    <w:rsid w:val="006D6B44"/>
    <w:rsid w:val="006E0287"/>
    <w:rsid w:val="006E0F71"/>
    <w:rsid w:val="006E27FE"/>
    <w:rsid w:val="006E6023"/>
    <w:rsid w:val="006F1314"/>
    <w:rsid w:val="006F16E2"/>
    <w:rsid w:val="006F2BC0"/>
    <w:rsid w:val="006F766B"/>
    <w:rsid w:val="00701110"/>
    <w:rsid w:val="00702E91"/>
    <w:rsid w:val="0070330F"/>
    <w:rsid w:val="00703624"/>
    <w:rsid w:val="007046ED"/>
    <w:rsid w:val="0070541F"/>
    <w:rsid w:val="0070619F"/>
    <w:rsid w:val="007072A1"/>
    <w:rsid w:val="0071060C"/>
    <w:rsid w:val="00710BC5"/>
    <w:rsid w:val="007121CA"/>
    <w:rsid w:val="0072003B"/>
    <w:rsid w:val="00720E84"/>
    <w:rsid w:val="00721059"/>
    <w:rsid w:val="007211E6"/>
    <w:rsid w:val="007220C4"/>
    <w:rsid w:val="00722E8C"/>
    <w:rsid w:val="007305ED"/>
    <w:rsid w:val="007311B9"/>
    <w:rsid w:val="00732361"/>
    <w:rsid w:val="00732D17"/>
    <w:rsid w:val="007357B9"/>
    <w:rsid w:val="00736AEE"/>
    <w:rsid w:val="007408A3"/>
    <w:rsid w:val="00740BC1"/>
    <w:rsid w:val="00741AB9"/>
    <w:rsid w:val="00742D03"/>
    <w:rsid w:val="00744216"/>
    <w:rsid w:val="007452E8"/>
    <w:rsid w:val="00746990"/>
    <w:rsid w:val="00747093"/>
    <w:rsid w:val="0075077A"/>
    <w:rsid w:val="00750D70"/>
    <w:rsid w:val="00751C4B"/>
    <w:rsid w:val="007548C4"/>
    <w:rsid w:val="00756538"/>
    <w:rsid w:val="007575D0"/>
    <w:rsid w:val="007662E0"/>
    <w:rsid w:val="00775AED"/>
    <w:rsid w:val="0077678F"/>
    <w:rsid w:val="00776E9C"/>
    <w:rsid w:val="007816D8"/>
    <w:rsid w:val="00784150"/>
    <w:rsid w:val="00793272"/>
    <w:rsid w:val="00793C0B"/>
    <w:rsid w:val="0079499A"/>
    <w:rsid w:val="00794B64"/>
    <w:rsid w:val="007967C3"/>
    <w:rsid w:val="007A0A33"/>
    <w:rsid w:val="007A4AE0"/>
    <w:rsid w:val="007B04DE"/>
    <w:rsid w:val="007B0AE6"/>
    <w:rsid w:val="007B26BA"/>
    <w:rsid w:val="007B6961"/>
    <w:rsid w:val="007C0F0B"/>
    <w:rsid w:val="007C1A3A"/>
    <w:rsid w:val="007C1D6F"/>
    <w:rsid w:val="007C2ED3"/>
    <w:rsid w:val="007C412D"/>
    <w:rsid w:val="007C4FB9"/>
    <w:rsid w:val="007C57BC"/>
    <w:rsid w:val="007C69C6"/>
    <w:rsid w:val="007C7667"/>
    <w:rsid w:val="007D04CA"/>
    <w:rsid w:val="007D0A2B"/>
    <w:rsid w:val="007D0E04"/>
    <w:rsid w:val="007D12A1"/>
    <w:rsid w:val="007D243C"/>
    <w:rsid w:val="007D40E5"/>
    <w:rsid w:val="007D4138"/>
    <w:rsid w:val="007D4359"/>
    <w:rsid w:val="007E3E8F"/>
    <w:rsid w:val="007E4178"/>
    <w:rsid w:val="007E6443"/>
    <w:rsid w:val="007E66A7"/>
    <w:rsid w:val="007F0A77"/>
    <w:rsid w:val="007F1E37"/>
    <w:rsid w:val="007F2A23"/>
    <w:rsid w:val="007F50D3"/>
    <w:rsid w:val="007F5FE8"/>
    <w:rsid w:val="007F6B1F"/>
    <w:rsid w:val="008013F0"/>
    <w:rsid w:val="00801E88"/>
    <w:rsid w:val="00803926"/>
    <w:rsid w:val="00804897"/>
    <w:rsid w:val="00805486"/>
    <w:rsid w:val="00810195"/>
    <w:rsid w:val="008104CF"/>
    <w:rsid w:val="008140C9"/>
    <w:rsid w:val="008162F5"/>
    <w:rsid w:val="008164EF"/>
    <w:rsid w:val="008220C5"/>
    <w:rsid w:val="008249C3"/>
    <w:rsid w:val="00831DC3"/>
    <w:rsid w:val="008329DB"/>
    <w:rsid w:val="008361C5"/>
    <w:rsid w:val="0083628F"/>
    <w:rsid w:val="00837AB9"/>
    <w:rsid w:val="008429B7"/>
    <w:rsid w:val="008473E9"/>
    <w:rsid w:val="00850637"/>
    <w:rsid w:val="008520B0"/>
    <w:rsid w:val="00854783"/>
    <w:rsid w:val="0085497B"/>
    <w:rsid w:val="00854D98"/>
    <w:rsid w:val="00855789"/>
    <w:rsid w:val="0085751E"/>
    <w:rsid w:val="00860B29"/>
    <w:rsid w:val="008622E8"/>
    <w:rsid w:val="0086267F"/>
    <w:rsid w:val="008632B3"/>
    <w:rsid w:val="008645EE"/>
    <w:rsid w:val="00870144"/>
    <w:rsid w:val="0087072C"/>
    <w:rsid w:val="008709D3"/>
    <w:rsid w:val="00871312"/>
    <w:rsid w:val="00873D7A"/>
    <w:rsid w:val="00876382"/>
    <w:rsid w:val="00877CB3"/>
    <w:rsid w:val="008804CF"/>
    <w:rsid w:val="00882D58"/>
    <w:rsid w:val="00882F19"/>
    <w:rsid w:val="00883D35"/>
    <w:rsid w:val="0088418E"/>
    <w:rsid w:val="00884569"/>
    <w:rsid w:val="00887A51"/>
    <w:rsid w:val="0089038A"/>
    <w:rsid w:val="00890D9B"/>
    <w:rsid w:val="00891C6C"/>
    <w:rsid w:val="00893CCD"/>
    <w:rsid w:val="008964B3"/>
    <w:rsid w:val="008A0A33"/>
    <w:rsid w:val="008A3ACF"/>
    <w:rsid w:val="008B1CB5"/>
    <w:rsid w:val="008B59EF"/>
    <w:rsid w:val="008C2D69"/>
    <w:rsid w:val="008C49C6"/>
    <w:rsid w:val="008C754C"/>
    <w:rsid w:val="008D56C9"/>
    <w:rsid w:val="008D56CA"/>
    <w:rsid w:val="008D6A54"/>
    <w:rsid w:val="008E2585"/>
    <w:rsid w:val="008E2D7A"/>
    <w:rsid w:val="008E6884"/>
    <w:rsid w:val="008F3215"/>
    <w:rsid w:val="008F3F54"/>
    <w:rsid w:val="008F498B"/>
    <w:rsid w:val="008F4A62"/>
    <w:rsid w:val="008F7256"/>
    <w:rsid w:val="00900CD3"/>
    <w:rsid w:val="00901700"/>
    <w:rsid w:val="00901D4D"/>
    <w:rsid w:val="0090424C"/>
    <w:rsid w:val="0090605E"/>
    <w:rsid w:val="00906C74"/>
    <w:rsid w:val="009108CE"/>
    <w:rsid w:val="00915A9F"/>
    <w:rsid w:val="0092079B"/>
    <w:rsid w:val="00930D58"/>
    <w:rsid w:val="00935AAA"/>
    <w:rsid w:val="0093706C"/>
    <w:rsid w:val="00937DCE"/>
    <w:rsid w:val="00943417"/>
    <w:rsid w:val="00944C82"/>
    <w:rsid w:val="0095031E"/>
    <w:rsid w:val="00954297"/>
    <w:rsid w:val="009548F9"/>
    <w:rsid w:val="0095635D"/>
    <w:rsid w:val="00960A56"/>
    <w:rsid w:val="00966EF1"/>
    <w:rsid w:val="00967223"/>
    <w:rsid w:val="0097105D"/>
    <w:rsid w:val="00973F46"/>
    <w:rsid w:val="009750F9"/>
    <w:rsid w:val="009751F7"/>
    <w:rsid w:val="00975617"/>
    <w:rsid w:val="00975A0B"/>
    <w:rsid w:val="00980A4D"/>
    <w:rsid w:val="0098168B"/>
    <w:rsid w:val="009826EA"/>
    <w:rsid w:val="0098350E"/>
    <w:rsid w:val="00990C12"/>
    <w:rsid w:val="0099404F"/>
    <w:rsid w:val="00996FA5"/>
    <w:rsid w:val="009A082B"/>
    <w:rsid w:val="009A0EE7"/>
    <w:rsid w:val="009A5BFF"/>
    <w:rsid w:val="009A7EE7"/>
    <w:rsid w:val="009B442B"/>
    <w:rsid w:val="009B4CE1"/>
    <w:rsid w:val="009B5662"/>
    <w:rsid w:val="009C2211"/>
    <w:rsid w:val="009C3822"/>
    <w:rsid w:val="009C40E8"/>
    <w:rsid w:val="009C45C5"/>
    <w:rsid w:val="009C7342"/>
    <w:rsid w:val="009C7970"/>
    <w:rsid w:val="009D18EA"/>
    <w:rsid w:val="009D1E96"/>
    <w:rsid w:val="009D7F4C"/>
    <w:rsid w:val="009E2CAF"/>
    <w:rsid w:val="009E3893"/>
    <w:rsid w:val="009E6858"/>
    <w:rsid w:val="009E6F8C"/>
    <w:rsid w:val="009E7B35"/>
    <w:rsid w:val="009F038C"/>
    <w:rsid w:val="009F405F"/>
    <w:rsid w:val="009F4565"/>
    <w:rsid w:val="00A01C56"/>
    <w:rsid w:val="00A12CC5"/>
    <w:rsid w:val="00A16021"/>
    <w:rsid w:val="00A206A1"/>
    <w:rsid w:val="00A20F3B"/>
    <w:rsid w:val="00A236A4"/>
    <w:rsid w:val="00A24E20"/>
    <w:rsid w:val="00A25810"/>
    <w:rsid w:val="00A32852"/>
    <w:rsid w:val="00A32C50"/>
    <w:rsid w:val="00A356A2"/>
    <w:rsid w:val="00A358E7"/>
    <w:rsid w:val="00A35D31"/>
    <w:rsid w:val="00A36C48"/>
    <w:rsid w:val="00A4380B"/>
    <w:rsid w:val="00A4501A"/>
    <w:rsid w:val="00A51A2D"/>
    <w:rsid w:val="00A553E6"/>
    <w:rsid w:val="00A5596B"/>
    <w:rsid w:val="00A61A83"/>
    <w:rsid w:val="00A63C07"/>
    <w:rsid w:val="00A63D9B"/>
    <w:rsid w:val="00A64B83"/>
    <w:rsid w:val="00A704DC"/>
    <w:rsid w:val="00A75650"/>
    <w:rsid w:val="00A872D1"/>
    <w:rsid w:val="00A93DC6"/>
    <w:rsid w:val="00A9411A"/>
    <w:rsid w:val="00A97F4B"/>
    <w:rsid w:val="00AA4A4B"/>
    <w:rsid w:val="00AA6682"/>
    <w:rsid w:val="00AA73E5"/>
    <w:rsid w:val="00AA7511"/>
    <w:rsid w:val="00AB05EB"/>
    <w:rsid w:val="00AB0613"/>
    <w:rsid w:val="00AB4772"/>
    <w:rsid w:val="00AB7C5C"/>
    <w:rsid w:val="00AB7CBF"/>
    <w:rsid w:val="00AC4D1D"/>
    <w:rsid w:val="00AD0111"/>
    <w:rsid w:val="00AD0B68"/>
    <w:rsid w:val="00AD40C3"/>
    <w:rsid w:val="00AD4C72"/>
    <w:rsid w:val="00AD5451"/>
    <w:rsid w:val="00AE1947"/>
    <w:rsid w:val="00AF1C8B"/>
    <w:rsid w:val="00AF299B"/>
    <w:rsid w:val="00AF7E43"/>
    <w:rsid w:val="00B02AE0"/>
    <w:rsid w:val="00B03BD6"/>
    <w:rsid w:val="00B03F25"/>
    <w:rsid w:val="00B05326"/>
    <w:rsid w:val="00B1143D"/>
    <w:rsid w:val="00B12C5D"/>
    <w:rsid w:val="00B14545"/>
    <w:rsid w:val="00B14E60"/>
    <w:rsid w:val="00B17BA2"/>
    <w:rsid w:val="00B244E0"/>
    <w:rsid w:val="00B26DC3"/>
    <w:rsid w:val="00B30B9D"/>
    <w:rsid w:val="00B315DE"/>
    <w:rsid w:val="00B40D64"/>
    <w:rsid w:val="00B424C7"/>
    <w:rsid w:val="00B449DE"/>
    <w:rsid w:val="00B4574D"/>
    <w:rsid w:val="00B468E1"/>
    <w:rsid w:val="00B46BC0"/>
    <w:rsid w:val="00B46D26"/>
    <w:rsid w:val="00B46DFB"/>
    <w:rsid w:val="00B5141B"/>
    <w:rsid w:val="00B54BA4"/>
    <w:rsid w:val="00B55681"/>
    <w:rsid w:val="00B5791A"/>
    <w:rsid w:val="00B57AAD"/>
    <w:rsid w:val="00B57DDD"/>
    <w:rsid w:val="00B62A99"/>
    <w:rsid w:val="00B6374E"/>
    <w:rsid w:val="00B72B16"/>
    <w:rsid w:val="00B74654"/>
    <w:rsid w:val="00B80200"/>
    <w:rsid w:val="00B80408"/>
    <w:rsid w:val="00B81397"/>
    <w:rsid w:val="00B814D1"/>
    <w:rsid w:val="00B8153B"/>
    <w:rsid w:val="00B85E87"/>
    <w:rsid w:val="00B925DB"/>
    <w:rsid w:val="00B967FF"/>
    <w:rsid w:val="00B974B9"/>
    <w:rsid w:val="00BA3F6D"/>
    <w:rsid w:val="00BA4BE6"/>
    <w:rsid w:val="00BA4FC0"/>
    <w:rsid w:val="00BA5376"/>
    <w:rsid w:val="00BA61E0"/>
    <w:rsid w:val="00BA657C"/>
    <w:rsid w:val="00BA7F7D"/>
    <w:rsid w:val="00BB12FC"/>
    <w:rsid w:val="00BB1413"/>
    <w:rsid w:val="00BB1C14"/>
    <w:rsid w:val="00BB3F55"/>
    <w:rsid w:val="00BB6847"/>
    <w:rsid w:val="00BB7F8F"/>
    <w:rsid w:val="00BC2508"/>
    <w:rsid w:val="00BC40D7"/>
    <w:rsid w:val="00BC47B6"/>
    <w:rsid w:val="00BC716A"/>
    <w:rsid w:val="00BD07DF"/>
    <w:rsid w:val="00BD2682"/>
    <w:rsid w:val="00BD26F4"/>
    <w:rsid w:val="00BD5DBD"/>
    <w:rsid w:val="00BD5DF6"/>
    <w:rsid w:val="00BE0041"/>
    <w:rsid w:val="00BE445F"/>
    <w:rsid w:val="00BE640F"/>
    <w:rsid w:val="00BE6D2A"/>
    <w:rsid w:val="00BF25A0"/>
    <w:rsid w:val="00BF2D2D"/>
    <w:rsid w:val="00BF2FE8"/>
    <w:rsid w:val="00BF338E"/>
    <w:rsid w:val="00BF4638"/>
    <w:rsid w:val="00BF5130"/>
    <w:rsid w:val="00C00844"/>
    <w:rsid w:val="00C044BF"/>
    <w:rsid w:val="00C059D0"/>
    <w:rsid w:val="00C07551"/>
    <w:rsid w:val="00C1109F"/>
    <w:rsid w:val="00C12697"/>
    <w:rsid w:val="00C12D65"/>
    <w:rsid w:val="00C133AB"/>
    <w:rsid w:val="00C1552D"/>
    <w:rsid w:val="00C16B10"/>
    <w:rsid w:val="00C1790D"/>
    <w:rsid w:val="00C20B56"/>
    <w:rsid w:val="00C22214"/>
    <w:rsid w:val="00C2614A"/>
    <w:rsid w:val="00C26F72"/>
    <w:rsid w:val="00C309A7"/>
    <w:rsid w:val="00C335AB"/>
    <w:rsid w:val="00C407AB"/>
    <w:rsid w:val="00C41F50"/>
    <w:rsid w:val="00C43E72"/>
    <w:rsid w:val="00C52B7B"/>
    <w:rsid w:val="00C547CD"/>
    <w:rsid w:val="00C55872"/>
    <w:rsid w:val="00C570FF"/>
    <w:rsid w:val="00C57CEA"/>
    <w:rsid w:val="00C60FEC"/>
    <w:rsid w:val="00C62B1C"/>
    <w:rsid w:val="00C6574E"/>
    <w:rsid w:val="00C663D1"/>
    <w:rsid w:val="00C707FD"/>
    <w:rsid w:val="00C712C3"/>
    <w:rsid w:val="00C76DEB"/>
    <w:rsid w:val="00C811D8"/>
    <w:rsid w:val="00C816C6"/>
    <w:rsid w:val="00C81EE2"/>
    <w:rsid w:val="00C863A7"/>
    <w:rsid w:val="00C869B9"/>
    <w:rsid w:val="00C912F4"/>
    <w:rsid w:val="00C9156F"/>
    <w:rsid w:val="00C9581A"/>
    <w:rsid w:val="00C97D29"/>
    <w:rsid w:val="00CA321B"/>
    <w:rsid w:val="00CB0550"/>
    <w:rsid w:val="00CB6813"/>
    <w:rsid w:val="00CB7A98"/>
    <w:rsid w:val="00CC1BB2"/>
    <w:rsid w:val="00CC1C0D"/>
    <w:rsid w:val="00CC313F"/>
    <w:rsid w:val="00CD234A"/>
    <w:rsid w:val="00CD3913"/>
    <w:rsid w:val="00CD48F4"/>
    <w:rsid w:val="00CF6A55"/>
    <w:rsid w:val="00CF6DC6"/>
    <w:rsid w:val="00CF6DCF"/>
    <w:rsid w:val="00D00AC9"/>
    <w:rsid w:val="00D00C0C"/>
    <w:rsid w:val="00D015A7"/>
    <w:rsid w:val="00D01DDB"/>
    <w:rsid w:val="00D0578D"/>
    <w:rsid w:val="00D078BE"/>
    <w:rsid w:val="00D10246"/>
    <w:rsid w:val="00D13F8A"/>
    <w:rsid w:val="00D163C2"/>
    <w:rsid w:val="00D16F60"/>
    <w:rsid w:val="00D22981"/>
    <w:rsid w:val="00D22E37"/>
    <w:rsid w:val="00D24F75"/>
    <w:rsid w:val="00D323A7"/>
    <w:rsid w:val="00D3349B"/>
    <w:rsid w:val="00D424A8"/>
    <w:rsid w:val="00D43BF0"/>
    <w:rsid w:val="00D44188"/>
    <w:rsid w:val="00D44599"/>
    <w:rsid w:val="00D517B4"/>
    <w:rsid w:val="00D5363F"/>
    <w:rsid w:val="00D57D8F"/>
    <w:rsid w:val="00D6036F"/>
    <w:rsid w:val="00D618E7"/>
    <w:rsid w:val="00D6216A"/>
    <w:rsid w:val="00D62877"/>
    <w:rsid w:val="00D63760"/>
    <w:rsid w:val="00D6427A"/>
    <w:rsid w:val="00D6703F"/>
    <w:rsid w:val="00D732B4"/>
    <w:rsid w:val="00D734EB"/>
    <w:rsid w:val="00D740B3"/>
    <w:rsid w:val="00D8270B"/>
    <w:rsid w:val="00D82713"/>
    <w:rsid w:val="00D86F00"/>
    <w:rsid w:val="00D918D5"/>
    <w:rsid w:val="00D9193A"/>
    <w:rsid w:val="00D91E6F"/>
    <w:rsid w:val="00D94C8E"/>
    <w:rsid w:val="00D95DCE"/>
    <w:rsid w:val="00D9600B"/>
    <w:rsid w:val="00DA5105"/>
    <w:rsid w:val="00DA6432"/>
    <w:rsid w:val="00DA6683"/>
    <w:rsid w:val="00DB1372"/>
    <w:rsid w:val="00DB192C"/>
    <w:rsid w:val="00DB1CF3"/>
    <w:rsid w:val="00DB512F"/>
    <w:rsid w:val="00DB540E"/>
    <w:rsid w:val="00DB5425"/>
    <w:rsid w:val="00DB72A6"/>
    <w:rsid w:val="00DC1347"/>
    <w:rsid w:val="00DC33AF"/>
    <w:rsid w:val="00DC6611"/>
    <w:rsid w:val="00DD405E"/>
    <w:rsid w:val="00DD5AFB"/>
    <w:rsid w:val="00DE1344"/>
    <w:rsid w:val="00DE17E8"/>
    <w:rsid w:val="00DE5063"/>
    <w:rsid w:val="00DE5D29"/>
    <w:rsid w:val="00DF1CFD"/>
    <w:rsid w:val="00DF5BFE"/>
    <w:rsid w:val="00DF771E"/>
    <w:rsid w:val="00E0523F"/>
    <w:rsid w:val="00E12F30"/>
    <w:rsid w:val="00E17C49"/>
    <w:rsid w:val="00E23E50"/>
    <w:rsid w:val="00E26213"/>
    <w:rsid w:val="00E274DF"/>
    <w:rsid w:val="00E27D3D"/>
    <w:rsid w:val="00E30EEA"/>
    <w:rsid w:val="00E31AFD"/>
    <w:rsid w:val="00E32228"/>
    <w:rsid w:val="00E32743"/>
    <w:rsid w:val="00E34D66"/>
    <w:rsid w:val="00E362C4"/>
    <w:rsid w:val="00E46CC2"/>
    <w:rsid w:val="00E471AD"/>
    <w:rsid w:val="00E47E0C"/>
    <w:rsid w:val="00E51433"/>
    <w:rsid w:val="00E51813"/>
    <w:rsid w:val="00E52C0B"/>
    <w:rsid w:val="00E53AAA"/>
    <w:rsid w:val="00E53D3F"/>
    <w:rsid w:val="00E5579B"/>
    <w:rsid w:val="00E57FF4"/>
    <w:rsid w:val="00E63637"/>
    <w:rsid w:val="00E64998"/>
    <w:rsid w:val="00E679D1"/>
    <w:rsid w:val="00E67C1C"/>
    <w:rsid w:val="00E710A2"/>
    <w:rsid w:val="00E723C6"/>
    <w:rsid w:val="00E72C26"/>
    <w:rsid w:val="00E73975"/>
    <w:rsid w:val="00E756D7"/>
    <w:rsid w:val="00E849C4"/>
    <w:rsid w:val="00E867BD"/>
    <w:rsid w:val="00E9166F"/>
    <w:rsid w:val="00E91F11"/>
    <w:rsid w:val="00E94482"/>
    <w:rsid w:val="00E95461"/>
    <w:rsid w:val="00E9706D"/>
    <w:rsid w:val="00EA3AF4"/>
    <w:rsid w:val="00EA68A7"/>
    <w:rsid w:val="00EB1E7C"/>
    <w:rsid w:val="00EB2262"/>
    <w:rsid w:val="00EB3AA3"/>
    <w:rsid w:val="00EB6FF0"/>
    <w:rsid w:val="00EB726B"/>
    <w:rsid w:val="00EB7BFF"/>
    <w:rsid w:val="00EC55E5"/>
    <w:rsid w:val="00ED3003"/>
    <w:rsid w:val="00ED3731"/>
    <w:rsid w:val="00EE027A"/>
    <w:rsid w:val="00EE2610"/>
    <w:rsid w:val="00EE4B01"/>
    <w:rsid w:val="00EE7BEF"/>
    <w:rsid w:val="00EF2746"/>
    <w:rsid w:val="00EF3F0B"/>
    <w:rsid w:val="00EF5583"/>
    <w:rsid w:val="00EF5F55"/>
    <w:rsid w:val="00EF757A"/>
    <w:rsid w:val="00F00D6A"/>
    <w:rsid w:val="00F0104F"/>
    <w:rsid w:val="00F0289D"/>
    <w:rsid w:val="00F02AEC"/>
    <w:rsid w:val="00F04E8F"/>
    <w:rsid w:val="00F07572"/>
    <w:rsid w:val="00F13EEE"/>
    <w:rsid w:val="00F150F5"/>
    <w:rsid w:val="00F157FC"/>
    <w:rsid w:val="00F27E26"/>
    <w:rsid w:val="00F30AF3"/>
    <w:rsid w:val="00F40325"/>
    <w:rsid w:val="00F4116F"/>
    <w:rsid w:val="00F4202B"/>
    <w:rsid w:val="00F42765"/>
    <w:rsid w:val="00F43CD1"/>
    <w:rsid w:val="00F45AE0"/>
    <w:rsid w:val="00F53633"/>
    <w:rsid w:val="00F56AEA"/>
    <w:rsid w:val="00F60CF2"/>
    <w:rsid w:val="00F615D3"/>
    <w:rsid w:val="00F657B4"/>
    <w:rsid w:val="00F67683"/>
    <w:rsid w:val="00F7171D"/>
    <w:rsid w:val="00F72725"/>
    <w:rsid w:val="00F7649F"/>
    <w:rsid w:val="00F76FC9"/>
    <w:rsid w:val="00F8083B"/>
    <w:rsid w:val="00F82D1B"/>
    <w:rsid w:val="00F831A6"/>
    <w:rsid w:val="00F8568E"/>
    <w:rsid w:val="00F860A3"/>
    <w:rsid w:val="00F865A7"/>
    <w:rsid w:val="00F871BE"/>
    <w:rsid w:val="00F91650"/>
    <w:rsid w:val="00F92684"/>
    <w:rsid w:val="00F94727"/>
    <w:rsid w:val="00FA0754"/>
    <w:rsid w:val="00FA1BC9"/>
    <w:rsid w:val="00FA20C7"/>
    <w:rsid w:val="00FA24DC"/>
    <w:rsid w:val="00FA2AA2"/>
    <w:rsid w:val="00FA42F9"/>
    <w:rsid w:val="00FA49C3"/>
    <w:rsid w:val="00FB0FD6"/>
    <w:rsid w:val="00FB236E"/>
    <w:rsid w:val="00FB3F7B"/>
    <w:rsid w:val="00FB4C2A"/>
    <w:rsid w:val="00FC082A"/>
    <w:rsid w:val="00FC2107"/>
    <w:rsid w:val="00FC2AED"/>
    <w:rsid w:val="00FC3BCA"/>
    <w:rsid w:val="00FC48FE"/>
    <w:rsid w:val="00FC6F56"/>
    <w:rsid w:val="00FD0754"/>
    <w:rsid w:val="00FD3255"/>
    <w:rsid w:val="00FE025C"/>
    <w:rsid w:val="00FE087C"/>
    <w:rsid w:val="00FE0C00"/>
    <w:rsid w:val="00FE79A0"/>
    <w:rsid w:val="00FF0939"/>
    <w:rsid w:val="00FF1437"/>
    <w:rsid w:val="00FF4129"/>
    <w:rsid w:val="00FF5C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970"/>
    <w:rPr>
      <w:rFonts w:ascii="Cambria" w:hAnsi="Cambria"/>
      <w:sz w:val="22"/>
    </w:rPr>
  </w:style>
  <w:style w:type="paragraph" w:styleId="Heading1">
    <w:name w:val="heading 1"/>
    <w:basedOn w:val="Normal"/>
    <w:next w:val="Normal"/>
    <w:link w:val="Heading1Char"/>
    <w:uiPriority w:val="9"/>
    <w:qFormat/>
    <w:rsid w:val="00F536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DE506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7Char">
    <w:name w:val="Heading 7 Char"/>
    <w:basedOn w:val="DefaultParagraphFont"/>
    <w:link w:val="Heading7"/>
    <w:uiPriority w:val="9"/>
    <w:rsid w:val="00DE5063"/>
    <w:rPr>
      <w:rFonts w:asciiTheme="majorHAnsi" w:eastAsiaTheme="majorEastAsia" w:hAnsiTheme="majorHAnsi" w:cstheme="majorBidi"/>
      <w:i/>
      <w:iCs/>
      <w:color w:val="1F3763" w:themeColor="accent1" w:themeShade="7F"/>
      <w:sz w:val="22"/>
    </w:rPr>
  </w:style>
  <w:style w:type="table" w:customStyle="1" w:styleId="TableGrid1">
    <w:name w:val="Table Grid1"/>
    <w:basedOn w:val="TableNormal"/>
    <w:next w:val="TableGrid"/>
    <w:uiPriority w:val="59"/>
    <w:rsid w:val="003D335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363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91225">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ga.gov.au/products/medicines/find-information-about-medicine/prescribing-medicines-pregnancy-database" TargetMode="External"/><Relationship Id="rId26" Type="http://schemas.openxmlformats.org/officeDocument/2006/relationships/hyperlink" Target="https://www.ebs.tga.gov.au/"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ga.gov.au/black-triangle-scheme"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ga.copyright@tga.gov.au" TargetMode="External"/><Relationship Id="rId20" Type="http://schemas.openxmlformats.org/officeDocument/2006/relationships/hyperlink" Target="https://www.tga.gov.au/how-we-regulate/supply-therapeutic-good-0/supply-prescription-medicine/application-process/prescription-medicines-registration-process"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tga.gov.au/australian-public-assessment-report-auspar-guidance" TargetMode="External"/><Relationship Id="rId23" Type="http://schemas.openxmlformats.org/officeDocument/2006/relationships/image" Target="media/image6.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tga.gov.au/obstetric-drug-information-services"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ga.gov.au/" TargetMode="External"/><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hyperlink" Target="https://www.tga.gov.au"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200/JCO.1992.10.1.117" TargetMode="External"/><Relationship Id="rId7" Type="http://schemas.openxmlformats.org/officeDocument/2006/relationships/hyperlink" Target="https://doi.org/10.1002/14651858.CD003917.pub4" TargetMode="External"/><Relationship Id="rId2" Type="http://schemas.openxmlformats.org/officeDocument/2006/relationships/hyperlink" Target="https://doi.org/10.1056/NEJM198809223191203" TargetMode="External"/><Relationship Id="rId1" Type="http://schemas.openxmlformats.org/officeDocument/2006/relationships/hyperlink" Target="https://doi.org/10.1016/s1734-1140(09)70018-0" TargetMode="External"/><Relationship Id="rId6" Type="http://schemas.openxmlformats.org/officeDocument/2006/relationships/hyperlink" Target="https://doi.org/10.1016/S2352-4642(22)00239-5" TargetMode="External"/><Relationship Id="rId5" Type="http://schemas.openxmlformats.org/officeDocument/2006/relationships/hyperlink" Target="https://doi.org/10.1200/JCO.1996.14.12.3112" TargetMode="External"/><Relationship Id="rId4" Type="http://schemas.openxmlformats.org/officeDocument/2006/relationships/hyperlink" Target="https://doi.org/10.1200/JCO.1997.15.4.131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Metadata/LabelInfo.xml><?xml version="1.0" encoding="utf-8"?>
<clbl:labelList xmlns:clbl="http://schemas.microsoft.com/office/2020/mipLabelMetadata">
  <clbl:label id="{87b3959f-2fe5-47f2-9087-2cd6b5a48179}" enabled="0" method="" siteId="{87b3959f-2fe5-47f2-9087-2cd6b5a48179}"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27</Pages>
  <Words>8336</Words>
  <Characters>47570</Characters>
  <Application>Microsoft Office Word</Application>
  <DocSecurity>0</DocSecurity>
  <Lines>959</Lines>
  <Paragraphs>469</Paragraphs>
  <ScaleCrop>false</ScaleCrop>
  <HeadingPairs>
    <vt:vector size="2" baseType="variant">
      <vt:variant>
        <vt:lpstr>Title</vt:lpstr>
      </vt:variant>
      <vt:variant>
        <vt:i4>1</vt:i4>
      </vt:variant>
    </vt:vector>
  </HeadingPairs>
  <TitlesOfParts>
    <vt:vector size="1" baseType="lpstr">
      <vt:lpstr>Australian public assessment report for Dexrazoxane-Reach</vt:lpstr>
    </vt:vector>
  </TitlesOfParts>
  <Company>Department of Health, Disability and Ageing</Company>
  <LinksUpToDate>false</LinksUpToDate>
  <CharactersWithSpaces>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Dexrazoxane-Reach</dc:title>
  <dc:subject>Prescription medicines</dc:subject>
  <dc:creator>Therapeutic Goods Administration</dc:creator>
  <cp:keywords/>
  <dc:description/>
  <cp:lastModifiedBy>LACK, Janet</cp:lastModifiedBy>
  <cp:revision>4</cp:revision>
  <dcterms:created xsi:type="dcterms:W3CDTF">2025-10-14T01:26:00Z</dcterms:created>
  <dcterms:modified xsi:type="dcterms:W3CDTF">2025-10-14T03:00:00Z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3ac291bc,146df98,160c10d0,1312da05,392c2028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69bfa776,2c01cc53,3b65b431,5e7c6a0d,16982d6f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2025-10-03T02:00:47Z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b2234ece-e2a3-42f4-bb05-0c4bb39dd1cf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