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7271" w14:textId="55E3E726" w:rsidR="00E5171C" w:rsidRPr="00537B07" w:rsidRDefault="00E5171C" w:rsidP="005D3387">
      <w:pPr>
        <w:pStyle w:val="Heading1"/>
        <w:spacing w:before="0" w:line="276" w:lineRule="auto"/>
        <w:ind w:left="425" w:firstLine="0"/>
        <w:rPr>
          <w:b w:val="0"/>
          <w:bCs w:val="0"/>
          <w:sz w:val="20"/>
          <w:szCs w:val="20"/>
        </w:rPr>
      </w:pPr>
      <w:bookmarkStart w:id="0" w:name="Australian_Product_Information_–Prasugre"/>
      <w:bookmarkEnd w:id="0"/>
      <w:r w:rsidRPr="00537B07">
        <w:rPr>
          <w:noProof/>
          <w:sz w:val="20"/>
          <w:szCs w:val="20"/>
        </w:rPr>
        <w:drawing>
          <wp:inline distT="0" distB="0" distL="0" distR="0" wp14:anchorId="0C01F435" wp14:editId="02EEEAB6">
            <wp:extent cx="184285" cy="149747"/>
            <wp:effectExtent l="0" t="0" r="6350" b="3175"/>
            <wp:docPr id="2" name="Picture 2" descr="black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triang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843" cy="158326"/>
                    </a:xfrm>
                    <a:prstGeom prst="rect">
                      <a:avLst/>
                    </a:prstGeom>
                    <a:noFill/>
                    <a:ln>
                      <a:noFill/>
                    </a:ln>
                  </pic:spPr>
                </pic:pic>
              </a:graphicData>
            </a:graphic>
          </wp:inline>
        </w:drawing>
      </w:r>
      <w:r w:rsidRPr="00537B07">
        <w:rPr>
          <w:b w:val="0"/>
          <w:bCs w:val="0"/>
          <w:sz w:val="20"/>
          <w:szCs w:val="20"/>
        </w:rPr>
        <w:t xml:space="preserve"> This medicinal product is subject to additional monitoring in Australia. This will allow quick identification of new safety information. Healthcare professionals are asked to report any suspected adverse events at </w:t>
      </w:r>
      <w:hyperlink r:id="rId9" w:history="1">
        <w:r w:rsidR="00581914" w:rsidRPr="00537B07">
          <w:rPr>
            <w:rStyle w:val="Hyperlink"/>
            <w:sz w:val="20"/>
            <w:szCs w:val="20"/>
          </w:rPr>
          <w:t>www.tga.gov.au/reporting-problems</w:t>
        </w:r>
      </w:hyperlink>
      <w:r w:rsidRPr="00537B07">
        <w:rPr>
          <w:b w:val="0"/>
          <w:bCs w:val="0"/>
          <w:sz w:val="20"/>
          <w:szCs w:val="20"/>
        </w:rPr>
        <w:t xml:space="preserve"> </w:t>
      </w:r>
    </w:p>
    <w:p w14:paraId="50F1DF6D" w14:textId="77777777" w:rsidR="00E5171C" w:rsidRDefault="00E5171C" w:rsidP="005D3387">
      <w:pPr>
        <w:pStyle w:val="Heading1"/>
        <w:spacing w:before="0" w:line="276" w:lineRule="auto"/>
        <w:ind w:left="425" w:firstLine="0"/>
      </w:pPr>
    </w:p>
    <w:p w14:paraId="37FAE0FD" w14:textId="43FA92B0" w:rsidR="001D778F" w:rsidRPr="00581914" w:rsidRDefault="00713FA7" w:rsidP="005D3387">
      <w:pPr>
        <w:pStyle w:val="Heading1"/>
        <w:spacing w:line="276" w:lineRule="auto"/>
        <w:ind w:left="426" w:firstLine="0"/>
        <w:rPr>
          <w:sz w:val="32"/>
          <w:szCs w:val="32"/>
        </w:rPr>
      </w:pPr>
      <w:r w:rsidRPr="00581914">
        <w:rPr>
          <w:sz w:val="32"/>
          <w:szCs w:val="32"/>
        </w:rPr>
        <w:t>AUSTRALIAN PRODUCT INFORMATION –</w:t>
      </w:r>
      <w:r w:rsidR="006B4156" w:rsidRPr="00581914">
        <w:rPr>
          <w:sz w:val="32"/>
          <w:szCs w:val="32"/>
        </w:rPr>
        <w:t xml:space="preserve"> </w:t>
      </w:r>
      <w:r w:rsidR="00585A9D">
        <w:rPr>
          <w:sz w:val="32"/>
          <w:szCs w:val="32"/>
        </w:rPr>
        <w:t>DEXRAZOXANE</w:t>
      </w:r>
      <w:r w:rsidR="001D778F" w:rsidRPr="00581914">
        <w:rPr>
          <w:sz w:val="32"/>
          <w:szCs w:val="32"/>
        </w:rPr>
        <w:t>-</w:t>
      </w:r>
      <w:r w:rsidR="00F1663A" w:rsidRPr="00581914">
        <w:rPr>
          <w:sz w:val="32"/>
          <w:szCs w:val="32"/>
        </w:rPr>
        <w:t xml:space="preserve">REACH </w:t>
      </w:r>
      <w:r w:rsidR="005956E7">
        <w:rPr>
          <w:sz w:val="32"/>
          <w:szCs w:val="32"/>
        </w:rPr>
        <w:t>(dexrazoxane)</w:t>
      </w:r>
      <w:r w:rsidR="00FD7C7F">
        <w:rPr>
          <w:sz w:val="32"/>
          <w:szCs w:val="32"/>
        </w:rPr>
        <w:t xml:space="preserve"> powder for injection</w:t>
      </w:r>
    </w:p>
    <w:p w14:paraId="72D862B5" w14:textId="201BEF9C" w:rsidR="001D778F" w:rsidRPr="00886186" w:rsidRDefault="00713FA7" w:rsidP="005D3387">
      <w:pPr>
        <w:pStyle w:val="ListParagraph"/>
        <w:numPr>
          <w:ilvl w:val="0"/>
          <w:numId w:val="8"/>
        </w:numPr>
        <w:tabs>
          <w:tab w:val="left" w:pos="973"/>
          <w:tab w:val="left" w:pos="975"/>
        </w:tabs>
        <w:spacing w:before="360" w:after="240" w:line="276" w:lineRule="auto"/>
        <w:ind w:left="975" w:hanging="550"/>
        <w:rPr>
          <w:b/>
          <w:sz w:val="28"/>
        </w:rPr>
      </w:pPr>
      <w:bookmarkStart w:id="1" w:name="1_Name_of_the_medicine"/>
      <w:bookmarkEnd w:id="1"/>
      <w:r w:rsidRPr="00DE57DB">
        <w:rPr>
          <w:b/>
          <w:sz w:val="28"/>
        </w:rPr>
        <w:t>NAME</w:t>
      </w:r>
      <w:r w:rsidRPr="00DE57DB">
        <w:rPr>
          <w:b/>
          <w:spacing w:val="-4"/>
          <w:sz w:val="28"/>
        </w:rPr>
        <w:t xml:space="preserve"> </w:t>
      </w:r>
      <w:r w:rsidRPr="00DE57DB">
        <w:rPr>
          <w:b/>
          <w:sz w:val="28"/>
        </w:rPr>
        <w:t>OF</w:t>
      </w:r>
      <w:r w:rsidRPr="00DE57DB">
        <w:rPr>
          <w:b/>
          <w:spacing w:val="-1"/>
          <w:sz w:val="28"/>
        </w:rPr>
        <w:t xml:space="preserve"> </w:t>
      </w:r>
      <w:r w:rsidRPr="00DE57DB">
        <w:rPr>
          <w:b/>
          <w:sz w:val="28"/>
        </w:rPr>
        <w:t>THE</w:t>
      </w:r>
      <w:r w:rsidRPr="00DE57DB">
        <w:rPr>
          <w:b/>
          <w:spacing w:val="-4"/>
          <w:sz w:val="28"/>
        </w:rPr>
        <w:t xml:space="preserve"> </w:t>
      </w:r>
      <w:r w:rsidRPr="00DE57DB">
        <w:rPr>
          <w:b/>
          <w:sz w:val="28"/>
        </w:rPr>
        <w:t>MEDICINE</w:t>
      </w:r>
    </w:p>
    <w:p w14:paraId="1D45EFCA" w14:textId="6C98622D" w:rsidR="00585A9D" w:rsidRPr="00155538" w:rsidRDefault="000A2A68" w:rsidP="005D3387">
      <w:pPr>
        <w:pStyle w:val="BodyText"/>
        <w:spacing w:before="0" w:after="240" w:line="276" w:lineRule="auto"/>
        <w:ind w:left="426"/>
        <w:jc w:val="left"/>
        <w:rPr>
          <w:sz w:val="24"/>
          <w:szCs w:val="24"/>
        </w:rPr>
      </w:pPr>
      <w:r>
        <w:rPr>
          <w:sz w:val="24"/>
          <w:szCs w:val="24"/>
        </w:rPr>
        <w:t>Dexrazoxane</w:t>
      </w:r>
    </w:p>
    <w:p w14:paraId="45D5F8FB" w14:textId="77777777" w:rsidR="00887CCD" w:rsidRPr="00DE57DB" w:rsidRDefault="00713FA7" w:rsidP="005D3387">
      <w:pPr>
        <w:pStyle w:val="Heading1"/>
        <w:numPr>
          <w:ilvl w:val="0"/>
          <w:numId w:val="8"/>
        </w:numPr>
        <w:tabs>
          <w:tab w:val="left" w:pos="973"/>
          <w:tab w:val="left" w:pos="975"/>
        </w:tabs>
        <w:spacing w:before="360" w:after="240" w:line="276" w:lineRule="auto"/>
        <w:ind w:left="975" w:hanging="550"/>
      </w:pPr>
      <w:bookmarkStart w:id="2" w:name="2_Qualitative_and_quantitative_compositi"/>
      <w:bookmarkEnd w:id="2"/>
      <w:r w:rsidRPr="00DE57DB">
        <w:t>QUALITATIVE</w:t>
      </w:r>
      <w:r w:rsidRPr="00DE57DB">
        <w:rPr>
          <w:spacing w:val="-4"/>
        </w:rPr>
        <w:t xml:space="preserve"> </w:t>
      </w:r>
      <w:r w:rsidRPr="00DE57DB">
        <w:t>AND</w:t>
      </w:r>
      <w:r w:rsidRPr="00DE57DB">
        <w:rPr>
          <w:spacing w:val="-3"/>
        </w:rPr>
        <w:t xml:space="preserve"> </w:t>
      </w:r>
      <w:r w:rsidRPr="00DE57DB">
        <w:t>QUANTITATIVE</w:t>
      </w:r>
      <w:r w:rsidRPr="00DE57DB">
        <w:rPr>
          <w:spacing w:val="-4"/>
        </w:rPr>
        <w:t xml:space="preserve"> </w:t>
      </w:r>
      <w:r w:rsidRPr="00DE57DB">
        <w:t>COMPOSITION</w:t>
      </w:r>
    </w:p>
    <w:p w14:paraId="08902055" w14:textId="2323B248" w:rsidR="00C76067" w:rsidRPr="00C76067" w:rsidRDefault="00C76067" w:rsidP="005D3387">
      <w:pPr>
        <w:pStyle w:val="NormalWeb"/>
        <w:shd w:val="clear" w:color="auto" w:fill="FFFFFF"/>
        <w:spacing w:before="0" w:beforeAutospacing="0" w:after="150" w:afterAutospacing="0" w:line="276" w:lineRule="auto"/>
        <w:ind w:left="426"/>
        <w:rPr>
          <w:rFonts w:ascii="Calibri" w:eastAsia="Calibri" w:hAnsi="Calibri" w:cs="Calibri"/>
          <w:lang w:eastAsia="en-US"/>
        </w:rPr>
      </w:pPr>
      <w:r>
        <w:rPr>
          <w:rFonts w:ascii="Calibri" w:eastAsia="Calibri" w:hAnsi="Calibri" w:cs="Calibri"/>
          <w:lang w:eastAsia="en-US"/>
        </w:rPr>
        <w:t xml:space="preserve">250 mg vial: </w:t>
      </w:r>
      <w:r w:rsidR="006B5D8D">
        <w:rPr>
          <w:rFonts w:ascii="Calibri" w:eastAsia="Calibri" w:hAnsi="Calibri" w:cs="Calibri"/>
          <w:lang w:eastAsia="en-US"/>
        </w:rPr>
        <w:t>Each</w:t>
      </w:r>
      <w:r w:rsidRPr="00C76067">
        <w:rPr>
          <w:rFonts w:ascii="Calibri" w:eastAsia="Calibri" w:hAnsi="Calibri" w:cs="Calibri"/>
          <w:lang w:eastAsia="en-US"/>
        </w:rPr>
        <w:t xml:space="preserve"> vial of powder contains </w:t>
      </w:r>
      <w:r>
        <w:rPr>
          <w:rFonts w:ascii="Calibri" w:eastAsia="Calibri" w:hAnsi="Calibri" w:cs="Calibri"/>
          <w:lang w:eastAsia="en-US"/>
        </w:rPr>
        <w:t>25</w:t>
      </w:r>
      <w:r w:rsidRPr="00C76067">
        <w:rPr>
          <w:rFonts w:ascii="Calibri" w:eastAsia="Calibri" w:hAnsi="Calibri" w:cs="Calibri"/>
          <w:lang w:eastAsia="en-US"/>
        </w:rPr>
        <w:t>0 mg of dexrazoxane</w:t>
      </w:r>
      <w:r w:rsidR="0047363C">
        <w:rPr>
          <w:rFonts w:ascii="Calibri" w:eastAsia="Calibri" w:hAnsi="Calibri" w:cs="Calibri"/>
          <w:lang w:eastAsia="en-US"/>
        </w:rPr>
        <w:t>.</w:t>
      </w:r>
    </w:p>
    <w:p w14:paraId="17052A81" w14:textId="169356D4" w:rsidR="00C76067" w:rsidRPr="00C76067" w:rsidRDefault="00C76067" w:rsidP="005D3387">
      <w:pPr>
        <w:pStyle w:val="NormalWeb"/>
        <w:shd w:val="clear" w:color="auto" w:fill="FFFFFF"/>
        <w:spacing w:before="0" w:beforeAutospacing="0" w:after="150" w:afterAutospacing="0" w:line="276" w:lineRule="auto"/>
        <w:ind w:left="426"/>
        <w:rPr>
          <w:rFonts w:ascii="Calibri" w:eastAsia="Calibri" w:hAnsi="Calibri" w:cs="Calibri"/>
          <w:lang w:eastAsia="en-US"/>
        </w:rPr>
      </w:pPr>
      <w:r>
        <w:rPr>
          <w:rFonts w:ascii="Calibri" w:eastAsia="Calibri" w:hAnsi="Calibri" w:cs="Calibri"/>
          <w:lang w:eastAsia="en-US"/>
        </w:rPr>
        <w:t xml:space="preserve">500 mg vial: </w:t>
      </w:r>
      <w:r w:rsidR="006B5D8D">
        <w:rPr>
          <w:rFonts w:ascii="Calibri" w:eastAsia="Calibri" w:hAnsi="Calibri" w:cs="Calibri"/>
          <w:lang w:eastAsia="en-US"/>
        </w:rPr>
        <w:t>Each</w:t>
      </w:r>
      <w:r w:rsidRPr="00C76067">
        <w:rPr>
          <w:rFonts w:ascii="Calibri" w:eastAsia="Calibri" w:hAnsi="Calibri" w:cs="Calibri"/>
          <w:lang w:eastAsia="en-US"/>
        </w:rPr>
        <w:t xml:space="preserve"> vial of powder contains 500 mg of dexrazoxane</w:t>
      </w:r>
      <w:r w:rsidR="0047363C">
        <w:rPr>
          <w:rFonts w:ascii="Calibri" w:eastAsia="Calibri" w:hAnsi="Calibri" w:cs="Calibri"/>
          <w:lang w:eastAsia="en-US"/>
        </w:rPr>
        <w:t>.</w:t>
      </w:r>
    </w:p>
    <w:p w14:paraId="0B4A73CA" w14:textId="27153369" w:rsidR="004F2636" w:rsidRPr="00C76067" w:rsidRDefault="00C76067" w:rsidP="005D3387">
      <w:pPr>
        <w:pStyle w:val="NormalWeb"/>
        <w:shd w:val="clear" w:color="auto" w:fill="FFFFFF"/>
        <w:spacing w:before="0" w:beforeAutospacing="0" w:after="240" w:afterAutospacing="0" w:line="276" w:lineRule="auto"/>
        <w:ind w:left="426"/>
        <w:rPr>
          <w:rFonts w:ascii="Calibri" w:eastAsia="Calibri" w:hAnsi="Calibri" w:cs="Calibri"/>
          <w:lang w:eastAsia="en-US"/>
        </w:rPr>
      </w:pPr>
      <w:r w:rsidRPr="00C76067">
        <w:rPr>
          <w:rFonts w:ascii="Calibri" w:eastAsia="Calibri" w:hAnsi="Calibri" w:cs="Calibri"/>
          <w:lang w:eastAsia="en-US"/>
        </w:rPr>
        <w:t>For the full list of excipients, see section 6.1.</w:t>
      </w:r>
    </w:p>
    <w:p w14:paraId="1A75C59F" w14:textId="2C148BC0" w:rsidR="004F2636" w:rsidRPr="00DE57DB" w:rsidRDefault="00713FA7" w:rsidP="005D3387">
      <w:pPr>
        <w:pStyle w:val="Heading1"/>
        <w:numPr>
          <w:ilvl w:val="0"/>
          <w:numId w:val="8"/>
        </w:numPr>
        <w:tabs>
          <w:tab w:val="left" w:pos="973"/>
          <w:tab w:val="left" w:pos="975"/>
        </w:tabs>
        <w:spacing w:before="360" w:line="276" w:lineRule="auto"/>
        <w:ind w:left="975" w:hanging="550"/>
      </w:pPr>
      <w:r w:rsidRPr="00DE57DB">
        <w:t>PHARMACEUTICAL</w:t>
      </w:r>
      <w:r w:rsidRPr="00DE57DB">
        <w:rPr>
          <w:spacing w:val="-15"/>
        </w:rPr>
        <w:t xml:space="preserve"> </w:t>
      </w:r>
      <w:r w:rsidRPr="00DE57DB">
        <w:t>FORM</w:t>
      </w:r>
      <w:bookmarkStart w:id="3" w:name="4_Clinical_particulars"/>
      <w:bookmarkEnd w:id="3"/>
    </w:p>
    <w:p w14:paraId="5601727B" w14:textId="3FEB3782" w:rsidR="00C76067" w:rsidRDefault="00FE06E9" w:rsidP="005D3387">
      <w:pPr>
        <w:pStyle w:val="NormalWeb"/>
        <w:shd w:val="clear" w:color="auto" w:fill="FFFFFF"/>
        <w:spacing w:before="240" w:beforeAutospacing="0" w:after="240" w:afterAutospacing="0" w:line="276" w:lineRule="auto"/>
        <w:ind w:left="426"/>
        <w:rPr>
          <w:rFonts w:ascii="Calibri" w:eastAsia="Calibri" w:hAnsi="Calibri" w:cs="Calibri"/>
          <w:lang w:eastAsia="en-US"/>
        </w:rPr>
      </w:pPr>
      <w:r>
        <w:rPr>
          <w:rFonts w:ascii="Calibri" w:eastAsia="Calibri" w:hAnsi="Calibri" w:cs="Calibri"/>
          <w:lang w:eastAsia="en-US"/>
        </w:rPr>
        <w:t>DEXRAZOXANE-REACH is an o</w:t>
      </w:r>
      <w:r w:rsidRPr="00FE06E9">
        <w:rPr>
          <w:rFonts w:ascii="Calibri" w:eastAsia="Calibri" w:hAnsi="Calibri" w:cs="Calibri"/>
          <w:lang w:eastAsia="en-US"/>
        </w:rPr>
        <w:t>ff white to Pale Yellow Lyophilized cake/powder</w:t>
      </w:r>
      <w:r w:rsidR="008067C3">
        <w:rPr>
          <w:rFonts w:ascii="Calibri" w:eastAsia="Calibri" w:hAnsi="Calibri" w:cs="Calibri"/>
          <w:lang w:eastAsia="en-US"/>
        </w:rPr>
        <w:t>.</w:t>
      </w:r>
    </w:p>
    <w:p w14:paraId="745CE1BC" w14:textId="1269B648" w:rsidR="00F65721" w:rsidRPr="00F65721" w:rsidRDefault="00F65721" w:rsidP="005D3387">
      <w:pPr>
        <w:adjustRightInd w:val="0"/>
        <w:spacing w:before="120" w:after="120"/>
        <w:ind w:left="426"/>
        <w:contextualSpacing/>
      </w:pPr>
      <w:r w:rsidRPr="002D142E">
        <w:rPr>
          <w:sz w:val="24"/>
          <w:szCs w:val="24"/>
        </w:rPr>
        <w:t>When reconstituted, yields a clear, colourless to light pink solution, free of visible particles</w:t>
      </w:r>
      <w:r w:rsidR="001B1FA9">
        <w:rPr>
          <w:sz w:val="24"/>
          <w:szCs w:val="24"/>
        </w:rPr>
        <w:t>.</w:t>
      </w:r>
    </w:p>
    <w:p w14:paraId="3D8B59D9" w14:textId="77777777" w:rsidR="00887CCD" w:rsidRPr="00DE57DB" w:rsidRDefault="00713FA7" w:rsidP="005D3387">
      <w:pPr>
        <w:pStyle w:val="Heading1"/>
        <w:numPr>
          <w:ilvl w:val="0"/>
          <w:numId w:val="8"/>
        </w:numPr>
        <w:tabs>
          <w:tab w:val="left" w:pos="973"/>
          <w:tab w:val="left" w:pos="975"/>
        </w:tabs>
        <w:spacing w:before="360" w:after="120" w:line="276" w:lineRule="auto"/>
        <w:ind w:left="976" w:hanging="550"/>
      </w:pPr>
      <w:r w:rsidRPr="00DE57DB">
        <w:t>CLINICAL</w:t>
      </w:r>
      <w:r w:rsidRPr="00DE57DB">
        <w:rPr>
          <w:spacing w:val="-12"/>
        </w:rPr>
        <w:t xml:space="preserve"> </w:t>
      </w:r>
      <w:r w:rsidRPr="00DE57DB">
        <w:t>PARTICULARS</w:t>
      </w:r>
    </w:p>
    <w:p w14:paraId="2602A450" w14:textId="77777777" w:rsidR="00887CCD" w:rsidRPr="00DE57DB" w:rsidRDefault="00713FA7" w:rsidP="005D3387">
      <w:pPr>
        <w:pStyle w:val="ListParagraph"/>
        <w:numPr>
          <w:ilvl w:val="1"/>
          <w:numId w:val="8"/>
        </w:numPr>
        <w:tabs>
          <w:tab w:val="left" w:pos="975"/>
        </w:tabs>
        <w:spacing w:before="167" w:after="240" w:line="276" w:lineRule="auto"/>
        <w:ind w:left="851"/>
        <w:rPr>
          <w:b/>
          <w:sz w:val="23"/>
          <w:szCs w:val="23"/>
        </w:rPr>
      </w:pPr>
      <w:bookmarkStart w:id="4" w:name="4.1_Therapeutic_indications"/>
      <w:bookmarkEnd w:id="4"/>
      <w:r w:rsidRPr="00DE57DB">
        <w:rPr>
          <w:b/>
          <w:sz w:val="23"/>
          <w:szCs w:val="23"/>
        </w:rPr>
        <w:t>THERAPEUTIC</w:t>
      </w:r>
      <w:r w:rsidRPr="00DE57DB">
        <w:rPr>
          <w:b/>
          <w:spacing w:val="-10"/>
          <w:sz w:val="23"/>
          <w:szCs w:val="23"/>
        </w:rPr>
        <w:t xml:space="preserve"> </w:t>
      </w:r>
      <w:r w:rsidRPr="00DE57DB">
        <w:rPr>
          <w:b/>
          <w:sz w:val="23"/>
          <w:szCs w:val="23"/>
        </w:rPr>
        <w:t>INDICATIONS</w:t>
      </w:r>
    </w:p>
    <w:p w14:paraId="5059C42D" w14:textId="5F7037AE" w:rsidR="0005246C" w:rsidRPr="00AE1FEF" w:rsidRDefault="00C76067" w:rsidP="005D3387">
      <w:pPr>
        <w:shd w:val="clear" w:color="auto" w:fill="FFFFFF"/>
        <w:spacing w:line="276" w:lineRule="auto"/>
        <w:ind w:left="426"/>
        <w:rPr>
          <w:rFonts w:asciiTheme="minorHAnsi" w:eastAsiaTheme="minorHAnsi" w:hAnsiTheme="minorHAnsi" w:cstheme="minorHAnsi"/>
          <w:color w:val="000000"/>
          <w:sz w:val="24"/>
          <w:szCs w:val="24"/>
          <w:shd w:val="clear" w:color="auto" w:fill="FFFFFF"/>
          <w:lang w:val="en-GB"/>
        </w:rPr>
      </w:pPr>
      <w:r w:rsidRPr="00AE1FEF">
        <w:rPr>
          <w:rFonts w:asciiTheme="minorHAnsi" w:eastAsiaTheme="minorHAnsi" w:hAnsiTheme="minorHAnsi" w:cstheme="minorHAnsi"/>
          <w:color w:val="000000"/>
          <w:sz w:val="24"/>
          <w:szCs w:val="24"/>
          <w:shd w:val="clear" w:color="auto" w:fill="FFFFFF"/>
          <w:lang w:val="en-GB"/>
        </w:rPr>
        <w:t>DEXRAZOXANE-REACH is indicated for reducing the incidence and severity of cardiomyopathy associated with doxorubicin administration in women with metastatic breast cancer who have received a cumulative doxorubicin dose of 300 mg/m</w:t>
      </w:r>
      <w:r w:rsidRPr="00AE1FEF">
        <w:rPr>
          <w:rFonts w:asciiTheme="minorHAnsi" w:eastAsiaTheme="minorHAnsi" w:hAnsiTheme="minorHAnsi" w:cstheme="minorHAnsi"/>
          <w:color w:val="000000"/>
          <w:sz w:val="24"/>
          <w:szCs w:val="24"/>
          <w:shd w:val="clear" w:color="auto" w:fill="FFFFFF"/>
          <w:vertAlign w:val="superscript"/>
          <w:lang w:val="en-GB"/>
        </w:rPr>
        <w:t>2</w:t>
      </w:r>
      <w:r w:rsidRPr="00AE1FEF">
        <w:rPr>
          <w:rFonts w:asciiTheme="minorHAnsi" w:eastAsiaTheme="minorHAnsi" w:hAnsiTheme="minorHAnsi" w:cstheme="minorHAnsi"/>
          <w:color w:val="000000"/>
          <w:sz w:val="24"/>
          <w:szCs w:val="24"/>
          <w:shd w:val="clear" w:color="auto" w:fill="FFFFFF"/>
          <w:lang w:val="en-GB"/>
        </w:rPr>
        <w:t xml:space="preserve"> and who will continue to receive doxorubicin therapy to maintain tumo</w:t>
      </w:r>
      <w:r w:rsidR="00F7540D">
        <w:rPr>
          <w:rFonts w:asciiTheme="minorHAnsi" w:eastAsiaTheme="minorHAnsi" w:hAnsiTheme="minorHAnsi" w:cstheme="minorHAnsi"/>
          <w:color w:val="000000"/>
          <w:sz w:val="24"/>
          <w:szCs w:val="24"/>
          <w:shd w:val="clear" w:color="auto" w:fill="FFFFFF"/>
          <w:lang w:val="en-GB"/>
        </w:rPr>
        <w:t>u</w:t>
      </w:r>
      <w:r w:rsidRPr="00AE1FEF">
        <w:rPr>
          <w:rFonts w:asciiTheme="minorHAnsi" w:eastAsiaTheme="minorHAnsi" w:hAnsiTheme="minorHAnsi" w:cstheme="minorHAnsi"/>
          <w:color w:val="000000"/>
          <w:sz w:val="24"/>
          <w:szCs w:val="24"/>
          <w:shd w:val="clear" w:color="auto" w:fill="FFFFFF"/>
          <w:lang w:val="en-GB"/>
        </w:rPr>
        <w:t xml:space="preserve">r control. </w:t>
      </w:r>
      <w:r w:rsidR="0005246C" w:rsidRPr="00886186">
        <w:rPr>
          <w:rFonts w:asciiTheme="minorHAnsi" w:eastAsiaTheme="minorHAnsi" w:hAnsiTheme="minorHAnsi" w:cstheme="minorHAnsi"/>
          <w:color w:val="000000"/>
          <w:sz w:val="24"/>
          <w:szCs w:val="24"/>
          <w:shd w:val="clear" w:color="auto" w:fill="FFFFFF"/>
          <w:lang w:val="en-GB"/>
        </w:rPr>
        <w:t xml:space="preserve"> </w:t>
      </w:r>
    </w:p>
    <w:p w14:paraId="68C42EA5" w14:textId="229027E3" w:rsidR="001D3854" w:rsidRPr="008909C7" w:rsidRDefault="00713FA7" w:rsidP="005D3387">
      <w:pPr>
        <w:pStyle w:val="ListParagraph"/>
        <w:numPr>
          <w:ilvl w:val="1"/>
          <w:numId w:val="8"/>
        </w:numPr>
        <w:tabs>
          <w:tab w:val="left" w:pos="975"/>
        </w:tabs>
        <w:spacing w:before="240" w:line="276" w:lineRule="auto"/>
        <w:ind w:left="851"/>
        <w:rPr>
          <w:b/>
          <w:sz w:val="23"/>
          <w:szCs w:val="23"/>
        </w:rPr>
      </w:pPr>
      <w:r w:rsidRPr="00DE57DB">
        <w:rPr>
          <w:b/>
          <w:sz w:val="23"/>
          <w:szCs w:val="23"/>
        </w:rPr>
        <w:t>DOSE</w:t>
      </w:r>
      <w:r w:rsidRPr="00DE57DB">
        <w:rPr>
          <w:b/>
          <w:spacing w:val="-5"/>
          <w:sz w:val="23"/>
          <w:szCs w:val="23"/>
        </w:rPr>
        <w:t xml:space="preserve"> </w:t>
      </w:r>
      <w:r w:rsidRPr="00DE57DB">
        <w:rPr>
          <w:b/>
          <w:sz w:val="23"/>
          <w:szCs w:val="23"/>
        </w:rPr>
        <w:t>AND</w:t>
      </w:r>
      <w:r w:rsidRPr="00DE57DB">
        <w:rPr>
          <w:b/>
          <w:spacing w:val="-4"/>
          <w:sz w:val="23"/>
          <w:szCs w:val="23"/>
        </w:rPr>
        <w:t xml:space="preserve"> </w:t>
      </w:r>
      <w:r w:rsidRPr="00DE57DB">
        <w:rPr>
          <w:b/>
          <w:sz w:val="23"/>
          <w:szCs w:val="23"/>
        </w:rPr>
        <w:t>METHOD</w:t>
      </w:r>
      <w:r w:rsidRPr="00DE57DB">
        <w:rPr>
          <w:b/>
          <w:spacing w:val="-4"/>
          <w:sz w:val="23"/>
          <w:szCs w:val="23"/>
        </w:rPr>
        <w:t xml:space="preserve"> </w:t>
      </w:r>
      <w:r w:rsidRPr="00DE57DB">
        <w:rPr>
          <w:b/>
          <w:sz w:val="23"/>
          <w:szCs w:val="23"/>
        </w:rPr>
        <w:t>OF</w:t>
      </w:r>
      <w:r w:rsidRPr="00DE57DB">
        <w:rPr>
          <w:b/>
          <w:spacing w:val="-5"/>
          <w:sz w:val="23"/>
          <w:szCs w:val="23"/>
        </w:rPr>
        <w:t xml:space="preserve"> </w:t>
      </w:r>
      <w:r w:rsidRPr="00DE57DB">
        <w:rPr>
          <w:b/>
          <w:sz w:val="23"/>
          <w:szCs w:val="23"/>
        </w:rPr>
        <w:t>ADMINISTRATION</w:t>
      </w:r>
    </w:p>
    <w:p w14:paraId="06D05AB7" w14:textId="77777777" w:rsidR="00554674" w:rsidRPr="002D142E" w:rsidRDefault="00554674" w:rsidP="005D3387">
      <w:pPr>
        <w:spacing w:before="240" w:after="240" w:line="276" w:lineRule="auto"/>
        <w:ind w:left="426"/>
        <w:rPr>
          <w:rFonts w:asciiTheme="minorHAnsi" w:eastAsiaTheme="minorHAnsi" w:hAnsiTheme="minorHAnsi" w:cstheme="minorHAnsi"/>
          <w:color w:val="000000"/>
          <w:sz w:val="24"/>
          <w:szCs w:val="24"/>
          <w:shd w:val="clear" w:color="auto" w:fill="FFFFFF"/>
          <w:lang w:val="en-GB"/>
        </w:rPr>
      </w:pPr>
      <w:r w:rsidRPr="002D142E">
        <w:rPr>
          <w:rFonts w:asciiTheme="minorHAnsi" w:eastAsiaTheme="minorHAnsi" w:hAnsiTheme="minorHAnsi" w:cstheme="minorHAnsi"/>
          <w:color w:val="000000"/>
          <w:sz w:val="24"/>
          <w:szCs w:val="24"/>
          <w:shd w:val="clear" w:color="auto" w:fill="FFFFFF"/>
          <w:lang w:val="en-GB"/>
        </w:rPr>
        <w:t xml:space="preserve">DEXRAZOXANE-REACH is a cardioprotective agent for use in conjunction with doxorubicin, is a sterile, pyrogen-free lyophilizate intended for intravenous administration. </w:t>
      </w:r>
    </w:p>
    <w:p w14:paraId="08DE0515" w14:textId="5BB9CEEF" w:rsidR="008E1ED2" w:rsidRPr="00AE43CC" w:rsidRDefault="00212145" w:rsidP="005D3387">
      <w:pPr>
        <w:adjustRightInd w:val="0"/>
        <w:spacing w:before="240" w:after="120"/>
        <w:ind w:left="425"/>
        <w:rPr>
          <w:rFonts w:asciiTheme="minorHAnsi" w:hAnsiTheme="minorHAnsi" w:cstheme="minorHAnsi"/>
          <w:sz w:val="24"/>
          <w:szCs w:val="24"/>
          <w:shd w:val="clear" w:color="auto" w:fill="FFFFFF"/>
        </w:rPr>
      </w:pPr>
      <w:r w:rsidRPr="00AE43CC">
        <w:rPr>
          <w:rFonts w:asciiTheme="minorHAnsi" w:hAnsiTheme="minorHAnsi" w:cstheme="minorHAnsi"/>
          <w:sz w:val="24"/>
          <w:szCs w:val="24"/>
          <w:shd w:val="clear" w:color="auto" w:fill="FFFFFF"/>
        </w:rPr>
        <w:t xml:space="preserve">DEXRAZOXANE-REACH </w:t>
      </w:r>
      <w:r w:rsidR="003536C9" w:rsidRPr="00AE43CC">
        <w:rPr>
          <w:rFonts w:asciiTheme="minorHAnsi" w:hAnsiTheme="minorHAnsi" w:cstheme="minorHAnsi"/>
          <w:sz w:val="24"/>
          <w:szCs w:val="24"/>
          <w:shd w:val="clear" w:color="auto" w:fill="FFFFFF"/>
        </w:rPr>
        <w:t>must only be administered under the supervision of a physician</w:t>
      </w:r>
      <w:r w:rsidR="00AE1FEF" w:rsidRPr="00AE43CC">
        <w:rPr>
          <w:rFonts w:asciiTheme="minorHAnsi" w:hAnsiTheme="minorHAnsi" w:cstheme="minorHAnsi"/>
          <w:sz w:val="24"/>
          <w:szCs w:val="24"/>
          <w:shd w:val="clear" w:color="auto" w:fill="FFFFFF"/>
        </w:rPr>
        <w:t xml:space="preserve"> </w:t>
      </w:r>
      <w:r w:rsidR="003536C9" w:rsidRPr="00AE43CC">
        <w:rPr>
          <w:rFonts w:asciiTheme="minorHAnsi" w:hAnsiTheme="minorHAnsi" w:cstheme="minorHAnsi"/>
          <w:sz w:val="24"/>
          <w:szCs w:val="24"/>
          <w:shd w:val="clear" w:color="auto" w:fill="FFFFFF"/>
        </w:rPr>
        <w:t>experienced in the use of cytotoxic agents.</w:t>
      </w:r>
    </w:p>
    <w:p w14:paraId="1742BCB0" w14:textId="77777777" w:rsidR="00280EA5" w:rsidRPr="00212145" w:rsidRDefault="00280EA5" w:rsidP="005D3387">
      <w:pPr>
        <w:pStyle w:val="NormalWeb"/>
        <w:shd w:val="clear" w:color="auto" w:fill="FFFFFF"/>
        <w:spacing w:before="120" w:beforeAutospacing="0" w:after="150" w:afterAutospacing="0" w:line="276" w:lineRule="auto"/>
        <w:ind w:left="425"/>
        <w:rPr>
          <w:rFonts w:asciiTheme="minorHAnsi" w:eastAsiaTheme="minorHAnsi" w:hAnsiTheme="minorHAnsi" w:cstheme="minorHAnsi"/>
          <w:color w:val="000000"/>
          <w:u w:val="single"/>
          <w:shd w:val="clear" w:color="auto" w:fill="FFFFFF"/>
          <w:lang w:val="en-GB" w:eastAsia="en-US"/>
        </w:rPr>
      </w:pPr>
      <w:r w:rsidRPr="00212145">
        <w:rPr>
          <w:rFonts w:asciiTheme="minorHAnsi" w:eastAsiaTheme="minorHAnsi" w:hAnsiTheme="minorHAnsi" w:cstheme="minorHAnsi"/>
          <w:color w:val="000000"/>
          <w:u w:val="single"/>
          <w:shd w:val="clear" w:color="auto" w:fill="FFFFFF"/>
          <w:lang w:val="en-GB" w:eastAsia="en-US"/>
        </w:rPr>
        <w:t>Posology</w:t>
      </w:r>
    </w:p>
    <w:p w14:paraId="2B618F67" w14:textId="77777777" w:rsidR="008D4FE1" w:rsidRPr="008D4FE1" w:rsidRDefault="008D4FE1" w:rsidP="005D3387">
      <w:pPr>
        <w:pStyle w:val="NormalWeb"/>
        <w:shd w:val="clear" w:color="auto" w:fill="FFFFFF"/>
        <w:spacing w:before="0" w:beforeAutospacing="0" w:after="150" w:afterAutospacing="0" w:line="276" w:lineRule="auto"/>
        <w:ind w:left="426"/>
        <w:rPr>
          <w:rFonts w:asciiTheme="minorHAnsi" w:eastAsiaTheme="minorHAnsi" w:hAnsiTheme="minorHAnsi" w:cstheme="minorHAnsi"/>
          <w:color w:val="000000"/>
          <w:shd w:val="clear" w:color="auto" w:fill="FFFFFF"/>
          <w:lang w:val="en-GB" w:eastAsia="en-US"/>
        </w:rPr>
      </w:pPr>
      <w:r w:rsidRPr="008D4FE1">
        <w:rPr>
          <w:rFonts w:asciiTheme="minorHAnsi" w:eastAsiaTheme="minorHAnsi" w:hAnsiTheme="minorHAnsi" w:cstheme="minorHAnsi"/>
          <w:color w:val="000000"/>
          <w:shd w:val="clear" w:color="auto" w:fill="FFFFFF"/>
          <w:lang w:val="en-GB" w:eastAsia="en-US"/>
        </w:rPr>
        <w:t>Administer dexrazoxane for injection via intravenous infusion over 15 minutes. DO NOT ADMINISTER VIA AN INTRAVENOUS PUSH.</w:t>
      </w:r>
    </w:p>
    <w:p w14:paraId="3B595299" w14:textId="77777777" w:rsidR="003A1634" w:rsidRDefault="008D4FE1" w:rsidP="005D3387">
      <w:pPr>
        <w:pStyle w:val="NormalWeb"/>
        <w:shd w:val="clear" w:color="auto" w:fill="FFFFFF"/>
        <w:spacing w:before="0" w:beforeAutospacing="0" w:after="120" w:afterAutospacing="0"/>
        <w:ind w:left="425"/>
        <w:rPr>
          <w:rFonts w:asciiTheme="minorHAnsi" w:eastAsiaTheme="minorHAnsi" w:hAnsiTheme="minorHAnsi" w:cstheme="minorHAnsi"/>
          <w:color w:val="000000"/>
          <w:shd w:val="clear" w:color="auto" w:fill="FFFFFF"/>
          <w:lang w:val="en-GB" w:eastAsia="en-US"/>
        </w:rPr>
      </w:pPr>
      <w:r w:rsidRPr="008D4FE1">
        <w:rPr>
          <w:rFonts w:asciiTheme="minorHAnsi" w:eastAsiaTheme="minorHAnsi" w:hAnsiTheme="minorHAnsi" w:cstheme="minorHAnsi"/>
          <w:color w:val="000000"/>
          <w:shd w:val="clear" w:color="auto" w:fill="FFFFFF"/>
          <w:lang w:val="en-GB" w:eastAsia="en-US"/>
        </w:rPr>
        <w:lastRenderedPageBreak/>
        <w:t xml:space="preserve">The recommended dosage ratio of dexrazoxane for injection to doxorubicin is 10:1 (e.g., </w:t>
      </w:r>
    </w:p>
    <w:p w14:paraId="13E199B2" w14:textId="0F293816" w:rsidR="00280EA5" w:rsidRPr="00212145" w:rsidRDefault="008D4FE1" w:rsidP="005D3387">
      <w:pPr>
        <w:pStyle w:val="NormalWeb"/>
        <w:shd w:val="clear" w:color="auto" w:fill="FFFFFF"/>
        <w:spacing w:before="0" w:beforeAutospacing="0" w:after="120" w:afterAutospacing="0" w:line="276" w:lineRule="auto"/>
        <w:ind w:left="425"/>
        <w:rPr>
          <w:rFonts w:asciiTheme="minorHAnsi" w:eastAsiaTheme="minorHAnsi" w:hAnsiTheme="minorHAnsi" w:cstheme="minorHAnsi"/>
          <w:color w:val="000000"/>
          <w:shd w:val="clear" w:color="auto" w:fill="FFFFFF"/>
          <w:lang w:val="en-GB" w:eastAsia="en-US"/>
        </w:rPr>
      </w:pPr>
      <w:r w:rsidRPr="008D4FE1">
        <w:rPr>
          <w:rFonts w:asciiTheme="minorHAnsi" w:eastAsiaTheme="minorHAnsi" w:hAnsiTheme="minorHAnsi" w:cstheme="minorHAnsi"/>
          <w:color w:val="000000"/>
          <w:shd w:val="clear" w:color="auto" w:fill="FFFFFF"/>
          <w:lang w:val="en-GB" w:eastAsia="en-US"/>
        </w:rPr>
        <w:t>500 mg/m</w:t>
      </w:r>
      <w:r w:rsidRPr="00CE3C9D">
        <w:rPr>
          <w:rFonts w:asciiTheme="minorHAnsi" w:eastAsiaTheme="minorHAnsi" w:hAnsiTheme="minorHAnsi" w:cstheme="minorHAnsi"/>
          <w:color w:val="000000"/>
          <w:vertAlign w:val="superscript"/>
          <w:lang w:val="en-GB" w:eastAsia="en-US"/>
        </w:rPr>
        <w:t>2</w:t>
      </w:r>
      <w:r w:rsidRPr="008D4FE1">
        <w:rPr>
          <w:rFonts w:asciiTheme="minorHAnsi" w:eastAsiaTheme="minorHAnsi" w:hAnsiTheme="minorHAnsi" w:cstheme="minorHAnsi"/>
          <w:color w:val="000000"/>
          <w:shd w:val="clear" w:color="auto" w:fill="FFFFFF"/>
          <w:lang w:val="en-GB" w:eastAsia="en-US"/>
        </w:rPr>
        <w:t> dexrazoxane for injection to 50 mg/m</w:t>
      </w:r>
      <w:r w:rsidRPr="00CE3C9D">
        <w:rPr>
          <w:rFonts w:asciiTheme="minorHAnsi" w:eastAsiaTheme="minorHAnsi" w:hAnsiTheme="minorHAnsi" w:cstheme="minorHAnsi"/>
          <w:color w:val="000000"/>
          <w:vertAlign w:val="superscript"/>
          <w:lang w:val="en-GB" w:eastAsia="en-US"/>
        </w:rPr>
        <w:t>2</w:t>
      </w:r>
      <w:r w:rsidRPr="008D4FE1">
        <w:rPr>
          <w:rFonts w:asciiTheme="minorHAnsi" w:eastAsiaTheme="minorHAnsi" w:hAnsiTheme="minorHAnsi" w:cstheme="minorHAnsi"/>
          <w:color w:val="000000"/>
          <w:shd w:val="clear" w:color="auto" w:fill="FFFFFF"/>
          <w:lang w:val="en-GB" w:eastAsia="en-US"/>
        </w:rPr>
        <w:t> doxorubicin). Do not administer doxorubicin before dexrazoxane for injection. Administer doxorubicin within 30 minutes after the completion of dexrazoxane for injection infusion.</w:t>
      </w:r>
      <w:r w:rsidR="00CE3C9D">
        <w:rPr>
          <w:rFonts w:asciiTheme="minorHAnsi" w:eastAsiaTheme="minorHAnsi" w:hAnsiTheme="minorHAnsi" w:cstheme="minorHAnsi"/>
          <w:color w:val="000000"/>
          <w:shd w:val="clear" w:color="auto" w:fill="FFFFFF"/>
          <w:lang w:val="en-GB" w:eastAsia="en-US"/>
        </w:rPr>
        <w:t xml:space="preserve"> </w:t>
      </w:r>
    </w:p>
    <w:p w14:paraId="47F8402C" w14:textId="77777777" w:rsidR="00280EA5" w:rsidRPr="00212145" w:rsidRDefault="00280EA5" w:rsidP="005D3387">
      <w:pPr>
        <w:pStyle w:val="NormalWeb"/>
        <w:shd w:val="clear" w:color="auto" w:fill="FFFFFF"/>
        <w:spacing w:before="240" w:beforeAutospacing="0" w:after="150" w:afterAutospacing="0" w:line="276" w:lineRule="auto"/>
        <w:ind w:left="425"/>
        <w:rPr>
          <w:rFonts w:asciiTheme="minorHAnsi" w:eastAsiaTheme="minorHAnsi" w:hAnsiTheme="minorHAnsi" w:cstheme="minorHAnsi"/>
          <w:b/>
          <w:bCs/>
          <w:color w:val="000000"/>
          <w:shd w:val="clear" w:color="auto" w:fill="FFFFFF"/>
          <w:lang w:val="en-GB" w:eastAsia="en-US"/>
        </w:rPr>
      </w:pPr>
      <w:r w:rsidRPr="00212145">
        <w:rPr>
          <w:rFonts w:asciiTheme="minorHAnsi" w:eastAsiaTheme="minorHAnsi" w:hAnsiTheme="minorHAnsi" w:cstheme="minorHAnsi"/>
          <w:b/>
          <w:bCs/>
          <w:color w:val="000000"/>
          <w:shd w:val="clear" w:color="auto" w:fill="FFFFFF"/>
          <w:lang w:val="en-GB" w:eastAsia="en-US"/>
        </w:rPr>
        <w:t>Method of administration</w:t>
      </w:r>
    </w:p>
    <w:p w14:paraId="19C2BB91" w14:textId="385FFC76" w:rsidR="00280EA5" w:rsidRPr="003B377B" w:rsidRDefault="00280EA5" w:rsidP="005D3387">
      <w:pPr>
        <w:pStyle w:val="NormalWeb"/>
        <w:shd w:val="clear" w:color="auto" w:fill="FFFFFF"/>
        <w:spacing w:before="0" w:beforeAutospacing="0" w:after="150" w:afterAutospacing="0" w:line="276" w:lineRule="auto"/>
        <w:ind w:left="426"/>
        <w:rPr>
          <w:rFonts w:asciiTheme="minorHAnsi" w:hAnsiTheme="minorHAnsi" w:cstheme="minorHAnsi"/>
          <w:color w:val="161616"/>
        </w:rPr>
      </w:pPr>
      <w:r w:rsidRPr="003B377B">
        <w:rPr>
          <w:rFonts w:asciiTheme="minorHAnsi" w:hAnsiTheme="minorHAnsi" w:cstheme="minorHAnsi"/>
          <w:color w:val="161616"/>
        </w:rPr>
        <w:t>Intravenous use</w:t>
      </w:r>
      <w:r w:rsidR="009D1B2B">
        <w:rPr>
          <w:rFonts w:asciiTheme="minorHAnsi" w:hAnsiTheme="minorHAnsi" w:cstheme="minorHAnsi"/>
          <w:color w:val="161616"/>
        </w:rPr>
        <w:t>.</w:t>
      </w:r>
    </w:p>
    <w:p w14:paraId="4A908AED" w14:textId="16B6D983" w:rsidR="003B377B" w:rsidRPr="003B377B" w:rsidRDefault="003B377B" w:rsidP="005D3387">
      <w:pPr>
        <w:widowControl/>
        <w:adjustRightInd w:val="0"/>
        <w:ind w:left="426"/>
        <w:rPr>
          <w:rFonts w:asciiTheme="minorHAnsi" w:eastAsia="Times New Roman" w:hAnsiTheme="minorHAnsi" w:cstheme="minorHAnsi"/>
          <w:color w:val="161616"/>
          <w:sz w:val="24"/>
          <w:szCs w:val="24"/>
        </w:rPr>
      </w:pPr>
      <w:bookmarkStart w:id="5" w:name="_Hlk174717262"/>
      <w:r w:rsidRPr="003B377B">
        <w:rPr>
          <w:rFonts w:asciiTheme="minorHAnsi" w:eastAsia="Times New Roman" w:hAnsiTheme="minorHAnsi" w:cstheme="minorHAnsi"/>
          <w:color w:val="161616"/>
          <w:sz w:val="24"/>
          <w:szCs w:val="24"/>
          <w:lang w:eastAsia="en-AU"/>
        </w:rPr>
        <w:t>For use in one patient on one occasion</w:t>
      </w:r>
      <w:r>
        <w:rPr>
          <w:rFonts w:asciiTheme="minorHAnsi" w:eastAsia="Times New Roman" w:hAnsiTheme="minorHAnsi" w:cstheme="minorHAnsi"/>
          <w:color w:val="161616"/>
          <w:sz w:val="24"/>
          <w:szCs w:val="24"/>
          <w:lang w:eastAsia="en-AU"/>
        </w:rPr>
        <w:t xml:space="preserve"> </w:t>
      </w:r>
      <w:r w:rsidRPr="003B377B">
        <w:rPr>
          <w:rFonts w:asciiTheme="minorHAnsi" w:eastAsia="Times New Roman" w:hAnsiTheme="minorHAnsi" w:cstheme="minorHAnsi"/>
          <w:color w:val="161616"/>
          <w:sz w:val="24"/>
          <w:szCs w:val="24"/>
        </w:rPr>
        <w:t>only. Discard any unused portion.</w:t>
      </w:r>
    </w:p>
    <w:bookmarkEnd w:id="5"/>
    <w:p w14:paraId="3DE0D1F8" w14:textId="1D9DD211" w:rsidR="000062DC" w:rsidRPr="003C088B" w:rsidRDefault="000062DC" w:rsidP="005D3387">
      <w:pPr>
        <w:pStyle w:val="NormalWeb"/>
        <w:shd w:val="clear" w:color="auto" w:fill="FFFFFF"/>
        <w:spacing w:before="120" w:beforeAutospacing="0" w:after="150" w:afterAutospacing="0" w:line="276" w:lineRule="auto"/>
        <w:ind w:left="425"/>
        <w:rPr>
          <w:rFonts w:asciiTheme="minorHAnsi" w:hAnsiTheme="minorHAnsi" w:cstheme="minorHAnsi"/>
          <w:color w:val="161616"/>
        </w:rPr>
      </w:pPr>
      <w:r w:rsidRPr="003C088B">
        <w:rPr>
          <w:rFonts w:asciiTheme="minorHAnsi" w:hAnsiTheme="minorHAnsi" w:cstheme="minorHAnsi"/>
          <w:color w:val="161616"/>
          <w:u w:val="single"/>
        </w:rPr>
        <w:t>Recommendations for safe handling</w:t>
      </w:r>
    </w:p>
    <w:p w14:paraId="74E3DF8C" w14:textId="77777777" w:rsidR="000062DC" w:rsidRPr="003C088B" w:rsidRDefault="000062DC" w:rsidP="005D3387">
      <w:pPr>
        <w:pStyle w:val="NormalWeb"/>
        <w:shd w:val="clear" w:color="auto" w:fill="FFFFFF"/>
        <w:spacing w:before="0" w:beforeAutospacing="0" w:after="150" w:afterAutospacing="0" w:line="276" w:lineRule="auto"/>
        <w:ind w:left="426"/>
        <w:rPr>
          <w:rFonts w:asciiTheme="minorHAnsi" w:hAnsiTheme="minorHAnsi" w:cstheme="minorHAnsi"/>
          <w:color w:val="161616"/>
        </w:rPr>
      </w:pPr>
      <w:r w:rsidRPr="003C088B">
        <w:rPr>
          <w:rFonts w:asciiTheme="minorHAnsi" w:hAnsiTheme="minorHAnsi" w:cstheme="minorHAnsi"/>
          <w:color w:val="161616"/>
        </w:rPr>
        <w:t xml:space="preserve">Prescribers should refer to national or recognised guidelines on handling cytotoxic agents when using </w:t>
      </w:r>
      <w:r>
        <w:rPr>
          <w:rFonts w:asciiTheme="minorHAnsi" w:hAnsiTheme="minorHAnsi" w:cstheme="minorHAnsi"/>
          <w:color w:val="161616"/>
        </w:rPr>
        <w:t>DEXRAZOXANE-REACH</w:t>
      </w:r>
      <w:r w:rsidRPr="003C088B">
        <w:rPr>
          <w:rFonts w:asciiTheme="minorHAnsi" w:hAnsiTheme="minorHAnsi" w:cstheme="minorHAnsi"/>
          <w:color w:val="161616"/>
        </w:rPr>
        <w:t>. Reconstitution should only be carried out by trained staff in a cytotoxic designated area. The preparation should not be handled by pregnant staff.</w:t>
      </w:r>
    </w:p>
    <w:p w14:paraId="6503F07F" w14:textId="77777777" w:rsidR="000062DC" w:rsidRPr="003C088B" w:rsidRDefault="000062DC" w:rsidP="005D3387">
      <w:pPr>
        <w:pStyle w:val="NormalWeb"/>
        <w:shd w:val="clear" w:color="auto" w:fill="FFFFFF"/>
        <w:spacing w:before="0" w:beforeAutospacing="0" w:after="150" w:afterAutospacing="0" w:line="276" w:lineRule="auto"/>
        <w:ind w:left="426"/>
        <w:rPr>
          <w:rFonts w:asciiTheme="minorHAnsi" w:hAnsiTheme="minorHAnsi" w:cstheme="minorHAnsi"/>
          <w:color w:val="161616"/>
        </w:rPr>
      </w:pPr>
      <w:r w:rsidRPr="003C088B">
        <w:rPr>
          <w:rFonts w:asciiTheme="minorHAnsi" w:hAnsiTheme="minorHAnsi" w:cstheme="minorHAnsi"/>
          <w:color w:val="161616"/>
        </w:rPr>
        <w:t xml:space="preserve">Use of gloves and other protective clothing to prevent skin contact is recommended. Skin reactions have been reported following contact with </w:t>
      </w:r>
      <w:r>
        <w:rPr>
          <w:rFonts w:asciiTheme="minorHAnsi" w:hAnsiTheme="minorHAnsi" w:cstheme="minorHAnsi"/>
          <w:color w:val="161616"/>
        </w:rPr>
        <w:t>DEXRAZOXANE-REACH</w:t>
      </w:r>
      <w:r w:rsidRPr="003C088B">
        <w:rPr>
          <w:rFonts w:asciiTheme="minorHAnsi" w:hAnsiTheme="minorHAnsi" w:cstheme="minorHAnsi"/>
          <w:color w:val="161616"/>
        </w:rPr>
        <w:t xml:space="preserve">. If </w:t>
      </w:r>
      <w:r>
        <w:rPr>
          <w:rFonts w:asciiTheme="minorHAnsi" w:hAnsiTheme="minorHAnsi" w:cstheme="minorHAnsi"/>
          <w:color w:val="161616"/>
        </w:rPr>
        <w:t>DEXRAZOXANE-REACH</w:t>
      </w:r>
      <w:r w:rsidRPr="003C088B">
        <w:rPr>
          <w:rFonts w:asciiTheme="minorHAnsi" w:hAnsiTheme="minorHAnsi" w:cstheme="minorHAnsi"/>
          <w:color w:val="161616"/>
        </w:rPr>
        <w:t xml:space="preserve"> powder or solution </w:t>
      </w:r>
      <w:proofErr w:type="gramStart"/>
      <w:r w:rsidRPr="003C088B">
        <w:rPr>
          <w:rFonts w:asciiTheme="minorHAnsi" w:hAnsiTheme="minorHAnsi" w:cstheme="minorHAnsi"/>
          <w:color w:val="161616"/>
        </w:rPr>
        <w:t>comes into contact with</w:t>
      </w:r>
      <w:proofErr w:type="gramEnd"/>
      <w:r w:rsidRPr="003C088B">
        <w:rPr>
          <w:rFonts w:asciiTheme="minorHAnsi" w:hAnsiTheme="minorHAnsi" w:cstheme="minorHAnsi"/>
          <w:color w:val="161616"/>
        </w:rPr>
        <w:t xml:space="preserve"> the skin or mucosal surfaces, the affected area should immediately be rinsed thoroughly with water.</w:t>
      </w:r>
    </w:p>
    <w:p w14:paraId="632E350A" w14:textId="77777777" w:rsidR="000062DC" w:rsidRPr="003C088B" w:rsidRDefault="000062DC" w:rsidP="005D3387">
      <w:pPr>
        <w:pStyle w:val="NormalWeb"/>
        <w:shd w:val="clear" w:color="auto" w:fill="FFFFFF"/>
        <w:spacing w:before="0" w:beforeAutospacing="0" w:after="150" w:afterAutospacing="0" w:line="276" w:lineRule="auto"/>
        <w:ind w:left="426"/>
        <w:rPr>
          <w:rFonts w:asciiTheme="minorHAnsi" w:hAnsiTheme="minorHAnsi" w:cstheme="minorHAnsi"/>
          <w:color w:val="161616"/>
        </w:rPr>
      </w:pPr>
      <w:r w:rsidRPr="003C088B">
        <w:rPr>
          <w:rFonts w:asciiTheme="minorHAnsi" w:hAnsiTheme="minorHAnsi" w:cstheme="minorHAnsi"/>
          <w:color w:val="161616"/>
          <w:u w:val="single"/>
        </w:rPr>
        <w:t>Preparation for intravenous administration</w:t>
      </w:r>
    </w:p>
    <w:p w14:paraId="7EB5B8F7" w14:textId="77777777" w:rsidR="000062DC" w:rsidRPr="003C088B" w:rsidRDefault="000062DC" w:rsidP="005D3387">
      <w:pPr>
        <w:pStyle w:val="NormalWeb"/>
        <w:shd w:val="clear" w:color="auto" w:fill="FFFFFF"/>
        <w:spacing w:before="0" w:beforeAutospacing="0" w:after="150" w:afterAutospacing="0" w:line="276" w:lineRule="auto"/>
        <w:ind w:left="426"/>
        <w:rPr>
          <w:rFonts w:asciiTheme="minorHAnsi" w:hAnsiTheme="minorHAnsi" w:cstheme="minorHAnsi"/>
          <w:color w:val="161616"/>
        </w:rPr>
      </w:pPr>
      <w:r w:rsidRPr="003C088B">
        <w:rPr>
          <w:rFonts w:asciiTheme="minorHAnsi" w:hAnsiTheme="minorHAnsi" w:cstheme="minorHAnsi"/>
          <w:i/>
          <w:iCs/>
          <w:color w:val="161616"/>
        </w:rPr>
        <w:t xml:space="preserve">Reconstitution of </w:t>
      </w:r>
      <w:r>
        <w:rPr>
          <w:rFonts w:asciiTheme="minorHAnsi" w:hAnsiTheme="minorHAnsi" w:cstheme="minorHAnsi"/>
          <w:i/>
          <w:iCs/>
          <w:color w:val="161616"/>
        </w:rPr>
        <w:t>DEXRAZOXANE-REACH</w:t>
      </w:r>
    </w:p>
    <w:p w14:paraId="1C85D0FF" w14:textId="435C282A" w:rsidR="000062DC" w:rsidRPr="003C088B" w:rsidRDefault="00BE234A" w:rsidP="005D3387">
      <w:pPr>
        <w:pStyle w:val="NormalWeb"/>
        <w:shd w:val="clear" w:color="auto" w:fill="FFFFFF"/>
        <w:spacing w:before="0" w:beforeAutospacing="0" w:after="150" w:afterAutospacing="0" w:line="276" w:lineRule="auto"/>
        <w:ind w:left="426"/>
        <w:rPr>
          <w:rFonts w:asciiTheme="minorHAnsi" w:hAnsiTheme="minorHAnsi" w:cstheme="minorHAnsi"/>
          <w:color w:val="161616"/>
        </w:rPr>
      </w:pPr>
      <w:r w:rsidRPr="00BE234A">
        <w:rPr>
          <w:rFonts w:asciiTheme="minorHAnsi" w:hAnsiTheme="minorHAnsi" w:cstheme="minorHAnsi"/>
          <w:color w:val="161616"/>
        </w:rPr>
        <w:t xml:space="preserve">Reconstitute </w:t>
      </w:r>
      <w:r w:rsidR="009D45B7">
        <w:rPr>
          <w:rFonts w:asciiTheme="minorHAnsi" w:hAnsiTheme="minorHAnsi" w:cstheme="minorHAnsi"/>
          <w:color w:val="161616"/>
        </w:rPr>
        <w:t>the vials</w:t>
      </w:r>
      <w:r w:rsidRPr="00BE234A">
        <w:rPr>
          <w:rFonts w:asciiTheme="minorHAnsi" w:hAnsiTheme="minorHAnsi" w:cstheme="minorHAnsi"/>
          <w:color w:val="161616"/>
        </w:rPr>
        <w:t xml:space="preserve"> with Sterile Water for Injection. Reconstitute with 25 mL for a 250 mg vial and 50 mL for a 500 mg vial to give a concentration of 10 mg/</w:t>
      </w:r>
      <w:r w:rsidR="007C4BC7">
        <w:rPr>
          <w:rFonts w:asciiTheme="minorHAnsi" w:hAnsiTheme="minorHAnsi" w:cstheme="minorHAnsi"/>
          <w:color w:val="161616"/>
        </w:rPr>
        <w:t>mL</w:t>
      </w:r>
      <w:r w:rsidR="00313AD3">
        <w:rPr>
          <w:rFonts w:asciiTheme="minorHAnsi" w:hAnsiTheme="minorHAnsi" w:cstheme="minorHAnsi"/>
          <w:color w:val="161616"/>
        </w:rPr>
        <w:t xml:space="preserve"> OR you may </w:t>
      </w:r>
      <w:r w:rsidR="001363D5">
        <w:rPr>
          <w:rFonts w:asciiTheme="minorHAnsi" w:hAnsiTheme="minorHAnsi" w:cstheme="minorHAnsi"/>
          <w:color w:val="161616"/>
        </w:rPr>
        <w:t>r</w:t>
      </w:r>
      <w:r w:rsidR="00313AD3" w:rsidRPr="00BE234A">
        <w:rPr>
          <w:rFonts w:asciiTheme="minorHAnsi" w:hAnsiTheme="minorHAnsi" w:cstheme="minorHAnsi"/>
          <w:color w:val="161616"/>
        </w:rPr>
        <w:t xml:space="preserve">econstitute with </w:t>
      </w:r>
      <w:r w:rsidR="007C4BC7">
        <w:rPr>
          <w:rFonts w:asciiTheme="minorHAnsi" w:hAnsiTheme="minorHAnsi" w:cstheme="minorHAnsi"/>
          <w:color w:val="161616"/>
        </w:rPr>
        <w:t>12.5</w:t>
      </w:r>
      <w:r w:rsidR="00313AD3" w:rsidRPr="00BE234A">
        <w:rPr>
          <w:rFonts w:asciiTheme="minorHAnsi" w:hAnsiTheme="minorHAnsi" w:cstheme="minorHAnsi"/>
          <w:color w:val="161616"/>
        </w:rPr>
        <w:t xml:space="preserve"> mL for a 250 mg vial and </w:t>
      </w:r>
      <w:r w:rsidR="007C4BC7">
        <w:rPr>
          <w:rFonts w:asciiTheme="minorHAnsi" w:hAnsiTheme="minorHAnsi" w:cstheme="minorHAnsi"/>
          <w:color w:val="161616"/>
        </w:rPr>
        <w:t>25</w:t>
      </w:r>
      <w:r w:rsidR="00313AD3" w:rsidRPr="00BE234A">
        <w:rPr>
          <w:rFonts w:asciiTheme="minorHAnsi" w:hAnsiTheme="minorHAnsi" w:cstheme="minorHAnsi"/>
          <w:color w:val="161616"/>
        </w:rPr>
        <w:t xml:space="preserve"> mL for a 500 mg vial to give a concentration of </w:t>
      </w:r>
      <w:r w:rsidR="007C4BC7">
        <w:rPr>
          <w:rFonts w:asciiTheme="minorHAnsi" w:hAnsiTheme="minorHAnsi" w:cstheme="minorHAnsi"/>
          <w:color w:val="161616"/>
        </w:rPr>
        <w:t>2</w:t>
      </w:r>
      <w:r w:rsidR="00313AD3" w:rsidRPr="00BE234A">
        <w:rPr>
          <w:rFonts w:asciiTheme="minorHAnsi" w:hAnsiTheme="minorHAnsi" w:cstheme="minorHAnsi"/>
          <w:color w:val="161616"/>
        </w:rPr>
        <w:t>0 mg/</w:t>
      </w:r>
      <w:proofErr w:type="spellStart"/>
      <w:r w:rsidR="007C4BC7">
        <w:rPr>
          <w:rFonts w:asciiTheme="minorHAnsi" w:hAnsiTheme="minorHAnsi" w:cstheme="minorHAnsi"/>
          <w:color w:val="161616"/>
        </w:rPr>
        <w:t>mL</w:t>
      </w:r>
      <w:r w:rsidRPr="00BE234A">
        <w:rPr>
          <w:rFonts w:asciiTheme="minorHAnsi" w:hAnsiTheme="minorHAnsi" w:cstheme="minorHAnsi"/>
          <w:color w:val="161616"/>
        </w:rPr>
        <w:t>.</w:t>
      </w:r>
      <w:proofErr w:type="spellEnd"/>
      <w:r w:rsidRPr="00BE234A">
        <w:rPr>
          <w:rFonts w:asciiTheme="minorHAnsi" w:hAnsiTheme="minorHAnsi" w:cstheme="minorHAnsi"/>
          <w:color w:val="161616"/>
        </w:rPr>
        <w:t xml:space="preserve"> </w:t>
      </w:r>
      <w:r w:rsidR="009D45B7" w:rsidRPr="003C088B">
        <w:rPr>
          <w:rFonts w:asciiTheme="minorHAnsi" w:hAnsiTheme="minorHAnsi" w:cstheme="minorHAnsi"/>
          <w:color w:val="161616"/>
        </w:rPr>
        <w:t xml:space="preserve">The vial contents will dissolve within a few minutes with gentle shaking. </w:t>
      </w:r>
      <w:r w:rsidR="000062DC" w:rsidRPr="003C088B">
        <w:rPr>
          <w:rFonts w:asciiTheme="minorHAnsi" w:hAnsiTheme="minorHAnsi" w:cstheme="minorHAnsi"/>
          <w:color w:val="161616"/>
        </w:rPr>
        <w:t>The resultant solution has a pH of approximately 1.6. This solution should be further diluted before administration to the patient.</w:t>
      </w:r>
    </w:p>
    <w:p w14:paraId="54AF8474" w14:textId="77777777" w:rsidR="000062DC" w:rsidRPr="003C088B" w:rsidRDefault="000062DC" w:rsidP="005D3387">
      <w:pPr>
        <w:pStyle w:val="NormalWeb"/>
        <w:shd w:val="clear" w:color="auto" w:fill="FFFFFF"/>
        <w:spacing w:before="0" w:beforeAutospacing="0" w:after="150" w:afterAutospacing="0" w:line="276" w:lineRule="auto"/>
        <w:ind w:left="426"/>
        <w:rPr>
          <w:rFonts w:asciiTheme="minorHAnsi" w:hAnsiTheme="minorHAnsi" w:cstheme="minorHAnsi"/>
          <w:color w:val="161616"/>
        </w:rPr>
      </w:pPr>
      <w:r w:rsidRPr="003C088B">
        <w:rPr>
          <w:rFonts w:asciiTheme="minorHAnsi" w:hAnsiTheme="minorHAnsi" w:cstheme="minorHAnsi"/>
          <w:i/>
          <w:iCs/>
          <w:color w:val="161616"/>
        </w:rPr>
        <w:t xml:space="preserve">Dilution of </w:t>
      </w:r>
      <w:r>
        <w:rPr>
          <w:rFonts w:asciiTheme="minorHAnsi" w:hAnsiTheme="minorHAnsi" w:cstheme="minorHAnsi"/>
          <w:i/>
          <w:iCs/>
          <w:color w:val="161616"/>
        </w:rPr>
        <w:t>DEXRAZOXANE-REACH</w:t>
      </w:r>
    </w:p>
    <w:p w14:paraId="6C792A5C" w14:textId="417DBB2F" w:rsidR="000062DC" w:rsidRPr="00697CB6" w:rsidRDefault="000062DC" w:rsidP="005D3387">
      <w:pPr>
        <w:pStyle w:val="NormalWeb"/>
        <w:shd w:val="clear" w:color="auto" w:fill="FFFFFF"/>
        <w:spacing w:before="0" w:beforeAutospacing="0" w:after="150" w:afterAutospacing="0" w:line="276" w:lineRule="auto"/>
        <w:ind w:left="426"/>
        <w:rPr>
          <w:rFonts w:asciiTheme="minorHAnsi" w:eastAsiaTheme="minorHAnsi" w:hAnsiTheme="minorHAnsi" w:cstheme="minorHAnsi"/>
          <w:color w:val="000000"/>
          <w:shd w:val="clear" w:color="auto" w:fill="FFFFFF"/>
          <w:lang w:val="en-GB" w:eastAsia="en-US"/>
        </w:rPr>
      </w:pPr>
      <w:r w:rsidRPr="00697CB6">
        <w:rPr>
          <w:rFonts w:asciiTheme="minorHAnsi" w:eastAsiaTheme="minorHAnsi" w:hAnsiTheme="minorHAnsi" w:cstheme="minorHAnsi"/>
          <w:color w:val="000000"/>
          <w:shd w:val="clear" w:color="auto" w:fill="FFFFFF"/>
          <w:lang w:val="en-GB" w:eastAsia="en-US"/>
        </w:rPr>
        <w:t>To avoid the risk of thrombophlebitis at the injection site, DEXRAZOXANE-REACH should be diluted prior to infusion</w:t>
      </w:r>
      <w:r w:rsidR="001C0EA5" w:rsidRPr="00697CB6">
        <w:rPr>
          <w:rFonts w:asciiTheme="minorHAnsi" w:eastAsiaTheme="minorHAnsi" w:hAnsiTheme="minorHAnsi" w:cstheme="minorHAnsi"/>
          <w:color w:val="000000"/>
          <w:shd w:val="clear" w:color="auto" w:fill="FFFFFF"/>
          <w:lang w:val="en-GB" w:eastAsia="en-US"/>
        </w:rPr>
        <w:t>. Dilute the reconstituted solution with Lactated Ringer’s Injection OR 0.16 M sodium lactate (Sodium lactate 11.2% should be diluted by a factor of 6 to reach a concentration of 0.16 M) to</w:t>
      </w:r>
      <w:r w:rsidR="00A179D5">
        <w:rPr>
          <w:rFonts w:asciiTheme="minorHAnsi" w:eastAsiaTheme="minorHAnsi" w:hAnsiTheme="minorHAnsi" w:cstheme="minorHAnsi"/>
          <w:color w:val="000000"/>
          <w:shd w:val="clear" w:color="auto" w:fill="FFFFFF"/>
          <w:lang w:val="en-GB" w:eastAsia="en-US"/>
        </w:rPr>
        <w:t xml:space="preserve"> the required </w:t>
      </w:r>
      <w:proofErr w:type="gramStart"/>
      <w:r w:rsidR="00A179D5">
        <w:rPr>
          <w:rFonts w:asciiTheme="minorHAnsi" w:eastAsiaTheme="minorHAnsi" w:hAnsiTheme="minorHAnsi" w:cstheme="minorHAnsi"/>
          <w:color w:val="000000"/>
          <w:shd w:val="clear" w:color="auto" w:fill="FFFFFF"/>
          <w:lang w:val="en-GB" w:eastAsia="en-US"/>
        </w:rPr>
        <w:t>concentration</w:t>
      </w:r>
      <w:r w:rsidR="001C0EA5" w:rsidRPr="00697CB6">
        <w:rPr>
          <w:rFonts w:asciiTheme="minorHAnsi" w:eastAsiaTheme="minorHAnsi" w:hAnsiTheme="minorHAnsi" w:cstheme="minorHAnsi"/>
          <w:color w:val="000000"/>
          <w:shd w:val="clear" w:color="auto" w:fill="FFFFFF"/>
          <w:lang w:val="en-GB" w:eastAsia="en-US"/>
        </w:rPr>
        <w:t xml:space="preserve">  in</w:t>
      </w:r>
      <w:proofErr w:type="gramEnd"/>
      <w:r w:rsidR="001C0EA5" w:rsidRPr="00697CB6">
        <w:rPr>
          <w:rFonts w:asciiTheme="minorHAnsi" w:eastAsiaTheme="minorHAnsi" w:hAnsiTheme="minorHAnsi" w:cstheme="minorHAnsi"/>
          <w:color w:val="000000"/>
          <w:shd w:val="clear" w:color="auto" w:fill="FFFFFF"/>
          <w:lang w:val="en-GB" w:eastAsia="en-US"/>
        </w:rPr>
        <w:t xml:space="preserve"> intravenous infusion bags for intravenous infusion.</w:t>
      </w:r>
      <w:r w:rsidRPr="00697CB6">
        <w:rPr>
          <w:rFonts w:asciiTheme="minorHAnsi" w:eastAsiaTheme="minorHAnsi" w:hAnsiTheme="minorHAnsi" w:cstheme="minorHAnsi"/>
          <w:color w:val="000000"/>
          <w:shd w:val="clear" w:color="auto" w:fill="FFFFFF"/>
          <w:lang w:val="en-GB" w:eastAsia="en-US"/>
        </w:rPr>
        <w:t xml:space="preserve"> </w:t>
      </w:r>
      <w:r w:rsidR="001C0EA5" w:rsidRPr="00697CB6">
        <w:rPr>
          <w:rFonts w:asciiTheme="minorHAnsi" w:eastAsiaTheme="minorHAnsi" w:hAnsiTheme="minorHAnsi" w:cstheme="minorHAnsi"/>
          <w:color w:val="000000"/>
          <w:shd w:val="clear" w:color="auto" w:fill="FFFFFF"/>
          <w:lang w:val="en-GB" w:eastAsia="en-US"/>
        </w:rPr>
        <w:t xml:space="preserve">Such </w:t>
      </w:r>
      <w:r w:rsidRPr="00697CB6">
        <w:rPr>
          <w:rFonts w:asciiTheme="minorHAnsi" w:eastAsiaTheme="minorHAnsi" w:hAnsiTheme="minorHAnsi" w:cstheme="minorHAnsi"/>
          <w:color w:val="000000"/>
          <w:shd w:val="clear" w:color="auto" w:fill="FFFFFF"/>
          <w:lang w:val="en-GB" w:eastAsia="en-US"/>
        </w:rPr>
        <w:t xml:space="preserve">solutions with a higher pH should be used. </w:t>
      </w:r>
      <w:r w:rsidR="005A7B78">
        <w:rPr>
          <w:rFonts w:asciiTheme="minorHAnsi" w:eastAsiaTheme="minorHAnsi" w:hAnsiTheme="minorHAnsi" w:cstheme="minorHAnsi"/>
          <w:color w:val="000000"/>
          <w:shd w:val="clear" w:color="auto" w:fill="FFFFFF"/>
          <w:lang w:val="en-GB" w:eastAsia="en-US"/>
        </w:rPr>
        <w:t>T</w:t>
      </w:r>
      <w:r w:rsidR="005A7B78" w:rsidRPr="002D142E">
        <w:rPr>
          <w:rFonts w:asciiTheme="minorHAnsi" w:eastAsiaTheme="minorHAnsi" w:hAnsiTheme="minorHAnsi" w:cstheme="minorHAnsi"/>
          <w:color w:val="000000"/>
          <w:shd w:val="clear" w:color="auto" w:fill="FFFFFF"/>
          <w:lang w:val="en-GB" w:eastAsia="en-US"/>
        </w:rPr>
        <w:t xml:space="preserve">he final volume is proportional to the number of vials of </w:t>
      </w:r>
      <w:r w:rsidR="00916F87">
        <w:rPr>
          <w:rFonts w:asciiTheme="minorHAnsi" w:eastAsiaTheme="minorHAnsi" w:hAnsiTheme="minorHAnsi" w:cstheme="minorHAnsi"/>
          <w:color w:val="000000"/>
          <w:shd w:val="clear" w:color="auto" w:fill="FFFFFF"/>
          <w:lang w:val="en-GB" w:eastAsia="en-US"/>
        </w:rPr>
        <w:t>DEXRAZOXANE-REACH</w:t>
      </w:r>
      <w:r w:rsidR="005A7B78" w:rsidRPr="002D142E">
        <w:rPr>
          <w:rFonts w:asciiTheme="minorHAnsi" w:eastAsiaTheme="minorHAnsi" w:hAnsiTheme="minorHAnsi" w:cstheme="minorHAnsi"/>
          <w:color w:val="000000"/>
          <w:shd w:val="clear" w:color="auto" w:fill="FFFFFF"/>
          <w:lang w:val="en-GB" w:eastAsia="en-US"/>
        </w:rPr>
        <w:t xml:space="preserve"> used and the amount of infusion fluid for dilution</w:t>
      </w:r>
      <w:r w:rsidR="000E1EF3">
        <w:rPr>
          <w:rFonts w:asciiTheme="minorHAnsi" w:eastAsiaTheme="minorHAnsi" w:hAnsiTheme="minorHAnsi" w:cstheme="minorHAnsi"/>
          <w:color w:val="000000"/>
          <w:shd w:val="clear" w:color="auto" w:fill="FFFFFF"/>
          <w:lang w:val="en-GB" w:eastAsia="en-US"/>
        </w:rPr>
        <w:t>.</w:t>
      </w:r>
    </w:p>
    <w:p w14:paraId="591C2772" w14:textId="77777777" w:rsidR="00996949" w:rsidRDefault="000062DC" w:rsidP="005D3387">
      <w:pPr>
        <w:widowControl/>
        <w:shd w:val="clear" w:color="auto" w:fill="FFFFFF"/>
        <w:autoSpaceDE/>
        <w:autoSpaceDN/>
        <w:spacing w:line="276" w:lineRule="auto"/>
        <w:ind w:left="425"/>
        <w:rPr>
          <w:rFonts w:asciiTheme="minorHAnsi" w:eastAsiaTheme="minorHAnsi" w:hAnsiTheme="minorHAnsi" w:cstheme="minorHAnsi"/>
          <w:color w:val="000000"/>
          <w:sz w:val="24"/>
          <w:szCs w:val="24"/>
          <w:shd w:val="clear" w:color="auto" w:fill="FFFFFF"/>
          <w:lang w:val="en-GB"/>
        </w:rPr>
      </w:pPr>
      <w:r w:rsidRPr="00697CB6">
        <w:rPr>
          <w:rFonts w:asciiTheme="minorHAnsi" w:eastAsiaTheme="minorHAnsi" w:hAnsiTheme="minorHAnsi" w:cstheme="minorHAnsi"/>
          <w:color w:val="000000"/>
          <w:sz w:val="24"/>
          <w:szCs w:val="24"/>
          <w:shd w:val="clear" w:color="auto" w:fill="FFFFFF"/>
          <w:lang w:val="en-GB"/>
        </w:rPr>
        <w:t xml:space="preserve">The use of larger dilution volumes (with a maximum of 100 ml of additional infusion fluid per </w:t>
      </w:r>
    </w:p>
    <w:p w14:paraId="6A9CC164" w14:textId="10830B36" w:rsidR="000062DC" w:rsidRPr="00697CB6" w:rsidRDefault="000062DC" w:rsidP="005D3387">
      <w:pPr>
        <w:widowControl/>
        <w:shd w:val="clear" w:color="auto" w:fill="FFFFFF"/>
        <w:autoSpaceDE/>
        <w:autoSpaceDN/>
        <w:spacing w:after="150" w:line="276" w:lineRule="auto"/>
        <w:ind w:left="426"/>
        <w:rPr>
          <w:rFonts w:asciiTheme="minorHAnsi" w:eastAsiaTheme="minorHAnsi" w:hAnsiTheme="minorHAnsi" w:cstheme="minorHAnsi"/>
          <w:color w:val="000000"/>
          <w:sz w:val="24"/>
          <w:szCs w:val="24"/>
          <w:shd w:val="clear" w:color="auto" w:fill="FFFFFF"/>
          <w:lang w:val="en-GB"/>
        </w:rPr>
      </w:pPr>
      <w:r w:rsidRPr="00697CB6">
        <w:rPr>
          <w:rFonts w:asciiTheme="minorHAnsi" w:eastAsiaTheme="minorHAnsi" w:hAnsiTheme="minorHAnsi" w:cstheme="minorHAnsi"/>
          <w:color w:val="000000"/>
          <w:sz w:val="24"/>
          <w:szCs w:val="24"/>
          <w:shd w:val="clear" w:color="auto" w:fill="FFFFFF"/>
          <w:lang w:val="en-GB"/>
        </w:rPr>
        <w:t>25 m</w:t>
      </w:r>
      <w:r w:rsidR="00996949">
        <w:rPr>
          <w:rFonts w:asciiTheme="minorHAnsi" w:eastAsiaTheme="minorHAnsi" w:hAnsiTheme="minorHAnsi" w:cstheme="minorHAnsi"/>
          <w:color w:val="000000"/>
          <w:sz w:val="24"/>
          <w:szCs w:val="24"/>
          <w:shd w:val="clear" w:color="auto" w:fill="FFFFFF"/>
          <w:lang w:val="en-GB"/>
        </w:rPr>
        <w:t>L</w:t>
      </w:r>
      <w:r w:rsidRPr="00697CB6">
        <w:rPr>
          <w:rFonts w:asciiTheme="minorHAnsi" w:eastAsiaTheme="minorHAnsi" w:hAnsiTheme="minorHAnsi" w:cstheme="minorHAnsi"/>
          <w:color w:val="000000"/>
          <w:sz w:val="24"/>
          <w:szCs w:val="24"/>
          <w:shd w:val="clear" w:color="auto" w:fill="FFFFFF"/>
          <w:lang w:val="en-GB"/>
        </w:rPr>
        <w:t xml:space="preserve"> reconstituted DEXRAZOXANE-REACH) is usually recommended to increase the pH of the solution. Smaller dilution volumes (with a minimum of 25 m</w:t>
      </w:r>
      <w:r w:rsidR="00996949">
        <w:rPr>
          <w:rFonts w:asciiTheme="minorHAnsi" w:eastAsiaTheme="minorHAnsi" w:hAnsiTheme="minorHAnsi" w:cstheme="minorHAnsi"/>
          <w:color w:val="000000"/>
          <w:sz w:val="24"/>
          <w:szCs w:val="24"/>
          <w:shd w:val="clear" w:color="auto" w:fill="FFFFFF"/>
          <w:lang w:val="en-GB"/>
        </w:rPr>
        <w:t>L</w:t>
      </w:r>
      <w:r w:rsidRPr="00697CB6">
        <w:rPr>
          <w:rFonts w:asciiTheme="minorHAnsi" w:eastAsiaTheme="minorHAnsi" w:hAnsiTheme="minorHAnsi" w:cstheme="minorHAnsi"/>
          <w:color w:val="000000"/>
          <w:sz w:val="24"/>
          <w:szCs w:val="24"/>
          <w:shd w:val="clear" w:color="auto" w:fill="FFFFFF"/>
          <w:lang w:val="en-GB"/>
        </w:rPr>
        <w:t xml:space="preserve"> of additional infusion fluid per 25 m</w:t>
      </w:r>
      <w:r w:rsidR="00996949">
        <w:rPr>
          <w:rFonts w:asciiTheme="minorHAnsi" w:eastAsiaTheme="minorHAnsi" w:hAnsiTheme="minorHAnsi" w:cstheme="minorHAnsi"/>
          <w:color w:val="000000"/>
          <w:sz w:val="24"/>
          <w:szCs w:val="24"/>
          <w:shd w:val="clear" w:color="auto" w:fill="FFFFFF"/>
          <w:lang w:val="en-GB"/>
        </w:rPr>
        <w:t>L</w:t>
      </w:r>
      <w:r w:rsidRPr="00697CB6">
        <w:rPr>
          <w:rFonts w:asciiTheme="minorHAnsi" w:eastAsiaTheme="minorHAnsi" w:hAnsiTheme="minorHAnsi" w:cstheme="minorHAnsi"/>
          <w:color w:val="000000"/>
          <w:sz w:val="24"/>
          <w:szCs w:val="24"/>
          <w:shd w:val="clear" w:color="auto" w:fill="FFFFFF"/>
          <w:lang w:val="en-GB"/>
        </w:rPr>
        <w:t xml:space="preserve"> reconstituted DEXRAZOXANE-REACH) can be used if needed, based on the haemodynamic status of the patient.</w:t>
      </w:r>
    </w:p>
    <w:p w14:paraId="587A22B0" w14:textId="0E51D87C" w:rsidR="001C0EA5" w:rsidRPr="00697CB6" w:rsidRDefault="001C0EA5" w:rsidP="005D3387">
      <w:pPr>
        <w:pStyle w:val="NormalWeb"/>
        <w:shd w:val="clear" w:color="auto" w:fill="FFFFFF"/>
        <w:spacing w:before="0" w:beforeAutospacing="0" w:after="192" w:afterAutospacing="0"/>
        <w:ind w:left="426"/>
        <w:textAlignment w:val="baseline"/>
        <w:rPr>
          <w:rFonts w:asciiTheme="minorHAnsi" w:eastAsiaTheme="minorHAnsi" w:hAnsiTheme="minorHAnsi" w:cstheme="minorHAnsi"/>
          <w:color w:val="000000"/>
          <w:shd w:val="clear" w:color="auto" w:fill="FFFFFF"/>
          <w:lang w:val="en-GB" w:eastAsia="en-US"/>
        </w:rPr>
      </w:pPr>
      <w:r w:rsidRPr="00697CB6">
        <w:rPr>
          <w:rFonts w:asciiTheme="minorHAnsi" w:eastAsiaTheme="minorHAnsi" w:hAnsiTheme="minorHAnsi" w:cstheme="minorHAnsi"/>
          <w:color w:val="000000"/>
          <w:shd w:val="clear" w:color="auto" w:fill="FFFFFF"/>
          <w:lang w:val="en-GB" w:eastAsia="en-US"/>
        </w:rPr>
        <w:lastRenderedPageBreak/>
        <w:t>Following reconstitution with Sterile Water for Injection</w:t>
      </w:r>
      <w:r w:rsidR="00A95862">
        <w:rPr>
          <w:rFonts w:asciiTheme="minorHAnsi" w:eastAsiaTheme="minorHAnsi" w:hAnsiTheme="minorHAnsi" w:cstheme="minorHAnsi"/>
          <w:color w:val="000000"/>
          <w:shd w:val="clear" w:color="auto" w:fill="FFFFFF"/>
          <w:lang w:val="en-GB" w:eastAsia="en-US"/>
        </w:rPr>
        <w:t>s</w:t>
      </w:r>
      <w:r w:rsidRPr="00697CB6">
        <w:rPr>
          <w:rFonts w:asciiTheme="minorHAnsi" w:eastAsiaTheme="minorHAnsi" w:hAnsiTheme="minorHAnsi" w:cstheme="minorHAnsi"/>
          <w:color w:val="000000"/>
          <w:shd w:val="clear" w:color="auto" w:fill="FFFFFF"/>
          <w:lang w:val="en-GB" w:eastAsia="en-US"/>
        </w:rPr>
        <w:t>, dexrazoxane for injection is stable for 30 minutes at room temperature or if storage is necessary, up to 4 hours from the time of reconstitution when stored under refrigeration</w:t>
      </w:r>
      <w:r w:rsidR="00577A5B">
        <w:rPr>
          <w:rFonts w:asciiTheme="minorHAnsi" w:eastAsiaTheme="minorHAnsi" w:hAnsiTheme="minorHAnsi" w:cstheme="minorHAnsi"/>
          <w:color w:val="000000"/>
          <w:shd w:val="clear" w:color="auto" w:fill="FFFFFF"/>
          <w:lang w:val="en-GB" w:eastAsia="en-US"/>
        </w:rPr>
        <w:t xml:space="preserve"> at</w:t>
      </w:r>
      <w:r w:rsidRPr="00697CB6">
        <w:rPr>
          <w:rFonts w:asciiTheme="minorHAnsi" w:eastAsiaTheme="minorHAnsi" w:hAnsiTheme="minorHAnsi" w:cstheme="minorHAnsi"/>
          <w:color w:val="000000"/>
          <w:shd w:val="clear" w:color="auto" w:fill="FFFFFF"/>
          <w:lang w:val="en-GB" w:eastAsia="en-US"/>
        </w:rPr>
        <w:t xml:space="preserve"> 2° to 8°C. The pH of the resultant solution is 1.0 to 3.0. DISCARD UNUSED SOLUTIONS. </w:t>
      </w:r>
    </w:p>
    <w:p w14:paraId="2D90C701" w14:textId="17B4A3A1" w:rsidR="001C0EA5" w:rsidRPr="00697CB6" w:rsidRDefault="001C0EA5" w:rsidP="005D3387">
      <w:pPr>
        <w:pStyle w:val="NormalWeb"/>
        <w:shd w:val="clear" w:color="auto" w:fill="FFFFFF"/>
        <w:spacing w:before="0" w:beforeAutospacing="0" w:after="192" w:afterAutospacing="0"/>
        <w:ind w:left="426"/>
        <w:textAlignment w:val="baseline"/>
        <w:rPr>
          <w:rFonts w:asciiTheme="minorHAnsi" w:eastAsiaTheme="minorHAnsi" w:hAnsiTheme="minorHAnsi" w:cstheme="minorHAnsi"/>
          <w:color w:val="000000"/>
          <w:shd w:val="clear" w:color="auto" w:fill="FFFFFF"/>
          <w:lang w:val="en-GB" w:eastAsia="en-US"/>
        </w:rPr>
      </w:pPr>
      <w:r w:rsidRPr="00697CB6">
        <w:rPr>
          <w:rFonts w:asciiTheme="minorHAnsi" w:eastAsiaTheme="minorHAnsi" w:hAnsiTheme="minorHAnsi" w:cstheme="minorHAnsi"/>
          <w:color w:val="000000"/>
          <w:shd w:val="clear" w:color="auto" w:fill="FFFFFF"/>
          <w:lang w:val="en-GB" w:eastAsia="en-US"/>
        </w:rPr>
        <w:t xml:space="preserve">The diluted infusion solutions are stable for </w:t>
      </w:r>
      <w:r w:rsidR="00165B9D">
        <w:rPr>
          <w:rFonts w:asciiTheme="minorHAnsi" w:eastAsiaTheme="minorHAnsi" w:hAnsiTheme="minorHAnsi" w:cstheme="minorHAnsi"/>
          <w:color w:val="000000"/>
          <w:shd w:val="clear" w:color="auto" w:fill="FFFFFF"/>
          <w:lang w:val="en-GB" w:eastAsia="en-US"/>
        </w:rPr>
        <w:t>six</w:t>
      </w:r>
      <w:r w:rsidR="00165B9D" w:rsidRPr="00697CB6">
        <w:rPr>
          <w:rFonts w:asciiTheme="minorHAnsi" w:eastAsiaTheme="minorHAnsi" w:hAnsiTheme="minorHAnsi" w:cstheme="minorHAnsi"/>
          <w:color w:val="000000"/>
          <w:shd w:val="clear" w:color="auto" w:fill="FFFFFF"/>
          <w:lang w:val="en-GB" w:eastAsia="en-US"/>
        </w:rPr>
        <w:t xml:space="preserve"> </w:t>
      </w:r>
      <w:r w:rsidRPr="00697CB6">
        <w:rPr>
          <w:rFonts w:asciiTheme="minorHAnsi" w:eastAsiaTheme="minorHAnsi" w:hAnsiTheme="minorHAnsi" w:cstheme="minorHAnsi"/>
          <w:color w:val="000000"/>
          <w:shd w:val="clear" w:color="auto" w:fill="FFFFFF"/>
          <w:lang w:val="en-GB" w:eastAsia="en-US"/>
        </w:rPr>
        <w:t>hour</w:t>
      </w:r>
      <w:r w:rsidR="00DE27DC">
        <w:rPr>
          <w:rFonts w:asciiTheme="minorHAnsi" w:eastAsiaTheme="minorHAnsi" w:hAnsiTheme="minorHAnsi" w:cstheme="minorHAnsi"/>
          <w:color w:val="000000"/>
          <w:shd w:val="clear" w:color="auto" w:fill="FFFFFF"/>
          <w:lang w:val="en-GB" w:eastAsia="en-US"/>
        </w:rPr>
        <w:t>s</w:t>
      </w:r>
      <w:r w:rsidRPr="00697CB6">
        <w:rPr>
          <w:rFonts w:asciiTheme="minorHAnsi" w:eastAsiaTheme="minorHAnsi" w:hAnsiTheme="minorHAnsi" w:cstheme="minorHAnsi"/>
          <w:color w:val="000000"/>
          <w:shd w:val="clear" w:color="auto" w:fill="FFFFFF"/>
          <w:lang w:val="en-GB" w:eastAsia="en-US"/>
        </w:rPr>
        <w:t xml:space="preserve"> at room temperature or if storage is necessary, up to </w:t>
      </w:r>
      <w:r w:rsidR="00577A5B">
        <w:rPr>
          <w:rFonts w:asciiTheme="minorHAnsi" w:eastAsiaTheme="minorHAnsi" w:hAnsiTheme="minorHAnsi" w:cstheme="minorHAnsi"/>
          <w:color w:val="000000"/>
          <w:shd w:val="clear" w:color="auto" w:fill="FFFFFF"/>
          <w:lang w:val="en-GB" w:eastAsia="en-US"/>
        </w:rPr>
        <w:t>2</w:t>
      </w:r>
      <w:r w:rsidRPr="00697CB6">
        <w:rPr>
          <w:rFonts w:asciiTheme="minorHAnsi" w:eastAsiaTheme="minorHAnsi" w:hAnsiTheme="minorHAnsi" w:cstheme="minorHAnsi"/>
          <w:color w:val="000000"/>
          <w:shd w:val="clear" w:color="auto" w:fill="FFFFFF"/>
          <w:lang w:val="en-GB" w:eastAsia="en-US"/>
        </w:rPr>
        <w:t>4 hours when stored under refrigeration</w:t>
      </w:r>
      <w:r w:rsidR="00577A5B">
        <w:rPr>
          <w:rFonts w:asciiTheme="minorHAnsi" w:eastAsiaTheme="minorHAnsi" w:hAnsiTheme="minorHAnsi" w:cstheme="minorHAnsi"/>
          <w:color w:val="000000"/>
          <w:shd w:val="clear" w:color="auto" w:fill="FFFFFF"/>
          <w:lang w:val="en-GB" w:eastAsia="en-US"/>
        </w:rPr>
        <w:t xml:space="preserve"> at</w:t>
      </w:r>
      <w:r w:rsidRPr="00697CB6">
        <w:rPr>
          <w:rFonts w:asciiTheme="minorHAnsi" w:eastAsiaTheme="minorHAnsi" w:hAnsiTheme="minorHAnsi" w:cstheme="minorHAnsi"/>
          <w:color w:val="000000"/>
          <w:shd w:val="clear" w:color="auto" w:fill="FFFFFF"/>
          <w:lang w:val="en-GB" w:eastAsia="en-US"/>
        </w:rPr>
        <w:t xml:space="preserve"> 2° to 8°</w:t>
      </w:r>
      <w:proofErr w:type="gramStart"/>
      <w:r w:rsidRPr="00697CB6">
        <w:rPr>
          <w:rFonts w:asciiTheme="minorHAnsi" w:eastAsiaTheme="minorHAnsi" w:hAnsiTheme="minorHAnsi" w:cstheme="minorHAnsi"/>
          <w:color w:val="000000"/>
          <w:shd w:val="clear" w:color="auto" w:fill="FFFFFF"/>
          <w:lang w:val="en-GB" w:eastAsia="en-US"/>
        </w:rPr>
        <w:t>C</w:t>
      </w:r>
      <w:r w:rsidR="00D860A3">
        <w:rPr>
          <w:rFonts w:asciiTheme="minorHAnsi" w:eastAsiaTheme="minorHAnsi" w:hAnsiTheme="minorHAnsi" w:cstheme="minorHAnsi"/>
          <w:color w:val="000000"/>
          <w:shd w:val="clear" w:color="auto" w:fill="FFFFFF"/>
          <w:lang w:val="en-GB" w:eastAsia="en-US"/>
        </w:rPr>
        <w:t xml:space="preserve"> </w:t>
      </w:r>
      <w:r w:rsidRPr="00697CB6">
        <w:rPr>
          <w:rFonts w:asciiTheme="minorHAnsi" w:eastAsiaTheme="minorHAnsi" w:hAnsiTheme="minorHAnsi" w:cstheme="minorHAnsi"/>
          <w:color w:val="000000"/>
          <w:shd w:val="clear" w:color="auto" w:fill="FFFFFF"/>
          <w:lang w:val="en-GB" w:eastAsia="en-US"/>
        </w:rPr>
        <w:t>.</w:t>
      </w:r>
      <w:proofErr w:type="gramEnd"/>
      <w:r w:rsidRPr="00697CB6">
        <w:rPr>
          <w:rFonts w:asciiTheme="minorHAnsi" w:eastAsiaTheme="minorHAnsi" w:hAnsiTheme="minorHAnsi" w:cstheme="minorHAnsi"/>
          <w:color w:val="000000"/>
          <w:shd w:val="clear" w:color="auto" w:fill="FFFFFF"/>
          <w:lang w:val="en-GB" w:eastAsia="en-US"/>
        </w:rPr>
        <w:t xml:space="preserve"> The infusion solutions have a pH of 3.5 to 5.5. DISCARD UNUSED SOLUTIONS.</w:t>
      </w:r>
    </w:p>
    <w:p w14:paraId="062277AD" w14:textId="23F594C2" w:rsidR="000062DC" w:rsidRPr="00697CB6" w:rsidRDefault="001C0EA5" w:rsidP="005D3387">
      <w:pPr>
        <w:pStyle w:val="NormalWeb"/>
        <w:shd w:val="clear" w:color="auto" w:fill="FFFFFF"/>
        <w:spacing w:before="0" w:beforeAutospacing="0" w:after="192" w:afterAutospacing="0"/>
        <w:ind w:left="426"/>
        <w:textAlignment w:val="baseline"/>
        <w:rPr>
          <w:rFonts w:asciiTheme="minorHAnsi" w:eastAsiaTheme="minorHAnsi" w:hAnsiTheme="minorHAnsi" w:cstheme="minorHAnsi"/>
          <w:color w:val="000000"/>
          <w:shd w:val="clear" w:color="auto" w:fill="FFFFFF"/>
          <w:lang w:val="en-GB" w:eastAsia="en-US"/>
        </w:rPr>
      </w:pPr>
      <w:r w:rsidRPr="00697CB6">
        <w:rPr>
          <w:rFonts w:asciiTheme="minorHAnsi" w:eastAsiaTheme="minorHAnsi" w:hAnsiTheme="minorHAnsi" w:cstheme="minorHAnsi"/>
          <w:color w:val="000000"/>
          <w:shd w:val="clear" w:color="auto" w:fill="FFFFFF"/>
          <w:lang w:val="en-GB" w:eastAsia="en-US"/>
        </w:rPr>
        <w:t xml:space="preserve">Parenteral drug products should be inspected visually for particulate matter and discoloration prior to administration, whenever solution and container permit. Solutions containing a precipitate should be discarded. </w:t>
      </w:r>
      <w:r w:rsidR="000062DC" w:rsidRPr="00697CB6">
        <w:rPr>
          <w:rFonts w:asciiTheme="minorHAnsi" w:eastAsiaTheme="minorHAnsi" w:hAnsiTheme="minorHAnsi" w:cstheme="minorHAnsi"/>
          <w:color w:val="000000"/>
          <w:shd w:val="clear" w:color="auto" w:fill="FFFFFF"/>
          <w:lang w:val="en-GB" w:eastAsia="en-US"/>
        </w:rPr>
        <w:t>DEXRAZOXANE-REACH is normally a colourless to yellow solution immediately on reconstitution, but some variability in colour may be observed over time, which does not indicate loss of activity if the product has been stored as recommended. It is however recommended to dispose of the product if the colour immediately on reconstitution is not colourless to yellow.</w:t>
      </w:r>
    </w:p>
    <w:p w14:paraId="43DD3587" w14:textId="2EAD1514" w:rsidR="00C93442" w:rsidRPr="00212145" w:rsidRDefault="00C93442" w:rsidP="005D3387">
      <w:pPr>
        <w:pStyle w:val="NormalWeb"/>
        <w:shd w:val="clear" w:color="auto" w:fill="FFFFFF"/>
        <w:spacing w:before="0" w:beforeAutospacing="0" w:after="150" w:afterAutospacing="0" w:line="276" w:lineRule="auto"/>
        <w:ind w:left="426"/>
        <w:rPr>
          <w:rFonts w:asciiTheme="minorHAnsi" w:eastAsiaTheme="minorHAnsi" w:hAnsiTheme="minorHAnsi" w:cstheme="minorHAnsi"/>
          <w:color w:val="000000"/>
          <w:shd w:val="clear" w:color="auto" w:fill="FFFFFF"/>
          <w:lang w:val="en-GB" w:eastAsia="en-US"/>
        </w:rPr>
      </w:pPr>
      <w:r w:rsidRPr="00212145">
        <w:rPr>
          <w:rFonts w:asciiTheme="minorHAnsi" w:eastAsiaTheme="minorHAnsi" w:hAnsiTheme="minorHAnsi" w:cstheme="minorHAnsi"/>
          <w:color w:val="000000"/>
          <w:shd w:val="clear" w:color="auto" w:fill="FFFFFF"/>
          <w:lang w:val="en-GB" w:eastAsia="en-US"/>
        </w:rPr>
        <w:t>In patients with moderate to severe renal impairment (creatinine clearance &lt; 40 m</w:t>
      </w:r>
      <w:r w:rsidR="00DF0CF4">
        <w:rPr>
          <w:rFonts w:asciiTheme="minorHAnsi" w:eastAsiaTheme="minorHAnsi" w:hAnsiTheme="minorHAnsi" w:cstheme="minorHAnsi"/>
          <w:color w:val="000000"/>
          <w:shd w:val="clear" w:color="auto" w:fill="FFFFFF"/>
          <w:lang w:val="en-GB" w:eastAsia="en-US"/>
        </w:rPr>
        <w:t>L</w:t>
      </w:r>
      <w:r w:rsidRPr="00212145">
        <w:rPr>
          <w:rFonts w:asciiTheme="minorHAnsi" w:eastAsiaTheme="minorHAnsi" w:hAnsiTheme="minorHAnsi" w:cstheme="minorHAnsi"/>
          <w:color w:val="000000"/>
          <w:shd w:val="clear" w:color="auto" w:fill="FFFFFF"/>
          <w:lang w:val="en-GB" w:eastAsia="en-US"/>
        </w:rPr>
        <w:t>/min) the dexrazoxane dose should be reduced by 50% (see section 4.4).</w:t>
      </w:r>
    </w:p>
    <w:p w14:paraId="246613A8" w14:textId="16E06418" w:rsidR="001C0EA5" w:rsidRPr="00697CB6" w:rsidRDefault="00C93442" w:rsidP="005D3387">
      <w:pPr>
        <w:pStyle w:val="NormalWeb"/>
        <w:shd w:val="clear" w:color="auto" w:fill="FFFFFF"/>
        <w:spacing w:before="0" w:beforeAutospacing="0" w:after="150" w:afterAutospacing="0" w:line="276" w:lineRule="auto"/>
        <w:ind w:left="426"/>
        <w:rPr>
          <w:rFonts w:asciiTheme="minorHAnsi" w:eastAsiaTheme="minorHAnsi" w:hAnsiTheme="minorHAnsi" w:cstheme="minorHAnsi"/>
          <w:color w:val="000000"/>
          <w:shd w:val="clear" w:color="auto" w:fill="FFFFFF"/>
          <w:lang w:val="en-GB" w:eastAsia="en-US"/>
        </w:rPr>
      </w:pPr>
      <w:r w:rsidRPr="00212145">
        <w:rPr>
          <w:rFonts w:asciiTheme="minorHAnsi" w:eastAsiaTheme="minorHAnsi" w:hAnsiTheme="minorHAnsi" w:cstheme="minorHAnsi"/>
          <w:color w:val="000000"/>
          <w:shd w:val="clear" w:color="auto" w:fill="FFFFFF"/>
          <w:lang w:val="en-GB" w:eastAsia="en-US"/>
        </w:rPr>
        <w:t>The dosage ratio should be kept, i.e. if the anthracycline dose is reduced the dexrazoxane dose should be reduced accordingly.</w:t>
      </w:r>
    </w:p>
    <w:p w14:paraId="1EFF78DE" w14:textId="1A727A53" w:rsidR="00C319DA" w:rsidRPr="00DE57DB" w:rsidRDefault="005A3D5A" w:rsidP="005D3387">
      <w:pPr>
        <w:pStyle w:val="Default"/>
        <w:numPr>
          <w:ilvl w:val="1"/>
          <w:numId w:val="8"/>
        </w:numPr>
        <w:spacing w:before="360" w:after="240" w:line="276" w:lineRule="auto"/>
        <w:ind w:left="851"/>
        <w:rPr>
          <w:rFonts w:ascii="Calibri" w:eastAsia="Calibri" w:hAnsi="Calibri" w:cs="Calibri"/>
          <w:b/>
          <w:color w:val="auto"/>
          <w:sz w:val="23"/>
          <w:szCs w:val="23"/>
          <w:lang w:val="en-AU"/>
        </w:rPr>
      </w:pPr>
      <w:r w:rsidRPr="00DE57DB">
        <w:rPr>
          <w:rFonts w:ascii="Calibri" w:eastAsia="Calibri" w:hAnsi="Calibri" w:cs="Calibri"/>
          <w:b/>
          <w:color w:val="auto"/>
          <w:sz w:val="23"/>
          <w:szCs w:val="23"/>
          <w:lang w:val="en-AU"/>
        </w:rPr>
        <w:t xml:space="preserve">CONTRAINDICATIONS </w:t>
      </w:r>
    </w:p>
    <w:p w14:paraId="177D306E" w14:textId="7928BC4F" w:rsidR="00212145" w:rsidRPr="00212145" w:rsidRDefault="00212145" w:rsidP="005D3387">
      <w:pPr>
        <w:pStyle w:val="NormalWeb"/>
        <w:shd w:val="clear" w:color="auto" w:fill="FFFFFF"/>
        <w:spacing w:before="0" w:beforeAutospacing="0" w:after="150" w:afterAutospacing="0" w:line="276" w:lineRule="auto"/>
        <w:ind w:left="426"/>
        <w:rPr>
          <w:rFonts w:asciiTheme="minorHAnsi" w:eastAsiaTheme="minorHAnsi" w:hAnsiTheme="minorHAnsi" w:cstheme="minorHAnsi"/>
          <w:color w:val="000000"/>
          <w:shd w:val="clear" w:color="auto" w:fill="FFFFFF"/>
          <w:lang w:val="en-GB" w:eastAsia="en-US"/>
        </w:rPr>
      </w:pPr>
      <w:r>
        <w:rPr>
          <w:rFonts w:asciiTheme="minorHAnsi" w:hAnsiTheme="minorHAnsi" w:cstheme="minorHAnsi"/>
          <w:shd w:val="clear" w:color="auto" w:fill="FFFFFF"/>
        </w:rPr>
        <w:t>DEXRAZOXANE-REACH</w:t>
      </w:r>
      <w:r w:rsidRPr="009044A7">
        <w:rPr>
          <w:rFonts w:asciiTheme="minorHAnsi" w:hAnsiTheme="minorHAnsi" w:cstheme="minorHAnsi"/>
          <w:shd w:val="clear" w:color="auto" w:fill="FFFFFF"/>
        </w:rPr>
        <w:t xml:space="preserve"> </w:t>
      </w:r>
      <w:r w:rsidRPr="00212145">
        <w:rPr>
          <w:rFonts w:asciiTheme="minorHAnsi" w:eastAsiaTheme="minorHAnsi" w:hAnsiTheme="minorHAnsi" w:cstheme="minorHAnsi"/>
          <w:color w:val="000000"/>
          <w:shd w:val="clear" w:color="auto" w:fill="FFFFFF"/>
          <w:lang w:val="en-GB" w:eastAsia="en-US"/>
        </w:rPr>
        <w:t>is contraindicated in children aged 0 to 18 years</w:t>
      </w:r>
      <w:r w:rsidR="00C64D19">
        <w:rPr>
          <w:rFonts w:asciiTheme="minorHAnsi" w:eastAsiaTheme="minorHAnsi" w:hAnsiTheme="minorHAnsi" w:cstheme="minorHAnsi"/>
          <w:color w:val="000000"/>
          <w:shd w:val="clear" w:color="auto" w:fill="FFFFFF"/>
          <w:lang w:val="en-GB" w:eastAsia="en-US"/>
        </w:rPr>
        <w:t>.</w:t>
      </w:r>
    </w:p>
    <w:p w14:paraId="38B7AF2C" w14:textId="3FD336DC" w:rsidR="00212145" w:rsidRPr="00212145" w:rsidRDefault="00212145" w:rsidP="005D3387">
      <w:pPr>
        <w:pStyle w:val="NormalWeb"/>
        <w:shd w:val="clear" w:color="auto" w:fill="FFFFFF"/>
        <w:spacing w:before="0" w:beforeAutospacing="0" w:after="150" w:afterAutospacing="0" w:line="276" w:lineRule="auto"/>
        <w:ind w:left="426"/>
        <w:rPr>
          <w:rFonts w:asciiTheme="minorHAnsi" w:eastAsiaTheme="minorHAnsi" w:hAnsiTheme="minorHAnsi" w:cstheme="minorHAnsi"/>
          <w:color w:val="000000"/>
          <w:shd w:val="clear" w:color="auto" w:fill="FFFFFF"/>
          <w:lang w:val="en-GB" w:eastAsia="en-US"/>
        </w:rPr>
      </w:pPr>
      <w:r>
        <w:rPr>
          <w:rFonts w:asciiTheme="minorHAnsi" w:hAnsiTheme="minorHAnsi" w:cstheme="minorHAnsi"/>
          <w:shd w:val="clear" w:color="auto" w:fill="FFFFFF"/>
        </w:rPr>
        <w:t>DEXRAZOXANE-REACH</w:t>
      </w:r>
      <w:r w:rsidRPr="009044A7">
        <w:rPr>
          <w:rFonts w:asciiTheme="minorHAnsi" w:hAnsiTheme="minorHAnsi" w:cstheme="minorHAnsi"/>
          <w:shd w:val="clear" w:color="auto" w:fill="FFFFFF"/>
        </w:rPr>
        <w:t xml:space="preserve"> </w:t>
      </w:r>
      <w:r w:rsidRPr="00212145">
        <w:rPr>
          <w:rFonts w:asciiTheme="minorHAnsi" w:eastAsiaTheme="minorHAnsi" w:hAnsiTheme="minorHAnsi" w:cstheme="minorHAnsi"/>
          <w:color w:val="000000"/>
          <w:shd w:val="clear" w:color="auto" w:fill="FFFFFF"/>
          <w:lang w:val="en-GB" w:eastAsia="en-US"/>
        </w:rPr>
        <w:t>is also contraindicated in the following circumstances:</w:t>
      </w:r>
    </w:p>
    <w:p w14:paraId="79C80233" w14:textId="77777777" w:rsidR="00212145" w:rsidRPr="00212145" w:rsidRDefault="00212145" w:rsidP="005D3387">
      <w:pPr>
        <w:pStyle w:val="NormalWeb"/>
        <w:shd w:val="clear" w:color="auto" w:fill="FFFFFF"/>
        <w:spacing w:before="0" w:beforeAutospacing="0" w:after="150" w:afterAutospacing="0" w:line="276" w:lineRule="auto"/>
        <w:ind w:left="426"/>
        <w:rPr>
          <w:rFonts w:asciiTheme="minorHAnsi" w:eastAsiaTheme="minorHAnsi" w:hAnsiTheme="minorHAnsi" w:cstheme="minorHAnsi"/>
          <w:color w:val="000000"/>
          <w:shd w:val="clear" w:color="auto" w:fill="FFFFFF"/>
          <w:lang w:val="en-GB" w:eastAsia="en-US"/>
        </w:rPr>
      </w:pPr>
      <w:r w:rsidRPr="00212145">
        <w:rPr>
          <w:rFonts w:asciiTheme="minorHAnsi" w:eastAsiaTheme="minorHAnsi" w:hAnsiTheme="minorHAnsi" w:cstheme="minorHAnsi"/>
          <w:color w:val="000000"/>
          <w:shd w:val="clear" w:color="auto" w:fill="FFFFFF"/>
          <w:lang w:val="en-GB" w:eastAsia="en-US"/>
        </w:rPr>
        <w:t>- Hypersensitivity to dexrazoxane</w:t>
      </w:r>
    </w:p>
    <w:p w14:paraId="090948DB" w14:textId="77777777" w:rsidR="00212145" w:rsidRPr="00212145" w:rsidRDefault="00212145" w:rsidP="005D3387">
      <w:pPr>
        <w:pStyle w:val="NormalWeb"/>
        <w:shd w:val="clear" w:color="auto" w:fill="FFFFFF"/>
        <w:spacing w:before="0" w:beforeAutospacing="0" w:after="150" w:afterAutospacing="0" w:line="276" w:lineRule="auto"/>
        <w:ind w:left="426"/>
        <w:rPr>
          <w:rFonts w:asciiTheme="minorHAnsi" w:eastAsiaTheme="minorHAnsi" w:hAnsiTheme="minorHAnsi" w:cstheme="minorHAnsi"/>
          <w:color w:val="000000"/>
          <w:shd w:val="clear" w:color="auto" w:fill="FFFFFF"/>
          <w:lang w:val="en-GB" w:eastAsia="en-US"/>
        </w:rPr>
      </w:pPr>
      <w:r w:rsidRPr="00212145">
        <w:rPr>
          <w:rFonts w:asciiTheme="minorHAnsi" w:eastAsiaTheme="minorHAnsi" w:hAnsiTheme="minorHAnsi" w:cstheme="minorHAnsi"/>
          <w:color w:val="000000"/>
          <w:shd w:val="clear" w:color="auto" w:fill="FFFFFF"/>
          <w:lang w:val="en-GB" w:eastAsia="en-US"/>
        </w:rPr>
        <w:t>- Breast-feeding (see section 4.6)</w:t>
      </w:r>
    </w:p>
    <w:p w14:paraId="443CA372" w14:textId="77777777" w:rsidR="00212145" w:rsidRPr="00212145" w:rsidRDefault="00212145" w:rsidP="005D3387">
      <w:pPr>
        <w:pStyle w:val="NormalWeb"/>
        <w:shd w:val="clear" w:color="auto" w:fill="FFFFFF"/>
        <w:spacing w:before="0" w:beforeAutospacing="0" w:after="360" w:afterAutospacing="0" w:line="276" w:lineRule="auto"/>
        <w:ind w:left="426"/>
        <w:rPr>
          <w:rFonts w:asciiTheme="minorHAnsi" w:eastAsiaTheme="minorHAnsi" w:hAnsiTheme="minorHAnsi" w:cstheme="minorHAnsi"/>
          <w:color w:val="000000"/>
          <w:shd w:val="clear" w:color="auto" w:fill="FFFFFF"/>
          <w:lang w:val="en-GB" w:eastAsia="en-US"/>
        </w:rPr>
      </w:pPr>
      <w:r w:rsidRPr="00212145">
        <w:rPr>
          <w:rFonts w:asciiTheme="minorHAnsi" w:eastAsiaTheme="minorHAnsi" w:hAnsiTheme="minorHAnsi" w:cstheme="minorHAnsi"/>
          <w:color w:val="000000"/>
          <w:shd w:val="clear" w:color="auto" w:fill="FFFFFF"/>
          <w:lang w:val="en-GB" w:eastAsia="en-US"/>
        </w:rPr>
        <w:t>- Concomitant vaccination with yellow fever vaccine (see section 4.5)</w:t>
      </w:r>
    </w:p>
    <w:p w14:paraId="3039F452" w14:textId="3F0E2691" w:rsidR="00EE39F5" w:rsidRPr="00DE57DB" w:rsidRDefault="005A3D5A" w:rsidP="005D3387">
      <w:pPr>
        <w:pStyle w:val="Default"/>
        <w:numPr>
          <w:ilvl w:val="1"/>
          <w:numId w:val="8"/>
        </w:numPr>
        <w:spacing w:before="240" w:after="240" w:line="276" w:lineRule="auto"/>
        <w:ind w:left="851"/>
        <w:rPr>
          <w:rFonts w:ascii="Calibri" w:eastAsia="Calibri" w:hAnsi="Calibri" w:cs="Calibri"/>
          <w:b/>
          <w:color w:val="auto"/>
          <w:sz w:val="23"/>
          <w:szCs w:val="23"/>
          <w:lang w:val="en-AU"/>
        </w:rPr>
      </w:pPr>
      <w:r w:rsidRPr="00DE57DB">
        <w:rPr>
          <w:rFonts w:ascii="Calibri" w:eastAsia="Calibri" w:hAnsi="Calibri" w:cs="Calibri"/>
          <w:b/>
          <w:color w:val="auto"/>
          <w:sz w:val="23"/>
          <w:szCs w:val="23"/>
          <w:lang w:val="en-AU"/>
        </w:rPr>
        <w:t>SPECIAL WARNINGS AND PRECAUTIONS FOR USE</w:t>
      </w:r>
    </w:p>
    <w:p w14:paraId="6BCDE981" w14:textId="77777777" w:rsidR="00212145" w:rsidRPr="00CB5F2E" w:rsidRDefault="00212145" w:rsidP="005D3387">
      <w:pPr>
        <w:pStyle w:val="NormalWeb"/>
        <w:shd w:val="clear" w:color="auto" w:fill="FFFFFF"/>
        <w:spacing w:before="0" w:beforeAutospacing="0" w:after="150" w:afterAutospacing="0" w:line="276" w:lineRule="auto"/>
        <w:ind w:left="426"/>
        <w:rPr>
          <w:rFonts w:asciiTheme="minorHAnsi" w:hAnsiTheme="minorHAnsi" w:cstheme="minorHAnsi"/>
          <w:b/>
          <w:bCs/>
          <w:shd w:val="clear" w:color="auto" w:fill="FFFFFF"/>
        </w:rPr>
      </w:pPr>
      <w:bookmarkStart w:id="6" w:name="Identified"/>
      <w:bookmarkEnd w:id="6"/>
      <w:r w:rsidRPr="00CB5F2E">
        <w:rPr>
          <w:rFonts w:asciiTheme="minorHAnsi" w:hAnsiTheme="minorHAnsi" w:cstheme="minorHAnsi"/>
          <w:b/>
          <w:bCs/>
          <w:shd w:val="clear" w:color="auto" w:fill="FFFFFF"/>
        </w:rPr>
        <w:t>Myelosuppression</w:t>
      </w:r>
    </w:p>
    <w:p w14:paraId="5583F352" w14:textId="17C8D67D" w:rsidR="00212145" w:rsidRPr="00212145" w:rsidRDefault="00212145"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r w:rsidRPr="00212145">
        <w:rPr>
          <w:rFonts w:asciiTheme="minorHAnsi" w:hAnsiTheme="minorHAnsi" w:cstheme="minorHAnsi"/>
          <w:shd w:val="clear" w:color="auto" w:fill="FFFFFF"/>
        </w:rPr>
        <w:t xml:space="preserve">Myelosuppressive effects that may be additive to those of chemotherapy were reported with </w:t>
      </w:r>
      <w:r>
        <w:rPr>
          <w:rFonts w:asciiTheme="minorHAnsi" w:hAnsiTheme="minorHAnsi" w:cstheme="minorHAnsi"/>
          <w:shd w:val="clear" w:color="auto" w:fill="FFFFFF"/>
        </w:rPr>
        <w:t>DEXRAZOXANE-REACH</w:t>
      </w:r>
      <w:r w:rsidRPr="009044A7">
        <w:rPr>
          <w:rFonts w:asciiTheme="minorHAnsi" w:hAnsiTheme="minorHAnsi" w:cstheme="minorHAnsi"/>
          <w:shd w:val="clear" w:color="auto" w:fill="FFFFFF"/>
        </w:rPr>
        <w:t xml:space="preserve"> </w:t>
      </w:r>
      <w:r w:rsidRPr="00212145">
        <w:rPr>
          <w:rFonts w:asciiTheme="minorHAnsi" w:hAnsiTheme="minorHAnsi" w:cstheme="minorHAnsi"/>
          <w:shd w:val="clear" w:color="auto" w:fill="FFFFFF"/>
        </w:rPr>
        <w:t xml:space="preserve">(see section 4.8). Cell counts at nadir may be lower in patients treated with dexrazoxane. Haematological monitoring is thus necessary. </w:t>
      </w:r>
      <w:proofErr w:type="spellStart"/>
      <w:r w:rsidRPr="00212145">
        <w:rPr>
          <w:rFonts w:asciiTheme="minorHAnsi" w:hAnsiTheme="minorHAnsi" w:cstheme="minorHAnsi"/>
          <w:shd w:val="clear" w:color="auto" w:fill="FFFFFF"/>
        </w:rPr>
        <w:t>Leucopenia</w:t>
      </w:r>
      <w:proofErr w:type="spellEnd"/>
      <w:r w:rsidRPr="00212145">
        <w:rPr>
          <w:rFonts w:asciiTheme="minorHAnsi" w:hAnsiTheme="minorHAnsi" w:cstheme="minorHAnsi"/>
          <w:shd w:val="clear" w:color="auto" w:fill="FFFFFF"/>
        </w:rPr>
        <w:t xml:space="preserve"> and thrombocytopenia generally reverse quickly upon cessation of treatment with </w:t>
      </w:r>
      <w:r w:rsidR="00676C4F">
        <w:rPr>
          <w:rFonts w:asciiTheme="minorHAnsi" w:hAnsiTheme="minorHAnsi" w:cstheme="minorHAnsi"/>
          <w:shd w:val="clear" w:color="auto" w:fill="FFFFFF"/>
        </w:rPr>
        <w:t>DEXRAZOXANE-REACH</w:t>
      </w:r>
      <w:r w:rsidRPr="00212145">
        <w:rPr>
          <w:rFonts w:asciiTheme="minorHAnsi" w:hAnsiTheme="minorHAnsi" w:cstheme="minorHAnsi"/>
          <w:shd w:val="clear" w:color="auto" w:fill="FFFFFF"/>
        </w:rPr>
        <w:t>.</w:t>
      </w:r>
    </w:p>
    <w:p w14:paraId="19EB009C" w14:textId="69B41BFB" w:rsidR="00212145" w:rsidRPr="00212145" w:rsidRDefault="00212145"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r w:rsidRPr="00212145">
        <w:rPr>
          <w:rFonts w:asciiTheme="minorHAnsi" w:hAnsiTheme="minorHAnsi" w:cstheme="minorHAnsi"/>
          <w:shd w:val="clear" w:color="auto" w:fill="FFFFFF"/>
        </w:rPr>
        <w:t xml:space="preserve">At higher doses of chemotherapy, where the </w:t>
      </w:r>
      <w:r>
        <w:rPr>
          <w:rFonts w:asciiTheme="minorHAnsi" w:hAnsiTheme="minorHAnsi" w:cstheme="minorHAnsi"/>
          <w:shd w:val="clear" w:color="auto" w:fill="FFFFFF"/>
        </w:rPr>
        <w:t>DEXRAZOXANE-REACH</w:t>
      </w:r>
      <w:r w:rsidRPr="009044A7">
        <w:rPr>
          <w:rFonts w:asciiTheme="minorHAnsi" w:hAnsiTheme="minorHAnsi" w:cstheme="minorHAnsi"/>
          <w:shd w:val="clear" w:color="auto" w:fill="FFFFFF"/>
        </w:rPr>
        <w:t xml:space="preserve"> </w:t>
      </w:r>
      <w:r w:rsidRPr="00212145">
        <w:rPr>
          <w:rFonts w:asciiTheme="minorHAnsi" w:hAnsiTheme="minorHAnsi" w:cstheme="minorHAnsi"/>
          <w:shd w:val="clear" w:color="auto" w:fill="FFFFFF"/>
        </w:rPr>
        <w:t>dose exceeds 1000 mg/m</w:t>
      </w:r>
      <w:r w:rsidRPr="00D9286B">
        <w:rPr>
          <w:rFonts w:asciiTheme="minorHAnsi" w:hAnsiTheme="minorHAnsi" w:cstheme="minorHAnsi"/>
          <w:shd w:val="clear" w:color="auto" w:fill="FFFFFF"/>
          <w:vertAlign w:val="superscript"/>
        </w:rPr>
        <w:t>2</w:t>
      </w:r>
      <w:r w:rsidRPr="00212145">
        <w:rPr>
          <w:rFonts w:asciiTheme="minorHAnsi" w:hAnsiTheme="minorHAnsi" w:cstheme="minorHAnsi"/>
          <w:shd w:val="clear" w:color="auto" w:fill="FFFFFF"/>
        </w:rPr>
        <w:t>, myelosuppression may increase significantly.</w:t>
      </w:r>
    </w:p>
    <w:p w14:paraId="0D0316F0" w14:textId="77777777" w:rsidR="00212145" w:rsidRPr="00CB5F2E" w:rsidRDefault="00212145" w:rsidP="005D3387">
      <w:pPr>
        <w:pStyle w:val="NormalWeb"/>
        <w:shd w:val="clear" w:color="auto" w:fill="FFFFFF"/>
        <w:spacing w:before="0" w:beforeAutospacing="0" w:after="150" w:afterAutospacing="0" w:line="276" w:lineRule="auto"/>
        <w:ind w:left="426"/>
        <w:rPr>
          <w:rFonts w:asciiTheme="minorHAnsi" w:hAnsiTheme="minorHAnsi" w:cstheme="minorHAnsi"/>
          <w:b/>
          <w:bCs/>
          <w:shd w:val="clear" w:color="auto" w:fill="FFFFFF"/>
        </w:rPr>
      </w:pPr>
      <w:r w:rsidRPr="00CB5F2E">
        <w:rPr>
          <w:rFonts w:asciiTheme="minorHAnsi" w:hAnsiTheme="minorHAnsi" w:cstheme="minorHAnsi"/>
          <w:b/>
          <w:bCs/>
          <w:shd w:val="clear" w:color="auto" w:fill="FFFFFF"/>
        </w:rPr>
        <w:t>Second primary malignancies</w:t>
      </w:r>
    </w:p>
    <w:p w14:paraId="4A939D93" w14:textId="77777777" w:rsidR="00212145" w:rsidRPr="00212145" w:rsidRDefault="00212145"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r w:rsidRPr="00212145">
        <w:rPr>
          <w:rFonts w:asciiTheme="minorHAnsi" w:hAnsiTheme="minorHAnsi" w:cstheme="minorHAnsi"/>
          <w:shd w:val="clear" w:color="auto" w:fill="FFFFFF"/>
        </w:rPr>
        <w:lastRenderedPageBreak/>
        <w:t>Since dexrazoxane is a cytotoxic agent, with topoisomerase II inhibition activity, combination of dexrazoxane with chemotherapy may lead to an increased risk of second primary malignancy.</w:t>
      </w:r>
    </w:p>
    <w:p w14:paraId="1C10E693" w14:textId="77777777" w:rsidR="00212145" w:rsidRPr="00212145" w:rsidRDefault="00212145"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r w:rsidRPr="00212145">
        <w:rPr>
          <w:rFonts w:asciiTheme="minorHAnsi" w:hAnsiTheme="minorHAnsi" w:cstheme="minorHAnsi"/>
          <w:shd w:val="clear" w:color="auto" w:fill="FFFFFF"/>
        </w:rPr>
        <w:t>Oncology patients have an increased risk of second primary malignancies, regardless of treatment. Patients who have received cancer therapy also have an increased risk of second primary malignancy.</w:t>
      </w:r>
    </w:p>
    <w:p w14:paraId="4F6A4488" w14:textId="77777777" w:rsidR="00212145" w:rsidRPr="00212145" w:rsidRDefault="00212145"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r w:rsidRPr="00212145">
        <w:rPr>
          <w:rFonts w:asciiTheme="minorHAnsi" w:hAnsiTheme="minorHAnsi" w:cstheme="minorHAnsi"/>
          <w:shd w:val="clear" w:color="auto" w:fill="FFFFFF"/>
        </w:rPr>
        <w:t>Acute Myeloid Leukaemia (AML) has been reported uncommonly in adult breast cancer patients post-marketing (see section 4.8).</w:t>
      </w:r>
    </w:p>
    <w:p w14:paraId="3AD3F8E9" w14:textId="77777777" w:rsidR="00212145" w:rsidRPr="00212145" w:rsidRDefault="00212145"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r w:rsidRPr="00212145">
        <w:rPr>
          <w:rFonts w:asciiTheme="minorHAnsi" w:hAnsiTheme="minorHAnsi" w:cstheme="minorHAnsi"/>
          <w:shd w:val="clear" w:color="auto" w:fill="FFFFFF"/>
        </w:rPr>
        <w:t xml:space="preserve">In paediatric patients, second primary malignancies, including acute myeloid leukaemia (AML) and myelodysplastic syndrome (MDS), have been reported in clinical trials in both dexrazoxane and control groups. Although second primary malignancies were numerically higher in the dexrazoxane arm, there was no statistical difference between groups. Overall, the rates of second primary malignancies in the available paediatric studies in the dexrazoxane group are </w:t>
      </w:r>
      <w:proofErr w:type="gramStart"/>
      <w:r w:rsidRPr="00212145">
        <w:rPr>
          <w:rFonts w:asciiTheme="minorHAnsi" w:hAnsiTheme="minorHAnsi" w:cstheme="minorHAnsi"/>
          <w:shd w:val="clear" w:color="auto" w:fill="FFFFFF"/>
        </w:rPr>
        <w:t>similar to</w:t>
      </w:r>
      <w:proofErr w:type="gramEnd"/>
      <w:r w:rsidRPr="00212145">
        <w:rPr>
          <w:rFonts w:asciiTheme="minorHAnsi" w:hAnsiTheme="minorHAnsi" w:cstheme="minorHAnsi"/>
          <w:shd w:val="clear" w:color="auto" w:fill="FFFFFF"/>
        </w:rPr>
        <w:t xml:space="preserve"> rates determined for relevant populations in other studies (historical data). However, the </w:t>
      </w:r>
      <w:proofErr w:type="gramStart"/>
      <w:r w:rsidRPr="00212145">
        <w:rPr>
          <w:rFonts w:asciiTheme="minorHAnsi" w:hAnsiTheme="minorHAnsi" w:cstheme="minorHAnsi"/>
          <w:shd w:val="clear" w:color="auto" w:fill="FFFFFF"/>
        </w:rPr>
        <w:t>long term</w:t>
      </w:r>
      <w:proofErr w:type="gramEnd"/>
      <w:r w:rsidRPr="00212145">
        <w:rPr>
          <w:rFonts w:asciiTheme="minorHAnsi" w:hAnsiTheme="minorHAnsi" w:cstheme="minorHAnsi"/>
          <w:shd w:val="clear" w:color="auto" w:fill="FFFFFF"/>
        </w:rPr>
        <w:t xml:space="preserve"> effect of dexrazoxane on second primary malignancies is not known and cannot be estimated from the available data. In clinical trials, second primary malignancies, in particular AML and myelodysplastic syndrome (MDS), have been reported in paediatric patients with Hodgkin's disease and acute lymphoblastic leukaemia receiving chemotherapy regimens including several </w:t>
      </w:r>
      <w:proofErr w:type="spellStart"/>
      <w:r w:rsidRPr="00212145">
        <w:rPr>
          <w:rFonts w:asciiTheme="minorHAnsi" w:hAnsiTheme="minorHAnsi" w:cstheme="minorHAnsi"/>
          <w:shd w:val="clear" w:color="auto" w:fill="FFFFFF"/>
        </w:rPr>
        <w:t>cytotoxics</w:t>
      </w:r>
      <w:proofErr w:type="spellEnd"/>
      <w:r w:rsidRPr="00212145">
        <w:rPr>
          <w:rFonts w:asciiTheme="minorHAnsi" w:hAnsiTheme="minorHAnsi" w:cstheme="minorHAnsi"/>
          <w:shd w:val="clear" w:color="auto" w:fill="FFFFFF"/>
        </w:rPr>
        <w:t xml:space="preserve"> (e.g. etoposide, doxorubicin, cyclophosphamide) (see section 4.8).</w:t>
      </w:r>
    </w:p>
    <w:p w14:paraId="1D7D12EA" w14:textId="77777777" w:rsidR="004402FC" w:rsidRPr="00CB5F2E" w:rsidRDefault="004402FC" w:rsidP="005D3387">
      <w:pPr>
        <w:pStyle w:val="NormalWeb"/>
        <w:shd w:val="clear" w:color="auto" w:fill="FFFFFF"/>
        <w:spacing w:before="0" w:beforeAutospacing="0" w:after="150" w:afterAutospacing="0" w:line="276" w:lineRule="auto"/>
        <w:ind w:left="426"/>
        <w:rPr>
          <w:rFonts w:asciiTheme="minorHAnsi" w:hAnsiTheme="minorHAnsi" w:cstheme="minorHAnsi"/>
          <w:b/>
          <w:bCs/>
          <w:shd w:val="clear" w:color="auto" w:fill="FFFFFF"/>
        </w:rPr>
      </w:pPr>
      <w:r w:rsidRPr="00CB5F2E">
        <w:rPr>
          <w:rFonts w:asciiTheme="minorHAnsi" w:hAnsiTheme="minorHAnsi" w:cstheme="minorHAnsi"/>
          <w:b/>
          <w:bCs/>
          <w:shd w:val="clear" w:color="auto" w:fill="FFFFFF"/>
        </w:rPr>
        <w:t>Patients with cardiac disorders</w:t>
      </w:r>
    </w:p>
    <w:p w14:paraId="624B5766" w14:textId="77777777" w:rsidR="004402FC" w:rsidRPr="00212145" w:rsidRDefault="004402FC"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r w:rsidRPr="00212145">
        <w:rPr>
          <w:rFonts w:asciiTheme="minorHAnsi" w:hAnsiTheme="minorHAnsi" w:cstheme="minorHAnsi"/>
          <w:shd w:val="clear" w:color="auto" w:fill="FFFFFF"/>
        </w:rPr>
        <w:t xml:space="preserve">Standard cardiac monitoring associated with doxorubicin or </w:t>
      </w:r>
      <w:proofErr w:type="spellStart"/>
      <w:r w:rsidRPr="00212145">
        <w:rPr>
          <w:rFonts w:asciiTheme="minorHAnsi" w:hAnsiTheme="minorHAnsi" w:cstheme="minorHAnsi"/>
          <w:shd w:val="clear" w:color="auto" w:fill="FFFFFF"/>
        </w:rPr>
        <w:t>epirubicin</w:t>
      </w:r>
      <w:proofErr w:type="spellEnd"/>
      <w:r w:rsidRPr="00212145">
        <w:rPr>
          <w:rFonts w:asciiTheme="minorHAnsi" w:hAnsiTheme="minorHAnsi" w:cstheme="minorHAnsi"/>
          <w:shd w:val="clear" w:color="auto" w:fill="FFFFFF"/>
        </w:rPr>
        <w:t xml:space="preserve"> treatment should be continued.</w:t>
      </w:r>
    </w:p>
    <w:p w14:paraId="7F64CD53" w14:textId="09ADEFA5" w:rsidR="004402FC" w:rsidRPr="00212145" w:rsidRDefault="004402FC"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r w:rsidRPr="00212145">
        <w:rPr>
          <w:rFonts w:asciiTheme="minorHAnsi" w:hAnsiTheme="minorHAnsi" w:cstheme="minorHAnsi"/>
          <w:shd w:val="clear" w:color="auto" w:fill="FFFFFF"/>
        </w:rPr>
        <w:t>There are no data that support the use of dexrazoxane in patients with myocardial infarction, pre-existing heart failure (including clinical heart failure secondary to anthracycline treatment), uncontrolled angina or symptomatic valvular heart disease.</w:t>
      </w:r>
    </w:p>
    <w:p w14:paraId="5925F139" w14:textId="77777777" w:rsidR="004402FC" w:rsidRPr="00CB5F2E" w:rsidRDefault="004402FC" w:rsidP="005D3387">
      <w:pPr>
        <w:pStyle w:val="NormalWeb"/>
        <w:shd w:val="clear" w:color="auto" w:fill="FFFFFF"/>
        <w:spacing w:before="0" w:beforeAutospacing="0" w:after="150" w:afterAutospacing="0" w:line="276" w:lineRule="auto"/>
        <w:ind w:left="426"/>
        <w:rPr>
          <w:rFonts w:asciiTheme="minorHAnsi" w:hAnsiTheme="minorHAnsi" w:cstheme="minorHAnsi"/>
          <w:b/>
          <w:bCs/>
          <w:shd w:val="clear" w:color="auto" w:fill="FFFFFF"/>
        </w:rPr>
      </w:pPr>
      <w:r w:rsidRPr="00CB5F2E">
        <w:rPr>
          <w:rFonts w:asciiTheme="minorHAnsi" w:hAnsiTheme="minorHAnsi" w:cstheme="minorHAnsi"/>
          <w:b/>
          <w:bCs/>
          <w:shd w:val="clear" w:color="auto" w:fill="FFFFFF"/>
        </w:rPr>
        <w:t>Thromboembolism</w:t>
      </w:r>
    </w:p>
    <w:p w14:paraId="1FA3EC27" w14:textId="77777777" w:rsidR="004402FC" w:rsidRPr="00212145" w:rsidRDefault="004402FC"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r w:rsidRPr="00212145">
        <w:rPr>
          <w:rFonts w:asciiTheme="minorHAnsi" w:hAnsiTheme="minorHAnsi" w:cstheme="minorHAnsi"/>
          <w:shd w:val="clear" w:color="auto" w:fill="FFFFFF"/>
        </w:rPr>
        <w:t>Combination of dexrazoxane with chemotherapy may lead to an increased risk of thromboembolism (see section 4.8).</w:t>
      </w:r>
    </w:p>
    <w:p w14:paraId="642A229A" w14:textId="77777777" w:rsidR="004402FC" w:rsidRPr="00CB5F2E" w:rsidRDefault="004402FC" w:rsidP="005D3387">
      <w:pPr>
        <w:pStyle w:val="NormalWeb"/>
        <w:shd w:val="clear" w:color="auto" w:fill="FFFFFF"/>
        <w:spacing w:before="0" w:beforeAutospacing="0" w:after="150" w:afterAutospacing="0" w:line="276" w:lineRule="auto"/>
        <w:ind w:left="426"/>
        <w:rPr>
          <w:rFonts w:asciiTheme="minorHAnsi" w:hAnsiTheme="minorHAnsi" w:cstheme="minorHAnsi"/>
          <w:b/>
          <w:bCs/>
          <w:shd w:val="clear" w:color="auto" w:fill="FFFFFF"/>
        </w:rPr>
      </w:pPr>
      <w:r w:rsidRPr="00CB5F2E">
        <w:rPr>
          <w:rFonts w:asciiTheme="minorHAnsi" w:hAnsiTheme="minorHAnsi" w:cstheme="minorHAnsi"/>
          <w:b/>
          <w:bCs/>
          <w:shd w:val="clear" w:color="auto" w:fill="FFFFFF"/>
        </w:rPr>
        <w:t>Anaphylactic reaction</w:t>
      </w:r>
    </w:p>
    <w:p w14:paraId="3F7E545F" w14:textId="33319057" w:rsidR="004402FC" w:rsidRDefault="004402FC"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r w:rsidRPr="00212145">
        <w:rPr>
          <w:rFonts w:asciiTheme="minorHAnsi" w:hAnsiTheme="minorHAnsi" w:cstheme="minorHAnsi"/>
          <w:shd w:val="clear" w:color="auto" w:fill="FFFFFF"/>
        </w:rPr>
        <w:t xml:space="preserve">Anaphylactic reaction including angioedema, skin reactions, bronchospasm, respiratory distress, hypotension and loss of consciousness have been observed in patients treated with </w:t>
      </w:r>
      <w:r w:rsidR="00913A9A">
        <w:rPr>
          <w:rFonts w:asciiTheme="minorHAnsi" w:hAnsiTheme="minorHAnsi" w:cstheme="minorHAnsi"/>
          <w:shd w:val="clear" w:color="auto" w:fill="FFFFFF"/>
        </w:rPr>
        <w:t>dexrazoxane</w:t>
      </w:r>
      <w:r w:rsidRPr="009044A7">
        <w:rPr>
          <w:rFonts w:asciiTheme="minorHAnsi" w:hAnsiTheme="minorHAnsi" w:cstheme="minorHAnsi"/>
          <w:shd w:val="clear" w:color="auto" w:fill="FFFFFF"/>
        </w:rPr>
        <w:t xml:space="preserve"> </w:t>
      </w:r>
      <w:r w:rsidRPr="00212145">
        <w:rPr>
          <w:rFonts w:asciiTheme="minorHAnsi" w:hAnsiTheme="minorHAnsi" w:cstheme="minorHAnsi"/>
          <w:shd w:val="clear" w:color="auto" w:fill="FFFFFF"/>
        </w:rPr>
        <w:t>and anthracyclines (see section 4.8). Previous history of allergy to dexrazoxane should be carefully considered prior to administration (see section 4.3).</w:t>
      </w:r>
    </w:p>
    <w:p w14:paraId="4A1F8FA9" w14:textId="7AFB5133" w:rsidR="00093E6E" w:rsidRPr="00CB5F2E" w:rsidRDefault="00093E6E" w:rsidP="005D3387">
      <w:pPr>
        <w:pStyle w:val="NormalWeb"/>
        <w:shd w:val="clear" w:color="auto" w:fill="FFFFFF"/>
        <w:spacing w:before="0" w:beforeAutospacing="0" w:after="150" w:afterAutospacing="0" w:line="276" w:lineRule="auto"/>
        <w:ind w:left="426"/>
        <w:rPr>
          <w:rFonts w:asciiTheme="minorHAnsi" w:hAnsiTheme="minorHAnsi" w:cstheme="minorHAnsi"/>
          <w:b/>
          <w:bCs/>
          <w:shd w:val="clear" w:color="auto" w:fill="FFFFFF"/>
        </w:rPr>
      </w:pPr>
      <w:r>
        <w:rPr>
          <w:rFonts w:asciiTheme="minorHAnsi" w:hAnsiTheme="minorHAnsi" w:cstheme="minorHAnsi"/>
          <w:b/>
          <w:bCs/>
          <w:shd w:val="clear" w:color="auto" w:fill="FFFFFF"/>
        </w:rPr>
        <w:t>Use in hepatic impairment</w:t>
      </w:r>
    </w:p>
    <w:p w14:paraId="37D72CC0" w14:textId="57333DAB" w:rsidR="00093E6E" w:rsidRPr="00212145" w:rsidRDefault="00093E6E"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bookmarkStart w:id="7" w:name="_Hlk135745306"/>
      <w:r w:rsidRPr="00212145">
        <w:rPr>
          <w:rFonts w:asciiTheme="minorHAnsi" w:hAnsiTheme="minorHAnsi" w:cstheme="minorHAnsi"/>
          <w:shd w:val="clear" w:color="auto" w:fill="FFFFFF"/>
        </w:rPr>
        <w:t xml:space="preserve">Since liver dysfunction was occasionally observed in patients treated with </w:t>
      </w:r>
      <w:r w:rsidR="00E1183D">
        <w:rPr>
          <w:rFonts w:asciiTheme="minorHAnsi" w:hAnsiTheme="minorHAnsi" w:cstheme="minorHAnsi"/>
          <w:shd w:val="clear" w:color="auto" w:fill="FFFFFF"/>
        </w:rPr>
        <w:t>dexrazoxane</w:t>
      </w:r>
      <w:r w:rsidRPr="009044A7">
        <w:rPr>
          <w:rFonts w:asciiTheme="minorHAnsi" w:hAnsiTheme="minorHAnsi" w:cstheme="minorHAnsi"/>
          <w:shd w:val="clear" w:color="auto" w:fill="FFFFFF"/>
        </w:rPr>
        <w:t xml:space="preserve"> </w:t>
      </w:r>
      <w:r w:rsidRPr="00212145">
        <w:rPr>
          <w:rFonts w:asciiTheme="minorHAnsi" w:hAnsiTheme="minorHAnsi" w:cstheme="minorHAnsi"/>
          <w:shd w:val="clear" w:color="auto" w:fill="FFFFFF"/>
        </w:rPr>
        <w:t>(see section 4.8), it is recommended that routine liver function tests be performed before and during administration of dexrazoxane in patients with known liver function disorders.</w:t>
      </w:r>
    </w:p>
    <w:bookmarkEnd w:id="7"/>
    <w:p w14:paraId="330F4079" w14:textId="775CC4E7" w:rsidR="00212145" w:rsidRPr="00CB5F2E" w:rsidRDefault="004402FC" w:rsidP="005D3387">
      <w:pPr>
        <w:pStyle w:val="NormalWeb"/>
        <w:shd w:val="clear" w:color="auto" w:fill="FFFFFF"/>
        <w:spacing w:before="0" w:beforeAutospacing="0" w:after="150" w:afterAutospacing="0" w:line="276" w:lineRule="auto"/>
        <w:ind w:left="426"/>
        <w:rPr>
          <w:rFonts w:asciiTheme="minorHAnsi" w:hAnsiTheme="minorHAnsi" w:cstheme="minorHAnsi"/>
          <w:b/>
          <w:bCs/>
          <w:shd w:val="clear" w:color="auto" w:fill="FFFFFF"/>
        </w:rPr>
      </w:pPr>
      <w:r>
        <w:rPr>
          <w:rFonts w:asciiTheme="minorHAnsi" w:hAnsiTheme="minorHAnsi" w:cstheme="minorHAnsi"/>
          <w:b/>
          <w:bCs/>
          <w:shd w:val="clear" w:color="auto" w:fill="FFFFFF"/>
        </w:rPr>
        <w:lastRenderedPageBreak/>
        <w:t>Use in</w:t>
      </w:r>
      <w:r w:rsidR="00212145" w:rsidRPr="00CB5F2E">
        <w:rPr>
          <w:rFonts w:asciiTheme="minorHAnsi" w:hAnsiTheme="minorHAnsi" w:cstheme="minorHAnsi"/>
          <w:b/>
          <w:bCs/>
          <w:shd w:val="clear" w:color="auto" w:fill="FFFFFF"/>
        </w:rPr>
        <w:t xml:space="preserve"> renal impairment</w:t>
      </w:r>
    </w:p>
    <w:p w14:paraId="7DCC9CF2" w14:textId="30C5B63B" w:rsidR="00212145" w:rsidRPr="00212145" w:rsidRDefault="00212145"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bookmarkStart w:id="8" w:name="_Hlk135745392"/>
      <w:r w:rsidRPr="00212145">
        <w:rPr>
          <w:rFonts w:asciiTheme="minorHAnsi" w:hAnsiTheme="minorHAnsi" w:cstheme="minorHAnsi"/>
          <w:shd w:val="clear" w:color="auto" w:fill="FFFFFF"/>
        </w:rPr>
        <w:t xml:space="preserve">Clearance of dexrazoxane and its active metabolites may be reduced in patients with decreased creatinine clearance </w:t>
      </w:r>
      <w:bookmarkEnd w:id="8"/>
      <w:r w:rsidRPr="00212145">
        <w:rPr>
          <w:rFonts w:asciiTheme="minorHAnsi" w:hAnsiTheme="minorHAnsi" w:cstheme="minorHAnsi"/>
          <w:shd w:val="clear" w:color="auto" w:fill="FFFFFF"/>
        </w:rPr>
        <w:t>(see Section 4.2).</w:t>
      </w:r>
    </w:p>
    <w:p w14:paraId="5E097F97" w14:textId="70E6F986" w:rsidR="00212145" w:rsidRPr="00CB5F2E" w:rsidRDefault="004402FC" w:rsidP="005D3387">
      <w:pPr>
        <w:pStyle w:val="NormalWeb"/>
        <w:shd w:val="clear" w:color="auto" w:fill="FFFFFF"/>
        <w:spacing w:before="0" w:beforeAutospacing="0" w:after="150" w:afterAutospacing="0" w:line="276" w:lineRule="auto"/>
        <w:ind w:left="426"/>
        <w:rPr>
          <w:rFonts w:asciiTheme="minorHAnsi" w:hAnsiTheme="minorHAnsi" w:cstheme="minorHAnsi"/>
          <w:b/>
          <w:bCs/>
          <w:shd w:val="clear" w:color="auto" w:fill="FFFFFF"/>
        </w:rPr>
      </w:pPr>
      <w:r>
        <w:rPr>
          <w:rFonts w:asciiTheme="minorHAnsi" w:hAnsiTheme="minorHAnsi" w:cstheme="minorHAnsi"/>
          <w:b/>
          <w:bCs/>
          <w:shd w:val="clear" w:color="auto" w:fill="FFFFFF"/>
        </w:rPr>
        <w:t>Use in e</w:t>
      </w:r>
      <w:r w:rsidR="00212145" w:rsidRPr="00CB5F2E">
        <w:rPr>
          <w:rFonts w:asciiTheme="minorHAnsi" w:hAnsiTheme="minorHAnsi" w:cstheme="minorHAnsi"/>
          <w:b/>
          <w:bCs/>
          <w:shd w:val="clear" w:color="auto" w:fill="FFFFFF"/>
        </w:rPr>
        <w:t>lderly</w:t>
      </w:r>
    </w:p>
    <w:p w14:paraId="2D70A257" w14:textId="77777777" w:rsidR="00212145" w:rsidRPr="00212145" w:rsidRDefault="00212145"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r w:rsidRPr="00212145">
        <w:rPr>
          <w:rFonts w:asciiTheme="minorHAnsi" w:hAnsiTheme="minorHAnsi" w:cstheme="minorHAnsi"/>
          <w:shd w:val="clear" w:color="auto" w:fill="FFFFFF"/>
        </w:rPr>
        <w:t>There are no clinical trials comparing the efficacy or safety of dexrazoxane in geriatric patients to that in younger patients. However, in general, caution is required when treating elderly patients due to their greater use of other medicinal products, higher rates of concomitant diseases and possible reduced hepatic, renal or cardiac function.</w:t>
      </w:r>
    </w:p>
    <w:p w14:paraId="22991B6D" w14:textId="594BE4D5" w:rsidR="00CB5F2E" w:rsidRPr="00212145" w:rsidRDefault="00CB5F2E" w:rsidP="005D3387">
      <w:pPr>
        <w:pStyle w:val="NormalWeb"/>
        <w:shd w:val="clear" w:color="auto" w:fill="FFFFFF"/>
        <w:spacing w:before="240" w:beforeAutospacing="0" w:after="150" w:afterAutospacing="0" w:line="276" w:lineRule="auto"/>
        <w:ind w:left="426"/>
        <w:rPr>
          <w:rFonts w:asciiTheme="minorHAnsi" w:eastAsiaTheme="minorHAnsi" w:hAnsiTheme="minorHAnsi" w:cstheme="minorHAnsi"/>
          <w:b/>
          <w:bCs/>
          <w:color w:val="000000"/>
          <w:shd w:val="clear" w:color="auto" w:fill="FFFFFF"/>
          <w:lang w:val="en-GB" w:eastAsia="en-US"/>
        </w:rPr>
      </w:pPr>
      <w:r w:rsidRPr="00212145">
        <w:rPr>
          <w:rFonts w:asciiTheme="minorHAnsi" w:eastAsiaTheme="minorHAnsi" w:hAnsiTheme="minorHAnsi" w:cstheme="minorHAnsi"/>
          <w:b/>
          <w:bCs/>
          <w:color w:val="000000"/>
          <w:shd w:val="clear" w:color="auto" w:fill="FFFFFF"/>
          <w:lang w:val="en-GB" w:eastAsia="en-US"/>
        </w:rPr>
        <w:t xml:space="preserve">Paediatric </w:t>
      </w:r>
      <w:r w:rsidR="004402FC">
        <w:rPr>
          <w:rFonts w:asciiTheme="minorHAnsi" w:eastAsiaTheme="minorHAnsi" w:hAnsiTheme="minorHAnsi" w:cstheme="minorHAnsi"/>
          <w:b/>
          <w:bCs/>
          <w:color w:val="000000"/>
          <w:shd w:val="clear" w:color="auto" w:fill="FFFFFF"/>
          <w:lang w:val="en-GB" w:eastAsia="en-US"/>
        </w:rPr>
        <w:t>use</w:t>
      </w:r>
    </w:p>
    <w:p w14:paraId="66BDFB70" w14:textId="4068143A" w:rsidR="00CB5F2E" w:rsidRDefault="00CB5F2E" w:rsidP="005D3387">
      <w:pPr>
        <w:pStyle w:val="NormalWeb"/>
        <w:shd w:val="clear" w:color="auto" w:fill="FFFFFF"/>
        <w:spacing w:before="0" w:beforeAutospacing="0" w:after="150" w:afterAutospacing="0" w:line="276" w:lineRule="auto"/>
        <w:ind w:left="426"/>
        <w:rPr>
          <w:rFonts w:asciiTheme="minorHAnsi" w:eastAsiaTheme="minorHAnsi" w:hAnsiTheme="minorHAnsi" w:cstheme="minorHAnsi"/>
          <w:color w:val="000000"/>
          <w:shd w:val="clear" w:color="auto" w:fill="FFFFFF"/>
          <w:lang w:val="en-GB" w:eastAsia="en-US"/>
        </w:rPr>
      </w:pPr>
      <w:r w:rsidRPr="00212145">
        <w:rPr>
          <w:rFonts w:asciiTheme="minorHAnsi" w:eastAsiaTheme="minorHAnsi" w:hAnsiTheme="minorHAnsi" w:cstheme="minorHAnsi"/>
          <w:color w:val="000000"/>
          <w:shd w:val="clear" w:color="auto" w:fill="FFFFFF"/>
          <w:lang w:val="en-GB" w:eastAsia="en-US"/>
        </w:rPr>
        <w:t xml:space="preserve">The safety and efficacy of </w:t>
      </w:r>
      <w:r w:rsidR="001747EA">
        <w:rPr>
          <w:rFonts w:asciiTheme="minorHAnsi" w:hAnsiTheme="minorHAnsi" w:cstheme="minorHAnsi"/>
          <w:shd w:val="clear" w:color="auto" w:fill="FFFFFF"/>
        </w:rPr>
        <w:t>dexrazoxane</w:t>
      </w:r>
      <w:r w:rsidRPr="009044A7">
        <w:rPr>
          <w:rFonts w:asciiTheme="minorHAnsi" w:hAnsiTheme="minorHAnsi" w:cstheme="minorHAnsi"/>
          <w:shd w:val="clear" w:color="auto" w:fill="FFFFFF"/>
        </w:rPr>
        <w:t xml:space="preserve"> </w:t>
      </w:r>
      <w:r w:rsidRPr="00212145">
        <w:rPr>
          <w:rFonts w:asciiTheme="minorHAnsi" w:eastAsiaTheme="minorHAnsi" w:hAnsiTheme="minorHAnsi" w:cstheme="minorHAnsi"/>
          <w:color w:val="000000"/>
          <w:shd w:val="clear" w:color="auto" w:fill="FFFFFF"/>
          <w:lang w:val="en-GB" w:eastAsia="en-US"/>
        </w:rPr>
        <w:t>in children aged 0 to 18 years have not been established. Currently available data are described in section 4.3, 4.4, 4.8, 5.1 and 5.2.</w:t>
      </w:r>
    </w:p>
    <w:p w14:paraId="08ACA756" w14:textId="77777777" w:rsidR="00C93442" w:rsidRDefault="00C93442" w:rsidP="005D3387">
      <w:pPr>
        <w:pStyle w:val="NormalWeb"/>
        <w:shd w:val="clear" w:color="auto" w:fill="FFFFFF"/>
        <w:spacing w:before="240" w:beforeAutospacing="0" w:after="150" w:afterAutospacing="0" w:line="276" w:lineRule="auto"/>
        <w:ind w:left="425"/>
      </w:pPr>
      <w:r w:rsidRPr="00C93442">
        <w:rPr>
          <w:rFonts w:asciiTheme="minorHAnsi" w:eastAsiaTheme="minorHAnsi" w:hAnsiTheme="minorHAnsi" w:cstheme="minorHAnsi"/>
          <w:b/>
          <w:bCs/>
          <w:color w:val="000000"/>
          <w:shd w:val="clear" w:color="auto" w:fill="FFFFFF"/>
          <w:lang w:val="en-GB" w:eastAsia="en-US"/>
        </w:rPr>
        <w:t>Effects on laboratory tests</w:t>
      </w:r>
      <w:r>
        <w:t xml:space="preserve"> </w:t>
      </w:r>
    </w:p>
    <w:p w14:paraId="536F8B7F" w14:textId="739C2C34" w:rsidR="00C93442" w:rsidRPr="00212145" w:rsidRDefault="00C93442" w:rsidP="005D3387">
      <w:pPr>
        <w:pStyle w:val="NormalWeb"/>
        <w:shd w:val="clear" w:color="auto" w:fill="FFFFFF"/>
        <w:spacing w:before="0" w:beforeAutospacing="0" w:after="150" w:afterAutospacing="0" w:line="276" w:lineRule="auto"/>
        <w:ind w:left="426"/>
        <w:rPr>
          <w:rFonts w:asciiTheme="minorHAnsi" w:eastAsiaTheme="minorHAnsi" w:hAnsiTheme="minorHAnsi" w:cstheme="minorHAnsi"/>
          <w:color w:val="000000"/>
          <w:shd w:val="clear" w:color="auto" w:fill="FFFFFF"/>
          <w:lang w:val="en-GB" w:eastAsia="en-US"/>
        </w:rPr>
      </w:pPr>
      <w:r w:rsidRPr="00514C46">
        <w:rPr>
          <w:rFonts w:asciiTheme="minorHAnsi" w:eastAsiaTheme="minorHAnsi" w:hAnsiTheme="minorHAnsi" w:cstheme="minorHAnsi"/>
          <w:color w:val="000000"/>
          <w:shd w:val="clear" w:color="auto" w:fill="FFFFFF"/>
          <w:lang w:val="en-GB" w:eastAsia="en-US"/>
        </w:rPr>
        <w:t>No data available.</w:t>
      </w:r>
    </w:p>
    <w:p w14:paraId="788404A8" w14:textId="478AD3D1" w:rsidR="00F96463" w:rsidRPr="00D847C4" w:rsidRDefault="00F96463" w:rsidP="005D3387">
      <w:pPr>
        <w:pStyle w:val="Default"/>
        <w:spacing w:before="360" w:line="276" w:lineRule="auto"/>
        <w:ind w:left="425"/>
        <w:rPr>
          <w:rFonts w:ascii="Calibri" w:eastAsia="Calibri" w:hAnsi="Calibri" w:cs="Calibri"/>
          <w:b/>
          <w:bCs/>
          <w:color w:val="auto"/>
          <w:sz w:val="23"/>
          <w:szCs w:val="23"/>
          <w:lang w:val="en-AU"/>
        </w:rPr>
      </w:pPr>
      <w:r w:rsidRPr="00D847C4">
        <w:rPr>
          <w:rFonts w:ascii="Calibri" w:eastAsia="Calibri" w:hAnsi="Calibri" w:cs="Calibri"/>
          <w:b/>
          <w:bCs/>
          <w:color w:val="auto"/>
          <w:sz w:val="23"/>
          <w:szCs w:val="23"/>
          <w:lang w:val="en-AU"/>
        </w:rPr>
        <w:t xml:space="preserve">4.5 INTERACTIONS WITH OTHER MEDICINAL PRODUCTS AND OTHER FORMS OF INTERACTION </w:t>
      </w:r>
    </w:p>
    <w:p w14:paraId="0F414295" w14:textId="797E1D5B" w:rsidR="001E0228" w:rsidRPr="001E0228" w:rsidRDefault="001E0228" w:rsidP="005D3387">
      <w:pPr>
        <w:pStyle w:val="NormalWeb"/>
        <w:shd w:val="clear" w:color="auto" w:fill="FFFFFF"/>
        <w:spacing w:before="240" w:beforeAutospacing="0" w:after="240" w:afterAutospacing="0" w:line="276" w:lineRule="auto"/>
        <w:ind w:left="426"/>
        <w:rPr>
          <w:rFonts w:asciiTheme="minorHAnsi" w:hAnsiTheme="minorHAnsi" w:cstheme="minorHAnsi"/>
          <w:color w:val="000000"/>
        </w:rPr>
      </w:pPr>
      <w:r>
        <w:rPr>
          <w:rFonts w:asciiTheme="minorHAnsi" w:hAnsiTheme="minorHAnsi" w:cstheme="minorHAnsi"/>
          <w:shd w:val="clear" w:color="auto" w:fill="FFFFFF"/>
        </w:rPr>
        <w:t>DEXRAZOXANE-REACH</w:t>
      </w:r>
      <w:r w:rsidRPr="009044A7">
        <w:rPr>
          <w:rFonts w:asciiTheme="minorHAnsi" w:hAnsiTheme="minorHAnsi" w:cstheme="minorHAnsi"/>
          <w:shd w:val="clear" w:color="auto" w:fill="FFFFFF"/>
        </w:rPr>
        <w:t xml:space="preserve"> </w:t>
      </w:r>
      <w:r w:rsidRPr="001E0228">
        <w:rPr>
          <w:rFonts w:asciiTheme="minorHAnsi" w:hAnsiTheme="minorHAnsi" w:cstheme="minorHAnsi"/>
          <w:color w:val="000000"/>
        </w:rPr>
        <w:t xml:space="preserve">is excreted unchanged via the kidney, as well as metabolized by </w:t>
      </w:r>
      <w:proofErr w:type="spellStart"/>
      <w:r w:rsidRPr="001E0228">
        <w:rPr>
          <w:rFonts w:asciiTheme="minorHAnsi" w:hAnsiTheme="minorHAnsi" w:cstheme="minorHAnsi"/>
          <w:color w:val="000000"/>
        </w:rPr>
        <w:t>dihydropyrimidine</w:t>
      </w:r>
      <w:proofErr w:type="spellEnd"/>
      <w:r w:rsidRPr="001E0228">
        <w:rPr>
          <w:rFonts w:asciiTheme="minorHAnsi" w:hAnsiTheme="minorHAnsi" w:cstheme="minorHAnsi"/>
          <w:color w:val="000000"/>
        </w:rPr>
        <w:t xml:space="preserve"> amidohydrolase (</w:t>
      </w:r>
      <w:proofErr w:type="spellStart"/>
      <w:r w:rsidRPr="001E0228">
        <w:rPr>
          <w:rFonts w:asciiTheme="minorHAnsi" w:hAnsiTheme="minorHAnsi" w:cstheme="minorHAnsi"/>
          <w:color w:val="000000"/>
        </w:rPr>
        <w:t>DHPase</w:t>
      </w:r>
      <w:proofErr w:type="spellEnd"/>
      <w:r w:rsidRPr="001E0228">
        <w:rPr>
          <w:rFonts w:asciiTheme="minorHAnsi" w:hAnsiTheme="minorHAnsi" w:cstheme="minorHAnsi"/>
          <w:color w:val="000000"/>
        </w:rPr>
        <w:t xml:space="preserve">) in the liver and kidney </w:t>
      </w:r>
      <w:r w:rsidR="006F6FF4" w:rsidRPr="006F6FF4">
        <w:rPr>
          <w:rFonts w:asciiTheme="minorHAnsi" w:hAnsiTheme="minorHAnsi" w:cstheme="minorHAnsi"/>
          <w:color w:val="000000"/>
        </w:rPr>
        <w:t>and dihydroorotase (</w:t>
      </w:r>
      <w:proofErr w:type="spellStart"/>
      <w:r w:rsidR="006F6FF4" w:rsidRPr="006F6FF4">
        <w:rPr>
          <w:rFonts w:asciiTheme="minorHAnsi" w:hAnsiTheme="minorHAnsi" w:cstheme="minorHAnsi"/>
          <w:color w:val="000000"/>
        </w:rPr>
        <w:t>DHOase</w:t>
      </w:r>
      <w:proofErr w:type="spellEnd"/>
      <w:r w:rsidR="006F6FF4" w:rsidRPr="006F6FF4">
        <w:rPr>
          <w:rFonts w:asciiTheme="minorHAnsi" w:hAnsiTheme="minorHAnsi" w:cstheme="minorHAnsi"/>
          <w:color w:val="000000"/>
        </w:rPr>
        <w:t xml:space="preserve">) </w:t>
      </w:r>
      <w:r w:rsidRPr="001E0228">
        <w:rPr>
          <w:rFonts w:asciiTheme="minorHAnsi" w:hAnsiTheme="minorHAnsi" w:cstheme="minorHAnsi"/>
          <w:color w:val="000000"/>
        </w:rPr>
        <w:t>to ring-opened metabolites. Co-administration of doxorubicin (50 to 60 mg/m</w:t>
      </w:r>
      <w:r w:rsidRPr="001E0228">
        <w:rPr>
          <w:rFonts w:asciiTheme="minorHAnsi" w:hAnsiTheme="minorHAnsi" w:cstheme="minorHAnsi"/>
          <w:color w:val="000000"/>
          <w:vertAlign w:val="superscript"/>
        </w:rPr>
        <w:t>2</w:t>
      </w:r>
      <w:r w:rsidRPr="001E0228">
        <w:rPr>
          <w:rFonts w:asciiTheme="minorHAnsi" w:hAnsiTheme="minorHAnsi" w:cstheme="minorHAnsi"/>
          <w:color w:val="000000"/>
        </w:rPr>
        <w:t xml:space="preserve">) or </w:t>
      </w:r>
      <w:proofErr w:type="spellStart"/>
      <w:r w:rsidRPr="001E0228">
        <w:rPr>
          <w:rFonts w:asciiTheme="minorHAnsi" w:hAnsiTheme="minorHAnsi" w:cstheme="minorHAnsi"/>
          <w:color w:val="000000"/>
        </w:rPr>
        <w:t>epirubicin</w:t>
      </w:r>
      <w:proofErr w:type="spellEnd"/>
      <w:r w:rsidRPr="001E0228">
        <w:rPr>
          <w:rFonts w:asciiTheme="minorHAnsi" w:hAnsiTheme="minorHAnsi" w:cstheme="minorHAnsi"/>
          <w:color w:val="000000"/>
        </w:rPr>
        <w:t xml:space="preserve"> (60 to 100 mg/m</w:t>
      </w:r>
      <w:r w:rsidRPr="001E0228">
        <w:rPr>
          <w:rFonts w:asciiTheme="minorHAnsi" w:hAnsiTheme="minorHAnsi" w:cstheme="minorHAnsi"/>
          <w:color w:val="000000"/>
          <w:vertAlign w:val="superscript"/>
        </w:rPr>
        <w:t>2</w:t>
      </w:r>
      <w:r w:rsidRPr="001E0228">
        <w:rPr>
          <w:rFonts w:asciiTheme="minorHAnsi" w:hAnsiTheme="minorHAnsi" w:cstheme="minorHAnsi"/>
          <w:color w:val="000000"/>
        </w:rPr>
        <w:t xml:space="preserve">) did not affect </w:t>
      </w:r>
      <w:r w:rsidR="00676C4F">
        <w:rPr>
          <w:rFonts w:asciiTheme="minorHAnsi" w:hAnsiTheme="minorHAnsi" w:cstheme="minorHAnsi"/>
          <w:color w:val="000000"/>
        </w:rPr>
        <w:t>DEXRAZOXANE-REACH</w:t>
      </w:r>
      <w:r w:rsidRPr="001E0228">
        <w:rPr>
          <w:rFonts w:asciiTheme="minorHAnsi" w:hAnsiTheme="minorHAnsi" w:cstheme="minorHAnsi"/>
          <w:color w:val="000000"/>
        </w:rPr>
        <w:t xml:space="preserve"> pharmacokinetics significantly.</w:t>
      </w:r>
    </w:p>
    <w:p w14:paraId="55A40D38" w14:textId="0D86D270" w:rsidR="001E0228" w:rsidRPr="001E0228" w:rsidRDefault="001E0228" w:rsidP="005D3387">
      <w:pPr>
        <w:pStyle w:val="NormalWeb"/>
        <w:shd w:val="clear" w:color="auto" w:fill="FFFFFF"/>
        <w:spacing w:before="240" w:beforeAutospacing="0" w:after="240" w:afterAutospacing="0" w:line="276" w:lineRule="auto"/>
        <w:ind w:left="426"/>
        <w:rPr>
          <w:rFonts w:asciiTheme="minorHAnsi" w:hAnsiTheme="minorHAnsi" w:cstheme="minorHAnsi"/>
          <w:color w:val="000000"/>
        </w:rPr>
      </w:pPr>
      <w:r w:rsidRPr="001E0228">
        <w:rPr>
          <w:rFonts w:asciiTheme="minorHAnsi" w:hAnsiTheme="minorHAnsi" w:cstheme="minorHAnsi"/>
          <w:color w:val="000000"/>
        </w:rPr>
        <w:t xml:space="preserve">In studies, </w:t>
      </w:r>
      <w:r>
        <w:rPr>
          <w:rFonts w:asciiTheme="minorHAnsi" w:hAnsiTheme="minorHAnsi" w:cstheme="minorHAnsi"/>
          <w:shd w:val="clear" w:color="auto" w:fill="FFFFFF"/>
        </w:rPr>
        <w:t>DEXRAZOXANE-REACH</w:t>
      </w:r>
      <w:r w:rsidRPr="009044A7">
        <w:rPr>
          <w:rFonts w:asciiTheme="minorHAnsi" w:hAnsiTheme="minorHAnsi" w:cstheme="minorHAnsi"/>
          <w:shd w:val="clear" w:color="auto" w:fill="FFFFFF"/>
        </w:rPr>
        <w:t xml:space="preserve"> </w:t>
      </w:r>
      <w:r w:rsidRPr="001E0228">
        <w:rPr>
          <w:rFonts w:asciiTheme="minorHAnsi" w:hAnsiTheme="minorHAnsi" w:cstheme="minorHAnsi"/>
          <w:color w:val="000000"/>
        </w:rPr>
        <w:t xml:space="preserve">did not affect the pharmacokinetics of doxorubicin. There is limited evidence from studies that suggests that </w:t>
      </w:r>
      <w:proofErr w:type="spellStart"/>
      <w:r w:rsidRPr="001E0228">
        <w:rPr>
          <w:rFonts w:asciiTheme="minorHAnsi" w:hAnsiTheme="minorHAnsi" w:cstheme="minorHAnsi"/>
          <w:color w:val="000000"/>
        </w:rPr>
        <w:t>epirubicin</w:t>
      </w:r>
      <w:proofErr w:type="spellEnd"/>
      <w:r w:rsidRPr="001E0228">
        <w:rPr>
          <w:rFonts w:asciiTheme="minorHAnsi" w:hAnsiTheme="minorHAnsi" w:cstheme="minorHAnsi"/>
          <w:color w:val="000000"/>
        </w:rPr>
        <w:t xml:space="preserve"> clearance may be increased when dexrazoxane is pre-administered, this occurred at high doses of </w:t>
      </w:r>
      <w:proofErr w:type="spellStart"/>
      <w:r w:rsidRPr="001E0228">
        <w:rPr>
          <w:rFonts w:asciiTheme="minorHAnsi" w:hAnsiTheme="minorHAnsi" w:cstheme="minorHAnsi"/>
          <w:color w:val="000000"/>
        </w:rPr>
        <w:t>epirubicin</w:t>
      </w:r>
      <w:proofErr w:type="spellEnd"/>
      <w:r w:rsidRPr="001E0228">
        <w:rPr>
          <w:rFonts w:asciiTheme="minorHAnsi" w:hAnsiTheme="minorHAnsi" w:cstheme="minorHAnsi"/>
          <w:color w:val="000000"/>
        </w:rPr>
        <w:t xml:space="preserve"> (120-135 mg/m</w:t>
      </w:r>
      <w:r w:rsidRPr="00C67606">
        <w:rPr>
          <w:rFonts w:asciiTheme="minorHAnsi" w:hAnsiTheme="minorHAnsi" w:cstheme="minorHAnsi"/>
          <w:color w:val="000000"/>
          <w:vertAlign w:val="superscript"/>
        </w:rPr>
        <w:t>2</w:t>
      </w:r>
      <w:r w:rsidRPr="001E0228">
        <w:rPr>
          <w:rFonts w:asciiTheme="minorHAnsi" w:hAnsiTheme="minorHAnsi" w:cstheme="minorHAnsi"/>
          <w:color w:val="000000"/>
        </w:rPr>
        <w:t>).</w:t>
      </w:r>
    </w:p>
    <w:p w14:paraId="119BF4F0" w14:textId="07F60978" w:rsidR="001E0228" w:rsidRPr="001E0228" w:rsidRDefault="001E0228" w:rsidP="005D3387">
      <w:pPr>
        <w:pStyle w:val="NormalWeb"/>
        <w:shd w:val="clear" w:color="auto" w:fill="FFFFFF"/>
        <w:spacing w:before="240" w:beforeAutospacing="0" w:after="240" w:afterAutospacing="0" w:line="276" w:lineRule="auto"/>
        <w:ind w:left="426"/>
        <w:rPr>
          <w:rFonts w:asciiTheme="minorHAnsi" w:hAnsiTheme="minorHAnsi" w:cstheme="minorHAnsi"/>
          <w:color w:val="000000"/>
        </w:rPr>
      </w:pPr>
      <w:r>
        <w:rPr>
          <w:rFonts w:asciiTheme="minorHAnsi" w:hAnsiTheme="minorHAnsi" w:cstheme="minorHAnsi"/>
          <w:shd w:val="clear" w:color="auto" w:fill="FFFFFF"/>
        </w:rPr>
        <w:t>DEXRAZOXANE-REACH</w:t>
      </w:r>
      <w:r w:rsidRPr="009044A7">
        <w:rPr>
          <w:rFonts w:asciiTheme="minorHAnsi" w:hAnsiTheme="minorHAnsi" w:cstheme="minorHAnsi"/>
          <w:shd w:val="clear" w:color="auto" w:fill="FFFFFF"/>
        </w:rPr>
        <w:t xml:space="preserve"> </w:t>
      </w:r>
      <w:r w:rsidRPr="001E0228">
        <w:rPr>
          <w:rFonts w:asciiTheme="minorHAnsi" w:hAnsiTheme="minorHAnsi" w:cstheme="minorHAnsi"/>
          <w:color w:val="000000"/>
        </w:rPr>
        <w:t>may increase haematological</w:t>
      </w:r>
      <w:r w:rsidR="00111782" w:rsidRPr="007601DF">
        <w:rPr>
          <w:rFonts w:asciiTheme="minorHAnsi" w:hAnsiTheme="minorHAnsi" w:cstheme="minorHAnsi"/>
          <w:color w:val="000000"/>
        </w:rPr>
        <w:t xml:space="preserve"> </w:t>
      </w:r>
      <w:r w:rsidR="00111782" w:rsidRPr="00111782">
        <w:rPr>
          <w:rFonts w:asciiTheme="minorHAnsi" w:hAnsiTheme="minorHAnsi" w:cstheme="minorHAnsi"/>
          <w:color w:val="000000"/>
        </w:rPr>
        <w:t xml:space="preserve">and testicular </w:t>
      </w:r>
      <w:r w:rsidRPr="001E0228">
        <w:rPr>
          <w:rFonts w:asciiTheme="minorHAnsi" w:hAnsiTheme="minorHAnsi" w:cstheme="minorHAnsi"/>
          <w:color w:val="000000"/>
        </w:rPr>
        <w:t>toxicity induced by chemotherapy or radiation, requiring careful monitoring of haematological parameters during the first two treatment cycles (see section 4.4).</w:t>
      </w:r>
    </w:p>
    <w:p w14:paraId="27105BA1" w14:textId="220B892B" w:rsidR="001E0228" w:rsidRDefault="001E0228" w:rsidP="005D3387">
      <w:pPr>
        <w:pStyle w:val="NormalWeb"/>
        <w:shd w:val="clear" w:color="auto" w:fill="FFFFFF"/>
        <w:spacing w:before="240" w:beforeAutospacing="0" w:after="240" w:afterAutospacing="0" w:line="276" w:lineRule="auto"/>
        <w:ind w:left="426"/>
        <w:rPr>
          <w:rFonts w:asciiTheme="minorHAnsi" w:hAnsiTheme="minorHAnsi" w:cstheme="minorHAnsi"/>
          <w:color w:val="000000"/>
        </w:rPr>
      </w:pPr>
      <w:r>
        <w:rPr>
          <w:rFonts w:asciiTheme="minorHAnsi" w:hAnsiTheme="minorHAnsi" w:cstheme="minorHAnsi"/>
          <w:shd w:val="clear" w:color="auto" w:fill="FFFFFF"/>
        </w:rPr>
        <w:t>DEXRAZOXANE-REACH</w:t>
      </w:r>
      <w:r w:rsidRPr="009044A7">
        <w:rPr>
          <w:rFonts w:asciiTheme="minorHAnsi" w:hAnsiTheme="minorHAnsi" w:cstheme="minorHAnsi"/>
          <w:shd w:val="clear" w:color="auto" w:fill="FFFFFF"/>
        </w:rPr>
        <w:t xml:space="preserve"> </w:t>
      </w:r>
      <w:r w:rsidRPr="001E0228">
        <w:rPr>
          <w:rFonts w:asciiTheme="minorHAnsi" w:hAnsiTheme="minorHAnsi" w:cstheme="minorHAnsi"/>
          <w:color w:val="000000"/>
        </w:rPr>
        <w:t>should not be mixed with any other medicinal products during infusion.</w:t>
      </w:r>
    </w:p>
    <w:p w14:paraId="68D0BD44" w14:textId="77777777" w:rsidR="00CB5F2E" w:rsidRPr="00CB5F2E" w:rsidRDefault="00CB5F2E" w:rsidP="005D3387">
      <w:pPr>
        <w:pStyle w:val="NormalWeb"/>
        <w:shd w:val="clear" w:color="auto" w:fill="FFFFFF"/>
        <w:spacing w:before="0" w:beforeAutospacing="0" w:after="150" w:afterAutospacing="0" w:line="276" w:lineRule="auto"/>
        <w:ind w:left="426"/>
        <w:rPr>
          <w:rFonts w:asciiTheme="minorHAnsi" w:hAnsiTheme="minorHAnsi" w:cstheme="minorHAnsi"/>
          <w:b/>
          <w:bCs/>
          <w:shd w:val="clear" w:color="auto" w:fill="FFFFFF"/>
        </w:rPr>
      </w:pPr>
      <w:r w:rsidRPr="00CB5F2E">
        <w:rPr>
          <w:rFonts w:asciiTheme="minorHAnsi" w:hAnsiTheme="minorHAnsi" w:cstheme="minorHAnsi"/>
          <w:b/>
          <w:bCs/>
          <w:shd w:val="clear" w:color="auto" w:fill="FFFFFF"/>
        </w:rPr>
        <w:t>Interference with chemotherapy</w:t>
      </w:r>
    </w:p>
    <w:p w14:paraId="2AF9BAA9" w14:textId="77777777" w:rsidR="00CB5F2E" w:rsidRPr="00212145" w:rsidRDefault="00CB5F2E"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r w:rsidRPr="00212145">
        <w:rPr>
          <w:rFonts w:asciiTheme="minorHAnsi" w:hAnsiTheme="minorHAnsi" w:cstheme="minorHAnsi"/>
          <w:shd w:val="clear" w:color="auto" w:fill="FFFFFF"/>
        </w:rPr>
        <w:t xml:space="preserve">Since both dexrazoxane and anthracyclines are topoisomerase inhibitors, it has been suggested that dexrazoxane may interfere with the anti-tumour efficacy of anthracyclines based on mechanism of action. However, in most adult studies no significant difference has been identified in response rate and overall survival between dexrazoxane and control groups. A significant decrease in tumour response rate was reported in one study of advanced breast cancer patients treated with doxorubicin and dexrazoxane compared to patients treated with </w:t>
      </w:r>
      <w:r w:rsidRPr="00212145">
        <w:rPr>
          <w:rFonts w:asciiTheme="minorHAnsi" w:hAnsiTheme="minorHAnsi" w:cstheme="minorHAnsi"/>
          <w:shd w:val="clear" w:color="auto" w:fill="FFFFFF"/>
        </w:rPr>
        <w:lastRenderedPageBreak/>
        <w:t xml:space="preserve">doxorubicin and placebo. In this study placebo response rate </w:t>
      </w:r>
      <w:proofErr w:type="gramStart"/>
      <w:r w:rsidRPr="00212145">
        <w:rPr>
          <w:rFonts w:asciiTheme="minorHAnsi" w:hAnsiTheme="minorHAnsi" w:cstheme="minorHAnsi"/>
          <w:shd w:val="clear" w:color="auto" w:fill="FFFFFF"/>
        </w:rPr>
        <w:t>was considered to be</w:t>
      </w:r>
      <w:proofErr w:type="gramEnd"/>
      <w:r w:rsidRPr="00212145">
        <w:rPr>
          <w:rFonts w:asciiTheme="minorHAnsi" w:hAnsiTheme="minorHAnsi" w:cstheme="minorHAnsi"/>
          <w:shd w:val="clear" w:color="auto" w:fill="FFFFFF"/>
        </w:rPr>
        <w:t xml:space="preserve"> high (60.5%), which may be a contributing factor to the observed difference in response rate. Despite the difference in response rates, there was no significant difference in time to progression or overall survival between patients that had received either dexrazoxane or placebo in this study.</w:t>
      </w:r>
    </w:p>
    <w:p w14:paraId="497AC0E2" w14:textId="77777777" w:rsidR="00CB5F2E" w:rsidRPr="00212145" w:rsidRDefault="00CB5F2E" w:rsidP="005D3387">
      <w:pPr>
        <w:pStyle w:val="NormalWeb"/>
        <w:shd w:val="clear" w:color="auto" w:fill="FFFFFF"/>
        <w:spacing w:before="0" w:beforeAutospacing="0" w:after="150" w:afterAutospacing="0" w:line="276" w:lineRule="auto"/>
        <w:ind w:left="426"/>
        <w:rPr>
          <w:rFonts w:asciiTheme="minorHAnsi" w:hAnsiTheme="minorHAnsi" w:cstheme="minorHAnsi"/>
          <w:shd w:val="clear" w:color="auto" w:fill="FFFFFF"/>
        </w:rPr>
      </w:pPr>
      <w:r w:rsidRPr="00212145">
        <w:rPr>
          <w:rFonts w:asciiTheme="minorHAnsi" w:hAnsiTheme="minorHAnsi" w:cstheme="minorHAnsi"/>
          <w:shd w:val="clear" w:color="auto" w:fill="FFFFFF"/>
        </w:rPr>
        <w:t>No paediatric study has reported a difference in oncological outcome (event free survival) between groups treated with dexrazoxane and those treated with anthracycline alone.</w:t>
      </w:r>
    </w:p>
    <w:p w14:paraId="3997EB0F" w14:textId="77777777" w:rsidR="001E0228" w:rsidRPr="00CB5F2E" w:rsidRDefault="001E0228" w:rsidP="005D3387">
      <w:pPr>
        <w:pStyle w:val="NormalWeb"/>
        <w:shd w:val="clear" w:color="auto" w:fill="FFFFFF"/>
        <w:spacing w:before="240" w:beforeAutospacing="0" w:after="240" w:afterAutospacing="0" w:line="276" w:lineRule="auto"/>
        <w:ind w:left="426"/>
        <w:rPr>
          <w:rFonts w:asciiTheme="minorHAnsi" w:hAnsiTheme="minorHAnsi" w:cstheme="minorHAnsi"/>
          <w:b/>
          <w:bCs/>
          <w:color w:val="000000"/>
        </w:rPr>
      </w:pPr>
      <w:r w:rsidRPr="00CB5F2E">
        <w:rPr>
          <w:rFonts w:asciiTheme="minorHAnsi" w:hAnsiTheme="minorHAnsi" w:cstheme="minorHAnsi"/>
          <w:b/>
          <w:bCs/>
          <w:color w:val="000000"/>
        </w:rPr>
        <w:t>Concomitant use contraindicated:</w:t>
      </w:r>
    </w:p>
    <w:p w14:paraId="14216170" w14:textId="77777777" w:rsidR="001E0228" w:rsidRPr="001E0228" w:rsidRDefault="001E0228" w:rsidP="005D3387">
      <w:pPr>
        <w:pStyle w:val="NormalWeb"/>
        <w:shd w:val="clear" w:color="auto" w:fill="FFFFFF"/>
        <w:spacing w:before="240" w:beforeAutospacing="0" w:after="240" w:afterAutospacing="0" w:line="276" w:lineRule="auto"/>
        <w:ind w:left="426"/>
        <w:rPr>
          <w:rFonts w:asciiTheme="minorHAnsi" w:hAnsiTheme="minorHAnsi" w:cstheme="minorHAnsi"/>
          <w:color w:val="000000"/>
        </w:rPr>
      </w:pPr>
      <w:r w:rsidRPr="001E0228">
        <w:rPr>
          <w:rFonts w:asciiTheme="minorHAnsi" w:hAnsiTheme="minorHAnsi" w:cstheme="minorHAnsi"/>
          <w:color w:val="000000"/>
        </w:rPr>
        <w:t>Yellow fever vaccine: Risk of fatal generalised vaccine disease (see section 4.3).</w:t>
      </w:r>
    </w:p>
    <w:p w14:paraId="5FA3C7FF" w14:textId="7D29E01F" w:rsidR="001E0228" w:rsidRPr="00CB5F2E" w:rsidRDefault="001E0228" w:rsidP="005D3387">
      <w:pPr>
        <w:pStyle w:val="NormalWeb"/>
        <w:shd w:val="clear" w:color="auto" w:fill="FFFFFF"/>
        <w:spacing w:before="240" w:beforeAutospacing="0" w:after="240" w:afterAutospacing="0" w:line="276" w:lineRule="auto"/>
        <w:ind w:left="426"/>
        <w:rPr>
          <w:rFonts w:asciiTheme="minorHAnsi" w:hAnsiTheme="minorHAnsi" w:cstheme="minorHAnsi"/>
          <w:b/>
          <w:bCs/>
          <w:color w:val="000000"/>
        </w:rPr>
      </w:pPr>
      <w:r w:rsidRPr="00CB5F2E">
        <w:rPr>
          <w:rFonts w:asciiTheme="minorHAnsi" w:hAnsiTheme="minorHAnsi" w:cstheme="minorHAnsi"/>
          <w:b/>
          <w:bCs/>
          <w:color w:val="000000"/>
        </w:rPr>
        <w:t>Concomitant use not recommended:</w:t>
      </w:r>
    </w:p>
    <w:p w14:paraId="293C7853" w14:textId="77777777" w:rsidR="001E0228" w:rsidRPr="001E0228" w:rsidRDefault="001E0228" w:rsidP="005D3387">
      <w:pPr>
        <w:pStyle w:val="NormalWeb"/>
        <w:shd w:val="clear" w:color="auto" w:fill="FFFFFF"/>
        <w:spacing w:before="240" w:beforeAutospacing="0" w:after="240" w:afterAutospacing="0" w:line="276" w:lineRule="auto"/>
        <w:ind w:left="426"/>
        <w:rPr>
          <w:rFonts w:asciiTheme="minorHAnsi" w:hAnsiTheme="minorHAnsi" w:cstheme="minorHAnsi"/>
          <w:color w:val="000000"/>
        </w:rPr>
      </w:pPr>
      <w:r w:rsidRPr="001E0228">
        <w:rPr>
          <w:rFonts w:asciiTheme="minorHAnsi" w:hAnsiTheme="minorHAnsi" w:cstheme="minorHAnsi"/>
          <w:color w:val="000000"/>
        </w:rPr>
        <w:t>Other live attenuated vaccines: risk of systemic, possible fatal disease. This risk is increased in subjects who are already immunosuppressed by their underlying disease. Use an inactivated vaccine where this exists (poliomyelitis).</w:t>
      </w:r>
    </w:p>
    <w:p w14:paraId="0FE0D734" w14:textId="77777777" w:rsidR="001E0228" w:rsidRPr="001E0228" w:rsidRDefault="001E0228" w:rsidP="005D3387">
      <w:pPr>
        <w:pStyle w:val="NormalWeb"/>
        <w:shd w:val="clear" w:color="auto" w:fill="FFFFFF"/>
        <w:spacing w:before="240" w:beforeAutospacing="0" w:after="240" w:afterAutospacing="0" w:line="276" w:lineRule="auto"/>
        <w:ind w:left="426"/>
        <w:rPr>
          <w:rFonts w:asciiTheme="minorHAnsi" w:hAnsiTheme="minorHAnsi" w:cstheme="minorHAnsi"/>
          <w:color w:val="000000"/>
        </w:rPr>
      </w:pPr>
      <w:r w:rsidRPr="001E0228">
        <w:rPr>
          <w:rFonts w:asciiTheme="minorHAnsi" w:hAnsiTheme="minorHAnsi" w:cstheme="minorHAnsi"/>
          <w:color w:val="000000"/>
        </w:rPr>
        <w:t>Phenytoin: cytotoxic agents may reduce the absorption of phenytoin leading to an exacerbation of convulsions. Dexrazoxane is not recommended in combination with phenytoin.</w:t>
      </w:r>
    </w:p>
    <w:p w14:paraId="3FACB192" w14:textId="77777777" w:rsidR="001E0228" w:rsidRPr="00CB5F2E" w:rsidRDefault="001E0228" w:rsidP="005D3387">
      <w:pPr>
        <w:pStyle w:val="NormalWeb"/>
        <w:shd w:val="clear" w:color="auto" w:fill="FFFFFF"/>
        <w:spacing w:before="240" w:beforeAutospacing="0" w:after="240" w:afterAutospacing="0" w:line="276" w:lineRule="auto"/>
        <w:ind w:left="426"/>
        <w:rPr>
          <w:rFonts w:asciiTheme="minorHAnsi" w:hAnsiTheme="minorHAnsi" w:cstheme="minorHAnsi"/>
          <w:b/>
          <w:bCs/>
          <w:color w:val="000000"/>
        </w:rPr>
      </w:pPr>
      <w:r w:rsidRPr="00CB5F2E">
        <w:rPr>
          <w:rFonts w:asciiTheme="minorHAnsi" w:hAnsiTheme="minorHAnsi" w:cstheme="minorHAnsi"/>
          <w:b/>
          <w:bCs/>
          <w:color w:val="000000"/>
        </w:rPr>
        <w:t>Concomitant use to assess carefully:</w:t>
      </w:r>
    </w:p>
    <w:p w14:paraId="5F24F30C" w14:textId="77777777" w:rsidR="001E0228" w:rsidRPr="001E0228" w:rsidRDefault="001E0228" w:rsidP="005D3387">
      <w:pPr>
        <w:pStyle w:val="NormalWeb"/>
        <w:shd w:val="clear" w:color="auto" w:fill="FFFFFF"/>
        <w:spacing w:before="240" w:beforeAutospacing="0" w:after="240" w:afterAutospacing="0" w:line="276" w:lineRule="auto"/>
        <w:ind w:left="426"/>
        <w:rPr>
          <w:rFonts w:asciiTheme="minorHAnsi" w:hAnsiTheme="minorHAnsi" w:cstheme="minorHAnsi"/>
          <w:color w:val="000000"/>
        </w:rPr>
      </w:pPr>
      <w:r w:rsidRPr="001E0228">
        <w:rPr>
          <w:rFonts w:asciiTheme="minorHAnsi" w:hAnsiTheme="minorHAnsi" w:cstheme="minorHAnsi"/>
          <w:color w:val="000000"/>
        </w:rPr>
        <w:t>Ciclosporin, tacrolimus: Excessive immunosuppression with risk of lymphoproliferative disease.</w:t>
      </w:r>
    </w:p>
    <w:p w14:paraId="278CF85D" w14:textId="77777777" w:rsidR="001E0228" w:rsidRPr="00CB5F2E" w:rsidRDefault="001E0228" w:rsidP="005D3387">
      <w:pPr>
        <w:pStyle w:val="NormalWeb"/>
        <w:shd w:val="clear" w:color="auto" w:fill="FFFFFF"/>
        <w:spacing w:before="240" w:beforeAutospacing="0" w:after="240" w:afterAutospacing="0" w:line="276" w:lineRule="auto"/>
        <w:ind w:left="426"/>
        <w:rPr>
          <w:rFonts w:asciiTheme="minorHAnsi" w:hAnsiTheme="minorHAnsi" w:cstheme="minorHAnsi"/>
          <w:b/>
          <w:bCs/>
          <w:color w:val="000000"/>
        </w:rPr>
      </w:pPr>
      <w:r w:rsidRPr="00CB5F2E">
        <w:rPr>
          <w:rFonts w:asciiTheme="minorHAnsi" w:hAnsiTheme="minorHAnsi" w:cstheme="minorHAnsi"/>
          <w:b/>
          <w:bCs/>
          <w:color w:val="000000"/>
        </w:rPr>
        <w:t>Paediatric population</w:t>
      </w:r>
    </w:p>
    <w:p w14:paraId="7BB3A3ED" w14:textId="2F9A0479" w:rsidR="00F96463" w:rsidRPr="001E0228" w:rsidRDefault="001E0228" w:rsidP="005D3387">
      <w:pPr>
        <w:pStyle w:val="NormalWeb"/>
        <w:shd w:val="clear" w:color="auto" w:fill="FFFFFF"/>
        <w:spacing w:before="240" w:beforeAutospacing="0" w:after="240" w:afterAutospacing="0" w:line="276" w:lineRule="auto"/>
        <w:ind w:left="426"/>
        <w:rPr>
          <w:rFonts w:asciiTheme="minorHAnsi" w:hAnsiTheme="minorHAnsi" w:cstheme="minorHAnsi"/>
          <w:color w:val="000000"/>
        </w:rPr>
      </w:pPr>
      <w:r w:rsidRPr="001E0228">
        <w:rPr>
          <w:rFonts w:asciiTheme="minorHAnsi" w:hAnsiTheme="minorHAnsi" w:cstheme="minorHAnsi"/>
          <w:color w:val="000000"/>
        </w:rPr>
        <w:t>Interaction studies have only been performed in adults.</w:t>
      </w:r>
    </w:p>
    <w:p w14:paraId="2A8493EC" w14:textId="6E9DA424" w:rsidR="00713922" w:rsidRPr="00D847C4" w:rsidRDefault="00ED5184" w:rsidP="005D3387">
      <w:pPr>
        <w:pStyle w:val="Default"/>
        <w:numPr>
          <w:ilvl w:val="1"/>
          <w:numId w:val="10"/>
        </w:numPr>
        <w:spacing w:before="240" w:after="240" w:line="276" w:lineRule="auto"/>
        <w:ind w:left="851" w:hanging="425"/>
        <w:rPr>
          <w:rFonts w:ascii="Calibri" w:eastAsia="Calibri" w:hAnsi="Calibri" w:cs="Calibri"/>
          <w:b/>
          <w:bCs/>
          <w:color w:val="auto"/>
          <w:sz w:val="23"/>
          <w:szCs w:val="23"/>
          <w:lang w:val="en-AU"/>
        </w:rPr>
      </w:pPr>
      <w:r w:rsidRPr="00D847C4">
        <w:rPr>
          <w:rFonts w:ascii="Calibri" w:eastAsia="Calibri" w:hAnsi="Calibri" w:cs="Calibri"/>
          <w:b/>
          <w:bCs/>
          <w:color w:val="auto"/>
          <w:sz w:val="23"/>
          <w:szCs w:val="23"/>
          <w:lang w:val="en-AU"/>
        </w:rPr>
        <w:t xml:space="preserve">FERTILITY, PREGNANCY AND LACTATION </w:t>
      </w:r>
    </w:p>
    <w:p w14:paraId="62E0222D" w14:textId="77777777" w:rsidR="002478C5" w:rsidRPr="002478C5" w:rsidRDefault="002478C5"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2478C5">
        <w:rPr>
          <w:rFonts w:asciiTheme="minorHAnsi" w:hAnsiTheme="minorHAnsi" w:cstheme="minorHAnsi"/>
          <w:color w:val="000000"/>
        </w:rPr>
        <w:t>Women of childbearing potential/contraception in males and females</w:t>
      </w:r>
    </w:p>
    <w:p w14:paraId="4B8BFA21" w14:textId="43F98E3E" w:rsidR="002478C5" w:rsidRPr="002478C5" w:rsidRDefault="002478C5"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2478C5">
        <w:rPr>
          <w:rFonts w:asciiTheme="minorHAnsi" w:hAnsiTheme="minorHAnsi" w:cstheme="minorHAnsi"/>
          <w:color w:val="000000"/>
        </w:rPr>
        <w:t xml:space="preserve">Both sexually active men and women should use effective methods of contraception during treatment. For women and </w:t>
      </w:r>
      <w:proofErr w:type="gramStart"/>
      <w:r w:rsidRPr="002478C5">
        <w:rPr>
          <w:rFonts w:asciiTheme="minorHAnsi" w:hAnsiTheme="minorHAnsi" w:cstheme="minorHAnsi"/>
          <w:color w:val="000000"/>
        </w:rPr>
        <w:t>men</w:t>
      </w:r>
      <w:proofErr w:type="gramEnd"/>
      <w:r w:rsidRPr="002478C5">
        <w:rPr>
          <w:rFonts w:asciiTheme="minorHAnsi" w:hAnsiTheme="minorHAnsi" w:cstheme="minorHAnsi"/>
          <w:color w:val="000000"/>
        </w:rPr>
        <w:t xml:space="preserve"> the contraception should be continued for at least 6 months after cessation of treatment with </w:t>
      </w:r>
      <w:r w:rsidR="00676C4F">
        <w:rPr>
          <w:rFonts w:asciiTheme="minorHAnsi" w:hAnsiTheme="minorHAnsi" w:cstheme="minorHAnsi"/>
          <w:color w:val="000000"/>
        </w:rPr>
        <w:t>DEXRAZOXANE-REACH</w:t>
      </w:r>
      <w:r w:rsidRPr="002478C5">
        <w:rPr>
          <w:rFonts w:asciiTheme="minorHAnsi" w:hAnsiTheme="minorHAnsi" w:cstheme="minorHAnsi"/>
          <w:color w:val="000000"/>
        </w:rPr>
        <w:t>.</w:t>
      </w:r>
    </w:p>
    <w:p w14:paraId="308D621B" w14:textId="7F71FC35" w:rsidR="00266053" w:rsidRPr="00266053" w:rsidRDefault="00266053" w:rsidP="005D3387">
      <w:pPr>
        <w:pStyle w:val="NormalWeb"/>
        <w:shd w:val="clear" w:color="auto" w:fill="FFFFFF"/>
        <w:spacing w:before="0" w:beforeAutospacing="0" w:after="150" w:afterAutospacing="0" w:line="276" w:lineRule="auto"/>
        <w:ind w:left="426"/>
        <w:rPr>
          <w:rFonts w:asciiTheme="minorHAnsi" w:hAnsiTheme="minorHAnsi" w:cstheme="minorHAnsi"/>
          <w:b/>
          <w:bCs/>
          <w:color w:val="000000"/>
        </w:rPr>
      </w:pPr>
      <w:r w:rsidRPr="00266053">
        <w:rPr>
          <w:rFonts w:asciiTheme="minorHAnsi" w:hAnsiTheme="minorHAnsi" w:cstheme="minorHAnsi"/>
          <w:b/>
          <w:bCs/>
          <w:color w:val="000000"/>
        </w:rPr>
        <w:t>Effects on Fertility</w:t>
      </w:r>
    </w:p>
    <w:p w14:paraId="0F4424C2" w14:textId="5AA7FDAD" w:rsidR="00266053" w:rsidRPr="00BD0B3C" w:rsidRDefault="00266053"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2478C5">
        <w:rPr>
          <w:rFonts w:asciiTheme="minorHAnsi" w:hAnsiTheme="minorHAnsi" w:cstheme="minorHAnsi"/>
          <w:color w:val="000000"/>
        </w:rPr>
        <w:t xml:space="preserve">The effect of </w:t>
      </w:r>
      <w:r>
        <w:rPr>
          <w:rFonts w:asciiTheme="minorHAnsi" w:hAnsiTheme="minorHAnsi" w:cstheme="minorHAnsi"/>
          <w:shd w:val="clear" w:color="auto" w:fill="FFFFFF"/>
        </w:rPr>
        <w:t>DEXRAZOXANE-REACH</w:t>
      </w:r>
      <w:r w:rsidRPr="009044A7">
        <w:rPr>
          <w:rFonts w:asciiTheme="minorHAnsi" w:hAnsiTheme="minorHAnsi" w:cstheme="minorHAnsi"/>
          <w:shd w:val="clear" w:color="auto" w:fill="FFFFFF"/>
        </w:rPr>
        <w:t xml:space="preserve"> </w:t>
      </w:r>
      <w:r w:rsidRPr="002478C5">
        <w:rPr>
          <w:rFonts w:asciiTheme="minorHAnsi" w:hAnsiTheme="minorHAnsi" w:cstheme="minorHAnsi"/>
          <w:color w:val="000000"/>
        </w:rPr>
        <w:t>on the fertility of humans has not been studied.</w:t>
      </w:r>
      <w:r w:rsidR="00B12BF4">
        <w:rPr>
          <w:rFonts w:asciiTheme="minorHAnsi" w:hAnsiTheme="minorHAnsi" w:cstheme="minorHAnsi"/>
          <w:color w:val="000000"/>
        </w:rPr>
        <w:t xml:space="preserve"> </w:t>
      </w:r>
      <w:r w:rsidRPr="002478C5">
        <w:rPr>
          <w:rFonts w:asciiTheme="minorHAnsi" w:hAnsiTheme="minorHAnsi" w:cstheme="minorHAnsi"/>
          <w:color w:val="000000"/>
        </w:rPr>
        <w:t xml:space="preserve">There are </w:t>
      </w:r>
      <w:r w:rsidR="001B5F29">
        <w:rPr>
          <w:rFonts w:asciiTheme="minorHAnsi" w:hAnsiTheme="minorHAnsi" w:cstheme="minorHAnsi"/>
          <w:color w:val="000000"/>
        </w:rPr>
        <w:t>no</w:t>
      </w:r>
      <w:r w:rsidR="001B5F29" w:rsidRPr="002478C5">
        <w:rPr>
          <w:rFonts w:asciiTheme="minorHAnsi" w:hAnsiTheme="minorHAnsi" w:cstheme="minorHAnsi"/>
          <w:color w:val="000000"/>
        </w:rPr>
        <w:t xml:space="preserve"> </w:t>
      </w:r>
      <w:r w:rsidRPr="002478C5">
        <w:rPr>
          <w:rFonts w:asciiTheme="minorHAnsi" w:hAnsiTheme="minorHAnsi" w:cstheme="minorHAnsi"/>
          <w:color w:val="000000"/>
        </w:rPr>
        <w:t>fertility data from animal studies available</w:t>
      </w:r>
      <w:r w:rsidR="00852767">
        <w:rPr>
          <w:rFonts w:asciiTheme="minorHAnsi" w:hAnsiTheme="minorHAnsi" w:cstheme="minorHAnsi"/>
          <w:color w:val="000000"/>
        </w:rPr>
        <w:t>.</w:t>
      </w:r>
      <w:r w:rsidRPr="002478C5">
        <w:rPr>
          <w:rFonts w:asciiTheme="minorHAnsi" w:hAnsiTheme="minorHAnsi" w:cstheme="minorHAnsi"/>
          <w:color w:val="000000"/>
        </w:rPr>
        <w:t xml:space="preserve"> </w:t>
      </w:r>
      <w:r w:rsidR="00852767">
        <w:rPr>
          <w:rFonts w:asciiTheme="minorHAnsi" w:hAnsiTheme="minorHAnsi" w:cstheme="minorHAnsi"/>
          <w:color w:val="000000"/>
        </w:rPr>
        <w:t>T</w:t>
      </w:r>
      <w:r w:rsidRPr="002478C5">
        <w:rPr>
          <w:rFonts w:asciiTheme="minorHAnsi" w:hAnsiTheme="minorHAnsi" w:cstheme="minorHAnsi"/>
          <w:color w:val="000000"/>
        </w:rPr>
        <w:t xml:space="preserve">esticular </w:t>
      </w:r>
      <w:r w:rsidR="00852767" w:rsidRPr="00852767">
        <w:rPr>
          <w:rFonts w:asciiTheme="minorHAnsi" w:hAnsiTheme="minorHAnsi" w:cstheme="minorHAnsi"/>
          <w:color w:val="000000"/>
        </w:rPr>
        <w:t xml:space="preserve">atrophy was </w:t>
      </w:r>
      <w:r w:rsidRPr="002478C5">
        <w:rPr>
          <w:rFonts w:asciiTheme="minorHAnsi" w:hAnsiTheme="minorHAnsi" w:cstheme="minorHAnsi"/>
          <w:color w:val="000000"/>
        </w:rPr>
        <w:t xml:space="preserve">observed in rats and dogs following repeat dosing </w:t>
      </w:r>
      <w:r w:rsidR="00185566" w:rsidRPr="00185566">
        <w:rPr>
          <w:rFonts w:asciiTheme="minorHAnsi" w:hAnsiTheme="minorHAnsi" w:cstheme="minorHAnsi"/>
          <w:color w:val="000000"/>
        </w:rPr>
        <w:t>at subclinical doses</w:t>
      </w:r>
      <w:r w:rsidR="00185566">
        <w:rPr>
          <w:rFonts w:asciiTheme="minorHAnsi" w:hAnsiTheme="minorHAnsi" w:cstheme="minorHAnsi"/>
          <w:color w:val="000000"/>
        </w:rPr>
        <w:t>.</w:t>
      </w:r>
      <w:r w:rsidR="00B12BF4">
        <w:rPr>
          <w:rFonts w:asciiTheme="minorHAnsi" w:hAnsiTheme="minorHAnsi" w:cstheme="minorHAnsi"/>
          <w:color w:val="000000"/>
        </w:rPr>
        <w:t xml:space="preserve"> </w:t>
      </w:r>
      <w:r w:rsidR="00B12BF4" w:rsidRPr="00B12BF4">
        <w:rPr>
          <w:rFonts w:asciiTheme="minorHAnsi" w:hAnsiTheme="minorHAnsi" w:cstheme="minorHAnsi"/>
          <w:color w:val="000000"/>
        </w:rPr>
        <w:t>DEXRAZOXANE-REACH may impair fertility in males of reproductive potential.</w:t>
      </w:r>
    </w:p>
    <w:p w14:paraId="3D4BC60F" w14:textId="77777777" w:rsidR="00266053" w:rsidRPr="00DE57DB" w:rsidRDefault="00266053" w:rsidP="005D3387">
      <w:pPr>
        <w:pStyle w:val="Heading2"/>
        <w:spacing w:before="240" w:after="240" w:line="276" w:lineRule="auto"/>
        <w:ind w:left="426"/>
      </w:pPr>
      <w:r w:rsidRPr="00DE57DB">
        <w:t>Use</w:t>
      </w:r>
      <w:r w:rsidRPr="00DE57DB">
        <w:rPr>
          <w:spacing w:val="-4"/>
        </w:rPr>
        <w:t xml:space="preserve"> </w:t>
      </w:r>
      <w:r w:rsidRPr="00DE57DB">
        <w:t>in</w:t>
      </w:r>
      <w:r w:rsidRPr="00DE57DB">
        <w:rPr>
          <w:spacing w:val="-4"/>
        </w:rPr>
        <w:t xml:space="preserve"> </w:t>
      </w:r>
      <w:r w:rsidRPr="006876FE">
        <w:rPr>
          <w:sz w:val="24"/>
          <w:szCs w:val="24"/>
        </w:rPr>
        <w:t>pregnancy –</w:t>
      </w:r>
      <w:r w:rsidRPr="006876FE">
        <w:rPr>
          <w:spacing w:val="-5"/>
          <w:sz w:val="24"/>
          <w:szCs w:val="24"/>
        </w:rPr>
        <w:t xml:space="preserve"> </w:t>
      </w:r>
      <w:r w:rsidRPr="006876FE">
        <w:rPr>
          <w:sz w:val="24"/>
          <w:szCs w:val="24"/>
        </w:rPr>
        <w:t>Pregnancy</w:t>
      </w:r>
      <w:r w:rsidRPr="00DE57DB">
        <w:rPr>
          <w:spacing w:val="-2"/>
        </w:rPr>
        <w:t xml:space="preserve"> </w:t>
      </w:r>
      <w:r w:rsidRPr="00DE57DB">
        <w:t>Category</w:t>
      </w:r>
      <w:r w:rsidRPr="00DE57DB">
        <w:rPr>
          <w:spacing w:val="-4"/>
        </w:rPr>
        <w:t xml:space="preserve"> </w:t>
      </w:r>
      <w:r w:rsidRPr="00DE57DB">
        <w:t>D</w:t>
      </w:r>
    </w:p>
    <w:p w14:paraId="58507F49" w14:textId="79BBC7A9" w:rsidR="00897C62" w:rsidRDefault="00266053"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2478C5">
        <w:rPr>
          <w:rFonts w:asciiTheme="minorHAnsi" w:hAnsiTheme="minorHAnsi" w:cstheme="minorHAnsi"/>
          <w:color w:val="000000"/>
        </w:rPr>
        <w:t xml:space="preserve">There are no adequate data from the use of dexrazoxane in pregnant women. </w:t>
      </w:r>
    </w:p>
    <w:p w14:paraId="67C09AF7" w14:textId="40A95852" w:rsidR="00897C62" w:rsidRDefault="00897C62"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897C62">
        <w:rPr>
          <w:rFonts w:asciiTheme="minorHAnsi" w:hAnsiTheme="minorHAnsi" w:cstheme="minorHAnsi"/>
          <w:color w:val="000000"/>
        </w:rPr>
        <w:lastRenderedPageBreak/>
        <w:t>Dexrazoxane is embryotoxic and teratogenic in rats and rabbits. Dexrazoxane resulted in maternal toxicity in rats at doses ≥ 2 mg/kg (0.02 times the human dose on a mg/m</w:t>
      </w:r>
      <w:r w:rsidRPr="007601DF">
        <w:rPr>
          <w:rFonts w:asciiTheme="minorHAnsi" w:hAnsiTheme="minorHAnsi" w:cstheme="minorHAnsi"/>
          <w:color w:val="000000"/>
          <w:vertAlign w:val="superscript"/>
        </w:rPr>
        <w:t>2</w:t>
      </w:r>
      <w:r w:rsidRPr="00897C62">
        <w:rPr>
          <w:rFonts w:asciiTheme="minorHAnsi" w:hAnsiTheme="minorHAnsi" w:cstheme="minorHAnsi"/>
          <w:color w:val="000000"/>
        </w:rPr>
        <w:t xml:space="preserve"> basis) and embryotoxicity and teratogenicity at 8 mg/kg (0.1 times the human dose on a mg/m</w:t>
      </w:r>
      <w:r w:rsidRPr="007601DF">
        <w:rPr>
          <w:rFonts w:asciiTheme="minorHAnsi" w:hAnsiTheme="minorHAnsi" w:cstheme="minorHAnsi"/>
          <w:color w:val="000000"/>
          <w:vertAlign w:val="superscript"/>
        </w:rPr>
        <w:t>2</w:t>
      </w:r>
      <w:r w:rsidRPr="00897C62">
        <w:rPr>
          <w:rFonts w:asciiTheme="minorHAnsi" w:hAnsiTheme="minorHAnsi" w:cstheme="minorHAnsi"/>
          <w:color w:val="000000"/>
        </w:rPr>
        <w:t xml:space="preserve"> basis) when given daily to pregnant rats during the period of organogenesis. Teratogenic effects in the rat included imperforate anus, microphthalmia, and anophthalmia. In offspring allowed to develop to maturity, fertility was impaired in the male and female rats treated </w:t>
      </w:r>
      <w:r w:rsidRPr="007601DF">
        <w:rPr>
          <w:rFonts w:asciiTheme="minorHAnsi" w:hAnsiTheme="minorHAnsi" w:cstheme="minorHAnsi"/>
          <w:color w:val="000000"/>
        </w:rPr>
        <w:t xml:space="preserve">in utero </w:t>
      </w:r>
      <w:r w:rsidRPr="00897C62">
        <w:rPr>
          <w:rFonts w:asciiTheme="minorHAnsi" w:hAnsiTheme="minorHAnsi" w:cstheme="minorHAnsi"/>
          <w:color w:val="000000"/>
        </w:rPr>
        <w:t>during organogenesis at 8 mg/kg. In rabbits, doses of ≥ 5 mg/kg (0.12 times the human dose on a mg/m</w:t>
      </w:r>
      <w:r w:rsidRPr="007601DF">
        <w:rPr>
          <w:rFonts w:asciiTheme="minorHAnsi" w:hAnsiTheme="minorHAnsi" w:cstheme="minorHAnsi"/>
          <w:color w:val="000000"/>
          <w:vertAlign w:val="superscript"/>
        </w:rPr>
        <w:t>2</w:t>
      </w:r>
      <w:r w:rsidRPr="00897C62">
        <w:rPr>
          <w:rFonts w:asciiTheme="minorHAnsi" w:hAnsiTheme="minorHAnsi" w:cstheme="minorHAnsi"/>
          <w:color w:val="000000"/>
        </w:rPr>
        <w:t xml:space="preserve"> basis) daily during the period of organogenesis caused maternal toxicity and doses of 20 mg/kg (</w:t>
      </w:r>
      <w:proofErr w:type="gramStart"/>
      <w:r w:rsidRPr="00897C62">
        <w:rPr>
          <w:rFonts w:asciiTheme="minorHAnsi" w:hAnsiTheme="minorHAnsi" w:cstheme="minorHAnsi"/>
          <w:color w:val="000000"/>
        </w:rPr>
        <w:t>similar to</w:t>
      </w:r>
      <w:proofErr w:type="gramEnd"/>
      <w:r w:rsidRPr="00897C62">
        <w:rPr>
          <w:rFonts w:asciiTheme="minorHAnsi" w:hAnsiTheme="minorHAnsi" w:cstheme="minorHAnsi"/>
          <w:color w:val="000000"/>
        </w:rPr>
        <w:t xml:space="preserve"> the human dose on a mg/m</w:t>
      </w:r>
      <w:r w:rsidRPr="007601DF">
        <w:rPr>
          <w:rFonts w:asciiTheme="minorHAnsi" w:hAnsiTheme="minorHAnsi" w:cstheme="minorHAnsi"/>
          <w:color w:val="000000"/>
          <w:vertAlign w:val="superscript"/>
        </w:rPr>
        <w:t>2</w:t>
      </w:r>
      <w:r w:rsidRPr="00897C62">
        <w:rPr>
          <w:rFonts w:asciiTheme="minorHAnsi" w:hAnsiTheme="minorHAnsi" w:cstheme="minorHAnsi"/>
          <w:color w:val="000000"/>
        </w:rPr>
        <w:t xml:space="preserve"> basis) were embryotoxic and teratogenic. Effects in the rabbit included several skeletal malformations such as short tail, rib and thoracic malformations, and soft tissue variations including subcutaneous, eye and cardiac haemorrhagic areas, as well as agenesis of the gallbladder and of the intermediate lobe of the lung.</w:t>
      </w:r>
    </w:p>
    <w:p w14:paraId="1EF9FF59" w14:textId="24480F84" w:rsidR="00266053" w:rsidRPr="00D9286B" w:rsidRDefault="00266053"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2478C5">
        <w:rPr>
          <w:rFonts w:asciiTheme="minorHAnsi" w:hAnsiTheme="minorHAnsi" w:cstheme="minorHAnsi"/>
          <w:color w:val="000000"/>
        </w:rPr>
        <w:t xml:space="preserve">The potential risk for humans is unknown. </w:t>
      </w:r>
      <w:r>
        <w:rPr>
          <w:rFonts w:asciiTheme="minorHAnsi" w:hAnsiTheme="minorHAnsi" w:cstheme="minorHAnsi"/>
          <w:shd w:val="clear" w:color="auto" w:fill="FFFFFF"/>
        </w:rPr>
        <w:t>DEXRAZOXANE-REACH</w:t>
      </w:r>
      <w:r w:rsidRPr="009044A7">
        <w:rPr>
          <w:rFonts w:asciiTheme="minorHAnsi" w:hAnsiTheme="minorHAnsi" w:cstheme="minorHAnsi"/>
          <w:shd w:val="clear" w:color="auto" w:fill="FFFFFF"/>
        </w:rPr>
        <w:t xml:space="preserve"> </w:t>
      </w:r>
      <w:r w:rsidRPr="002478C5">
        <w:rPr>
          <w:rFonts w:asciiTheme="minorHAnsi" w:hAnsiTheme="minorHAnsi" w:cstheme="minorHAnsi"/>
          <w:color w:val="000000"/>
        </w:rPr>
        <w:t xml:space="preserve">is used with anthracyclines known to have cytotoxic, mutagenic and embryotoxic properties. </w:t>
      </w:r>
      <w:r>
        <w:rPr>
          <w:rFonts w:asciiTheme="minorHAnsi" w:hAnsiTheme="minorHAnsi" w:cstheme="minorHAnsi"/>
          <w:shd w:val="clear" w:color="auto" w:fill="FFFFFF"/>
        </w:rPr>
        <w:t>DEXRAZOXANE-REACH</w:t>
      </w:r>
      <w:r w:rsidRPr="009044A7">
        <w:rPr>
          <w:rFonts w:asciiTheme="minorHAnsi" w:hAnsiTheme="minorHAnsi" w:cstheme="minorHAnsi"/>
          <w:shd w:val="clear" w:color="auto" w:fill="FFFFFF"/>
        </w:rPr>
        <w:t xml:space="preserve"> </w:t>
      </w:r>
      <w:r w:rsidRPr="002478C5">
        <w:rPr>
          <w:rFonts w:asciiTheme="minorHAnsi" w:hAnsiTheme="minorHAnsi" w:cstheme="minorHAnsi"/>
          <w:color w:val="000000"/>
        </w:rPr>
        <w:t>should not be used during pregnancy unless clearly necessary.</w:t>
      </w:r>
    </w:p>
    <w:p w14:paraId="6D3986DC" w14:textId="4D4D8022" w:rsidR="00EB4CA9" w:rsidRPr="007601DF" w:rsidRDefault="002A567B"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Pr>
          <w:rFonts w:asciiTheme="minorHAnsi" w:hAnsiTheme="minorHAnsi" w:cstheme="minorHAnsi"/>
          <w:color w:val="000000"/>
        </w:rPr>
        <w:t>B</w:t>
      </w:r>
      <w:r w:rsidRPr="002A567B">
        <w:rPr>
          <w:rFonts w:asciiTheme="minorHAnsi" w:hAnsiTheme="minorHAnsi" w:cstheme="minorHAnsi"/>
          <w:color w:val="000000"/>
        </w:rPr>
        <w:t>oth sexually active men and women of childbearing potential should be advised not to father a child/become pregnant and must use effective contraceptive measures during and up to 6 months after treatment. Women must inform their doctor immediately if they become pregnant</w:t>
      </w:r>
      <w:r w:rsidR="0025074B">
        <w:rPr>
          <w:rFonts w:asciiTheme="minorHAnsi" w:hAnsiTheme="minorHAnsi" w:cstheme="minorHAnsi"/>
          <w:color w:val="000000"/>
        </w:rPr>
        <w:t>.</w:t>
      </w:r>
    </w:p>
    <w:p w14:paraId="6047AC07" w14:textId="49F23DCC" w:rsidR="002478C5" w:rsidRPr="00FB1376" w:rsidRDefault="00266053" w:rsidP="005D3387">
      <w:pPr>
        <w:pStyle w:val="NormalWeb"/>
        <w:shd w:val="clear" w:color="auto" w:fill="FFFFFF"/>
        <w:spacing w:before="0" w:beforeAutospacing="0" w:after="150" w:afterAutospacing="0" w:line="276" w:lineRule="auto"/>
        <w:ind w:left="426"/>
        <w:rPr>
          <w:rFonts w:asciiTheme="minorHAnsi" w:hAnsiTheme="minorHAnsi" w:cstheme="minorHAnsi"/>
          <w:b/>
          <w:bCs/>
          <w:color w:val="000000"/>
        </w:rPr>
      </w:pPr>
      <w:r w:rsidRPr="00FB1376">
        <w:rPr>
          <w:rFonts w:asciiTheme="minorHAnsi" w:hAnsiTheme="minorHAnsi" w:cstheme="minorHAnsi"/>
          <w:b/>
          <w:bCs/>
          <w:color w:val="000000"/>
        </w:rPr>
        <w:t>Use in lactation</w:t>
      </w:r>
    </w:p>
    <w:p w14:paraId="389F8500" w14:textId="18140C51" w:rsidR="002478C5" w:rsidRDefault="002478C5"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2478C5">
        <w:rPr>
          <w:rFonts w:asciiTheme="minorHAnsi" w:hAnsiTheme="minorHAnsi" w:cstheme="minorHAnsi"/>
          <w:color w:val="000000"/>
        </w:rPr>
        <w:t xml:space="preserve">There are no animal studies on the transfer of the active substance and/or its metabolites into milk. It is unknown whether dexrazoxane and/or its metabolites are excreted in human milk. Because of the potential for serious adverse reactions in infants exposed to </w:t>
      </w:r>
      <w:r w:rsidR="00676C4F">
        <w:rPr>
          <w:rFonts w:asciiTheme="minorHAnsi" w:hAnsiTheme="minorHAnsi" w:cstheme="minorHAnsi"/>
          <w:color w:val="000000"/>
        </w:rPr>
        <w:t>DEXRAZOXANE-REACH</w:t>
      </w:r>
      <w:r w:rsidRPr="002478C5">
        <w:rPr>
          <w:rFonts w:asciiTheme="minorHAnsi" w:hAnsiTheme="minorHAnsi" w:cstheme="minorHAnsi"/>
          <w:color w:val="000000"/>
        </w:rPr>
        <w:t xml:space="preserve">, breast-feeding is contraindicated during </w:t>
      </w:r>
      <w:r w:rsidR="00676C4F">
        <w:rPr>
          <w:rFonts w:asciiTheme="minorHAnsi" w:hAnsiTheme="minorHAnsi" w:cstheme="minorHAnsi"/>
          <w:color w:val="000000"/>
        </w:rPr>
        <w:t>DEXRAZOXANE-REACH</w:t>
      </w:r>
      <w:r w:rsidRPr="002478C5">
        <w:rPr>
          <w:rFonts w:asciiTheme="minorHAnsi" w:hAnsiTheme="minorHAnsi" w:cstheme="minorHAnsi"/>
          <w:color w:val="000000"/>
        </w:rPr>
        <w:t xml:space="preserve"> treatment (see section 4.3).</w:t>
      </w:r>
    </w:p>
    <w:p w14:paraId="185D8787" w14:textId="7E6D7FB8" w:rsidR="000C12FB" w:rsidRPr="00DE57DB" w:rsidRDefault="00ED5184" w:rsidP="005D3387">
      <w:pPr>
        <w:pStyle w:val="ListParagraph"/>
        <w:numPr>
          <w:ilvl w:val="1"/>
          <w:numId w:val="10"/>
        </w:numPr>
        <w:tabs>
          <w:tab w:val="left" w:pos="975"/>
        </w:tabs>
        <w:spacing w:before="360" w:line="276" w:lineRule="auto"/>
        <w:ind w:left="850" w:hanging="425"/>
        <w:rPr>
          <w:b/>
          <w:sz w:val="19"/>
        </w:rPr>
      </w:pPr>
      <w:r w:rsidRPr="00D847C4">
        <w:rPr>
          <w:b/>
          <w:bCs/>
          <w:sz w:val="23"/>
          <w:szCs w:val="23"/>
        </w:rPr>
        <w:t>EFFECTS ON ABILITY TO DRIVE AND USE MACHINES</w:t>
      </w:r>
    </w:p>
    <w:p w14:paraId="11B6B7D7" w14:textId="3A7326C2" w:rsidR="002E70B5" w:rsidRPr="002E70B5" w:rsidRDefault="00676C4F" w:rsidP="005D3387">
      <w:pPr>
        <w:tabs>
          <w:tab w:val="left" w:pos="851"/>
        </w:tabs>
        <w:spacing w:before="240" w:after="240" w:line="276" w:lineRule="auto"/>
        <w:ind w:left="426"/>
        <w:rPr>
          <w:rFonts w:asciiTheme="minorHAnsi" w:eastAsia="Times New Roman" w:hAnsiTheme="minorHAnsi" w:cstheme="minorHAnsi"/>
          <w:color w:val="000000"/>
          <w:sz w:val="24"/>
          <w:szCs w:val="24"/>
          <w:lang w:eastAsia="en-AU"/>
        </w:rPr>
      </w:pPr>
      <w:r>
        <w:rPr>
          <w:rFonts w:asciiTheme="minorHAnsi" w:eastAsia="Times New Roman" w:hAnsiTheme="minorHAnsi" w:cstheme="minorHAnsi"/>
          <w:color w:val="000000"/>
          <w:sz w:val="24"/>
          <w:szCs w:val="24"/>
          <w:lang w:eastAsia="en-AU"/>
        </w:rPr>
        <w:t>DEXRAZOXANE-REACH</w:t>
      </w:r>
      <w:r w:rsidR="002E70B5" w:rsidRPr="002E70B5">
        <w:rPr>
          <w:rFonts w:asciiTheme="minorHAnsi" w:eastAsia="Times New Roman" w:hAnsiTheme="minorHAnsi" w:cstheme="minorHAnsi"/>
          <w:color w:val="000000"/>
          <w:sz w:val="24"/>
          <w:szCs w:val="24"/>
          <w:lang w:eastAsia="en-AU"/>
        </w:rPr>
        <w:t xml:space="preserve"> has moderate influence on the ability to drive and use machines. Patients should be advised to be cautious when driving or using machines if they experience fatigue during treatment with </w:t>
      </w:r>
      <w:r>
        <w:rPr>
          <w:rFonts w:asciiTheme="minorHAnsi" w:eastAsia="Times New Roman" w:hAnsiTheme="minorHAnsi" w:cstheme="minorHAnsi"/>
          <w:color w:val="000000"/>
          <w:sz w:val="24"/>
          <w:szCs w:val="24"/>
          <w:lang w:eastAsia="en-AU"/>
        </w:rPr>
        <w:t>DEXRAZOXANE-REACH</w:t>
      </w:r>
      <w:r w:rsidR="002E70B5" w:rsidRPr="002E70B5">
        <w:rPr>
          <w:rFonts w:asciiTheme="minorHAnsi" w:eastAsia="Times New Roman" w:hAnsiTheme="minorHAnsi" w:cstheme="minorHAnsi"/>
          <w:color w:val="000000"/>
          <w:sz w:val="24"/>
          <w:szCs w:val="24"/>
          <w:lang w:eastAsia="en-AU"/>
        </w:rPr>
        <w:t>.</w:t>
      </w:r>
    </w:p>
    <w:p w14:paraId="7B83AD11" w14:textId="7EEA2997" w:rsidR="00ED5184" w:rsidRPr="00D847C4" w:rsidRDefault="00ED5184" w:rsidP="005D3387">
      <w:pPr>
        <w:pStyle w:val="ListParagraph"/>
        <w:numPr>
          <w:ilvl w:val="1"/>
          <w:numId w:val="10"/>
        </w:numPr>
        <w:tabs>
          <w:tab w:val="left" w:pos="851"/>
        </w:tabs>
        <w:spacing w:before="240" w:line="276" w:lineRule="auto"/>
        <w:ind w:left="851" w:hanging="425"/>
        <w:rPr>
          <w:b/>
          <w:bCs/>
          <w:sz w:val="23"/>
          <w:szCs w:val="23"/>
        </w:rPr>
      </w:pPr>
      <w:r w:rsidRPr="00D847C4">
        <w:rPr>
          <w:b/>
          <w:bCs/>
          <w:sz w:val="23"/>
          <w:szCs w:val="23"/>
        </w:rPr>
        <w:t>ADVERSE EFFECTS (UNDESIRABLE EFFECTS)</w:t>
      </w:r>
    </w:p>
    <w:p w14:paraId="275438B6" w14:textId="77777777" w:rsidR="00FB6757" w:rsidRDefault="00FB6757" w:rsidP="005D3387">
      <w:pPr>
        <w:pStyle w:val="BodyText"/>
        <w:spacing w:before="10" w:line="276" w:lineRule="auto"/>
        <w:ind w:left="993"/>
        <w:jc w:val="left"/>
        <w:rPr>
          <w:sz w:val="20"/>
        </w:rPr>
      </w:pPr>
    </w:p>
    <w:p w14:paraId="58C84B2E"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000000"/>
          <w:sz w:val="24"/>
          <w:szCs w:val="24"/>
          <w:u w:val="single"/>
          <w:lang w:eastAsia="en-AU"/>
        </w:rPr>
      </w:pPr>
      <w:r w:rsidRPr="00D9286B">
        <w:rPr>
          <w:rFonts w:asciiTheme="minorHAnsi" w:eastAsia="Times New Roman" w:hAnsiTheme="minorHAnsi" w:cstheme="minorHAnsi"/>
          <w:color w:val="000000"/>
          <w:sz w:val="24"/>
          <w:szCs w:val="24"/>
          <w:u w:val="single"/>
          <w:lang w:eastAsia="en-AU"/>
        </w:rPr>
        <w:t>Summary of the safety profile</w:t>
      </w:r>
    </w:p>
    <w:p w14:paraId="16F8FA8E" w14:textId="185088F3" w:rsidR="00D9286B" w:rsidRPr="00D9286B" w:rsidRDefault="00676C4F" w:rsidP="005D3387">
      <w:pPr>
        <w:widowControl/>
        <w:shd w:val="clear" w:color="auto" w:fill="FFFFFF"/>
        <w:autoSpaceDE/>
        <w:autoSpaceDN/>
        <w:spacing w:after="150" w:line="276" w:lineRule="auto"/>
        <w:ind w:left="426"/>
        <w:rPr>
          <w:rFonts w:asciiTheme="minorHAnsi" w:eastAsia="Times New Roman" w:hAnsiTheme="minorHAnsi" w:cstheme="minorHAnsi"/>
          <w:color w:val="000000"/>
          <w:sz w:val="24"/>
          <w:szCs w:val="24"/>
          <w:lang w:eastAsia="en-AU"/>
        </w:rPr>
      </w:pPr>
      <w:r>
        <w:rPr>
          <w:rFonts w:asciiTheme="minorHAnsi" w:eastAsia="Times New Roman" w:hAnsiTheme="minorHAnsi" w:cstheme="minorHAnsi"/>
          <w:color w:val="000000"/>
          <w:sz w:val="24"/>
          <w:szCs w:val="24"/>
          <w:lang w:eastAsia="en-AU"/>
        </w:rPr>
        <w:t>DEXRAZOXANE-REACH</w:t>
      </w:r>
      <w:r w:rsidR="00D9286B" w:rsidRPr="00D9286B">
        <w:rPr>
          <w:rFonts w:asciiTheme="minorHAnsi" w:eastAsia="Times New Roman" w:hAnsiTheme="minorHAnsi" w:cstheme="minorHAnsi"/>
          <w:color w:val="000000"/>
          <w:sz w:val="24"/>
          <w:szCs w:val="24"/>
          <w:lang w:eastAsia="en-AU"/>
        </w:rPr>
        <w:t xml:space="preserve"> is administered together with anthracycline chemotherapy and, consequently, the relative contributions of anthracycline and </w:t>
      </w:r>
      <w:r>
        <w:rPr>
          <w:rFonts w:asciiTheme="minorHAnsi" w:eastAsia="Times New Roman" w:hAnsiTheme="minorHAnsi" w:cstheme="minorHAnsi"/>
          <w:color w:val="000000"/>
          <w:sz w:val="24"/>
          <w:szCs w:val="24"/>
          <w:lang w:eastAsia="en-AU"/>
        </w:rPr>
        <w:t>DEXRAZOXANE-REACH</w:t>
      </w:r>
      <w:r w:rsidR="00D9286B" w:rsidRPr="00D9286B">
        <w:rPr>
          <w:rFonts w:asciiTheme="minorHAnsi" w:eastAsia="Times New Roman" w:hAnsiTheme="minorHAnsi" w:cstheme="minorHAnsi"/>
          <w:color w:val="000000"/>
          <w:sz w:val="24"/>
          <w:szCs w:val="24"/>
          <w:lang w:eastAsia="en-AU"/>
        </w:rPr>
        <w:t xml:space="preserve"> to the adverse reaction profile may be unclear. The most common adverse reactions are haematological and gastroenterological reactions, primarily anaemia, leukopenia, nausea, vomiting and stomatitis, as well as asthenia and alopecia. Myelosuppressive effects of </w:t>
      </w:r>
      <w:r w:rsidR="002A761D">
        <w:rPr>
          <w:rFonts w:asciiTheme="minorHAnsi" w:eastAsia="Times New Roman" w:hAnsiTheme="minorHAnsi" w:cstheme="minorHAnsi"/>
          <w:color w:val="000000"/>
          <w:sz w:val="24"/>
          <w:szCs w:val="24"/>
          <w:lang w:eastAsia="en-AU"/>
        </w:rPr>
        <w:t>dexrazoxane</w:t>
      </w:r>
      <w:r w:rsidR="00D9286B" w:rsidRPr="00D9286B">
        <w:rPr>
          <w:rFonts w:asciiTheme="minorHAnsi" w:eastAsia="Times New Roman" w:hAnsiTheme="minorHAnsi" w:cstheme="minorHAnsi"/>
          <w:color w:val="000000"/>
          <w:sz w:val="24"/>
          <w:szCs w:val="24"/>
          <w:lang w:eastAsia="en-AU"/>
        </w:rPr>
        <w:t xml:space="preserve"> may be additive to those of chemotherapy (see section 4.4).</w:t>
      </w:r>
    </w:p>
    <w:p w14:paraId="68B0E111"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000000"/>
          <w:sz w:val="24"/>
          <w:szCs w:val="24"/>
          <w:u w:val="single"/>
          <w:lang w:eastAsia="en-AU"/>
        </w:rPr>
      </w:pPr>
      <w:r w:rsidRPr="00D9286B">
        <w:rPr>
          <w:rFonts w:asciiTheme="minorHAnsi" w:eastAsia="Times New Roman" w:hAnsiTheme="minorHAnsi" w:cstheme="minorHAnsi"/>
          <w:color w:val="000000"/>
          <w:sz w:val="24"/>
          <w:szCs w:val="24"/>
          <w:u w:val="single"/>
          <w:lang w:eastAsia="en-AU"/>
        </w:rPr>
        <w:lastRenderedPageBreak/>
        <w:t>Tabulated list of adverse reactions</w:t>
      </w:r>
    </w:p>
    <w:p w14:paraId="64B72DF4"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000000"/>
          <w:sz w:val="24"/>
          <w:szCs w:val="24"/>
          <w:lang w:eastAsia="en-AU"/>
        </w:rPr>
      </w:pPr>
      <w:r w:rsidRPr="00D9286B">
        <w:rPr>
          <w:rFonts w:asciiTheme="minorHAnsi" w:eastAsia="Times New Roman" w:hAnsiTheme="minorHAnsi" w:cstheme="minorHAnsi"/>
          <w:color w:val="000000"/>
          <w:sz w:val="24"/>
          <w:szCs w:val="24"/>
          <w:lang w:eastAsia="en-AU"/>
        </w:rPr>
        <w:t>The following table includes reactions from clinical trials and from post-marketing use. Due to the spontaneous nature of post-marketing reporting, such events are listed with frequency “not known” if they were not already identified as reactions from clinical trials.</w:t>
      </w:r>
    </w:p>
    <w:p w14:paraId="626ACF3E"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000000"/>
          <w:sz w:val="24"/>
          <w:szCs w:val="24"/>
          <w:lang w:eastAsia="en-AU"/>
        </w:rPr>
      </w:pPr>
      <w:r w:rsidRPr="00D9286B">
        <w:rPr>
          <w:rFonts w:asciiTheme="minorHAnsi" w:eastAsia="Times New Roman" w:hAnsiTheme="minorHAnsi" w:cstheme="minorHAnsi"/>
          <w:color w:val="000000"/>
          <w:sz w:val="24"/>
          <w:szCs w:val="24"/>
          <w:lang w:eastAsia="en-AU"/>
        </w:rPr>
        <w:t>Adverse reactions are ranked under headings of frequency, the most frequent first, using the following convention: very common (≥ 1/10); common (≥ 1/100 to &lt; 1/10); uncommon (≥ 1/1,000 to &lt; 1/100); not known (cannot be estimated from the available data).</w:t>
      </w:r>
    </w:p>
    <w:p w14:paraId="44C36613" w14:textId="77777777" w:rsidR="00AE43CC" w:rsidRDefault="00AE43CC" w:rsidP="005D3387">
      <w:pPr>
        <w:widowControl/>
        <w:shd w:val="clear" w:color="auto" w:fill="FFFFFF"/>
        <w:autoSpaceDE/>
        <w:autoSpaceDN/>
        <w:spacing w:after="150" w:line="276" w:lineRule="auto"/>
        <w:ind w:left="426"/>
        <w:rPr>
          <w:rFonts w:asciiTheme="minorHAnsi" w:eastAsia="Times New Roman" w:hAnsiTheme="minorHAnsi" w:cstheme="minorHAnsi"/>
          <w:b/>
          <w:bCs/>
          <w:color w:val="000000"/>
          <w:sz w:val="24"/>
          <w:szCs w:val="24"/>
          <w:lang w:eastAsia="en-AU"/>
        </w:rPr>
      </w:pPr>
    </w:p>
    <w:p w14:paraId="369D630D" w14:textId="73090DD9"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b/>
          <w:bCs/>
          <w:color w:val="000000"/>
          <w:sz w:val="24"/>
          <w:szCs w:val="24"/>
          <w:lang w:eastAsia="en-AU"/>
        </w:rPr>
      </w:pPr>
      <w:r w:rsidRPr="00D9286B">
        <w:rPr>
          <w:rFonts w:asciiTheme="minorHAnsi" w:eastAsia="Times New Roman" w:hAnsiTheme="minorHAnsi" w:cstheme="minorHAnsi"/>
          <w:b/>
          <w:bCs/>
          <w:color w:val="000000"/>
          <w:sz w:val="24"/>
          <w:szCs w:val="24"/>
          <w:lang w:eastAsia="en-AU"/>
        </w:rPr>
        <w:t>Table 1</w:t>
      </w:r>
    </w:p>
    <w:tbl>
      <w:tblPr>
        <w:tblW w:w="9639" w:type="dxa"/>
        <w:tblInd w:w="418" w:type="dxa"/>
        <w:tblBorders>
          <w:top w:val="outset" w:sz="6" w:space="0" w:color="606060"/>
          <w:left w:val="outset" w:sz="6" w:space="0" w:color="606060"/>
          <w:bottom w:val="outset" w:sz="6" w:space="0" w:color="606060"/>
          <w:right w:val="outset" w:sz="6" w:space="0" w:color="606060"/>
        </w:tblBorders>
        <w:tblCellMar>
          <w:top w:w="30" w:type="dxa"/>
          <w:left w:w="30" w:type="dxa"/>
          <w:bottom w:w="30" w:type="dxa"/>
          <w:right w:w="30" w:type="dxa"/>
        </w:tblCellMar>
        <w:tblLook w:val="04A0" w:firstRow="1" w:lastRow="0" w:firstColumn="1" w:lastColumn="0" w:noHBand="0" w:noVBand="1"/>
      </w:tblPr>
      <w:tblGrid>
        <w:gridCol w:w="2072"/>
        <w:gridCol w:w="7567"/>
      </w:tblGrid>
      <w:tr w:rsidR="00D9286B" w:rsidRPr="00D9286B" w14:paraId="132954D7" w14:textId="77777777" w:rsidTr="00022B3C">
        <w:tc>
          <w:tcPr>
            <w:tcW w:w="5000" w:type="pct"/>
            <w:gridSpan w:val="2"/>
            <w:tcBorders>
              <w:top w:val="outset" w:sz="6" w:space="0" w:color="606060"/>
              <w:left w:val="outset" w:sz="6" w:space="0" w:color="606060"/>
              <w:bottom w:val="outset" w:sz="6" w:space="0" w:color="606060"/>
              <w:right w:val="outset" w:sz="6" w:space="0" w:color="606060"/>
            </w:tcBorders>
            <w:hideMark/>
          </w:tcPr>
          <w:p w14:paraId="4EEDC848"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b/>
                <w:bCs/>
                <w:sz w:val="24"/>
                <w:szCs w:val="24"/>
                <w:lang w:eastAsia="en-AU"/>
              </w:rPr>
              <w:t>Infections and infestations</w:t>
            </w:r>
          </w:p>
        </w:tc>
      </w:tr>
      <w:tr w:rsidR="00D9286B" w:rsidRPr="00D9286B" w14:paraId="15B4E783"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33A8780D"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Uncommon</w:t>
            </w:r>
          </w:p>
        </w:tc>
        <w:tc>
          <w:tcPr>
            <w:tcW w:w="3925" w:type="pct"/>
            <w:tcBorders>
              <w:top w:val="outset" w:sz="6" w:space="0" w:color="606060"/>
              <w:left w:val="outset" w:sz="6" w:space="0" w:color="606060"/>
              <w:bottom w:val="outset" w:sz="6" w:space="0" w:color="606060"/>
              <w:right w:val="outset" w:sz="6" w:space="0" w:color="606060"/>
            </w:tcBorders>
            <w:hideMark/>
          </w:tcPr>
          <w:p w14:paraId="61124A2F"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Infection, sepsis</w:t>
            </w:r>
          </w:p>
        </w:tc>
      </w:tr>
      <w:tr w:rsidR="00D9286B" w:rsidRPr="00D9286B" w14:paraId="33DB6B0A" w14:textId="77777777" w:rsidTr="00022B3C">
        <w:tc>
          <w:tcPr>
            <w:tcW w:w="5000" w:type="pct"/>
            <w:gridSpan w:val="2"/>
            <w:tcBorders>
              <w:top w:val="outset" w:sz="6" w:space="0" w:color="606060"/>
              <w:left w:val="outset" w:sz="6" w:space="0" w:color="606060"/>
              <w:bottom w:val="outset" w:sz="6" w:space="0" w:color="606060"/>
              <w:right w:val="outset" w:sz="6" w:space="0" w:color="606060"/>
            </w:tcBorders>
            <w:hideMark/>
          </w:tcPr>
          <w:p w14:paraId="5822386C"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b/>
                <w:bCs/>
                <w:sz w:val="24"/>
                <w:szCs w:val="24"/>
                <w:lang w:eastAsia="en-AU"/>
              </w:rPr>
              <w:t>Neoplasms benign, malignant and unspecified (including cysts and polyps)</w:t>
            </w:r>
          </w:p>
        </w:tc>
      </w:tr>
      <w:tr w:rsidR="00D9286B" w:rsidRPr="00D9286B" w14:paraId="5A9BA3F0"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03A63661"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Uncommon</w:t>
            </w:r>
          </w:p>
        </w:tc>
        <w:tc>
          <w:tcPr>
            <w:tcW w:w="3925" w:type="pct"/>
            <w:tcBorders>
              <w:top w:val="outset" w:sz="6" w:space="0" w:color="606060"/>
              <w:left w:val="outset" w:sz="6" w:space="0" w:color="606060"/>
              <w:bottom w:val="outset" w:sz="6" w:space="0" w:color="606060"/>
              <w:right w:val="outset" w:sz="6" w:space="0" w:color="606060"/>
            </w:tcBorders>
            <w:hideMark/>
          </w:tcPr>
          <w:p w14:paraId="1A80CF41"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Acute myeloid leukaemia</w:t>
            </w:r>
          </w:p>
        </w:tc>
      </w:tr>
      <w:tr w:rsidR="00D9286B" w:rsidRPr="00D9286B" w14:paraId="65C98A26" w14:textId="77777777" w:rsidTr="00022B3C">
        <w:tc>
          <w:tcPr>
            <w:tcW w:w="5000" w:type="pct"/>
            <w:gridSpan w:val="2"/>
            <w:tcBorders>
              <w:top w:val="outset" w:sz="6" w:space="0" w:color="606060"/>
              <w:left w:val="outset" w:sz="6" w:space="0" w:color="606060"/>
              <w:bottom w:val="outset" w:sz="6" w:space="0" w:color="606060"/>
              <w:right w:val="outset" w:sz="6" w:space="0" w:color="606060"/>
            </w:tcBorders>
            <w:hideMark/>
          </w:tcPr>
          <w:p w14:paraId="1FED184A"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b/>
                <w:bCs/>
                <w:sz w:val="24"/>
                <w:szCs w:val="24"/>
                <w:lang w:eastAsia="en-AU"/>
              </w:rPr>
              <w:t>Blood and lymphatic system disorders</w:t>
            </w:r>
          </w:p>
        </w:tc>
      </w:tr>
      <w:tr w:rsidR="00D9286B" w:rsidRPr="00D9286B" w14:paraId="59C93C8F"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7FC5C7A4"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Very common</w:t>
            </w:r>
          </w:p>
        </w:tc>
        <w:tc>
          <w:tcPr>
            <w:tcW w:w="3925" w:type="pct"/>
            <w:tcBorders>
              <w:top w:val="outset" w:sz="6" w:space="0" w:color="606060"/>
              <w:left w:val="outset" w:sz="6" w:space="0" w:color="606060"/>
              <w:bottom w:val="outset" w:sz="6" w:space="0" w:color="606060"/>
              <w:right w:val="outset" w:sz="6" w:space="0" w:color="606060"/>
            </w:tcBorders>
            <w:hideMark/>
          </w:tcPr>
          <w:p w14:paraId="6188D7BC"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Anaemia, leukopenia</w:t>
            </w:r>
          </w:p>
        </w:tc>
      </w:tr>
      <w:tr w:rsidR="00D9286B" w:rsidRPr="00D9286B" w14:paraId="63F1E37F"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18251E0E"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Common</w:t>
            </w:r>
          </w:p>
        </w:tc>
        <w:tc>
          <w:tcPr>
            <w:tcW w:w="3925" w:type="pct"/>
            <w:tcBorders>
              <w:top w:val="outset" w:sz="6" w:space="0" w:color="606060"/>
              <w:left w:val="outset" w:sz="6" w:space="0" w:color="606060"/>
              <w:bottom w:val="outset" w:sz="6" w:space="0" w:color="606060"/>
              <w:right w:val="outset" w:sz="6" w:space="0" w:color="606060"/>
            </w:tcBorders>
            <w:hideMark/>
          </w:tcPr>
          <w:p w14:paraId="62FECC56"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Neutropenia, thrombocytopenia, febrile neutropenia, granulocytopenia, febrile bone marrow aplasia, white blood cell count decreased</w:t>
            </w:r>
          </w:p>
        </w:tc>
      </w:tr>
      <w:tr w:rsidR="00D9286B" w:rsidRPr="00D9286B" w14:paraId="6E3D6D31"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51B15A53"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Uncommon</w:t>
            </w:r>
          </w:p>
        </w:tc>
        <w:tc>
          <w:tcPr>
            <w:tcW w:w="3925" w:type="pct"/>
            <w:tcBorders>
              <w:top w:val="outset" w:sz="6" w:space="0" w:color="606060"/>
              <w:left w:val="outset" w:sz="6" w:space="0" w:color="606060"/>
              <w:bottom w:val="outset" w:sz="6" w:space="0" w:color="606060"/>
              <w:right w:val="outset" w:sz="6" w:space="0" w:color="606060"/>
            </w:tcBorders>
            <w:hideMark/>
          </w:tcPr>
          <w:p w14:paraId="1BE2FE2B"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 xml:space="preserve">Eosinophil </w:t>
            </w:r>
            <w:proofErr w:type="gramStart"/>
            <w:r w:rsidRPr="00D9286B">
              <w:rPr>
                <w:rFonts w:eastAsia="Times New Roman"/>
                <w:sz w:val="24"/>
                <w:szCs w:val="24"/>
                <w:lang w:eastAsia="en-AU"/>
              </w:rPr>
              <w:t>count</w:t>
            </w:r>
            <w:proofErr w:type="gramEnd"/>
            <w:r w:rsidRPr="00D9286B">
              <w:rPr>
                <w:rFonts w:eastAsia="Times New Roman"/>
                <w:sz w:val="24"/>
                <w:szCs w:val="24"/>
                <w:lang w:eastAsia="en-AU"/>
              </w:rPr>
              <w:t xml:space="preserve"> increased, neutrophil count increased, platelet count increased, white blood cell count increased, lymphocyte count decreased, monocyte count decreased</w:t>
            </w:r>
          </w:p>
        </w:tc>
      </w:tr>
      <w:tr w:rsidR="00D9286B" w:rsidRPr="00D9286B" w14:paraId="3079AD98" w14:textId="77777777" w:rsidTr="00022B3C">
        <w:tc>
          <w:tcPr>
            <w:tcW w:w="5000" w:type="pct"/>
            <w:gridSpan w:val="2"/>
            <w:tcBorders>
              <w:top w:val="outset" w:sz="6" w:space="0" w:color="606060"/>
              <w:left w:val="outset" w:sz="6" w:space="0" w:color="606060"/>
              <w:bottom w:val="outset" w:sz="6" w:space="0" w:color="606060"/>
              <w:right w:val="outset" w:sz="6" w:space="0" w:color="606060"/>
            </w:tcBorders>
            <w:hideMark/>
          </w:tcPr>
          <w:p w14:paraId="4592EC22"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b/>
                <w:bCs/>
                <w:sz w:val="24"/>
                <w:szCs w:val="24"/>
                <w:lang w:eastAsia="en-AU"/>
              </w:rPr>
              <w:t>Immune system disorders</w:t>
            </w:r>
          </w:p>
        </w:tc>
      </w:tr>
      <w:tr w:rsidR="00D9286B" w:rsidRPr="00D9286B" w14:paraId="1CA468F0"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47056082"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Not known</w:t>
            </w:r>
          </w:p>
        </w:tc>
        <w:tc>
          <w:tcPr>
            <w:tcW w:w="3925" w:type="pct"/>
            <w:tcBorders>
              <w:top w:val="outset" w:sz="6" w:space="0" w:color="606060"/>
              <w:left w:val="outset" w:sz="6" w:space="0" w:color="606060"/>
              <w:bottom w:val="outset" w:sz="6" w:space="0" w:color="606060"/>
              <w:right w:val="outset" w:sz="6" w:space="0" w:color="606060"/>
            </w:tcBorders>
            <w:hideMark/>
          </w:tcPr>
          <w:p w14:paraId="34542F39"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Anaphylactic reaction, hypersensitivity</w:t>
            </w:r>
          </w:p>
        </w:tc>
      </w:tr>
      <w:tr w:rsidR="00D9286B" w:rsidRPr="00D9286B" w14:paraId="2D0A1D1E" w14:textId="77777777" w:rsidTr="00022B3C">
        <w:tc>
          <w:tcPr>
            <w:tcW w:w="5000" w:type="pct"/>
            <w:gridSpan w:val="2"/>
            <w:tcBorders>
              <w:top w:val="outset" w:sz="6" w:space="0" w:color="606060"/>
              <w:left w:val="outset" w:sz="6" w:space="0" w:color="606060"/>
              <w:bottom w:val="outset" w:sz="6" w:space="0" w:color="606060"/>
              <w:right w:val="outset" w:sz="6" w:space="0" w:color="606060"/>
            </w:tcBorders>
            <w:hideMark/>
          </w:tcPr>
          <w:p w14:paraId="6A5A80BF"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b/>
                <w:bCs/>
                <w:sz w:val="24"/>
                <w:szCs w:val="24"/>
                <w:lang w:eastAsia="en-AU"/>
              </w:rPr>
              <w:t>Metabolism and nutrition disorders</w:t>
            </w:r>
          </w:p>
        </w:tc>
      </w:tr>
      <w:tr w:rsidR="00D9286B" w:rsidRPr="00D9286B" w14:paraId="50AC7ADB"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780BD9CB"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Common</w:t>
            </w:r>
          </w:p>
        </w:tc>
        <w:tc>
          <w:tcPr>
            <w:tcW w:w="3925" w:type="pct"/>
            <w:tcBorders>
              <w:top w:val="outset" w:sz="6" w:space="0" w:color="606060"/>
              <w:left w:val="outset" w:sz="6" w:space="0" w:color="606060"/>
              <w:bottom w:val="outset" w:sz="6" w:space="0" w:color="606060"/>
              <w:right w:val="outset" w:sz="6" w:space="0" w:color="606060"/>
            </w:tcBorders>
            <w:hideMark/>
          </w:tcPr>
          <w:p w14:paraId="79AF2F0A"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Anorexia</w:t>
            </w:r>
          </w:p>
        </w:tc>
      </w:tr>
      <w:tr w:rsidR="00D9286B" w:rsidRPr="00D9286B" w14:paraId="796457C1" w14:textId="77777777" w:rsidTr="00022B3C">
        <w:tc>
          <w:tcPr>
            <w:tcW w:w="5000" w:type="pct"/>
            <w:gridSpan w:val="2"/>
            <w:tcBorders>
              <w:top w:val="outset" w:sz="6" w:space="0" w:color="606060"/>
              <w:left w:val="outset" w:sz="6" w:space="0" w:color="606060"/>
              <w:bottom w:val="outset" w:sz="6" w:space="0" w:color="606060"/>
              <w:right w:val="outset" w:sz="6" w:space="0" w:color="606060"/>
            </w:tcBorders>
            <w:hideMark/>
          </w:tcPr>
          <w:p w14:paraId="03F216E1"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b/>
                <w:bCs/>
                <w:sz w:val="24"/>
                <w:szCs w:val="24"/>
                <w:lang w:eastAsia="en-AU"/>
              </w:rPr>
              <w:t>Nervous system disorders</w:t>
            </w:r>
          </w:p>
        </w:tc>
      </w:tr>
      <w:tr w:rsidR="00D9286B" w:rsidRPr="00DE1A11" w14:paraId="7339224C"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198772CA"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Common</w:t>
            </w:r>
          </w:p>
        </w:tc>
        <w:tc>
          <w:tcPr>
            <w:tcW w:w="3925" w:type="pct"/>
            <w:tcBorders>
              <w:top w:val="outset" w:sz="6" w:space="0" w:color="606060"/>
              <w:left w:val="outset" w:sz="6" w:space="0" w:color="606060"/>
              <w:bottom w:val="outset" w:sz="6" w:space="0" w:color="606060"/>
              <w:right w:val="outset" w:sz="6" w:space="0" w:color="606060"/>
            </w:tcBorders>
            <w:hideMark/>
          </w:tcPr>
          <w:p w14:paraId="7C4B639B" w14:textId="77777777" w:rsidR="00D9286B" w:rsidRPr="00D9286B" w:rsidRDefault="00D9286B" w:rsidP="005D3387">
            <w:pPr>
              <w:widowControl/>
              <w:autoSpaceDE/>
              <w:autoSpaceDN/>
              <w:spacing w:line="276" w:lineRule="auto"/>
              <w:rPr>
                <w:rFonts w:eastAsia="Times New Roman"/>
                <w:sz w:val="24"/>
                <w:szCs w:val="24"/>
                <w:lang w:val="it-IT" w:eastAsia="en-AU"/>
              </w:rPr>
            </w:pPr>
            <w:r w:rsidRPr="00D9286B">
              <w:rPr>
                <w:rFonts w:eastAsia="Times New Roman"/>
                <w:sz w:val="24"/>
                <w:szCs w:val="24"/>
                <w:lang w:val="it-IT" w:eastAsia="en-AU"/>
              </w:rPr>
              <w:t>Paraesthesia, dizziness, headache, peripheral neuropathy</w:t>
            </w:r>
          </w:p>
        </w:tc>
      </w:tr>
      <w:tr w:rsidR="00D9286B" w:rsidRPr="00D9286B" w14:paraId="1A71D1F2"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71E5BA83"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Uncommon</w:t>
            </w:r>
          </w:p>
        </w:tc>
        <w:tc>
          <w:tcPr>
            <w:tcW w:w="3925" w:type="pct"/>
            <w:tcBorders>
              <w:top w:val="outset" w:sz="6" w:space="0" w:color="606060"/>
              <w:left w:val="outset" w:sz="6" w:space="0" w:color="606060"/>
              <w:bottom w:val="outset" w:sz="6" w:space="0" w:color="606060"/>
              <w:right w:val="outset" w:sz="6" w:space="0" w:color="606060"/>
            </w:tcBorders>
            <w:hideMark/>
          </w:tcPr>
          <w:p w14:paraId="15312C01"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Syncope</w:t>
            </w:r>
          </w:p>
        </w:tc>
      </w:tr>
      <w:tr w:rsidR="00D9286B" w:rsidRPr="00D9286B" w14:paraId="7C30AB5D" w14:textId="77777777" w:rsidTr="00022B3C">
        <w:tc>
          <w:tcPr>
            <w:tcW w:w="5000" w:type="pct"/>
            <w:gridSpan w:val="2"/>
            <w:tcBorders>
              <w:top w:val="outset" w:sz="6" w:space="0" w:color="606060"/>
              <w:left w:val="outset" w:sz="6" w:space="0" w:color="606060"/>
              <w:bottom w:val="outset" w:sz="6" w:space="0" w:color="606060"/>
              <w:right w:val="outset" w:sz="6" w:space="0" w:color="606060"/>
            </w:tcBorders>
            <w:hideMark/>
          </w:tcPr>
          <w:p w14:paraId="1B8FF181"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b/>
                <w:bCs/>
                <w:sz w:val="24"/>
                <w:szCs w:val="24"/>
                <w:lang w:eastAsia="en-AU"/>
              </w:rPr>
              <w:t>Ear and labyrinth disorders</w:t>
            </w:r>
          </w:p>
        </w:tc>
      </w:tr>
      <w:tr w:rsidR="00D9286B" w:rsidRPr="00D9286B" w14:paraId="2C2539FD"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722B1641"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Uncommon</w:t>
            </w:r>
          </w:p>
        </w:tc>
        <w:tc>
          <w:tcPr>
            <w:tcW w:w="3925" w:type="pct"/>
            <w:tcBorders>
              <w:top w:val="outset" w:sz="6" w:space="0" w:color="606060"/>
              <w:left w:val="outset" w:sz="6" w:space="0" w:color="606060"/>
              <w:bottom w:val="outset" w:sz="6" w:space="0" w:color="606060"/>
              <w:right w:val="outset" w:sz="6" w:space="0" w:color="606060"/>
            </w:tcBorders>
            <w:hideMark/>
          </w:tcPr>
          <w:p w14:paraId="7A01A509"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Vertigo, ear infection</w:t>
            </w:r>
          </w:p>
        </w:tc>
      </w:tr>
      <w:tr w:rsidR="00D9286B" w:rsidRPr="00D9286B" w14:paraId="2FDE3ACE" w14:textId="77777777" w:rsidTr="00022B3C">
        <w:tc>
          <w:tcPr>
            <w:tcW w:w="5000" w:type="pct"/>
            <w:gridSpan w:val="2"/>
            <w:tcBorders>
              <w:top w:val="outset" w:sz="6" w:space="0" w:color="606060"/>
              <w:left w:val="outset" w:sz="6" w:space="0" w:color="606060"/>
              <w:bottom w:val="outset" w:sz="6" w:space="0" w:color="606060"/>
              <w:right w:val="outset" w:sz="6" w:space="0" w:color="606060"/>
            </w:tcBorders>
            <w:hideMark/>
          </w:tcPr>
          <w:p w14:paraId="2B2E7228"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b/>
                <w:bCs/>
                <w:sz w:val="24"/>
                <w:szCs w:val="24"/>
                <w:lang w:eastAsia="en-AU"/>
              </w:rPr>
              <w:t>Cardiac disorders</w:t>
            </w:r>
          </w:p>
        </w:tc>
      </w:tr>
      <w:tr w:rsidR="00D9286B" w:rsidRPr="00D9286B" w14:paraId="44901AFA"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7B82B53E"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Common</w:t>
            </w:r>
          </w:p>
        </w:tc>
        <w:tc>
          <w:tcPr>
            <w:tcW w:w="3925" w:type="pct"/>
            <w:tcBorders>
              <w:top w:val="outset" w:sz="6" w:space="0" w:color="606060"/>
              <w:left w:val="outset" w:sz="6" w:space="0" w:color="606060"/>
              <w:bottom w:val="outset" w:sz="6" w:space="0" w:color="606060"/>
              <w:right w:val="outset" w:sz="6" w:space="0" w:color="606060"/>
            </w:tcBorders>
            <w:hideMark/>
          </w:tcPr>
          <w:p w14:paraId="60700581"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Ejection fraction decreased, tachycardia</w:t>
            </w:r>
          </w:p>
        </w:tc>
      </w:tr>
      <w:tr w:rsidR="00D9286B" w:rsidRPr="00D9286B" w14:paraId="1216C568" w14:textId="77777777" w:rsidTr="00022B3C">
        <w:tc>
          <w:tcPr>
            <w:tcW w:w="5000" w:type="pct"/>
            <w:gridSpan w:val="2"/>
            <w:tcBorders>
              <w:top w:val="outset" w:sz="6" w:space="0" w:color="606060"/>
              <w:left w:val="outset" w:sz="6" w:space="0" w:color="606060"/>
              <w:bottom w:val="outset" w:sz="6" w:space="0" w:color="606060"/>
              <w:right w:val="outset" w:sz="6" w:space="0" w:color="606060"/>
            </w:tcBorders>
            <w:hideMark/>
          </w:tcPr>
          <w:p w14:paraId="6767BEFC"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b/>
                <w:bCs/>
                <w:sz w:val="24"/>
                <w:szCs w:val="24"/>
                <w:lang w:eastAsia="en-AU"/>
              </w:rPr>
              <w:t>Vascular disorders</w:t>
            </w:r>
          </w:p>
        </w:tc>
      </w:tr>
      <w:tr w:rsidR="00D9286B" w:rsidRPr="00D9286B" w14:paraId="08330098"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0E9FE3ED"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Common</w:t>
            </w:r>
          </w:p>
        </w:tc>
        <w:tc>
          <w:tcPr>
            <w:tcW w:w="3925" w:type="pct"/>
            <w:tcBorders>
              <w:top w:val="outset" w:sz="6" w:space="0" w:color="606060"/>
              <w:left w:val="outset" w:sz="6" w:space="0" w:color="606060"/>
              <w:bottom w:val="outset" w:sz="6" w:space="0" w:color="606060"/>
              <w:right w:val="outset" w:sz="6" w:space="0" w:color="606060"/>
            </w:tcBorders>
            <w:hideMark/>
          </w:tcPr>
          <w:p w14:paraId="26F7B6F8"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Phlebitis</w:t>
            </w:r>
          </w:p>
        </w:tc>
      </w:tr>
      <w:tr w:rsidR="00D9286B" w:rsidRPr="00D9286B" w14:paraId="62053309"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27AA790C"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Uncommon</w:t>
            </w:r>
          </w:p>
        </w:tc>
        <w:tc>
          <w:tcPr>
            <w:tcW w:w="3925" w:type="pct"/>
            <w:tcBorders>
              <w:top w:val="outset" w:sz="6" w:space="0" w:color="606060"/>
              <w:left w:val="outset" w:sz="6" w:space="0" w:color="606060"/>
              <w:bottom w:val="outset" w:sz="6" w:space="0" w:color="606060"/>
              <w:right w:val="outset" w:sz="6" w:space="0" w:color="606060"/>
            </w:tcBorders>
            <w:hideMark/>
          </w:tcPr>
          <w:p w14:paraId="51F2932E"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Venous thrombosis, lymphoedema</w:t>
            </w:r>
          </w:p>
        </w:tc>
      </w:tr>
      <w:tr w:rsidR="00D9286B" w:rsidRPr="00D9286B" w14:paraId="267C83EE"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7C83CC9D"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lastRenderedPageBreak/>
              <w:t>Not known</w:t>
            </w:r>
          </w:p>
        </w:tc>
        <w:tc>
          <w:tcPr>
            <w:tcW w:w="3925" w:type="pct"/>
            <w:tcBorders>
              <w:top w:val="outset" w:sz="6" w:space="0" w:color="606060"/>
              <w:left w:val="outset" w:sz="6" w:space="0" w:color="606060"/>
              <w:bottom w:val="outset" w:sz="6" w:space="0" w:color="606060"/>
              <w:right w:val="outset" w:sz="6" w:space="0" w:color="606060"/>
            </w:tcBorders>
            <w:hideMark/>
          </w:tcPr>
          <w:p w14:paraId="674D95E6"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Embolism</w:t>
            </w:r>
          </w:p>
        </w:tc>
      </w:tr>
      <w:tr w:rsidR="00D9286B" w:rsidRPr="00D9286B" w14:paraId="0CB6B998" w14:textId="77777777" w:rsidTr="00022B3C">
        <w:tc>
          <w:tcPr>
            <w:tcW w:w="5000" w:type="pct"/>
            <w:gridSpan w:val="2"/>
            <w:tcBorders>
              <w:top w:val="outset" w:sz="6" w:space="0" w:color="606060"/>
              <w:left w:val="outset" w:sz="6" w:space="0" w:color="606060"/>
              <w:bottom w:val="outset" w:sz="6" w:space="0" w:color="606060"/>
              <w:right w:val="outset" w:sz="6" w:space="0" w:color="606060"/>
            </w:tcBorders>
            <w:hideMark/>
          </w:tcPr>
          <w:p w14:paraId="11DE001B"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b/>
                <w:bCs/>
                <w:sz w:val="24"/>
                <w:szCs w:val="24"/>
                <w:lang w:eastAsia="en-AU"/>
              </w:rPr>
              <w:t>Respiratory, thoracic and mediastinal disorders</w:t>
            </w:r>
          </w:p>
        </w:tc>
      </w:tr>
      <w:tr w:rsidR="00D9286B" w:rsidRPr="00D9286B" w14:paraId="75B3309D"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58FAAF05"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Common</w:t>
            </w:r>
          </w:p>
        </w:tc>
        <w:tc>
          <w:tcPr>
            <w:tcW w:w="3925" w:type="pct"/>
            <w:tcBorders>
              <w:top w:val="outset" w:sz="6" w:space="0" w:color="606060"/>
              <w:left w:val="outset" w:sz="6" w:space="0" w:color="606060"/>
              <w:bottom w:val="outset" w:sz="6" w:space="0" w:color="606060"/>
              <w:right w:val="outset" w:sz="6" w:space="0" w:color="606060"/>
            </w:tcBorders>
            <w:hideMark/>
          </w:tcPr>
          <w:p w14:paraId="24193280"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Dyspnoea, cough, pharyngitis, respiratory tract infections</w:t>
            </w:r>
          </w:p>
        </w:tc>
      </w:tr>
      <w:tr w:rsidR="00D9286B" w:rsidRPr="00D9286B" w14:paraId="67DDDA94"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765CE840"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Not known</w:t>
            </w:r>
          </w:p>
        </w:tc>
        <w:tc>
          <w:tcPr>
            <w:tcW w:w="3925" w:type="pct"/>
            <w:tcBorders>
              <w:top w:val="outset" w:sz="6" w:space="0" w:color="606060"/>
              <w:left w:val="outset" w:sz="6" w:space="0" w:color="606060"/>
              <w:bottom w:val="outset" w:sz="6" w:space="0" w:color="606060"/>
              <w:right w:val="outset" w:sz="6" w:space="0" w:color="606060"/>
            </w:tcBorders>
            <w:hideMark/>
          </w:tcPr>
          <w:p w14:paraId="6546CAC5"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Pulmonary embolism</w:t>
            </w:r>
          </w:p>
        </w:tc>
      </w:tr>
      <w:tr w:rsidR="00D9286B" w:rsidRPr="00D9286B" w14:paraId="2BBE2ACB" w14:textId="77777777" w:rsidTr="00022B3C">
        <w:tc>
          <w:tcPr>
            <w:tcW w:w="5000" w:type="pct"/>
            <w:gridSpan w:val="2"/>
            <w:tcBorders>
              <w:top w:val="outset" w:sz="6" w:space="0" w:color="606060"/>
              <w:left w:val="outset" w:sz="6" w:space="0" w:color="606060"/>
              <w:bottom w:val="outset" w:sz="6" w:space="0" w:color="606060"/>
              <w:right w:val="outset" w:sz="6" w:space="0" w:color="606060"/>
            </w:tcBorders>
            <w:hideMark/>
          </w:tcPr>
          <w:p w14:paraId="45175900"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b/>
                <w:bCs/>
                <w:sz w:val="24"/>
                <w:szCs w:val="24"/>
                <w:lang w:eastAsia="en-AU"/>
              </w:rPr>
              <w:t>Gastrointestinal disorders</w:t>
            </w:r>
          </w:p>
        </w:tc>
      </w:tr>
      <w:tr w:rsidR="00D9286B" w:rsidRPr="00D9286B" w14:paraId="429832DA"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397C86C3"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Very common</w:t>
            </w:r>
          </w:p>
        </w:tc>
        <w:tc>
          <w:tcPr>
            <w:tcW w:w="3925" w:type="pct"/>
            <w:tcBorders>
              <w:top w:val="outset" w:sz="6" w:space="0" w:color="606060"/>
              <w:left w:val="outset" w:sz="6" w:space="0" w:color="606060"/>
              <w:bottom w:val="outset" w:sz="6" w:space="0" w:color="606060"/>
              <w:right w:val="outset" w:sz="6" w:space="0" w:color="606060"/>
            </w:tcBorders>
            <w:hideMark/>
          </w:tcPr>
          <w:p w14:paraId="794AB895"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Nausea, vomiting, stomatitis</w:t>
            </w:r>
          </w:p>
        </w:tc>
      </w:tr>
      <w:tr w:rsidR="00D9286B" w:rsidRPr="00D9286B" w14:paraId="075396B0"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63E39F73"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Common</w:t>
            </w:r>
          </w:p>
        </w:tc>
        <w:tc>
          <w:tcPr>
            <w:tcW w:w="3925" w:type="pct"/>
            <w:tcBorders>
              <w:top w:val="outset" w:sz="6" w:space="0" w:color="606060"/>
              <w:left w:val="outset" w:sz="6" w:space="0" w:color="606060"/>
              <w:bottom w:val="outset" w:sz="6" w:space="0" w:color="606060"/>
              <w:right w:val="outset" w:sz="6" w:space="0" w:color="606060"/>
            </w:tcBorders>
            <w:hideMark/>
          </w:tcPr>
          <w:p w14:paraId="2E68D8D8"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Diarrhoea, constipation, abdominal pain, dyspepsia</w:t>
            </w:r>
          </w:p>
        </w:tc>
      </w:tr>
      <w:tr w:rsidR="00D9286B" w:rsidRPr="00D9286B" w14:paraId="79B73FCB"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2CC8849A"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Uncommon</w:t>
            </w:r>
          </w:p>
        </w:tc>
        <w:tc>
          <w:tcPr>
            <w:tcW w:w="3925" w:type="pct"/>
            <w:tcBorders>
              <w:top w:val="outset" w:sz="6" w:space="0" w:color="606060"/>
              <w:left w:val="outset" w:sz="6" w:space="0" w:color="606060"/>
              <w:bottom w:val="outset" w:sz="6" w:space="0" w:color="606060"/>
              <w:right w:val="outset" w:sz="6" w:space="0" w:color="606060"/>
            </w:tcBorders>
            <w:hideMark/>
          </w:tcPr>
          <w:p w14:paraId="2393D74C"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Gingivitis, oral candidiasis</w:t>
            </w:r>
          </w:p>
        </w:tc>
      </w:tr>
      <w:tr w:rsidR="00D9286B" w:rsidRPr="00D9286B" w14:paraId="4764D037" w14:textId="77777777" w:rsidTr="00022B3C">
        <w:tc>
          <w:tcPr>
            <w:tcW w:w="5000" w:type="pct"/>
            <w:gridSpan w:val="2"/>
            <w:tcBorders>
              <w:top w:val="outset" w:sz="6" w:space="0" w:color="606060"/>
              <w:left w:val="outset" w:sz="6" w:space="0" w:color="606060"/>
              <w:bottom w:val="outset" w:sz="6" w:space="0" w:color="606060"/>
              <w:right w:val="outset" w:sz="6" w:space="0" w:color="606060"/>
            </w:tcBorders>
            <w:hideMark/>
          </w:tcPr>
          <w:p w14:paraId="06175000"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b/>
                <w:bCs/>
                <w:sz w:val="24"/>
                <w:szCs w:val="24"/>
                <w:lang w:eastAsia="en-AU"/>
              </w:rPr>
              <w:t>Hepatobiliary disorders</w:t>
            </w:r>
          </w:p>
        </w:tc>
      </w:tr>
      <w:tr w:rsidR="00D9286B" w:rsidRPr="00D9286B" w14:paraId="7A179F74"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01949B03"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Common</w:t>
            </w:r>
          </w:p>
        </w:tc>
        <w:tc>
          <w:tcPr>
            <w:tcW w:w="3925" w:type="pct"/>
            <w:tcBorders>
              <w:top w:val="outset" w:sz="6" w:space="0" w:color="606060"/>
              <w:left w:val="outset" w:sz="6" w:space="0" w:color="606060"/>
              <w:bottom w:val="outset" w:sz="6" w:space="0" w:color="606060"/>
              <w:right w:val="outset" w:sz="6" w:space="0" w:color="606060"/>
            </w:tcBorders>
            <w:hideMark/>
          </w:tcPr>
          <w:p w14:paraId="3D0B6B13"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Transaminases increased</w:t>
            </w:r>
          </w:p>
        </w:tc>
      </w:tr>
      <w:tr w:rsidR="00D9286B" w:rsidRPr="00D9286B" w14:paraId="61BEBF68" w14:textId="77777777" w:rsidTr="00022B3C">
        <w:tc>
          <w:tcPr>
            <w:tcW w:w="5000" w:type="pct"/>
            <w:gridSpan w:val="2"/>
            <w:tcBorders>
              <w:top w:val="outset" w:sz="6" w:space="0" w:color="606060"/>
              <w:left w:val="outset" w:sz="6" w:space="0" w:color="606060"/>
              <w:bottom w:val="outset" w:sz="6" w:space="0" w:color="606060"/>
              <w:right w:val="outset" w:sz="6" w:space="0" w:color="606060"/>
            </w:tcBorders>
            <w:hideMark/>
          </w:tcPr>
          <w:p w14:paraId="774D0B7D"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b/>
                <w:bCs/>
                <w:sz w:val="24"/>
                <w:szCs w:val="24"/>
                <w:lang w:eastAsia="en-AU"/>
              </w:rPr>
              <w:t>Skin and subcutaneous tissue disorders</w:t>
            </w:r>
          </w:p>
        </w:tc>
      </w:tr>
      <w:tr w:rsidR="00D9286B" w:rsidRPr="00D9286B" w14:paraId="2D72FFB0"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6DC1E281"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Very common</w:t>
            </w:r>
          </w:p>
        </w:tc>
        <w:tc>
          <w:tcPr>
            <w:tcW w:w="3925" w:type="pct"/>
            <w:tcBorders>
              <w:top w:val="outset" w:sz="6" w:space="0" w:color="606060"/>
              <w:left w:val="outset" w:sz="6" w:space="0" w:color="606060"/>
              <w:bottom w:val="outset" w:sz="6" w:space="0" w:color="606060"/>
              <w:right w:val="outset" w:sz="6" w:space="0" w:color="606060"/>
            </w:tcBorders>
            <w:hideMark/>
          </w:tcPr>
          <w:p w14:paraId="421B5404"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Alopecia</w:t>
            </w:r>
          </w:p>
        </w:tc>
      </w:tr>
      <w:tr w:rsidR="00D9286B" w:rsidRPr="00D9286B" w14:paraId="52D2BEC6"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2FC7BB6F"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Common</w:t>
            </w:r>
          </w:p>
        </w:tc>
        <w:tc>
          <w:tcPr>
            <w:tcW w:w="3925" w:type="pct"/>
            <w:tcBorders>
              <w:top w:val="outset" w:sz="6" w:space="0" w:color="606060"/>
              <w:left w:val="outset" w:sz="6" w:space="0" w:color="606060"/>
              <w:bottom w:val="outset" w:sz="6" w:space="0" w:color="606060"/>
              <w:right w:val="outset" w:sz="6" w:space="0" w:color="606060"/>
            </w:tcBorders>
            <w:hideMark/>
          </w:tcPr>
          <w:p w14:paraId="1C6E6984"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Nail disorder, erythema</w:t>
            </w:r>
          </w:p>
        </w:tc>
      </w:tr>
      <w:tr w:rsidR="00D9286B" w:rsidRPr="00D9286B" w14:paraId="1C053005"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79ED9941"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Uncommon</w:t>
            </w:r>
          </w:p>
        </w:tc>
        <w:tc>
          <w:tcPr>
            <w:tcW w:w="3925" w:type="pct"/>
            <w:tcBorders>
              <w:top w:val="outset" w:sz="6" w:space="0" w:color="606060"/>
              <w:left w:val="outset" w:sz="6" w:space="0" w:color="606060"/>
              <w:bottom w:val="outset" w:sz="6" w:space="0" w:color="606060"/>
              <w:right w:val="outset" w:sz="6" w:space="0" w:color="606060"/>
            </w:tcBorders>
            <w:hideMark/>
          </w:tcPr>
          <w:p w14:paraId="2B1D3EF6"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Cellulitis</w:t>
            </w:r>
          </w:p>
        </w:tc>
      </w:tr>
      <w:tr w:rsidR="00D9286B" w:rsidRPr="00D9286B" w14:paraId="1743EFBC" w14:textId="77777777" w:rsidTr="00022B3C">
        <w:tc>
          <w:tcPr>
            <w:tcW w:w="5000" w:type="pct"/>
            <w:gridSpan w:val="2"/>
            <w:tcBorders>
              <w:top w:val="outset" w:sz="6" w:space="0" w:color="606060"/>
              <w:left w:val="outset" w:sz="6" w:space="0" w:color="606060"/>
              <w:bottom w:val="outset" w:sz="6" w:space="0" w:color="606060"/>
              <w:right w:val="outset" w:sz="6" w:space="0" w:color="606060"/>
            </w:tcBorders>
            <w:hideMark/>
          </w:tcPr>
          <w:p w14:paraId="0E1002B1"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b/>
                <w:bCs/>
                <w:sz w:val="24"/>
                <w:szCs w:val="24"/>
                <w:lang w:eastAsia="en-AU"/>
              </w:rPr>
              <w:t>General disorders and administration site conditions</w:t>
            </w:r>
          </w:p>
        </w:tc>
      </w:tr>
      <w:tr w:rsidR="00D9286B" w:rsidRPr="00D9286B" w14:paraId="6FE08B89"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2450B1F3"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Very common</w:t>
            </w:r>
          </w:p>
        </w:tc>
        <w:tc>
          <w:tcPr>
            <w:tcW w:w="3925" w:type="pct"/>
            <w:tcBorders>
              <w:top w:val="outset" w:sz="6" w:space="0" w:color="606060"/>
              <w:left w:val="outset" w:sz="6" w:space="0" w:color="606060"/>
              <w:bottom w:val="outset" w:sz="6" w:space="0" w:color="606060"/>
              <w:right w:val="outset" w:sz="6" w:space="0" w:color="606060"/>
            </w:tcBorders>
            <w:hideMark/>
          </w:tcPr>
          <w:p w14:paraId="46C78906"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Asthenia</w:t>
            </w:r>
          </w:p>
        </w:tc>
      </w:tr>
      <w:tr w:rsidR="00D9286B" w:rsidRPr="00D9286B" w14:paraId="6B8CDE35"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1455F73D"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Common</w:t>
            </w:r>
          </w:p>
        </w:tc>
        <w:tc>
          <w:tcPr>
            <w:tcW w:w="3925" w:type="pct"/>
            <w:tcBorders>
              <w:top w:val="outset" w:sz="6" w:space="0" w:color="606060"/>
              <w:left w:val="outset" w:sz="6" w:space="0" w:color="606060"/>
              <w:bottom w:val="outset" w:sz="6" w:space="0" w:color="606060"/>
              <w:right w:val="outset" w:sz="6" w:space="0" w:color="606060"/>
            </w:tcBorders>
            <w:hideMark/>
          </w:tcPr>
          <w:p w14:paraId="40FAAB5D"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Mucosal inflammation, pyrexia, fatigue, malaise, injection site reaction (including pain, swelling, burning sensation, erythema, pruritus, thrombosis), oedema</w:t>
            </w:r>
          </w:p>
        </w:tc>
      </w:tr>
      <w:tr w:rsidR="00D9286B" w:rsidRPr="00D9286B" w14:paraId="771E1A69" w14:textId="77777777" w:rsidTr="00022B3C">
        <w:tc>
          <w:tcPr>
            <w:tcW w:w="1075" w:type="pct"/>
            <w:tcBorders>
              <w:top w:val="outset" w:sz="6" w:space="0" w:color="606060"/>
              <w:left w:val="outset" w:sz="6" w:space="0" w:color="606060"/>
              <w:bottom w:val="outset" w:sz="6" w:space="0" w:color="606060"/>
              <w:right w:val="outset" w:sz="6" w:space="0" w:color="606060"/>
            </w:tcBorders>
            <w:hideMark/>
          </w:tcPr>
          <w:p w14:paraId="163585C7"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Uncommon</w:t>
            </w:r>
          </w:p>
        </w:tc>
        <w:tc>
          <w:tcPr>
            <w:tcW w:w="3925" w:type="pct"/>
            <w:tcBorders>
              <w:top w:val="outset" w:sz="6" w:space="0" w:color="606060"/>
              <w:left w:val="outset" w:sz="6" w:space="0" w:color="606060"/>
              <w:bottom w:val="outset" w:sz="6" w:space="0" w:color="606060"/>
              <w:right w:val="outset" w:sz="6" w:space="0" w:color="606060"/>
            </w:tcBorders>
            <w:hideMark/>
          </w:tcPr>
          <w:p w14:paraId="1E59D3C6" w14:textId="77777777" w:rsidR="00D9286B" w:rsidRPr="00D9286B" w:rsidRDefault="00D9286B" w:rsidP="005D3387">
            <w:pPr>
              <w:widowControl/>
              <w:autoSpaceDE/>
              <w:autoSpaceDN/>
              <w:spacing w:line="276" w:lineRule="auto"/>
              <w:rPr>
                <w:rFonts w:eastAsia="Times New Roman"/>
                <w:sz w:val="24"/>
                <w:szCs w:val="24"/>
                <w:lang w:eastAsia="en-AU"/>
              </w:rPr>
            </w:pPr>
            <w:r w:rsidRPr="00D9286B">
              <w:rPr>
                <w:rFonts w:eastAsia="Times New Roman"/>
                <w:sz w:val="24"/>
                <w:szCs w:val="24"/>
                <w:lang w:eastAsia="en-AU"/>
              </w:rPr>
              <w:t>Thirst</w:t>
            </w:r>
          </w:p>
        </w:tc>
      </w:tr>
    </w:tbl>
    <w:p w14:paraId="0DCB0CE0" w14:textId="77777777" w:rsidR="0096277F" w:rsidRDefault="0096277F" w:rsidP="005D3387">
      <w:pPr>
        <w:widowControl/>
        <w:shd w:val="clear" w:color="auto" w:fill="FFFFFF"/>
        <w:autoSpaceDE/>
        <w:autoSpaceDN/>
        <w:spacing w:after="150" w:line="276" w:lineRule="auto"/>
        <w:ind w:left="993"/>
        <w:rPr>
          <w:rFonts w:asciiTheme="minorHAnsi" w:eastAsia="Times New Roman" w:hAnsiTheme="minorHAnsi" w:cstheme="minorHAnsi"/>
          <w:color w:val="161616"/>
          <w:sz w:val="24"/>
          <w:szCs w:val="24"/>
          <w:u w:val="single"/>
          <w:lang w:eastAsia="en-AU"/>
        </w:rPr>
      </w:pPr>
    </w:p>
    <w:p w14:paraId="58E812EC" w14:textId="33639154"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color w:val="161616"/>
          <w:sz w:val="24"/>
          <w:szCs w:val="24"/>
          <w:u w:val="single"/>
          <w:lang w:eastAsia="en-AU"/>
        </w:rPr>
        <w:t>Clinical trial data</w:t>
      </w:r>
    </w:p>
    <w:p w14:paraId="5A2ACD69" w14:textId="1A3852A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color w:val="161616"/>
          <w:sz w:val="24"/>
          <w:szCs w:val="24"/>
          <w:lang w:eastAsia="en-AU"/>
        </w:rPr>
        <w:t xml:space="preserve">The above table shows adverse reactions reported in clinical studies and having a reasonable possibility of a causal relationship with </w:t>
      </w:r>
      <w:r w:rsidR="002A761D">
        <w:rPr>
          <w:rFonts w:asciiTheme="minorHAnsi" w:eastAsia="Times New Roman" w:hAnsiTheme="minorHAnsi" w:cstheme="minorHAnsi"/>
          <w:color w:val="161616"/>
          <w:sz w:val="24"/>
          <w:szCs w:val="24"/>
          <w:lang w:eastAsia="en-AU"/>
        </w:rPr>
        <w:t>dexrazoxane</w:t>
      </w:r>
      <w:r w:rsidRPr="00D9286B">
        <w:rPr>
          <w:rFonts w:asciiTheme="minorHAnsi" w:eastAsia="Times New Roman" w:hAnsiTheme="minorHAnsi" w:cstheme="minorHAnsi"/>
          <w:color w:val="161616"/>
          <w:sz w:val="24"/>
          <w:szCs w:val="24"/>
          <w:lang w:eastAsia="en-AU"/>
        </w:rPr>
        <w:t xml:space="preserve">. These data are derived from clinical trials in cancer patients where </w:t>
      </w:r>
      <w:r w:rsidR="002A761D">
        <w:rPr>
          <w:rFonts w:asciiTheme="minorHAnsi" w:eastAsia="Times New Roman" w:hAnsiTheme="minorHAnsi" w:cstheme="minorHAnsi"/>
          <w:color w:val="161616"/>
          <w:sz w:val="24"/>
          <w:szCs w:val="24"/>
          <w:lang w:eastAsia="en-AU"/>
        </w:rPr>
        <w:t>dexrazoxane</w:t>
      </w:r>
      <w:r w:rsidRPr="00D9286B">
        <w:rPr>
          <w:rFonts w:asciiTheme="minorHAnsi" w:eastAsia="Times New Roman" w:hAnsiTheme="minorHAnsi" w:cstheme="minorHAnsi"/>
          <w:color w:val="161616"/>
          <w:sz w:val="24"/>
          <w:szCs w:val="24"/>
          <w:lang w:eastAsia="en-AU"/>
        </w:rPr>
        <w:t xml:space="preserve"> was used in combination with anthracycline-based chemotherapy, and where in some cases a control group of patients receiving chemotherapy alone can be referred to.</w:t>
      </w:r>
    </w:p>
    <w:p w14:paraId="371721A4" w14:textId="1E8C7E34"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i/>
          <w:iCs/>
          <w:color w:val="161616"/>
          <w:sz w:val="24"/>
          <w:szCs w:val="24"/>
          <w:lang w:eastAsia="en-AU"/>
        </w:rPr>
        <w:t xml:space="preserve">Patients receiving chemotherapy and </w:t>
      </w:r>
      <w:r w:rsidR="002A761D">
        <w:rPr>
          <w:rFonts w:asciiTheme="minorHAnsi" w:eastAsia="Times New Roman" w:hAnsiTheme="minorHAnsi" w:cstheme="minorHAnsi"/>
          <w:i/>
          <w:iCs/>
          <w:color w:val="161616"/>
          <w:sz w:val="24"/>
          <w:szCs w:val="24"/>
          <w:lang w:eastAsia="en-AU"/>
        </w:rPr>
        <w:t>dexrazoxane</w:t>
      </w:r>
      <w:r w:rsidRPr="00D9286B">
        <w:rPr>
          <w:rFonts w:asciiTheme="minorHAnsi" w:eastAsia="Times New Roman" w:hAnsiTheme="minorHAnsi" w:cstheme="minorHAnsi"/>
          <w:color w:val="161616"/>
          <w:sz w:val="24"/>
          <w:szCs w:val="24"/>
          <w:lang w:eastAsia="en-AU"/>
        </w:rPr>
        <w:t> </w:t>
      </w:r>
      <w:r w:rsidRPr="00D9286B">
        <w:rPr>
          <w:rFonts w:asciiTheme="minorHAnsi" w:eastAsia="Times New Roman" w:hAnsiTheme="minorHAnsi" w:cstheme="minorHAnsi"/>
          <w:i/>
          <w:iCs/>
          <w:color w:val="161616"/>
          <w:sz w:val="24"/>
          <w:szCs w:val="24"/>
          <w:lang w:eastAsia="en-AU"/>
        </w:rPr>
        <w:t>(n=375):</w:t>
      </w:r>
    </w:p>
    <w:p w14:paraId="0D726B05"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i/>
          <w:iCs/>
          <w:color w:val="161616"/>
          <w:sz w:val="24"/>
          <w:szCs w:val="24"/>
          <w:lang w:eastAsia="en-AU"/>
        </w:rPr>
        <w:t>• </w:t>
      </w:r>
      <w:r w:rsidRPr="00D9286B">
        <w:rPr>
          <w:rFonts w:asciiTheme="minorHAnsi" w:eastAsia="Times New Roman" w:hAnsiTheme="minorHAnsi" w:cstheme="minorHAnsi"/>
          <w:color w:val="161616"/>
          <w:sz w:val="24"/>
          <w:szCs w:val="24"/>
          <w:lang w:eastAsia="en-AU"/>
        </w:rPr>
        <w:t>Of these 76% were treated for breast cancer and 24% for a variety of advanced cancers.</w:t>
      </w:r>
    </w:p>
    <w:p w14:paraId="79805B81" w14:textId="34D99289"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i/>
          <w:iCs/>
          <w:color w:val="161616"/>
          <w:sz w:val="24"/>
          <w:szCs w:val="24"/>
          <w:lang w:eastAsia="en-AU"/>
        </w:rPr>
        <w:t>• </w:t>
      </w:r>
      <w:r w:rsidR="002A761D">
        <w:rPr>
          <w:rFonts w:asciiTheme="minorHAnsi" w:eastAsia="Times New Roman" w:hAnsiTheme="minorHAnsi" w:cstheme="minorHAnsi"/>
          <w:color w:val="161616"/>
          <w:sz w:val="24"/>
          <w:szCs w:val="24"/>
          <w:lang w:eastAsia="en-AU"/>
        </w:rPr>
        <w:t>Dexrazoxane</w:t>
      </w:r>
      <w:r w:rsidRPr="00D9286B">
        <w:rPr>
          <w:rFonts w:asciiTheme="minorHAnsi" w:eastAsia="Times New Roman" w:hAnsiTheme="minorHAnsi" w:cstheme="minorHAnsi"/>
          <w:color w:val="161616"/>
          <w:sz w:val="24"/>
          <w:szCs w:val="24"/>
          <w:lang w:eastAsia="en-AU"/>
        </w:rPr>
        <w:t xml:space="preserve"> treatment: a mean dose of 1010 mg/m</w:t>
      </w:r>
      <w:r w:rsidRPr="00D9286B">
        <w:rPr>
          <w:rFonts w:asciiTheme="minorHAnsi" w:eastAsia="Times New Roman" w:hAnsiTheme="minorHAnsi" w:cstheme="minorHAnsi"/>
          <w:color w:val="161616"/>
          <w:sz w:val="24"/>
          <w:szCs w:val="24"/>
          <w:vertAlign w:val="superscript"/>
          <w:lang w:eastAsia="en-AU"/>
        </w:rPr>
        <w:t>2</w:t>
      </w:r>
      <w:r w:rsidRPr="00D9286B">
        <w:rPr>
          <w:rFonts w:asciiTheme="minorHAnsi" w:eastAsia="Times New Roman" w:hAnsiTheme="minorHAnsi" w:cstheme="minorHAnsi"/>
          <w:color w:val="161616"/>
          <w:sz w:val="24"/>
          <w:szCs w:val="24"/>
          <w:lang w:eastAsia="en-AU"/>
        </w:rPr>
        <w:t> (median: 1000 mg/m</w:t>
      </w:r>
      <w:r w:rsidRPr="00D9286B">
        <w:rPr>
          <w:rFonts w:asciiTheme="minorHAnsi" w:eastAsia="Times New Roman" w:hAnsiTheme="minorHAnsi" w:cstheme="minorHAnsi"/>
          <w:color w:val="161616"/>
          <w:sz w:val="24"/>
          <w:szCs w:val="24"/>
          <w:vertAlign w:val="superscript"/>
          <w:lang w:eastAsia="en-AU"/>
        </w:rPr>
        <w:t>2</w:t>
      </w:r>
      <w:r w:rsidRPr="00D9286B">
        <w:rPr>
          <w:rFonts w:asciiTheme="minorHAnsi" w:eastAsia="Times New Roman" w:hAnsiTheme="minorHAnsi" w:cstheme="minorHAnsi"/>
          <w:color w:val="161616"/>
          <w:sz w:val="24"/>
          <w:szCs w:val="24"/>
          <w:lang w:eastAsia="en-AU"/>
        </w:rPr>
        <w:t>) in combination with doxorubicin, and a mean dose of 941 mg/m</w:t>
      </w:r>
      <w:r w:rsidRPr="00D9286B">
        <w:rPr>
          <w:rFonts w:asciiTheme="minorHAnsi" w:eastAsia="Times New Roman" w:hAnsiTheme="minorHAnsi" w:cstheme="minorHAnsi"/>
          <w:color w:val="161616"/>
          <w:sz w:val="24"/>
          <w:szCs w:val="24"/>
          <w:vertAlign w:val="superscript"/>
          <w:lang w:eastAsia="en-AU"/>
        </w:rPr>
        <w:t>2</w:t>
      </w:r>
      <w:r w:rsidRPr="00D9286B">
        <w:rPr>
          <w:rFonts w:asciiTheme="minorHAnsi" w:eastAsia="Times New Roman" w:hAnsiTheme="minorHAnsi" w:cstheme="minorHAnsi"/>
          <w:color w:val="161616"/>
          <w:sz w:val="24"/>
          <w:szCs w:val="24"/>
          <w:lang w:eastAsia="en-AU"/>
        </w:rPr>
        <w:t> (median: 997 mg/m</w:t>
      </w:r>
      <w:r w:rsidRPr="00D9286B">
        <w:rPr>
          <w:rFonts w:asciiTheme="minorHAnsi" w:eastAsia="Times New Roman" w:hAnsiTheme="minorHAnsi" w:cstheme="minorHAnsi"/>
          <w:color w:val="161616"/>
          <w:sz w:val="24"/>
          <w:szCs w:val="24"/>
          <w:vertAlign w:val="superscript"/>
          <w:lang w:eastAsia="en-AU"/>
        </w:rPr>
        <w:t>2</w:t>
      </w:r>
      <w:r w:rsidRPr="00D9286B">
        <w:rPr>
          <w:rFonts w:asciiTheme="minorHAnsi" w:eastAsia="Times New Roman" w:hAnsiTheme="minorHAnsi" w:cstheme="minorHAnsi"/>
          <w:color w:val="161616"/>
          <w:sz w:val="24"/>
          <w:szCs w:val="24"/>
          <w:lang w:eastAsia="en-AU"/>
        </w:rPr>
        <w:t xml:space="preserve">) in combination with </w:t>
      </w:r>
      <w:proofErr w:type="spellStart"/>
      <w:r w:rsidRPr="00D9286B">
        <w:rPr>
          <w:rFonts w:asciiTheme="minorHAnsi" w:eastAsia="Times New Roman" w:hAnsiTheme="minorHAnsi" w:cstheme="minorHAnsi"/>
          <w:color w:val="161616"/>
          <w:sz w:val="24"/>
          <w:szCs w:val="24"/>
          <w:lang w:eastAsia="en-AU"/>
        </w:rPr>
        <w:t>epirubicin</w:t>
      </w:r>
      <w:proofErr w:type="spellEnd"/>
      <w:r w:rsidRPr="00D9286B">
        <w:rPr>
          <w:rFonts w:asciiTheme="minorHAnsi" w:eastAsia="Times New Roman" w:hAnsiTheme="minorHAnsi" w:cstheme="minorHAnsi"/>
          <w:color w:val="161616"/>
          <w:sz w:val="24"/>
          <w:szCs w:val="24"/>
          <w:lang w:eastAsia="en-AU"/>
        </w:rPr>
        <w:t>.</w:t>
      </w:r>
    </w:p>
    <w:p w14:paraId="493B46FF" w14:textId="77777777" w:rsidR="00EB4CA9"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i/>
          <w:iCs/>
          <w:color w:val="161616"/>
          <w:sz w:val="24"/>
          <w:szCs w:val="24"/>
          <w:lang w:eastAsia="en-AU"/>
        </w:rPr>
        <w:t>• </w:t>
      </w:r>
      <w:r w:rsidRPr="00D9286B">
        <w:rPr>
          <w:rFonts w:asciiTheme="minorHAnsi" w:eastAsia="Times New Roman" w:hAnsiTheme="minorHAnsi" w:cstheme="minorHAnsi"/>
          <w:color w:val="161616"/>
          <w:sz w:val="24"/>
          <w:szCs w:val="24"/>
          <w:lang w:eastAsia="en-AU"/>
        </w:rPr>
        <w:t>Chemotherapy treatment received by patients treated for breast cancer: 45% combination therapy with doxorubicin 50 mg/m</w:t>
      </w:r>
      <w:r w:rsidRPr="00D9286B">
        <w:rPr>
          <w:rFonts w:asciiTheme="minorHAnsi" w:eastAsia="Times New Roman" w:hAnsiTheme="minorHAnsi" w:cstheme="minorHAnsi"/>
          <w:color w:val="161616"/>
          <w:sz w:val="24"/>
          <w:szCs w:val="24"/>
          <w:vertAlign w:val="superscript"/>
          <w:lang w:eastAsia="en-AU"/>
        </w:rPr>
        <w:t>2</w:t>
      </w:r>
      <w:r w:rsidRPr="00D9286B">
        <w:rPr>
          <w:rFonts w:asciiTheme="minorHAnsi" w:eastAsia="Times New Roman" w:hAnsiTheme="minorHAnsi" w:cstheme="minorHAnsi"/>
          <w:color w:val="161616"/>
          <w:sz w:val="24"/>
          <w:szCs w:val="24"/>
          <w:lang w:eastAsia="en-AU"/>
        </w:rPr>
        <w:t xml:space="preserve"> (mainly with 5-fluorouracil and cyclophosphamide): 17% with </w:t>
      </w:r>
      <w:proofErr w:type="spellStart"/>
      <w:r w:rsidRPr="00D9286B">
        <w:rPr>
          <w:rFonts w:asciiTheme="minorHAnsi" w:eastAsia="Times New Roman" w:hAnsiTheme="minorHAnsi" w:cstheme="minorHAnsi"/>
          <w:color w:val="161616"/>
          <w:sz w:val="24"/>
          <w:szCs w:val="24"/>
          <w:lang w:eastAsia="en-AU"/>
        </w:rPr>
        <w:t>epirubicin</w:t>
      </w:r>
      <w:proofErr w:type="spellEnd"/>
      <w:r w:rsidRPr="00D9286B">
        <w:rPr>
          <w:rFonts w:asciiTheme="minorHAnsi" w:eastAsia="Times New Roman" w:hAnsiTheme="minorHAnsi" w:cstheme="minorHAnsi"/>
          <w:color w:val="161616"/>
          <w:sz w:val="24"/>
          <w:szCs w:val="24"/>
          <w:lang w:eastAsia="en-AU"/>
        </w:rPr>
        <w:t xml:space="preserve"> alone; 14% combination therapy with </w:t>
      </w:r>
      <w:proofErr w:type="spellStart"/>
      <w:r w:rsidRPr="00D9286B">
        <w:rPr>
          <w:rFonts w:asciiTheme="minorHAnsi" w:eastAsia="Times New Roman" w:hAnsiTheme="minorHAnsi" w:cstheme="minorHAnsi"/>
          <w:color w:val="161616"/>
          <w:sz w:val="24"/>
          <w:szCs w:val="24"/>
          <w:lang w:eastAsia="en-AU"/>
        </w:rPr>
        <w:t>epirubicin</w:t>
      </w:r>
      <w:proofErr w:type="spellEnd"/>
      <w:r w:rsidRPr="00D9286B">
        <w:rPr>
          <w:rFonts w:asciiTheme="minorHAnsi" w:eastAsia="Times New Roman" w:hAnsiTheme="minorHAnsi" w:cstheme="minorHAnsi"/>
          <w:color w:val="161616"/>
          <w:sz w:val="24"/>
          <w:szCs w:val="24"/>
          <w:lang w:eastAsia="en-AU"/>
        </w:rPr>
        <w:t xml:space="preserve"> 60 or 90 mg/m</w:t>
      </w:r>
      <w:r w:rsidRPr="00D9286B">
        <w:rPr>
          <w:rFonts w:asciiTheme="minorHAnsi" w:eastAsia="Times New Roman" w:hAnsiTheme="minorHAnsi" w:cstheme="minorHAnsi"/>
          <w:color w:val="161616"/>
          <w:sz w:val="24"/>
          <w:szCs w:val="24"/>
          <w:vertAlign w:val="superscript"/>
          <w:lang w:eastAsia="en-AU"/>
        </w:rPr>
        <w:t>2</w:t>
      </w:r>
      <w:r w:rsidRPr="00D9286B">
        <w:rPr>
          <w:rFonts w:asciiTheme="minorHAnsi" w:eastAsia="Times New Roman" w:hAnsiTheme="minorHAnsi" w:cstheme="minorHAnsi"/>
          <w:color w:val="161616"/>
          <w:sz w:val="24"/>
          <w:szCs w:val="24"/>
          <w:lang w:eastAsia="en-AU"/>
        </w:rPr>
        <w:t xml:space="preserve"> (mainly with </w:t>
      </w:r>
    </w:p>
    <w:p w14:paraId="4C436903" w14:textId="12866772" w:rsidR="00D9286B" w:rsidRPr="00D9286B" w:rsidRDefault="00D9286B" w:rsidP="005D3387">
      <w:pPr>
        <w:widowControl/>
        <w:shd w:val="clear" w:color="auto" w:fill="FFFFFF"/>
        <w:autoSpaceDE/>
        <w:autoSpaceDN/>
        <w:spacing w:after="150"/>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color w:val="161616"/>
          <w:sz w:val="24"/>
          <w:szCs w:val="24"/>
          <w:lang w:eastAsia="en-AU"/>
        </w:rPr>
        <w:lastRenderedPageBreak/>
        <w:t>5-fluorouracil and cyclophosphamide).</w:t>
      </w:r>
    </w:p>
    <w:p w14:paraId="51206963"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i/>
          <w:iCs/>
          <w:color w:val="161616"/>
          <w:sz w:val="24"/>
          <w:szCs w:val="24"/>
          <w:lang w:eastAsia="en-AU"/>
        </w:rPr>
        <w:t>Patients receiving chemotherapy alone (n=157)</w:t>
      </w:r>
    </w:p>
    <w:p w14:paraId="6377D7E0"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i/>
          <w:iCs/>
          <w:color w:val="161616"/>
          <w:sz w:val="24"/>
          <w:szCs w:val="24"/>
          <w:lang w:eastAsia="en-AU"/>
        </w:rPr>
        <w:t>• </w:t>
      </w:r>
      <w:r w:rsidRPr="00D9286B">
        <w:rPr>
          <w:rFonts w:asciiTheme="minorHAnsi" w:eastAsia="Times New Roman" w:hAnsiTheme="minorHAnsi" w:cstheme="minorHAnsi"/>
          <w:color w:val="161616"/>
          <w:sz w:val="24"/>
          <w:szCs w:val="24"/>
          <w:lang w:eastAsia="en-AU"/>
        </w:rPr>
        <w:t>All were treated for breast cancer</w:t>
      </w:r>
    </w:p>
    <w:p w14:paraId="07A18F36"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i/>
          <w:iCs/>
          <w:color w:val="161616"/>
          <w:sz w:val="24"/>
          <w:szCs w:val="24"/>
          <w:lang w:eastAsia="en-AU"/>
        </w:rPr>
        <w:t>• </w:t>
      </w:r>
      <w:r w:rsidRPr="00D9286B">
        <w:rPr>
          <w:rFonts w:asciiTheme="minorHAnsi" w:eastAsia="Times New Roman" w:hAnsiTheme="minorHAnsi" w:cstheme="minorHAnsi"/>
          <w:color w:val="161616"/>
          <w:sz w:val="24"/>
          <w:szCs w:val="24"/>
          <w:lang w:eastAsia="en-AU"/>
        </w:rPr>
        <w:t xml:space="preserve">Chemotherapy treatment received: 43% single agent </w:t>
      </w:r>
      <w:proofErr w:type="spellStart"/>
      <w:r w:rsidRPr="00D9286B">
        <w:rPr>
          <w:rFonts w:asciiTheme="minorHAnsi" w:eastAsia="Times New Roman" w:hAnsiTheme="minorHAnsi" w:cstheme="minorHAnsi"/>
          <w:color w:val="161616"/>
          <w:sz w:val="24"/>
          <w:szCs w:val="24"/>
          <w:lang w:eastAsia="en-AU"/>
        </w:rPr>
        <w:t>epirubicin</w:t>
      </w:r>
      <w:proofErr w:type="spellEnd"/>
      <w:r w:rsidRPr="00D9286B">
        <w:rPr>
          <w:rFonts w:asciiTheme="minorHAnsi" w:eastAsia="Times New Roman" w:hAnsiTheme="minorHAnsi" w:cstheme="minorHAnsi"/>
          <w:color w:val="161616"/>
          <w:sz w:val="24"/>
          <w:szCs w:val="24"/>
          <w:lang w:eastAsia="en-AU"/>
        </w:rPr>
        <w:t xml:space="preserve"> 120 mg/m</w:t>
      </w:r>
      <w:r w:rsidRPr="00D9286B">
        <w:rPr>
          <w:rFonts w:asciiTheme="minorHAnsi" w:eastAsia="Times New Roman" w:hAnsiTheme="minorHAnsi" w:cstheme="minorHAnsi"/>
          <w:color w:val="161616"/>
          <w:sz w:val="24"/>
          <w:szCs w:val="24"/>
          <w:vertAlign w:val="superscript"/>
          <w:lang w:eastAsia="en-AU"/>
        </w:rPr>
        <w:t>2</w:t>
      </w:r>
      <w:r w:rsidRPr="00D9286B">
        <w:rPr>
          <w:rFonts w:asciiTheme="minorHAnsi" w:eastAsia="Times New Roman" w:hAnsiTheme="minorHAnsi" w:cstheme="minorHAnsi"/>
          <w:color w:val="161616"/>
          <w:sz w:val="24"/>
          <w:szCs w:val="24"/>
          <w:lang w:eastAsia="en-AU"/>
        </w:rPr>
        <w:t>; 33% combination therapy with 50 mg/m</w:t>
      </w:r>
      <w:r w:rsidRPr="00D9286B">
        <w:rPr>
          <w:rFonts w:asciiTheme="minorHAnsi" w:eastAsia="Times New Roman" w:hAnsiTheme="minorHAnsi" w:cstheme="minorHAnsi"/>
          <w:color w:val="161616"/>
          <w:sz w:val="24"/>
          <w:szCs w:val="24"/>
          <w:vertAlign w:val="superscript"/>
          <w:lang w:eastAsia="en-AU"/>
        </w:rPr>
        <w:t>2</w:t>
      </w:r>
      <w:r w:rsidRPr="00D9286B">
        <w:rPr>
          <w:rFonts w:asciiTheme="minorHAnsi" w:eastAsia="Times New Roman" w:hAnsiTheme="minorHAnsi" w:cstheme="minorHAnsi"/>
          <w:color w:val="161616"/>
          <w:sz w:val="24"/>
          <w:szCs w:val="24"/>
          <w:lang w:eastAsia="en-AU"/>
        </w:rPr>
        <w:t xml:space="preserve"> doxorubicin (mainly with 5-fluorouracil and cyclophosphamide); 24% combination therapy with </w:t>
      </w:r>
      <w:proofErr w:type="spellStart"/>
      <w:r w:rsidRPr="00D9286B">
        <w:rPr>
          <w:rFonts w:asciiTheme="minorHAnsi" w:eastAsia="Times New Roman" w:hAnsiTheme="minorHAnsi" w:cstheme="minorHAnsi"/>
          <w:color w:val="161616"/>
          <w:sz w:val="24"/>
          <w:szCs w:val="24"/>
          <w:lang w:eastAsia="en-AU"/>
        </w:rPr>
        <w:t>epirubicin</w:t>
      </w:r>
      <w:proofErr w:type="spellEnd"/>
      <w:r w:rsidRPr="00D9286B">
        <w:rPr>
          <w:rFonts w:asciiTheme="minorHAnsi" w:eastAsia="Times New Roman" w:hAnsiTheme="minorHAnsi" w:cstheme="minorHAnsi"/>
          <w:color w:val="161616"/>
          <w:sz w:val="24"/>
          <w:szCs w:val="24"/>
          <w:lang w:eastAsia="en-AU"/>
        </w:rPr>
        <w:t xml:space="preserve"> at 60 or 90 mg/m</w:t>
      </w:r>
      <w:r w:rsidRPr="00D9286B">
        <w:rPr>
          <w:rFonts w:asciiTheme="minorHAnsi" w:eastAsia="Times New Roman" w:hAnsiTheme="minorHAnsi" w:cstheme="minorHAnsi"/>
          <w:color w:val="161616"/>
          <w:sz w:val="24"/>
          <w:szCs w:val="24"/>
          <w:vertAlign w:val="superscript"/>
          <w:lang w:eastAsia="en-AU"/>
        </w:rPr>
        <w:t>2</w:t>
      </w:r>
      <w:r w:rsidRPr="00D9286B">
        <w:rPr>
          <w:rFonts w:asciiTheme="minorHAnsi" w:eastAsia="Times New Roman" w:hAnsiTheme="minorHAnsi" w:cstheme="minorHAnsi"/>
          <w:color w:val="161616"/>
          <w:sz w:val="24"/>
          <w:szCs w:val="24"/>
          <w:lang w:eastAsia="en-AU"/>
        </w:rPr>
        <w:t> (mainly with 5-fluorouracil and cyclophosphamide).</w:t>
      </w:r>
    </w:p>
    <w:p w14:paraId="5BFFAE22"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color w:val="161616"/>
          <w:sz w:val="24"/>
          <w:szCs w:val="24"/>
          <w:u w:val="single"/>
          <w:lang w:eastAsia="en-AU"/>
        </w:rPr>
        <w:t>Description of selected adverse drug reactions</w:t>
      </w:r>
    </w:p>
    <w:p w14:paraId="7AC82BEF"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i/>
          <w:iCs/>
          <w:color w:val="161616"/>
          <w:sz w:val="24"/>
          <w:szCs w:val="24"/>
          <w:lang w:eastAsia="en-AU"/>
        </w:rPr>
        <w:t>Second primary malignancies</w:t>
      </w:r>
    </w:p>
    <w:p w14:paraId="6C4A6B01"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color w:val="161616"/>
          <w:sz w:val="24"/>
          <w:szCs w:val="24"/>
          <w:lang w:eastAsia="en-AU"/>
        </w:rPr>
        <w:t>AML has been reported uncommonly in adult breast cancer patients post-marketing.</w:t>
      </w:r>
    </w:p>
    <w:p w14:paraId="7DF7F6E0"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i/>
          <w:iCs/>
          <w:color w:val="161616"/>
          <w:sz w:val="24"/>
          <w:szCs w:val="24"/>
          <w:lang w:eastAsia="en-AU"/>
        </w:rPr>
        <w:t>Safety profile at maximum tolerated dose</w:t>
      </w:r>
    </w:p>
    <w:p w14:paraId="2CC6F6C6"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color w:val="161616"/>
          <w:sz w:val="24"/>
          <w:szCs w:val="24"/>
          <w:lang w:eastAsia="en-AU"/>
        </w:rPr>
        <w:t xml:space="preserve">Dexrazoxane's maximum tolerated dose (MTD) when given as monotherapy by short infusion every three weeks for </w:t>
      </w:r>
      <w:proofErr w:type="spellStart"/>
      <w:r w:rsidRPr="00D9286B">
        <w:rPr>
          <w:rFonts w:asciiTheme="minorHAnsi" w:eastAsia="Times New Roman" w:hAnsiTheme="minorHAnsi" w:cstheme="minorHAnsi"/>
          <w:color w:val="161616"/>
          <w:sz w:val="24"/>
          <w:szCs w:val="24"/>
          <w:lang w:eastAsia="en-AU"/>
        </w:rPr>
        <w:t>cardioprotection</w:t>
      </w:r>
      <w:proofErr w:type="spellEnd"/>
      <w:r w:rsidRPr="00D9286B">
        <w:rPr>
          <w:rFonts w:asciiTheme="minorHAnsi" w:eastAsia="Times New Roman" w:hAnsiTheme="minorHAnsi" w:cstheme="minorHAnsi"/>
          <w:color w:val="161616"/>
          <w:sz w:val="24"/>
          <w:szCs w:val="24"/>
          <w:lang w:eastAsia="en-AU"/>
        </w:rPr>
        <w:t xml:space="preserve"> has not been specifically studied. In studies of dexrazoxane as a cytotoxic, its MTD is shown to be dependent on posology and dosing </w:t>
      </w:r>
      <w:proofErr w:type="gramStart"/>
      <w:r w:rsidRPr="00D9286B">
        <w:rPr>
          <w:rFonts w:asciiTheme="minorHAnsi" w:eastAsia="Times New Roman" w:hAnsiTheme="minorHAnsi" w:cstheme="minorHAnsi"/>
          <w:color w:val="161616"/>
          <w:sz w:val="24"/>
          <w:szCs w:val="24"/>
          <w:lang w:eastAsia="en-AU"/>
        </w:rPr>
        <w:t>schedule, and</w:t>
      </w:r>
      <w:proofErr w:type="gramEnd"/>
      <w:r w:rsidRPr="00D9286B">
        <w:rPr>
          <w:rFonts w:asciiTheme="minorHAnsi" w:eastAsia="Times New Roman" w:hAnsiTheme="minorHAnsi" w:cstheme="minorHAnsi"/>
          <w:color w:val="161616"/>
          <w:sz w:val="24"/>
          <w:szCs w:val="24"/>
          <w:lang w:eastAsia="en-AU"/>
        </w:rPr>
        <w:t xml:space="preserve"> varies from 3750 mg/m</w:t>
      </w:r>
      <w:r w:rsidRPr="00D9286B">
        <w:rPr>
          <w:rFonts w:asciiTheme="minorHAnsi" w:eastAsia="Times New Roman" w:hAnsiTheme="minorHAnsi" w:cstheme="minorHAnsi"/>
          <w:color w:val="161616"/>
          <w:sz w:val="24"/>
          <w:szCs w:val="24"/>
          <w:vertAlign w:val="superscript"/>
          <w:lang w:eastAsia="en-AU"/>
        </w:rPr>
        <w:t>2</w:t>
      </w:r>
      <w:r w:rsidRPr="00D9286B">
        <w:rPr>
          <w:rFonts w:asciiTheme="minorHAnsi" w:eastAsia="Times New Roman" w:hAnsiTheme="minorHAnsi" w:cstheme="minorHAnsi"/>
          <w:color w:val="161616"/>
          <w:sz w:val="24"/>
          <w:szCs w:val="24"/>
          <w:lang w:eastAsia="en-AU"/>
        </w:rPr>
        <w:t> when short infusions are given in divided doses over 3 days to 7420 mg/m</w:t>
      </w:r>
      <w:r w:rsidRPr="00D9286B">
        <w:rPr>
          <w:rFonts w:asciiTheme="minorHAnsi" w:eastAsia="Times New Roman" w:hAnsiTheme="minorHAnsi" w:cstheme="minorHAnsi"/>
          <w:color w:val="161616"/>
          <w:sz w:val="24"/>
          <w:szCs w:val="24"/>
          <w:vertAlign w:val="superscript"/>
          <w:lang w:eastAsia="en-AU"/>
        </w:rPr>
        <w:t>2</w:t>
      </w:r>
      <w:r w:rsidRPr="00D9286B">
        <w:rPr>
          <w:rFonts w:asciiTheme="minorHAnsi" w:eastAsia="Times New Roman" w:hAnsiTheme="minorHAnsi" w:cstheme="minorHAnsi"/>
          <w:color w:val="161616"/>
          <w:sz w:val="24"/>
          <w:szCs w:val="24"/>
          <w:lang w:eastAsia="en-AU"/>
        </w:rPr>
        <w:t> when given weekly for 4 weeks, with myelosuppression and abnormal liver function tests becoming dose-limiting. The MTD is lower in patients who have been heavily pre-treated with chemotherapy, and those with pre-existing immunosuppression (e.g. AIDS).</w:t>
      </w:r>
    </w:p>
    <w:p w14:paraId="67F5C618" w14:textId="6ACCED14"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color w:val="161616"/>
          <w:sz w:val="24"/>
          <w:szCs w:val="24"/>
          <w:lang w:eastAsia="en-AU"/>
        </w:rPr>
        <w:t xml:space="preserve">The following are adverse reactions reported when </w:t>
      </w:r>
      <w:r w:rsidR="002A761D">
        <w:rPr>
          <w:rFonts w:asciiTheme="minorHAnsi" w:eastAsia="Times New Roman" w:hAnsiTheme="minorHAnsi" w:cstheme="minorHAnsi"/>
          <w:color w:val="161616"/>
          <w:sz w:val="24"/>
          <w:szCs w:val="24"/>
          <w:lang w:eastAsia="en-AU"/>
        </w:rPr>
        <w:t>dexrazoxane</w:t>
      </w:r>
      <w:r w:rsidRPr="00D9286B">
        <w:rPr>
          <w:rFonts w:asciiTheme="minorHAnsi" w:eastAsia="Times New Roman" w:hAnsiTheme="minorHAnsi" w:cstheme="minorHAnsi"/>
          <w:color w:val="161616"/>
          <w:sz w:val="24"/>
          <w:szCs w:val="24"/>
          <w:lang w:eastAsia="en-AU"/>
        </w:rPr>
        <w:t xml:space="preserve"> was given at doses around the MTD: neutropenia, thrombocytopenia, nausea, vomiting, and increase in hepatic parameters. Other toxic effects were malaise, low grade fever, increased urinary clearance of iron and zinc, anaemia, abnormal blood clotting, transient elevation of serum triglyceride and amylase levels, and a transient decrease in serum calcium level.</w:t>
      </w:r>
    </w:p>
    <w:p w14:paraId="5ABD8173"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color w:val="161616"/>
          <w:sz w:val="24"/>
          <w:szCs w:val="24"/>
          <w:u w:val="single"/>
          <w:lang w:eastAsia="en-AU"/>
        </w:rPr>
        <w:t>Paediatric population</w:t>
      </w:r>
    </w:p>
    <w:p w14:paraId="331C06D9"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bookmarkStart w:id="9" w:name="_Hlk135745209"/>
      <w:r w:rsidRPr="00D9286B">
        <w:rPr>
          <w:rFonts w:asciiTheme="minorHAnsi" w:eastAsia="Times New Roman" w:hAnsiTheme="minorHAnsi" w:cstheme="minorHAnsi"/>
          <w:color w:val="161616"/>
          <w:sz w:val="24"/>
          <w:szCs w:val="24"/>
          <w:lang w:eastAsia="en-AU"/>
        </w:rPr>
        <w:t>The safety experience in children is based primarily on literature reports of clinical trials in acute lymphoblastic leukaemia, non-Hodgkin's lymphoma, Hodgkin's disease and osteosarcoma, and post-marketing data.</w:t>
      </w:r>
    </w:p>
    <w:p w14:paraId="553F8627" w14:textId="77777777" w:rsidR="00D9286B" w:rsidRPr="00D9286B" w:rsidRDefault="00D9286B" w:rsidP="005D3387">
      <w:pPr>
        <w:widowControl/>
        <w:shd w:val="clear" w:color="auto" w:fill="FFFFFF"/>
        <w:autoSpaceDE/>
        <w:autoSpaceDN/>
        <w:spacing w:after="150" w:line="276" w:lineRule="auto"/>
        <w:ind w:left="426"/>
        <w:rPr>
          <w:rFonts w:asciiTheme="minorHAnsi" w:eastAsia="Times New Roman" w:hAnsiTheme="minorHAnsi" w:cstheme="minorHAnsi"/>
          <w:color w:val="161616"/>
          <w:sz w:val="24"/>
          <w:szCs w:val="24"/>
          <w:lang w:eastAsia="en-AU"/>
        </w:rPr>
      </w:pPr>
      <w:r w:rsidRPr="00D9286B">
        <w:rPr>
          <w:rFonts w:asciiTheme="minorHAnsi" w:eastAsia="Times New Roman" w:hAnsiTheme="minorHAnsi" w:cstheme="minorHAnsi"/>
          <w:color w:val="161616"/>
          <w:sz w:val="24"/>
          <w:szCs w:val="24"/>
          <w:lang w:eastAsia="en-AU"/>
        </w:rPr>
        <w:t xml:space="preserve">In paediatric patients, second primary malignancies, including acute myeloid leukaemia (AML) and myelodysplastic syndrome (MDS), have been reported in clinical trials in both dexrazoxane and control groups. Although second primary malignancies were numerically higher in the dexrazoxane arms, there was with no statistical difference between groups. In addition, the </w:t>
      </w:r>
      <w:proofErr w:type="gramStart"/>
      <w:r w:rsidRPr="00D9286B">
        <w:rPr>
          <w:rFonts w:asciiTheme="minorHAnsi" w:eastAsia="Times New Roman" w:hAnsiTheme="minorHAnsi" w:cstheme="minorHAnsi"/>
          <w:color w:val="161616"/>
          <w:sz w:val="24"/>
          <w:szCs w:val="24"/>
          <w:lang w:eastAsia="en-AU"/>
        </w:rPr>
        <w:t>long term</w:t>
      </w:r>
      <w:proofErr w:type="gramEnd"/>
      <w:r w:rsidRPr="00D9286B">
        <w:rPr>
          <w:rFonts w:asciiTheme="minorHAnsi" w:eastAsia="Times New Roman" w:hAnsiTheme="minorHAnsi" w:cstheme="minorHAnsi"/>
          <w:color w:val="161616"/>
          <w:sz w:val="24"/>
          <w:szCs w:val="24"/>
          <w:lang w:eastAsia="en-AU"/>
        </w:rPr>
        <w:t xml:space="preserve"> effect of dexrazoxane on secondary primary malignancies is not known (cannot be estimated from the available data) (see section 4.4).</w:t>
      </w:r>
    </w:p>
    <w:bookmarkEnd w:id="9"/>
    <w:p w14:paraId="432B8975" w14:textId="6B19CF4C" w:rsidR="009364A8" w:rsidRPr="00DE57DB" w:rsidRDefault="009364A8" w:rsidP="005D3387">
      <w:pPr>
        <w:pStyle w:val="Heading2"/>
        <w:spacing w:before="240" w:after="240" w:line="276" w:lineRule="auto"/>
        <w:ind w:left="426"/>
      </w:pPr>
      <w:r w:rsidRPr="00DE57DB">
        <w:t>Reporting</w:t>
      </w:r>
      <w:r w:rsidRPr="00DE57DB">
        <w:rPr>
          <w:spacing w:val="-6"/>
        </w:rPr>
        <w:t xml:space="preserve"> </w:t>
      </w:r>
      <w:r w:rsidRPr="00DE57DB">
        <w:t>suspected</w:t>
      </w:r>
      <w:r w:rsidRPr="00DE57DB">
        <w:rPr>
          <w:spacing w:val="-5"/>
        </w:rPr>
        <w:t xml:space="preserve"> </w:t>
      </w:r>
      <w:r w:rsidRPr="00DE57DB">
        <w:t>adverse</w:t>
      </w:r>
      <w:r w:rsidRPr="00DE57DB">
        <w:rPr>
          <w:spacing w:val="-8"/>
        </w:rPr>
        <w:t xml:space="preserve"> </w:t>
      </w:r>
      <w:r w:rsidRPr="00DE57DB">
        <w:t>effects</w:t>
      </w:r>
    </w:p>
    <w:p w14:paraId="78451E46" w14:textId="77777777" w:rsidR="009364A8" w:rsidRPr="00DE57DB" w:rsidRDefault="009364A8" w:rsidP="005D3387">
      <w:pPr>
        <w:pStyle w:val="BodyText"/>
        <w:spacing w:before="164" w:line="276" w:lineRule="auto"/>
        <w:ind w:left="426"/>
        <w:jc w:val="left"/>
      </w:pPr>
      <w:r w:rsidRPr="00DE57DB">
        <w:t>Reporting suspected adverse reactions after registration of the medicinal product is important. It</w:t>
      </w:r>
      <w:r w:rsidRPr="00DE57DB">
        <w:rPr>
          <w:spacing w:val="1"/>
        </w:rPr>
        <w:t xml:space="preserve"> </w:t>
      </w:r>
      <w:r w:rsidRPr="00DE57DB">
        <w:lastRenderedPageBreak/>
        <w:t>allows</w:t>
      </w:r>
      <w:r w:rsidRPr="00DE57DB">
        <w:rPr>
          <w:spacing w:val="1"/>
        </w:rPr>
        <w:t xml:space="preserve"> </w:t>
      </w:r>
      <w:r w:rsidRPr="00DE57DB">
        <w:t>continued</w:t>
      </w:r>
      <w:r w:rsidRPr="00DE57DB">
        <w:rPr>
          <w:spacing w:val="1"/>
        </w:rPr>
        <w:t xml:space="preserve"> </w:t>
      </w:r>
      <w:r w:rsidRPr="00DE57DB">
        <w:t>monitoring</w:t>
      </w:r>
      <w:r w:rsidRPr="00DE57DB">
        <w:rPr>
          <w:spacing w:val="1"/>
        </w:rPr>
        <w:t xml:space="preserve"> </w:t>
      </w:r>
      <w:r w:rsidRPr="00DE57DB">
        <w:t>of</w:t>
      </w:r>
      <w:r w:rsidRPr="00DE57DB">
        <w:rPr>
          <w:spacing w:val="1"/>
        </w:rPr>
        <w:t xml:space="preserve"> </w:t>
      </w:r>
      <w:r w:rsidRPr="00DE57DB">
        <w:t>the</w:t>
      </w:r>
      <w:r w:rsidRPr="00DE57DB">
        <w:rPr>
          <w:spacing w:val="1"/>
        </w:rPr>
        <w:t xml:space="preserve"> </w:t>
      </w:r>
      <w:r w:rsidRPr="00DE57DB">
        <w:t>benefit-risk</w:t>
      </w:r>
      <w:r w:rsidRPr="00DE57DB">
        <w:rPr>
          <w:spacing w:val="1"/>
        </w:rPr>
        <w:t xml:space="preserve"> </w:t>
      </w:r>
      <w:r w:rsidRPr="00DE57DB">
        <w:t>balance</w:t>
      </w:r>
      <w:r w:rsidRPr="00DE57DB">
        <w:rPr>
          <w:spacing w:val="1"/>
        </w:rPr>
        <w:t xml:space="preserve"> </w:t>
      </w:r>
      <w:r w:rsidRPr="00DE57DB">
        <w:t>of</w:t>
      </w:r>
      <w:r w:rsidRPr="00DE57DB">
        <w:rPr>
          <w:spacing w:val="1"/>
        </w:rPr>
        <w:t xml:space="preserve"> </w:t>
      </w:r>
      <w:r w:rsidRPr="00DE57DB">
        <w:t>the</w:t>
      </w:r>
      <w:r w:rsidRPr="00DE57DB">
        <w:rPr>
          <w:spacing w:val="1"/>
        </w:rPr>
        <w:t xml:space="preserve"> </w:t>
      </w:r>
      <w:r w:rsidRPr="00DE57DB">
        <w:t>medicinal</w:t>
      </w:r>
      <w:r w:rsidRPr="00DE57DB">
        <w:rPr>
          <w:spacing w:val="1"/>
        </w:rPr>
        <w:t xml:space="preserve"> </w:t>
      </w:r>
      <w:r w:rsidRPr="00DE57DB">
        <w:t>product.</w:t>
      </w:r>
      <w:r w:rsidRPr="00DE57DB">
        <w:rPr>
          <w:spacing w:val="1"/>
        </w:rPr>
        <w:t xml:space="preserve"> </w:t>
      </w:r>
      <w:r w:rsidRPr="00DE57DB">
        <w:t>Healthcare</w:t>
      </w:r>
      <w:r w:rsidRPr="00DE57DB">
        <w:rPr>
          <w:spacing w:val="1"/>
        </w:rPr>
        <w:t xml:space="preserve"> </w:t>
      </w:r>
      <w:r w:rsidRPr="00DE57DB">
        <w:t xml:space="preserve">professionals are asked to report any suspected adverse reactions at </w:t>
      </w:r>
      <w:hyperlink r:id="rId10">
        <w:r w:rsidRPr="00DE57DB">
          <w:rPr>
            <w:color w:val="0000FF"/>
            <w:u w:val="single" w:color="0000FF"/>
          </w:rPr>
          <w:t>www.tga.gov.au/reporting-</w:t>
        </w:r>
      </w:hyperlink>
      <w:r w:rsidRPr="00DE57DB">
        <w:rPr>
          <w:color w:val="0000FF"/>
          <w:spacing w:val="1"/>
        </w:rPr>
        <w:t xml:space="preserve"> </w:t>
      </w:r>
      <w:hyperlink r:id="rId11">
        <w:r w:rsidRPr="00DE57DB">
          <w:rPr>
            <w:color w:val="0000FF"/>
            <w:u w:val="single" w:color="0000FF"/>
          </w:rPr>
          <w:t>problems</w:t>
        </w:r>
      </w:hyperlink>
      <w:r w:rsidRPr="00DE57DB">
        <w:t>.</w:t>
      </w:r>
    </w:p>
    <w:p w14:paraId="26BF9133" w14:textId="77777777" w:rsidR="00391D9E" w:rsidRPr="00DE57DB" w:rsidRDefault="00391D9E" w:rsidP="005D3387">
      <w:pPr>
        <w:spacing w:line="276" w:lineRule="auto"/>
        <w:rPr>
          <w:position w:val="6"/>
          <w:sz w:val="13"/>
        </w:rPr>
      </w:pPr>
    </w:p>
    <w:p w14:paraId="5BC5EBCF" w14:textId="73ACF33E" w:rsidR="007703E4" w:rsidRPr="0047363C" w:rsidRDefault="000C12FB" w:rsidP="005D3387">
      <w:pPr>
        <w:pStyle w:val="ListParagraph"/>
        <w:numPr>
          <w:ilvl w:val="1"/>
          <w:numId w:val="10"/>
        </w:numPr>
        <w:tabs>
          <w:tab w:val="left" w:pos="975"/>
        </w:tabs>
        <w:spacing w:before="120" w:after="240" w:line="276" w:lineRule="auto"/>
        <w:ind w:left="851" w:hanging="437"/>
        <w:rPr>
          <w:b/>
          <w:sz w:val="23"/>
          <w:szCs w:val="23"/>
        </w:rPr>
      </w:pPr>
      <w:bookmarkStart w:id="10" w:name="Reporting_suspected_adverse_effects"/>
      <w:bookmarkStart w:id="11" w:name="4.9_Overdose"/>
      <w:bookmarkEnd w:id="10"/>
      <w:bookmarkEnd w:id="11"/>
      <w:r w:rsidRPr="00DE57DB">
        <w:rPr>
          <w:b/>
          <w:sz w:val="23"/>
          <w:szCs w:val="23"/>
        </w:rPr>
        <w:t>OVERDOSE</w:t>
      </w:r>
    </w:p>
    <w:p w14:paraId="0141B078" w14:textId="77777777" w:rsidR="0088027A" w:rsidRPr="0088027A" w:rsidRDefault="0088027A"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88027A">
        <w:rPr>
          <w:rFonts w:asciiTheme="minorHAnsi" w:hAnsiTheme="minorHAnsi" w:cstheme="minorHAnsi"/>
          <w:color w:val="000000"/>
        </w:rPr>
        <w:t xml:space="preserve">The signs and symptoms of overdose are likely to consist of </w:t>
      </w:r>
      <w:proofErr w:type="spellStart"/>
      <w:r w:rsidRPr="0088027A">
        <w:rPr>
          <w:rFonts w:asciiTheme="minorHAnsi" w:hAnsiTheme="minorHAnsi" w:cstheme="minorHAnsi"/>
          <w:color w:val="000000"/>
        </w:rPr>
        <w:t>leucopenia</w:t>
      </w:r>
      <w:proofErr w:type="spellEnd"/>
      <w:r w:rsidRPr="0088027A">
        <w:rPr>
          <w:rFonts w:asciiTheme="minorHAnsi" w:hAnsiTheme="minorHAnsi" w:cstheme="minorHAnsi"/>
          <w:color w:val="000000"/>
        </w:rPr>
        <w:t xml:space="preserve">, thrombocytopenia, nausea, vomiting, diarrhoea, skin reactions and alopecia. There is no specific </w:t>
      </w:r>
      <w:proofErr w:type="gramStart"/>
      <w:r w:rsidRPr="0088027A">
        <w:rPr>
          <w:rFonts w:asciiTheme="minorHAnsi" w:hAnsiTheme="minorHAnsi" w:cstheme="minorHAnsi"/>
          <w:color w:val="000000"/>
        </w:rPr>
        <w:t>antidote</w:t>
      </w:r>
      <w:proofErr w:type="gramEnd"/>
      <w:r w:rsidRPr="0088027A">
        <w:rPr>
          <w:rFonts w:asciiTheme="minorHAnsi" w:hAnsiTheme="minorHAnsi" w:cstheme="minorHAnsi"/>
          <w:color w:val="000000"/>
        </w:rPr>
        <w:t xml:space="preserve"> and symptomatic treatment should be provided.</w:t>
      </w:r>
    </w:p>
    <w:p w14:paraId="3E64EC2F" w14:textId="03FE1E26" w:rsidR="001020AE" w:rsidRDefault="0088027A"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88027A">
        <w:rPr>
          <w:rFonts w:asciiTheme="minorHAnsi" w:hAnsiTheme="minorHAnsi" w:cstheme="minorHAnsi"/>
          <w:color w:val="000000"/>
        </w:rPr>
        <w:t>Management should include prophylaxis and treatment of infections, fluid regulation, and maintenance of nutrition.</w:t>
      </w:r>
    </w:p>
    <w:p w14:paraId="19ABA549" w14:textId="77777777" w:rsidR="009F3330" w:rsidRDefault="009F3330" w:rsidP="005D3387">
      <w:pPr>
        <w:pStyle w:val="BodyText"/>
        <w:spacing w:line="276" w:lineRule="auto"/>
        <w:ind w:left="426"/>
        <w:jc w:val="left"/>
        <w:rPr>
          <w:rFonts w:asciiTheme="minorHAnsi" w:eastAsia="Times New Roman" w:hAnsiTheme="minorHAnsi" w:cstheme="minorHAnsi"/>
          <w:color w:val="000000"/>
          <w:sz w:val="24"/>
          <w:szCs w:val="24"/>
          <w:lang w:eastAsia="en-AU"/>
        </w:rPr>
      </w:pPr>
      <w:r w:rsidRPr="00AF7E21">
        <w:rPr>
          <w:rFonts w:asciiTheme="minorHAnsi" w:eastAsia="Times New Roman" w:hAnsiTheme="minorHAnsi" w:cstheme="minorHAnsi"/>
          <w:color w:val="000000"/>
          <w:sz w:val="24"/>
          <w:szCs w:val="24"/>
          <w:lang w:eastAsia="en-AU"/>
        </w:rPr>
        <w:t>For information on the management of overdose, contact the Poisons Information Centre on 13 11 26 (Australia).</w:t>
      </w:r>
    </w:p>
    <w:p w14:paraId="65930418" w14:textId="77777777" w:rsidR="000C12FB" w:rsidRPr="00DE57DB" w:rsidRDefault="000C12FB" w:rsidP="005D3387">
      <w:pPr>
        <w:pStyle w:val="Heading1"/>
        <w:numPr>
          <w:ilvl w:val="0"/>
          <w:numId w:val="2"/>
        </w:numPr>
        <w:tabs>
          <w:tab w:val="left" w:pos="973"/>
          <w:tab w:val="left" w:pos="975"/>
        </w:tabs>
        <w:spacing w:before="360" w:line="276" w:lineRule="auto"/>
        <w:ind w:left="993" w:hanging="567"/>
      </w:pPr>
      <w:bookmarkStart w:id="12" w:name="5_Pharmacological_properties"/>
      <w:bookmarkEnd w:id="12"/>
      <w:r w:rsidRPr="00DE57DB">
        <w:t>PHARMACOLOGICAL</w:t>
      </w:r>
      <w:r w:rsidRPr="00DE57DB">
        <w:rPr>
          <w:spacing w:val="-14"/>
        </w:rPr>
        <w:t xml:space="preserve"> </w:t>
      </w:r>
      <w:r w:rsidRPr="00DE57DB">
        <w:t>PROPERTIES</w:t>
      </w:r>
    </w:p>
    <w:p w14:paraId="747AB3A7" w14:textId="31C636D8" w:rsidR="00817754" w:rsidRDefault="000C12FB" w:rsidP="005D3387">
      <w:pPr>
        <w:pStyle w:val="ListParagraph"/>
        <w:numPr>
          <w:ilvl w:val="1"/>
          <w:numId w:val="2"/>
        </w:numPr>
        <w:tabs>
          <w:tab w:val="left" w:pos="975"/>
        </w:tabs>
        <w:spacing w:before="169" w:line="276" w:lineRule="auto"/>
        <w:ind w:left="851" w:hanging="438"/>
        <w:rPr>
          <w:b/>
          <w:sz w:val="23"/>
          <w:szCs w:val="23"/>
        </w:rPr>
      </w:pPr>
      <w:bookmarkStart w:id="13" w:name="5.1_Pharmacodynamic_properties"/>
      <w:bookmarkEnd w:id="13"/>
      <w:r w:rsidRPr="00DE57DB">
        <w:rPr>
          <w:b/>
          <w:spacing w:val="-1"/>
          <w:sz w:val="23"/>
          <w:szCs w:val="23"/>
        </w:rPr>
        <w:t xml:space="preserve">PHARMACODYNAMIC </w:t>
      </w:r>
      <w:r w:rsidRPr="00DE57DB">
        <w:rPr>
          <w:b/>
          <w:sz w:val="23"/>
          <w:szCs w:val="23"/>
        </w:rPr>
        <w:t>PROPERTIES</w:t>
      </w:r>
    </w:p>
    <w:p w14:paraId="3C6A488C" w14:textId="30A34EDA" w:rsidR="00896954" w:rsidRDefault="00896954" w:rsidP="005D3387">
      <w:pPr>
        <w:spacing w:line="276" w:lineRule="auto"/>
        <w:ind w:left="851"/>
      </w:pPr>
    </w:p>
    <w:p w14:paraId="7EDE351B"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Pharmacotherapeutic group: Detoxifying agents for antineoplastic treatment, ATC code: V03AF02</w:t>
      </w:r>
    </w:p>
    <w:p w14:paraId="2DA8364F" w14:textId="77777777" w:rsidR="004C39E0" w:rsidRPr="00FB1376"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b/>
          <w:bCs/>
          <w:color w:val="000000"/>
        </w:rPr>
      </w:pPr>
      <w:r w:rsidRPr="00FB1376">
        <w:rPr>
          <w:rFonts w:asciiTheme="minorHAnsi" w:hAnsiTheme="minorHAnsi" w:cstheme="minorHAnsi"/>
          <w:b/>
          <w:bCs/>
          <w:color w:val="000000"/>
        </w:rPr>
        <w:t>Mechanism of action</w:t>
      </w:r>
    </w:p>
    <w:p w14:paraId="293844F3" w14:textId="7B881098" w:rsidR="004C39E0" w:rsidRPr="004C39E0" w:rsidRDefault="004C39E0" w:rsidP="005D3387">
      <w:pPr>
        <w:pStyle w:val="NormalWeb"/>
        <w:shd w:val="clear" w:color="auto" w:fill="FFFFFF"/>
        <w:spacing w:before="0" w:beforeAutospacing="0" w:after="0" w:afterAutospacing="0" w:line="276" w:lineRule="auto"/>
        <w:ind w:left="425"/>
        <w:rPr>
          <w:rFonts w:asciiTheme="minorHAnsi" w:hAnsiTheme="minorHAnsi" w:cstheme="minorHAnsi"/>
          <w:color w:val="000000"/>
        </w:rPr>
      </w:pPr>
      <w:r w:rsidRPr="004C39E0">
        <w:rPr>
          <w:rFonts w:asciiTheme="minorHAnsi" w:hAnsiTheme="minorHAnsi" w:cstheme="minorHAnsi"/>
          <w:color w:val="000000"/>
        </w:rPr>
        <w:t xml:space="preserve">The exact mechanism by which dexrazoxane exerts its cardioprotective effect has not been fully elucidated, however based on the available evidence the following mechanism has been suggested. The dose-dependent cardiotoxicity observed during anthracycline administration is due to anthracycline-induced iron-dependent free radical oxidative stress on the relatively unprotected cardiac muscle. Dexrazoxane, an analogue of EDTA (ethylene diamine tetra-acetic acid), is hydrolysed in cardiac cells to the ring-opened product ICRF-198. ICRF-198 </w:t>
      </w:r>
      <w:r w:rsidR="00A513E2">
        <w:rPr>
          <w:rFonts w:asciiTheme="minorHAnsi" w:hAnsiTheme="minorHAnsi" w:cstheme="minorHAnsi"/>
          <w:color w:val="000000"/>
        </w:rPr>
        <w:t>is</w:t>
      </w:r>
      <w:r w:rsidR="00A513E2" w:rsidRPr="004C39E0">
        <w:rPr>
          <w:rFonts w:asciiTheme="minorHAnsi" w:hAnsiTheme="minorHAnsi" w:cstheme="minorHAnsi"/>
          <w:color w:val="000000"/>
        </w:rPr>
        <w:t xml:space="preserve"> </w:t>
      </w:r>
      <w:r w:rsidRPr="004C39E0">
        <w:rPr>
          <w:rFonts w:asciiTheme="minorHAnsi" w:hAnsiTheme="minorHAnsi" w:cstheme="minorHAnsi"/>
          <w:color w:val="000000"/>
        </w:rPr>
        <w:t xml:space="preserve">capable of chelating metal ions. It is generally thought that they can provide </w:t>
      </w:r>
      <w:proofErr w:type="spellStart"/>
      <w:r w:rsidRPr="004C39E0">
        <w:rPr>
          <w:rFonts w:asciiTheme="minorHAnsi" w:hAnsiTheme="minorHAnsi" w:cstheme="minorHAnsi"/>
          <w:color w:val="000000"/>
        </w:rPr>
        <w:t>cardioprotection</w:t>
      </w:r>
      <w:proofErr w:type="spellEnd"/>
      <w:r w:rsidRPr="004C39E0">
        <w:rPr>
          <w:rFonts w:asciiTheme="minorHAnsi" w:hAnsiTheme="minorHAnsi" w:cstheme="minorHAnsi"/>
          <w:color w:val="000000"/>
        </w:rPr>
        <w:t xml:space="preserve"> by scavenging metal ions thus preventing the Fe3+-anthracycline complex from redox cycling and forming reactive radicals.</w:t>
      </w:r>
      <w:r w:rsidR="00A513E2">
        <w:rPr>
          <w:rFonts w:asciiTheme="minorHAnsi" w:hAnsiTheme="minorHAnsi" w:cstheme="minorHAnsi"/>
          <w:color w:val="000000"/>
        </w:rPr>
        <w:t xml:space="preserve"> </w:t>
      </w:r>
      <w:r w:rsidR="00A513E2" w:rsidRPr="00A513E2">
        <w:rPr>
          <w:rFonts w:asciiTheme="minorHAnsi" w:hAnsiTheme="minorHAnsi" w:cstheme="minorHAnsi"/>
          <w:color w:val="000000"/>
        </w:rPr>
        <w:t>Dexrazoxane also inhibits topoisomerase IIb, which may also contribute to protection of anthracycline-induced cardiotoxicity.</w:t>
      </w:r>
    </w:p>
    <w:p w14:paraId="6EB9E65B" w14:textId="480DB40F" w:rsidR="004C39E0" w:rsidRPr="00FB1376" w:rsidRDefault="00FB1376" w:rsidP="005D3387">
      <w:pPr>
        <w:pStyle w:val="NormalWeb"/>
        <w:shd w:val="clear" w:color="auto" w:fill="FFFFFF"/>
        <w:spacing w:before="240" w:beforeAutospacing="0" w:after="240" w:afterAutospacing="0" w:line="276" w:lineRule="auto"/>
        <w:ind w:left="425"/>
        <w:rPr>
          <w:rFonts w:asciiTheme="minorHAnsi" w:hAnsiTheme="minorHAnsi" w:cstheme="minorHAnsi"/>
          <w:b/>
          <w:bCs/>
          <w:color w:val="000000"/>
        </w:rPr>
      </w:pPr>
      <w:r w:rsidRPr="00FB1376">
        <w:rPr>
          <w:rFonts w:asciiTheme="minorHAnsi" w:hAnsiTheme="minorHAnsi" w:cstheme="minorHAnsi"/>
          <w:b/>
          <w:bCs/>
          <w:color w:val="000000"/>
        </w:rPr>
        <w:t>Clinical Trials</w:t>
      </w:r>
    </w:p>
    <w:p w14:paraId="6CC72738"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The evidence from clinical trials to date suggests increasing cardioprotective benefit from dexrazoxane as the cumulative anthracycline dose is increased.</w:t>
      </w:r>
    </w:p>
    <w:p w14:paraId="2F387A6B"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Dexrazoxane does not protect against non-cardiac toxicities induced by anthracyclines.</w:t>
      </w:r>
    </w:p>
    <w:p w14:paraId="24BD2414"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 xml:space="preserve">The majority of controlled clinical studies were performed in patients with advanced breast cancer and employed a dosing ratio of </w:t>
      </w:r>
      <w:proofErr w:type="spellStart"/>
      <w:r w:rsidRPr="004C39E0">
        <w:rPr>
          <w:rFonts w:asciiTheme="minorHAnsi" w:hAnsiTheme="minorHAnsi" w:cstheme="minorHAnsi"/>
          <w:color w:val="000000"/>
        </w:rPr>
        <w:t>dexrazoxane:doxorubicin</w:t>
      </w:r>
      <w:proofErr w:type="spellEnd"/>
      <w:r w:rsidRPr="004C39E0">
        <w:rPr>
          <w:rFonts w:asciiTheme="minorHAnsi" w:hAnsiTheme="minorHAnsi" w:cstheme="minorHAnsi"/>
          <w:color w:val="000000"/>
        </w:rPr>
        <w:t xml:space="preserve"> of 20:1 or 10:1. In two clinical studies that used the higher dose ratio (one in breast cancer and one in small cell lung cancer) a higher rate of death was reported in the groups treated with dexrazoxane plus chemotherapy </w:t>
      </w:r>
      <w:r w:rsidRPr="004C39E0">
        <w:rPr>
          <w:rFonts w:asciiTheme="minorHAnsi" w:hAnsiTheme="minorHAnsi" w:cstheme="minorHAnsi"/>
          <w:color w:val="000000"/>
        </w:rPr>
        <w:lastRenderedPageBreak/>
        <w:t xml:space="preserve">compared to those treated with chemotherapy alone or with placebo. The dose ratio was subsequently reduced to 10:1 in both studies, and no significant differences in survival were reported in patients treated at the lower dose ratio. However, </w:t>
      </w:r>
      <w:proofErr w:type="gramStart"/>
      <w:r w:rsidRPr="004C39E0">
        <w:rPr>
          <w:rFonts w:asciiTheme="minorHAnsi" w:hAnsiTheme="minorHAnsi" w:cstheme="minorHAnsi"/>
          <w:color w:val="000000"/>
        </w:rPr>
        <w:t>a number of</w:t>
      </w:r>
      <w:proofErr w:type="gramEnd"/>
      <w:r w:rsidRPr="004C39E0">
        <w:rPr>
          <w:rFonts w:asciiTheme="minorHAnsi" w:hAnsiTheme="minorHAnsi" w:cstheme="minorHAnsi"/>
          <w:color w:val="000000"/>
        </w:rPr>
        <w:t xml:space="preserve"> studies that used the higher dose ratio throughout have not reported any difference in survival.</w:t>
      </w:r>
    </w:p>
    <w:p w14:paraId="071DD881" w14:textId="77777777" w:rsidR="004C39E0" w:rsidRPr="00FB1376"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b/>
          <w:bCs/>
          <w:color w:val="000000"/>
        </w:rPr>
      </w:pPr>
      <w:r w:rsidRPr="00FB1376">
        <w:rPr>
          <w:rFonts w:asciiTheme="minorHAnsi" w:hAnsiTheme="minorHAnsi" w:cstheme="minorHAnsi"/>
          <w:b/>
          <w:bCs/>
          <w:color w:val="000000"/>
        </w:rPr>
        <w:t>Paediatric Population:</w:t>
      </w:r>
    </w:p>
    <w:p w14:paraId="1F077A0C"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There are limited data on efficacy in children. Data are mainly derived from COG (Children's Oncology Group) studies, published in BL Asselin et al: J. Clin. Oncol. 2016 and CL Schwartz et al </w:t>
      </w:r>
      <w:proofErr w:type="spellStart"/>
      <w:r w:rsidRPr="004C39E0">
        <w:rPr>
          <w:rFonts w:asciiTheme="minorHAnsi" w:hAnsiTheme="minorHAnsi" w:cstheme="minorHAnsi"/>
          <w:color w:val="000000"/>
        </w:rPr>
        <w:t>Pediatr</w:t>
      </w:r>
      <w:proofErr w:type="spellEnd"/>
      <w:r w:rsidRPr="004C39E0">
        <w:rPr>
          <w:rFonts w:asciiTheme="minorHAnsi" w:hAnsiTheme="minorHAnsi" w:cstheme="minorHAnsi"/>
          <w:color w:val="000000"/>
        </w:rPr>
        <w:t>. Blood Cancer 2016.</w:t>
      </w:r>
    </w:p>
    <w:p w14:paraId="00CAA485" w14:textId="77777777" w:rsidR="00F85789" w:rsidRDefault="004C39E0" w:rsidP="005D3387">
      <w:pPr>
        <w:pStyle w:val="NormalWeb"/>
        <w:shd w:val="clear" w:color="auto" w:fill="FFFFFF"/>
        <w:spacing w:before="0" w:beforeAutospacing="0" w:after="0" w:afterAutospacing="0"/>
        <w:ind w:left="425"/>
        <w:rPr>
          <w:rFonts w:asciiTheme="minorHAnsi" w:hAnsiTheme="minorHAnsi" w:cstheme="minorHAnsi"/>
          <w:color w:val="000000"/>
        </w:rPr>
      </w:pPr>
      <w:r w:rsidRPr="004C39E0">
        <w:rPr>
          <w:rFonts w:asciiTheme="minorHAnsi" w:hAnsiTheme="minorHAnsi" w:cstheme="minorHAnsi"/>
          <w:color w:val="000000"/>
        </w:rPr>
        <w:t xml:space="preserve">Study P9404 (BL Asselin et al: J. Clin. Oncol. 2016) evaluated the cardioprotective efficacy, and safety of dexrazoxane added to chemotherapy that included a cumulative doxorubicin dose of </w:t>
      </w:r>
    </w:p>
    <w:p w14:paraId="7CE1E623" w14:textId="079BD86E" w:rsidR="004C39E0" w:rsidRPr="004C39E0" w:rsidRDefault="004C39E0" w:rsidP="005D3387">
      <w:pPr>
        <w:pStyle w:val="NormalWeb"/>
        <w:shd w:val="clear" w:color="auto" w:fill="FFFFFF"/>
        <w:spacing w:before="0" w:beforeAutospacing="0" w:after="150" w:afterAutospacing="0" w:line="276" w:lineRule="auto"/>
        <w:ind w:left="425"/>
        <w:rPr>
          <w:rFonts w:asciiTheme="minorHAnsi" w:hAnsiTheme="minorHAnsi" w:cstheme="minorHAnsi"/>
          <w:color w:val="000000"/>
        </w:rPr>
      </w:pPr>
      <w:r w:rsidRPr="004C39E0">
        <w:rPr>
          <w:rFonts w:asciiTheme="minorHAnsi" w:hAnsiTheme="minorHAnsi" w:cstheme="minorHAnsi"/>
          <w:color w:val="000000"/>
        </w:rPr>
        <w:t>360 mg/m</w:t>
      </w:r>
      <w:r w:rsidRPr="002D142E">
        <w:rPr>
          <w:rFonts w:asciiTheme="minorHAnsi" w:hAnsiTheme="minorHAnsi" w:cstheme="minorHAnsi"/>
          <w:color w:val="000000"/>
          <w:vertAlign w:val="superscript"/>
        </w:rPr>
        <w:t>2</w:t>
      </w:r>
      <w:r w:rsidRPr="004C39E0">
        <w:rPr>
          <w:rFonts w:asciiTheme="minorHAnsi" w:hAnsiTheme="minorHAnsi" w:cstheme="minorHAnsi"/>
          <w:color w:val="000000"/>
        </w:rPr>
        <w:t> to treat children and adolescents with newly diagnosed T-cell acute lymphoblastic leukemia (T-ALL) or lymphoblastic non-Hodgkin lymphoma (L-NHL). Between June 1996 and September 2001, patients were randomised to receive doxorubicin treatment with (n=273) or without (n=264) dexrazoxane (dexrazoxane: doxorubicin ratio 10:1). Dexrazoxane was given as a bolus infusion immediately before every dose of doxorubicin. Cardiac effects were assessed by echocardiographic measurements of left ventricular function and structure.</w:t>
      </w:r>
    </w:p>
    <w:p w14:paraId="0146CD5F"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Baseline characteristics of the overall study population were as follows: median age at diagnosis 9.2 years, male (75.8%), White (66%), T-ALL (67%). The treatment used was modified from study protocol DFCI ALL-87-01 with or without high-dose methotrexate and all patients received cranial radiation.</w:t>
      </w:r>
    </w:p>
    <w:p w14:paraId="14416458"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 xml:space="preserve">Heart failure was not reported among patients at any time during treatment or follow-up. Of the five patients in whom grade 3 or 4 cardiac </w:t>
      </w:r>
      <w:proofErr w:type="gramStart"/>
      <w:r w:rsidRPr="004C39E0">
        <w:rPr>
          <w:rFonts w:asciiTheme="minorHAnsi" w:hAnsiTheme="minorHAnsi" w:cstheme="minorHAnsi"/>
          <w:color w:val="000000"/>
        </w:rPr>
        <w:t>toxicity</w:t>
      </w:r>
      <w:proofErr w:type="gramEnd"/>
      <w:r w:rsidRPr="004C39E0">
        <w:rPr>
          <w:rFonts w:asciiTheme="minorHAnsi" w:hAnsiTheme="minorHAnsi" w:cstheme="minorHAnsi"/>
          <w:color w:val="000000"/>
        </w:rPr>
        <w:t xml:space="preserve"> occurred while receiving therapy; two had arrhythmias (n = 1 in the dexrazoxane group), and three had decreased LV fractional shortening (all were in the no-dexrazoxane group). All five received high-dose methotrexate and had a serious infection when the cardiac toxicity occurred. All patients recovered and completed chemotherapy, including doxorubicin. </w:t>
      </w:r>
      <w:proofErr w:type="spellStart"/>
      <w:r w:rsidRPr="004C39E0">
        <w:rPr>
          <w:rFonts w:asciiTheme="minorHAnsi" w:hAnsiTheme="minorHAnsi" w:cstheme="minorHAnsi"/>
          <w:color w:val="000000"/>
        </w:rPr>
        <w:t>cTnT</w:t>
      </w:r>
      <w:proofErr w:type="spellEnd"/>
      <w:r w:rsidRPr="004C39E0">
        <w:rPr>
          <w:rFonts w:asciiTheme="minorHAnsi" w:hAnsiTheme="minorHAnsi" w:cstheme="minorHAnsi"/>
          <w:color w:val="000000"/>
        </w:rPr>
        <w:t xml:space="preserve"> levels at both baseline and during treatment were available for 160 patients. The probability of having elevated </w:t>
      </w:r>
      <w:proofErr w:type="spellStart"/>
      <w:r w:rsidRPr="004C39E0">
        <w:rPr>
          <w:rFonts w:asciiTheme="minorHAnsi" w:hAnsiTheme="minorHAnsi" w:cstheme="minorHAnsi"/>
          <w:color w:val="000000"/>
        </w:rPr>
        <w:t>cTnT</w:t>
      </w:r>
      <w:proofErr w:type="spellEnd"/>
      <w:r w:rsidRPr="004C39E0">
        <w:rPr>
          <w:rFonts w:asciiTheme="minorHAnsi" w:hAnsiTheme="minorHAnsi" w:cstheme="minorHAnsi"/>
          <w:color w:val="000000"/>
        </w:rPr>
        <w:t xml:space="preserve"> was lower in the dexrazoxane group (odds ratio, 0.23; 95% CI, 0.05 to 1.11; p = 0.067).</w:t>
      </w:r>
    </w:p>
    <w:p w14:paraId="2BB34B9A"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 xml:space="preserve">At baseline, mean z scores for LV fractional shortening and LV thickness-to-dimension ratio were similar between treatment groups. The mean z score for LV wall thickness at baseline in the dexrazoxane-treated group was significantly lower than in the no-dexrazoxane group. The LV wall thickness was worse after treatment in the no-dexrazoxane treatment group than it was in the dexrazoxane-treated group. After doxorubicin treatment, mean z scores were lower than age-expected norms for all children, but were not significantly different between groups; the mean score was always closer to normal for the dexrazoxane group. The mean z scores for left ventricular fractional shortening, LV wall thickness, and LV thickness-to-dimension ratio at three years in dexrazoxane treated children were not significantly different from the scores for healthy children; whereas in the no-dexrazoxane group these z scores all remained significantly reduced compared to healthy children. The mean left ventricular fractional shortening, wall thickness, </w:t>
      </w:r>
      <w:r w:rsidRPr="004C39E0">
        <w:rPr>
          <w:rFonts w:asciiTheme="minorHAnsi" w:hAnsiTheme="minorHAnsi" w:cstheme="minorHAnsi"/>
          <w:color w:val="000000"/>
        </w:rPr>
        <w:lastRenderedPageBreak/>
        <w:t>and thickness-to-dimension ratio z scores measured 3 years after diagnosis were worse in the doxorubicin-alone group (n = 55 per group; P ≤ 0.01 for all comparisons).</w:t>
      </w:r>
    </w:p>
    <w:p w14:paraId="18682ACD"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The 5-year event-free survival (with standard error) did not differ between groups: 76.7% (2.7%) for the dexrazoxane group versus 76.0% (2.7%) for the doxorubicin-only group (p = 0.9) (see also sections 4.2, 4.3, 4.4 and 4.8). The frequencies of severe grade 3 or 4 haematologic toxicity, infection, central nervous system events, and toxic deaths were similar in both groups.</w:t>
      </w:r>
    </w:p>
    <w:p w14:paraId="6ACFA909" w14:textId="77777777" w:rsidR="00F85789" w:rsidRDefault="004C39E0" w:rsidP="005D3387">
      <w:pPr>
        <w:pStyle w:val="NormalWeb"/>
        <w:shd w:val="clear" w:color="auto" w:fill="FFFFFF"/>
        <w:spacing w:before="0" w:beforeAutospacing="0" w:after="0" w:afterAutospacing="0" w:line="276" w:lineRule="auto"/>
        <w:ind w:left="425"/>
        <w:rPr>
          <w:rFonts w:asciiTheme="minorHAnsi" w:hAnsiTheme="minorHAnsi" w:cstheme="minorHAnsi"/>
          <w:color w:val="000000"/>
        </w:rPr>
      </w:pPr>
      <w:r w:rsidRPr="004C39E0">
        <w:rPr>
          <w:rFonts w:asciiTheme="minorHAnsi" w:hAnsiTheme="minorHAnsi" w:cstheme="minorHAnsi"/>
          <w:color w:val="000000"/>
        </w:rPr>
        <w:t>In a non-randomised study (P9754, CL Schwartz et al </w:t>
      </w:r>
      <w:proofErr w:type="spellStart"/>
      <w:r w:rsidRPr="004C39E0">
        <w:rPr>
          <w:rFonts w:asciiTheme="minorHAnsi" w:hAnsiTheme="minorHAnsi" w:cstheme="minorHAnsi"/>
          <w:color w:val="000000"/>
        </w:rPr>
        <w:t>Pediatr</w:t>
      </w:r>
      <w:proofErr w:type="spellEnd"/>
      <w:r w:rsidRPr="004C39E0">
        <w:rPr>
          <w:rFonts w:asciiTheme="minorHAnsi" w:hAnsiTheme="minorHAnsi" w:cstheme="minorHAnsi"/>
          <w:color w:val="000000"/>
        </w:rPr>
        <w:t>. Blood Cancer 2016) in patients with non-metastatic osteosarcoma (median age 13 years, range 3-30 years) where all patients receiving doxorubicin (450-600 mg/m</w:t>
      </w:r>
      <w:r w:rsidRPr="002D142E">
        <w:rPr>
          <w:rFonts w:asciiTheme="minorHAnsi" w:hAnsiTheme="minorHAnsi" w:cstheme="minorHAnsi"/>
          <w:color w:val="000000"/>
          <w:vertAlign w:val="superscript"/>
        </w:rPr>
        <w:t>2</w:t>
      </w:r>
      <w:r w:rsidRPr="004C39E0">
        <w:rPr>
          <w:rFonts w:asciiTheme="minorHAnsi" w:hAnsiTheme="minorHAnsi" w:cstheme="minorHAnsi"/>
          <w:color w:val="000000"/>
        </w:rPr>
        <w:t>) also received dexrazoxane (dexrazoxane: doxorubicin ratio 10:1) (242 patients exposed to at least 450 mg/m</w:t>
      </w:r>
      <w:r w:rsidRPr="002D142E">
        <w:rPr>
          <w:rFonts w:asciiTheme="minorHAnsi" w:hAnsiTheme="minorHAnsi" w:cstheme="minorHAnsi"/>
          <w:color w:val="000000"/>
          <w:vertAlign w:val="superscript"/>
        </w:rPr>
        <w:t>2</w:t>
      </w:r>
      <w:r w:rsidRPr="004C39E0">
        <w:rPr>
          <w:rFonts w:asciiTheme="minorHAnsi" w:hAnsiTheme="minorHAnsi" w:cstheme="minorHAnsi"/>
          <w:color w:val="000000"/>
        </w:rPr>
        <w:t> doxorubicin and 101 exposed to 600 mg/m</w:t>
      </w:r>
      <w:r w:rsidRPr="002D142E">
        <w:rPr>
          <w:rFonts w:asciiTheme="minorHAnsi" w:hAnsiTheme="minorHAnsi" w:cstheme="minorHAnsi"/>
          <w:color w:val="000000"/>
          <w:vertAlign w:val="superscript"/>
        </w:rPr>
        <w:t>2</w:t>
      </w:r>
      <w:r w:rsidRPr="004C39E0">
        <w:rPr>
          <w:rFonts w:asciiTheme="minorHAnsi" w:hAnsiTheme="minorHAnsi" w:cstheme="minorHAnsi"/>
          <w:color w:val="000000"/>
        </w:rPr>
        <w:t xml:space="preserve">), Grade 1 or 2 left ventricular dysfunction occurred in five patients, and was transient in at least four of these. In two of these patients, doxorubicin was subsequently discontinued. No grade 3, 4 or 5 cardiomyopathy (ventricular dysfunction) was observed. One additional patient had grade 3 serum </w:t>
      </w:r>
      <w:proofErr w:type="spellStart"/>
      <w:r w:rsidRPr="004C39E0">
        <w:rPr>
          <w:rFonts w:asciiTheme="minorHAnsi" w:hAnsiTheme="minorHAnsi" w:cstheme="minorHAnsi"/>
          <w:color w:val="000000"/>
        </w:rPr>
        <w:t>cTnT</w:t>
      </w:r>
      <w:proofErr w:type="spellEnd"/>
      <w:r w:rsidRPr="004C39E0">
        <w:rPr>
          <w:rFonts w:asciiTheme="minorHAnsi" w:hAnsiTheme="minorHAnsi" w:cstheme="minorHAnsi"/>
          <w:color w:val="000000"/>
        </w:rPr>
        <w:t xml:space="preserve"> elevation with 600 mg/m</w:t>
      </w:r>
      <w:r w:rsidRPr="002D142E">
        <w:rPr>
          <w:rFonts w:asciiTheme="minorHAnsi" w:hAnsiTheme="minorHAnsi" w:cstheme="minorHAnsi"/>
          <w:color w:val="000000"/>
          <w:vertAlign w:val="superscript"/>
        </w:rPr>
        <w:t>2</w:t>
      </w:r>
      <w:r w:rsidRPr="004C39E0">
        <w:rPr>
          <w:rFonts w:asciiTheme="minorHAnsi" w:hAnsiTheme="minorHAnsi" w:cstheme="minorHAnsi"/>
          <w:color w:val="000000"/>
        </w:rPr>
        <w:t> doxorubicin without documented myocardial dysfunction. Left ventricular fractional shortening values from 104 evaluable patients were converted to z-scores (FSZ) to review change in cardiac function since time of enrolment. It was found that FSZ decreased in a statistically significant fashion with increasing time, with that change being -0.017 ± 0.009 of a standardised unit (z-score of 1) per week (estimated annual change of 0.9 FSZ units). Assignment to standard therapy (450 mg/m</w:t>
      </w:r>
      <w:r w:rsidRPr="002D142E">
        <w:rPr>
          <w:rFonts w:asciiTheme="minorHAnsi" w:hAnsiTheme="minorHAnsi" w:cstheme="minorHAnsi"/>
          <w:color w:val="000000"/>
          <w:vertAlign w:val="superscript"/>
        </w:rPr>
        <w:t>2</w:t>
      </w:r>
      <w:r w:rsidRPr="004C39E0">
        <w:rPr>
          <w:rFonts w:asciiTheme="minorHAnsi" w:hAnsiTheme="minorHAnsi" w:cstheme="minorHAnsi"/>
          <w:color w:val="000000"/>
        </w:rPr>
        <w:t> doxorubicin) or intensification (600 mg/m</w:t>
      </w:r>
      <w:r w:rsidRPr="002D142E">
        <w:rPr>
          <w:rFonts w:asciiTheme="minorHAnsi" w:hAnsiTheme="minorHAnsi" w:cstheme="minorHAnsi"/>
          <w:color w:val="000000"/>
          <w:vertAlign w:val="superscript"/>
        </w:rPr>
        <w:t>2</w:t>
      </w:r>
      <w:r w:rsidRPr="004C39E0">
        <w:rPr>
          <w:rFonts w:asciiTheme="minorHAnsi" w:hAnsiTheme="minorHAnsi" w:cstheme="minorHAnsi"/>
          <w:color w:val="000000"/>
        </w:rPr>
        <w:t> doxorubicin) was unrelated to change in FSZ. In terms of clinical cardiotoxicity, biomarker measures and FSZ analysis, the risk of acute cardiomyopathy was low, given the cumulative doses of 450 mg/m</w:t>
      </w:r>
      <w:r w:rsidRPr="002D142E">
        <w:rPr>
          <w:rFonts w:asciiTheme="minorHAnsi" w:hAnsiTheme="minorHAnsi" w:cstheme="minorHAnsi"/>
          <w:color w:val="000000"/>
          <w:vertAlign w:val="superscript"/>
        </w:rPr>
        <w:t>2</w:t>
      </w:r>
      <w:r w:rsidRPr="004C39E0">
        <w:rPr>
          <w:rFonts w:asciiTheme="minorHAnsi" w:hAnsiTheme="minorHAnsi" w:cstheme="minorHAnsi"/>
          <w:color w:val="000000"/>
        </w:rPr>
        <w:t xml:space="preserve"> to </w:t>
      </w:r>
    </w:p>
    <w:p w14:paraId="6F3EC01E" w14:textId="72F98E29" w:rsidR="004C39E0" w:rsidRPr="004C39E0" w:rsidRDefault="004C39E0" w:rsidP="005D3387">
      <w:pPr>
        <w:pStyle w:val="NormalWeb"/>
        <w:shd w:val="clear" w:color="auto" w:fill="FFFFFF"/>
        <w:spacing w:before="0" w:beforeAutospacing="0" w:after="150" w:afterAutospacing="0"/>
        <w:ind w:left="425"/>
        <w:rPr>
          <w:rFonts w:asciiTheme="minorHAnsi" w:hAnsiTheme="minorHAnsi" w:cstheme="minorHAnsi"/>
          <w:color w:val="000000"/>
        </w:rPr>
      </w:pPr>
      <w:r w:rsidRPr="004C39E0">
        <w:rPr>
          <w:rFonts w:asciiTheme="minorHAnsi" w:hAnsiTheme="minorHAnsi" w:cstheme="minorHAnsi"/>
          <w:color w:val="000000"/>
        </w:rPr>
        <w:t>600 mg/m</w:t>
      </w:r>
      <w:r w:rsidRPr="002D142E">
        <w:rPr>
          <w:rFonts w:asciiTheme="minorHAnsi" w:hAnsiTheme="minorHAnsi" w:cstheme="minorHAnsi"/>
          <w:color w:val="000000"/>
          <w:vertAlign w:val="superscript"/>
        </w:rPr>
        <w:t>2</w:t>
      </w:r>
      <w:r w:rsidRPr="004C39E0">
        <w:rPr>
          <w:rFonts w:asciiTheme="minorHAnsi" w:hAnsiTheme="minorHAnsi" w:cstheme="minorHAnsi"/>
          <w:color w:val="000000"/>
        </w:rPr>
        <w:t> of doxorubicin (see also sections 4.2, 4.3, 4.4 and 4.8).</w:t>
      </w:r>
    </w:p>
    <w:p w14:paraId="503F98E7" w14:textId="77777777" w:rsidR="004C39E0" w:rsidRDefault="004C39E0" w:rsidP="005D3387">
      <w:pPr>
        <w:spacing w:line="276" w:lineRule="auto"/>
      </w:pPr>
    </w:p>
    <w:p w14:paraId="03BB524B" w14:textId="68236C4A" w:rsidR="00817754" w:rsidRPr="00DE57DB" w:rsidRDefault="00FB1376" w:rsidP="005D3387">
      <w:pPr>
        <w:pStyle w:val="Heading1"/>
        <w:numPr>
          <w:ilvl w:val="1"/>
          <w:numId w:val="2"/>
        </w:numPr>
        <w:tabs>
          <w:tab w:val="left" w:pos="699"/>
        </w:tabs>
        <w:spacing w:before="1" w:after="120" w:line="276" w:lineRule="auto"/>
        <w:ind w:left="851"/>
        <w:rPr>
          <w:bCs w:val="0"/>
          <w:spacing w:val="-1"/>
          <w:sz w:val="23"/>
          <w:szCs w:val="23"/>
        </w:rPr>
      </w:pPr>
      <w:r w:rsidRPr="00DE57DB">
        <w:rPr>
          <w:bCs w:val="0"/>
          <w:spacing w:val="-1"/>
          <w:sz w:val="23"/>
          <w:szCs w:val="23"/>
        </w:rPr>
        <w:t>PHARMACOKINETIC PROPERTIES</w:t>
      </w:r>
    </w:p>
    <w:p w14:paraId="43A52752" w14:textId="79DF5345"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 xml:space="preserve">After intravenous administration to cancer patients, serum kinetics of dexrazoxane generally follow an open two-compartment model with first-order elimination. The maximum plasma concentration observed after a </w:t>
      </w:r>
      <w:proofErr w:type="gramStart"/>
      <w:r w:rsidRPr="004C39E0">
        <w:rPr>
          <w:rFonts w:asciiTheme="minorHAnsi" w:hAnsiTheme="minorHAnsi" w:cstheme="minorHAnsi"/>
          <w:color w:val="000000"/>
        </w:rPr>
        <w:t>12-15 minute</w:t>
      </w:r>
      <w:proofErr w:type="gramEnd"/>
      <w:r w:rsidRPr="004C39E0">
        <w:rPr>
          <w:rFonts w:asciiTheme="minorHAnsi" w:hAnsiTheme="minorHAnsi" w:cstheme="minorHAnsi"/>
          <w:color w:val="000000"/>
        </w:rPr>
        <w:t xml:space="preserve"> infusion of 1000 mg/m</w:t>
      </w:r>
      <w:r w:rsidRPr="002D142E">
        <w:rPr>
          <w:rFonts w:asciiTheme="minorHAnsi" w:hAnsiTheme="minorHAnsi" w:cstheme="minorHAnsi"/>
          <w:color w:val="000000"/>
          <w:vertAlign w:val="superscript"/>
        </w:rPr>
        <w:t>2</w:t>
      </w:r>
      <w:r w:rsidRPr="004C39E0">
        <w:rPr>
          <w:rFonts w:asciiTheme="minorHAnsi" w:hAnsiTheme="minorHAnsi" w:cstheme="minorHAnsi"/>
          <w:color w:val="000000"/>
        </w:rPr>
        <w:t xml:space="preserve"> is around 80 </w:t>
      </w:r>
      <w:proofErr w:type="spellStart"/>
      <w:r w:rsidRPr="004C39E0">
        <w:rPr>
          <w:rFonts w:asciiTheme="minorHAnsi" w:hAnsiTheme="minorHAnsi" w:cstheme="minorHAnsi"/>
          <w:color w:val="000000"/>
        </w:rPr>
        <w:t>μg</w:t>
      </w:r>
      <w:proofErr w:type="spellEnd"/>
      <w:r w:rsidRPr="004C39E0">
        <w:rPr>
          <w:rFonts w:asciiTheme="minorHAnsi" w:hAnsiTheme="minorHAnsi" w:cstheme="minorHAnsi"/>
          <w:color w:val="000000"/>
        </w:rPr>
        <w:t>/m</w:t>
      </w:r>
      <w:r w:rsidR="008E3574">
        <w:rPr>
          <w:rFonts w:asciiTheme="minorHAnsi" w:hAnsiTheme="minorHAnsi" w:cstheme="minorHAnsi"/>
          <w:color w:val="000000"/>
        </w:rPr>
        <w:t>L</w:t>
      </w:r>
      <w:r w:rsidRPr="004C39E0">
        <w:rPr>
          <w:rFonts w:asciiTheme="minorHAnsi" w:hAnsiTheme="minorHAnsi" w:cstheme="minorHAnsi"/>
          <w:color w:val="000000"/>
        </w:rPr>
        <w:t xml:space="preserve"> with area under the plasma concentration-time curve (AUC) of 130 ± 27 </w:t>
      </w:r>
      <w:proofErr w:type="spellStart"/>
      <w:r w:rsidRPr="004C39E0">
        <w:rPr>
          <w:rFonts w:asciiTheme="minorHAnsi" w:hAnsiTheme="minorHAnsi" w:cstheme="minorHAnsi"/>
          <w:color w:val="000000"/>
        </w:rPr>
        <w:t>mg.h</w:t>
      </w:r>
      <w:proofErr w:type="spellEnd"/>
      <w:r w:rsidRPr="004C39E0">
        <w:rPr>
          <w:rFonts w:asciiTheme="minorHAnsi" w:hAnsiTheme="minorHAnsi" w:cstheme="minorHAnsi"/>
          <w:color w:val="000000"/>
        </w:rPr>
        <w:t>/l. The plasma concentrations declined thereafter with an average half-life value of 2.2 ± 0.42 hours. The total body clearance of dexrazoxane in adults is estimated at 14.4 ± 2.8 l/h.</w:t>
      </w:r>
    </w:p>
    <w:p w14:paraId="31E250BA" w14:textId="77777777" w:rsidR="004C39E0" w:rsidRPr="00FB1376"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b/>
          <w:bCs/>
          <w:color w:val="000000"/>
        </w:rPr>
      </w:pPr>
      <w:r w:rsidRPr="00FB1376">
        <w:rPr>
          <w:rFonts w:asciiTheme="minorHAnsi" w:hAnsiTheme="minorHAnsi" w:cstheme="minorHAnsi"/>
          <w:b/>
          <w:bCs/>
          <w:color w:val="000000"/>
        </w:rPr>
        <w:t>Distribution</w:t>
      </w:r>
    </w:p>
    <w:p w14:paraId="523FC48A" w14:textId="078A8910"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 xml:space="preserve">The apparent volume of distribution is 44.0 ± 3.9 </w:t>
      </w:r>
      <w:r w:rsidR="00F85789">
        <w:rPr>
          <w:rFonts w:asciiTheme="minorHAnsi" w:hAnsiTheme="minorHAnsi" w:cstheme="minorHAnsi"/>
          <w:color w:val="000000"/>
        </w:rPr>
        <w:t>L</w:t>
      </w:r>
      <w:r w:rsidRPr="004C39E0">
        <w:rPr>
          <w:rFonts w:asciiTheme="minorHAnsi" w:hAnsiTheme="minorHAnsi" w:cstheme="minorHAnsi"/>
          <w:color w:val="000000"/>
        </w:rPr>
        <w:t xml:space="preserve">, suggesting that dexrazoxane distributes mainly in the total body water. Plasma protein binding of dexrazoxane is low (2%) and it does not </w:t>
      </w:r>
      <w:proofErr w:type="gramStart"/>
      <w:r w:rsidRPr="004C39E0">
        <w:rPr>
          <w:rFonts w:asciiTheme="minorHAnsi" w:hAnsiTheme="minorHAnsi" w:cstheme="minorHAnsi"/>
          <w:color w:val="000000"/>
        </w:rPr>
        <w:t>penetrate into</w:t>
      </w:r>
      <w:proofErr w:type="gramEnd"/>
      <w:r w:rsidRPr="004C39E0">
        <w:rPr>
          <w:rFonts w:asciiTheme="minorHAnsi" w:hAnsiTheme="minorHAnsi" w:cstheme="minorHAnsi"/>
          <w:color w:val="000000"/>
        </w:rPr>
        <w:t xml:space="preserve"> the cerebrospinal fluid to a clinically significant extent.</w:t>
      </w:r>
    </w:p>
    <w:p w14:paraId="5412526C" w14:textId="10C70BAA" w:rsidR="004C39E0" w:rsidRPr="004C39E0" w:rsidRDefault="002A761D"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Pr>
          <w:rFonts w:asciiTheme="minorHAnsi" w:hAnsiTheme="minorHAnsi" w:cstheme="minorHAnsi"/>
          <w:color w:val="000000"/>
        </w:rPr>
        <w:t>Dexrazoxane</w:t>
      </w:r>
      <w:r w:rsidR="004C39E0" w:rsidRPr="004C39E0">
        <w:rPr>
          <w:rFonts w:asciiTheme="minorHAnsi" w:hAnsiTheme="minorHAnsi" w:cstheme="minorHAnsi"/>
          <w:color w:val="000000"/>
        </w:rPr>
        <w:t xml:space="preserve"> and its metabolites were detected in the plasma and urine of animals and man.</w:t>
      </w:r>
    </w:p>
    <w:p w14:paraId="5DF0D578" w14:textId="77777777" w:rsidR="004C39E0" w:rsidRPr="00FB1376"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b/>
          <w:bCs/>
          <w:color w:val="000000"/>
        </w:rPr>
      </w:pPr>
      <w:r w:rsidRPr="00FB1376">
        <w:rPr>
          <w:rFonts w:asciiTheme="minorHAnsi" w:hAnsiTheme="minorHAnsi" w:cstheme="minorHAnsi"/>
          <w:b/>
          <w:bCs/>
          <w:color w:val="000000"/>
        </w:rPr>
        <w:t>Elimination</w:t>
      </w:r>
    </w:p>
    <w:p w14:paraId="7B3A4D6F"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lastRenderedPageBreak/>
        <w:t>Urinary excretion plays an important role in the elimination of dexrazoxane. The total urinary excretion of unchanged dexrazoxane is in the order of 40%.</w:t>
      </w:r>
    </w:p>
    <w:p w14:paraId="06B98A4C"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u w:val="single"/>
        </w:rPr>
      </w:pPr>
      <w:r w:rsidRPr="004C39E0">
        <w:rPr>
          <w:rFonts w:asciiTheme="minorHAnsi" w:hAnsiTheme="minorHAnsi" w:cstheme="minorHAnsi"/>
          <w:color w:val="000000"/>
          <w:u w:val="single"/>
        </w:rPr>
        <w:t>Special populations</w:t>
      </w:r>
    </w:p>
    <w:p w14:paraId="16FB398A"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i/>
          <w:iCs/>
          <w:color w:val="000000"/>
        </w:rPr>
      </w:pPr>
      <w:r w:rsidRPr="004C39E0">
        <w:rPr>
          <w:rFonts w:asciiTheme="minorHAnsi" w:hAnsiTheme="minorHAnsi" w:cstheme="minorHAnsi"/>
          <w:i/>
          <w:iCs/>
          <w:color w:val="000000"/>
        </w:rPr>
        <w:t>Paediatric patients</w:t>
      </w:r>
    </w:p>
    <w:p w14:paraId="3EDB11E3"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The very limited pharmacokinetic data in children suggests that although absolute values of clearance are higher, values normalised for body surface area are not significantly different from those of adults.</w:t>
      </w:r>
    </w:p>
    <w:p w14:paraId="754A187D"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i/>
          <w:iCs/>
          <w:color w:val="000000"/>
        </w:rPr>
      </w:pPr>
      <w:r w:rsidRPr="004C39E0">
        <w:rPr>
          <w:rFonts w:asciiTheme="minorHAnsi" w:hAnsiTheme="minorHAnsi" w:cstheme="minorHAnsi"/>
          <w:i/>
          <w:iCs/>
          <w:color w:val="000000"/>
        </w:rPr>
        <w:t>Geriatric patients</w:t>
      </w:r>
    </w:p>
    <w:p w14:paraId="369A6A3F"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No studies have been conducted in the elderly and dexrazoxane. Clearance may be reduced in elderly patients and patients with low creatinine clearance.</w:t>
      </w:r>
    </w:p>
    <w:p w14:paraId="5CEAD005"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i/>
          <w:iCs/>
          <w:color w:val="000000"/>
        </w:rPr>
      </w:pPr>
      <w:r w:rsidRPr="004C39E0">
        <w:rPr>
          <w:rFonts w:asciiTheme="minorHAnsi" w:hAnsiTheme="minorHAnsi" w:cstheme="minorHAnsi"/>
          <w:i/>
          <w:iCs/>
          <w:color w:val="000000"/>
        </w:rPr>
        <w:t>Hepatic impairment</w:t>
      </w:r>
    </w:p>
    <w:p w14:paraId="373B478D"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No studies have been conducted in subjects with hepatic impairment.</w:t>
      </w:r>
    </w:p>
    <w:p w14:paraId="7834D019" w14:textId="77777777" w:rsidR="004C39E0" w:rsidRPr="004C39E0"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i/>
          <w:iCs/>
          <w:color w:val="000000"/>
        </w:rPr>
      </w:pPr>
      <w:r w:rsidRPr="004C39E0">
        <w:rPr>
          <w:rFonts w:asciiTheme="minorHAnsi" w:hAnsiTheme="minorHAnsi" w:cstheme="minorHAnsi"/>
          <w:i/>
          <w:iCs/>
          <w:color w:val="000000"/>
        </w:rPr>
        <w:t>Renal impairment</w:t>
      </w:r>
    </w:p>
    <w:p w14:paraId="339613E1" w14:textId="22189D5F" w:rsidR="004C39E0" w:rsidRPr="00467F42" w:rsidRDefault="004C39E0" w:rsidP="005D3387">
      <w:pPr>
        <w:pStyle w:val="NormalWeb"/>
        <w:shd w:val="clear" w:color="auto" w:fill="FFFFFF"/>
        <w:spacing w:before="0" w:beforeAutospacing="0" w:after="150" w:afterAutospacing="0" w:line="276" w:lineRule="auto"/>
        <w:ind w:left="426"/>
        <w:rPr>
          <w:rFonts w:asciiTheme="minorHAnsi" w:hAnsiTheme="minorHAnsi" w:cstheme="minorHAnsi"/>
          <w:color w:val="000000"/>
        </w:rPr>
      </w:pPr>
      <w:r w:rsidRPr="004C39E0">
        <w:rPr>
          <w:rFonts w:asciiTheme="minorHAnsi" w:hAnsiTheme="minorHAnsi" w:cstheme="minorHAnsi"/>
          <w:color w:val="000000"/>
        </w:rPr>
        <w:t>Compared with normal subjects (creatinine clearance (CLCR) &gt;80 m</w:t>
      </w:r>
      <w:r w:rsidR="00964A6A">
        <w:rPr>
          <w:rFonts w:asciiTheme="minorHAnsi" w:hAnsiTheme="minorHAnsi" w:cstheme="minorHAnsi"/>
          <w:color w:val="000000"/>
        </w:rPr>
        <w:t>L</w:t>
      </w:r>
      <w:r w:rsidRPr="004C39E0">
        <w:rPr>
          <w:rFonts w:asciiTheme="minorHAnsi" w:hAnsiTheme="minorHAnsi" w:cstheme="minorHAnsi"/>
          <w:color w:val="000000"/>
        </w:rPr>
        <w:t>/min), exposure was 2-fold greater in subjects with moderate (CLCR of 30 to 50 ml/min) to severe (CLCR &lt;30 m</w:t>
      </w:r>
      <w:r w:rsidR="00964A6A">
        <w:rPr>
          <w:rFonts w:asciiTheme="minorHAnsi" w:hAnsiTheme="minorHAnsi" w:cstheme="minorHAnsi"/>
          <w:color w:val="000000"/>
        </w:rPr>
        <w:t>L</w:t>
      </w:r>
      <w:r w:rsidRPr="004C39E0">
        <w:rPr>
          <w:rFonts w:asciiTheme="minorHAnsi" w:hAnsiTheme="minorHAnsi" w:cstheme="minorHAnsi"/>
          <w:color w:val="000000"/>
        </w:rPr>
        <w:t>/min) renal impairment. Modelling suggested that equivalent exposure (AUC0-inf) could be achieved if dosing were reduced by 50% in subjects with CLCR less than 40 m</w:t>
      </w:r>
      <w:r w:rsidR="00964A6A">
        <w:rPr>
          <w:rFonts w:asciiTheme="minorHAnsi" w:hAnsiTheme="minorHAnsi" w:cstheme="minorHAnsi"/>
          <w:color w:val="000000"/>
        </w:rPr>
        <w:t>L</w:t>
      </w:r>
      <w:r w:rsidRPr="004C39E0">
        <w:rPr>
          <w:rFonts w:asciiTheme="minorHAnsi" w:hAnsiTheme="minorHAnsi" w:cstheme="minorHAnsi"/>
          <w:color w:val="000000"/>
        </w:rPr>
        <w:t>/min compared with control subjects (CLCR &gt;80 m</w:t>
      </w:r>
      <w:r w:rsidR="00964A6A">
        <w:rPr>
          <w:rFonts w:asciiTheme="minorHAnsi" w:hAnsiTheme="minorHAnsi" w:cstheme="minorHAnsi"/>
          <w:color w:val="000000"/>
        </w:rPr>
        <w:t>L</w:t>
      </w:r>
      <w:r w:rsidRPr="004C39E0">
        <w:rPr>
          <w:rFonts w:asciiTheme="minorHAnsi" w:hAnsiTheme="minorHAnsi" w:cstheme="minorHAnsi"/>
          <w:color w:val="000000"/>
        </w:rPr>
        <w:t>/min).</w:t>
      </w:r>
    </w:p>
    <w:p w14:paraId="20F15504" w14:textId="6358BF13" w:rsidR="000C12FB" w:rsidRPr="00DE57DB" w:rsidRDefault="000C12FB" w:rsidP="005D3387">
      <w:pPr>
        <w:spacing w:before="240" w:after="240" w:line="276" w:lineRule="auto"/>
        <w:ind w:left="426"/>
        <w:rPr>
          <w:b/>
          <w:sz w:val="23"/>
          <w:szCs w:val="23"/>
        </w:rPr>
      </w:pPr>
      <w:r w:rsidRPr="00DE57DB">
        <w:rPr>
          <w:b/>
          <w:sz w:val="23"/>
          <w:szCs w:val="23"/>
        </w:rPr>
        <w:t>5.3</w:t>
      </w:r>
      <w:r w:rsidRPr="00DE57DB">
        <w:rPr>
          <w:b/>
          <w:spacing w:val="65"/>
          <w:sz w:val="23"/>
          <w:szCs w:val="23"/>
        </w:rPr>
        <w:t xml:space="preserve"> </w:t>
      </w:r>
      <w:r w:rsidRPr="00DE57DB">
        <w:rPr>
          <w:b/>
          <w:sz w:val="23"/>
          <w:szCs w:val="23"/>
        </w:rPr>
        <w:t>PRECLINICAL</w:t>
      </w:r>
      <w:r w:rsidRPr="00DE57DB">
        <w:rPr>
          <w:b/>
          <w:spacing w:val="-3"/>
          <w:sz w:val="23"/>
          <w:szCs w:val="23"/>
        </w:rPr>
        <w:t xml:space="preserve"> </w:t>
      </w:r>
      <w:r w:rsidRPr="00DE57DB">
        <w:rPr>
          <w:b/>
          <w:sz w:val="23"/>
          <w:szCs w:val="23"/>
        </w:rPr>
        <w:t>SAFETY</w:t>
      </w:r>
      <w:r w:rsidRPr="00DE57DB">
        <w:rPr>
          <w:b/>
          <w:spacing w:val="-3"/>
          <w:sz w:val="23"/>
          <w:szCs w:val="23"/>
        </w:rPr>
        <w:t xml:space="preserve"> </w:t>
      </w:r>
      <w:r w:rsidRPr="00DE57DB">
        <w:rPr>
          <w:b/>
          <w:sz w:val="23"/>
          <w:szCs w:val="23"/>
        </w:rPr>
        <w:t>DATA</w:t>
      </w:r>
    </w:p>
    <w:p w14:paraId="699A1BCA" w14:textId="19AF967A" w:rsidR="00467F42" w:rsidRPr="00467F42" w:rsidRDefault="0013328D" w:rsidP="005D3387">
      <w:pPr>
        <w:pStyle w:val="NormalWeb"/>
        <w:shd w:val="clear" w:color="auto" w:fill="FFFFFF"/>
        <w:spacing w:before="0" w:beforeAutospacing="0" w:after="150" w:afterAutospacing="0" w:line="276" w:lineRule="auto"/>
        <w:ind w:left="426"/>
        <w:rPr>
          <w:rFonts w:asciiTheme="minorHAnsi" w:hAnsiTheme="minorHAnsi" w:cstheme="minorHAnsi"/>
          <w:u w:val="single"/>
        </w:rPr>
      </w:pPr>
      <w:bookmarkStart w:id="14" w:name="Genotoxicity"/>
      <w:bookmarkEnd w:id="14"/>
      <w:r>
        <w:rPr>
          <w:rFonts w:asciiTheme="minorHAnsi" w:hAnsiTheme="minorHAnsi" w:cstheme="minorHAnsi"/>
          <w:u w:val="single"/>
        </w:rPr>
        <w:t>G</w:t>
      </w:r>
      <w:r w:rsidRPr="0013328D">
        <w:rPr>
          <w:rFonts w:asciiTheme="minorHAnsi" w:hAnsiTheme="minorHAnsi" w:cstheme="minorHAnsi"/>
          <w:u w:val="single"/>
        </w:rPr>
        <w:t xml:space="preserve">enotoxicity </w:t>
      </w:r>
      <w:r w:rsidR="007C7232" w:rsidRPr="007C7232">
        <w:rPr>
          <w:rFonts w:asciiTheme="minorHAnsi" w:hAnsiTheme="minorHAnsi" w:cstheme="minorHAnsi"/>
        </w:rPr>
        <w:t xml:space="preserve">Dexrazoxane was not mutagenic in the Ames bacterial assay. Dexrazoxane was clastogenic in human lymphocytes and human lymphoblastoid cells </w:t>
      </w:r>
      <w:r w:rsidR="007C7232" w:rsidRPr="007C7232">
        <w:rPr>
          <w:rFonts w:asciiTheme="minorHAnsi" w:hAnsiTheme="minorHAnsi" w:cstheme="minorHAnsi"/>
          <w:i/>
          <w:iCs/>
        </w:rPr>
        <w:t>in vitro</w:t>
      </w:r>
      <w:r w:rsidR="007C7232" w:rsidRPr="007C7232">
        <w:rPr>
          <w:rFonts w:asciiTheme="minorHAnsi" w:hAnsiTheme="minorHAnsi" w:cstheme="minorHAnsi"/>
        </w:rPr>
        <w:t xml:space="preserve">. Dexrazoxane and/or razoxane (the racemic mixture of which dexrazoxane is the S (+)-enantiomer) was also clastogenic in mice and Chinese hamsters in bone marrow cell micronucleus and chromosome aberration assays. Thus, dexrazoxane is genotoxic. </w:t>
      </w:r>
      <w:r w:rsidR="00467F42" w:rsidRPr="00467F42">
        <w:rPr>
          <w:rFonts w:asciiTheme="minorHAnsi" w:hAnsiTheme="minorHAnsi" w:cstheme="minorHAnsi"/>
          <w:u w:val="single"/>
        </w:rPr>
        <w:t>Carcinogenicity</w:t>
      </w:r>
    </w:p>
    <w:p w14:paraId="5828F41A" w14:textId="77777777" w:rsidR="00467F42" w:rsidRPr="00467F42" w:rsidRDefault="00467F42" w:rsidP="005D3387">
      <w:pPr>
        <w:pStyle w:val="NormalWeb"/>
        <w:shd w:val="clear" w:color="auto" w:fill="FFFFFF"/>
        <w:spacing w:before="0" w:beforeAutospacing="0" w:after="150" w:afterAutospacing="0" w:line="276" w:lineRule="auto"/>
        <w:ind w:left="426"/>
        <w:rPr>
          <w:rFonts w:asciiTheme="minorHAnsi" w:hAnsiTheme="minorHAnsi" w:cstheme="minorHAnsi"/>
        </w:rPr>
      </w:pPr>
      <w:r w:rsidRPr="00467F42">
        <w:rPr>
          <w:rFonts w:asciiTheme="minorHAnsi" w:hAnsiTheme="minorHAnsi" w:cstheme="minorHAnsi"/>
        </w:rPr>
        <w:t>The carcinogenic potential of dexrazoxane has not been investigated. However prolonged administration of high doses of razoxane, the racemic mixture of which dexrazoxane is the S (+)-enantiomer, has been associated with the development of hematopoietic neoplasms in female mice, lymphocytic neoplasms in female mice and uterine adenocarcinomas in female rats.</w:t>
      </w:r>
    </w:p>
    <w:p w14:paraId="602E0A67" w14:textId="77777777" w:rsidR="00467F42" w:rsidRPr="00DE57DB" w:rsidRDefault="00467F42" w:rsidP="005D3387">
      <w:pPr>
        <w:spacing w:line="276" w:lineRule="auto"/>
      </w:pPr>
    </w:p>
    <w:p w14:paraId="154A0100" w14:textId="77777777" w:rsidR="0039229A" w:rsidRPr="00DE57DB" w:rsidRDefault="0039229A" w:rsidP="005D3387">
      <w:pPr>
        <w:pStyle w:val="Heading1"/>
        <w:numPr>
          <w:ilvl w:val="0"/>
          <w:numId w:val="2"/>
        </w:numPr>
        <w:tabs>
          <w:tab w:val="left" w:pos="973"/>
          <w:tab w:val="left" w:pos="975"/>
        </w:tabs>
        <w:spacing w:line="276" w:lineRule="auto"/>
        <w:ind w:hanging="548"/>
      </w:pPr>
      <w:r w:rsidRPr="00DE57DB">
        <w:rPr>
          <w:spacing w:val="-1"/>
        </w:rPr>
        <w:t>PHARMACEUTICAL</w:t>
      </w:r>
      <w:r w:rsidRPr="00DE57DB">
        <w:rPr>
          <w:spacing w:val="-4"/>
        </w:rPr>
        <w:t xml:space="preserve"> </w:t>
      </w:r>
      <w:r w:rsidRPr="00DE57DB">
        <w:t>PARTICULARS</w:t>
      </w:r>
    </w:p>
    <w:p w14:paraId="53151C2A" w14:textId="77777777" w:rsidR="0039229A" w:rsidRPr="00DE57DB" w:rsidRDefault="0039229A" w:rsidP="005D3387">
      <w:pPr>
        <w:pStyle w:val="ListParagraph"/>
        <w:numPr>
          <w:ilvl w:val="1"/>
          <w:numId w:val="2"/>
        </w:numPr>
        <w:tabs>
          <w:tab w:val="left" w:pos="975"/>
        </w:tabs>
        <w:spacing w:before="240" w:after="240" w:line="276" w:lineRule="auto"/>
        <w:ind w:left="851"/>
        <w:rPr>
          <w:b/>
          <w:sz w:val="23"/>
          <w:szCs w:val="23"/>
        </w:rPr>
      </w:pPr>
      <w:bookmarkStart w:id="15" w:name="6.1_List_of_excipients"/>
      <w:bookmarkEnd w:id="15"/>
      <w:r w:rsidRPr="00DE57DB">
        <w:rPr>
          <w:b/>
          <w:sz w:val="23"/>
          <w:szCs w:val="23"/>
        </w:rPr>
        <w:t>LIST</w:t>
      </w:r>
      <w:r w:rsidRPr="00DE57DB">
        <w:rPr>
          <w:b/>
          <w:spacing w:val="-5"/>
          <w:sz w:val="23"/>
          <w:szCs w:val="23"/>
        </w:rPr>
        <w:t xml:space="preserve"> </w:t>
      </w:r>
      <w:r w:rsidRPr="00DE57DB">
        <w:rPr>
          <w:b/>
          <w:sz w:val="23"/>
          <w:szCs w:val="23"/>
        </w:rPr>
        <w:t>OF</w:t>
      </w:r>
      <w:r w:rsidRPr="00DE57DB">
        <w:rPr>
          <w:b/>
          <w:spacing w:val="-5"/>
          <w:sz w:val="23"/>
          <w:szCs w:val="23"/>
        </w:rPr>
        <w:t xml:space="preserve"> </w:t>
      </w:r>
      <w:r w:rsidRPr="00DE57DB">
        <w:rPr>
          <w:b/>
          <w:sz w:val="23"/>
          <w:szCs w:val="23"/>
        </w:rPr>
        <w:t>EXCIPIENTS</w:t>
      </w:r>
    </w:p>
    <w:p w14:paraId="634CD1A4" w14:textId="0969A4DA" w:rsidR="00195135" w:rsidRDefault="009F3330" w:rsidP="005D3387">
      <w:pPr>
        <w:pStyle w:val="NormalWeb"/>
        <w:shd w:val="clear" w:color="auto" w:fill="FFFFFF"/>
        <w:spacing w:before="0" w:beforeAutospacing="0" w:after="143" w:afterAutospacing="0" w:line="276" w:lineRule="auto"/>
        <w:ind w:left="414"/>
        <w:rPr>
          <w:rFonts w:asciiTheme="minorHAnsi" w:hAnsiTheme="minorHAnsi" w:cstheme="minorHAnsi"/>
          <w:color w:val="000000"/>
        </w:rPr>
      </w:pPr>
      <w:bookmarkStart w:id="16" w:name="6.2_Incompatibilities"/>
      <w:bookmarkEnd w:id="16"/>
      <w:r>
        <w:rPr>
          <w:rFonts w:asciiTheme="minorHAnsi" w:hAnsiTheme="minorHAnsi" w:cstheme="minorHAnsi"/>
          <w:color w:val="000000"/>
        </w:rPr>
        <w:t>Hydrochloric acid</w:t>
      </w:r>
    </w:p>
    <w:p w14:paraId="3984BDB1" w14:textId="77777777" w:rsidR="0039229A" w:rsidRPr="00DE57DB" w:rsidRDefault="0039229A" w:rsidP="005D3387">
      <w:pPr>
        <w:pStyle w:val="ListParagraph"/>
        <w:numPr>
          <w:ilvl w:val="1"/>
          <w:numId w:val="2"/>
        </w:numPr>
        <w:tabs>
          <w:tab w:val="left" w:pos="975"/>
        </w:tabs>
        <w:spacing w:before="240" w:after="240" w:line="276" w:lineRule="auto"/>
        <w:ind w:left="851"/>
        <w:rPr>
          <w:b/>
          <w:sz w:val="23"/>
          <w:szCs w:val="23"/>
        </w:rPr>
      </w:pPr>
      <w:r w:rsidRPr="00DE57DB">
        <w:rPr>
          <w:b/>
          <w:sz w:val="23"/>
          <w:szCs w:val="23"/>
        </w:rPr>
        <w:t>INCOMPATIBILITIES</w:t>
      </w:r>
    </w:p>
    <w:p w14:paraId="6CF28E9C" w14:textId="596DDE9F" w:rsidR="00BD0B0C" w:rsidRPr="00775689" w:rsidRDefault="003C088B" w:rsidP="005D3387">
      <w:pPr>
        <w:pStyle w:val="BodyText"/>
        <w:spacing w:before="241" w:line="276" w:lineRule="auto"/>
        <w:ind w:left="414"/>
        <w:jc w:val="left"/>
        <w:rPr>
          <w:sz w:val="24"/>
          <w:szCs w:val="24"/>
        </w:rPr>
      </w:pPr>
      <w:r w:rsidRPr="003C088B">
        <w:rPr>
          <w:sz w:val="24"/>
          <w:szCs w:val="24"/>
        </w:rPr>
        <w:lastRenderedPageBreak/>
        <w:t>In the absence of compatibility studies, this medicinal product must not be mixed with other medicinal products</w:t>
      </w:r>
      <w:r w:rsidR="00E06BD9">
        <w:rPr>
          <w:sz w:val="24"/>
          <w:szCs w:val="24"/>
        </w:rPr>
        <w:t>.</w:t>
      </w:r>
    </w:p>
    <w:p w14:paraId="393AB511" w14:textId="77777777" w:rsidR="0039229A" w:rsidRPr="00DE57DB" w:rsidRDefault="0039229A" w:rsidP="005D3387">
      <w:pPr>
        <w:pStyle w:val="ListParagraph"/>
        <w:numPr>
          <w:ilvl w:val="1"/>
          <w:numId w:val="2"/>
        </w:numPr>
        <w:tabs>
          <w:tab w:val="left" w:pos="975"/>
        </w:tabs>
        <w:spacing w:before="240" w:after="240" w:line="276" w:lineRule="auto"/>
        <w:ind w:left="851"/>
        <w:rPr>
          <w:b/>
          <w:sz w:val="23"/>
          <w:szCs w:val="23"/>
        </w:rPr>
      </w:pPr>
      <w:r w:rsidRPr="00DE57DB">
        <w:rPr>
          <w:b/>
          <w:sz w:val="23"/>
          <w:szCs w:val="23"/>
        </w:rPr>
        <w:t>SHELF</w:t>
      </w:r>
      <w:r w:rsidRPr="00DE57DB">
        <w:rPr>
          <w:b/>
          <w:spacing w:val="-6"/>
          <w:sz w:val="23"/>
          <w:szCs w:val="23"/>
        </w:rPr>
        <w:t xml:space="preserve"> </w:t>
      </w:r>
      <w:r w:rsidRPr="00DE57DB">
        <w:rPr>
          <w:b/>
          <w:sz w:val="23"/>
          <w:szCs w:val="23"/>
        </w:rPr>
        <w:t>LIFE</w:t>
      </w:r>
    </w:p>
    <w:p w14:paraId="33CB279D" w14:textId="1934AD1D" w:rsidR="0039229A" w:rsidRDefault="0039229A" w:rsidP="005D3387">
      <w:pPr>
        <w:pStyle w:val="BodyText"/>
        <w:spacing w:line="276" w:lineRule="auto"/>
        <w:ind w:left="414"/>
        <w:jc w:val="left"/>
        <w:rPr>
          <w:rFonts w:asciiTheme="minorHAnsi" w:eastAsia="Times New Roman" w:hAnsiTheme="minorHAnsi" w:cstheme="minorHAnsi"/>
          <w:color w:val="000000"/>
          <w:sz w:val="24"/>
          <w:szCs w:val="24"/>
          <w:lang w:eastAsia="en-AU"/>
        </w:rPr>
      </w:pPr>
      <w:r w:rsidRPr="008A657B">
        <w:rPr>
          <w:rFonts w:asciiTheme="minorHAnsi" w:eastAsia="Times New Roman" w:hAnsiTheme="minorHAnsi" w:cstheme="minorHAnsi"/>
          <w:color w:val="000000"/>
          <w:sz w:val="24"/>
          <w:szCs w:val="24"/>
          <w:lang w:eastAsia="en-AU"/>
        </w:rPr>
        <w:t>In Australia, information on the shelf life can be found on the public summary of the Australian Register of Therapeutic Goods (ARTG). The expiry date can be found on the packaging.</w:t>
      </w:r>
    </w:p>
    <w:p w14:paraId="3D09BCE3" w14:textId="77777777" w:rsidR="00380F38" w:rsidRPr="00DE57DB" w:rsidRDefault="00380F38" w:rsidP="005D3387">
      <w:pPr>
        <w:pStyle w:val="ListParagraph"/>
        <w:numPr>
          <w:ilvl w:val="1"/>
          <w:numId w:val="2"/>
        </w:numPr>
        <w:tabs>
          <w:tab w:val="left" w:pos="975"/>
        </w:tabs>
        <w:spacing w:before="240" w:after="240" w:line="276" w:lineRule="auto"/>
        <w:ind w:left="851"/>
        <w:rPr>
          <w:b/>
          <w:sz w:val="23"/>
          <w:szCs w:val="23"/>
        </w:rPr>
      </w:pPr>
      <w:r w:rsidRPr="00DE57DB">
        <w:rPr>
          <w:b/>
          <w:sz w:val="23"/>
          <w:szCs w:val="23"/>
        </w:rPr>
        <w:t>SPECIAL</w:t>
      </w:r>
      <w:r w:rsidRPr="00DE57DB">
        <w:rPr>
          <w:b/>
          <w:spacing w:val="-7"/>
          <w:sz w:val="23"/>
          <w:szCs w:val="23"/>
        </w:rPr>
        <w:t xml:space="preserve"> </w:t>
      </w:r>
      <w:r w:rsidRPr="00DE57DB">
        <w:rPr>
          <w:b/>
          <w:sz w:val="23"/>
          <w:szCs w:val="23"/>
        </w:rPr>
        <w:t>PRECAUTIONS</w:t>
      </w:r>
      <w:r w:rsidRPr="00DE57DB">
        <w:rPr>
          <w:b/>
          <w:spacing w:val="-6"/>
          <w:sz w:val="23"/>
          <w:szCs w:val="23"/>
        </w:rPr>
        <w:t xml:space="preserve"> </w:t>
      </w:r>
      <w:r w:rsidRPr="00DE57DB">
        <w:rPr>
          <w:b/>
          <w:sz w:val="23"/>
          <w:szCs w:val="23"/>
        </w:rPr>
        <w:t>FOR</w:t>
      </w:r>
      <w:r w:rsidRPr="00DE57DB">
        <w:rPr>
          <w:b/>
          <w:spacing w:val="-4"/>
          <w:sz w:val="23"/>
          <w:szCs w:val="23"/>
        </w:rPr>
        <w:t xml:space="preserve"> </w:t>
      </w:r>
      <w:r w:rsidRPr="00DE57DB">
        <w:rPr>
          <w:b/>
          <w:sz w:val="23"/>
          <w:szCs w:val="23"/>
        </w:rPr>
        <w:t>STORAGE</w:t>
      </w:r>
    </w:p>
    <w:p w14:paraId="43E3D516" w14:textId="63C8F904" w:rsidR="003C088B" w:rsidRDefault="003C088B" w:rsidP="005D3387">
      <w:pPr>
        <w:pStyle w:val="BodyText"/>
        <w:spacing w:line="276" w:lineRule="auto"/>
        <w:ind w:left="426"/>
        <w:jc w:val="left"/>
        <w:rPr>
          <w:rFonts w:asciiTheme="minorHAnsi" w:eastAsia="Times New Roman" w:hAnsiTheme="minorHAnsi" w:cstheme="minorHAnsi"/>
          <w:color w:val="000000"/>
          <w:sz w:val="24"/>
          <w:szCs w:val="24"/>
          <w:lang w:eastAsia="en-AU"/>
        </w:rPr>
      </w:pPr>
      <w:r w:rsidRPr="003C088B">
        <w:rPr>
          <w:rFonts w:asciiTheme="minorHAnsi" w:eastAsia="Times New Roman" w:hAnsiTheme="minorHAnsi" w:cstheme="minorHAnsi"/>
          <w:color w:val="000000"/>
          <w:sz w:val="24"/>
          <w:szCs w:val="24"/>
          <w:lang w:eastAsia="en-AU"/>
        </w:rPr>
        <w:t xml:space="preserve">Before opening: </w:t>
      </w:r>
      <w:r w:rsidR="00D35AAF" w:rsidRPr="002D142E">
        <w:rPr>
          <w:rFonts w:asciiTheme="minorHAnsi" w:hAnsiTheme="minorHAnsi" w:cstheme="minorHAnsi"/>
          <w:color w:val="333F48"/>
        </w:rPr>
        <w:t>Store below 25 °C</w:t>
      </w:r>
      <w:r w:rsidRPr="003C088B">
        <w:rPr>
          <w:rFonts w:asciiTheme="minorHAnsi" w:eastAsia="Times New Roman" w:hAnsiTheme="minorHAnsi" w:cstheme="minorHAnsi"/>
          <w:color w:val="000000"/>
          <w:sz w:val="24"/>
          <w:szCs w:val="24"/>
          <w:lang w:eastAsia="en-AU"/>
        </w:rPr>
        <w:t xml:space="preserve">. </w:t>
      </w:r>
      <w:proofErr w:type="gramStart"/>
      <w:r w:rsidRPr="003C088B">
        <w:rPr>
          <w:rFonts w:asciiTheme="minorHAnsi" w:eastAsia="Times New Roman" w:hAnsiTheme="minorHAnsi" w:cstheme="minorHAnsi"/>
          <w:color w:val="000000"/>
          <w:sz w:val="24"/>
          <w:szCs w:val="24"/>
          <w:lang w:eastAsia="en-AU"/>
        </w:rPr>
        <w:t>In order to</w:t>
      </w:r>
      <w:proofErr w:type="gramEnd"/>
      <w:r w:rsidRPr="003C088B">
        <w:rPr>
          <w:rFonts w:asciiTheme="minorHAnsi" w:eastAsia="Times New Roman" w:hAnsiTheme="minorHAnsi" w:cstheme="minorHAnsi"/>
          <w:color w:val="000000"/>
          <w:sz w:val="24"/>
          <w:szCs w:val="24"/>
          <w:lang w:eastAsia="en-AU"/>
        </w:rPr>
        <w:t xml:space="preserve"> protect from light store in the original package.</w:t>
      </w:r>
    </w:p>
    <w:p w14:paraId="56F7700F" w14:textId="055DF669" w:rsidR="005D7A22" w:rsidRDefault="005D7A22" w:rsidP="005D3387">
      <w:pPr>
        <w:adjustRightInd w:val="0"/>
        <w:spacing w:before="120" w:after="120"/>
        <w:ind w:left="426"/>
        <w:contextualSpacing/>
        <w:rPr>
          <w:rFonts w:asciiTheme="minorHAnsi" w:eastAsia="Times New Roman" w:hAnsiTheme="minorHAnsi" w:cstheme="minorHAnsi"/>
          <w:color w:val="000000"/>
          <w:sz w:val="24"/>
          <w:szCs w:val="24"/>
          <w:lang w:eastAsia="en-AU"/>
        </w:rPr>
      </w:pPr>
      <w:r w:rsidRPr="002D142E">
        <w:rPr>
          <w:rFonts w:asciiTheme="minorHAnsi" w:eastAsia="Times New Roman" w:hAnsiTheme="minorHAnsi" w:cstheme="minorHAnsi"/>
          <w:color w:val="000000"/>
          <w:sz w:val="24"/>
          <w:szCs w:val="24"/>
          <w:lang w:eastAsia="en-AU"/>
        </w:rPr>
        <w:t>Use as soon as practicable. After reconstitution, store</w:t>
      </w:r>
      <w:r>
        <w:rPr>
          <w:rFonts w:asciiTheme="minorHAnsi" w:eastAsia="Times New Roman" w:hAnsiTheme="minorHAnsi" w:cstheme="minorHAnsi"/>
          <w:color w:val="000000"/>
          <w:sz w:val="24"/>
          <w:szCs w:val="24"/>
          <w:lang w:eastAsia="en-AU"/>
        </w:rPr>
        <w:t xml:space="preserve"> </w:t>
      </w:r>
      <w:r w:rsidRPr="002D142E">
        <w:rPr>
          <w:rFonts w:asciiTheme="minorHAnsi" w:eastAsia="Times New Roman" w:hAnsiTheme="minorHAnsi" w:cstheme="minorHAnsi"/>
          <w:color w:val="000000"/>
          <w:sz w:val="24"/>
          <w:szCs w:val="24"/>
          <w:lang w:eastAsia="en-AU"/>
        </w:rPr>
        <w:t>no more than 4 hours at 2–8 °C. Contains no antimicrobial preservative.</w:t>
      </w:r>
      <w:r w:rsidR="00CF039A">
        <w:rPr>
          <w:rFonts w:asciiTheme="minorHAnsi" w:eastAsia="Times New Roman" w:hAnsiTheme="minorHAnsi" w:cstheme="minorHAnsi"/>
          <w:color w:val="000000"/>
          <w:sz w:val="24"/>
          <w:szCs w:val="24"/>
          <w:lang w:eastAsia="en-AU"/>
        </w:rPr>
        <w:t xml:space="preserve"> </w:t>
      </w:r>
    </w:p>
    <w:p w14:paraId="4BFB2292" w14:textId="77777777" w:rsidR="00CF039A" w:rsidRDefault="00CF039A" w:rsidP="005D3387">
      <w:pPr>
        <w:adjustRightInd w:val="0"/>
        <w:spacing w:before="120" w:after="120"/>
        <w:ind w:left="426"/>
        <w:contextualSpacing/>
        <w:rPr>
          <w:rFonts w:asciiTheme="minorHAnsi" w:eastAsia="Times New Roman" w:hAnsiTheme="minorHAnsi" w:cstheme="minorHAnsi"/>
          <w:color w:val="000000"/>
          <w:sz w:val="24"/>
          <w:szCs w:val="24"/>
          <w:lang w:eastAsia="en-AU"/>
        </w:rPr>
      </w:pPr>
    </w:p>
    <w:p w14:paraId="07083DF4" w14:textId="0E6A61A0" w:rsidR="00CF039A" w:rsidRPr="002D142E" w:rsidRDefault="00CF039A" w:rsidP="005D3387">
      <w:pPr>
        <w:adjustRightInd w:val="0"/>
        <w:spacing w:before="240" w:after="120"/>
        <w:ind w:left="425"/>
        <w:contextualSpacing/>
        <w:rPr>
          <w:rFonts w:asciiTheme="minorHAnsi" w:eastAsia="Times New Roman" w:hAnsiTheme="minorHAnsi" w:cstheme="minorHAnsi"/>
          <w:color w:val="000000"/>
          <w:sz w:val="24"/>
          <w:szCs w:val="24"/>
          <w:lang w:eastAsia="en-AU"/>
        </w:rPr>
      </w:pPr>
      <w:r w:rsidRPr="002D142E">
        <w:rPr>
          <w:rFonts w:asciiTheme="minorHAnsi" w:eastAsia="Times New Roman" w:hAnsiTheme="minorHAnsi" w:cstheme="minorHAnsi"/>
          <w:color w:val="000000"/>
          <w:sz w:val="24"/>
          <w:szCs w:val="24"/>
          <w:lang w:eastAsia="en-AU"/>
        </w:rPr>
        <w:t>To reduce microbiological hazard, use as soon as practicable after dilution. If storage is necessary, hold</w:t>
      </w:r>
      <w:r>
        <w:rPr>
          <w:rFonts w:asciiTheme="minorHAnsi" w:eastAsia="Times New Roman" w:hAnsiTheme="minorHAnsi" w:cstheme="minorHAnsi"/>
          <w:color w:val="000000"/>
          <w:sz w:val="24"/>
          <w:szCs w:val="24"/>
          <w:lang w:eastAsia="en-AU"/>
        </w:rPr>
        <w:t xml:space="preserve"> for </w:t>
      </w:r>
      <w:r w:rsidR="00F94044">
        <w:rPr>
          <w:rFonts w:asciiTheme="minorHAnsi" w:eastAsia="Times New Roman" w:hAnsiTheme="minorHAnsi" w:cstheme="minorHAnsi"/>
          <w:color w:val="000000"/>
          <w:sz w:val="24"/>
          <w:szCs w:val="24"/>
          <w:lang w:eastAsia="en-AU"/>
        </w:rPr>
        <w:t>6</w:t>
      </w:r>
      <w:r>
        <w:rPr>
          <w:rFonts w:asciiTheme="minorHAnsi" w:eastAsia="Times New Roman" w:hAnsiTheme="minorHAnsi" w:cstheme="minorHAnsi"/>
          <w:color w:val="000000"/>
          <w:sz w:val="24"/>
          <w:szCs w:val="24"/>
          <w:lang w:eastAsia="en-AU"/>
        </w:rPr>
        <w:t xml:space="preserve"> hours at room temperature or</w:t>
      </w:r>
      <w:r w:rsidRPr="002D142E">
        <w:rPr>
          <w:rFonts w:asciiTheme="minorHAnsi" w:eastAsia="Times New Roman" w:hAnsiTheme="minorHAnsi" w:cstheme="minorHAnsi"/>
          <w:color w:val="000000"/>
          <w:sz w:val="24"/>
          <w:szCs w:val="24"/>
          <w:lang w:eastAsia="en-AU"/>
        </w:rPr>
        <w:t xml:space="preserve"> at 2-8°C for not more than 24 hours</w:t>
      </w:r>
      <w:r>
        <w:rPr>
          <w:rFonts w:asciiTheme="minorHAnsi" w:eastAsia="Times New Roman" w:hAnsiTheme="minorHAnsi" w:cstheme="minorHAnsi"/>
          <w:color w:val="000000"/>
          <w:sz w:val="24"/>
          <w:szCs w:val="24"/>
          <w:lang w:eastAsia="en-AU"/>
        </w:rPr>
        <w:t>.</w:t>
      </w:r>
    </w:p>
    <w:p w14:paraId="5F18E33F" w14:textId="1396CB87" w:rsidR="00380F38" w:rsidRPr="00DE57DB" w:rsidRDefault="00380F38" w:rsidP="005D3387">
      <w:pPr>
        <w:pStyle w:val="ListParagraph"/>
        <w:numPr>
          <w:ilvl w:val="1"/>
          <w:numId w:val="2"/>
        </w:numPr>
        <w:tabs>
          <w:tab w:val="left" w:pos="975"/>
        </w:tabs>
        <w:spacing w:before="240" w:after="240" w:line="276" w:lineRule="auto"/>
        <w:ind w:left="851"/>
        <w:rPr>
          <w:b/>
          <w:sz w:val="23"/>
          <w:szCs w:val="23"/>
        </w:rPr>
      </w:pPr>
      <w:bookmarkStart w:id="17" w:name="6.5_Nature_and_contents_of_container"/>
      <w:bookmarkEnd w:id="17"/>
      <w:r w:rsidRPr="00DE57DB">
        <w:rPr>
          <w:b/>
          <w:sz w:val="23"/>
          <w:szCs w:val="23"/>
        </w:rPr>
        <w:t>NATURE</w:t>
      </w:r>
      <w:r w:rsidRPr="00DE57DB">
        <w:rPr>
          <w:b/>
          <w:spacing w:val="-3"/>
          <w:sz w:val="23"/>
          <w:szCs w:val="23"/>
        </w:rPr>
        <w:t xml:space="preserve"> </w:t>
      </w:r>
      <w:r w:rsidRPr="00DE57DB">
        <w:rPr>
          <w:b/>
          <w:sz w:val="23"/>
          <w:szCs w:val="23"/>
        </w:rPr>
        <w:t>AND</w:t>
      </w:r>
      <w:r w:rsidRPr="00DE57DB">
        <w:rPr>
          <w:b/>
          <w:spacing w:val="-2"/>
          <w:sz w:val="23"/>
          <w:szCs w:val="23"/>
        </w:rPr>
        <w:t xml:space="preserve"> </w:t>
      </w:r>
      <w:r w:rsidRPr="00DE57DB">
        <w:rPr>
          <w:b/>
          <w:sz w:val="23"/>
          <w:szCs w:val="23"/>
        </w:rPr>
        <w:t>CONTENTS</w:t>
      </w:r>
      <w:r w:rsidRPr="00DE57DB">
        <w:rPr>
          <w:b/>
          <w:spacing w:val="-4"/>
          <w:sz w:val="23"/>
          <w:szCs w:val="23"/>
        </w:rPr>
        <w:t xml:space="preserve"> </w:t>
      </w:r>
      <w:r w:rsidRPr="00DE57DB">
        <w:rPr>
          <w:b/>
          <w:sz w:val="23"/>
          <w:szCs w:val="23"/>
        </w:rPr>
        <w:t>OF</w:t>
      </w:r>
      <w:r w:rsidRPr="00DE57DB">
        <w:rPr>
          <w:b/>
          <w:spacing w:val="-4"/>
          <w:sz w:val="23"/>
          <w:szCs w:val="23"/>
        </w:rPr>
        <w:t xml:space="preserve"> </w:t>
      </w:r>
      <w:r w:rsidRPr="00DE57DB">
        <w:rPr>
          <w:b/>
          <w:sz w:val="23"/>
          <w:szCs w:val="23"/>
        </w:rPr>
        <w:t>CONTAINER</w:t>
      </w:r>
    </w:p>
    <w:p w14:paraId="33A924C4" w14:textId="77777777" w:rsidR="00F27EF9" w:rsidRDefault="00F27EF9" w:rsidP="005D3387">
      <w:pPr>
        <w:spacing w:after="120"/>
        <w:ind w:left="357"/>
        <w:rPr>
          <w:rFonts w:asciiTheme="minorHAnsi" w:eastAsia="Times New Roman" w:hAnsiTheme="minorHAnsi" w:cstheme="minorHAnsi"/>
          <w:color w:val="000000"/>
          <w:sz w:val="24"/>
          <w:szCs w:val="24"/>
          <w:lang w:eastAsia="en-AU"/>
        </w:rPr>
      </w:pPr>
      <w:r w:rsidRPr="002D142E">
        <w:rPr>
          <w:rFonts w:asciiTheme="minorHAnsi" w:eastAsia="Times New Roman" w:hAnsiTheme="minorHAnsi" w:cstheme="minorHAnsi"/>
          <w:color w:val="000000"/>
          <w:sz w:val="24"/>
          <w:szCs w:val="24"/>
          <w:lang w:eastAsia="en-AU"/>
        </w:rPr>
        <w:t xml:space="preserve">Each 250 mg vial contains 250 mg of powder. </w:t>
      </w:r>
      <w:r>
        <w:rPr>
          <w:rFonts w:asciiTheme="minorHAnsi" w:eastAsia="Times New Roman" w:hAnsiTheme="minorHAnsi" w:cstheme="minorHAnsi"/>
          <w:color w:val="000000"/>
          <w:sz w:val="24"/>
          <w:szCs w:val="24"/>
          <w:lang w:eastAsia="en-AU"/>
        </w:rPr>
        <w:t xml:space="preserve">The 250mg vial is a </w:t>
      </w:r>
      <w:r w:rsidRPr="003C088B">
        <w:rPr>
          <w:rFonts w:asciiTheme="minorHAnsi" w:eastAsia="Times New Roman" w:hAnsiTheme="minorHAnsi" w:cstheme="minorHAnsi"/>
          <w:color w:val="000000"/>
          <w:sz w:val="24"/>
          <w:szCs w:val="24"/>
          <w:lang w:eastAsia="en-AU"/>
        </w:rPr>
        <w:t>20 mm neck 30 mL clear moulded glass vial</w:t>
      </w:r>
      <w:r>
        <w:rPr>
          <w:rFonts w:asciiTheme="minorHAnsi" w:eastAsia="Times New Roman" w:hAnsiTheme="minorHAnsi" w:cstheme="minorHAnsi"/>
          <w:color w:val="000000"/>
          <w:sz w:val="24"/>
          <w:szCs w:val="24"/>
          <w:lang w:eastAsia="en-AU"/>
        </w:rPr>
        <w:t xml:space="preserve"> </w:t>
      </w:r>
      <w:r w:rsidRPr="003C088B">
        <w:rPr>
          <w:rFonts w:asciiTheme="minorHAnsi" w:eastAsia="Times New Roman" w:hAnsiTheme="minorHAnsi" w:cstheme="minorHAnsi"/>
          <w:color w:val="000000"/>
          <w:sz w:val="24"/>
          <w:szCs w:val="24"/>
          <w:lang w:eastAsia="en-AU"/>
        </w:rPr>
        <w:t xml:space="preserve">with 20 mm grey </w:t>
      </w:r>
      <w:proofErr w:type="spellStart"/>
      <w:r w:rsidRPr="003C088B">
        <w:rPr>
          <w:rFonts w:asciiTheme="minorHAnsi" w:eastAsia="Times New Roman" w:hAnsiTheme="minorHAnsi" w:cstheme="minorHAnsi"/>
          <w:color w:val="000000"/>
          <w:sz w:val="24"/>
          <w:szCs w:val="24"/>
          <w:lang w:eastAsia="en-AU"/>
        </w:rPr>
        <w:t>bromobutyl</w:t>
      </w:r>
      <w:proofErr w:type="spellEnd"/>
      <w:r w:rsidRPr="003C088B">
        <w:rPr>
          <w:rFonts w:asciiTheme="minorHAnsi" w:eastAsia="Times New Roman" w:hAnsiTheme="minorHAnsi" w:cstheme="minorHAnsi"/>
          <w:color w:val="000000"/>
          <w:sz w:val="24"/>
          <w:szCs w:val="24"/>
          <w:lang w:eastAsia="en-AU"/>
        </w:rPr>
        <w:t xml:space="preserve"> Igloo rubber stopper</w:t>
      </w:r>
      <w:r>
        <w:rPr>
          <w:rFonts w:asciiTheme="minorHAnsi" w:eastAsia="Times New Roman" w:hAnsiTheme="minorHAnsi" w:cstheme="minorHAnsi"/>
          <w:color w:val="000000"/>
          <w:sz w:val="24"/>
          <w:szCs w:val="24"/>
          <w:lang w:eastAsia="en-AU"/>
        </w:rPr>
        <w:t xml:space="preserve"> </w:t>
      </w:r>
      <w:r w:rsidRPr="003C088B">
        <w:rPr>
          <w:rFonts w:asciiTheme="minorHAnsi" w:eastAsia="Times New Roman" w:hAnsiTheme="minorHAnsi" w:cstheme="minorHAnsi"/>
          <w:color w:val="000000"/>
          <w:sz w:val="24"/>
          <w:szCs w:val="24"/>
          <w:lang w:eastAsia="en-AU"/>
        </w:rPr>
        <w:t>and sealed with 20 mm aluminium flip of seal.</w:t>
      </w:r>
    </w:p>
    <w:p w14:paraId="5904A357" w14:textId="77777777" w:rsidR="00F27EF9" w:rsidRDefault="00F27EF9" w:rsidP="005D3387">
      <w:pPr>
        <w:widowControl/>
        <w:adjustRightInd w:val="0"/>
        <w:spacing w:after="120" w:line="276" w:lineRule="auto"/>
        <w:ind w:left="357"/>
        <w:rPr>
          <w:rFonts w:asciiTheme="minorHAnsi" w:eastAsia="Times New Roman" w:hAnsiTheme="minorHAnsi" w:cstheme="minorHAnsi"/>
          <w:color w:val="000000"/>
          <w:sz w:val="24"/>
          <w:szCs w:val="24"/>
          <w:lang w:eastAsia="en-AU"/>
        </w:rPr>
      </w:pPr>
      <w:r w:rsidRPr="003C088B">
        <w:rPr>
          <w:rFonts w:asciiTheme="minorHAnsi" w:eastAsia="Times New Roman" w:hAnsiTheme="minorHAnsi" w:cstheme="minorHAnsi"/>
          <w:color w:val="000000"/>
          <w:sz w:val="24"/>
          <w:szCs w:val="24"/>
          <w:lang w:eastAsia="en-AU"/>
        </w:rPr>
        <w:t xml:space="preserve">Each </w:t>
      </w:r>
      <w:r>
        <w:rPr>
          <w:rFonts w:asciiTheme="minorHAnsi" w:eastAsia="Times New Roman" w:hAnsiTheme="minorHAnsi" w:cstheme="minorHAnsi"/>
          <w:color w:val="000000"/>
          <w:sz w:val="24"/>
          <w:szCs w:val="24"/>
          <w:lang w:eastAsia="en-AU"/>
        </w:rPr>
        <w:t xml:space="preserve">500 mg </w:t>
      </w:r>
      <w:r w:rsidRPr="003C088B">
        <w:rPr>
          <w:rFonts w:asciiTheme="minorHAnsi" w:eastAsia="Times New Roman" w:hAnsiTheme="minorHAnsi" w:cstheme="minorHAnsi"/>
          <w:color w:val="000000"/>
          <w:sz w:val="24"/>
          <w:szCs w:val="24"/>
          <w:lang w:eastAsia="en-AU"/>
        </w:rPr>
        <w:t xml:space="preserve">vial contains </w:t>
      </w:r>
      <w:r>
        <w:rPr>
          <w:rFonts w:asciiTheme="minorHAnsi" w:eastAsia="Times New Roman" w:hAnsiTheme="minorHAnsi" w:cstheme="minorHAnsi"/>
          <w:color w:val="000000"/>
          <w:sz w:val="24"/>
          <w:szCs w:val="24"/>
          <w:lang w:eastAsia="en-AU"/>
        </w:rPr>
        <w:t>500</w:t>
      </w:r>
      <w:r w:rsidRPr="003C088B">
        <w:rPr>
          <w:rFonts w:asciiTheme="minorHAnsi" w:eastAsia="Times New Roman" w:hAnsiTheme="minorHAnsi" w:cstheme="minorHAnsi"/>
          <w:color w:val="000000"/>
          <w:sz w:val="24"/>
          <w:szCs w:val="24"/>
          <w:lang w:eastAsia="en-AU"/>
        </w:rPr>
        <w:t xml:space="preserve"> m</w:t>
      </w:r>
      <w:r>
        <w:rPr>
          <w:rFonts w:asciiTheme="minorHAnsi" w:eastAsia="Times New Roman" w:hAnsiTheme="minorHAnsi" w:cstheme="minorHAnsi"/>
          <w:color w:val="000000"/>
          <w:sz w:val="24"/>
          <w:szCs w:val="24"/>
          <w:lang w:eastAsia="en-AU"/>
        </w:rPr>
        <w:t>g</w:t>
      </w:r>
      <w:r w:rsidRPr="003C088B">
        <w:rPr>
          <w:rFonts w:asciiTheme="minorHAnsi" w:eastAsia="Times New Roman" w:hAnsiTheme="minorHAnsi" w:cstheme="minorHAnsi"/>
          <w:color w:val="000000"/>
          <w:sz w:val="24"/>
          <w:szCs w:val="24"/>
          <w:lang w:eastAsia="en-AU"/>
        </w:rPr>
        <w:t xml:space="preserve"> of </w:t>
      </w:r>
      <w:r>
        <w:rPr>
          <w:rFonts w:asciiTheme="minorHAnsi" w:eastAsia="Times New Roman" w:hAnsiTheme="minorHAnsi" w:cstheme="minorHAnsi"/>
          <w:color w:val="000000"/>
          <w:sz w:val="24"/>
          <w:szCs w:val="24"/>
          <w:lang w:eastAsia="en-AU"/>
        </w:rPr>
        <w:t>powder</w:t>
      </w:r>
      <w:r w:rsidRPr="003C088B">
        <w:rPr>
          <w:rFonts w:asciiTheme="minorHAnsi" w:eastAsia="Times New Roman" w:hAnsiTheme="minorHAnsi" w:cstheme="minorHAnsi"/>
          <w:color w:val="000000"/>
          <w:sz w:val="24"/>
          <w:szCs w:val="24"/>
          <w:lang w:eastAsia="en-AU"/>
        </w:rPr>
        <w:t xml:space="preserve">. </w:t>
      </w:r>
      <w:r>
        <w:rPr>
          <w:rFonts w:asciiTheme="minorHAnsi" w:eastAsia="Times New Roman" w:hAnsiTheme="minorHAnsi" w:cstheme="minorHAnsi"/>
          <w:color w:val="000000"/>
          <w:sz w:val="24"/>
          <w:szCs w:val="24"/>
          <w:lang w:eastAsia="en-AU"/>
        </w:rPr>
        <w:t xml:space="preserve">The 500 mg is a </w:t>
      </w:r>
      <w:proofErr w:type="spellStart"/>
      <w:r w:rsidRPr="00272EC7">
        <w:rPr>
          <w:rFonts w:asciiTheme="minorHAnsi" w:eastAsia="Times New Roman" w:hAnsiTheme="minorHAnsi" w:cstheme="minorHAnsi"/>
          <w:color w:val="000000"/>
          <w:sz w:val="24"/>
          <w:szCs w:val="24"/>
          <w:lang w:eastAsia="en-AU"/>
        </w:rPr>
        <w:t>a</w:t>
      </w:r>
      <w:proofErr w:type="spellEnd"/>
      <w:r w:rsidRPr="00272EC7">
        <w:rPr>
          <w:rFonts w:asciiTheme="minorHAnsi" w:eastAsia="Times New Roman" w:hAnsiTheme="minorHAnsi" w:cstheme="minorHAnsi"/>
          <w:color w:val="000000"/>
          <w:sz w:val="24"/>
          <w:szCs w:val="24"/>
          <w:lang w:eastAsia="en-AU"/>
        </w:rPr>
        <w:t xml:space="preserve"> 20 mm neck 50 mL clear moulded glass vial</w:t>
      </w:r>
      <w:r>
        <w:rPr>
          <w:rFonts w:asciiTheme="minorHAnsi" w:eastAsia="Times New Roman" w:hAnsiTheme="minorHAnsi" w:cstheme="minorHAnsi"/>
          <w:color w:val="000000"/>
          <w:sz w:val="24"/>
          <w:szCs w:val="24"/>
          <w:lang w:eastAsia="en-AU"/>
        </w:rPr>
        <w:t xml:space="preserve"> </w:t>
      </w:r>
      <w:r w:rsidRPr="00272EC7">
        <w:rPr>
          <w:rFonts w:asciiTheme="minorHAnsi" w:eastAsia="Times New Roman" w:hAnsiTheme="minorHAnsi" w:cstheme="minorHAnsi"/>
          <w:color w:val="000000"/>
          <w:sz w:val="24"/>
          <w:szCs w:val="24"/>
          <w:lang w:eastAsia="en-AU"/>
        </w:rPr>
        <w:t xml:space="preserve">with 20 mm grey </w:t>
      </w:r>
      <w:proofErr w:type="spellStart"/>
      <w:r w:rsidRPr="00272EC7">
        <w:rPr>
          <w:rFonts w:asciiTheme="minorHAnsi" w:eastAsia="Times New Roman" w:hAnsiTheme="minorHAnsi" w:cstheme="minorHAnsi"/>
          <w:color w:val="000000"/>
          <w:sz w:val="24"/>
          <w:szCs w:val="24"/>
          <w:lang w:eastAsia="en-AU"/>
        </w:rPr>
        <w:t>bromobutyl</w:t>
      </w:r>
      <w:proofErr w:type="spellEnd"/>
      <w:r w:rsidRPr="00272EC7">
        <w:rPr>
          <w:rFonts w:asciiTheme="minorHAnsi" w:eastAsia="Times New Roman" w:hAnsiTheme="minorHAnsi" w:cstheme="minorHAnsi"/>
          <w:color w:val="000000"/>
          <w:sz w:val="24"/>
          <w:szCs w:val="24"/>
          <w:lang w:eastAsia="en-AU"/>
        </w:rPr>
        <w:t xml:space="preserve"> Igloo rubber stopper</w:t>
      </w:r>
      <w:r>
        <w:rPr>
          <w:rFonts w:asciiTheme="minorHAnsi" w:eastAsia="Times New Roman" w:hAnsiTheme="minorHAnsi" w:cstheme="minorHAnsi"/>
          <w:color w:val="000000"/>
          <w:sz w:val="24"/>
          <w:szCs w:val="24"/>
          <w:lang w:eastAsia="en-AU"/>
        </w:rPr>
        <w:t xml:space="preserve"> </w:t>
      </w:r>
      <w:r w:rsidRPr="00272EC7">
        <w:rPr>
          <w:rFonts w:asciiTheme="minorHAnsi" w:eastAsia="Times New Roman" w:hAnsiTheme="minorHAnsi" w:cstheme="minorHAnsi"/>
          <w:color w:val="000000"/>
          <w:sz w:val="24"/>
          <w:szCs w:val="24"/>
          <w:lang w:eastAsia="en-AU"/>
        </w:rPr>
        <w:t>and sealed with 20 mm aluminium flip of seal.</w:t>
      </w:r>
    </w:p>
    <w:p w14:paraId="7A7E8AB0" w14:textId="77777777" w:rsidR="00A51F6C" w:rsidRPr="00A51F6C" w:rsidRDefault="00A51F6C" w:rsidP="005D3387">
      <w:pPr>
        <w:widowControl/>
        <w:adjustRightInd w:val="0"/>
        <w:spacing w:line="276" w:lineRule="auto"/>
        <w:ind w:left="360"/>
        <w:rPr>
          <w:rFonts w:asciiTheme="minorHAnsi" w:eastAsia="Times New Roman" w:hAnsiTheme="minorHAnsi" w:cstheme="minorHAnsi"/>
          <w:color w:val="000000"/>
          <w:sz w:val="24"/>
          <w:szCs w:val="24"/>
          <w:lang w:eastAsia="en-AU"/>
        </w:rPr>
      </w:pPr>
      <w:r w:rsidRPr="00A51F6C">
        <w:rPr>
          <w:rFonts w:asciiTheme="minorHAnsi" w:eastAsia="Times New Roman" w:hAnsiTheme="minorHAnsi" w:cstheme="minorHAnsi"/>
          <w:color w:val="000000"/>
          <w:sz w:val="24"/>
          <w:szCs w:val="24"/>
          <w:lang w:eastAsia="en-AU"/>
        </w:rPr>
        <w:t>DEXRAZOXANE-REACH 250 mg is supplied in packs of 1 vial.</w:t>
      </w:r>
    </w:p>
    <w:p w14:paraId="639B7E18" w14:textId="77777777" w:rsidR="00A51F6C" w:rsidRPr="00A51F6C" w:rsidRDefault="00A51F6C" w:rsidP="005D3387">
      <w:pPr>
        <w:widowControl/>
        <w:adjustRightInd w:val="0"/>
        <w:spacing w:line="276" w:lineRule="auto"/>
        <w:ind w:left="360"/>
        <w:rPr>
          <w:rFonts w:asciiTheme="minorHAnsi" w:eastAsia="Times New Roman" w:hAnsiTheme="minorHAnsi" w:cstheme="minorHAnsi"/>
          <w:color w:val="000000"/>
          <w:sz w:val="24"/>
          <w:szCs w:val="24"/>
          <w:lang w:eastAsia="en-AU"/>
        </w:rPr>
      </w:pPr>
      <w:r w:rsidRPr="00A51F6C">
        <w:rPr>
          <w:rFonts w:asciiTheme="minorHAnsi" w:eastAsia="Times New Roman" w:hAnsiTheme="minorHAnsi" w:cstheme="minorHAnsi"/>
          <w:color w:val="000000"/>
          <w:sz w:val="24"/>
          <w:szCs w:val="24"/>
          <w:lang w:eastAsia="en-AU"/>
        </w:rPr>
        <w:t>DEXRAZOXANE-REACH 500 mg is supplied in packs of 1 vial.</w:t>
      </w:r>
    </w:p>
    <w:p w14:paraId="1DECCF94" w14:textId="0CB071CE" w:rsidR="00C1333C" w:rsidRPr="00775689" w:rsidRDefault="008C686B" w:rsidP="005D3387">
      <w:pPr>
        <w:pStyle w:val="ListParagraph"/>
        <w:numPr>
          <w:ilvl w:val="1"/>
          <w:numId w:val="2"/>
        </w:numPr>
        <w:tabs>
          <w:tab w:val="left" w:pos="975"/>
        </w:tabs>
        <w:spacing w:before="240" w:after="240" w:line="276" w:lineRule="auto"/>
        <w:ind w:left="851"/>
        <w:rPr>
          <w:b/>
          <w:sz w:val="23"/>
          <w:szCs w:val="23"/>
        </w:rPr>
      </w:pPr>
      <w:r w:rsidRPr="00DE57DB">
        <w:rPr>
          <w:b/>
          <w:sz w:val="23"/>
          <w:szCs w:val="23"/>
        </w:rPr>
        <w:t>SPECIAL</w:t>
      </w:r>
      <w:r w:rsidRPr="00DE57DB">
        <w:rPr>
          <w:b/>
          <w:spacing w:val="-8"/>
          <w:sz w:val="23"/>
          <w:szCs w:val="23"/>
        </w:rPr>
        <w:t xml:space="preserve"> </w:t>
      </w:r>
      <w:r w:rsidRPr="00DE57DB">
        <w:rPr>
          <w:b/>
          <w:sz w:val="23"/>
          <w:szCs w:val="23"/>
        </w:rPr>
        <w:t>PRECAUTIONS</w:t>
      </w:r>
      <w:r w:rsidRPr="00DE57DB">
        <w:rPr>
          <w:b/>
          <w:spacing w:val="-7"/>
          <w:sz w:val="23"/>
          <w:szCs w:val="23"/>
        </w:rPr>
        <w:t xml:space="preserve"> </w:t>
      </w:r>
      <w:r w:rsidRPr="00DE57DB">
        <w:rPr>
          <w:b/>
          <w:sz w:val="23"/>
          <w:szCs w:val="23"/>
        </w:rPr>
        <w:t>FOR</w:t>
      </w:r>
      <w:r w:rsidRPr="00DE57DB">
        <w:rPr>
          <w:b/>
          <w:spacing w:val="-5"/>
          <w:sz w:val="23"/>
          <w:szCs w:val="23"/>
        </w:rPr>
        <w:t xml:space="preserve"> </w:t>
      </w:r>
      <w:r w:rsidRPr="00DE57DB">
        <w:rPr>
          <w:b/>
          <w:sz w:val="23"/>
          <w:szCs w:val="23"/>
        </w:rPr>
        <w:t>DISPOSAL</w:t>
      </w:r>
    </w:p>
    <w:p w14:paraId="31EE908C" w14:textId="77777777" w:rsidR="003C088B" w:rsidRPr="003C088B" w:rsidRDefault="003C088B" w:rsidP="005D3387">
      <w:pPr>
        <w:widowControl/>
        <w:shd w:val="clear" w:color="auto" w:fill="FFFFFF"/>
        <w:autoSpaceDE/>
        <w:autoSpaceDN/>
        <w:spacing w:after="150" w:line="276" w:lineRule="auto"/>
        <w:ind w:left="426"/>
        <w:rPr>
          <w:rFonts w:asciiTheme="minorHAnsi" w:eastAsia="Times New Roman" w:hAnsiTheme="minorHAnsi" w:cstheme="minorHAnsi"/>
          <w:color w:val="000000"/>
          <w:sz w:val="24"/>
          <w:szCs w:val="24"/>
          <w:u w:val="single"/>
          <w:lang w:eastAsia="en-AU"/>
        </w:rPr>
      </w:pPr>
      <w:r w:rsidRPr="003C088B">
        <w:rPr>
          <w:rFonts w:asciiTheme="minorHAnsi" w:eastAsia="Times New Roman" w:hAnsiTheme="minorHAnsi" w:cstheme="minorHAnsi"/>
          <w:color w:val="000000"/>
          <w:sz w:val="24"/>
          <w:szCs w:val="24"/>
          <w:u w:val="single"/>
          <w:lang w:eastAsia="en-AU"/>
        </w:rPr>
        <w:t>Disposal</w:t>
      </w:r>
    </w:p>
    <w:p w14:paraId="45C4CD20" w14:textId="1B2044A9" w:rsidR="003C088B" w:rsidRPr="00886186" w:rsidRDefault="003C088B" w:rsidP="005D3387">
      <w:pPr>
        <w:widowControl/>
        <w:shd w:val="clear" w:color="auto" w:fill="FFFFFF"/>
        <w:autoSpaceDE/>
        <w:autoSpaceDN/>
        <w:spacing w:after="150" w:line="276" w:lineRule="auto"/>
        <w:ind w:left="426"/>
        <w:rPr>
          <w:rFonts w:asciiTheme="minorHAnsi" w:eastAsia="Times New Roman" w:hAnsiTheme="minorHAnsi" w:cstheme="minorHAnsi"/>
          <w:color w:val="000000"/>
          <w:sz w:val="24"/>
          <w:szCs w:val="24"/>
          <w:lang w:eastAsia="en-AU"/>
        </w:rPr>
      </w:pPr>
      <w:r w:rsidRPr="003C088B">
        <w:rPr>
          <w:rFonts w:asciiTheme="minorHAnsi" w:eastAsia="Times New Roman" w:hAnsiTheme="minorHAnsi" w:cstheme="minorHAnsi"/>
          <w:color w:val="000000"/>
          <w:sz w:val="24"/>
          <w:szCs w:val="24"/>
          <w:lang w:eastAsia="en-AU"/>
        </w:rPr>
        <w:t xml:space="preserve">Any unused medicinal product or waste material should be disposed of in accordance with local requirements. Adequate care and precautions should be taken in the disposal of items used to reconstitute and dilute </w:t>
      </w:r>
      <w:r w:rsidR="00676C4F">
        <w:rPr>
          <w:rFonts w:asciiTheme="minorHAnsi" w:eastAsia="Times New Roman" w:hAnsiTheme="minorHAnsi" w:cstheme="minorHAnsi"/>
          <w:color w:val="000000"/>
          <w:sz w:val="24"/>
          <w:szCs w:val="24"/>
          <w:lang w:eastAsia="en-AU"/>
        </w:rPr>
        <w:t>DEXRAZOXANE-REACH</w:t>
      </w:r>
      <w:r w:rsidRPr="003C088B">
        <w:rPr>
          <w:rFonts w:asciiTheme="minorHAnsi" w:eastAsia="Times New Roman" w:hAnsiTheme="minorHAnsi" w:cstheme="minorHAnsi"/>
          <w:color w:val="000000"/>
          <w:sz w:val="24"/>
          <w:szCs w:val="24"/>
          <w:lang w:eastAsia="en-AU"/>
        </w:rPr>
        <w:t>.</w:t>
      </w:r>
    </w:p>
    <w:p w14:paraId="470F037F" w14:textId="47D38F25" w:rsidR="008C686B" w:rsidRPr="00DE57DB" w:rsidRDefault="008C686B" w:rsidP="005D3387">
      <w:pPr>
        <w:pStyle w:val="ListParagraph"/>
        <w:numPr>
          <w:ilvl w:val="1"/>
          <w:numId w:val="2"/>
        </w:numPr>
        <w:spacing w:before="360" w:after="240" w:line="276" w:lineRule="auto"/>
        <w:ind w:left="851"/>
        <w:rPr>
          <w:b/>
          <w:sz w:val="23"/>
          <w:szCs w:val="23"/>
        </w:rPr>
      </w:pPr>
      <w:r w:rsidRPr="00DE57DB">
        <w:rPr>
          <w:b/>
          <w:sz w:val="23"/>
          <w:szCs w:val="23"/>
        </w:rPr>
        <w:t>PHYSICOCHEMICAL</w:t>
      </w:r>
      <w:r w:rsidRPr="00DE57DB">
        <w:rPr>
          <w:b/>
          <w:spacing w:val="-10"/>
          <w:sz w:val="23"/>
          <w:szCs w:val="23"/>
        </w:rPr>
        <w:t xml:space="preserve"> </w:t>
      </w:r>
      <w:r w:rsidRPr="00DE57DB">
        <w:rPr>
          <w:b/>
          <w:sz w:val="23"/>
          <w:szCs w:val="23"/>
        </w:rPr>
        <w:t>PROPERTIES</w:t>
      </w:r>
    </w:p>
    <w:p w14:paraId="6661C308" w14:textId="4F83F427" w:rsidR="003C088B" w:rsidRPr="003C088B" w:rsidRDefault="003C088B" w:rsidP="005D3387">
      <w:pPr>
        <w:spacing w:before="240" w:after="240" w:line="276" w:lineRule="auto"/>
        <w:ind w:left="426"/>
        <w:rPr>
          <w:rFonts w:asciiTheme="minorHAnsi" w:eastAsia="Times New Roman" w:hAnsiTheme="minorHAnsi" w:cstheme="minorHAnsi"/>
          <w:color w:val="000000"/>
          <w:sz w:val="24"/>
          <w:szCs w:val="24"/>
          <w:lang w:eastAsia="en-AU"/>
        </w:rPr>
      </w:pPr>
      <w:bookmarkStart w:id="18" w:name="Chemical_structure"/>
      <w:bookmarkEnd w:id="18"/>
      <w:r w:rsidRPr="003C088B">
        <w:rPr>
          <w:rFonts w:asciiTheme="minorHAnsi" w:eastAsia="Times New Roman" w:hAnsiTheme="minorHAnsi" w:cstheme="minorHAnsi"/>
          <w:color w:val="000000"/>
          <w:sz w:val="24"/>
          <w:szCs w:val="24"/>
          <w:lang w:eastAsia="en-AU"/>
        </w:rPr>
        <w:t>Chemically, dexrazoxane is (S)-4,4'-(1-methyl-1,2-</w:t>
      </w:r>
      <w:proofErr w:type="gramStart"/>
      <w:r w:rsidRPr="003C088B">
        <w:rPr>
          <w:rFonts w:asciiTheme="minorHAnsi" w:eastAsia="Times New Roman" w:hAnsiTheme="minorHAnsi" w:cstheme="minorHAnsi"/>
          <w:color w:val="000000"/>
          <w:sz w:val="24"/>
          <w:szCs w:val="24"/>
          <w:lang w:eastAsia="en-AU"/>
        </w:rPr>
        <w:t>ethanediyl)bis</w:t>
      </w:r>
      <w:proofErr w:type="gramEnd"/>
      <w:r w:rsidRPr="003C088B">
        <w:rPr>
          <w:rFonts w:asciiTheme="minorHAnsi" w:eastAsia="Times New Roman" w:hAnsiTheme="minorHAnsi" w:cstheme="minorHAnsi"/>
          <w:color w:val="000000"/>
          <w:sz w:val="24"/>
          <w:szCs w:val="24"/>
          <w:lang w:eastAsia="en-AU"/>
        </w:rPr>
        <w:t xml:space="preserve">-2,6-piperazinedione. </w:t>
      </w:r>
    </w:p>
    <w:p w14:paraId="70816F9E" w14:textId="61C793E8" w:rsidR="008C686B" w:rsidRPr="00DA7D70" w:rsidRDefault="008C686B" w:rsidP="005D3387">
      <w:pPr>
        <w:spacing w:before="240" w:after="240" w:line="276" w:lineRule="auto"/>
        <w:ind w:left="426"/>
        <w:rPr>
          <w:b/>
          <w:sz w:val="28"/>
          <w:highlight w:val="yellow"/>
        </w:rPr>
      </w:pPr>
      <w:r w:rsidRPr="00A55D2C">
        <w:rPr>
          <w:b/>
          <w:sz w:val="24"/>
          <w:szCs w:val="24"/>
        </w:rPr>
        <w:t>Chemical</w:t>
      </w:r>
      <w:r w:rsidRPr="00A55D2C">
        <w:rPr>
          <w:b/>
          <w:spacing w:val="-6"/>
          <w:sz w:val="24"/>
          <w:szCs w:val="24"/>
        </w:rPr>
        <w:t xml:space="preserve"> </w:t>
      </w:r>
      <w:r w:rsidRPr="00A55D2C">
        <w:rPr>
          <w:b/>
          <w:sz w:val="24"/>
          <w:szCs w:val="24"/>
        </w:rPr>
        <w:t>structure</w:t>
      </w:r>
    </w:p>
    <w:p w14:paraId="18A03270" w14:textId="279C4342" w:rsidR="007F1964" w:rsidRPr="00DA7D70" w:rsidRDefault="00676C4F" w:rsidP="005D3387">
      <w:pPr>
        <w:spacing w:before="41" w:line="276" w:lineRule="auto"/>
        <w:ind w:left="426"/>
        <w:rPr>
          <w:b/>
          <w:highlight w:val="yellow"/>
        </w:rPr>
      </w:pPr>
      <w:r w:rsidRPr="00676C4F">
        <w:rPr>
          <w:b/>
          <w:noProof/>
        </w:rPr>
        <w:lastRenderedPageBreak/>
        <w:drawing>
          <wp:inline distT="0" distB="0" distL="0" distR="0" wp14:anchorId="7EDC094E" wp14:editId="1F004569">
            <wp:extent cx="1816100" cy="105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223" t="1776" r="2902"/>
                    <a:stretch/>
                  </pic:blipFill>
                  <pic:spPr bwMode="auto">
                    <a:xfrm>
                      <a:off x="0" y="0"/>
                      <a:ext cx="1821646" cy="1056682"/>
                    </a:xfrm>
                    <a:prstGeom prst="rect">
                      <a:avLst/>
                    </a:prstGeom>
                    <a:noFill/>
                    <a:ln>
                      <a:noFill/>
                    </a:ln>
                    <a:extLst>
                      <a:ext uri="{53640926-AAD7-44D8-BBD7-CCE9431645EC}">
                        <a14:shadowObscured xmlns:a14="http://schemas.microsoft.com/office/drawing/2010/main"/>
                      </a:ext>
                    </a:extLst>
                  </pic:spPr>
                </pic:pic>
              </a:graphicData>
            </a:graphic>
          </wp:inline>
        </w:drawing>
      </w:r>
    </w:p>
    <w:p w14:paraId="42C94F65" w14:textId="77777777" w:rsidR="007F1964" w:rsidRPr="00DA7D70" w:rsidRDefault="007F1964" w:rsidP="005D3387">
      <w:pPr>
        <w:widowControl/>
        <w:adjustRightInd w:val="0"/>
        <w:spacing w:line="276" w:lineRule="auto"/>
        <w:ind w:left="426"/>
        <w:rPr>
          <w:rFonts w:ascii="Times New Roman" w:eastAsiaTheme="minorHAnsi" w:hAnsi="Times New Roman" w:cs="Times New Roman"/>
          <w:color w:val="000000"/>
          <w:sz w:val="24"/>
          <w:szCs w:val="24"/>
          <w:highlight w:val="yellow"/>
        </w:rPr>
      </w:pPr>
    </w:p>
    <w:p w14:paraId="6A77AFA2" w14:textId="10FEB2D1" w:rsidR="00355187" w:rsidRPr="008F0F3B" w:rsidRDefault="008F0F3B" w:rsidP="005D3387">
      <w:pPr>
        <w:pStyle w:val="Default"/>
        <w:spacing w:line="276" w:lineRule="auto"/>
        <w:ind w:left="426"/>
        <w:rPr>
          <w:rFonts w:asciiTheme="minorHAnsi" w:eastAsia="Times New Roman" w:hAnsiTheme="minorHAnsi" w:cstheme="minorHAnsi"/>
          <w:lang w:val="en-AU" w:eastAsia="en-AU"/>
        </w:rPr>
      </w:pPr>
      <w:r w:rsidRPr="009B4B4A">
        <w:rPr>
          <w:rFonts w:asciiTheme="minorHAnsi" w:eastAsia="Times New Roman" w:hAnsiTheme="minorHAnsi" w:cstheme="minorHAnsi"/>
          <w:lang w:val="en-AU" w:eastAsia="en-AU"/>
        </w:rPr>
        <w:t xml:space="preserve">It has the molecular formula </w:t>
      </w:r>
      <w:r w:rsidR="00676C4F" w:rsidRPr="00676C4F">
        <w:rPr>
          <w:rFonts w:asciiTheme="minorHAnsi" w:eastAsia="Times New Roman" w:hAnsiTheme="minorHAnsi" w:cstheme="minorHAnsi"/>
          <w:lang w:val="en-AU" w:eastAsia="en-AU"/>
        </w:rPr>
        <w:t>C</w:t>
      </w:r>
      <w:r w:rsidR="00676C4F" w:rsidRPr="00676C4F">
        <w:rPr>
          <w:rFonts w:asciiTheme="minorHAnsi" w:eastAsia="Times New Roman" w:hAnsiTheme="minorHAnsi" w:cstheme="minorHAnsi"/>
          <w:vertAlign w:val="subscript"/>
          <w:lang w:val="en-AU" w:eastAsia="en-AU"/>
        </w:rPr>
        <w:t>11</w:t>
      </w:r>
      <w:r w:rsidR="00676C4F" w:rsidRPr="00676C4F">
        <w:rPr>
          <w:rFonts w:asciiTheme="minorHAnsi" w:eastAsia="Times New Roman" w:hAnsiTheme="minorHAnsi" w:cstheme="minorHAnsi"/>
          <w:lang w:val="en-AU" w:eastAsia="en-AU"/>
        </w:rPr>
        <w:t>H</w:t>
      </w:r>
      <w:r w:rsidR="00676C4F" w:rsidRPr="00676C4F">
        <w:rPr>
          <w:rFonts w:asciiTheme="minorHAnsi" w:eastAsia="Times New Roman" w:hAnsiTheme="minorHAnsi" w:cstheme="minorHAnsi"/>
          <w:vertAlign w:val="subscript"/>
          <w:lang w:val="en-AU" w:eastAsia="en-AU"/>
        </w:rPr>
        <w:t>16</w:t>
      </w:r>
      <w:r w:rsidR="00676C4F" w:rsidRPr="00676C4F">
        <w:rPr>
          <w:rFonts w:asciiTheme="minorHAnsi" w:eastAsia="Times New Roman" w:hAnsiTheme="minorHAnsi" w:cstheme="minorHAnsi"/>
          <w:lang w:val="en-AU" w:eastAsia="en-AU"/>
        </w:rPr>
        <w:t>N</w:t>
      </w:r>
      <w:r w:rsidR="00676C4F" w:rsidRPr="00676C4F">
        <w:rPr>
          <w:rFonts w:asciiTheme="minorHAnsi" w:eastAsia="Times New Roman" w:hAnsiTheme="minorHAnsi" w:cstheme="minorHAnsi"/>
          <w:vertAlign w:val="subscript"/>
          <w:lang w:val="en-AU" w:eastAsia="en-AU"/>
        </w:rPr>
        <w:t>4</w:t>
      </w:r>
      <w:r w:rsidR="00676C4F" w:rsidRPr="00676C4F">
        <w:rPr>
          <w:rFonts w:asciiTheme="minorHAnsi" w:eastAsia="Times New Roman" w:hAnsiTheme="minorHAnsi" w:cstheme="minorHAnsi"/>
          <w:lang w:val="en-AU" w:eastAsia="en-AU"/>
        </w:rPr>
        <w:t>O</w:t>
      </w:r>
      <w:r w:rsidR="00676C4F" w:rsidRPr="00676C4F">
        <w:rPr>
          <w:rFonts w:asciiTheme="minorHAnsi" w:eastAsia="Times New Roman" w:hAnsiTheme="minorHAnsi" w:cstheme="minorHAnsi"/>
          <w:vertAlign w:val="subscript"/>
          <w:lang w:val="en-AU" w:eastAsia="en-AU"/>
        </w:rPr>
        <w:t>4</w:t>
      </w:r>
      <w:r w:rsidRPr="009B4B4A">
        <w:rPr>
          <w:rFonts w:asciiTheme="minorHAnsi" w:eastAsia="Times New Roman" w:hAnsiTheme="minorHAnsi" w:cstheme="minorHAnsi"/>
          <w:lang w:val="en-AU" w:eastAsia="en-AU"/>
        </w:rPr>
        <w:t xml:space="preserve"> and a molecular weight of </w:t>
      </w:r>
      <w:r w:rsidR="00676C4F" w:rsidRPr="00676C4F">
        <w:rPr>
          <w:rFonts w:asciiTheme="minorHAnsi" w:eastAsia="Times New Roman" w:hAnsiTheme="minorHAnsi" w:cstheme="minorHAnsi"/>
          <w:lang w:val="en-AU" w:eastAsia="en-AU"/>
        </w:rPr>
        <w:t>268.28</w:t>
      </w:r>
      <w:r w:rsidRPr="009B4B4A">
        <w:rPr>
          <w:rFonts w:asciiTheme="minorHAnsi" w:eastAsia="Times New Roman" w:hAnsiTheme="minorHAnsi" w:cstheme="minorHAnsi"/>
          <w:lang w:val="en-AU" w:eastAsia="en-AU"/>
        </w:rPr>
        <w:t xml:space="preserve">. </w:t>
      </w:r>
    </w:p>
    <w:p w14:paraId="20AA18F2" w14:textId="77777777" w:rsidR="00F26DD5" w:rsidRDefault="00F26DD5" w:rsidP="005D3387">
      <w:pPr>
        <w:pStyle w:val="Heading1"/>
        <w:tabs>
          <w:tab w:val="left" w:pos="973"/>
          <w:tab w:val="left" w:pos="975"/>
        </w:tabs>
        <w:spacing w:before="126" w:line="276" w:lineRule="auto"/>
        <w:ind w:left="993" w:firstLine="0"/>
        <w:rPr>
          <w:b w:val="0"/>
          <w:bCs w:val="0"/>
          <w:sz w:val="8"/>
          <w:szCs w:val="23"/>
        </w:rPr>
      </w:pPr>
    </w:p>
    <w:p w14:paraId="43E5F3C3" w14:textId="77777777" w:rsidR="008C686B" w:rsidRPr="00DE57DB" w:rsidRDefault="008C686B" w:rsidP="005D3387">
      <w:pPr>
        <w:pStyle w:val="Heading1"/>
        <w:numPr>
          <w:ilvl w:val="0"/>
          <w:numId w:val="2"/>
        </w:numPr>
        <w:tabs>
          <w:tab w:val="left" w:pos="973"/>
          <w:tab w:val="left" w:pos="975"/>
        </w:tabs>
        <w:spacing w:before="240" w:after="240" w:line="276" w:lineRule="auto"/>
        <w:ind w:left="976" w:hanging="550"/>
      </w:pPr>
      <w:r w:rsidRPr="00DE57DB">
        <w:t>MEDICINE SCHEDULE (POISONS STANDARD)</w:t>
      </w:r>
    </w:p>
    <w:p w14:paraId="29481F46" w14:textId="021AEB65" w:rsidR="00764E4C" w:rsidRPr="00C02903" w:rsidRDefault="008C686B" w:rsidP="005D3387">
      <w:pPr>
        <w:pStyle w:val="Heading1"/>
        <w:tabs>
          <w:tab w:val="left" w:pos="973"/>
          <w:tab w:val="left" w:pos="975"/>
        </w:tabs>
        <w:spacing w:before="240" w:after="240" w:line="276" w:lineRule="auto"/>
        <w:ind w:left="976" w:hanging="550"/>
        <w:rPr>
          <w:b w:val="0"/>
          <w:sz w:val="23"/>
          <w:szCs w:val="23"/>
        </w:rPr>
      </w:pPr>
      <w:r w:rsidRPr="00D847C4">
        <w:rPr>
          <w:b w:val="0"/>
          <w:sz w:val="23"/>
          <w:szCs w:val="23"/>
        </w:rPr>
        <w:t>S4</w:t>
      </w:r>
      <w:r w:rsidRPr="00D847C4">
        <w:rPr>
          <w:b w:val="0"/>
          <w:spacing w:val="-2"/>
          <w:sz w:val="23"/>
          <w:szCs w:val="23"/>
        </w:rPr>
        <w:t xml:space="preserve"> </w:t>
      </w:r>
      <w:r w:rsidRPr="00D847C4">
        <w:rPr>
          <w:b w:val="0"/>
          <w:sz w:val="23"/>
          <w:szCs w:val="23"/>
        </w:rPr>
        <w:t>-</w:t>
      </w:r>
      <w:r w:rsidRPr="00D847C4">
        <w:rPr>
          <w:b w:val="0"/>
          <w:spacing w:val="-6"/>
          <w:sz w:val="23"/>
          <w:szCs w:val="23"/>
        </w:rPr>
        <w:t xml:space="preserve"> </w:t>
      </w:r>
      <w:r w:rsidRPr="00D847C4">
        <w:rPr>
          <w:b w:val="0"/>
          <w:sz w:val="23"/>
          <w:szCs w:val="23"/>
        </w:rPr>
        <w:t>Pre</w:t>
      </w:r>
      <w:r w:rsidRPr="00775689">
        <w:rPr>
          <w:b w:val="0"/>
          <w:sz w:val="24"/>
          <w:szCs w:val="24"/>
        </w:rPr>
        <w:t>scription</w:t>
      </w:r>
      <w:r w:rsidRPr="00D847C4">
        <w:rPr>
          <w:b w:val="0"/>
          <w:spacing w:val="-6"/>
          <w:sz w:val="23"/>
          <w:szCs w:val="23"/>
        </w:rPr>
        <w:t xml:space="preserve"> </w:t>
      </w:r>
      <w:r w:rsidRPr="00D847C4">
        <w:rPr>
          <w:b w:val="0"/>
          <w:sz w:val="23"/>
          <w:szCs w:val="23"/>
        </w:rPr>
        <w:t>only</w:t>
      </w:r>
      <w:r w:rsidRPr="00D847C4">
        <w:rPr>
          <w:b w:val="0"/>
          <w:spacing w:val="-7"/>
          <w:sz w:val="23"/>
          <w:szCs w:val="23"/>
        </w:rPr>
        <w:t xml:space="preserve"> </w:t>
      </w:r>
      <w:r w:rsidRPr="00D847C4">
        <w:rPr>
          <w:b w:val="0"/>
          <w:sz w:val="23"/>
          <w:szCs w:val="23"/>
        </w:rPr>
        <w:t>medicine</w:t>
      </w:r>
    </w:p>
    <w:p w14:paraId="7AE813BF" w14:textId="5CA511F2" w:rsidR="00185494" w:rsidRPr="00DE57DB" w:rsidRDefault="00185494" w:rsidP="005D3387">
      <w:pPr>
        <w:pStyle w:val="Heading1"/>
        <w:numPr>
          <w:ilvl w:val="0"/>
          <w:numId w:val="2"/>
        </w:numPr>
        <w:tabs>
          <w:tab w:val="left" w:pos="973"/>
          <w:tab w:val="left" w:pos="975"/>
        </w:tabs>
        <w:spacing w:before="240" w:after="240" w:line="276" w:lineRule="auto"/>
        <w:ind w:left="976" w:hanging="550"/>
      </w:pPr>
      <w:bookmarkStart w:id="19" w:name="6_Pharmaceutical_particulars"/>
      <w:bookmarkStart w:id="20" w:name="6.4_Special_precautions_for_storage"/>
      <w:bookmarkStart w:id="21" w:name="6.6_Special_precautions_for_disposal"/>
      <w:bookmarkStart w:id="22" w:name="6.7_Physicochemical_properties"/>
      <w:bookmarkEnd w:id="19"/>
      <w:bookmarkEnd w:id="20"/>
      <w:bookmarkEnd w:id="21"/>
      <w:bookmarkEnd w:id="22"/>
      <w:r w:rsidRPr="00DE57DB">
        <w:t>SPONSOR</w:t>
      </w:r>
    </w:p>
    <w:p w14:paraId="26710AC4" w14:textId="77777777" w:rsidR="00185494" w:rsidRPr="00DE57DB" w:rsidRDefault="00185494" w:rsidP="005D3387">
      <w:pPr>
        <w:pStyle w:val="BodyText"/>
        <w:spacing w:before="0" w:line="276" w:lineRule="auto"/>
        <w:ind w:left="426"/>
        <w:jc w:val="left"/>
        <w:rPr>
          <w:spacing w:val="-49"/>
        </w:rPr>
      </w:pPr>
      <w:r w:rsidRPr="00DE57DB">
        <w:t>Reach Pharmaceuticals Pty Ltd</w:t>
      </w:r>
      <w:r w:rsidRPr="00DE57DB">
        <w:rPr>
          <w:spacing w:val="-49"/>
        </w:rPr>
        <w:t xml:space="preserve"> </w:t>
      </w:r>
    </w:p>
    <w:p w14:paraId="59B6BBF2" w14:textId="77777777" w:rsidR="00185494" w:rsidRPr="00DE57DB" w:rsidRDefault="00185494" w:rsidP="005D3387">
      <w:pPr>
        <w:pStyle w:val="BodyText"/>
        <w:spacing w:before="0" w:line="276" w:lineRule="auto"/>
        <w:ind w:left="426"/>
        <w:jc w:val="left"/>
        <w:rPr>
          <w:spacing w:val="1"/>
        </w:rPr>
      </w:pPr>
      <w:r w:rsidRPr="00DE57DB">
        <w:rPr>
          <w:spacing w:val="1"/>
        </w:rPr>
        <w:t>Ground Floor</w:t>
      </w:r>
      <w:r w:rsidRPr="00DE57DB">
        <w:t>, Corporate One</w:t>
      </w:r>
      <w:r w:rsidRPr="00DE57DB">
        <w:rPr>
          <w:spacing w:val="1"/>
        </w:rPr>
        <w:t xml:space="preserve"> </w:t>
      </w:r>
    </w:p>
    <w:p w14:paraId="48D2DD06" w14:textId="77777777" w:rsidR="00764E4C" w:rsidRPr="00DE57DB" w:rsidRDefault="00185494" w:rsidP="005D3387">
      <w:pPr>
        <w:pStyle w:val="BodyText"/>
        <w:spacing w:before="0" w:line="276" w:lineRule="auto"/>
        <w:ind w:left="426"/>
        <w:jc w:val="left"/>
      </w:pPr>
      <w:r w:rsidRPr="00DE57DB">
        <w:t xml:space="preserve">84 Hotham Rd, </w:t>
      </w:r>
    </w:p>
    <w:p w14:paraId="52551C56" w14:textId="64666F90" w:rsidR="00185494" w:rsidRPr="00DE57DB" w:rsidRDefault="00185494" w:rsidP="005D3387">
      <w:pPr>
        <w:pStyle w:val="BodyText"/>
        <w:spacing w:before="0" w:line="276" w:lineRule="auto"/>
        <w:ind w:left="426"/>
        <w:jc w:val="left"/>
      </w:pPr>
      <w:r w:rsidRPr="00DE57DB">
        <w:t>Preston VIC 3072</w:t>
      </w:r>
    </w:p>
    <w:p w14:paraId="262CFEE3" w14:textId="4EE49C37" w:rsidR="00185494" w:rsidRPr="00DE57DB" w:rsidRDefault="00185494" w:rsidP="005D3387">
      <w:pPr>
        <w:pStyle w:val="BodyText"/>
        <w:spacing w:before="0" w:line="276" w:lineRule="auto"/>
        <w:ind w:left="426"/>
        <w:jc w:val="left"/>
        <w:rPr>
          <w:color w:val="0000FF"/>
          <w:u w:val="single" w:color="0000FF"/>
        </w:rPr>
      </w:pPr>
      <w:hyperlink r:id="rId13">
        <w:r w:rsidRPr="00DE57DB">
          <w:rPr>
            <w:color w:val="0000FF"/>
            <w:u w:val="single" w:color="0000FF"/>
          </w:rPr>
          <w:t>medical@reach-pharma.com</w:t>
        </w:r>
      </w:hyperlink>
    </w:p>
    <w:p w14:paraId="3349D760" w14:textId="77777777" w:rsidR="00764E4C" w:rsidRPr="00DE57DB" w:rsidRDefault="00764E4C" w:rsidP="005D3387">
      <w:pPr>
        <w:pStyle w:val="BodyText"/>
        <w:spacing w:before="0" w:line="276" w:lineRule="auto"/>
        <w:ind w:left="539"/>
        <w:jc w:val="left"/>
        <w:rPr>
          <w:spacing w:val="1"/>
        </w:rPr>
      </w:pPr>
    </w:p>
    <w:p w14:paraId="5DFA8DCF" w14:textId="77777777" w:rsidR="00185494" w:rsidRPr="00DE57DB" w:rsidRDefault="00185494" w:rsidP="005D3387">
      <w:pPr>
        <w:spacing w:line="276" w:lineRule="auto"/>
        <w:rPr>
          <w:sz w:val="12"/>
        </w:rPr>
      </w:pPr>
    </w:p>
    <w:p w14:paraId="701F224D" w14:textId="77777777" w:rsidR="00185494" w:rsidRPr="00DE57DB" w:rsidRDefault="00185494" w:rsidP="005D3387">
      <w:pPr>
        <w:pStyle w:val="Heading1"/>
        <w:numPr>
          <w:ilvl w:val="0"/>
          <w:numId w:val="2"/>
        </w:numPr>
        <w:tabs>
          <w:tab w:val="left" w:pos="973"/>
          <w:tab w:val="left" w:pos="975"/>
        </w:tabs>
        <w:spacing w:before="44" w:after="240" w:line="276" w:lineRule="auto"/>
        <w:ind w:left="976" w:hanging="550"/>
      </w:pPr>
      <w:r w:rsidRPr="00DE57DB">
        <w:t>DATE</w:t>
      </w:r>
      <w:r w:rsidRPr="00DE57DB">
        <w:rPr>
          <w:spacing w:val="-4"/>
        </w:rPr>
        <w:t xml:space="preserve"> </w:t>
      </w:r>
      <w:r w:rsidRPr="00DE57DB">
        <w:t>OF</w:t>
      </w:r>
      <w:r w:rsidRPr="00DE57DB">
        <w:rPr>
          <w:spacing w:val="-2"/>
        </w:rPr>
        <w:t xml:space="preserve"> </w:t>
      </w:r>
      <w:r w:rsidRPr="00DE57DB">
        <w:t>FIRST</w:t>
      </w:r>
      <w:r w:rsidRPr="00DE57DB">
        <w:rPr>
          <w:spacing w:val="-3"/>
        </w:rPr>
        <w:t xml:space="preserve"> </w:t>
      </w:r>
      <w:r w:rsidRPr="00DE57DB">
        <w:t>APPROVAL</w:t>
      </w:r>
    </w:p>
    <w:p w14:paraId="7573D796" w14:textId="317D6BC2" w:rsidR="00185494" w:rsidRDefault="00874BCC" w:rsidP="005D3387">
      <w:pPr>
        <w:pStyle w:val="BodyText"/>
        <w:spacing w:before="169" w:line="276" w:lineRule="auto"/>
        <w:ind w:left="426"/>
        <w:jc w:val="left"/>
      </w:pPr>
      <w:r>
        <w:t>24</w:t>
      </w:r>
      <w:r w:rsidRPr="00DE1A11">
        <w:rPr>
          <w:vertAlign w:val="superscript"/>
        </w:rPr>
        <w:t>th</w:t>
      </w:r>
      <w:r w:rsidR="00DE1A11">
        <w:t xml:space="preserve"> </w:t>
      </w:r>
      <w:r>
        <w:t>March 2025</w:t>
      </w:r>
    </w:p>
    <w:p w14:paraId="1EF82D1A" w14:textId="77777777" w:rsidR="00091EC6" w:rsidRPr="00DE57DB" w:rsidRDefault="00091EC6" w:rsidP="005D3387">
      <w:pPr>
        <w:pStyle w:val="BodyText"/>
        <w:spacing w:before="169" w:line="276" w:lineRule="auto"/>
        <w:ind w:left="426"/>
        <w:jc w:val="left"/>
      </w:pPr>
    </w:p>
    <w:p w14:paraId="782279D1" w14:textId="77777777" w:rsidR="00185494" w:rsidRPr="00DE57DB" w:rsidRDefault="00185494" w:rsidP="005D3387">
      <w:pPr>
        <w:pStyle w:val="Heading1"/>
        <w:numPr>
          <w:ilvl w:val="0"/>
          <w:numId w:val="2"/>
        </w:numPr>
        <w:tabs>
          <w:tab w:val="left" w:pos="975"/>
        </w:tabs>
        <w:spacing w:before="240" w:after="240" w:line="276" w:lineRule="auto"/>
        <w:ind w:left="976" w:hanging="550"/>
      </w:pPr>
      <w:bookmarkStart w:id="23" w:name="10_Date_of_revision"/>
      <w:bookmarkEnd w:id="23"/>
      <w:r w:rsidRPr="00DE57DB">
        <w:t>DATE</w:t>
      </w:r>
      <w:r w:rsidRPr="00DE57DB">
        <w:rPr>
          <w:spacing w:val="-4"/>
        </w:rPr>
        <w:t xml:space="preserve"> </w:t>
      </w:r>
      <w:r w:rsidRPr="00DE57DB">
        <w:t>OF</w:t>
      </w:r>
      <w:r w:rsidRPr="00DE57DB">
        <w:rPr>
          <w:spacing w:val="-2"/>
        </w:rPr>
        <w:t xml:space="preserve"> </w:t>
      </w:r>
      <w:r w:rsidRPr="00DE57DB">
        <w:t>REVISION</w:t>
      </w:r>
    </w:p>
    <w:p w14:paraId="5DA84F85" w14:textId="127DE3A0" w:rsidR="00185494" w:rsidRPr="00DE57DB" w:rsidRDefault="00185494" w:rsidP="005D3387">
      <w:pPr>
        <w:pStyle w:val="BodyText"/>
        <w:spacing w:before="169" w:line="276" w:lineRule="auto"/>
        <w:ind w:left="426"/>
        <w:jc w:val="left"/>
      </w:pPr>
      <w:r w:rsidRPr="00DE57DB">
        <w:t>TBA</w:t>
      </w:r>
    </w:p>
    <w:p w14:paraId="02923E74" w14:textId="3F72AD00" w:rsidR="00764E4C" w:rsidRPr="00DE57DB" w:rsidRDefault="00764E4C" w:rsidP="005D3387">
      <w:pPr>
        <w:pStyle w:val="BodyText"/>
        <w:spacing w:before="169" w:line="276" w:lineRule="auto"/>
        <w:ind w:left="426"/>
        <w:jc w:val="left"/>
      </w:pPr>
    </w:p>
    <w:p w14:paraId="1CFF8041" w14:textId="079D4644" w:rsidR="00185494" w:rsidRPr="00D847C4" w:rsidRDefault="00185494" w:rsidP="005D3387">
      <w:pPr>
        <w:spacing w:before="240" w:after="240" w:line="276" w:lineRule="auto"/>
        <w:ind w:left="426"/>
        <w:rPr>
          <w:b/>
          <w:sz w:val="23"/>
          <w:szCs w:val="23"/>
        </w:rPr>
      </w:pPr>
      <w:bookmarkStart w:id="24" w:name="Summary_table_of_changes"/>
      <w:bookmarkEnd w:id="24"/>
      <w:r w:rsidRPr="00D847C4">
        <w:rPr>
          <w:b/>
          <w:sz w:val="23"/>
          <w:szCs w:val="23"/>
        </w:rPr>
        <w:t>SUMMARY</w:t>
      </w:r>
      <w:r w:rsidRPr="00D847C4">
        <w:rPr>
          <w:b/>
          <w:spacing w:val="-4"/>
          <w:sz w:val="23"/>
          <w:szCs w:val="23"/>
        </w:rPr>
        <w:t xml:space="preserve"> </w:t>
      </w:r>
      <w:r w:rsidRPr="00D847C4">
        <w:rPr>
          <w:b/>
          <w:sz w:val="23"/>
          <w:szCs w:val="23"/>
        </w:rPr>
        <w:t>TABLE</w:t>
      </w:r>
      <w:r w:rsidRPr="00D847C4">
        <w:rPr>
          <w:b/>
          <w:spacing w:val="-4"/>
          <w:sz w:val="23"/>
          <w:szCs w:val="23"/>
        </w:rPr>
        <w:t xml:space="preserve"> </w:t>
      </w:r>
      <w:r w:rsidRPr="00D847C4">
        <w:rPr>
          <w:b/>
          <w:sz w:val="23"/>
          <w:szCs w:val="23"/>
        </w:rPr>
        <w:t>OF</w:t>
      </w:r>
      <w:r w:rsidRPr="00D847C4">
        <w:rPr>
          <w:b/>
          <w:spacing w:val="-3"/>
          <w:sz w:val="23"/>
          <w:szCs w:val="23"/>
        </w:rPr>
        <w:t xml:space="preserve"> </w:t>
      </w:r>
      <w:r w:rsidRPr="00D847C4">
        <w:rPr>
          <w:b/>
          <w:sz w:val="23"/>
          <w:szCs w:val="23"/>
        </w:rPr>
        <w:t>CHANGES</w:t>
      </w:r>
    </w:p>
    <w:tbl>
      <w:tblPr>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79"/>
        <w:gridCol w:w="4083"/>
      </w:tblGrid>
      <w:tr w:rsidR="00185494" w:rsidRPr="0024376B" w14:paraId="6CAC1EAC" w14:textId="77777777" w:rsidTr="00615FBC">
        <w:trPr>
          <w:trHeight w:val="27"/>
        </w:trPr>
        <w:tc>
          <w:tcPr>
            <w:tcW w:w="2579" w:type="dxa"/>
            <w:tcBorders>
              <w:bottom w:val="single" w:sz="18" w:space="0" w:color="000000"/>
            </w:tcBorders>
            <w:shd w:val="clear" w:color="auto" w:fill="F1F1F1"/>
            <w:vAlign w:val="center"/>
          </w:tcPr>
          <w:p w14:paraId="2DE4E7D9" w14:textId="77777777" w:rsidR="00185494" w:rsidRPr="00D847C4" w:rsidRDefault="00185494" w:rsidP="005D3387">
            <w:pPr>
              <w:pStyle w:val="TableParagraph"/>
              <w:spacing w:before="58" w:line="276" w:lineRule="auto"/>
              <w:ind w:left="391"/>
              <w:rPr>
                <w:b/>
                <w:sz w:val="23"/>
                <w:szCs w:val="23"/>
              </w:rPr>
            </w:pPr>
            <w:r w:rsidRPr="00D847C4">
              <w:rPr>
                <w:b/>
                <w:sz w:val="23"/>
                <w:szCs w:val="23"/>
              </w:rPr>
              <w:t>Section</w:t>
            </w:r>
            <w:r w:rsidRPr="00D847C4">
              <w:rPr>
                <w:b/>
                <w:spacing w:val="1"/>
                <w:sz w:val="23"/>
                <w:szCs w:val="23"/>
              </w:rPr>
              <w:t xml:space="preserve"> </w:t>
            </w:r>
            <w:r w:rsidRPr="00D847C4">
              <w:rPr>
                <w:b/>
                <w:spacing w:val="-1"/>
                <w:sz w:val="23"/>
                <w:szCs w:val="23"/>
              </w:rPr>
              <w:t>Changed</w:t>
            </w:r>
          </w:p>
        </w:tc>
        <w:tc>
          <w:tcPr>
            <w:tcW w:w="4083" w:type="dxa"/>
            <w:tcBorders>
              <w:bottom w:val="single" w:sz="18" w:space="0" w:color="000000"/>
            </w:tcBorders>
            <w:shd w:val="clear" w:color="auto" w:fill="F1F1F1"/>
            <w:vAlign w:val="center"/>
          </w:tcPr>
          <w:p w14:paraId="132E2773" w14:textId="77777777" w:rsidR="00185494" w:rsidRPr="00D847C4" w:rsidRDefault="00185494" w:rsidP="005D3387">
            <w:pPr>
              <w:pStyle w:val="TableParagraph"/>
              <w:spacing w:before="0" w:line="276" w:lineRule="auto"/>
              <w:ind w:left="390"/>
              <w:rPr>
                <w:b/>
                <w:sz w:val="23"/>
                <w:szCs w:val="23"/>
              </w:rPr>
            </w:pPr>
            <w:r w:rsidRPr="00D847C4">
              <w:rPr>
                <w:b/>
                <w:sz w:val="23"/>
                <w:szCs w:val="23"/>
              </w:rPr>
              <w:t>Summary</w:t>
            </w:r>
            <w:r w:rsidRPr="00D847C4">
              <w:rPr>
                <w:b/>
                <w:spacing w:val="-3"/>
                <w:sz w:val="23"/>
                <w:szCs w:val="23"/>
              </w:rPr>
              <w:t xml:space="preserve"> </w:t>
            </w:r>
            <w:r w:rsidRPr="00D847C4">
              <w:rPr>
                <w:b/>
                <w:sz w:val="23"/>
                <w:szCs w:val="23"/>
              </w:rPr>
              <w:t>of</w:t>
            </w:r>
            <w:r w:rsidRPr="00D847C4">
              <w:rPr>
                <w:b/>
                <w:spacing w:val="-2"/>
                <w:sz w:val="23"/>
                <w:szCs w:val="23"/>
              </w:rPr>
              <w:t xml:space="preserve"> </w:t>
            </w:r>
            <w:r w:rsidRPr="00D847C4">
              <w:rPr>
                <w:b/>
                <w:sz w:val="23"/>
                <w:szCs w:val="23"/>
              </w:rPr>
              <w:t>new</w:t>
            </w:r>
            <w:r w:rsidRPr="00D847C4">
              <w:rPr>
                <w:b/>
                <w:spacing w:val="-2"/>
                <w:sz w:val="23"/>
                <w:szCs w:val="23"/>
              </w:rPr>
              <w:t xml:space="preserve"> </w:t>
            </w:r>
            <w:r w:rsidRPr="00D847C4">
              <w:rPr>
                <w:b/>
                <w:sz w:val="23"/>
                <w:szCs w:val="23"/>
              </w:rPr>
              <w:t>information</w:t>
            </w:r>
          </w:p>
        </w:tc>
      </w:tr>
      <w:tr w:rsidR="00185494" w:rsidRPr="0024376B" w14:paraId="5C38E2B4" w14:textId="77777777" w:rsidTr="00615FBC">
        <w:trPr>
          <w:trHeight w:val="236"/>
        </w:trPr>
        <w:tc>
          <w:tcPr>
            <w:tcW w:w="2579" w:type="dxa"/>
            <w:tcBorders>
              <w:top w:val="single" w:sz="18" w:space="0" w:color="000000"/>
            </w:tcBorders>
          </w:tcPr>
          <w:p w14:paraId="222199A8" w14:textId="77777777" w:rsidR="00185494" w:rsidRPr="00D847C4" w:rsidRDefault="00185494" w:rsidP="005D3387">
            <w:pPr>
              <w:pStyle w:val="TableParagraph"/>
              <w:spacing w:before="0" w:line="276" w:lineRule="auto"/>
              <w:rPr>
                <w:sz w:val="23"/>
                <w:szCs w:val="23"/>
              </w:rPr>
            </w:pPr>
          </w:p>
        </w:tc>
        <w:tc>
          <w:tcPr>
            <w:tcW w:w="4083" w:type="dxa"/>
            <w:tcBorders>
              <w:top w:val="single" w:sz="18" w:space="0" w:color="000000"/>
            </w:tcBorders>
          </w:tcPr>
          <w:p w14:paraId="7E108E88" w14:textId="6D73D84B" w:rsidR="00185494" w:rsidRPr="00D847C4" w:rsidRDefault="00185494" w:rsidP="005D3387">
            <w:pPr>
              <w:pStyle w:val="TableParagraph"/>
              <w:spacing w:before="0" w:line="276" w:lineRule="auto"/>
              <w:rPr>
                <w:sz w:val="23"/>
                <w:szCs w:val="23"/>
              </w:rPr>
            </w:pPr>
            <w:r w:rsidRPr="00D847C4">
              <w:rPr>
                <w:sz w:val="23"/>
                <w:szCs w:val="23"/>
              </w:rPr>
              <w:t xml:space="preserve"> </w:t>
            </w:r>
            <w:r w:rsidR="00123F3C" w:rsidRPr="00D847C4">
              <w:rPr>
                <w:sz w:val="23"/>
                <w:szCs w:val="23"/>
              </w:rPr>
              <w:t xml:space="preserve">     </w:t>
            </w:r>
            <w:r w:rsidRPr="0024376B">
              <w:rPr>
                <w:sz w:val="23"/>
                <w:szCs w:val="23"/>
              </w:rPr>
              <w:t>New PI</w:t>
            </w:r>
          </w:p>
        </w:tc>
      </w:tr>
    </w:tbl>
    <w:p w14:paraId="6F6E247F" w14:textId="77777777" w:rsidR="00713FA7" w:rsidRPr="00DE57DB" w:rsidRDefault="00713FA7" w:rsidP="005D3387">
      <w:pPr>
        <w:pStyle w:val="BodyText"/>
        <w:spacing w:before="41" w:line="276" w:lineRule="auto"/>
        <w:ind w:left="0"/>
        <w:jc w:val="left"/>
      </w:pPr>
    </w:p>
    <w:sectPr w:rsidR="00713FA7" w:rsidRPr="00DE57DB" w:rsidSect="006C7D2F">
      <w:headerReference w:type="even" r:id="rId14"/>
      <w:headerReference w:type="default" r:id="rId15"/>
      <w:footerReference w:type="even" r:id="rId16"/>
      <w:footerReference w:type="default" r:id="rId17"/>
      <w:headerReference w:type="first" r:id="rId18"/>
      <w:footerReference w:type="first" r:id="rId19"/>
      <w:pgSz w:w="11910" w:h="16840"/>
      <w:pgMar w:top="1135" w:right="1247" w:bottom="1134" w:left="740" w:header="0"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CA32" w14:textId="77777777" w:rsidR="00F96DE2" w:rsidRDefault="00F96DE2">
      <w:r>
        <w:separator/>
      </w:r>
    </w:p>
  </w:endnote>
  <w:endnote w:type="continuationSeparator" w:id="0">
    <w:p w14:paraId="168E3728" w14:textId="77777777" w:rsidR="00F96DE2" w:rsidRDefault="00F9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Italic">
    <w:altName w:val="Calibri"/>
    <w:charset w:val="00"/>
    <w:family w:val="swiss"/>
    <w:pitch w:val="variable"/>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3C23" w14:textId="25434447" w:rsidR="00AC3EAB" w:rsidRDefault="008D1488" w:rsidP="007B0F9D">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209F1862" wp14:editId="7F6284C0">
              <wp:simplePos x="635" y="635"/>
              <wp:positionH relativeFrom="page">
                <wp:align>center</wp:align>
              </wp:positionH>
              <wp:positionV relativeFrom="page">
                <wp:align>bottom</wp:align>
              </wp:positionV>
              <wp:extent cx="551815" cy="376555"/>
              <wp:effectExtent l="0" t="0" r="635" b="0"/>
              <wp:wrapNone/>
              <wp:docPr id="14967918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1202F70" w14:textId="4AC87E9B" w:rsidR="008D1488" w:rsidRPr="008D1488" w:rsidRDefault="008D1488" w:rsidP="008D1488">
                          <w:pPr>
                            <w:rPr>
                              <w:noProof/>
                              <w:color w:val="FF0000"/>
                              <w:sz w:val="24"/>
                              <w:szCs w:val="24"/>
                            </w:rPr>
                          </w:pPr>
                          <w:r w:rsidRPr="008D1488">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F1862"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1202F70" w14:textId="4AC87E9B" w:rsidR="008D1488" w:rsidRPr="008D1488" w:rsidRDefault="008D1488" w:rsidP="008D1488">
                    <w:pPr>
                      <w:rPr>
                        <w:noProof/>
                        <w:color w:val="FF0000"/>
                        <w:sz w:val="24"/>
                        <w:szCs w:val="24"/>
                      </w:rPr>
                    </w:pPr>
                    <w:r w:rsidRPr="008D1488">
                      <w:rPr>
                        <w:noProof/>
                        <w:color w:val="FF0000"/>
                        <w:sz w:val="24"/>
                        <w:szCs w:val="24"/>
                      </w:rPr>
                      <w:t>OFFICIAL</w:t>
                    </w:r>
                  </w:p>
                </w:txbxContent>
              </v:textbox>
              <w10:wrap anchorx="page" anchory="page"/>
            </v:shape>
          </w:pict>
        </mc:Fallback>
      </mc:AlternateContent>
    </w:r>
  </w:p>
  <w:sdt>
    <w:sdtPr>
      <w:rPr>
        <w:rStyle w:val="PageNumber"/>
      </w:rPr>
      <w:id w:val="8418307"/>
      <w:docPartObj>
        <w:docPartGallery w:val="Page Numbers (Bottom of Page)"/>
        <w:docPartUnique/>
      </w:docPartObj>
    </w:sdtPr>
    <w:sdtEndPr>
      <w:rPr>
        <w:rStyle w:val="PageNumber"/>
      </w:rPr>
    </w:sdtEndPr>
    <w:sdtContent>
      <w:p w14:paraId="1F1A31FB" w14:textId="77777777" w:rsidR="00AC3EAB" w:rsidRDefault="00AC3EAB" w:rsidP="007B0F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5D34">
          <w:rPr>
            <w:rStyle w:val="PageNumber"/>
            <w:noProof/>
          </w:rPr>
          <w:t>1</w:t>
        </w:r>
        <w:r>
          <w:rPr>
            <w:rStyle w:val="PageNumber"/>
          </w:rPr>
          <w:fldChar w:fldCharType="end"/>
        </w:r>
      </w:p>
    </w:sdtContent>
  </w:sdt>
  <w:p w14:paraId="7665BE73" w14:textId="77777777" w:rsidR="00AC3EAB" w:rsidRDefault="00AC3EAB" w:rsidP="00AC3EAB">
    <w:pPr>
      <w:pStyle w:val="Footer"/>
      <w:ind w:right="360"/>
    </w:pPr>
  </w:p>
  <w:p w14:paraId="71635BE8" w14:textId="77777777" w:rsidR="00773F64" w:rsidRDefault="00773F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1F4B" w14:textId="67EDFCDF" w:rsidR="00AC3EAB" w:rsidRDefault="008D1488" w:rsidP="007B0F9D">
    <w:pPr>
      <w:pStyle w:val="Footer"/>
      <w:framePr w:wrap="none"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300AE828" wp14:editId="221EF910">
              <wp:simplePos x="6696075" y="10077450"/>
              <wp:positionH relativeFrom="page">
                <wp:align>center</wp:align>
              </wp:positionH>
              <wp:positionV relativeFrom="page">
                <wp:align>bottom</wp:align>
              </wp:positionV>
              <wp:extent cx="551815" cy="376555"/>
              <wp:effectExtent l="0" t="0" r="635" b="0"/>
              <wp:wrapNone/>
              <wp:docPr id="13833500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065830" w14:textId="31721975" w:rsidR="008D1488" w:rsidRPr="008D1488" w:rsidRDefault="008D1488" w:rsidP="008D1488">
                          <w:pPr>
                            <w:rPr>
                              <w:noProof/>
                              <w:color w:val="FF0000"/>
                              <w:sz w:val="24"/>
                              <w:szCs w:val="24"/>
                            </w:rPr>
                          </w:pPr>
                          <w:r w:rsidRPr="008D1488">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0AE828"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F065830" w14:textId="31721975" w:rsidR="008D1488" w:rsidRPr="008D1488" w:rsidRDefault="008D1488" w:rsidP="008D1488">
                    <w:pPr>
                      <w:rPr>
                        <w:noProof/>
                        <w:color w:val="FF0000"/>
                        <w:sz w:val="24"/>
                        <w:szCs w:val="24"/>
                      </w:rPr>
                    </w:pPr>
                    <w:r w:rsidRPr="008D1488">
                      <w:rPr>
                        <w:noProof/>
                        <w:color w:val="FF0000"/>
                        <w:sz w:val="24"/>
                        <w:szCs w:val="24"/>
                      </w:rPr>
                      <w:t>OFFICIAL</w:t>
                    </w:r>
                  </w:p>
                </w:txbxContent>
              </v:textbox>
              <w10:wrap anchorx="page" anchory="page"/>
            </v:shape>
          </w:pict>
        </mc:Fallback>
      </mc:AlternateContent>
    </w:r>
    <w:sdt>
      <w:sdtPr>
        <w:rPr>
          <w:rStyle w:val="PageNumber"/>
        </w:rPr>
        <w:id w:val="-402071601"/>
        <w:docPartObj>
          <w:docPartGallery w:val="Page Numbers (Bottom of Page)"/>
          <w:docPartUnique/>
        </w:docPartObj>
      </w:sdtPr>
      <w:sdtEndPr>
        <w:rPr>
          <w:rStyle w:val="PageNumber"/>
        </w:rPr>
      </w:sdtEndPr>
      <w:sdtContent>
        <w:r w:rsidR="00AC3EAB">
          <w:rPr>
            <w:rStyle w:val="PageNumber"/>
          </w:rPr>
          <w:fldChar w:fldCharType="begin"/>
        </w:r>
        <w:r w:rsidR="00AC3EAB">
          <w:rPr>
            <w:rStyle w:val="PageNumber"/>
          </w:rPr>
          <w:instrText xml:space="preserve"> PAGE </w:instrText>
        </w:r>
        <w:r w:rsidR="00AC3EAB">
          <w:rPr>
            <w:rStyle w:val="PageNumber"/>
          </w:rPr>
          <w:fldChar w:fldCharType="separate"/>
        </w:r>
        <w:r w:rsidR="00AC3EAB">
          <w:rPr>
            <w:rStyle w:val="PageNumber"/>
            <w:noProof/>
          </w:rPr>
          <w:t>8</w:t>
        </w:r>
        <w:r w:rsidR="00AC3EAB">
          <w:rPr>
            <w:rStyle w:val="PageNumber"/>
          </w:rPr>
          <w:fldChar w:fldCharType="end"/>
        </w:r>
      </w:sdtContent>
    </w:sdt>
  </w:p>
  <w:p w14:paraId="2A39A30E" w14:textId="2A5C6F42" w:rsidR="00355187" w:rsidRDefault="00676C4F" w:rsidP="009679D2">
    <w:pPr>
      <w:pStyle w:val="Footer"/>
      <w:ind w:left="426" w:right="360"/>
    </w:pPr>
    <w:r>
      <w:t>DEXRAZOXANE</w:t>
    </w:r>
    <w:r w:rsidR="00B75D34">
      <w:t xml:space="preserve">-REACH </w:t>
    </w:r>
    <w:r w:rsidR="00355187">
      <w:t>V-0</w:t>
    </w:r>
    <w:r w:rsidR="00F7540D">
      <w:t>5</w:t>
    </w:r>
  </w:p>
  <w:p w14:paraId="41E4E0D9" w14:textId="77777777" w:rsidR="00773F64" w:rsidRDefault="00773F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E180" w14:textId="74EE7181" w:rsidR="008D1488" w:rsidRDefault="008D1488">
    <w:pPr>
      <w:pStyle w:val="Footer"/>
    </w:pPr>
    <w:r>
      <w:rPr>
        <w:noProof/>
      </w:rPr>
      <mc:AlternateContent>
        <mc:Choice Requires="wps">
          <w:drawing>
            <wp:anchor distT="0" distB="0" distL="0" distR="0" simplePos="0" relativeHeight="251661312" behindDoc="0" locked="0" layoutInCell="1" allowOverlap="1" wp14:anchorId="7A85588C" wp14:editId="7717119F">
              <wp:simplePos x="635" y="635"/>
              <wp:positionH relativeFrom="page">
                <wp:align>center</wp:align>
              </wp:positionH>
              <wp:positionV relativeFrom="page">
                <wp:align>bottom</wp:align>
              </wp:positionV>
              <wp:extent cx="551815" cy="376555"/>
              <wp:effectExtent l="0" t="0" r="635" b="0"/>
              <wp:wrapNone/>
              <wp:docPr id="114535241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8F840D" w14:textId="58C9C79B" w:rsidR="008D1488" w:rsidRPr="008D1488" w:rsidRDefault="008D1488" w:rsidP="008D1488">
                          <w:pPr>
                            <w:rPr>
                              <w:noProof/>
                              <w:color w:val="FF0000"/>
                              <w:sz w:val="24"/>
                              <w:szCs w:val="24"/>
                            </w:rPr>
                          </w:pPr>
                          <w:r w:rsidRPr="008D1488">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5588C"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C8F840D" w14:textId="58C9C79B" w:rsidR="008D1488" w:rsidRPr="008D1488" w:rsidRDefault="008D1488" w:rsidP="008D1488">
                    <w:pPr>
                      <w:rPr>
                        <w:noProof/>
                        <w:color w:val="FF0000"/>
                        <w:sz w:val="24"/>
                        <w:szCs w:val="24"/>
                      </w:rPr>
                    </w:pPr>
                    <w:r w:rsidRPr="008D1488">
                      <w:rPr>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774C" w14:textId="77777777" w:rsidR="00F96DE2" w:rsidRDefault="00F96DE2">
      <w:r>
        <w:separator/>
      </w:r>
    </w:p>
  </w:footnote>
  <w:footnote w:type="continuationSeparator" w:id="0">
    <w:p w14:paraId="282AE7C7" w14:textId="77777777" w:rsidR="00F96DE2" w:rsidRDefault="00F96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71B0" w14:textId="06AEF042" w:rsidR="008D1488" w:rsidRDefault="008D1488">
    <w:pPr>
      <w:pStyle w:val="Header"/>
    </w:pPr>
    <w:r>
      <w:rPr>
        <w:noProof/>
      </w:rPr>
      <mc:AlternateContent>
        <mc:Choice Requires="wps">
          <w:drawing>
            <wp:anchor distT="0" distB="0" distL="0" distR="0" simplePos="0" relativeHeight="251659264" behindDoc="0" locked="0" layoutInCell="1" allowOverlap="1" wp14:anchorId="0043CEA6" wp14:editId="6791CD47">
              <wp:simplePos x="635" y="635"/>
              <wp:positionH relativeFrom="page">
                <wp:align>center</wp:align>
              </wp:positionH>
              <wp:positionV relativeFrom="page">
                <wp:align>top</wp:align>
              </wp:positionV>
              <wp:extent cx="551815" cy="376555"/>
              <wp:effectExtent l="0" t="0" r="635" b="4445"/>
              <wp:wrapNone/>
              <wp:docPr id="15996541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8CE2B7" w14:textId="23E27B00" w:rsidR="008D1488" w:rsidRPr="008D1488" w:rsidRDefault="008D1488" w:rsidP="008D1488">
                          <w:pPr>
                            <w:rPr>
                              <w:noProof/>
                              <w:color w:val="FF0000"/>
                              <w:sz w:val="24"/>
                              <w:szCs w:val="24"/>
                            </w:rPr>
                          </w:pPr>
                          <w:r w:rsidRPr="008D1488">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3CEA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C8CE2B7" w14:textId="23E27B00" w:rsidR="008D1488" w:rsidRPr="008D1488" w:rsidRDefault="008D1488" w:rsidP="008D1488">
                    <w:pPr>
                      <w:rPr>
                        <w:noProof/>
                        <w:color w:val="FF0000"/>
                        <w:sz w:val="24"/>
                        <w:szCs w:val="24"/>
                      </w:rPr>
                    </w:pPr>
                    <w:r w:rsidRPr="008D1488">
                      <w:rPr>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7FCD" w14:textId="77777777" w:rsidR="008D1488" w:rsidRDefault="008D1488">
    <w:pPr>
      <w:pStyle w:val="Header"/>
    </w:pPr>
  </w:p>
  <w:tbl>
    <w:tblPr>
      <w:tblStyle w:val="TableGrid"/>
      <w:tblW w:w="0" w:type="auto"/>
      <w:shd w:val="clear" w:color="auto" w:fill="E4F2E0"/>
      <w:tblLook w:val="04A0" w:firstRow="1" w:lastRow="0" w:firstColumn="1" w:lastColumn="0" w:noHBand="0" w:noVBand="1"/>
    </w:tblPr>
    <w:tblGrid>
      <w:gridCol w:w="9180"/>
    </w:tblGrid>
    <w:tr w:rsidR="000A5629" w:rsidRPr="000B2145" w14:paraId="5590703A" w14:textId="77777777" w:rsidTr="00386B5C">
      <w:trPr>
        <w:trHeight w:val="1012"/>
      </w:trPr>
      <w:tc>
        <w:tcPr>
          <w:tcW w:w="9180" w:type="dxa"/>
          <w:shd w:val="clear" w:color="auto" w:fill="E4F2E0"/>
        </w:tcPr>
        <w:p w14:paraId="389F6272" w14:textId="77777777" w:rsidR="000A5629" w:rsidRPr="000E4791" w:rsidRDefault="000A5629" w:rsidP="000A5629">
          <w:pPr>
            <w:pStyle w:val="Footer"/>
            <w:rPr>
              <w:b/>
              <w:sz w:val="18"/>
              <w:szCs w:val="18"/>
            </w:rPr>
          </w:pPr>
          <w:bookmarkStart w:id="25" w:name="_Hlk109054010"/>
          <w:r w:rsidRPr="00147673">
            <w:rPr>
              <w:b/>
              <w:bCs/>
              <w:sz w:val="18"/>
              <w:szCs w:val="18"/>
            </w:rPr>
            <w:t>AusPAR – Dexrazoxane-Reach - dexrazoxane – Reach Pharmaceuticals Pty Ltd - PM-2023-05309-1-4 V1.0 10 October 2025</w:t>
          </w:r>
          <w:r>
            <w:rPr>
              <w:b/>
              <w:bCs/>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25"/>
  </w:tbl>
  <w:p w14:paraId="6F5A77D4" w14:textId="77777777" w:rsidR="000A5629" w:rsidRPr="000A5629" w:rsidRDefault="000A5629" w:rsidP="000A5629">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6C7B" w14:textId="6D8DE36B" w:rsidR="008D1488" w:rsidRDefault="008D1488">
    <w:pPr>
      <w:pStyle w:val="Header"/>
    </w:pPr>
    <w:r>
      <w:rPr>
        <w:noProof/>
      </w:rPr>
      <mc:AlternateContent>
        <mc:Choice Requires="wps">
          <w:drawing>
            <wp:anchor distT="0" distB="0" distL="0" distR="0" simplePos="0" relativeHeight="251658240" behindDoc="0" locked="0" layoutInCell="1" allowOverlap="1" wp14:anchorId="775A7C06" wp14:editId="534C17C6">
              <wp:simplePos x="635" y="635"/>
              <wp:positionH relativeFrom="page">
                <wp:align>center</wp:align>
              </wp:positionH>
              <wp:positionV relativeFrom="page">
                <wp:align>top</wp:align>
              </wp:positionV>
              <wp:extent cx="551815" cy="376555"/>
              <wp:effectExtent l="0" t="0" r="635" b="4445"/>
              <wp:wrapNone/>
              <wp:docPr id="20737680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D9F2C9" w14:textId="5A43CF60" w:rsidR="008D1488" w:rsidRPr="008D1488" w:rsidRDefault="008D1488" w:rsidP="008D1488">
                          <w:pPr>
                            <w:rPr>
                              <w:noProof/>
                              <w:color w:val="FF0000"/>
                              <w:sz w:val="24"/>
                              <w:szCs w:val="24"/>
                            </w:rPr>
                          </w:pPr>
                          <w:r w:rsidRPr="008D1488">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5A7C06"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ED9F2C9" w14:textId="5A43CF60" w:rsidR="008D1488" w:rsidRPr="008D1488" w:rsidRDefault="008D1488" w:rsidP="008D1488">
                    <w:pPr>
                      <w:rPr>
                        <w:noProof/>
                        <w:color w:val="FF0000"/>
                        <w:sz w:val="24"/>
                        <w:szCs w:val="24"/>
                      </w:rPr>
                    </w:pPr>
                    <w:r w:rsidRPr="008D1488">
                      <w:rPr>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9B8B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37ED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24C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5A1288"/>
    <w:multiLevelType w:val="hybridMultilevel"/>
    <w:tmpl w:val="3A68F3CA"/>
    <w:lvl w:ilvl="0" w:tplc="1110FB1A">
      <w:start w:val="1"/>
      <w:numFmt w:val="lowerLetter"/>
      <w:lvlText w:val="%1"/>
      <w:lvlJc w:val="left"/>
      <w:pPr>
        <w:ind w:left="935" w:hanging="399"/>
      </w:pPr>
      <w:rPr>
        <w:rFonts w:ascii="Arial" w:eastAsia="Arial" w:hAnsi="Arial" w:cs="Arial" w:hint="default"/>
        <w:w w:val="100"/>
        <w:position w:val="8"/>
        <w:sz w:val="16"/>
        <w:szCs w:val="16"/>
        <w:lang w:val="en-AU" w:eastAsia="en-US" w:bidi="ar-SA"/>
      </w:rPr>
    </w:lvl>
    <w:lvl w:ilvl="1" w:tplc="C1568E4E">
      <w:numFmt w:val="bullet"/>
      <w:lvlText w:val="•"/>
      <w:lvlJc w:val="left"/>
      <w:pPr>
        <w:ind w:left="1918" w:hanging="399"/>
      </w:pPr>
      <w:rPr>
        <w:rFonts w:hint="default"/>
        <w:lang w:val="en-AU" w:eastAsia="en-US" w:bidi="ar-SA"/>
      </w:rPr>
    </w:lvl>
    <w:lvl w:ilvl="2" w:tplc="EF926066">
      <w:numFmt w:val="bullet"/>
      <w:lvlText w:val="•"/>
      <w:lvlJc w:val="left"/>
      <w:pPr>
        <w:ind w:left="2897" w:hanging="399"/>
      </w:pPr>
      <w:rPr>
        <w:rFonts w:hint="default"/>
        <w:lang w:val="en-AU" w:eastAsia="en-US" w:bidi="ar-SA"/>
      </w:rPr>
    </w:lvl>
    <w:lvl w:ilvl="3" w:tplc="B25AD792">
      <w:numFmt w:val="bullet"/>
      <w:lvlText w:val="•"/>
      <w:lvlJc w:val="left"/>
      <w:pPr>
        <w:ind w:left="3875" w:hanging="399"/>
      </w:pPr>
      <w:rPr>
        <w:rFonts w:hint="default"/>
        <w:lang w:val="en-AU" w:eastAsia="en-US" w:bidi="ar-SA"/>
      </w:rPr>
    </w:lvl>
    <w:lvl w:ilvl="4" w:tplc="A36E5638">
      <w:numFmt w:val="bullet"/>
      <w:lvlText w:val="•"/>
      <w:lvlJc w:val="left"/>
      <w:pPr>
        <w:ind w:left="4854" w:hanging="399"/>
      </w:pPr>
      <w:rPr>
        <w:rFonts w:hint="default"/>
        <w:lang w:val="en-AU" w:eastAsia="en-US" w:bidi="ar-SA"/>
      </w:rPr>
    </w:lvl>
    <w:lvl w:ilvl="5" w:tplc="2520884E">
      <w:numFmt w:val="bullet"/>
      <w:lvlText w:val="•"/>
      <w:lvlJc w:val="left"/>
      <w:pPr>
        <w:ind w:left="5833" w:hanging="399"/>
      </w:pPr>
      <w:rPr>
        <w:rFonts w:hint="default"/>
        <w:lang w:val="en-AU" w:eastAsia="en-US" w:bidi="ar-SA"/>
      </w:rPr>
    </w:lvl>
    <w:lvl w:ilvl="6" w:tplc="A3767BF2">
      <w:numFmt w:val="bullet"/>
      <w:lvlText w:val="•"/>
      <w:lvlJc w:val="left"/>
      <w:pPr>
        <w:ind w:left="6811" w:hanging="399"/>
      </w:pPr>
      <w:rPr>
        <w:rFonts w:hint="default"/>
        <w:lang w:val="en-AU" w:eastAsia="en-US" w:bidi="ar-SA"/>
      </w:rPr>
    </w:lvl>
    <w:lvl w:ilvl="7" w:tplc="680E57CC">
      <w:numFmt w:val="bullet"/>
      <w:lvlText w:val="•"/>
      <w:lvlJc w:val="left"/>
      <w:pPr>
        <w:ind w:left="7790" w:hanging="399"/>
      </w:pPr>
      <w:rPr>
        <w:rFonts w:hint="default"/>
        <w:lang w:val="en-AU" w:eastAsia="en-US" w:bidi="ar-SA"/>
      </w:rPr>
    </w:lvl>
    <w:lvl w:ilvl="8" w:tplc="C16E0986">
      <w:numFmt w:val="bullet"/>
      <w:lvlText w:val="•"/>
      <w:lvlJc w:val="left"/>
      <w:pPr>
        <w:ind w:left="8769" w:hanging="399"/>
      </w:pPr>
      <w:rPr>
        <w:rFonts w:hint="default"/>
        <w:lang w:val="en-AU" w:eastAsia="en-US" w:bidi="ar-SA"/>
      </w:rPr>
    </w:lvl>
  </w:abstractNum>
  <w:abstractNum w:abstractNumId="4" w15:restartNumberingAfterBreak="0">
    <w:nsid w:val="144A0198"/>
    <w:multiLevelType w:val="multilevel"/>
    <w:tmpl w:val="51AED0D2"/>
    <w:lvl w:ilvl="0">
      <w:start w:val="1"/>
      <w:numFmt w:val="decimal"/>
      <w:lvlText w:val="%1"/>
      <w:lvlJc w:val="left"/>
      <w:pPr>
        <w:ind w:left="974" w:hanging="437"/>
      </w:pPr>
      <w:rPr>
        <w:rFonts w:ascii="Calibri" w:eastAsia="Calibri" w:hAnsi="Calibri" w:cs="Calibri" w:hint="default"/>
        <w:b/>
        <w:bCs/>
        <w:w w:val="100"/>
        <w:sz w:val="28"/>
        <w:szCs w:val="28"/>
        <w:lang w:val="en-AU" w:eastAsia="en-US" w:bidi="ar-SA"/>
      </w:rPr>
    </w:lvl>
    <w:lvl w:ilvl="1">
      <w:start w:val="1"/>
      <w:numFmt w:val="decimal"/>
      <w:lvlText w:val="%1.%2"/>
      <w:lvlJc w:val="left"/>
      <w:pPr>
        <w:ind w:left="974" w:hanging="437"/>
      </w:pPr>
      <w:rPr>
        <w:rFonts w:ascii="Calibri" w:eastAsia="Calibri" w:hAnsi="Calibri" w:cs="Calibri" w:hint="default"/>
        <w:b/>
        <w:bCs/>
        <w:w w:val="100"/>
        <w:sz w:val="24"/>
        <w:szCs w:val="24"/>
        <w:lang w:val="en-AU" w:eastAsia="en-US" w:bidi="ar-SA"/>
      </w:rPr>
    </w:lvl>
    <w:lvl w:ilvl="2">
      <w:numFmt w:val="bullet"/>
      <w:lvlText w:val="•"/>
      <w:lvlJc w:val="left"/>
      <w:pPr>
        <w:ind w:left="2929" w:hanging="437"/>
      </w:pPr>
      <w:rPr>
        <w:rFonts w:hint="default"/>
        <w:lang w:val="en-AU" w:eastAsia="en-US" w:bidi="ar-SA"/>
      </w:rPr>
    </w:lvl>
    <w:lvl w:ilvl="3">
      <w:numFmt w:val="bullet"/>
      <w:lvlText w:val="•"/>
      <w:lvlJc w:val="left"/>
      <w:pPr>
        <w:ind w:left="3903" w:hanging="437"/>
      </w:pPr>
      <w:rPr>
        <w:rFonts w:hint="default"/>
        <w:lang w:val="en-AU" w:eastAsia="en-US" w:bidi="ar-SA"/>
      </w:rPr>
    </w:lvl>
    <w:lvl w:ilvl="4">
      <w:numFmt w:val="bullet"/>
      <w:lvlText w:val="•"/>
      <w:lvlJc w:val="left"/>
      <w:pPr>
        <w:ind w:left="4878" w:hanging="437"/>
      </w:pPr>
      <w:rPr>
        <w:rFonts w:hint="default"/>
        <w:lang w:val="en-AU" w:eastAsia="en-US" w:bidi="ar-SA"/>
      </w:rPr>
    </w:lvl>
    <w:lvl w:ilvl="5">
      <w:numFmt w:val="bullet"/>
      <w:lvlText w:val="•"/>
      <w:lvlJc w:val="left"/>
      <w:pPr>
        <w:ind w:left="5853" w:hanging="437"/>
      </w:pPr>
      <w:rPr>
        <w:rFonts w:hint="default"/>
        <w:lang w:val="en-AU" w:eastAsia="en-US" w:bidi="ar-SA"/>
      </w:rPr>
    </w:lvl>
    <w:lvl w:ilvl="6">
      <w:numFmt w:val="bullet"/>
      <w:lvlText w:val="•"/>
      <w:lvlJc w:val="left"/>
      <w:pPr>
        <w:ind w:left="6827" w:hanging="437"/>
      </w:pPr>
      <w:rPr>
        <w:rFonts w:hint="default"/>
        <w:lang w:val="en-AU" w:eastAsia="en-US" w:bidi="ar-SA"/>
      </w:rPr>
    </w:lvl>
    <w:lvl w:ilvl="7">
      <w:numFmt w:val="bullet"/>
      <w:lvlText w:val="•"/>
      <w:lvlJc w:val="left"/>
      <w:pPr>
        <w:ind w:left="7802" w:hanging="437"/>
      </w:pPr>
      <w:rPr>
        <w:rFonts w:hint="default"/>
        <w:lang w:val="en-AU" w:eastAsia="en-US" w:bidi="ar-SA"/>
      </w:rPr>
    </w:lvl>
    <w:lvl w:ilvl="8">
      <w:numFmt w:val="bullet"/>
      <w:lvlText w:val="•"/>
      <w:lvlJc w:val="left"/>
      <w:pPr>
        <w:ind w:left="8777" w:hanging="437"/>
      </w:pPr>
      <w:rPr>
        <w:rFonts w:hint="default"/>
        <w:lang w:val="en-AU" w:eastAsia="en-US" w:bidi="ar-SA"/>
      </w:rPr>
    </w:lvl>
  </w:abstractNum>
  <w:abstractNum w:abstractNumId="5" w15:restartNumberingAfterBreak="0">
    <w:nsid w:val="148E2D5C"/>
    <w:multiLevelType w:val="hybridMultilevel"/>
    <w:tmpl w:val="A7C6C9BE"/>
    <w:lvl w:ilvl="0" w:tplc="12F20F28">
      <w:numFmt w:val="bullet"/>
      <w:lvlText w:val="•"/>
      <w:lvlJc w:val="left"/>
      <w:pPr>
        <w:ind w:left="537" w:hanging="437"/>
      </w:pPr>
      <w:rPr>
        <w:rFonts w:hint="default"/>
        <w:w w:val="131"/>
        <w:lang w:val="en-AU" w:eastAsia="en-US" w:bidi="ar-SA"/>
      </w:rPr>
    </w:lvl>
    <w:lvl w:ilvl="1" w:tplc="CAB078E8">
      <w:numFmt w:val="bullet"/>
      <w:lvlText w:val="•"/>
      <w:lvlJc w:val="left"/>
      <w:pPr>
        <w:ind w:left="1558" w:hanging="437"/>
      </w:pPr>
      <w:rPr>
        <w:rFonts w:hint="default"/>
        <w:lang w:val="en-AU" w:eastAsia="en-US" w:bidi="ar-SA"/>
      </w:rPr>
    </w:lvl>
    <w:lvl w:ilvl="2" w:tplc="FF88BFF6">
      <w:numFmt w:val="bullet"/>
      <w:lvlText w:val="•"/>
      <w:lvlJc w:val="left"/>
      <w:pPr>
        <w:ind w:left="2577" w:hanging="437"/>
      </w:pPr>
      <w:rPr>
        <w:rFonts w:hint="default"/>
        <w:lang w:val="en-AU" w:eastAsia="en-US" w:bidi="ar-SA"/>
      </w:rPr>
    </w:lvl>
    <w:lvl w:ilvl="3" w:tplc="FB3020B0">
      <w:numFmt w:val="bullet"/>
      <w:lvlText w:val="•"/>
      <w:lvlJc w:val="left"/>
      <w:pPr>
        <w:ind w:left="3595" w:hanging="437"/>
      </w:pPr>
      <w:rPr>
        <w:rFonts w:hint="default"/>
        <w:lang w:val="en-AU" w:eastAsia="en-US" w:bidi="ar-SA"/>
      </w:rPr>
    </w:lvl>
    <w:lvl w:ilvl="4" w:tplc="732828C4">
      <w:numFmt w:val="bullet"/>
      <w:lvlText w:val="•"/>
      <w:lvlJc w:val="left"/>
      <w:pPr>
        <w:ind w:left="4614" w:hanging="437"/>
      </w:pPr>
      <w:rPr>
        <w:rFonts w:hint="default"/>
        <w:lang w:val="en-AU" w:eastAsia="en-US" w:bidi="ar-SA"/>
      </w:rPr>
    </w:lvl>
    <w:lvl w:ilvl="5" w:tplc="74766532">
      <w:numFmt w:val="bullet"/>
      <w:lvlText w:val="•"/>
      <w:lvlJc w:val="left"/>
      <w:pPr>
        <w:ind w:left="5633" w:hanging="437"/>
      </w:pPr>
      <w:rPr>
        <w:rFonts w:hint="default"/>
        <w:lang w:val="en-AU" w:eastAsia="en-US" w:bidi="ar-SA"/>
      </w:rPr>
    </w:lvl>
    <w:lvl w:ilvl="6" w:tplc="B874A924">
      <w:numFmt w:val="bullet"/>
      <w:lvlText w:val="•"/>
      <w:lvlJc w:val="left"/>
      <w:pPr>
        <w:ind w:left="6651" w:hanging="437"/>
      </w:pPr>
      <w:rPr>
        <w:rFonts w:hint="default"/>
        <w:lang w:val="en-AU" w:eastAsia="en-US" w:bidi="ar-SA"/>
      </w:rPr>
    </w:lvl>
    <w:lvl w:ilvl="7" w:tplc="6E3EB6E8">
      <w:numFmt w:val="bullet"/>
      <w:lvlText w:val="•"/>
      <w:lvlJc w:val="left"/>
      <w:pPr>
        <w:ind w:left="7670" w:hanging="437"/>
      </w:pPr>
      <w:rPr>
        <w:rFonts w:hint="default"/>
        <w:lang w:val="en-AU" w:eastAsia="en-US" w:bidi="ar-SA"/>
      </w:rPr>
    </w:lvl>
    <w:lvl w:ilvl="8" w:tplc="92B8328E">
      <w:numFmt w:val="bullet"/>
      <w:lvlText w:val="•"/>
      <w:lvlJc w:val="left"/>
      <w:pPr>
        <w:ind w:left="8689" w:hanging="437"/>
      </w:pPr>
      <w:rPr>
        <w:rFonts w:hint="default"/>
        <w:lang w:val="en-AU" w:eastAsia="en-US" w:bidi="ar-SA"/>
      </w:rPr>
    </w:lvl>
  </w:abstractNum>
  <w:abstractNum w:abstractNumId="6" w15:restartNumberingAfterBreak="0">
    <w:nsid w:val="368E2519"/>
    <w:multiLevelType w:val="hybridMultilevel"/>
    <w:tmpl w:val="C10A1C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E616E8"/>
    <w:multiLevelType w:val="hybridMultilevel"/>
    <w:tmpl w:val="14B4855A"/>
    <w:lvl w:ilvl="0" w:tplc="0F86D892">
      <w:numFmt w:val="bullet"/>
      <w:lvlText w:val="-"/>
      <w:lvlJc w:val="left"/>
      <w:pPr>
        <w:ind w:left="1778" w:hanging="360"/>
      </w:pPr>
      <w:rPr>
        <w:rFonts w:ascii="Calibri-Italic" w:eastAsiaTheme="minorHAnsi" w:hAnsi="Calibri-Italic" w:cs="Calibri-Italic"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8" w15:restartNumberingAfterBreak="0">
    <w:nsid w:val="41A75C55"/>
    <w:multiLevelType w:val="multilevel"/>
    <w:tmpl w:val="607CE42A"/>
    <w:lvl w:ilvl="0">
      <w:start w:val="4"/>
      <w:numFmt w:val="decimal"/>
      <w:lvlText w:val="%1"/>
      <w:lvlJc w:val="left"/>
      <w:pPr>
        <w:ind w:left="360" w:hanging="360"/>
      </w:pPr>
      <w:rPr>
        <w:rFonts w:hint="default"/>
      </w:rPr>
    </w:lvl>
    <w:lvl w:ilvl="1">
      <w:start w:val="6"/>
      <w:numFmt w:val="decimal"/>
      <w:lvlText w:val="%1.%2"/>
      <w:lvlJc w:val="left"/>
      <w:pPr>
        <w:ind w:left="1334" w:hanging="360"/>
      </w:pPr>
      <w:rPr>
        <w:rFonts w:hint="default"/>
        <w:sz w:val="23"/>
      </w:rPr>
    </w:lvl>
    <w:lvl w:ilvl="2">
      <w:start w:val="1"/>
      <w:numFmt w:val="decimal"/>
      <w:lvlText w:val="%1.%2.%3"/>
      <w:lvlJc w:val="left"/>
      <w:pPr>
        <w:ind w:left="2668" w:hanging="720"/>
      </w:pPr>
      <w:rPr>
        <w:rFonts w:hint="default"/>
      </w:rPr>
    </w:lvl>
    <w:lvl w:ilvl="3">
      <w:start w:val="1"/>
      <w:numFmt w:val="decimal"/>
      <w:lvlText w:val="%1.%2.%3.%4"/>
      <w:lvlJc w:val="left"/>
      <w:pPr>
        <w:ind w:left="3642" w:hanging="720"/>
      </w:pPr>
      <w:rPr>
        <w:rFonts w:hint="default"/>
      </w:rPr>
    </w:lvl>
    <w:lvl w:ilvl="4">
      <w:start w:val="1"/>
      <w:numFmt w:val="decimal"/>
      <w:lvlText w:val="%1.%2.%3.%4.%5"/>
      <w:lvlJc w:val="left"/>
      <w:pPr>
        <w:ind w:left="4976" w:hanging="1080"/>
      </w:pPr>
      <w:rPr>
        <w:rFonts w:hint="default"/>
      </w:rPr>
    </w:lvl>
    <w:lvl w:ilvl="5">
      <w:start w:val="1"/>
      <w:numFmt w:val="decimal"/>
      <w:lvlText w:val="%1.%2.%3.%4.%5.%6"/>
      <w:lvlJc w:val="left"/>
      <w:pPr>
        <w:ind w:left="5950" w:hanging="1080"/>
      </w:pPr>
      <w:rPr>
        <w:rFonts w:hint="default"/>
      </w:rPr>
    </w:lvl>
    <w:lvl w:ilvl="6">
      <w:start w:val="1"/>
      <w:numFmt w:val="decimal"/>
      <w:lvlText w:val="%1.%2.%3.%4.%5.%6.%7"/>
      <w:lvlJc w:val="left"/>
      <w:pPr>
        <w:ind w:left="7284" w:hanging="1440"/>
      </w:pPr>
      <w:rPr>
        <w:rFonts w:hint="default"/>
      </w:rPr>
    </w:lvl>
    <w:lvl w:ilvl="7">
      <w:start w:val="1"/>
      <w:numFmt w:val="decimal"/>
      <w:lvlText w:val="%1.%2.%3.%4.%5.%6.%7.%8"/>
      <w:lvlJc w:val="left"/>
      <w:pPr>
        <w:ind w:left="8258" w:hanging="1440"/>
      </w:pPr>
      <w:rPr>
        <w:rFonts w:hint="default"/>
      </w:rPr>
    </w:lvl>
    <w:lvl w:ilvl="8">
      <w:start w:val="1"/>
      <w:numFmt w:val="decimal"/>
      <w:lvlText w:val="%1.%2.%3.%4.%5.%6.%7.%8.%9"/>
      <w:lvlJc w:val="left"/>
      <w:pPr>
        <w:ind w:left="9592" w:hanging="1800"/>
      </w:pPr>
      <w:rPr>
        <w:rFonts w:hint="default"/>
      </w:rPr>
    </w:lvl>
  </w:abstractNum>
  <w:abstractNum w:abstractNumId="9" w15:restartNumberingAfterBreak="0">
    <w:nsid w:val="494E03B9"/>
    <w:multiLevelType w:val="hybridMultilevel"/>
    <w:tmpl w:val="7E02A924"/>
    <w:lvl w:ilvl="0" w:tplc="C3F2C732">
      <w:numFmt w:val="bullet"/>
      <w:lvlText w:val="-"/>
      <w:lvlJc w:val="left"/>
      <w:pPr>
        <w:ind w:left="1778" w:hanging="360"/>
      </w:pPr>
      <w:rPr>
        <w:rFonts w:ascii="Calibri-Italic" w:eastAsiaTheme="minorHAnsi" w:hAnsi="Calibri-Italic" w:cs="Calibri-Italic"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0" w15:restartNumberingAfterBreak="0">
    <w:nsid w:val="4C8376A0"/>
    <w:multiLevelType w:val="hybridMultilevel"/>
    <w:tmpl w:val="726AE9F0"/>
    <w:lvl w:ilvl="0" w:tplc="3D484B28">
      <w:start w:val="6"/>
      <w:numFmt w:val="decimal"/>
      <w:lvlText w:val="%1"/>
      <w:lvlJc w:val="left"/>
      <w:pPr>
        <w:ind w:left="707" w:hanging="170"/>
      </w:pPr>
      <w:rPr>
        <w:rFonts w:hint="default"/>
        <w:w w:val="100"/>
        <w:lang w:val="en-AU" w:eastAsia="en-US" w:bidi="ar-SA"/>
      </w:rPr>
    </w:lvl>
    <w:lvl w:ilvl="1" w:tplc="D12C27A2">
      <w:numFmt w:val="bullet"/>
      <w:lvlText w:val="•"/>
      <w:lvlJc w:val="left"/>
      <w:pPr>
        <w:ind w:left="1702" w:hanging="170"/>
      </w:pPr>
      <w:rPr>
        <w:rFonts w:hint="default"/>
        <w:lang w:val="en-AU" w:eastAsia="en-US" w:bidi="ar-SA"/>
      </w:rPr>
    </w:lvl>
    <w:lvl w:ilvl="2" w:tplc="CAC80B88">
      <w:numFmt w:val="bullet"/>
      <w:lvlText w:val="•"/>
      <w:lvlJc w:val="left"/>
      <w:pPr>
        <w:ind w:left="2705" w:hanging="170"/>
      </w:pPr>
      <w:rPr>
        <w:rFonts w:hint="default"/>
        <w:lang w:val="en-AU" w:eastAsia="en-US" w:bidi="ar-SA"/>
      </w:rPr>
    </w:lvl>
    <w:lvl w:ilvl="3" w:tplc="CF30D98C">
      <w:numFmt w:val="bullet"/>
      <w:lvlText w:val="•"/>
      <w:lvlJc w:val="left"/>
      <w:pPr>
        <w:ind w:left="3707" w:hanging="170"/>
      </w:pPr>
      <w:rPr>
        <w:rFonts w:hint="default"/>
        <w:lang w:val="en-AU" w:eastAsia="en-US" w:bidi="ar-SA"/>
      </w:rPr>
    </w:lvl>
    <w:lvl w:ilvl="4" w:tplc="63E485C6">
      <w:numFmt w:val="bullet"/>
      <w:lvlText w:val="•"/>
      <w:lvlJc w:val="left"/>
      <w:pPr>
        <w:ind w:left="4710" w:hanging="170"/>
      </w:pPr>
      <w:rPr>
        <w:rFonts w:hint="default"/>
        <w:lang w:val="en-AU" w:eastAsia="en-US" w:bidi="ar-SA"/>
      </w:rPr>
    </w:lvl>
    <w:lvl w:ilvl="5" w:tplc="718A4306">
      <w:numFmt w:val="bullet"/>
      <w:lvlText w:val="•"/>
      <w:lvlJc w:val="left"/>
      <w:pPr>
        <w:ind w:left="5713" w:hanging="170"/>
      </w:pPr>
      <w:rPr>
        <w:rFonts w:hint="default"/>
        <w:lang w:val="en-AU" w:eastAsia="en-US" w:bidi="ar-SA"/>
      </w:rPr>
    </w:lvl>
    <w:lvl w:ilvl="6" w:tplc="A9B4C9B2">
      <w:numFmt w:val="bullet"/>
      <w:lvlText w:val="•"/>
      <w:lvlJc w:val="left"/>
      <w:pPr>
        <w:ind w:left="6715" w:hanging="170"/>
      </w:pPr>
      <w:rPr>
        <w:rFonts w:hint="default"/>
        <w:lang w:val="en-AU" w:eastAsia="en-US" w:bidi="ar-SA"/>
      </w:rPr>
    </w:lvl>
    <w:lvl w:ilvl="7" w:tplc="5B6C9962">
      <w:numFmt w:val="bullet"/>
      <w:lvlText w:val="•"/>
      <w:lvlJc w:val="left"/>
      <w:pPr>
        <w:ind w:left="7718" w:hanging="170"/>
      </w:pPr>
      <w:rPr>
        <w:rFonts w:hint="default"/>
        <w:lang w:val="en-AU" w:eastAsia="en-US" w:bidi="ar-SA"/>
      </w:rPr>
    </w:lvl>
    <w:lvl w:ilvl="8" w:tplc="DC1CA120">
      <w:numFmt w:val="bullet"/>
      <w:lvlText w:val="•"/>
      <w:lvlJc w:val="left"/>
      <w:pPr>
        <w:ind w:left="8721" w:hanging="170"/>
      </w:pPr>
      <w:rPr>
        <w:rFonts w:hint="default"/>
        <w:lang w:val="en-AU" w:eastAsia="en-US" w:bidi="ar-SA"/>
      </w:rPr>
    </w:lvl>
  </w:abstractNum>
  <w:abstractNum w:abstractNumId="11" w15:restartNumberingAfterBreak="0">
    <w:nsid w:val="4EB1204B"/>
    <w:multiLevelType w:val="hybridMultilevel"/>
    <w:tmpl w:val="2F8C63C6"/>
    <w:lvl w:ilvl="0" w:tplc="3ED29012">
      <w:start w:val="1"/>
      <w:numFmt w:val="lowerLetter"/>
      <w:lvlText w:val="%1"/>
      <w:lvlJc w:val="left"/>
      <w:pPr>
        <w:ind w:left="935" w:hanging="399"/>
      </w:pPr>
      <w:rPr>
        <w:rFonts w:ascii="Arial" w:eastAsia="Arial" w:hAnsi="Arial" w:cs="Arial" w:hint="default"/>
        <w:w w:val="100"/>
        <w:position w:val="8"/>
        <w:sz w:val="16"/>
        <w:szCs w:val="16"/>
        <w:lang w:val="en-AU" w:eastAsia="en-US" w:bidi="ar-SA"/>
      </w:rPr>
    </w:lvl>
    <w:lvl w:ilvl="1" w:tplc="7696B7F6">
      <w:numFmt w:val="bullet"/>
      <w:lvlText w:val="•"/>
      <w:lvlJc w:val="left"/>
      <w:pPr>
        <w:ind w:left="1918" w:hanging="399"/>
      </w:pPr>
      <w:rPr>
        <w:rFonts w:hint="default"/>
        <w:lang w:val="en-AU" w:eastAsia="en-US" w:bidi="ar-SA"/>
      </w:rPr>
    </w:lvl>
    <w:lvl w:ilvl="2" w:tplc="EF88FCF6">
      <w:numFmt w:val="bullet"/>
      <w:lvlText w:val="•"/>
      <w:lvlJc w:val="left"/>
      <w:pPr>
        <w:ind w:left="2897" w:hanging="399"/>
      </w:pPr>
      <w:rPr>
        <w:rFonts w:hint="default"/>
        <w:lang w:val="en-AU" w:eastAsia="en-US" w:bidi="ar-SA"/>
      </w:rPr>
    </w:lvl>
    <w:lvl w:ilvl="3" w:tplc="03645B36">
      <w:numFmt w:val="bullet"/>
      <w:lvlText w:val="•"/>
      <w:lvlJc w:val="left"/>
      <w:pPr>
        <w:ind w:left="3875" w:hanging="399"/>
      </w:pPr>
      <w:rPr>
        <w:rFonts w:hint="default"/>
        <w:lang w:val="en-AU" w:eastAsia="en-US" w:bidi="ar-SA"/>
      </w:rPr>
    </w:lvl>
    <w:lvl w:ilvl="4" w:tplc="BB4E2B56">
      <w:numFmt w:val="bullet"/>
      <w:lvlText w:val="•"/>
      <w:lvlJc w:val="left"/>
      <w:pPr>
        <w:ind w:left="4854" w:hanging="399"/>
      </w:pPr>
      <w:rPr>
        <w:rFonts w:hint="default"/>
        <w:lang w:val="en-AU" w:eastAsia="en-US" w:bidi="ar-SA"/>
      </w:rPr>
    </w:lvl>
    <w:lvl w:ilvl="5" w:tplc="F36AC670">
      <w:numFmt w:val="bullet"/>
      <w:lvlText w:val="•"/>
      <w:lvlJc w:val="left"/>
      <w:pPr>
        <w:ind w:left="5833" w:hanging="399"/>
      </w:pPr>
      <w:rPr>
        <w:rFonts w:hint="default"/>
        <w:lang w:val="en-AU" w:eastAsia="en-US" w:bidi="ar-SA"/>
      </w:rPr>
    </w:lvl>
    <w:lvl w:ilvl="6" w:tplc="63A04EB8">
      <w:numFmt w:val="bullet"/>
      <w:lvlText w:val="•"/>
      <w:lvlJc w:val="left"/>
      <w:pPr>
        <w:ind w:left="6811" w:hanging="399"/>
      </w:pPr>
      <w:rPr>
        <w:rFonts w:hint="default"/>
        <w:lang w:val="en-AU" w:eastAsia="en-US" w:bidi="ar-SA"/>
      </w:rPr>
    </w:lvl>
    <w:lvl w:ilvl="7" w:tplc="4DB6D75E">
      <w:numFmt w:val="bullet"/>
      <w:lvlText w:val="•"/>
      <w:lvlJc w:val="left"/>
      <w:pPr>
        <w:ind w:left="7790" w:hanging="399"/>
      </w:pPr>
      <w:rPr>
        <w:rFonts w:hint="default"/>
        <w:lang w:val="en-AU" w:eastAsia="en-US" w:bidi="ar-SA"/>
      </w:rPr>
    </w:lvl>
    <w:lvl w:ilvl="8" w:tplc="CE94855E">
      <w:numFmt w:val="bullet"/>
      <w:lvlText w:val="•"/>
      <w:lvlJc w:val="left"/>
      <w:pPr>
        <w:ind w:left="8769" w:hanging="399"/>
      </w:pPr>
      <w:rPr>
        <w:rFonts w:hint="default"/>
        <w:lang w:val="en-AU" w:eastAsia="en-US" w:bidi="ar-SA"/>
      </w:rPr>
    </w:lvl>
  </w:abstractNum>
  <w:abstractNum w:abstractNumId="12" w15:restartNumberingAfterBreak="0">
    <w:nsid w:val="4F5A0529"/>
    <w:multiLevelType w:val="multilevel"/>
    <w:tmpl w:val="C1406664"/>
    <w:lvl w:ilvl="0">
      <w:start w:val="1"/>
      <w:numFmt w:val="decimal"/>
      <w:lvlText w:val="%1."/>
      <w:lvlJc w:val="left"/>
      <w:pPr>
        <w:ind w:left="698" w:hanging="361"/>
      </w:pPr>
      <w:rPr>
        <w:rFonts w:ascii="Times New Roman" w:eastAsia="Times New Roman" w:hAnsi="Times New Roman" w:cs="Times New Roman" w:hint="default"/>
        <w:b/>
        <w:bCs/>
        <w:w w:val="99"/>
        <w:sz w:val="22"/>
        <w:szCs w:val="22"/>
        <w:lang w:val="it-IT" w:eastAsia="en-US" w:bidi="ar-SA"/>
      </w:rPr>
    </w:lvl>
    <w:lvl w:ilvl="1">
      <w:start w:val="1"/>
      <w:numFmt w:val="decimal"/>
      <w:lvlText w:val="%1.%2"/>
      <w:lvlJc w:val="left"/>
      <w:pPr>
        <w:ind w:left="698" w:hanging="361"/>
      </w:pPr>
      <w:rPr>
        <w:rFonts w:ascii="Times New Roman" w:eastAsia="Times New Roman" w:hAnsi="Times New Roman" w:cs="Times New Roman" w:hint="default"/>
        <w:b/>
        <w:bCs/>
        <w:w w:val="99"/>
        <w:sz w:val="22"/>
        <w:szCs w:val="22"/>
        <w:lang w:val="it-IT" w:eastAsia="en-US" w:bidi="ar-SA"/>
      </w:rPr>
    </w:lvl>
    <w:lvl w:ilvl="2">
      <w:numFmt w:val="bullet"/>
      <w:lvlText w:val="•"/>
      <w:lvlJc w:val="left"/>
      <w:pPr>
        <w:ind w:left="2501" w:hanging="361"/>
      </w:pPr>
      <w:rPr>
        <w:rFonts w:hint="default"/>
        <w:lang w:val="it-IT" w:eastAsia="en-US" w:bidi="ar-SA"/>
      </w:rPr>
    </w:lvl>
    <w:lvl w:ilvl="3">
      <w:numFmt w:val="bullet"/>
      <w:lvlText w:val="•"/>
      <w:lvlJc w:val="left"/>
      <w:pPr>
        <w:ind w:left="3401" w:hanging="361"/>
      </w:pPr>
      <w:rPr>
        <w:rFonts w:hint="default"/>
        <w:lang w:val="it-IT" w:eastAsia="en-US" w:bidi="ar-SA"/>
      </w:rPr>
    </w:lvl>
    <w:lvl w:ilvl="4">
      <w:numFmt w:val="bullet"/>
      <w:lvlText w:val="•"/>
      <w:lvlJc w:val="left"/>
      <w:pPr>
        <w:ind w:left="4302" w:hanging="361"/>
      </w:pPr>
      <w:rPr>
        <w:rFonts w:hint="default"/>
        <w:lang w:val="it-IT" w:eastAsia="en-US" w:bidi="ar-SA"/>
      </w:rPr>
    </w:lvl>
    <w:lvl w:ilvl="5">
      <w:numFmt w:val="bullet"/>
      <w:lvlText w:val="•"/>
      <w:lvlJc w:val="left"/>
      <w:pPr>
        <w:ind w:left="5203" w:hanging="361"/>
      </w:pPr>
      <w:rPr>
        <w:rFonts w:hint="default"/>
        <w:lang w:val="it-IT" w:eastAsia="en-US" w:bidi="ar-SA"/>
      </w:rPr>
    </w:lvl>
    <w:lvl w:ilvl="6">
      <w:numFmt w:val="bullet"/>
      <w:lvlText w:val="•"/>
      <w:lvlJc w:val="left"/>
      <w:pPr>
        <w:ind w:left="6103" w:hanging="361"/>
      </w:pPr>
      <w:rPr>
        <w:rFonts w:hint="default"/>
        <w:lang w:val="it-IT" w:eastAsia="en-US" w:bidi="ar-SA"/>
      </w:rPr>
    </w:lvl>
    <w:lvl w:ilvl="7">
      <w:numFmt w:val="bullet"/>
      <w:lvlText w:val="•"/>
      <w:lvlJc w:val="left"/>
      <w:pPr>
        <w:ind w:left="7004" w:hanging="361"/>
      </w:pPr>
      <w:rPr>
        <w:rFonts w:hint="default"/>
        <w:lang w:val="it-IT" w:eastAsia="en-US" w:bidi="ar-SA"/>
      </w:rPr>
    </w:lvl>
    <w:lvl w:ilvl="8">
      <w:numFmt w:val="bullet"/>
      <w:lvlText w:val="•"/>
      <w:lvlJc w:val="left"/>
      <w:pPr>
        <w:ind w:left="7905" w:hanging="361"/>
      </w:pPr>
      <w:rPr>
        <w:rFonts w:hint="default"/>
        <w:lang w:val="it-IT" w:eastAsia="en-US" w:bidi="ar-SA"/>
      </w:rPr>
    </w:lvl>
  </w:abstractNum>
  <w:abstractNum w:abstractNumId="13" w15:restartNumberingAfterBreak="0">
    <w:nsid w:val="618F6607"/>
    <w:multiLevelType w:val="multilevel"/>
    <w:tmpl w:val="A2504940"/>
    <w:lvl w:ilvl="0">
      <w:start w:val="4"/>
      <w:numFmt w:val="decimal"/>
      <w:lvlText w:val="%1"/>
      <w:lvlJc w:val="left"/>
      <w:pPr>
        <w:ind w:left="974" w:hanging="437"/>
      </w:pPr>
      <w:rPr>
        <w:rFonts w:hint="default"/>
        <w:lang w:val="en-AU" w:eastAsia="en-US" w:bidi="ar-SA"/>
      </w:rPr>
    </w:lvl>
    <w:lvl w:ilvl="1">
      <w:start w:val="5"/>
      <w:numFmt w:val="decimal"/>
      <w:lvlText w:val="%1.%2"/>
      <w:lvlJc w:val="left"/>
      <w:pPr>
        <w:ind w:left="974" w:hanging="437"/>
      </w:pPr>
      <w:rPr>
        <w:rFonts w:ascii="Calibri" w:eastAsia="Calibri" w:hAnsi="Calibri" w:cs="Calibri" w:hint="default"/>
        <w:b/>
        <w:bCs/>
        <w:w w:val="100"/>
        <w:sz w:val="24"/>
        <w:szCs w:val="24"/>
        <w:lang w:val="en-AU" w:eastAsia="en-US" w:bidi="ar-SA"/>
      </w:rPr>
    </w:lvl>
    <w:lvl w:ilvl="2">
      <w:numFmt w:val="bullet"/>
      <w:lvlText w:val="•"/>
      <w:lvlJc w:val="left"/>
      <w:pPr>
        <w:ind w:left="2929" w:hanging="437"/>
      </w:pPr>
      <w:rPr>
        <w:rFonts w:hint="default"/>
        <w:lang w:val="en-AU" w:eastAsia="en-US" w:bidi="ar-SA"/>
      </w:rPr>
    </w:lvl>
    <w:lvl w:ilvl="3">
      <w:numFmt w:val="bullet"/>
      <w:lvlText w:val="•"/>
      <w:lvlJc w:val="left"/>
      <w:pPr>
        <w:ind w:left="3903" w:hanging="437"/>
      </w:pPr>
      <w:rPr>
        <w:rFonts w:hint="default"/>
        <w:lang w:val="en-AU" w:eastAsia="en-US" w:bidi="ar-SA"/>
      </w:rPr>
    </w:lvl>
    <w:lvl w:ilvl="4">
      <w:numFmt w:val="bullet"/>
      <w:lvlText w:val="•"/>
      <w:lvlJc w:val="left"/>
      <w:pPr>
        <w:ind w:left="4878" w:hanging="437"/>
      </w:pPr>
      <w:rPr>
        <w:rFonts w:hint="default"/>
        <w:lang w:val="en-AU" w:eastAsia="en-US" w:bidi="ar-SA"/>
      </w:rPr>
    </w:lvl>
    <w:lvl w:ilvl="5">
      <w:numFmt w:val="bullet"/>
      <w:lvlText w:val="•"/>
      <w:lvlJc w:val="left"/>
      <w:pPr>
        <w:ind w:left="5853" w:hanging="437"/>
      </w:pPr>
      <w:rPr>
        <w:rFonts w:hint="default"/>
        <w:lang w:val="en-AU" w:eastAsia="en-US" w:bidi="ar-SA"/>
      </w:rPr>
    </w:lvl>
    <w:lvl w:ilvl="6">
      <w:numFmt w:val="bullet"/>
      <w:lvlText w:val="•"/>
      <w:lvlJc w:val="left"/>
      <w:pPr>
        <w:ind w:left="6827" w:hanging="437"/>
      </w:pPr>
      <w:rPr>
        <w:rFonts w:hint="default"/>
        <w:lang w:val="en-AU" w:eastAsia="en-US" w:bidi="ar-SA"/>
      </w:rPr>
    </w:lvl>
    <w:lvl w:ilvl="7">
      <w:numFmt w:val="bullet"/>
      <w:lvlText w:val="•"/>
      <w:lvlJc w:val="left"/>
      <w:pPr>
        <w:ind w:left="7802" w:hanging="437"/>
      </w:pPr>
      <w:rPr>
        <w:rFonts w:hint="default"/>
        <w:lang w:val="en-AU" w:eastAsia="en-US" w:bidi="ar-SA"/>
      </w:rPr>
    </w:lvl>
    <w:lvl w:ilvl="8">
      <w:numFmt w:val="bullet"/>
      <w:lvlText w:val="•"/>
      <w:lvlJc w:val="left"/>
      <w:pPr>
        <w:ind w:left="8777" w:hanging="437"/>
      </w:pPr>
      <w:rPr>
        <w:rFonts w:hint="default"/>
        <w:lang w:val="en-AU" w:eastAsia="en-US" w:bidi="ar-SA"/>
      </w:rPr>
    </w:lvl>
  </w:abstractNum>
  <w:abstractNum w:abstractNumId="14" w15:restartNumberingAfterBreak="0">
    <w:nsid w:val="679D3A96"/>
    <w:multiLevelType w:val="multilevel"/>
    <w:tmpl w:val="96B06FC2"/>
    <w:lvl w:ilvl="0">
      <w:start w:val="5"/>
      <w:numFmt w:val="decimal"/>
      <w:lvlText w:val="%1"/>
      <w:lvlJc w:val="left"/>
      <w:pPr>
        <w:ind w:left="974" w:hanging="437"/>
      </w:pPr>
      <w:rPr>
        <w:rFonts w:ascii="Calibri" w:eastAsia="Calibri" w:hAnsi="Calibri" w:cs="Calibri" w:hint="default"/>
        <w:b/>
        <w:bCs/>
        <w:w w:val="100"/>
        <w:sz w:val="28"/>
        <w:szCs w:val="28"/>
        <w:lang w:val="en-AU" w:eastAsia="en-US" w:bidi="ar-SA"/>
      </w:rPr>
    </w:lvl>
    <w:lvl w:ilvl="1">
      <w:start w:val="1"/>
      <w:numFmt w:val="decimal"/>
      <w:lvlText w:val="%1.%2"/>
      <w:lvlJc w:val="left"/>
      <w:pPr>
        <w:ind w:left="1147" w:hanging="437"/>
      </w:pPr>
      <w:rPr>
        <w:rFonts w:hint="default"/>
        <w:b/>
        <w:bCs/>
        <w:w w:val="100"/>
        <w:lang w:val="en-AU" w:eastAsia="en-US" w:bidi="ar-SA"/>
      </w:rPr>
    </w:lvl>
    <w:lvl w:ilvl="2">
      <w:numFmt w:val="bullet"/>
      <w:lvlText w:val="•"/>
      <w:lvlJc w:val="left"/>
      <w:pPr>
        <w:ind w:left="2929" w:hanging="437"/>
      </w:pPr>
      <w:rPr>
        <w:rFonts w:hint="default"/>
        <w:lang w:val="en-AU" w:eastAsia="en-US" w:bidi="ar-SA"/>
      </w:rPr>
    </w:lvl>
    <w:lvl w:ilvl="3">
      <w:numFmt w:val="bullet"/>
      <w:lvlText w:val="•"/>
      <w:lvlJc w:val="left"/>
      <w:pPr>
        <w:ind w:left="3903" w:hanging="437"/>
      </w:pPr>
      <w:rPr>
        <w:rFonts w:hint="default"/>
        <w:lang w:val="en-AU" w:eastAsia="en-US" w:bidi="ar-SA"/>
      </w:rPr>
    </w:lvl>
    <w:lvl w:ilvl="4">
      <w:numFmt w:val="bullet"/>
      <w:lvlText w:val="•"/>
      <w:lvlJc w:val="left"/>
      <w:pPr>
        <w:ind w:left="4878" w:hanging="437"/>
      </w:pPr>
      <w:rPr>
        <w:rFonts w:hint="default"/>
        <w:lang w:val="en-AU" w:eastAsia="en-US" w:bidi="ar-SA"/>
      </w:rPr>
    </w:lvl>
    <w:lvl w:ilvl="5">
      <w:numFmt w:val="bullet"/>
      <w:lvlText w:val="•"/>
      <w:lvlJc w:val="left"/>
      <w:pPr>
        <w:ind w:left="5853" w:hanging="437"/>
      </w:pPr>
      <w:rPr>
        <w:rFonts w:hint="default"/>
        <w:lang w:val="en-AU" w:eastAsia="en-US" w:bidi="ar-SA"/>
      </w:rPr>
    </w:lvl>
    <w:lvl w:ilvl="6">
      <w:numFmt w:val="bullet"/>
      <w:lvlText w:val="•"/>
      <w:lvlJc w:val="left"/>
      <w:pPr>
        <w:ind w:left="6827" w:hanging="437"/>
      </w:pPr>
      <w:rPr>
        <w:rFonts w:hint="default"/>
        <w:lang w:val="en-AU" w:eastAsia="en-US" w:bidi="ar-SA"/>
      </w:rPr>
    </w:lvl>
    <w:lvl w:ilvl="7">
      <w:numFmt w:val="bullet"/>
      <w:lvlText w:val="•"/>
      <w:lvlJc w:val="left"/>
      <w:pPr>
        <w:ind w:left="7802" w:hanging="437"/>
      </w:pPr>
      <w:rPr>
        <w:rFonts w:hint="default"/>
        <w:lang w:val="en-AU" w:eastAsia="en-US" w:bidi="ar-SA"/>
      </w:rPr>
    </w:lvl>
    <w:lvl w:ilvl="8">
      <w:numFmt w:val="bullet"/>
      <w:lvlText w:val="•"/>
      <w:lvlJc w:val="left"/>
      <w:pPr>
        <w:ind w:left="8777" w:hanging="437"/>
      </w:pPr>
      <w:rPr>
        <w:rFonts w:hint="default"/>
        <w:lang w:val="en-AU" w:eastAsia="en-US" w:bidi="ar-SA"/>
      </w:rPr>
    </w:lvl>
  </w:abstractNum>
  <w:abstractNum w:abstractNumId="15" w15:restartNumberingAfterBreak="0">
    <w:nsid w:val="7A0E35FD"/>
    <w:multiLevelType w:val="hybridMultilevel"/>
    <w:tmpl w:val="F802F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166AAA"/>
    <w:multiLevelType w:val="multilevel"/>
    <w:tmpl w:val="CCF2D4B4"/>
    <w:lvl w:ilvl="0">
      <w:start w:val="4"/>
      <w:numFmt w:val="decimal"/>
      <w:lvlText w:val="%1"/>
      <w:lvlJc w:val="left"/>
      <w:pPr>
        <w:ind w:left="974" w:hanging="437"/>
      </w:pPr>
      <w:rPr>
        <w:rFonts w:hint="default"/>
        <w:lang w:val="en-AU" w:eastAsia="en-US" w:bidi="ar-SA"/>
      </w:rPr>
    </w:lvl>
    <w:lvl w:ilvl="1">
      <w:start w:val="3"/>
      <w:numFmt w:val="decimal"/>
      <w:lvlText w:val="%1.%2"/>
      <w:lvlJc w:val="left"/>
      <w:pPr>
        <w:ind w:left="974" w:hanging="437"/>
      </w:pPr>
      <w:rPr>
        <w:rFonts w:ascii="Calibri" w:eastAsia="Calibri" w:hAnsi="Calibri" w:cs="Calibri" w:hint="default"/>
        <w:b/>
        <w:bCs/>
        <w:w w:val="100"/>
        <w:sz w:val="24"/>
        <w:szCs w:val="24"/>
        <w:lang w:val="en-AU" w:eastAsia="en-US" w:bidi="ar-SA"/>
      </w:rPr>
    </w:lvl>
    <w:lvl w:ilvl="2">
      <w:numFmt w:val="bullet"/>
      <w:lvlText w:val="•"/>
      <w:lvlJc w:val="left"/>
      <w:pPr>
        <w:ind w:left="2929" w:hanging="437"/>
      </w:pPr>
      <w:rPr>
        <w:rFonts w:hint="default"/>
        <w:lang w:val="en-AU" w:eastAsia="en-US" w:bidi="ar-SA"/>
      </w:rPr>
    </w:lvl>
    <w:lvl w:ilvl="3">
      <w:numFmt w:val="bullet"/>
      <w:lvlText w:val="•"/>
      <w:lvlJc w:val="left"/>
      <w:pPr>
        <w:ind w:left="3903" w:hanging="437"/>
      </w:pPr>
      <w:rPr>
        <w:rFonts w:hint="default"/>
        <w:lang w:val="en-AU" w:eastAsia="en-US" w:bidi="ar-SA"/>
      </w:rPr>
    </w:lvl>
    <w:lvl w:ilvl="4">
      <w:numFmt w:val="bullet"/>
      <w:lvlText w:val="•"/>
      <w:lvlJc w:val="left"/>
      <w:pPr>
        <w:ind w:left="4878" w:hanging="437"/>
      </w:pPr>
      <w:rPr>
        <w:rFonts w:hint="default"/>
        <w:lang w:val="en-AU" w:eastAsia="en-US" w:bidi="ar-SA"/>
      </w:rPr>
    </w:lvl>
    <w:lvl w:ilvl="5">
      <w:numFmt w:val="bullet"/>
      <w:lvlText w:val="•"/>
      <w:lvlJc w:val="left"/>
      <w:pPr>
        <w:ind w:left="5853" w:hanging="437"/>
      </w:pPr>
      <w:rPr>
        <w:rFonts w:hint="default"/>
        <w:lang w:val="en-AU" w:eastAsia="en-US" w:bidi="ar-SA"/>
      </w:rPr>
    </w:lvl>
    <w:lvl w:ilvl="6">
      <w:numFmt w:val="bullet"/>
      <w:lvlText w:val="•"/>
      <w:lvlJc w:val="left"/>
      <w:pPr>
        <w:ind w:left="6827" w:hanging="437"/>
      </w:pPr>
      <w:rPr>
        <w:rFonts w:hint="default"/>
        <w:lang w:val="en-AU" w:eastAsia="en-US" w:bidi="ar-SA"/>
      </w:rPr>
    </w:lvl>
    <w:lvl w:ilvl="7">
      <w:numFmt w:val="bullet"/>
      <w:lvlText w:val="•"/>
      <w:lvlJc w:val="left"/>
      <w:pPr>
        <w:ind w:left="7802" w:hanging="437"/>
      </w:pPr>
      <w:rPr>
        <w:rFonts w:hint="default"/>
        <w:lang w:val="en-AU" w:eastAsia="en-US" w:bidi="ar-SA"/>
      </w:rPr>
    </w:lvl>
    <w:lvl w:ilvl="8">
      <w:numFmt w:val="bullet"/>
      <w:lvlText w:val="•"/>
      <w:lvlJc w:val="left"/>
      <w:pPr>
        <w:ind w:left="8777" w:hanging="437"/>
      </w:pPr>
      <w:rPr>
        <w:rFonts w:hint="default"/>
        <w:lang w:val="en-AU" w:eastAsia="en-US" w:bidi="ar-SA"/>
      </w:rPr>
    </w:lvl>
  </w:abstractNum>
  <w:num w:numId="1" w16cid:durableId="533420180">
    <w:abstractNumId w:val="10"/>
  </w:num>
  <w:num w:numId="2" w16cid:durableId="481969225">
    <w:abstractNumId w:val="14"/>
  </w:num>
  <w:num w:numId="3" w16cid:durableId="1779373607">
    <w:abstractNumId w:val="11"/>
  </w:num>
  <w:num w:numId="4" w16cid:durableId="77482680">
    <w:abstractNumId w:val="3"/>
  </w:num>
  <w:num w:numId="5" w16cid:durableId="645160386">
    <w:abstractNumId w:val="13"/>
  </w:num>
  <w:num w:numId="6" w16cid:durableId="820732718">
    <w:abstractNumId w:val="5"/>
  </w:num>
  <w:num w:numId="7" w16cid:durableId="2047832520">
    <w:abstractNumId w:val="16"/>
  </w:num>
  <w:num w:numId="8" w16cid:durableId="1775243766">
    <w:abstractNumId w:val="4"/>
  </w:num>
  <w:num w:numId="9" w16cid:durableId="2071272814">
    <w:abstractNumId w:val="15"/>
  </w:num>
  <w:num w:numId="10" w16cid:durableId="1593664540">
    <w:abstractNumId w:val="8"/>
  </w:num>
  <w:num w:numId="11" w16cid:durableId="898050853">
    <w:abstractNumId w:val="12"/>
  </w:num>
  <w:num w:numId="12" w16cid:durableId="903494600">
    <w:abstractNumId w:val="9"/>
  </w:num>
  <w:num w:numId="13" w16cid:durableId="2146239438">
    <w:abstractNumId w:val="7"/>
  </w:num>
  <w:num w:numId="14" w16cid:durableId="1857428999">
    <w:abstractNumId w:val="1"/>
  </w:num>
  <w:num w:numId="15" w16cid:durableId="989095425">
    <w:abstractNumId w:val="2"/>
  </w:num>
  <w:num w:numId="16" w16cid:durableId="1228607297">
    <w:abstractNumId w:val="0"/>
  </w:num>
  <w:num w:numId="17" w16cid:durableId="1138038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CD"/>
    <w:rsid w:val="0000023D"/>
    <w:rsid w:val="00001F98"/>
    <w:rsid w:val="000062DC"/>
    <w:rsid w:val="000070AE"/>
    <w:rsid w:val="000134D4"/>
    <w:rsid w:val="00016A67"/>
    <w:rsid w:val="00021C9E"/>
    <w:rsid w:val="00022B3C"/>
    <w:rsid w:val="00022D84"/>
    <w:rsid w:val="00025EAB"/>
    <w:rsid w:val="000273F6"/>
    <w:rsid w:val="00032EF4"/>
    <w:rsid w:val="00035A79"/>
    <w:rsid w:val="00042670"/>
    <w:rsid w:val="0005246C"/>
    <w:rsid w:val="00053B45"/>
    <w:rsid w:val="00055D84"/>
    <w:rsid w:val="000566AE"/>
    <w:rsid w:val="0006109F"/>
    <w:rsid w:val="00061621"/>
    <w:rsid w:val="00063C5C"/>
    <w:rsid w:val="0006528E"/>
    <w:rsid w:val="00076040"/>
    <w:rsid w:val="00076190"/>
    <w:rsid w:val="000876FC"/>
    <w:rsid w:val="00091EC6"/>
    <w:rsid w:val="00093E6E"/>
    <w:rsid w:val="0009458D"/>
    <w:rsid w:val="000A2A68"/>
    <w:rsid w:val="000A3CFC"/>
    <w:rsid w:val="000A5629"/>
    <w:rsid w:val="000C12FB"/>
    <w:rsid w:val="000C611B"/>
    <w:rsid w:val="000D22B0"/>
    <w:rsid w:val="000D6325"/>
    <w:rsid w:val="000E1EF3"/>
    <w:rsid w:val="000F719D"/>
    <w:rsid w:val="001020AE"/>
    <w:rsid w:val="00103DC5"/>
    <w:rsid w:val="00104441"/>
    <w:rsid w:val="00111782"/>
    <w:rsid w:val="00111914"/>
    <w:rsid w:val="00112DBE"/>
    <w:rsid w:val="00115C1A"/>
    <w:rsid w:val="00121C76"/>
    <w:rsid w:val="001231D0"/>
    <w:rsid w:val="00123A3A"/>
    <w:rsid w:val="00123F3C"/>
    <w:rsid w:val="00123F3E"/>
    <w:rsid w:val="00124FFF"/>
    <w:rsid w:val="001268A0"/>
    <w:rsid w:val="00131DC3"/>
    <w:rsid w:val="0013328D"/>
    <w:rsid w:val="001363D5"/>
    <w:rsid w:val="00137302"/>
    <w:rsid w:val="00137F93"/>
    <w:rsid w:val="001418B6"/>
    <w:rsid w:val="0014484E"/>
    <w:rsid w:val="00147641"/>
    <w:rsid w:val="0015014F"/>
    <w:rsid w:val="001508E6"/>
    <w:rsid w:val="00150D51"/>
    <w:rsid w:val="0015261F"/>
    <w:rsid w:val="00153A07"/>
    <w:rsid w:val="00155538"/>
    <w:rsid w:val="00165B9D"/>
    <w:rsid w:val="001667B5"/>
    <w:rsid w:val="00173D3B"/>
    <w:rsid w:val="001747EA"/>
    <w:rsid w:val="00174872"/>
    <w:rsid w:val="00181C4A"/>
    <w:rsid w:val="0018323E"/>
    <w:rsid w:val="00185494"/>
    <w:rsid w:val="00185566"/>
    <w:rsid w:val="0019076B"/>
    <w:rsid w:val="00190D00"/>
    <w:rsid w:val="001910F7"/>
    <w:rsid w:val="00193460"/>
    <w:rsid w:val="0019426C"/>
    <w:rsid w:val="00195135"/>
    <w:rsid w:val="001955F6"/>
    <w:rsid w:val="0019706E"/>
    <w:rsid w:val="0019765C"/>
    <w:rsid w:val="001A68CA"/>
    <w:rsid w:val="001B05F7"/>
    <w:rsid w:val="001B07F4"/>
    <w:rsid w:val="001B1FA9"/>
    <w:rsid w:val="001B5F29"/>
    <w:rsid w:val="001C0EA5"/>
    <w:rsid w:val="001C230D"/>
    <w:rsid w:val="001C3F59"/>
    <w:rsid w:val="001C4ABE"/>
    <w:rsid w:val="001D3854"/>
    <w:rsid w:val="001D4EF6"/>
    <w:rsid w:val="001D778F"/>
    <w:rsid w:val="001E0228"/>
    <w:rsid w:val="001E0468"/>
    <w:rsid w:val="001E51C9"/>
    <w:rsid w:val="001E7238"/>
    <w:rsid w:val="001E7E30"/>
    <w:rsid w:val="001F1DE7"/>
    <w:rsid w:val="001F62BF"/>
    <w:rsid w:val="00201AB4"/>
    <w:rsid w:val="002073BD"/>
    <w:rsid w:val="00212145"/>
    <w:rsid w:val="0022694E"/>
    <w:rsid w:val="00231D0C"/>
    <w:rsid w:val="00240583"/>
    <w:rsid w:val="00242244"/>
    <w:rsid w:val="0024376B"/>
    <w:rsid w:val="0024428F"/>
    <w:rsid w:val="00244A02"/>
    <w:rsid w:val="00244BA6"/>
    <w:rsid w:val="00246ED2"/>
    <w:rsid w:val="002478C5"/>
    <w:rsid w:val="0025074B"/>
    <w:rsid w:val="00252FB4"/>
    <w:rsid w:val="00266053"/>
    <w:rsid w:val="00266EAA"/>
    <w:rsid w:val="00272EC7"/>
    <w:rsid w:val="00275C15"/>
    <w:rsid w:val="00280EA5"/>
    <w:rsid w:val="00281ADD"/>
    <w:rsid w:val="00286F54"/>
    <w:rsid w:val="002877D8"/>
    <w:rsid w:val="00294BD7"/>
    <w:rsid w:val="00296AE7"/>
    <w:rsid w:val="002A3680"/>
    <w:rsid w:val="002A567B"/>
    <w:rsid w:val="002A5847"/>
    <w:rsid w:val="002A5A0B"/>
    <w:rsid w:val="002A761D"/>
    <w:rsid w:val="002B17C4"/>
    <w:rsid w:val="002B2771"/>
    <w:rsid w:val="002C0A04"/>
    <w:rsid w:val="002C2B66"/>
    <w:rsid w:val="002C3B3C"/>
    <w:rsid w:val="002C5363"/>
    <w:rsid w:val="002C6E01"/>
    <w:rsid w:val="002D142E"/>
    <w:rsid w:val="002D1AC5"/>
    <w:rsid w:val="002E0429"/>
    <w:rsid w:val="002E3B16"/>
    <w:rsid w:val="002E6CAD"/>
    <w:rsid w:val="002E70B5"/>
    <w:rsid w:val="002F214D"/>
    <w:rsid w:val="002F4056"/>
    <w:rsid w:val="002F74EB"/>
    <w:rsid w:val="00303E00"/>
    <w:rsid w:val="00310FF4"/>
    <w:rsid w:val="00313AD3"/>
    <w:rsid w:val="003159F8"/>
    <w:rsid w:val="00316D3E"/>
    <w:rsid w:val="00321357"/>
    <w:rsid w:val="00323BA8"/>
    <w:rsid w:val="00331483"/>
    <w:rsid w:val="00337459"/>
    <w:rsid w:val="00341615"/>
    <w:rsid w:val="00341E28"/>
    <w:rsid w:val="00351A22"/>
    <w:rsid w:val="003536C9"/>
    <w:rsid w:val="00353A2F"/>
    <w:rsid w:val="00355187"/>
    <w:rsid w:val="00355FD9"/>
    <w:rsid w:val="00361F16"/>
    <w:rsid w:val="003628E7"/>
    <w:rsid w:val="00372686"/>
    <w:rsid w:val="00373D23"/>
    <w:rsid w:val="00375101"/>
    <w:rsid w:val="00380F38"/>
    <w:rsid w:val="00383D48"/>
    <w:rsid w:val="003855E0"/>
    <w:rsid w:val="00387CFE"/>
    <w:rsid w:val="00391D9E"/>
    <w:rsid w:val="0039229A"/>
    <w:rsid w:val="00392589"/>
    <w:rsid w:val="003961D1"/>
    <w:rsid w:val="003A1634"/>
    <w:rsid w:val="003A1E29"/>
    <w:rsid w:val="003A3126"/>
    <w:rsid w:val="003A6501"/>
    <w:rsid w:val="003B377B"/>
    <w:rsid w:val="003B6DDC"/>
    <w:rsid w:val="003C088B"/>
    <w:rsid w:val="003C5B65"/>
    <w:rsid w:val="003C68ED"/>
    <w:rsid w:val="003D2EB2"/>
    <w:rsid w:val="003D517E"/>
    <w:rsid w:val="003E4998"/>
    <w:rsid w:val="003E7B22"/>
    <w:rsid w:val="0040119C"/>
    <w:rsid w:val="00401B66"/>
    <w:rsid w:val="00402BD9"/>
    <w:rsid w:val="00402D84"/>
    <w:rsid w:val="00407E9D"/>
    <w:rsid w:val="00410333"/>
    <w:rsid w:val="00416096"/>
    <w:rsid w:val="00417478"/>
    <w:rsid w:val="00420222"/>
    <w:rsid w:val="004254FF"/>
    <w:rsid w:val="00430000"/>
    <w:rsid w:val="00436C78"/>
    <w:rsid w:val="004402FC"/>
    <w:rsid w:val="00445D16"/>
    <w:rsid w:val="00446DAB"/>
    <w:rsid w:val="00451FD3"/>
    <w:rsid w:val="00452485"/>
    <w:rsid w:val="004547F5"/>
    <w:rsid w:val="004576A6"/>
    <w:rsid w:val="00462525"/>
    <w:rsid w:val="004633F0"/>
    <w:rsid w:val="00463822"/>
    <w:rsid w:val="00467F42"/>
    <w:rsid w:val="0047088F"/>
    <w:rsid w:val="00472202"/>
    <w:rsid w:val="00472D58"/>
    <w:rsid w:val="0047363C"/>
    <w:rsid w:val="00474007"/>
    <w:rsid w:val="004745BD"/>
    <w:rsid w:val="00474EFC"/>
    <w:rsid w:val="00477168"/>
    <w:rsid w:val="004776BC"/>
    <w:rsid w:val="004810E9"/>
    <w:rsid w:val="0048177B"/>
    <w:rsid w:val="00486535"/>
    <w:rsid w:val="0049243B"/>
    <w:rsid w:val="00493E72"/>
    <w:rsid w:val="004941B0"/>
    <w:rsid w:val="004A16D2"/>
    <w:rsid w:val="004A2C0B"/>
    <w:rsid w:val="004A3D40"/>
    <w:rsid w:val="004A5E81"/>
    <w:rsid w:val="004B02C7"/>
    <w:rsid w:val="004B4548"/>
    <w:rsid w:val="004C1B97"/>
    <w:rsid w:val="004C39E0"/>
    <w:rsid w:val="004C59C6"/>
    <w:rsid w:val="004C5CDB"/>
    <w:rsid w:val="004D7B6C"/>
    <w:rsid w:val="004E11E2"/>
    <w:rsid w:val="004F24A6"/>
    <w:rsid w:val="004F2636"/>
    <w:rsid w:val="004F3E0B"/>
    <w:rsid w:val="004F619B"/>
    <w:rsid w:val="004F65DA"/>
    <w:rsid w:val="00500A62"/>
    <w:rsid w:val="00502299"/>
    <w:rsid w:val="00505D74"/>
    <w:rsid w:val="00514C46"/>
    <w:rsid w:val="00515180"/>
    <w:rsid w:val="005265EC"/>
    <w:rsid w:val="005266A5"/>
    <w:rsid w:val="00535BE9"/>
    <w:rsid w:val="00536BCC"/>
    <w:rsid w:val="00537B07"/>
    <w:rsid w:val="00540CD8"/>
    <w:rsid w:val="00540F14"/>
    <w:rsid w:val="00543F4E"/>
    <w:rsid w:val="005448EF"/>
    <w:rsid w:val="00544EE4"/>
    <w:rsid w:val="00546E6D"/>
    <w:rsid w:val="00554674"/>
    <w:rsid w:val="00557192"/>
    <w:rsid w:val="005574C4"/>
    <w:rsid w:val="0056788B"/>
    <w:rsid w:val="00570590"/>
    <w:rsid w:val="00572658"/>
    <w:rsid w:val="005744CC"/>
    <w:rsid w:val="00576B73"/>
    <w:rsid w:val="00577A5B"/>
    <w:rsid w:val="00577D5B"/>
    <w:rsid w:val="00580AB8"/>
    <w:rsid w:val="00581802"/>
    <w:rsid w:val="00581914"/>
    <w:rsid w:val="00585A9D"/>
    <w:rsid w:val="00593336"/>
    <w:rsid w:val="005956E7"/>
    <w:rsid w:val="005A11D6"/>
    <w:rsid w:val="005A3D5A"/>
    <w:rsid w:val="005A4582"/>
    <w:rsid w:val="005A7B78"/>
    <w:rsid w:val="005B2973"/>
    <w:rsid w:val="005B45AA"/>
    <w:rsid w:val="005B4EDE"/>
    <w:rsid w:val="005C62DD"/>
    <w:rsid w:val="005D32B1"/>
    <w:rsid w:val="005D3387"/>
    <w:rsid w:val="005D7A22"/>
    <w:rsid w:val="005D7D6F"/>
    <w:rsid w:val="005E29AB"/>
    <w:rsid w:val="0060589B"/>
    <w:rsid w:val="006073C7"/>
    <w:rsid w:val="00607DEA"/>
    <w:rsid w:val="0061315C"/>
    <w:rsid w:val="0061583A"/>
    <w:rsid w:val="00615FBC"/>
    <w:rsid w:val="00620A36"/>
    <w:rsid w:val="00627566"/>
    <w:rsid w:val="006337FD"/>
    <w:rsid w:val="00635086"/>
    <w:rsid w:val="00640A89"/>
    <w:rsid w:val="00644531"/>
    <w:rsid w:val="00653D8D"/>
    <w:rsid w:val="00654460"/>
    <w:rsid w:val="00655D6C"/>
    <w:rsid w:val="00656C5E"/>
    <w:rsid w:val="006621DC"/>
    <w:rsid w:val="00665AF8"/>
    <w:rsid w:val="00676C4F"/>
    <w:rsid w:val="006876FE"/>
    <w:rsid w:val="0069547E"/>
    <w:rsid w:val="00697CB6"/>
    <w:rsid w:val="006B00AD"/>
    <w:rsid w:val="006B4156"/>
    <w:rsid w:val="006B4B50"/>
    <w:rsid w:val="006B4CC1"/>
    <w:rsid w:val="006B5D8D"/>
    <w:rsid w:val="006C02B4"/>
    <w:rsid w:val="006C055D"/>
    <w:rsid w:val="006C2461"/>
    <w:rsid w:val="006C79E9"/>
    <w:rsid w:val="006C7D2F"/>
    <w:rsid w:val="006D29AA"/>
    <w:rsid w:val="006D512C"/>
    <w:rsid w:val="006D5EAC"/>
    <w:rsid w:val="006E405A"/>
    <w:rsid w:val="006E6F51"/>
    <w:rsid w:val="006F19FE"/>
    <w:rsid w:val="006F6F32"/>
    <w:rsid w:val="006F6FF4"/>
    <w:rsid w:val="00710129"/>
    <w:rsid w:val="00713922"/>
    <w:rsid w:val="00713FA7"/>
    <w:rsid w:val="00716553"/>
    <w:rsid w:val="0073129C"/>
    <w:rsid w:val="00733F47"/>
    <w:rsid w:val="00734653"/>
    <w:rsid w:val="00734FD2"/>
    <w:rsid w:val="00740E2A"/>
    <w:rsid w:val="00745194"/>
    <w:rsid w:val="00754AAF"/>
    <w:rsid w:val="0075532B"/>
    <w:rsid w:val="007601DF"/>
    <w:rsid w:val="00761933"/>
    <w:rsid w:val="00764E4C"/>
    <w:rsid w:val="00764F6E"/>
    <w:rsid w:val="00766AEF"/>
    <w:rsid w:val="00767AD2"/>
    <w:rsid w:val="007703E4"/>
    <w:rsid w:val="007725C5"/>
    <w:rsid w:val="00773F64"/>
    <w:rsid w:val="0077511D"/>
    <w:rsid w:val="00775689"/>
    <w:rsid w:val="007757F0"/>
    <w:rsid w:val="00780053"/>
    <w:rsid w:val="00783805"/>
    <w:rsid w:val="00784434"/>
    <w:rsid w:val="007875CE"/>
    <w:rsid w:val="007A3C98"/>
    <w:rsid w:val="007A58B8"/>
    <w:rsid w:val="007B4349"/>
    <w:rsid w:val="007B61C1"/>
    <w:rsid w:val="007C4BC7"/>
    <w:rsid w:val="007C7232"/>
    <w:rsid w:val="007D5389"/>
    <w:rsid w:val="007E1C6D"/>
    <w:rsid w:val="007E28E7"/>
    <w:rsid w:val="007E3984"/>
    <w:rsid w:val="007F12EA"/>
    <w:rsid w:val="007F1964"/>
    <w:rsid w:val="007F2695"/>
    <w:rsid w:val="0080472E"/>
    <w:rsid w:val="008067C3"/>
    <w:rsid w:val="00817754"/>
    <w:rsid w:val="00825FB9"/>
    <w:rsid w:val="008310F6"/>
    <w:rsid w:val="0083395D"/>
    <w:rsid w:val="00834189"/>
    <w:rsid w:val="00847B6A"/>
    <w:rsid w:val="00852767"/>
    <w:rsid w:val="00857E18"/>
    <w:rsid w:val="008707A9"/>
    <w:rsid w:val="00874BCC"/>
    <w:rsid w:val="0088027A"/>
    <w:rsid w:val="00886186"/>
    <w:rsid w:val="00887CCD"/>
    <w:rsid w:val="008909C7"/>
    <w:rsid w:val="00892F29"/>
    <w:rsid w:val="00893478"/>
    <w:rsid w:val="00894A4C"/>
    <w:rsid w:val="00896954"/>
    <w:rsid w:val="00897C62"/>
    <w:rsid w:val="008A07B9"/>
    <w:rsid w:val="008A2562"/>
    <w:rsid w:val="008A54D8"/>
    <w:rsid w:val="008A657B"/>
    <w:rsid w:val="008B1C1A"/>
    <w:rsid w:val="008B619B"/>
    <w:rsid w:val="008C0346"/>
    <w:rsid w:val="008C4022"/>
    <w:rsid w:val="008C526B"/>
    <w:rsid w:val="008C686B"/>
    <w:rsid w:val="008D1488"/>
    <w:rsid w:val="008D4FE1"/>
    <w:rsid w:val="008D63F8"/>
    <w:rsid w:val="008E1ED2"/>
    <w:rsid w:val="008E215D"/>
    <w:rsid w:val="008E2E44"/>
    <w:rsid w:val="008E3574"/>
    <w:rsid w:val="008E40C5"/>
    <w:rsid w:val="008F0F3B"/>
    <w:rsid w:val="008F78B2"/>
    <w:rsid w:val="00903E60"/>
    <w:rsid w:val="00904463"/>
    <w:rsid w:val="009044A7"/>
    <w:rsid w:val="00913852"/>
    <w:rsid w:val="00913A9A"/>
    <w:rsid w:val="00916F87"/>
    <w:rsid w:val="00931A1F"/>
    <w:rsid w:val="00935EDD"/>
    <w:rsid w:val="009364A8"/>
    <w:rsid w:val="00936907"/>
    <w:rsid w:val="009537DF"/>
    <w:rsid w:val="009548F9"/>
    <w:rsid w:val="0095524E"/>
    <w:rsid w:val="0096277F"/>
    <w:rsid w:val="0096379A"/>
    <w:rsid w:val="00964A6A"/>
    <w:rsid w:val="009679D2"/>
    <w:rsid w:val="0097107A"/>
    <w:rsid w:val="00971614"/>
    <w:rsid w:val="00973565"/>
    <w:rsid w:val="009751E3"/>
    <w:rsid w:val="00990028"/>
    <w:rsid w:val="009915E7"/>
    <w:rsid w:val="00996949"/>
    <w:rsid w:val="009A15C8"/>
    <w:rsid w:val="009A35B8"/>
    <w:rsid w:val="009A3EB9"/>
    <w:rsid w:val="009A40FD"/>
    <w:rsid w:val="009B2EFF"/>
    <w:rsid w:val="009B4B4A"/>
    <w:rsid w:val="009C4F41"/>
    <w:rsid w:val="009D1B2B"/>
    <w:rsid w:val="009D4472"/>
    <w:rsid w:val="009D45B7"/>
    <w:rsid w:val="009E197D"/>
    <w:rsid w:val="009E2CAA"/>
    <w:rsid w:val="009E3B7B"/>
    <w:rsid w:val="009F3330"/>
    <w:rsid w:val="009F470A"/>
    <w:rsid w:val="009F7CD0"/>
    <w:rsid w:val="00A13CBB"/>
    <w:rsid w:val="00A1752F"/>
    <w:rsid w:val="00A179D5"/>
    <w:rsid w:val="00A21953"/>
    <w:rsid w:val="00A22517"/>
    <w:rsid w:val="00A229A6"/>
    <w:rsid w:val="00A2581F"/>
    <w:rsid w:val="00A275AF"/>
    <w:rsid w:val="00A31E8B"/>
    <w:rsid w:val="00A3238F"/>
    <w:rsid w:val="00A3497C"/>
    <w:rsid w:val="00A4290A"/>
    <w:rsid w:val="00A4555E"/>
    <w:rsid w:val="00A513E2"/>
    <w:rsid w:val="00A51F6C"/>
    <w:rsid w:val="00A544C3"/>
    <w:rsid w:val="00A55D2C"/>
    <w:rsid w:val="00A570EF"/>
    <w:rsid w:val="00A741CB"/>
    <w:rsid w:val="00A77D1B"/>
    <w:rsid w:val="00A81313"/>
    <w:rsid w:val="00A81691"/>
    <w:rsid w:val="00A816A4"/>
    <w:rsid w:val="00A84E85"/>
    <w:rsid w:val="00A84FD5"/>
    <w:rsid w:val="00A914BC"/>
    <w:rsid w:val="00A92B0F"/>
    <w:rsid w:val="00A95862"/>
    <w:rsid w:val="00A97F5A"/>
    <w:rsid w:val="00AB0502"/>
    <w:rsid w:val="00AB0FB4"/>
    <w:rsid w:val="00AB4C7F"/>
    <w:rsid w:val="00AC22CD"/>
    <w:rsid w:val="00AC3EAB"/>
    <w:rsid w:val="00AC6BD2"/>
    <w:rsid w:val="00AC79A0"/>
    <w:rsid w:val="00AD1A00"/>
    <w:rsid w:val="00AD758C"/>
    <w:rsid w:val="00AE1FEF"/>
    <w:rsid w:val="00AE43CC"/>
    <w:rsid w:val="00AF5E24"/>
    <w:rsid w:val="00AF7E21"/>
    <w:rsid w:val="00B00289"/>
    <w:rsid w:val="00B06647"/>
    <w:rsid w:val="00B12299"/>
    <w:rsid w:val="00B12BF4"/>
    <w:rsid w:val="00B12FEB"/>
    <w:rsid w:val="00B17ACB"/>
    <w:rsid w:val="00B241C2"/>
    <w:rsid w:val="00B357CD"/>
    <w:rsid w:val="00B37447"/>
    <w:rsid w:val="00B62158"/>
    <w:rsid w:val="00B62C7E"/>
    <w:rsid w:val="00B7229C"/>
    <w:rsid w:val="00B75D34"/>
    <w:rsid w:val="00B836A7"/>
    <w:rsid w:val="00B84D58"/>
    <w:rsid w:val="00B85048"/>
    <w:rsid w:val="00B9398E"/>
    <w:rsid w:val="00B9458A"/>
    <w:rsid w:val="00B95E66"/>
    <w:rsid w:val="00BA2D09"/>
    <w:rsid w:val="00BA4098"/>
    <w:rsid w:val="00BA49DA"/>
    <w:rsid w:val="00BA73C3"/>
    <w:rsid w:val="00BC2881"/>
    <w:rsid w:val="00BC624D"/>
    <w:rsid w:val="00BD0AE2"/>
    <w:rsid w:val="00BD0B0C"/>
    <w:rsid w:val="00BD0B3C"/>
    <w:rsid w:val="00BD1DCF"/>
    <w:rsid w:val="00BD1EB7"/>
    <w:rsid w:val="00BE225E"/>
    <w:rsid w:val="00BE234A"/>
    <w:rsid w:val="00BE7704"/>
    <w:rsid w:val="00BE7A03"/>
    <w:rsid w:val="00BE7E43"/>
    <w:rsid w:val="00BF0092"/>
    <w:rsid w:val="00BF1C41"/>
    <w:rsid w:val="00BF5E95"/>
    <w:rsid w:val="00BF65E7"/>
    <w:rsid w:val="00BF7F34"/>
    <w:rsid w:val="00C02903"/>
    <w:rsid w:val="00C07365"/>
    <w:rsid w:val="00C13067"/>
    <w:rsid w:val="00C1333C"/>
    <w:rsid w:val="00C16BA2"/>
    <w:rsid w:val="00C21384"/>
    <w:rsid w:val="00C319DA"/>
    <w:rsid w:val="00C40990"/>
    <w:rsid w:val="00C4307C"/>
    <w:rsid w:val="00C4438B"/>
    <w:rsid w:val="00C44597"/>
    <w:rsid w:val="00C507BD"/>
    <w:rsid w:val="00C50FEC"/>
    <w:rsid w:val="00C5744F"/>
    <w:rsid w:val="00C64D19"/>
    <w:rsid w:val="00C65BF3"/>
    <w:rsid w:val="00C67606"/>
    <w:rsid w:val="00C76067"/>
    <w:rsid w:val="00C80447"/>
    <w:rsid w:val="00C91B08"/>
    <w:rsid w:val="00C93442"/>
    <w:rsid w:val="00C93AEF"/>
    <w:rsid w:val="00C96179"/>
    <w:rsid w:val="00C9624E"/>
    <w:rsid w:val="00C96C1D"/>
    <w:rsid w:val="00C97ACE"/>
    <w:rsid w:val="00CA6508"/>
    <w:rsid w:val="00CA7EA7"/>
    <w:rsid w:val="00CB008A"/>
    <w:rsid w:val="00CB4ABC"/>
    <w:rsid w:val="00CB5F2E"/>
    <w:rsid w:val="00CC17FB"/>
    <w:rsid w:val="00CC1F2D"/>
    <w:rsid w:val="00CD3442"/>
    <w:rsid w:val="00CD4D67"/>
    <w:rsid w:val="00CD748B"/>
    <w:rsid w:val="00CD7E6A"/>
    <w:rsid w:val="00CD7F84"/>
    <w:rsid w:val="00CE1B8E"/>
    <w:rsid w:val="00CE3C9D"/>
    <w:rsid w:val="00CE638C"/>
    <w:rsid w:val="00CE6EDD"/>
    <w:rsid w:val="00CE7664"/>
    <w:rsid w:val="00CF039A"/>
    <w:rsid w:val="00CF48D4"/>
    <w:rsid w:val="00D03833"/>
    <w:rsid w:val="00D12C96"/>
    <w:rsid w:val="00D16794"/>
    <w:rsid w:val="00D1766A"/>
    <w:rsid w:val="00D17CE2"/>
    <w:rsid w:val="00D21B12"/>
    <w:rsid w:val="00D25A81"/>
    <w:rsid w:val="00D35AAF"/>
    <w:rsid w:val="00D42905"/>
    <w:rsid w:val="00D51320"/>
    <w:rsid w:val="00D51FF0"/>
    <w:rsid w:val="00D55A57"/>
    <w:rsid w:val="00D56DD2"/>
    <w:rsid w:val="00D64391"/>
    <w:rsid w:val="00D811FE"/>
    <w:rsid w:val="00D847C4"/>
    <w:rsid w:val="00D860A3"/>
    <w:rsid w:val="00D87F8D"/>
    <w:rsid w:val="00D9173F"/>
    <w:rsid w:val="00D9286B"/>
    <w:rsid w:val="00D97907"/>
    <w:rsid w:val="00DA2096"/>
    <w:rsid w:val="00DA7D70"/>
    <w:rsid w:val="00DB3669"/>
    <w:rsid w:val="00DB468F"/>
    <w:rsid w:val="00DB5434"/>
    <w:rsid w:val="00DB56F8"/>
    <w:rsid w:val="00DB6E4D"/>
    <w:rsid w:val="00DB7773"/>
    <w:rsid w:val="00DC1FD8"/>
    <w:rsid w:val="00DD0AB7"/>
    <w:rsid w:val="00DE0E71"/>
    <w:rsid w:val="00DE1A11"/>
    <w:rsid w:val="00DE27DC"/>
    <w:rsid w:val="00DE2B50"/>
    <w:rsid w:val="00DE343F"/>
    <w:rsid w:val="00DE3612"/>
    <w:rsid w:val="00DE57DB"/>
    <w:rsid w:val="00DE7298"/>
    <w:rsid w:val="00DF01DA"/>
    <w:rsid w:val="00DF0CF4"/>
    <w:rsid w:val="00DF1A12"/>
    <w:rsid w:val="00DF46F7"/>
    <w:rsid w:val="00E017F1"/>
    <w:rsid w:val="00E06BD9"/>
    <w:rsid w:val="00E1183D"/>
    <w:rsid w:val="00E1362A"/>
    <w:rsid w:val="00E21C35"/>
    <w:rsid w:val="00E24FE9"/>
    <w:rsid w:val="00E323CC"/>
    <w:rsid w:val="00E43576"/>
    <w:rsid w:val="00E45A03"/>
    <w:rsid w:val="00E5171C"/>
    <w:rsid w:val="00E530D7"/>
    <w:rsid w:val="00E66982"/>
    <w:rsid w:val="00E73B50"/>
    <w:rsid w:val="00E756D4"/>
    <w:rsid w:val="00E757B0"/>
    <w:rsid w:val="00E80C0A"/>
    <w:rsid w:val="00E83646"/>
    <w:rsid w:val="00E83F22"/>
    <w:rsid w:val="00E9297A"/>
    <w:rsid w:val="00E92B4E"/>
    <w:rsid w:val="00EA1A59"/>
    <w:rsid w:val="00EA7A7A"/>
    <w:rsid w:val="00EB31E9"/>
    <w:rsid w:val="00EB4CA9"/>
    <w:rsid w:val="00EC2093"/>
    <w:rsid w:val="00ED0239"/>
    <w:rsid w:val="00ED0A15"/>
    <w:rsid w:val="00ED1A1E"/>
    <w:rsid w:val="00ED3FF0"/>
    <w:rsid w:val="00ED5184"/>
    <w:rsid w:val="00ED6361"/>
    <w:rsid w:val="00EE39F5"/>
    <w:rsid w:val="00EE6E75"/>
    <w:rsid w:val="00EE78DA"/>
    <w:rsid w:val="00EF2004"/>
    <w:rsid w:val="00F01A78"/>
    <w:rsid w:val="00F01D6F"/>
    <w:rsid w:val="00F04910"/>
    <w:rsid w:val="00F04E2D"/>
    <w:rsid w:val="00F161B9"/>
    <w:rsid w:val="00F164C2"/>
    <w:rsid w:val="00F1663A"/>
    <w:rsid w:val="00F241F7"/>
    <w:rsid w:val="00F24DD4"/>
    <w:rsid w:val="00F26DD5"/>
    <w:rsid w:val="00F27EF9"/>
    <w:rsid w:val="00F31937"/>
    <w:rsid w:val="00F37996"/>
    <w:rsid w:val="00F4689D"/>
    <w:rsid w:val="00F5037E"/>
    <w:rsid w:val="00F5419A"/>
    <w:rsid w:val="00F55408"/>
    <w:rsid w:val="00F608E5"/>
    <w:rsid w:val="00F61F49"/>
    <w:rsid w:val="00F65721"/>
    <w:rsid w:val="00F7018D"/>
    <w:rsid w:val="00F72D93"/>
    <w:rsid w:val="00F73E70"/>
    <w:rsid w:val="00F7540D"/>
    <w:rsid w:val="00F83634"/>
    <w:rsid w:val="00F84043"/>
    <w:rsid w:val="00F85789"/>
    <w:rsid w:val="00F94044"/>
    <w:rsid w:val="00F96463"/>
    <w:rsid w:val="00F96DE2"/>
    <w:rsid w:val="00FA0619"/>
    <w:rsid w:val="00FA1C5E"/>
    <w:rsid w:val="00FB1376"/>
    <w:rsid w:val="00FB3A1C"/>
    <w:rsid w:val="00FB3E1C"/>
    <w:rsid w:val="00FB6757"/>
    <w:rsid w:val="00FB6F97"/>
    <w:rsid w:val="00FC0C11"/>
    <w:rsid w:val="00FC1185"/>
    <w:rsid w:val="00FC3BCA"/>
    <w:rsid w:val="00FC4B63"/>
    <w:rsid w:val="00FC74F5"/>
    <w:rsid w:val="00FD0453"/>
    <w:rsid w:val="00FD49A7"/>
    <w:rsid w:val="00FD7C7F"/>
    <w:rsid w:val="00FE06E9"/>
    <w:rsid w:val="00FE5309"/>
    <w:rsid w:val="00FF6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523B3"/>
  <w15:docId w15:val="{A8B70D12-0030-8E4A-A2F6-E9E3ACF6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spacing w:before="23"/>
      <w:ind w:left="974" w:hanging="438"/>
      <w:outlineLvl w:val="0"/>
    </w:pPr>
    <w:rPr>
      <w:b/>
      <w:bCs/>
      <w:sz w:val="28"/>
      <w:szCs w:val="28"/>
    </w:rPr>
  </w:style>
  <w:style w:type="paragraph" w:styleId="Heading2">
    <w:name w:val="heading 2"/>
    <w:basedOn w:val="Normal"/>
    <w:uiPriority w:val="9"/>
    <w:unhideWhenUsed/>
    <w:qFormat/>
    <w:pPr>
      <w:ind w:left="537"/>
      <w:outlineLvl w:val="1"/>
    </w:pPr>
    <w:rPr>
      <w:b/>
      <w:bCs/>
      <w:sz w:val="23"/>
      <w:szCs w:val="23"/>
    </w:rPr>
  </w:style>
  <w:style w:type="paragraph" w:styleId="Heading3">
    <w:name w:val="heading 3"/>
    <w:basedOn w:val="Normal"/>
    <w:uiPriority w:val="9"/>
    <w:unhideWhenUsed/>
    <w:qFormat/>
    <w:pPr>
      <w:spacing w:before="41"/>
      <w:ind w:left="537"/>
      <w:outlineLvl w:val="2"/>
    </w:pPr>
    <w:rPr>
      <w:rFonts w:ascii="Calibri-BoldItalic" w:eastAsia="Calibri-BoldItalic" w:hAnsi="Calibri-BoldItalic" w:cs="Calibri-BoldItalic"/>
      <w:b/>
      <w:bCs/>
      <w:i/>
      <w:sz w:val="23"/>
      <w:szCs w:val="23"/>
    </w:rPr>
  </w:style>
  <w:style w:type="paragraph" w:styleId="Heading4">
    <w:name w:val="heading 4"/>
    <w:basedOn w:val="Normal"/>
    <w:next w:val="Normal"/>
    <w:link w:val="Heading4Char"/>
    <w:uiPriority w:val="9"/>
    <w:semiHidden/>
    <w:unhideWhenUsed/>
    <w:qFormat/>
    <w:rsid w:val="00DF46F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3"/>
      <w:ind w:left="537"/>
      <w:jc w:val="both"/>
    </w:pPr>
    <w:rPr>
      <w:sz w:val="23"/>
      <w:szCs w:val="23"/>
    </w:rPr>
  </w:style>
  <w:style w:type="paragraph" w:styleId="ListParagraph">
    <w:name w:val="List Paragraph"/>
    <w:basedOn w:val="Normal"/>
    <w:uiPriority w:val="1"/>
    <w:qFormat/>
    <w:pPr>
      <w:ind w:left="974" w:hanging="438"/>
    </w:pPr>
  </w:style>
  <w:style w:type="paragraph" w:customStyle="1" w:styleId="TableParagraph">
    <w:name w:val="Table Paragraph"/>
    <w:basedOn w:val="Normal"/>
    <w:uiPriority w:val="1"/>
    <w:qFormat/>
    <w:pPr>
      <w:spacing w:before="1"/>
    </w:pPr>
  </w:style>
  <w:style w:type="paragraph" w:customStyle="1" w:styleId="Default">
    <w:name w:val="Default"/>
    <w:rsid w:val="00FD0453"/>
    <w:pPr>
      <w:widowControl/>
      <w:adjustRightInd w:val="0"/>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4C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B97"/>
    <w:rPr>
      <w:rFonts w:ascii="Segoe UI" w:eastAsia="Calibri" w:hAnsi="Segoe UI" w:cs="Segoe UI"/>
      <w:sz w:val="18"/>
      <w:szCs w:val="18"/>
      <w:lang w:val="en-AU"/>
    </w:rPr>
  </w:style>
  <w:style w:type="paragraph" w:styleId="Header">
    <w:name w:val="header"/>
    <w:basedOn w:val="Normal"/>
    <w:link w:val="HeaderChar"/>
    <w:uiPriority w:val="99"/>
    <w:unhideWhenUsed/>
    <w:rsid w:val="00355187"/>
    <w:pPr>
      <w:tabs>
        <w:tab w:val="center" w:pos="4513"/>
        <w:tab w:val="right" w:pos="9026"/>
      </w:tabs>
    </w:pPr>
  </w:style>
  <w:style w:type="character" w:customStyle="1" w:styleId="HeaderChar">
    <w:name w:val="Header Char"/>
    <w:basedOn w:val="DefaultParagraphFont"/>
    <w:link w:val="Header"/>
    <w:uiPriority w:val="99"/>
    <w:rsid w:val="00355187"/>
    <w:rPr>
      <w:rFonts w:ascii="Calibri" w:eastAsia="Calibri" w:hAnsi="Calibri" w:cs="Calibri"/>
      <w:lang w:val="en-AU"/>
    </w:rPr>
  </w:style>
  <w:style w:type="paragraph" w:styleId="Footer">
    <w:name w:val="footer"/>
    <w:basedOn w:val="Normal"/>
    <w:link w:val="FooterChar"/>
    <w:unhideWhenUsed/>
    <w:rsid w:val="00355187"/>
    <w:pPr>
      <w:tabs>
        <w:tab w:val="center" w:pos="4513"/>
        <w:tab w:val="right" w:pos="9026"/>
      </w:tabs>
    </w:pPr>
  </w:style>
  <w:style w:type="character" w:customStyle="1" w:styleId="FooterChar">
    <w:name w:val="Footer Char"/>
    <w:basedOn w:val="DefaultParagraphFont"/>
    <w:link w:val="Footer"/>
    <w:rsid w:val="00355187"/>
    <w:rPr>
      <w:rFonts w:ascii="Calibri" w:eastAsia="Calibri" w:hAnsi="Calibri" w:cs="Calibri"/>
      <w:lang w:val="en-AU"/>
    </w:rPr>
  </w:style>
  <w:style w:type="character" w:styleId="PageNumber">
    <w:name w:val="page number"/>
    <w:basedOn w:val="DefaultParagraphFont"/>
    <w:uiPriority w:val="99"/>
    <w:semiHidden/>
    <w:unhideWhenUsed/>
    <w:rsid w:val="00AC3EAB"/>
  </w:style>
  <w:style w:type="character" w:styleId="CommentReference">
    <w:name w:val="annotation reference"/>
    <w:basedOn w:val="DefaultParagraphFont"/>
    <w:uiPriority w:val="99"/>
    <w:semiHidden/>
    <w:unhideWhenUsed/>
    <w:rsid w:val="003E4998"/>
    <w:rPr>
      <w:sz w:val="16"/>
      <w:szCs w:val="16"/>
    </w:rPr>
  </w:style>
  <w:style w:type="paragraph" w:styleId="CommentText">
    <w:name w:val="annotation text"/>
    <w:basedOn w:val="Normal"/>
    <w:link w:val="CommentTextChar"/>
    <w:uiPriority w:val="99"/>
    <w:unhideWhenUsed/>
    <w:rsid w:val="003E4998"/>
    <w:rPr>
      <w:sz w:val="20"/>
      <w:szCs w:val="20"/>
    </w:rPr>
  </w:style>
  <w:style w:type="character" w:customStyle="1" w:styleId="CommentTextChar">
    <w:name w:val="Comment Text Char"/>
    <w:basedOn w:val="DefaultParagraphFont"/>
    <w:link w:val="CommentText"/>
    <w:uiPriority w:val="99"/>
    <w:rsid w:val="003E4998"/>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3E4998"/>
    <w:rPr>
      <w:b/>
      <w:bCs/>
    </w:rPr>
  </w:style>
  <w:style w:type="character" w:customStyle="1" w:styleId="CommentSubjectChar">
    <w:name w:val="Comment Subject Char"/>
    <w:basedOn w:val="CommentTextChar"/>
    <w:link w:val="CommentSubject"/>
    <w:uiPriority w:val="99"/>
    <w:semiHidden/>
    <w:rsid w:val="003E4998"/>
    <w:rPr>
      <w:rFonts w:ascii="Calibri" w:eastAsia="Calibri" w:hAnsi="Calibri" w:cs="Calibri"/>
      <w:b/>
      <w:bCs/>
      <w:sz w:val="20"/>
      <w:szCs w:val="20"/>
      <w:lang w:val="en-AU"/>
    </w:rPr>
  </w:style>
  <w:style w:type="paragraph" w:styleId="Revision">
    <w:name w:val="Revision"/>
    <w:hidden/>
    <w:uiPriority w:val="99"/>
    <w:semiHidden/>
    <w:rsid w:val="00754AAF"/>
    <w:pPr>
      <w:widowControl/>
      <w:autoSpaceDE/>
      <w:autoSpaceDN/>
    </w:pPr>
    <w:rPr>
      <w:rFonts w:ascii="Calibri" w:eastAsia="Calibri" w:hAnsi="Calibri" w:cs="Calibri"/>
      <w:lang w:val="en-AU"/>
    </w:rPr>
  </w:style>
  <w:style w:type="character" w:customStyle="1" w:styleId="Heading4Char">
    <w:name w:val="Heading 4 Char"/>
    <w:basedOn w:val="DefaultParagraphFont"/>
    <w:link w:val="Heading4"/>
    <w:uiPriority w:val="9"/>
    <w:semiHidden/>
    <w:rsid w:val="00DF46F7"/>
    <w:rPr>
      <w:rFonts w:asciiTheme="majorHAnsi" w:eastAsiaTheme="majorEastAsia" w:hAnsiTheme="majorHAnsi" w:cstheme="majorBidi"/>
      <w:i/>
      <w:iCs/>
      <w:color w:val="365F91" w:themeColor="accent1" w:themeShade="BF"/>
      <w:lang w:val="en-AU"/>
    </w:rPr>
  </w:style>
  <w:style w:type="character" w:styleId="Emphasis">
    <w:name w:val="Emphasis"/>
    <w:basedOn w:val="DefaultParagraphFont"/>
    <w:uiPriority w:val="20"/>
    <w:qFormat/>
    <w:rsid w:val="00416096"/>
    <w:rPr>
      <w:i/>
      <w:iCs/>
    </w:rPr>
  </w:style>
  <w:style w:type="paragraph" w:styleId="NormalWeb">
    <w:name w:val="Normal (Web)"/>
    <w:basedOn w:val="Normal"/>
    <w:uiPriority w:val="99"/>
    <w:unhideWhenUsed/>
    <w:rsid w:val="00A92B0F"/>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5171C"/>
    <w:rPr>
      <w:color w:val="0000FF"/>
      <w:u w:val="single"/>
    </w:rPr>
  </w:style>
  <w:style w:type="character" w:styleId="UnresolvedMention">
    <w:name w:val="Unresolved Mention"/>
    <w:basedOn w:val="DefaultParagraphFont"/>
    <w:uiPriority w:val="99"/>
    <w:semiHidden/>
    <w:unhideWhenUsed/>
    <w:rsid w:val="00E5171C"/>
    <w:rPr>
      <w:color w:val="605E5C"/>
      <w:shd w:val="clear" w:color="auto" w:fill="E1DFDD"/>
    </w:rPr>
  </w:style>
  <w:style w:type="character" w:customStyle="1" w:styleId="sup">
    <w:name w:val="sup"/>
    <w:basedOn w:val="DefaultParagraphFont"/>
    <w:rsid w:val="008D4FE1"/>
  </w:style>
  <w:style w:type="character" w:customStyle="1" w:styleId="italics">
    <w:name w:val="italics"/>
    <w:basedOn w:val="DefaultParagraphFont"/>
    <w:rsid w:val="001C0EA5"/>
  </w:style>
  <w:style w:type="paragraph" w:styleId="IntenseQuote">
    <w:name w:val="Intense Quote"/>
    <w:basedOn w:val="Normal"/>
    <w:next w:val="Normal"/>
    <w:link w:val="IntenseQuoteChar"/>
    <w:uiPriority w:val="30"/>
    <w:qFormat/>
    <w:rsid w:val="00F65721"/>
    <w:pPr>
      <w:widowControl/>
      <w:autoSpaceDE/>
      <w:autoSpaceDN/>
      <w:spacing w:before="100" w:beforeAutospacing="1" w:after="240" w:line="240" w:lineRule="atLeast"/>
      <w:ind w:left="936" w:right="936"/>
      <w:jc w:val="center"/>
    </w:pPr>
    <w:rPr>
      <w:rFonts w:asciiTheme="majorHAnsi" w:eastAsiaTheme="majorEastAsia" w:hAnsiTheme="majorHAnsi" w:cstheme="majorBidi"/>
      <w:sz w:val="26"/>
      <w:szCs w:val="26"/>
      <w:lang w:val="en-IN" w:eastAsia="en-IN"/>
    </w:rPr>
  </w:style>
  <w:style w:type="character" w:customStyle="1" w:styleId="IntenseQuoteChar">
    <w:name w:val="Intense Quote Char"/>
    <w:basedOn w:val="DefaultParagraphFont"/>
    <w:link w:val="IntenseQuote"/>
    <w:uiPriority w:val="30"/>
    <w:rsid w:val="00F65721"/>
    <w:rPr>
      <w:rFonts w:asciiTheme="majorHAnsi" w:eastAsiaTheme="majorEastAsia" w:hAnsiTheme="majorHAnsi" w:cstheme="majorBidi"/>
      <w:sz w:val="26"/>
      <w:szCs w:val="26"/>
      <w:lang w:val="en-IN" w:eastAsia="en-IN"/>
    </w:rPr>
  </w:style>
  <w:style w:type="table" w:styleId="TableGrid">
    <w:name w:val="Table Grid"/>
    <w:basedOn w:val="TableNormal"/>
    <w:uiPriority w:val="59"/>
    <w:rsid w:val="000A5629"/>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373">
      <w:bodyDiv w:val="1"/>
      <w:marLeft w:val="0"/>
      <w:marRight w:val="0"/>
      <w:marTop w:val="0"/>
      <w:marBottom w:val="0"/>
      <w:divBdr>
        <w:top w:val="none" w:sz="0" w:space="0" w:color="auto"/>
        <w:left w:val="none" w:sz="0" w:space="0" w:color="auto"/>
        <w:bottom w:val="none" w:sz="0" w:space="0" w:color="auto"/>
        <w:right w:val="none" w:sz="0" w:space="0" w:color="auto"/>
      </w:divBdr>
      <w:divsChild>
        <w:div w:id="1172721236">
          <w:marLeft w:val="0"/>
          <w:marRight w:val="0"/>
          <w:marTop w:val="0"/>
          <w:marBottom w:val="0"/>
          <w:divBdr>
            <w:top w:val="none" w:sz="0" w:space="0" w:color="auto"/>
            <w:left w:val="none" w:sz="0" w:space="0" w:color="auto"/>
            <w:bottom w:val="none" w:sz="0" w:space="0" w:color="auto"/>
            <w:right w:val="none" w:sz="0" w:space="0" w:color="auto"/>
          </w:divBdr>
        </w:div>
      </w:divsChild>
    </w:div>
    <w:div w:id="211114591">
      <w:bodyDiv w:val="1"/>
      <w:marLeft w:val="0"/>
      <w:marRight w:val="0"/>
      <w:marTop w:val="0"/>
      <w:marBottom w:val="0"/>
      <w:divBdr>
        <w:top w:val="none" w:sz="0" w:space="0" w:color="auto"/>
        <w:left w:val="none" w:sz="0" w:space="0" w:color="auto"/>
        <w:bottom w:val="none" w:sz="0" w:space="0" w:color="auto"/>
        <w:right w:val="none" w:sz="0" w:space="0" w:color="auto"/>
      </w:divBdr>
    </w:div>
    <w:div w:id="353002394">
      <w:bodyDiv w:val="1"/>
      <w:marLeft w:val="0"/>
      <w:marRight w:val="0"/>
      <w:marTop w:val="0"/>
      <w:marBottom w:val="0"/>
      <w:divBdr>
        <w:top w:val="none" w:sz="0" w:space="0" w:color="auto"/>
        <w:left w:val="none" w:sz="0" w:space="0" w:color="auto"/>
        <w:bottom w:val="none" w:sz="0" w:space="0" w:color="auto"/>
        <w:right w:val="none" w:sz="0" w:space="0" w:color="auto"/>
      </w:divBdr>
    </w:div>
    <w:div w:id="476386434">
      <w:bodyDiv w:val="1"/>
      <w:marLeft w:val="0"/>
      <w:marRight w:val="0"/>
      <w:marTop w:val="0"/>
      <w:marBottom w:val="0"/>
      <w:divBdr>
        <w:top w:val="none" w:sz="0" w:space="0" w:color="auto"/>
        <w:left w:val="none" w:sz="0" w:space="0" w:color="auto"/>
        <w:bottom w:val="none" w:sz="0" w:space="0" w:color="auto"/>
        <w:right w:val="none" w:sz="0" w:space="0" w:color="auto"/>
      </w:divBdr>
    </w:div>
    <w:div w:id="519396343">
      <w:bodyDiv w:val="1"/>
      <w:marLeft w:val="0"/>
      <w:marRight w:val="0"/>
      <w:marTop w:val="0"/>
      <w:marBottom w:val="0"/>
      <w:divBdr>
        <w:top w:val="none" w:sz="0" w:space="0" w:color="auto"/>
        <w:left w:val="none" w:sz="0" w:space="0" w:color="auto"/>
        <w:bottom w:val="none" w:sz="0" w:space="0" w:color="auto"/>
        <w:right w:val="none" w:sz="0" w:space="0" w:color="auto"/>
      </w:divBdr>
    </w:div>
    <w:div w:id="537621593">
      <w:bodyDiv w:val="1"/>
      <w:marLeft w:val="0"/>
      <w:marRight w:val="0"/>
      <w:marTop w:val="0"/>
      <w:marBottom w:val="0"/>
      <w:divBdr>
        <w:top w:val="none" w:sz="0" w:space="0" w:color="auto"/>
        <w:left w:val="none" w:sz="0" w:space="0" w:color="auto"/>
        <w:bottom w:val="none" w:sz="0" w:space="0" w:color="auto"/>
        <w:right w:val="none" w:sz="0" w:space="0" w:color="auto"/>
      </w:divBdr>
      <w:divsChild>
        <w:div w:id="1980727169">
          <w:marLeft w:val="0"/>
          <w:marRight w:val="0"/>
          <w:marTop w:val="0"/>
          <w:marBottom w:val="0"/>
          <w:divBdr>
            <w:top w:val="none" w:sz="0" w:space="0" w:color="auto"/>
            <w:left w:val="none" w:sz="0" w:space="0" w:color="auto"/>
            <w:bottom w:val="none" w:sz="0" w:space="0" w:color="auto"/>
            <w:right w:val="none" w:sz="0" w:space="0" w:color="auto"/>
          </w:divBdr>
          <w:divsChild>
            <w:div w:id="1121388054">
              <w:marLeft w:val="0"/>
              <w:marRight w:val="0"/>
              <w:marTop w:val="0"/>
              <w:marBottom w:val="0"/>
              <w:divBdr>
                <w:top w:val="none" w:sz="0" w:space="0" w:color="auto"/>
                <w:left w:val="none" w:sz="0" w:space="0" w:color="auto"/>
                <w:bottom w:val="none" w:sz="0" w:space="0" w:color="auto"/>
                <w:right w:val="none" w:sz="0" w:space="0" w:color="auto"/>
              </w:divBdr>
              <w:divsChild>
                <w:div w:id="15495910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 w:id="565534326">
      <w:bodyDiv w:val="1"/>
      <w:marLeft w:val="0"/>
      <w:marRight w:val="0"/>
      <w:marTop w:val="0"/>
      <w:marBottom w:val="0"/>
      <w:divBdr>
        <w:top w:val="none" w:sz="0" w:space="0" w:color="auto"/>
        <w:left w:val="none" w:sz="0" w:space="0" w:color="auto"/>
        <w:bottom w:val="none" w:sz="0" w:space="0" w:color="auto"/>
        <w:right w:val="none" w:sz="0" w:space="0" w:color="auto"/>
      </w:divBdr>
    </w:div>
    <w:div w:id="566843500">
      <w:bodyDiv w:val="1"/>
      <w:marLeft w:val="0"/>
      <w:marRight w:val="0"/>
      <w:marTop w:val="0"/>
      <w:marBottom w:val="0"/>
      <w:divBdr>
        <w:top w:val="none" w:sz="0" w:space="0" w:color="auto"/>
        <w:left w:val="none" w:sz="0" w:space="0" w:color="auto"/>
        <w:bottom w:val="none" w:sz="0" w:space="0" w:color="auto"/>
        <w:right w:val="none" w:sz="0" w:space="0" w:color="auto"/>
      </w:divBdr>
    </w:div>
    <w:div w:id="646323080">
      <w:bodyDiv w:val="1"/>
      <w:marLeft w:val="0"/>
      <w:marRight w:val="0"/>
      <w:marTop w:val="0"/>
      <w:marBottom w:val="0"/>
      <w:divBdr>
        <w:top w:val="none" w:sz="0" w:space="0" w:color="auto"/>
        <w:left w:val="none" w:sz="0" w:space="0" w:color="auto"/>
        <w:bottom w:val="none" w:sz="0" w:space="0" w:color="auto"/>
        <w:right w:val="none" w:sz="0" w:space="0" w:color="auto"/>
      </w:divBdr>
    </w:div>
    <w:div w:id="671032325">
      <w:bodyDiv w:val="1"/>
      <w:marLeft w:val="0"/>
      <w:marRight w:val="0"/>
      <w:marTop w:val="0"/>
      <w:marBottom w:val="0"/>
      <w:divBdr>
        <w:top w:val="none" w:sz="0" w:space="0" w:color="auto"/>
        <w:left w:val="none" w:sz="0" w:space="0" w:color="auto"/>
        <w:bottom w:val="none" w:sz="0" w:space="0" w:color="auto"/>
        <w:right w:val="none" w:sz="0" w:space="0" w:color="auto"/>
      </w:divBdr>
    </w:div>
    <w:div w:id="690296887">
      <w:bodyDiv w:val="1"/>
      <w:marLeft w:val="0"/>
      <w:marRight w:val="0"/>
      <w:marTop w:val="0"/>
      <w:marBottom w:val="0"/>
      <w:divBdr>
        <w:top w:val="none" w:sz="0" w:space="0" w:color="auto"/>
        <w:left w:val="none" w:sz="0" w:space="0" w:color="auto"/>
        <w:bottom w:val="none" w:sz="0" w:space="0" w:color="auto"/>
        <w:right w:val="none" w:sz="0" w:space="0" w:color="auto"/>
      </w:divBdr>
    </w:div>
    <w:div w:id="733239687">
      <w:bodyDiv w:val="1"/>
      <w:marLeft w:val="0"/>
      <w:marRight w:val="0"/>
      <w:marTop w:val="0"/>
      <w:marBottom w:val="0"/>
      <w:divBdr>
        <w:top w:val="none" w:sz="0" w:space="0" w:color="auto"/>
        <w:left w:val="none" w:sz="0" w:space="0" w:color="auto"/>
        <w:bottom w:val="none" w:sz="0" w:space="0" w:color="auto"/>
        <w:right w:val="none" w:sz="0" w:space="0" w:color="auto"/>
      </w:divBdr>
    </w:div>
    <w:div w:id="751508284">
      <w:bodyDiv w:val="1"/>
      <w:marLeft w:val="0"/>
      <w:marRight w:val="0"/>
      <w:marTop w:val="0"/>
      <w:marBottom w:val="0"/>
      <w:divBdr>
        <w:top w:val="none" w:sz="0" w:space="0" w:color="auto"/>
        <w:left w:val="none" w:sz="0" w:space="0" w:color="auto"/>
        <w:bottom w:val="none" w:sz="0" w:space="0" w:color="auto"/>
        <w:right w:val="none" w:sz="0" w:space="0" w:color="auto"/>
      </w:divBdr>
    </w:div>
    <w:div w:id="762798205">
      <w:bodyDiv w:val="1"/>
      <w:marLeft w:val="0"/>
      <w:marRight w:val="0"/>
      <w:marTop w:val="0"/>
      <w:marBottom w:val="0"/>
      <w:divBdr>
        <w:top w:val="none" w:sz="0" w:space="0" w:color="auto"/>
        <w:left w:val="none" w:sz="0" w:space="0" w:color="auto"/>
        <w:bottom w:val="none" w:sz="0" w:space="0" w:color="auto"/>
        <w:right w:val="none" w:sz="0" w:space="0" w:color="auto"/>
      </w:divBdr>
    </w:div>
    <w:div w:id="763457373">
      <w:bodyDiv w:val="1"/>
      <w:marLeft w:val="0"/>
      <w:marRight w:val="0"/>
      <w:marTop w:val="0"/>
      <w:marBottom w:val="0"/>
      <w:divBdr>
        <w:top w:val="none" w:sz="0" w:space="0" w:color="auto"/>
        <w:left w:val="none" w:sz="0" w:space="0" w:color="auto"/>
        <w:bottom w:val="none" w:sz="0" w:space="0" w:color="auto"/>
        <w:right w:val="none" w:sz="0" w:space="0" w:color="auto"/>
      </w:divBdr>
    </w:div>
    <w:div w:id="779223979">
      <w:bodyDiv w:val="1"/>
      <w:marLeft w:val="0"/>
      <w:marRight w:val="0"/>
      <w:marTop w:val="0"/>
      <w:marBottom w:val="0"/>
      <w:divBdr>
        <w:top w:val="none" w:sz="0" w:space="0" w:color="auto"/>
        <w:left w:val="none" w:sz="0" w:space="0" w:color="auto"/>
        <w:bottom w:val="none" w:sz="0" w:space="0" w:color="auto"/>
        <w:right w:val="none" w:sz="0" w:space="0" w:color="auto"/>
      </w:divBdr>
    </w:div>
    <w:div w:id="799301042">
      <w:bodyDiv w:val="1"/>
      <w:marLeft w:val="0"/>
      <w:marRight w:val="0"/>
      <w:marTop w:val="0"/>
      <w:marBottom w:val="0"/>
      <w:divBdr>
        <w:top w:val="none" w:sz="0" w:space="0" w:color="auto"/>
        <w:left w:val="none" w:sz="0" w:space="0" w:color="auto"/>
        <w:bottom w:val="none" w:sz="0" w:space="0" w:color="auto"/>
        <w:right w:val="none" w:sz="0" w:space="0" w:color="auto"/>
      </w:divBdr>
    </w:div>
    <w:div w:id="805509515">
      <w:bodyDiv w:val="1"/>
      <w:marLeft w:val="0"/>
      <w:marRight w:val="0"/>
      <w:marTop w:val="0"/>
      <w:marBottom w:val="0"/>
      <w:divBdr>
        <w:top w:val="none" w:sz="0" w:space="0" w:color="auto"/>
        <w:left w:val="none" w:sz="0" w:space="0" w:color="auto"/>
        <w:bottom w:val="none" w:sz="0" w:space="0" w:color="auto"/>
        <w:right w:val="none" w:sz="0" w:space="0" w:color="auto"/>
      </w:divBdr>
    </w:div>
    <w:div w:id="821196172">
      <w:bodyDiv w:val="1"/>
      <w:marLeft w:val="0"/>
      <w:marRight w:val="0"/>
      <w:marTop w:val="0"/>
      <w:marBottom w:val="0"/>
      <w:divBdr>
        <w:top w:val="none" w:sz="0" w:space="0" w:color="auto"/>
        <w:left w:val="none" w:sz="0" w:space="0" w:color="auto"/>
        <w:bottom w:val="none" w:sz="0" w:space="0" w:color="auto"/>
        <w:right w:val="none" w:sz="0" w:space="0" w:color="auto"/>
      </w:divBdr>
    </w:div>
    <w:div w:id="903567282">
      <w:bodyDiv w:val="1"/>
      <w:marLeft w:val="0"/>
      <w:marRight w:val="0"/>
      <w:marTop w:val="0"/>
      <w:marBottom w:val="0"/>
      <w:divBdr>
        <w:top w:val="none" w:sz="0" w:space="0" w:color="auto"/>
        <w:left w:val="none" w:sz="0" w:space="0" w:color="auto"/>
        <w:bottom w:val="none" w:sz="0" w:space="0" w:color="auto"/>
        <w:right w:val="none" w:sz="0" w:space="0" w:color="auto"/>
      </w:divBdr>
    </w:div>
    <w:div w:id="907955063">
      <w:bodyDiv w:val="1"/>
      <w:marLeft w:val="0"/>
      <w:marRight w:val="0"/>
      <w:marTop w:val="0"/>
      <w:marBottom w:val="0"/>
      <w:divBdr>
        <w:top w:val="none" w:sz="0" w:space="0" w:color="auto"/>
        <w:left w:val="none" w:sz="0" w:space="0" w:color="auto"/>
        <w:bottom w:val="none" w:sz="0" w:space="0" w:color="auto"/>
        <w:right w:val="none" w:sz="0" w:space="0" w:color="auto"/>
      </w:divBdr>
    </w:div>
    <w:div w:id="938217050">
      <w:bodyDiv w:val="1"/>
      <w:marLeft w:val="0"/>
      <w:marRight w:val="0"/>
      <w:marTop w:val="0"/>
      <w:marBottom w:val="0"/>
      <w:divBdr>
        <w:top w:val="none" w:sz="0" w:space="0" w:color="auto"/>
        <w:left w:val="none" w:sz="0" w:space="0" w:color="auto"/>
        <w:bottom w:val="none" w:sz="0" w:space="0" w:color="auto"/>
        <w:right w:val="none" w:sz="0" w:space="0" w:color="auto"/>
      </w:divBdr>
    </w:div>
    <w:div w:id="1005401374">
      <w:bodyDiv w:val="1"/>
      <w:marLeft w:val="0"/>
      <w:marRight w:val="0"/>
      <w:marTop w:val="0"/>
      <w:marBottom w:val="0"/>
      <w:divBdr>
        <w:top w:val="none" w:sz="0" w:space="0" w:color="auto"/>
        <w:left w:val="none" w:sz="0" w:space="0" w:color="auto"/>
        <w:bottom w:val="none" w:sz="0" w:space="0" w:color="auto"/>
        <w:right w:val="none" w:sz="0" w:space="0" w:color="auto"/>
      </w:divBdr>
    </w:div>
    <w:div w:id="1117020999">
      <w:bodyDiv w:val="1"/>
      <w:marLeft w:val="0"/>
      <w:marRight w:val="0"/>
      <w:marTop w:val="0"/>
      <w:marBottom w:val="0"/>
      <w:divBdr>
        <w:top w:val="none" w:sz="0" w:space="0" w:color="auto"/>
        <w:left w:val="none" w:sz="0" w:space="0" w:color="auto"/>
        <w:bottom w:val="none" w:sz="0" w:space="0" w:color="auto"/>
        <w:right w:val="none" w:sz="0" w:space="0" w:color="auto"/>
      </w:divBdr>
      <w:divsChild>
        <w:div w:id="1113785056">
          <w:marLeft w:val="0"/>
          <w:marRight w:val="0"/>
          <w:marTop w:val="0"/>
          <w:marBottom w:val="0"/>
          <w:divBdr>
            <w:top w:val="none" w:sz="0" w:space="0" w:color="auto"/>
            <w:left w:val="none" w:sz="0" w:space="0" w:color="auto"/>
            <w:bottom w:val="none" w:sz="0" w:space="0" w:color="auto"/>
            <w:right w:val="none" w:sz="0" w:space="0" w:color="auto"/>
          </w:divBdr>
        </w:div>
      </w:divsChild>
    </w:div>
    <w:div w:id="1143350591">
      <w:bodyDiv w:val="1"/>
      <w:marLeft w:val="0"/>
      <w:marRight w:val="0"/>
      <w:marTop w:val="0"/>
      <w:marBottom w:val="0"/>
      <w:divBdr>
        <w:top w:val="none" w:sz="0" w:space="0" w:color="auto"/>
        <w:left w:val="none" w:sz="0" w:space="0" w:color="auto"/>
        <w:bottom w:val="none" w:sz="0" w:space="0" w:color="auto"/>
        <w:right w:val="none" w:sz="0" w:space="0" w:color="auto"/>
      </w:divBdr>
    </w:div>
    <w:div w:id="1146358123">
      <w:bodyDiv w:val="1"/>
      <w:marLeft w:val="0"/>
      <w:marRight w:val="0"/>
      <w:marTop w:val="0"/>
      <w:marBottom w:val="0"/>
      <w:divBdr>
        <w:top w:val="none" w:sz="0" w:space="0" w:color="auto"/>
        <w:left w:val="none" w:sz="0" w:space="0" w:color="auto"/>
        <w:bottom w:val="none" w:sz="0" w:space="0" w:color="auto"/>
        <w:right w:val="none" w:sz="0" w:space="0" w:color="auto"/>
      </w:divBdr>
    </w:div>
    <w:div w:id="1182085231">
      <w:bodyDiv w:val="1"/>
      <w:marLeft w:val="0"/>
      <w:marRight w:val="0"/>
      <w:marTop w:val="0"/>
      <w:marBottom w:val="0"/>
      <w:divBdr>
        <w:top w:val="none" w:sz="0" w:space="0" w:color="auto"/>
        <w:left w:val="none" w:sz="0" w:space="0" w:color="auto"/>
        <w:bottom w:val="none" w:sz="0" w:space="0" w:color="auto"/>
        <w:right w:val="none" w:sz="0" w:space="0" w:color="auto"/>
      </w:divBdr>
    </w:div>
    <w:div w:id="1242564539">
      <w:bodyDiv w:val="1"/>
      <w:marLeft w:val="0"/>
      <w:marRight w:val="0"/>
      <w:marTop w:val="0"/>
      <w:marBottom w:val="0"/>
      <w:divBdr>
        <w:top w:val="none" w:sz="0" w:space="0" w:color="auto"/>
        <w:left w:val="none" w:sz="0" w:space="0" w:color="auto"/>
        <w:bottom w:val="none" w:sz="0" w:space="0" w:color="auto"/>
        <w:right w:val="none" w:sz="0" w:space="0" w:color="auto"/>
      </w:divBdr>
    </w:div>
    <w:div w:id="1477410527">
      <w:bodyDiv w:val="1"/>
      <w:marLeft w:val="0"/>
      <w:marRight w:val="0"/>
      <w:marTop w:val="0"/>
      <w:marBottom w:val="0"/>
      <w:divBdr>
        <w:top w:val="none" w:sz="0" w:space="0" w:color="auto"/>
        <w:left w:val="none" w:sz="0" w:space="0" w:color="auto"/>
        <w:bottom w:val="none" w:sz="0" w:space="0" w:color="auto"/>
        <w:right w:val="none" w:sz="0" w:space="0" w:color="auto"/>
      </w:divBdr>
    </w:div>
    <w:div w:id="1509636680">
      <w:bodyDiv w:val="1"/>
      <w:marLeft w:val="0"/>
      <w:marRight w:val="0"/>
      <w:marTop w:val="0"/>
      <w:marBottom w:val="0"/>
      <w:divBdr>
        <w:top w:val="none" w:sz="0" w:space="0" w:color="auto"/>
        <w:left w:val="none" w:sz="0" w:space="0" w:color="auto"/>
        <w:bottom w:val="none" w:sz="0" w:space="0" w:color="auto"/>
        <w:right w:val="none" w:sz="0" w:space="0" w:color="auto"/>
      </w:divBdr>
    </w:div>
    <w:div w:id="1511872943">
      <w:bodyDiv w:val="1"/>
      <w:marLeft w:val="0"/>
      <w:marRight w:val="0"/>
      <w:marTop w:val="0"/>
      <w:marBottom w:val="0"/>
      <w:divBdr>
        <w:top w:val="none" w:sz="0" w:space="0" w:color="auto"/>
        <w:left w:val="none" w:sz="0" w:space="0" w:color="auto"/>
        <w:bottom w:val="none" w:sz="0" w:space="0" w:color="auto"/>
        <w:right w:val="none" w:sz="0" w:space="0" w:color="auto"/>
      </w:divBdr>
    </w:div>
    <w:div w:id="1590118041">
      <w:bodyDiv w:val="1"/>
      <w:marLeft w:val="0"/>
      <w:marRight w:val="0"/>
      <w:marTop w:val="0"/>
      <w:marBottom w:val="0"/>
      <w:divBdr>
        <w:top w:val="none" w:sz="0" w:space="0" w:color="auto"/>
        <w:left w:val="none" w:sz="0" w:space="0" w:color="auto"/>
        <w:bottom w:val="none" w:sz="0" w:space="0" w:color="auto"/>
        <w:right w:val="none" w:sz="0" w:space="0" w:color="auto"/>
      </w:divBdr>
    </w:div>
    <w:div w:id="1595743283">
      <w:bodyDiv w:val="1"/>
      <w:marLeft w:val="0"/>
      <w:marRight w:val="0"/>
      <w:marTop w:val="0"/>
      <w:marBottom w:val="0"/>
      <w:divBdr>
        <w:top w:val="none" w:sz="0" w:space="0" w:color="auto"/>
        <w:left w:val="none" w:sz="0" w:space="0" w:color="auto"/>
        <w:bottom w:val="none" w:sz="0" w:space="0" w:color="auto"/>
        <w:right w:val="none" w:sz="0" w:space="0" w:color="auto"/>
      </w:divBdr>
    </w:div>
    <w:div w:id="1644507841">
      <w:bodyDiv w:val="1"/>
      <w:marLeft w:val="0"/>
      <w:marRight w:val="0"/>
      <w:marTop w:val="0"/>
      <w:marBottom w:val="0"/>
      <w:divBdr>
        <w:top w:val="none" w:sz="0" w:space="0" w:color="auto"/>
        <w:left w:val="none" w:sz="0" w:space="0" w:color="auto"/>
        <w:bottom w:val="none" w:sz="0" w:space="0" w:color="auto"/>
        <w:right w:val="none" w:sz="0" w:space="0" w:color="auto"/>
      </w:divBdr>
    </w:div>
    <w:div w:id="1653290849">
      <w:bodyDiv w:val="1"/>
      <w:marLeft w:val="0"/>
      <w:marRight w:val="0"/>
      <w:marTop w:val="0"/>
      <w:marBottom w:val="0"/>
      <w:divBdr>
        <w:top w:val="none" w:sz="0" w:space="0" w:color="auto"/>
        <w:left w:val="none" w:sz="0" w:space="0" w:color="auto"/>
        <w:bottom w:val="none" w:sz="0" w:space="0" w:color="auto"/>
        <w:right w:val="none" w:sz="0" w:space="0" w:color="auto"/>
      </w:divBdr>
    </w:div>
    <w:div w:id="1679625098">
      <w:bodyDiv w:val="1"/>
      <w:marLeft w:val="0"/>
      <w:marRight w:val="0"/>
      <w:marTop w:val="0"/>
      <w:marBottom w:val="0"/>
      <w:divBdr>
        <w:top w:val="none" w:sz="0" w:space="0" w:color="auto"/>
        <w:left w:val="none" w:sz="0" w:space="0" w:color="auto"/>
        <w:bottom w:val="none" w:sz="0" w:space="0" w:color="auto"/>
        <w:right w:val="none" w:sz="0" w:space="0" w:color="auto"/>
      </w:divBdr>
    </w:div>
    <w:div w:id="1695419989">
      <w:bodyDiv w:val="1"/>
      <w:marLeft w:val="0"/>
      <w:marRight w:val="0"/>
      <w:marTop w:val="0"/>
      <w:marBottom w:val="0"/>
      <w:divBdr>
        <w:top w:val="none" w:sz="0" w:space="0" w:color="auto"/>
        <w:left w:val="none" w:sz="0" w:space="0" w:color="auto"/>
        <w:bottom w:val="none" w:sz="0" w:space="0" w:color="auto"/>
        <w:right w:val="none" w:sz="0" w:space="0" w:color="auto"/>
      </w:divBdr>
    </w:div>
    <w:div w:id="1711565576">
      <w:bodyDiv w:val="1"/>
      <w:marLeft w:val="0"/>
      <w:marRight w:val="0"/>
      <w:marTop w:val="0"/>
      <w:marBottom w:val="0"/>
      <w:divBdr>
        <w:top w:val="none" w:sz="0" w:space="0" w:color="auto"/>
        <w:left w:val="none" w:sz="0" w:space="0" w:color="auto"/>
        <w:bottom w:val="none" w:sz="0" w:space="0" w:color="auto"/>
        <w:right w:val="none" w:sz="0" w:space="0" w:color="auto"/>
      </w:divBdr>
    </w:div>
    <w:div w:id="1717579980">
      <w:bodyDiv w:val="1"/>
      <w:marLeft w:val="0"/>
      <w:marRight w:val="0"/>
      <w:marTop w:val="0"/>
      <w:marBottom w:val="0"/>
      <w:divBdr>
        <w:top w:val="none" w:sz="0" w:space="0" w:color="auto"/>
        <w:left w:val="none" w:sz="0" w:space="0" w:color="auto"/>
        <w:bottom w:val="none" w:sz="0" w:space="0" w:color="auto"/>
        <w:right w:val="none" w:sz="0" w:space="0" w:color="auto"/>
      </w:divBdr>
    </w:div>
    <w:div w:id="1719814652">
      <w:bodyDiv w:val="1"/>
      <w:marLeft w:val="0"/>
      <w:marRight w:val="0"/>
      <w:marTop w:val="0"/>
      <w:marBottom w:val="0"/>
      <w:divBdr>
        <w:top w:val="none" w:sz="0" w:space="0" w:color="auto"/>
        <w:left w:val="none" w:sz="0" w:space="0" w:color="auto"/>
        <w:bottom w:val="none" w:sz="0" w:space="0" w:color="auto"/>
        <w:right w:val="none" w:sz="0" w:space="0" w:color="auto"/>
      </w:divBdr>
      <w:divsChild>
        <w:div w:id="1520315385">
          <w:marLeft w:val="0"/>
          <w:marRight w:val="0"/>
          <w:marTop w:val="0"/>
          <w:marBottom w:val="0"/>
          <w:divBdr>
            <w:top w:val="none" w:sz="0" w:space="0" w:color="auto"/>
            <w:left w:val="none" w:sz="0" w:space="0" w:color="auto"/>
            <w:bottom w:val="none" w:sz="0" w:space="0" w:color="auto"/>
            <w:right w:val="none" w:sz="0" w:space="0" w:color="auto"/>
          </w:divBdr>
        </w:div>
        <w:div w:id="1935674438">
          <w:marLeft w:val="0"/>
          <w:marRight w:val="0"/>
          <w:marTop w:val="0"/>
          <w:marBottom w:val="0"/>
          <w:divBdr>
            <w:top w:val="none" w:sz="0" w:space="0" w:color="auto"/>
            <w:left w:val="none" w:sz="0" w:space="0" w:color="auto"/>
            <w:bottom w:val="none" w:sz="0" w:space="0" w:color="auto"/>
            <w:right w:val="none" w:sz="0" w:space="0" w:color="auto"/>
          </w:divBdr>
        </w:div>
        <w:div w:id="1469736479">
          <w:marLeft w:val="0"/>
          <w:marRight w:val="0"/>
          <w:marTop w:val="0"/>
          <w:marBottom w:val="0"/>
          <w:divBdr>
            <w:top w:val="none" w:sz="0" w:space="0" w:color="auto"/>
            <w:left w:val="none" w:sz="0" w:space="0" w:color="auto"/>
            <w:bottom w:val="none" w:sz="0" w:space="0" w:color="auto"/>
            <w:right w:val="none" w:sz="0" w:space="0" w:color="auto"/>
          </w:divBdr>
        </w:div>
      </w:divsChild>
    </w:div>
    <w:div w:id="1803963873">
      <w:bodyDiv w:val="1"/>
      <w:marLeft w:val="0"/>
      <w:marRight w:val="0"/>
      <w:marTop w:val="0"/>
      <w:marBottom w:val="0"/>
      <w:divBdr>
        <w:top w:val="none" w:sz="0" w:space="0" w:color="auto"/>
        <w:left w:val="none" w:sz="0" w:space="0" w:color="auto"/>
        <w:bottom w:val="none" w:sz="0" w:space="0" w:color="auto"/>
        <w:right w:val="none" w:sz="0" w:space="0" w:color="auto"/>
      </w:divBdr>
    </w:div>
    <w:div w:id="1843397538">
      <w:bodyDiv w:val="1"/>
      <w:marLeft w:val="0"/>
      <w:marRight w:val="0"/>
      <w:marTop w:val="0"/>
      <w:marBottom w:val="0"/>
      <w:divBdr>
        <w:top w:val="none" w:sz="0" w:space="0" w:color="auto"/>
        <w:left w:val="none" w:sz="0" w:space="0" w:color="auto"/>
        <w:bottom w:val="none" w:sz="0" w:space="0" w:color="auto"/>
        <w:right w:val="none" w:sz="0" w:space="0" w:color="auto"/>
      </w:divBdr>
    </w:div>
    <w:div w:id="1881161335">
      <w:bodyDiv w:val="1"/>
      <w:marLeft w:val="0"/>
      <w:marRight w:val="0"/>
      <w:marTop w:val="0"/>
      <w:marBottom w:val="0"/>
      <w:divBdr>
        <w:top w:val="none" w:sz="0" w:space="0" w:color="auto"/>
        <w:left w:val="none" w:sz="0" w:space="0" w:color="auto"/>
        <w:bottom w:val="none" w:sz="0" w:space="0" w:color="auto"/>
        <w:right w:val="none" w:sz="0" w:space="0" w:color="auto"/>
      </w:divBdr>
    </w:div>
    <w:div w:id="1981769658">
      <w:bodyDiv w:val="1"/>
      <w:marLeft w:val="0"/>
      <w:marRight w:val="0"/>
      <w:marTop w:val="0"/>
      <w:marBottom w:val="0"/>
      <w:divBdr>
        <w:top w:val="none" w:sz="0" w:space="0" w:color="auto"/>
        <w:left w:val="none" w:sz="0" w:space="0" w:color="auto"/>
        <w:bottom w:val="none" w:sz="0" w:space="0" w:color="auto"/>
        <w:right w:val="none" w:sz="0" w:space="0" w:color="auto"/>
      </w:divBdr>
      <w:divsChild>
        <w:div w:id="606036201">
          <w:marLeft w:val="0"/>
          <w:marRight w:val="0"/>
          <w:marTop w:val="0"/>
          <w:marBottom w:val="0"/>
          <w:divBdr>
            <w:top w:val="none" w:sz="0" w:space="0" w:color="auto"/>
            <w:left w:val="none" w:sz="0" w:space="0" w:color="auto"/>
            <w:bottom w:val="none" w:sz="0" w:space="0" w:color="auto"/>
            <w:right w:val="none" w:sz="0" w:space="0" w:color="auto"/>
          </w:divBdr>
        </w:div>
      </w:divsChild>
    </w:div>
    <w:div w:id="2015690894">
      <w:bodyDiv w:val="1"/>
      <w:marLeft w:val="0"/>
      <w:marRight w:val="0"/>
      <w:marTop w:val="0"/>
      <w:marBottom w:val="0"/>
      <w:divBdr>
        <w:top w:val="none" w:sz="0" w:space="0" w:color="auto"/>
        <w:left w:val="none" w:sz="0" w:space="0" w:color="auto"/>
        <w:bottom w:val="none" w:sz="0" w:space="0" w:color="auto"/>
        <w:right w:val="none" w:sz="0" w:space="0" w:color="auto"/>
      </w:divBdr>
    </w:div>
    <w:div w:id="2053191646">
      <w:bodyDiv w:val="1"/>
      <w:marLeft w:val="0"/>
      <w:marRight w:val="0"/>
      <w:marTop w:val="0"/>
      <w:marBottom w:val="0"/>
      <w:divBdr>
        <w:top w:val="none" w:sz="0" w:space="0" w:color="auto"/>
        <w:left w:val="none" w:sz="0" w:space="0" w:color="auto"/>
        <w:bottom w:val="none" w:sz="0" w:space="0" w:color="auto"/>
        <w:right w:val="none" w:sz="0" w:space="0" w:color="auto"/>
      </w:divBdr>
      <w:divsChild>
        <w:div w:id="1224561646">
          <w:marLeft w:val="0"/>
          <w:marRight w:val="0"/>
          <w:marTop w:val="0"/>
          <w:marBottom w:val="0"/>
          <w:divBdr>
            <w:top w:val="none" w:sz="0" w:space="0" w:color="auto"/>
            <w:left w:val="none" w:sz="0" w:space="0" w:color="auto"/>
            <w:bottom w:val="none" w:sz="0" w:space="0" w:color="auto"/>
            <w:right w:val="none" w:sz="0" w:space="0" w:color="auto"/>
          </w:divBdr>
        </w:div>
      </w:divsChild>
    </w:div>
    <w:div w:id="2120249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southernxp.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a.gov.au/reporting-problem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ga.gov.au/reporting-problem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697BF-4841-4555-B28B-361BB6AB83D0}">
  <ds:schemaRefs>
    <ds:schemaRef ds:uri="http://schemas.openxmlformats.org/officeDocument/2006/bibliography"/>
  </ds:schemaRefs>
</ds:datastoreItem>
</file>

<file path=docMetadata/LabelInfo.xml><?xml version="1.0" encoding="utf-8"?>
<clbl:labelList xmlns:clbl="http://schemas.microsoft.com/office/2020/mipLabelMetadata">
  <clbl:label id="{87b3959f-2fe5-47f2-9087-2cd6b5a48179}" enabled="0" method="" siteId="{87b3959f-2fe5-47f2-9087-2cd6b5a48179}"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16</Pages>
  <Words>5019</Words>
  <Characters>30121</Characters>
  <Application>Microsoft Office Word</Application>
  <DocSecurity>0</DocSecurity>
  <Lines>564</Lines>
  <Paragraphs>277</Paragraphs>
  <ScaleCrop>false</ScaleCrop>
  <HeadingPairs>
    <vt:vector size="2" baseType="variant">
      <vt:variant>
        <vt:lpstr>Title</vt:lpstr>
      </vt:variant>
      <vt:variant>
        <vt:i4>1</vt:i4>
      </vt:variant>
    </vt:vector>
  </HeadingPairs>
  <TitlesOfParts>
    <vt:vector size="1" baseType="lpstr">
      <vt:lpstr>Attachment Product information for Dexrazoxane-Reach</vt:lpstr>
    </vt:vector>
  </TitlesOfParts>
  <Company>Reach Pharmaceuticals Pty Ltd</Company>
  <LinksUpToDate>false</LinksUpToDate>
  <CharactersWithSpaces>34899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Dexrazoxane-Reach</dc:title>
  <dc:subject>prescription medicines</dc:subject>
  <dc:creator>Reach Pharmaceuticals Pty Ltd</dc:creator>
  <cp:lastModifiedBy>LACK, Janet</cp:lastModifiedBy>
  <cp:revision>4</cp:revision>
  <cp:lastPrinted>2025-03-04T23:25:00Z</cp:lastPrinted>
  <dcterms:created xsi:type="dcterms:W3CDTF">2025-10-14T03:02:00Z</dcterms:created>
  <dcterms:modified xsi:type="dcterms:W3CDTF">2025-10-14T03:10:00Z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Microsoft® Word for Microsoft 365</vt:lpwstr>
  </property>
  <property fmtid="{D5CDD505-2E9C-101B-9397-08002B2CF9AE}" pid="4" name="LastSaved">
    <vt:filetime>2021-03-10T00:00:00Z</vt:filetime>
  </property>
  <property fmtid="{D5CDD505-2E9C-101B-9397-08002B2CF9AE}" pid="5" name="ClassificationContentMarkingHeaderShapeIds">
    <vt:lpwstr>7b9b308e,5f58c8ee,382a53ff</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4444b0e3,59373b50,52743f41</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2025-10-09T03:28:31Z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105ca2c0-76cb-459a-a552-26bb1fc6c9d6</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