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5E4B" w14:textId="42ADC95B" w:rsidR="000B227C" w:rsidRDefault="000B227C" w:rsidP="00655441"/>
    <w:p w14:paraId="2EC360E4" w14:textId="77777777" w:rsidR="00C83237" w:rsidRDefault="00C83237" w:rsidP="00C83237"/>
    <w:p w14:paraId="7D6CCA5E" w14:textId="124E9C02" w:rsidR="00983F7C" w:rsidRDefault="0055283E" w:rsidP="007139E0">
      <w:pPr>
        <w:pStyle w:val="Subtitle"/>
        <w:ind w:left="0"/>
      </w:pPr>
      <w:r w:rsidRPr="0055283E">
        <w:rPr>
          <w:bCs w:val="0"/>
          <w:iCs w:val="0"/>
          <w:color w:val="001871"/>
          <w:spacing w:val="5"/>
          <w:kern w:val="28"/>
          <w:sz w:val="52"/>
          <w:szCs w:val="52"/>
        </w:rPr>
        <w:t xml:space="preserve">Understanding the </w:t>
      </w:r>
      <w:r w:rsidR="00A72D03">
        <w:rPr>
          <w:bCs w:val="0"/>
          <w:iCs w:val="0"/>
          <w:color w:val="001871"/>
          <w:spacing w:val="5"/>
          <w:kern w:val="28"/>
          <w:sz w:val="52"/>
          <w:szCs w:val="52"/>
        </w:rPr>
        <w:t>r</w:t>
      </w:r>
      <w:r w:rsidRPr="0055283E">
        <w:rPr>
          <w:bCs w:val="0"/>
          <w:iCs w:val="0"/>
          <w:color w:val="001871"/>
          <w:spacing w:val="5"/>
          <w:kern w:val="28"/>
          <w:sz w:val="52"/>
          <w:szCs w:val="52"/>
        </w:rPr>
        <w:t xml:space="preserve">egulation of </w:t>
      </w:r>
      <w:r w:rsidR="00A72D03">
        <w:rPr>
          <w:bCs w:val="0"/>
          <w:iCs w:val="0"/>
          <w:color w:val="001871"/>
          <w:spacing w:val="5"/>
          <w:kern w:val="28"/>
          <w:sz w:val="52"/>
          <w:szCs w:val="52"/>
        </w:rPr>
        <w:t>t</w:t>
      </w:r>
      <w:r w:rsidRPr="0055283E">
        <w:rPr>
          <w:bCs w:val="0"/>
          <w:iCs w:val="0"/>
          <w:color w:val="001871"/>
          <w:spacing w:val="5"/>
          <w:kern w:val="28"/>
          <w:sz w:val="52"/>
          <w:szCs w:val="52"/>
        </w:rPr>
        <w:t xml:space="preserve">herapeutic </w:t>
      </w:r>
      <w:r w:rsidR="00A72D03">
        <w:rPr>
          <w:bCs w:val="0"/>
          <w:iCs w:val="0"/>
          <w:color w:val="001871"/>
          <w:spacing w:val="5"/>
          <w:kern w:val="28"/>
          <w:sz w:val="52"/>
          <w:szCs w:val="52"/>
        </w:rPr>
        <w:t>s</w:t>
      </w:r>
      <w:r w:rsidRPr="0055283E">
        <w:rPr>
          <w:bCs w:val="0"/>
          <w:iCs w:val="0"/>
          <w:color w:val="001871"/>
          <w:spacing w:val="5"/>
          <w:kern w:val="28"/>
          <w:sz w:val="52"/>
          <w:szCs w:val="52"/>
        </w:rPr>
        <w:t>unscreens</w:t>
      </w:r>
    </w:p>
    <w:p w14:paraId="65BCCC3A" w14:textId="50D99CCB" w:rsidR="00C83237" w:rsidRDefault="00C83237" w:rsidP="00C83237">
      <w:r>
        <w:rPr>
          <w:noProof/>
        </w:rPr>
        <w:drawing>
          <wp:anchor distT="0" distB="0" distL="114300" distR="114300" simplePos="0" relativeHeight="251675136" behindDoc="1" locked="0" layoutInCell="1" allowOverlap="1" wp14:anchorId="49B57340" wp14:editId="775E63C6">
            <wp:simplePos x="0" y="0"/>
            <wp:positionH relativeFrom="page">
              <wp:align>right</wp:align>
            </wp:positionH>
            <wp:positionV relativeFrom="paragraph">
              <wp:posOffset>337185</wp:posOffset>
            </wp:positionV>
            <wp:extent cx="7553325" cy="4260356"/>
            <wp:effectExtent l="0" t="0" r="0"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p w14:paraId="16F3ADA8" w14:textId="1F205B87" w:rsidR="00C83237" w:rsidRDefault="00C83237" w:rsidP="00C83237"/>
    <w:p w14:paraId="1D59BEAE" w14:textId="3AF95E40" w:rsidR="00C83237" w:rsidRDefault="005217B3" w:rsidP="00C83237">
      <w:pPr>
        <w:pStyle w:val="Date"/>
      </w:pPr>
      <w:r>
        <w:t>Version 4.</w:t>
      </w:r>
      <w:r w:rsidR="00C47EC5">
        <w:t>0,</w:t>
      </w:r>
      <w:r>
        <w:t xml:space="preserve"> </w:t>
      </w:r>
      <w:r w:rsidR="00225449">
        <w:t>August</w:t>
      </w:r>
      <w:r w:rsidR="00C83237">
        <w:t xml:space="preserve"> </w:t>
      </w:r>
      <w:r w:rsidR="00225449">
        <w:t>2025</w:t>
      </w:r>
    </w:p>
    <w:p w14:paraId="16F4D8FA" w14:textId="5ECD7AD9" w:rsidR="00C83237" w:rsidRDefault="00C83237" w:rsidP="00C83237">
      <w:r>
        <w:br w:type="page"/>
      </w:r>
    </w:p>
    <w:p w14:paraId="69D335E1" w14:textId="77777777" w:rsidR="00093B08" w:rsidRPr="004E2F19" w:rsidRDefault="00093B08" w:rsidP="00093B08">
      <w:pPr>
        <w:pStyle w:val="LegalSubheading"/>
        <w:rPr>
          <w:b/>
          <w:bCs/>
        </w:rPr>
      </w:pPr>
      <w:bookmarkStart w:id="0" w:name="_Toc126664137"/>
      <w:bookmarkStart w:id="1" w:name="_Toc198297271"/>
      <w:r w:rsidRPr="004E2F19">
        <w:rPr>
          <w:b/>
          <w:bCs/>
        </w:rPr>
        <w:lastRenderedPageBreak/>
        <w:t>Copyright</w:t>
      </w:r>
      <w:bookmarkEnd w:id="0"/>
    </w:p>
    <w:p w14:paraId="66C6F7AA" w14:textId="77777777" w:rsidR="00093B08" w:rsidRDefault="00093B08" w:rsidP="00093B08">
      <w:pPr>
        <w:pStyle w:val="LegalSubheading"/>
      </w:pPr>
      <w:bookmarkStart w:id="2" w:name="_Toc126664138"/>
      <w:r w:rsidRPr="00DD3815">
        <w:t>© Commonwealth of Australia</w:t>
      </w:r>
      <w:r>
        <w:t xml:space="preserve"> 2025</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w:t>
      </w:r>
      <w:proofErr w:type="gramStart"/>
      <w:r w:rsidRPr="00DD3815">
        <w:t>reserved</w:t>
      </w:r>
      <w:proofErr w:type="gramEnd"/>
      <w:r w:rsidRPr="00DD3815">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DD3815">
          <w:rPr>
            <w:rStyle w:val="Hyperlink"/>
            <w:rFonts w:cs="Arial"/>
            <w:b/>
            <w:bCs/>
          </w:rPr>
          <w:t>tga.copyright@tga.gov.au</w:t>
        </w:r>
      </w:hyperlink>
      <w:r w:rsidRPr="00DD3815">
        <w:t>&gt;.</w:t>
      </w:r>
      <w:bookmarkEnd w:id="2"/>
    </w:p>
    <w:p w14:paraId="7A471856" w14:textId="0F23495B" w:rsidR="003417D1" w:rsidRDefault="003417D1"/>
    <w:sdt>
      <w:sdtPr>
        <w:rPr>
          <w:rFonts w:ascii="Cambria" w:eastAsiaTheme="minorHAnsi" w:hAnsi="Cambria" w:cstheme="minorBidi"/>
          <w:b w:val="0"/>
          <w:color w:val="auto"/>
          <w:kern w:val="2"/>
          <w:sz w:val="22"/>
          <w:szCs w:val="22"/>
          <w14:ligatures w14:val="standardContextual"/>
        </w:rPr>
        <w:id w:val="21514769"/>
        <w:docPartObj>
          <w:docPartGallery w:val="Table of Contents"/>
          <w:docPartUnique/>
        </w:docPartObj>
      </w:sdtPr>
      <w:sdtEndPr>
        <w:rPr>
          <w:rFonts w:ascii="Arial" w:eastAsia="Arial" w:hAnsi="Arial" w:cs="Arial"/>
          <w:sz w:val="24"/>
          <w:szCs w:val="24"/>
        </w:rPr>
      </w:sdtEndPr>
      <w:sdtContent>
        <w:p w14:paraId="1A38C9D6" w14:textId="77777777" w:rsidR="003667E0" w:rsidRPr="00215D48" w:rsidRDefault="003667E0" w:rsidP="003667E0">
          <w:pPr>
            <w:pStyle w:val="NonTOCheading2"/>
          </w:pPr>
          <w:r w:rsidRPr="00215D48">
            <w:t>Contents</w:t>
          </w:r>
        </w:p>
        <w:p w14:paraId="0F0FC24A" w14:textId="2BF59F6A" w:rsidR="009637C4" w:rsidRDefault="003667E0">
          <w:pPr>
            <w:pStyle w:val="TOC1"/>
            <w:tabs>
              <w:tab w:val="right" w:leader="dot" w:pos="9016"/>
            </w:tabs>
            <w:rPr>
              <w:rFonts w:asciiTheme="minorHAnsi" w:eastAsiaTheme="minorEastAsia" w:hAnsiTheme="minorHAnsi" w:cstheme="minorBidi"/>
              <w:b w:val="0"/>
              <w:bCs w:val="0"/>
              <w:lang w:eastAsia="en-AU"/>
            </w:rPr>
          </w:pPr>
          <w:r w:rsidRPr="003667E0">
            <w:rPr>
              <w:rFonts w:eastAsia="Cambria" w:cs="Times New Roman"/>
              <w:color w:val="333F48"/>
              <w:sz w:val="32"/>
            </w:rPr>
            <w:fldChar w:fldCharType="begin"/>
          </w:r>
          <w:r w:rsidRPr="003667E0">
            <w:instrText xml:space="preserve"> TOC \h \z \u \t "Heading 2,1,Heading 3,2,Heading 4,3" </w:instrText>
          </w:r>
          <w:r w:rsidRPr="003667E0">
            <w:rPr>
              <w:rFonts w:eastAsia="Cambria" w:cs="Times New Roman"/>
              <w:color w:val="333F48"/>
              <w:sz w:val="32"/>
            </w:rPr>
            <w:fldChar w:fldCharType="separate"/>
          </w:r>
          <w:hyperlink w:anchor="_Toc204751302" w:history="1">
            <w:r w:rsidR="009637C4" w:rsidRPr="00363626">
              <w:rPr>
                <w:rStyle w:val="Hyperlink"/>
              </w:rPr>
              <w:t>Purpose</w:t>
            </w:r>
            <w:r w:rsidR="009637C4">
              <w:rPr>
                <w:webHidden/>
              </w:rPr>
              <w:tab/>
            </w:r>
            <w:r w:rsidR="009637C4">
              <w:rPr>
                <w:webHidden/>
              </w:rPr>
              <w:fldChar w:fldCharType="begin"/>
            </w:r>
            <w:r w:rsidR="009637C4">
              <w:rPr>
                <w:webHidden/>
              </w:rPr>
              <w:instrText xml:space="preserve"> PAGEREF _Toc204751302 \h </w:instrText>
            </w:r>
            <w:r w:rsidR="009637C4">
              <w:rPr>
                <w:webHidden/>
              </w:rPr>
            </w:r>
            <w:r w:rsidR="009637C4">
              <w:rPr>
                <w:webHidden/>
              </w:rPr>
              <w:fldChar w:fldCharType="separate"/>
            </w:r>
            <w:r w:rsidR="009637C4">
              <w:rPr>
                <w:webHidden/>
              </w:rPr>
              <w:t>5</w:t>
            </w:r>
            <w:r w:rsidR="009637C4">
              <w:rPr>
                <w:webHidden/>
              </w:rPr>
              <w:fldChar w:fldCharType="end"/>
            </w:r>
          </w:hyperlink>
        </w:p>
        <w:p w14:paraId="6A9D427C" w14:textId="3261DA02" w:rsidR="009637C4" w:rsidRDefault="009637C4">
          <w:pPr>
            <w:pStyle w:val="TOC1"/>
            <w:tabs>
              <w:tab w:val="right" w:leader="dot" w:pos="9016"/>
            </w:tabs>
            <w:rPr>
              <w:rFonts w:asciiTheme="minorHAnsi" w:eastAsiaTheme="minorEastAsia" w:hAnsiTheme="minorHAnsi" w:cstheme="minorBidi"/>
              <w:b w:val="0"/>
              <w:bCs w:val="0"/>
              <w:lang w:eastAsia="en-AU"/>
            </w:rPr>
          </w:pPr>
          <w:hyperlink w:anchor="_Toc204751303" w:history="1">
            <w:r w:rsidRPr="00363626">
              <w:rPr>
                <w:rStyle w:val="Hyperlink"/>
              </w:rPr>
              <w:t>Legislation</w:t>
            </w:r>
            <w:r>
              <w:rPr>
                <w:webHidden/>
              </w:rPr>
              <w:tab/>
            </w:r>
            <w:r>
              <w:rPr>
                <w:webHidden/>
              </w:rPr>
              <w:fldChar w:fldCharType="begin"/>
            </w:r>
            <w:r>
              <w:rPr>
                <w:webHidden/>
              </w:rPr>
              <w:instrText xml:space="preserve"> PAGEREF _Toc204751303 \h </w:instrText>
            </w:r>
            <w:r>
              <w:rPr>
                <w:webHidden/>
              </w:rPr>
            </w:r>
            <w:r>
              <w:rPr>
                <w:webHidden/>
              </w:rPr>
              <w:fldChar w:fldCharType="separate"/>
            </w:r>
            <w:r>
              <w:rPr>
                <w:webHidden/>
              </w:rPr>
              <w:t>5</w:t>
            </w:r>
            <w:r>
              <w:rPr>
                <w:webHidden/>
              </w:rPr>
              <w:fldChar w:fldCharType="end"/>
            </w:r>
          </w:hyperlink>
        </w:p>
        <w:p w14:paraId="2E0C7254" w14:textId="5228E8D1" w:rsidR="009637C4" w:rsidRDefault="009637C4">
          <w:pPr>
            <w:pStyle w:val="TOC1"/>
            <w:tabs>
              <w:tab w:val="right" w:leader="dot" w:pos="9016"/>
            </w:tabs>
            <w:rPr>
              <w:rFonts w:asciiTheme="minorHAnsi" w:eastAsiaTheme="minorEastAsia" w:hAnsiTheme="minorHAnsi" w:cstheme="minorBidi"/>
              <w:b w:val="0"/>
              <w:bCs w:val="0"/>
              <w:lang w:eastAsia="en-AU"/>
            </w:rPr>
          </w:pPr>
          <w:hyperlink w:anchor="_Toc204751304" w:history="1">
            <w:r w:rsidRPr="00363626">
              <w:rPr>
                <w:rStyle w:val="Hyperlink"/>
              </w:rPr>
              <w:t>General information about the regulation of sunscreens</w:t>
            </w:r>
            <w:r>
              <w:rPr>
                <w:webHidden/>
              </w:rPr>
              <w:tab/>
            </w:r>
            <w:r>
              <w:rPr>
                <w:webHidden/>
              </w:rPr>
              <w:fldChar w:fldCharType="begin"/>
            </w:r>
            <w:r>
              <w:rPr>
                <w:webHidden/>
              </w:rPr>
              <w:instrText xml:space="preserve"> PAGEREF _Toc204751304 \h </w:instrText>
            </w:r>
            <w:r>
              <w:rPr>
                <w:webHidden/>
              </w:rPr>
            </w:r>
            <w:r>
              <w:rPr>
                <w:webHidden/>
              </w:rPr>
              <w:fldChar w:fldCharType="separate"/>
            </w:r>
            <w:r>
              <w:rPr>
                <w:webHidden/>
              </w:rPr>
              <w:t>5</w:t>
            </w:r>
            <w:r>
              <w:rPr>
                <w:webHidden/>
              </w:rPr>
              <w:fldChar w:fldCharType="end"/>
            </w:r>
          </w:hyperlink>
        </w:p>
        <w:p w14:paraId="2E8ACDD8" w14:textId="579BE540" w:rsidR="009637C4" w:rsidRDefault="009637C4">
          <w:pPr>
            <w:pStyle w:val="TOC2"/>
            <w:tabs>
              <w:tab w:val="right" w:leader="dot" w:pos="9016"/>
            </w:tabs>
            <w:rPr>
              <w:rFonts w:asciiTheme="minorHAnsi" w:eastAsiaTheme="minorEastAsia" w:hAnsiTheme="minorHAnsi" w:cstheme="minorBidi"/>
              <w:noProof/>
              <w:lang w:eastAsia="en-AU"/>
            </w:rPr>
          </w:pPr>
          <w:hyperlink w:anchor="_Toc204751305" w:history="1">
            <w:r w:rsidRPr="00363626">
              <w:rPr>
                <w:rStyle w:val="Hyperlink"/>
                <w:noProof/>
              </w:rPr>
              <w:t>Introduction</w:t>
            </w:r>
            <w:r>
              <w:rPr>
                <w:noProof/>
                <w:webHidden/>
              </w:rPr>
              <w:tab/>
            </w:r>
            <w:r>
              <w:rPr>
                <w:noProof/>
                <w:webHidden/>
              </w:rPr>
              <w:fldChar w:fldCharType="begin"/>
            </w:r>
            <w:r>
              <w:rPr>
                <w:noProof/>
                <w:webHidden/>
              </w:rPr>
              <w:instrText xml:space="preserve"> PAGEREF _Toc204751305 \h </w:instrText>
            </w:r>
            <w:r>
              <w:rPr>
                <w:noProof/>
                <w:webHidden/>
              </w:rPr>
            </w:r>
            <w:r>
              <w:rPr>
                <w:noProof/>
                <w:webHidden/>
              </w:rPr>
              <w:fldChar w:fldCharType="separate"/>
            </w:r>
            <w:r>
              <w:rPr>
                <w:noProof/>
                <w:webHidden/>
              </w:rPr>
              <w:t>5</w:t>
            </w:r>
            <w:r>
              <w:rPr>
                <w:noProof/>
                <w:webHidden/>
              </w:rPr>
              <w:fldChar w:fldCharType="end"/>
            </w:r>
          </w:hyperlink>
        </w:p>
        <w:p w14:paraId="1E079C55" w14:textId="0671BBA1" w:rsidR="009637C4" w:rsidRDefault="009637C4">
          <w:pPr>
            <w:pStyle w:val="TOC2"/>
            <w:tabs>
              <w:tab w:val="right" w:leader="dot" w:pos="9016"/>
            </w:tabs>
            <w:rPr>
              <w:rFonts w:asciiTheme="minorHAnsi" w:eastAsiaTheme="minorEastAsia" w:hAnsiTheme="minorHAnsi" w:cstheme="minorBidi"/>
              <w:noProof/>
              <w:lang w:eastAsia="en-AU"/>
            </w:rPr>
          </w:pPr>
          <w:hyperlink w:anchor="_Toc204751306" w:history="1">
            <w:r w:rsidRPr="00363626">
              <w:rPr>
                <w:rStyle w:val="Hyperlink"/>
                <w:noProof/>
              </w:rPr>
              <w:t>Regulatory categories of sunscreens</w:t>
            </w:r>
            <w:r>
              <w:rPr>
                <w:noProof/>
                <w:webHidden/>
              </w:rPr>
              <w:tab/>
            </w:r>
            <w:r>
              <w:rPr>
                <w:noProof/>
                <w:webHidden/>
              </w:rPr>
              <w:fldChar w:fldCharType="begin"/>
            </w:r>
            <w:r>
              <w:rPr>
                <w:noProof/>
                <w:webHidden/>
              </w:rPr>
              <w:instrText xml:space="preserve"> PAGEREF _Toc204751306 \h </w:instrText>
            </w:r>
            <w:r>
              <w:rPr>
                <w:noProof/>
                <w:webHidden/>
              </w:rPr>
            </w:r>
            <w:r>
              <w:rPr>
                <w:noProof/>
                <w:webHidden/>
              </w:rPr>
              <w:fldChar w:fldCharType="separate"/>
            </w:r>
            <w:r>
              <w:rPr>
                <w:noProof/>
                <w:webHidden/>
              </w:rPr>
              <w:t>6</w:t>
            </w:r>
            <w:r>
              <w:rPr>
                <w:noProof/>
                <w:webHidden/>
              </w:rPr>
              <w:fldChar w:fldCharType="end"/>
            </w:r>
          </w:hyperlink>
        </w:p>
        <w:p w14:paraId="25051996" w14:textId="7CA0B3FB" w:rsidR="009637C4" w:rsidRDefault="009637C4">
          <w:pPr>
            <w:pStyle w:val="TOC3"/>
            <w:tabs>
              <w:tab w:val="right" w:leader="dot" w:pos="9016"/>
            </w:tabs>
            <w:rPr>
              <w:rFonts w:asciiTheme="minorHAnsi" w:eastAsiaTheme="minorEastAsia" w:hAnsiTheme="minorHAnsi" w:cstheme="minorBidi"/>
              <w:noProof/>
              <w:lang w:eastAsia="en-AU"/>
            </w:rPr>
          </w:pPr>
          <w:hyperlink w:anchor="_Toc204751307" w:history="1">
            <w:r w:rsidRPr="00363626">
              <w:rPr>
                <w:rStyle w:val="Hyperlink"/>
                <w:noProof/>
              </w:rPr>
              <w:t>Excluded sunscreens</w:t>
            </w:r>
            <w:r>
              <w:rPr>
                <w:noProof/>
                <w:webHidden/>
              </w:rPr>
              <w:tab/>
            </w:r>
            <w:r>
              <w:rPr>
                <w:noProof/>
                <w:webHidden/>
              </w:rPr>
              <w:fldChar w:fldCharType="begin"/>
            </w:r>
            <w:r>
              <w:rPr>
                <w:noProof/>
                <w:webHidden/>
              </w:rPr>
              <w:instrText xml:space="preserve"> PAGEREF _Toc204751307 \h </w:instrText>
            </w:r>
            <w:r>
              <w:rPr>
                <w:noProof/>
                <w:webHidden/>
              </w:rPr>
            </w:r>
            <w:r>
              <w:rPr>
                <w:noProof/>
                <w:webHidden/>
              </w:rPr>
              <w:fldChar w:fldCharType="separate"/>
            </w:r>
            <w:r>
              <w:rPr>
                <w:noProof/>
                <w:webHidden/>
              </w:rPr>
              <w:t>6</w:t>
            </w:r>
            <w:r>
              <w:rPr>
                <w:noProof/>
                <w:webHidden/>
              </w:rPr>
              <w:fldChar w:fldCharType="end"/>
            </w:r>
          </w:hyperlink>
        </w:p>
        <w:p w14:paraId="4FB34584" w14:textId="0C5C6D7D" w:rsidR="009637C4" w:rsidRDefault="009637C4">
          <w:pPr>
            <w:pStyle w:val="TOC3"/>
            <w:tabs>
              <w:tab w:val="right" w:leader="dot" w:pos="9016"/>
            </w:tabs>
            <w:rPr>
              <w:rFonts w:asciiTheme="minorHAnsi" w:eastAsiaTheme="minorEastAsia" w:hAnsiTheme="minorHAnsi" w:cstheme="minorBidi"/>
              <w:noProof/>
              <w:lang w:eastAsia="en-AU"/>
            </w:rPr>
          </w:pPr>
          <w:hyperlink w:anchor="_Toc204751308" w:history="1">
            <w:r w:rsidRPr="00363626">
              <w:rPr>
                <w:rStyle w:val="Hyperlink"/>
                <w:noProof/>
              </w:rPr>
              <w:t>Therapeutic sunscreens</w:t>
            </w:r>
            <w:r>
              <w:rPr>
                <w:noProof/>
                <w:webHidden/>
              </w:rPr>
              <w:tab/>
            </w:r>
            <w:r>
              <w:rPr>
                <w:noProof/>
                <w:webHidden/>
              </w:rPr>
              <w:fldChar w:fldCharType="begin"/>
            </w:r>
            <w:r>
              <w:rPr>
                <w:noProof/>
                <w:webHidden/>
              </w:rPr>
              <w:instrText xml:space="preserve"> PAGEREF _Toc204751308 \h </w:instrText>
            </w:r>
            <w:r>
              <w:rPr>
                <w:noProof/>
                <w:webHidden/>
              </w:rPr>
            </w:r>
            <w:r>
              <w:rPr>
                <w:noProof/>
                <w:webHidden/>
              </w:rPr>
              <w:fldChar w:fldCharType="separate"/>
            </w:r>
            <w:r>
              <w:rPr>
                <w:noProof/>
                <w:webHidden/>
              </w:rPr>
              <w:t>7</w:t>
            </w:r>
            <w:r>
              <w:rPr>
                <w:noProof/>
                <w:webHidden/>
              </w:rPr>
              <w:fldChar w:fldCharType="end"/>
            </w:r>
          </w:hyperlink>
        </w:p>
        <w:p w14:paraId="2B7EB15F" w14:textId="6600A9BA" w:rsidR="009637C4" w:rsidRDefault="009637C4">
          <w:pPr>
            <w:pStyle w:val="TOC2"/>
            <w:tabs>
              <w:tab w:val="right" w:leader="dot" w:pos="9016"/>
            </w:tabs>
            <w:rPr>
              <w:rFonts w:asciiTheme="minorHAnsi" w:eastAsiaTheme="minorEastAsia" w:hAnsiTheme="minorHAnsi" w:cstheme="minorBidi"/>
              <w:noProof/>
              <w:lang w:eastAsia="en-AU"/>
            </w:rPr>
          </w:pPr>
          <w:hyperlink w:anchor="_Toc204751309" w:history="1">
            <w:r w:rsidRPr="00363626">
              <w:rPr>
                <w:rStyle w:val="Hyperlink"/>
                <w:noProof/>
              </w:rPr>
              <w:t>Legislative</w:t>
            </w:r>
            <w:r w:rsidRPr="00363626">
              <w:rPr>
                <w:rStyle w:val="Hyperlink"/>
                <w:noProof/>
                <w:spacing w:val="-6"/>
              </w:rPr>
              <w:t xml:space="preserve"> </w:t>
            </w:r>
            <w:r w:rsidRPr="00363626">
              <w:rPr>
                <w:rStyle w:val="Hyperlink"/>
                <w:noProof/>
              </w:rPr>
              <w:t>requirements</w:t>
            </w:r>
            <w:r w:rsidRPr="00363626">
              <w:rPr>
                <w:rStyle w:val="Hyperlink"/>
                <w:noProof/>
                <w:spacing w:val="-5"/>
              </w:rPr>
              <w:t xml:space="preserve"> </w:t>
            </w:r>
            <w:r w:rsidRPr="00363626">
              <w:rPr>
                <w:rStyle w:val="Hyperlink"/>
                <w:noProof/>
              </w:rPr>
              <w:t>for</w:t>
            </w:r>
            <w:r w:rsidRPr="00363626">
              <w:rPr>
                <w:rStyle w:val="Hyperlink"/>
                <w:noProof/>
                <w:spacing w:val="-4"/>
              </w:rPr>
              <w:t xml:space="preserve"> </w:t>
            </w:r>
            <w:r w:rsidRPr="00363626">
              <w:rPr>
                <w:rStyle w:val="Hyperlink"/>
                <w:noProof/>
              </w:rPr>
              <w:t>all</w:t>
            </w:r>
            <w:r w:rsidRPr="00363626">
              <w:rPr>
                <w:rStyle w:val="Hyperlink"/>
                <w:noProof/>
                <w:spacing w:val="-2"/>
              </w:rPr>
              <w:t xml:space="preserve"> </w:t>
            </w:r>
            <w:r w:rsidRPr="00363626">
              <w:rPr>
                <w:rStyle w:val="Hyperlink"/>
                <w:noProof/>
              </w:rPr>
              <w:t>therapeutic</w:t>
            </w:r>
            <w:r w:rsidRPr="00363626">
              <w:rPr>
                <w:rStyle w:val="Hyperlink"/>
                <w:noProof/>
                <w:spacing w:val="-6"/>
              </w:rPr>
              <w:t xml:space="preserve"> </w:t>
            </w:r>
            <w:r w:rsidRPr="00363626">
              <w:rPr>
                <w:rStyle w:val="Hyperlink"/>
                <w:noProof/>
              </w:rPr>
              <w:t>sunscreens</w:t>
            </w:r>
            <w:r>
              <w:rPr>
                <w:noProof/>
                <w:webHidden/>
              </w:rPr>
              <w:tab/>
            </w:r>
            <w:r>
              <w:rPr>
                <w:noProof/>
                <w:webHidden/>
              </w:rPr>
              <w:fldChar w:fldCharType="begin"/>
            </w:r>
            <w:r>
              <w:rPr>
                <w:noProof/>
                <w:webHidden/>
              </w:rPr>
              <w:instrText xml:space="preserve"> PAGEREF _Toc204751309 \h </w:instrText>
            </w:r>
            <w:r>
              <w:rPr>
                <w:noProof/>
                <w:webHidden/>
              </w:rPr>
            </w:r>
            <w:r>
              <w:rPr>
                <w:noProof/>
                <w:webHidden/>
              </w:rPr>
              <w:fldChar w:fldCharType="separate"/>
            </w:r>
            <w:r>
              <w:rPr>
                <w:noProof/>
                <w:webHidden/>
              </w:rPr>
              <w:t>10</w:t>
            </w:r>
            <w:r>
              <w:rPr>
                <w:noProof/>
                <w:webHidden/>
              </w:rPr>
              <w:fldChar w:fldCharType="end"/>
            </w:r>
          </w:hyperlink>
        </w:p>
        <w:p w14:paraId="366749E0" w14:textId="31C96FBC" w:rsidR="009637C4" w:rsidRDefault="009637C4">
          <w:pPr>
            <w:pStyle w:val="TOC3"/>
            <w:tabs>
              <w:tab w:val="right" w:leader="dot" w:pos="9016"/>
            </w:tabs>
            <w:rPr>
              <w:rFonts w:asciiTheme="minorHAnsi" w:eastAsiaTheme="minorEastAsia" w:hAnsiTheme="minorHAnsi" w:cstheme="minorBidi"/>
              <w:noProof/>
              <w:lang w:eastAsia="en-AU"/>
            </w:rPr>
          </w:pPr>
          <w:hyperlink w:anchor="_Toc204751310" w:history="1">
            <w:r w:rsidRPr="00363626">
              <w:rPr>
                <w:rStyle w:val="Hyperlink"/>
                <w:noProof/>
              </w:rPr>
              <w:t>The Australian/New Zealand Sunscreen Standard</w:t>
            </w:r>
            <w:r>
              <w:rPr>
                <w:noProof/>
                <w:webHidden/>
              </w:rPr>
              <w:tab/>
            </w:r>
            <w:r>
              <w:rPr>
                <w:noProof/>
                <w:webHidden/>
              </w:rPr>
              <w:fldChar w:fldCharType="begin"/>
            </w:r>
            <w:r>
              <w:rPr>
                <w:noProof/>
                <w:webHidden/>
              </w:rPr>
              <w:instrText xml:space="preserve"> PAGEREF _Toc204751310 \h </w:instrText>
            </w:r>
            <w:r>
              <w:rPr>
                <w:noProof/>
                <w:webHidden/>
              </w:rPr>
            </w:r>
            <w:r>
              <w:rPr>
                <w:noProof/>
                <w:webHidden/>
              </w:rPr>
              <w:fldChar w:fldCharType="separate"/>
            </w:r>
            <w:r>
              <w:rPr>
                <w:noProof/>
                <w:webHidden/>
              </w:rPr>
              <w:t>10</w:t>
            </w:r>
            <w:r>
              <w:rPr>
                <w:noProof/>
                <w:webHidden/>
              </w:rPr>
              <w:fldChar w:fldCharType="end"/>
            </w:r>
          </w:hyperlink>
        </w:p>
        <w:p w14:paraId="3389F157" w14:textId="2F124439" w:rsidR="009637C4" w:rsidRDefault="009637C4">
          <w:pPr>
            <w:pStyle w:val="TOC3"/>
            <w:tabs>
              <w:tab w:val="right" w:leader="dot" w:pos="9016"/>
            </w:tabs>
            <w:rPr>
              <w:rFonts w:asciiTheme="minorHAnsi" w:eastAsiaTheme="minorEastAsia" w:hAnsiTheme="minorHAnsi" w:cstheme="minorBidi"/>
              <w:noProof/>
              <w:lang w:eastAsia="en-AU"/>
            </w:rPr>
          </w:pPr>
          <w:hyperlink w:anchor="_Toc204751311" w:history="1">
            <w:r w:rsidRPr="00363626">
              <w:rPr>
                <w:rStyle w:val="Hyperlink"/>
                <w:noProof/>
              </w:rPr>
              <w:t>Requirement</w:t>
            </w:r>
            <w:r w:rsidRPr="00363626">
              <w:rPr>
                <w:rStyle w:val="Hyperlink"/>
                <w:noProof/>
                <w:spacing w:val="-3"/>
              </w:rPr>
              <w:t xml:space="preserve"> </w:t>
            </w:r>
            <w:r w:rsidRPr="00363626">
              <w:rPr>
                <w:rStyle w:val="Hyperlink"/>
                <w:noProof/>
              </w:rPr>
              <w:t>to</w:t>
            </w:r>
            <w:r w:rsidRPr="00363626">
              <w:rPr>
                <w:rStyle w:val="Hyperlink"/>
                <w:noProof/>
                <w:spacing w:val="-3"/>
              </w:rPr>
              <w:t xml:space="preserve"> </w:t>
            </w:r>
            <w:r w:rsidRPr="00363626">
              <w:rPr>
                <w:rStyle w:val="Hyperlink"/>
                <w:noProof/>
              </w:rPr>
              <w:t>report</w:t>
            </w:r>
            <w:r w:rsidRPr="00363626">
              <w:rPr>
                <w:rStyle w:val="Hyperlink"/>
                <w:noProof/>
                <w:spacing w:val="-3"/>
              </w:rPr>
              <w:t xml:space="preserve"> </w:t>
            </w:r>
            <w:r w:rsidRPr="00363626">
              <w:rPr>
                <w:rStyle w:val="Hyperlink"/>
                <w:noProof/>
              </w:rPr>
              <w:t>adverse</w:t>
            </w:r>
            <w:r w:rsidRPr="00363626">
              <w:rPr>
                <w:rStyle w:val="Hyperlink"/>
                <w:noProof/>
                <w:spacing w:val="-3"/>
              </w:rPr>
              <w:t xml:space="preserve"> </w:t>
            </w:r>
            <w:r w:rsidRPr="00363626">
              <w:rPr>
                <w:rStyle w:val="Hyperlink"/>
                <w:noProof/>
              </w:rPr>
              <w:t>reactions</w:t>
            </w:r>
            <w:r w:rsidRPr="00363626">
              <w:rPr>
                <w:rStyle w:val="Hyperlink"/>
                <w:noProof/>
                <w:spacing w:val="-3"/>
              </w:rPr>
              <w:t xml:space="preserve"> </w:t>
            </w:r>
            <w:r w:rsidRPr="00363626">
              <w:rPr>
                <w:rStyle w:val="Hyperlink"/>
                <w:noProof/>
              </w:rPr>
              <w:t>for</w:t>
            </w:r>
            <w:r w:rsidRPr="00363626">
              <w:rPr>
                <w:rStyle w:val="Hyperlink"/>
                <w:noProof/>
                <w:spacing w:val="-3"/>
              </w:rPr>
              <w:t xml:space="preserve"> </w:t>
            </w:r>
            <w:r w:rsidRPr="00363626">
              <w:rPr>
                <w:rStyle w:val="Hyperlink"/>
                <w:noProof/>
              </w:rPr>
              <w:t>therapeutic</w:t>
            </w:r>
            <w:r w:rsidRPr="00363626">
              <w:rPr>
                <w:rStyle w:val="Hyperlink"/>
                <w:noProof/>
                <w:spacing w:val="-3"/>
              </w:rPr>
              <w:t xml:space="preserve"> </w:t>
            </w:r>
            <w:r w:rsidRPr="00363626">
              <w:rPr>
                <w:rStyle w:val="Hyperlink"/>
                <w:noProof/>
              </w:rPr>
              <w:t>sunscreens</w:t>
            </w:r>
            <w:r>
              <w:rPr>
                <w:noProof/>
                <w:webHidden/>
              </w:rPr>
              <w:tab/>
            </w:r>
            <w:r>
              <w:rPr>
                <w:noProof/>
                <w:webHidden/>
              </w:rPr>
              <w:fldChar w:fldCharType="begin"/>
            </w:r>
            <w:r>
              <w:rPr>
                <w:noProof/>
                <w:webHidden/>
              </w:rPr>
              <w:instrText xml:space="preserve"> PAGEREF _Toc204751311 \h </w:instrText>
            </w:r>
            <w:r>
              <w:rPr>
                <w:noProof/>
                <w:webHidden/>
              </w:rPr>
            </w:r>
            <w:r>
              <w:rPr>
                <w:noProof/>
                <w:webHidden/>
              </w:rPr>
              <w:fldChar w:fldCharType="separate"/>
            </w:r>
            <w:r>
              <w:rPr>
                <w:noProof/>
                <w:webHidden/>
              </w:rPr>
              <w:t>11</w:t>
            </w:r>
            <w:r>
              <w:rPr>
                <w:noProof/>
                <w:webHidden/>
              </w:rPr>
              <w:fldChar w:fldCharType="end"/>
            </w:r>
          </w:hyperlink>
        </w:p>
        <w:p w14:paraId="4DFC5DB6" w14:textId="4C6A231C" w:rsidR="009637C4" w:rsidRDefault="009637C4">
          <w:pPr>
            <w:pStyle w:val="TOC3"/>
            <w:tabs>
              <w:tab w:val="right" w:leader="dot" w:pos="9016"/>
            </w:tabs>
            <w:rPr>
              <w:rFonts w:asciiTheme="minorHAnsi" w:eastAsiaTheme="minorEastAsia" w:hAnsiTheme="minorHAnsi" w:cstheme="minorBidi"/>
              <w:noProof/>
              <w:lang w:eastAsia="en-AU"/>
            </w:rPr>
          </w:pPr>
          <w:hyperlink w:anchor="_Toc204751312" w:history="1">
            <w:r w:rsidRPr="00363626">
              <w:rPr>
                <w:rStyle w:val="Hyperlink"/>
                <w:noProof/>
              </w:rPr>
              <w:t>Labelling</w:t>
            </w:r>
            <w:r w:rsidRPr="00363626">
              <w:rPr>
                <w:rStyle w:val="Hyperlink"/>
                <w:noProof/>
                <w:spacing w:val="-4"/>
              </w:rPr>
              <w:t xml:space="preserve"> </w:t>
            </w:r>
            <w:r w:rsidRPr="00363626">
              <w:rPr>
                <w:rStyle w:val="Hyperlink"/>
                <w:noProof/>
              </w:rPr>
              <w:t>and</w:t>
            </w:r>
            <w:r w:rsidRPr="00363626">
              <w:rPr>
                <w:rStyle w:val="Hyperlink"/>
                <w:noProof/>
                <w:spacing w:val="-1"/>
              </w:rPr>
              <w:t xml:space="preserve"> </w:t>
            </w:r>
            <w:r w:rsidRPr="00363626">
              <w:rPr>
                <w:rStyle w:val="Hyperlink"/>
                <w:noProof/>
              </w:rPr>
              <w:t>advertising</w:t>
            </w:r>
            <w:r w:rsidRPr="00363626">
              <w:rPr>
                <w:rStyle w:val="Hyperlink"/>
                <w:noProof/>
                <w:spacing w:val="-4"/>
              </w:rPr>
              <w:t xml:space="preserve"> </w:t>
            </w:r>
            <w:r w:rsidRPr="00363626">
              <w:rPr>
                <w:rStyle w:val="Hyperlink"/>
                <w:noProof/>
              </w:rPr>
              <w:t>requirements for</w:t>
            </w:r>
            <w:r w:rsidRPr="00363626">
              <w:rPr>
                <w:rStyle w:val="Hyperlink"/>
                <w:noProof/>
                <w:spacing w:val="-4"/>
              </w:rPr>
              <w:t xml:space="preserve"> </w:t>
            </w:r>
            <w:r w:rsidRPr="00363626">
              <w:rPr>
                <w:rStyle w:val="Hyperlink"/>
                <w:noProof/>
              </w:rPr>
              <w:t>therapeutic</w:t>
            </w:r>
            <w:r w:rsidRPr="00363626">
              <w:rPr>
                <w:rStyle w:val="Hyperlink"/>
                <w:noProof/>
                <w:spacing w:val="-3"/>
              </w:rPr>
              <w:t xml:space="preserve"> </w:t>
            </w:r>
            <w:r w:rsidRPr="00363626">
              <w:rPr>
                <w:rStyle w:val="Hyperlink"/>
                <w:noProof/>
              </w:rPr>
              <w:t>sunscreens</w:t>
            </w:r>
            <w:r>
              <w:rPr>
                <w:noProof/>
                <w:webHidden/>
              </w:rPr>
              <w:tab/>
            </w:r>
            <w:r>
              <w:rPr>
                <w:noProof/>
                <w:webHidden/>
              </w:rPr>
              <w:fldChar w:fldCharType="begin"/>
            </w:r>
            <w:r>
              <w:rPr>
                <w:noProof/>
                <w:webHidden/>
              </w:rPr>
              <w:instrText xml:space="preserve"> PAGEREF _Toc204751312 \h </w:instrText>
            </w:r>
            <w:r>
              <w:rPr>
                <w:noProof/>
                <w:webHidden/>
              </w:rPr>
            </w:r>
            <w:r>
              <w:rPr>
                <w:noProof/>
                <w:webHidden/>
              </w:rPr>
              <w:fldChar w:fldCharType="separate"/>
            </w:r>
            <w:r>
              <w:rPr>
                <w:noProof/>
                <w:webHidden/>
              </w:rPr>
              <w:t>11</w:t>
            </w:r>
            <w:r>
              <w:rPr>
                <w:noProof/>
                <w:webHidden/>
              </w:rPr>
              <w:fldChar w:fldCharType="end"/>
            </w:r>
          </w:hyperlink>
        </w:p>
        <w:p w14:paraId="65A3F76A" w14:textId="6F19686F" w:rsidR="009637C4" w:rsidRDefault="009637C4">
          <w:pPr>
            <w:pStyle w:val="TOC1"/>
            <w:tabs>
              <w:tab w:val="right" w:leader="dot" w:pos="9016"/>
            </w:tabs>
            <w:rPr>
              <w:rFonts w:asciiTheme="minorHAnsi" w:eastAsiaTheme="minorEastAsia" w:hAnsiTheme="minorHAnsi" w:cstheme="minorBidi"/>
              <w:b w:val="0"/>
              <w:bCs w:val="0"/>
              <w:lang w:eastAsia="en-AU"/>
            </w:rPr>
          </w:pPr>
          <w:hyperlink w:anchor="_Toc204751313" w:history="1">
            <w:r w:rsidRPr="00363626">
              <w:rPr>
                <w:rStyle w:val="Hyperlink"/>
              </w:rPr>
              <w:t>Specific legislative</w:t>
            </w:r>
            <w:r w:rsidRPr="00363626">
              <w:rPr>
                <w:rStyle w:val="Hyperlink"/>
                <w:spacing w:val="-6"/>
              </w:rPr>
              <w:t xml:space="preserve"> </w:t>
            </w:r>
            <w:r w:rsidRPr="00363626">
              <w:rPr>
                <w:rStyle w:val="Hyperlink"/>
              </w:rPr>
              <w:t>requirements</w:t>
            </w:r>
            <w:r w:rsidRPr="00363626">
              <w:rPr>
                <w:rStyle w:val="Hyperlink"/>
                <w:spacing w:val="-4"/>
              </w:rPr>
              <w:t xml:space="preserve"> </w:t>
            </w:r>
            <w:r w:rsidRPr="00363626">
              <w:rPr>
                <w:rStyle w:val="Hyperlink"/>
              </w:rPr>
              <w:t>for</w:t>
            </w:r>
            <w:r w:rsidRPr="00363626">
              <w:rPr>
                <w:rStyle w:val="Hyperlink"/>
                <w:spacing w:val="-4"/>
              </w:rPr>
              <w:t xml:space="preserve"> </w:t>
            </w:r>
            <w:r w:rsidRPr="00363626">
              <w:rPr>
                <w:rStyle w:val="Hyperlink"/>
              </w:rPr>
              <w:t>listed</w:t>
            </w:r>
            <w:r w:rsidRPr="00363626">
              <w:rPr>
                <w:rStyle w:val="Hyperlink"/>
                <w:spacing w:val="-6"/>
              </w:rPr>
              <w:t xml:space="preserve"> </w:t>
            </w:r>
            <w:r w:rsidRPr="00363626">
              <w:rPr>
                <w:rStyle w:val="Hyperlink"/>
              </w:rPr>
              <w:t>therapeutic</w:t>
            </w:r>
            <w:r w:rsidRPr="00363626">
              <w:rPr>
                <w:rStyle w:val="Hyperlink"/>
                <w:spacing w:val="-1"/>
              </w:rPr>
              <w:t xml:space="preserve"> </w:t>
            </w:r>
            <w:r w:rsidRPr="00363626">
              <w:rPr>
                <w:rStyle w:val="Hyperlink"/>
              </w:rPr>
              <w:t>sunscreens</w:t>
            </w:r>
            <w:r>
              <w:rPr>
                <w:webHidden/>
              </w:rPr>
              <w:tab/>
            </w:r>
            <w:r>
              <w:rPr>
                <w:webHidden/>
              </w:rPr>
              <w:fldChar w:fldCharType="begin"/>
            </w:r>
            <w:r>
              <w:rPr>
                <w:webHidden/>
              </w:rPr>
              <w:instrText xml:space="preserve"> PAGEREF _Toc204751313 \h </w:instrText>
            </w:r>
            <w:r>
              <w:rPr>
                <w:webHidden/>
              </w:rPr>
            </w:r>
            <w:r>
              <w:rPr>
                <w:webHidden/>
              </w:rPr>
              <w:fldChar w:fldCharType="separate"/>
            </w:r>
            <w:r>
              <w:rPr>
                <w:webHidden/>
              </w:rPr>
              <w:t>12</w:t>
            </w:r>
            <w:r>
              <w:rPr>
                <w:webHidden/>
              </w:rPr>
              <w:fldChar w:fldCharType="end"/>
            </w:r>
          </w:hyperlink>
        </w:p>
        <w:p w14:paraId="5E5797B7" w14:textId="6CE2AEDC" w:rsidR="009637C4" w:rsidRDefault="009637C4">
          <w:pPr>
            <w:pStyle w:val="TOC2"/>
            <w:tabs>
              <w:tab w:val="right" w:leader="dot" w:pos="9016"/>
            </w:tabs>
            <w:rPr>
              <w:rFonts w:asciiTheme="minorHAnsi" w:eastAsiaTheme="minorEastAsia" w:hAnsiTheme="minorHAnsi" w:cstheme="minorBidi"/>
              <w:noProof/>
              <w:lang w:eastAsia="en-AU"/>
            </w:rPr>
          </w:pPr>
          <w:hyperlink w:anchor="_Toc204751314" w:history="1">
            <w:r w:rsidRPr="00363626">
              <w:rPr>
                <w:rStyle w:val="Hyperlink"/>
                <w:noProof/>
              </w:rPr>
              <w:t>Indications permitted for use in listed therapeutic sunscreens</w:t>
            </w:r>
            <w:r>
              <w:rPr>
                <w:noProof/>
                <w:webHidden/>
              </w:rPr>
              <w:tab/>
            </w:r>
            <w:r>
              <w:rPr>
                <w:noProof/>
                <w:webHidden/>
              </w:rPr>
              <w:fldChar w:fldCharType="begin"/>
            </w:r>
            <w:r>
              <w:rPr>
                <w:noProof/>
                <w:webHidden/>
              </w:rPr>
              <w:instrText xml:space="preserve"> PAGEREF _Toc204751314 \h </w:instrText>
            </w:r>
            <w:r>
              <w:rPr>
                <w:noProof/>
                <w:webHidden/>
              </w:rPr>
            </w:r>
            <w:r>
              <w:rPr>
                <w:noProof/>
                <w:webHidden/>
              </w:rPr>
              <w:fldChar w:fldCharType="separate"/>
            </w:r>
            <w:r>
              <w:rPr>
                <w:noProof/>
                <w:webHidden/>
              </w:rPr>
              <w:t>13</w:t>
            </w:r>
            <w:r>
              <w:rPr>
                <w:noProof/>
                <w:webHidden/>
              </w:rPr>
              <w:fldChar w:fldCharType="end"/>
            </w:r>
          </w:hyperlink>
        </w:p>
        <w:p w14:paraId="61642B22" w14:textId="76EE7FFD" w:rsidR="009637C4" w:rsidRDefault="009637C4">
          <w:pPr>
            <w:pStyle w:val="TOC3"/>
            <w:tabs>
              <w:tab w:val="right" w:leader="dot" w:pos="9016"/>
            </w:tabs>
            <w:rPr>
              <w:rFonts w:asciiTheme="minorHAnsi" w:eastAsiaTheme="minorEastAsia" w:hAnsiTheme="minorHAnsi" w:cstheme="minorBidi"/>
              <w:noProof/>
              <w:lang w:eastAsia="en-AU"/>
            </w:rPr>
          </w:pPr>
          <w:hyperlink w:anchor="_Toc204751315" w:history="1">
            <w:r w:rsidRPr="00363626">
              <w:rPr>
                <w:rStyle w:val="Hyperlink"/>
                <w:noProof/>
              </w:rPr>
              <w:t>Ingredients permitted for use in listed therapeutic sunscreens</w:t>
            </w:r>
            <w:r>
              <w:rPr>
                <w:noProof/>
                <w:webHidden/>
              </w:rPr>
              <w:tab/>
            </w:r>
            <w:r>
              <w:rPr>
                <w:noProof/>
                <w:webHidden/>
              </w:rPr>
              <w:fldChar w:fldCharType="begin"/>
            </w:r>
            <w:r>
              <w:rPr>
                <w:noProof/>
                <w:webHidden/>
              </w:rPr>
              <w:instrText xml:space="preserve"> PAGEREF _Toc204751315 \h </w:instrText>
            </w:r>
            <w:r>
              <w:rPr>
                <w:noProof/>
                <w:webHidden/>
              </w:rPr>
            </w:r>
            <w:r>
              <w:rPr>
                <w:noProof/>
                <w:webHidden/>
              </w:rPr>
              <w:fldChar w:fldCharType="separate"/>
            </w:r>
            <w:r>
              <w:rPr>
                <w:noProof/>
                <w:webHidden/>
              </w:rPr>
              <w:t>15</w:t>
            </w:r>
            <w:r>
              <w:rPr>
                <w:noProof/>
                <w:webHidden/>
              </w:rPr>
              <w:fldChar w:fldCharType="end"/>
            </w:r>
          </w:hyperlink>
        </w:p>
        <w:p w14:paraId="5AD7A785" w14:textId="4000927D" w:rsidR="009637C4" w:rsidRDefault="009637C4">
          <w:pPr>
            <w:pStyle w:val="TOC3"/>
            <w:tabs>
              <w:tab w:val="right" w:leader="dot" w:pos="9016"/>
            </w:tabs>
            <w:rPr>
              <w:rFonts w:asciiTheme="minorHAnsi" w:eastAsiaTheme="minorEastAsia" w:hAnsiTheme="minorHAnsi" w:cstheme="minorBidi"/>
              <w:noProof/>
              <w:lang w:eastAsia="en-AU"/>
            </w:rPr>
          </w:pPr>
          <w:hyperlink w:anchor="_Toc204751316" w:history="1">
            <w:r w:rsidRPr="00363626">
              <w:rPr>
                <w:rStyle w:val="Hyperlink"/>
                <w:noProof/>
              </w:rPr>
              <w:t>Active ingredients permitted for use in listed therapeutic sunscreens</w:t>
            </w:r>
            <w:r>
              <w:rPr>
                <w:noProof/>
                <w:webHidden/>
              </w:rPr>
              <w:tab/>
            </w:r>
            <w:r>
              <w:rPr>
                <w:noProof/>
                <w:webHidden/>
              </w:rPr>
              <w:fldChar w:fldCharType="begin"/>
            </w:r>
            <w:r>
              <w:rPr>
                <w:noProof/>
                <w:webHidden/>
              </w:rPr>
              <w:instrText xml:space="preserve"> PAGEREF _Toc204751316 \h </w:instrText>
            </w:r>
            <w:r>
              <w:rPr>
                <w:noProof/>
                <w:webHidden/>
              </w:rPr>
            </w:r>
            <w:r>
              <w:rPr>
                <w:noProof/>
                <w:webHidden/>
              </w:rPr>
              <w:fldChar w:fldCharType="separate"/>
            </w:r>
            <w:r>
              <w:rPr>
                <w:noProof/>
                <w:webHidden/>
              </w:rPr>
              <w:t>15</w:t>
            </w:r>
            <w:r>
              <w:rPr>
                <w:noProof/>
                <w:webHidden/>
              </w:rPr>
              <w:fldChar w:fldCharType="end"/>
            </w:r>
          </w:hyperlink>
        </w:p>
        <w:p w14:paraId="1E426FF0" w14:textId="3F745139" w:rsidR="009637C4" w:rsidRDefault="009637C4">
          <w:pPr>
            <w:pStyle w:val="TOC3"/>
            <w:tabs>
              <w:tab w:val="right" w:leader="dot" w:pos="9016"/>
            </w:tabs>
            <w:rPr>
              <w:rFonts w:asciiTheme="minorHAnsi" w:eastAsiaTheme="minorEastAsia" w:hAnsiTheme="minorHAnsi" w:cstheme="minorBidi"/>
              <w:noProof/>
              <w:lang w:eastAsia="en-AU"/>
            </w:rPr>
          </w:pPr>
          <w:hyperlink w:anchor="_Toc204751317" w:history="1">
            <w:r w:rsidRPr="00363626">
              <w:rPr>
                <w:rStyle w:val="Hyperlink"/>
                <w:noProof/>
              </w:rPr>
              <w:t>Excipient ingredients permitted for use in listed therapeutic sunscreens</w:t>
            </w:r>
            <w:r>
              <w:rPr>
                <w:noProof/>
                <w:webHidden/>
              </w:rPr>
              <w:tab/>
            </w:r>
            <w:r>
              <w:rPr>
                <w:noProof/>
                <w:webHidden/>
              </w:rPr>
              <w:fldChar w:fldCharType="begin"/>
            </w:r>
            <w:r>
              <w:rPr>
                <w:noProof/>
                <w:webHidden/>
              </w:rPr>
              <w:instrText xml:space="preserve"> PAGEREF _Toc204751317 \h </w:instrText>
            </w:r>
            <w:r>
              <w:rPr>
                <w:noProof/>
                <w:webHidden/>
              </w:rPr>
            </w:r>
            <w:r>
              <w:rPr>
                <w:noProof/>
                <w:webHidden/>
              </w:rPr>
              <w:fldChar w:fldCharType="separate"/>
            </w:r>
            <w:r>
              <w:rPr>
                <w:noProof/>
                <w:webHidden/>
              </w:rPr>
              <w:t>15</w:t>
            </w:r>
            <w:r>
              <w:rPr>
                <w:noProof/>
                <w:webHidden/>
              </w:rPr>
              <w:fldChar w:fldCharType="end"/>
            </w:r>
          </w:hyperlink>
        </w:p>
        <w:p w14:paraId="75CCFCC3" w14:textId="42245F68" w:rsidR="009637C4" w:rsidRDefault="009637C4">
          <w:pPr>
            <w:pStyle w:val="TOC3"/>
            <w:tabs>
              <w:tab w:val="right" w:leader="dot" w:pos="9016"/>
            </w:tabs>
            <w:rPr>
              <w:rFonts w:asciiTheme="minorHAnsi" w:eastAsiaTheme="minorEastAsia" w:hAnsiTheme="minorHAnsi" w:cstheme="minorBidi"/>
              <w:noProof/>
              <w:lang w:eastAsia="en-AU"/>
            </w:rPr>
          </w:pPr>
          <w:hyperlink w:anchor="_Toc204751318" w:history="1">
            <w:r w:rsidRPr="00363626">
              <w:rPr>
                <w:rStyle w:val="Hyperlink"/>
                <w:noProof/>
              </w:rPr>
              <w:t>Nanoparticle ingredients in sunscreens</w:t>
            </w:r>
            <w:r>
              <w:rPr>
                <w:noProof/>
                <w:webHidden/>
              </w:rPr>
              <w:tab/>
            </w:r>
            <w:r>
              <w:rPr>
                <w:noProof/>
                <w:webHidden/>
              </w:rPr>
              <w:fldChar w:fldCharType="begin"/>
            </w:r>
            <w:r>
              <w:rPr>
                <w:noProof/>
                <w:webHidden/>
              </w:rPr>
              <w:instrText xml:space="preserve"> PAGEREF _Toc204751318 \h </w:instrText>
            </w:r>
            <w:r>
              <w:rPr>
                <w:noProof/>
                <w:webHidden/>
              </w:rPr>
            </w:r>
            <w:r>
              <w:rPr>
                <w:noProof/>
                <w:webHidden/>
              </w:rPr>
              <w:fldChar w:fldCharType="separate"/>
            </w:r>
            <w:r>
              <w:rPr>
                <w:noProof/>
                <w:webHidden/>
              </w:rPr>
              <w:t>16</w:t>
            </w:r>
            <w:r>
              <w:rPr>
                <w:noProof/>
                <w:webHidden/>
              </w:rPr>
              <w:fldChar w:fldCharType="end"/>
            </w:r>
          </w:hyperlink>
        </w:p>
        <w:p w14:paraId="5409B5FB" w14:textId="584DFC4B" w:rsidR="009637C4" w:rsidRDefault="009637C4">
          <w:pPr>
            <w:pStyle w:val="TOC1"/>
            <w:tabs>
              <w:tab w:val="right" w:leader="dot" w:pos="9016"/>
            </w:tabs>
            <w:rPr>
              <w:rFonts w:asciiTheme="minorHAnsi" w:eastAsiaTheme="minorEastAsia" w:hAnsiTheme="minorHAnsi" w:cstheme="minorBidi"/>
              <w:b w:val="0"/>
              <w:bCs w:val="0"/>
              <w:lang w:eastAsia="en-AU"/>
            </w:rPr>
          </w:pPr>
          <w:hyperlink w:anchor="_Toc204751319" w:history="1">
            <w:r w:rsidRPr="00363626">
              <w:rPr>
                <w:rStyle w:val="Hyperlink"/>
              </w:rPr>
              <w:t>Applying for a new ingredient to be used in listed therapeutic sunscreens</w:t>
            </w:r>
            <w:r>
              <w:rPr>
                <w:webHidden/>
              </w:rPr>
              <w:tab/>
            </w:r>
            <w:r>
              <w:rPr>
                <w:webHidden/>
              </w:rPr>
              <w:fldChar w:fldCharType="begin"/>
            </w:r>
            <w:r>
              <w:rPr>
                <w:webHidden/>
              </w:rPr>
              <w:instrText xml:space="preserve"> PAGEREF _Toc204751319 \h </w:instrText>
            </w:r>
            <w:r>
              <w:rPr>
                <w:webHidden/>
              </w:rPr>
            </w:r>
            <w:r>
              <w:rPr>
                <w:webHidden/>
              </w:rPr>
              <w:fldChar w:fldCharType="separate"/>
            </w:r>
            <w:r>
              <w:rPr>
                <w:webHidden/>
              </w:rPr>
              <w:t>16</w:t>
            </w:r>
            <w:r>
              <w:rPr>
                <w:webHidden/>
              </w:rPr>
              <w:fldChar w:fldCharType="end"/>
            </w:r>
          </w:hyperlink>
        </w:p>
        <w:p w14:paraId="139742D1" w14:textId="73058EB6" w:rsidR="009637C4" w:rsidRDefault="009637C4">
          <w:pPr>
            <w:pStyle w:val="TOC2"/>
            <w:tabs>
              <w:tab w:val="right" w:leader="dot" w:pos="9016"/>
            </w:tabs>
            <w:rPr>
              <w:rFonts w:asciiTheme="minorHAnsi" w:eastAsiaTheme="minorEastAsia" w:hAnsiTheme="minorHAnsi" w:cstheme="minorBidi"/>
              <w:noProof/>
              <w:lang w:eastAsia="en-AU"/>
            </w:rPr>
          </w:pPr>
          <w:hyperlink w:anchor="_Toc204751320" w:history="1">
            <w:r w:rsidRPr="00363626">
              <w:rPr>
                <w:rStyle w:val="Hyperlink"/>
                <w:noProof/>
              </w:rPr>
              <w:t>General requirements for new ingredients for listed therapeutic sunscreens</w:t>
            </w:r>
            <w:r>
              <w:rPr>
                <w:noProof/>
                <w:webHidden/>
              </w:rPr>
              <w:tab/>
            </w:r>
            <w:r>
              <w:rPr>
                <w:noProof/>
                <w:webHidden/>
              </w:rPr>
              <w:fldChar w:fldCharType="begin"/>
            </w:r>
            <w:r>
              <w:rPr>
                <w:noProof/>
                <w:webHidden/>
              </w:rPr>
              <w:instrText xml:space="preserve"> PAGEREF _Toc204751320 \h </w:instrText>
            </w:r>
            <w:r>
              <w:rPr>
                <w:noProof/>
                <w:webHidden/>
              </w:rPr>
            </w:r>
            <w:r>
              <w:rPr>
                <w:noProof/>
                <w:webHidden/>
              </w:rPr>
              <w:fldChar w:fldCharType="separate"/>
            </w:r>
            <w:r>
              <w:rPr>
                <w:noProof/>
                <w:webHidden/>
              </w:rPr>
              <w:t>18</w:t>
            </w:r>
            <w:r>
              <w:rPr>
                <w:noProof/>
                <w:webHidden/>
              </w:rPr>
              <w:fldChar w:fldCharType="end"/>
            </w:r>
          </w:hyperlink>
        </w:p>
        <w:p w14:paraId="2CEAFD3B" w14:textId="4E96046E" w:rsidR="009637C4" w:rsidRDefault="009637C4">
          <w:pPr>
            <w:pStyle w:val="TOC2"/>
            <w:tabs>
              <w:tab w:val="right" w:leader="dot" w:pos="9016"/>
            </w:tabs>
            <w:rPr>
              <w:rFonts w:asciiTheme="minorHAnsi" w:eastAsiaTheme="minorEastAsia" w:hAnsiTheme="minorHAnsi" w:cstheme="minorBidi"/>
              <w:noProof/>
              <w:lang w:eastAsia="en-AU"/>
            </w:rPr>
          </w:pPr>
          <w:hyperlink w:anchor="_Toc204751321" w:history="1">
            <w:r w:rsidRPr="00363626">
              <w:rPr>
                <w:rStyle w:val="Hyperlink"/>
                <w:noProof/>
              </w:rPr>
              <w:t>Scientific guidelines for testing of new ingredients for listed therapeutic sunscreens</w:t>
            </w:r>
            <w:r>
              <w:rPr>
                <w:noProof/>
                <w:webHidden/>
              </w:rPr>
              <w:tab/>
            </w:r>
            <w:r>
              <w:rPr>
                <w:noProof/>
                <w:webHidden/>
              </w:rPr>
              <w:fldChar w:fldCharType="begin"/>
            </w:r>
            <w:r>
              <w:rPr>
                <w:noProof/>
                <w:webHidden/>
              </w:rPr>
              <w:instrText xml:space="preserve"> PAGEREF _Toc204751321 \h </w:instrText>
            </w:r>
            <w:r>
              <w:rPr>
                <w:noProof/>
                <w:webHidden/>
              </w:rPr>
            </w:r>
            <w:r>
              <w:rPr>
                <w:noProof/>
                <w:webHidden/>
              </w:rPr>
              <w:fldChar w:fldCharType="separate"/>
            </w:r>
            <w:r>
              <w:rPr>
                <w:noProof/>
                <w:webHidden/>
              </w:rPr>
              <w:t>18</w:t>
            </w:r>
            <w:r>
              <w:rPr>
                <w:noProof/>
                <w:webHidden/>
              </w:rPr>
              <w:fldChar w:fldCharType="end"/>
            </w:r>
          </w:hyperlink>
        </w:p>
        <w:p w14:paraId="4E0187D7" w14:textId="439587F5" w:rsidR="009637C4" w:rsidRDefault="009637C4">
          <w:pPr>
            <w:pStyle w:val="TOC2"/>
            <w:tabs>
              <w:tab w:val="right" w:leader="dot" w:pos="9016"/>
            </w:tabs>
            <w:rPr>
              <w:rFonts w:asciiTheme="minorHAnsi" w:eastAsiaTheme="minorEastAsia" w:hAnsiTheme="minorHAnsi" w:cstheme="minorBidi"/>
              <w:noProof/>
              <w:lang w:eastAsia="en-AU"/>
            </w:rPr>
          </w:pPr>
          <w:hyperlink w:anchor="_Toc204751322" w:history="1">
            <w:r w:rsidRPr="00363626">
              <w:rPr>
                <w:rStyle w:val="Hyperlink"/>
                <w:noProof/>
              </w:rPr>
              <w:t>Quality data requirements for new ingredients for use in listed therapeutic sunscreens</w:t>
            </w:r>
            <w:r>
              <w:rPr>
                <w:noProof/>
                <w:webHidden/>
              </w:rPr>
              <w:tab/>
            </w:r>
            <w:r>
              <w:rPr>
                <w:noProof/>
                <w:webHidden/>
              </w:rPr>
              <w:fldChar w:fldCharType="begin"/>
            </w:r>
            <w:r>
              <w:rPr>
                <w:noProof/>
                <w:webHidden/>
              </w:rPr>
              <w:instrText xml:space="preserve"> PAGEREF _Toc204751322 \h </w:instrText>
            </w:r>
            <w:r>
              <w:rPr>
                <w:noProof/>
                <w:webHidden/>
              </w:rPr>
            </w:r>
            <w:r>
              <w:rPr>
                <w:noProof/>
                <w:webHidden/>
              </w:rPr>
              <w:fldChar w:fldCharType="separate"/>
            </w:r>
            <w:r>
              <w:rPr>
                <w:noProof/>
                <w:webHidden/>
              </w:rPr>
              <w:t>19</w:t>
            </w:r>
            <w:r>
              <w:rPr>
                <w:noProof/>
                <w:webHidden/>
              </w:rPr>
              <w:fldChar w:fldCharType="end"/>
            </w:r>
          </w:hyperlink>
        </w:p>
        <w:p w14:paraId="2BC520EB" w14:textId="082A21EB" w:rsidR="009637C4" w:rsidRDefault="009637C4">
          <w:pPr>
            <w:pStyle w:val="TOC2"/>
            <w:tabs>
              <w:tab w:val="right" w:leader="dot" w:pos="9016"/>
            </w:tabs>
            <w:rPr>
              <w:rFonts w:asciiTheme="minorHAnsi" w:eastAsiaTheme="minorEastAsia" w:hAnsiTheme="minorHAnsi" w:cstheme="minorBidi"/>
              <w:noProof/>
              <w:lang w:eastAsia="en-AU"/>
            </w:rPr>
          </w:pPr>
          <w:hyperlink w:anchor="_Toc204751323" w:history="1">
            <w:r w:rsidRPr="00363626">
              <w:rPr>
                <w:rStyle w:val="Hyperlink"/>
                <w:noProof/>
              </w:rPr>
              <w:t>Establishing the UV absorption range of new active sunscreen ingredients</w:t>
            </w:r>
            <w:r>
              <w:rPr>
                <w:noProof/>
                <w:webHidden/>
              </w:rPr>
              <w:tab/>
            </w:r>
            <w:r>
              <w:rPr>
                <w:noProof/>
                <w:webHidden/>
              </w:rPr>
              <w:fldChar w:fldCharType="begin"/>
            </w:r>
            <w:r>
              <w:rPr>
                <w:noProof/>
                <w:webHidden/>
              </w:rPr>
              <w:instrText xml:space="preserve"> PAGEREF _Toc204751323 \h </w:instrText>
            </w:r>
            <w:r>
              <w:rPr>
                <w:noProof/>
                <w:webHidden/>
              </w:rPr>
            </w:r>
            <w:r>
              <w:rPr>
                <w:noProof/>
                <w:webHidden/>
              </w:rPr>
              <w:fldChar w:fldCharType="separate"/>
            </w:r>
            <w:r>
              <w:rPr>
                <w:noProof/>
                <w:webHidden/>
              </w:rPr>
              <w:t>21</w:t>
            </w:r>
            <w:r>
              <w:rPr>
                <w:noProof/>
                <w:webHidden/>
              </w:rPr>
              <w:fldChar w:fldCharType="end"/>
            </w:r>
          </w:hyperlink>
        </w:p>
        <w:p w14:paraId="448C9ABB" w14:textId="3918D4A5" w:rsidR="009637C4" w:rsidRDefault="009637C4">
          <w:pPr>
            <w:pStyle w:val="TOC2"/>
            <w:tabs>
              <w:tab w:val="right" w:leader="dot" w:pos="9016"/>
            </w:tabs>
            <w:rPr>
              <w:rFonts w:asciiTheme="minorHAnsi" w:eastAsiaTheme="minorEastAsia" w:hAnsiTheme="minorHAnsi" w:cstheme="minorBidi"/>
              <w:noProof/>
              <w:lang w:eastAsia="en-AU"/>
            </w:rPr>
          </w:pPr>
          <w:hyperlink w:anchor="_Toc204751324" w:history="1">
            <w:r w:rsidRPr="00363626">
              <w:rPr>
                <w:rStyle w:val="Hyperlink"/>
                <w:noProof/>
              </w:rPr>
              <w:t>Safety data requirements for new ingredients for use in listed therapeutic sunscreens</w:t>
            </w:r>
            <w:r>
              <w:rPr>
                <w:noProof/>
                <w:webHidden/>
              </w:rPr>
              <w:tab/>
            </w:r>
            <w:r>
              <w:rPr>
                <w:noProof/>
                <w:webHidden/>
              </w:rPr>
              <w:fldChar w:fldCharType="begin"/>
            </w:r>
            <w:r>
              <w:rPr>
                <w:noProof/>
                <w:webHidden/>
              </w:rPr>
              <w:instrText xml:space="preserve"> PAGEREF _Toc204751324 \h </w:instrText>
            </w:r>
            <w:r>
              <w:rPr>
                <w:noProof/>
                <w:webHidden/>
              </w:rPr>
            </w:r>
            <w:r>
              <w:rPr>
                <w:noProof/>
                <w:webHidden/>
              </w:rPr>
              <w:fldChar w:fldCharType="separate"/>
            </w:r>
            <w:r>
              <w:rPr>
                <w:noProof/>
                <w:webHidden/>
              </w:rPr>
              <w:t>21</w:t>
            </w:r>
            <w:r>
              <w:rPr>
                <w:noProof/>
                <w:webHidden/>
              </w:rPr>
              <w:fldChar w:fldCharType="end"/>
            </w:r>
          </w:hyperlink>
        </w:p>
        <w:p w14:paraId="6118DD16" w14:textId="5FFEECD4" w:rsidR="009637C4" w:rsidRDefault="009637C4">
          <w:pPr>
            <w:pStyle w:val="TOC3"/>
            <w:tabs>
              <w:tab w:val="right" w:leader="dot" w:pos="9016"/>
            </w:tabs>
            <w:rPr>
              <w:rFonts w:asciiTheme="minorHAnsi" w:eastAsiaTheme="minorEastAsia" w:hAnsiTheme="minorHAnsi" w:cstheme="minorBidi"/>
              <w:noProof/>
              <w:lang w:eastAsia="en-AU"/>
            </w:rPr>
          </w:pPr>
          <w:hyperlink w:anchor="_Toc204751325" w:history="1">
            <w:r w:rsidRPr="00363626">
              <w:rPr>
                <w:rStyle w:val="Hyperlink"/>
                <w:noProof/>
              </w:rPr>
              <w:t>Substances that are not absorbed</w:t>
            </w:r>
            <w:r>
              <w:rPr>
                <w:noProof/>
                <w:webHidden/>
              </w:rPr>
              <w:tab/>
            </w:r>
            <w:r>
              <w:rPr>
                <w:noProof/>
                <w:webHidden/>
              </w:rPr>
              <w:fldChar w:fldCharType="begin"/>
            </w:r>
            <w:r>
              <w:rPr>
                <w:noProof/>
                <w:webHidden/>
              </w:rPr>
              <w:instrText xml:space="preserve"> PAGEREF _Toc204751325 \h </w:instrText>
            </w:r>
            <w:r>
              <w:rPr>
                <w:noProof/>
                <w:webHidden/>
              </w:rPr>
            </w:r>
            <w:r>
              <w:rPr>
                <w:noProof/>
                <w:webHidden/>
              </w:rPr>
              <w:fldChar w:fldCharType="separate"/>
            </w:r>
            <w:r>
              <w:rPr>
                <w:noProof/>
                <w:webHidden/>
              </w:rPr>
              <w:t>22</w:t>
            </w:r>
            <w:r>
              <w:rPr>
                <w:noProof/>
                <w:webHidden/>
              </w:rPr>
              <w:fldChar w:fldCharType="end"/>
            </w:r>
          </w:hyperlink>
        </w:p>
        <w:p w14:paraId="11E67714" w14:textId="427C46BF" w:rsidR="009637C4" w:rsidRDefault="009637C4">
          <w:pPr>
            <w:pStyle w:val="TOC3"/>
            <w:tabs>
              <w:tab w:val="right" w:leader="dot" w:pos="9016"/>
            </w:tabs>
            <w:rPr>
              <w:rFonts w:asciiTheme="minorHAnsi" w:eastAsiaTheme="minorEastAsia" w:hAnsiTheme="minorHAnsi" w:cstheme="minorBidi"/>
              <w:noProof/>
              <w:lang w:eastAsia="en-AU"/>
            </w:rPr>
          </w:pPr>
          <w:hyperlink w:anchor="_Toc204751326" w:history="1">
            <w:r w:rsidRPr="00363626">
              <w:rPr>
                <w:rStyle w:val="Hyperlink"/>
                <w:noProof/>
              </w:rPr>
              <w:t>Other safety requirements specific for new substances for use in listed therapeutic sunscreens</w:t>
            </w:r>
            <w:r>
              <w:rPr>
                <w:noProof/>
                <w:webHidden/>
              </w:rPr>
              <w:tab/>
            </w:r>
            <w:r>
              <w:rPr>
                <w:noProof/>
                <w:webHidden/>
              </w:rPr>
              <w:fldChar w:fldCharType="begin"/>
            </w:r>
            <w:r>
              <w:rPr>
                <w:noProof/>
                <w:webHidden/>
              </w:rPr>
              <w:instrText xml:space="preserve"> PAGEREF _Toc204751326 \h </w:instrText>
            </w:r>
            <w:r>
              <w:rPr>
                <w:noProof/>
                <w:webHidden/>
              </w:rPr>
            </w:r>
            <w:r>
              <w:rPr>
                <w:noProof/>
                <w:webHidden/>
              </w:rPr>
              <w:fldChar w:fldCharType="separate"/>
            </w:r>
            <w:r>
              <w:rPr>
                <w:noProof/>
                <w:webHidden/>
              </w:rPr>
              <w:t>27</w:t>
            </w:r>
            <w:r>
              <w:rPr>
                <w:noProof/>
                <w:webHidden/>
              </w:rPr>
              <w:fldChar w:fldCharType="end"/>
            </w:r>
          </w:hyperlink>
        </w:p>
        <w:p w14:paraId="5172E4D3" w14:textId="4E1E3096" w:rsidR="009637C4" w:rsidRDefault="009637C4">
          <w:pPr>
            <w:pStyle w:val="TOC3"/>
            <w:tabs>
              <w:tab w:val="right" w:leader="dot" w:pos="9016"/>
            </w:tabs>
            <w:rPr>
              <w:rFonts w:asciiTheme="minorHAnsi" w:eastAsiaTheme="minorEastAsia" w:hAnsiTheme="minorHAnsi" w:cstheme="minorBidi"/>
              <w:noProof/>
              <w:lang w:eastAsia="en-AU"/>
            </w:rPr>
          </w:pPr>
          <w:hyperlink w:anchor="_Toc204751327" w:history="1">
            <w:r w:rsidRPr="00363626">
              <w:rPr>
                <w:rStyle w:val="Hyperlink"/>
                <w:noProof/>
              </w:rPr>
              <w:t>Related studies that may be used to support the safety of new ingredients for use in listed therapeutic sunscreens</w:t>
            </w:r>
            <w:r>
              <w:rPr>
                <w:noProof/>
                <w:webHidden/>
              </w:rPr>
              <w:tab/>
            </w:r>
            <w:r>
              <w:rPr>
                <w:noProof/>
                <w:webHidden/>
              </w:rPr>
              <w:fldChar w:fldCharType="begin"/>
            </w:r>
            <w:r>
              <w:rPr>
                <w:noProof/>
                <w:webHidden/>
              </w:rPr>
              <w:instrText xml:space="preserve"> PAGEREF _Toc204751327 \h </w:instrText>
            </w:r>
            <w:r>
              <w:rPr>
                <w:noProof/>
                <w:webHidden/>
              </w:rPr>
            </w:r>
            <w:r>
              <w:rPr>
                <w:noProof/>
                <w:webHidden/>
              </w:rPr>
              <w:fldChar w:fldCharType="separate"/>
            </w:r>
            <w:r>
              <w:rPr>
                <w:noProof/>
                <w:webHidden/>
              </w:rPr>
              <w:t>27</w:t>
            </w:r>
            <w:r>
              <w:rPr>
                <w:noProof/>
                <w:webHidden/>
              </w:rPr>
              <w:fldChar w:fldCharType="end"/>
            </w:r>
          </w:hyperlink>
        </w:p>
        <w:p w14:paraId="3FC15316" w14:textId="26902B46" w:rsidR="009637C4" w:rsidRDefault="009637C4">
          <w:pPr>
            <w:pStyle w:val="TOC3"/>
            <w:tabs>
              <w:tab w:val="right" w:leader="dot" w:pos="9016"/>
            </w:tabs>
            <w:rPr>
              <w:rFonts w:asciiTheme="minorHAnsi" w:eastAsiaTheme="minorEastAsia" w:hAnsiTheme="minorHAnsi" w:cstheme="minorBidi"/>
              <w:noProof/>
              <w:lang w:eastAsia="en-AU"/>
            </w:rPr>
          </w:pPr>
          <w:hyperlink w:anchor="_Toc204751328" w:history="1">
            <w:r w:rsidRPr="00363626">
              <w:rPr>
                <w:rStyle w:val="Hyperlink"/>
                <w:noProof/>
              </w:rPr>
              <w:t>Alternative test methods accepted by the TGA for new ingredients for use in listed therapeutic sunscreens</w:t>
            </w:r>
            <w:r>
              <w:rPr>
                <w:noProof/>
                <w:webHidden/>
              </w:rPr>
              <w:tab/>
            </w:r>
            <w:r>
              <w:rPr>
                <w:noProof/>
                <w:webHidden/>
              </w:rPr>
              <w:fldChar w:fldCharType="begin"/>
            </w:r>
            <w:r>
              <w:rPr>
                <w:noProof/>
                <w:webHidden/>
              </w:rPr>
              <w:instrText xml:space="preserve"> PAGEREF _Toc204751328 \h </w:instrText>
            </w:r>
            <w:r>
              <w:rPr>
                <w:noProof/>
                <w:webHidden/>
              </w:rPr>
            </w:r>
            <w:r>
              <w:rPr>
                <w:noProof/>
                <w:webHidden/>
              </w:rPr>
              <w:fldChar w:fldCharType="separate"/>
            </w:r>
            <w:r>
              <w:rPr>
                <w:noProof/>
                <w:webHidden/>
              </w:rPr>
              <w:t>28</w:t>
            </w:r>
            <w:r>
              <w:rPr>
                <w:noProof/>
                <w:webHidden/>
              </w:rPr>
              <w:fldChar w:fldCharType="end"/>
            </w:r>
          </w:hyperlink>
        </w:p>
        <w:p w14:paraId="769D4410" w14:textId="33729D80" w:rsidR="009637C4" w:rsidRDefault="009637C4">
          <w:pPr>
            <w:pStyle w:val="TOC2"/>
            <w:tabs>
              <w:tab w:val="right" w:leader="dot" w:pos="9016"/>
            </w:tabs>
            <w:rPr>
              <w:rFonts w:asciiTheme="minorHAnsi" w:eastAsiaTheme="minorEastAsia" w:hAnsiTheme="minorHAnsi" w:cstheme="minorBidi"/>
              <w:noProof/>
              <w:lang w:eastAsia="en-AU"/>
            </w:rPr>
          </w:pPr>
          <w:hyperlink w:anchor="_Toc204751329" w:history="1">
            <w:r w:rsidRPr="00363626">
              <w:rPr>
                <w:rStyle w:val="Hyperlink"/>
                <w:noProof/>
              </w:rPr>
              <w:t>Manufacture</w:t>
            </w:r>
            <w:r w:rsidRPr="00363626">
              <w:rPr>
                <w:rStyle w:val="Hyperlink"/>
                <w:noProof/>
                <w:spacing w:val="-3"/>
              </w:rPr>
              <w:t xml:space="preserve"> </w:t>
            </w:r>
            <w:r w:rsidRPr="00363626">
              <w:rPr>
                <w:rStyle w:val="Hyperlink"/>
                <w:noProof/>
              </w:rPr>
              <w:t>and</w:t>
            </w:r>
            <w:r w:rsidRPr="00363626">
              <w:rPr>
                <w:rStyle w:val="Hyperlink"/>
                <w:noProof/>
                <w:spacing w:val="-2"/>
              </w:rPr>
              <w:t xml:space="preserve"> </w:t>
            </w:r>
            <w:r w:rsidRPr="00363626">
              <w:rPr>
                <w:rStyle w:val="Hyperlink"/>
                <w:noProof/>
              </w:rPr>
              <w:t>quality</w:t>
            </w:r>
            <w:r w:rsidRPr="00363626">
              <w:rPr>
                <w:rStyle w:val="Hyperlink"/>
                <w:noProof/>
                <w:spacing w:val="-7"/>
              </w:rPr>
              <w:t xml:space="preserve"> </w:t>
            </w:r>
            <w:r w:rsidRPr="00363626">
              <w:rPr>
                <w:rStyle w:val="Hyperlink"/>
                <w:noProof/>
              </w:rPr>
              <w:t>control</w:t>
            </w:r>
            <w:r w:rsidRPr="00363626">
              <w:rPr>
                <w:rStyle w:val="Hyperlink"/>
                <w:noProof/>
                <w:spacing w:val="-3"/>
              </w:rPr>
              <w:t xml:space="preserve"> </w:t>
            </w:r>
            <w:r w:rsidRPr="00363626">
              <w:rPr>
                <w:rStyle w:val="Hyperlink"/>
                <w:noProof/>
              </w:rPr>
              <w:t>of</w:t>
            </w:r>
            <w:r w:rsidRPr="00363626">
              <w:rPr>
                <w:rStyle w:val="Hyperlink"/>
                <w:noProof/>
                <w:spacing w:val="-2"/>
              </w:rPr>
              <w:t xml:space="preserve"> </w:t>
            </w:r>
            <w:r w:rsidRPr="00363626">
              <w:rPr>
                <w:rStyle w:val="Hyperlink"/>
                <w:noProof/>
              </w:rPr>
              <w:t>listed</w:t>
            </w:r>
            <w:r w:rsidRPr="00363626">
              <w:rPr>
                <w:rStyle w:val="Hyperlink"/>
                <w:noProof/>
                <w:spacing w:val="-2"/>
              </w:rPr>
              <w:t xml:space="preserve"> </w:t>
            </w:r>
            <w:r w:rsidRPr="00363626">
              <w:rPr>
                <w:rStyle w:val="Hyperlink"/>
                <w:noProof/>
              </w:rPr>
              <w:t>therapeutic</w:t>
            </w:r>
            <w:r w:rsidRPr="00363626">
              <w:rPr>
                <w:rStyle w:val="Hyperlink"/>
                <w:noProof/>
                <w:spacing w:val="-2"/>
              </w:rPr>
              <w:t xml:space="preserve"> </w:t>
            </w:r>
            <w:r w:rsidRPr="00363626">
              <w:rPr>
                <w:rStyle w:val="Hyperlink"/>
                <w:noProof/>
              </w:rPr>
              <w:t>sunscreens</w:t>
            </w:r>
            <w:r>
              <w:rPr>
                <w:noProof/>
                <w:webHidden/>
              </w:rPr>
              <w:tab/>
            </w:r>
            <w:r>
              <w:rPr>
                <w:noProof/>
                <w:webHidden/>
              </w:rPr>
              <w:fldChar w:fldCharType="begin"/>
            </w:r>
            <w:r>
              <w:rPr>
                <w:noProof/>
                <w:webHidden/>
              </w:rPr>
              <w:instrText xml:space="preserve"> PAGEREF _Toc204751329 \h </w:instrText>
            </w:r>
            <w:r>
              <w:rPr>
                <w:noProof/>
                <w:webHidden/>
              </w:rPr>
            </w:r>
            <w:r>
              <w:rPr>
                <w:noProof/>
                <w:webHidden/>
              </w:rPr>
              <w:fldChar w:fldCharType="separate"/>
            </w:r>
            <w:r>
              <w:rPr>
                <w:noProof/>
                <w:webHidden/>
              </w:rPr>
              <w:t>28</w:t>
            </w:r>
            <w:r>
              <w:rPr>
                <w:noProof/>
                <w:webHidden/>
              </w:rPr>
              <w:fldChar w:fldCharType="end"/>
            </w:r>
          </w:hyperlink>
        </w:p>
        <w:p w14:paraId="0A49082F" w14:textId="5C37CF42" w:rsidR="009637C4" w:rsidRDefault="009637C4">
          <w:pPr>
            <w:pStyle w:val="TOC3"/>
            <w:tabs>
              <w:tab w:val="right" w:leader="dot" w:pos="9016"/>
            </w:tabs>
            <w:rPr>
              <w:rFonts w:asciiTheme="minorHAnsi" w:eastAsiaTheme="minorEastAsia" w:hAnsiTheme="minorHAnsi" w:cstheme="minorBidi"/>
              <w:noProof/>
              <w:lang w:eastAsia="en-AU"/>
            </w:rPr>
          </w:pPr>
          <w:hyperlink w:anchor="_Toc204751330" w:history="1">
            <w:r w:rsidRPr="00363626">
              <w:rPr>
                <w:rStyle w:val="Hyperlink"/>
                <w:noProof/>
              </w:rPr>
              <w:t>Default standards for listed therapeutic sunscreens</w:t>
            </w:r>
            <w:r>
              <w:rPr>
                <w:noProof/>
                <w:webHidden/>
              </w:rPr>
              <w:tab/>
            </w:r>
            <w:r>
              <w:rPr>
                <w:noProof/>
                <w:webHidden/>
              </w:rPr>
              <w:fldChar w:fldCharType="begin"/>
            </w:r>
            <w:r>
              <w:rPr>
                <w:noProof/>
                <w:webHidden/>
              </w:rPr>
              <w:instrText xml:space="preserve"> PAGEREF _Toc204751330 \h </w:instrText>
            </w:r>
            <w:r>
              <w:rPr>
                <w:noProof/>
                <w:webHidden/>
              </w:rPr>
            </w:r>
            <w:r>
              <w:rPr>
                <w:noProof/>
                <w:webHidden/>
              </w:rPr>
              <w:fldChar w:fldCharType="separate"/>
            </w:r>
            <w:r>
              <w:rPr>
                <w:noProof/>
                <w:webHidden/>
              </w:rPr>
              <w:t>29</w:t>
            </w:r>
            <w:r>
              <w:rPr>
                <w:noProof/>
                <w:webHidden/>
              </w:rPr>
              <w:fldChar w:fldCharType="end"/>
            </w:r>
          </w:hyperlink>
        </w:p>
        <w:p w14:paraId="2ECBBBFB" w14:textId="63AA9F59" w:rsidR="009637C4" w:rsidRDefault="009637C4">
          <w:pPr>
            <w:pStyle w:val="TOC3"/>
            <w:tabs>
              <w:tab w:val="right" w:leader="dot" w:pos="9016"/>
            </w:tabs>
            <w:rPr>
              <w:rFonts w:asciiTheme="minorHAnsi" w:eastAsiaTheme="minorEastAsia" w:hAnsiTheme="minorHAnsi" w:cstheme="minorBidi"/>
              <w:noProof/>
              <w:lang w:eastAsia="en-AU"/>
            </w:rPr>
          </w:pPr>
          <w:hyperlink w:anchor="_Toc204751331" w:history="1">
            <w:r w:rsidRPr="00363626">
              <w:rPr>
                <w:rStyle w:val="Hyperlink"/>
                <w:noProof/>
              </w:rPr>
              <w:t>Ingredients specifications for listed therapeutic sunscreens</w:t>
            </w:r>
            <w:r>
              <w:rPr>
                <w:noProof/>
                <w:webHidden/>
              </w:rPr>
              <w:tab/>
            </w:r>
            <w:r>
              <w:rPr>
                <w:noProof/>
                <w:webHidden/>
              </w:rPr>
              <w:fldChar w:fldCharType="begin"/>
            </w:r>
            <w:r>
              <w:rPr>
                <w:noProof/>
                <w:webHidden/>
              </w:rPr>
              <w:instrText xml:space="preserve"> PAGEREF _Toc204751331 \h </w:instrText>
            </w:r>
            <w:r>
              <w:rPr>
                <w:noProof/>
                <w:webHidden/>
              </w:rPr>
            </w:r>
            <w:r>
              <w:rPr>
                <w:noProof/>
                <w:webHidden/>
              </w:rPr>
              <w:fldChar w:fldCharType="separate"/>
            </w:r>
            <w:r>
              <w:rPr>
                <w:noProof/>
                <w:webHidden/>
              </w:rPr>
              <w:t>29</w:t>
            </w:r>
            <w:r>
              <w:rPr>
                <w:noProof/>
                <w:webHidden/>
              </w:rPr>
              <w:fldChar w:fldCharType="end"/>
            </w:r>
          </w:hyperlink>
        </w:p>
        <w:p w14:paraId="58F75BE8" w14:textId="3374C99A" w:rsidR="009637C4" w:rsidRDefault="009637C4">
          <w:pPr>
            <w:pStyle w:val="TOC3"/>
            <w:tabs>
              <w:tab w:val="right" w:leader="dot" w:pos="9016"/>
            </w:tabs>
            <w:rPr>
              <w:rFonts w:asciiTheme="minorHAnsi" w:eastAsiaTheme="minorEastAsia" w:hAnsiTheme="minorHAnsi" w:cstheme="minorBidi"/>
              <w:noProof/>
              <w:lang w:eastAsia="en-AU"/>
            </w:rPr>
          </w:pPr>
          <w:hyperlink w:anchor="_Toc204751332" w:history="1">
            <w:r w:rsidRPr="00363626">
              <w:rPr>
                <w:rStyle w:val="Hyperlink"/>
                <w:noProof/>
              </w:rPr>
              <w:t>Finished products specifications for listed therapeutic sunscreens</w:t>
            </w:r>
            <w:r>
              <w:rPr>
                <w:noProof/>
                <w:webHidden/>
              </w:rPr>
              <w:tab/>
            </w:r>
            <w:r>
              <w:rPr>
                <w:noProof/>
                <w:webHidden/>
              </w:rPr>
              <w:fldChar w:fldCharType="begin"/>
            </w:r>
            <w:r>
              <w:rPr>
                <w:noProof/>
                <w:webHidden/>
              </w:rPr>
              <w:instrText xml:space="preserve"> PAGEREF _Toc204751332 \h </w:instrText>
            </w:r>
            <w:r>
              <w:rPr>
                <w:noProof/>
                <w:webHidden/>
              </w:rPr>
            </w:r>
            <w:r>
              <w:rPr>
                <w:noProof/>
                <w:webHidden/>
              </w:rPr>
              <w:fldChar w:fldCharType="separate"/>
            </w:r>
            <w:r>
              <w:rPr>
                <w:noProof/>
                <w:webHidden/>
              </w:rPr>
              <w:t>30</w:t>
            </w:r>
            <w:r>
              <w:rPr>
                <w:noProof/>
                <w:webHidden/>
              </w:rPr>
              <w:fldChar w:fldCharType="end"/>
            </w:r>
          </w:hyperlink>
        </w:p>
        <w:p w14:paraId="248DB750" w14:textId="5FE1F8B1" w:rsidR="009637C4" w:rsidRDefault="009637C4">
          <w:pPr>
            <w:pStyle w:val="TOC3"/>
            <w:tabs>
              <w:tab w:val="right" w:leader="dot" w:pos="9016"/>
            </w:tabs>
            <w:rPr>
              <w:rFonts w:asciiTheme="minorHAnsi" w:eastAsiaTheme="minorEastAsia" w:hAnsiTheme="minorHAnsi" w:cstheme="minorBidi"/>
              <w:noProof/>
              <w:lang w:eastAsia="en-AU"/>
            </w:rPr>
          </w:pPr>
          <w:hyperlink w:anchor="_Toc204751333" w:history="1">
            <w:r w:rsidRPr="00363626">
              <w:rPr>
                <w:rStyle w:val="Hyperlink"/>
                <w:noProof/>
              </w:rPr>
              <w:t>SPF</w:t>
            </w:r>
            <w:r w:rsidRPr="00363626">
              <w:rPr>
                <w:rStyle w:val="Hyperlink"/>
                <w:noProof/>
                <w:spacing w:val="-2"/>
              </w:rPr>
              <w:t xml:space="preserve"> </w:t>
            </w:r>
            <w:r w:rsidRPr="00363626">
              <w:rPr>
                <w:rStyle w:val="Hyperlink"/>
                <w:noProof/>
              </w:rPr>
              <w:t>test</w:t>
            </w:r>
            <w:r w:rsidRPr="00363626">
              <w:rPr>
                <w:rStyle w:val="Hyperlink"/>
                <w:noProof/>
                <w:spacing w:val="-2"/>
              </w:rPr>
              <w:t xml:space="preserve"> </w:t>
            </w:r>
            <w:r w:rsidRPr="00363626">
              <w:rPr>
                <w:rStyle w:val="Hyperlink"/>
                <w:noProof/>
              </w:rPr>
              <w:t>results</w:t>
            </w:r>
            <w:r w:rsidRPr="00363626">
              <w:rPr>
                <w:rStyle w:val="Hyperlink"/>
                <w:noProof/>
                <w:spacing w:val="-2"/>
              </w:rPr>
              <w:t xml:space="preserve"> </w:t>
            </w:r>
            <w:r w:rsidRPr="00363626">
              <w:rPr>
                <w:rStyle w:val="Hyperlink"/>
                <w:noProof/>
              </w:rPr>
              <w:t>for</w:t>
            </w:r>
            <w:r w:rsidRPr="00363626">
              <w:rPr>
                <w:rStyle w:val="Hyperlink"/>
                <w:noProof/>
                <w:spacing w:val="-2"/>
              </w:rPr>
              <w:t xml:space="preserve"> </w:t>
            </w:r>
            <w:r w:rsidRPr="00363626">
              <w:rPr>
                <w:rStyle w:val="Hyperlink"/>
                <w:noProof/>
              </w:rPr>
              <w:t>listed</w:t>
            </w:r>
            <w:r w:rsidRPr="00363626">
              <w:rPr>
                <w:rStyle w:val="Hyperlink"/>
                <w:noProof/>
                <w:spacing w:val="-2"/>
              </w:rPr>
              <w:t xml:space="preserve"> </w:t>
            </w:r>
            <w:r w:rsidRPr="00363626">
              <w:rPr>
                <w:rStyle w:val="Hyperlink"/>
                <w:noProof/>
              </w:rPr>
              <w:t>therapeutic</w:t>
            </w:r>
            <w:r w:rsidRPr="00363626">
              <w:rPr>
                <w:rStyle w:val="Hyperlink"/>
                <w:noProof/>
                <w:spacing w:val="-3"/>
              </w:rPr>
              <w:t xml:space="preserve"> </w:t>
            </w:r>
            <w:r w:rsidRPr="00363626">
              <w:rPr>
                <w:rStyle w:val="Hyperlink"/>
                <w:noProof/>
              </w:rPr>
              <w:t>sunscreens</w:t>
            </w:r>
            <w:r>
              <w:rPr>
                <w:noProof/>
                <w:webHidden/>
              </w:rPr>
              <w:tab/>
            </w:r>
            <w:r>
              <w:rPr>
                <w:noProof/>
                <w:webHidden/>
              </w:rPr>
              <w:fldChar w:fldCharType="begin"/>
            </w:r>
            <w:r>
              <w:rPr>
                <w:noProof/>
                <w:webHidden/>
              </w:rPr>
              <w:instrText xml:space="preserve"> PAGEREF _Toc204751333 \h </w:instrText>
            </w:r>
            <w:r>
              <w:rPr>
                <w:noProof/>
                <w:webHidden/>
              </w:rPr>
            </w:r>
            <w:r>
              <w:rPr>
                <w:noProof/>
                <w:webHidden/>
              </w:rPr>
              <w:fldChar w:fldCharType="separate"/>
            </w:r>
            <w:r>
              <w:rPr>
                <w:noProof/>
                <w:webHidden/>
              </w:rPr>
              <w:t>30</w:t>
            </w:r>
            <w:r>
              <w:rPr>
                <w:noProof/>
                <w:webHidden/>
              </w:rPr>
              <w:fldChar w:fldCharType="end"/>
            </w:r>
          </w:hyperlink>
        </w:p>
        <w:p w14:paraId="6BBE3E58" w14:textId="7A5F527B" w:rsidR="009637C4" w:rsidRDefault="009637C4">
          <w:pPr>
            <w:pStyle w:val="TOC3"/>
            <w:tabs>
              <w:tab w:val="right" w:leader="dot" w:pos="9016"/>
            </w:tabs>
            <w:rPr>
              <w:rFonts w:asciiTheme="minorHAnsi" w:eastAsiaTheme="minorEastAsia" w:hAnsiTheme="minorHAnsi" w:cstheme="minorBidi"/>
              <w:noProof/>
              <w:lang w:eastAsia="en-AU"/>
            </w:rPr>
          </w:pPr>
          <w:hyperlink w:anchor="_Toc204751334" w:history="1">
            <w:r w:rsidRPr="00363626">
              <w:rPr>
                <w:rStyle w:val="Hyperlink"/>
                <w:noProof/>
              </w:rPr>
              <w:t>Stability testing of listed therapeutic sunscreens</w:t>
            </w:r>
            <w:r>
              <w:rPr>
                <w:noProof/>
                <w:webHidden/>
              </w:rPr>
              <w:tab/>
            </w:r>
            <w:r>
              <w:rPr>
                <w:noProof/>
                <w:webHidden/>
              </w:rPr>
              <w:fldChar w:fldCharType="begin"/>
            </w:r>
            <w:r>
              <w:rPr>
                <w:noProof/>
                <w:webHidden/>
              </w:rPr>
              <w:instrText xml:space="preserve"> PAGEREF _Toc204751334 \h </w:instrText>
            </w:r>
            <w:r>
              <w:rPr>
                <w:noProof/>
                <w:webHidden/>
              </w:rPr>
            </w:r>
            <w:r>
              <w:rPr>
                <w:noProof/>
                <w:webHidden/>
              </w:rPr>
              <w:fldChar w:fldCharType="separate"/>
            </w:r>
            <w:r>
              <w:rPr>
                <w:noProof/>
                <w:webHidden/>
              </w:rPr>
              <w:t>31</w:t>
            </w:r>
            <w:r>
              <w:rPr>
                <w:noProof/>
                <w:webHidden/>
              </w:rPr>
              <w:fldChar w:fldCharType="end"/>
            </w:r>
          </w:hyperlink>
        </w:p>
        <w:p w14:paraId="7C6A9E57" w14:textId="41E7B2DE" w:rsidR="009637C4" w:rsidRDefault="009637C4">
          <w:pPr>
            <w:pStyle w:val="TOC1"/>
            <w:tabs>
              <w:tab w:val="right" w:leader="dot" w:pos="9016"/>
            </w:tabs>
            <w:rPr>
              <w:rFonts w:asciiTheme="minorHAnsi" w:eastAsiaTheme="minorEastAsia" w:hAnsiTheme="minorHAnsi" w:cstheme="minorBidi"/>
              <w:b w:val="0"/>
              <w:bCs w:val="0"/>
              <w:lang w:eastAsia="en-AU"/>
            </w:rPr>
          </w:pPr>
          <w:hyperlink w:anchor="_Toc204751335" w:history="1">
            <w:r w:rsidRPr="00363626">
              <w:rPr>
                <w:rStyle w:val="Hyperlink"/>
              </w:rPr>
              <w:t>Changing the ARTG entry of listed therapeutic sunscreens</w:t>
            </w:r>
            <w:r>
              <w:rPr>
                <w:webHidden/>
              </w:rPr>
              <w:tab/>
            </w:r>
            <w:r>
              <w:rPr>
                <w:webHidden/>
              </w:rPr>
              <w:fldChar w:fldCharType="begin"/>
            </w:r>
            <w:r>
              <w:rPr>
                <w:webHidden/>
              </w:rPr>
              <w:instrText xml:space="preserve"> PAGEREF _Toc204751335 \h </w:instrText>
            </w:r>
            <w:r>
              <w:rPr>
                <w:webHidden/>
              </w:rPr>
            </w:r>
            <w:r>
              <w:rPr>
                <w:webHidden/>
              </w:rPr>
              <w:fldChar w:fldCharType="separate"/>
            </w:r>
            <w:r>
              <w:rPr>
                <w:webHidden/>
              </w:rPr>
              <w:t>34</w:t>
            </w:r>
            <w:r>
              <w:rPr>
                <w:webHidden/>
              </w:rPr>
              <w:fldChar w:fldCharType="end"/>
            </w:r>
          </w:hyperlink>
        </w:p>
        <w:p w14:paraId="214970DC" w14:textId="6EDFD29F" w:rsidR="009637C4" w:rsidRDefault="009637C4">
          <w:pPr>
            <w:pStyle w:val="TOC2"/>
            <w:tabs>
              <w:tab w:val="right" w:leader="dot" w:pos="9016"/>
            </w:tabs>
            <w:rPr>
              <w:rFonts w:asciiTheme="minorHAnsi" w:eastAsiaTheme="minorEastAsia" w:hAnsiTheme="minorHAnsi" w:cstheme="minorBidi"/>
              <w:noProof/>
              <w:lang w:eastAsia="en-AU"/>
            </w:rPr>
          </w:pPr>
          <w:hyperlink w:anchor="_Toc204751336" w:history="1">
            <w:r w:rsidRPr="00363626">
              <w:rPr>
                <w:rStyle w:val="Hyperlink"/>
                <w:noProof/>
              </w:rPr>
              <w:t>Changes</w:t>
            </w:r>
            <w:r w:rsidRPr="00363626">
              <w:rPr>
                <w:rStyle w:val="Hyperlink"/>
                <w:noProof/>
                <w:spacing w:val="-3"/>
              </w:rPr>
              <w:t xml:space="preserve"> </w:t>
            </w:r>
            <w:r w:rsidRPr="00363626">
              <w:rPr>
                <w:rStyle w:val="Hyperlink"/>
                <w:noProof/>
              </w:rPr>
              <w:t>to</w:t>
            </w:r>
            <w:r w:rsidRPr="00363626">
              <w:rPr>
                <w:rStyle w:val="Hyperlink"/>
                <w:noProof/>
                <w:spacing w:val="-3"/>
              </w:rPr>
              <w:t xml:space="preserve"> </w:t>
            </w:r>
            <w:r w:rsidRPr="00363626">
              <w:rPr>
                <w:rStyle w:val="Hyperlink"/>
                <w:noProof/>
              </w:rPr>
              <w:t>active</w:t>
            </w:r>
            <w:r w:rsidRPr="00363626">
              <w:rPr>
                <w:rStyle w:val="Hyperlink"/>
                <w:noProof/>
                <w:spacing w:val="-3"/>
              </w:rPr>
              <w:t xml:space="preserve"> </w:t>
            </w:r>
            <w:r w:rsidRPr="00363626">
              <w:rPr>
                <w:rStyle w:val="Hyperlink"/>
                <w:noProof/>
              </w:rPr>
              <w:t>ingredients</w:t>
            </w:r>
            <w:r w:rsidRPr="00363626">
              <w:rPr>
                <w:rStyle w:val="Hyperlink"/>
                <w:noProof/>
                <w:spacing w:val="-3"/>
              </w:rPr>
              <w:t xml:space="preserve"> </w:t>
            </w:r>
            <w:r w:rsidRPr="00363626">
              <w:rPr>
                <w:rStyle w:val="Hyperlink"/>
                <w:noProof/>
              </w:rPr>
              <w:t>in</w:t>
            </w:r>
            <w:r w:rsidRPr="00363626">
              <w:rPr>
                <w:rStyle w:val="Hyperlink"/>
                <w:noProof/>
                <w:spacing w:val="-2"/>
              </w:rPr>
              <w:t xml:space="preserve"> </w:t>
            </w:r>
            <w:r w:rsidRPr="00363626">
              <w:rPr>
                <w:rStyle w:val="Hyperlink"/>
                <w:noProof/>
              </w:rPr>
              <w:t>listed therapeutic</w:t>
            </w:r>
            <w:r w:rsidRPr="00363626">
              <w:rPr>
                <w:rStyle w:val="Hyperlink"/>
                <w:noProof/>
                <w:spacing w:val="-3"/>
              </w:rPr>
              <w:t xml:space="preserve"> </w:t>
            </w:r>
            <w:r w:rsidRPr="00363626">
              <w:rPr>
                <w:rStyle w:val="Hyperlink"/>
                <w:noProof/>
              </w:rPr>
              <w:t>sunscreens</w:t>
            </w:r>
            <w:r>
              <w:rPr>
                <w:noProof/>
                <w:webHidden/>
              </w:rPr>
              <w:tab/>
            </w:r>
            <w:r>
              <w:rPr>
                <w:noProof/>
                <w:webHidden/>
              </w:rPr>
              <w:fldChar w:fldCharType="begin"/>
            </w:r>
            <w:r>
              <w:rPr>
                <w:noProof/>
                <w:webHidden/>
              </w:rPr>
              <w:instrText xml:space="preserve"> PAGEREF _Toc204751336 \h </w:instrText>
            </w:r>
            <w:r>
              <w:rPr>
                <w:noProof/>
                <w:webHidden/>
              </w:rPr>
            </w:r>
            <w:r>
              <w:rPr>
                <w:noProof/>
                <w:webHidden/>
              </w:rPr>
              <w:fldChar w:fldCharType="separate"/>
            </w:r>
            <w:r>
              <w:rPr>
                <w:noProof/>
                <w:webHidden/>
              </w:rPr>
              <w:t>35</w:t>
            </w:r>
            <w:r>
              <w:rPr>
                <w:noProof/>
                <w:webHidden/>
              </w:rPr>
              <w:fldChar w:fldCharType="end"/>
            </w:r>
          </w:hyperlink>
        </w:p>
        <w:p w14:paraId="197B6823" w14:textId="685FA1D6" w:rsidR="009637C4" w:rsidRDefault="009637C4">
          <w:pPr>
            <w:pStyle w:val="TOC2"/>
            <w:tabs>
              <w:tab w:val="right" w:leader="dot" w:pos="9016"/>
            </w:tabs>
            <w:rPr>
              <w:rFonts w:asciiTheme="minorHAnsi" w:eastAsiaTheme="minorEastAsia" w:hAnsiTheme="minorHAnsi" w:cstheme="minorBidi"/>
              <w:noProof/>
              <w:lang w:eastAsia="en-AU"/>
            </w:rPr>
          </w:pPr>
          <w:hyperlink w:anchor="_Toc204751337" w:history="1">
            <w:r w:rsidRPr="00363626">
              <w:rPr>
                <w:rStyle w:val="Hyperlink"/>
                <w:noProof/>
              </w:rPr>
              <w:t>Changes</w:t>
            </w:r>
            <w:r w:rsidRPr="00363626">
              <w:rPr>
                <w:rStyle w:val="Hyperlink"/>
                <w:noProof/>
                <w:spacing w:val="-3"/>
              </w:rPr>
              <w:t xml:space="preserve"> </w:t>
            </w:r>
            <w:r w:rsidRPr="00363626">
              <w:rPr>
                <w:rStyle w:val="Hyperlink"/>
                <w:noProof/>
              </w:rPr>
              <w:t>to</w:t>
            </w:r>
            <w:r w:rsidRPr="00363626">
              <w:rPr>
                <w:rStyle w:val="Hyperlink"/>
                <w:noProof/>
                <w:spacing w:val="-3"/>
              </w:rPr>
              <w:t xml:space="preserve"> </w:t>
            </w:r>
            <w:r w:rsidRPr="00363626">
              <w:rPr>
                <w:rStyle w:val="Hyperlink"/>
                <w:noProof/>
              </w:rPr>
              <w:t>excipient</w:t>
            </w:r>
            <w:r w:rsidRPr="00363626">
              <w:rPr>
                <w:rStyle w:val="Hyperlink"/>
                <w:noProof/>
                <w:spacing w:val="-3"/>
              </w:rPr>
              <w:t xml:space="preserve"> </w:t>
            </w:r>
            <w:r w:rsidRPr="00363626">
              <w:rPr>
                <w:rStyle w:val="Hyperlink"/>
                <w:noProof/>
              </w:rPr>
              <w:t>ingredients</w:t>
            </w:r>
            <w:r w:rsidRPr="00363626">
              <w:rPr>
                <w:rStyle w:val="Hyperlink"/>
                <w:noProof/>
                <w:spacing w:val="-3"/>
              </w:rPr>
              <w:t xml:space="preserve"> </w:t>
            </w:r>
            <w:r w:rsidRPr="00363626">
              <w:rPr>
                <w:rStyle w:val="Hyperlink"/>
                <w:noProof/>
              </w:rPr>
              <w:t>in</w:t>
            </w:r>
            <w:r w:rsidRPr="00363626">
              <w:rPr>
                <w:rStyle w:val="Hyperlink"/>
                <w:noProof/>
                <w:spacing w:val="-3"/>
              </w:rPr>
              <w:t xml:space="preserve"> </w:t>
            </w:r>
            <w:r w:rsidRPr="00363626">
              <w:rPr>
                <w:rStyle w:val="Hyperlink"/>
                <w:noProof/>
              </w:rPr>
              <w:t>listed</w:t>
            </w:r>
            <w:r w:rsidRPr="00363626">
              <w:rPr>
                <w:rStyle w:val="Hyperlink"/>
                <w:noProof/>
                <w:spacing w:val="-3"/>
              </w:rPr>
              <w:t xml:space="preserve"> </w:t>
            </w:r>
            <w:r w:rsidRPr="00363626">
              <w:rPr>
                <w:rStyle w:val="Hyperlink"/>
                <w:noProof/>
              </w:rPr>
              <w:t>therapeutic</w:t>
            </w:r>
            <w:r w:rsidRPr="00363626">
              <w:rPr>
                <w:rStyle w:val="Hyperlink"/>
                <w:noProof/>
                <w:spacing w:val="-3"/>
              </w:rPr>
              <w:t xml:space="preserve"> </w:t>
            </w:r>
            <w:r w:rsidRPr="00363626">
              <w:rPr>
                <w:rStyle w:val="Hyperlink"/>
                <w:noProof/>
              </w:rPr>
              <w:t>sunscreens</w:t>
            </w:r>
            <w:r>
              <w:rPr>
                <w:noProof/>
                <w:webHidden/>
              </w:rPr>
              <w:tab/>
            </w:r>
            <w:r>
              <w:rPr>
                <w:noProof/>
                <w:webHidden/>
              </w:rPr>
              <w:fldChar w:fldCharType="begin"/>
            </w:r>
            <w:r>
              <w:rPr>
                <w:noProof/>
                <w:webHidden/>
              </w:rPr>
              <w:instrText xml:space="preserve"> PAGEREF _Toc204751337 \h </w:instrText>
            </w:r>
            <w:r>
              <w:rPr>
                <w:noProof/>
                <w:webHidden/>
              </w:rPr>
            </w:r>
            <w:r>
              <w:rPr>
                <w:noProof/>
                <w:webHidden/>
              </w:rPr>
              <w:fldChar w:fldCharType="separate"/>
            </w:r>
            <w:r>
              <w:rPr>
                <w:noProof/>
                <w:webHidden/>
              </w:rPr>
              <w:t>35</w:t>
            </w:r>
            <w:r>
              <w:rPr>
                <w:noProof/>
                <w:webHidden/>
              </w:rPr>
              <w:fldChar w:fldCharType="end"/>
            </w:r>
          </w:hyperlink>
        </w:p>
        <w:p w14:paraId="2E56D3BE" w14:textId="56D20E0B" w:rsidR="009637C4" w:rsidRDefault="009637C4">
          <w:pPr>
            <w:pStyle w:val="TOC2"/>
            <w:tabs>
              <w:tab w:val="right" w:leader="dot" w:pos="9016"/>
            </w:tabs>
            <w:rPr>
              <w:rFonts w:asciiTheme="minorHAnsi" w:eastAsiaTheme="minorEastAsia" w:hAnsiTheme="minorHAnsi" w:cstheme="minorBidi"/>
              <w:noProof/>
              <w:lang w:eastAsia="en-AU"/>
            </w:rPr>
          </w:pPr>
          <w:hyperlink w:anchor="_Toc204751338" w:history="1">
            <w:r w:rsidRPr="00363626">
              <w:rPr>
                <w:rStyle w:val="Hyperlink"/>
                <w:noProof/>
              </w:rPr>
              <w:t>Other</w:t>
            </w:r>
            <w:r w:rsidRPr="00363626">
              <w:rPr>
                <w:rStyle w:val="Hyperlink"/>
                <w:noProof/>
                <w:spacing w:val="-3"/>
              </w:rPr>
              <w:t xml:space="preserve"> </w:t>
            </w:r>
            <w:r w:rsidRPr="00363626">
              <w:rPr>
                <w:rStyle w:val="Hyperlink"/>
                <w:noProof/>
              </w:rPr>
              <w:t>changes</w:t>
            </w:r>
            <w:r w:rsidRPr="00363626">
              <w:rPr>
                <w:rStyle w:val="Hyperlink"/>
                <w:noProof/>
                <w:spacing w:val="-2"/>
              </w:rPr>
              <w:t xml:space="preserve"> </w:t>
            </w:r>
            <w:r w:rsidRPr="00363626">
              <w:rPr>
                <w:rStyle w:val="Hyperlink"/>
                <w:noProof/>
              </w:rPr>
              <w:t>to</w:t>
            </w:r>
            <w:r w:rsidRPr="00363626">
              <w:rPr>
                <w:rStyle w:val="Hyperlink"/>
                <w:noProof/>
                <w:spacing w:val="-3"/>
              </w:rPr>
              <w:t xml:space="preserve"> </w:t>
            </w:r>
            <w:r w:rsidRPr="00363626">
              <w:rPr>
                <w:rStyle w:val="Hyperlink"/>
                <w:noProof/>
              </w:rPr>
              <w:t>listed</w:t>
            </w:r>
            <w:r w:rsidRPr="00363626">
              <w:rPr>
                <w:rStyle w:val="Hyperlink"/>
                <w:noProof/>
                <w:spacing w:val="-2"/>
              </w:rPr>
              <w:t xml:space="preserve"> </w:t>
            </w:r>
            <w:r w:rsidRPr="00363626">
              <w:rPr>
                <w:rStyle w:val="Hyperlink"/>
                <w:noProof/>
              </w:rPr>
              <w:t>therapeutic</w:t>
            </w:r>
            <w:r w:rsidRPr="00363626">
              <w:rPr>
                <w:rStyle w:val="Hyperlink"/>
                <w:noProof/>
                <w:spacing w:val="-3"/>
              </w:rPr>
              <w:t xml:space="preserve"> </w:t>
            </w:r>
            <w:r w:rsidRPr="00363626">
              <w:rPr>
                <w:rStyle w:val="Hyperlink"/>
                <w:noProof/>
              </w:rPr>
              <w:t>sunscreens</w:t>
            </w:r>
            <w:r>
              <w:rPr>
                <w:noProof/>
                <w:webHidden/>
              </w:rPr>
              <w:tab/>
            </w:r>
            <w:r>
              <w:rPr>
                <w:noProof/>
                <w:webHidden/>
              </w:rPr>
              <w:fldChar w:fldCharType="begin"/>
            </w:r>
            <w:r>
              <w:rPr>
                <w:noProof/>
                <w:webHidden/>
              </w:rPr>
              <w:instrText xml:space="preserve"> PAGEREF _Toc204751338 \h </w:instrText>
            </w:r>
            <w:r>
              <w:rPr>
                <w:noProof/>
                <w:webHidden/>
              </w:rPr>
            </w:r>
            <w:r>
              <w:rPr>
                <w:noProof/>
                <w:webHidden/>
              </w:rPr>
              <w:fldChar w:fldCharType="separate"/>
            </w:r>
            <w:r>
              <w:rPr>
                <w:noProof/>
                <w:webHidden/>
              </w:rPr>
              <w:t>36</w:t>
            </w:r>
            <w:r>
              <w:rPr>
                <w:noProof/>
                <w:webHidden/>
              </w:rPr>
              <w:fldChar w:fldCharType="end"/>
            </w:r>
          </w:hyperlink>
        </w:p>
        <w:p w14:paraId="5405EF5F" w14:textId="47B92279" w:rsidR="009637C4" w:rsidRDefault="009637C4">
          <w:pPr>
            <w:pStyle w:val="TOC1"/>
            <w:tabs>
              <w:tab w:val="right" w:leader="dot" w:pos="9016"/>
            </w:tabs>
            <w:rPr>
              <w:rFonts w:asciiTheme="minorHAnsi" w:eastAsiaTheme="minorEastAsia" w:hAnsiTheme="minorHAnsi" w:cstheme="minorBidi"/>
              <w:b w:val="0"/>
              <w:bCs w:val="0"/>
              <w:lang w:eastAsia="en-AU"/>
            </w:rPr>
          </w:pPr>
          <w:hyperlink w:anchor="_Toc204751339" w:history="1">
            <w:r w:rsidRPr="00363626">
              <w:rPr>
                <w:rStyle w:val="Hyperlink"/>
              </w:rPr>
              <w:t>Appendix 1: Indications permitted for use in listed therapeutic sunscreens</w:t>
            </w:r>
            <w:r>
              <w:rPr>
                <w:webHidden/>
              </w:rPr>
              <w:tab/>
            </w:r>
            <w:r>
              <w:rPr>
                <w:webHidden/>
              </w:rPr>
              <w:fldChar w:fldCharType="begin"/>
            </w:r>
            <w:r>
              <w:rPr>
                <w:webHidden/>
              </w:rPr>
              <w:instrText xml:space="preserve"> PAGEREF _Toc204751339 \h </w:instrText>
            </w:r>
            <w:r>
              <w:rPr>
                <w:webHidden/>
              </w:rPr>
            </w:r>
            <w:r>
              <w:rPr>
                <w:webHidden/>
              </w:rPr>
              <w:fldChar w:fldCharType="separate"/>
            </w:r>
            <w:r>
              <w:rPr>
                <w:webHidden/>
              </w:rPr>
              <w:t>37</w:t>
            </w:r>
            <w:r>
              <w:rPr>
                <w:webHidden/>
              </w:rPr>
              <w:fldChar w:fldCharType="end"/>
            </w:r>
          </w:hyperlink>
        </w:p>
        <w:p w14:paraId="02BCF711" w14:textId="6D4F0BD2" w:rsidR="009637C4" w:rsidRDefault="009637C4">
          <w:pPr>
            <w:pStyle w:val="TOC1"/>
            <w:tabs>
              <w:tab w:val="right" w:leader="dot" w:pos="9016"/>
            </w:tabs>
            <w:rPr>
              <w:rFonts w:asciiTheme="minorHAnsi" w:eastAsiaTheme="minorEastAsia" w:hAnsiTheme="minorHAnsi" w:cstheme="minorBidi"/>
              <w:b w:val="0"/>
              <w:bCs w:val="0"/>
              <w:lang w:eastAsia="en-AU"/>
            </w:rPr>
          </w:pPr>
          <w:hyperlink w:anchor="_Toc204751340" w:history="1">
            <w:r w:rsidRPr="00363626">
              <w:rPr>
                <w:rStyle w:val="Hyperlink"/>
              </w:rPr>
              <w:t>Appendix 2: How risk assessments are conducted for ingredients that are systemically absorbed</w:t>
            </w:r>
            <w:r>
              <w:rPr>
                <w:webHidden/>
              </w:rPr>
              <w:tab/>
            </w:r>
            <w:r>
              <w:rPr>
                <w:webHidden/>
              </w:rPr>
              <w:fldChar w:fldCharType="begin"/>
            </w:r>
            <w:r>
              <w:rPr>
                <w:webHidden/>
              </w:rPr>
              <w:instrText xml:space="preserve"> PAGEREF _Toc204751340 \h </w:instrText>
            </w:r>
            <w:r>
              <w:rPr>
                <w:webHidden/>
              </w:rPr>
            </w:r>
            <w:r>
              <w:rPr>
                <w:webHidden/>
              </w:rPr>
              <w:fldChar w:fldCharType="separate"/>
            </w:r>
            <w:r>
              <w:rPr>
                <w:webHidden/>
              </w:rPr>
              <w:t>39</w:t>
            </w:r>
            <w:r>
              <w:rPr>
                <w:webHidden/>
              </w:rPr>
              <w:fldChar w:fldCharType="end"/>
            </w:r>
          </w:hyperlink>
        </w:p>
        <w:p w14:paraId="265EFBB4" w14:textId="72FEBFDE" w:rsidR="009637C4" w:rsidRDefault="009637C4">
          <w:pPr>
            <w:pStyle w:val="TOC3"/>
            <w:tabs>
              <w:tab w:val="right" w:leader="dot" w:pos="9016"/>
            </w:tabs>
            <w:rPr>
              <w:rFonts w:asciiTheme="minorHAnsi" w:eastAsiaTheme="minorEastAsia" w:hAnsiTheme="minorHAnsi" w:cstheme="minorBidi"/>
              <w:noProof/>
              <w:lang w:eastAsia="en-AU"/>
            </w:rPr>
          </w:pPr>
          <w:hyperlink w:anchor="_Toc204751341" w:history="1">
            <w:r w:rsidRPr="00363626">
              <w:rPr>
                <w:rStyle w:val="Hyperlink"/>
                <w:noProof/>
              </w:rPr>
              <w:t>Margin of Safety (MoS)</w:t>
            </w:r>
            <w:r>
              <w:rPr>
                <w:noProof/>
                <w:webHidden/>
              </w:rPr>
              <w:tab/>
            </w:r>
            <w:r>
              <w:rPr>
                <w:noProof/>
                <w:webHidden/>
              </w:rPr>
              <w:fldChar w:fldCharType="begin"/>
            </w:r>
            <w:r>
              <w:rPr>
                <w:noProof/>
                <w:webHidden/>
              </w:rPr>
              <w:instrText xml:space="preserve"> PAGEREF _Toc204751341 \h </w:instrText>
            </w:r>
            <w:r>
              <w:rPr>
                <w:noProof/>
                <w:webHidden/>
              </w:rPr>
            </w:r>
            <w:r>
              <w:rPr>
                <w:noProof/>
                <w:webHidden/>
              </w:rPr>
              <w:fldChar w:fldCharType="separate"/>
            </w:r>
            <w:r>
              <w:rPr>
                <w:noProof/>
                <w:webHidden/>
              </w:rPr>
              <w:t>39</w:t>
            </w:r>
            <w:r>
              <w:rPr>
                <w:noProof/>
                <w:webHidden/>
              </w:rPr>
              <w:fldChar w:fldCharType="end"/>
            </w:r>
          </w:hyperlink>
        </w:p>
        <w:p w14:paraId="24EAE889" w14:textId="32F677BD" w:rsidR="009637C4" w:rsidRDefault="009637C4">
          <w:pPr>
            <w:pStyle w:val="TOC3"/>
            <w:tabs>
              <w:tab w:val="right" w:leader="dot" w:pos="9016"/>
            </w:tabs>
            <w:rPr>
              <w:rFonts w:asciiTheme="minorHAnsi" w:eastAsiaTheme="minorEastAsia" w:hAnsiTheme="minorHAnsi" w:cstheme="minorBidi"/>
              <w:noProof/>
              <w:lang w:eastAsia="en-AU"/>
            </w:rPr>
          </w:pPr>
          <w:hyperlink w:anchor="_Toc204751342" w:history="1">
            <w:r w:rsidRPr="00363626">
              <w:rPr>
                <w:rStyle w:val="Hyperlink"/>
                <w:noProof/>
              </w:rPr>
              <w:t>Systemic Exposure Dose</w:t>
            </w:r>
            <w:r>
              <w:rPr>
                <w:noProof/>
                <w:webHidden/>
              </w:rPr>
              <w:tab/>
            </w:r>
            <w:r>
              <w:rPr>
                <w:noProof/>
                <w:webHidden/>
              </w:rPr>
              <w:fldChar w:fldCharType="begin"/>
            </w:r>
            <w:r>
              <w:rPr>
                <w:noProof/>
                <w:webHidden/>
              </w:rPr>
              <w:instrText xml:space="preserve"> PAGEREF _Toc204751342 \h </w:instrText>
            </w:r>
            <w:r>
              <w:rPr>
                <w:noProof/>
                <w:webHidden/>
              </w:rPr>
            </w:r>
            <w:r>
              <w:rPr>
                <w:noProof/>
                <w:webHidden/>
              </w:rPr>
              <w:fldChar w:fldCharType="separate"/>
            </w:r>
            <w:r>
              <w:rPr>
                <w:noProof/>
                <w:webHidden/>
              </w:rPr>
              <w:t>40</w:t>
            </w:r>
            <w:r>
              <w:rPr>
                <w:noProof/>
                <w:webHidden/>
              </w:rPr>
              <w:fldChar w:fldCharType="end"/>
            </w:r>
          </w:hyperlink>
        </w:p>
        <w:p w14:paraId="62E78677" w14:textId="57ED0BD1" w:rsidR="009637C4" w:rsidRDefault="009637C4">
          <w:pPr>
            <w:pStyle w:val="TOC3"/>
            <w:tabs>
              <w:tab w:val="right" w:leader="dot" w:pos="9016"/>
            </w:tabs>
            <w:rPr>
              <w:rFonts w:asciiTheme="minorHAnsi" w:eastAsiaTheme="minorEastAsia" w:hAnsiTheme="minorHAnsi" w:cstheme="minorBidi"/>
              <w:noProof/>
              <w:lang w:eastAsia="en-AU"/>
            </w:rPr>
          </w:pPr>
          <w:hyperlink w:anchor="_Toc204751343" w:history="1">
            <w:r w:rsidRPr="00363626">
              <w:rPr>
                <w:rStyle w:val="Hyperlink"/>
                <w:noProof/>
              </w:rPr>
              <w:t>How the ASEM was used to calculate sunscreen exposure</w:t>
            </w:r>
            <w:r>
              <w:rPr>
                <w:noProof/>
                <w:webHidden/>
              </w:rPr>
              <w:tab/>
            </w:r>
            <w:r>
              <w:rPr>
                <w:noProof/>
                <w:webHidden/>
              </w:rPr>
              <w:fldChar w:fldCharType="begin"/>
            </w:r>
            <w:r>
              <w:rPr>
                <w:noProof/>
                <w:webHidden/>
              </w:rPr>
              <w:instrText xml:space="preserve"> PAGEREF _Toc204751343 \h </w:instrText>
            </w:r>
            <w:r>
              <w:rPr>
                <w:noProof/>
                <w:webHidden/>
              </w:rPr>
            </w:r>
            <w:r>
              <w:rPr>
                <w:noProof/>
                <w:webHidden/>
              </w:rPr>
              <w:fldChar w:fldCharType="separate"/>
            </w:r>
            <w:r>
              <w:rPr>
                <w:noProof/>
                <w:webHidden/>
              </w:rPr>
              <w:t>41</w:t>
            </w:r>
            <w:r>
              <w:rPr>
                <w:noProof/>
                <w:webHidden/>
              </w:rPr>
              <w:fldChar w:fldCharType="end"/>
            </w:r>
          </w:hyperlink>
        </w:p>
        <w:p w14:paraId="671E73FF" w14:textId="4AD9B016" w:rsidR="009637C4" w:rsidRDefault="009637C4">
          <w:pPr>
            <w:pStyle w:val="TOC1"/>
            <w:tabs>
              <w:tab w:val="right" w:leader="dot" w:pos="9016"/>
            </w:tabs>
            <w:rPr>
              <w:rFonts w:asciiTheme="minorHAnsi" w:eastAsiaTheme="minorEastAsia" w:hAnsiTheme="minorHAnsi" w:cstheme="minorBidi"/>
              <w:b w:val="0"/>
              <w:bCs w:val="0"/>
              <w:lang w:eastAsia="en-AU"/>
            </w:rPr>
          </w:pPr>
          <w:hyperlink w:anchor="_Toc204751344" w:history="1">
            <w:r w:rsidRPr="00363626">
              <w:rPr>
                <w:rStyle w:val="Hyperlink"/>
              </w:rPr>
              <w:t>Appendix 3: Active ingredients restricted to use in therapeutic sunscreens</w:t>
            </w:r>
            <w:r>
              <w:rPr>
                <w:webHidden/>
              </w:rPr>
              <w:tab/>
            </w:r>
            <w:r>
              <w:rPr>
                <w:webHidden/>
              </w:rPr>
              <w:fldChar w:fldCharType="begin"/>
            </w:r>
            <w:r>
              <w:rPr>
                <w:webHidden/>
              </w:rPr>
              <w:instrText xml:space="preserve"> PAGEREF _Toc204751344 \h </w:instrText>
            </w:r>
            <w:r>
              <w:rPr>
                <w:webHidden/>
              </w:rPr>
            </w:r>
            <w:r>
              <w:rPr>
                <w:webHidden/>
              </w:rPr>
              <w:fldChar w:fldCharType="separate"/>
            </w:r>
            <w:r>
              <w:rPr>
                <w:webHidden/>
              </w:rPr>
              <w:t>43</w:t>
            </w:r>
            <w:r>
              <w:rPr>
                <w:webHidden/>
              </w:rPr>
              <w:fldChar w:fldCharType="end"/>
            </w:r>
          </w:hyperlink>
        </w:p>
        <w:p w14:paraId="1654E5A4" w14:textId="21EA77F9" w:rsidR="009637C4" w:rsidRDefault="009637C4">
          <w:pPr>
            <w:pStyle w:val="TOC2"/>
            <w:tabs>
              <w:tab w:val="right" w:leader="dot" w:pos="9016"/>
            </w:tabs>
            <w:rPr>
              <w:rFonts w:asciiTheme="minorHAnsi" w:eastAsiaTheme="minorEastAsia" w:hAnsiTheme="minorHAnsi" w:cstheme="minorBidi"/>
              <w:noProof/>
              <w:lang w:eastAsia="en-AU"/>
            </w:rPr>
          </w:pPr>
          <w:hyperlink w:anchor="_Toc204751345" w:history="1">
            <w:r w:rsidRPr="00363626">
              <w:rPr>
                <w:rStyle w:val="Hyperlink"/>
                <w:noProof/>
              </w:rPr>
              <w:t>A. Searching the TGA ingredient database</w:t>
            </w:r>
            <w:r>
              <w:rPr>
                <w:noProof/>
                <w:webHidden/>
              </w:rPr>
              <w:tab/>
            </w:r>
            <w:r>
              <w:rPr>
                <w:noProof/>
                <w:webHidden/>
              </w:rPr>
              <w:fldChar w:fldCharType="begin"/>
            </w:r>
            <w:r>
              <w:rPr>
                <w:noProof/>
                <w:webHidden/>
              </w:rPr>
              <w:instrText xml:space="preserve"> PAGEREF _Toc204751345 \h </w:instrText>
            </w:r>
            <w:r>
              <w:rPr>
                <w:noProof/>
                <w:webHidden/>
              </w:rPr>
            </w:r>
            <w:r>
              <w:rPr>
                <w:noProof/>
                <w:webHidden/>
              </w:rPr>
              <w:fldChar w:fldCharType="separate"/>
            </w:r>
            <w:r>
              <w:rPr>
                <w:noProof/>
                <w:webHidden/>
              </w:rPr>
              <w:t>43</w:t>
            </w:r>
            <w:r>
              <w:rPr>
                <w:noProof/>
                <w:webHidden/>
              </w:rPr>
              <w:fldChar w:fldCharType="end"/>
            </w:r>
          </w:hyperlink>
        </w:p>
        <w:p w14:paraId="51FA7C8C" w14:textId="7226CA4A" w:rsidR="009637C4" w:rsidRDefault="009637C4">
          <w:pPr>
            <w:pStyle w:val="TOC2"/>
            <w:tabs>
              <w:tab w:val="right" w:leader="dot" w:pos="9016"/>
            </w:tabs>
            <w:rPr>
              <w:rFonts w:asciiTheme="minorHAnsi" w:eastAsiaTheme="minorEastAsia" w:hAnsiTheme="minorHAnsi" w:cstheme="minorBidi"/>
              <w:noProof/>
              <w:lang w:eastAsia="en-AU"/>
            </w:rPr>
          </w:pPr>
          <w:hyperlink w:anchor="_Toc204751346" w:history="1">
            <w:r w:rsidRPr="00363626">
              <w:rPr>
                <w:rStyle w:val="Hyperlink"/>
                <w:noProof/>
              </w:rPr>
              <w:t>B. Active ingredients currently restricted for use in therapeutic sunscreens</w:t>
            </w:r>
            <w:r>
              <w:rPr>
                <w:noProof/>
                <w:webHidden/>
              </w:rPr>
              <w:tab/>
            </w:r>
            <w:r>
              <w:rPr>
                <w:noProof/>
                <w:webHidden/>
              </w:rPr>
              <w:fldChar w:fldCharType="begin"/>
            </w:r>
            <w:r>
              <w:rPr>
                <w:noProof/>
                <w:webHidden/>
              </w:rPr>
              <w:instrText xml:space="preserve"> PAGEREF _Toc204751346 \h </w:instrText>
            </w:r>
            <w:r>
              <w:rPr>
                <w:noProof/>
                <w:webHidden/>
              </w:rPr>
            </w:r>
            <w:r>
              <w:rPr>
                <w:noProof/>
                <w:webHidden/>
              </w:rPr>
              <w:fldChar w:fldCharType="separate"/>
            </w:r>
            <w:r>
              <w:rPr>
                <w:noProof/>
                <w:webHidden/>
              </w:rPr>
              <w:t>44</w:t>
            </w:r>
            <w:r>
              <w:rPr>
                <w:noProof/>
                <w:webHidden/>
              </w:rPr>
              <w:fldChar w:fldCharType="end"/>
            </w:r>
          </w:hyperlink>
        </w:p>
        <w:p w14:paraId="1188FB00" w14:textId="7BE5DFF2" w:rsidR="009637C4" w:rsidRDefault="009637C4">
          <w:pPr>
            <w:pStyle w:val="TOC1"/>
            <w:tabs>
              <w:tab w:val="right" w:leader="dot" w:pos="9016"/>
            </w:tabs>
            <w:rPr>
              <w:rFonts w:asciiTheme="minorHAnsi" w:eastAsiaTheme="minorEastAsia" w:hAnsiTheme="minorHAnsi" w:cstheme="minorBidi"/>
              <w:b w:val="0"/>
              <w:bCs w:val="0"/>
              <w:lang w:eastAsia="en-AU"/>
            </w:rPr>
          </w:pPr>
          <w:hyperlink w:anchor="_Toc204751347" w:history="1">
            <w:r w:rsidRPr="00363626">
              <w:rPr>
                <w:rStyle w:val="Hyperlink"/>
              </w:rPr>
              <w:t>Glossary</w:t>
            </w:r>
            <w:r>
              <w:rPr>
                <w:webHidden/>
              </w:rPr>
              <w:tab/>
            </w:r>
            <w:r>
              <w:rPr>
                <w:webHidden/>
              </w:rPr>
              <w:fldChar w:fldCharType="begin"/>
            </w:r>
            <w:r>
              <w:rPr>
                <w:webHidden/>
              </w:rPr>
              <w:instrText xml:space="preserve"> PAGEREF _Toc204751347 \h </w:instrText>
            </w:r>
            <w:r>
              <w:rPr>
                <w:webHidden/>
              </w:rPr>
            </w:r>
            <w:r>
              <w:rPr>
                <w:webHidden/>
              </w:rPr>
              <w:fldChar w:fldCharType="separate"/>
            </w:r>
            <w:r>
              <w:rPr>
                <w:webHidden/>
              </w:rPr>
              <w:t>48</w:t>
            </w:r>
            <w:r>
              <w:rPr>
                <w:webHidden/>
              </w:rPr>
              <w:fldChar w:fldCharType="end"/>
            </w:r>
          </w:hyperlink>
        </w:p>
        <w:p w14:paraId="4F11F74E" w14:textId="29454632" w:rsidR="009637C4" w:rsidRDefault="009637C4">
          <w:pPr>
            <w:pStyle w:val="TOC1"/>
            <w:tabs>
              <w:tab w:val="right" w:leader="dot" w:pos="9016"/>
            </w:tabs>
            <w:rPr>
              <w:rFonts w:asciiTheme="minorHAnsi" w:eastAsiaTheme="minorEastAsia" w:hAnsiTheme="minorHAnsi" w:cstheme="minorBidi"/>
              <w:b w:val="0"/>
              <w:bCs w:val="0"/>
              <w:lang w:eastAsia="en-AU"/>
            </w:rPr>
          </w:pPr>
          <w:hyperlink w:anchor="_Toc204751348" w:history="1">
            <w:r w:rsidRPr="00363626">
              <w:rPr>
                <w:rStyle w:val="Hyperlink"/>
              </w:rPr>
              <w:t xml:space="preserve">Revision history </w:t>
            </w:r>
            <w:r>
              <w:rPr>
                <w:webHidden/>
              </w:rPr>
              <w:tab/>
            </w:r>
            <w:r>
              <w:rPr>
                <w:webHidden/>
              </w:rPr>
              <w:fldChar w:fldCharType="begin"/>
            </w:r>
            <w:r>
              <w:rPr>
                <w:webHidden/>
              </w:rPr>
              <w:instrText xml:space="preserve"> PAGEREF _Toc204751348 \h </w:instrText>
            </w:r>
            <w:r>
              <w:rPr>
                <w:webHidden/>
              </w:rPr>
            </w:r>
            <w:r>
              <w:rPr>
                <w:webHidden/>
              </w:rPr>
              <w:fldChar w:fldCharType="separate"/>
            </w:r>
            <w:r>
              <w:rPr>
                <w:webHidden/>
              </w:rPr>
              <w:t>53</w:t>
            </w:r>
            <w:r>
              <w:rPr>
                <w:webHidden/>
              </w:rPr>
              <w:fldChar w:fldCharType="end"/>
            </w:r>
          </w:hyperlink>
        </w:p>
        <w:p w14:paraId="7F495009" w14:textId="3CE0828B" w:rsidR="009637C4" w:rsidRDefault="009637C4">
          <w:pPr>
            <w:pStyle w:val="TOC1"/>
            <w:tabs>
              <w:tab w:val="right" w:leader="dot" w:pos="9016"/>
            </w:tabs>
            <w:rPr>
              <w:rFonts w:asciiTheme="minorHAnsi" w:eastAsiaTheme="minorEastAsia" w:hAnsiTheme="minorHAnsi" w:cstheme="minorBidi"/>
              <w:b w:val="0"/>
              <w:bCs w:val="0"/>
              <w:lang w:eastAsia="en-AU"/>
            </w:rPr>
          </w:pPr>
          <w:hyperlink w:anchor="_Toc204751349" w:history="1">
            <w:r w:rsidRPr="00363626">
              <w:rPr>
                <w:rStyle w:val="Hyperlink"/>
              </w:rPr>
              <w:t>Related links</w:t>
            </w:r>
            <w:r>
              <w:rPr>
                <w:webHidden/>
              </w:rPr>
              <w:tab/>
            </w:r>
            <w:r>
              <w:rPr>
                <w:webHidden/>
              </w:rPr>
              <w:fldChar w:fldCharType="begin"/>
            </w:r>
            <w:r>
              <w:rPr>
                <w:webHidden/>
              </w:rPr>
              <w:instrText xml:space="preserve"> PAGEREF _Toc204751349 \h </w:instrText>
            </w:r>
            <w:r>
              <w:rPr>
                <w:webHidden/>
              </w:rPr>
            </w:r>
            <w:r>
              <w:rPr>
                <w:webHidden/>
              </w:rPr>
              <w:fldChar w:fldCharType="separate"/>
            </w:r>
            <w:r>
              <w:rPr>
                <w:webHidden/>
              </w:rPr>
              <w:t>56</w:t>
            </w:r>
            <w:r>
              <w:rPr>
                <w:webHidden/>
              </w:rPr>
              <w:fldChar w:fldCharType="end"/>
            </w:r>
          </w:hyperlink>
        </w:p>
        <w:p w14:paraId="75E4BBAA" w14:textId="3A906E45" w:rsidR="003667E0" w:rsidRDefault="003667E0" w:rsidP="003667E0">
          <w:r w:rsidRPr="003667E0">
            <w:fldChar w:fldCharType="end"/>
          </w:r>
        </w:p>
      </w:sdtContent>
    </w:sdt>
    <w:p w14:paraId="465462CF" w14:textId="77777777" w:rsidR="00786F8D" w:rsidRDefault="00786F8D"/>
    <w:p w14:paraId="24B7D9DE" w14:textId="77777777" w:rsidR="00593212" w:rsidRPr="00593212" w:rsidRDefault="00593212" w:rsidP="00593212">
      <w:pPr>
        <w:spacing w:after="120"/>
        <w:rPr>
          <w:rFonts w:eastAsia="Cambria" w:cs="Times New Roman"/>
          <w:bCs/>
          <w:color w:val="333F4A"/>
          <w:kern w:val="0"/>
          <w:sz w:val="17"/>
          <w:szCs w:val="20"/>
          <w14:ligatures w14:val="none"/>
        </w:rPr>
      </w:pPr>
      <w:r w:rsidRPr="00593212">
        <w:rPr>
          <w:rFonts w:cs="Times New Roman"/>
          <w:b/>
          <w:bCs/>
          <w:kern w:val="0"/>
          <w:sz w:val="20"/>
          <w:szCs w:val="20"/>
          <w14:ligatures w14:val="none"/>
        </w:rPr>
        <w:br w:type="page"/>
      </w:r>
    </w:p>
    <w:p w14:paraId="7173B0CB" w14:textId="3EE8E4E2" w:rsidR="00AF2091" w:rsidRPr="00E038D1" w:rsidRDefault="7C1E6BC6" w:rsidP="00655441">
      <w:pPr>
        <w:pStyle w:val="Heading2"/>
      </w:pPr>
      <w:bookmarkStart w:id="3" w:name="_Toc198297275"/>
      <w:bookmarkStart w:id="4" w:name="_Toc204751302"/>
      <w:bookmarkEnd w:id="1"/>
      <w:r w:rsidRPr="3B6C239D">
        <w:lastRenderedPageBreak/>
        <w:t>Purpose</w:t>
      </w:r>
      <w:bookmarkEnd w:id="3"/>
      <w:bookmarkEnd w:id="4"/>
    </w:p>
    <w:p w14:paraId="2E25C120" w14:textId="77777777" w:rsidR="00110468" w:rsidRDefault="00110468" w:rsidP="005A0AA8">
      <w:pPr>
        <w:rPr>
          <w:lang w:val="en-US"/>
        </w:rPr>
      </w:pPr>
      <w:r>
        <w:rPr>
          <w:lang w:val="en-US"/>
        </w:rPr>
        <w:t>The TGA</w:t>
      </w:r>
      <w:r w:rsidRPr="003F4B2F">
        <w:rPr>
          <w:lang w:val="en-US"/>
        </w:rPr>
        <w:t xml:space="preserve"> regulate</w:t>
      </w:r>
      <w:r>
        <w:rPr>
          <w:lang w:val="en-US"/>
        </w:rPr>
        <w:t>s</w:t>
      </w:r>
      <w:r w:rsidRPr="003F4B2F">
        <w:rPr>
          <w:lang w:val="en-US"/>
        </w:rPr>
        <w:t xml:space="preserve"> sunscreens in Australia that are classified as therapeutic goods to make sure they are safe, efficacious and high quality</w:t>
      </w:r>
      <w:r>
        <w:rPr>
          <w:lang w:val="en-US"/>
        </w:rPr>
        <w:t>.</w:t>
      </w:r>
    </w:p>
    <w:p w14:paraId="10C5F0FC" w14:textId="77777777" w:rsidR="00B35D71" w:rsidRDefault="007938B0" w:rsidP="005A0AA8">
      <w:r w:rsidRPr="00942A1B">
        <w:t>Understanding the regulation of therapeutic sunscreens (‘this guidance</w:t>
      </w:r>
      <w:r w:rsidR="00A50E9A" w:rsidRPr="00942A1B">
        <w:t>’</w:t>
      </w:r>
      <w:r w:rsidRPr="00942A1B">
        <w:t xml:space="preserve">) </w:t>
      </w:r>
      <w:r w:rsidR="00DA0129">
        <w:t>explains which sunscreens are regulated by the TGA (therapeutic sunscreens) and which, providing they meet certain requirements, are not regulated by the TGA (e.g. cosmetic sunscreens).</w:t>
      </w:r>
      <w:r w:rsidR="00053446">
        <w:t xml:space="preserve"> </w:t>
      </w:r>
    </w:p>
    <w:p w14:paraId="1AB8FDEE" w14:textId="77777777" w:rsidR="00B527C9" w:rsidRDefault="00342505" w:rsidP="005A0AA8">
      <w:r>
        <w:rPr>
          <w:lang w:val="en-US"/>
        </w:rPr>
        <w:t>T</w:t>
      </w:r>
      <w:r w:rsidR="00B35D71">
        <w:t xml:space="preserve">his guidance </w:t>
      </w:r>
      <w:r w:rsidR="00110468">
        <w:t xml:space="preserve">also </w:t>
      </w:r>
      <w:r w:rsidR="00B35D71">
        <w:t>provides</w:t>
      </w:r>
      <w:r w:rsidR="0065287B">
        <w:t xml:space="preserve">: </w:t>
      </w:r>
    </w:p>
    <w:p w14:paraId="32408653" w14:textId="77777777" w:rsidR="00B527C9" w:rsidRDefault="00B35D71" w:rsidP="005A0AA8">
      <w:pPr>
        <w:pStyle w:val="ListBullet"/>
      </w:pPr>
      <w:r>
        <w:t>i</w:t>
      </w:r>
      <w:r w:rsidR="00034EC4">
        <w:t>n</w:t>
      </w:r>
      <w:r w:rsidR="00DA0129" w:rsidRPr="00DA0129">
        <w:t xml:space="preserve">formation </w:t>
      </w:r>
      <w:r w:rsidR="00034EC4">
        <w:t xml:space="preserve">on </w:t>
      </w:r>
      <w:r w:rsidR="00DA0129" w:rsidRPr="00DA0129">
        <w:t xml:space="preserve">the </w:t>
      </w:r>
      <w:r w:rsidR="00393DBC" w:rsidRPr="00DA0129">
        <w:t>Australia</w:t>
      </w:r>
      <w:r w:rsidR="00393DBC">
        <w:t xml:space="preserve">n </w:t>
      </w:r>
      <w:r w:rsidR="00DA0129" w:rsidRPr="00DA0129">
        <w:t xml:space="preserve">regulatory requirements </w:t>
      </w:r>
      <w:r w:rsidR="00393DBC">
        <w:t>for</w:t>
      </w:r>
      <w:r w:rsidR="00034EC4" w:rsidRPr="00DA0129">
        <w:t xml:space="preserve"> </w:t>
      </w:r>
      <w:r w:rsidR="00DA0129">
        <w:t xml:space="preserve">therapeutic </w:t>
      </w:r>
      <w:r w:rsidR="00DA0129" w:rsidRPr="00DA0129">
        <w:t>sunscreen</w:t>
      </w:r>
      <w:r w:rsidR="0065287B">
        <w:t>s</w:t>
      </w:r>
    </w:p>
    <w:p w14:paraId="40D3A2BA" w14:textId="7DE0423C" w:rsidR="001664CA" w:rsidRDefault="000C047F" w:rsidP="005A0AA8">
      <w:pPr>
        <w:pStyle w:val="ListBullet"/>
      </w:pPr>
      <w:r>
        <w:t xml:space="preserve">requirements for </w:t>
      </w:r>
      <w:r w:rsidR="0065287B">
        <w:t xml:space="preserve">new sunscreen </w:t>
      </w:r>
      <w:r w:rsidR="0003483A">
        <w:t>ingredient</w:t>
      </w:r>
      <w:r w:rsidR="00E24A99">
        <w:t>s</w:t>
      </w:r>
      <w:r w:rsidR="00110468">
        <w:t xml:space="preserve"> </w:t>
      </w:r>
    </w:p>
    <w:p w14:paraId="6133739F" w14:textId="01B87758" w:rsidR="0031686D" w:rsidRDefault="00E24A99" w:rsidP="005A0AA8">
      <w:pPr>
        <w:pStyle w:val="ListBullet"/>
      </w:pPr>
      <w:r>
        <w:t xml:space="preserve">guidance on </w:t>
      </w:r>
      <w:r w:rsidR="0065287B">
        <w:t xml:space="preserve">how to change an </w:t>
      </w:r>
      <w:r w:rsidR="0003483A">
        <w:t>entry in the Australian Register of Therapeutic Goods (ARTG)</w:t>
      </w:r>
      <w:r w:rsidR="0065287B">
        <w:t xml:space="preserve"> for a listed sunscreen</w:t>
      </w:r>
      <w:r w:rsidR="0003483A">
        <w:t>.</w:t>
      </w:r>
    </w:p>
    <w:p w14:paraId="58E9364B" w14:textId="4B84B7D9" w:rsidR="00275E26" w:rsidRPr="00942A1B" w:rsidRDefault="00275E26" w:rsidP="005A0AA8">
      <w:r w:rsidRPr="00942A1B">
        <w:t>Many of the terms referred to in this guidance, such as ‘therapeutic sunscreen’, ‘cosmetic’, ‘primary sunscreen’, ‘secondary sunscreen’, and ‘sun protection factor’ (SPF) are defined in Glossary of terms and abbreviations.</w:t>
      </w:r>
    </w:p>
    <w:p w14:paraId="2455A144" w14:textId="736C2119" w:rsidR="00DB49D1" w:rsidRPr="00E038D1" w:rsidRDefault="646B58DD" w:rsidP="00655441">
      <w:pPr>
        <w:pStyle w:val="Heading2"/>
      </w:pPr>
      <w:bookmarkStart w:id="5" w:name="_Toc198297276"/>
      <w:bookmarkStart w:id="6" w:name="_Toc204751303"/>
      <w:r w:rsidRPr="3B6C239D">
        <w:t>Legislation</w:t>
      </w:r>
      <w:bookmarkEnd w:id="5"/>
      <w:bookmarkEnd w:id="6"/>
    </w:p>
    <w:p w14:paraId="24D784FE" w14:textId="26F18DE0" w:rsidR="008507AE" w:rsidRPr="008507AE" w:rsidRDefault="008507AE" w:rsidP="005A0AA8">
      <w:r w:rsidRPr="008507AE">
        <w:t xml:space="preserve">This </w:t>
      </w:r>
      <w:r w:rsidR="00977369">
        <w:t>g</w:t>
      </w:r>
      <w:r w:rsidRPr="008507AE">
        <w:t>uidance explains and references the following legislation:</w:t>
      </w:r>
    </w:p>
    <w:p w14:paraId="4660C1B6" w14:textId="6007C32D" w:rsidR="00314167" w:rsidRPr="00C70679" w:rsidRDefault="00805D8B" w:rsidP="005A0AA8">
      <w:pPr>
        <w:pStyle w:val="ListBullet"/>
      </w:pPr>
      <w:r w:rsidRPr="00C70679">
        <w:t xml:space="preserve">Therapeutic Goods </w:t>
      </w:r>
      <w:r w:rsidR="005C5EC1" w:rsidRPr="00C70679">
        <w:t>Act 1989</w:t>
      </w:r>
    </w:p>
    <w:p w14:paraId="2E083978" w14:textId="58253D5F" w:rsidR="005C5EC1" w:rsidRPr="00942A1B" w:rsidRDefault="005C5EC1" w:rsidP="005A0AA8">
      <w:pPr>
        <w:pStyle w:val="ListBullet"/>
      </w:pPr>
      <w:r w:rsidRPr="00942A1B">
        <w:t>Therapeutic Goods Regulations 1990</w:t>
      </w:r>
    </w:p>
    <w:p w14:paraId="7BF250D8" w14:textId="1C993139" w:rsidR="0033276E" w:rsidRDefault="005C5EC1" w:rsidP="005A0AA8">
      <w:pPr>
        <w:pStyle w:val="ListBullet"/>
      </w:pPr>
      <w:r w:rsidRPr="00942A1B">
        <w:t>Therapeutic Goods (Excluded Goods) Determination 2018</w:t>
      </w:r>
      <w:bookmarkStart w:id="7" w:name="_Toc120260197"/>
      <w:bookmarkStart w:id="8" w:name="_Toc181273035"/>
      <w:bookmarkStart w:id="9" w:name="_Toc198297277"/>
    </w:p>
    <w:p w14:paraId="78EE635B" w14:textId="5712812C" w:rsidR="0040133C" w:rsidRPr="00E308CF" w:rsidRDefault="0040133C" w:rsidP="0040133C">
      <w:pPr>
        <w:pStyle w:val="Heading2"/>
      </w:pPr>
      <w:bookmarkStart w:id="10" w:name="_Toc204751304"/>
      <w:r w:rsidRPr="00E308CF">
        <w:t>General information about the regulation of sunscreens</w:t>
      </w:r>
      <w:bookmarkEnd w:id="7"/>
      <w:bookmarkEnd w:id="8"/>
      <w:bookmarkEnd w:id="9"/>
      <w:bookmarkEnd w:id="10"/>
    </w:p>
    <w:p w14:paraId="2588F606" w14:textId="77777777" w:rsidR="009D403A" w:rsidRPr="00E308CF" w:rsidRDefault="009D403A" w:rsidP="009D403A">
      <w:pPr>
        <w:pStyle w:val="Heading3"/>
      </w:pPr>
      <w:bookmarkStart w:id="11" w:name="_Toc120260198"/>
      <w:bookmarkStart w:id="12" w:name="_Toc181273036"/>
      <w:bookmarkStart w:id="13" w:name="_Toc198297278"/>
      <w:bookmarkStart w:id="14" w:name="_Toc204751305"/>
      <w:r w:rsidRPr="00E308CF">
        <w:t>Introduction</w:t>
      </w:r>
      <w:bookmarkEnd w:id="11"/>
      <w:bookmarkEnd w:id="12"/>
      <w:bookmarkEnd w:id="13"/>
      <w:bookmarkEnd w:id="14"/>
    </w:p>
    <w:p w14:paraId="743C78D2" w14:textId="7C54C9E0" w:rsidR="00110468" w:rsidRDefault="00110468" w:rsidP="005A0AA8">
      <w:r w:rsidRPr="00370650">
        <w:t xml:space="preserve">In Australia, sunscreens are regulated as either cosmetics or therapeutic goods depending on </w:t>
      </w:r>
      <w:proofErr w:type="gramStart"/>
      <w:r w:rsidRPr="00370650">
        <w:t>a number of</w:t>
      </w:r>
      <w:proofErr w:type="gramEnd"/>
      <w:r w:rsidRPr="00370650">
        <w:t xml:space="preserve"> factors, such as their ingredients, health claims and claimed S</w:t>
      </w:r>
      <w:r>
        <w:t>un Protection factor (S</w:t>
      </w:r>
      <w:r w:rsidRPr="00370650">
        <w:t>PF</w:t>
      </w:r>
      <w:r>
        <w:t>)</w:t>
      </w:r>
      <w:r w:rsidRPr="00370650">
        <w:t>. </w:t>
      </w:r>
      <w:r w:rsidRPr="00E37D50">
        <w:t xml:space="preserve">The objective of regulation of sunscreens </w:t>
      </w:r>
      <w:r>
        <w:t xml:space="preserve">is </w:t>
      </w:r>
      <w:r w:rsidRPr="00E37D50">
        <w:t>to ensure their quality, safety, and efficacy to protect</w:t>
      </w:r>
      <w:r w:rsidRPr="00E37D50">
        <w:rPr>
          <w:spacing w:val="-4"/>
        </w:rPr>
        <w:t xml:space="preserve"> </w:t>
      </w:r>
      <w:r w:rsidRPr="00E37D50">
        <w:t>consumers</w:t>
      </w:r>
      <w:r w:rsidRPr="00E37D50">
        <w:rPr>
          <w:spacing w:val="-3"/>
        </w:rPr>
        <w:t xml:space="preserve"> </w:t>
      </w:r>
      <w:r w:rsidRPr="00E37D50">
        <w:t>from</w:t>
      </w:r>
      <w:r w:rsidRPr="00E37D50">
        <w:rPr>
          <w:spacing w:val="-2"/>
        </w:rPr>
        <w:t xml:space="preserve"> </w:t>
      </w:r>
      <w:r w:rsidRPr="00E37D50">
        <w:t>the</w:t>
      </w:r>
      <w:r w:rsidRPr="00E37D50">
        <w:rPr>
          <w:spacing w:val="-2"/>
        </w:rPr>
        <w:t xml:space="preserve"> </w:t>
      </w:r>
      <w:r w:rsidRPr="00E37D50">
        <w:t>sun’s</w:t>
      </w:r>
      <w:r w:rsidRPr="00E37D50">
        <w:rPr>
          <w:spacing w:val="-3"/>
        </w:rPr>
        <w:t xml:space="preserve"> </w:t>
      </w:r>
      <w:r w:rsidRPr="00E37D50">
        <w:t>harmful</w:t>
      </w:r>
      <w:r w:rsidRPr="00E37D50">
        <w:rPr>
          <w:spacing w:val="-5"/>
        </w:rPr>
        <w:t xml:space="preserve"> </w:t>
      </w:r>
      <w:r w:rsidRPr="00E37D50">
        <w:t>U</w:t>
      </w:r>
      <w:r>
        <w:t>ltra</w:t>
      </w:r>
      <w:r w:rsidR="000C3447">
        <w:t>-</w:t>
      </w:r>
      <w:r>
        <w:t>Violet (U</w:t>
      </w:r>
      <w:r w:rsidRPr="00E37D50">
        <w:t>V</w:t>
      </w:r>
      <w:r>
        <w:t>)</w:t>
      </w:r>
      <w:r w:rsidRPr="00E37D50">
        <w:rPr>
          <w:spacing w:val="-2"/>
        </w:rPr>
        <w:t xml:space="preserve"> </w:t>
      </w:r>
      <w:r>
        <w:t xml:space="preserve">radiation </w:t>
      </w:r>
      <w:r w:rsidRPr="00E37D50">
        <w:t>and</w:t>
      </w:r>
      <w:r w:rsidRPr="00E37D50">
        <w:rPr>
          <w:spacing w:val="-4"/>
        </w:rPr>
        <w:t xml:space="preserve"> </w:t>
      </w:r>
      <w:r w:rsidRPr="00E37D50">
        <w:t>reduce</w:t>
      </w:r>
      <w:r w:rsidRPr="00E37D50">
        <w:rPr>
          <w:spacing w:val="-4"/>
        </w:rPr>
        <w:t xml:space="preserve"> </w:t>
      </w:r>
      <w:r w:rsidRPr="00E37D50">
        <w:t>the</w:t>
      </w:r>
      <w:r w:rsidRPr="00E37D50">
        <w:rPr>
          <w:spacing w:val="-2"/>
        </w:rPr>
        <w:t xml:space="preserve"> </w:t>
      </w:r>
      <w:r w:rsidRPr="00E37D50">
        <w:t>incidence and</w:t>
      </w:r>
      <w:r w:rsidRPr="00E37D50">
        <w:rPr>
          <w:spacing w:val="-4"/>
        </w:rPr>
        <w:t xml:space="preserve"> </w:t>
      </w:r>
      <w:r w:rsidRPr="00E37D50">
        <w:t>tragic</w:t>
      </w:r>
      <w:r w:rsidRPr="00E37D50">
        <w:rPr>
          <w:spacing w:val="-3"/>
        </w:rPr>
        <w:t xml:space="preserve"> </w:t>
      </w:r>
      <w:r w:rsidRPr="00E37D50">
        <w:t>outcomes of skin cancer.</w:t>
      </w:r>
    </w:p>
    <w:p w14:paraId="47866AA8" w14:textId="5E584853" w:rsidR="00053446" w:rsidRPr="00E37D50" w:rsidRDefault="00053446" w:rsidP="005A0AA8">
      <w:r w:rsidRPr="00E37D50">
        <w:rPr>
          <w:lang w:val="en-US"/>
        </w:rPr>
        <w:t>Sunscreen</w:t>
      </w:r>
      <w:r w:rsidR="00B35D71">
        <w:rPr>
          <w:lang w:val="en-US"/>
        </w:rPr>
        <w:t xml:space="preserve"> products</w:t>
      </w:r>
      <w:r w:rsidRPr="00E37D50">
        <w:rPr>
          <w:lang w:val="en-US"/>
        </w:rPr>
        <w:t xml:space="preserve"> </w:t>
      </w:r>
      <w:r w:rsidR="00B35D71">
        <w:rPr>
          <w:lang w:val="en-US"/>
        </w:rPr>
        <w:t xml:space="preserve">are </w:t>
      </w:r>
      <w:proofErr w:type="spellStart"/>
      <w:r w:rsidR="00B35D71">
        <w:rPr>
          <w:lang w:val="en-US"/>
        </w:rPr>
        <w:t>categorised</w:t>
      </w:r>
      <w:proofErr w:type="spellEnd"/>
      <w:r w:rsidR="00B35D71">
        <w:rPr>
          <w:lang w:val="en-US"/>
        </w:rPr>
        <w:t xml:space="preserve"> as</w:t>
      </w:r>
      <w:r>
        <w:rPr>
          <w:lang w:val="en-US"/>
        </w:rPr>
        <w:t>:</w:t>
      </w:r>
      <w:r w:rsidR="00B35D71">
        <w:rPr>
          <w:lang w:val="en-US"/>
        </w:rPr>
        <w:t xml:space="preserve"> </w:t>
      </w:r>
      <w:r>
        <w:rPr>
          <w:lang w:val="en-US"/>
        </w:rPr>
        <w:t>‘</w:t>
      </w:r>
      <w:r w:rsidRPr="00E37D50">
        <w:rPr>
          <w:lang w:val="en-US"/>
        </w:rPr>
        <w:t>primary</w:t>
      </w:r>
      <w:r>
        <w:rPr>
          <w:lang w:val="en-US"/>
        </w:rPr>
        <w:t xml:space="preserve">’ </w:t>
      </w:r>
      <w:r w:rsidR="00B35D71">
        <w:rPr>
          <w:lang w:val="en-US"/>
        </w:rPr>
        <w:t xml:space="preserve">or </w:t>
      </w:r>
      <w:r>
        <w:rPr>
          <w:lang w:val="en-US"/>
        </w:rPr>
        <w:t>‘</w:t>
      </w:r>
      <w:r w:rsidRPr="00E37D50">
        <w:rPr>
          <w:lang w:val="en-US"/>
        </w:rPr>
        <w:t>secondary</w:t>
      </w:r>
      <w:r>
        <w:rPr>
          <w:lang w:val="en-US"/>
        </w:rPr>
        <w:t>’</w:t>
      </w:r>
      <w:r w:rsidR="00B35D71">
        <w:rPr>
          <w:lang w:val="en-US"/>
        </w:rPr>
        <w:t xml:space="preserve"> in</w:t>
      </w:r>
      <w:r w:rsidR="00D44F66">
        <w:rPr>
          <w:lang w:val="en-US"/>
        </w:rPr>
        <w:t xml:space="preserve"> </w:t>
      </w:r>
      <w:r w:rsidRPr="00E37D50">
        <w:rPr>
          <w:lang w:val="en-US"/>
        </w:rPr>
        <w:t xml:space="preserve">the Australian/New Zealand </w:t>
      </w:r>
      <w:r w:rsidR="0003483A">
        <w:rPr>
          <w:lang w:val="en-US"/>
        </w:rPr>
        <w:t>st</w:t>
      </w:r>
      <w:r w:rsidRPr="00E37D50">
        <w:rPr>
          <w:lang w:val="en-US"/>
        </w:rPr>
        <w:t>andard for sunscreens</w:t>
      </w:r>
      <w:r w:rsidR="0031686D">
        <w:rPr>
          <w:lang w:val="en-US"/>
        </w:rPr>
        <w:t xml:space="preserve"> (see</w:t>
      </w:r>
      <w:r w:rsidR="00B35D71">
        <w:rPr>
          <w:lang w:val="en-US"/>
        </w:rPr>
        <w:t xml:space="preserve"> ‘</w:t>
      </w:r>
      <w:r w:rsidR="00B35D71" w:rsidRPr="00B35D71">
        <w:rPr>
          <w:lang w:val="en-US"/>
        </w:rPr>
        <w:t>The Australian/New Zealand Sunscreen Standard</w:t>
      </w:r>
      <w:r w:rsidR="00B35D71">
        <w:rPr>
          <w:lang w:val="en-US"/>
        </w:rPr>
        <w:t>’</w:t>
      </w:r>
      <w:r w:rsidR="0031686D">
        <w:rPr>
          <w:lang w:val="en-US"/>
        </w:rPr>
        <w:t>)</w:t>
      </w:r>
      <w:r w:rsidR="0003483A">
        <w:rPr>
          <w:lang w:val="en-US"/>
        </w:rPr>
        <w:t xml:space="preserve">, </w:t>
      </w:r>
      <w:r w:rsidR="00970E43">
        <w:rPr>
          <w:lang w:val="en-US"/>
        </w:rPr>
        <w:t>as below</w:t>
      </w:r>
      <w:r w:rsidRPr="00E37D50">
        <w:rPr>
          <w:spacing w:val="-2"/>
        </w:rPr>
        <w:t>:</w:t>
      </w:r>
    </w:p>
    <w:p w14:paraId="0AB68DF8" w14:textId="77777777" w:rsidR="00053446" w:rsidRPr="00E37D50" w:rsidRDefault="00053446" w:rsidP="005A0AA8">
      <w:pPr>
        <w:pStyle w:val="Numberbullet0"/>
      </w:pPr>
      <w:r w:rsidRPr="00052B09">
        <w:rPr>
          <w:b/>
          <w:bCs/>
        </w:rPr>
        <w:t xml:space="preserve">Primary sunscreen product: </w:t>
      </w:r>
      <w:r w:rsidRPr="00E37D50">
        <w:t>Product</w:t>
      </w:r>
      <w:r w:rsidRPr="00052B09">
        <w:rPr>
          <w:spacing w:val="-4"/>
        </w:rPr>
        <w:t xml:space="preserve"> </w:t>
      </w:r>
      <w:r w:rsidRPr="00E37D50">
        <w:t>that</w:t>
      </w:r>
      <w:r w:rsidRPr="00052B09">
        <w:rPr>
          <w:spacing w:val="-4"/>
        </w:rPr>
        <w:t xml:space="preserve"> </w:t>
      </w:r>
      <w:r w:rsidRPr="00E37D50">
        <w:t>is</w:t>
      </w:r>
      <w:r w:rsidRPr="00052B09">
        <w:rPr>
          <w:spacing w:val="-3"/>
        </w:rPr>
        <w:t xml:space="preserve"> </w:t>
      </w:r>
      <w:r w:rsidRPr="00E37D50">
        <w:t>represented</w:t>
      </w:r>
      <w:r w:rsidRPr="00052B09">
        <w:rPr>
          <w:spacing w:val="-4"/>
        </w:rPr>
        <w:t xml:space="preserve"> </w:t>
      </w:r>
      <w:r w:rsidRPr="00E37D50">
        <w:t>as being</w:t>
      </w:r>
      <w:r w:rsidRPr="00052B09">
        <w:rPr>
          <w:spacing w:val="-2"/>
        </w:rPr>
        <w:t xml:space="preserve"> </w:t>
      </w:r>
      <w:r w:rsidRPr="00E37D50">
        <w:t>primarily</w:t>
      </w:r>
      <w:r w:rsidRPr="00052B09">
        <w:rPr>
          <w:spacing w:val="-3"/>
        </w:rPr>
        <w:t xml:space="preserve"> </w:t>
      </w:r>
      <w:r w:rsidRPr="00E37D50">
        <w:t>to</w:t>
      </w:r>
      <w:r w:rsidRPr="00052B09">
        <w:rPr>
          <w:spacing w:val="-4"/>
        </w:rPr>
        <w:t xml:space="preserve"> </w:t>
      </w:r>
      <w:r w:rsidRPr="00E37D50">
        <w:t>protect</w:t>
      </w:r>
      <w:r w:rsidRPr="00052B09">
        <w:rPr>
          <w:spacing w:val="-4"/>
        </w:rPr>
        <w:t xml:space="preserve"> </w:t>
      </w:r>
      <w:r w:rsidRPr="00E37D50">
        <w:t>the skin from UV radiation.</w:t>
      </w:r>
    </w:p>
    <w:p w14:paraId="18711BE4" w14:textId="13411F9B" w:rsidR="00053446" w:rsidRPr="00245C80" w:rsidRDefault="00053446" w:rsidP="00053446">
      <w:pPr>
        <w:pStyle w:val="Numberbullet0"/>
      </w:pPr>
      <w:r w:rsidRPr="00052B09">
        <w:rPr>
          <w:b/>
          <w:bCs/>
        </w:rPr>
        <w:lastRenderedPageBreak/>
        <w:t xml:space="preserve">Secondary </w:t>
      </w:r>
      <w:r w:rsidRPr="00300500">
        <w:rPr>
          <w:b/>
          <w:bCs/>
        </w:rPr>
        <w:t>sunscreen</w:t>
      </w:r>
      <w:r w:rsidRPr="00052B09">
        <w:rPr>
          <w:b/>
          <w:bCs/>
        </w:rPr>
        <w:t xml:space="preserve"> product:</w:t>
      </w:r>
      <w:r w:rsidRPr="00E37D50">
        <w:t xml:space="preserve"> Product</w:t>
      </w:r>
      <w:r w:rsidRPr="00052B09">
        <w:rPr>
          <w:spacing w:val="-2"/>
        </w:rPr>
        <w:t xml:space="preserve"> </w:t>
      </w:r>
      <w:r w:rsidRPr="00E37D50">
        <w:t>that</w:t>
      </w:r>
      <w:r w:rsidRPr="00052B09">
        <w:rPr>
          <w:spacing w:val="-2"/>
        </w:rPr>
        <w:t xml:space="preserve"> </w:t>
      </w:r>
      <w:r w:rsidRPr="00E37D50">
        <w:t>is</w:t>
      </w:r>
      <w:r w:rsidRPr="00052B09">
        <w:rPr>
          <w:spacing w:val="-1"/>
        </w:rPr>
        <w:t xml:space="preserve"> </w:t>
      </w:r>
      <w:r w:rsidRPr="00E37D50">
        <w:t>represented</w:t>
      </w:r>
      <w:r w:rsidRPr="00052B09">
        <w:rPr>
          <w:spacing w:val="-2"/>
        </w:rPr>
        <w:t xml:space="preserve"> </w:t>
      </w:r>
      <w:r w:rsidRPr="00E37D50">
        <w:t>as</w:t>
      </w:r>
      <w:r w:rsidRPr="00052B09">
        <w:rPr>
          <w:spacing w:val="-1"/>
        </w:rPr>
        <w:t xml:space="preserve"> </w:t>
      </w:r>
      <w:r w:rsidRPr="00E37D50">
        <w:t>having a</w:t>
      </w:r>
      <w:r w:rsidRPr="00052B09">
        <w:rPr>
          <w:spacing w:val="-2"/>
        </w:rPr>
        <w:t xml:space="preserve"> </w:t>
      </w:r>
      <w:r w:rsidRPr="00E37D50">
        <w:t>primary</w:t>
      </w:r>
      <w:r w:rsidRPr="00052B09">
        <w:rPr>
          <w:spacing w:val="-1"/>
        </w:rPr>
        <w:t xml:space="preserve"> </w:t>
      </w:r>
      <w:r w:rsidRPr="00E37D50">
        <w:t>function other</w:t>
      </w:r>
      <w:r w:rsidRPr="00052B09">
        <w:rPr>
          <w:spacing w:val="-3"/>
        </w:rPr>
        <w:t xml:space="preserve"> </w:t>
      </w:r>
      <w:r w:rsidRPr="00E37D50">
        <w:t>than</w:t>
      </w:r>
      <w:r w:rsidRPr="00052B09">
        <w:rPr>
          <w:spacing w:val="-4"/>
        </w:rPr>
        <w:t xml:space="preserve"> </w:t>
      </w:r>
      <w:r w:rsidRPr="00E37D50">
        <w:t>sun</w:t>
      </w:r>
      <w:r w:rsidRPr="00052B09">
        <w:rPr>
          <w:spacing w:val="-4"/>
        </w:rPr>
        <w:t xml:space="preserve"> </w:t>
      </w:r>
      <w:r w:rsidRPr="00E37D50">
        <w:t>protection</w:t>
      </w:r>
      <w:r w:rsidRPr="00052B09">
        <w:rPr>
          <w:spacing w:val="-4"/>
        </w:rPr>
        <w:t xml:space="preserve"> </w:t>
      </w:r>
      <w:r w:rsidRPr="00E37D50">
        <w:t>whilst</w:t>
      </w:r>
      <w:r w:rsidRPr="00052B09">
        <w:rPr>
          <w:spacing w:val="-2"/>
        </w:rPr>
        <w:t xml:space="preserve"> </w:t>
      </w:r>
      <w:r w:rsidRPr="00E37D50">
        <w:t>providing</w:t>
      </w:r>
      <w:r w:rsidRPr="00052B09">
        <w:rPr>
          <w:spacing w:val="-4"/>
        </w:rPr>
        <w:t xml:space="preserve"> </w:t>
      </w:r>
      <w:r w:rsidRPr="00E37D50">
        <w:t>some</w:t>
      </w:r>
      <w:r w:rsidRPr="00052B09">
        <w:rPr>
          <w:spacing w:val="-4"/>
        </w:rPr>
        <w:t xml:space="preserve"> </w:t>
      </w:r>
      <w:r w:rsidRPr="00E37D50">
        <w:t>protection</w:t>
      </w:r>
      <w:r w:rsidRPr="00052B09">
        <w:rPr>
          <w:spacing w:val="-2"/>
        </w:rPr>
        <w:t xml:space="preserve"> </w:t>
      </w:r>
      <w:r w:rsidRPr="00E37D50">
        <w:t>of</w:t>
      </w:r>
      <w:r w:rsidRPr="00052B09">
        <w:rPr>
          <w:spacing w:val="-4"/>
        </w:rPr>
        <w:t xml:space="preserve"> </w:t>
      </w:r>
      <w:r w:rsidRPr="00E37D50">
        <w:t>the</w:t>
      </w:r>
      <w:r w:rsidRPr="00052B09">
        <w:rPr>
          <w:spacing w:val="-4"/>
        </w:rPr>
        <w:t xml:space="preserve"> </w:t>
      </w:r>
      <w:r w:rsidRPr="00E37D50">
        <w:t>skin</w:t>
      </w:r>
      <w:r w:rsidRPr="00052B09">
        <w:rPr>
          <w:spacing w:val="-2"/>
        </w:rPr>
        <w:t xml:space="preserve"> </w:t>
      </w:r>
      <w:r w:rsidRPr="00E37D50">
        <w:t>from</w:t>
      </w:r>
      <w:r w:rsidRPr="00052B09">
        <w:rPr>
          <w:spacing w:val="-4"/>
        </w:rPr>
        <w:t xml:space="preserve"> </w:t>
      </w:r>
      <w:r w:rsidRPr="00E37D50">
        <w:t>UV</w:t>
      </w:r>
      <w:r w:rsidRPr="00052B09">
        <w:rPr>
          <w:spacing w:val="-5"/>
        </w:rPr>
        <w:t xml:space="preserve"> </w:t>
      </w:r>
      <w:r w:rsidRPr="00E37D50">
        <w:t>radiation</w:t>
      </w:r>
      <w:r>
        <w:rPr>
          <w:spacing w:val="-4"/>
        </w:rPr>
        <w:t>.</w:t>
      </w:r>
    </w:p>
    <w:p w14:paraId="7FE35363" w14:textId="378C5B4C" w:rsidR="00B35D71" w:rsidRPr="00E37D50" w:rsidRDefault="00B35D71" w:rsidP="005A0AA8">
      <w:r w:rsidRPr="00E37D50">
        <w:t>Many secondary sunscreen products</w:t>
      </w:r>
      <w:r>
        <w:t>,</w:t>
      </w:r>
      <w:r w:rsidRPr="00E37D50">
        <w:t xml:space="preserve"> </w:t>
      </w:r>
      <w:r w:rsidRPr="00942A1B">
        <w:rPr>
          <w:szCs w:val="22"/>
        </w:rPr>
        <w:t xml:space="preserve">such as cosmetic sunscreens, </w:t>
      </w:r>
      <w:r w:rsidRPr="00E37D50">
        <w:t xml:space="preserve">are not considered to be therapeutic goods and are </w:t>
      </w:r>
      <w:r>
        <w:t>“</w:t>
      </w:r>
      <w:r w:rsidRPr="00E37D50">
        <w:t>excluded</w:t>
      </w:r>
      <w:r>
        <w:t>”</w:t>
      </w:r>
      <w:r w:rsidRPr="00E37D50">
        <w:t xml:space="preserve"> from therapeutic goods legislation</w:t>
      </w:r>
      <w:r>
        <w:t>, provided they meet certain criteria</w:t>
      </w:r>
      <w:r w:rsidR="00342505">
        <w:t xml:space="preserve"> (</w:t>
      </w:r>
      <w:r w:rsidR="000C047F">
        <w:t xml:space="preserve">for more information </w:t>
      </w:r>
      <w:r>
        <w:t>see ‘excluded sunscreens’</w:t>
      </w:r>
      <w:r w:rsidR="00342505">
        <w:t>).</w:t>
      </w:r>
    </w:p>
    <w:p w14:paraId="66E9E6B4" w14:textId="0C0BF7CC" w:rsidR="00053446" w:rsidRPr="00E37D50" w:rsidRDefault="0031686D" w:rsidP="005A0AA8">
      <w:r>
        <w:rPr>
          <w:lang w:val="en-US"/>
        </w:rPr>
        <w:t>U</w:t>
      </w:r>
      <w:r w:rsidR="00D44F66" w:rsidRPr="003F4B2F">
        <w:rPr>
          <w:lang w:val="en-US"/>
        </w:rPr>
        <w:t xml:space="preserve">nder the </w:t>
      </w:r>
      <w:hyperlink r:id="rId10" w:history="1">
        <w:r w:rsidR="00D44F66" w:rsidRPr="004C2AE5">
          <w:rPr>
            <w:rStyle w:val="Hyperlink"/>
            <w:i/>
            <w:iCs/>
            <w:lang w:val="en-US"/>
          </w:rPr>
          <w:t>Therapeutic Goods Act 1989</w:t>
        </w:r>
      </w:hyperlink>
      <w:r w:rsidR="00D44F66" w:rsidRPr="00440C3D">
        <w:rPr>
          <w:i/>
          <w:iCs/>
          <w:lang w:val="en-US"/>
        </w:rPr>
        <w:t xml:space="preserve"> </w:t>
      </w:r>
      <w:r w:rsidR="00D44F66" w:rsidRPr="00AD55B0">
        <w:rPr>
          <w:lang w:val="en-US"/>
        </w:rPr>
        <w:t>(t</w:t>
      </w:r>
      <w:r w:rsidR="00D44F66" w:rsidRPr="003F4B2F">
        <w:rPr>
          <w:lang w:val="en-US"/>
        </w:rPr>
        <w:t xml:space="preserve">he Act)] </w:t>
      </w:r>
      <w:r w:rsidRPr="00E37D50">
        <w:t>and</w:t>
      </w:r>
      <w:r w:rsidRPr="00E37D50">
        <w:rPr>
          <w:spacing w:val="-2"/>
        </w:rPr>
        <w:t xml:space="preserve"> </w:t>
      </w:r>
      <w:r w:rsidRPr="00E37D50">
        <w:t>supporting</w:t>
      </w:r>
      <w:r w:rsidRPr="00E37D50">
        <w:rPr>
          <w:spacing w:val="-4"/>
        </w:rPr>
        <w:t xml:space="preserve"> </w:t>
      </w:r>
      <w:r w:rsidRPr="00E37D50">
        <w:t>legislation</w:t>
      </w:r>
      <w:r>
        <w:t xml:space="preserve">, </w:t>
      </w:r>
      <w:r w:rsidR="00342505" w:rsidRPr="00E37D50">
        <w:t>sunscreen</w:t>
      </w:r>
      <w:r w:rsidR="00053446" w:rsidRPr="00E37D50">
        <w:rPr>
          <w:spacing w:val="-4"/>
        </w:rPr>
        <w:t xml:space="preserve"> </w:t>
      </w:r>
      <w:r w:rsidR="00053446" w:rsidRPr="00E37D50">
        <w:t>products</w:t>
      </w:r>
      <w:r w:rsidR="00053446" w:rsidRPr="00E37D50">
        <w:rPr>
          <w:spacing w:val="-3"/>
        </w:rPr>
        <w:t xml:space="preserve"> </w:t>
      </w:r>
      <w:r w:rsidR="00053446" w:rsidRPr="00E37D50">
        <w:t>that are regulated as therapeutic goods (</w:t>
      </w:r>
      <w:r>
        <w:t>‘</w:t>
      </w:r>
      <w:r w:rsidR="00053446" w:rsidRPr="00241222">
        <w:t>therapeutic sunscreens</w:t>
      </w:r>
      <w:r w:rsidRPr="0031686D">
        <w:t>’</w:t>
      </w:r>
      <w:r w:rsidR="00053446" w:rsidRPr="00E37D50">
        <w:t>) include:</w:t>
      </w:r>
    </w:p>
    <w:p w14:paraId="3644643A" w14:textId="0ACFB185" w:rsidR="00053446" w:rsidRPr="005A0AA8" w:rsidRDefault="00D44F66" w:rsidP="005A0AA8">
      <w:pPr>
        <w:pStyle w:val="ListBullet"/>
      </w:pPr>
      <w:r w:rsidRPr="005A0AA8">
        <w:t>All p</w:t>
      </w:r>
      <w:r w:rsidR="00053446" w:rsidRPr="005A0AA8">
        <w:t>rimary sunscreens</w:t>
      </w:r>
      <w:r w:rsidRPr="005A0AA8">
        <w:t>.</w:t>
      </w:r>
    </w:p>
    <w:p w14:paraId="78C5E0EE" w14:textId="574A2438" w:rsidR="00053446" w:rsidRPr="005A0AA8" w:rsidRDefault="00053446" w:rsidP="005A0AA8">
      <w:pPr>
        <w:pStyle w:val="ListBullet"/>
      </w:pPr>
      <w:r w:rsidRPr="005A0AA8">
        <w:t>Some secondary sunscreens: Products</w:t>
      </w:r>
      <w:r w:rsidR="00B35D71" w:rsidRPr="005A0AA8">
        <w:t xml:space="preserve">, containing sun screening agents, with a primary purpose other than sun protection, </w:t>
      </w:r>
      <w:r w:rsidRPr="005A0AA8">
        <w:t xml:space="preserve">but </w:t>
      </w:r>
      <w:r w:rsidR="00342505" w:rsidRPr="005A0AA8">
        <w:t xml:space="preserve">that </w:t>
      </w:r>
      <w:r w:rsidRPr="005A0AA8">
        <w:t xml:space="preserve">are not </w:t>
      </w:r>
      <w:r w:rsidR="00275E26" w:rsidRPr="005A0AA8">
        <w:t>‘</w:t>
      </w:r>
      <w:r w:rsidRPr="005A0AA8">
        <w:t>excluded</w:t>
      </w:r>
      <w:r w:rsidR="00275E26" w:rsidRPr="005A0AA8">
        <w:t>’</w:t>
      </w:r>
      <w:r w:rsidRPr="005A0AA8">
        <w:t xml:space="preserve"> (see below) from therapeutic goods legislation e.g. sunbathing and moisturising skin care products with an SPF over 15.</w:t>
      </w:r>
    </w:p>
    <w:p w14:paraId="0CA3DC39" w14:textId="010922F2" w:rsidR="00C31794" w:rsidRPr="00C31794" w:rsidRDefault="00C31794" w:rsidP="00355566">
      <w:pPr>
        <w:pStyle w:val="Calloutforkeyinformation"/>
        <w:rPr>
          <w:b/>
          <w:bCs w:val="0"/>
        </w:rPr>
      </w:pPr>
      <w:r w:rsidRPr="00C31794">
        <w:rPr>
          <w:b/>
          <w:bCs w:val="0"/>
        </w:rPr>
        <w:t>Note</w:t>
      </w:r>
    </w:p>
    <w:p w14:paraId="2CB31C64" w14:textId="04820FC6" w:rsidR="00355566" w:rsidRPr="00942A1B" w:rsidRDefault="00355566" w:rsidP="00355566">
      <w:pPr>
        <w:pStyle w:val="Calloutforkeyinformation"/>
        <w:rPr>
          <w:b/>
          <w:bCs w:val="0"/>
        </w:rPr>
      </w:pPr>
      <w:r w:rsidRPr="00942A1B">
        <w:rPr>
          <w:b/>
          <w:bCs w:val="0"/>
        </w:rPr>
        <w:t>Sunscreen</w:t>
      </w:r>
      <w:r w:rsidRPr="00942A1B">
        <w:rPr>
          <w:b/>
          <w:bCs w:val="0"/>
          <w:spacing w:val="-2"/>
        </w:rPr>
        <w:t xml:space="preserve"> </w:t>
      </w:r>
      <w:r w:rsidRPr="00942A1B">
        <w:rPr>
          <w:b/>
          <w:bCs w:val="0"/>
        </w:rPr>
        <w:t>and</w:t>
      </w:r>
      <w:r w:rsidRPr="00942A1B">
        <w:rPr>
          <w:b/>
          <w:bCs w:val="0"/>
          <w:spacing w:val="-3"/>
        </w:rPr>
        <w:t xml:space="preserve"> </w:t>
      </w:r>
      <w:r w:rsidRPr="00942A1B">
        <w:rPr>
          <w:b/>
          <w:bCs w:val="0"/>
        </w:rPr>
        <w:t>insect</w:t>
      </w:r>
      <w:r w:rsidRPr="00942A1B">
        <w:rPr>
          <w:b/>
          <w:bCs w:val="0"/>
          <w:spacing w:val="-2"/>
        </w:rPr>
        <w:t xml:space="preserve"> </w:t>
      </w:r>
      <w:r w:rsidRPr="00942A1B">
        <w:rPr>
          <w:b/>
          <w:bCs w:val="0"/>
        </w:rPr>
        <w:t>repellent</w:t>
      </w:r>
      <w:r w:rsidRPr="00942A1B">
        <w:rPr>
          <w:b/>
          <w:bCs w:val="0"/>
          <w:spacing w:val="-2"/>
        </w:rPr>
        <w:t xml:space="preserve"> </w:t>
      </w:r>
      <w:r w:rsidRPr="00942A1B">
        <w:rPr>
          <w:b/>
          <w:bCs w:val="0"/>
        </w:rPr>
        <w:t>combination</w:t>
      </w:r>
      <w:r w:rsidRPr="00942A1B">
        <w:rPr>
          <w:b/>
          <w:bCs w:val="0"/>
          <w:spacing w:val="-4"/>
        </w:rPr>
        <w:t xml:space="preserve"> </w:t>
      </w:r>
      <w:r w:rsidRPr="00942A1B">
        <w:rPr>
          <w:b/>
          <w:bCs w:val="0"/>
        </w:rPr>
        <w:t>products</w:t>
      </w:r>
    </w:p>
    <w:p w14:paraId="6E54FDF8" w14:textId="77777777" w:rsidR="00355566" w:rsidRPr="00942A1B" w:rsidRDefault="00355566" w:rsidP="00355566">
      <w:pPr>
        <w:pStyle w:val="Calloutforkeyinformation"/>
      </w:pPr>
      <w:r w:rsidRPr="00942A1B">
        <w:t xml:space="preserve">Therapeutic </w:t>
      </w:r>
      <w:proofErr w:type="gramStart"/>
      <w:r w:rsidRPr="00942A1B">
        <w:t>sunscreens</w:t>
      </w:r>
      <w:proofErr w:type="gramEnd"/>
      <w:r w:rsidRPr="00942A1B">
        <w:t xml:space="preserve"> that also make insect repellent claims must comply with all applicable legislative requirements as for any other therapeutic sunscreen.</w:t>
      </w:r>
    </w:p>
    <w:p w14:paraId="5FF1DE1C" w14:textId="59FD3B0B" w:rsidR="0031686D" w:rsidRDefault="00355566" w:rsidP="00355566">
      <w:pPr>
        <w:pStyle w:val="Calloutforkeyinformation"/>
      </w:pPr>
      <w:r w:rsidRPr="00942A1B">
        <w:t xml:space="preserve">In addition, all insect repellents for human use must comply with applicable requirements of the </w:t>
      </w:r>
      <w:hyperlink r:id="rId11">
        <w:r w:rsidRPr="00C47EC5">
          <w:rPr>
            <w:rStyle w:val="Hyperlink"/>
          </w:rPr>
          <w:t>Australian Pesticides and Veterinary Medicines Authority</w:t>
        </w:r>
      </w:hyperlink>
      <w:r w:rsidRPr="00E308CF">
        <w:t xml:space="preserve"> </w:t>
      </w:r>
      <w:r w:rsidRPr="00942A1B">
        <w:t>(APVMA). Refer to APVMA more information.</w:t>
      </w:r>
    </w:p>
    <w:p w14:paraId="60ED727C" w14:textId="77777777" w:rsidR="00E069AC" w:rsidRPr="00E069AC" w:rsidRDefault="00E069AC" w:rsidP="00F75291">
      <w:pPr>
        <w:pStyle w:val="Heading3"/>
      </w:pPr>
      <w:bookmarkStart w:id="15" w:name="_Toc120260200"/>
      <w:bookmarkStart w:id="16" w:name="_Toc181273038"/>
      <w:bookmarkStart w:id="17" w:name="_Toc198297279"/>
      <w:bookmarkStart w:id="18" w:name="_Toc204751306"/>
      <w:r w:rsidRPr="00E069AC">
        <w:t>Regulatory categories of sunscreens</w:t>
      </w:r>
      <w:bookmarkEnd w:id="15"/>
      <w:bookmarkEnd w:id="16"/>
      <w:bookmarkEnd w:id="17"/>
      <w:bookmarkEnd w:id="18"/>
    </w:p>
    <w:p w14:paraId="64660071" w14:textId="77777777" w:rsidR="0090047A" w:rsidRPr="00163A7B" w:rsidRDefault="0090047A" w:rsidP="00241222">
      <w:pPr>
        <w:pStyle w:val="Heading4"/>
      </w:pPr>
      <w:bookmarkStart w:id="19" w:name="_Toc120260202"/>
      <w:bookmarkStart w:id="20" w:name="_Toc204751307"/>
      <w:r w:rsidRPr="00163A7B">
        <w:t>Excluded sunscreens</w:t>
      </w:r>
      <w:bookmarkEnd w:id="19"/>
      <w:bookmarkEnd w:id="20"/>
    </w:p>
    <w:p w14:paraId="238A1572" w14:textId="395C091E" w:rsidR="006B5308" w:rsidRDefault="00D44F66" w:rsidP="005A0AA8">
      <w:pPr>
        <w:rPr>
          <w:spacing w:val="-4"/>
        </w:rPr>
      </w:pPr>
      <w:r w:rsidRPr="00E37D50">
        <w:t xml:space="preserve">Many secondary sunscreen products </w:t>
      </w:r>
      <w:r w:rsidR="006B5308" w:rsidRPr="00942A1B">
        <w:t xml:space="preserve">with a primary purpose other than sun protection </w:t>
      </w:r>
      <w:r w:rsidRPr="00E37D50">
        <w:t xml:space="preserve">are not considered to be therapeutic goods and are </w:t>
      </w:r>
      <w:r>
        <w:t>“</w:t>
      </w:r>
      <w:r w:rsidRPr="00E37D50">
        <w:t>excluded</w:t>
      </w:r>
      <w:r>
        <w:t>”</w:t>
      </w:r>
      <w:r w:rsidRPr="00E37D50">
        <w:t xml:space="preserve"> from therapeutic goods legislation</w:t>
      </w:r>
      <w:r w:rsidR="006B5308">
        <w:t>, provided they meet certain criteria</w:t>
      </w:r>
      <w:r w:rsidRPr="00E37D50">
        <w:t xml:space="preserve">. These product types are outlined under the </w:t>
      </w:r>
      <w:hyperlink r:id="rId12">
        <w:r w:rsidRPr="00C47EC5">
          <w:rPr>
            <w:rStyle w:val="Hyperlink"/>
          </w:rPr>
          <w:t>Therapeutic Goods</w:t>
        </w:r>
      </w:hyperlink>
      <w:r w:rsidRPr="00C47EC5">
        <w:rPr>
          <w:rStyle w:val="Hyperlink"/>
        </w:rPr>
        <w:t xml:space="preserve"> </w:t>
      </w:r>
      <w:hyperlink r:id="rId13">
        <w:r w:rsidRPr="00C47EC5">
          <w:rPr>
            <w:rStyle w:val="Hyperlink"/>
          </w:rPr>
          <w:t>(Excluded Goods) Determination 2018</w:t>
        </w:r>
      </w:hyperlink>
      <w:r w:rsidRPr="00E37D50">
        <w:t xml:space="preserve"> </w:t>
      </w:r>
      <w:r>
        <w:t xml:space="preserve">(Excluded Goods Determination). </w:t>
      </w:r>
      <w:r w:rsidR="00393DBC">
        <w:t xml:space="preserve">Examples </w:t>
      </w:r>
      <w:r w:rsidRPr="00E37D50">
        <w:t>include moisturisers with an SPF less than 15 and tinted</w:t>
      </w:r>
      <w:r w:rsidRPr="00E37D50">
        <w:rPr>
          <w:spacing w:val="-4"/>
        </w:rPr>
        <w:t xml:space="preserve"> </w:t>
      </w:r>
      <w:r w:rsidRPr="00E37D50">
        <w:t>foundations</w:t>
      </w:r>
      <w:r w:rsidRPr="00E37D50">
        <w:rPr>
          <w:spacing w:val="-3"/>
        </w:rPr>
        <w:t xml:space="preserve"> </w:t>
      </w:r>
      <w:r w:rsidRPr="00E37D50">
        <w:t>with</w:t>
      </w:r>
      <w:r w:rsidRPr="00E37D50">
        <w:rPr>
          <w:spacing w:val="-2"/>
        </w:rPr>
        <w:t xml:space="preserve"> </w:t>
      </w:r>
      <w:r w:rsidRPr="00E37D50">
        <w:t>an</w:t>
      </w:r>
      <w:r w:rsidRPr="00E37D50">
        <w:rPr>
          <w:spacing w:val="-2"/>
        </w:rPr>
        <w:t xml:space="preserve"> </w:t>
      </w:r>
      <w:r w:rsidRPr="00E37D50">
        <w:t>SPF</w:t>
      </w:r>
      <w:r w:rsidRPr="00E37D50">
        <w:rPr>
          <w:spacing w:val="-1"/>
        </w:rPr>
        <w:t xml:space="preserve"> </w:t>
      </w:r>
      <w:r w:rsidRPr="00E37D50">
        <w:t>up</w:t>
      </w:r>
      <w:r w:rsidRPr="00E37D50">
        <w:rPr>
          <w:spacing w:val="-4"/>
        </w:rPr>
        <w:t xml:space="preserve"> </w:t>
      </w:r>
      <w:r w:rsidRPr="00E37D50">
        <w:t>to</w:t>
      </w:r>
      <w:r w:rsidRPr="00E37D50">
        <w:rPr>
          <w:spacing w:val="-4"/>
        </w:rPr>
        <w:t xml:space="preserve"> </w:t>
      </w:r>
      <w:r w:rsidRPr="00E37D50">
        <w:t>50</w:t>
      </w:r>
      <w:r>
        <w:t>+</w:t>
      </w:r>
      <w:r w:rsidRPr="00E37D50">
        <w:t>.</w:t>
      </w:r>
      <w:r w:rsidRPr="00E37D50">
        <w:rPr>
          <w:spacing w:val="-4"/>
        </w:rPr>
        <w:t xml:space="preserve"> </w:t>
      </w:r>
      <w:r w:rsidR="006B5308" w:rsidRPr="00942A1B">
        <w:t xml:space="preserve">Refer to Table </w:t>
      </w:r>
      <w:r w:rsidR="00E24A99">
        <w:t>1</w:t>
      </w:r>
      <w:r w:rsidR="006B5308" w:rsidRPr="00942A1B">
        <w:t xml:space="preserve"> for details of these product types.</w:t>
      </w:r>
    </w:p>
    <w:p w14:paraId="071A7FD4" w14:textId="384AB2FC" w:rsidR="00D44F66" w:rsidRPr="00E37D50" w:rsidRDefault="00D44F66" w:rsidP="005A0AA8">
      <w:r w:rsidRPr="00E37D50">
        <w:t>T</w:t>
      </w:r>
      <w:r w:rsidR="006B5308">
        <w:t>o be eligible for exclusion, t</w:t>
      </w:r>
      <w:r w:rsidRPr="00E37D50">
        <w:t>hese</w:t>
      </w:r>
      <w:r w:rsidRPr="00E37D50">
        <w:rPr>
          <w:spacing w:val="-2"/>
        </w:rPr>
        <w:t xml:space="preserve"> </w:t>
      </w:r>
      <w:r w:rsidRPr="00E37D50">
        <w:t>products</w:t>
      </w:r>
      <w:r w:rsidRPr="00E37D50">
        <w:rPr>
          <w:spacing w:val="-3"/>
        </w:rPr>
        <w:t xml:space="preserve"> </w:t>
      </w:r>
      <w:r w:rsidRPr="00E37D50">
        <w:t>must</w:t>
      </w:r>
      <w:r w:rsidRPr="00E37D50">
        <w:rPr>
          <w:spacing w:val="-4"/>
        </w:rPr>
        <w:t xml:space="preserve"> </w:t>
      </w:r>
      <w:r w:rsidRPr="00E37D50">
        <w:t>meet</w:t>
      </w:r>
      <w:r w:rsidRPr="00E37D50">
        <w:rPr>
          <w:spacing w:val="-4"/>
        </w:rPr>
        <w:t xml:space="preserve"> </w:t>
      </w:r>
      <w:r w:rsidRPr="00E37D50">
        <w:t>certain</w:t>
      </w:r>
      <w:r w:rsidRPr="00E37D50">
        <w:rPr>
          <w:spacing w:val="-2"/>
        </w:rPr>
        <w:t xml:space="preserve"> </w:t>
      </w:r>
      <w:r w:rsidRPr="00E37D50">
        <w:t>criteria</w:t>
      </w:r>
      <w:r w:rsidR="006B5308">
        <w:t>, such</w:t>
      </w:r>
      <w:r w:rsidRPr="00E37D50">
        <w:rPr>
          <w:spacing w:val="-2"/>
        </w:rPr>
        <w:t xml:space="preserve"> </w:t>
      </w:r>
      <w:r w:rsidRPr="00E37D50">
        <w:t>as</w:t>
      </w:r>
      <w:r w:rsidR="00E24A99">
        <w:rPr>
          <w:spacing w:val="-3"/>
        </w:rPr>
        <w:t xml:space="preserve"> </w:t>
      </w:r>
      <w:r w:rsidRPr="00E37D50">
        <w:t xml:space="preserve">not containing ingredients included in </w:t>
      </w:r>
      <w:r w:rsidR="006B5308">
        <w:t xml:space="preserve">a schedule to </w:t>
      </w:r>
      <w:r w:rsidRPr="00E37D50">
        <w:t xml:space="preserve">the </w:t>
      </w:r>
      <w:hyperlink r:id="rId14">
        <w:r w:rsidRPr="00C47EC5">
          <w:rPr>
            <w:rStyle w:val="Hyperlink"/>
          </w:rPr>
          <w:t>Poisons Standard</w:t>
        </w:r>
      </w:hyperlink>
      <w:r w:rsidR="00241222" w:rsidRPr="00C47EC5">
        <w:rPr>
          <w:rStyle w:val="Hyperlink"/>
        </w:rPr>
        <w:t xml:space="preserve"> </w:t>
      </w:r>
      <w:r w:rsidR="00241222" w:rsidRPr="00241222">
        <w:t>and</w:t>
      </w:r>
      <w:r w:rsidR="006B5308">
        <w:rPr>
          <w:color w:val="0000FF"/>
        </w:rPr>
        <w:t xml:space="preserve"> </w:t>
      </w:r>
      <w:r w:rsidRPr="00E37D50">
        <w:t>complian</w:t>
      </w:r>
      <w:r w:rsidR="00393DBC">
        <w:t>ce</w:t>
      </w:r>
      <w:r w:rsidRPr="00E37D50">
        <w:t xml:space="preserve"> with the </w:t>
      </w:r>
      <w:r w:rsidR="006B5308">
        <w:t>AZ/NZ</w:t>
      </w:r>
      <w:r>
        <w:t xml:space="preserve"> </w:t>
      </w:r>
      <w:r w:rsidR="0003483A">
        <w:t>standard for sunscreens</w:t>
      </w:r>
      <w:r w:rsidR="00241222">
        <w:t>.</w:t>
      </w:r>
    </w:p>
    <w:p w14:paraId="0766EF39" w14:textId="7F6CC444" w:rsidR="0090047A" w:rsidRPr="0090047A" w:rsidRDefault="0090047A" w:rsidP="005A0AA8">
      <w:r w:rsidRPr="00942A1B">
        <w:t xml:space="preserve">Excluded products are not required to be included in the ARTG </w:t>
      </w:r>
      <w:r w:rsidR="006B5308">
        <w:t xml:space="preserve">and </w:t>
      </w:r>
      <w:r w:rsidRPr="00942A1B">
        <w:t xml:space="preserve">may </w:t>
      </w:r>
      <w:r w:rsidR="0003483A">
        <w:t>meet</w:t>
      </w:r>
      <w:r w:rsidRPr="00942A1B">
        <w:t xml:space="preserve"> the definition of a ‘</w:t>
      </w:r>
      <w:r w:rsidRPr="00942A1B">
        <w:rPr>
          <w:b/>
          <w:i/>
        </w:rPr>
        <w:t>cosmetic</w:t>
      </w:r>
      <w:r w:rsidRPr="00942A1B">
        <w:t xml:space="preserve">’ as defined in the </w:t>
      </w:r>
      <w:hyperlink r:id="rId15">
        <w:r w:rsidRPr="00F439EE">
          <w:rPr>
            <w:rStyle w:val="Hyperlink"/>
            <w:i/>
            <w:iCs/>
          </w:rPr>
          <w:t>Industrial Chemicals Act 2019</w:t>
        </w:r>
        <w:r w:rsidRPr="00B822B5">
          <w:rPr>
            <w:rStyle w:val="Hyperlink"/>
            <w:u w:val="none"/>
          </w:rPr>
          <w:t xml:space="preserve"> </w:t>
        </w:r>
      </w:hyperlink>
      <w:r w:rsidRPr="00942A1B">
        <w:t>(refer to Glossary of terms and abbreviations). For information on the regulatory requirements for these products refer to:</w:t>
      </w:r>
    </w:p>
    <w:p w14:paraId="12F406D9" w14:textId="77777777" w:rsidR="0090047A" w:rsidRPr="00942A1B" w:rsidRDefault="0090047A" w:rsidP="007B38C6">
      <w:pPr>
        <w:pStyle w:val="ListBullet"/>
      </w:pPr>
      <w:r w:rsidRPr="00942A1B">
        <w:lastRenderedPageBreak/>
        <w:t>The</w:t>
      </w:r>
      <w:r w:rsidRPr="0090047A">
        <w:t xml:space="preserve"> </w:t>
      </w:r>
      <w:hyperlink r:id="rId16">
        <w:r w:rsidRPr="0090047A">
          <w:rPr>
            <w:rStyle w:val="Hyperlink"/>
          </w:rPr>
          <w:t>Australian Industrial Chemicals Introduction Scheme</w:t>
        </w:r>
        <w:r w:rsidRPr="00B822B5">
          <w:rPr>
            <w:rStyle w:val="Hyperlink"/>
            <w:u w:val="none"/>
          </w:rPr>
          <w:t xml:space="preserve"> </w:t>
        </w:r>
      </w:hyperlink>
      <w:r w:rsidRPr="00942A1B">
        <w:t>which is responsible for the manufacture and importation of industrial chemicals including ingredients used in cosmetic sunscreens.</w:t>
      </w:r>
    </w:p>
    <w:p w14:paraId="36B75B98" w14:textId="77777777" w:rsidR="0090047A" w:rsidRPr="00942A1B" w:rsidRDefault="0090047A" w:rsidP="007B38C6">
      <w:pPr>
        <w:pStyle w:val="ListBullet"/>
      </w:pPr>
      <w:r w:rsidRPr="00942A1B">
        <w:t xml:space="preserve">The </w:t>
      </w:r>
      <w:hyperlink r:id="rId17">
        <w:r w:rsidRPr="0090047A">
          <w:rPr>
            <w:rStyle w:val="Hyperlink"/>
          </w:rPr>
          <w:t>Australian Competition and Consumer Commission</w:t>
        </w:r>
        <w:r w:rsidRPr="00B822B5">
          <w:rPr>
            <w:rStyle w:val="Hyperlink"/>
            <w:u w:val="none"/>
          </w:rPr>
          <w:t xml:space="preserve"> </w:t>
        </w:r>
      </w:hyperlink>
      <w:r w:rsidRPr="00942A1B">
        <w:t>which is responsible for product safety and labelling standards for consumer products including cosmetics.</w:t>
      </w:r>
    </w:p>
    <w:p w14:paraId="3341A8DE" w14:textId="327A9E55" w:rsidR="0090047A" w:rsidRPr="0090047A" w:rsidRDefault="0090047A" w:rsidP="007B38C6">
      <w:pPr>
        <w:pStyle w:val="ListBullet"/>
      </w:pPr>
      <w:r w:rsidRPr="00942A1B">
        <w:t xml:space="preserve">The </w:t>
      </w:r>
      <w:hyperlink r:id="rId18">
        <w:r w:rsidRPr="0090047A">
          <w:rPr>
            <w:rStyle w:val="Hyperlink"/>
          </w:rPr>
          <w:t>Consumer Goods (Cosmetics) Information Standard 2020</w:t>
        </w:r>
        <w:r w:rsidRPr="00B822B5">
          <w:rPr>
            <w:rStyle w:val="Hyperlink"/>
            <w:u w:val="none"/>
          </w:rPr>
          <w:t xml:space="preserve"> </w:t>
        </w:r>
      </w:hyperlink>
      <w:r w:rsidRPr="00942A1B">
        <w:t>which sets out the</w:t>
      </w:r>
      <w:r w:rsidRPr="00942A1B">
        <w:rPr>
          <w:u w:val="single"/>
        </w:rPr>
        <w:t xml:space="preserve"> </w:t>
      </w:r>
      <w:r w:rsidRPr="00942A1B">
        <w:t>mandatory requirements applying to the labelling of all cosmetic products.</w:t>
      </w:r>
    </w:p>
    <w:p w14:paraId="7DED3A74" w14:textId="3DA92819" w:rsidR="00255288" w:rsidRPr="00255288" w:rsidRDefault="00342505" w:rsidP="00163A7B">
      <w:pPr>
        <w:pStyle w:val="Heading4"/>
      </w:pPr>
      <w:bookmarkStart w:id="21" w:name="_Toc204751308"/>
      <w:r>
        <w:t xml:space="preserve">Therapeutic </w:t>
      </w:r>
      <w:r w:rsidRPr="00163A7B">
        <w:t>sunscreens</w:t>
      </w:r>
      <w:bookmarkEnd w:id="21"/>
    </w:p>
    <w:p w14:paraId="03321C99" w14:textId="2DDAD231" w:rsidR="00342505" w:rsidRPr="00942A1B" w:rsidRDefault="00342505" w:rsidP="005A0AA8">
      <w:r>
        <w:t>T</w:t>
      </w:r>
      <w:r w:rsidRPr="00942A1B">
        <w:t xml:space="preserve">herapeutic sunscreens must be listed or registered in the Australian Register of Therapeutic Goods (ARTG) before they can legally be supplied in Australia (refer to </w:t>
      </w:r>
      <w:hyperlink r:id="rId19">
        <w:r w:rsidRPr="00E069AC">
          <w:rPr>
            <w:rStyle w:val="Hyperlink"/>
          </w:rPr>
          <w:t>Medicines and TGA classifications</w:t>
        </w:r>
        <w:r w:rsidRPr="00B822B5">
          <w:rPr>
            <w:rStyle w:val="Hyperlink"/>
            <w:u w:val="none"/>
          </w:rPr>
          <w:t xml:space="preserve"> </w:t>
        </w:r>
      </w:hyperlink>
      <w:r w:rsidRPr="00942A1B">
        <w:t>for more information on listed and registered therapeutic goods).</w:t>
      </w:r>
    </w:p>
    <w:p w14:paraId="3ED5BBF6" w14:textId="35250491" w:rsidR="00255288" w:rsidRPr="00942A1B" w:rsidRDefault="00393DBC" w:rsidP="005A0AA8">
      <w:r>
        <w:t xml:space="preserve">To supply </w:t>
      </w:r>
      <w:r w:rsidR="00255288" w:rsidRPr="00942A1B">
        <w:t>a therapeutic good in Australia, you must have:</w:t>
      </w:r>
    </w:p>
    <w:p w14:paraId="289898A5" w14:textId="77777777" w:rsidR="00255288" w:rsidRPr="00942A1B" w:rsidRDefault="00255288" w:rsidP="007B38C6">
      <w:pPr>
        <w:pStyle w:val="ListBullet"/>
      </w:pPr>
      <w:r w:rsidRPr="00942A1B">
        <w:t>your own ARTG entry for that therapeutic good; or</w:t>
      </w:r>
    </w:p>
    <w:p w14:paraId="43538B2B" w14:textId="4082EA2F" w:rsidR="00375FAA" w:rsidRPr="00942A1B" w:rsidRDefault="00255288" w:rsidP="007B38C6">
      <w:pPr>
        <w:pStyle w:val="ListBullet"/>
      </w:pPr>
      <w:r w:rsidRPr="00942A1B">
        <w:t>retail arrangements with a sponsor who has an ARTG entry for that therapeutic good.</w:t>
      </w:r>
    </w:p>
    <w:p w14:paraId="0B3B4E60" w14:textId="77777777" w:rsidR="0022206F" w:rsidRPr="00E308CF" w:rsidRDefault="0022206F" w:rsidP="00241222">
      <w:pPr>
        <w:pStyle w:val="Heading5"/>
      </w:pPr>
      <w:bookmarkStart w:id="22" w:name="_Toc120260205"/>
      <w:r w:rsidRPr="0022206F">
        <w:t>Listed</w:t>
      </w:r>
      <w:r w:rsidRPr="00E308CF">
        <w:rPr>
          <w:spacing w:val="-6"/>
        </w:rPr>
        <w:t xml:space="preserve"> </w:t>
      </w:r>
      <w:r w:rsidRPr="00E308CF">
        <w:t>therapeutic</w:t>
      </w:r>
      <w:r w:rsidRPr="00E308CF">
        <w:rPr>
          <w:spacing w:val="-5"/>
        </w:rPr>
        <w:t xml:space="preserve"> </w:t>
      </w:r>
      <w:r w:rsidRPr="00E308CF">
        <w:t>sunscreens</w:t>
      </w:r>
      <w:bookmarkEnd w:id="22"/>
    </w:p>
    <w:p w14:paraId="7D3A68E7" w14:textId="7B38CF7D" w:rsidR="0022206F" w:rsidRDefault="0022206F" w:rsidP="0022206F">
      <w:r w:rsidRPr="00942A1B">
        <w:t xml:space="preserve">The majority of therapeutic sunscreen products fall under the listed medicines framework and are included in the ARTG in accordance with section 26A of the Act and Schedule 4 Part 1 Item 7 of the </w:t>
      </w:r>
      <w:hyperlink r:id="rId20">
        <w:r w:rsidR="0003483A" w:rsidRPr="00C47EC5">
          <w:rPr>
            <w:rStyle w:val="Hyperlink"/>
          </w:rPr>
          <w:t>Therapeutic Goods Regulations</w:t>
        </w:r>
      </w:hyperlink>
      <w:r w:rsidR="007963A4" w:rsidRPr="00C47EC5">
        <w:rPr>
          <w:rStyle w:val="Hyperlink"/>
        </w:rPr>
        <w:t xml:space="preserve"> </w:t>
      </w:r>
      <w:hyperlink r:id="rId21">
        <w:r w:rsidR="0003483A" w:rsidRPr="00C47EC5">
          <w:rPr>
            <w:rStyle w:val="Hyperlink"/>
          </w:rPr>
          <w:t>1990</w:t>
        </w:r>
      </w:hyperlink>
      <w:r w:rsidR="0003483A" w:rsidRPr="00BD4AA7">
        <w:rPr>
          <w:rFonts w:eastAsia="Cambria" w:cs="Times New Roman"/>
        </w:rPr>
        <w:t xml:space="preserve"> </w:t>
      </w:r>
      <w:r w:rsidR="0003483A">
        <w:rPr>
          <w:rFonts w:eastAsia="Cambria" w:cs="Times New Roman"/>
        </w:rPr>
        <w:t>(the Regulations), excerpt below</w:t>
      </w:r>
    </w:p>
    <w:tbl>
      <w:tblPr>
        <w:tblW w:w="9528" w:type="dxa"/>
        <w:tblInd w:w="-284" w:type="dxa"/>
        <w:tblLayout w:type="fixed"/>
        <w:tblCellMar>
          <w:left w:w="0" w:type="dxa"/>
          <w:right w:w="0" w:type="dxa"/>
        </w:tblCellMar>
        <w:tblLook w:val="01E0" w:firstRow="1" w:lastRow="1" w:firstColumn="1" w:lastColumn="1" w:noHBand="0" w:noVBand="0"/>
      </w:tblPr>
      <w:tblGrid>
        <w:gridCol w:w="993"/>
        <w:gridCol w:w="783"/>
        <w:gridCol w:w="7752"/>
      </w:tblGrid>
      <w:tr w:rsidR="0003483A" w:rsidRPr="00E37D50" w14:paraId="3DE2EC56" w14:textId="77777777" w:rsidTr="005A0AA8">
        <w:trPr>
          <w:trHeight w:val="231"/>
        </w:trPr>
        <w:tc>
          <w:tcPr>
            <w:tcW w:w="1776" w:type="dxa"/>
            <w:gridSpan w:val="2"/>
            <w:tcBorders>
              <w:top w:val="single" w:sz="12" w:space="0" w:color="000000"/>
              <w:bottom w:val="single" w:sz="12" w:space="0" w:color="000000"/>
            </w:tcBorders>
          </w:tcPr>
          <w:p w14:paraId="16D67596" w14:textId="77777777" w:rsidR="0003483A" w:rsidRPr="00350A7B" w:rsidRDefault="0003483A" w:rsidP="005A0AA8">
            <w:pPr>
              <w:keepNext/>
              <w:widowControl w:val="0"/>
              <w:autoSpaceDE w:val="0"/>
              <w:autoSpaceDN w:val="0"/>
              <w:spacing w:before="120" w:after="120" w:line="240" w:lineRule="auto"/>
              <w:ind w:left="130"/>
              <w:rPr>
                <w:b/>
                <w:szCs w:val="22"/>
                <w:lang w:val="en-US"/>
              </w:rPr>
            </w:pPr>
            <w:r w:rsidRPr="00350A7B">
              <w:rPr>
                <w:b/>
                <w:szCs w:val="22"/>
                <w:lang w:val="en-US"/>
              </w:rPr>
              <w:t>Item</w:t>
            </w:r>
            <w:r w:rsidRPr="00350A7B">
              <w:rPr>
                <w:b/>
                <w:spacing w:val="-7"/>
                <w:szCs w:val="22"/>
                <w:lang w:val="en-US"/>
              </w:rPr>
              <w:t xml:space="preserve"> </w:t>
            </w:r>
            <w:r w:rsidRPr="00350A7B">
              <w:rPr>
                <w:b/>
                <w:spacing w:val="-5"/>
                <w:szCs w:val="22"/>
                <w:lang w:val="en-US"/>
              </w:rPr>
              <w:t>No.</w:t>
            </w:r>
          </w:p>
        </w:tc>
        <w:tc>
          <w:tcPr>
            <w:tcW w:w="7752" w:type="dxa"/>
            <w:tcBorders>
              <w:top w:val="single" w:sz="12" w:space="0" w:color="000000"/>
              <w:bottom w:val="single" w:sz="12" w:space="0" w:color="000000"/>
            </w:tcBorders>
          </w:tcPr>
          <w:p w14:paraId="3C69B21E" w14:textId="77777777" w:rsidR="0003483A" w:rsidRPr="00350A7B" w:rsidRDefault="0003483A" w:rsidP="005A0AA8">
            <w:pPr>
              <w:widowControl w:val="0"/>
              <w:autoSpaceDE w:val="0"/>
              <w:autoSpaceDN w:val="0"/>
              <w:spacing w:before="120" w:after="120" w:line="240" w:lineRule="auto"/>
              <w:ind w:left="456"/>
              <w:rPr>
                <w:b/>
                <w:szCs w:val="22"/>
                <w:lang w:val="en-US"/>
              </w:rPr>
            </w:pPr>
            <w:r w:rsidRPr="00350A7B">
              <w:rPr>
                <w:b/>
                <w:spacing w:val="-2"/>
                <w:szCs w:val="22"/>
                <w:lang w:val="en-US"/>
              </w:rPr>
              <w:t>Therapeutic</w:t>
            </w:r>
            <w:r w:rsidRPr="00350A7B">
              <w:rPr>
                <w:b/>
                <w:spacing w:val="6"/>
                <w:szCs w:val="22"/>
                <w:lang w:val="en-US"/>
              </w:rPr>
              <w:t xml:space="preserve"> </w:t>
            </w:r>
            <w:r w:rsidRPr="00350A7B">
              <w:rPr>
                <w:b/>
                <w:spacing w:val="-4"/>
                <w:szCs w:val="22"/>
                <w:lang w:val="en-US"/>
              </w:rPr>
              <w:t>goods</w:t>
            </w:r>
          </w:p>
        </w:tc>
      </w:tr>
      <w:tr w:rsidR="0003483A" w:rsidRPr="004813EC" w14:paraId="572453CB" w14:textId="77777777" w:rsidTr="005A0AA8">
        <w:trPr>
          <w:trHeight w:val="3673"/>
        </w:trPr>
        <w:tc>
          <w:tcPr>
            <w:tcW w:w="993" w:type="dxa"/>
            <w:tcBorders>
              <w:top w:val="single" w:sz="12" w:space="0" w:color="000000"/>
              <w:bottom w:val="single" w:sz="2" w:space="0" w:color="000000"/>
            </w:tcBorders>
          </w:tcPr>
          <w:p w14:paraId="45916500" w14:textId="77777777" w:rsidR="0003483A" w:rsidRPr="00350A7B" w:rsidRDefault="0003483A" w:rsidP="005A0AA8">
            <w:pPr>
              <w:widowControl w:val="0"/>
              <w:autoSpaceDE w:val="0"/>
              <w:autoSpaceDN w:val="0"/>
              <w:spacing w:before="120" w:after="0" w:line="240" w:lineRule="auto"/>
              <w:ind w:left="130"/>
              <w:rPr>
                <w:szCs w:val="22"/>
                <w:lang w:val="en-US"/>
              </w:rPr>
            </w:pPr>
            <w:r w:rsidRPr="00350A7B">
              <w:rPr>
                <w:spacing w:val="-10"/>
                <w:szCs w:val="22"/>
                <w:lang w:val="en-US"/>
              </w:rPr>
              <w:t>7</w:t>
            </w:r>
          </w:p>
        </w:tc>
        <w:tc>
          <w:tcPr>
            <w:tcW w:w="8535" w:type="dxa"/>
            <w:gridSpan w:val="2"/>
            <w:tcBorders>
              <w:top w:val="single" w:sz="12" w:space="0" w:color="000000"/>
              <w:bottom w:val="single" w:sz="2" w:space="0" w:color="000000"/>
            </w:tcBorders>
          </w:tcPr>
          <w:p w14:paraId="75DC8EF5" w14:textId="77777777" w:rsidR="0003483A" w:rsidRPr="00350A7B" w:rsidRDefault="0003483A" w:rsidP="005A0AA8">
            <w:pPr>
              <w:widowControl w:val="0"/>
              <w:autoSpaceDE w:val="0"/>
              <w:autoSpaceDN w:val="0"/>
              <w:spacing w:before="120" w:after="0" w:line="240" w:lineRule="auto"/>
              <w:ind w:left="493"/>
              <w:jc w:val="both"/>
              <w:rPr>
                <w:szCs w:val="22"/>
                <w:lang w:val="en-US"/>
              </w:rPr>
            </w:pPr>
            <w:r w:rsidRPr="00350A7B">
              <w:rPr>
                <w:szCs w:val="22"/>
                <w:lang w:val="en-US"/>
              </w:rPr>
              <w:t>sunscreen</w:t>
            </w:r>
            <w:r w:rsidRPr="00350A7B">
              <w:rPr>
                <w:spacing w:val="-10"/>
                <w:szCs w:val="22"/>
                <w:lang w:val="en-US"/>
              </w:rPr>
              <w:t xml:space="preserve"> </w:t>
            </w:r>
            <w:r w:rsidRPr="00350A7B">
              <w:rPr>
                <w:szCs w:val="22"/>
                <w:lang w:val="en-US"/>
              </w:rPr>
              <w:t>preparations</w:t>
            </w:r>
            <w:r w:rsidRPr="00350A7B">
              <w:rPr>
                <w:spacing w:val="-9"/>
                <w:szCs w:val="22"/>
                <w:lang w:val="en-US"/>
              </w:rPr>
              <w:t xml:space="preserve"> </w:t>
            </w:r>
            <w:r w:rsidRPr="00350A7B">
              <w:rPr>
                <w:szCs w:val="22"/>
                <w:lang w:val="en-US"/>
              </w:rPr>
              <w:t>for</w:t>
            </w:r>
            <w:r w:rsidRPr="00350A7B">
              <w:rPr>
                <w:spacing w:val="-7"/>
                <w:szCs w:val="22"/>
                <w:lang w:val="en-US"/>
              </w:rPr>
              <w:t xml:space="preserve"> </w:t>
            </w:r>
            <w:r w:rsidRPr="00350A7B">
              <w:rPr>
                <w:szCs w:val="22"/>
                <w:lang w:val="en-US"/>
              </w:rPr>
              <w:t>dermal</w:t>
            </w:r>
            <w:r w:rsidRPr="00350A7B">
              <w:rPr>
                <w:spacing w:val="-11"/>
                <w:szCs w:val="22"/>
                <w:lang w:val="en-US"/>
              </w:rPr>
              <w:t xml:space="preserve"> </w:t>
            </w:r>
            <w:r w:rsidRPr="00350A7B">
              <w:rPr>
                <w:szCs w:val="22"/>
                <w:lang w:val="en-US"/>
              </w:rPr>
              <w:t>application,</w:t>
            </w:r>
            <w:r w:rsidRPr="00350A7B">
              <w:rPr>
                <w:spacing w:val="-9"/>
                <w:szCs w:val="22"/>
                <w:lang w:val="en-US"/>
              </w:rPr>
              <w:t xml:space="preserve"> </w:t>
            </w:r>
            <w:r w:rsidRPr="00350A7B">
              <w:rPr>
                <w:spacing w:val="-5"/>
                <w:szCs w:val="22"/>
                <w:lang w:val="en-US"/>
              </w:rPr>
              <w:t>if:</w:t>
            </w:r>
          </w:p>
          <w:p w14:paraId="296544AB" w14:textId="77777777" w:rsidR="0003483A" w:rsidRPr="00350A7B" w:rsidRDefault="0003483A" w:rsidP="0003483A">
            <w:pPr>
              <w:widowControl w:val="0"/>
              <w:numPr>
                <w:ilvl w:val="0"/>
                <w:numId w:val="27"/>
              </w:numPr>
              <w:tabs>
                <w:tab w:val="left" w:pos="787"/>
              </w:tabs>
              <w:autoSpaceDE w:val="0"/>
              <w:autoSpaceDN w:val="0"/>
              <w:spacing w:after="0" w:line="240" w:lineRule="auto"/>
              <w:ind w:right="136" w:firstLine="0"/>
              <w:jc w:val="both"/>
              <w:rPr>
                <w:szCs w:val="22"/>
                <w:lang w:val="en-US"/>
              </w:rPr>
            </w:pPr>
            <w:r w:rsidRPr="00350A7B">
              <w:rPr>
                <w:szCs w:val="22"/>
                <w:lang w:val="en-US"/>
              </w:rPr>
              <w:t>the</w:t>
            </w:r>
            <w:r w:rsidRPr="00350A7B">
              <w:rPr>
                <w:spacing w:val="-9"/>
                <w:szCs w:val="22"/>
                <w:lang w:val="en-US"/>
              </w:rPr>
              <w:t xml:space="preserve"> </w:t>
            </w:r>
            <w:r w:rsidRPr="00350A7B">
              <w:rPr>
                <w:szCs w:val="22"/>
                <w:lang w:val="en-US"/>
              </w:rPr>
              <w:t>claimed</w:t>
            </w:r>
            <w:r w:rsidRPr="00350A7B">
              <w:rPr>
                <w:spacing w:val="-11"/>
                <w:szCs w:val="22"/>
                <w:lang w:val="en-US"/>
              </w:rPr>
              <w:t xml:space="preserve"> </w:t>
            </w:r>
            <w:r w:rsidRPr="00350A7B">
              <w:rPr>
                <w:szCs w:val="22"/>
                <w:lang w:val="en-US"/>
              </w:rPr>
              <w:t>sun</w:t>
            </w:r>
            <w:r w:rsidRPr="00350A7B">
              <w:rPr>
                <w:spacing w:val="-11"/>
                <w:szCs w:val="22"/>
                <w:lang w:val="en-US"/>
              </w:rPr>
              <w:t xml:space="preserve"> </w:t>
            </w:r>
            <w:r w:rsidRPr="00350A7B">
              <w:rPr>
                <w:szCs w:val="22"/>
                <w:lang w:val="en-US"/>
              </w:rPr>
              <w:t>protection</w:t>
            </w:r>
            <w:r w:rsidRPr="00350A7B">
              <w:rPr>
                <w:spacing w:val="-11"/>
                <w:szCs w:val="22"/>
                <w:lang w:val="en-US"/>
              </w:rPr>
              <w:t xml:space="preserve"> </w:t>
            </w:r>
            <w:r w:rsidRPr="00350A7B">
              <w:rPr>
                <w:szCs w:val="22"/>
                <w:lang w:val="en-US"/>
              </w:rPr>
              <w:t>factor</w:t>
            </w:r>
            <w:r w:rsidRPr="00350A7B">
              <w:rPr>
                <w:spacing w:val="-10"/>
                <w:szCs w:val="22"/>
                <w:lang w:val="en-US"/>
              </w:rPr>
              <w:t xml:space="preserve"> </w:t>
            </w:r>
            <w:r w:rsidRPr="00350A7B">
              <w:rPr>
                <w:szCs w:val="22"/>
                <w:lang w:val="en-US"/>
              </w:rPr>
              <w:t>has</w:t>
            </w:r>
            <w:r w:rsidRPr="00350A7B">
              <w:rPr>
                <w:spacing w:val="-10"/>
                <w:szCs w:val="22"/>
                <w:lang w:val="en-US"/>
              </w:rPr>
              <w:t xml:space="preserve"> </w:t>
            </w:r>
            <w:r w:rsidRPr="00350A7B">
              <w:rPr>
                <w:szCs w:val="22"/>
                <w:lang w:val="en-US"/>
              </w:rPr>
              <w:t>been</w:t>
            </w:r>
            <w:r w:rsidRPr="00350A7B">
              <w:rPr>
                <w:spacing w:val="-9"/>
                <w:szCs w:val="22"/>
                <w:lang w:val="en-US"/>
              </w:rPr>
              <w:t xml:space="preserve"> </w:t>
            </w:r>
            <w:r w:rsidRPr="00350A7B">
              <w:rPr>
                <w:szCs w:val="22"/>
                <w:lang w:val="en-US"/>
              </w:rPr>
              <w:t>established</w:t>
            </w:r>
            <w:r w:rsidRPr="00350A7B">
              <w:rPr>
                <w:spacing w:val="-9"/>
                <w:szCs w:val="22"/>
                <w:lang w:val="en-US"/>
              </w:rPr>
              <w:t xml:space="preserve"> </w:t>
            </w:r>
            <w:r w:rsidRPr="00350A7B">
              <w:rPr>
                <w:szCs w:val="22"/>
                <w:lang w:val="en-US"/>
              </w:rPr>
              <w:t>by</w:t>
            </w:r>
            <w:r w:rsidRPr="00350A7B">
              <w:rPr>
                <w:spacing w:val="-10"/>
                <w:szCs w:val="22"/>
                <w:lang w:val="en-US"/>
              </w:rPr>
              <w:t xml:space="preserve"> </w:t>
            </w:r>
            <w:r w:rsidRPr="00350A7B">
              <w:rPr>
                <w:szCs w:val="22"/>
                <w:lang w:val="en-US"/>
              </w:rPr>
              <w:t>testing</w:t>
            </w:r>
            <w:r w:rsidRPr="00350A7B">
              <w:rPr>
                <w:spacing w:val="-9"/>
                <w:szCs w:val="22"/>
                <w:lang w:val="en-US"/>
              </w:rPr>
              <w:t xml:space="preserve"> </w:t>
            </w:r>
            <w:r w:rsidRPr="00350A7B">
              <w:rPr>
                <w:szCs w:val="22"/>
                <w:lang w:val="en-US"/>
              </w:rPr>
              <w:t>according</w:t>
            </w:r>
            <w:r w:rsidRPr="00350A7B">
              <w:rPr>
                <w:spacing w:val="-9"/>
                <w:szCs w:val="22"/>
                <w:lang w:val="en-US"/>
              </w:rPr>
              <w:t xml:space="preserve"> </w:t>
            </w:r>
            <w:r w:rsidRPr="00350A7B">
              <w:rPr>
                <w:szCs w:val="22"/>
                <w:lang w:val="en-US"/>
              </w:rPr>
              <w:t>to the</w:t>
            </w:r>
            <w:r w:rsidRPr="00350A7B">
              <w:rPr>
                <w:spacing w:val="40"/>
                <w:szCs w:val="22"/>
                <w:lang w:val="en-US"/>
              </w:rPr>
              <w:t xml:space="preserve"> </w:t>
            </w:r>
            <w:r w:rsidRPr="00350A7B">
              <w:rPr>
                <w:szCs w:val="22"/>
                <w:lang w:val="en-US"/>
              </w:rPr>
              <w:t>method</w:t>
            </w:r>
            <w:r w:rsidRPr="00350A7B">
              <w:rPr>
                <w:spacing w:val="40"/>
                <w:szCs w:val="22"/>
                <w:lang w:val="en-US"/>
              </w:rPr>
              <w:t xml:space="preserve"> </w:t>
            </w:r>
            <w:r w:rsidRPr="00350A7B">
              <w:rPr>
                <w:szCs w:val="22"/>
                <w:lang w:val="en-US"/>
              </w:rPr>
              <w:t>described</w:t>
            </w:r>
            <w:r w:rsidRPr="00350A7B">
              <w:rPr>
                <w:spacing w:val="40"/>
                <w:szCs w:val="22"/>
                <w:lang w:val="en-US"/>
              </w:rPr>
              <w:t xml:space="preserve"> </w:t>
            </w:r>
            <w:r w:rsidRPr="00350A7B">
              <w:rPr>
                <w:szCs w:val="22"/>
                <w:lang w:val="en-US"/>
              </w:rPr>
              <w:t>in</w:t>
            </w:r>
            <w:r w:rsidRPr="00350A7B">
              <w:rPr>
                <w:spacing w:val="40"/>
                <w:szCs w:val="22"/>
                <w:lang w:val="en-US"/>
              </w:rPr>
              <w:t xml:space="preserve"> </w:t>
            </w:r>
            <w:r w:rsidRPr="00350A7B">
              <w:rPr>
                <w:szCs w:val="22"/>
                <w:lang w:val="en-US"/>
              </w:rPr>
              <w:t>Australian/New</w:t>
            </w:r>
            <w:r w:rsidRPr="00350A7B">
              <w:rPr>
                <w:spacing w:val="40"/>
                <w:szCs w:val="22"/>
                <w:lang w:val="en-US"/>
              </w:rPr>
              <w:t xml:space="preserve"> </w:t>
            </w:r>
            <w:r w:rsidRPr="00350A7B">
              <w:rPr>
                <w:szCs w:val="22"/>
                <w:lang w:val="en-US"/>
              </w:rPr>
              <w:t>Zealand</w:t>
            </w:r>
            <w:r w:rsidRPr="00350A7B">
              <w:rPr>
                <w:spacing w:val="40"/>
                <w:szCs w:val="22"/>
                <w:lang w:val="en-US"/>
              </w:rPr>
              <w:t xml:space="preserve"> </w:t>
            </w:r>
            <w:r w:rsidRPr="00350A7B">
              <w:rPr>
                <w:szCs w:val="22"/>
                <w:lang w:val="en-US"/>
              </w:rPr>
              <w:t>Standard</w:t>
            </w:r>
            <w:r w:rsidRPr="00350A7B">
              <w:rPr>
                <w:spacing w:val="40"/>
                <w:szCs w:val="22"/>
                <w:lang w:val="en-US"/>
              </w:rPr>
              <w:t xml:space="preserve"> </w:t>
            </w:r>
            <w:r w:rsidRPr="00350A7B">
              <w:rPr>
                <w:szCs w:val="22"/>
                <w:lang w:val="en-US"/>
              </w:rPr>
              <w:t>AS/NZS 2604:2021,</w:t>
            </w:r>
            <w:r w:rsidRPr="00350A7B">
              <w:rPr>
                <w:spacing w:val="-4"/>
                <w:szCs w:val="22"/>
                <w:lang w:val="en-US"/>
              </w:rPr>
              <w:t xml:space="preserve"> </w:t>
            </w:r>
            <w:r w:rsidRPr="00350A7B">
              <w:rPr>
                <w:szCs w:val="22"/>
                <w:lang w:val="en-US"/>
              </w:rPr>
              <w:t>Sunscreen products</w:t>
            </w:r>
            <w:r w:rsidRPr="00350A7B">
              <w:rPr>
                <w:spacing w:val="-4"/>
                <w:szCs w:val="22"/>
                <w:lang w:val="en-US"/>
              </w:rPr>
              <w:t xml:space="preserve"> </w:t>
            </w:r>
            <w:r w:rsidRPr="00350A7B">
              <w:rPr>
                <w:szCs w:val="22"/>
                <w:lang w:val="en-US"/>
              </w:rPr>
              <w:t>-</w:t>
            </w:r>
            <w:r w:rsidRPr="00350A7B">
              <w:rPr>
                <w:spacing w:val="-5"/>
                <w:szCs w:val="22"/>
                <w:lang w:val="en-US"/>
              </w:rPr>
              <w:t xml:space="preserve"> </w:t>
            </w:r>
            <w:r w:rsidRPr="00350A7B">
              <w:rPr>
                <w:szCs w:val="22"/>
                <w:lang w:val="en-US"/>
              </w:rPr>
              <w:t>Evaluation and classification, published jointly by,</w:t>
            </w:r>
            <w:r w:rsidRPr="00350A7B">
              <w:rPr>
                <w:spacing w:val="-2"/>
                <w:szCs w:val="22"/>
                <w:lang w:val="en-US"/>
              </w:rPr>
              <w:t xml:space="preserve"> </w:t>
            </w:r>
            <w:r w:rsidRPr="00350A7B">
              <w:rPr>
                <w:szCs w:val="22"/>
                <w:lang w:val="en-US"/>
              </w:rPr>
              <w:t>or</w:t>
            </w:r>
            <w:r w:rsidRPr="00350A7B">
              <w:rPr>
                <w:spacing w:val="-1"/>
                <w:szCs w:val="22"/>
                <w:lang w:val="en-US"/>
              </w:rPr>
              <w:t xml:space="preserve"> </w:t>
            </w:r>
            <w:r w:rsidRPr="00350A7B">
              <w:rPr>
                <w:szCs w:val="22"/>
                <w:lang w:val="en-US"/>
              </w:rPr>
              <w:t>on behalf</w:t>
            </w:r>
            <w:r w:rsidRPr="00350A7B">
              <w:rPr>
                <w:spacing w:val="-2"/>
                <w:szCs w:val="22"/>
                <w:lang w:val="en-US"/>
              </w:rPr>
              <w:t xml:space="preserve"> </w:t>
            </w:r>
            <w:r w:rsidRPr="00350A7B">
              <w:rPr>
                <w:szCs w:val="22"/>
                <w:lang w:val="en-US"/>
              </w:rPr>
              <w:t>of,</w:t>
            </w:r>
            <w:r w:rsidRPr="00350A7B">
              <w:rPr>
                <w:spacing w:val="-2"/>
                <w:szCs w:val="22"/>
                <w:lang w:val="en-US"/>
              </w:rPr>
              <w:t xml:space="preserve"> </w:t>
            </w:r>
            <w:r w:rsidRPr="00350A7B">
              <w:rPr>
                <w:szCs w:val="22"/>
                <w:lang w:val="en-US"/>
              </w:rPr>
              <w:t>Standards Australia and Standards New</w:t>
            </w:r>
            <w:r w:rsidRPr="00350A7B">
              <w:rPr>
                <w:spacing w:val="-1"/>
                <w:szCs w:val="22"/>
                <w:lang w:val="en-US"/>
              </w:rPr>
              <w:t xml:space="preserve"> </w:t>
            </w:r>
            <w:r w:rsidRPr="00350A7B">
              <w:rPr>
                <w:szCs w:val="22"/>
                <w:lang w:val="en-US"/>
              </w:rPr>
              <w:t>Zealand, as in</w:t>
            </w:r>
            <w:r w:rsidRPr="00350A7B">
              <w:rPr>
                <w:spacing w:val="-2"/>
                <w:szCs w:val="22"/>
                <w:lang w:val="en-US"/>
              </w:rPr>
              <w:t xml:space="preserve"> </w:t>
            </w:r>
            <w:r w:rsidRPr="00350A7B">
              <w:rPr>
                <w:szCs w:val="22"/>
                <w:lang w:val="en-US"/>
              </w:rPr>
              <w:t>force from time to time; and</w:t>
            </w:r>
          </w:p>
          <w:p w14:paraId="2D080ABF" w14:textId="77777777" w:rsidR="0003483A" w:rsidRPr="00350A7B" w:rsidRDefault="0003483A" w:rsidP="0003483A">
            <w:pPr>
              <w:widowControl w:val="0"/>
              <w:numPr>
                <w:ilvl w:val="0"/>
                <w:numId w:val="27"/>
              </w:numPr>
              <w:tabs>
                <w:tab w:val="left" w:pos="839"/>
              </w:tabs>
              <w:autoSpaceDE w:val="0"/>
              <w:autoSpaceDN w:val="0"/>
              <w:spacing w:after="0" w:line="240" w:lineRule="auto"/>
              <w:ind w:right="140" w:firstLine="0"/>
              <w:jc w:val="both"/>
              <w:rPr>
                <w:szCs w:val="22"/>
                <w:lang w:val="en-US"/>
              </w:rPr>
            </w:pPr>
            <w:r w:rsidRPr="00350A7B">
              <w:rPr>
                <w:szCs w:val="22"/>
                <w:lang w:val="en-US"/>
              </w:rPr>
              <w:t>the performance statements and markings on the label comply with that Standard; and</w:t>
            </w:r>
          </w:p>
          <w:p w14:paraId="289104D3" w14:textId="77777777" w:rsidR="0003483A" w:rsidRPr="00350A7B" w:rsidRDefault="0003483A" w:rsidP="0003483A">
            <w:pPr>
              <w:widowControl w:val="0"/>
              <w:numPr>
                <w:ilvl w:val="0"/>
                <w:numId w:val="27"/>
              </w:numPr>
              <w:tabs>
                <w:tab w:val="left" w:pos="810"/>
              </w:tabs>
              <w:autoSpaceDE w:val="0"/>
              <w:autoSpaceDN w:val="0"/>
              <w:spacing w:before="1" w:after="0" w:line="240" w:lineRule="auto"/>
              <w:ind w:right="138" w:firstLine="0"/>
              <w:jc w:val="both"/>
              <w:rPr>
                <w:szCs w:val="22"/>
                <w:lang w:val="en-US"/>
              </w:rPr>
            </w:pPr>
            <w:proofErr w:type="gramStart"/>
            <w:r w:rsidRPr="00350A7B">
              <w:rPr>
                <w:szCs w:val="22"/>
                <w:lang w:val="en-US"/>
              </w:rPr>
              <w:t>the</w:t>
            </w:r>
            <w:proofErr w:type="gramEnd"/>
            <w:r w:rsidRPr="00350A7B">
              <w:rPr>
                <w:szCs w:val="22"/>
                <w:lang w:val="en-US"/>
              </w:rPr>
              <w:t xml:space="preserve"> sunscreen preparation only contains ingredients that are specified in a determination under paragraph 26BB(1)(a) of the Act; and</w:t>
            </w:r>
          </w:p>
          <w:p w14:paraId="5E72D869" w14:textId="77777777" w:rsidR="0003483A" w:rsidRPr="00350A7B" w:rsidRDefault="0003483A" w:rsidP="0003483A">
            <w:pPr>
              <w:widowControl w:val="0"/>
              <w:numPr>
                <w:ilvl w:val="0"/>
                <w:numId w:val="27"/>
              </w:numPr>
              <w:tabs>
                <w:tab w:val="left" w:pos="892"/>
              </w:tabs>
              <w:autoSpaceDE w:val="0"/>
              <w:autoSpaceDN w:val="0"/>
              <w:spacing w:after="0" w:line="240" w:lineRule="auto"/>
              <w:ind w:right="139" w:firstLine="0"/>
              <w:jc w:val="both"/>
              <w:rPr>
                <w:szCs w:val="22"/>
                <w:lang w:val="en-US"/>
              </w:rPr>
            </w:pPr>
            <w:r w:rsidRPr="00350A7B">
              <w:rPr>
                <w:szCs w:val="22"/>
                <w:lang w:val="en-US"/>
              </w:rPr>
              <w:t>if a determination under paragraph 26BB(1)(b) of the Act specifies requirements in relation to ingredients being contained in the sunscreen preparation—none of the requirements have been contravened; and</w:t>
            </w:r>
          </w:p>
          <w:p w14:paraId="76E5121A" w14:textId="77777777" w:rsidR="0003483A" w:rsidRPr="00350A7B" w:rsidRDefault="0003483A" w:rsidP="0003483A">
            <w:pPr>
              <w:widowControl w:val="0"/>
              <w:numPr>
                <w:ilvl w:val="0"/>
                <w:numId w:val="27"/>
              </w:numPr>
              <w:tabs>
                <w:tab w:val="left" w:pos="863"/>
              </w:tabs>
              <w:autoSpaceDE w:val="0"/>
              <w:autoSpaceDN w:val="0"/>
              <w:spacing w:after="0" w:line="240" w:lineRule="auto"/>
              <w:ind w:right="141" w:firstLine="0"/>
              <w:jc w:val="both"/>
              <w:rPr>
                <w:szCs w:val="22"/>
                <w:lang w:val="en-US"/>
              </w:rPr>
            </w:pPr>
            <w:proofErr w:type="gramStart"/>
            <w:r w:rsidRPr="00350A7B">
              <w:rPr>
                <w:szCs w:val="22"/>
                <w:lang w:val="en-US"/>
              </w:rPr>
              <w:t>the</w:t>
            </w:r>
            <w:proofErr w:type="gramEnd"/>
            <w:r w:rsidRPr="00350A7B">
              <w:rPr>
                <w:szCs w:val="22"/>
                <w:lang w:val="en-US"/>
              </w:rPr>
              <w:t xml:space="preserve"> sunscreen preparation only has indications that are covered by a determination under paragraph 26BF(1)(a) of the Act; and</w:t>
            </w:r>
          </w:p>
          <w:p w14:paraId="4CF4671B" w14:textId="77777777" w:rsidR="0003483A" w:rsidRPr="00350A7B" w:rsidRDefault="0003483A" w:rsidP="0003483A">
            <w:pPr>
              <w:widowControl w:val="0"/>
              <w:numPr>
                <w:ilvl w:val="0"/>
                <w:numId w:val="27"/>
              </w:numPr>
              <w:tabs>
                <w:tab w:val="left" w:pos="843"/>
              </w:tabs>
              <w:autoSpaceDE w:val="0"/>
              <w:autoSpaceDN w:val="0"/>
              <w:spacing w:after="0" w:line="230" w:lineRule="exact"/>
              <w:ind w:right="139" w:firstLine="0"/>
              <w:jc w:val="both"/>
              <w:rPr>
                <w:szCs w:val="22"/>
                <w:lang w:val="en-US"/>
              </w:rPr>
            </w:pPr>
            <w:r w:rsidRPr="00350A7B">
              <w:rPr>
                <w:szCs w:val="22"/>
                <w:lang w:val="en-US"/>
              </w:rPr>
              <w:t>if a determination under paragraph 26BF(1)(b) of the Act specifies requirements in</w:t>
            </w:r>
            <w:r w:rsidRPr="00350A7B">
              <w:rPr>
                <w:spacing w:val="-1"/>
                <w:szCs w:val="22"/>
                <w:lang w:val="en-US"/>
              </w:rPr>
              <w:t xml:space="preserve"> </w:t>
            </w:r>
            <w:r w:rsidRPr="00350A7B">
              <w:rPr>
                <w:szCs w:val="22"/>
                <w:lang w:val="en-US"/>
              </w:rPr>
              <w:t>relation to the indications—none</w:t>
            </w:r>
            <w:r w:rsidRPr="00350A7B">
              <w:rPr>
                <w:spacing w:val="-1"/>
                <w:szCs w:val="22"/>
                <w:lang w:val="en-US"/>
              </w:rPr>
              <w:t xml:space="preserve"> </w:t>
            </w:r>
            <w:r w:rsidRPr="00350A7B">
              <w:rPr>
                <w:szCs w:val="22"/>
                <w:lang w:val="en-US"/>
              </w:rPr>
              <w:t xml:space="preserve">of the requirements have been </w:t>
            </w:r>
            <w:r w:rsidRPr="00350A7B">
              <w:rPr>
                <w:spacing w:val="-2"/>
                <w:szCs w:val="22"/>
                <w:lang w:val="en-US"/>
              </w:rPr>
              <w:t>contravened</w:t>
            </w:r>
          </w:p>
        </w:tc>
      </w:tr>
    </w:tbl>
    <w:p w14:paraId="63FDB21A" w14:textId="77777777" w:rsidR="005A0AA8" w:rsidRDefault="005A0AA8" w:rsidP="0022206F"/>
    <w:p w14:paraId="44D75051" w14:textId="3899166A" w:rsidR="0022206F" w:rsidRPr="00942A1B" w:rsidRDefault="0022206F" w:rsidP="0022206F">
      <w:r w:rsidRPr="00942A1B">
        <w:lastRenderedPageBreak/>
        <w:t>More information about can</w:t>
      </w:r>
      <w:r w:rsidRPr="00942A1B">
        <w:rPr>
          <w:spacing w:val="-2"/>
        </w:rPr>
        <w:t xml:space="preserve"> </w:t>
      </w:r>
      <w:r w:rsidRPr="00942A1B">
        <w:t>be</w:t>
      </w:r>
      <w:r w:rsidRPr="00942A1B">
        <w:rPr>
          <w:spacing w:val="-1"/>
        </w:rPr>
        <w:t xml:space="preserve"> </w:t>
      </w:r>
      <w:r w:rsidRPr="00942A1B">
        <w:t>found</w:t>
      </w:r>
      <w:r w:rsidRPr="00942A1B">
        <w:rPr>
          <w:spacing w:val="-3"/>
        </w:rPr>
        <w:t xml:space="preserve"> </w:t>
      </w:r>
      <w:r w:rsidRPr="00942A1B">
        <w:t>in</w:t>
      </w:r>
      <w:r w:rsidR="000C047F" w:rsidRPr="000C047F">
        <w:t xml:space="preserve"> </w:t>
      </w:r>
      <w:r w:rsidR="000C047F">
        <w:t>‘</w:t>
      </w:r>
      <w:r w:rsidR="000C047F" w:rsidRPr="000C047F">
        <w:t xml:space="preserve">Specific legislative requirements for listed therapeutic </w:t>
      </w:r>
      <w:proofErr w:type="gramStart"/>
      <w:r w:rsidR="000C047F" w:rsidRPr="000C047F">
        <w:t>sunscreens</w:t>
      </w:r>
      <w:r w:rsidR="000C047F">
        <w:t>’</w:t>
      </w:r>
      <w:proofErr w:type="gramEnd"/>
      <w:r w:rsidR="000C047F">
        <w:t>.</w:t>
      </w:r>
      <w:r w:rsidRPr="00942A1B">
        <w:rPr>
          <w:spacing w:val="-3"/>
        </w:rPr>
        <w:t xml:space="preserve"> </w:t>
      </w:r>
    </w:p>
    <w:p w14:paraId="5B1D3DD1" w14:textId="77777777" w:rsidR="00852BFD" w:rsidRPr="00852BFD" w:rsidRDefault="00852BFD" w:rsidP="00241222">
      <w:pPr>
        <w:pStyle w:val="Heading5"/>
        <w:rPr>
          <w:rFonts w:eastAsia="MingLiU"/>
        </w:rPr>
      </w:pPr>
      <w:bookmarkStart w:id="23" w:name="_Toc120260206"/>
      <w:r w:rsidRPr="00852BFD">
        <w:rPr>
          <w:rFonts w:eastAsia="MingLiU"/>
        </w:rPr>
        <w:t>Registered</w:t>
      </w:r>
      <w:r w:rsidRPr="00852BFD">
        <w:rPr>
          <w:rFonts w:eastAsia="MingLiU"/>
          <w:spacing w:val="-5"/>
        </w:rPr>
        <w:t xml:space="preserve"> </w:t>
      </w:r>
      <w:r w:rsidRPr="00852BFD">
        <w:rPr>
          <w:rFonts w:eastAsia="MingLiU"/>
        </w:rPr>
        <w:t>therapeutic</w:t>
      </w:r>
      <w:r w:rsidRPr="00852BFD">
        <w:rPr>
          <w:rFonts w:eastAsia="MingLiU"/>
          <w:spacing w:val="-5"/>
        </w:rPr>
        <w:t xml:space="preserve"> </w:t>
      </w:r>
      <w:r w:rsidRPr="00852BFD">
        <w:rPr>
          <w:rFonts w:eastAsia="MingLiU"/>
        </w:rPr>
        <w:t>sunscreens</w:t>
      </w:r>
      <w:bookmarkEnd w:id="23"/>
    </w:p>
    <w:p w14:paraId="0BD96BEC" w14:textId="77777777" w:rsidR="00852BFD" w:rsidRDefault="00852BFD" w:rsidP="00852BFD">
      <w:pPr>
        <w:spacing w:before="120" w:after="180" w:line="240" w:lineRule="atLeast"/>
        <w:rPr>
          <w:rFonts w:eastAsia="Cambria" w:cs="Times New Roman"/>
          <w:spacing w:val="-1"/>
          <w:kern w:val="0"/>
          <w:u w:color="0000FF"/>
          <w14:ligatures w14:val="none"/>
        </w:rPr>
      </w:pPr>
      <w:r w:rsidRPr="00942A1B">
        <w:rPr>
          <w:rFonts w:eastAsia="Cambria" w:cs="Times New Roman"/>
          <w:kern w:val="0"/>
          <w14:ligatures w14:val="none"/>
        </w:rPr>
        <w:t>Therapeutic sunscreens that are not eligible to be listed in the ARTG require</w:t>
      </w:r>
      <w:r w:rsidRPr="00942A1B">
        <w:rPr>
          <w:rFonts w:eastAsia="Cambria" w:cs="Times New Roman"/>
          <w:spacing w:val="1"/>
          <w:kern w:val="0"/>
          <w14:ligatures w14:val="none"/>
        </w:rPr>
        <w:t xml:space="preserve"> </w:t>
      </w:r>
      <w:r w:rsidRPr="00942A1B">
        <w:rPr>
          <w:rFonts w:eastAsia="Cambria" w:cs="Times New Roman"/>
          <w:kern w:val="0"/>
          <w14:ligatures w14:val="none"/>
        </w:rPr>
        <w:t>inclusion in the ARTG as registered therapeutic goods under section 25 of the Act.</w:t>
      </w:r>
      <w:r w:rsidRPr="00942A1B">
        <w:rPr>
          <w:rFonts w:eastAsia="Cambria" w:cs="Times New Roman"/>
          <w:spacing w:val="1"/>
          <w:kern w:val="0"/>
          <w14:ligatures w14:val="none"/>
        </w:rPr>
        <w:t xml:space="preserve"> </w:t>
      </w:r>
      <w:r w:rsidRPr="00942A1B">
        <w:rPr>
          <w:rFonts w:eastAsia="Cambria" w:cs="Times New Roman"/>
          <w:kern w:val="0"/>
          <w14:ligatures w14:val="none"/>
        </w:rPr>
        <w:t>These</w:t>
      </w:r>
      <w:r w:rsidRPr="00942A1B">
        <w:rPr>
          <w:rFonts w:eastAsia="Cambria" w:cs="Times New Roman"/>
          <w:spacing w:val="-46"/>
          <w:kern w:val="0"/>
          <w14:ligatures w14:val="none"/>
        </w:rPr>
        <w:t xml:space="preserve"> </w:t>
      </w:r>
      <w:r w:rsidRPr="00942A1B">
        <w:rPr>
          <w:rFonts w:eastAsia="Cambria" w:cs="Times New Roman"/>
          <w:kern w:val="0"/>
          <w14:ligatures w14:val="none"/>
        </w:rPr>
        <w:t>products</w:t>
      </w:r>
      <w:r w:rsidRPr="00942A1B">
        <w:rPr>
          <w:rFonts w:eastAsia="Cambria" w:cs="Times New Roman"/>
          <w:spacing w:val="3"/>
          <w:kern w:val="0"/>
          <w14:ligatures w14:val="none"/>
        </w:rPr>
        <w:t xml:space="preserve"> </w:t>
      </w:r>
      <w:r w:rsidRPr="00942A1B">
        <w:rPr>
          <w:rFonts w:eastAsia="Cambria" w:cs="Times New Roman"/>
          <w:kern w:val="0"/>
          <w14:ligatures w14:val="none"/>
        </w:rPr>
        <w:t xml:space="preserve">undergo a full TGA pre-market assessment of their safety, quality and efficacy. Further information on registered medicines can be found in the </w:t>
      </w:r>
      <w:hyperlink r:id="rId22">
        <w:r w:rsidRPr="00C47EC5">
          <w:rPr>
            <w:rStyle w:val="Hyperlink"/>
          </w:rPr>
          <w:t>Australian Regulatory Guidelines for OTC Medicines</w:t>
        </w:r>
        <w:r w:rsidRPr="00FF2ED3">
          <w:rPr>
            <w:rFonts w:eastAsia="Cambria" w:cs="Times New Roman"/>
            <w:color w:val="0000FF"/>
            <w:kern w:val="0"/>
            <w14:ligatures w14:val="none"/>
          </w:rPr>
          <w:t xml:space="preserve"> </w:t>
        </w:r>
      </w:hyperlink>
      <w:r w:rsidRPr="00942A1B">
        <w:rPr>
          <w:rFonts w:eastAsia="Cambria" w:cs="Times New Roman"/>
          <w:kern w:val="0"/>
          <w14:ligatures w14:val="none"/>
        </w:rPr>
        <w:t>(ARGOM)</w:t>
      </w:r>
      <w:r w:rsidRPr="00942A1B">
        <w:rPr>
          <w:rFonts w:eastAsia="Cambria" w:cs="Times New Roman"/>
          <w:spacing w:val="-1"/>
          <w:kern w:val="0"/>
          <w:u w:color="0000FF"/>
          <w14:ligatures w14:val="none"/>
        </w:rPr>
        <w:t>.</w:t>
      </w:r>
    </w:p>
    <w:p w14:paraId="27125CB1" w14:textId="7433F88D" w:rsidR="00066EF7" w:rsidRPr="00942A1B" w:rsidRDefault="00066EF7" w:rsidP="00260E97">
      <w:r w:rsidRPr="00942A1B">
        <w:t xml:space="preserve">You may wish to request a meeting with the TGA prior to </w:t>
      </w:r>
      <w:proofErr w:type="gramStart"/>
      <w:r w:rsidRPr="00942A1B">
        <w:t>submitting an application</w:t>
      </w:r>
      <w:proofErr w:type="gramEnd"/>
      <w:r w:rsidRPr="00942A1B">
        <w:t xml:space="preserve"> for a registered sunscreen. See </w:t>
      </w:r>
      <w:hyperlink r:id="rId23" w:history="1">
        <w:r w:rsidRPr="00C47EC5">
          <w:rPr>
            <w:rStyle w:val="Hyperlink"/>
          </w:rPr>
          <w:t>Pre-submission meetings with the TGA</w:t>
        </w:r>
      </w:hyperlink>
      <w:r w:rsidRPr="00942A1B">
        <w:t xml:space="preserve"> for details on arranging a meeting. There is no fee associated with a pre-submission meeting. The TGA may be able to address any questions proposed for the pre-submission meeting in writing in which case a pre-submission meeting will not be required.</w:t>
      </w:r>
    </w:p>
    <w:p w14:paraId="2B630646" w14:textId="77777777" w:rsidR="00FA3381" w:rsidRDefault="00AF29E5" w:rsidP="00CB17C7">
      <w:pPr>
        <w:spacing w:before="120" w:after="180" w:line="240" w:lineRule="atLeast"/>
        <w:rPr>
          <w:rFonts w:eastAsia="Cambria" w:cs="Times New Roman"/>
          <w:kern w:val="0"/>
          <w14:ligatures w14:val="none"/>
        </w:rPr>
      </w:pPr>
      <w:r w:rsidRPr="00942A1B">
        <w:rPr>
          <w:rFonts w:eastAsia="Cambria" w:cs="Times New Roman"/>
          <w:kern w:val="0"/>
          <w14:ligatures w14:val="none"/>
        </w:rPr>
        <w:t xml:space="preserve">Table </w:t>
      </w:r>
      <w:r w:rsidR="00E24A99">
        <w:rPr>
          <w:rFonts w:eastAsia="Cambria" w:cs="Times New Roman"/>
          <w:kern w:val="0"/>
          <w14:ligatures w14:val="none"/>
        </w:rPr>
        <w:t>1</w:t>
      </w:r>
      <w:r w:rsidR="00E24A99" w:rsidRPr="00942A1B">
        <w:rPr>
          <w:rFonts w:eastAsia="Cambria" w:cs="Times New Roman"/>
          <w:spacing w:val="-2"/>
          <w:kern w:val="0"/>
          <w14:ligatures w14:val="none"/>
        </w:rPr>
        <w:t xml:space="preserve"> </w:t>
      </w:r>
      <w:r w:rsidR="00852BFD" w:rsidRPr="00942A1B">
        <w:rPr>
          <w:rFonts w:eastAsia="Cambria" w:cs="Times New Roman"/>
          <w:kern w:val="0"/>
          <w14:ligatures w14:val="none"/>
        </w:rPr>
        <w:t>provides</w:t>
      </w:r>
      <w:r w:rsidR="00852BFD" w:rsidRPr="00942A1B">
        <w:rPr>
          <w:rFonts w:eastAsia="Cambria" w:cs="Times New Roman"/>
          <w:spacing w:val="-2"/>
          <w:kern w:val="0"/>
          <w14:ligatures w14:val="none"/>
        </w:rPr>
        <w:t xml:space="preserve"> </w:t>
      </w:r>
      <w:r w:rsidR="00852BFD" w:rsidRPr="00942A1B">
        <w:rPr>
          <w:rFonts w:eastAsia="Cambria" w:cs="Times New Roman"/>
          <w:kern w:val="0"/>
          <w14:ligatures w14:val="none"/>
        </w:rPr>
        <w:t>a</w:t>
      </w:r>
      <w:r w:rsidR="00852BFD" w:rsidRPr="00942A1B">
        <w:rPr>
          <w:rFonts w:eastAsia="Cambria" w:cs="Times New Roman"/>
          <w:spacing w:val="-2"/>
          <w:kern w:val="0"/>
          <w14:ligatures w14:val="none"/>
        </w:rPr>
        <w:t xml:space="preserve"> </w:t>
      </w:r>
      <w:r w:rsidR="00852BFD" w:rsidRPr="00942A1B">
        <w:rPr>
          <w:rFonts w:eastAsia="Cambria" w:cs="Times New Roman"/>
          <w:kern w:val="0"/>
          <w14:ligatures w14:val="none"/>
        </w:rPr>
        <w:t>summary</w:t>
      </w:r>
      <w:r w:rsidR="00852BFD" w:rsidRPr="00942A1B">
        <w:rPr>
          <w:rFonts w:eastAsia="Cambria" w:cs="Times New Roman"/>
          <w:spacing w:val="-3"/>
          <w:kern w:val="0"/>
          <w14:ligatures w14:val="none"/>
        </w:rPr>
        <w:t xml:space="preserve"> </w:t>
      </w:r>
      <w:r w:rsidR="00852BFD" w:rsidRPr="00942A1B">
        <w:rPr>
          <w:rFonts w:eastAsia="Cambria" w:cs="Times New Roman"/>
          <w:kern w:val="0"/>
          <w14:ligatures w14:val="none"/>
        </w:rPr>
        <w:t>of</w:t>
      </w:r>
      <w:r w:rsidR="00852BFD" w:rsidRPr="00942A1B">
        <w:rPr>
          <w:rFonts w:eastAsia="Cambria" w:cs="Times New Roman"/>
          <w:spacing w:val="-2"/>
          <w:kern w:val="0"/>
          <w14:ligatures w14:val="none"/>
        </w:rPr>
        <w:t xml:space="preserve"> </w:t>
      </w:r>
      <w:r w:rsidR="00852BFD" w:rsidRPr="00942A1B">
        <w:rPr>
          <w:rFonts w:eastAsia="Cambria" w:cs="Times New Roman"/>
          <w:kern w:val="0"/>
          <w14:ligatures w14:val="none"/>
        </w:rPr>
        <w:t>the</w:t>
      </w:r>
      <w:r w:rsidR="00852BFD" w:rsidRPr="00942A1B">
        <w:rPr>
          <w:rFonts w:eastAsia="Cambria" w:cs="Times New Roman"/>
          <w:spacing w:val="-3"/>
          <w:kern w:val="0"/>
          <w14:ligatures w14:val="none"/>
        </w:rPr>
        <w:t xml:space="preserve"> </w:t>
      </w:r>
      <w:r w:rsidR="00852BFD" w:rsidRPr="00942A1B">
        <w:rPr>
          <w:rFonts w:eastAsia="Cambria" w:cs="Times New Roman"/>
          <w:kern w:val="0"/>
          <w14:ligatures w14:val="none"/>
        </w:rPr>
        <w:t>current</w:t>
      </w:r>
      <w:r w:rsidR="00852BFD" w:rsidRPr="00942A1B">
        <w:rPr>
          <w:rFonts w:eastAsia="Cambria" w:cs="Times New Roman"/>
          <w:spacing w:val="-2"/>
          <w:kern w:val="0"/>
          <w14:ligatures w14:val="none"/>
        </w:rPr>
        <w:t xml:space="preserve"> </w:t>
      </w:r>
      <w:r w:rsidR="00852BFD" w:rsidRPr="00942A1B">
        <w:rPr>
          <w:rFonts w:eastAsia="Cambria" w:cs="Times New Roman"/>
          <w:kern w:val="0"/>
          <w14:ligatures w14:val="none"/>
        </w:rPr>
        <w:t>regulation</w:t>
      </w:r>
      <w:r w:rsidR="00852BFD" w:rsidRPr="00942A1B">
        <w:rPr>
          <w:rFonts w:eastAsia="Cambria" w:cs="Times New Roman"/>
          <w:spacing w:val="-3"/>
          <w:kern w:val="0"/>
          <w14:ligatures w14:val="none"/>
        </w:rPr>
        <w:t xml:space="preserve"> </w:t>
      </w:r>
      <w:r w:rsidR="00852BFD" w:rsidRPr="00942A1B">
        <w:rPr>
          <w:rFonts w:eastAsia="Cambria" w:cs="Times New Roman"/>
          <w:kern w:val="0"/>
          <w14:ligatures w14:val="none"/>
        </w:rPr>
        <w:t>for</w:t>
      </w:r>
      <w:r w:rsidR="00852BFD" w:rsidRPr="00942A1B">
        <w:rPr>
          <w:rFonts w:eastAsia="Cambria" w:cs="Times New Roman"/>
          <w:spacing w:val="-3"/>
          <w:kern w:val="0"/>
          <w14:ligatures w14:val="none"/>
        </w:rPr>
        <w:t xml:space="preserve"> </w:t>
      </w:r>
      <w:r w:rsidR="00852BFD" w:rsidRPr="00942A1B">
        <w:rPr>
          <w:rFonts w:eastAsia="Cambria" w:cs="Times New Roman"/>
          <w:kern w:val="0"/>
          <w14:ligatures w14:val="none"/>
        </w:rPr>
        <w:t>the</w:t>
      </w:r>
      <w:r w:rsidR="00852BFD" w:rsidRPr="00942A1B">
        <w:rPr>
          <w:rFonts w:eastAsia="Cambria" w:cs="Times New Roman"/>
          <w:spacing w:val="-2"/>
          <w:kern w:val="0"/>
          <w14:ligatures w14:val="none"/>
        </w:rPr>
        <w:t xml:space="preserve"> </w:t>
      </w:r>
      <w:r w:rsidR="00852BFD" w:rsidRPr="00942A1B">
        <w:rPr>
          <w:rFonts w:eastAsia="Cambria" w:cs="Times New Roman"/>
          <w:kern w:val="0"/>
          <w14:ligatures w14:val="none"/>
        </w:rPr>
        <w:t>various</w:t>
      </w:r>
      <w:r w:rsidR="00852BFD" w:rsidRPr="00942A1B">
        <w:rPr>
          <w:rFonts w:eastAsia="Cambria" w:cs="Times New Roman"/>
          <w:spacing w:val="-2"/>
          <w:kern w:val="0"/>
          <w14:ligatures w14:val="none"/>
        </w:rPr>
        <w:t xml:space="preserve"> </w:t>
      </w:r>
      <w:r w:rsidR="00852BFD" w:rsidRPr="00942A1B">
        <w:rPr>
          <w:rFonts w:eastAsia="Cambria" w:cs="Times New Roman"/>
          <w:kern w:val="0"/>
          <w14:ligatures w14:val="none"/>
        </w:rPr>
        <w:t>categories</w:t>
      </w:r>
      <w:r w:rsidR="00852BFD" w:rsidRPr="00942A1B">
        <w:rPr>
          <w:rFonts w:eastAsia="Cambria" w:cs="Times New Roman"/>
          <w:spacing w:val="-3"/>
          <w:kern w:val="0"/>
          <w14:ligatures w14:val="none"/>
        </w:rPr>
        <w:t xml:space="preserve"> </w:t>
      </w:r>
      <w:r w:rsidR="00852BFD" w:rsidRPr="00942A1B">
        <w:rPr>
          <w:rFonts w:eastAsia="Cambria" w:cs="Times New Roman"/>
          <w:kern w:val="0"/>
          <w14:ligatures w14:val="none"/>
        </w:rPr>
        <w:t>of</w:t>
      </w:r>
      <w:r w:rsidR="00852BFD" w:rsidRPr="00942A1B">
        <w:rPr>
          <w:rFonts w:eastAsia="Cambria" w:cs="Times New Roman"/>
          <w:spacing w:val="-3"/>
          <w:kern w:val="0"/>
          <w14:ligatures w14:val="none"/>
        </w:rPr>
        <w:t xml:space="preserve"> </w:t>
      </w:r>
      <w:r w:rsidR="00852BFD" w:rsidRPr="00942A1B">
        <w:rPr>
          <w:rFonts w:eastAsia="Cambria" w:cs="Times New Roman"/>
          <w:kern w:val="0"/>
          <w14:ligatures w14:val="none"/>
        </w:rPr>
        <w:t>sunscreens.</w:t>
      </w:r>
    </w:p>
    <w:p w14:paraId="0A991411" w14:textId="77777777" w:rsidR="00FA3381" w:rsidRDefault="00FA3381">
      <w:pPr>
        <w:rPr>
          <w:rFonts w:eastAsia="Cambria" w:cs="Times New Roman"/>
          <w:kern w:val="0"/>
          <w14:ligatures w14:val="none"/>
        </w:rPr>
      </w:pPr>
      <w:r>
        <w:rPr>
          <w:rFonts w:eastAsia="Cambria" w:cs="Times New Roman"/>
          <w:kern w:val="0"/>
          <w14:ligatures w14:val="none"/>
        </w:rPr>
        <w:br w:type="page"/>
      </w:r>
    </w:p>
    <w:p w14:paraId="5D84B979" w14:textId="12EA5D57" w:rsidR="00A37C28" w:rsidRPr="00CB17C7" w:rsidRDefault="00A7294A" w:rsidP="00A7294A">
      <w:pPr>
        <w:pStyle w:val="Tabletitle"/>
      </w:pPr>
      <w:r>
        <w:lastRenderedPageBreak/>
        <w:t xml:space="preserve"> </w:t>
      </w:r>
      <w:r w:rsidRPr="00E308CF">
        <w:t xml:space="preserve">Table </w:t>
      </w:r>
      <w:r>
        <w:t>1</w:t>
      </w:r>
      <w:r w:rsidRPr="00E308CF">
        <w:t>. Summary of the current regulation for the various categories of sunscreens</w:t>
      </w:r>
    </w:p>
    <w:tbl>
      <w:tblPr>
        <w:tblW w:w="906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3"/>
        <w:gridCol w:w="1701"/>
        <w:gridCol w:w="5664"/>
      </w:tblGrid>
      <w:tr w:rsidR="00A65BD0" w:rsidRPr="00E600B9" w14:paraId="59E08D9D" w14:textId="77777777" w:rsidTr="00F5642D">
        <w:trPr>
          <w:trHeight w:val="815"/>
          <w:tblHeader/>
        </w:trPr>
        <w:tc>
          <w:tcPr>
            <w:tcW w:w="1703" w:type="dxa"/>
            <w:shd w:val="clear" w:color="auto" w:fill="E7E6E6" w:themeFill="background2"/>
          </w:tcPr>
          <w:p w14:paraId="174652C2" w14:textId="77777777" w:rsidR="00A65BD0" w:rsidRPr="00E600B9" w:rsidRDefault="00A65BD0" w:rsidP="00420179">
            <w:pPr>
              <w:pStyle w:val="TableParagraph"/>
              <w:keepNext/>
              <w:ind w:right="364"/>
              <w:rPr>
                <w:rFonts w:ascii="Arial" w:hAnsi="Arial" w:cs="Arial"/>
                <w:b/>
                <w:color w:val="000000" w:themeColor="text1"/>
              </w:rPr>
            </w:pPr>
            <w:r w:rsidRPr="00E600B9">
              <w:rPr>
                <w:rFonts w:ascii="Arial" w:hAnsi="Arial" w:cs="Arial"/>
                <w:b/>
                <w:color w:val="000000" w:themeColor="text1"/>
              </w:rPr>
              <w:t>Sunscreen</w:t>
            </w:r>
            <w:r w:rsidRPr="00E600B9">
              <w:rPr>
                <w:rFonts w:ascii="Arial" w:hAnsi="Arial" w:cs="Arial"/>
                <w:b/>
                <w:color w:val="000000" w:themeColor="text1"/>
                <w:spacing w:val="-46"/>
              </w:rPr>
              <w:t xml:space="preserve"> </w:t>
            </w:r>
            <w:r w:rsidRPr="00E600B9">
              <w:rPr>
                <w:rFonts w:ascii="Arial" w:hAnsi="Arial" w:cs="Arial"/>
                <w:b/>
                <w:color w:val="000000" w:themeColor="text1"/>
              </w:rPr>
              <w:t>category</w:t>
            </w:r>
          </w:p>
        </w:tc>
        <w:tc>
          <w:tcPr>
            <w:tcW w:w="1701" w:type="dxa"/>
            <w:shd w:val="clear" w:color="auto" w:fill="E7E6E6" w:themeFill="background2"/>
          </w:tcPr>
          <w:p w14:paraId="7FE1ACB9" w14:textId="77777777" w:rsidR="00A65BD0" w:rsidRPr="00E600B9" w:rsidRDefault="00A65BD0" w:rsidP="00420179">
            <w:pPr>
              <w:pStyle w:val="TableParagraph"/>
              <w:keepNext/>
              <w:ind w:left="117" w:right="246"/>
              <w:rPr>
                <w:rFonts w:ascii="Arial" w:hAnsi="Arial" w:cs="Arial"/>
                <w:b/>
                <w:color w:val="000000" w:themeColor="text1"/>
              </w:rPr>
            </w:pPr>
            <w:r w:rsidRPr="00E600B9">
              <w:rPr>
                <w:rFonts w:ascii="Arial" w:hAnsi="Arial" w:cs="Arial"/>
                <w:b/>
                <w:color w:val="000000" w:themeColor="text1"/>
              </w:rPr>
              <w:t>Required to be in</w:t>
            </w:r>
            <w:r w:rsidRPr="00E600B9">
              <w:rPr>
                <w:rFonts w:ascii="Arial" w:hAnsi="Arial" w:cs="Arial"/>
                <w:b/>
                <w:color w:val="000000" w:themeColor="text1"/>
                <w:spacing w:val="-46"/>
              </w:rPr>
              <w:t xml:space="preserve">     </w:t>
            </w:r>
            <w:r w:rsidRPr="00E600B9">
              <w:rPr>
                <w:rFonts w:ascii="Arial" w:hAnsi="Arial" w:cs="Arial"/>
                <w:b/>
                <w:color w:val="000000" w:themeColor="text1"/>
              </w:rPr>
              <w:t>ARTG?</w:t>
            </w:r>
          </w:p>
        </w:tc>
        <w:tc>
          <w:tcPr>
            <w:tcW w:w="5664" w:type="dxa"/>
            <w:shd w:val="clear" w:color="auto" w:fill="E7E6E6" w:themeFill="background2"/>
          </w:tcPr>
          <w:p w14:paraId="0FAC23A8" w14:textId="77777777" w:rsidR="00A65BD0" w:rsidRPr="00E600B9" w:rsidRDefault="00A65BD0" w:rsidP="00420179">
            <w:pPr>
              <w:pStyle w:val="TableParagraph"/>
              <w:keepNext/>
              <w:ind w:left="108"/>
              <w:rPr>
                <w:rFonts w:ascii="Arial" w:hAnsi="Arial" w:cs="Arial"/>
                <w:b/>
                <w:color w:val="000000" w:themeColor="text1"/>
              </w:rPr>
            </w:pPr>
            <w:r w:rsidRPr="00E600B9">
              <w:rPr>
                <w:rFonts w:ascii="Arial" w:hAnsi="Arial" w:cs="Arial"/>
                <w:b/>
                <w:color w:val="000000" w:themeColor="text1"/>
              </w:rPr>
              <w:t>Product</w:t>
            </w:r>
            <w:r w:rsidRPr="00E600B9">
              <w:rPr>
                <w:rFonts w:ascii="Arial" w:hAnsi="Arial" w:cs="Arial"/>
                <w:b/>
                <w:color w:val="000000" w:themeColor="text1"/>
                <w:spacing w:val="-2"/>
              </w:rPr>
              <w:t xml:space="preserve"> </w:t>
            </w:r>
            <w:r w:rsidRPr="00E600B9">
              <w:rPr>
                <w:rFonts w:ascii="Arial" w:hAnsi="Arial" w:cs="Arial"/>
                <w:b/>
                <w:color w:val="000000" w:themeColor="text1"/>
              </w:rPr>
              <w:t>type</w:t>
            </w:r>
          </w:p>
        </w:tc>
      </w:tr>
      <w:tr w:rsidR="00A65BD0" w:rsidRPr="00E308CF" w14:paraId="7F264363" w14:textId="77777777" w:rsidTr="00F5642D">
        <w:trPr>
          <w:trHeight w:val="7600"/>
        </w:trPr>
        <w:tc>
          <w:tcPr>
            <w:tcW w:w="1703" w:type="dxa"/>
          </w:tcPr>
          <w:p w14:paraId="16A5B8F9" w14:textId="7F323571" w:rsidR="00A65BD0" w:rsidRPr="00942A1B" w:rsidRDefault="00AF29E5" w:rsidP="00420179">
            <w:pPr>
              <w:pStyle w:val="TableParagraph"/>
              <w:ind w:right="264"/>
              <w:rPr>
                <w:rFonts w:ascii="Arial" w:hAnsi="Arial" w:cs="Arial"/>
              </w:rPr>
            </w:pPr>
            <w:r w:rsidRPr="00942A1B">
              <w:rPr>
                <w:rFonts w:ascii="Arial" w:hAnsi="Arial" w:cs="Arial"/>
                <w:u w:color="0000FF"/>
              </w:rPr>
              <w:t>Excluded</w:t>
            </w:r>
            <w:r w:rsidR="00A65BD0" w:rsidRPr="00942A1B">
              <w:rPr>
                <w:rFonts w:ascii="Arial" w:hAnsi="Arial" w:cs="Arial"/>
                <w:spacing w:val="1"/>
              </w:rPr>
              <w:t xml:space="preserve"> </w:t>
            </w:r>
            <w:r w:rsidRPr="00942A1B">
              <w:rPr>
                <w:rFonts w:ascii="Arial" w:hAnsi="Arial" w:cs="Arial"/>
                <w:u w:color="0000FF"/>
              </w:rPr>
              <w:t>sunscreens</w:t>
            </w:r>
          </w:p>
        </w:tc>
        <w:tc>
          <w:tcPr>
            <w:tcW w:w="1701" w:type="dxa"/>
          </w:tcPr>
          <w:p w14:paraId="6EB5E260" w14:textId="77777777" w:rsidR="00A65BD0" w:rsidRPr="00942A1B" w:rsidRDefault="00A65BD0" w:rsidP="00420179">
            <w:pPr>
              <w:pStyle w:val="TableParagraph"/>
              <w:rPr>
                <w:rFonts w:ascii="Arial" w:hAnsi="Arial" w:cs="Arial"/>
                <w:b/>
              </w:rPr>
            </w:pPr>
            <w:r w:rsidRPr="00942A1B">
              <w:rPr>
                <w:rFonts w:ascii="Arial" w:hAnsi="Arial" w:cs="Arial"/>
                <w:b/>
              </w:rPr>
              <w:t>No</w:t>
            </w:r>
          </w:p>
          <w:p w14:paraId="52BA6660" w14:textId="77777777" w:rsidR="00A65BD0" w:rsidRPr="00942A1B" w:rsidRDefault="00A65BD0" w:rsidP="00420179">
            <w:pPr>
              <w:pStyle w:val="TableParagraph"/>
              <w:spacing w:before="181"/>
              <w:ind w:right="131"/>
              <w:rPr>
                <w:rFonts w:ascii="Arial" w:hAnsi="Arial" w:cs="Arial"/>
              </w:rPr>
            </w:pPr>
            <w:r w:rsidRPr="00942A1B">
              <w:rPr>
                <w:rFonts w:ascii="Arial" w:hAnsi="Arial" w:cs="Arial"/>
              </w:rPr>
              <w:t>Excluded from</w:t>
            </w:r>
            <w:r w:rsidRPr="00942A1B">
              <w:rPr>
                <w:rFonts w:ascii="Arial" w:hAnsi="Arial" w:cs="Arial"/>
                <w:spacing w:val="1"/>
              </w:rPr>
              <w:t xml:space="preserve"> </w:t>
            </w:r>
            <w:r w:rsidRPr="00942A1B">
              <w:rPr>
                <w:rFonts w:ascii="Arial" w:hAnsi="Arial" w:cs="Arial"/>
              </w:rPr>
              <w:t>therapeutic goods</w:t>
            </w:r>
            <w:r w:rsidRPr="00942A1B">
              <w:rPr>
                <w:rFonts w:ascii="Arial" w:hAnsi="Arial" w:cs="Arial"/>
                <w:spacing w:val="1"/>
              </w:rPr>
              <w:t xml:space="preserve"> </w:t>
            </w:r>
            <w:r w:rsidRPr="00942A1B">
              <w:rPr>
                <w:rFonts w:ascii="Arial" w:hAnsi="Arial" w:cs="Arial"/>
              </w:rPr>
              <w:t>legislation under</w:t>
            </w:r>
            <w:r w:rsidRPr="00942A1B">
              <w:rPr>
                <w:rFonts w:ascii="Arial" w:hAnsi="Arial" w:cs="Arial"/>
                <w:spacing w:val="1"/>
              </w:rPr>
              <w:t xml:space="preserve"> </w:t>
            </w:r>
            <w:r w:rsidRPr="00942A1B">
              <w:rPr>
                <w:rFonts w:ascii="Arial" w:hAnsi="Arial" w:cs="Arial"/>
              </w:rPr>
              <w:t>the Excluded Goods</w:t>
            </w:r>
            <w:r w:rsidRPr="00942A1B">
              <w:rPr>
                <w:rFonts w:ascii="Arial" w:hAnsi="Arial" w:cs="Arial"/>
                <w:spacing w:val="-46"/>
              </w:rPr>
              <w:t xml:space="preserve"> </w:t>
            </w:r>
            <w:r w:rsidRPr="00942A1B">
              <w:rPr>
                <w:rFonts w:ascii="Arial" w:hAnsi="Arial" w:cs="Arial"/>
              </w:rPr>
              <w:t>Determination.</w:t>
            </w:r>
          </w:p>
        </w:tc>
        <w:tc>
          <w:tcPr>
            <w:tcW w:w="5664" w:type="dxa"/>
          </w:tcPr>
          <w:p w14:paraId="53F6411F" w14:textId="77777777" w:rsidR="00A65BD0" w:rsidRPr="00942A1B" w:rsidRDefault="00A65BD0" w:rsidP="00420179">
            <w:pPr>
              <w:pStyle w:val="TableParagraph"/>
              <w:ind w:left="108" w:right="455"/>
              <w:rPr>
                <w:rFonts w:ascii="Arial" w:hAnsi="Arial" w:cs="Arial"/>
              </w:rPr>
            </w:pPr>
            <w:r w:rsidRPr="00942A1B">
              <w:rPr>
                <w:rFonts w:ascii="Arial" w:hAnsi="Arial" w:cs="Arial"/>
              </w:rPr>
              <w:t xml:space="preserve">Excluded sunscreens are </w:t>
            </w:r>
            <w:r w:rsidRPr="00942A1B">
              <w:rPr>
                <w:rFonts w:ascii="Arial" w:hAnsi="Arial" w:cs="Arial"/>
                <w:b/>
              </w:rPr>
              <w:t xml:space="preserve">secondary </w:t>
            </w:r>
            <w:r w:rsidRPr="00942A1B">
              <w:rPr>
                <w:rFonts w:ascii="Arial" w:hAnsi="Arial" w:cs="Arial"/>
              </w:rPr>
              <w:t>sunscreen</w:t>
            </w:r>
            <w:r w:rsidRPr="00942A1B">
              <w:rPr>
                <w:rFonts w:ascii="Arial" w:hAnsi="Arial" w:cs="Arial"/>
                <w:spacing w:val="1"/>
              </w:rPr>
              <w:t xml:space="preserve"> </w:t>
            </w:r>
            <w:r w:rsidRPr="00942A1B">
              <w:rPr>
                <w:rFonts w:ascii="Arial" w:hAnsi="Arial" w:cs="Arial"/>
              </w:rPr>
              <w:t>products that are used, advertised or presented for</w:t>
            </w:r>
            <w:r w:rsidRPr="00942A1B">
              <w:rPr>
                <w:rFonts w:ascii="Arial" w:hAnsi="Arial" w:cs="Arial"/>
                <w:spacing w:val="-47"/>
              </w:rPr>
              <w:t xml:space="preserve"> </w:t>
            </w:r>
            <w:r w:rsidRPr="00942A1B">
              <w:rPr>
                <w:rFonts w:ascii="Arial" w:hAnsi="Arial" w:cs="Arial"/>
              </w:rPr>
              <w:t>supply</w:t>
            </w:r>
            <w:r w:rsidRPr="00942A1B">
              <w:rPr>
                <w:rFonts w:ascii="Arial" w:hAnsi="Arial" w:cs="Arial"/>
                <w:spacing w:val="-2"/>
              </w:rPr>
              <w:t xml:space="preserve"> </w:t>
            </w:r>
            <w:r w:rsidRPr="00942A1B">
              <w:rPr>
                <w:rFonts w:ascii="Arial" w:hAnsi="Arial" w:cs="Arial"/>
              </w:rPr>
              <w:t>in</w:t>
            </w:r>
            <w:r w:rsidRPr="00942A1B">
              <w:rPr>
                <w:rFonts w:ascii="Arial" w:hAnsi="Arial" w:cs="Arial"/>
                <w:spacing w:val="-2"/>
              </w:rPr>
              <w:t xml:space="preserve"> </w:t>
            </w:r>
            <w:r w:rsidRPr="00942A1B">
              <w:rPr>
                <w:rFonts w:ascii="Arial" w:hAnsi="Arial" w:cs="Arial"/>
              </w:rPr>
              <w:t>the</w:t>
            </w:r>
            <w:r w:rsidRPr="00942A1B">
              <w:rPr>
                <w:rFonts w:ascii="Arial" w:hAnsi="Arial" w:cs="Arial"/>
                <w:spacing w:val="-1"/>
              </w:rPr>
              <w:t xml:space="preserve"> </w:t>
            </w:r>
            <w:r w:rsidRPr="00942A1B">
              <w:rPr>
                <w:rFonts w:ascii="Arial" w:hAnsi="Arial" w:cs="Arial"/>
              </w:rPr>
              <w:t>following</w:t>
            </w:r>
            <w:r w:rsidRPr="00942A1B">
              <w:rPr>
                <w:rFonts w:ascii="Arial" w:hAnsi="Arial" w:cs="Arial"/>
                <w:spacing w:val="-2"/>
              </w:rPr>
              <w:t xml:space="preserve"> </w:t>
            </w:r>
            <w:r w:rsidRPr="00942A1B">
              <w:rPr>
                <w:rFonts w:ascii="Arial" w:hAnsi="Arial" w:cs="Arial"/>
              </w:rPr>
              <w:t>ways:</w:t>
            </w:r>
          </w:p>
          <w:p w14:paraId="292D30B5" w14:textId="77777777" w:rsidR="00A65BD0" w:rsidRPr="00942A1B" w:rsidRDefault="00A65BD0" w:rsidP="0073748E">
            <w:pPr>
              <w:pStyle w:val="TableParagraph"/>
              <w:numPr>
                <w:ilvl w:val="0"/>
                <w:numId w:val="9"/>
              </w:numPr>
              <w:tabs>
                <w:tab w:val="left" w:pos="465"/>
                <w:tab w:val="left" w:pos="466"/>
              </w:tabs>
              <w:spacing w:before="181"/>
              <w:ind w:left="465" w:right="291"/>
              <w:rPr>
                <w:rFonts w:ascii="Arial" w:hAnsi="Arial" w:cs="Arial"/>
                <w:b/>
              </w:rPr>
            </w:pPr>
            <w:r w:rsidRPr="00942A1B">
              <w:rPr>
                <w:rFonts w:ascii="Arial" w:hAnsi="Arial" w:cs="Arial"/>
              </w:rPr>
              <w:t>products for application to the lips with</w:t>
            </w:r>
            <w:r w:rsidRPr="00942A1B">
              <w:rPr>
                <w:rFonts w:ascii="Arial" w:hAnsi="Arial" w:cs="Arial"/>
                <w:spacing w:val="-46"/>
              </w:rPr>
              <w:t xml:space="preserve">   </w:t>
            </w:r>
            <w:r w:rsidRPr="00942A1B">
              <w:rPr>
                <w:rFonts w:ascii="Arial" w:hAnsi="Arial" w:cs="Arial"/>
                <w:b/>
              </w:rPr>
              <w:t>SPF of</w:t>
            </w:r>
            <w:r w:rsidRPr="00942A1B">
              <w:rPr>
                <w:rFonts w:ascii="Arial" w:hAnsi="Arial" w:cs="Arial"/>
                <w:b/>
                <w:spacing w:val="-2"/>
              </w:rPr>
              <w:t xml:space="preserve"> </w:t>
            </w:r>
            <w:r w:rsidRPr="00942A1B">
              <w:rPr>
                <w:rFonts w:ascii="Arial" w:hAnsi="Arial" w:cs="Arial"/>
                <w:b/>
              </w:rPr>
              <w:t>4</w:t>
            </w:r>
            <w:r w:rsidRPr="00942A1B">
              <w:rPr>
                <w:rFonts w:ascii="Arial" w:hAnsi="Arial" w:cs="Arial"/>
                <w:b/>
                <w:spacing w:val="-2"/>
              </w:rPr>
              <w:t xml:space="preserve"> </w:t>
            </w:r>
            <w:r w:rsidRPr="00942A1B">
              <w:rPr>
                <w:rFonts w:ascii="Arial" w:hAnsi="Arial" w:cs="Arial"/>
                <w:b/>
              </w:rPr>
              <w:t>or</w:t>
            </w:r>
            <w:r w:rsidRPr="00942A1B">
              <w:rPr>
                <w:rFonts w:ascii="Arial" w:hAnsi="Arial" w:cs="Arial"/>
                <w:b/>
                <w:spacing w:val="-2"/>
              </w:rPr>
              <w:t xml:space="preserve"> </w:t>
            </w:r>
            <w:r w:rsidRPr="00942A1B">
              <w:rPr>
                <w:rFonts w:ascii="Arial" w:hAnsi="Arial" w:cs="Arial"/>
                <w:b/>
              </w:rPr>
              <w:t>more</w:t>
            </w:r>
          </w:p>
          <w:p w14:paraId="45B25F8D" w14:textId="77777777" w:rsidR="00A65BD0" w:rsidRPr="00942A1B" w:rsidRDefault="00A65BD0" w:rsidP="0073748E">
            <w:pPr>
              <w:pStyle w:val="TableParagraph"/>
              <w:numPr>
                <w:ilvl w:val="0"/>
                <w:numId w:val="9"/>
              </w:numPr>
              <w:tabs>
                <w:tab w:val="left" w:pos="465"/>
                <w:tab w:val="left" w:pos="466"/>
              </w:tabs>
              <w:spacing w:before="181"/>
              <w:ind w:left="465" w:right="294"/>
              <w:rPr>
                <w:rFonts w:ascii="Arial" w:hAnsi="Arial" w:cs="Arial"/>
              </w:rPr>
            </w:pPr>
            <w:r w:rsidRPr="00942A1B">
              <w:rPr>
                <w:rFonts w:ascii="Arial" w:hAnsi="Arial" w:cs="Arial"/>
              </w:rPr>
              <w:t>tinted bases and foundations (liquids,</w:t>
            </w:r>
            <w:r w:rsidRPr="00942A1B">
              <w:rPr>
                <w:rFonts w:ascii="Arial" w:hAnsi="Arial" w:cs="Arial"/>
                <w:spacing w:val="1"/>
              </w:rPr>
              <w:t xml:space="preserve"> </w:t>
            </w:r>
            <w:r w:rsidRPr="00942A1B">
              <w:rPr>
                <w:rFonts w:ascii="Arial" w:hAnsi="Arial" w:cs="Arial"/>
              </w:rPr>
              <w:t xml:space="preserve">pastes or powders) with </w:t>
            </w:r>
            <w:r w:rsidRPr="00942A1B">
              <w:rPr>
                <w:rFonts w:ascii="Arial" w:hAnsi="Arial" w:cs="Arial"/>
                <w:b/>
                <w:bCs/>
              </w:rPr>
              <w:t>SPF of 4</w:t>
            </w:r>
            <w:r w:rsidRPr="00942A1B">
              <w:rPr>
                <w:rFonts w:ascii="Arial" w:hAnsi="Arial" w:cs="Arial"/>
                <w:b/>
                <w:bCs/>
                <w:spacing w:val="-46"/>
              </w:rPr>
              <w:t xml:space="preserve">   </w:t>
            </w:r>
            <w:r w:rsidRPr="00942A1B">
              <w:rPr>
                <w:rFonts w:ascii="Arial" w:hAnsi="Arial" w:cs="Arial"/>
                <w:b/>
                <w:bCs/>
              </w:rPr>
              <w:t>or</w:t>
            </w:r>
            <w:r w:rsidRPr="00942A1B">
              <w:rPr>
                <w:rFonts w:ascii="Arial" w:hAnsi="Arial" w:cs="Arial"/>
                <w:b/>
                <w:bCs/>
                <w:spacing w:val="-1"/>
              </w:rPr>
              <w:t xml:space="preserve"> </w:t>
            </w:r>
            <w:r w:rsidRPr="00942A1B">
              <w:rPr>
                <w:rFonts w:ascii="Arial" w:hAnsi="Arial" w:cs="Arial"/>
                <w:b/>
                <w:bCs/>
              </w:rPr>
              <w:t>more</w:t>
            </w:r>
          </w:p>
          <w:p w14:paraId="67088F38" w14:textId="77777777" w:rsidR="00A65BD0" w:rsidRPr="00942A1B" w:rsidRDefault="00A65BD0" w:rsidP="0073748E">
            <w:pPr>
              <w:pStyle w:val="TableParagraph"/>
              <w:numPr>
                <w:ilvl w:val="0"/>
                <w:numId w:val="9"/>
              </w:numPr>
              <w:tabs>
                <w:tab w:val="left" w:pos="465"/>
                <w:tab w:val="left" w:pos="466"/>
              </w:tabs>
              <w:spacing w:before="181"/>
              <w:ind w:left="465" w:right="294"/>
              <w:rPr>
                <w:rFonts w:ascii="Arial" w:hAnsi="Arial" w:cs="Arial"/>
              </w:rPr>
            </w:pPr>
            <w:r w:rsidRPr="00942A1B">
              <w:rPr>
                <w:rFonts w:ascii="Arial" w:hAnsi="Arial" w:cs="Arial"/>
              </w:rPr>
              <w:t>moisturising skin care products for dermal application (including anti-wrinkle, anti-aging and skin whitening products), in a pack size no larger than 300mL or 300g, with an SPF between 4 and 15, but not presented as being water resistant</w:t>
            </w:r>
          </w:p>
          <w:p w14:paraId="4E6B3FDE" w14:textId="43156FA9" w:rsidR="00A65BD0" w:rsidRPr="00942A1B" w:rsidRDefault="00A65BD0" w:rsidP="0073748E">
            <w:pPr>
              <w:pStyle w:val="TableParagraph"/>
              <w:numPr>
                <w:ilvl w:val="0"/>
                <w:numId w:val="8"/>
              </w:numPr>
              <w:tabs>
                <w:tab w:val="left" w:pos="466"/>
                <w:tab w:val="left" w:pos="467"/>
              </w:tabs>
              <w:spacing w:before="179"/>
              <w:ind w:right="301"/>
              <w:rPr>
                <w:rFonts w:ascii="Arial" w:hAnsi="Arial" w:cs="Arial"/>
              </w:rPr>
            </w:pPr>
            <w:r w:rsidRPr="00942A1B">
              <w:rPr>
                <w:rFonts w:ascii="Arial" w:hAnsi="Arial" w:cs="Arial"/>
              </w:rPr>
              <w:t>sunbathing skin care products (oils,</w:t>
            </w:r>
            <w:r w:rsidRPr="00942A1B">
              <w:rPr>
                <w:rFonts w:ascii="Arial" w:hAnsi="Arial" w:cs="Arial"/>
                <w:spacing w:val="1"/>
              </w:rPr>
              <w:t xml:space="preserve"> </w:t>
            </w:r>
            <w:r w:rsidRPr="00942A1B">
              <w:rPr>
                <w:rFonts w:ascii="Arial" w:hAnsi="Arial" w:cs="Arial"/>
              </w:rPr>
              <w:t>creams, gels, without sun tanning products, and</w:t>
            </w:r>
            <w:r w:rsidRPr="00942A1B">
              <w:rPr>
                <w:rFonts w:ascii="Arial" w:hAnsi="Arial" w:cs="Arial"/>
                <w:spacing w:val="1"/>
              </w:rPr>
              <w:t xml:space="preserve"> </w:t>
            </w:r>
            <w:r w:rsidRPr="00942A1B">
              <w:rPr>
                <w:rFonts w:ascii="Arial" w:hAnsi="Arial" w:cs="Arial"/>
              </w:rPr>
              <w:t xml:space="preserve">after-sun care products) in a pack size not </w:t>
            </w:r>
            <w:proofErr w:type="gramStart"/>
            <w:r w:rsidRPr="00942A1B">
              <w:rPr>
                <w:rFonts w:ascii="Arial" w:hAnsi="Arial" w:cs="Arial"/>
              </w:rPr>
              <w:t>larger</w:t>
            </w:r>
            <w:r w:rsidR="00B02050" w:rsidRPr="00942A1B">
              <w:rPr>
                <w:rFonts w:ascii="Arial" w:hAnsi="Arial" w:cs="Arial"/>
                <w:spacing w:val="-46"/>
              </w:rPr>
              <w:t xml:space="preserve">  </w:t>
            </w:r>
            <w:r w:rsidRPr="00942A1B">
              <w:rPr>
                <w:rFonts w:ascii="Arial" w:hAnsi="Arial" w:cs="Arial"/>
              </w:rPr>
              <w:t>than</w:t>
            </w:r>
            <w:proofErr w:type="gramEnd"/>
            <w:r w:rsidRPr="00942A1B">
              <w:rPr>
                <w:rFonts w:ascii="Arial" w:hAnsi="Arial" w:cs="Arial"/>
              </w:rPr>
              <w:t xml:space="preserve"> 300mL or 300g, with an SPF between 4 and</w:t>
            </w:r>
            <w:r w:rsidRPr="00942A1B">
              <w:rPr>
                <w:rFonts w:ascii="Arial" w:hAnsi="Arial" w:cs="Arial"/>
                <w:spacing w:val="1"/>
              </w:rPr>
              <w:t xml:space="preserve"> </w:t>
            </w:r>
            <w:r w:rsidRPr="00942A1B">
              <w:rPr>
                <w:rFonts w:ascii="Arial" w:hAnsi="Arial" w:cs="Arial"/>
              </w:rPr>
              <w:t>15 but not presented as being water resistant.</w:t>
            </w:r>
          </w:p>
          <w:p w14:paraId="037E1067" w14:textId="77777777" w:rsidR="00A65BD0" w:rsidRPr="00942A1B" w:rsidRDefault="00A65BD0" w:rsidP="00420179">
            <w:pPr>
              <w:pStyle w:val="TableParagraph"/>
              <w:spacing w:before="179"/>
              <w:ind w:left="108"/>
              <w:rPr>
                <w:rFonts w:ascii="Arial" w:hAnsi="Arial" w:cs="Arial"/>
              </w:rPr>
            </w:pPr>
            <w:r w:rsidRPr="00942A1B">
              <w:rPr>
                <w:rFonts w:ascii="Arial" w:hAnsi="Arial" w:cs="Arial"/>
              </w:rPr>
              <w:t>Excluded</w:t>
            </w:r>
            <w:r w:rsidRPr="00942A1B">
              <w:rPr>
                <w:rFonts w:ascii="Arial" w:hAnsi="Arial" w:cs="Arial"/>
                <w:spacing w:val="-3"/>
              </w:rPr>
              <w:t xml:space="preserve"> </w:t>
            </w:r>
            <w:r w:rsidRPr="00942A1B">
              <w:rPr>
                <w:rFonts w:ascii="Arial" w:hAnsi="Arial" w:cs="Arial"/>
              </w:rPr>
              <w:t>sunscreen</w:t>
            </w:r>
            <w:r w:rsidRPr="00942A1B">
              <w:rPr>
                <w:rFonts w:ascii="Arial" w:hAnsi="Arial" w:cs="Arial"/>
                <w:spacing w:val="-3"/>
              </w:rPr>
              <w:t xml:space="preserve"> </w:t>
            </w:r>
            <w:r w:rsidRPr="00942A1B">
              <w:rPr>
                <w:rFonts w:ascii="Arial" w:hAnsi="Arial" w:cs="Arial"/>
              </w:rPr>
              <w:t>products</w:t>
            </w:r>
            <w:r w:rsidRPr="00942A1B">
              <w:rPr>
                <w:rFonts w:ascii="Arial" w:hAnsi="Arial" w:cs="Arial"/>
                <w:spacing w:val="-2"/>
              </w:rPr>
              <w:t xml:space="preserve"> </w:t>
            </w:r>
            <w:r w:rsidRPr="00942A1B">
              <w:rPr>
                <w:rFonts w:ascii="Arial" w:hAnsi="Arial" w:cs="Arial"/>
              </w:rPr>
              <w:t>must:</w:t>
            </w:r>
          </w:p>
          <w:p w14:paraId="1647F059" w14:textId="77777777" w:rsidR="00A65BD0" w:rsidRPr="00942A1B" w:rsidRDefault="00A65BD0" w:rsidP="0073748E">
            <w:pPr>
              <w:pStyle w:val="TableParagraph"/>
              <w:numPr>
                <w:ilvl w:val="0"/>
                <w:numId w:val="8"/>
              </w:numPr>
              <w:tabs>
                <w:tab w:val="left" w:pos="467"/>
              </w:tabs>
              <w:spacing w:before="182"/>
              <w:ind w:right="433"/>
              <w:rPr>
                <w:rFonts w:ascii="Arial" w:hAnsi="Arial" w:cs="Arial"/>
              </w:rPr>
            </w:pPr>
            <w:r w:rsidRPr="00942A1B">
              <w:rPr>
                <w:rFonts w:ascii="Arial" w:hAnsi="Arial" w:cs="Arial"/>
              </w:rPr>
              <w:t>meet the requirements set out in the AS/NZS standard for sunscreens, including the performance</w:t>
            </w:r>
            <w:r w:rsidRPr="00942A1B">
              <w:rPr>
                <w:rFonts w:ascii="Arial" w:hAnsi="Arial" w:cs="Arial"/>
                <w:spacing w:val="-46"/>
              </w:rPr>
              <w:t xml:space="preserve"> </w:t>
            </w:r>
            <w:r w:rsidRPr="00942A1B">
              <w:rPr>
                <w:rFonts w:ascii="Arial" w:hAnsi="Arial" w:cs="Arial"/>
              </w:rPr>
              <w:t>requirements</w:t>
            </w:r>
            <w:r w:rsidRPr="00942A1B">
              <w:rPr>
                <w:rFonts w:ascii="Arial" w:hAnsi="Arial" w:cs="Arial"/>
                <w:spacing w:val="-1"/>
              </w:rPr>
              <w:t xml:space="preserve"> </w:t>
            </w:r>
            <w:r w:rsidRPr="00942A1B">
              <w:rPr>
                <w:rFonts w:ascii="Arial" w:hAnsi="Arial" w:cs="Arial"/>
              </w:rPr>
              <w:t>for</w:t>
            </w:r>
            <w:r w:rsidRPr="00942A1B">
              <w:rPr>
                <w:rFonts w:ascii="Arial" w:hAnsi="Arial" w:cs="Arial"/>
                <w:spacing w:val="-2"/>
              </w:rPr>
              <w:t xml:space="preserve"> </w:t>
            </w:r>
            <w:r w:rsidRPr="00942A1B">
              <w:rPr>
                <w:rFonts w:ascii="Arial" w:hAnsi="Arial" w:cs="Arial"/>
              </w:rPr>
              <w:t>a</w:t>
            </w:r>
            <w:r w:rsidRPr="00942A1B">
              <w:rPr>
                <w:rFonts w:ascii="Arial" w:hAnsi="Arial" w:cs="Arial"/>
                <w:spacing w:val="-2"/>
              </w:rPr>
              <w:t xml:space="preserve"> </w:t>
            </w:r>
            <w:r w:rsidRPr="00942A1B">
              <w:rPr>
                <w:rFonts w:ascii="Arial" w:hAnsi="Arial" w:cs="Arial"/>
              </w:rPr>
              <w:t>broad-spectrum product</w:t>
            </w:r>
          </w:p>
          <w:p w14:paraId="60DC5142" w14:textId="77777777" w:rsidR="00A65BD0" w:rsidRPr="00942A1B" w:rsidRDefault="00A65BD0" w:rsidP="0073748E">
            <w:pPr>
              <w:pStyle w:val="TableParagraph"/>
              <w:numPr>
                <w:ilvl w:val="0"/>
                <w:numId w:val="8"/>
              </w:numPr>
              <w:tabs>
                <w:tab w:val="left" w:pos="466"/>
                <w:tab w:val="left" w:pos="467"/>
              </w:tabs>
              <w:spacing w:before="179"/>
              <w:ind w:right="274"/>
              <w:rPr>
                <w:rFonts w:ascii="Arial" w:hAnsi="Arial" w:cs="Arial"/>
              </w:rPr>
            </w:pPr>
            <w:r w:rsidRPr="00942A1B">
              <w:rPr>
                <w:rFonts w:ascii="Arial" w:hAnsi="Arial" w:cs="Arial"/>
              </w:rPr>
              <w:t>not contain any substances included in Schedules 2, 3, 4 or 8 of the Standard for the Uniform</w:t>
            </w:r>
            <w:r w:rsidRPr="00942A1B">
              <w:rPr>
                <w:rFonts w:ascii="Arial" w:hAnsi="Arial" w:cs="Arial"/>
                <w:spacing w:val="1"/>
              </w:rPr>
              <w:t xml:space="preserve"> </w:t>
            </w:r>
            <w:r w:rsidRPr="00942A1B">
              <w:rPr>
                <w:rFonts w:ascii="Arial" w:hAnsi="Arial" w:cs="Arial"/>
              </w:rPr>
              <w:t>Scheduling</w:t>
            </w:r>
            <w:r w:rsidRPr="00942A1B">
              <w:rPr>
                <w:rFonts w:ascii="Arial" w:hAnsi="Arial" w:cs="Arial"/>
                <w:spacing w:val="-3"/>
              </w:rPr>
              <w:t xml:space="preserve"> </w:t>
            </w:r>
            <w:r w:rsidRPr="00942A1B">
              <w:rPr>
                <w:rFonts w:ascii="Arial" w:hAnsi="Arial" w:cs="Arial"/>
              </w:rPr>
              <w:t>of</w:t>
            </w:r>
            <w:r w:rsidRPr="00942A1B">
              <w:rPr>
                <w:rFonts w:ascii="Arial" w:hAnsi="Arial" w:cs="Arial"/>
                <w:spacing w:val="-1"/>
              </w:rPr>
              <w:t xml:space="preserve"> </w:t>
            </w:r>
            <w:r w:rsidRPr="00942A1B">
              <w:rPr>
                <w:rFonts w:ascii="Arial" w:hAnsi="Arial" w:cs="Arial"/>
              </w:rPr>
              <w:t>Medicines and</w:t>
            </w:r>
            <w:r w:rsidRPr="00942A1B">
              <w:rPr>
                <w:rFonts w:ascii="Arial" w:hAnsi="Arial" w:cs="Arial"/>
                <w:spacing w:val="-2"/>
              </w:rPr>
              <w:t xml:space="preserve"> </w:t>
            </w:r>
            <w:r w:rsidRPr="00942A1B">
              <w:rPr>
                <w:rFonts w:ascii="Arial" w:hAnsi="Arial" w:cs="Arial"/>
              </w:rPr>
              <w:t>Poisons.</w:t>
            </w:r>
          </w:p>
        </w:tc>
      </w:tr>
      <w:tr w:rsidR="00A65BD0" w:rsidRPr="00E308CF" w14:paraId="521AB061" w14:textId="77777777" w:rsidTr="00F5642D">
        <w:trPr>
          <w:trHeight w:val="1270"/>
        </w:trPr>
        <w:tc>
          <w:tcPr>
            <w:tcW w:w="1703" w:type="dxa"/>
          </w:tcPr>
          <w:p w14:paraId="79F43B2D" w14:textId="5C8FDFC2" w:rsidR="00A65BD0" w:rsidRPr="00942A1B" w:rsidRDefault="00AF29E5" w:rsidP="00420179">
            <w:pPr>
              <w:pStyle w:val="TableParagraph"/>
              <w:ind w:right="264"/>
              <w:rPr>
                <w:rFonts w:ascii="Arial" w:hAnsi="Arial" w:cs="Arial"/>
              </w:rPr>
            </w:pPr>
            <w:r w:rsidRPr="00942A1B">
              <w:rPr>
                <w:rFonts w:ascii="Arial" w:hAnsi="Arial" w:cs="Arial"/>
              </w:rPr>
              <w:t>Therapeutic sunscreens</w:t>
            </w:r>
          </w:p>
        </w:tc>
        <w:tc>
          <w:tcPr>
            <w:tcW w:w="1701" w:type="dxa"/>
          </w:tcPr>
          <w:p w14:paraId="298F2443" w14:textId="77777777" w:rsidR="00A65BD0" w:rsidRPr="00942A1B" w:rsidRDefault="00A65BD0" w:rsidP="00420179">
            <w:pPr>
              <w:pStyle w:val="TableParagraph"/>
              <w:rPr>
                <w:rFonts w:ascii="Arial" w:hAnsi="Arial" w:cs="Arial"/>
                <w:b/>
              </w:rPr>
            </w:pPr>
            <w:r w:rsidRPr="00942A1B">
              <w:rPr>
                <w:rFonts w:ascii="Arial" w:hAnsi="Arial" w:cs="Arial"/>
                <w:b/>
              </w:rPr>
              <w:t>Yes</w:t>
            </w:r>
          </w:p>
          <w:p w14:paraId="7EFAFF01" w14:textId="234CDE4B" w:rsidR="00A65BD0" w:rsidRPr="00942A1B" w:rsidRDefault="00A65BD0" w:rsidP="00B02050">
            <w:pPr>
              <w:pStyle w:val="TableParagraph"/>
              <w:rPr>
                <w:rFonts w:ascii="Arial" w:hAnsi="Arial" w:cs="Arial"/>
                <w:b/>
              </w:rPr>
            </w:pPr>
            <w:r w:rsidRPr="00942A1B">
              <w:rPr>
                <w:rFonts w:ascii="Arial" w:hAnsi="Arial" w:cs="Arial"/>
                <w:bCs/>
              </w:rPr>
              <w:t>Required to be listed (under s26A of the Act) or registered (under</w:t>
            </w:r>
            <w:r w:rsidR="00B02050" w:rsidRPr="00942A1B">
              <w:rPr>
                <w:rFonts w:ascii="Arial" w:hAnsi="Arial" w:cs="Arial"/>
                <w:bCs/>
              </w:rPr>
              <w:t xml:space="preserve"> </w:t>
            </w:r>
            <w:r w:rsidRPr="00942A1B">
              <w:rPr>
                <w:rFonts w:ascii="Arial" w:hAnsi="Arial" w:cs="Arial"/>
                <w:bCs/>
              </w:rPr>
              <w:t>s25 of the Act) in the ARTG</w:t>
            </w:r>
          </w:p>
        </w:tc>
        <w:tc>
          <w:tcPr>
            <w:tcW w:w="5664" w:type="dxa"/>
          </w:tcPr>
          <w:p w14:paraId="7E15D840" w14:textId="77777777" w:rsidR="00A65BD0" w:rsidRPr="00942A1B" w:rsidRDefault="00A65BD0" w:rsidP="00420179">
            <w:pPr>
              <w:pStyle w:val="TableParagraph"/>
              <w:ind w:left="108" w:right="455"/>
              <w:rPr>
                <w:rFonts w:ascii="Arial" w:hAnsi="Arial" w:cs="Arial"/>
              </w:rPr>
            </w:pPr>
            <w:r w:rsidRPr="00942A1B">
              <w:rPr>
                <w:rFonts w:ascii="Arial" w:hAnsi="Arial" w:cs="Arial"/>
              </w:rPr>
              <w:t>Therapeutic sunscreens that are required to be included in the ARTG include:</w:t>
            </w:r>
          </w:p>
          <w:p w14:paraId="2715F814" w14:textId="77777777" w:rsidR="00A65BD0" w:rsidRPr="00942A1B" w:rsidRDefault="00A65BD0" w:rsidP="0073748E">
            <w:pPr>
              <w:pStyle w:val="TableParagraph"/>
              <w:numPr>
                <w:ilvl w:val="0"/>
                <w:numId w:val="10"/>
              </w:numPr>
              <w:tabs>
                <w:tab w:val="left" w:pos="464"/>
                <w:tab w:val="left" w:pos="465"/>
              </w:tabs>
              <w:spacing w:before="180"/>
              <w:ind w:right="361"/>
              <w:rPr>
                <w:rFonts w:ascii="Arial" w:hAnsi="Arial" w:cs="Arial"/>
              </w:rPr>
            </w:pPr>
            <w:r w:rsidRPr="00942A1B">
              <w:rPr>
                <w:rFonts w:ascii="Arial" w:hAnsi="Arial" w:cs="Arial"/>
              </w:rPr>
              <w:t>primary sunscreens carrying SPF claims of more than SPF 4</w:t>
            </w:r>
          </w:p>
          <w:p w14:paraId="10DACF3E" w14:textId="77777777" w:rsidR="00A65BD0" w:rsidRPr="00942A1B" w:rsidRDefault="00A65BD0" w:rsidP="0073748E">
            <w:pPr>
              <w:pStyle w:val="TableParagraph"/>
              <w:numPr>
                <w:ilvl w:val="0"/>
                <w:numId w:val="10"/>
              </w:numPr>
              <w:tabs>
                <w:tab w:val="left" w:pos="464"/>
                <w:tab w:val="left" w:pos="465"/>
              </w:tabs>
              <w:spacing w:before="180"/>
              <w:ind w:right="172"/>
              <w:rPr>
                <w:rFonts w:ascii="Arial" w:hAnsi="Arial" w:cs="Arial"/>
              </w:rPr>
            </w:pPr>
            <w:r w:rsidRPr="00942A1B">
              <w:rPr>
                <w:rFonts w:ascii="Arial" w:hAnsi="Arial" w:cs="Arial"/>
              </w:rPr>
              <w:t>some secondary sunscreens (i.e. those secondary sunscreens that are not excluded from therapeutic goods regulation by the Excluded Goods Determination) such as sunbathing and moisturising skin care products with an SPF of over 15.</w:t>
            </w:r>
          </w:p>
          <w:p w14:paraId="354D24F0" w14:textId="20933660" w:rsidR="00A65BD0" w:rsidRPr="00942A1B" w:rsidRDefault="00AF29E5" w:rsidP="00420179">
            <w:pPr>
              <w:pStyle w:val="TableParagraph"/>
              <w:ind w:left="108" w:right="455"/>
              <w:rPr>
                <w:rFonts w:ascii="Arial" w:hAnsi="Arial" w:cs="Arial"/>
                <w:b/>
                <w:bCs/>
              </w:rPr>
            </w:pPr>
            <w:r w:rsidRPr="00942A1B">
              <w:rPr>
                <w:rFonts w:ascii="Arial" w:hAnsi="Arial" w:cs="Arial"/>
                <w:b/>
                <w:bCs/>
              </w:rPr>
              <w:t>Listed therapeutic sunscreens</w:t>
            </w:r>
          </w:p>
          <w:p w14:paraId="6B8ED37E" w14:textId="77777777" w:rsidR="00A65BD0" w:rsidRPr="00942A1B" w:rsidRDefault="00A65BD0" w:rsidP="00420179">
            <w:pPr>
              <w:pStyle w:val="TableParagraph"/>
              <w:ind w:left="108" w:right="455"/>
              <w:rPr>
                <w:rFonts w:ascii="Arial" w:hAnsi="Arial" w:cs="Arial"/>
              </w:rPr>
            </w:pPr>
            <w:r w:rsidRPr="00942A1B">
              <w:rPr>
                <w:rFonts w:ascii="Arial" w:hAnsi="Arial" w:cs="Arial"/>
              </w:rPr>
              <w:t>Therapeutic sunscreens may be listed in the ARTG if they:</w:t>
            </w:r>
          </w:p>
          <w:p w14:paraId="61546D7A" w14:textId="0B5C8B27" w:rsidR="00A65BD0" w:rsidRPr="00942A1B" w:rsidRDefault="00A65BD0" w:rsidP="0073748E">
            <w:pPr>
              <w:pStyle w:val="TableParagraph"/>
              <w:numPr>
                <w:ilvl w:val="0"/>
                <w:numId w:val="10"/>
              </w:numPr>
              <w:tabs>
                <w:tab w:val="left" w:pos="464"/>
                <w:tab w:val="left" w:pos="465"/>
              </w:tabs>
              <w:spacing w:before="180"/>
              <w:ind w:right="197"/>
              <w:rPr>
                <w:rFonts w:ascii="Arial" w:hAnsi="Arial" w:cs="Arial"/>
              </w:rPr>
            </w:pPr>
            <w:r w:rsidRPr="00942A1B">
              <w:rPr>
                <w:rFonts w:ascii="Arial" w:hAnsi="Arial" w:cs="Arial"/>
              </w:rPr>
              <w:t xml:space="preserve">only make therapeutic indications that are permitted for use in listed therapeutic sunscreens </w:t>
            </w:r>
            <w:r w:rsidRPr="00942A1B">
              <w:rPr>
                <w:rFonts w:ascii="Arial" w:hAnsi="Arial" w:cs="Arial"/>
              </w:rPr>
              <w:lastRenderedPageBreak/>
              <w:t xml:space="preserve">(see </w:t>
            </w:r>
            <w:r w:rsidR="00AF29E5" w:rsidRPr="00942A1B">
              <w:rPr>
                <w:rFonts w:ascii="Arial" w:hAnsi="Arial" w:cs="Arial"/>
              </w:rPr>
              <w:t>Indications permitted for</w:t>
            </w:r>
            <w:r w:rsidRPr="00942A1B">
              <w:rPr>
                <w:rFonts w:ascii="Arial" w:hAnsi="Arial" w:cs="Arial"/>
              </w:rPr>
              <w:t xml:space="preserve"> </w:t>
            </w:r>
            <w:r w:rsidR="00AF29E5" w:rsidRPr="00942A1B">
              <w:rPr>
                <w:rFonts w:ascii="Arial" w:hAnsi="Arial" w:cs="Arial"/>
              </w:rPr>
              <w:t>use in listed therapeutic sunscreens</w:t>
            </w:r>
            <w:r w:rsidRPr="00942A1B">
              <w:rPr>
                <w:rFonts w:ascii="Arial" w:hAnsi="Arial" w:cs="Arial"/>
              </w:rPr>
              <w:t>) and</w:t>
            </w:r>
          </w:p>
          <w:p w14:paraId="7EF8BFF4" w14:textId="175C291F" w:rsidR="00A65BD0" w:rsidRPr="00942A1B" w:rsidRDefault="00A65BD0" w:rsidP="0073748E">
            <w:pPr>
              <w:pStyle w:val="TableParagraph"/>
              <w:numPr>
                <w:ilvl w:val="0"/>
                <w:numId w:val="10"/>
              </w:numPr>
              <w:tabs>
                <w:tab w:val="left" w:pos="464"/>
                <w:tab w:val="left" w:pos="465"/>
              </w:tabs>
              <w:spacing w:before="180"/>
              <w:ind w:right="159"/>
              <w:rPr>
                <w:rFonts w:ascii="Arial" w:hAnsi="Arial" w:cs="Arial"/>
              </w:rPr>
            </w:pPr>
            <w:r w:rsidRPr="00942A1B">
              <w:rPr>
                <w:rFonts w:ascii="Arial" w:hAnsi="Arial" w:cs="Arial"/>
              </w:rPr>
              <w:t xml:space="preserve">only include ingredients that are permitted for use in listed medicines (see </w:t>
            </w:r>
            <w:r w:rsidR="00AF29E5" w:rsidRPr="00942A1B">
              <w:rPr>
                <w:rFonts w:ascii="Arial" w:hAnsi="Arial" w:cs="Arial"/>
              </w:rPr>
              <w:t>Ingredients permitted for use in listed therapeutic</w:t>
            </w:r>
            <w:r w:rsidRPr="00942A1B">
              <w:rPr>
                <w:rFonts w:ascii="Arial" w:hAnsi="Arial" w:cs="Arial"/>
              </w:rPr>
              <w:t xml:space="preserve"> </w:t>
            </w:r>
            <w:r w:rsidR="00AF29E5" w:rsidRPr="00942A1B">
              <w:rPr>
                <w:rFonts w:ascii="Arial" w:hAnsi="Arial" w:cs="Arial"/>
              </w:rPr>
              <w:t>sunscreens</w:t>
            </w:r>
            <w:r w:rsidRPr="00942A1B">
              <w:rPr>
                <w:rFonts w:ascii="Arial" w:hAnsi="Arial" w:cs="Arial"/>
              </w:rPr>
              <w:t>).</w:t>
            </w:r>
            <w:r w:rsidRPr="00942A1B" w:rsidDel="006A2AB5">
              <w:rPr>
                <w:rFonts w:ascii="Arial" w:hAnsi="Arial" w:cs="Arial"/>
              </w:rPr>
              <w:t xml:space="preserve"> </w:t>
            </w:r>
          </w:p>
          <w:p w14:paraId="27E8DD4B" w14:textId="17C8A757" w:rsidR="00A65BD0" w:rsidRPr="00942A1B" w:rsidRDefault="00AF29E5" w:rsidP="00420179">
            <w:pPr>
              <w:pStyle w:val="TableParagraph"/>
              <w:ind w:left="108" w:right="455"/>
              <w:rPr>
                <w:rFonts w:ascii="Arial" w:hAnsi="Arial" w:cs="Arial"/>
                <w:b/>
                <w:bCs/>
              </w:rPr>
            </w:pPr>
            <w:r w:rsidRPr="00942A1B">
              <w:rPr>
                <w:rFonts w:ascii="Arial" w:hAnsi="Arial" w:cs="Arial"/>
                <w:b/>
                <w:bCs/>
              </w:rPr>
              <w:t>Registered therapeutic sunscreens</w:t>
            </w:r>
          </w:p>
          <w:p w14:paraId="2B7E3E38" w14:textId="77777777" w:rsidR="00A65BD0" w:rsidRPr="00942A1B" w:rsidRDefault="00A65BD0" w:rsidP="00420179">
            <w:pPr>
              <w:pStyle w:val="TableParagraph"/>
              <w:ind w:left="108" w:right="455"/>
              <w:rPr>
                <w:rFonts w:ascii="Arial" w:hAnsi="Arial" w:cs="Arial"/>
              </w:rPr>
            </w:pPr>
            <w:r w:rsidRPr="00942A1B">
              <w:rPr>
                <w:rFonts w:ascii="Arial" w:hAnsi="Arial" w:cs="Arial"/>
              </w:rPr>
              <w:t>Therapeutic sunscreens require registration in the ARTG if they:</w:t>
            </w:r>
          </w:p>
          <w:p w14:paraId="2525B81F" w14:textId="16A17BB6" w:rsidR="00A65BD0" w:rsidRPr="00942A1B" w:rsidRDefault="00A65BD0" w:rsidP="0073748E">
            <w:pPr>
              <w:pStyle w:val="TableParagraph"/>
              <w:numPr>
                <w:ilvl w:val="0"/>
                <w:numId w:val="10"/>
              </w:numPr>
              <w:tabs>
                <w:tab w:val="left" w:pos="464"/>
                <w:tab w:val="left" w:pos="465"/>
              </w:tabs>
              <w:spacing w:before="180"/>
              <w:ind w:right="751"/>
              <w:rPr>
                <w:rFonts w:ascii="Arial" w:hAnsi="Arial" w:cs="Arial"/>
              </w:rPr>
            </w:pPr>
            <w:r w:rsidRPr="00942A1B">
              <w:rPr>
                <w:rFonts w:ascii="Arial" w:hAnsi="Arial" w:cs="Arial"/>
              </w:rPr>
              <w:t xml:space="preserve">contain an ingredient that is not included in the </w:t>
            </w:r>
            <w:hyperlink r:id="rId24" w:anchor="permissible-ingredients">
              <w:r w:rsidR="00671E8E" w:rsidRPr="00552F85">
                <w:rPr>
                  <w:rStyle w:val="Hyperlink"/>
                  <w:rFonts w:ascii="Arial" w:eastAsia="Arial" w:hAnsi="Arial" w:cs="Arial"/>
                  <w:kern w:val="2"/>
                  <w14:ligatures w14:val="standardContextual"/>
                </w:rPr>
                <w:t>Therapeutic Goods (Permissible</w:t>
              </w:r>
            </w:hyperlink>
            <w:r w:rsidR="00671E8E" w:rsidRPr="00552F85">
              <w:rPr>
                <w:rStyle w:val="Hyperlink"/>
                <w:rFonts w:ascii="Arial" w:eastAsia="Arial" w:hAnsi="Arial" w:cs="Arial"/>
                <w:kern w:val="2"/>
                <w14:ligatures w14:val="standardContextual"/>
              </w:rPr>
              <w:t xml:space="preserve"> </w:t>
            </w:r>
            <w:hyperlink r:id="rId25" w:anchor="pi">
              <w:r w:rsidR="00671E8E" w:rsidRPr="00552F85">
                <w:rPr>
                  <w:rStyle w:val="Hyperlink"/>
                  <w:rFonts w:ascii="Arial" w:eastAsia="Arial" w:hAnsi="Arial" w:cs="Arial"/>
                  <w:kern w:val="2"/>
                  <w14:ligatures w14:val="standardContextual"/>
                </w:rPr>
                <w:t>Ingredients) Determination</w:t>
              </w:r>
              <w:r w:rsidR="00671E8E" w:rsidRPr="00552F85">
                <w:rPr>
                  <w:rStyle w:val="Hyperlink"/>
                  <w:rFonts w:ascii="Arial" w:eastAsia="Arial" w:hAnsi="Arial" w:cs="Arial"/>
                  <w:kern w:val="2"/>
                  <w:u w:val="none"/>
                  <w14:ligatures w14:val="standardContextual"/>
                </w:rPr>
                <w:t xml:space="preserve"> </w:t>
              </w:r>
            </w:hyperlink>
            <w:r w:rsidR="00671E8E" w:rsidRPr="00942A1B">
              <w:rPr>
                <w:rFonts w:ascii="Arial" w:hAnsi="Arial" w:cs="Arial"/>
              </w:rPr>
              <w:t>(P</w:t>
            </w:r>
            <w:r w:rsidRPr="00942A1B">
              <w:rPr>
                <w:rFonts w:ascii="Arial" w:hAnsi="Arial" w:cs="Arial"/>
              </w:rPr>
              <w:t>ermissible Ingredients Determination</w:t>
            </w:r>
            <w:r w:rsidR="00671E8E" w:rsidRPr="00942A1B">
              <w:rPr>
                <w:rFonts w:ascii="Arial" w:hAnsi="Arial" w:cs="Arial"/>
              </w:rPr>
              <w:t>)</w:t>
            </w:r>
            <w:r w:rsidRPr="00942A1B">
              <w:rPr>
                <w:rFonts w:ascii="Arial" w:hAnsi="Arial" w:cs="Arial"/>
              </w:rPr>
              <w:t xml:space="preserve"> for use in a listed medicine; and/or</w:t>
            </w:r>
          </w:p>
          <w:p w14:paraId="33154592" w14:textId="77777777" w:rsidR="00A65BD0" w:rsidRPr="00942A1B" w:rsidRDefault="00A65BD0" w:rsidP="0073748E">
            <w:pPr>
              <w:pStyle w:val="TableParagraph"/>
              <w:numPr>
                <w:ilvl w:val="0"/>
                <w:numId w:val="10"/>
              </w:numPr>
              <w:tabs>
                <w:tab w:val="left" w:pos="464"/>
                <w:tab w:val="left" w:pos="465"/>
              </w:tabs>
              <w:spacing w:before="180"/>
              <w:ind w:right="525"/>
              <w:rPr>
                <w:rFonts w:ascii="Arial" w:hAnsi="Arial" w:cs="Arial"/>
              </w:rPr>
            </w:pPr>
            <w:r w:rsidRPr="00942A1B">
              <w:rPr>
                <w:rFonts w:ascii="Arial" w:hAnsi="Arial" w:cs="Arial"/>
              </w:rPr>
              <w:t>carry therapeutic indications other than those permitted for use in listed therapeutic sunscreens.</w:t>
            </w:r>
          </w:p>
        </w:tc>
      </w:tr>
    </w:tbl>
    <w:p w14:paraId="7EBF4808" w14:textId="77777777" w:rsidR="0022206F" w:rsidRDefault="0022206F" w:rsidP="00655441"/>
    <w:p w14:paraId="64220298" w14:textId="77777777" w:rsidR="00232182" w:rsidRPr="00E308CF" w:rsidRDefault="00232182" w:rsidP="00CF2E7E">
      <w:pPr>
        <w:pStyle w:val="Heading3"/>
      </w:pPr>
      <w:bookmarkStart w:id="24" w:name="_Toc120260207"/>
      <w:bookmarkStart w:id="25" w:name="_Toc181273041"/>
      <w:bookmarkStart w:id="26" w:name="_Toc198297280"/>
      <w:bookmarkStart w:id="27" w:name="_Toc204751309"/>
      <w:r w:rsidRPr="00E308CF">
        <w:t>Legislative</w:t>
      </w:r>
      <w:r w:rsidRPr="00E308CF">
        <w:rPr>
          <w:spacing w:val="-6"/>
        </w:rPr>
        <w:t xml:space="preserve"> </w:t>
      </w:r>
      <w:r w:rsidRPr="00E308CF">
        <w:t>requirements</w:t>
      </w:r>
      <w:r w:rsidRPr="00E308CF">
        <w:rPr>
          <w:spacing w:val="-5"/>
        </w:rPr>
        <w:t xml:space="preserve"> </w:t>
      </w:r>
      <w:r w:rsidRPr="00E308CF">
        <w:t>for</w:t>
      </w:r>
      <w:r w:rsidRPr="00E308CF">
        <w:rPr>
          <w:spacing w:val="-4"/>
        </w:rPr>
        <w:t xml:space="preserve"> </w:t>
      </w:r>
      <w:r w:rsidRPr="00E308CF">
        <w:t>all</w:t>
      </w:r>
      <w:r w:rsidRPr="00E308CF">
        <w:rPr>
          <w:spacing w:val="-2"/>
        </w:rPr>
        <w:t xml:space="preserve"> </w:t>
      </w:r>
      <w:r w:rsidRPr="00CF2E7E">
        <w:t>therapeutic</w:t>
      </w:r>
      <w:r w:rsidRPr="00E308CF">
        <w:rPr>
          <w:spacing w:val="-6"/>
        </w:rPr>
        <w:t xml:space="preserve"> </w:t>
      </w:r>
      <w:r w:rsidRPr="00E308CF">
        <w:t>sunscreens</w:t>
      </w:r>
      <w:bookmarkEnd w:id="24"/>
      <w:bookmarkEnd w:id="25"/>
      <w:bookmarkEnd w:id="26"/>
      <w:bookmarkEnd w:id="27"/>
    </w:p>
    <w:p w14:paraId="79A0F9C8" w14:textId="77777777" w:rsidR="00232182" w:rsidRDefault="00232182" w:rsidP="00232182">
      <w:r w:rsidRPr="00942A1B">
        <w:t>There are legal requirements that apply to all therapeutic goods. It is the responsibility of the</w:t>
      </w:r>
      <w:r w:rsidRPr="00942A1B">
        <w:rPr>
          <w:spacing w:val="1"/>
        </w:rPr>
        <w:t xml:space="preserve"> </w:t>
      </w:r>
      <w:r w:rsidRPr="00942A1B">
        <w:t xml:space="preserve">sponsor to review the relevant regulatory guidance and ensure their product meets all relevant </w:t>
      </w:r>
      <w:r w:rsidRPr="00942A1B">
        <w:rPr>
          <w:spacing w:val="-46"/>
        </w:rPr>
        <w:t xml:space="preserve">  </w:t>
      </w:r>
      <w:r w:rsidRPr="00942A1B">
        <w:t>legal requirements. It is also important to note that sponsors have ongoing responsibilities and</w:t>
      </w:r>
      <w:r w:rsidRPr="00942A1B">
        <w:rPr>
          <w:spacing w:val="-46"/>
        </w:rPr>
        <w:t xml:space="preserve"> </w:t>
      </w:r>
      <w:r w:rsidRPr="00942A1B">
        <w:t xml:space="preserve">legal obligations. For more information, refer to </w:t>
      </w:r>
      <w:hyperlink r:id="rId26" w:history="1">
        <w:r w:rsidRPr="00220642">
          <w:rPr>
            <w:rStyle w:val="Hyperlink"/>
          </w:rPr>
          <w:t>Overview of supplying therapeutic goods in</w:t>
        </w:r>
        <w:r w:rsidRPr="00220642">
          <w:rPr>
            <w:rStyle w:val="Hyperlink"/>
            <w:spacing w:val="1"/>
          </w:rPr>
          <w:t xml:space="preserve"> </w:t>
        </w:r>
        <w:r w:rsidRPr="00220642">
          <w:rPr>
            <w:rStyle w:val="Hyperlink"/>
          </w:rPr>
          <w:t>Australia</w:t>
        </w:r>
      </w:hyperlink>
      <w:r w:rsidRPr="00E308CF">
        <w:rPr>
          <w:color w:val="0000FF"/>
          <w:spacing w:val="-3"/>
        </w:rPr>
        <w:t xml:space="preserve"> </w:t>
      </w:r>
      <w:r w:rsidRPr="00942A1B">
        <w:t>on</w:t>
      </w:r>
      <w:r w:rsidRPr="00942A1B">
        <w:rPr>
          <w:spacing w:val="-2"/>
        </w:rPr>
        <w:t xml:space="preserve"> </w:t>
      </w:r>
      <w:r w:rsidRPr="00942A1B">
        <w:t>the</w:t>
      </w:r>
      <w:r w:rsidRPr="00942A1B">
        <w:rPr>
          <w:spacing w:val="-1"/>
        </w:rPr>
        <w:t xml:space="preserve"> </w:t>
      </w:r>
      <w:r w:rsidRPr="00942A1B">
        <w:t>TGA</w:t>
      </w:r>
      <w:r w:rsidRPr="00942A1B">
        <w:rPr>
          <w:spacing w:val="-2"/>
        </w:rPr>
        <w:t xml:space="preserve"> </w:t>
      </w:r>
      <w:r w:rsidRPr="00942A1B">
        <w:t>website.</w:t>
      </w:r>
    </w:p>
    <w:p w14:paraId="12A63777" w14:textId="77777777" w:rsidR="00241222" w:rsidRPr="00942A1B" w:rsidRDefault="00241222" w:rsidP="00241222">
      <w:r w:rsidRPr="00942A1B">
        <w:t>To be included in the ARTG, sunscreens must comply with the AS/NZS standard for sunscreens</w:t>
      </w:r>
      <w:r w:rsidRPr="00942A1B">
        <w:rPr>
          <w:spacing w:val="1"/>
        </w:rPr>
        <w:t xml:space="preserve"> </w:t>
      </w:r>
      <w:r w:rsidRPr="00942A1B">
        <w:t>and with any relevant requirements as prescribed by the Act.</w:t>
      </w:r>
    </w:p>
    <w:p w14:paraId="57F65B41" w14:textId="77777777" w:rsidR="00970E43" w:rsidRPr="003829ED" w:rsidRDefault="00970E43" w:rsidP="00241222">
      <w:pPr>
        <w:pStyle w:val="Heading4"/>
      </w:pPr>
      <w:bookmarkStart w:id="28" w:name="_Toc204751310"/>
      <w:r w:rsidRPr="003829ED">
        <w:t>The Australian/New Zealand Sunscreen Standard</w:t>
      </w:r>
      <w:bookmarkEnd w:id="28"/>
    </w:p>
    <w:p w14:paraId="2117B31E" w14:textId="7470F681" w:rsidR="00970E43" w:rsidRPr="00942A1B" w:rsidRDefault="00970E43" w:rsidP="00BC3449">
      <w:r w:rsidRPr="00942A1B">
        <w:t xml:space="preserve">The Australian/New Zealand Sunscreen Standard (AS/NZS) 2604 Sunscreen products — Evaluation and classification [as referenced in the </w:t>
      </w:r>
      <w:hyperlink r:id="rId27" w:history="1">
        <w:r w:rsidRPr="00C47EC5">
          <w:rPr>
            <w:rStyle w:val="Hyperlink"/>
          </w:rPr>
          <w:t>Therapeutic Goods Regulations 1990</w:t>
        </w:r>
      </w:hyperlink>
      <w:r w:rsidRPr="003829ED">
        <w:rPr>
          <w:iCs/>
        </w:rPr>
        <w:t xml:space="preserve"> </w:t>
      </w:r>
      <w:r w:rsidRPr="00942A1B">
        <w:rPr>
          <w:iCs/>
        </w:rPr>
        <w:t>(</w:t>
      </w:r>
      <w:r w:rsidRPr="00942A1B">
        <w:t xml:space="preserve">the Regulations) and in the </w:t>
      </w:r>
      <w:hyperlink r:id="rId28">
        <w:r w:rsidRPr="00C47EC5">
          <w:rPr>
            <w:rStyle w:val="Hyperlink"/>
          </w:rPr>
          <w:t xml:space="preserve">Therapeutic Goods (Excluded Goods) Determination 2018 </w:t>
        </w:r>
      </w:hyperlink>
      <w:r w:rsidRPr="00942A1B">
        <w:t xml:space="preserve">(Excluded Goods Determination); herein referred to as the </w:t>
      </w:r>
      <w:r w:rsidRPr="00942A1B">
        <w:rPr>
          <w:b/>
        </w:rPr>
        <w:t>AS/NZS standard for sunscreens</w:t>
      </w:r>
      <w:r w:rsidRPr="00942A1B">
        <w:t xml:space="preserve">] details the procedures for testing the performance of </w:t>
      </w:r>
      <w:r w:rsidRPr="00E376A5">
        <w:rPr>
          <w:b/>
          <w:bCs/>
        </w:rPr>
        <w:t xml:space="preserve">all </w:t>
      </w:r>
      <w:r w:rsidRPr="00942A1B">
        <w:t>sunscreen products (</w:t>
      </w:r>
      <w:r>
        <w:t xml:space="preserve">including </w:t>
      </w:r>
      <w:r w:rsidRPr="00942A1B">
        <w:t>therapeutic sunscreens</w:t>
      </w:r>
      <w:r>
        <w:t xml:space="preserve"> and cosmetic sunscreens</w:t>
      </w:r>
      <w:r w:rsidRPr="00942A1B">
        <w:t>) in Australia. It also provides labelling requirements that need to be complied with (in addition to all other applicable legislation relating to labelling for therapeutic sunscreens).</w:t>
      </w:r>
    </w:p>
    <w:p w14:paraId="253F4BF5" w14:textId="1B448DD1" w:rsidR="00970E43" w:rsidRPr="00942A1B" w:rsidRDefault="00970E43" w:rsidP="00BC3449">
      <w:r w:rsidRPr="00942A1B">
        <w:t xml:space="preserve">The AS/NZS standard for sunscreens classifies sunscreens as primary or secondary sunscreen products and further describes them based on their performance e.g. SPF; broad spectrum [protects against the sun’s ultraviolet A (UVA) and ultraviolet B (UVB) rays]; and water resistance claims. Table </w:t>
      </w:r>
      <w:r w:rsidR="00E24A99">
        <w:t>2</w:t>
      </w:r>
      <w:r w:rsidRPr="00942A1B">
        <w:t xml:space="preserve"> provides the category descriptions based on the SPF for sunscreens. These categories and performance are reflected </w:t>
      </w:r>
      <w:r w:rsidRPr="00942A1B">
        <w:lastRenderedPageBreak/>
        <w:t>in the indications that therapeutic sunscreens can make (refer to the Indications permitted for use in listed therapeutic sunscreens).</w:t>
      </w:r>
    </w:p>
    <w:p w14:paraId="0851C97A" w14:textId="30014047" w:rsidR="00970E43" w:rsidRDefault="00970E43" w:rsidP="00970E43">
      <w:pPr>
        <w:pStyle w:val="Tabletitle"/>
      </w:pPr>
      <w:r w:rsidRPr="00E308CF">
        <w:t>Table</w:t>
      </w:r>
      <w:r w:rsidRPr="002E6AD0">
        <w:t xml:space="preserve"> </w:t>
      </w:r>
      <w:r w:rsidR="00E24A99">
        <w:t>2</w:t>
      </w:r>
      <w:r w:rsidRPr="00E308CF">
        <w:t>.</w:t>
      </w:r>
      <w:r w:rsidRPr="002E6AD0">
        <w:t xml:space="preserve"> </w:t>
      </w:r>
      <w:r w:rsidRPr="00E308CF">
        <w:t>Sunscreen</w:t>
      </w:r>
      <w:r w:rsidRPr="002E6AD0">
        <w:t xml:space="preserve"> </w:t>
      </w:r>
      <w:r w:rsidRPr="00E308CF">
        <w:t>category</w:t>
      </w:r>
      <w:r w:rsidRPr="002E6AD0">
        <w:t xml:space="preserve"> </w:t>
      </w:r>
      <w:r w:rsidRPr="00E308CF">
        <w:t>descriptions</w:t>
      </w:r>
      <w:r w:rsidRPr="002E6AD0">
        <w:t xml:space="preserve"> </w:t>
      </w:r>
      <w:r w:rsidRPr="00E308CF">
        <w:t>based</w:t>
      </w:r>
      <w:r w:rsidRPr="002E6AD0">
        <w:t xml:space="preserve"> </w:t>
      </w:r>
      <w:r w:rsidRPr="00E308CF">
        <w:t>on</w:t>
      </w:r>
      <w:r w:rsidRPr="002E6AD0">
        <w:t xml:space="preserve"> </w:t>
      </w:r>
      <w:r w:rsidRPr="00E308CF">
        <w:t>SPF</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2683"/>
        <w:gridCol w:w="4971"/>
      </w:tblGrid>
      <w:tr w:rsidR="004F1DE8" w:rsidRPr="00E308CF" w14:paraId="0ABD45D3" w14:textId="77777777" w:rsidTr="00F5642D">
        <w:trPr>
          <w:trHeight w:val="558"/>
        </w:trPr>
        <w:tc>
          <w:tcPr>
            <w:tcW w:w="1418" w:type="dxa"/>
            <w:shd w:val="clear" w:color="auto" w:fill="E7E6E6" w:themeFill="background2"/>
          </w:tcPr>
          <w:p w14:paraId="389AA8CC" w14:textId="5CDD7DB6" w:rsidR="004F1DE8" w:rsidRPr="00540848" w:rsidRDefault="004F1DE8" w:rsidP="004F1DE8">
            <w:pPr>
              <w:pStyle w:val="TableParagraph"/>
              <w:keepNext/>
              <w:rPr>
                <w:rFonts w:ascii="Arial" w:hAnsi="Arial" w:cs="Arial"/>
              </w:rPr>
            </w:pPr>
            <w:r w:rsidRPr="00540848">
              <w:rPr>
                <w:rFonts w:ascii="Arial" w:hAnsi="Arial" w:cs="Arial"/>
                <w:b/>
                <w:bCs/>
              </w:rPr>
              <w:t>SPF</w:t>
            </w:r>
          </w:p>
        </w:tc>
        <w:tc>
          <w:tcPr>
            <w:tcW w:w="2683" w:type="dxa"/>
            <w:shd w:val="clear" w:color="auto" w:fill="E7E6E6" w:themeFill="background2"/>
          </w:tcPr>
          <w:p w14:paraId="204A711A" w14:textId="382C9C37" w:rsidR="004F1DE8" w:rsidRPr="00540848" w:rsidRDefault="004F1DE8" w:rsidP="004F1DE8">
            <w:pPr>
              <w:pStyle w:val="TableParagraph"/>
              <w:keepNext/>
              <w:ind w:left="105"/>
              <w:rPr>
                <w:rFonts w:ascii="Arial" w:hAnsi="Arial" w:cs="Arial"/>
              </w:rPr>
            </w:pPr>
            <w:r w:rsidRPr="00540848">
              <w:rPr>
                <w:rFonts w:ascii="Arial" w:hAnsi="Arial" w:cs="Arial"/>
                <w:b/>
                <w:bCs/>
              </w:rPr>
              <w:t>SPF Claim on label</w:t>
            </w:r>
          </w:p>
        </w:tc>
        <w:tc>
          <w:tcPr>
            <w:tcW w:w="4971" w:type="dxa"/>
            <w:shd w:val="clear" w:color="auto" w:fill="E7E6E6" w:themeFill="background2"/>
          </w:tcPr>
          <w:p w14:paraId="62E1C7DD" w14:textId="2271AF71" w:rsidR="004F1DE8" w:rsidRPr="00540848" w:rsidRDefault="004F1DE8" w:rsidP="004F1DE8">
            <w:pPr>
              <w:pStyle w:val="TableParagraph"/>
              <w:keepNext/>
              <w:rPr>
                <w:rFonts w:ascii="Arial" w:hAnsi="Arial" w:cs="Arial"/>
              </w:rPr>
            </w:pPr>
            <w:r w:rsidRPr="00540848">
              <w:rPr>
                <w:rFonts w:ascii="Arial" w:hAnsi="Arial" w:cs="Arial"/>
                <w:b/>
                <w:bCs/>
              </w:rPr>
              <w:t>Description/level of protection</w:t>
            </w:r>
          </w:p>
        </w:tc>
      </w:tr>
      <w:tr w:rsidR="004F1DE8" w:rsidRPr="00E308CF" w14:paraId="2D8C96C4" w14:textId="77777777" w:rsidTr="00F5642D">
        <w:trPr>
          <w:trHeight w:val="558"/>
        </w:trPr>
        <w:tc>
          <w:tcPr>
            <w:tcW w:w="1418" w:type="dxa"/>
          </w:tcPr>
          <w:p w14:paraId="2DE299D5" w14:textId="27F28369" w:rsidR="004F1DE8" w:rsidRPr="00942A1B" w:rsidRDefault="004F1DE8" w:rsidP="004F1DE8">
            <w:pPr>
              <w:pStyle w:val="TableParagraph"/>
              <w:keepNext/>
              <w:rPr>
                <w:rFonts w:ascii="Arial" w:hAnsi="Arial" w:cs="Arial"/>
              </w:rPr>
            </w:pPr>
            <w:r w:rsidRPr="00942A1B">
              <w:rPr>
                <w:rFonts w:ascii="Arial" w:hAnsi="Arial" w:cs="Arial"/>
              </w:rPr>
              <w:t>0-4</w:t>
            </w:r>
          </w:p>
        </w:tc>
        <w:tc>
          <w:tcPr>
            <w:tcW w:w="2683" w:type="dxa"/>
          </w:tcPr>
          <w:p w14:paraId="69345BA4" w14:textId="1DA81CF4" w:rsidR="004F1DE8" w:rsidRPr="00942A1B" w:rsidRDefault="004F1DE8" w:rsidP="004F1DE8">
            <w:pPr>
              <w:pStyle w:val="TableParagraph"/>
              <w:keepNext/>
              <w:ind w:left="105"/>
              <w:rPr>
                <w:rFonts w:ascii="Arial" w:hAnsi="Arial" w:cs="Arial"/>
              </w:rPr>
            </w:pPr>
            <w:r w:rsidRPr="00942A1B">
              <w:rPr>
                <w:rFonts w:ascii="Arial" w:hAnsi="Arial" w:cs="Arial"/>
              </w:rPr>
              <w:t>NA</w:t>
            </w:r>
          </w:p>
        </w:tc>
        <w:tc>
          <w:tcPr>
            <w:tcW w:w="4971" w:type="dxa"/>
          </w:tcPr>
          <w:p w14:paraId="18AC8590" w14:textId="556B6CE5" w:rsidR="004F1DE8" w:rsidRPr="00942A1B" w:rsidRDefault="004F1DE8" w:rsidP="004F1DE8">
            <w:pPr>
              <w:pStyle w:val="TableParagraph"/>
              <w:keepNext/>
              <w:rPr>
                <w:rFonts w:ascii="Arial" w:hAnsi="Arial" w:cs="Arial"/>
              </w:rPr>
            </w:pPr>
            <w:r w:rsidRPr="00942A1B">
              <w:rPr>
                <w:rFonts w:ascii="Arial" w:hAnsi="Arial" w:cs="Arial"/>
              </w:rPr>
              <w:t>NA</w:t>
            </w:r>
          </w:p>
        </w:tc>
      </w:tr>
      <w:tr w:rsidR="004F1DE8" w:rsidRPr="00E308CF" w14:paraId="6D78451B" w14:textId="77777777" w:rsidTr="00F5642D">
        <w:trPr>
          <w:trHeight w:val="555"/>
        </w:trPr>
        <w:tc>
          <w:tcPr>
            <w:tcW w:w="1418" w:type="dxa"/>
          </w:tcPr>
          <w:p w14:paraId="1A2C6FA5" w14:textId="77777777" w:rsidR="004F1DE8" w:rsidRPr="00942A1B" w:rsidRDefault="004F1DE8" w:rsidP="004F1DE8">
            <w:pPr>
              <w:pStyle w:val="TableParagraph"/>
              <w:rPr>
                <w:rFonts w:ascii="Arial" w:hAnsi="Arial" w:cs="Arial"/>
              </w:rPr>
            </w:pPr>
            <w:r w:rsidRPr="00942A1B">
              <w:rPr>
                <w:rFonts w:ascii="Arial" w:hAnsi="Arial" w:cs="Arial"/>
              </w:rPr>
              <w:t>4-14</w:t>
            </w:r>
          </w:p>
        </w:tc>
        <w:tc>
          <w:tcPr>
            <w:tcW w:w="2683" w:type="dxa"/>
          </w:tcPr>
          <w:p w14:paraId="35C3C510" w14:textId="77777777" w:rsidR="004F1DE8" w:rsidRPr="00942A1B" w:rsidRDefault="004F1DE8" w:rsidP="004F1DE8">
            <w:pPr>
              <w:pStyle w:val="TableParagraph"/>
              <w:ind w:left="105"/>
              <w:rPr>
                <w:rFonts w:ascii="Arial" w:hAnsi="Arial" w:cs="Arial"/>
              </w:rPr>
            </w:pPr>
            <w:r w:rsidRPr="00942A1B">
              <w:rPr>
                <w:rFonts w:ascii="Arial" w:hAnsi="Arial" w:cs="Arial"/>
              </w:rPr>
              <w:t>4,</w:t>
            </w:r>
            <w:r w:rsidRPr="00942A1B">
              <w:rPr>
                <w:rFonts w:ascii="Arial" w:hAnsi="Arial" w:cs="Arial"/>
                <w:spacing w:val="-1"/>
              </w:rPr>
              <w:t xml:space="preserve"> </w:t>
            </w:r>
            <w:r w:rsidRPr="00942A1B">
              <w:rPr>
                <w:rFonts w:ascii="Arial" w:hAnsi="Arial" w:cs="Arial"/>
              </w:rPr>
              <w:t>6, 8,10</w:t>
            </w:r>
          </w:p>
        </w:tc>
        <w:tc>
          <w:tcPr>
            <w:tcW w:w="4971" w:type="dxa"/>
          </w:tcPr>
          <w:p w14:paraId="326BD287" w14:textId="77777777" w:rsidR="004F1DE8" w:rsidRPr="00942A1B" w:rsidRDefault="004F1DE8" w:rsidP="004F1DE8">
            <w:pPr>
              <w:pStyle w:val="TableParagraph"/>
              <w:ind w:left="108"/>
              <w:rPr>
                <w:rFonts w:ascii="Arial" w:hAnsi="Arial" w:cs="Arial"/>
              </w:rPr>
            </w:pPr>
            <w:r w:rsidRPr="00942A1B">
              <w:rPr>
                <w:rFonts w:ascii="Arial" w:hAnsi="Arial" w:cs="Arial"/>
              </w:rPr>
              <w:t>Low</w:t>
            </w:r>
            <w:r w:rsidRPr="00942A1B">
              <w:rPr>
                <w:rFonts w:ascii="Arial" w:hAnsi="Arial" w:cs="Arial"/>
                <w:spacing w:val="-2"/>
              </w:rPr>
              <w:t xml:space="preserve"> </w:t>
            </w:r>
            <w:r w:rsidRPr="00942A1B">
              <w:rPr>
                <w:rFonts w:ascii="Arial" w:hAnsi="Arial" w:cs="Arial"/>
              </w:rPr>
              <w:t>protection</w:t>
            </w:r>
          </w:p>
        </w:tc>
      </w:tr>
      <w:tr w:rsidR="004F1DE8" w:rsidRPr="00E308CF" w14:paraId="5F72200D" w14:textId="77777777" w:rsidTr="00F5642D">
        <w:trPr>
          <w:trHeight w:val="558"/>
        </w:trPr>
        <w:tc>
          <w:tcPr>
            <w:tcW w:w="1418" w:type="dxa"/>
          </w:tcPr>
          <w:p w14:paraId="3A000243" w14:textId="77777777" w:rsidR="004F1DE8" w:rsidRPr="00942A1B" w:rsidRDefault="004F1DE8" w:rsidP="004F1DE8">
            <w:pPr>
              <w:pStyle w:val="TableParagraph"/>
              <w:spacing w:before="121"/>
              <w:rPr>
                <w:rFonts w:ascii="Arial" w:hAnsi="Arial" w:cs="Arial"/>
              </w:rPr>
            </w:pPr>
            <w:r w:rsidRPr="00942A1B">
              <w:rPr>
                <w:rFonts w:ascii="Arial" w:hAnsi="Arial" w:cs="Arial"/>
              </w:rPr>
              <w:t>15-29</w:t>
            </w:r>
          </w:p>
        </w:tc>
        <w:tc>
          <w:tcPr>
            <w:tcW w:w="2683" w:type="dxa"/>
          </w:tcPr>
          <w:p w14:paraId="2D639C15" w14:textId="77777777" w:rsidR="004F1DE8" w:rsidRPr="00942A1B" w:rsidRDefault="004F1DE8" w:rsidP="004F1DE8">
            <w:pPr>
              <w:pStyle w:val="TableParagraph"/>
              <w:spacing w:before="121"/>
              <w:ind w:left="105"/>
              <w:rPr>
                <w:rFonts w:ascii="Arial" w:hAnsi="Arial" w:cs="Arial"/>
              </w:rPr>
            </w:pPr>
            <w:r w:rsidRPr="00942A1B">
              <w:rPr>
                <w:rFonts w:ascii="Arial" w:hAnsi="Arial" w:cs="Arial"/>
              </w:rPr>
              <w:t>15,</w:t>
            </w:r>
            <w:r w:rsidRPr="00942A1B">
              <w:rPr>
                <w:rFonts w:ascii="Arial" w:hAnsi="Arial" w:cs="Arial"/>
                <w:spacing w:val="-1"/>
              </w:rPr>
              <w:t xml:space="preserve"> </w:t>
            </w:r>
            <w:r w:rsidRPr="00942A1B">
              <w:rPr>
                <w:rFonts w:ascii="Arial" w:hAnsi="Arial" w:cs="Arial"/>
              </w:rPr>
              <w:t>20, 25</w:t>
            </w:r>
          </w:p>
        </w:tc>
        <w:tc>
          <w:tcPr>
            <w:tcW w:w="4971" w:type="dxa"/>
          </w:tcPr>
          <w:p w14:paraId="6167A001" w14:textId="77777777" w:rsidR="004F1DE8" w:rsidRPr="00942A1B" w:rsidRDefault="004F1DE8" w:rsidP="004F1DE8">
            <w:pPr>
              <w:pStyle w:val="TableParagraph"/>
              <w:spacing w:before="121"/>
              <w:ind w:left="108"/>
              <w:rPr>
                <w:rFonts w:ascii="Arial" w:hAnsi="Arial" w:cs="Arial"/>
              </w:rPr>
            </w:pPr>
            <w:r w:rsidRPr="00942A1B">
              <w:rPr>
                <w:rFonts w:ascii="Arial" w:hAnsi="Arial" w:cs="Arial"/>
              </w:rPr>
              <w:t>Medium</w:t>
            </w:r>
            <w:r w:rsidRPr="00942A1B">
              <w:rPr>
                <w:rFonts w:ascii="Arial" w:hAnsi="Arial" w:cs="Arial"/>
                <w:spacing w:val="-2"/>
              </w:rPr>
              <w:t xml:space="preserve"> </w:t>
            </w:r>
            <w:r w:rsidRPr="00942A1B">
              <w:rPr>
                <w:rFonts w:ascii="Arial" w:hAnsi="Arial" w:cs="Arial"/>
              </w:rPr>
              <w:t>or</w:t>
            </w:r>
            <w:r w:rsidRPr="00942A1B">
              <w:rPr>
                <w:rFonts w:ascii="Arial" w:hAnsi="Arial" w:cs="Arial"/>
                <w:spacing w:val="-3"/>
              </w:rPr>
              <w:t xml:space="preserve"> </w:t>
            </w:r>
            <w:r w:rsidRPr="00942A1B">
              <w:rPr>
                <w:rFonts w:ascii="Arial" w:hAnsi="Arial" w:cs="Arial"/>
              </w:rPr>
              <w:t>moderate</w:t>
            </w:r>
            <w:r w:rsidRPr="00942A1B">
              <w:rPr>
                <w:rFonts w:ascii="Arial" w:hAnsi="Arial" w:cs="Arial"/>
                <w:spacing w:val="-3"/>
              </w:rPr>
              <w:t xml:space="preserve"> </w:t>
            </w:r>
            <w:r w:rsidRPr="00942A1B">
              <w:rPr>
                <w:rFonts w:ascii="Arial" w:hAnsi="Arial" w:cs="Arial"/>
              </w:rPr>
              <w:t>protection</w:t>
            </w:r>
          </w:p>
        </w:tc>
      </w:tr>
      <w:tr w:rsidR="004F1DE8" w:rsidRPr="00E308CF" w14:paraId="6AB3D669" w14:textId="77777777" w:rsidTr="00F5642D">
        <w:trPr>
          <w:trHeight w:val="558"/>
        </w:trPr>
        <w:tc>
          <w:tcPr>
            <w:tcW w:w="1418" w:type="dxa"/>
          </w:tcPr>
          <w:p w14:paraId="38447CD2" w14:textId="77777777" w:rsidR="004F1DE8" w:rsidRPr="00942A1B" w:rsidRDefault="004F1DE8" w:rsidP="004F1DE8">
            <w:pPr>
              <w:pStyle w:val="TableParagraph"/>
              <w:rPr>
                <w:rFonts w:ascii="Arial" w:hAnsi="Arial" w:cs="Arial"/>
              </w:rPr>
            </w:pPr>
            <w:r w:rsidRPr="00942A1B">
              <w:rPr>
                <w:rFonts w:ascii="Arial" w:hAnsi="Arial" w:cs="Arial"/>
              </w:rPr>
              <w:t>30-59</w:t>
            </w:r>
          </w:p>
        </w:tc>
        <w:tc>
          <w:tcPr>
            <w:tcW w:w="2683" w:type="dxa"/>
          </w:tcPr>
          <w:p w14:paraId="367565EC" w14:textId="4A8DF8D2" w:rsidR="004F1DE8" w:rsidRPr="00942A1B" w:rsidRDefault="004F1DE8" w:rsidP="004F1DE8">
            <w:pPr>
              <w:pStyle w:val="TableParagraph"/>
              <w:ind w:left="105"/>
              <w:rPr>
                <w:rFonts w:ascii="Arial" w:hAnsi="Arial" w:cs="Arial"/>
              </w:rPr>
            </w:pPr>
            <w:r w:rsidRPr="00942A1B">
              <w:rPr>
                <w:rFonts w:ascii="Arial" w:hAnsi="Arial" w:cs="Arial"/>
              </w:rPr>
              <w:t>30,</w:t>
            </w:r>
            <w:r w:rsidR="00F5642D">
              <w:rPr>
                <w:rFonts w:ascii="Arial" w:hAnsi="Arial" w:cs="Arial"/>
              </w:rPr>
              <w:t xml:space="preserve"> </w:t>
            </w:r>
            <w:r w:rsidRPr="00942A1B">
              <w:rPr>
                <w:rFonts w:ascii="Arial" w:hAnsi="Arial" w:cs="Arial"/>
              </w:rPr>
              <w:t>40, 50</w:t>
            </w:r>
          </w:p>
        </w:tc>
        <w:tc>
          <w:tcPr>
            <w:tcW w:w="4971" w:type="dxa"/>
          </w:tcPr>
          <w:p w14:paraId="50D3DC36" w14:textId="77777777" w:rsidR="004F1DE8" w:rsidRPr="00942A1B" w:rsidRDefault="004F1DE8" w:rsidP="004F1DE8">
            <w:pPr>
              <w:pStyle w:val="TableParagraph"/>
              <w:ind w:left="108"/>
              <w:rPr>
                <w:rFonts w:ascii="Arial" w:hAnsi="Arial" w:cs="Arial"/>
              </w:rPr>
            </w:pPr>
            <w:r w:rsidRPr="00942A1B">
              <w:rPr>
                <w:rFonts w:ascii="Arial" w:hAnsi="Arial" w:cs="Arial"/>
              </w:rPr>
              <w:t>High</w:t>
            </w:r>
            <w:r w:rsidRPr="00942A1B">
              <w:rPr>
                <w:rFonts w:ascii="Arial" w:hAnsi="Arial" w:cs="Arial"/>
                <w:spacing w:val="-2"/>
              </w:rPr>
              <w:t xml:space="preserve"> </w:t>
            </w:r>
            <w:r w:rsidRPr="00942A1B">
              <w:rPr>
                <w:rFonts w:ascii="Arial" w:hAnsi="Arial" w:cs="Arial"/>
              </w:rPr>
              <w:t>protection</w:t>
            </w:r>
          </w:p>
        </w:tc>
      </w:tr>
      <w:tr w:rsidR="004F1DE8" w:rsidRPr="00E308CF" w14:paraId="0D5719AF" w14:textId="77777777" w:rsidTr="00F5642D">
        <w:trPr>
          <w:trHeight w:val="558"/>
        </w:trPr>
        <w:tc>
          <w:tcPr>
            <w:tcW w:w="1418" w:type="dxa"/>
          </w:tcPr>
          <w:p w14:paraId="10356F56" w14:textId="77777777" w:rsidR="004F1DE8" w:rsidRPr="00942A1B" w:rsidRDefault="004F1DE8" w:rsidP="004F1DE8">
            <w:pPr>
              <w:pStyle w:val="TableParagraph"/>
              <w:rPr>
                <w:rFonts w:ascii="Arial" w:hAnsi="Arial" w:cs="Arial"/>
              </w:rPr>
            </w:pPr>
            <w:r w:rsidRPr="00942A1B">
              <w:rPr>
                <w:rFonts w:ascii="Arial" w:hAnsi="Arial" w:cs="Arial"/>
              </w:rPr>
              <w:t>60</w:t>
            </w:r>
            <w:r w:rsidRPr="00942A1B">
              <w:rPr>
                <w:rFonts w:ascii="Arial" w:hAnsi="Arial" w:cs="Arial"/>
                <w:spacing w:val="-1"/>
              </w:rPr>
              <w:t xml:space="preserve"> </w:t>
            </w:r>
            <w:r w:rsidRPr="00942A1B">
              <w:rPr>
                <w:rFonts w:ascii="Arial" w:hAnsi="Arial" w:cs="Arial"/>
              </w:rPr>
              <w:t>or</w:t>
            </w:r>
            <w:r w:rsidRPr="00942A1B">
              <w:rPr>
                <w:rFonts w:ascii="Arial" w:hAnsi="Arial" w:cs="Arial"/>
                <w:spacing w:val="-1"/>
              </w:rPr>
              <w:t xml:space="preserve"> </w:t>
            </w:r>
            <w:r w:rsidRPr="00942A1B">
              <w:rPr>
                <w:rFonts w:ascii="Arial" w:hAnsi="Arial" w:cs="Arial"/>
              </w:rPr>
              <w:t>higher</w:t>
            </w:r>
          </w:p>
        </w:tc>
        <w:tc>
          <w:tcPr>
            <w:tcW w:w="2683" w:type="dxa"/>
          </w:tcPr>
          <w:p w14:paraId="6CFCED03" w14:textId="77777777" w:rsidR="004F1DE8" w:rsidRPr="00942A1B" w:rsidRDefault="004F1DE8" w:rsidP="004F1DE8">
            <w:pPr>
              <w:pStyle w:val="TableParagraph"/>
              <w:ind w:left="105"/>
              <w:rPr>
                <w:rFonts w:ascii="Arial" w:hAnsi="Arial" w:cs="Arial"/>
              </w:rPr>
            </w:pPr>
            <w:r w:rsidRPr="00942A1B">
              <w:rPr>
                <w:rFonts w:ascii="Arial" w:hAnsi="Arial" w:cs="Arial"/>
              </w:rPr>
              <w:t>50+</w:t>
            </w:r>
          </w:p>
        </w:tc>
        <w:tc>
          <w:tcPr>
            <w:tcW w:w="4971" w:type="dxa"/>
          </w:tcPr>
          <w:p w14:paraId="3E1D83D3" w14:textId="77777777" w:rsidR="004F1DE8" w:rsidRPr="00942A1B" w:rsidRDefault="004F1DE8" w:rsidP="004F1DE8">
            <w:pPr>
              <w:pStyle w:val="TableParagraph"/>
              <w:ind w:left="108"/>
              <w:rPr>
                <w:rFonts w:ascii="Arial" w:hAnsi="Arial" w:cs="Arial"/>
              </w:rPr>
            </w:pPr>
            <w:r w:rsidRPr="00942A1B">
              <w:rPr>
                <w:rFonts w:ascii="Arial" w:hAnsi="Arial" w:cs="Arial"/>
              </w:rPr>
              <w:t>Very</w:t>
            </w:r>
            <w:r w:rsidRPr="00942A1B">
              <w:rPr>
                <w:rFonts w:ascii="Arial" w:hAnsi="Arial" w:cs="Arial"/>
                <w:spacing w:val="-4"/>
              </w:rPr>
              <w:t xml:space="preserve"> </w:t>
            </w:r>
            <w:r w:rsidRPr="00942A1B">
              <w:rPr>
                <w:rFonts w:ascii="Arial" w:hAnsi="Arial" w:cs="Arial"/>
              </w:rPr>
              <w:t>high</w:t>
            </w:r>
            <w:r w:rsidRPr="00942A1B">
              <w:rPr>
                <w:rFonts w:ascii="Arial" w:hAnsi="Arial" w:cs="Arial"/>
                <w:spacing w:val="-1"/>
              </w:rPr>
              <w:t xml:space="preserve"> </w:t>
            </w:r>
            <w:r w:rsidRPr="00942A1B">
              <w:rPr>
                <w:rFonts w:ascii="Arial" w:hAnsi="Arial" w:cs="Arial"/>
              </w:rPr>
              <w:t>protection</w:t>
            </w:r>
          </w:p>
        </w:tc>
      </w:tr>
    </w:tbl>
    <w:p w14:paraId="618114DB" w14:textId="77777777" w:rsidR="00970E43" w:rsidRDefault="00970E43" w:rsidP="00970E43"/>
    <w:p w14:paraId="75CD12D1" w14:textId="77777777" w:rsidR="00CC7FD9" w:rsidRPr="00E308CF" w:rsidRDefault="00CC7FD9" w:rsidP="00C51794">
      <w:pPr>
        <w:pStyle w:val="Heading4"/>
      </w:pPr>
      <w:bookmarkStart w:id="29" w:name="_Toc120260208"/>
      <w:bookmarkStart w:id="30" w:name="_Toc181273042"/>
      <w:bookmarkStart w:id="31" w:name="_Toc204751311"/>
      <w:r w:rsidRPr="00E308CF">
        <w:t>Requirement</w:t>
      </w:r>
      <w:r w:rsidRPr="00E308CF">
        <w:rPr>
          <w:spacing w:val="-3"/>
        </w:rPr>
        <w:t xml:space="preserve"> </w:t>
      </w:r>
      <w:r w:rsidRPr="00E308CF">
        <w:t>to</w:t>
      </w:r>
      <w:r w:rsidRPr="00E308CF">
        <w:rPr>
          <w:spacing w:val="-3"/>
        </w:rPr>
        <w:t xml:space="preserve"> </w:t>
      </w:r>
      <w:r w:rsidRPr="00E308CF">
        <w:t>report</w:t>
      </w:r>
      <w:r w:rsidRPr="00E308CF">
        <w:rPr>
          <w:spacing w:val="-3"/>
        </w:rPr>
        <w:t xml:space="preserve"> </w:t>
      </w:r>
      <w:r w:rsidRPr="00C51794">
        <w:t>adverse</w:t>
      </w:r>
      <w:r w:rsidRPr="00E308CF">
        <w:rPr>
          <w:spacing w:val="-3"/>
        </w:rPr>
        <w:t xml:space="preserve"> </w:t>
      </w:r>
      <w:r w:rsidRPr="00E308CF">
        <w:t>reactions</w:t>
      </w:r>
      <w:r w:rsidRPr="00E308CF">
        <w:rPr>
          <w:spacing w:val="-3"/>
        </w:rPr>
        <w:t xml:space="preserve"> </w:t>
      </w:r>
      <w:r w:rsidRPr="00E308CF">
        <w:t>for</w:t>
      </w:r>
      <w:r w:rsidRPr="00E308CF">
        <w:rPr>
          <w:spacing w:val="-3"/>
        </w:rPr>
        <w:t xml:space="preserve"> </w:t>
      </w:r>
      <w:r w:rsidRPr="00E308CF">
        <w:t>therapeutic</w:t>
      </w:r>
      <w:r w:rsidRPr="00E308CF">
        <w:rPr>
          <w:spacing w:val="-3"/>
        </w:rPr>
        <w:t xml:space="preserve"> </w:t>
      </w:r>
      <w:r w:rsidRPr="00E308CF">
        <w:t>sunscreens</w:t>
      </w:r>
      <w:bookmarkEnd w:id="29"/>
      <w:bookmarkEnd w:id="30"/>
      <w:bookmarkEnd w:id="31"/>
    </w:p>
    <w:p w14:paraId="5757E32C" w14:textId="5BE2CFDE" w:rsidR="00CC7FD9" w:rsidRPr="00942A1B" w:rsidRDefault="00CC7FD9" w:rsidP="00CC7FD9">
      <w:r w:rsidRPr="00942A1B">
        <w:t>It is a standard condition of listing or registration of a medicine in the ARTG that the sponsor has an appropriate system of pharmacovigilance and that the sponsor reports to the TGA adverse</w:t>
      </w:r>
      <w:r w:rsidRPr="00942A1B">
        <w:rPr>
          <w:spacing w:val="1"/>
        </w:rPr>
        <w:t xml:space="preserve"> </w:t>
      </w:r>
      <w:r w:rsidRPr="00942A1B">
        <w:t>reactions experienced by users of the sponsor’s products. This requirement applies to sponsors</w:t>
      </w:r>
      <w:r w:rsidRPr="00942A1B">
        <w:rPr>
          <w:spacing w:val="1"/>
        </w:rPr>
        <w:t xml:space="preserve"> </w:t>
      </w:r>
      <w:r w:rsidRPr="00942A1B">
        <w:t>of</w:t>
      </w:r>
      <w:r w:rsidRPr="00942A1B">
        <w:rPr>
          <w:spacing w:val="-2"/>
        </w:rPr>
        <w:t xml:space="preserve"> </w:t>
      </w:r>
      <w:r w:rsidRPr="00942A1B">
        <w:t>all</w:t>
      </w:r>
      <w:r w:rsidRPr="00942A1B">
        <w:rPr>
          <w:spacing w:val="-1"/>
        </w:rPr>
        <w:t xml:space="preserve"> </w:t>
      </w:r>
      <w:r w:rsidRPr="00942A1B">
        <w:t>therapeutic</w:t>
      </w:r>
      <w:r w:rsidRPr="00942A1B">
        <w:rPr>
          <w:spacing w:val="-2"/>
        </w:rPr>
        <w:t xml:space="preserve"> </w:t>
      </w:r>
      <w:r w:rsidRPr="00942A1B">
        <w:t>sunscreens.</w:t>
      </w:r>
    </w:p>
    <w:p w14:paraId="5B256693" w14:textId="331C9D31" w:rsidR="00E01A07" w:rsidRDefault="00CC7FD9" w:rsidP="00655441">
      <w:r w:rsidRPr="00942A1B">
        <w:t>Details of the TGA’s requirements for pharmacovigilance and the reporting of adverse reactions</w:t>
      </w:r>
      <w:r w:rsidRPr="00942A1B">
        <w:rPr>
          <w:spacing w:val="-46"/>
        </w:rPr>
        <w:t xml:space="preserve">  </w:t>
      </w:r>
      <w:r w:rsidRPr="00942A1B">
        <w:t>can</w:t>
      </w:r>
      <w:r w:rsidRPr="00942A1B">
        <w:rPr>
          <w:spacing w:val="-3"/>
        </w:rPr>
        <w:t xml:space="preserve"> </w:t>
      </w:r>
      <w:r w:rsidRPr="00942A1B">
        <w:t>be</w:t>
      </w:r>
      <w:r w:rsidRPr="00942A1B">
        <w:rPr>
          <w:spacing w:val="-2"/>
        </w:rPr>
        <w:t xml:space="preserve"> </w:t>
      </w:r>
      <w:r w:rsidRPr="00942A1B">
        <w:t>found</w:t>
      </w:r>
      <w:r w:rsidRPr="00942A1B">
        <w:rPr>
          <w:spacing w:val="-2"/>
        </w:rPr>
        <w:t xml:space="preserve"> </w:t>
      </w:r>
      <w:r w:rsidRPr="00942A1B">
        <w:t>on</w:t>
      </w:r>
      <w:r w:rsidRPr="00942A1B">
        <w:rPr>
          <w:spacing w:val="-2"/>
        </w:rPr>
        <w:t xml:space="preserve"> </w:t>
      </w:r>
      <w:r w:rsidRPr="00942A1B">
        <w:t>the</w:t>
      </w:r>
      <w:r w:rsidRPr="00942A1B">
        <w:rPr>
          <w:spacing w:val="-2"/>
        </w:rPr>
        <w:t xml:space="preserve"> </w:t>
      </w:r>
      <w:r w:rsidRPr="00942A1B">
        <w:t>TGA’s</w:t>
      </w:r>
      <w:r w:rsidRPr="00942A1B">
        <w:rPr>
          <w:spacing w:val="-3"/>
        </w:rPr>
        <w:t xml:space="preserve"> </w:t>
      </w:r>
      <w:hyperlink r:id="rId29">
        <w:r w:rsidRPr="00F32DBC">
          <w:rPr>
            <w:rStyle w:val="Hyperlink"/>
          </w:rPr>
          <w:t>Pharmacovigilance</w:t>
        </w:r>
        <w:r w:rsidRPr="00F32DBC">
          <w:rPr>
            <w:rStyle w:val="Hyperlink"/>
            <w:spacing w:val="-1"/>
          </w:rPr>
          <w:t xml:space="preserve"> </w:t>
        </w:r>
        <w:r w:rsidRPr="00F32DBC">
          <w:rPr>
            <w:rStyle w:val="Hyperlink"/>
          </w:rPr>
          <w:t>responsibilities</w:t>
        </w:r>
        <w:r w:rsidRPr="00F32DBC">
          <w:rPr>
            <w:rStyle w:val="Hyperlink"/>
            <w:spacing w:val="-3"/>
          </w:rPr>
          <w:t xml:space="preserve"> </w:t>
        </w:r>
        <w:r w:rsidRPr="00F32DBC">
          <w:rPr>
            <w:rStyle w:val="Hyperlink"/>
          </w:rPr>
          <w:t>of</w:t>
        </w:r>
        <w:r w:rsidRPr="00F32DBC">
          <w:rPr>
            <w:rStyle w:val="Hyperlink"/>
            <w:spacing w:val="-2"/>
          </w:rPr>
          <w:t xml:space="preserve"> </w:t>
        </w:r>
        <w:r w:rsidRPr="00F32DBC">
          <w:rPr>
            <w:rStyle w:val="Hyperlink"/>
          </w:rPr>
          <w:t>medicine</w:t>
        </w:r>
        <w:r w:rsidRPr="00F32DBC">
          <w:rPr>
            <w:rStyle w:val="Hyperlink"/>
            <w:spacing w:val="-3"/>
          </w:rPr>
          <w:t xml:space="preserve"> </w:t>
        </w:r>
        <w:r w:rsidRPr="00F32DBC">
          <w:rPr>
            <w:rStyle w:val="Hyperlink"/>
          </w:rPr>
          <w:t>sponsors</w:t>
        </w:r>
        <w:r w:rsidRPr="00B822B5">
          <w:rPr>
            <w:rStyle w:val="Hyperlink"/>
            <w:u w:val="none"/>
          </w:rPr>
          <w:t xml:space="preserve"> </w:t>
        </w:r>
      </w:hyperlink>
      <w:r w:rsidRPr="00942A1B">
        <w:t>webpage.</w:t>
      </w:r>
    </w:p>
    <w:p w14:paraId="33475B91" w14:textId="77777777" w:rsidR="002212B1" w:rsidRPr="00E308CF" w:rsidRDefault="002212B1" w:rsidP="002212B1">
      <w:pPr>
        <w:pStyle w:val="Heading4"/>
        <w:rPr>
          <w:rFonts w:cs="Arial"/>
        </w:rPr>
      </w:pPr>
      <w:bookmarkStart w:id="32" w:name="_Toc120260209"/>
      <w:bookmarkStart w:id="33" w:name="_Toc181273043"/>
      <w:bookmarkStart w:id="34" w:name="_Toc204751312"/>
      <w:r w:rsidRPr="00E308CF">
        <w:rPr>
          <w:rFonts w:cs="Arial"/>
        </w:rPr>
        <w:t>Labelling</w:t>
      </w:r>
      <w:r w:rsidRPr="00E308CF">
        <w:rPr>
          <w:rFonts w:cs="Arial"/>
          <w:spacing w:val="-4"/>
        </w:rPr>
        <w:t xml:space="preserve"> </w:t>
      </w:r>
      <w:r w:rsidRPr="00E308CF">
        <w:rPr>
          <w:rFonts w:cs="Arial"/>
        </w:rPr>
        <w:t>and</w:t>
      </w:r>
      <w:r w:rsidRPr="00E308CF">
        <w:rPr>
          <w:rFonts w:cs="Arial"/>
          <w:spacing w:val="-1"/>
        </w:rPr>
        <w:t xml:space="preserve"> </w:t>
      </w:r>
      <w:r w:rsidRPr="00E308CF">
        <w:rPr>
          <w:rFonts w:cs="Arial"/>
        </w:rPr>
        <w:t>advertising</w:t>
      </w:r>
      <w:r w:rsidRPr="00E308CF">
        <w:rPr>
          <w:rFonts w:cs="Arial"/>
          <w:spacing w:val="-4"/>
        </w:rPr>
        <w:t xml:space="preserve"> </w:t>
      </w:r>
      <w:r w:rsidRPr="00E308CF">
        <w:rPr>
          <w:rFonts w:cs="Arial"/>
        </w:rPr>
        <w:t>requirements for</w:t>
      </w:r>
      <w:r w:rsidRPr="00E308CF">
        <w:rPr>
          <w:rFonts w:cs="Arial"/>
          <w:spacing w:val="-4"/>
        </w:rPr>
        <w:t xml:space="preserve"> </w:t>
      </w:r>
      <w:r w:rsidRPr="00E308CF">
        <w:rPr>
          <w:rFonts w:cs="Arial"/>
        </w:rPr>
        <w:t>therapeutic</w:t>
      </w:r>
      <w:r w:rsidRPr="00E308CF">
        <w:rPr>
          <w:rFonts w:cs="Arial"/>
          <w:spacing w:val="-3"/>
        </w:rPr>
        <w:t xml:space="preserve"> </w:t>
      </w:r>
      <w:r w:rsidRPr="00E308CF">
        <w:rPr>
          <w:rFonts w:cs="Arial"/>
        </w:rPr>
        <w:t>sunscreens</w:t>
      </w:r>
      <w:bookmarkEnd w:id="32"/>
      <w:bookmarkEnd w:id="33"/>
      <w:bookmarkEnd w:id="34"/>
    </w:p>
    <w:p w14:paraId="53909D25" w14:textId="6BC73159" w:rsidR="002212B1" w:rsidRPr="00942A1B" w:rsidRDefault="002212B1" w:rsidP="002212B1">
      <w:r w:rsidRPr="00942A1B">
        <w:t xml:space="preserve">The labelling and advertising of therapeutic sunscreens must comply with the </w:t>
      </w:r>
      <w:r w:rsidRPr="00942A1B">
        <w:rPr>
          <w:spacing w:val="-1"/>
        </w:rPr>
        <w:t>relevant</w:t>
      </w:r>
      <w:r w:rsidR="00B02050" w:rsidRPr="00942A1B">
        <w:rPr>
          <w:spacing w:val="-1"/>
        </w:rPr>
        <w:t xml:space="preserve"> </w:t>
      </w:r>
      <w:r w:rsidRPr="00942A1B">
        <w:rPr>
          <w:spacing w:val="-1"/>
        </w:rPr>
        <w:t xml:space="preserve">requirements </w:t>
      </w:r>
      <w:r w:rsidRPr="00942A1B">
        <w:t>of</w:t>
      </w:r>
      <w:r w:rsidRPr="00942A1B">
        <w:rPr>
          <w:spacing w:val="-1"/>
        </w:rPr>
        <w:t xml:space="preserve"> </w:t>
      </w:r>
      <w:r w:rsidRPr="00942A1B">
        <w:t>the</w:t>
      </w:r>
      <w:r w:rsidRPr="00942A1B">
        <w:rPr>
          <w:spacing w:val="-1"/>
        </w:rPr>
        <w:t xml:space="preserve"> </w:t>
      </w:r>
      <w:r w:rsidRPr="00942A1B">
        <w:t>following:</w:t>
      </w:r>
    </w:p>
    <w:p w14:paraId="6DE97B9D" w14:textId="77777777" w:rsidR="002212B1" w:rsidRPr="00942A1B" w:rsidRDefault="002212B1" w:rsidP="007B38C6">
      <w:pPr>
        <w:pStyle w:val="ListBullet"/>
      </w:pPr>
      <w:r w:rsidRPr="00942A1B">
        <w:t>the</w:t>
      </w:r>
      <w:r w:rsidRPr="00942A1B">
        <w:rPr>
          <w:spacing w:val="-2"/>
        </w:rPr>
        <w:t xml:space="preserve"> </w:t>
      </w:r>
      <w:r w:rsidRPr="00942A1B">
        <w:t>most</w:t>
      </w:r>
      <w:r w:rsidRPr="00942A1B">
        <w:rPr>
          <w:spacing w:val="-4"/>
        </w:rPr>
        <w:t xml:space="preserve"> </w:t>
      </w:r>
      <w:r w:rsidRPr="00942A1B">
        <w:t>current</w:t>
      </w:r>
      <w:r w:rsidRPr="00942A1B">
        <w:rPr>
          <w:spacing w:val="-2"/>
        </w:rPr>
        <w:t xml:space="preserve"> </w:t>
      </w:r>
      <w:r w:rsidRPr="00942A1B">
        <w:t>version</w:t>
      </w:r>
      <w:r w:rsidRPr="00942A1B">
        <w:rPr>
          <w:spacing w:val="-2"/>
        </w:rPr>
        <w:t xml:space="preserve"> </w:t>
      </w:r>
      <w:r w:rsidRPr="00942A1B">
        <w:t>of</w:t>
      </w:r>
      <w:r w:rsidRPr="00942A1B">
        <w:rPr>
          <w:spacing w:val="-1"/>
        </w:rPr>
        <w:t xml:space="preserve"> </w:t>
      </w:r>
      <w:r w:rsidRPr="00942A1B">
        <w:t xml:space="preserve">the </w:t>
      </w:r>
      <w:hyperlink r:id="rId30" w:tooltip="link to the FRL website" w:history="1">
        <w:r w:rsidRPr="00E308CF">
          <w:rPr>
            <w:rStyle w:val="Hyperlink"/>
            <w:spacing w:val="-2"/>
          </w:rPr>
          <w:t>Therapeutic Goods Order No. 92 - Standard for labels of non-prescription medicines</w:t>
        </w:r>
        <w:r w:rsidRPr="00B822B5">
          <w:rPr>
            <w:rStyle w:val="Hyperlink"/>
            <w:spacing w:val="-2"/>
            <w:u w:val="none"/>
          </w:rPr>
          <w:t xml:space="preserve"> </w:t>
        </w:r>
      </w:hyperlink>
      <w:r w:rsidRPr="00942A1B">
        <w:rPr>
          <w:spacing w:val="-2"/>
        </w:rPr>
        <w:t xml:space="preserve">(the </w:t>
      </w:r>
      <w:hyperlink r:id="rId31">
        <w:r w:rsidRPr="00942A1B">
          <w:t>Labelling</w:t>
        </w:r>
        <w:r w:rsidRPr="00942A1B">
          <w:rPr>
            <w:spacing w:val="-2"/>
          </w:rPr>
          <w:t xml:space="preserve"> </w:t>
        </w:r>
        <w:r w:rsidRPr="00942A1B">
          <w:t>Order</w:t>
        </w:r>
      </w:hyperlink>
      <w:r w:rsidRPr="00942A1B">
        <w:t>)</w:t>
      </w:r>
    </w:p>
    <w:p w14:paraId="31383ACF" w14:textId="15119ADC" w:rsidR="002212B1" w:rsidRPr="00617507" w:rsidRDefault="002212B1" w:rsidP="007B38C6">
      <w:pPr>
        <w:pStyle w:val="ListBullet"/>
      </w:pPr>
      <w:r w:rsidRPr="00942A1B">
        <w:t>the most</w:t>
      </w:r>
      <w:r w:rsidRPr="00942A1B">
        <w:rPr>
          <w:spacing w:val="-4"/>
        </w:rPr>
        <w:t xml:space="preserve"> </w:t>
      </w:r>
      <w:r w:rsidRPr="00942A1B">
        <w:t xml:space="preserve">current version of the </w:t>
      </w:r>
      <w:hyperlink r:id="rId32">
        <w:r w:rsidR="00671E8E">
          <w:rPr>
            <w:rStyle w:val="Hyperlink"/>
            <w:spacing w:val="-2"/>
          </w:rPr>
          <w:t>Therapeutic Goods A</w:t>
        </w:r>
        <w:r w:rsidRPr="00BC6803">
          <w:rPr>
            <w:rStyle w:val="Hyperlink"/>
            <w:spacing w:val="-2"/>
          </w:rPr>
          <w:t>dvertising</w:t>
        </w:r>
        <w:r w:rsidRPr="00BC6803">
          <w:rPr>
            <w:rStyle w:val="Hyperlink"/>
          </w:rPr>
          <w:t xml:space="preserve"> </w:t>
        </w:r>
        <w:r w:rsidRPr="00BC6803">
          <w:rPr>
            <w:rStyle w:val="Hyperlink"/>
            <w:spacing w:val="-2"/>
          </w:rPr>
          <w:t>Code</w:t>
        </w:r>
      </w:hyperlink>
      <w:r w:rsidRPr="00617507">
        <w:t xml:space="preserve"> </w:t>
      </w:r>
      <w:r w:rsidRPr="00942A1B">
        <w:t>(the Code)</w:t>
      </w:r>
    </w:p>
    <w:p w14:paraId="5534EBF1" w14:textId="77777777" w:rsidR="002212B1" w:rsidRPr="00942A1B" w:rsidRDefault="002212B1" w:rsidP="007B38C6">
      <w:pPr>
        <w:pStyle w:val="ListBullet"/>
      </w:pPr>
      <w:r w:rsidRPr="00942A1B">
        <w:t>the</w:t>
      </w:r>
      <w:r w:rsidRPr="00942A1B">
        <w:rPr>
          <w:spacing w:val="-3"/>
        </w:rPr>
        <w:t xml:space="preserve"> </w:t>
      </w:r>
      <w:r w:rsidRPr="00942A1B">
        <w:t>AS/NZS standard for sunscreens.</w:t>
      </w:r>
    </w:p>
    <w:p w14:paraId="024E4FBB" w14:textId="77777777" w:rsidR="002C4A3E" w:rsidRPr="00942A1B" w:rsidRDefault="002C4A3E" w:rsidP="002C4A3E">
      <w:r w:rsidRPr="00942A1B">
        <w:t>The labelling of therapeutic sunscreens may carry company logos, other symbols and consumer</w:t>
      </w:r>
      <w:r w:rsidRPr="00942A1B">
        <w:rPr>
          <w:spacing w:val="1"/>
        </w:rPr>
        <w:t xml:space="preserve"> </w:t>
      </w:r>
      <w:r w:rsidRPr="00942A1B">
        <w:t xml:space="preserve">information, </w:t>
      </w:r>
      <w:proofErr w:type="gramStart"/>
      <w:r w:rsidRPr="00942A1B">
        <w:t>provided that</w:t>
      </w:r>
      <w:proofErr w:type="gramEnd"/>
      <w:r w:rsidRPr="00942A1B">
        <w:t xml:space="preserve"> these do not create confusion for Australian consumers and they do</w:t>
      </w:r>
      <w:r w:rsidRPr="00942A1B">
        <w:rPr>
          <w:spacing w:val="1"/>
        </w:rPr>
        <w:t xml:space="preserve"> </w:t>
      </w:r>
      <w:r w:rsidRPr="00942A1B">
        <w:t>not conflict with the requirements of the AS/NZS standard for sunscreens or relevant Therapeutic Goods legislation e.g. the current Labelling Order and the Advertising Code.</w:t>
      </w:r>
    </w:p>
    <w:p w14:paraId="11555B07" w14:textId="77777777" w:rsidR="002C4A3E" w:rsidRPr="00942A1B" w:rsidRDefault="002C4A3E" w:rsidP="002C4A3E">
      <w:r w:rsidRPr="00942A1B">
        <w:t>If the formulation includes a proprietary ingredient, the sponsor should check with the</w:t>
      </w:r>
      <w:r w:rsidRPr="00942A1B">
        <w:rPr>
          <w:spacing w:val="1"/>
        </w:rPr>
        <w:t xml:space="preserve"> </w:t>
      </w:r>
      <w:r w:rsidRPr="00942A1B">
        <w:t xml:space="preserve">manufacturer or supplier of the proprietary ingredient to ascertain that: </w:t>
      </w:r>
    </w:p>
    <w:p w14:paraId="1291E7D3" w14:textId="2761A19A" w:rsidR="002C4A3E" w:rsidRPr="00942A1B" w:rsidRDefault="002C4A3E" w:rsidP="007B38C6">
      <w:pPr>
        <w:pStyle w:val="ListBullet"/>
      </w:pPr>
      <w:r w:rsidRPr="00942A1B">
        <w:lastRenderedPageBreak/>
        <w:t>it does not contain any specified excipients that must be declared on the labels in accordance with the most current</w:t>
      </w:r>
      <w:r w:rsidRPr="00942A1B">
        <w:rPr>
          <w:spacing w:val="1"/>
        </w:rPr>
        <w:t xml:space="preserve"> </w:t>
      </w:r>
      <w:r w:rsidRPr="00942A1B">
        <w:t xml:space="preserve">Labelling Order </w:t>
      </w:r>
    </w:p>
    <w:p w14:paraId="6571294B" w14:textId="651ECFBE" w:rsidR="00E01A07" w:rsidRDefault="002C4A3E" w:rsidP="007B38C6">
      <w:pPr>
        <w:pStyle w:val="ListBullet"/>
      </w:pPr>
      <w:r w:rsidRPr="00942A1B">
        <w:t xml:space="preserve">for listed sunscreens, all components in the proprietary ingredient comply with the </w:t>
      </w:r>
      <w:bookmarkStart w:id="35" w:name="_Hlk198219161"/>
      <w:r w:rsidRPr="00C47EC5">
        <w:rPr>
          <w:rStyle w:val="Hyperlink"/>
        </w:rPr>
        <w:fldChar w:fldCharType="begin"/>
      </w:r>
      <w:r w:rsidRPr="00C47EC5">
        <w:rPr>
          <w:rStyle w:val="Hyperlink"/>
        </w:rPr>
        <w:instrText>HYPERLINK "http://www.tga.gov.au/about-tga/legislation/legislation-and-legislative-instruments/therapeutic-goods-determinations" \l "permissible-ingredients" \h</w:instrText>
      </w:r>
      <w:r w:rsidRPr="00C47EC5">
        <w:rPr>
          <w:rStyle w:val="Hyperlink"/>
        </w:rPr>
      </w:r>
      <w:r w:rsidRPr="00C47EC5">
        <w:rPr>
          <w:rStyle w:val="Hyperlink"/>
        </w:rPr>
        <w:fldChar w:fldCharType="separate"/>
      </w:r>
      <w:r w:rsidRPr="00C47EC5">
        <w:rPr>
          <w:rStyle w:val="Hyperlink"/>
        </w:rPr>
        <w:t>Permissible</w:t>
      </w:r>
      <w:r w:rsidRPr="00C47EC5">
        <w:rPr>
          <w:rStyle w:val="Hyperlink"/>
        </w:rPr>
        <w:fldChar w:fldCharType="end"/>
      </w:r>
      <w:r w:rsidRPr="00C47EC5">
        <w:rPr>
          <w:rStyle w:val="Hyperlink"/>
        </w:rPr>
        <w:t xml:space="preserve"> </w:t>
      </w:r>
      <w:hyperlink r:id="rId33" w:anchor="pi">
        <w:r w:rsidRPr="00C47EC5">
          <w:rPr>
            <w:rStyle w:val="Hyperlink"/>
          </w:rPr>
          <w:t>Ingredients Determination</w:t>
        </w:r>
      </w:hyperlink>
      <w:bookmarkEnd w:id="35"/>
      <w:r w:rsidRPr="002C4A3E">
        <w:t>.</w:t>
      </w:r>
    </w:p>
    <w:p w14:paraId="52033B8F" w14:textId="5A2FCA52" w:rsidR="00C31794" w:rsidRDefault="00C31794" w:rsidP="00622BE1">
      <w:pPr>
        <w:pStyle w:val="Calloutforkeyinformation"/>
      </w:pPr>
      <w:r w:rsidRPr="00C31794">
        <w:rPr>
          <w:b/>
          <w:bCs w:val="0"/>
        </w:rPr>
        <w:t>Note</w:t>
      </w:r>
    </w:p>
    <w:p w14:paraId="0BB5C057" w14:textId="36541054" w:rsidR="002C4A3E" w:rsidRDefault="00622BE1" w:rsidP="00622BE1">
      <w:pPr>
        <w:pStyle w:val="Calloutforkeyinformation"/>
      </w:pPr>
      <w:r w:rsidRPr="00942A1B">
        <w:t xml:space="preserve">The Labelling Order and the Advertising Code do not apply to </w:t>
      </w:r>
      <w:r w:rsidRPr="00942A1B">
        <w:rPr>
          <w:b/>
        </w:rPr>
        <w:t>excluded</w:t>
      </w:r>
      <w:r w:rsidRPr="00942A1B">
        <w:rPr>
          <w:b/>
          <w:spacing w:val="1"/>
        </w:rPr>
        <w:t xml:space="preserve"> </w:t>
      </w:r>
      <w:proofErr w:type="gramStart"/>
      <w:r w:rsidRPr="00942A1B">
        <w:t>sunscreens</w:t>
      </w:r>
      <w:proofErr w:type="gramEnd"/>
      <w:r w:rsidRPr="00942A1B">
        <w:t>. Mandatory requirements applying to the labelling of all</w:t>
      </w:r>
      <w:r w:rsidRPr="00942A1B">
        <w:rPr>
          <w:spacing w:val="1"/>
        </w:rPr>
        <w:t xml:space="preserve"> </w:t>
      </w:r>
      <w:r w:rsidRPr="00942A1B">
        <w:t>excluded sunscreens that are considered to be cosmetic products are set out in</w:t>
      </w:r>
      <w:r w:rsidRPr="00942A1B">
        <w:rPr>
          <w:spacing w:val="-46"/>
        </w:rPr>
        <w:t xml:space="preserve"> </w:t>
      </w:r>
      <w:r w:rsidRPr="00942A1B">
        <w:t>the</w:t>
      </w:r>
      <w:r w:rsidRPr="00942A1B">
        <w:rPr>
          <w:spacing w:val="-2"/>
        </w:rPr>
        <w:t xml:space="preserve"> </w:t>
      </w:r>
      <w:hyperlink r:id="rId34">
        <w:r w:rsidRPr="00C47EC5">
          <w:rPr>
            <w:rStyle w:val="Hyperlink"/>
          </w:rPr>
          <w:t>Consumer Goods (Cosmetics) Information Standard 2020</w:t>
        </w:r>
        <w:r w:rsidRPr="00E308CF">
          <w:rPr>
            <w:color w:val="000000"/>
          </w:rPr>
          <w:t>.</w:t>
        </w:r>
      </w:hyperlink>
    </w:p>
    <w:p w14:paraId="5C8EC027" w14:textId="2837DBEE" w:rsidR="001D647B" w:rsidRPr="00163A7B" w:rsidRDefault="0065287B" w:rsidP="00241222">
      <w:pPr>
        <w:pStyle w:val="Heading2"/>
      </w:pPr>
      <w:bookmarkStart w:id="36" w:name="_Toc198297281"/>
      <w:bookmarkStart w:id="37" w:name="_Toc181273044"/>
      <w:bookmarkStart w:id="38" w:name="_Toc204751313"/>
      <w:r>
        <w:t>Specific l</w:t>
      </w:r>
      <w:bookmarkStart w:id="39" w:name="_Toc120260211"/>
      <w:bookmarkStart w:id="40" w:name="_Toc181273045"/>
      <w:bookmarkStart w:id="41" w:name="_Toc198297282"/>
      <w:bookmarkEnd w:id="36"/>
      <w:bookmarkEnd w:id="37"/>
      <w:r w:rsidR="001D647B" w:rsidRPr="00E308CF">
        <w:t>egislative</w:t>
      </w:r>
      <w:r w:rsidR="001D647B" w:rsidRPr="00E308CF">
        <w:rPr>
          <w:spacing w:val="-6"/>
        </w:rPr>
        <w:t xml:space="preserve"> </w:t>
      </w:r>
      <w:r w:rsidR="001D647B" w:rsidRPr="00E308CF">
        <w:t>requirements</w:t>
      </w:r>
      <w:r w:rsidR="001D647B" w:rsidRPr="00E308CF">
        <w:rPr>
          <w:spacing w:val="-4"/>
        </w:rPr>
        <w:t xml:space="preserve"> </w:t>
      </w:r>
      <w:r w:rsidR="001D647B" w:rsidRPr="00E308CF">
        <w:t>for</w:t>
      </w:r>
      <w:r w:rsidR="001D647B" w:rsidRPr="00E308CF">
        <w:rPr>
          <w:spacing w:val="-4"/>
        </w:rPr>
        <w:t xml:space="preserve"> </w:t>
      </w:r>
      <w:r w:rsidR="001D647B" w:rsidRPr="00E308CF">
        <w:t>listed</w:t>
      </w:r>
      <w:r w:rsidR="001D647B" w:rsidRPr="00E308CF">
        <w:rPr>
          <w:spacing w:val="-6"/>
        </w:rPr>
        <w:t xml:space="preserve"> </w:t>
      </w:r>
      <w:r w:rsidR="001D647B" w:rsidRPr="00E308CF">
        <w:t>therapeutic</w:t>
      </w:r>
      <w:r w:rsidR="001D647B" w:rsidRPr="00E308CF">
        <w:rPr>
          <w:spacing w:val="-1"/>
        </w:rPr>
        <w:t xml:space="preserve"> </w:t>
      </w:r>
      <w:r w:rsidR="001D647B" w:rsidRPr="00E308CF">
        <w:t>sunscreens</w:t>
      </w:r>
      <w:bookmarkEnd w:id="38"/>
      <w:bookmarkEnd w:id="39"/>
      <w:bookmarkEnd w:id="40"/>
      <w:bookmarkEnd w:id="41"/>
    </w:p>
    <w:p w14:paraId="707FDC98" w14:textId="77777777" w:rsidR="00953064" w:rsidRPr="00942A1B" w:rsidRDefault="00953064" w:rsidP="00953064">
      <w:r w:rsidRPr="00942A1B">
        <w:t xml:space="preserve">At the time of listing a sunscreen in the ARTG, a sponsor must certify that their product meets </w:t>
      </w:r>
      <w:proofErr w:type="gramStart"/>
      <w:r w:rsidRPr="00942A1B">
        <w:t>all</w:t>
      </w:r>
      <w:r w:rsidRPr="00942A1B">
        <w:rPr>
          <w:spacing w:val="-46"/>
        </w:rPr>
        <w:t xml:space="preserve">  </w:t>
      </w:r>
      <w:r w:rsidRPr="00942A1B">
        <w:t>applicable</w:t>
      </w:r>
      <w:proofErr w:type="gramEnd"/>
      <w:r w:rsidRPr="00942A1B">
        <w:rPr>
          <w:spacing w:val="-2"/>
        </w:rPr>
        <w:t xml:space="preserve"> </w:t>
      </w:r>
      <w:r w:rsidRPr="00942A1B">
        <w:t>legislative</w:t>
      </w:r>
      <w:r w:rsidRPr="00942A1B">
        <w:rPr>
          <w:spacing w:val="-1"/>
        </w:rPr>
        <w:t xml:space="preserve"> </w:t>
      </w:r>
      <w:r w:rsidRPr="00942A1B">
        <w:t>requirements,</w:t>
      </w:r>
      <w:r w:rsidRPr="00942A1B">
        <w:rPr>
          <w:spacing w:val="-2"/>
        </w:rPr>
        <w:t xml:space="preserve"> </w:t>
      </w:r>
      <w:r w:rsidRPr="00942A1B">
        <w:t>which</w:t>
      </w:r>
      <w:r w:rsidRPr="00942A1B">
        <w:rPr>
          <w:spacing w:val="-3"/>
        </w:rPr>
        <w:t xml:space="preserve"> </w:t>
      </w:r>
      <w:r w:rsidRPr="00942A1B">
        <w:t>includes</w:t>
      </w:r>
      <w:r w:rsidRPr="00942A1B">
        <w:rPr>
          <w:spacing w:val="-1"/>
        </w:rPr>
        <w:t xml:space="preserve"> </w:t>
      </w:r>
      <w:r w:rsidRPr="00942A1B">
        <w:t>certification</w:t>
      </w:r>
      <w:r w:rsidRPr="00942A1B">
        <w:rPr>
          <w:spacing w:val="-2"/>
        </w:rPr>
        <w:t xml:space="preserve"> </w:t>
      </w:r>
      <w:r w:rsidRPr="00942A1B">
        <w:t>that</w:t>
      </w:r>
      <w:r w:rsidRPr="00942A1B">
        <w:rPr>
          <w:spacing w:val="-2"/>
        </w:rPr>
        <w:t xml:space="preserve"> </w:t>
      </w:r>
      <w:r w:rsidRPr="00942A1B">
        <w:t>the</w:t>
      </w:r>
      <w:r w:rsidRPr="00942A1B">
        <w:rPr>
          <w:spacing w:val="-1"/>
        </w:rPr>
        <w:t xml:space="preserve"> </w:t>
      </w:r>
      <w:r w:rsidRPr="00942A1B">
        <w:t>product:</w:t>
      </w:r>
    </w:p>
    <w:p w14:paraId="743EA807" w14:textId="3303C291" w:rsidR="00953064" w:rsidRPr="00942A1B" w:rsidRDefault="00953064" w:rsidP="007B38C6">
      <w:pPr>
        <w:pStyle w:val="ListBullet"/>
      </w:pPr>
      <w:r w:rsidRPr="00942A1B">
        <w:t xml:space="preserve">Only makes therapeutic claims that are permitted for listed therapeutic sunscreens from the </w:t>
      </w:r>
      <w:hyperlink r:id="rId35" w:anchor="permissible-indications">
        <w:r w:rsidRPr="00C47EC5">
          <w:rPr>
            <w:rStyle w:val="Hyperlink"/>
          </w:rPr>
          <w:t>Therapeutic Goods (Permissible</w:t>
        </w:r>
      </w:hyperlink>
      <w:r w:rsidRPr="00C47EC5">
        <w:rPr>
          <w:rStyle w:val="Hyperlink"/>
        </w:rPr>
        <w:t xml:space="preserve"> </w:t>
      </w:r>
      <w:hyperlink r:id="rId36">
        <w:r w:rsidRPr="00C47EC5">
          <w:rPr>
            <w:rStyle w:val="Hyperlink"/>
          </w:rPr>
          <w:t xml:space="preserve">Indications) Determination </w:t>
        </w:r>
      </w:hyperlink>
      <w:r w:rsidRPr="00942A1B">
        <w:t>(‘Permissible Indications Determination’), an exclusive list of</w:t>
      </w:r>
      <w:r w:rsidRPr="00942A1B">
        <w:rPr>
          <w:spacing w:val="1"/>
        </w:rPr>
        <w:t xml:space="preserve"> </w:t>
      </w:r>
      <w:r w:rsidRPr="00942A1B">
        <w:t xml:space="preserve">indications that have been pre-approved by the TGA (see </w:t>
      </w:r>
      <w:r w:rsidR="00F557E2" w:rsidRPr="00942A1B">
        <w:t>Indications permitted for use in listed therapeutic sunscreens</w:t>
      </w:r>
      <w:r w:rsidRPr="00942A1B">
        <w:t xml:space="preserve"> section in th</w:t>
      </w:r>
      <w:r w:rsidR="00C8703D" w:rsidRPr="00942A1B">
        <w:t>is</w:t>
      </w:r>
      <w:r w:rsidRPr="00942A1B">
        <w:t xml:space="preserve"> Guid</w:t>
      </w:r>
      <w:r w:rsidR="00C8703D" w:rsidRPr="00942A1B">
        <w:t>ance</w:t>
      </w:r>
      <w:r w:rsidRPr="00942A1B">
        <w:t xml:space="preserve">) and complies with any requirements </w:t>
      </w:r>
      <w:r w:rsidRPr="00942A1B">
        <w:rPr>
          <w:spacing w:val="-46"/>
        </w:rPr>
        <w:t xml:space="preserve">  </w:t>
      </w:r>
      <w:r w:rsidRPr="00942A1B">
        <w:t>associated</w:t>
      </w:r>
      <w:r w:rsidRPr="00942A1B">
        <w:rPr>
          <w:spacing w:val="-2"/>
        </w:rPr>
        <w:t xml:space="preserve"> </w:t>
      </w:r>
      <w:r w:rsidRPr="00942A1B">
        <w:t>with those</w:t>
      </w:r>
      <w:r w:rsidRPr="00942A1B">
        <w:rPr>
          <w:spacing w:val="-1"/>
        </w:rPr>
        <w:t xml:space="preserve"> </w:t>
      </w:r>
      <w:r w:rsidRPr="00942A1B">
        <w:t>indications.</w:t>
      </w:r>
    </w:p>
    <w:p w14:paraId="22C11BA4" w14:textId="74B736D6" w:rsidR="00953064" w:rsidRPr="00942A1B" w:rsidRDefault="00953064" w:rsidP="007B38C6">
      <w:pPr>
        <w:pStyle w:val="ListBullet"/>
      </w:pPr>
      <w:r w:rsidRPr="00942A1B">
        <w:t xml:space="preserve">Only contains low-risk ingredients selected from the </w:t>
      </w:r>
      <w:hyperlink r:id="rId37" w:anchor="permissible-ingredients">
        <w:r w:rsidR="00671E8E" w:rsidRPr="00C47EC5">
          <w:rPr>
            <w:rStyle w:val="Hyperlink"/>
          </w:rPr>
          <w:t>Permissible</w:t>
        </w:r>
      </w:hyperlink>
      <w:r w:rsidR="00671E8E" w:rsidRPr="00C47EC5">
        <w:rPr>
          <w:rStyle w:val="Hyperlink"/>
        </w:rPr>
        <w:t xml:space="preserve"> </w:t>
      </w:r>
      <w:hyperlink r:id="rId38" w:anchor="pi">
        <w:r w:rsidR="00671E8E" w:rsidRPr="00C47EC5">
          <w:rPr>
            <w:rStyle w:val="Hyperlink"/>
          </w:rPr>
          <w:t>Ingredients Determination</w:t>
        </w:r>
      </w:hyperlink>
      <w:r w:rsidRPr="00254A9F">
        <w:t xml:space="preserve"> </w:t>
      </w:r>
      <w:r w:rsidRPr="00942A1B">
        <w:t>a list of ingredients</w:t>
      </w:r>
      <w:r w:rsidRPr="00942A1B">
        <w:rPr>
          <w:spacing w:val="1"/>
        </w:rPr>
        <w:t xml:space="preserve"> </w:t>
      </w:r>
      <w:r w:rsidRPr="00942A1B">
        <w:t xml:space="preserve">pre-approved by the TGA (see </w:t>
      </w:r>
      <w:r w:rsidR="00F557E2" w:rsidRPr="00942A1B">
        <w:t>Ingredients permitted for use in listed therapeutic sunscreens</w:t>
      </w:r>
      <w:r w:rsidRPr="00942A1B">
        <w:t>) and complies with any requirements associated with those</w:t>
      </w:r>
      <w:r w:rsidRPr="00942A1B">
        <w:rPr>
          <w:spacing w:val="1"/>
        </w:rPr>
        <w:t xml:space="preserve"> </w:t>
      </w:r>
      <w:r w:rsidRPr="00942A1B">
        <w:t xml:space="preserve">ingredients. </w:t>
      </w:r>
    </w:p>
    <w:p w14:paraId="654E293C" w14:textId="77777777" w:rsidR="00953064" w:rsidRPr="00942A1B" w:rsidRDefault="00953064" w:rsidP="007B38C6">
      <w:pPr>
        <w:pStyle w:val="ListBullet"/>
      </w:pPr>
      <w:r w:rsidRPr="00942A1B">
        <w:t>Complies</w:t>
      </w:r>
      <w:r w:rsidRPr="00942A1B">
        <w:rPr>
          <w:spacing w:val="-2"/>
        </w:rPr>
        <w:t xml:space="preserve"> </w:t>
      </w:r>
      <w:r w:rsidRPr="00942A1B">
        <w:t>with</w:t>
      </w:r>
      <w:r w:rsidRPr="00942A1B">
        <w:rPr>
          <w:spacing w:val="-1"/>
        </w:rPr>
        <w:t xml:space="preserve"> </w:t>
      </w:r>
      <w:r w:rsidRPr="00942A1B">
        <w:t>any</w:t>
      </w:r>
      <w:r w:rsidRPr="00942A1B">
        <w:rPr>
          <w:spacing w:val="-4"/>
        </w:rPr>
        <w:t xml:space="preserve"> </w:t>
      </w:r>
      <w:r w:rsidRPr="00942A1B">
        <w:t>applicable</w:t>
      </w:r>
      <w:r w:rsidRPr="00942A1B">
        <w:rPr>
          <w:spacing w:val="-2"/>
        </w:rPr>
        <w:t xml:space="preserve"> </w:t>
      </w:r>
      <w:r w:rsidRPr="00942A1B">
        <w:t>standards,</w:t>
      </w:r>
      <w:r w:rsidRPr="00942A1B">
        <w:rPr>
          <w:spacing w:val="-5"/>
        </w:rPr>
        <w:t xml:space="preserve"> </w:t>
      </w:r>
      <w:r w:rsidRPr="00942A1B">
        <w:t>including:</w:t>
      </w:r>
    </w:p>
    <w:p w14:paraId="0290C7A8" w14:textId="452627D9" w:rsidR="00953064" w:rsidRPr="00942A1B" w:rsidRDefault="00953064" w:rsidP="009C0065">
      <w:pPr>
        <w:pStyle w:val="ListBullet2"/>
        <w:rPr>
          <w:color w:val="auto"/>
        </w:rPr>
      </w:pPr>
      <w:r w:rsidRPr="00942A1B">
        <w:rPr>
          <w:color w:val="auto"/>
        </w:rPr>
        <w:t>the claimed SPF of the therapeutic sunscreen must have been established by testing</w:t>
      </w:r>
      <w:r w:rsidRPr="00942A1B">
        <w:rPr>
          <w:color w:val="auto"/>
          <w:spacing w:val="-46"/>
        </w:rPr>
        <w:t xml:space="preserve"> </w:t>
      </w:r>
      <w:r w:rsidRPr="00942A1B">
        <w:rPr>
          <w:color w:val="auto"/>
        </w:rPr>
        <w:t>according</w:t>
      </w:r>
      <w:r w:rsidRPr="00942A1B">
        <w:rPr>
          <w:color w:val="auto"/>
          <w:spacing w:val="-3"/>
        </w:rPr>
        <w:t xml:space="preserve"> </w:t>
      </w:r>
      <w:r w:rsidRPr="00942A1B">
        <w:rPr>
          <w:color w:val="auto"/>
        </w:rPr>
        <w:t>to</w:t>
      </w:r>
      <w:r w:rsidRPr="00942A1B">
        <w:rPr>
          <w:color w:val="auto"/>
          <w:spacing w:val="-1"/>
        </w:rPr>
        <w:t xml:space="preserve"> </w:t>
      </w:r>
      <w:r w:rsidRPr="00942A1B">
        <w:rPr>
          <w:color w:val="auto"/>
        </w:rPr>
        <w:t>the</w:t>
      </w:r>
      <w:r w:rsidRPr="00942A1B">
        <w:rPr>
          <w:color w:val="auto"/>
          <w:spacing w:val="-1"/>
        </w:rPr>
        <w:t xml:space="preserve"> </w:t>
      </w:r>
      <w:r w:rsidRPr="00942A1B">
        <w:rPr>
          <w:color w:val="auto"/>
        </w:rPr>
        <w:t>method</w:t>
      </w:r>
      <w:r w:rsidRPr="00942A1B">
        <w:rPr>
          <w:color w:val="auto"/>
          <w:spacing w:val="-3"/>
        </w:rPr>
        <w:t xml:space="preserve"> </w:t>
      </w:r>
      <w:r w:rsidRPr="00942A1B">
        <w:rPr>
          <w:color w:val="auto"/>
        </w:rPr>
        <w:t>described</w:t>
      </w:r>
      <w:r w:rsidRPr="00942A1B">
        <w:rPr>
          <w:color w:val="auto"/>
          <w:spacing w:val="-4"/>
        </w:rPr>
        <w:t xml:space="preserve"> </w:t>
      </w:r>
      <w:r w:rsidRPr="00942A1B">
        <w:rPr>
          <w:color w:val="auto"/>
        </w:rPr>
        <w:t>in</w:t>
      </w:r>
      <w:r w:rsidRPr="00942A1B">
        <w:rPr>
          <w:color w:val="auto"/>
          <w:spacing w:val="-2"/>
        </w:rPr>
        <w:t xml:space="preserve"> </w:t>
      </w:r>
      <w:r w:rsidRPr="00942A1B">
        <w:rPr>
          <w:color w:val="auto"/>
        </w:rPr>
        <w:t>the AS/NZS standard for sunscreens</w:t>
      </w:r>
    </w:p>
    <w:p w14:paraId="074817E1" w14:textId="77777777" w:rsidR="00953064" w:rsidRPr="00942A1B" w:rsidRDefault="00953064" w:rsidP="009C0065">
      <w:pPr>
        <w:pStyle w:val="ListBullet2"/>
        <w:rPr>
          <w:color w:val="auto"/>
        </w:rPr>
      </w:pPr>
      <w:r w:rsidRPr="00942A1B">
        <w:rPr>
          <w:color w:val="auto"/>
        </w:rPr>
        <w:t>the performance statements and markings on the label comply with the AS/NZS standard for sunscreens.</w:t>
      </w:r>
    </w:p>
    <w:p w14:paraId="3AA52936" w14:textId="77777777" w:rsidR="00700250" w:rsidRPr="00942A1B" w:rsidRDefault="00700250" w:rsidP="007B38C6">
      <w:pPr>
        <w:pStyle w:val="ListBullet"/>
      </w:pPr>
      <w:r w:rsidRPr="00942A1B">
        <w:t>Listed medicines are not subject to a pre-market evaluation of efficacy at the time of listing, however, sponsors certify at the time of listing that they have data supporting their medicine’s indications. Data supporting the indications may be requested by the TGA for review at any time while the medicine is included in the ARTG. The TGA may request such things as copies of labelling and the results of pre-market testing of SPF, broad-spectrum performance, water-resistance or stability. It is expected that this information will be available and can be provided to the TGA within a reasonable time of the request.</w:t>
      </w:r>
    </w:p>
    <w:p w14:paraId="23E3FEAF" w14:textId="21F3A6BB" w:rsidR="004730CA" w:rsidRDefault="00302057" w:rsidP="007B38C6">
      <w:r w:rsidRPr="00942A1B">
        <w:lastRenderedPageBreak/>
        <w:t>Information on the listing process using the TGA’s Electronic Listing Facility (ELF) and details of</w:t>
      </w:r>
      <w:r w:rsidRPr="00942A1B">
        <w:rPr>
          <w:spacing w:val="-46"/>
        </w:rPr>
        <w:t xml:space="preserve">   </w:t>
      </w:r>
      <w:r w:rsidRPr="00942A1B">
        <w:t xml:space="preserve">what information needs to be provided for listed products are provided in the </w:t>
      </w:r>
      <w:hyperlink r:id="rId39">
        <w:r w:rsidRPr="00C47EC5">
          <w:rPr>
            <w:rStyle w:val="Hyperlink"/>
          </w:rPr>
          <w:t>Application and</w:t>
        </w:r>
      </w:hyperlink>
      <w:r w:rsidRPr="00C47EC5">
        <w:rPr>
          <w:rStyle w:val="Hyperlink"/>
        </w:rPr>
        <w:t xml:space="preserve"> </w:t>
      </w:r>
      <w:hyperlink r:id="rId40">
        <w:r w:rsidRPr="00C47EC5">
          <w:rPr>
            <w:rStyle w:val="Hyperlink"/>
          </w:rPr>
          <w:t>submission user guide: Listed and assessed listed medicines.</w:t>
        </w:r>
      </w:hyperlink>
    </w:p>
    <w:p w14:paraId="086B545E" w14:textId="77777777" w:rsidR="002D0431" w:rsidRPr="00E308CF" w:rsidRDefault="002D0431" w:rsidP="00241222">
      <w:pPr>
        <w:pStyle w:val="Heading3"/>
      </w:pPr>
      <w:bookmarkStart w:id="42" w:name="_Toc120260212"/>
      <w:bookmarkStart w:id="43" w:name="_Toc181273046"/>
      <w:bookmarkStart w:id="44" w:name="_Toc198297283"/>
      <w:bookmarkStart w:id="45" w:name="_Toc204751314"/>
      <w:r w:rsidRPr="00E308CF">
        <w:t>Indications permitted for use in listed therapeutic sunscreens</w:t>
      </w:r>
      <w:bookmarkEnd w:id="42"/>
      <w:bookmarkEnd w:id="43"/>
      <w:bookmarkEnd w:id="44"/>
      <w:bookmarkEnd w:id="45"/>
    </w:p>
    <w:p w14:paraId="56C64906" w14:textId="343D5CE4" w:rsidR="001A0EE8" w:rsidRPr="00E308CF" w:rsidRDefault="001A0EE8" w:rsidP="001A0EE8">
      <w:r w:rsidRPr="00942A1B">
        <w:t xml:space="preserve">Listed therapeutic sunscreens can only carry indications that are permitted for listed therapeutic sunscreens in the </w:t>
      </w:r>
      <w:r w:rsidRPr="00C47EC5">
        <w:rPr>
          <w:rStyle w:val="Hyperlink"/>
        </w:rPr>
        <w:t xml:space="preserve"> </w:t>
      </w:r>
      <w:hyperlink r:id="rId41" w:anchor="permissible-indications">
        <w:r w:rsidRPr="00C47EC5">
          <w:rPr>
            <w:rStyle w:val="Hyperlink"/>
          </w:rPr>
          <w:t xml:space="preserve">Permissible Indications Determination </w:t>
        </w:r>
      </w:hyperlink>
      <w:r w:rsidRPr="00942A1B">
        <w:t>(see</w:t>
      </w:r>
      <w:r w:rsidRPr="00942A1B">
        <w:rPr>
          <w:spacing w:val="-1"/>
        </w:rPr>
        <w:t xml:space="preserve"> </w:t>
      </w:r>
      <w:r w:rsidR="00F557E2" w:rsidRPr="00942A1B">
        <w:t>Appendix 1</w:t>
      </w:r>
      <w:r w:rsidRPr="00942A1B">
        <w:t>).</w:t>
      </w:r>
    </w:p>
    <w:p w14:paraId="0FEC5CB3" w14:textId="77777777" w:rsidR="001A0EE8" w:rsidRPr="00942A1B" w:rsidRDefault="001A0EE8" w:rsidP="001A0EE8">
      <w:r w:rsidRPr="00942A1B">
        <w:t>In principle, indications that are considered appropriate for listed medicines are</w:t>
      </w:r>
      <w:r w:rsidRPr="00942A1B">
        <w:rPr>
          <w:spacing w:val="1"/>
        </w:rPr>
        <w:t xml:space="preserve"> </w:t>
      </w:r>
      <w:r w:rsidRPr="00942A1B">
        <w:t>those for products that can be safely and effectively used by a consumer without the</w:t>
      </w:r>
      <w:r w:rsidRPr="00942A1B">
        <w:rPr>
          <w:spacing w:val="1"/>
        </w:rPr>
        <w:t xml:space="preserve"> </w:t>
      </w:r>
      <w:r w:rsidRPr="00942A1B">
        <w:t>intervention of a healthcare practitioner. Indications permitted for use in listed medicines can only</w:t>
      </w:r>
      <w:r w:rsidRPr="00942A1B">
        <w:rPr>
          <w:spacing w:val="-46"/>
        </w:rPr>
        <w:t xml:space="preserve">   </w:t>
      </w:r>
      <w:r w:rsidRPr="00942A1B">
        <w:t>relate to diseases, disorders or conditions that are normally of a benign or self-limiting nature</w:t>
      </w:r>
      <w:r w:rsidRPr="00942A1B">
        <w:rPr>
          <w:spacing w:val="-46"/>
        </w:rPr>
        <w:t xml:space="preserve"> </w:t>
      </w:r>
      <w:r w:rsidRPr="00942A1B">
        <w:t>that</w:t>
      </w:r>
      <w:r w:rsidRPr="00942A1B">
        <w:rPr>
          <w:spacing w:val="-2"/>
        </w:rPr>
        <w:t xml:space="preserve"> </w:t>
      </w:r>
      <w:r w:rsidRPr="00942A1B">
        <w:t>the</w:t>
      </w:r>
      <w:r w:rsidRPr="00942A1B">
        <w:rPr>
          <w:spacing w:val="-1"/>
        </w:rPr>
        <w:t xml:space="preserve"> </w:t>
      </w:r>
      <w:r w:rsidRPr="00942A1B">
        <w:t>average</w:t>
      </w:r>
      <w:r w:rsidRPr="00942A1B">
        <w:rPr>
          <w:spacing w:val="-2"/>
        </w:rPr>
        <w:t xml:space="preserve"> </w:t>
      </w:r>
      <w:r w:rsidRPr="00942A1B">
        <w:t>consumer</w:t>
      </w:r>
      <w:r w:rsidRPr="00942A1B">
        <w:rPr>
          <w:spacing w:val="-1"/>
        </w:rPr>
        <w:t xml:space="preserve"> </w:t>
      </w:r>
      <w:r w:rsidRPr="00942A1B">
        <w:t>can</w:t>
      </w:r>
      <w:r w:rsidRPr="00942A1B">
        <w:rPr>
          <w:spacing w:val="-2"/>
        </w:rPr>
        <w:t xml:space="preserve"> </w:t>
      </w:r>
      <w:r w:rsidRPr="00942A1B">
        <w:t>be</w:t>
      </w:r>
      <w:r w:rsidRPr="00942A1B">
        <w:rPr>
          <w:spacing w:val="-2"/>
        </w:rPr>
        <w:t xml:space="preserve"> </w:t>
      </w:r>
      <w:r w:rsidRPr="00942A1B">
        <w:t>expected</w:t>
      </w:r>
      <w:r w:rsidRPr="00942A1B">
        <w:rPr>
          <w:spacing w:val="-1"/>
        </w:rPr>
        <w:t xml:space="preserve"> </w:t>
      </w:r>
      <w:r w:rsidRPr="00942A1B">
        <w:t>to</w:t>
      </w:r>
      <w:r w:rsidRPr="00942A1B">
        <w:rPr>
          <w:spacing w:val="-2"/>
        </w:rPr>
        <w:t xml:space="preserve"> </w:t>
      </w:r>
      <w:r w:rsidRPr="00942A1B">
        <w:t>evaluate</w:t>
      </w:r>
      <w:r w:rsidRPr="00942A1B">
        <w:rPr>
          <w:spacing w:val="-1"/>
        </w:rPr>
        <w:t xml:space="preserve"> </w:t>
      </w:r>
      <w:r w:rsidRPr="00942A1B">
        <w:t>or</w:t>
      </w:r>
      <w:r w:rsidRPr="00942A1B">
        <w:rPr>
          <w:spacing w:val="-1"/>
        </w:rPr>
        <w:t xml:space="preserve"> </w:t>
      </w:r>
      <w:r w:rsidRPr="00942A1B">
        <w:t>diagnose</w:t>
      </w:r>
      <w:r w:rsidRPr="00942A1B">
        <w:rPr>
          <w:spacing w:val="-2"/>
        </w:rPr>
        <w:t xml:space="preserve"> </w:t>
      </w:r>
      <w:r w:rsidRPr="00942A1B">
        <w:t>accurately. However, as sunscreens are a primary preventative measure against skin cancer for all</w:t>
      </w:r>
      <w:r w:rsidRPr="00942A1B">
        <w:rPr>
          <w:spacing w:val="1"/>
        </w:rPr>
        <w:t xml:space="preserve"> </w:t>
      </w:r>
      <w:r w:rsidRPr="00942A1B">
        <w:t>Australians, in</w:t>
      </w:r>
      <w:r w:rsidRPr="00942A1B">
        <w:rPr>
          <w:spacing w:val="-4"/>
        </w:rPr>
        <w:t xml:space="preserve"> </w:t>
      </w:r>
      <w:r w:rsidRPr="00942A1B">
        <w:t>the</w:t>
      </w:r>
      <w:r w:rsidRPr="00942A1B">
        <w:rPr>
          <w:spacing w:val="-4"/>
        </w:rPr>
        <w:t xml:space="preserve"> </w:t>
      </w:r>
      <w:r w:rsidRPr="00942A1B">
        <w:t>interests</w:t>
      </w:r>
      <w:r w:rsidRPr="00942A1B">
        <w:rPr>
          <w:spacing w:val="-2"/>
        </w:rPr>
        <w:t xml:space="preserve"> </w:t>
      </w:r>
      <w:r w:rsidRPr="00942A1B">
        <w:t>of</w:t>
      </w:r>
      <w:r w:rsidRPr="00942A1B">
        <w:rPr>
          <w:spacing w:val="-3"/>
        </w:rPr>
        <w:t xml:space="preserve"> </w:t>
      </w:r>
      <w:r w:rsidRPr="00942A1B">
        <w:t>public</w:t>
      </w:r>
      <w:r w:rsidRPr="00942A1B">
        <w:rPr>
          <w:spacing w:val="-1"/>
        </w:rPr>
        <w:t xml:space="preserve"> </w:t>
      </w:r>
      <w:r w:rsidRPr="00942A1B">
        <w:t>health, the</w:t>
      </w:r>
      <w:r w:rsidRPr="00942A1B">
        <w:rPr>
          <w:spacing w:val="-5"/>
        </w:rPr>
        <w:t xml:space="preserve"> </w:t>
      </w:r>
      <w:r w:rsidRPr="00942A1B">
        <w:t>TGA</w:t>
      </w:r>
      <w:r w:rsidRPr="00942A1B">
        <w:rPr>
          <w:spacing w:val="-3"/>
        </w:rPr>
        <w:t xml:space="preserve"> </w:t>
      </w:r>
      <w:r w:rsidRPr="00942A1B">
        <w:t>allows</w:t>
      </w:r>
      <w:r w:rsidRPr="00942A1B">
        <w:rPr>
          <w:spacing w:val="-3"/>
        </w:rPr>
        <w:t xml:space="preserve"> </w:t>
      </w:r>
      <w:r w:rsidRPr="00942A1B">
        <w:t>listed</w:t>
      </w:r>
      <w:r w:rsidRPr="00942A1B">
        <w:rPr>
          <w:spacing w:val="-2"/>
        </w:rPr>
        <w:t xml:space="preserve"> </w:t>
      </w:r>
      <w:r w:rsidRPr="00942A1B">
        <w:t>therapeutic</w:t>
      </w:r>
      <w:r w:rsidRPr="00942A1B">
        <w:rPr>
          <w:spacing w:val="-2"/>
        </w:rPr>
        <w:t xml:space="preserve"> </w:t>
      </w:r>
      <w:r w:rsidRPr="00942A1B">
        <w:t>sunscreens with certain SPF claims to make higher level therapeutic claims (than otherwise permitted for listed medicines) relating to sunburn and skin cancer, even though neoplastic disease</w:t>
      </w:r>
      <w:r w:rsidRPr="00942A1B">
        <w:rPr>
          <w:rStyle w:val="FootnoteReference"/>
          <w:position w:val="5"/>
          <w:szCs w:val="22"/>
        </w:rPr>
        <w:footnoteReference w:id="1"/>
      </w:r>
      <w:r w:rsidRPr="00942A1B">
        <w:rPr>
          <w:position w:val="5"/>
        </w:rPr>
        <w:t xml:space="preserve"> </w:t>
      </w:r>
      <w:r w:rsidRPr="00942A1B">
        <w:t>is generally considered a prohibited representation under the</w:t>
      </w:r>
      <w:r w:rsidRPr="00942A1B">
        <w:rPr>
          <w:spacing w:val="1"/>
        </w:rPr>
        <w:t xml:space="preserve"> </w:t>
      </w:r>
      <w:r w:rsidRPr="00942A1B">
        <w:t>Advertising</w:t>
      </w:r>
      <w:r w:rsidRPr="00942A1B">
        <w:rPr>
          <w:spacing w:val="-3"/>
        </w:rPr>
        <w:t xml:space="preserve"> </w:t>
      </w:r>
      <w:r w:rsidRPr="00942A1B">
        <w:t>Code. These higher-level indications are:</w:t>
      </w:r>
    </w:p>
    <w:p w14:paraId="52B858C2" w14:textId="2CC06E7C" w:rsidR="00854AE7" w:rsidRPr="00942A1B" w:rsidRDefault="00854AE7" w:rsidP="0073748E">
      <w:pPr>
        <w:pStyle w:val="Numberbullet0"/>
        <w:numPr>
          <w:ilvl w:val="0"/>
          <w:numId w:val="11"/>
        </w:numPr>
      </w:pPr>
      <w:r w:rsidRPr="00942A1B">
        <w:t>A broad-spectrum sunscreen with an SPF of 30 or higher is permitted to carry the following indications:</w:t>
      </w:r>
    </w:p>
    <w:p w14:paraId="0531DC01" w14:textId="77777777" w:rsidR="00854AE7" w:rsidRPr="00942A1B" w:rsidRDefault="00854AE7" w:rsidP="0073748E">
      <w:pPr>
        <w:pStyle w:val="ListBullet2"/>
        <w:numPr>
          <w:ilvl w:val="1"/>
          <w:numId w:val="7"/>
        </w:numPr>
        <w:rPr>
          <w:color w:val="auto"/>
        </w:rPr>
      </w:pPr>
      <w:r w:rsidRPr="00942A1B">
        <w:rPr>
          <w:color w:val="auto"/>
        </w:rPr>
        <w:t>‘May</w:t>
      </w:r>
      <w:r w:rsidRPr="00942A1B">
        <w:rPr>
          <w:color w:val="auto"/>
          <w:spacing w:val="-2"/>
        </w:rPr>
        <w:t xml:space="preserve"> </w:t>
      </w:r>
      <w:r w:rsidRPr="00942A1B">
        <w:rPr>
          <w:color w:val="auto"/>
        </w:rPr>
        <w:t>assist</w:t>
      </w:r>
      <w:r w:rsidRPr="00942A1B">
        <w:rPr>
          <w:color w:val="auto"/>
          <w:spacing w:val="-3"/>
        </w:rPr>
        <w:t xml:space="preserve"> </w:t>
      </w:r>
      <w:r w:rsidRPr="00942A1B">
        <w:rPr>
          <w:color w:val="auto"/>
        </w:rPr>
        <w:t>in</w:t>
      </w:r>
      <w:r w:rsidRPr="00942A1B">
        <w:rPr>
          <w:color w:val="auto"/>
          <w:spacing w:val="-2"/>
        </w:rPr>
        <w:t xml:space="preserve"> </w:t>
      </w:r>
      <w:r w:rsidRPr="00942A1B">
        <w:rPr>
          <w:color w:val="auto"/>
        </w:rPr>
        <w:t>preventing</w:t>
      </w:r>
      <w:r w:rsidRPr="00942A1B">
        <w:rPr>
          <w:color w:val="auto"/>
          <w:spacing w:val="-3"/>
        </w:rPr>
        <w:t xml:space="preserve"> </w:t>
      </w:r>
      <w:r w:rsidRPr="00942A1B">
        <w:rPr>
          <w:color w:val="auto"/>
        </w:rPr>
        <w:t>some</w:t>
      </w:r>
      <w:r w:rsidRPr="00942A1B">
        <w:rPr>
          <w:color w:val="auto"/>
          <w:spacing w:val="-1"/>
        </w:rPr>
        <w:t xml:space="preserve"> </w:t>
      </w:r>
      <w:r w:rsidRPr="00942A1B">
        <w:rPr>
          <w:color w:val="auto"/>
        </w:rPr>
        <w:t>skin</w:t>
      </w:r>
      <w:r w:rsidRPr="00942A1B">
        <w:rPr>
          <w:color w:val="auto"/>
          <w:spacing w:val="-1"/>
        </w:rPr>
        <w:t xml:space="preserve"> </w:t>
      </w:r>
      <w:r w:rsidRPr="00942A1B">
        <w:rPr>
          <w:color w:val="auto"/>
        </w:rPr>
        <w:t>cancers.’</w:t>
      </w:r>
    </w:p>
    <w:p w14:paraId="64D1B773" w14:textId="77777777" w:rsidR="00854AE7" w:rsidRPr="00942A1B" w:rsidRDefault="00854AE7" w:rsidP="0073748E">
      <w:pPr>
        <w:pStyle w:val="ListBullet2"/>
        <w:numPr>
          <w:ilvl w:val="1"/>
          <w:numId w:val="7"/>
        </w:numPr>
        <w:rPr>
          <w:color w:val="auto"/>
        </w:rPr>
      </w:pPr>
      <w:r w:rsidRPr="00942A1B">
        <w:rPr>
          <w:color w:val="auto"/>
        </w:rPr>
        <w:t>‘May</w:t>
      </w:r>
      <w:r w:rsidRPr="00942A1B">
        <w:rPr>
          <w:color w:val="auto"/>
          <w:spacing w:val="-3"/>
        </w:rPr>
        <w:t xml:space="preserve"> </w:t>
      </w:r>
      <w:r w:rsidRPr="00942A1B">
        <w:rPr>
          <w:color w:val="auto"/>
        </w:rPr>
        <w:t>reduce</w:t>
      </w:r>
      <w:r w:rsidRPr="00942A1B">
        <w:rPr>
          <w:color w:val="auto"/>
          <w:spacing w:val="-1"/>
        </w:rPr>
        <w:t xml:space="preserve"> </w:t>
      </w:r>
      <w:r w:rsidRPr="00942A1B">
        <w:rPr>
          <w:color w:val="auto"/>
        </w:rPr>
        <w:t>the</w:t>
      </w:r>
      <w:r w:rsidRPr="00942A1B">
        <w:rPr>
          <w:color w:val="auto"/>
          <w:spacing w:val="-1"/>
        </w:rPr>
        <w:t xml:space="preserve"> </w:t>
      </w:r>
      <w:r w:rsidRPr="00942A1B">
        <w:rPr>
          <w:color w:val="auto"/>
        </w:rPr>
        <w:t>risk</w:t>
      </w:r>
      <w:r w:rsidRPr="00942A1B">
        <w:rPr>
          <w:color w:val="auto"/>
          <w:spacing w:val="-2"/>
        </w:rPr>
        <w:t xml:space="preserve"> </w:t>
      </w:r>
      <w:r w:rsidRPr="00942A1B">
        <w:rPr>
          <w:color w:val="auto"/>
        </w:rPr>
        <w:t>of</w:t>
      </w:r>
      <w:r w:rsidRPr="00942A1B">
        <w:rPr>
          <w:color w:val="auto"/>
          <w:spacing w:val="-3"/>
        </w:rPr>
        <w:t xml:space="preserve"> </w:t>
      </w:r>
      <w:r w:rsidRPr="00942A1B">
        <w:rPr>
          <w:color w:val="auto"/>
        </w:rPr>
        <w:t>some</w:t>
      </w:r>
      <w:r w:rsidRPr="00942A1B">
        <w:rPr>
          <w:color w:val="auto"/>
          <w:spacing w:val="-1"/>
        </w:rPr>
        <w:t xml:space="preserve"> </w:t>
      </w:r>
      <w:r w:rsidRPr="00942A1B">
        <w:rPr>
          <w:color w:val="auto"/>
        </w:rPr>
        <w:t>skin</w:t>
      </w:r>
      <w:r w:rsidRPr="00942A1B">
        <w:rPr>
          <w:color w:val="auto"/>
          <w:spacing w:val="-2"/>
        </w:rPr>
        <w:t xml:space="preserve"> </w:t>
      </w:r>
      <w:r w:rsidRPr="00942A1B">
        <w:rPr>
          <w:color w:val="auto"/>
        </w:rPr>
        <w:t>cancers.’</w:t>
      </w:r>
    </w:p>
    <w:p w14:paraId="5C77B39B" w14:textId="77777777" w:rsidR="00854AE7" w:rsidRPr="00942A1B" w:rsidRDefault="00854AE7" w:rsidP="0073748E">
      <w:pPr>
        <w:pStyle w:val="ListBullet2"/>
        <w:numPr>
          <w:ilvl w:val="1"/>
          <w:numId w:val="7"/>
        </w:numPr>
        <w:rPr>
          <w:color w:val="auto"/>
        </w:rPr>
      </w:pPr>
      <w:r w:rsidRPr="00942A1B">
        <w:rPr>
          <w:color w:val="auto"/>
        </w:rPr>
        <w:t>‘Can</w:t>
      </w:r>
      <w:r w:rsidRPr="00942A1B">
        <w:rPr>
          <w:color w:val="auto"/>
          <w:spacing w:val="-3"/>
        </w:rPr>
        <w:t xml:space="preserve"> </w:t>
      </w:r>
      <w:r w:rsidRPr="00942A1B">
        <w:rPr>
          <w:color w:val="auto"/>
        </w:rPr>
        <w:t>aid</w:t>
      </w:r>
      <w:r w:rsidRPr="00942A1B">
        <w:rPr>
          <w:color w:val="auto"/>
          <w:spacing w:val="-1"/>
        </w:rPr>
        <w:t xml:space="preserve"> </w:t>
      </w:r>
      <w:r w:rsidRPr="00942A1B">
        <w:rPr>
          <w:color w:val="auto"/>
        </w:rPr>
        <w:t>in</w:t>
      </w:r>
      <w:r w:rsidRPr="00942A1B">
        <w:rPr>
          <w:color w:val="auto"/>
          <w:spacing w:val="-3"/>
        </w:rPr>
        <w:t xml:space="preserve"> </w:t>
      </w:r>
      <w:r w:rsidRPr="00942A1B">
        <w:rPr>
          <w:color w:val="auto"/>
        </w:rPr>
        <w:t>the</w:t>
      </w:r>
      <w:r w:rsidRPr="00942A1B">
        <w:rPr>
          <w:color w:val="auto"/>
          <w:spacing w:val="-1"/>
        </w:rPr>
        <w:t xml:space="preserve"> </w:t>
      </w:r>
      <w:r w:rsidRPr="00942A1B">
        <w:rPr>
          <w:color w:val="auto"/>
        </w:rPr>
        <w:t>prevention</w:t>
      </w:r>
      <w:r w:rsidRPr="00942A1B">
        <w:rPr>
          <w:color w:val="auto"/>
          <w:spacing w:val="-3"/>
        </w:rPr>
        <w:t xml:space="preserve"> </w:t>
      </w:r>
      <w:r w:rsidRPr="00942A1B">
        <w:rPr>
          <w:color w:val="auto"/>
        </w:rPr>
        <w:t>of</w:t>
      </w:r>
      <w:r w:rsidRPr="00942A1B">
        <w:rPr>
          <w:color w:val="auto"/>
          <w:spacing w:val="-1"/>
        </w:rPr>
        <w:t xml:space="preserve"> </w:t>
      </w:r>
      <w:r w:rsidRPr="00942A1B">
        <w:rPr>
          <w:color w:val="auto"/>
        </w:rPr>
        <w:t>solar</w:t>
      </w:r>
      <w:r w:rsidRPr="00942A1B">
        <w:rPr>
          <w:color w:val="auto"/>
          <w:spacing w:val="-2"/>
        </w:rPr>
        <w:t xml:space="preserve"> </w:t>
      </w:r>
      <w:r w:rsidRPr="00942A1B">
        <w:rPr>
          <w:color w:val="auto"/>
        </w:rPr>
        <w:t>keratoses.’</w:t>
      </w:r>
    </w:p>
    <w:p w14:paraId="773232AC" w14:textId="77777777" w:rsidR="00854AE7" w:rsidRPr="00942A1B" w:rsidRDefault="00854AE7" w:rsidP="0073748E">
      <w:pPr>
        <w:pStyle w:val="ListBullet2"/>
        <w:numPr>
          <w:ilvl w:val="1"/>
          <w:numId w:val="7"/>
        </w:numPr>
        <w:rPr>
          <w:color w:val="auto"/>
        </w:rPr>
      </w:pPr>
      <w:r w:rsidRPr="00942A1B">
        <w:rPr>
          <w:color w:val="auto"/>
        </w:rPr>
        <w:t>‘Can</w:t>
      </w:r>
      <w:r w:rsidRPr="00942A1B">
        <w:rPr>
          <w:color w:val="auto"/>
          <w:spacing w:val="-3"/>
        </w:rPr>
        <w:t xml:space="preserve"> </w:t>
      </w:r>
      <w:r w:rsidRPr="00942A1B">
        <w:rPr>
          <w:color w:val="auto"/>
        </w:rPr>
        <w:t>aid</w:t>
      </w:r>
      <w:r w:rsidRPr="00942A1B">
        <w:rPr>
          <w:color w:val="auto"/>
          <w:spacing w:val="-1"/>
        </w:rPr>
        <w:t xml:space="preserve"> </w:t>
      </w:r>
      <w:r w:rsidRPr="00942A1B">
        <w:rPr>
          <w:color w:val="auto"/>
        </w:rPr>
        <w:t>in</w:t>
      </w:r>
      <w:r w:rsidRPr="00942A1B">
        <w:rPr>
          <w:color w:val="auto"/>
          <w:spacing w:val="-2"/>
        </w:rPr>
        <w:t xml:space="preserve"> </w:t>
      </w:r>
      <w:r w:rsidRPr="00942A1B">
        <w:rPr>
          <w:color w:val="auto"/>
        </w:rPr>
        <w:t>the</w:t>
      </w:r>
      <w:r w:rsidRPr="00942A1B">
        <w:rPr>
          <w:color w:val="auto"/>
          <w:spacing w:val="-1"/>
        </w:rPr>
        <w:t xml:space="preserve"> </w:t>
      </w:r>
      <w:r w:rsidRPr="00942A1B">
        <w:rPr>
          <w:color w:val="auto"/>
        </w:rPr>
        <w:t>prevention</w:t>
      </w:r>
      <w:r w:rsidRPr="00942A1B">
        <w:rPr>
          <w:color w:val="auto"/>
          <w:spacing w:val="-2"/>
        </w:rPr>
        <w:t xml:space="preserve"> </w:t>
      </w:r>
      <w:r w:rsidRPr="00942A1B">
        <w:rPr>
          <w:color w:val="auto"/>
        </w:rPr>
        <w:t>of</w:t>
      </w:r>
      <w:r w:rsidRPr="00942A1B">
        <w:rPr>
          <w:color w:val="auto"/>
          <w:spacing w:val="-1"/>
        </w:rPr>
        <w:t xml:space="preserve"> </w:t>
      </w:r>
      <w:r w:rsidRPr="00942A1B">
        <w:rPr>
          <w:color w:val="auto"/>
        </w:rPr>
        <w:t>sunspots.’</w:t>
      </w:r>
    </w:p>
    <w:p w14:paraId="5BCEE9DE" w14:textId="2ED5FBEA" w:rsidR="00854AE7" w:rsidRPr="00942A1B" w:rsidRDefault="00854AE7" w:rsidP="007B38C6">
      <w:pPr>
        <w:pStyle w:val="Numberbullet0"/>
      </w:pPr>
      <w:r w:rsidRPr="00942A1B">
        <w:t>A broad-spectrum sunscreen with an SPF</w:t>
      </w:r>
      <w:r w:rsidR="00FA4DF3">
        <w:t xml:space="preserve"> </w:t>
      </w:r>
      <w:r w:rsidRPr="00942A1B">
        <w:t xml:space="preserve">of 4 or higher is permitted to carry the </w:t>
      </w:r>
      <w:proofErr w:type="gramStart"/>
      <w:r w:rsidRPr="00942A1B">
        <w:t>following</w:t>
      </w:r>
      <w:r w:rsidR="00FA4DF3">
        <w:t xml:space="preserve"> </w:t>
      </w:r>
      <w:r w:rsidRPr="00942A1B">
        <w:rPr>
          <w:spacing w:val="-46"/>
        </w:rPr>
        <w:t xml:space="preserve"> </w:t>
      </w:r>
      <w:r w:rsidRPr="00942A1B">
        <w:t>indication</w:t>
      </w:r>
      <w:proofErr w:type="gramEnd"/>
      <w:r w:rsidRPr="00942A1B">
        <w:t>:</w:t>
      </w:r>
    </w:p>
    <w:p w14:paraId="2BEECD61" w14:textId="77777777" w:rsidR="00854AE7" w:rsidRPr="00942A1B" w:rsidRDefault="00854AE7" w:rsidP="0073748E">
      <w:pPr>
        <w:pStyle w:val="ListBullet2"/>
        <w:numPr>
          <w:ilvl w:val="1"/>
          <w:numId w:val="7"/>
        </w:numPr>
        <w:rPr>
          <w:color w:val="auto"/>
        </w:rPr>
      </w:pPr>
      <w:r w:rsidRPr="00942A1B">
        <w:rPr>
          <w:color w:val="auto"/>
        </w:rPr>
        <w:t>‘Can</w:t>
      </w:r>
      <w:r w:rsidRPr="00942A1B">
        <w:rPr>
          <w:color w:val="auto"/>
          <w:spacing w:val="-3"/>
        </w:rPr>
        <w:t xml:space="preserve"> </w:t>
      </w:r>
      <w:r w:rsidRPr="00942A1B">
        <w:rPr>
          <w:color w:val="auto"/>
        </w:rPr>
        <w:t>aid</w:t>
      </w:r>
      <w:r w:rsidRPr="00942A1B">
        <w:rPr>
          <w:color w:val="auto"/>
          <w:spacing w:val="-2"/>
        </w:rPr>
        <w:t xml:space="preserve"> </w:t>
      </w:r>
      <w:r w:rsidRPr="00942A1B">
        <w:rPr>
          <w:color w:val="auto"/>
        </w:rPr>
        <w:t>in</w:t>
      </w:r>
      <w:r w:rsidRPr="00942A1B">
        <w:rPr>
          <w:color w:val="auto"/>
          <w:spacing w:val="-2"/>
        </w:rPr>
        <w:t xml:space="preserve"> </w:t>
      </w:r>
      <w:r w:rsidRPr="00942A1B">
        <w:rPr>
          <w:color w:val="auto"/>
        </w:rPr>
        <w:t>the</w:t>
      </w:r>
      <w:r w:rsidRPr="00942A1B">
        <w:rPr>
          <w:color w:val="auto"/>
          <w:spacing w:val="-2"/>
        </w:rPr>
        <w:t xml:space="preserve"> </w:t>
      </w:r>
      <w:r w:rsidRPr="00942A1B">
        <w:rPr>
          <w:color w:val="auto"/>
        </w:rPr>
        <w:t>prevention</w:t>
      </w:r>
      <w:r w:rsidRPr="00942A1B">
        <w:rPr>
          <w:color w:val="auto"/>
          <w:spacing w:val="-2"/>
        </w:rPr>
        <w:t xml:space="preserve"> </w:t>
      </w:r>
      <w:r w:rsidRPr="00942A1B">
        <w:rPr>
          <w:color w:val="auto"/>
        </w:rPr>
        <w:t>of</w:t>
      </w:r>
      <w:r w:rsidRPr="00942A1B">
        <w:rPr>
          <w:color w:val="auto"/>
          <w:spacing w:val="-2"/>
        </w:rPr>
        <w:t xml:space="preserve"> </w:t>
      </w:r>
      <w:r w:rsidRPr="00942A1B">
        <w:rPr>
          <w:color w:val="auto"/>
        </w:rPr>
        <w:t>premature</w:t>
      </w:r>
      <w:r w:rsidRPr="00942A1B">
        <w:rPr>
          <w:color w:val="auto"/>
          <w:spacing w:val="-4"/>
        </w:rPr>
        <w:t xml:space="preserve"> </w:t>
      </w:r>
      <w:r w:rsidRPr="00942A1B">
        <w:rPr>
          <w:color w:val="auto"/>
        </w:rPr>
        <w:t>skin</w:t>
      </w:r>
      <w:r w:rsidRPr="00942A1B">
        <w:rPr>
          <w:color w:val="auto"/>
          <w:spacing w:val="-2"/>
        </w:rPr>
        <w:t xml:space="preserve"> </w:t>
      </w:r>
      <w:r w:rsidRPr="00942A1B">
        <w:rPr>
          <w:color w:val="auto"/>
        </w:rPr>
        <w:t>ageing.’</w:t>
      </w:r>
    </w:p>
    <w:p w14:paraId="0349D304" w14:textId="55274426" w:rsidR="00854AE7" w:rsidRPr="00942A1B" w:rsidRDefault="00854AE7" w:rsidP="00854AE7">
      <w:r w:rsidRPr="00942A1B">
        <w:t>The Act requires that, at the time of listing a medicine in the ARTG, a sponsor must certify that</w:t>
      </w:r>
      <w:r w:rsidRPr="00942A1B">
        <w:rPr>
          <w:spacing w:val="1"/>
        </w:rPr>
        <w:t xml:space="preserve"> </w:t>
      </w:r>
      <w:r w:rsidRPr="00942A1B">
        <w:t>they hold the information or evidence to support indications and claims made in relation to their</w:t>
      </w:r>
      <w:r w:rsidRPr="00942A1B">
        <w:rPr>
          <w:spacing w:val="-46"/>
        </w:rPr>
        <w:t xml:space="preserve"> </w:t>
      </w:r>
      <w:r w:rsidRPr="00942A1B">
        <w:t>product. All indications and claims must be capable of substantiation. That is, evidence held by</w:t>
      </w:r>
      <w:r w:rsidRPr="00942A1B">
        <w:rPr>
          <w:spacing w:val="1"/>
        </w:rPr>
        <w:t xml:space="preserve"> </w:t>
      </w:r>
      <w:r w:rsidRPr="00942A1B">
        <w:t>the sponsor must adequately demonstrate all indications and claims made for the product are</w:t>
      </w:r>
      <w:r w:rsidRPr="00942A1B">
        <w:rPr>
          <w:spacing w:val="1"/>
        </w:rPr>
        <w:t xml:space="preserve"> </w:t>
      </w:r>
      <w:r w:rsidRPr="00942A1B">
        <w:t>true, valid and not misleading. Information to support such claims may be requested by the TGA</w:t>
      </w:r>
      <w:r w:rsidRPr="00942A1B">
        <w:rPr>
          <w:spacing w:val="1"/>
        </w:rPr>
        <w:t xml:space="preserve"> </w:t>
      </w:r>
      <w:r w:rsidRPr="00942A1B">
        <w:t>for</w:t>
      </w:r>
      <w:hyperlink r:id="rId42" w:history="1">
        <w:r w:rsidRPr="00C47EC5">
          <w:rPr>
            <w:rStyle w:val="Hyperlink"/>
            <w:szCs w:val="22"/>
            <w:u w:val="none"/>
          </w:rPr>
          <w:t xml:space="preserve"> </w:t>
        </w:r>
        <w:r>
          <w:rPr>
            <w:rStyle w:val="Hyperlink"/>
            <w:szCs w:val="22"/>
          </w:rPr>
          <w:t>compliance review</w:t>
        </w:r>
      </w:hyperlink>
      <w:r w:rsidRPr="00254A9F">
        <w:t xml:space="preserve">. </w:t>
      </w:r>
      <w:r w:rsidRPr="00942A1B">
        <w:t>If the certification by the sponsor that it holds this information or evidence is</w:t>
      </w:r>
      <w:r w:rsidRPr="00942A1B">
        <w:rPr>
          <w:spacing w:val="1"/>
        </w:rPr>
        <w:t xml:space="preserve"> </w:t>
      </w:r>
      <w:r w:rsidRPr="00942A1B">
        <w:lastRenderedPageBreak/>
        <w:t>incorrect,</w:t>
      </w:r>
      <w:r w:rsidRPr="00942A1B">
        <w:rPr>
          <w:spacing w:val="-2"/>
        </w:rPr>
        <w:t xml:space="preserve"> </w:t>
      </w:r>
      <w:r w:rsidRPr="00942A1B">
        <w:t>the</w:t>
      </w:r>
      <w:r w:rsidRPr="00942A1B">
        <w:rPr>
          <w:spacing w:val="-1"/>
        </w:rPr>
        <w:t xml:space="preserve"> </w:t>
      </w:r>
      <w:r w:rsidRPr="00942A1B">
        <w:t>TGA</w:t>
      </w:r>
      <w:r w:rsidRPr="00942A1B">
        <w:rPr>
          <w:spacing w:val="-4"/>
        </w:rPr>
        <w:t xml:space="preserve"> </w:t>
      </w:r>
      <w:r w:rsidRPr="00942A1B">
        <w:t>can</w:t>
      </w:r>
      <w:r w:rsidRPr="00942A1B">
        <w:rPr>
          <w:spacing w:val="-2"/>
        </w:rPr>
        <w:t xml:space="preserve"> </w:t>
      </w:r>
      <w:r w:rsidRPr="00942A1B">
        <w:t>cancel</w:t>
      </w:r>
      <w:r w:rsidRPr="00942A1B">
        <w:rPr>
          <w:spacing w:val="-1"/>
        </w:rPr>
        <w:t xml:space="preserve"> </w:t>
      </w:r>
      <w:r w:rsidRPr="00942A1B">
        <w:t>the</w:t>
      </w:r>
      <w:r w:rsidRPr="00942A1B">
        <w:rPr>
          <w:spacing w:val="-1"/>
        </w:rPr>
        <w:t xml:space="preserve"> </w:t>
      </w:r>
      <w:r w:rsidRPr="00942A1B">
        <w:t>listing</w:t>
      </w:r>
      <w:r w:rsidRPr="00942A1B">
        <w:rPr>
          <w:spacing w:val="-2"/>
        </w:rPr>
        <w:t xml:space="preserve"> </w:t>
      </w:r>
      <w:r w:rsidRPr="00942A1B">
        <w:t>of</w:t>
      </w:r>
      <w:r w:rsidRPr="00942A1B">
        <w:rPr>
          <w:spacing w:val="-1"/>
        </w:rPr>
        <w:t xml:space="preserve"> </w:t>
      </w:r>
      <w:r w:rsidRPr="00942A1B">
        <w:t>the</w:t>
      </w:r>
      <w:r w:rsidRPr="00942A1B">
        <w:rPr>
          <w:spacing w:val="-1"/>
        </w:rPr>
        <w:t xml:space="preserve"> </w:t>
      </w:r>
      <w:r w:rsidRPr="00942A1B">
        <w:t>product</w:t>
      </w:r>
      <w:r w:rsidRPr="00942A1B">
        <w:rPr>
          <w:spacing w:val="-1"/>
        </w:rPr>
        <w:t xml:space="preserve"> </w:t>
      </w:r>
      <w:r w:rsidRPr="00942A1B">
        <w:t>from</w:t>
      </w:r>
      <w:r w:rsidRPr="00942A1B">
        <w:rPr>
          <w:spacing w:val="-1"/>
        </w:rPr>
        <w:t xml:space="preserve"> </w:t>
      </w:r>
      <w:r w:rsidRPr="00942A1B">
        <w:t>the</w:t>
      </w:r>
      <w:r w:rsidRPr="00942A1B">
        <w:rPr>
          <w:spacing w:val="-1"/>
        </w:rPr>
        <w:t xml:space="preserve"> </w:t>
      </w:r>
      <w:r w:rsidRPr="00942A1B">
        <w:t xml:space="preserve">ARTG. </w:t>
      </w:r>
      <w:r w:rsidR="00F557E2" w:rsidRPr="00F439EE">
        <w:t>Appendix 1</w:t>
      </w:r>
      <w:r w:rsidR="00F557E2" w:rsidRPr="00E308CF">
        <w:rPr>
          <w:color w:val="0000FF"/>
        </w:rPr>
        <w:t xml:space="preserve"> </w:t>
      </w:r>
      <w:r w:rsidRPr="00942A1B">
        <w:t>provides a list of indications permitted for use in listed therapeutic sunscreens at the time</w:t>
      </w:r>
      <w:r w:rsidRPr="00942A1B">
        <w:rPr>
          <w:spacing w:val="-2"/>
        </w:rPr>
        <w:t xml:space="preserve"> </w:t>
      </w:r>
      <w:r w:rsidRPr="00942A1B">
        <w:t>of</w:t>
      </w:r>
      <w:r w:rsidRPr="00942A1B">
        <w:rPr>
          <w:spacing w:val="-1"/>
        </w:rPr>
        <w:t xml:space="preserve"> </w:t>
      </w:r>
      <w:r w:rsidRPr="00942A1B">
        <w:t>publication.</w:t>
      </w:r>
    </w:p>
    <w:p w14:paraId="4230EC96" w14:textId="77777777" w:rsidR="00854AE7" w:rsidRPr="00942A1B" w:rsidRDefault="00854AE7" w:rsidP="00854AE7">
      <w:r w:rsidRPr="00942A1B">
        <w:t>In</w:t>
      </w:r>
      <w:r w:rsidRPr="00942A1B">
        <w:rPr>
          <w:spacing w:val="-3"/>
        </w:rPr>
        <w:t xml:space="preserve"> </w:t>
      </w:r>
      <w:r w:rsidRPr="00942A1B">
        <w:t>addition,</w:t>
      </w:r>
      <w:r w:rsidRPr="00942A1B">
        <w:rPr>
          <w:spacing w:val="-2"/>
        </w:rPr>
        <w:t xml:space="preserve"> </w:t>
      </w:r>
      <w:r w:rsidRPr="00942A1B">
        <w:t>sunscreens</w:t>
      </w:r>
      <w:r w:rsidRPr="00942A1B">
        <w:rPr>
          <w:spacing w:val="-5"/>
        </w:rPr>
        <w:t xml:space="preserve"> </w:t>
      </w:r>
      <w:r w:rsidRPr="00942A1B">
        <w:t>must</w:t>
      </w:r>
      <w:r w:rsidRPr="00942A1B">
        <w:rPr>
          <w:spacing w:val="-2"/>
        </w:rPr>
        <w:t xml:space="preserve"> </w:t>
      </w:r>
      <w:r w:rsidRPr="00942A1B">
        <w:t>meet</w:t>
      </w:r>
      <w:r w:rsidRPr="00942A1B">
        <w:rPr>
          <w:spacing w:val="-1"/>
        </w:rPr>
        <w:t xml:space="preserve"> </w:t>
      </w:r>
      <w:r w:rsidRPr="00942A1B">
        <w:t>the</w:t>
      </w:r>
      <w:r w:rsidRPr="00942A1B">
        <w:rPr>
          <w:spacing w:val="-2"/>
        </w:rPr>
        <w:t xml:space="preserve"> </w:t>
      </w:r>
      <w:r w:rsidRPr="00942A1B">
        <w:t>requirements</w:t>
      </w:r>
      <w:r w:rsidRPr="00942A1B">
        <w:rPr>
          <w:spacing w:val="-1"/>
        </w:rPr>
        <w:t xml:space="preserve"> </w:t>
      </w:r>
      <w:r w:rsidRPr="00942A1B">
        <w:t>of</w:t>
      </w:r>
      <w:r w:rsidRPr="00942A1B">
        <w:rPr>
          <w:spacing w:val="-2"/>
        </w:rPr>
        <w:t xml:space="preserve"> </w:t>
      </w:r>
      <w:r w:rsidRPr="00942A1B">
        <w:t>the</w:t>
      </w:r>
      <w:r w:rsidRPr="00942A1B">
        <w:rPr>
          <w:spacing w:val="-2"/>
        </w:rPr>
        <w:t xml:space="preserve"> </w:t>
      </w:r>
      <w:r w:rsidRPr="00942A1B">
        <w:t>AS/NZS standard for sunscreens.</w:t>
      </w:r>
    </w:p>
    <w:p w14:paraId="69F10FCF" w14:textId="77777777" w:rsidR="00854AE7" w:rsidRPr="00942A1B" w:rsidRDefault="00854AE7" w:rsidP="00854AE7">
      <w:r w:rsidRPr="00942A1B">
        <w:t>Therapeutic sunscreens that:</w:t>
      </w:r>
    </w:p>
    <w:p w14:paraId="5FF85675" w14:textId="77777777" w:rsidR="00854AE7" w:rsidRPr="00942A1B" w:rsidRDefault="00854AE7" w:rsidP="007B38C6">
      <w:pPr>
        <w:pStyle w:val="ListBullet"/>
      </w:pPr>
      <w:r w:rsidRPr="00942A1B">
        <w:t>make therapeutic indications other than sunscreen permitted indications (for</w:t>
      </w:r>
      <w:r w:rsidRPr="00942A1B">
        <w:rPr>
          <w:spacing w:val="1"/>
        </w:rPr>
        <w:t xml:space="preserve"> </w:t>
      </w:r>
      <w:r w:rsidRPr="00942A1B">
        <w:t>example, reduction of free radicals in or below the skin, or claims relating to reduction of UV-</w:t>
      </w:r>
      <w:r w:rsidRPr="00942A1B">
        <w:rPr>
          <w:spacing w:val="1"/>
        </w:rPr>
        <w:t xml:space="preserve"> </w:t>
      </w:r>
      <w:r w:rsidRPr="00942A1B">
        <w:t xml:space="preserve">induced immune suppression); and/or </w:t>
      </w:r>
    </w:p>
    <w:p w14:paraId="36EFE52A" w14:textId="631BB06C" w:rsidR="00CD0011" w:rsidRPr="00CD0011" w:rsidRDefault="00854AE7" w:rsidP="007B38C6">
      <w:pPr>
        <w:pStyle w:val="ListBullet"/>
        <w:rPr>
          <w:rStyle w:val="Hyperlink"/>
          <w:color w:val="auto"/>
          <w:u w:val="none"/>
        </w:rPr>
      </w:pPr>
      <w:r w:rsidRPr="00942A1B">
        <w:t>contain ingredients that are not</w:t>
      </w:r>
      <w:r w:rsidRPr="00942A1B">
        <w:rPr>
          <w:spacing w:val="1"/>
        </w:rPr>
        <w:t xml:space="preserve"> </w:t>
      </w:r>
      <w:r w:rsidRPr="00942A1B">
        <w:t xml:space="preserve">included in </w:t>
      </w:r>
      <w:r w:rsidRPr="000654E9">
        <w:t xml:space="preserve">the </w:t>
      </w:r>
      <w:hyperlink r:id="rId43" w:anchor="permissible-ingredients" w:history="1">
        <w:r w:rsidRPr="00C47EC5">
          <w:rPr>
            <w:rStyle w:val="Hyperlink"/>
          </w:rPr>
          <w:t>Permissible Ingredients Determination</w:t>
        </w:r>
      </w:hyperlink>
      <w:r w:rsidR="00CD0011" w:rsidRPr="00C47EC5">
        <w:rPr>
          <w:rStyle w:val="Hyperlink"/>
        </w:rPr>
        <w:t xml:space="preserve"> </w:t>
      </w:r>
    </w:p>
    <w:p w14:paraId="560EC046" w14:textId="26715A5B" w:rsidR="00854AE7" w:rsidRDefault="00854AE7" w:rsidP="00E171A4">
      <w:pPr>
        <w:pStyle w:val="ListBullet"/>
        <w:numPr>
          <w:ilvl w:val="0"/>
          <w:numId w:val="0"/>
        </w:numPr>
      </w:pPr>
      <w:r w:rsidRPr="00942A1B">
        <w:t xml:space="preserve">do not fit the criteria for inclusion in the ARTG as a listed therapeutic sunscreen product. Such products must be included in the ARTG as a registered therapeutic sunscreen (see </w:t>
      </w:r>
      <w:r w:rsidR="00F557E2" w:rsidRPr="00942A1B">
        <w:rPr>
          <w:u w:color="0000FF"/>
        </w:rPr>
        <w:t>Registered therapeutic sunscreens</w:t>
      </w:r>
      <w:r w:rsidR="00F557E2" w:rsidRPr="00942A1B">
        <w:t xml:space="preserve">). </w:t>
      </w:r>
    </w:p>
    <w:p w14:paraId="7C8A9E5F" w14:textId="6CEAA350" w:rsidR="00C31794" w:rsidRDefault="00C31794" w:rsidP="00241222">
      <w:pPr>
        <w:pStyle w:val="Calloutforkeyinformation"/>
        <w:rPr>
          <w:b/>
          <w:bCs w:val="0"/>
        </w:rPr>
      </w:pPr>
      <w:r w:rsidRPr="00C31794">
        <w:rPr>
          <w:b/>
          <w:bCs w:val="0"/>
        </w:rPr>
        <w:t>Note</w:t>
      </w:r>
    </w:p>
    <w:p w14:paraId="2DDEAE72" w14:textId="76718866" w:rsidR="00241222" w:rsidRPr="00FE27B3" w:rsidRDefault="00241222" w:rsidP="00241222">
      <w:pPr>
        <w:pStyle w:val="Calloutforkeyinformation"/>
        <w:rPr>
          <w:b/>
          <w:bCs w:val="0"/>
        </w:rPr>
      </w:pPr>
      <w:r w:rsidRPr="00FE27B3">
        <w:rPr>
          <w:b/>
          <w:bCs w:val="0"/>
        </w:rPr>
        <w:t>Non-therapeutic</w:t>
      </w:r>
      <w:r w:rsidRPr="00FE27B3">
        <w:rPr>
          <w:b/>
          <w:bCs w:val="0"/>
          <w:spacing w:val="-3"/>
        </w:rPr>
        <w:t xml:space="preserve"> </w:t>
      </w:r>
      <w:r w:rsidRPr="00FE27B3">
        <w:rPr>
          <w:b/>
          <w:bCs w:val="0"/>
        </w:rPr>
        <w:t>claims</w:t>
      </w:r>
      <w:r w:rsidRPr="00FE27B3">
        <w:rPr>
          <w:b/>
          <w:bCs w:val="0"/>
          <w:spacing w:val="-3"/>
        </w:rPr>
        <w:t xml:space="preserve"> </w:t>
      </w:r>
      <w:r w:rsidRPr="00FE27B3">
        <w:rPr>
          <w:b/>
          <w:bCs w:val="0"/>
        </w:rPr>
        <w:t>for</w:t>
      </w:r>
      <w:r w:rsidRPr="00FE27B3">
        <w:rPr>
          <w:b/>
          <w:bCs w:val="0"/>
          <w:spacing w:val="-4"/>
        </w:rPr>
        <w:t xml:space="preserve"> </w:t>
      </w:r>
      <w:r w:rsidRPr="00FE27B3">
        <w:rPr>
          <w:b/>
          <w:bCs w:val="0"/>
        </w:rPr>
        <w:t>therapeutic</w:t>
      </w:r>
      <w:r w:rsidRPr="00FE27B3">
        <w:rPr>
          <w:b/>
          <w:bCs w:val="0"/>
          <w:spacing w:val="-2"/>
        </w:rPr>
        <w:t xml:space="preserve"> </w:t>
      </w:r>
      <w:r w:rsidRPr="00FE27B3">
        <w:rPr>
          <w:b/>
          <w:bCs w:val="0"/>
        </w:rPr>
        <w:t>sunscreens</w:t>
      </w:r>
    </w:p>
    <w:p w14:paraId="52D7100C" w14:textId="77777777" w:rsidR="00241222" w:rsidRPr="00942A1B" w:rsidRDefault="00241222" w:rsidP="00241222">
      <w:pPr>
        <w:pStyle w:val="Calloutforkeyinformation"/>
      </w:pPr>
      <w:r w:rsidRPr="00942A1B">
        <w:t>Therapeutic sunscreens may also carry non-therapeutic claims, providing they</w:t>
      </w:r>
      <w:r w:rsidRPr="00942A1B">
        <w:rPr>
          <w:spacing w:val="-46"/>
        </w:rPr>
        <w:t xml:space="preserve"> </w:t>
      </w:r>
      <w:r w:rsidRPr="00942A1B">
        <w:t>are</w:t>
      </w:r>
      <w:r w:rsidRPr="00942A1B">
        <w:rPr>
          <w:spacing w:val="-2"/>
        </w:rPr>
        <w:t xml:space="preserve"> </w:t>
      </w:r>
      <w:r w:rsidRPr="00942A1B">
        <w:t>truthful</w:t>
      </w:r>
      <w:r w:rsidRPr="00942A1B">
        <w:rPr>
          <w:spacing w:val="-1"/>
        </w:rPr>
        <w:t xml:space="preserve"> </w:t>
      </w:r>
      <w:r w:rsidRPr="00942A1B">
        <w:t>and</w:t>
      </w:r>
      <w:r w:rsidRPr="00942A1B">
        <w:rPr>
          <w:spacing w:val="-1"/>
        </w:rPr>
        <w:t xml:space="preserve"> </w:t>
      </w:r>
      <w:r w:rsidRPr="00942A1B">
        <w:t>not</w:t>
      </w:r>
      <w:r w:rsidRPr="00942A1B">
        <w:rPr>
          <w:spacing w:val="-4"/>
        </w:rPr>
        <w:t xml:space="preserve"> </w:t>
      </w:r>
      <w:r w:rsidRPr="00942A1B">
        <w:t>misleading,</w:t>
      </w:r>
      <w:r w:rsidRPr="00942A1B">
        <w:rPr>
          <w:spacing w:val="-1"/>
        </w:rPr>
        <w:t xml:space="preserve"> </w:t>
      </w:r>
      <w:r w:rsidRPr="00942A1B">
        <w:t>such as:</w:t>
      </w:r>
    </w:p>
    <w:p w14:paraId="1F8F84E3" w14:textId="77777777" w:rsidR="00241222" w:rsidRPr="00942A1B" w:rsidRDefault="00241222" w:rsidP="00241222">
      <w:pPr>
        <w:pStyle w:val="Calloutforkeyinformation"/>
        <w:numPr>
          <w:ilvl w:val="0"/>
          <w:numId w:val="21"/>
        </w:numPr>
      </w:pPr>
      <w:r w:rsidRPr="00942A1B">
        <w:t>cosmetic</w:t>
      </w:r>
      <w:r w:rsidRPr="00942A1B">
        <w:rPr>
          <w:spacing w:val="-2"/>
        </w:rPr>
        <w:t xml:space="preserve"> </w:t>
      </w:r>
      <w:r w:rsidRPr="00942A1B">
        <w:t>claims,</w:t>
      </w:r>
      <w:r w:rsidRPr="00942A1B">
        <w:rPr>
          <w:spacing w:val="-5"/>
        </w:rPr>
        <w:t xml:space="preserve"> </w:t>
      </w:r>
      <w:r w:rsidRPr="00942A1B">
        <w:t>such</w:t>
      </w:r>
      <w:r w:rsidRPr="00942A1B">
        <w:rPr>
          <w:spacing w:val="-2"/>
        </w:rPr>
        <w:t xml:space="preserve"> </w:t>
      </w:r>
      <w:r w:rsidRPr="00942A1B">
        <w:t>as</w:t>
      </w:r>
      <w:r w:rsidRPr="00942A1B">
        <w:rPr>
          <w:spacing w:val="-2"/>
        </w:rPr>
        <w:t xml:space="preserve"> </w:t>
      </w:r>
      <w:r w:rsidRPr="00942A1B">
        <w:t>‘</w:t>
      </w:r>
      <w:proofErr w:type="spellStart"/>
      <w:r w:rsidRPr="00942A1B">
        <w:t>moisturising</w:t>
      </w:r>
      <w:proofErr w:type="spellEnd"/>
      <w:r w:rsidRPr="00942A1B">
        <w:t>’</w:t>
      </w:r>
    </w:p>
    <w:p w14:paraId="5FE9BADA" w14:textId="77777777" w:rsidR="00241222" w:rsidRPr="00942A1B" w:rsidRDefault="00241222" w:rsidP="00241222">
      <w:pPr>
        <w:pStyle w:val="Calloutforkeyinformation"/>
        <w:numPr>
          <w:ilvl w:val="0"/>
          <w:numId w:val="21"/>
        </w:numPr>
      </w:pPr>
      <w:r w:rsidRPr="00942A1B">
        <w:t>insect</w:t>
      </w:r>
      <w:r w:rsidRPr="00942A1B">
        <w:rPr>
          <w:spacing w:val="-2"/>
        </w:rPr>
        <w:t xml:space="preserve"> </w:t>
      </w:r>
      <w:r w:rsidRPr="00942A1B">
        <w:t>repellent</w:t>
      </w:r>
      <w:r w:rsidRPr="00942A1B">
        <w:rPr>
          <w:spacing w:val="-2"/>
        </w:rPr>
        <w:t xml:space="preserve"> </w:t>
      </w:r>
      <w:r w:rsidRPr="00942A1B">
        <w:t>claims*</w:t>
      </w:r>
    </w:p>
    <w:p w14:paraId="24B2147D" w14:textId="77777777" w:rsidR="00241222" w:rsidRPr="00942A1B" w:rsidRDefault="00241222" w:rsidP="00241222">
      <w:pPr>
        <w:pStyle w:val="Calloutforkeyinformation"/>
        <w:numPr>
          <w:ilvl w:val="0"/>
          <w:numId w:val="21"/>
        </w:numPr>
      </w:pPr>
      <w:r w:rsidRPr="00942A1B">
        <w:t>content</w:t>
      </w:r>
      <w:r w:rsidRPr="00942A1B">
        <w:rPr>
          <w:spacing w:val="-2"/>
        </w:rPr>
        <w:t xml:space="preserve"> </w:t>
      </w:r>
      <w:r w:rsidRPr="00942A1B">
        <w:t>claims,</w:t>
      </w:r>
      <w:r w:rsidRPr="00942A1B">
        <w:rPr>
          <w:spacing w:val="-2"/>
        </w:rPr>
        <w:t xml:space="preserve"> </w:t>
      </w:r>
      <w:r w:rsidRPr="00942A1B">
        <w:t>such</w:t>
      </w:r>
      <w:r w:rsidRPr="00942A1B">
        <w:rPr>
          <w:spacing w:val="-1"/>
        </w:rPr>
        <w:t xml:space="preserve"> </w:t>
      </w:r>
      <w:r w:rsidRPr="00942A1B">
        <w:t>as</w:t>
      </w:r>
      <w:r w:rsidRPr="00942A1B">
        <w:rPr>
          <w:spacing w:val="-1"/>
        </w:rPr>
        <w:t xml:space="preserve"> </w:t>
      </w:r>
      <w:r w:rsidRPr="00942A1B">
        <w:t>‘contains</w:t>
      </w:r>
      <w:r w:rsidRPr="00942A1B">
        <w:rPr>
          <w:spacing w:val="-3"/>
        </w:rPr>
        <w:t xml:space="preserve"> </w:t>
      </w:r>
      <w:r w:rsidRPr="00942A1B">
        <w:t>Vitamin</w:t>
      </w:r>
      <w:r w:rsidRPr="00942A1B">
        <w:rPr>
          <w:spacing w:val="-2"/>
        </w:rPr>
        <w:t xml:space="preserve"> </w:t>
      </w:r>
      <w:r w:rsidRPr="00942A1B">
        <w:t>E’,</w:t>
      </w:r>
      <w:r w:rsidRPr="00942A1B">
        <w:rPr>
          <w:spacing w:val="-2"/>
        </w:rPr>
        <w:t xml:space="preserve"> </w:t>
      </w:r>
      <w:r w:rsidRPr="00942A1B">
        <w:t>‘contains</w:t>
      </w:r>
      <w:r w:rsidRPr="00942A1B">
        <w:rPr>
          <w:spacing w:val="-1"/>
        </w:rPr>
        <w:t xml:space="preserve"> </w:t>
      </w:r>
      <w:r w:rsidRPr="00942A1B">
        <w:t>30%</w:t>
      </w:r>
      <w:r w:rsidRPr="00942A1B">
        <w:rPr>
          <w:spacing w:val="-4"/>
        </w:rPr>
        <w:t xml:space="preserve"> </w:t>
      </w:r>
      <w:r w:rsidRPr="00942A1B">
        <w:t>more’</w:t>
      </w:r>
    </w:p>
    <w:p w14:paraId="5EC8CA56" w14:textId="77777777" w:rsidR="00241222" w:rsidRPr="00942A1B" w:rsidRDefault="00241222" w:rsidP="00241222">
      <w:pPr>
        <w:pStyle w:val="Calloutforkeyinformation"/>
        <w:rPr>
          <w:spacing w:val="-2"/>
        </w:rPr>
      </w:pPr>
      <w:r w:rsidRPr="00942A1B">
        <w:t>The sponsor must be able to substantiate these claims. If the certification by</w:t>
      </w:r>
      <w:r w:rsidRPr="00942A1B">
        <w:rPr>
          <w:spacing w:val="1"/>
        </w:rPr>
        <w:t xml:space="preserve"> </w:t>
      </w:r>
      <w:r w:rsidRPr="00942A1B">
        <w:t>the sponsor that it holds this information or evidence is incorrect, the TGA can</w:t>
      </w:r>
      <w:r w:rsidRPr="00942A1B">
        <w:rPr>
          <w:spacing w:val="-46"/>
        </w:rPr>
        <w:t xml:space="preserve"> </w:t>
      </w:r>
      <w:r w:rsidRPr="00942A1B">
        <w:t>cancel</w:t>
      </w:r>
      <w:r w:rsidRPr="00942A1B">
        <w:rPr>
          <w:spacing w:val="-3"/>
        </w:rPr>
        <w:t xml:space="preserve"> </w:t>
      </w:r>
      <w:r w:rsidRPr="00942A1B">
        <w:t>the</w:t>
      </w:r>
      <w:r w:rsidRPr="00942A1B">
        <w:rPr>
          <w:spacing w:val="-2"/>
        </w:rPr>
        <w:t xml:space="preserve"> </w:t>
      </w:r>
      <w:r w:rsidRPr="00942A1B">
        <w:t>listing</w:t>
      </w:r>
      <w:r w:rsidRPr="00942A1B">
        <w:rPr>
          <w:spacing w:val="-3"/>
        </w:rPr>
        <w:t xml:space="preserve"> </w:t>
      </w:r>
      <w:r w:rsidRPr="00942A1B">
        <w:t>of</w:t>
      </w:r>
      <w:r w:rsidRPr="00942A1B">
        <w:rPr>
          <w:spacing w:val="-3"/>
        </w:rPr>
        <w:t xml:space="preserve"> </w:t>
      </w:r>
      <w:r w:rsidRPr="00942A1B">
        <w:t>the</w:t>
      </w:r>
      <w:r w:rsidRPr="00942A1B">
        <w:rPr>
          <w:spacing w:val="-2"/>
        </w:rPr>
        <w:t xml:space="preserve"> </w:t>
      </w:r>
      <w:r w:rsidRPr="00942A1B">
        <w:t>product</w:t>
      </w:r>
      <w:r w:rsidRPr="00942A1B">
        <w:rPr>
          <w:spacing w:val="-2"/>
        </w:rPr>
        <w:t xml:space="preserve"> </w:t>
      </w:r>
      <w:r w:rsidRPr="00942A1B">
        <w:t>from</w:t>
      </w:r>
      <w:r w:rsidRPr="00942A1B">
        <w:rPr>
          <w:spacing w:val="-1"/>
        </w:rPr>
        <w:t xml:space="preserve"> </w:t>
      </w:r>
      <w:r w:rsidRPr="00942A1B">
        <w:t>the</w:t>
      </w:r>
      <w:r w:rsidRPr="00942A1B">
        <w:rPr>
          <w:spacing w:val="-3"/>
        </w:rPr>
        <w:t xml:space="preserve"> </w:t>
      </w:r>
      <w:r w:rsidRPr="00942A1B">
        <w:t>ARTG.</w:t>
      </w:r>
      <w:r w:rsidRPr="00942A1B">
        <w:rPr>
          <w:spacing w:val="-2"/>
        </w:rPr>
        <w:t xml:space="preserve"> </w:t>
      </w:r>
    </w:p>
    <w:p w14:paraId="580737A8" w14:textId="77777777" w:rsidR="00241222" w:rsidRDefault="00241222" w:rsidP="00241222">
      <w:pPr>
        <w:pStyle w:val="Calloutforkeyinformation"/>
      </w:pPr>
      <w:r w:rsidRPr="00942A1B">
        <w:t>*Therapeutic sunscreens that make</w:t>
      </w:r>
      <w:r w:rsidRPr="00942A1B">
        <w:rPr>
          <w:spacing w:val="-2"/>
        </w:rPr>
        <w:t xml:space="preserve"> </w:t>
      </w:r>
      <w:r w:rsidRPr="00942A1B">
        <w:t>insect</w:t>
      </w:r>
      <w:r w:rsidRPr="00942A1B">
        <w:rPr>
          <w:spacing w:val="-3"/>
        </w:rPr>
        <w:t xml:space="preserve"> </w:t>
      </w:r>
      <w:r w:rsidRPr="00942A1B">
        <w:t>repellent claims</w:t>
      </w:r>
      <w:r w:rsidRPr="00942A1B">
        <w:rPr>
          <w:spacing w:val="-1"/>
        </w:rPr>
        <w:t xml:space="preserve"> </w:t>
      </w:r>
      <w:r w:rsidRPr="00942A1B">
        <w:t>for</w:t>
      </w:r>
      <w:r w:rsidRPr="00942A1B">
        <w:rPr>
          <w:spacing w:val="-2"/>
        </w:rPr>
        <w:t xml:space="preserve"> </w:t>
      </w:r>
      <w:r w:rsidRPr="00942A1B">
        <w:t xml:space="preserve">human use must comply with any requirements of the TGA and the APVMA. Refer to the </w:t>
      </w:r>
      <w:hyperlink r:id="rId44" w:history="1">
        <w:r w:rsidRPr="00C47EC5">
          <w:rPr>
            <w:rStyle w:val="Hyperlink"/>
          </w:rPr>
          <w:t>APVMA</w:t>
        </w:r>
      </w:hyperlink>
      <w:r w:rsidRPr="00C47EC5">
        <w:rPr>
          <w:rStyle w:val="Hyperlink"/>
        </w:rPr>
        <w:t xml:space="preserve"> </w:t>
      </w:r>
      <w:r w:rsidRPr="00942A1B">
        <w:t>for more</w:t>
      </w:r>
      <w:r w:rsidRPr="00942A1B">
        <w:rPr>
          <w:spacing w:val="1"/>
        </w:rPr>
        <w:t xml:space="preserve"> </w:t>
      </w:r>
      <w:r w:rsidRPr="00942A1B">
        <w:t>information.</w:t>
      </w:r>
    </w:p>
    <w:p w14:paraId="22029A46" w14:textId="77777777" w:rsidR="00253B2B" w:rsidRPr="00E308CF" w:rsidRDefault="00253B2B" w:rsidP="00253B2B">
      <w:pPr>
        <w:pStyle w:val="Heading4"/>
      </w:pPr>
      <w:bookmarkStart w:id="46" w:name="_Toc120260213"/>
      <w:bookmarkStart w:id="47" w:name="_Toc181273047"/>
      <w:bookmarkStart w:id="48" w:name="_Toc204751315"/>
      <w:r w:rsidRPr="00E308CF">
        <w:t>Ingredients permitted for use in listed therapeutic sunscreens</w:t>
      </w:r>
      <w:bookmarkEnd w:id="46"/>
      <w:bookmarkEnd w:id="47"/>
      <w:bookmarkEnd w:id="48"/>
    </w:p>
    <w:p w14:paraId="58E527A0" w14:textId="417DB047" w:rsidR="00253B2B" w:rsidRPr="00942A1B" w:rsidRDefault="00253B2B" w:rsidP="00253B2B">
      <w:r w:rsidRPr="00942A1B">
        <w:t xml:space="preserve">Listed therapeutic sunscreens may only contain low-risk ingredients selected from the </w:t>
      </w:r>
      <w:hyperlink r:id="rId45">
        <w:r w:rsidRPr="00C47EC5">
          <w:rPr>
            <w:rStyle w:val="Hyperlink"/>
          </w:rPr>
          <w:t>Permissible</w:t>
        </w:r>
      </w:hyperlink>
      <w:r w:rsidRPr="00C47EC5">
        <w:rPr>
          <w:rStyle w:val="Hyperlink"/>
        </w:rPr>
        <w:t xml:space="preserve"> </w:t>
      </w:r>
      <w:hyperlink r:id="rId46" w:anchor="permissible-ingredients">
        <w:r w:rsidRPr="00C47EC5">
          <w:rPr>
            <w:rStyle w:val="Hyperlink"/>
          </w:rPr>
          <w:t>Ingredients Determination</w:t>
        </w:r>
      </w:hyperlink>
      <w:r w:rsidRPr="00E308CF">
        <w:t xml:space="preserve">. </w:t>
      </w:r>
      <w:r w:rsidRPr="00942A1B">
        <w:t>Sponsors</w:t>
      </w:r>
      <w:r w:rsidRPr="00942A1B">
        <w:rPr>
          <w:spacing w:val="1"/>
        </w:rPr>
        <w:t xml:space="preserve"> </w:t>
      </w:r>
      <w:r w:rsidRPr="00942A1B">
        <w:t>should consult the Permissible Ingredients Determination for restrictions applying to each</w:t>
      </w:r>
      <w:r w:rsidRPr="00942A1B">
        <w:rPr>
          <w:spacing w:val="1"/>
        </w:rPr>
        <w:t xml:space="preserve"> </w:t>
      </w:r>
      <w:r w:rsidRPr="00942A1B">
        <w:t>ingredient in their product. The Australian Approved Name</w:t>
      </w:r>
      <w:r w:rsidRPr="00942A1B">
        <w:rPr>
          <w:spacing w:val="1"/>
        </w:rPr>
        <w:t xml:space="preserve"> </w:t>
      </w:r>
      <w:r w:rsidRPr="00942A1B">
        <w:t>(AAN)</w:t>
      </w:r>
      <w:r w:rsidRPr="00942A1B">
        <w:rPr>
          <w:spacing w:val="-2"/>
        </w:rPr>
        <w:t xml:space="preserve"> </w:t>
      </w:r>
      <w:r w:rsidRPr="00942A1B">
        <w:t>for</w:t>
      </w:r>
      <w:r w:rsidRPr="00942A1B">
        <w:rPr>
          <w:spacing w:val="-1"/>
        </w:rPr>
        <w:t xml:space="preserve"> </w:t>
      </w:r>
      <w:r w:rsidRPr="00942A1B">
        <w:t>each active</w:t>
      </w:r>
      <w:r w:rsidRPr="00942A1B">
        <w:rPr>
          <w:spacing w:val="-3"/>
        </w:rPr>
        <w:t xml:space="preserve"> </w:t>
      </w:r>
      <w:r w:rsidRPr="00942A1B">
        <w:t>ingredient must be included on the product’s label.</w:t>
      </w:r>
      <w:bookmarkStart w:id="49" w:name="_bookmark17"/>
      <w:bookmarkEnd w:id="49"/>
    </w:p>
    <w:p w14:paraId="6A2E07CE" w14:textId="09C78D9E" w:rsidR="00253B2B" w:rsidRPr="00E308CF" w:rsidRDefault="00253B2B" w:rsidP="00253B2B">
      <w:r w:rsidRPr="00942A1B">
        <w:t>If your product contains an ingredient that is not in the Permissible Ingredients Determination,</w:t>
      </w:r>
      <w:r w:rsidRPr="00942A1B">
        <w:rPr>
          <w:spacing w:val="1"/>
        </w:rPr>
        <w:t xml:space="preserve"> </w:t>
      </w:r>
      <w:r w:rsidRPr="00942A1B">
        <w:t xml:space="preserve">you will need to </w:t>
      </w:r>
      <w:proofErr w:type="gramStart"/>
      <w:r w:rsidRPr="00942A1B">
        <w:t>submit an application</w:t>
      </w:r>
      <w:proofErr w:type="gramEnd"/>
      <w:r w:rsidRPr="00942A1B">
        <w:t xml:space="preserve"> to have the safety and quality of the substance evaluated under its proposed conditions of use. For more information, refer to the</w:t>
      </w:r>
      <w:hyperlink r:id="rId47" w:history="1">
        <w:r w:rsidR="00867C0D">
          <w:t xml:space="preserve"> </w:t>
        </w:r>
        <w:r w:rsidRPr="00C47EC5">
          <w:rPr>
            <w:rStyle w:val="Hyperlink"/>
          </w:rPr>
          <w:t>Understanding the application requirements for a new substance in listed medicines</w:t>
        </w:r>
        <w:r w:rsidRPr="00942A1B">
          <w:t xml:space="preserve"> (URNS)</w:t>
        </w:r>
        <w:r>
          <w:t>.</w:t>
        </w:r>
      </w:hyperlink>
    </w:p>
    <w:p w14:paraId="44DF87FD" w14:textId="77777777" w:rsidR="00902F5E" w:rsidRPr="00E308CF" w:rsidRDefault="00902F5E" w:rsidP="00241222">
      <w:pPr>
        <w:pStyle w:val="Heading4"/>
      </w:pPr>
      <w:bookmarkStart w:id="50" w:name="_Toc120260214"/>
      <w:bookmarkStart w:id="51" w:name="_Toc181273048"/>
      <w:bookmarkStart w:id="52" w:name="_Toc204751316"/>
      <w:r w:rsidRPr="00E308CF">
        <w:lastRenderedPageBreak/>
        <w:t>Active ingredients permitted for use in listed therapeutic sunscreens</w:t>
      </w:r>
      <w:bookmarkEnd w:id="50"/>
      <w:bookmarkEnd w:id="51"/>
      <w:bookmarkEnd w:id="52"/>
    </w:p>
    <w:p w14:paraId="4E70CBFA" w14:textId="12D9A600" w:rsidR="00902F5E" w:rsidRPr="00942A1B" w:rsidRDefault="00902F5E" w:rsidP="00902F5E">
      <w:r w:rsidRPr="00942A1B">
        <w:t>The list of active ingredients restricted for use in therapeutic sunscreens, current at the time of publication of this guidance, is provided in Table 9 of Appendix 3.</w:t>
      </w:r>
      <w:r w:rsidRPr="00942A1B">
        <w:rPr>
          <w:spacing w:val="1"/>
        </w:rPr>
        <w:t xml:space="preserve"> </w:t>
      </w:r>
      <w:r w:rsidRPr="00942A1B">
        <w:t>In general, active ingredients will be present at significant concentrations in therapeutic sunscreens to be</w:t>
      </w:r>
      <w:r w:rsidRPr="00942A1B">
        <w:rPr>
          <w:spacing w:val="1"/>
        </w:rPr>
        <w:t xml:space="preserve"> </w:t>
      </w:r>
      <w:r w:rsidRPr="00942A1B">
        <w:t>efficacious and may be expected to interact with human tissues and physiological systems</w:t>
      </w:r>
      <w:r w:rsidRPr="00942A1B">
        <w:rPr>
          <w:spacing w:val="1"/>
        </w:rPr>
        <w:t xml:space="preserve"> </w:t>
      </w:r>
      <w:r w:rsidRPr="00942A1B">
        <w:t>topically (skin, eyes and mucosal surfaces) and systemically (if they penetrate the skin and move into</w:t>
      </w:r>
      <w:r w:rsidRPr="00942A1B">
        <w:rPr>
          <w:spacing w:val="-2"/>
        </w:rPr>
        <w:t xml:space="preserve"> </w:t>
      </w:r>
      <w:r w:rsidRPr="00942A1B">
        <w:t>the</w:t>
      </w:r>
      <w:r w:rsidRPr="00942A1B">
        <w:rPr>
          <w:spacing w:val="-3"/>
        </w:rPr>
        <w:t xml:space="preserve"> </w:t>
      </w:r>
      <w:r w:rsidRPr="00942A1B">
        <w:t>systemic</w:t>
      </w:r>
      <w:r w:rsidRPr="00942A1B">
        <w:rPr>
          <w:spacing w:val="-2"/>
        </w:rPr>
        <w:t xml:space="preserve"> </w:t>
      </w:r>
      <w:r w:rsidRPr="00942A1B">
        <w:t>circulation).</w:t>
      </w:r>
    </w:p>
    <w:p w14:paraId="5D82F03D" w14:textId="77777777" w:rsidR="005E1B69" w:rsidRPr="00E308CF" w:rsidRDefault="005E1B69" w:rsidP="00241222">
      <w:pPr>
        <w:pStyle w:val="Heading4"/>
      </w:pPr>
      <w:bookmarkStart w:id="53" w:name="_Toc120260215"/>
      <w:bookmarkStart w:id="54" w:name="_Toc181273049"/>
      <w:bookmarkStart w:id="55" w:name="_Toc204751317"/>
      <w:r w:rsidRPr="00E308CF">
        <w:t>Excipient ingredients permitted for use in listed therapeutic sunscreens</w:t>
      </w:r>
      <w:bookmarkEnd w:id="53"/>
      <w:bookmarkEnd w:id="54"/>
      <w:bookmarkEnd w:id="55"/>
    </w:p>
    <w:p w14:paraId="03473EB6" w14:textId="45E5D499" w:rsidR="005E1B69" w:rsidRPr="00942A1B" w:rsidRDefault="005E1B69" w:rsidP="005E1B69">
      <w:r w:rsidRPr="00942A1B">
        <w:t>While therapeutic claims cannot be made for excipient ingredients, these ingredients may have effects</w:t>
      </w:r>
      <w:r w:rsidRPr="00942A1B">
        <w:rPr>
          <w:spacing w:val="-46"/>
        </w:rPr>
        <w:t xml:space="preserve"> </w:t>
      </w:r>
      <w:r w:rsidRPr="00942A1B">
        <w:t>on human health and safety. In addition, these ingredients may sometimes make up a significant proportion of the</w:t>
      </w:r>
      <w:r w:rsidRPr="00942A1B">
        <w:rPr>
          <w:spacing w:val="1"/>
        </w:rPr>
        <w:t xml:space="preserve"> </w:t>
      </w:r>
      <w:r w:rsidRPr="00942A1B">
        <w:t>sunscreen. Sponsors should consider the impact of exposure of all excipient ingredients on the sensitivity of the skin to</w:t>
      </w:r>
      <w:r w:rsidRPr="00942A1B">
        <w:rPr>
          <w:spacing w:val="1"/>
        </w:rPr>
        <w:t xml:space="preserve"> </w:t>
      </w:r>
      <w:r w:rsidRPr="00942A1B">
        <w:t>sunlight</w:t>
      </w:r>
      <w:r w:rsidRPr="00942A1B">
        <w:rPr>
          <w:spacing w:val="-2"/>
        </w:rPr>
        <w:t xml:space="preserve"> </w:t>
      </w:r>
      <w:r w:rsidRPr="00942A1B">
        <w:t>and</w:t>
      </w:r>
      <w:r w:rsidRPr="00942A1B">
        <w:rPr>
          <w:spacing w:val="-1"/>
        </w:rPr>
        <w:t xml:space="preserve"> </w:t>
      </w:r>
      <w:r w:rsidRPr="00942A1B">
        <w:t>should</w:t>
      </w:r>
      <w:r w:rsidRPr="00942A1B">
        <w:rPr>
          <w:spacing w:val="-4"/>
        </w:rPr>
        <w:t xml:space="preserve"> </w:t>
      </w:r>
      <w:r w:rsidRPr="00942A1B">
        <w:t>ensure</w:t>
      </w:r>
      <w:r w:rsidRPr="00942A1B">
        <w:rPr>
          <w:spacing w:val="-1"/>
        </w:rPr>
        <w:t xml:space="preserve"> </w:t>
      </w:r>
      <w:r w:rsidRPr="00942A1B">
        <w:t>that</w:t>
      </w:r>
      <w:r w:rsidRPr="00942A1B">
        <w:rPr>
          <w:spacing w:val="-1"/>
        </w:rPr>
        <w:t xml:space="preserve"> </w:t>
      </w:r>
      <w:r w:rsidRPr="00942A1B">
        <w:t>the</w:t>
      </w:r>
      <w:r w:rsidRPr="00942A1B">
        <w:rPr>
          <w:spacing w:val="-2"/>
        </w:rPr>
        <w:t xml:space="preserve"> </w:t>
      </w:r>
      <w:r w:rsidRPr="00942A1B">
        <w:t>finished</w:t>
      </w:r>
      <w:r w:rsidRPr="00942A1B">
        <w:rPr>
          <w:spacing w:val="-1"/>
        </w:rPr>
        <w:t xml:space="preserve"> </w:t>
      </w:r>
      <w:r w:rsidRPr="00942A1B">
        <w:t>product</w:t>
      </w:r>
      <w:r w:rsidRPr="00942A1B">
        <w:rPr>
          <w:spacing w:val="-1"/>
        </w:rPr>
        <w:t xml:space="preserve"> </w:t>
      </w:r>
      <w:r w:rsidRPr="00942A1B">
        <w:t>is</w:t>
      </w:r>
      <w:r w:rsidRPr="00942A1B">
        <w:rPr>
          <w:spacing w:val="-1"/>
        </w:rPr>
        <w:t xml:space="preserve"> </w:t>
      </w:r>
      <w:r w:rsidRPr="00942A1B">
        <w:t>safe</w:t>
      </w:r>
      <w:r w:rsidRPr="00942A1B">
        <w:rPr>
          <w:spacing w:val="-1"/>
        </w:rPr>
        <w:t xml:space="preserve"> </w:t>
      </w:r>
      <w:r w:rsidRPr="00942A1B">
        <w:t>for</w:t>
      </w:r>
      <w:r w:rsidRPr="00942A1B">
        <w:rPr>
          <w:spacing w:val="-2"/>
        </w:rPr>
        <w:t xml:space="preserve"> </w:t>
      </w:r>
      <w:r w:rsidRPr="00942A1B">
        <w:t>its intended</w:t>
      </w:r>
      <w:r w:rsidRPr="00942A1B">
        <w:rPr>
          <w:spacing w:val="-1"/>
        </w:rPr>
        <w:t xml:space="preserve"> </w:t>
      </w:r>
      <w:r w:rsidRPr="00942A1B">
        <w:t>purpose.</w:t>
      </w:r>
    </w:p>
    <w:p w14:paraId="5F3D8AD5" w14:textId="77777777" w:rsidR="005E1B69" w:rsidRPr="00942A1B" w:rsidRDefault="005E1B69" w:rsidP="005E1B69">
      <w:r w:rsidRPr="00942A1B">
        <w:t>If a substance with a known active function is classified as an excipient, evidence of excipient</w:t>
      </w:r>
      <w:r w:rsidRPr="00942A1B">
        <w:rPr>
          <w:spacing w:val="1"/>
        </w:rPr>
        <w:t xml:space="preserve"> </w:t>
      </w:r>
      <w:r w:rsidRPr="00942A1B">
        <w:t>function and purpose will be required. Further, a justification must be provided for the</w:t>
      </w:r>
      <w:r w:rsidRPr="00942A1B">
        <w:rPr>
          <w:spacing w:val="1"/>
        </w:rPr>
        <w:t xml:space="preserve"> </w:t>
      </w:r>
      <w:r w:rsidRPr="00942A1B">
        <w:t xml:space="preserve">inclusion of that substance as an excipient if it is at a concentration </w:t>
      </w:r>
      <w:proofErr w:type="gramStart"/>
      <w:r w:rsidRPr="00942A1B">
        <w:t>in excess of</w:t>
      </w:r>
      <w:proofErr w:type="gramEnd"/>
      <w:r w:rsidRPr="00942A1B">
        <w:t xml:space="preserve"> the concentration</w:t>
      </w:r>
      <w:r w:rsidRPr="00942A1B">
        <w:rPr>
          <w:spacing w:val="1"/>
        </w:rPr>
        <w:t xml:space="preserve"> </w:t>
      </w:r>
      <w:r w:rsidRPr="00942A1B">
        <w:t>typically used for its role as an active ingredient. If the concentration of an ingredient is above the approved</w:t>
      </w:r>
      <w:r w:rsidRPr="00942A1B">
        <w:rPr>
          <w:spacing w:val="1"/>
        </w:rPr>
        <w:t xml:space="preserve"> </w:t>
      </w:r>
      <w:r w:rsidRPr="00942A1B">
        <w:t>safety limit for use in listed products, then the product is required to be registered in the ARTG.</w:t>
      </w:r>
    </w:p>
    <w:p w14:paraId="5703E87E" w14:textId="65DE281C" w:rsidR="005E1B69" w:rsidRPr="00942A1B" w:rsidRDefault="005E1B69" w:rsidP="005E1B69">
      <w:r w:rsidRPr="00942A1B">
        <w:t>The concentrations of excipients with a known active function in the formulation must be below</w:t>
      </w:r>
      <w:r w:rsidRPr="00942A1B">
        <w:rPr>
          <w:spacing w:val="1"/>
        </w:rPr>
        <w:t xml:space="preserve"> </w:t>
      </w:r>
      <w:r w:rsidRPr="00942A1B">
        <w:t>the concentration associated with its established active function. If the excipient concentration is</w:t>
      </w:r>
      <w:r w:rsidR="00E827D8" w:rsidRPr="00942A1B">
        <w:t xml:space="preserve"> </w:t>
      </w:r>
      <w:r w:rsidRPr="00942A1B">
        <w:t>above</w:t>
      </w:r>
      <w:r w:rsidRPr="00942A1B">
        <w:rPr>
          <w:spacing w:val="2"/>
        </w:rPr>
        <w:t xml:space="preserve"> </w:t>
      </w:r>
      <w:r w:rsidRPr="00942A1B">
        <w:t>the minimum</w:t>
      </w:r>
      <w:r w:rsidRPr="00942A1B">
        <w:rPr>
          <w:spacing w:val="3"/>
        </w:rPr>
        <w:t xml:space="preserve"> </w:t>
      </w:r>
      <w:r w:rsidRPr="00942A1B">
        <w:t>threshold</w:t>
      </w:r>
      <w:r w:rsidRPr="00942A1B">
        <w:rPr>
          <w:spacing w:val="3"/>
        </w:rPr>
        <w:t xml:space="preserve"> </w:t>
      </w:r>
      <w:r w:rsidRPr="00942A1B">
        <w:t>of</w:t>
      </w:r>
      <w:r w:rsidRPr="00942A1B">
        <w:rPr>
          <w:spacing w:val="2"/>
        </w:rPr>
        <w:t xml:space="preserve"> </w:t>
      </w:r>
      <w:r w:rsidRPr="00942A1B">
        <w:t>active</w:t>
      </w:r>
      <w:r w:rsidRPr="00942A1B">
        <w:rPr>
          <w:spacing w:val="2"/>
        </w:rPr>
        <w:t xml:space="preserve"> </w:t>
      </w:r>
      <w:r w:rsidRPr="00942A1B">
        <w:t>function,</w:t>
      </w:r>
      <w:r w:rsidRPr="00942A1B">
        <w:rPr>
          <w:spacing w:val="1"/>
        </w:rPr>
        <w:t xml:space="preserve"> </w:t>
      </w:r>
      <w:r w:rsidRPr="00942A1B">
        <w:t>then</w:t>
      </w:r>
      <w:r w:rsidRPr="00942A1B">
        <w:rPr>
          <w:spacing w:val="2"/>
        </w:rPr>
        <w:t xml:space="preserve"> </w:t>
      </w:r>
      <w:r w:rsidRPr="00942A1B">
        <w:t>the</w:t>
      </w:r>
      <w:r w:rsidRPr="00942A1B">
        <w:rPr>
          <w:spacing w:val="2"/>
        </w:rPr>
        <w:t xml:space="preserve"> </w:t>
      </w:r>
      <w:r w:rsidRPr="00942A1B">
        <w:t>substance should</w:t>
      </w:r>
      <w:r w:rsidRPr="00942A1B">
        <w:rPr>
          <w:spacing w:val="3"/>
        </w:rPr>
        <w:t xml:space="preserve"> </w:t>
      </w:r>
      <w:r w:rsidRPr="00942A1B">
        <w:t>not</w:t>
      </w:r>
      <w:r w:rsidRPr="00942A1B">
        <w:rPr>
          <w:spacing w:val="2"/>
        </w:rPr>
        <w:t xml:space="preserve"> </w:t>
      </w:r>
      <w:r w:rsidRPr="00942A1B">
        <w:t>be</w:t>
      </w:r>
      <w:r w:rsidRPr="00942A1B">
        <w:rPr>
          <w:spacing w:val="2"/>
        </w:rPr>
        <w:t xml:space="preserve"> </w:t>
      </w:r>
      <w:r w:rsidRPr="00942A1B">
        <w:t>classified</w:t>
      </w:r>
      <w:r w:rsidRPr="00942A1B">
        <w:rPr>
          <w:spacing w:val="2"/>
        </w:rPr>
        <w:t xml:space="preserve"> </w:t>
      </w:r>
      <w:r w:rsidRPr="00942A1B">
        <w:t>as</w:t>
      </w:r>
      <w:r w:rsidRPr="00942A1B">
        <w:rPr>
          <w:spacing w:val="1"/>
        </w:rPr>
        <w:t xml:space="preserve"> </w:t>
      </w:r>
      <w:r w:rsidRPr="00942A1B">
        <w:t>an</w:t>
      </w:r>
      <w:r w:rsidRPr="00942A1B">
        <w:rPr>
          <w:spacing w:val="1"/>
        </w:rPr>
        <w:t xml:space="preserve"> </w:t>
      </w:r>
      <w:r w:rsidRPr="00942A1B">
        <w:t>excipient</w:t>
      </w:r>
      <w:r w:rsidRPr="00942A1B">
        <w:rPr>
          <w:spacing w:val="2"/>
        </w:rPr>
        <w:t xml:space="preserve"> </w:t>
      </w:r>
      <w:r w:rsidRPr="00942A1B">
        <w:t>in</w:t>
      </w:r>
      <w:r w:rsidRPr="00942A1B">
        <w:rPr>
          <w:spacing w:val="1"/>
        </w:rPr>
        <w:t xml:space="preserve"> </w:t>
      </w:r>
      <w:r w:rsidRPr="00942A1B">
        <w:t>the</w:t>
      </w:r>
      <w:r w:rsidRPr="00942A1B">
        <w:rPr>
          <w:spacing w:val="2"/>
        </w:rPr>
        <w:t xml:space="preserve"> </w:t>
      </w:r>
      <w:r w:rsidRPr="00942A1B">
        <w:t>product</w:t>
      </w:r>
      <w:r w:rsidRPr="00942A1B">
        <w:rPr>
          <w:spacing w:val="2"/>
        </w:rPr>
        <w:t xml:space="preserve"> </w:t>
      </w:r>
      <w:r w:rsidRPr="00942A1B">
        <w:t>but,</w:t>
      </w:r>
      <w:r w:rsidRPr="00942A1B">
        <w:rPr>
          <w:spacing w:val="2"/>
        </w:rPr>
        <w:t xml:space="preserve"> </w:t>
      </w:r>
      <w:r w:rsidRPr="00942A1B">
        <w:t>instead,</w:t>
      </w:r>
      <w:r w:rsidRPr="00942A1B">
        <w:rPr>
          <w:spacing w:val="2"/>
        </w:rPr>
        <w:t xml:space="preserve"> </w:t>
      </w:r>
      <w:r w:rsidRPr="00942A1B">
        <w:t>should</w:t>
      </w:r>
      <w:r w:rsidRPr="00942A1B">
        <w:rPr>
          <w:spacing w:val="2"/>
        </w:rPr>
        <w:t xml:space="preserve"> </w:t>
      </w:r>
      <w:r w:rsidRPr="00942A1B">
        <w:t>be</w:t>
      </w:r>
      <w:r w:rsidRPr="00942A1B">
        <w:rPr>
          <w:spacing w:val="2"/>
        </w:rPr>
        <w:t xml:space="preserve"> </w:t>
      </w:r>
      <w:r w:rsidRPr="00942A1B">
        <w:t>classified</w:t>
      </w:r>
      <w:r w:rsidRPr="00942A1B">
        <w:rPr>
          <w:spacing w:val="2"/>
        </w:rPr>
        <w:t xml:space="preserve"> </w:t>
      </w:r>
      <w:r w:rsidRPr="00942A1B">
        <w:t>as</w:t>
      </w:r>
      <w:r w:rsidRPr="00942A1B">
        <w:rPr>
          <w:spacing w:val="3"/>
        </w:rPr>
        <w:t xml:space="preserve"> </w:t>
      </w:r>
      <w:r w:rsidRPr="00942A1B">
        <w:t>an</w:t>
      </w:r>
      <w:r w:rsidRPr="00942A1B">
        <w:rPr>
          <w:spacing w:val="1"/>
        </w:rPr>
        <w:t xml:space="preserve"> </w:t>
      </w:r>
      <w:r w:rsidRPr="00942A1B">
        <w:t>active</w:t>
      </w:r>
      <w:r w:rsidRPr="00942A1B">
        <w:rPr>
          <w:spacing w:val="2"/>
        </w:rPr>
        <w:t xml:space="preserve"> </w:t>
      </w:r>
      <w:r w:rsidRPr="00942A1B">
        <w:t>substance</w:t>
      </w:r>
      <w:r w:rsidRPr="00942A1B">
        <w:rPr>
          <w:spacing w:val="2"/>
        </w:rPr>
        <w:t xml:space="preserve"> </w:t>
      </w:r>
      <w:r w:rsidRPr="00942A1B">
        <w:t>in</w:t>
      </w:r>
      <w:r w:rsidRPr="00942A1B">
        <w:rPr>
          <w:spacing w:val="1"/>
        </w:rPr>
        <w:t xml:space="preserve"> </w:t>
      </w:r>
      <w:r w:rsidRPr="00942A1B">
        <w:t>the</w:t>
      </w:r>
      <w:r w:rsidRPr="00942A1B">
        <w:rPr>
          <w:spacing w:val="1"/>
        </w:rPr>
        <w:t xml:space="preserve"> </w:t>
      </w:r>
      <w:r w:rsidRPr="00942A1B">
        <w:t>product</w:t>
      </w:r>
      <w:r w:rsidRPr="00942A1B">
        <w:rPr>
          <w:spacing w:val="-2"/>
        </w:rPr>
        <w:t xml:space="preserve"> </w:t>
      </w:r>
      <w:r w:rsidRPr="00942A1B">
        <w:t>and</w:t>
      </w:r>
      <w:r w:rsidRPr="00942A1B">
        <w:rPr>
          <w:spacing w:val="-1"/>
        </w:rPr>
        <w:t xml:space="preserve"> </w:t>
      </w:r>
      <w:r w:rsidRPr="00942A1B">
        <w:t>it</w:t>
      </w:r>
      <w:r w:rsidRPr="00942A1B">
        <w:rPr>
          <w:spacing w:val="-1"/>
        </w:rPr>
        <w:t xml:space="preserve"> </w:t>
      </w:r>
      <w:r w:rsidRPr="00942A1B">
        <w:t>will</w:t>
      </w:r>
      <w:r w:rsidRPr="00942A1B">
        <w:rPr>
          <w:spacing w:val="-1"/>
        </w:rPr>
        <w:t xml:space="preserve"> </w:t>
      </w:r>
      <w:r w:rsidRPr="00942A1B">
        <w:t>be</w:t>
      </w:r>
      <w:r w:rsidRPr="00942A1B">
        <w:rPr>
          <w:spacing w:val="-1"/>
        </w:rPr>
        <w:t xml:space="preserve"> </w:t>
      </w:r>
      <w:r w:rsidRPr="00942A1B">
        <w:t>evaluated</w:t>
      </w:r>
      <w:r w:rsidRPr="00942A1B">
        <w:rPr>
          <w:spacing w:val="-1"/>
        </w:rPr>
        <w:t xml:space="preserve"> </w:t>
      </w:r>
      <w:r w:rsidRPr="00942A1B">
        <w:t>as an</w:t>
      </w:r>
      <w:r w:rsidRPr="00942A1B">
        <w:rPr>
          <w:spacing w:val="-3"/>
        </w:rPr>
        <w:t xml:space="preserve"> </w:t>
      </w:r>
      <w:r w:rsidRPr="00942A1B">
        <w:t>active</w:t>
      </w:r>
      <w:r w:rsidRPr="00942A1B">
        <w:rPr>
          <w:spacing w:val="-1"/>
        </w:rPr>
        <w:t xml:space="preserve"> </w:t>
      </w:r>
      <w:r w:rsidRPr="00942A1B">
        <w:t>component</w:t>
      </w:r>
      <w:r w:rsidRPr="00942A1B">
        <w:rPr>
          <w:spacing w:val="-1"/>
        </w:rPr>
        <w:t xml:space="preserve"> </w:t>
      </w:r>
      <w:r w:rsidRPr="00942A1B">
        <w:t>of</w:t>
      </w:r>
      <w:r w:rsidRPr="00942A1B">
        <w:rPr>
          <w:spacing w:val="-1"/>
        </w:rPr>
        <w:t xml:space="preserve"> </w:t>
      </w:r>
      <w:r w:rsidRPr="00942A1B">
        <w:t>the</w:t>
      </w:r>
      <w:r w:rsidRPr="00942A1B">
        <w:rPr>
          <w:spacing w:val="-1"/>
        </w:rPr>
        <w:t xml:space="preserve"> </w:t>
      </w:r>
      <w:r w:rsidRPr="00942A1B">
        <w:t>product.</w:t>
      </w:r>
    </w:p>
    <w:p w14:paraId="60994CC6" w14:textId="77777777" w:rsidR="008963A7" w:rsidRPr="001A0529" w:rsidRDefault="008963A7" w:rsidP="00241222">
      <w:pPr>
        <w:pStyle w:val="Heading4"/>
      </w:pPr>
      <w:bookmarkStart w:id="56" w:name="_Toc120260216"/>
      <w:bookmarkStart w:id="57" w:name="_Toc181273050"/>
      <w:bookmarkStart w:id="58" w:name="_Toc204751318"/>
      <w:r w:rsidRPr="001A0529">
        <w:t>Nanoparticle ingredients in sunscreens</w:t>
      </w:r>
      <w:bookmarkEnd w:id="56"/>
      <w:bookmarkEnd w:id="57"/>
      <w:bookmarkEnd w:id="58"/>
    </w:p>
    <w:p w14:paraId="742333AC" w14:textId="77777777" w:rsidR="008963A7" w:rsidRPr="00942A1B" w:rsidRDefault="008963A7" w:rsidP="008963A7">
      <w:r w:rsidRPr="00942A1B">
        <w:t>A nanoparticle ranges from one to 100 nanometres in size (a nanometre is one-millionth of a millimetre) and is invisible to the human eye. Humans are exposed to nanoparticles through the air and water in the form of smoke, dust, ash and fine clays. Nanoparticles are also found in some foods and cosmetics.</w:t>
      </w:r>
    </w:p>
    <w:p w14:paraId="05825555" w14:textId="77777777" w:rsidR="008963A7" w:rsidRPr="00942A1B" w:rsidRDefault="008963A7" w:rsidP="008963A7">
      <w:r w:rsidRPr="00942A1B">
        <w:t>Nanoparticulate titanium dioxide and zinc oxide are commonly used in sunscreens; however, other ingredients may be used in nanoparticle form if they have been specifically evaluated and approved by the TGA. The labels of sunscreens are not required to declare the particle sizes of ingredients.</w:t>
      </w:r>
    </w:p>
    <w:p w14:paraId="7FEE98A0" w14:textId="7F622C8E" w:rsidR="00C31794" w:rsidRDefault="00C31794" w:rsidP="00B952FD">
      <w:pPr>
        <w:pStyle w:val="Calloutforkeyinformation"/>
      </w:pPr>
      <w:r w:rsidRPr="00C31794">
        <w:rPr>
          <w:b/>
          <w:bCs w:val="0"/>
        </w:rPr>
        <w:t>Note</w:t>
      </w:r>
    </w:p>
    <w:p w14:paraId="734A6756" w14:textId="00881732" w:rsidR="002D0431" w:rsidRDefault="00AB48C1" w:rsidP="00B952FD">
      <w:pPr>
        <w:pStyle w:val="Calloutforkeyinformation"/>
      </w:pPr>
      <w:r w:rsidRPr="00942A1B">
        <w:t xml:space="preserve">The TGA actively monitors local and international research on nanoparticles in sunscreens. A </w:t>
      </w:r>
      <w:hyperlink r:id="rId48" w:history="1">
        <w:r w:rsidRPr="00C47EC5">
          <w:rPr>
            <w:rStyle w:val="Hyperlink"/>
          </w:rPr>
          <w:t>literature review by the TGA on the safety of titanium dioxide and zinc oxide nanoparticles in sunscreens</w:t>
        </w:r>
      </w:hyperlink>
      <w:r w:rsidRPr="004E0BDD">
        <w:t xml:space="preserve"> </w:t>
      </w:r>
      <w:r w:rsidRPr="00942A1B">
        <w:t>was first published in 2006, and is regularly updated.</w:t>
      </w:r>
    </w:p>
    <w:p w14:paraId="28E2F827" w14:textId="77777777" w:rsidR="000F7142" w:rsidRPr="00E308CF" w:rsidRDefault="000F7142" w:rsidP="00241222">
      <w:pPr>
        <w:pStyle w:val="Heading2"/>
      </w:pPr>
      <w:bookmarkStart w:id="59" w:name="_Toc120260217"/>
      <w:bookmarkStart w:id="60" w:name="_Toc181273051"/>
      <w:bookmarkStart w:id="61" w:name="_Toc198297284"/>
      <w:bookmarkStart w:id="62" w:name="_Toc204751319"/>
      <w:r w:rsidRPr="00E308CF">
        <w:lastRenderedPageBreak/>
        <w:t>Applying for a new ingredient to be used in listed therapeutic sunscreens</w:t>
      </w:r>
      <w:bookmarkEnd w:id="59"/>
      <w:bookmarkEnd w:id="60"/>
      <w:bookmarkEnd w:id="61"/>
      <w:bookmarkEnd w:id="62"/>
    </w:p>
    <w:p w14:paraId="2656C1B1" w14:textId="565AFDC8" w:rsidR="000F7142" w:rsidRPr="00942A1B" w:rsidRDefault="000F7142" w:rsidP="000F7142">
      <w:r w:rsidRPr="00942A1B">
        <w:t xml:space="preserve">Sponsors wishing to market a product containing an active or excipient ingredient that is not in </w:t>
      </w:r>
      <w:r w:rsidRPr="00942A1B">
        <w:rPr>
          <w:spacing w:val="-46"/>
        </w:rPr>
        <w:t xml:space="preserve"> </w:t>
      </w:r>
      <w:r w:rsidRPr="00942A1B">
        <w:t xml:space="preserve">the </w:t>
      </w:r>
      <w:hyperlink r:id="rId49" w:anchor="permissible-ingredients">
        <w:r w:rsidRPr="00C47EC5">
          <w:rPr>
            <w:rStyle w:val="Hyperlink"/>
          </w:rPr>
          <w:t xml:space="preserve">Permissible Ingredients Determination </w:t>
        </w:r>
      </w:hyperlink>
      <w:r w:rsidRPr="00942A1B">
        <w:t>(see Ingredients permitted for use in listed</w:t>
      </w:r>
      <w:r w:rsidRPr="00942A1B">
        <w:rPr>
          <w:spacing w:val="1"/>
        </w:rPr>
        <w:t xml:space="preserve"> </w:t>
      </w:r>
      <w:r w:rsidRPr="00942A1B">
        <w:t>therapeutic sunscreens) must submit an application for a substance to be used in listed medicines with data to establish the safety and quality of the ingredient</w:t>
      </w:r>
      <w:r w:rsidRPr="00942A1B">
        <w:rPr>
          <w:spacing w:val="1"/>
        </w:rPr>
        <w:t xml:space="preserve"> </w:t>
      </w:r>
      <w:r w:rsidRPr="00942A1B">
        <w:t>under its proposed conditions of use.</w:t>
      </w:r>
    </w:p>
    <w:p w14:paraId="5C3196F4" w14:textId="77777777" w:rsidR="00E713FC" w:rsidRPr="00942A1B" w:rsidRDefault="00E713FC" w:rsidP="00E713FC">
      <w:r w:rsidRPr="00942A1B">
        <w:t xml:space="preserve">An application to include a new active or excipient sunscreen ingredient into the Permissible Ingredients Determination (or to vary the entry of an ingredient already in the Determination) is made under s26BD of the </w:t>
      </w:r>
      <w:r w:rsidRPr="00942A1B">
        <w:rPr>
          <w:i/>
          <w:iCs/>
        </w:rPr>
        <w:t>Therapeutic Goods Act 1989</w:t>
      </w:r>
      <w:r w:rsidRPr="00942A1B">
        <w:t xml:space="preserve">. This pathway has specific application categories (IN1-4) with varying legislated timeframes and associated fees dependent on the level of TGA de novo evaluation required, and appeal rights. </w:t>
      </w:r>
    </w:p>
    <w:p w14:paraId="7578F284" w14:textId="58750F33" w:rsidR="00E713FC" w:rsidRDefault="00E713FC" w:rsidP="00E713FC">
      <w:r w:rsidRPr="00942A1B">
        <w:t xml:space="preserve">Applicants can complete the approved online application form titled ‘Substance Evaluation,’ accessed via the electronic lodgement facility within TGA Business Services in the Applications menu under the heading Listed Medicine. For more information, refer to ‘SECTION A – Application process for new substances for use as ingredients in listed medicines’ in </w:t>
      </w:r>
      <w:r w:rsidR="009A69EF">
        <w:t xml:space="preserve">the </w:t>
      </w:r>
      <w:hyperlink r:id="rId50" w:history="1">
        <w:r w:rsidRPr="00137753">
          <w:rPr>
            <w:rStyle w:val="Hyperlink"/>
          </w:rPr>
          <w:t>URNS</w:t>
        </w:r>
      </w:hyperlink>
      <w:r>
        <w:t xml:space="preserve"> </w:t>
      </w:r>
      <w:r w:rsidRPr="00942A1B">
        <w:t xml:space="preserve">and the </w:t>
      </w:r>
      <w:hyperlink r:id="rId51" w:history="1">
        <w:r w:rsidRPr="00026335">
          <w:rPr>
            <w:rStyle w:val="Hyperlink"/>
            <w:szCs w:val="22"/>
          </w:rPr>
          <w:t>User guide: Evaluation of substances for use in listed medicines and assessed listed medicines</w:t>
        </w:r>
      </w:hyperlink>
      <w:r w:rsidRPr="00C47EC5">
        <w:rPr>
          <w:rStyle w:val="Hyperlink"/>
          <w:color w:val="auto"/>
          <w:szCs w:val="22"/>
          <w:u w:val="none"/>
        </w:rPr>
        <w:t>.</w:t>
      </w:r>
    </w:p>
    <w:p w14:paraId="3BFCB707" w14:textId="77777777" w:rsidR="00E713FC" w:rsidRPr="00942A1B" w:rsidRDefault="00E713FC" w:rsidP="00E713FC">
      <w:r w:rsidRPr="00942A1B">
        <w:t xml:space="preserve">An application can also be made via Regulation 16GA to the </w:t>
      </w:r>
      <w:r w:rsidRPr="00942A1B">
        <w:rPr>
          <w:i/>
          <w:iCs/>
        </w:rPr>
        <w:t>Therapeutic Goods Regulations 1990</w:t>
      </w:r>
      <w:r w:rsidRPr="00942A1B">
        <w:t xml:space="preserve"> to have a new sunscreen ingredient evaluated. This can be done by completing a different form titled ‘Substance Evaluation,’ accessed via the electronic lodgement facility within TGA Business Services in the Applications menu under the heading Non-prescription Medicines. Applications under 16GA are a legacy pathway that was in place prior to the implementation of the s26BD pathway. Applicants should note that unlike applications submitted through the s26BD pathway described above, use of Regulation 16GA does not have legislative timeframes, appeal rights, or mandatory data requirements. Application fees are also based on page count. </w:t>
      </w:r>
    </w:p>
    <w:p w14:paraId="690651CB" w14:textId="0904ED0D" w:rsidR="00E713FC" w:rsidRPr="00942A1B" w:rsidRDefault="00E713FC" w:rsidP="00E713FC">
      <w:bookmarkStart w:id="63" w:name="_Hlk130823833"/>
      <w:r w:rsidRPr="00942A1B">
        <w:t xml:space="preserve">TGA </w:t>
      </w:r>
      <w:r w:rsidRPr="00942A1B">
        <w:rPr>
          <w:i/>
          <w:iCs/>
        </w:rPr>
        <w:t>de novo</w:t>
      </w:r>
      <w:r w:rsidRPr="00942A1B">
        <w:t xml:space="preserve"> evaluation may be reduced by providing either quality or safety evaluation reports from Comparable Overseas Bodies (COB).</w:t>
      </w:r>
      <w:r w:rsidRPr="00942A1B" w:rsidDel="00B004D7">
        <w:t xml:space="preserve"> The </w:t>
      </w:r>
      <w:hyperlink r:id="rId52" w:history="1">
        <w:r w:rsidRPr="00A74ADA" w:rsidDel="00B004D7">
          <w:rPr>
            <w:rStyle w:val="Hyperlink"/>
          </w:rPr>
          <w:t>CO</w:t>
        </w:r>
        <w:r w:rsidRPr="00A74ADA">
          <w:rPr>
            <w:rStyle w:val="Hyperlink"/>
          </w:rPr>
          <w:t>B</w:t>
        </w:r>
      </w:hyperlink>
      <w:r w:rsidRPr="00E308CF" w:rsidDel="00B004D7">
        <w:t xml:space="preserve"> </w:t>
      </w:r>
      <w:r w:rsidRPr="00942A1B">
        <w:t>report-based process</w:t>
      </w:r>
      <w:r w:rsidRPr="00942A1B" w:rsidDel="00B004D7">
        <w:t xml:space="preserve"> </w:t>
      </w:r>
      <w:r w:rsidRPr="00942A1B">
        <w:t xml:space="preserve">is a process that </w:t>
      </w:r>
      <w:r w:rsidRPr="00942A1B" w:rsidDel="00B004D7">
        <w:t xml:space="preserve">allows technical </w:t>
      </w:r>
      <w:r w:rsidRPr="00942A1B">
        <w:t>evaluation reports</w:t>
      </w:r>
      <w:r w:rsidRPr="00942A1B" w:rsidDel="00B004D7">
        <w:t xml:space="preserve"> from </w:t>
      </w:r>
      <w:r w:rsidRPr="00942A1B">
        <w:t xml:space="preserve">identified bodies to be used by the TGA. For example, the Australian Industrial Chemical Introduction Scheme (AICIS), Scientific Committee on Consumer Safety (SCCS) and Cosmetic Ingredient Review (CIR) are on the </w:t>
      </w:r>
      <w:hyperlink r:id="rId53" w:history="1">
        <w:r w:rsidRPr="00A74ADA">
          <w:rPr>
            <w:rStyle w:val="Hyperlink"/>
          </w:rPr>
          <w:t>list of COBs</w:t>
        </w:r>
      </w:hyperlink>
      <w:r w:rsidRPr="008C7042">
        <w:rPr>
          <w:rStyle w:val="Hyperlink"/>
          <w:color w:val="auto"/>
          <w:u w:val="none"/>
        </w:rPr>
        <w:t xml:space="preserve">. </w:t>
      </w:r>
      <w:r w:rsidRPr="00942A1B">
        <w:rPr>
          <w:rStyle w:val="Hyperlink"/>
          <w:color w:val="auto"/>
          <w:u w:val="none"/>
        </w:rPr>
        <w:t xml:space="preserve">In general, applicants must submit the COB evaluation report(s), the completed </w:t>
      </w:r>
      <w:hyperlink r:id="rId54" w:history="1">
        <w:r w:rsidRPr="008C7042">
          <w:rPr>
            <w:rStyle w:val="Hyperlink"/>
          </w:rPr>
          <w:t>COB checklist(s)</w:t>
        </w:r>
      </w:hyperlink>
      <w:r w:rsidRPr="008C7042">
        <w:rPr>
          <w:rStyle w:val="Hyperlink"/>
          <w:color w:val="auto"/>
          <w:u w:val="none"/>
        </w:rPr>
        <w:t xml:space="preserve"> </w:t>
      </w:r>
      <w:r w:rsidRPr="00942A1B">
        <w:rPr>
          <w:rStyle w:val="Hyperlink"/>
          <w:color w:val="auto"/>
          <w:u w:val="none"/>
        </w:rPr>
        <w:t>for substance evaluations and a gap analysis to demonstrate that the information meets the Australian requirements.</w:t>
      </w:r>
      <w:r w:rsidRPr="00942A1B">
        <w:t xml:space="preserve"> For full details for submission requirements for the COB-report based process, refer to SECTION B – Submission requirements for the COB report-based process in </w:t>
      </w:r>
      <w:hyperlink r:id="rId55" w:history="1">
        <w:r w:rsidR="00137753">
          <w:rPr>
            <w:rStyle w:val="Hyperlink"/>
          </w:rPr>
          <w:t xml:space="preserve">Using the Comparable Overseas Bodies process for registered complementary medicines, assessed listed medicines and substances in </w:t>
        </w:r>
        <w:r w:rsidR="00137753">
          <w:rPr>
            <w:rStyle w:val="Hyperlink"/>
          </w:rPr>
          <w:lastRenderedPageBreak/>
          <w:t>listed medicines</w:t>
        </w:r>
      </w:hyperlink>
      <w:r w:rsidRPr="00E308CF">
        <w:t>.</w:t>
      </w:r>
      <w:r>
        <w:t xml:space="preserve"> </w:t>
      </w:r>
      <w:r w:rsidRPr="00942A1B">
        <w:t>If an applicant decides not to use this process, such reports can also be provided as supporting information as part of an application.</w:t>
      </w:r>
    </w:p>
    <w:p w14:paraId="327CD92D" w14:textId="5C5BD1CF" w:rsidR="00E713FC" w:rsidRPr="00942A1B" w:rsidRDefault="00E713FC" w:rsidP="00E713FC">
      <w:pPr>
        <w:rPr>
          <w:b/>
          <w:bCs/>
        </w:rPr>
      </w:pPr>
      <w:r w:rsidRPr="00942A1B">
        <w:t>Irrespective of which pathway applicants use, the TGA evaluates the quality and safety of a substance to the same standard, as all substances must be included in the Permissible Ingredients Determination before they can be used in listed therapeutic sunscreens or listed medicines</w:t>
      </w:r>
      <w:bookmarkEnd w:id="63"/>
      <w:r w:rsidRPr="00942A1B">
        <w:t xml:space="preserve"> - see General requirements for new ingredients for listed therapeutic sunscreens.  </w:t>
      </w:r>
    </w:p>
    <w:p w14:paraId="7AA4538F" w14:textId="77777777" w:rsidR="00E713FC" w:rsidRPr="00942A1B" w:rsidRDefault="00E713FC" w:rsidP="00E713FC">
      <w:r w:rsidRPr="00942A1B">
        <w:t>A ‘Proposed name for a chemical substance (AAN) used in a therapeutic good’ application form</w:t>
      </w:r>
      <w:r w:rsidRPr="00942A1B">
        <w:rPr>
          <w:spacing w:val="1"/>
        </w:rPr>
        <w:t xml:space="preserve"> also </w:t>
      </w:r>
      <w:r w:rsidRPr="00942A1B">
        <w:t>needs to be submitted to the TGA to enable the establishment of an identity and an appropriate</w:t>
      </w:r>
      <w:r w:rsidRPr="00942A1B">
        <w:rPr>
          <w:spacing w:val="1"/>
        </w:rPr>
        <w:t xml:space="preserve"> </w:t>
      </w:r>
      <w:r w:rsidRPr="00942A1B">
        <w:t>‘</w:t>
      </w:r>
      <w:r w:rsidRPr="00942A1B">
        <w:rPr>
          <w:b/>
        </w:rPr>
        <w:t xml:space="preserve">Australian Approved </w:t>
      </w:r>
      <w:r w:rsidRPr="00942A1B">
        <w:rPr>
          <w:b/>
          <w:iCs/>
        </w:rPr>
        <w:t>Name</w:t>
      </w:r>
      <w:r w:rsidRPr="00942A1B">
        <w:rPr>
          <w:iCs/>
        </w:rPr>
        <w:t>’</w:t>
      </w:r>
      <w:r w:rsidRPr="00942A1B">
        <w:t xml:space="preserve"> (AAN) for the substance. Information on the naming of substances</w:t>
      </w:r>
      <w:r w:rsidRPr="00942A1B">
        <w:rPr>
          <w:spacing w:val="-46"/>
        </w:rPr>
        <w:t xml:space="preserve"> </w:t>
      </w:r>
      <w:r w:rsidRPr="00942A1B">
        <w:t xml:space="preserve">and applying for an AAN can be found on the </w:t>
      </w:r>
      <w:hyperlink r:id="rId56">
        <w:r w:rsidRPr="00C47EC5">
          <w:rPr>
            <w:rStyle w:val="Hyperlink"/>
          </w:rPr>
          <w:t>TGA approved terminology for therapeutic goods</w:t>
        </w:r>
      </w:hyperlink>
      <w:r w:rsidRPr="00E308CF">
        <w:rPr>
          <w:color w:val="0000FF"/>
          <w:spacing w:val="1"/>
        </w:rPr>
        <w:t xml:space="preserve"> </w:t>
      </w:r>
      <w:r w:rsidRPr="00942A1B">
        <w:t>webpage. There are no fees associated with AAN applications and approval of ingredient names. However,</w:t>
      </w:r>
      <w:r w:rsidRPr="00942A1B">
        <w:rPr>
          <w:spacing w:val="-46"/>
        </w:rPr>
        <w:t xml:space="preserve"> </w:t>
      </w:r>
      <w:r w:rsidRPr="00942A1B">
        <w:t>fees will apply to the evaluation of the data for the new substance and for the listing or</w:t>
      </w:r>
      <w:r w:rsidRPr="00942A1B">
        <w:rPr>
          <w:spacing w:val="1"/>
        </w:rPr>
        <w:t xml:space="preserve"> </w:t>
      </w:r>
      <w:r w:rsidRPr="00942A1B">
        <w:t>registration</w:t>
      </w:r>
      <w:r w:rsidRPr="00942A1B">
        <w:rPr>
          <w:spacing w:val="-3"/>
        </w:rPr>
        <w:t xml:space="preserve"> </w:t>
      </w:r>
      <w:r w:rsidRPr="00942A1B">
        <w:t>of</w:t>
      </w:r>
      <w:r w:rsidRPr="00942A1B">
        <w:rPr>
          <w:spacing w:val="-2"/>
        </w:rPr>
        <w:t xml:space="preserve"> </w:t>
      </w:r>
      <w:r w:rsidRPr="00942A1B">
        <w:t>the</w:t>
      </w:r>
      <w:r w:rsidRPr="00942A1B">
        <w:rPr>
          <w:spacing w:val="-1"/>
        </w:rPr>
        <w:t xml:space="preserve"> </w:t>
      </w:r>
      <w:r w:rsidRPr="00942A1B">
        <w:t>product</w:t>
      </w:r>
      <w:r w:rsidRPr="00942A1B">
        <w:rPr>
          <w:spacing w:val="-2"/>
        </w:rPr>
        <w:t xml:space="preserve"> </w:t>
      </w:r>
      <w:r w:rsidRPr="00942A1B">
        <w:t>as</w:t>
      </w:r>
      <w:r w:rsidRPr="00942A1B">
        <w:rPr>
          <w:spacing w:val="-1"/>
        </w:rPr>
        <w:t xml:space="preserve"> </w:t>
      </w:r>
      <w:r w:rsidRPr="00942A1B">
        <w:t>specified</w:t>
      </w:r>
      <w:r w:rsidRPr="00942A1B">
        <w:rPr>
          <w:spacing w:val="-1"/>
        </w:rPr>
        <w:t xml:space="preserve"> </w:t>
      </w:r>
      <w:r w:rsidRPr="00942A1B">
        <w:t>in</w:t>
      </w:r>
      <w:r w:rsidRPr="00942A1B">
        <w:rPr>
          <w:spacing w:val="-3"/>
        </w:rPr>
        <w:t xml:space="preserve"> </w:t>
      </w:r>
      <w:r w:rsidRPr="00942A1B">
        <w:t>the</w:t>
      </w:r>
      <w:r w:rsidRPr="00942A1B">
        <w:rPr>
          <w:spacing w:val="-4"/>
        </w:rPr>
        <w:t xml:space="preserve"> </w:t>
      </w:r>
      <w:r w:rsidRPr="00942A1B">
        <w:t>TGA’s</w:t>
      </w:r>
      <w:r w:rsidRPr="00942A1B">
        <w:rPr>
          <w:spacing w:val="-2"/>
        </w:rPr>
        <w:t xml:space="preserve"> </w:t>
      </w:r>
      <w:hyperlink r:id="rId57">
        <w:r w:rsidRPr="00C47EC5">
          <w:rPr>
            <w:rStyle w:val="Hyperlink"/>
          </w:rPr>
          <w:t>Schedule of fees and charges</w:t>
        </w:r>
        <w:r w:rsidRPr="00C47EC5">
          <w:rPr>
            <w:rStyle w:val="Hyperlink"/>
            <w:u w:val="none"/>
          </w:rPr>
          <w:t xml:space="preserve"> </w:t>
        </w:r>
      </w:hyperlink>
      <w:r w:rsidRPr="00942A1B">
        <w:t>webpage.</w:t>
      </w:r>
    </w:p>
    <w:p w14:paraId="0D268858" w14:textId="77777777" w:rsidR="00E713FC" w:rsidRPr="00942A1B" w:rsidRDefault="00E713FC" w:rsidP="00E713FC">
      <w:r w:rsidRPr="00942A1B">
        <w:t>Once the substance is approved, and included in the Permissible Ingredients Determination, it may be used in other therapeutic sunscreens if not subject to an ingredient exclusivity period. Sponsors wishing to propose a new role or change the existing requirement for use of a current permitted ingredient will</w:t>
      </w:r>
      <w:r w:rsidRPr="00942A1B">
        <w:rPr>
          <w:spacing w:val="1"/>
        </w:rPr>
        <w:t xml:space="preserve"> </w:t>
      </w:r>
      <w:r w:rsidRPr="00942A1B">
        <w:t>need</w:t>
      </w:r>
      <w:r w:rsidRPr="00942A1B">
        <w:rPr>
          <w:spacing w:val="-2"/>
        </w:rPr>
        <w:t xml:space="preserve"> </w:t>
      </w:r>
      <w:r w:rsidRPr="00942A1B">
        <w:t>to</w:t>
      </w:r>
      <w:r w:rsidRPr="00942A1B">
        <w:rPr>
          <w:spacing w:val="-1"/>
        </w:rPr>
        <w:t xml:space="preserve"> </w:t>
      </w:r>
      <w:r w:rsidRPr="00942A1B">
        <w:t>submit</w:t>
      </w:r>
      <w:r w:rsidRPr="00942A1B">
        <w:rPr>
          <w:spacing w:val="-1"/>
        </w:rPr>
        <w:t xml:space="preserve"> </w:t>
      </w:r>
      <w:r w:rsidRPr="00942A1B">
        <w:t>a</w:t>
      </w:r>
      <w:r w:rsidRPr="00942A1B">
        <w:rPr>
          <w:spacing w:val="-1"/>
        </w:rPr>
        <w:t xml:space="preserve"> </w:t>
      </w:r>
      <w:r w:rsidRPr="00942A1B">
        <w:t>separate</w:t>
      </w:r>
      <w:r w:rsidRPr="00942A1B">
        <w:rPr>
          <w:spacing w:val="-3"/>
        </w:rPr>
        <w:t xml:space="preserve"> </w:t>
      </w:r>
      <w:r w:rsidRPr="00942A1B">
        <w:t>application</w:t>
      </w:r>
      <w:r w:rsidRPr="00942A1B">
        <w:rPr>
          <w:spacing w:val="-2"/>
        </w:rPr>
        <w:t xml:space="preserve"> </w:t>
      </w:r>
      <w:r w:rsidRPr="00942A1B">
        <w:t>for</w:t>
      </w:r>
      <w:r w:rsidRPr="00942A1B">
        <w:rPr>
          <w:spacing w:val="-2"/>
        </w:rPr>
        <w:t xml:space="preserve"> </w:t>
      </w:r>
      <w:r w:rsidRPr="00942A1B">
        <w:t>evaluation.</w:t>
      </w:r>
    </w:p>
    <w:p w14:paraId="1A4940F5" w14:textId="1DD4F856" w:rsidR="00E713FC" w:rsidRPr="00AF7A86" w:rsidRDefault="00E713FC" w:rsidP="00E713FC">
      <w:r w:rsidRPr="00942A1B">
        <w:t xml:space="preserve">New ingredients included in the Permissible Ingredients Determination may be eligible to receive a 2-year exclusivity period where unauthorised sponsors are prohibited from using an ingredient with market exclusivity. It is the responsibility of the applicant to ‘opt in’ at the time of making the application. For more information see heading </w:t>
      </w:r>
      <w:r w:rsidRPr="00C47EC5">
        <w:rPr>
          <w:rStyle w:val="Hyperlink"/>
        </w:rPr>
        <w:t>‘</w:t>
      </w:r>
      <w:hyperlink r:id="rId58" w:anchor="after-approval-of-a-new-ingredient-exclusive-use" w:history="1">
        <w:r w:rsidRPr="00F439EE">
          <w:rPr>
            <w:rStyle w:val="Hyperlink"/>
          </w:rPr>
          <w:t>After approval of a new ingredient - exclusive use</w:t>
        </w:r>
      </w:hyperlink>
      <w:r w:rsidRPr="00F439EE">
        <w:rPr>
          <w:rStyle w:val="Hyperlink"/>
        </w:rPr>
        <w:t>’</w:t>
      </w:r>
      <w:r w:rsidRPr="00942A1B">
        <w:t xml:space="preserve"> in the </w:t>
      </w:r>
      <w:hyperlink r:id="rId59" w:history="1">
        <w:r>
          <w:rPr>
            <w:rStyle w:val="Hyperlink"/>
          </w:rPr>
          <w:t>URNS</w:t>
        </w:r>
      </w:hyperlink>
      <w:r w:rsidRPr="00C47EC5">
        <w:rPr>
          <w:rStyle w:val="Hyperlink"/>
          <w:color w:val="auto"/>
          <w:u w:val="none"/>
        </w:rPr>
        <w:t xml:space="preserve">. </w:t>
      </w:r>
    </w:p>
    <w:p w14:paraId="7AC0B872" w14:textId="77777777" w:rsidR="00873F04" w:rsidRPr="00E308CF" w:rsidRDefault="00873F04" w:rsidP="00241222">
      <w:pPr>
        <w:pStyle w:val="Heading3"/>
      </w:pPr>
      <w:bookmarkStart w:id="64" w:name="_Toc120260218"/>
      <w:bookmarkStart w:id="65" w:name="_Toc181273052"/>
      <w:bookmarkStart w:id="66" w:name="_Toc198297285"/>
      <w:bookmarkStart w:id="67" w:name="_Toc204751320"/>
      <w:r w:rsidRPr="00E308CF">
        <w:t>General requirements for new ingredients for listed therapeutic sunscreens</w:t>
      </w:r>
      <w:bookmarkEnd w:id="64"/>
      <w:bookmarkEnd w:id="65"/>
      <w:bookmarkEnd w:id="66"/>
      <w:bookmarkEnd w:id="67"/>
    </w:p>
    <w:p w14:paraId="4E70E9CB" w14:textId="77777777" w:rsidR="00873F04" w:rsidRPr="00E308CF" w:rsidRDefault="00873F04" w:rsidP="00873F04">
      <w:r w:rsidRPr="00942A1B">
        <w:t xml:space="preserve">The information in this document should be read in conjunction with the </w:t>
      </w:r>
      <w:hyperlink r:id="rId60" w:history="1">
        <w:r>
          <w:rPr>
            <w:rStyle w:val="Hyperlink"/>
          </w:rPr>
          <w:t>URNS</w:t>
        </w:r>
      </w:hyperlink>
      <w:r w:rsidRPr="00E308CF">
        <w:t>.</w:t>
      </w:r>
      <w:r>
        <w:t xml:space="preserve"> </w:t>
      </w:r>
    </w:p>
    <w:p w14:paraId="5CC5FEAA" w14:textId="344A6796" w:rsidR="00873F04" w:rsidRDefault="00873F04" w:rsidP="00873F04">
      <w:pPr>
        <w:rPr>
          <w:rStyle w:val="Hyperlink"/>
        </w:rPr>
      </w:pPr>
      <w:r w:rsidRPr="00942A1B">
        <w:t xml:space="preserve">New applications for sunscreen ingredients are assessed like all other topical substances used in listed medicines based on ‘SECTION B – Information requirements’ in </w:t>
      </w:r>
      <w:hyperlink r:id="rId61" w:history="1">
        <w:r>
          <w:rPr>
            <w:rStyle w:val="Hyperlink"/>
          </w:rPr>
          <w:t>URNS</w:t>
        </w:r>
      </w:hyperlink>
      <w:r w:rsidRPr="00E308CF">
        <w:t xml:space="preserve">. </w:t>
      </w:r>
      <w:r w:rsidR="00B754E9" w:rsidRPr="00942A1B">
        <w:t>Table 3</w:t>
      </w:r>
      <w:r w:rsidRPr="00942A1B">
        <w:t xml:space="preserve"> and </w:t>
      </w:r>
      <w:r w:rsidR="00B754E9" w:rsidRPr="00942A1B">
        <w:t>Table 5</w:t>
      </w:r>
      <w:r w:rsidRPr="00942A1B">
        <w:t xml:space="preserve"> in this document specify the respective quality and safety data requirements for new ingredients for use in listed therapeutic sunscreens.</w:t>
      </w:r>
    </w:p>
    <w:p w14:paraId="604EE767" w14:textId="4E104ABC" w:rsidR="00C31794" w:rsidRDefault="00C31794" w:rsidP="00D8784B">
      <w:pPr>
        <w:pStyle w:val="Calloutforkeyinformation"/>
      </w:pPr>
      <w:r w:rsidRPr="00C31794">
        <w:rPr>
          <w:b/>
          <w:bCs w:val="0"/>
        </w:rPr>
        <w:t>Note</w:t>
      </w:r>
    </w:p>
    <w:p w14:paraId="7A632776" w14:textId="745447AF" w:rsidR="00B952FD" w:rsidRDefault="00D8784B" w:rsidP="00D8784B">
      <w:pPr>
        <w:pStyle w:val="Calloutforkeyinformation"/>
        <w:rPr>
          <w:rStyle w:val="Hyperlink"/>
          <w:color w:val="auto"/>
        </w:rPr>
      </w:pPr>
      <w:r w:rsidRPr="00942A1B">
        <w:t xml:space="preserve">If data or information cannot be provided to address a core information requirement, a justification must be provided. See headings ‘When a justification needs to be provided’, ‘Purpose of justifications’ and ‘What needs to be included in a justification’ in the </w:t>
      </w:r>
      <w:hyperlink r:id="rId62" w:history="1">
        <w:r>
          <w:rPr>
            <w:rStyle w:val="Hyperlink"/>
          </w:rPr>
          <w:t>URNS</w:t>
        </w:r>
      </w:hyperlink>
      <w:r w:rsidRPr="005F593B">
        <w:rPr>
          <w:rStyle w:val="Hyperlink"/>
          <w:color w:val="auto"/>
        </w:rPr>
        <w:t>.</w:t>
      </w:r>
    </w:p>
    <w:p w14:paraId="206A0E1B" w14:textId="62208A84" w:rsidR="00524004" w:rsidRPr="00942A1B" w:rsidRDefault="00524004" w:rsidP="00524004">
      <w:pPr>
        <w:rPr>
          <w:rStyle w:val="Hyperlink"/>
          <w:color w:val="auto"/>
        </w:rPr>
      </w:pPr>
      <w:r w:rsidRPr="00942A1B">
        <w:lastRenderedPageBreak/>
        <w:t>There are a few unique requirements relevant to new sunscreen ingredients, and these are discussed under headings ‘</w:t>
      </w:r>
      <w:r w:rsidR="00B754E9" w:rsidRPr="00942A1B">
        <w:t>Establishing the UV absorption range of new active sunscreen ingredients</w:t>
      </w:r>
      <w:r w:rsidRPr="00942A1B">
        <w:t>’, ‘</w:t>
      </w:r>
      <w:r w:rsidR="00B754E9" w:rsidRPr="00942A1B">
        <w:t xml:space="preserve">Other safety requirements specific for new substances for use in listed therapeutic </w:t>
      </w:r>
      <w:proofErr w:type="gramStart"/>
      <w:r w:rsidR="00B754E9" w:rsidRPr="00942A1B">
        <w:t>sunscreens</w:t>
      </w:r>
      <w:r w:rsidRPr="00942A1B">
        <w:t>’</w:t>
      </w:r>
      <w:proofErr w:type="gramEnd"/>
      <w:r w:rsidRPr="00942A1B">
        <w:t xml:space="preserve"> and </w:t>
      </w:r>
      <w:r w:rsidR="00B754E9" w:rsidRPr="00942A1B">
        <w:t>Appendix 2</w:t>
      </w:r>
      <w:r w:rsidRPr="00942A1B">
        <w:t xml:space="preserve">. </w:t>
      </w:r>
    </w:p>
    <w:p w14:paraId="12E002A1" w14:textId="77777777" w:rsidR="00121C7D" w:rsidRPr="00E308CF" w:rsidRDefault="00121C7D" w:rsidP="00241222">
      <w:pPr>
        <w:pStyle w:val="Heading3"/>
      </w:pPr>
      <w:bookmarkStart w:id="68" w:name="_Toc120260219"/>
      <w:bookmarkStart w:id="69" w:name="_Toc181273053"/>
      <w:bookmarkStart w:id="70" w:name="_Toc198297286"/>
      <w:bookmarkStart w:id="71" w:name="_Toc204751321"/>
      <w:r w:rsidRPr="00E308CF">
        <w:t xml:space="preserve">Scientific guidelines for testing </w:t>
      </w:r>
      <w:r>
        <w:t xml:space="preserve">of new ingredients </w:t>
      </w:r>
      <w:r w:rsidRPr="00E308CF">
        <w:t>for listed therapeutic sunscreens</w:t>
      </w:r>
      <w:bookmarkEnd w:id="68"/>
      <w:bookmarkEnd w:id="69"/>
      <w:bookmarkEnd w:id="70"/>
      <w:bookmarkEnd w:id="71"/>
    </w:p>
    <w:p w14:paraId="36D19682" w14:textId="4072602F" w:rsidR="00121C7D" w:rsidRPr="00942A1B" w:rsidRDefault="00121C7D" w:rsidP="00121C7D">
      <w:r w:rsidRPr="00942A1B">
        <w:t>The TGA closely aligns its regulatory approaches to therapeutic products with those of</w:t>
      </w:r>
      <w:r w:rsidRPr="00942A1B">
        <w:rPr>
          <w:spacing w:val="1"/>
        </w:rPr>
        <w:t xml:space="preserve"> </w:t>
      </w:r>
      <w:r w:rsidRPr="00942A1B">
        <w:t>comparable international regulatory counterparts wherever possible. The list of relevant</w:t>
      </w:r>
      <w:r w:rsidRPr="00942A1B">
        <w:rPr>
          <w:spacing w:val="1"/>
        </w:rPr>
        <w:t xml:space="preserve"> </w:t>
      </w:r>
      <w:r w:rsidRPr="00942A1B">
        <w:t xml:space="preserve">guidelines that have been adopted by the TGA can be found on the TGA’s </w:t>
      </w:r>
      <w:hyperlink r:id="rId63" w:history="1">
        <w:r w:rsidRPr="009E1853">
          <w:rPr>
            <w:rStyle w:val="Hyperlink"/>
          </w:rPr>
          <w:t>International scientific guidelines</w:t>
        </w:r>
        <w:r w:rsidRPr="00D46A5A">
          <w:rPr>
            <w:rStyle w:val="Hyperlink"/>
            <w:spacing w:val="1"/>
          </w:rPr>
          <w:t xml:space="preserve"> adopted in Australia</w:t>
        </w:r>
        <w:r w:rsidRPr="00CA6546">
          <w:rPr>
            <w:rStyle w:val="Hyperlink"/>
            <w:color w:val="auto"/>
            <w:spacing w:val="1"/>
          </w:rPr>
          <w:t xml:space="preserve"> </w:t>
        </w:r>
        <w:r w:rsidRPr="00CA6546">
          <w:rPr>
            <w:rStyle w:val="Hyperlink"/>
            <w:spacing w:val="1"/>
          </w:rPr>
          <w:t>webpage</w:t>
        </w:r>
      </w:hyperlink>
      <w:r w:rsidRPr="00BD0F7C">
        <w:rPr>
          <w:color w:val="3B3838" w:themeColor="background2" w:themeShade="40"/>
        </w:rPr>
        <w:t xml:space="preserve">. </w:t>
      </w:r>
      <w:r w:rsidRPr="00942A1B">
        <w:t>These guidelines are not detailed in this document</w:t>
      </w:r>
      <w:r w:rsidRPr="00942A1B">
        <w:rPr>
          <w:spacing w:val="1"/>
        </w:rPr>
        <w:t xml:space="preserve"> </w:t>
      </w:r>
      <w:r w:rsidRPr="00942A1B">
        <w:t>because they are subject to frequent changes. Therefore, sponsors should consult the current list on</w:t>
      </w:r>
      <w:r w:rsidRPr="00942A1B">
        <w:rPr>
          <w:spacing w:val="-3"/>
        </w:rPr>
        <w:t xml:space="preserve"> </w:t>
      </w:r>
      <w:r w:rsidRPr="00942A1B">
        <w:t>the</w:t>
      </w:r>
      <w:r w:rsidRPr="00942A1B">
        <w:rPr>
          <w:spacing w:val="-1"/>
        </w:rPr>
        <w:t xml:space="preserve"> </w:t>
      </w:r>
      <w:r w:rsidRPr="00942A1B">
        <w:t>TGA</w:t>
      </w:r>
      <w:r w:rsidRPr="00942A1B">
        <w:rPr>
          <w:spacing w:val="-2"/>
        </w:rPr>
        <w:t xml:space="preserve"> </w:t>
      </w:r>
      <w:r w:rsidRPr="00942A1B">
        <w:t>website.</w:t>
      </w:r>
    </w:p>
    <w:p w14:paraId="2187BFA9" w14:textId="77777777" w:rsidR="00121C7D" w:rsidRPr="00942A1B" w:rsidRDefault="00121C7D" w:rsidP="00121C7D">
      <w:r w:rsidRPr="00942A1B">
        <w:t>The International scientific guidelines that have been adopted by the TGA for therapeutic goods should be referred</w:t>
      </w:r>
      <w:r w:rsidRPr="00942A1B">
        <w:rPr>
          <w:spacing w:val="1"/>
        </w:rPr>
        <w:t xml:space="preserve"> </w:t>
      </w:r>
      <w:r w:rsidRPr="00942A1B">
        <w:t>to</w:t>
      </w:r>
      <w:r w:rsidRPr="00942A1B">
        <w:rPr>
          <w:spacing w:val="-3"/>
        </w:rPr>
        <w:t xml:space="preserve"> </w:t>
      </w:r>
      <w:r w:rsidRPr="00942A1B">
        <w:t>for</w:t>
      </w:r>
      <w:r w:rsidRPr="00942A1B">
        <w:rPr>
          <w:spacing w:val="-2"/>
        </w:rPr>
        <w:t xml:space="preserve"> </w:t>
      </w:r>
      <w:r w:rsidRPr="00942A1B">
        <w:t>detailed</w:t>
      </w:r>
      <w:r w:rsidRPr="00942A1B">
        <w:rPr>
          <w:spacing w:val="-3"/>
        </w:rPr>
        <w:t xml:space="preserve"> </w:t>
      </w:r>
      <w:r w:rsidRPr="00942A1B">
        <w:t>guidance</w:t>
      </w:r>
      <w:r w:rsidRPr="00942A1B">
        <w:rPr>
          <w:spacing w:val="-2"/>
        </w:rPr>
        <w:t xml:space="preserve"> </w:t>
      </w:r>
      <w:r w:rsidRPr="00942A1B">
        <w:t>on</w:t>
      </w:r>
      <w:r w:rsidRPr="00942A1B">
        <w:rPr>
          <w:spacing w:val="-4"/>
        </w:rPr>
        <w:t xml:space="preserve"> </w:t>
      </w:r>
      <w:r w:rsidRPr="00942A1B">
        <w:t>the</w:t>
      </w:r>
      <w:r w:rsidRPr="00942A1B">
        <w:rPr>
          <w:spacing w:val="-2"/>
        </w:rPr>
        <w:t xml:space="preserve"> </w:t>
      </w:r>
      <w:r w:rsidRPr="00942A1B">
        <w:t>appropriate</w:t>
      </w:r>
      <w:r w:rsidRPr="00942A1B">
        <w:rPr>
          <w:spacing w:val="-2"/>
        </w:rPr>
        <w:t xml:space="preserve"> </w:t>
      </w:r>
      <w:r w:rsidRPr="00942A1B">
        <w:t>tests</w:t>
      </w:r>
      <w:r w:rsidRPr="00942A1B">
        <w:rPr>
          <w:spacing w:val="-2"/>
        </w:rPr>
        <w:t xml:space="preserve"> </w:t>
      </w:r>
      <w:r w:rsidRPr="00942A1B">
        <w:t>and</w:t>
      </w:r>
      <w:r w:rsidRPr="00942A1B">
        <w:rPr>
          <w:spacing w:val="-2"/>
        </w:rPr>
        <w:t xml:space="preserve"> </w:t>
      </w:r>
      <w:r w:rsidRPr="00942A1B">
        <w:t>how</w:t>
      </w:r>
      <w:r w:rsidRPr="00942A1B">
        <w:rPr>
          <w:spacing w:val="-4"/>
        </w:rPr>
        <w:t xml:space="preserve"> </w:t>
      </w:r>
      <w:r w:rsidRPr="00942A1B">
        <w:t>they</w:t>
      </w:r>
      <w:r w:rsidRPr="00942A1B">
        <w:rPr>
          <w:spacing w:val="-3"/>
        </w:rPr>
        <w:t xml:space="preserve"> </w:t>
      </w:r>
      <w:r w:rsidRPr="00942A1B">
        <w:t>should</w:t>
      </w:r>
      <w:r w:rsidRPr="00942A1B">
        <w:rPr>
          <w:spacing w:val="-3"/>
        </w:rPr>
        <w:t xml:space="preserve"> </w:t>
      </w:r>
      <w:r w:rsidRPr="00942A1B">
        <w:t>be</w:t>
      </w:r>
      <w:r w:rsidRPr="00942A1B">
        <w:rPr>
          <w:spacing w:val="-2"/>
        </w:rPr>
        <w:t xml:space="preserve"> </w:t>
      </w:r>
      <w:r w:rsidRPr="00942A1B">
        <w:t>conducted.</w:t>
      </w:r>
      <w:r w:rsidRPr="00942A1B">
        <w:rPr>
          <w:spacing w:val="-2"/>
        </w:rPr>
        <w:t xml:space="preserve"> </w:t>
      </w:r>
      <w:r w:rsidRPr="00942A1B">
        <w:t xml:space="preserve">When information does not adhere to a relevant EU or ICH guideline adopted in Australia to establish safety or quality for use in listed sunscreens, a justification must be provided. </w:t>
      </w:r>
    </w:p>
    <w:p w14:paraId="6FD08657" w14:textId="77777777" w:rsidR="00121C7D" w:rsidRPr="00942A1B" w:rsidRDefault="00121C7D" w:rsidP="00121C7D">
      <w:r w:rsidRPr="00942A1B">
        <w:t>The intention in listing relevant guideline topics is not to set absolute requirements but to assist sponsors in assessing the type and depth of information needed to support an application with</w:t>
      </w:r>
      <w:r w:rsidRPr="00942A1B">
        <w:rPr>
          <w:spacing w:val="1"/>
        </w:rPr>
        <w:t xml:space="preserve"> </w:t>
      </w:r>
      <w:r w:rsidRPr="00942A1B">
        <w:t>the understanding that primary sunscreen products are regulated as therapeutic goods in</w:t>
      </w:r>
      <w:r w:rsidRPr="00942A1B">
        <w:rPr>
          <w:spacing w:val="1"/>
        </w:rPr>
        <w:t xml:space="preserve"> </w:t>
      </w:r>
      <w:r w:rsidRPr="00942A1B">
        <w:t>Australia</w:t>
      </w:r>
      <w:r w:rsidRPr="00942A1B">
        <w:rPr>
          <w:spacing w:val="-2"/>
        </w:rPr>
        <w:t xml:space="preserve"> </w:t>
      </w:r>
      <w:r w:rsidRPr="00942A1B">
        <w:t>as opposed</w:t>
      </w:r>
      <w:r w:rsidRPr="00942A1B">
        <w:rPr>
          <w:spacing w:val="-1"/>
        </w:rPr>
        <w:t xml:space="preserve"> </w:t>
      </w:r>
      <w:r w:rsidRPr="00942A1B">
        <w:t>to</w:t>
      </w:r>
      <w:r w:rsidRPr="00942A1B">
        <w:rPr>
          <w:spacing w:val="-1"/>
        </w:rPr>
        <w:t xml:space="preserve"> </w:t>
      </w:r>
      <w:r w:rsidRPr="00942A1B">
        <w:t>‘cosmetics’</w:t>
      </w:r>
      <w:r w:rsidRPr="00942A1B">
        <w:rPr>
          <w:spacing w:val="-2"/>
        </w:rPr>
        <w:t xml:space="preserve"> </w:t>
      </w:r>
      <w:r w:rsidRPr="00942A1B">
        <w:t>in some other parts of the world.</w:t>
      </w:r>
    </w:p>
    <w:p w14:paraId="2DBEB08B" w14:textId="77777777" w:rsidR="00121C7D" w:rsidRPr="00E308CF" w:rsidRDefault="00121C7D" w:rsidP="00121C7D">
      <w:r w:rsidRPr="00942A1B">
        <w:t>If a particular guideline is not applicable or other data are available that adequately address the</w:t>
      </w:r>
      <w:r w:rsidRPr="00942A1B">
        <w:rPr>
          <w:spacing w:val="1"/>
        </w:rPr>
        <w:t xml:space="preserve"> </w:t>
      </w:r>
      <w:r w:rsidRPr="00942A1B">
        <w:t>same criteria, alternative approaches based on adequate scientific justification will be</w:t>
      </w:r>
      <w:r w:rsidRPr="00942A1B">
        <w:rPr>
          <w:spacing w:val="1"/>
        </w:rPr>
        <w:t xml:space="preserve"> </w:t>
      </w:r>
      <w:r w:rsidRPr="00942A1B">
        <w:t>considered by the TGA during evaluation of the application, or during a pre-submission meeting.</w:t>
      </w:r>
      <w:r w:rsidRPr="00942A1B">
        <w:rPr>
          <w:spacing w:val="-46"/>
        </w:rPr>
        <w:t xml:space="preserve">  </w:t>
      </w:r>
      <w:r w:rsidRPr="00942A1B">
        <w:t>Relevant human studies are acceptable in the assessment of potential skin irritation and</w:t>
      </w:r>
      <w:r w:rsidRPr="00942A1B">
        <w:rPr>
          <w:spacing w:val="1"/>
        </w:rPr>
        <w:t xml:space="preserve"> </w:t>
      </w:r>
      <w:r w:rsidRPr="00942A1B">
        <w:t>sensitisation</w:t>
      </w:r>
      <w:r w:rsidRPr="00942A1B">
        <w:rPr>
          <w:spacing w:val="-3"/>
        </w:rPr>
        <w:t xml:space="preserve"> </w:t>
      </w:r>
      <w:r w:rsidRPr="00942A1B">
        <w:t>using</w:t>
      </w:r>
      <w:r w:rsidRPr="00942A1B">
        <w:rPr>
          <w:spacing w:val="-2"/>
        </w:rPr>
        <w:t xml:space="preserve"> </w:t>
      </w:r>
      <w:r w:rsidRPr="00942A1B">
        <w:t>the</w:t>
      </w:r>
      <w:r w:rsidRPr="00942A1B">
        <w:rPr>
          <w:spacing w:val="-1"/>
        </w:rPr>
        <w:t xml:space="preserve"> </w:t>
      </w:r>
      <w:r w:rsidRPr="00942A1B">
        <w:t>repeat</w:t>
      </w:r>
      <w:r w:rsidRPr="00942A1B">
        <w:rPr>
          <w:spacing w:val="-2"/>
        </w:rPr>
        <w:t xml:space="preserve"> </w:t>
      </w:r>
      <w:r w:rsidRPr="00942A1B">
        <w:t>‘insult</w:t>
      </w:r>
      <w:r w:rsidRPr="00942A1B">
        <w:rPr>
          <w:spacing w:val="-1"/>
        </w:rPr>
        <w:t xml:space="preserve"> </w:t>
      </w:r>
      <w:r w:rsidRPr="00942A1B">
        <w:t>patch test’</w:t>
      </w:r>
      <w:r w:rsidRPr="00942A1B">
        <w:rPr>
          <w:spacing w:val="-2"/>
        </w:rPr>
        <w:t xml:space="preserve"> </w:t>
      </w:r>
      <w:r w:rsidRPr="00942A1B">
        <w:t>or</w:t>
      </w:r>
      <w:r w:rsidRPr="00942A1B">
        <w:rPr>
          <w:spacing w:val="-4"/>
        </w:rPr>
        <w:t xml:space="preserve"> </w:t>
      </w:r>
      <w:r w:rsidRPr="00942A1B">
        <w:t>other</w:t>
      </w:r>
      <w:r w:rsidRPr="00942A1B">
        <w:rPr>
          <w:spacing w:val="-1"/>
        </w:rPr>
        <w:t xml:space="preserve"> </w:t>
      </w:r>
      <w:r w:rsidRPr="00942A1B">
        <w:t>relevant</w:t>
      </w:r>
      <w:r w:rsidRPr="00942A1B">
        <w:rPr>
          <w:spacing w:val="-1"/>
        </w:rPr>
        <w:t xml:space="preserve"> </w:t>
      </w:r>
      <w:r w:rsidRPr="00942A1B">
        <w:t>validated</w:t>
      </w:r>
      <w:r w:rsidRPr="00942A1B">
        <w:rPr>
          <w:spacing w:val="-1"/>
        </w:rPr>
        <w:t xml:space="preserve"> </w:t>
      </w:r>
      <w:r w:rsidRPr="00942A1B">
        <w:t xml:space="preserve">tests. See heading ‘What needs to be included in a justification’ in the </w:t>
      </w:r>
      <w:hyperlink r:id="rId64" w:history="1">
        <w:r>
          <w:rPr>
            <w:rStyle w:val="Hyperlink"/>
          </w:rPr>
          <w:t>URNS</w:t>
        </w:r>
      </w:hyperlink>
      <w:r w:rsidRPr="00CA6546">
        <w:rPr>
          <w:rStyle w:val="Hyperlink"/>
        </w:rPr>
        <w:t>.</w:t>
      </w:r>
      <w:r>
        <w:t xml:space="preserve"> </w:t>
      </w:r>
    </w:p>
    <w:p w14:paraId="14E4BDAF" w14:textId="77777777" w:rsidR="00812B4B" w:rsidRPr="00E308CF" w:rsidRDefault="00812B4B" w:rsidP="00241222">
      <w:pPr>
        <w:pStyle w:val="Heading3"/>
      </w:pPr>
      <w:bookmarkStart w:id="72" w:name="_Toc120260220"/>
      <w:bookmarkStart w:id="73" w:name="_Toc181273054"/>
      <w:bookmarkStart w:id="74" w:name="_Toc198297287"/>
      <w:bookmarkStart w:id="75" w:name="_Toc204751322"/>
      <w:r w:rsidRPr="00E308CF">
        <w:t xml:space="preserve">Quality data requirements for new ingredients for </w:t>
      </w:r>
      <w:r>
        <w:t xml:space="preserve">use in </w:t>
      </w:r>
      <w:r w:rsidRPr="00E308CF">
        <w:t>listed therapeutic sunscreens</w:t>
      </w:r>
      <w:bookmarkEnd w:id="72"/>
      <w:bookmarkEnd w:id="73"/>
      <w:bookmarkEnd w:id="74"/>
      <w:bookmarkEnd w:id="75"/>
    </w:p>
    <w:p w14:paraId="264D918E" w14:textId="77777777" w:rsidR="00812B4B" w:rsidRPr="00E308CF" w:rsidRDefault="00812B4B" w:rsidP="00812B4B">
      <w:r w:rsidRPr="00942A1B">
        <w:t xml:space="preserve">For a new application for a substance that is </w:t>
      </w:r>
      <w:r w:rsidRPr="00942A1B">
        <w:rPr>
          <w:b/>
          <w:bCs/>
        </w:rPr>
        <w:t>subject to a monograph in a</w:t>
      </w:r>
      <w:r w:rsidRPr="00E308CF">
        <w:rPr>
          <w:b/>
          <w:bCs/>
        </w:rPr>
        <w:t xml:space="preserve"> </w:t>
      </w:r>
      <w:hyperlink r:id="rId65" w:history="1">
        <w:r w:rsidRPr="00C47EC5">
          <w:rPr>
            <w:rStyle w:val="Hyperlink"/>
            <w:b/>
            <w:bCs/>
          </w:rPr>
          <w:t>default standard</w:t>
        </w:r>
      </w:hyperlink>
      <w:r w:rsidRPr="00942A1B">
        <w:t>, applicants need to provide the information described under sub-heading ‘</w:t>
      </w:r>
      <w:bookmarkStart w:id="76" w:name="_Toc112420639"/>
      <w:bookmarkStart w:id="77" w:name="_Toc115083197"/>
      <w:r w:rsidRPr="00942A1B">
        <w:t xml:space="preserve">Information required to demonstrate </w:t>
      </w:r>
      <w:bookmarkStart w:id="78" w:name="_Toc73716545"/>
      <w:r w:rsidRPr="00942A1B">
        <w:t>QUALITY for substances subject to a monograph in a default standard</w:t>
      </w:r>
      <w:bookmarkEnd w:id="76"/>
      <w:bookmarkEnd w:id="77"/>
      <w:bookmarkEnd w:id="78"/>
      <w:r w:rsidRPr="00942A1B">
        <w:t>’ under ‘SECTION B – Information requirements’ in the</w:t>
      </w:r>
      <w:r>
        <w:t xml:space="preserve"> </w:t>
      </w:r>
      <w:hyperlink r:id="rId66" w:history="1">
        <w:r>
          <w:rPr>
            <w:rStyle w:val="Hyperlink"/>
          </w:rPr>
          <w:t>URNS</w:t>
        </w:r>
      </w:hyperlink>
      <w:r w:rsidRPr="00E308CF">
        <w:t>.</w:t>
      </w:r>
    </w:p>
    <w:p w14:paraId="08D5CA28" w14:textId="5D2E098A" w:rsidR="00812B4B" w:rsidRDefault="00812B4B" w:rsidP="00812B4B">
      <w:pPr>
        <w:rPr>
          <w:rStyle w:val="Hyperlink"/>
          <w:szCs w:val="22"/>
        </w:rPr>
      </w:pPr>
      <w:r w:rsidRPr="00942A1B">
        <w:t xml:space="preserve">Quality data for new applications for substances </w:t>
      </w:r>
      <w:r w:rsidRPr="00942A1B">
        <w:rPr>
          <w:b/>
          <w:bCs/>
        </w:rPr>
        <w:t>not subject to a monograph in a default standard</w:t>
      </w:r>
      <w:r w:rsidRPr="00942A1B">
        <w:t xml:space="preserve"> is required to clearly characterise the substance. The amount of information required will vary depending on the purpose of use of the substance. </w:t>
      </w:r>
      <w:r w:rsidR="00B754E9" w:rsidRPr="00942A1B">
        <w:t>Table 3</w:t>
      </w:r>
      <w:r w:rsidRPr="00942A1B">
        <w:t xml:space="preserve"> </w:t>
      </w:r>
      <w:r w:rsidRPr="00942A1B">
        <w:rPr>
          <w:rStyle w:val="Hyperlink"/>
          <w:color w:val="auto"/>
          <w:u w:val="none"/>
        </w:rPr>
        <w:t xml:space="preserve">lists “core information requirements” that are needed for a quality evaluation of a new listed sunscreen ingredient that is not subject to a monograph in a default </w:t>
      </w:r>
      <w:r w:rsidRPr="00942A1B">
        <w:rPr>
          <w:rStyle w:val="Hyperlink"/>
          <w:color w:val="auto"/>
          <w:u w:val="none"/>
        </w:rPr>
        <w:lastRenderedPageBreak/>
        <w:t xml:space="preserve">standard. The quality requirements are the same for other listed medicines for dermal use. Guidance can be found under the heading </w:t>
      </w:r>
      <w:r w:rsidRPr="00942A1B">
        <w:t xml:space="preserve">‘Information required to demonstrate QUALITY for substances not subject to a monograph in a default standard’ under ‘SECTION B – Information requirements’ in the </w:t>
      </w:r>
      <w:hyperlink r:id="rId67" w:history="1">
        <w:r>
          <w:rPr>
            <w:rStyle w:val="Hyperlink"/>
          </w:rPr>
          <w:t>URNS</w:t>
        </w:r>
      </w:hyperlink>
      <w:r w:rsidRPr="00E308CF">
        <w:t xml:space="preserve">. </w:t>
      </w:r>
      <w:r w:rsidRPr="00942A1B">
        <w:t xml:space="preserve">The headings of each core information requirement in </w:t>
      </w:r>
      <w:r w:rsidR="00B754E9" w:rsidRPr="00942A1B">
        <w:t>Table 3</w:t>
      </w:r>
      <w:r w:rsidRPr="00942A1B">
        <w:t xml:space="preserve"> correspond with the headings in the </w:t>
      </w:r>
      <w:hyperlink r:id="rId68" w:history="1">
        <w:r>
          <w:rPr>
            <w:rStyle w:val="Hyperlink"/>
          </w:rPr>
          <w:t>URNS</w:t>
        </w:r>
      </w:hyperlink>
      <w:r w:rsidRPr="00E308CF">
        <w:t>.</w:t>
      </w:r>
      <w:r w:rsidRPr="00EA4523">
        <w:rPr>
          <w:rStyle w:val="Hyperlink"/>
          <w:szCs w:val="22"/>
        </w:rPr>
        <w:t xml:space="preserve"> </w:t>
      </w:r>
    </w:p>
    <w:p w14:paraId="0CB924A5" w14:textId="66C3B576" w:rsidR="00812B4B" w:rsidRPr="00E77122" w:rsidRDefault="00812B4B" w:rsidP="00812B4B">
      <w:r w:rsidRPr="00942A1B">
        <w:t xml:space="preserve">Specifications (tests and acceptance criteria) that describe the substance and ensure its quality, must be provided in a </w:t>
      </w:r>
      <w:hyperlink r:id="rId69" w:history="1">
        <w:r>
          <w:rPr>
            <w:rStyle w:val="Hyperlink"/>
          </w:rPr>
          <w:t>compositional guideline</w:t>
        </w:r>
      </w:hyperlink>
      <w:r w:rsidRPr="0035217B">
        <w:t xml:space="preserve"> </w:t>
      </w:r>
      <w:r w:rsidRPr="00942A1B">
        <w:t xml:space="preserve">where there is no corresponding monograph in a default standard. In most cases, the compositional guideline template for chemical entities/synthetic polymers will be appropriate for sunscreen ingredients. If the tests described in the compositional guideline are pharmacopeial methods or involve the sensory organs (i.e. organoleptic or visual observation), then further information for these methods does not need to be provided other than what is included in the compositional guideline. For </w:t>
      </w:r>
      <w:r w:rsidR="00F95081" w:rsidRPr="00942A1B">
        <w:t>example,</w:t>
      </w:r>
      <w:r w:rsidRPr="00942A1B">
        <w:t xml:space="preserve"> if pharmacopeial methods are used for the identity, assay, and impurities described in the compositional guideline, then applicants can state under the relevant heading in </w:t>
      </w:r>
      <w:r w:rsidR="00B754E9" w:rsidRPr="00942A1B">
        <w:t>Table 3</w:t>
      </w:r>
      <w:r w:rsidRPr="00942A1B">
        <w:t xml:space="preserve"> to “refer to the compositional guideline”. Other core information requirements not covered in the compositional guideline (such as manufacturing details, certificates of analysis, reference standard, and stability test) must be addressed in the application. </w:t>
      </w:r>
    </w:p>
    <w:p w14:paraId="35BF85B0" w14:textId="27B97FA3" w:rsidR="00812B4B" w:rsidRDefault="00812B4B" w:rsidP="00812B4B">
      <w:r w:rsidRPr="00942A1B">
        <w:t xml:space="preserve">In circumstances where data or information cannot be provided to address a core information requirement in </w:t>
      </w:r>
      <w:r w:rsidR="00A27775" w:rsidRPr="00942A1B">
        <w:t>Table 3</w:t>
      </w:r>
      <w:r w:rsidRPr="00942A1B">
        <w:t xml:space="preserve">, for example where </w:t>
      </w:r>
      <w:proofErr w:type="gramStart"/>
      <w:r w:rsidRPr="00942A1B">
        <w:t>particular tests</w:t>
      </w:r>
      <w:proofErr w:type="gramEnd"/>
      <w:r w:rsidRPr="00942A1B">
        <w:t xml:space="preserve"> are not feasible, appropriate or necessary, submit a justification based on sound scientific argument for not</w:t>
      </w:r>
      <w:r w:rsidRPr="00942A1B">
        <w:rPr>
          <w:spacing w:val="-2"/>
        </w:rPr>
        <w:t xml:space="preserve"> </w:t>
      </w:r>
      <w:r w:rsidRPr="00942A1B">
        <w:t>including this</w:t>
      </w:r>
      <w:r w:rsidRPr="00942A1B">
        <w:rPr>
          <w:spacing w:val="-2"/>
        </w:rPr>
        <w:t xml:space="preserve"> </w:t>
      </w:r>
      <w:r w:rsidRPr="00942A1B">
        <w:t>in</w:t>
      </w:r>
      <w:r w:rsidRPr="00942A1B">
        <w:rPr>
          <w:spacing w:val="-2"/>
        </w:rPr>
        <w:t xml:space="preserve"> </w:t>
      </w:r>
      <w:r w:rsidRPr="00942A1B">
        <w:t>the</w:t>
      </w:r>
      <w:r w:rsidRPr="00942A1B">
        <w:rPr>
          <w:spacing w:val="-1"/>
        </w:rPr>
        <w:t xml:space="preserve"> </w:t>
      </w:r>
      <w:r w:rsidRPr="00942A1B">
        <w:t xml:space="preserve">dossier. Refer to ‘Dossier preparation’ in the </w:t>
      </w:r>
      <w:hyperlink r:id="rId70" w:history="1">
        <w:r>
          <w:rPr>
            <w:rStyle w:val="Hyperlink"/>
          </w:rPr>
          <w:t>URNS</w:t>
        </w:r>
      </w:hyperlink>
      <w:r w:rsidRPr="00171260">
        <w:rPr>
          <w:b/>
          <w:bCs/>
        </w:rPr>
        <w:t>.</w:t>
      </w:r>
      <w:r>
        <w:rPr>
          <w:b/>
          <w:bCs/>
        </w:rPr>
        <w:t xml:space="preserve"> </w:t>
      </w:r>
      <w:r w:rsidRPr="00942A1B">
        <w:t xml:space="preserve">For example, where an excipient ingredient is supplied as a component of a proprietary ingredient (that contains multiple substances) that is only used in very small quantities, it may not be possible to provide many of the quality data information e.g. manufacturing process, impurities and incidental ingredients. In such cases, the applicant may provide an assurance that there are unlikely to be any impurities of safety </w:t>
      </w:r>
      <w:r w:rsidR="00F95081" w:rsidRPr="00942A1B">
        <w:t>concern,</w:t>
      </w:r>
      <w:r w:rsidRPr="00942A1B">
        <w:t xml:space="preserve"> and this will be considered during evaluation. Ultimately, the appropriateness of the specification for the raw material (input) to ensure purity and safety must be established by the manufacturer. </w:t>
      </w:r>
    </w:p>
    <w:p w14:paraId="7A590367" w14:textId="77777777" w:rsidR="00BC2741" w:rsidRPr="00F1367A" w:rsidRDefault="00BC2741" w:rsidP="00BC2741">
      <w:pPr>
        <w:pStyle w:val="Tabletitle"/>
      </w:pPr>
      <w:r w:rsidRPr="00F1367A">
        <w:t xml:space="preserve">Table 3. Quality data required for new dermal substances (active and excipient) not subject to a monograph of a default standard </w:t>
      </w:r>
    </w:p>
    <w:tbl>
      <w:tblPr>
        <w:tblW w:w="4931"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9"/>
        <w:gridCol w:w="2682"/>
        <w:gridCol w:w="2262"/>
        <w:gridCol w:w="1969"/>
      </w:tblGrid>
      <w:tr w:rsidR="00E84416" w:rsidRPr="00E308CF" w14:paraId="42257902" w14:textId="77777777" w:rsidTr="00E8503F">
        <w:trPr>
          <w:tblHeader/>
        </w:trPr>
        <w:tc>
          <w:tcPr>
            <w:tcW w:w="2621" w:type="pct"/>
            <w:gridSpan w:val="2"/>
            <w:shd w:val="clear" w:color="auto" w:fill="E7E6E6" w:themeFill="background2"/>
            <w:tcMar>
              <w:top w:w="0" w:type="dxa"/>
              <w:left w:w="108" w:type="dxa"/>
              <w:bottom w:w="0" w:type="dxa"/>
              <w:right w:w="108" w:type="dxa"/>
            </w:tcMar>
            <w:hideMark/>
          </w:tcPr>
          <w:p w14:paraId="00E63EFF" w14:textId="77777777" w:rsidR="00E84416" w:rsidRPr="000979A5" w:rsidRDefault="00E84416" w:rsidP="00E8503F">
            <w:pPr>
              <w:rPr>
                <w:b/>
                <w:bCs/>
              </w:rPr>
            </w:pPr>
            <w:r w:rsidRPr="000979A5">
              <w:rPr>
                <w:b/>
                <w:bCs/>
              </w:rPr>
              <w:t>Core information requirement</w:t>
            </w:r>
          </w:p>
        </w:tc>
        <w:tc>
          <w:tcPr>
            <w:tcW w:w="1272" w:type="pct"/>
            <w:shd w:val="clear" w:color="auto" w:fill="E7E6E6" w:themeFill="background2"/>
            <w:tcMar>
              <w:top w:w="0" w:type="dxa"/>
              <w:left w:w="108" w:type="dxa"/>
              <w:bottom w:w="0" w:type="dxa"/>
              <w:right w:w="108" w:type="dxa"/>
            </w:tcMar>
            <w:hideMark/>
          </w:tcPr>
          <w:p w14:paraId="1C0B73A3" w14:textId="77777777" w:rsidR="00E84416" w:rsidRPr="000979A5" w:rsidRDefault="00E84416" w:rsidP="00E8503F">
            <w:pPr>
              <w:rPr>
                <w:b/>
                <w:bCs/>
              </w:rPr>
            </w:pPr>
            <w:r w:rsidRPr="000979A5">
              <w:rPr>
                <w:b/>
                <w:bCs/>
              </w:rPr>
              <w:t>Dermal active substances</w:t>
            </w:r>
            <w:r w:rsidRPr="000979A5">
              <w:rPr>
                <w:rStyle w:val="FootnoteReference"/>
                <w:b/>
                <w:bCs/>
              </w:rPr>
              <w:footnoteReference w:id="2"/>
            </w:r>
          </w:p>
        </w:tc>
        <w:tc>
          <w:tcPr>
            <w:tcW w:w="1107" w:type="pct"/>
            <w:shd w:val="clear" w:color="auto" w:fill="E7E6E6" w:themeFill="background2"/>
          </w:tcPr>
          <w:p w14:paraId="7E5FF420" w14:textId="77777777" w:rsidR="00E84416" w:rsidRPr="000979A5" w:rsidRDefault="00E84416" w:rsidP="00E8503F">
            <w:pPr>
              <w:rPr>
                <w:b/>
                <w:bCs/>
              </w:rPr>
            </w:pPr>
            <w:r w:rsidRPr="000979A5">
              <w:rPr>
                <w:b/>
                <w:bCs/>
              </w:rPr>
              <w:t>Dermal excipient substances</w:t>
            </w:r>
            <w:r w:rsidRPr="000979A5">
              <w:rPr>
                <w:b/>
                <w:bCs/>
                <w:vertAlign w:val="superscript"/>
              </w:rPr>
              <w:t>2</w:t>
            </w:r>
          </w:p>
        </w:tc>
      </w:tr>
      <w:tr w:rsidR="00E84416" w:rsidRPr="001F05C2" w14:paraId="167B9BFF" w14:textId="77777777" w:rsidTr="00E8503F">
        <w:trPr>
          <w:cantSplit/>
          <w:trHeight w:val="572"/>
        </w:trPr>
        <w:tc>
          <w:tcPr>
            <w:tcW w:w="1113" w:type="pct"/>
            <w:tcMar>
              <w:top w:w="0" w:type="dxa"/>
              <w:left w:w="108" w:type="dxa"/>
              <w:bottom w:w="0" w:type="dxa"/>
              <w:right w:w="108" w:type="dxa"/>
            </w:tcMar>
          </w:tcPr>
          <w:p w14:paraId="32A009E2" w14:textId="77777777" w:rsidR="00E84416" w:rsidRPr="00942A1B" w:rsidRDefault="00E84416" w:rsidP="00E8503F">
            <w:pPr>
              <w:pStyle w:val="TableParagraph"/>
              <w:rPr>
                <w:rFonts w:ascii="Arial" w:hAnsi="Arial" w:cs="Arial"/>
              </w:rPr>
            </w:pPr>
            <w:r w:rsidRPr="00942A1B">
              <w:rPr>
                <w:rFonts w:ascii="Arial" w:hAnsi="Arial" w:cs="Arial"/>
              </w:rPr>
              <w:t>Description</w:t>
            </w:r>
          </w:p>
        </w:tc>
        <w:tc>
          <w:tcPr>
            <w:tcW w:w="1508" w:type="pct"/>
            <w:tcMar>
              <w:top w:w="0" w:type="dxa"/>
              <w:left w:w="108" w:type="dxa"/>
              <w:bottom w:w="0" w:type="dxa"/>
              <w:right w:w="108" w:type="dxa"/>
            </w:tcMar>
          </w:tcPr>
          <w:p w14:paraId="40A7F9DE" w14:textId="77777777" w:rsidR="00E84416" w:rsidRPr="00942A1B" w:rsidRDefault="00E84416" w:rsidP="00E8503F">
            <w:pPr>
              <w:pStyle w:val="TableParagraph"/>
              <w:rPr>
                <w:rFonts w:ascii="Arial" w:hAnsi="Arial" w:cs="Arial"/>
              </w:rPr>
            </w:pPr>
            <w:r w:rsidRPr="00942A1B">
              <w:rPr>
                <w:rFonts w:ascii="Arial" w:hAnsi="Arial" w:cs="Arial"/>
              </w:rPr>
              <w:t>Description of the substance</w:t>
            </w:r>
          </w:p>
        </w:tc>
        <w:tc>
          <w:tcPr>
            <w:tcW w:w="1272" w:type="pct"/>
            <w:tcMar>
              <w:top w:w="0" w:type="dxa"/>
              <w:left w:w="108" w:type="dxa"/>
              <w:bottom w:w="0" w:type="dxa"/>
              <w:right w:w="108" w:type="dxa"/>
            </w:tcMar>
            <w:vAlign w:val="center"/>
          </w:tcPr>
          <w:p w14:paraId="0729A087"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p>
        </w:tc>
        <w:tc>
          <w:tcPr>
            <w:tcW w:w="1107" w:type="pct"/>
            <w:vAlign w:val="center"/>
          </w:tcPr>
          <w:p w14:paraId="63001D94"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p>
        </w:tc>
      </w:tr>
      <w:tr w:rsidR="00E84416" w:rsidRPr="001F05C2" w14:paraId="0D046248" w14:textId="77777777" w:rsidTr="00E8503F">
        <w:trPr>
          <w:cantSplit/>
          <w:trHeight w:val="735"/>
        </w:trPr>
        <w:tc>
          <w:tcPr>
            <w:tcW w:w="1113" w:type="pct"/>
            <w:vMerge w:val="restart"/>
            <w:tcMar>
              <w:top w:w="0" w:type="dxa"/>
              <w:left w:w="108" w:type="dxa"/>
              <w:bottom w:w="0" w:type="dxa"/>
              <w:right w:w="108" w:type="dxa"/>
            </w:tcMar>
          </w:tcPr>
          <w:p w14:paraId="1F1C4853" w14:textId="77777777" w:rsidR="00E84416" w:rsidRPr="00942A1B" w:rsidRDefault="00E84416" w:rsidP="00E8503F">
            <w:pPr>
              <w:pStyle w:val="TableParagraph"/>
              <w:rPr>
                <w:rFonts w:ascii="Arial" w:hAnsi="Arial" w:cs="Arial"/>
              </w:rPr>
            </w:pPr>
            <w:r w:rsidRPr="00942A1B">
              <w:rPr>
                <w:rFonts w:ascii="Arial" w:hAnsi="Arial" w:cs="Arial"/>
              </w:rPr>
              <w:lastRenderedPageBreak/>
              <w:t>Manufacturing details</w:t>
            </w:r>
          </w:p>
        </w:tc>
        <w:tc>
          <w:tcPr>
            <w:tcW w:w="1508" w:type="pct"/>
            <w:tcMar>
              <w:top w:w="0" w:type="dxa"/>
              <w:left w:w="108" w:type="dxa"/>
              <w:bottom w:w="0" w:type="dxa"/>
              <w:right w:w="108" w:type="dxa"/>
            </w:tcMar>
          </w:tcPr>
          <w:p w14:paraId="1B0F64F5" w14:textId="77777777" w:rsidR="00E84416" w:rsidRPr="00942A1B" w:rsidRDefault="00E84416" w:rsidP="00E8503F">
            <w:pPr>
              <w:pStyle w:val="TableParagraph"/>
              <w:rPr>
                <w:rFonts w:ascii="Arial" w:hAnsi="Arial" w:cs="Arial"/>
              </w:rPr>
            </w:pPr>
            <w:r w:rsidRPr="00942A1B">
              <w:rPr>
                <w:rFonts w:ascii="Arial" w:hAnsi="Arial" w:cs="Arial"/>
              </w:rPr>
              <w:t>Description of manufacturing process</w:t>
            </w:r>
          </w:p>
        </w:tc>
        <w:tc>
          <w:tcPr>
            <w:tcW w:w="1272" w:type="pct"/>
            <w:tcMar>
              <w:top w:w="0" w:type="dxa"/>
              <w:left w:w="108" w:type="dxa"/>
              <w:bottom w:w="0" w:type="dxa"/>
              <w:right w:w="108" w:type="dxa"/>
            </w:tcMar>
            <w:vAlign w:val="center"/>
          </w:tcPr>
          <w:p w14:paraId="38A0C573"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p>
        </w:tc>
        <w:tc>
          <w:tcPr>
            <w:tcW w:w="1107" w:type="pct"/>
            <w:vAlign w:val="center"/>
          </w:tcPr>
          <w:p w14:paraId="0AC39A55"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r w:rsidRPr="000979A5">
              <w:rPr>
                <w:rStyle w:val="FootnoteReference"/>
                <w:rFonts w:ascii="Arial" w:hAnsi="Arial" w:cs="Arial"/>
                <w:b/>
                <w:bCs/>
                <w:color w:val="00B050"/>
              </w:rPr>
              <w:footnoteReference w:id="3"/>
            </w:r>
          </w:p>
        </w:tc>
      </w:tr>
      <w:tr w:rsidR="00E84416" w:rsidRPr="001F05C2" w14:paraId="4F199458" w14:textId="77777777" w:rsidTr="00E8503F">
        <w:trPr>
          <w:cantSplit/>
          <w:trHeight w:val="408"/>
        </w:trPr>
        <w:tc>
          <w:tcPr>
            <w:tcW w:w="1113" w:type="pct"/>
            <w:vMerge/>
            <w:tcMar>
              <w:top w:w="0" w:type="dxa"/>
              <w:left w:w="108" w:type="dxa"/>
              <w:bottom w:w="0" w:type="dxa"/>
              <w:right w:w="108" w:type="dxa"/>
            </w:tcMar>
          </w:tcPr>
          <w:p w14:paraId="7C3B2EDB" w14:textId="77777777" w:rsidR="00E84416" w:rsidRPr="000979A5" w:rsidRDefault="00E84416" w:rsidP="00E8503F">
            <w:pPr>
              <w:pStyle w:val="TableParagraph"/>
              <w:rPr>
                <w:rFonts w:ascii="Arial" w:hAnsi="Arial" w:cs="Arial"/>
              </w:rPr>
            </w:pPr>
          </w:p>
        </w:tc>
        <w:tc>
          <w:tcPr>
            <w:tcW w:w="1508" w:type="pct"/>
            <w:tcMar>
              <w:top w:w="0" w:type="dxa"/>
              <w:left w:w="108" w:type="dxa"/>
              <w:bottom w:w="0" w:type="dxa"/>
              <w:right w:w="108" w:type="dxa"/>
            </w:tcMar>
          </w:tcPr>
          <w:p w14:paraId="05818B70" w14:textId="77777777" w:rsidR="00E84416" w:rsidRPr="00942A1B" w:rsidRDefault="00E84416" w:rsidP="00E8503F">
            <w:pPr>
              <w:pStyle w:val="TableParagraph"/>
              <w:rPr>
                <w:rFonts w:ascii="Arial" w:hAnsi="Arial" w:cs="Arial"/>
              </w:rPr>
            </w:pPr>
            <w:r w:rsidRPr="00942A1B">
              <w:rPr>
                <w:rFonts w:ascii="Arial" w:hAnsi="Arial" w:cs="Arial"/>
              </w:rPr>
              <w:t>Control of materials</w:t>
            </w:r>
          </w:p>
        </w:tc>
        <w:tc>
          <w:tcPr>
            <w:tcW w:w="1272" w:type="pct"/>
            <w:tcMar>
              <w:top w:w="0" w:type="dxa"/>
              <w:left w:w="108" w:type="dxa"/>
              <w:bottom w:w="0" w:type="dxa"/>
              <w:right w:w="108" w:type="dxa"/>
            </w:tcMar>
            <w:vAlign w:val="center"/>
          </w:tcPr>
          <w:p w14:paraId="55CEEF2C"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p>
        </w:tc>
        <w:tc>
          <w:tcPr>
            <w:tcW w:w="1107" w:type="pct"/>
            <w:vAlign w:val="center"/>
          </w:tcPr>
          <w:p w14:paraId="7EBA609E" w14:textId="77777777" w:rsidR="00E84416" w:rsidRPr="000979A5" w:rsidRDefault="00E84416" w:rsidP="00E8503F">
            <w:pPr>
              <w:pStyle w:val="TableParagraph"/>
              <w:rPr>
                <w:rFonts w:ascii="Arial" w:hAnsi="Arial" w:cs="Arial"/>
                <w:color w:val="FF0000"/>
              </w:rPr>
            </w:pPr>
            <w:r w:rsidRPr="000979A5">
              <w:rPr>
                <w:rFonts w:ascii="Arial" w:hAnsi="Arial" w:cs="Arial"/>
                <w:color w:val="FF0000"/>
                <w:sz w:val="28"/>
                <w:lang w:eastAsia="en-AU"/>
              </w:rPr>
              <w:sym w:font="Wingdings" w:char="F0FB"/>
            </w:r>
          </w:p>
        </w:tc>
      </w:tr>
      <w:tr w:rsidR="00E84416" w:rsidRPr="001F05C2" w14:paraId="2F418186" w14:textId="77777777" w:rsidTr="00E8503F">
        <w:trPr>
          <w:cantSplit/>
          <w:trHeight w:val="400"/>
        </w:trPr>
        <w:tc>
          <w:tcPr>
            <w:tcW w:w="1113" w:type="pct"/>
            <w:vMerge/>
            <w:tcMar>
              <w:top w:w="0" w:type="dxa"/>
              <w:left w:w="108" w:type="dxa"/>
              <w:bottom w:w="0" w:type="dxa"/>
              <w:right w:w="108" w:type="dxa"/>
            </w:tcMar>
          </w:tcPr>
          <w:p w14:paraId="235CD30E" w14:textId="77777777" w:rsidR="00E84416" w:rsidRPr="000979A5" w:rsidRDefault="00E84416" w:rsidP="00E8503F">
            <w:pPr>
              <w:pStyle w:val="TableParagraph"/>
              <w:rPr>
                <w:rFonts w:ascii="Arial" w:hAnsi="Arial" w:cs="Arial"/>
                <w:color w:val="000000"/>
              </w:rPr>
            </w:pPr>
          </w:p>
        </w:tc>
        <w:tc>
          <w:tcPr>
            <w:tcW w:w="1508" w:type="pct"/>
            <w:tcMar>
              <w:top w:w="0" w:type="dxa"/>
              <w:left w:w="108" w:type="dxa"/>
              <w:bottom w:w="0" w:type="dxa"/>
              <w:right w:w="108" w:type="dxa"/>
            </w:tcMar>
          </w:tcPr>
          <w:p w14:paraId="3B1986D2" w14:textId="77777777" w:rsidR="00E84416" w:rsidRPr="00942A1B" w:rsidRDefault="00E84416" w:rsidP="00E8503F">
            <w:pPr>
              <w:pStyle w:val="TableParagraph"/>
              <w:rPr>
                <w:rFonts w:ascii="Arial" w:hAnsi="Arial" w:cs="Arial"/>
              </w:rPr>
            </w:pPr>
            <w:r w:rsidRPr="00942A1B">
              <w:rPr>
                <w:rFonts w:ascii="Arial" w:hAnsi="Arial" w:cs="Arial"/>
              </w:rPr>
              <w:t>Critical steps &amp; intermediates</w:t>
            </w:r>
          </w:p>
        </w:tc>
        <w:tc>
          <w:tcPr>
            <w:tcW w:w="1272" w:type="pct"/>
            <w:tcMar>
              <w:top w:w="0" w:type="dxa"/>
              <w:left w:w="108" w:type="dxa"/>
              <w:bottom w:w="0" w:type="dxa"/>
              <w:right w:w="108" w:type="dxa"/>
            </w:tcMar>
            <w:vAlign w:val="center"/>
          </w:tcPr>
          <w:p w14:paraId="5D55EBBF"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p>
        </w:tc>
        <w:tc>
          <w:tcPr>
            <w:tcW w:w="1107" w:type="pct"/>
            <w:vAlign w:val="center"/>
          </w:tcPr>
          <w:p w14:paraId="4441E6D6" w14:textId="77777777" w:rsidR="00E84416" w:rsidRPr="000979A5" w:rsidRDefault="00E84416" w:rsidP="00E8503F">
            <w:pPr>
              <w:pStyle w:val="TableParagraph"/>
              <w:rPr>
                <w:rFonts w:ascii="Arial" w:hAnsi="Arial" w:cs="Arial"/>
                <w:color w:val="FF0000"/>
              </w:rPr>
            </w:pPr>
            <w:r w:rsidRPr="000979A5">
              <w:rPr>
                <w:rFonts w:ascii="Arial" w:hAnsi="Arial" w:cs="Arial"/>
                <w:color w:val="FF0000"/>
                <w:sz w:val="28"/>
                <w:lang w:eastAsia="en-AU"/>
              </w:rPr>
              <w:sym w:font="Wingdings" w:char="F0FB"/>
            </w:r>
          </w:p>
        </w:tc>
      </w:tr>
      <w:tr w:rsidR="00E84416" w:rsidRPr="001F05C2" w14:paraId="13270E13" w14:textId="77777777" w:rsidTr="00E8503F">
        <w:trPr>
          <w:cantSplit/>
          <w:trHeight w:val="405"/>
        </w:trPr>
        <w:tc>
          <w:tcPr>
            <w:tcW w:w="1113" w:type="pct"/>
            <w:vMerge/>
            <w:tcMar>
              <w:top w:w="0" w:type="dxa"/>
              <w:left w:w="108" w:type="dxa"/>
              <w:bottom w:w="0" w:type="dxa"/>
              <w:right w:w="108" w:type="dxa"/>
            </w:tcMar>
          </w:tcPr>
          <w:p w14:paraId="7F12CD17" w14:textId="77777777" w:rsidR="00E84416" w:rsidRPr="000979A5" w:rsidRDefault="00E84416" w:rsidP="00E8503F">
            <w:pPr>
              <w:pStyle w:val="TableParagraph"/>
              <w:rPr>
                <w:rFonts w:ascii="Arial" w:hAnsi="Arial" w:cs="Arial"/>
                <w:color w:val="000000"/>
              </w:rPr>
            </w:pPr>
          </w:p>
        </w:tc>
        <w:tc>
          <w:tcPr>
            <w:tcW w:w="1508" w:type="pct"/>
            <w:tcMar>
              <w:top w:w="0" w:type="dxa"/>
              <w:left w:w="108" w:type="dxa"/>
              <w:bottom w:w="0" w:type="dxa"/>
              <w:right w:w="108" w:type="dxa"/>
            </w:tcMar>
          </w:tcPr>
          <w:p w14:paraId="0F52DC47" w14:textId="77777777" w:rsidR="00E84416" w:rsidRPr="00942A1B" w:rsidRDefault="00E84416" w:rsidP="00E8503F">
            <w:pPr>
              <w:pStyle w:val="TableParagraph"/>
              <w:rPr>
                <w:rFonts w:ascii="Arial" w:hAnsi="Arial" w:cs="Arial"/>
              </w:rPr>
            </w:pPr>
            <w:r w:rsidRPr="00942A1B">
              <w:rPr>
                <w:rFonts w:ascii="Arial" w:hAnsi="Arial" w:cs="Arial"/>
              </w:rPr>
              <w:t>Process development</w:t>
            </w:r>
          </w:p>
        </w:tc>
        <w:tc>
          <w:tcPr>
            <w:tcW w:w="1272" w:type="pct"/>
            <w:tcMar>
              <w:top w:w="0" w:type="dxa"/>
              <w:left w:w="108" w:type="dxa"/>
              <w:bottom w:w="0" w:type="dxa"/>
              <w:right w:w="108" w:type="dxa"/>
            </w:tcMar>
            <w:vAlign w:val="center"/>
          </w:tcPr>
          <w:p w14:paraId="78D93913"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p>
        </w:tc>
        <w:tc>
          <w:tcPr>
            <w:tcW w:w="1107" w:type="pct"/>
            <w:vAlign w:val="center"/>
          </w:tcPr>
          <w:p w14:paraId="406F9154" w14:textId="77777777" w:rsidR="00E84416" w:rsidRPr="000979A5" w:rsidRDefault="00E84416" w:rsidP="00E8503F">
            <w:pPr>
              <w:pStyle w:val="TableParagraph"/>
              <w:rPr>
                <w:rFonts w:ascii="Arial" w:hAnsi="Arial" w:cs="Arial"/>
                <w:color w:val="FF0000"/>
              </w:rPr>
            </w:pPr>
            <w:r w:rsidRPr="000979A5">
              <w:rPr>
                <w:rFonts w:ascii="Arial" w:hAnsi="Arial" w:cs="Arial"/>
                <w:color w:val="FF0000"/>
                <w:sz w:val="28"/>
                <w:lang w:eastAsia="en-AU"/>
              </w:rPr>
              <w:sym w:font="Wingdings" w:char="F0FB"/>
            </w:r>
          </w:p>
        </w:tc>
      </w:tr>
      <w:tr w:rsidR="00E84416" w:rsidRPr="001F05C2" w14:paraId="2F7DA557" w14:textId="77777777" w:rsidTr="00E8503F">
        <w:trPr>
          <w:cantSplit/>
          <w:trHeight w:val="270"/>
        </w:trPr>
        <w:tc>
          <w:tcPr>
            <w:tcW w:w="1113" w:type="pct"/>
            <w:vMerge/>
            <w:tcMar>
              <w:top w:w="0" w:type="dxa"/>
              <w:left w:w="108" w:type="dxa"/>
              <w:bottom w:w="0" w:type="dxa"/>
              <w:right w:w="108" w:type="dxa"/>
            </w:tcMar>
          </w:tcPr>
          <w:p w14:paraId="5C53981D" w14:textId="77777777" w:rsidR="00E84416" w:rsidRPr="000979A5" w:rsidRDefault="00E84416" w:rsidP="00E8503F">
            <w:pPr>
              <w:pStyle w:val="TableParagraph"/>
              <w:rPr>
                <w:rFonts w:ascii="Arial" w:hAnsi="Arial" w:cs="Arial"/>
                <w:color w:val="000000"/>
              </w:rPr>
            </w:pPr>
          </w:p>
        </w:tc>
        <w:tc>
          <w:tcPr>
            <w:tcW w:w="1508" w:type="pct"/>
            <w:tcMar>
              <w:top w:w="0" w:type="dxa"/>
              <w:left w:w="108" w:type="dxa"/>
              <w:bottom w:w="0" w:type="dxa"/>
              <w:right w:w="108" w:type="dxa"/>
            </w:tcMar>
          </w:tcPr>
          <w:p w14:paraId="0DFF66A2" w14:textId="77777777" w:rsidR="00E84416" w:rsidRPr="00942A1B" w:rsidRDefault="00E84416" w:rsidP="00E8503F">
            <w:pPr>
              <w:pStyle w:val="TableParagraph"/>
              <w:rPr>
                <w:rFonts w:ascii="Arial" w:hAnsi="Arial" w:cs="Arial"/>
              </w:rPr>
            </w:pPr>
            <w:r w:rsidRPr="00942A1B">
              <w:rPr>
                <w:rFonts w:ascii="Arial" w:hAnsi="Arial" w:cs="Arial"/>
              </w:rPr>
              <w:t>Process validation</w:t>
            </w:r>
          </w:p>
        </w:tc>
        <w:tc>
          <w:tcPr>
            <w:tcW w:w="1272" w:type="pct"/>
            <w:tcMar>
              <w:top w:w="0" w:type="dxa"/>
              <w:left w:w="108" w:type="dxa"/>
              <w:bottom w:w="0" w:type="dxa"/>
              <w:right w:w="108" w:type="dxa"/>
            </w:tcMar>
            <w:vAlign w:val="center"/>
          </w:tcPr>
          <w:p w14:paraId="1A10FD04"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p>
        </w:tc>
        <w:tc>
          <w:tcPr>
            <w:tcW w:w="1107" w:type="pct"/>
            <w:vAlign w:val="center"/>
          </w:tcPr>
          <w:p w14:paraId="18C743B8" w14:textId="77777777" w:rsidR="00E84416" w:rsidRPr="000979A5" w:rsidRDefault="00E84416" w:rsidP="00E8503F">
            <w:pPr>
              <w:pStyle w:val="TableParagraph"/>
              <w:rPr>
                <w:rFonts w:ascii="Arial" w:hAnsi="Arial" w:cs="Arial"/>
                <w:color w:val="FF0000"/>
              </w:rPr>
            </w:pPr>
            <w:r w:rsidRPr="000979A5">
              <w:rPr>
                <w:rFonts w:ascii="Arial" w:hAnsi="Arial" w:cs="Arial"/>
                <w:color w:val="FF0000"/>
                <w:sz w:val="28"/>
                <w:lang w:eastAsia="en-AU"/>
              </w:rPr>
              <w:sym w:font="Wingdings" w:char="F0FB"/>
            </w:r>
          </w:p>
        </w:tc>
      </w:tr>
      <w:tr w:rsidR="00E84416" w:rsidRPr="001F05C2" w14:paraId="1A1B4135" w14:textId="77777777" w:rsidTr="00E8503F">
        <w:trPr>
          <w:cantSplit/>
          <w:trHeight w:val="360"/>
        </w:trPr>
        <w:tc>
          <w:tcPr>
            <w:tcW w:w="1113" w:type="pct"/>
            <w:vMerge w:val="restart"/>
            <w:tcMar>
              <w:top w:w="0" w:type="dxa"/>
              <w:left w:w="108" w:type="dxa"/>
              <w:bottom w:w="0" w:type="dxa"/>
              <w:right w:w="108" w:type="dxa"/>
            </w:tcMar>
          </w:tcPr>
          <w:p w14:paraId="023CB6A1" w14:textId="77777777" w:rsidR="00E84416" w:rsidRPr="000979A5" w:rsidRDefault="00E84416" w:rsidP="00E8503F">
            <w:pPr>
              <w:pStyle w:val="TableParagraph"/>
              <w:rPr>
                <w:rFonts w:ascii="Arial" w:hAnsi="Arial" w:cs="Arial"/>
              </w:rPr>
            </w:pPr>
            <w:r w:rsidRPr="00942A1B">
              <w:rPr>
                <w:rFonts w:ascii="Arial" w:hAnsi="Arial" w:cs="Arial"/>
              </w:rPr>
              <w:t>Characterisation</w:t>
            </w:r>
          </w:p>
        </w:tc>
        <w:tc>
          <w:tcPr>
            <w:tcW w:w="1508" w:type="pct"/>
            <w:tcMar>
              <w:top w:w="0" w:type="dxa"/>
              <w:left w:w="108" w:type="dxa"/>
              <w:bottom w:w="0" w:type="dxa"/>
              <w:right w:w="108" w:type="dxa"/>
            </w:tcMar>
          </w:tcPr>
          <w:p w14:paraId="6E36DE8E" w14:textId="77777777" w:rsidR="00E84416" w:rsidRPr="00942A1B" w:rsidRDefault="00E84416" w:rsidP="00E8503F">
            <w:pPr>
              <w:pStyle w:val="TableParagraph"/>
              <w:rPr>
                <w:rFonts w:ascii="Arial" w:hAnsi="Arial" w:cs="Arial"/>
              </w:rPr>
            </w:pPr>
            <w:r w:rsidRPr="00942A1B">
              <w:rPr>
                <w:rFonts w:ascii="Arial" w:hAnsi="Arial" w:cs="Arial"/>
              </w:rPr>
              <w:t>General properties</w:t>
            </w:r>
          </w:p>
        </w:tc>
        <w:tc>
          <w:tcPr>
            <w:tcW w:w="1272" w:type="pct"/>
            <w:tcMar>
              <w:top w:w="0" w:type="dxa"/>
              <w:left w:w="108" w:type="dxa"/>
              <w:bottom w:w="0" w:type="dxa"/>
              <w:right w:w="108" w:type="dxa"/>
            </w:tcMar>
            <w:vAlign w:val="center"/>
          </w:tcPr>
          <w:p w14:paraId="4A04E3E6"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p>
        </w:tc>
        <w:tc>
          <w:tcPr>
            <w:tcW w:w="1107" w:type="pct"/>
            <w:vAlign w:val="center"/>
          </w:tcPr>
          <w:p w14:paraId="38A7D821"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p>
        </w:tc>
      </w:tr>
      <w:tr w:rsidR="00E84416" w:rsidRPr="001F05C2" w14:paraId="16864A8C" w14:textId="77777777" w:rsidTr="00E8503F">
        <w:trPr>
          <w:cantSplit/>
          <w:trHeight w:val="407"/>
        </w:trPr>
        <w:tc>
          <w:tcPr>
            <w:tcW w:w="1113" w:type="pct"/>
            <w:vMerge/>
            <w:tcMar>
              <w:top w:w="0" w:type="dxa"/>
              <w:left w:w="108" w:type="dxa"/>
              <w:bottom w:w="0" w:type="dxa"/>
              <w:right w:w="108" w:type="dxa"/>
            </w:tcMar>
          </w:tcPr>
          <w:p w14:paraId="22A15237" w14:textId="77777777" w:rsidR="00E84416" w:rsidRPr="000979A5" w:rsidRDefault="00E84416" w:rsidP="00E8503F">
            <w:pPr>
              <w:pStyle w:val="TableParagraph"/>
              <w:rPr>
                <w:rFonts w:ascii="Arial" w:hAnsi="Arial" w:cs="Arial"/>
              </w:rPr>
            </w:pPr>
          </w:p>
        </w:tc>
        <w:tc>
          <w:tcPr>
            <w:tcW w:w="1508" w:type="pct"/>
            <w:tcMar>
              <w:top w:w="0" w:type="dxa"/>
              <w:left w:w="108" w:type="dxa"/>
              <w:bottom w:w="0" w:type="dxa"/>
              <w:right w:w="108" w:type="dxa"/>
            </w:tcMar>
          </w:tcPr>
          <w:p w14:paraId="21DBD828" w14:textId="77777777" w:rsidR="00E84416" w:rsidRPr="00942A1B" w:rsidRDefault="00E84416" w:rsidP="00E8503F">
            <w:pPr>
              <w:pStyle w:val="TableParagraph"/>
              <w:rPr>
                <w:rFonts w:ascii="Arial" w:hAnsi="Arial" w:cs="Arial"/>
              </w:rPr>
            </w:pPr>
            <w:r w:rsidRPr="00942A1B">
              <w:rPr>
                <w:rFonts w:ascii="Arial" w:hAnsi="Arial" w:cs="Arial"/>
              </w:rPr>
              <w:t>Identity</w:t>
            </w:r>
          </w:p>
        </w:tc>
        <w:tc>
          <w:tcPr>
            <w:tcW w:w="1272" w:type="pct"/>
            <w:tcMar>
              <w:top w:w="0" w:type="dxa"/>
              <w:left w:w="108" w:type="dxa"/>
              <w:bottom w:w="0" w:type="dxa"/>
              <w:right w:w="108" w:type="dxa"/>
            </w:tcMar>
            <w:vAlign w:val="center"/>
          </w:tcPr>
          <w:p w14:paraId="0A0037A6"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p>
        </w:tc>
        <w:tc>
          <w:tcPr>
            <w:tcW w:w="1107" w:type="pct"/>
            <w:vAlign w:val="center"/>
          </w:tcPr>
          <w:p w14:paraId="456388DC"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p>
        </w:tc>
      </w:tr>
      <w:tr w:rsidR="00E84416" w:rsidRPr="001F05C2" w14:paraId="690F4493" w14:textId="77777777" w:rsidTr="00E8503F">
        <w:trPr>
          <w:cantSplit/>
          <w:trHeight w:val="400"/>
        </w:trPr>
        <w:tc>
          <w:tcPr>
            <w:tcW w:w="1113" w:type="pct"/>
            <w:vMerge/>
            <w:tcMar>
              <w:top w:w="0" w:type="dxa"/>
              <w:left w:w="108" w:type="dxa"/>
              <w:bottom w:w="0" w:type="dxa"/>
              <w:right w:w="108" w:type="dxa"/>
            </w:tcMar>
          </w:tcPr>
          <w:p w14:paraId="38E6A28B" w14:textId="77777777" w:rsidR="00E84416" w:rsidRPr="000979A5" w:rsidRDefault="00E84416" w:rsidP="00E8503F">
            <w:pPr>
              <w:pStyle w:val="TableParagraph"/>
              <w:rPr>
                <w:rFonts w:ascii="Arial" w:hAnsi="Arial" w:cs="Arial"/>
              </w:rPr>
            </w:pPr>
          </w:p>
        </w:tc>
        <w:tc>
          <w:tcPr>
            <w:tcW w:w="1508" w:type="pct"/>
            <w:tcMar>
              <w:top w:w="0" w:type="dxa"/>
              <w:left w:w="108" w:type="dxa"/>
              <w:bottom w:w="0" w:type="dxa"/>
              <w:right w:w="108" w:type="dxa"/>
            </w:tcMar>
          </w:tcPr>
          <w:p w14:paraId="02F6857E" w14:textId="77777777" w:rsidR="00E84416" w:rsidRPr="00942A1B" w:rsidRDefault="00E84416" w:rsidP="00E8503F">
            <w:pPr>
              <w:pStyle w:val="TableParagraph"/>
              <w:rPr>
                <w:rFonts w:ascii="Arial" w:hAnsi="Arial" w:cs="Arial"/>
              </w:rPr>
            </w:pPr>
            <w:r w:rsidRPr="00942A1B">
              <w:rPr>
                <w:rFonts w:ascii="Arial" w:hAnsi="Arial" w:cs="Arial"/>
              </w:rPr>
              <w:t>Assay</w:t>
            </w:r>
          </w:p>
        </w:tc>
        <w:tc>
          <w:tcPr>
            <w:tcW w:w="1272" w:type="pct"/>
            <w:tcMar>
              <w:top w:w="0" w:type="dxa"/>
              <w:left w:w="108" w:type="dxa"/>
              <w:bottom w:w="0" w:type="dxa"/>
              <w:right w:w="108" w:type="dxa"/>
            </w:tcMar>
            <w:vAlign w:val="center"/>
          </w:tcPr>
          <w:p w14:paraId="466BE1D4"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p>
        </w:tc>
        <w:tc>
          <w:tcPr>
            <w:tcW w:w="1107" w:type="pct"/>
            <w:vAlign w:val="center"/>
          </w:tcPr>
          <w:p w14:paraId="33C35E8E" w14:textId="77777777" w:rsidR="00E84416" w:rsidRPr="000979A5" w:rsidRDefault="00E84416" w:rsidP="00E8503F">
            <w:pPr>
              <w:pStyle w:val="TableParagraph"/>
              <w:rPr>
                <w:rFonts w:ascii="Arial" w:hAnsi="Arial" w:cs="Arial"/>
                <w:color w:val="FF0000"/>
                <w:vertAlign w:val="superscript"/>
              </w:rPr>
            </w:pPr>
            <w:r w:rsidRPr="000979A5">
              <w:rPr>
                <w:rFonts w:ascii="Arial" w:hAnsi="Arial" w:cs="Arial"/>
                <w:color w:val="4472C4" w:themeColor="accent1"/>
              </w:rPr>
              <w:sym w:font="Wingdings 3" w:char="F072"/>
            </w:r>
            <w:r w:rsidRPr="000979A5">
              <w:rPr>
                <w:rStyle w:val="FootnoteReference"/>
                <w:rFonts w:ascii="Arial" w:hAnsi="Arial" w:cs="Arial"/>
                <w:b/>
                <w:bCs/>
                <w:color w:val="4472C4" w:themeColor="accent1"/>
              </w:rPr>
              <w:footnoteReference w:id="4"/>
            </w:r>
          </w:p>
        </w:tc>
      </w:tr>
      <w:tr w:rsidR="00E84416" w:rsidRPr="001F05C2" w14:paraId="52DD3278" w14:textId="77777777" w:rsidTr="00E8503F">
        <w:trPr>
          <w:cantSplit/>
          <w:trHeight w:val="583"/>
        </w:trPr>
        <w:tc>
          <w:tcPr>
            <w:tcW w:w="1113" w:type="pct"/>
            <w:vMerge/>
            <w:tcMar>
              <w:top w:w="0" w:type="dxa"/>
              <w:left w:w="108" w:type="dxa"/>
              <w:bottom w:w="0" w:type="dxa"/>
              <w:right w:w="108" w:type="dxa"/>
            </w:tcMar>
          </w:tcPr>
          <w:p w14:paraId="09C6B730" w14:textId="77777777" w:rsidR="00E84416" w:rsidRPr="000979A5" w:rsidRDefault="00E84416" w:rsidP="00E8503F">
            <w:pPr>
              <w:pStyle w:val="TableParagraph"/>
              <w:rPr>
                <w:rFonts w:ascii="Arial" w:hAnsi="Arial" w:cs="Arial"/>
              </w:rPr>
            </w:pPr>
          </w:p>
        </w:tc>
        <w:tc>
          <w:tcPr>
            <w:tcW w:w="1508" w:type="pct"/>
            <w:tcMar>
              <w:top w:w="0" w:type="dxa"/>
              <w:left w:w="108" w:type="dxa"/>
              <w:bottom w:w="0" w:type="dxa"/>
              <w:right w:w="108" w:type="dxa"/>
            </w:tcMar>
          </w:tcPr>
          <w:p w14:paraId="276E629D" w14:textId="77777777" w:rsidR="00E84416" w:rsidRPr="00942A1B" w:rsidRDefault="00E84416" w:rsidP="00E8503F">
            <w:pPr>
              <w:pStyle w:val="TableParagraph"/>
              <w:rPr>
                <w:rFonts w:ascii="Arial" w:hAnsi="Arial" w:cs="Arial"/>
              </w:rPr>
            </w:pPr>
            <w:r w:rsidRPr="00942A1B">
              <w:rPr>
                <w:rFonts w:ascii="Arial" w:hAnsi="Arial" w:cs="Arial"/>
              </w:rPr>
              <w:t>Impurities and incidental constituents</w:t>
            </w:r>
          </w:p>
        </w:tc>
        <w:tc>
          <w:tcPr>
            <w:tcW w:w="1272" w:type="pct"/>
            <w:tcMar>
              <w:top w:w="0" w:type="dxa"/>
              <w:left w:w="108" w:type="dxa"/>
              <w:bottom w:w="0" w:type="dxa"/>
              <w:right w:w="108" w:type="dxa"/>
            </w:tcMar>
            <w:vAlign w:val="center"/>
          </w:tcPr>
          <w:p w14:paraId="50C9E106"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p>
        </w:tc>
        <w:tc>
          <w:tcPr>
            <w:tcW w:w="1107" w:type="pct"/>
            <w:vAlign w:val="center"/>
          </w:tcPr>
          <w:p w14:paraId="6BCA81A9" w14:textId="77777777" w:rsidR="00E84416" w:rsidRPr="000979A5" w:rsidRDefault="00E84416" w:rsidP="00E8503F">
            <w:pPr>
              <w:pStyle w:val="TableParagraph"/>
              <w:rPr>
                <w:rFonts w:ascii="Arial" w:hAnsi="Arial" w:cs="Arial"/>
                <w:color w:val="000000"/>
              </w:rPr>
            </w:pPr>
            <w:r w:rsidRPr="000979A5">
              <w:rPr>
                <w:rFonts w:ascii="Arial" w:hAnsi="Arial" w:cs="Arial"/>
                <w:color w:val="00B050"/>
              </w:rPr>
              <w:sym w:font="Wingdings" w:char="F0FC"/>
            </w:r>
          </w:p>
        </w:tc>
      </w:tr>
      <w:tr w:rsidR="00E84416" w:rsidRPr="001F05C2" w14:paraId="76CCD74F" w14:textId="77777777" w:rsidTr="00E8503F">
        <w:trPr>
          <w:cantSplit/>
          <w:trHeight w:val="412"/>
        </w:trPr>
        <w:tc>
          <w:tcPr>
            <w:tcW w:w="1113" w:type="pct"/>
            <w:vMerge/>
            <w:tcMar>
              <w:top w:w="0" w:type="dxa"/>
              <w:left w:w="108" w:type="dxa"/>
              <w:bottom w:w="0" w:type="dxa"/>
              <w:right w:w="108" w:type="dxa"/>
            </w:tcMar>
          </w:tcPr>
          <w:p w14:paraId="0AE60C06" w14:textId="77777777" w:rsidR="00E84416" w:rsidRPr="000979A5" w:rsidRDefault="00E84416" w:rsidP="00E8503F">
            <w:pPr>
              <w:pStyle w:val="TableParagraph"/>
              <w:rPr>
                <w:rFonts w:ascii="Arial" w:hAnsi="Arial" w:cs="Arial"/>
              </w:rPr>
            </w:pPr>
          </w:p>
        </w:tc>
        <w:tc>
          <w:tcPr>
            <w:tcW w:w="1508" w:type="pct"/>
            <w:tcMar>
              <w:top w:w="0" w:type="dxa"/>
              <w:left w:w="108" w:type="dxa"/>
              <w:bottom w:w="0" w:type="dxa"/>
              <w:right w:w="108" w:type="dxa"/>
            </w:tcMar>
          </w:tcPr>
          <w:p w14:paraId="36680145" w14:textId="77777777" w:rsidR="00E84416" w:rsidRPr="00942A1B" w:rsidRDefault="00E84416" w:rsidP="00E8503F">
            <w:pPr>
              <w:pStyle w:val="TableParagraph"/>
              <w:rPr>
                <w:rFonts w:ascii="Arial" w:hAnsi="Arial" w:cs="Arial"/>
              </w:rPr>
            </w:pPr>
            <w:r w:rsidRPr="00942A1B">
              <w:rPr>
                <w:rFonts w:ascii="Arial" w:hAnsi="Arial" w:cs="Arial"/>
              </w:rPr>
              <w:t>Reference standard</w:t>
            </w:r>
          </w:p>
        </w:tc>
        <w:tc>
          <w:tcPr>
            <w:tcW w:w="1272" w:type="pct"/>
            <w:tcMar>
              <w:top w:w="0" w:type="dxa"/>
              <w:left w:w="108" w:type="dxa"/>
              <w:bottom w:w="0" w:type="dxa"/>
              <w:right w:w="108" w:type="dxa"/>
            </w:tcMar>
            <w:vAlign w:val="center"/>
          </w:tcPr>
          <w:p w14:paraId="4F058BA8"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p>
        </w:tc>
        <w:tc>
          <w:tcPr>
            <w:tcW w:w="1107" w:type="pct"/>
            <w:vAlign w:val="center"/>
          </w:tcPr>
          <w:p w14:paraId="22CB92D6" w14:textId="77777777" w:rsidR="00E84416" w:rsidRPr="000979A5" w:rsidRDefault="00E84416" w:rsidP="00E8503F">
            <w:pPr>
              <w:pStyle w:val="TableParagraph"/>
              <w:rPr>
                <w:rFonts w:ascii="Arial" w:hAnsi="Arial" w:cs="Arial"/>
                <w:color w:val="000000"/>
              </w:rPr>
            </w:pPr>
            <w:r w:rsidRPr="000979A5">
              <w:rPr>
                <w:rFonts w:ascii="Arial" w:hAnsi="Arial" w:cs="Arial"/>
                <w:color w:val="4472C4" w:themeColor="accent1"/>
              </w:rPr>
              <w:sym w:font="Wingdings 3" w:char="F072"/>
            </w:r>
            <w:r w:rsidRPr="000979A5">
              <w:rPr>
                <w:rStyle w:val="FootnoteReference"/>
                <w:rFonts w:ascii="Arial" w:hAnsi="Arial" w:cs="Arial"/>
                <w:b/>
                <w:bCs/>
                <w:color w:val="4472C4" w:themeColor="accent1"/>
                <w:lang w:eastAsia="en-AU"/>
              </w:rPr>
              <w:footnoteReference w:id="5"/>
            </w:r>
          </w:p>
        </w:tc>
      </w:tr>
      <w:tr w:rsidR="00E84416" w:rsidRPr="001F05C2" w14:paraId="62F1C639" w14:textId="77777777" w:rsidTr="00E8503F">
        <w:trPr>
          <w:cantSplit/>
        </w:trPr>
        <w:tc>
          <w:tcPr>
            <w:tcW w:w="1113" w:type="pct"/>
            <w:vMerge w:val="restart"/>
            <w:tcMar>
              <w:top w:w="0" w:type="dxa"/>
              <w:left w:w="108" w:type="dxa"/>
              <w:bottom w:w="0" w:type="dxa"/>
              <w:right w:w="108" w:type="dxa"/>
            </w:tcMar>
          </w:tcPr>
          <w:p w14:paraId="2B6CDB0D" w14:textId="77777777" w:rsidR="00E84416" w:rsidRPr="00942A1B" w:rsidRDefault="00E84416" w:rsidP="00E8503F">
            <w:pPr>
              <w:pStyle w:val="TableParagraph"/>
              <w:rPr>
                <w:rFonts w:ascii="Arial" w:hAnsi="Arial" w:cs="Arial"/>
              </w:rPr>
            </w:pPr>
            <w:r w:rsidRPr="00942A1B">
              <w:rPr>
                <w:rFonts w:ascii="Arial" w:hAnsi="Arial" w:cs="Arial"/>
              </w:rPr>
              <w:t>Specifications</w:t>
            </w:r>
          </w:p>
        </w:tc>
        <w:tc>
          <w:tcPr>
            <w:tcW w:w="1508" w:type="pct"/>
            <w:tcMar>
              <w:top w:w="0" w:type="dxa"/>
              <w:left w:w="108" w:type="dxa"/>
              <w:bottom w:w="0" w:type="dxa"/>
              <w:right w:w="108" w:type="dxa"/>
            </w:tcMar>
          </w:tcPr>
          <w:p w14:paraId="0A1C4430" w14:textId="77777777" w:rsidR="00E84416" w:rsidRPr="00942A1B" w:rsidRDefault="00E84416" w:rsidP="00E8503F">
            <w:pPr>
              <w:pStyle w:val="TableParagraph"/>
              <w:rPr>
                <w:rFonts w:ascii="Arial" w:hAnsi="Arial" w:cs="Arial"/>
              </w:rPr>
            </w:pPr>
            <w:r w:rsidRPr="00942A1B">
              <w:rPr>
                <w:rFonts w:ascii="Arial" w:hAnsi="Arial" w:cs="Arial"/>
              </w:rPr>
              <w:t>Compositional guideline</w:t>
            </w:r>
          </w:p>
        </w:tc>
        <w:tc>
          <w:tcPr>
            <w:tcW w:w="1272" w:type="pct"/>
            <w:tcMar>
              <w:top w:w="0" w:type="dxa"/>
              <w:left w:w="108" w:type="dxa"/>
              <w:bottom w:w="0" w:type="dxa"/>
              <w:right w:w="108" w:type="dxa"/>
            </w:tcMar>
            <w:vAlign w:val="center"/>
          </w:tcPr>
          <w:p w14:paraId="79709D55" w14:textId="77777777" w:rsidR="00E84416" w:rsidRPr="000979A5" w:rsidRDefault="00E84416" w:rsidP="00E8503F">
            <w:pPr>
              <w:pStyle w:val="TableParagraph"/>
              <w:rPr>
                <w:rFonts w:ascii="Arial" w:hAnsi="Arial" w:cs="Arial"/>
                <w:color w:val="00B050"/>
              </w:rPr>
            </w:pPr>
            <w:r w:rsidRPr="000979A5">
              <w:rPr>
                <w:rFonts w:ascii="Arial" w:hAnsi="Arial" w:cs="Arial"/>
                <w:color w:val="00B050"/>
              </w:rPr>
              <w:sym w:font="Wingdings" w:char="F0FC"/>
            </w:r>
          </w:p>
        </w:tc>
        <w:tc>
          <w:tcPr>
            <w:tcW w:w="1107" w:type="pct"/>
            <w:vAlign w:val="center"/>
          </w:tcPr>
          <w:p w14:paraId="7050B30C" w14:textId="77777777" w:rsidR="00E84416" w:rsidRPr="000979A5" w:rsidRDefault="00E84416" w:rsidP="00E8503F">
            <w:pPr>
              <w:pStyle w:val="TableParagraph"/>
              <w:rPr>
                <w:rFonts w:ascii="Arial" w:hAnsi="Arial" w:cs="Arial"/>
                <w:color w:val="000000"/>
              </w:rPr>
            </w:pPr>
            <w:r w:rsidRPr="000979A5">
              <w:rPr>
                <w:rFonts w:ascii="Arial" w:hAnsi="Arial" w:cs="Arial"/>
                <w:color w:val="00B050"/>
              </w:rPr>
              <w:sym w:font="Wingdings" w:char="F0FC"/>
            </w:r>
          </w:p>
        </w:tc>
      </w:tr>
      <w:tr w:rsidR="00E84416" w:rsidRPr="001F05C2" w14:paraId="1A00E37E" w14:textId="77777777" w:rsidTr="00E8503F">
        <w:trPr>
          <w:cantSplit/>
          <w:trHeight w:val="50"/>
        </w:trPr>
        <w:tc>
          <w:tcPr>
            <w:tcW w:w="1113" w:type="pct"/>
            <w:vMerge/>
            <w:tcMar>
              <w:top w:w="0" w:type="dxa"/>
              <w:left w:w="108" w:type="dxa"/>
              <w:bottom w:w="0" w:type="dxa"/>
              <w:right w:w="108" w:type="dxa"/>
            </w:tcMar>
          </w:tcPr>
          <w:p w14:paraId="704E6414" w14:textId="77777777" w:rsidR="00E84416" w:rsidRPr="00942A1B" w:rsidRDefault="00E84416" w:rsidP="00E8503F">
            <w:pPr>
              <w:pStyle w:val="TableParagraph"/>
              <w:rPr>
                <w:rFonts w:ascii="Arial" w:hAnsi="Arial" w:cs="Arial"/>
              </w:rPr>
            </w:pPr>
          </w:p>
        </w:tc>
        <w:tc>
          <w:tcPr>
            <w:tcW w:w="1508" w:type="pct"/>
            <w:tcMar>
              <w:top w:w="0" w:type="dxa"/>
              <w:left w:w="108" w:type="dxa"/>
              <w:bottom w:w="0" w:type="dxa"/>
              <w:right w:w="108" w:type="dxa"/>
            </w:tcMar>
          </w:tcPr>
          <w:p w14:paraId="0A623846" w14:textId="77777777" w:rsidR="00E84416" w:rsidRPr="00942A1B" w:rsidRDefault="00E84416" w:rsidP="00E8503F">
            <w:pPr>
              <w:pStyle w:val="TableParagraph"/>
              <w:rPr>
                <w:rFonts w:ascii="Arial" w:hAnsi="Arial" w:cs="Arial"/>
              </w:rPr>
            </w:pPr>
            <w:r w:rsidRPr="00942A1B">
              <w:rPr>
                <w:rFonts w:ascii="Arial" w:hAnsi="Arial" w:cs="Arial"/>
              </w:rPr>
              <w:t>Certificates of Analysis (CoA)</w:t>
            </w:r>
          </w:p>
        </w:tc>
        <w:tc>
          <w:tcPr>
            <w:tcW w:w="1272" w:type="pct"/>
            <w:tcMar>
              <w:top w:w="0" w:type="dxa"/>
              <w:left w:w="108" w:type="dxa"/>
              <w:bottom w:w="0" w:type="dxa"/>
              <w:right w:w="108" w:type="dxa"/>
            </w:tcMar>
            <w:vAlign w:val="center"/>
          </w:tcPr>
          <w:p w14:paraId="75158335" w14:textId="77777777" w:rsidR="00E84416" w:rsidRPr="00942A1B" w:rsidRDefault="00E84416" w:rsidP="00E8503F">
            <w:pPr>
              <w:pStyle w:val="TableParagraph"/>
              <w:rPr>
                <w:rFonts w:ascii="Arial" w:hAnsi="Arial" w:cs="Arial"/>
              </w:rPr>
            </w:pPr>
            <w:r w:rsidRPr="00942A1B">
              <w:rPr>
                <w:rFonts w:ascii="Arial" w:hAnsi="Arial" w:cs="Arial"/>
              </w:rPr>
              <w:t>2 commercial-scale OR</w:t>
            </w:r>
            <w:r w:rsidRPr="00942A1B">
              <w:rPr>
                <w:rFonts w:ascii="Arial" w:hAnsi="Arial" w:cs="Arial"/>
              </w:rPr>
              <w:br/>
              <w:t>3 pilot-scale batches</w:t>
            </w:r>
          </w:p>
        </w:tc>
        <w:tc>
          <w:tcPr>
            <w:tcW w:w="1107" w:type="pct"/>
            <w:vAlign w:val="center"/>
          </w:tcPr>
          <w:p w14:paraId="555787C8" w14:textId="77777777" w:rsidR="00E84416" w:rsidRPr="00942A1B" w:rsidRDefault="00E84416" w:rsidP="00E8503F">
            <w:pPr>
              <w:pStyle w:val="TableParagraph"/>
              <w:rPr>
                <w:rFonts w:ascii="Arial" w:hAnsi="Arial" w:cs="Arial"/>
              </w:rPr>
            </w:pPr>
            <w:r w:rsidRPr="00942A1B">
              <w:rPr>
                <w:rFonts w:ascii="Arial" w:hAnsi="Arial" w:cs="Arial"/>
              </w:rPr>
              <w:t>1 commercial-scale</w:t>
            </w:r>
            <w:r w:rsidRPr="00942A1B">
              <w:rPr>
                <w:rFonts w:ascii="Arial" w:hAnsi="Arial" w:cs="Arial"/>
              </w:rPr>
              <w:br/>
              <w:t>OR</w:t>
            </w:r>
            <w:r w:rsidRPr="00942A1B">
              <w:rPr>
                <w:rFonts w:ascii="Arial" w:hAnsi="Arial" w:cs="Arial"/>
              </w:rPr>
              <w:br/>
              <w:t>2 pilot-scale batches</w:t>
            </w:r>
          </w:p>
        </w:tc>
      </w:tr>
      <w:tr w:rsidR="00E84416" w:rsidRPr="001F05C2" w14:paraId="7E193017" w14:textId="77777777" w:rsidTr="00E8503F">
        <w:trPr>
          <w:cantSplit/>
          <w:trHeight w:val="1295"/>
        </w:trPr>
        <w:tc>
          <w:tcPr>
            <w:tcW w:w="1113" w:type="pct"/>
            <w:tcMar>
              <w:top w:w="0" w:type="dxa"/>
              <w:left w:w="108" w:type="dxa"/>
              <w:bottom w:w="0" w:type="dxa"/>
              <w:right w:w="108" w:type="dxa"/>
            </w:tcMar>
          </w:tcPr>
          <w:p w14:paraId="2F241877" w14:textId="77777777" w:rsidR="00E84416" w:rsidRPr="00942A1B" w:rsidRDefault="00E84416" w:rsidP="00E8503F">
            <w:pPr>
              <w:pStyle w:val="TableParagraph"/>
              <w:rPr>
                <w:rFonts w:ascii="Arial" w:hAnsi="Arial" w:cs="Arial"/>
              </w:rPr>
            </w:pPr>
            <w:r w:rsidRPr="00942A1B">
              <w:rPr>
                <w:rFonts w:ascii="Arial" w:hAnsi="Arial" w:cs="Arial"/>
              </w:rPr>
              <w:t>Stability test</w:t>
            </w:r>
          </w:p>
        </w:tc>
        <w:tc>
          <w:tcPr>
            <w:tcW w:w="1508" w:type="pct"/>
            <w:tcMar>
              <w:top w:w="0" w:type="dxa"/>
              <w:left w:w="108" w:type="dxa"/>
              <w:bottom w:w="0" w:type="dxa"/>
              <w:right w:w="108" w:type="dxa"/>
            </w:tcMar>
          </w:tcPr>
          <w:p w14:paraId="16CB4FD8" w14:textId="77777777" w:rsidR="00E84416" w:rsidRPr="00942A1B" w:rsidRDefault="00E84416" w:rsidP="00E8503F">
            <w:pPr>
              <w:pStyle w:val="TableParagraph"/>
              <w:rPr>
                <w:rFonts w:ascii="Arial" w:hAnsi="Arial" w:cs="Arial"/>
              </w:rPr>
            </w:pPr>
            <w:r w:rsidRPr="00942A1B">
              <w:rPr>
                <w:rFonts w:ascii="Arial" w:hAnsi="Arial" w:cs="Arial"/>
              </w:rPr>
              <w:t>Real-time and accelerated stability testing data</w:t>
            </w:r>
            <w:r w:rsidRPr="00942A1B">
              <w:rPr>
                <w:rStyle w:val="FootnoteReference"/>
                <w:rFonts w:ascii="Arial" w:hAnsi="Arial" w:cs="Arial"/>
              </w:rPr>
              <w:footnoteReference w:id="6"/>
            </w:r>
            <w:r w:rsidRPr="00942A1B">
              <w:rPr>
                <w:rFonts w:ascii="Arial" w:hAnsi="Arial" w:cs="Arial"/>
              </w:rPr>
              <w:t xml:space="preserve"> for two commercial-scale batches or three pilot scale batches</w:t>
            </w:r>
          </w:p>
        </w:tc>
        <w:tc>
          <w:tcPr>
            <w:tcW w:w="1272" w:type="pct"/>
            <w:tcMar>
              <w:top w:w="0" w:type="dxa"/>
              <w:left w:w="108" w:type="dxa"/>
              <w:bottom w:w="0" w:type="dxa"/>
              <w:right w:w="108" w:type="dxa"/>
            </w:tcMar>
            <w:vAlign w:val="center"/>
          </w:tcPr>
          <w:p w14:paraId="10C2D74E" w14:textId="77777777" w:rsidR="00E84416" w:rsidRPr="000979A5" w:rsidRDefault="00E84416" w:rsidP="00E8503F">
            <w:pPr>
              <w:pStyle w:val="TableParagraph"/>
              <w:rPr>
                <w:rFonts w:ascii="Arial" w:hAnsi="Arial" w:cs="Arial"/>
                <w:color w:val="00B050"/>
              </w:rPr>
            </w:pPr>
            <w:bookmarkStart w:id="79" w:name="_Hlk120192357"/>
            <w:r w:rsidRPr="000979A5">
              <w:rPr>
                <w:rFonts w:ascii="Arial" w:hAnsi="Arial" w:cs="Arial"/>
                <w:color w:val="00B050"/>
              </w:rPr>
              <w:sym w:font="Wingdings" w:char="F0FC"/>
            </w:r>
            <w:bookmarkEnd w:id="79"/>
          </w:p>
        </w:tc>
        <w:tc>
          <w:tcPr>
            <w:tcW w:w="1107" w:type="pct"/>
            <w:vAlign w:val="center"/>
          </w:tcPr>
          <w:p w14:paraId="1DCA89E7" w14:textId="77777777" w:rsidR="00E84416" w:rsidRPr="000979A5" w:rsidRDefault="00E84416" w:rsidP="00E8503F">
            <w:pPr>
              <w:pStyle w:val="TableParagraph"/>
              <w:rPr>
                <w:rFonts w:ascii="Arial" w:hAnsi="Arial" w:cs="Arial"/>
                <w:color w:val="000000"/>
              </w:rPr>
            </w:pPr>
            <w:bookmarkStart w:id="80" w:name="_Hlk120192368"/>
            <w:r w:rsidRPr="000979A5">
              <w:rPr>
                <w:rFonts w:ascii="Arial" w:hAnsi="Arial" w:cs="Arial"/>
                <w:color w:val="FF0000"/>
                <w:sz w:val="28"/>
                <w:lang w:eastAsia="en-AU"/>
              </w:rPr>
              <w:sym w:font="Wingdings" w:char="F0FB"/>
            </w:r>
            <w:bookmarkEnd w:id="80"/>
          </w:p>
        </w:tc>
      </w:tr>
    </w:tbl>
    <w:p w14:paraId="59B87B72" w14:textId="77777777" w:rsidR="00E84416" w:rsidRPr="00634240" w:rsidRDefault="00E84416" w:rsidP="00E84416">
      <w:pPr>
        <w:pStyle w:val="Footer"/>
        <w:rPr>
          <w:sz w:val="18"/>
          <w:szCs w:val="18"/>
        </w:rPr>
      </w:pPr>
      <w:r w:rsidRPr="00634240">
        <w:rPr>
          <w:b/>
          <w:bCs/>
          <w:color w:val="00B050"/>
          <w:sz w:val="18"/>
          <w:szCs w:val="18"/>
        </w:rPr>
        <w:sym w:font="Wingdings" w:char="F0FC"/>
      </w:r>
      <w:r w:rsidRPr="00634240">
        <w:rPr>
          <w:sz w:val="18"/>
          <w:szCs w:val="18"/>
        </w:rPr>
        <w:t xml:space="preserve">: required </w:t>
      </w:r>
      <w:r w:rsidRPr="00634240">
        <w:rPr>
          <w:sz w:val="18"/>
          <w:szCs w:val="18"/>
        </w:rPr>
        <w:br/>
      </w:r>
      <w:r w:rsidRPr="00634240">
        <w:rPr>
          <w:b/>
          <w:bCs/>
          <w:color w:val="FF0000"/>
          <w:sz w:val="18"/>
          <w:szCs w:val="18"/>
          <w:lang w:eastAsia="en-AU"/>
        </w:rPr>
        <w:sym w:font="Wingdings" w:char="F0FB"/>
      </w:r>
      <w:r w:rsidRPr="00634240">
        <w:rPr>
          <w:sz w:val="18"/>
          <w:szCs w:val="18"/>
        </w:rPr>
        <w:t>: not required</w:t>
      </w:r>
    </w:p>
    <w:p w14:paraId="15649B69" w14:textId="77777777" w:rsidR="00E84416" w:rsidRPr="00634240" w:rsidRDefault="00E84416" w:rsidP="00E84416">
      <w:pPr>
        <w:pStyle w:val="Footer"/>
        <w:rPr>
          <w:sz w:val="18"/>
          <w:szCs w:val="18"/>
        </w:rPr>
      </w:pPr>
      <w:r w:rsidRPr="00634240">
        <w:rPr>
          <w:b/>
          <w:bCs/>
          <w:color w:val="4472C4" w:themeColor="accent1"/>
          <w:sz w:val="18"/>
          <w:szCs w:val="18"/>
        </w:rPr>
        <w:sym w:font="Wingdings 3" w:char="F072"/>
      </w:r>
      <w:r w:rsidRPr="00634240">
        <w:rPr>
          <w:sz w:val="18"/>
          <w:szCs w:val="18"/>
        </w:rPr>
        <w:t xml:space="preserve">: situational, see corresponding footnotes </w:t>
      </w:r>
    </w:p>
    <w:p w14:paraId="0DEED3D2" w14:textId="183EBCFE" w:rsidR="00D8784B" w:rsidRDefault="00D8784B" w:rsidP="00E171A4">
      <w:pPr>
        <w:pStyle w:val="ListBullet"/>
        <w:numPr>
          <w:ilvl w:val="0"/>
          <w:numId w:val="0"/>
        </w:numPr>
        <w:rPr>
          <w:rStyle w:val="Hyperlink"/>
          <w:color w:val="auto"/>
        </w:rPr>
      </w:pPr>
    </w:p>
    <w:p w14:paraId="153D3BAF" w14:textId="77777777" w:rsidR="00F07A31" w:rsidRPr="001A0529" w:rsidRDefault="00F07A31" w:rsidP="00241222">
      <w:pPr>
        <w:pStyle w:val="Heading3"/>
      </w:pPr>
      <w:bookmarkStart w:id="81" w:name="_Toc181273055"/>
      <w:bookmarkStart w:id="82" w:name="_Toc198297288"/>
      <w:bookmarkStart w:id="83" w:name="_Toc204751323"/>
      <w:r w:rsidRPr="001A0529">
        <w:lastRenderedPageBreak/>
        <w:t xml:space="preserve">Establishing the UV absorption range of </w:t>
      </w:r>
      <w:r>
        <w:t xml:space="preserve">new </w:t>
      </w:r>
      <w:r w:rsidRPr="001A0529">
        <w:t xml:space="preserve">active </w:t>
      </w:r>
      <w:r>
        <w:t xml:space="preserve">sunscreen </w:t>
      </w:r>
      <w:r w:rsidRPr="001A0529">
        <w:t>ingredients</w:t>
      </w:r>
      <w:bookmarkEnd w:id="81"/>
      <w:bookmarkEnd w:id="82"/>
      <w:bookmarkEnd w:id="83"/>
    </w:p>
    <w:p w14:paraId="69275A66" w14:textId="3F60189A" w:rsidR="00F07A31" w:rsidRPr="00E308CF" w:rsidRDefault="00F07A31" w:rsidP="00F07A31">
      <w:r w:rsidRPr="00942A1B">
        <w:t>For new applications for substances intended for use as an active sunscreen ingredient, sponsors should provide data to establish the UV absorption range to</w:t>
      </w:r>
      <w:r w:rsidRPr="00942A1B">
        <w:rPr>
          <w:spacing w:val="-46"/>
        </w:rPr>
        <w:t xml:space="preserve"> </w:t>
      </w:r>
      <w:r w:rsidRPr="00942A1B">
        <w:t xml:space="preserve">enable confirmation of its UVA/UVB absorption profile. This information will determine the specifications of the UV range for the substance to work as an active sunscreen agent. If the new substance is not subject to a monograph in a default standard, this information should be included in the </w:t>
      </w:r>
      <w:hyperlink r:id="rId71" w:history="1">
        <w:r w:rsidRPr="00E308CF">
          <w:rPr>
            <w:rStyle w:val="Hyperlink"/>
          </w:rPr>
          <w:t>compositional guideline</w:t>
        </w:r>
        <w:r w:rsidRPr="003A1D7C">
          <w:rPr>
            <w:rStyle w:val="Hyperlink"/>
          </w:rPr>
          <w:t>.</w:t>
        </w:r>
      </w:hyperlink>
    </w:p>
    <w:p w14:paraId="35CB8623" w14:textId="77777777" w:rsidR="004E7D23" w:rsidRPr="00E308CF" w:rsidRDefault="004E7D23" w:rsidP="00241222">
      <w:pPr>
        <w:pStyle w:val="Heading3"/>
      </w:pPr>
      <w:bookmarkStart w:id="84" w:name="_Toc120260221"/>
      <w:bookmarkStart w:id="85" w:name="_Toc181273056"/>
      <w:bookmarkStart w:id="86" w:name="_Toc198297289"/>
      <w:bookmarkStart w:id="87" w:name="_Toc204751324"/>
      <w:r w:rsidRPr="00E308CF">
        <w:t>Safety data requirements for new ingredients for use in listed therapeutic sunscreens</w:t>
      </w:r>
      <w:bookmarkEnd w:id="84"/>
      <w:bookmarkEnd w:id="85"/>
      <w:bookmarkEnd w:id="86"/>
      <w:bookmarkEnd w:id="87"/>
    </w:p>
    <w:p w14:paraId="5BE5BD43" w14:textId="6D94E50E" w:rsidR="004E7D23" w:rsidRDefault="004E7D23" w:rsidP="004E7D23">
      <w:r w:rsidRPr="00942A1B">
        <w:t xml:space="preserve">Safety data is required for a new application for substances for use in listed therapeutic sunscreens. </w:t>
      </w:r>
      <w:r w:rsidR="00A27775" w:rsidRPr="00942A1B">
        <w:t>Table 5</w:t>
      </w:r>
      <w:r w:rsidRPr="00942A1B">
        <w:t xml:space="preserve"> lists “core information requirements” that are needed for a safety evaluation of a new listed sunscreen ingredient. The safety requirements are the same for other listed medicines for dermal use. Guidance can be found under the headings ‘Information required to demonstrate SAFETY’ and ‘Substances for dermal use’ under ‘SECTION B – Information requirements’ in the </w:t>
      </w:r>
      <w:hyperlink r:id="rId72" w:history="1">
        <w:r>
          <w:rPr>
            <w:rStyle w:val="Hyperlink"/>
          </w:rPr>
          <w:t>URNS</w:t>
        </w:r>
      </w:hyperlink>
      <w:r w:rsidRPr="00E308CF">
        <w:t>.</w:t>
      </w:r>
      <w:r>
        <w:t xml:space="preserve"> </w:t>
      </w:r>
      <w:r w:rsidRPr="00942A1B">
        <w:t xml:space="preserve">The headings of each core information requirement in </w:t>
      </w:r>
      <w:r w:rsidR="00A27775" w:rsidRPr="00942A1B">
        <w:t>Table 5</w:t>
      </w:r>
      <w:r w:rsidRPr="00942A1B">
        <w:t xml:space="preserve"> correspond with the headings in the </w:t>
      </w:r>
      <w:hyperlink r:id="rId73" w:history="1">
        <w:r>
          <w:rPr>
            <w:rStyle w:val="Hyperlink"/>
          </w:rPr>
          <w:t>URNS</w:t>
        </w:r>
      </w:hyperlink>
      <w:r w:rsidRPr="00E308CF">
        <w:t>.</w:t>
      </w:r>
    </w:p>
    <w:p w14:paraId="179A974C" w14:textId="4D54DDED" w:rsidR="004E7D23" w:rsidRDefault="004E7D23" w:rsidP="004E7D23">
      <w:r w:rsidRPr="00942A1B">
        <w:t xml:space="preserve">The safety assessment determines the overall risk associated with a substance based on the level of </w:t>
      </w:r>
      <w:r w:rsidRPr="00942A1B">
        <w:rPr>
          <w:b/>
          <w:bCs/>
        </w:rPr>
        <w:t>exposure</w:t>
      </w:r>
      <w:r w:rsidRPr="00942A1B">
        <w:t xml:space="preserve"> to the substance, and the level of </w:t>
      </w:r>
      <w:r w:rsidRPr="00942A1B">
        <w:rPr>
          <w:b/>
          <w:bCs/>
        </w:rPr>
        <w:t>hazard</w:t>
      </w:r>
      <w:r w:rsidRPr="00942A1B">
        <w:t xml:space="preserve"> (its actual or potential to cause harm) that is intrinsic to that substance. There are different requirements if a substance is not absorbed beyond the superficial barrier of the epidermis (the </w:t>
      </w:r>
      <w:r w:rsidRPr="00942A1B">
        <w:rPr>
          <w:i/>
          <w:iCs/>
        </w:rPr>
        <w:t>stratum corneum</w:t>
      </w:r>
      <w:r w:rsidR="00EC4F56" w:rsidRPr="00942A1B">
        <w:t>). The</w:t>
      </w:r>
      <w:r w:rsidRPr="00942A1B">
        <w:t xml:space="preserve"> safety data for new ingredients need to be comprehensive to ascertain both the short-term</w:t>
      </w:r>
      <w:r w:rsidRPr="00942A1B">
        <w:rPr>
          <w:spacing w:val="1"/>
        </w:rPr>
        <w:t xml:space="preserve"> </w:t>
      </w:r>
      <w:r w:rsidRPr="00942A1B">
        <w:t>(acute) and long-term (chronic) effects on human health and safety from exposure to these</w:t>
      </w:r>
      <w:r w:rsidRPr="00942A1B">
        <w:rPr>
          <w:spacing w:val="1"/>
        </w:rPr>
        <w:t xml:space="preserve"> </w:t>
      </w:r>
      <w:r w:rsidRPr="00942A1B">
        <w:t>ingredients</w:t>
      </w:r>
      <w:r w:rsidRPr="00E308CF">
        <w:t xml:space="preserve">. </w:t>
      </w:r>
    </w:p>
    <w:p w14:paraId="20AAFDED" w14:textId="3CC65694" w:rsidR="004E7D23" w:rsidRPr="00942A1B" w:rsidRDefault="004E7D23" w:rsidP="004E7D23">
      <w:r w:rsidRPr="00942A1B">
        <w:t>Concentrations of the new substance used in all studies must be clearly and unambiguously</w:t>
      </w:r>
      <w:r w:rsidRPr="00942A1B">
        <w:rPr>
          <w:spacing w:val="1"/>
        </w:rPr>
        <w:t xml:space="preserve"> </w:t>
      </w:r>
      <w:r w:rsidRPr="00942A1B">
        <w:t>stated. The intended final concentration of the new substance in therapeutic goods to be</w:t>
      </w:r>
      <w:r w:rsidRPr="00942A1B">
        <w:rPr>
          <w:spacing w:val="1"/>
        </w:rPr>
        <w:t xml:space="preserve"> </w:t>
      </w:r>
      <w:r w:rsidRPr="00942A1B">
        <w:t>marketed in Australia must be stated as this allows a comparison to establish that the submitted studies were conducted at concentrations to support the proposed levels to be used in marketed goods. Conditions may be placed on the use of a new ingredient to ensure appropriate level of risk if it is determined that the hazard posed by the proposed use is beyond that considered acceptable for listed medicines.</w:t>
      </w:r>
    </w:p>
    <w:p w14:paraId="5ADC333B" w14:textId="4BFC898F" w:rsidR="004E7D23" w:rsidRDefault="004E7D23" w:rsidP="004E7D23">
      <w:pPr>
        <w:rPr>
          <w:b/>
          <w:bCs/>
        </w:rPr>
      </w:pPr>
      <w:r w:rsidRPr="00942A1B">
        <w:t xml:space="preserve">In circumstances where data or information cannot be provided to address a core information requirement in </w:t>
      </w:r>
      <w:r w:rsidR="00A27775" w:rsidRPr="00942A1B">
        <w:t>Table 5</w:t>
      </w:r>
      <w:r w:rsidRPr="00942A1B">
        <w:t xml:space="preserve">, for example where </w:t>
      </w:r>
      <w:proofErr w:type="gramStart"/>
      <w:r w:rsidRPr="00942A1B">
        <w:t>particular tests</w:t>
      </w:r>
      <w:proofErr w:type="gramEnd"/>
      <w:r w:rsidRPr="00942A1B">
        <w:t xml:space="preserve"> are not feasible, appropriate or necessary, submit a justification based on sound scientific argument </w:t>
      </w:r>
      <w:r w:rsidR="00457542">
        <w:t xml:space="preserve">for </w:t>
      </w:r>
      <w:proofErr w:type="gramStart"/>
      <w:r w:rsidR="00457542">
        <w:t>not</w:t>
      </w:r>
      <w:r w:rsidR="00457542">
        <w:rPr>
          <w:spacing w:val="-46"/>
        </w:rPr>
        <w:t xml:space="preserve">  </w:t>
      </w:r>
      <w:r w:rsidRPr="00942A1B">
        <w:t>including</w:t>
      </w:r>
      <w:proofErr w:type="gramEnd"/>
      <w:r w:rsidRPr="00942A1B">
        <w:t xml:space="preserve"> this</w:t>
      </w:r>
      <w:r w:rsidRPr="00942A1B">
        <w:rPr>
          <w:spacing w:val="-2"/>
        </w:rPr>
        <w:t xml:space="preserve"> </w:t>
      </w:r>
      <w:r w:rsidRPr="00942A1B">
        <w:t>in</w:t>
      </w:r>
      <w:r w:rsidRPr="00942A1B">
        <w:rPr>
          <w:spacing w:val="-2"/>
        </w:rPr>
        <w:t xml:space="preserve"> </w:t>
      </w:r>
      <w:r w:rsidRPr="00942A1B">
        <w:t>the</w:t>
      </w:r>
      <w:r w:rsidRPr="00942A1B">
        <w:rPr>
          <w:spacing w:val="-1"/>
        </w:rPr>
        <w:t xml:space="preserve"> </w:t>
      </w:r>
      <w:r w:rsidRPr="00942A1B">
        <w:t xml:space="preserve">dossier. Refer to ‘Dossier preparation’ in the </w:t>
      </w:r>
      <w:hyperlink r:id="rId74" w:history="1">
        <w:r w:rsidRPr="00C47EC5">
          <w:rPr>
            <w:rStyle w:val="Hyperlink"/>
          </w:rPr>
          <w:t>URNS</w:t>
        </w:r>
      </w:hyperlink>
      <w:r w:rsidRPr="00171260">
        <w:rPr>
          <w:b/>
          <w:bCs/>
        </w:rPr>
        <w:t>.</w:t>
      </w:r>
    </w:p>
    <w:p w14:paraId="4CA638DF" w14:textId="77777777" w:rsidR="004E7D23" w:rsidRPr="00942A1B" w:rsidRDefault="004E7D23" w:rsidP="004E7D23">
      <w:r w:rsidRPr="00942A1B">
        <w:t>When considering using justification to replace data requirements to support safety, the applicant should consider whether the justification addresses the same safety concerns that the core information requirement would address.</w:t>
      </w:r>
    </w:p>
    <w:p w14:paraId="1FE0A612" w14:textId="77777777" w:rsidR="004E7D23" w:rsidRPr="00942A1B" w:rsidRDefault="004E7D23" w:rsidP="004E7D23">
      <w:r w:rsidRPr="00942A1B">
        <w:lastRenderedPageBreak/>
        <w:t xml:space="preserve">For example, if an ingredient has current and historical use as food as well as its proposed use as a sunscreen/dermal excipient, and the proposed concentration in use is well below the Acceptable Daily Intake value, then the data or information required to demonstrate oral toxicity, or potential toxicity concerns arising from incidental oral ingestion, would not be required. However, local tolerance (such as skin irritation and sensitisation studies) will still need to be addressed, as these risks are not addressed by the ingredient’s use as food. </w:t>
      </w:r>
    </w:p>
    <w:p w14:paraId="084FB8F7" w14:textId="77777777" w:rsidR="004E7D23" w:rsidRPr="00942A1B" w:rsidRDefault="004E7D23" w:rsidP="004E7D23">
      <w:r w:rsidRPr="00942A1B">
        <w:t>Similarly, even if an ingredient shows skin absorption, further pharmacokinetic and pharmacodynamic studies may not be required if the level absorbed is not likely to impact on the risk due to factors such as quantity absorbed, whether the substance is already expected to be within the system, and history of safe use of the ingredient in similar applications.</w:t>
      </w:r>
    </w:p>
    <w:p w14:paraId="52477D6C" w14:textId="77777777" w:rsidR="00F42558" w:rsidRDefault="00F42558" w:rsidP="00241222">
      <w:pPr>
        <w:pStyle w:val="Heading4"/>
      </w:pPr>
      <w:bookmarkStart w:id="88" w:name="_Toc204751325"/>
      <w:r>
        <w:t>Substances that are not absorbed</w:t>
      </w:r>
      <w:bookmarkEnd w:id="88"/>
    </w:p>
    <w:p w14:paraId="1BA38BC7" w14:textId="1B134577" w:rsidR="00F42558" w:rsidRPr="00E308CF" w:rsidRDefault="00F42558" w:rsidP="00F42558">
      <w:r w:rsidRPr="00942A1B">
        <w:t xml:space="preserve">If a substance does not demonstrate absorption beyond the </w:t>
      </w:r>
      <w:r w:rsidRPr="00942A1B">
        <w:rPr>
          <w:i/>
          <w:iCs/>
        </w:rPr>
        <w:t>stratum corneum</w:t>
      </w:r>
      <w:r w:rsidRPr="00942A1B">
        <w:t xml:space="preserve">, or scientific justification has been provided to address that the substance is highly unlikely to be </w:t>
      </w:r>
      <w:proofErr w:type="gramStart"/>
      <w:r w:rsidR="00853A3D" w:rsidRPr="00942A1B">
        <w:t>absorbed,</w:t>
      </w:r>
      <w:r w:rsidR="00587D34" w:rsidRPr="00942A1B">
        <w:t xml:space="preserve"> </w:t>
      </w:r>
      <w:r w:rsidR="00853A3D" w:rsidRPr="00942A1B">
        <w:t>and</w:t>
      </w:r>
      <w:proofErr w:type="gramEnd"/>
      <w:r w:rsidRPr="00942A1B">
        <w:t xml:space="preserve"> does not biologically or chemically react with the skin in a hazardous way,</w:t>
      </w:r>
      <w:r w:rsidRPr="00942A1B">
        <w:rPr>
          <w:rStyle w:val="FootnoteReference"/>
        </w:rPr>
        <w:footnoteReference w:id="7"/>
      </w:r>
      <w:r w:rsidRPr="00942A1B">
        <w:t xml:space="preserve"> then limited safety data is required. If you are not providing absorption studies, and the substance is highly unlikely to be absorbed, you must provide scientific justification discussing the relevant factors influencing dermal absorption (e.g. molecular weight, lipophilicity etc.). Refer to the heading ‘Substances for dermal use’ in the </w:t>
      </w:r>
      <w:hyperlink r:id="rId75" w:history="1">
        <w:r>
          <w:rPr>
            <w:rStyle w:val="Hyperlink"/>
          </w:rPr>
          <w:t>URNS</w:t>
        </w:r>
      </w:hyperlink>
      <w:r w:rsidRPr="003B66DC">
        <w:t xml:space="preserve"> </w:t>
      </w:r>
      <w:r w:rsidRPr="00942A1B">
        <w:t xml:space="preserve">for details (p 37 at the time of this publication). If absorption has been demonstrated (or cannot be excluded), then the information required will be </w:t>
      </w:r>
      <w:proofErr w:type="gramStart"/>
      <w:r w:rsidRPr="00942A1B">
        <w:t>similar to</w:t>
      </w:r>
      <w:proofErr w:type="gramEnd"/>
      <w:r w:rsidRPr="00942A1B">
        <w:t xml:space="preserve"> other substances that are systemically absorbed.</w:t>
      </w:r>
    </w:p>
    <w:p w14:paraId="2F5B635E" w14:textId="77777777" w:rsidR="00147BBA" w:rsidRDefault="00147BBA" w:rsidP="00241222">
      <w:pPr>
        <w:pStyle w:val="Heading5"/>
      </w:pPr>
      <w:r>
        <w:t>Determining the safe concentration of substances that are absorbed</w:t>
      </w:r>
    </w:p>
    <w:p w14:paraId="5FFFC917" w14:textId="5124074D" w:rsidR="00147BBA" w:rsidRDefault="00147BBA" w:rsidP="00147BBA">
      <w:pPr>
        <w:rPr>
          <w:rFonts w:asciiTheme="majorHAnsi" w:hAnsiTheme="majorHAnsi" w:cstheme="majorHAnsi"/>
          <w:iCs/>
          <w:szCs w:val="22"/>
        </w:rPr>
      </w:pPr>
      <w:r w:rsidRPr="00942A1B">
        <w:t>If a substance is systematically absorbed, then the TGA uses the</w:t>
      </w:r>
      <w:hyperlink r:id="rId76" w:history="1">
        <w:r w:rsidRPr="00E84416">
          <w:rPr>
            <w:rStyle w:val="Hyperlink"/>
          </w:rPr>
          <w:t xml:space="preserve"> Australian Sunscreen Exposure Model (ASEM)</w:t>
        </w:r>
      </w:hyperlink>
      <w:r w:rsidRPr="00942A1B">
        <w:rPr>
          <w:rFonts w:asciiTheme="majorHAnsi" w:hAnsiTheme="majorHAnsi" w:cstheme="majorHAnsi"/>
          <w:szCs w:val="22"/>
        </w:rPr>
        <w:t xml:space="preserve"> </w:t>
      </w:r>
      <w:r w:rsidRPr="00942A1B">
        <w:t>to estimate</w:t>
      </w:r>
      <w:r w:rsidRPr="00942A1B">
        <w:rPr>
          <w:rStyle w:val="ui-provider"/>
        </w:rPr>
        <w:t xml:space="preserve"> sunscreen exposure </w:t>
      </w:r>
      <w:r w:rsidRPr="00942A1B">
        <w:t>to calculate the Systemic Exposure Dose (SED). The SED is then used together with</w:t>
      </w:r>
      <w:r w:rsidR="008F2F39" w:rsidRPr="00942A1B">
        <w:t xml:space="preserve"> a n</w:t>
      </w:r>
      <w:r w:rsidRPr="00942A1B">
        <w:t xml:space="preserve">o </w:t>
      </w:r>
      <w:r w:rsidR="008F2F39" w:rsidRPr="00942A1B">
        <w:t xml:space="preserve">observed </w:t>
      </w:r>
      <w:r w:rsidRPr="00942A1B">
        <w:t>adverse effect level (NOAEL)</w:t>
      </w:r>
      <w:r w:rsidR="008F2F39" w:rsidRPr="00942A1B">
        <w:t>, where possible,</w:t>
      </w:r>
      <w:r w:rsidRPr="00942A1B">
        <w:t xml:space="preserve"> derived from animal studies to calculate </w:t>
      </w:r>
      <w:r w:rsidRPr="00942A1B">
        <w:rPr>
          <w:rFonts w:eastAsia="Cambria" w:cs="Times New Roman"/>
          <w:kern w:val="0"/>
        </w:rPr>
        <w:t>Margin of Safety</w:t>
      </w:r>
      <w:r w:rsidRPr="00942A1B">
        <w:t xml:space="preserve"> (MoS). </w:t>
      </w:r>
      <w:r w:rsidRPr="00942A1B">
        <w:rPr>
          <w:rFonts w:eastAsia="Times New Roman"/>
          <w:iCs/>
          <w:snapToGrid w:val="0"/>
          <w:kern w:val="16"/>
          <w:szCs w:val="22"/>
        </w:rPr>
        <w:t>The following formula is used to calculate the MoS:</w:t>
      </w:r>
      <w:r w:rsidRPr="00942A1B">
        <w:rPr>
          <w:rFonts w:asciiTheme="majorHAnsi" w:hAnsiTheme="majorHAnsi" w:cstheme="majorHAnsi"/>
          <w:iCs/>
          <w:szCs w:val="22"/>
        </w:rPr>
        <w:t xml:space="preserve">  </w:t>
      </w:r>
    </w:p>
    <w:p w14:paraId="763BBAE9" w14:textId="65900182" w:rsidR="001E60B9" w:rsidRPr="00942A1B" w:rsidRDefault="001E60B9" w:rsidP="00147BBA">
      <w:pPr>
        <w:rPr>
          <w:rFonts w:asciiTheme="majorHAnsi" w:hAnsiTheme="majorHAnsi" w:cstheme="majorHAnsi"/>
          <w:iCs/>
          <w:szCs w:val="22"/>
        </w:rPr>
      </w:pPr>
      <w:r>
        <w:rPr>
          <w:noProof/>
        </w:rPr>
        <w:drawing>
          <wp:inline distT="0" distB="0" distL="0" distR="0" wp14:anchorId="6096D68E" wp14:editId="11370FC0">
            <wp:extent cx="5731510" cy="560705"/>
            <wp:effectExtent l="0" t="0" r="2540" b="0"/>
            <wp:docPr id="340892089" name="Picture 1" descr="Mathematical formula for Margin of Safety (MoS): MoS equals NOAEL divided by SED, where NOAEL stands for No Observed Adverse Effect Level in milligrams per kilogram body weight per day, and SED stands for Systemic Exposure Dose in the same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892089" name="Picture 1" descr="Mathematical formula for Margin of Safety (MoS): MoS equals NOAEL divided by SED, where NOAEL stands for No Observed Adverse Effect Level in milligrams per kilogram body weight per day, and SED stands for Systemic Exposure Dose in the same units."/>
                    <pic:cNvPicPr/>
                  </pic:nvPicPr>
                  <pic:blipFill>
                    <a:blip r:embed="rId77"/>
                    <a:stretch>
                      <a:fillRect/>
                    </a:stretch>
                  </pic:blipFill>
                  <pic:spPr>
                    <a:xfrm>
                      <a:off x="0" y="0"/>
                      <a:ext cx="5731510" cy="560705"/>
                    </a:xfrm>
                    <a:prstGeom prst="rect">
                      <a:avLst/>
                    </a:prstGeom>
                  </pic:spPr>
                </pic:pic>
              </a:graphicData>
            </a:graphic>
          </wp:inline>
        </w:drawing>
      </w:r>
    </w:p>
    <w:p w14:paraId="0B4DA826" w14:textId="51DC7E51" w:rsidR="00147BBA" w:rsidRDefault="00147BBA" w:rsidP="00147BBA">
      <w:r w:rsidRPr="00942A1B">
        <w:rPr>
          <w:b/>
          <w:bCs/>
        </w:rPr>
        <w:t>For general sunscreens</w:t>
      </w:r>
      <w:r w:rsidRPr="00942A1B">
        <w:t xml:space="preserve"> that </w:t>
      </w:r>
      <w:r w:rsidR="003E049D" w:rsidRPr="00942A1B">
        <w:t xml:space="preserve">are </w:t>
      </w:r>
      <w:r w:rsidRPr="00942A1B">
        <w:t xml:space="preserve">intended to be used over the body, the </w:t>
      </w:r>
      <w:r w:rsidRPr="00942A1B">
        <w:rPr>
          <w:rStyle w:val="ui-provider"/>
        </w:rPr>
        <w:t>highest estimated daily sunscreen exposure</w:t>
      </w:r>
      <w:r w:rsidRPr="00942A1B">
        <w:t xml:space="preserve"> values below are used to calculate the SED depending on how dermal absorption data for the ingredient is reported. This ensures that risk assessments, when based on the highest usage estimations, also guarantee safety for the average, or lower usage cases where less of the ingredient may be applied to the skin.</w:t>
      </w:r>
    </w:p>
    <w:p w14:paraId="2081A37B" w14:textId="77777777" w:rsidR="00003A77" w:rsidRPr="00E308CF" w:rsidRDefault="00003A77" w:rsidP="00003A77">
      <w:pPr>
        <w:pStyle w:val="Tabletitle"/>
      </w:pPr>
      <w:r w:rsidRPr="00E308CF">
        <w:lastRenderedPageBreak/>
        <w:t>Table</w:t>
      </w:r>
      <w:r w:rsidRPr="002E6AD0">
        <w:t xml:space="preserve"> </w:t>
      </w:r>
      <w:r>
        <w:t>4</w:t>
      </w:r>
      <w:r w:rsidRPr="00E308CF">
        <w:t>.</w:t>
      </w:r>
      <w:r w:rsidRPr="002E6AD0">
        <w:t xml:space="preserve"> </w:t>
      </w:r>
      <w:r>
        <w:t>SED calculation</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6"/>
        <w:gridCol w:w="2409"/>
        <w:gridCol w:w="4111"/>
      </w:tblGrid>
      <w:tr w:rsidR="005D0C9E" w:rsidRPr="002E6AD0" w14:paraId="1470A4A9" w14:textId="77777777" w:rsidTr="00F5642D">
        <w:trPr>
          <w:trHeight w:val="878"/>
          <w:tblHeader/>
        </w:trPr>
        <w:tc>
          <w:tcPr>
            <w:tcW w:w="2686" w:type="dxa"/>
            <w:shd w:val="clear" w:color="auto" w:fill="E7E6E6" w:themeFill="background2"/>
            <w:tcMar>
              <w:top w:w="0" w:type="dxa"/>
              <w:left w:w="108" w:type="dxa"/>
              <w:bottom w:w="0" w:type="dxa"/>
              <w:right w:w="108" w:type="dxa"/>
            </w:tcMar>
          </w:tcPr>
          <w:p w14:paraId="2DF3F3B8" w14:textId="77777777" w:rsidR="005D0C9E" w:rsidRPr="002E6AD0" w:rsidRDefault="005D0C9E" w:rsidP="00420179">
            <w:pPr>
              <w:keepNext/>
              <w:rPr>
                <w:b/>
                <w:bCs/>
              </w:rPr>
            </w:pPr>
            <w:r w:rsidRPr="002E6AD0">
              <w:rPr>
                <w:b/>
                <w:bCs/>
              </w:rPr>
              <w:t>How dermal absorption data is reported</w:t>
            </w:r>
          </w:p>
        </w:tc>
        <w:tc>
          <w:tcPr>
            <w:tcW w:w="2409" w:type="dxa"/>
            <w:shd w:val="clear" w:color="auto" w:fill="E7E6E6" w:themeFill="background2"/>
          </w:tcPr>
          <w:p w14:paraId="02D99963" w14:textId="77777777" w:rsidR="005D0C9E" w:rsidRPr="002E6AD0" w:rsidRDefault="005D0C9E" w:rsidP="00420179">
            <w:pPr>
              <w:keepNext/>
              <w:ind w:left="136"/>
              <w:rPr>
                <w:b/>
                <w:bCs/>
              </w:rPr>
            </w:pPr>
            <w:r w:rsidRPr="002E6AD0">
              <w:rPr>
                <w:b/>
                <w:bCs/>
              </w:rPr>
              <w:t>Highest estimated daily sunscreen exposure</w:t>
            </w:r>
          </w:p>
        </w:tc>
        <w:tc>
          <w:tcPr>
            <w:tcW w:w="4111" w:type="dxa"/>
            <w:shd w:val="clear" w:color="auto" w:fill="E7E6E6" w:themeFill="background2"/>
            <w:tcMar>
              <w:top w:w="0" w:type="dxa"/>
              <w:left w:w="108" w:type="dxa"/>
              <w:bottom w:w="0" w:type="dxa"/>
              <w:right w:w="108" w:type="dxa"/>
            </w:tcMar>
          </w:tcPr>
          <w:p w14:paraId="70DE1FA3" w14:textId="77777777" w:rsidR="005D0C9E" w:rsidRPr="002E6AD0" w:rsidRDefault="005D0C9E" w:rsidP="00420179">
            <w:pPr>
              <w:keepNext/>
              <w:rPr>
                <w:b/>
                <w:bCs/>
              </w:rPr>
            </w:pPr>
            <w:r w:rsidRPr="002E6AD0">
              <w:rPr>
                <w:b/>
                <w:bCs/>
              </w:rPr>
              <w:t>How to calculate the SED</w:t>
            </w:r>
          </w:p>
        </w:tc>
      </w:tr>
      <w:tr w:rsidR="005D0C9E" w:rsidRPr="002E6AD0" w14:paraId="595BCC92" w14:textId="77777777" w:rsidTr="00F5642D">
        <w:trPr>
          <w:cantSplit/>
          <w:trHeight w:val="510"/>
        </w:trPr>
        <w:tc>
          <w:tcPr>
            <w:tcW w:w="2686" w:type="dxa"/>
            <w:tcMar>
              <w:top w:w="0" w:type="dxa"/>
              <w:left w:w="108" w:type="dxa"/>
              <w:bottom w:w="0" w:type="dxa"/>
              <w:right w:w="108" w:type="dxa"/>
            </w:tcMar>
          </w:tcPr>
          <w:p w14:paraId="406995ED" w14:textId="77777777" w:rsidR="005D0C9E" w:rsidRPr="007B38C6" w:rsidRDefault="005D0C9E" w:rsidP="00420179">
            <w:pPr>
              <w:rPr>
                <w:b/>
                <w:bCs/>
                <w:sz w:val="22"/>
                <w:szCs w:val="22"/>
              </w:rPr>
            </w:pPr>
            <w:r w:rsidRPr="007B38C6">
              <w:rPr>
                <w:sz w:val="22"/>
                <w:szCs w:val="22"/>
              </w:rPr>
              <w:t>Method 1 (%)</w:t>
            </w:r>
          </w:p>
        </w:tc>
        <w:tc>
          <w:tcPr>
            <w:tcW w:w="2409" w:type="dxa"/>
            <w:tcMar>
              <w:top w:w="0" w:type="dxa"/>
              <w:left w:w="108" w:type="dxa"/>
              <w:bottom w:w="0" w:type="dxa"/>
              <w:right w:w="108" w:type="dxa"/>
            </w:tcMar>
          </w:tcPr>
          <w:p w14:paraId="2DA97738" w14:textId="77777777" w:rsidR="005D0C9E" w:rsidRPr="007B38C6" w:rsidRDefault="005D0C9E" w:rsidP="00420179">
            <w:pPr>
              <w:rPr>
                <w:sz w:val="22"/>
                <w:szCs w:val="22"/>
              </w:rPr>
            </w:pPr>
            <w:r w:rsidRPr="007B38C6">
              <w:rPr>
                <w:sz w:val="22"/>
                <w:szCs w:val="22"/>
              </w:rPr>
              <w:t xml:space="preserve">673 mg/kg </w:t>
            </w:r>
            <w:proofErr w:type="spellStart"/>
            <w:r w:rsidRPr="007B38C6">
              <w:rPr>
                <w:sz w:val="22"/>
                <w:szCs w:val="22"/>
              </w:rPr>
              <w:t>bw</w:t>
            </w:r>
            <w:proofErr w:type="spellEnd"/>
            <w:r w:rsidRPr="007B38C6">
              <w:rPr>
                <w:sz w:val="22"/>
                <w:szCs w:val="22"/>
              </w:rPr>
              <w:t>/day</w:t>
            </w:r>
          </w:p>
        </w:tc>
        <w:tc>
          <w:tcPr>
            <w:tcW w:w="4111" w:type="dxa"/>
            <w:tcMar>
              <w:top w:w="0" w:type="dxa"/>
              <w:left w:w="108" w:type="dxa"/>
              <w:bottom w:w="0" w:type="dxa"/>
              <w:right w:w="108" w:type="dxa"/>
            </w:tcMar>
          </w:tcPr>
          <w:p w14:paraId="594F7C2E" w14:textId="77777777" w:rsidR="005D0C9E" w:rsidRPr="007B38C6" w:rsidRDefault="005D0C9E" w:rsidP="00420179">
            <w:pPr>
              <w:rPr>
                <w:b/>
                <w:bCs/>
                <w:sz w:val="22"/>
                <w:szCs w:val="22"/>
              </w:rPr>
            </w:pPr>
            <w:r w:rsidRPr="007B38C6">
              <w:rPr>
                <w:sz w:val="22"/>
                <w:szCs w:val="22"/>
              </w:rPr>
              <w:t xml:space="preserve">SED = 673 mg/kg </w:t>
            </w:r>
            <w:proofErr w:type="spellStart"/>
            <w:r w:rsidRPr="007B38C6">
              <w:rPr>
                <w:sz w:val="22"/>
                <w:szCs w:val="22"/>
              </w:rPr>
              <w:t>bw</w:t>
            </w:r>
            <w:proofErr w:type="spellEnd"/>
            <w:r w:rsidRPr="007B38C6">
              <w:rPr>
                <w:sz w:val="22"/>
                <w:szCs w:val="22"/>
              </w:rPr>
              <w:t xml:space="preserve">/day x </w:t>
            </w:r>
            <w:proofErr w:type="spellStart"/>
            <w:r w:rsidRPr="007B38C6">
              <w:rPr>
                <w:sz w:val="22"/>
                <w:szCs w:val="22"/>
              </w:rPr>
              <w:t>DA</w:t>
            </w:r>
            <w:r w:rsidRPr="007B38C6">
              <w:rPr>
                <w:sz w:val="22"/>
                <w:szCs w:val="22"/>
                <w:vertAlign w:val="subscript"/>
              </w:rPr>
              <w:t>p</w:t>
            </w:r>
            <w:proofErr w:type="spellEnd"/>
            <w:r w:rsidRPr="007B38C6">
              <w:rPr>
                <w:sz w:val="22"/>
                <w:szCs w:val="22"/>
              </w:rPr>
              <w:t xml:space="preserve"> x C</w:t>
            </w:r>
          </w:p>
        </w:tc>
      </w:tr>
      <w:tr w:rsidR="005D0C9E" w:rsidRPr="002E6AD0" w14:paraId="05DA1DC7" w14:textId="77777777" w:rsidTr="00F5642D">
        <w:trPr>
          <w:cantSplit/>
          <w:trHeight w:val="504"/>
        </w:trPr>
        <w:tc>
          <w:tcPr>
            <w:tcW w:w="2686" w:type="dxa"/>
            <w:tcMar>
              <w:top w:w="0" w:type="dxa"/>
              <w:left w:w="108" w:type="dxa"/>
              <w:bottom w:w="0" w:type="dxa"/>
              <w:right w:w="108" w:type="dxa"/>
            </w:tcMar>
          </w:tcPr>
          <w:p w14:paraId="31C3F167" w14:textId="77777777" w:rsidR="005D0C9E" w:rsidRPr="007B38C6" w:rsidRDefault="005D0C9E" w:rsidP="00420179">
            <w:pPr>
              <w:rPr>
                <w:b/>
                <w:bCs/>
                <w:sz w:val="22"/>
                <w:szCs w:val="22"/>
              </w:rPr>
            </w:pPr>
            <w:r w:rsidRPr="007B38C6">
              <w:rPr>
                <w:sz w:val="22"/>
                <w:szCs w:val="22"/>
              </w:rPr>
              <w:t>Method 2 (µg/cm</w:t>
            </w:r>
            <w:r w:rsidRPr="007B38C6">
              <w:rPr>
                <w:sz w:val="22"/>
                <w:szCs w:val="22"/>
                <w:vertAlign w:val="superscript"/>
              </w:rPr>
              <w:t>2</w:t>
            </w:r>
            <w:r w:rsidRPr="007B38C6">
              <w:rPr>
                <w:sz w:val="22"/>
                <w:szCs w:val="22"/>
              </w:rPr>
              <w:t>)</w:t>
            </w:r>
          </w:p>
        </w:tc>
        <w:tc>
          <w:tcPr>
            <w:tcW w:w="2409" w:type="dxa"/>
            <w:tcMar>
              <w:top w:w="0" w:type="dxa"/>
              <w:left w:w="108" w:type="dxa"/>
              <w:bottom w:w="0" w:type="dxa"/>
              <w:right w:w="108" w:type="dxa"/>
            </w:tcMar>
          </w:tcPr>
          <w:p w14:paraId="4510D9A1" w14:textId="77777777" w:rsidR="005D0C9E" w:rsidRPr="007B38C6" w:rsidRDefault="005D0C9E" w:rsidP="00420179">
            <w:pPr>
              <w:rPr>
                <w:sz w:val="22"/>
                <w:szCs w:val="22"/>
              </w:rPr>
            </w:pPr>
            <w:r w:rsidRPr="007B38C6">
              <w:rPr>
                <w:sz w:val="22"/>
                <w:szCs w:val="22"/>
              </w:rPr>
              <w:t>336 cm</w:t>
            </w:r>
            <w:r w:rsidRPr="007B38C6">
              <w:rPr>
                <w:sz w:val="22"/>
                <w:szCs w:val="22"/>
                <w:vertAlign w:val="superscript"/>
              </w:rPr>
              <w:t>2</w:t>
            </w:r>
            <w:r w:rsidRPr="007B38C6">
              <w:rPr>
                <w:sz w:val="22"/>
                <w:szCs w:val="22"/>
              </w:rPr>
              <w:t xml:space="preserve">/kg </w:t>
            </w:r>
            <w:proofErr w:type="spellStart"/>
            <w:r w:rsidRPr="007B38C6">
              <w:rPr>
                <w:sz w:val="22"/>
                <w:szCs w:val="22"/>
              </w:rPr>
              <w:t>bw</w:t>
            </w:r>
            <w:proofErr w:type="spellEnd"/>
            <w:r w:rsidRPr="007B38C6">
              <w:rPr>
                <w:sz w:val="22"/>
                <w:szCs w:val="22"/>
              </w:rPr>
              <w:t>/day</w:t>
            </w:r>
          </w:p>
        </w:tc>
        <w:tc>
          <w:tcPr>
            <w:tcW w:w="4111" w:type="dxa"/>
            <w:tcMar>
              <w:top w:w="0" w:type="dxa"/>
              <w:left w:w="108" w:type="dxa"/>
              <w:bottom w:w="0" w:type="dxa"/>
              <w:right w:w="108" w:type="dxa"/>
            </w:tcMar>
          </w:tcPr>
          <w:p w14:paraId="3279CDD4" w14:textId="77777777" w:rsidR="005D0C9E" w:rsidRPr="007B38C6" w:rsidRDefault="005D0C9E" w:rsidP="00420179">
            <w:pPr>
              <w:rPr>
                <w:b/>
                <w:bCs/>
                <w:sz w:val="22"/>
                <w:szCs w:val="22"/>
              </w:rPr>
            </w:pPr>
            <w:r w:rsidRPr="007B38C6">
              <w:rPr>
                <w:sz w:val="22"/>
                <w:szCs w:val="22"/>
              </w:rPr>
              <w:t>SED = 336 cm</w:t>
            </w:r>
            <w:r w:rsidRPr="007B38C6">
              <w:rPr>
                <w:sz w:val="22"/>
                <w:szCs w:val="22"/>
                <w:vertAlign w:val="superscript"/>
              </w:rPr>
              <w:t>2</w:t>
            </w:r>
            <w:r w:rsidRPr="007B38C6">
              <w:rPr>
                <w:sz w:val="22"/>
                <w:szCs w:val="22"/>
              </w:rPr>
              <w:t xml:space="preserve">/kg </w:t>
            </w:r>
            <w:proofErr w:type="spellStart"/>
            <w:r w:rsidRPr="007B38C6">
              <w:rPr>
                <w:sz w:val="22"/>
                <w:szCs w:val="22"/>
              </w:rPr>
              <w:t>bw</w:t>
            </w:r>
            <w:proofErr w:type="spellEnd"/>
            <w:r w:rsidRPr="007B38C6">
              <w:rPr>
                <w:sz w:val="22"/>
                <w:szCs w:val="22"/>
              </w:rPr>
              <w:t xml:space="preserve">/day x </w:t>
            </w:r>
            <w:proofErr w:type="spellStart"/>
            <w:r w:rsidRPr="007B38C6">
              <w:rPr>
                <w:sz w:val="22"/>
                <w:szCs w:val="22"/>
              </w:rPr>
              <w:t>DA</w:t>
            </w:r>
            <w:r w:rsidRPr="007B38C6">
              <w:rPr>
                <w:sz w:val="22"/>
                <w:szCs w:val="22"/>
                <w:vertAlign w:val="subscript"/>
              </w:rPr>
              <w:t>a</w:t>
            </w:r>
            <w:proofErr w:type="spellEnd"/>
            <w:r w:rsidRPr="007B38C6">
              <w:rPr>
                <w:sz w:val="22"/>
                <w:szCs w:val="22"/>
                <w:vertAlign w:val="subscript"/>
              </w:rPr>
              <w:t xml:space="preserve"> </w:t>
            </w:r>
          </w:p>
        </w:tc>
      </w:tr>
    </w:tbl>
    <w:p w14:paraId="56ECFB1C" w14:textId="77777777" w:rsidR="00FA5B32" w:rsidRPr="00FA5B32" w:rsidRDefault="00FA5B32" w:rsidP="00FA5B32">
      <w:pPr>
        <w:rPr>
          <w:rFonts w:eastAsiaTheme="minorEastAsia"/>
          <w:sz w:val="20"/>
        </w:rPr>
      </w:pPr>
      <w:r w:rsidRPr="00FA5B32">
        <w:rPr>
          <w:sz w:val="20"/>
        </w:rPr>
        <w:t>C: % concentration of the ingredient used to test dermal absorption</w:t>
      </w:r>
      <w:r w:rsidRPr="00FA5B32">
        <w:rPr>
          <w:sz w:val="20"/>
        </w:rPr>
        <w:br/>
      </w:r>
      <w:proofErr w:type="spellStart"/>
      <w:r w:rsidRPr="00FA5B32">
        <w:rPr>
          <w:rFonts w:eastAsiaTheme="minorEastAsia"/>
          <w:sz w:val="20"/>
        </w:rPr>
        <w:t>DA</w:t>
      </w:r>
      <w:r w:rsidRPr="00FA5B32">
        <w:rPr>
          <w:rFonts w:eastAsiaTheme="minorEastAsia"/>
          <w:sz w:val="20"/>
          <w:vertAlign w:val="subscript"/>
        </w:rPr>
        <w:t>p</w:t>
      </w:r>
      <w:proofErr w:type="spellEnd"/>
      <w:r w:rsidRPr="00FA5B32">
        <w:rPr>
          <w:rFonts w:eastAsiaTheme="minorEastAsia"/>
          <w:sz w:val="20"/>
        </w:rPr>
        <w:t>: % of ingredient absorbed in the dermal absorption study</w:t>
      </w:r>
      <w:r w:rsidRPr="00FA5B32">
        <w:rPr>
          <w:sz w:val="20"/>
        </w:rPr>
        <w:br/>
      </w:r>
      <w:proofErr w:type="spellStart"/>
      <w:r w:rsidRPr="00FA5B32">
        <w:rPr>
          <w:sz w:val="20"/>
        </w:rPr>
        <w:t>DA</w:t>
      </w:r>
      <w:r w:rsidRPr="00FA5B32">
        <w:rPr>
          <w:sz w:val="20"/>
          <w:vertAlign w:val="subscript"/>
        </w:rPr>
        <w:t>a</w:t>
      </w:r>
      <w:proofErr w:type="spellEnd"/>
      <w:r w:rsidRPr="00FA5B32">
        <w:rPr>
          <w:sz w:val="20"/>
        </w:rPr>
        <w:t xml:space="preserve">: absolute amount in </w:t>
      </w:r>
      <w:proofErr w:type="spellStart"/>
      <w:r w:rsidRPr="00FA5B32">
        <w:rPr>
          <w:sz w:val="20"/>
        </w:rPr>
        <w:t>μg</w:t>
      </w:r>
      <w:proofErr w:type="spellEnd"/>
      <w:r w:rsidRPr="00FA5B32">
        <w:rPr>
          <w:sz w:val="20"/>
        </w:rPr>
        <w:t>/cm</w:t>
      </w:r>
      <w:r w:rsidRPr="00FA5B32">
        <w:rPr>
          <w:sz w:val="20"/>
          <w:vertAlign w:val="superscript"/>
        </w:rPr>
        <w:t>2</w:t>
      </w:r>
      <w:r w:rsidRPr="00FA5B32">
        <w:rPr>
          <w:sz w:val="20"/>
        </w:rPr>
        <w:t xml:space="preserve"> of the ingredient bioavailable in dermal absorption study </w:t>
      </w:r>
    </w:p>
    <w:p w14:paraId="143E9F86" w14:textId="77777777" w:rsidR="003E03E5" w:rsidRPr="007B38C6" w:rsidRDefault="003E03E5" w:rsidP="003E03E5">
      <w:r w:rsidRPr="007B38C6">
        <w:t>Because the SED is based on the ASEM highest estimated sunscreen exposure</w:t>
      </w:r>
      <w:r w:rsidRPr="007B38C6">
        <w:rPr>
          <w:b/>
          <w:bCs/>
        </w:rPr>
        <w:t xml:space="preserve"> </w:t>
      </w:r>
      <w:r w:rsidRPr="007B38C6">
        <w:t xml:space="preserve">as a proportion of kg body weight per day, risk assessments using this value account for any body weight (i.e. including adults or children). This ensures that risk assessment comprehensively cover the highest exposure for all Australians and ensure ingredients are safe to be used by everyone, no matter their age, weight, or outdoor activity. </w:t>
      </w:r>
    </w:p>
    <w:p w14:paraId="417AA17C" w14:textId="77777777" w:rsidR="003E03E5" w:rsidRPr="007B38C6" w:rsidRDefault="003E03E5" w:rsidP="003E03E5">
      <w:r w:rsidRPr="007B38C6">
        <w:rPr>
          <w:b/>
          <w:bCs/>
        </w:rPr>
        <w:t>For specific sunscreen use scenarios</w:t>
      </w:r>
      <w:r w:rsidRPr="007B38C6">
        <w:t xml:space="preserve"> (such as those with application restricted to the face only), the ASEM can be used as a tool to consider usage scenarios. The TGA will </w:t>
      </w:r>
      <w:proofErr w:type="gramStart"/>
      <w:r w:rsidRPr="007B38C6">
        <w:t>give consideration to</w:t>
      </w:r>
      <w:proofErr w:type="gramEnd"/>
      <w:r w:rsidRPr="007B38C6">
        <w:t xml:space="preserve"> establishing standardised exposure assumptions for such scenarios and this may be to be included in future guidance.   </w:t>
      </w:r>
    </w:p>
    <w:p w14:paraId="1891E8AB" w14:textId="33FC3552" w:rsidR="003E03E5" w:rsidRPr="007B38C6" w:rsidRDefault="003E03E5" w:rsidP="003E03E5">
      <w:pPr>
        <w:rPr>
          <w:rStyle w:val="Hyperlink"/>
          <w:color w:val="auto"/>
        </w:rPr>
      </w:pPr>
      <w:r w:rsidRPr="007B38C6">
        <w:t xml:space="preserve">See </w:t>
      </w:r>
      <w:r w:rsidR="00045107" w:rsidRPr="007B38C6">
        <w:t>APPENDIX 2</w:t>
      </w:r>
      <w:r w:rsidRPr="007B38C6">
        <w:t xml:space="preserve"> for details on how risk assessments are conducted using the ASEM.</w:t>
      </w:r>
    </w:p>
    <w:p w14:paraId="5CF2006F" w14:textId="77777777" w:rsidR="00944CE6" w:rsidRPr="00E308CF" w:rsidRDefault="00944CE6" w:rsidP="00944CE6">
      <w:pPr>
        <w:pStyle w:val="Tabletitle"/>
      </w:pPr>
      <w:r w:rsidRPr="00E308CF">
        <w:t>Table</w:t>
      </w:r>
      <w:r w:rsidRPr="002E6AD0">
        <w:t xml:space="preserve"> </w:t>
      </w:r>
      <w:r>
        <w:t>5</w:t>
      </w:r>
      <w:r w:rsidRPr="00E308CF">
        <w:t>.</w:t>
      </w:r>
      <w:r w:rsidRPr="002E6AD0">
        <w:t xml:space="preserve"> </w:t>
      </w:r>
      <w:r w:rsidRPr="00E308CF">
        <w:t>Safety</w:t>
      </w:r>
      <w:r w:rsidRPr="002E6AD0">
        <w:t xml:space="preserve"> </w:t>
      </w:r>
      <w:r w:rsidRPr="00E308CF">
        <w:t>data</w:t>
      </w:r>
      <w:r w:rsidRPr="002E6AD0">
        <w:t xml:space="preserve"> </w:t>
      </w:r>
      <w:r w:rsidRPr="00E308CF">
        <w:t>required</w:t>
      </w:r>
      <w:r w:rsidRPr="002E6AD0">
        <w:t xml:space="preserve"> </w:t>
      </w:r>
      <w:r w:rsidRPr="00E308CF">
        <w:t>for</w:t>
      </w:r>
      <w:r w:rsidRPr="002E6AD0">
        <w:t xml:space="preserve"> </w:t>
      </w:r>
      <w:r w:rsidRPr="00E308CF">
        <w:t>new</w:t>
      </w:r>
      <w:r w:rsidRPr="002E6AD0">
        <w:t xml:space="preserve"> dermal substances (</w:t>
      </w:r>
      <w:r w:rsidRPr="00E308CF">
        <w:t>active</w:t>
      </w:r>
      <w:r w:rsidRPr="002E6AD0">
        <w:t xml:space="preserve"> </w:t>
      </w:r>
      <w:r w:rsidRPr="00E308CF">
        <w:t>and</w:t>
      </w:r>
      <w:r w:rsidRPr="002E6AD0">
        <w:t xml:space="preserve"> </w:t>
      </w:r>
      <w:r w:rsidRPr="00E308CF">
        <w:t>excipient)</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8"/>
        <w:gridCol w:w="1134"/>
        <w:gridCol w:w="3544"/>
        <w:gridCol w:w="1417"/>
        <w:gridCol w:w="1701"/>
      </w:tblGrid>
      <w:tr w:rsidR="00E84416" w:rsidRPr="00E308CF" w14:paraId="1850FCD5" w14:textId="77777777" w:rsidTr="00E8503F">
        <w:trPr>
          <w:tblHeader/>
        </w:trPr>
        <w:tc>
          <w:tcPr>
            <w:tcW w:w="5946" w:type="dxa"/>
            <w:gridSpan w:val="3"/>
            <w:shd w:val="clear" w:color="auto" w:fill="E7E6E6" w:themeFill="background2"/>
            <w:tcMar>
              <w:top w:w="0" w:type="dxa"/>
              <w:left w:w="108" w:type="dxa"/>
              <w:bottom w:w="0" w:type="dxa"/>
              <w:right w:w="108" w:type="dxa"/>
            </w:tcMar>
            <w:hideMark/>
          </w:tcPr>
          <w:p w14:paraId="0F1EC910" w14:textId="77777777" w:rsidR="00E84416" w:rsidRPr="00E308CF" w:rsidRDefault="00E84416" w:rsidP="00E8503F">
            <w:pPr>
              <w:rPr>
                <w:b/>
                <w:bCs/>
              </w:rPr>
            </w:pPr>
            <w:bookmarkStart w:id="89" w:name="_Hlk181273120"/>
            <w:r w:rsidRPr="00E308CF">
              <w:rPr>
                <w:b/>
                <w:bCs/>
              </w:rPr>
              <w:t>Core information requirement</w:t>
            </w:r>
          </w:p>
        </w:tc>
        <w:tc>
          <w:tcPr>
            <w:tcW w:w="1417" w:type="dxa"/>
            <w:shd w:val="clear" w:color="auto" w:fill="E7E6E6" w:themeFill="background2"/>
            <w:tcMar>
              <w:top w:w="0" w:type="dxa"/>
              <w:left w:w="108" w:type="dxa"/>
              <w:bottom w:w="0" w:type="dxa"/>
              <w:right w:w="108" w:type="dxa"/>
            </w:tcMar>
            <w:hideMark/>
          </w:tcPr>
          <w:p w14:paraId="2B14136D" w14:textId="77777777" w:rsidR="00E84416" w:rsidRPr="006D7C0D" w:rsidRDefault="00E84416" w:rsidP="00E8503F">
            <w:pPr>
              <w:rPr>
                <w:b/>
                <w:bCs/>
                <w:sz w:val="20"/>
              </w:rPr>
            </w:pPr>
            <w:r w:rsidRPr="006D7C0D">
              <w:rPr>
                <w:b/>
                <w:bCs/>
                <w:sz w:val="20"/>
              </w:rPr>
              <w:t>Dermal active substances</w:t>
            </w:r>
            <w:r w:rsidRPr="006D7C0D">
              <w:rPr>
                <w:rStyle w:val="FootnoteReference"/>
                <w:b/>
                <w:bCs/>
                <w:sz w:val="20"/>
              </w:rPr>
              <w:footnoteReference w:id="8"/>
            </w:r>
          </w:p>
        </w:tc>
        <w:tc>
          <w:tcPr>
            <w:tcW w:w="1701" w:type="dxa"/>
            <w:shd w:val="clear" w:color="auto" w:fill="E7E6E6" w:themeFill="background2"/>
            <w:hideMark/>
          </w:tcPr>
          <w:p w14:paraId="3C3A014F" w14:textId="77777777" w:rsidR="00E84416" w:rsidRPr="006D7C0D" w:rsidRDefault="00E84416" w:rsidP="00E8503F">
            <w:pPr>
              <w:ind w:left="137"/>
              <w:rPr>
                <w:b/>
                <w:bCs/>
                <w:sz w:val="20"/>
              </w:rPr>
            </w:pPr>
            <w:r w:rsidRPr="006D7C0D">
              <w:rPr>
                <w:b/>
                <w:bCs/>
                <w:sz w:val="20"/>
              </w:rPr>
              <w:t>Dermal excipient substances</w:t>
            </w:r>
            <w:r>
              <w:rPr>
                <w:b/>
                <w:bCs/>
                <w:sz w:val="20"/>
                <w:vertAlign w:val="superscript"/>
              </w:rPr>
              <w:t>9</w:t>
            </w:r>
          </w:p>
        </w:tc>
      </w:tr>
      <w:tr w:rsidR="00E84416" w:rsidRPr="00E308CF" w14:paraId="6F9B6CDE" w14:textId="77777777" w:rsidTr="00E8503F">
        <w:trPr>
          <w:trHeight w:val="1159"/>
        </w:trPr>
        <w:tc>
          <w:tcPr>
            <w:tcW w:w="2402" w:type="dxa"/>
            <w:gridSpan w:val="2"/>
            <w:tcMar>
              <w:top w:w="0" w:type="dxa"/>
              <w:left w:w="108" w:type="dxa"/>
              <w:bottom w:w="0" w:type="dxa"/>
              <w:right w:w="108" w:type="dxa"/>
            </w:tcMar>
            <w:hideMark/>
          </w:tcPr>
          <w:p w14:paraId="760035A4" w14:textId="77777777" w:rsidR="00E84416" w:rsidRPr="007B38C6" w:rsidRDefault="00E84416" w:rsidP="00E8503F">
            <w:pPr>
              <w:rPr>
                <w:b/>
                <w:bCs/>
                <w:sz w:val="22"/>
                <w:szCs w:val="22"/>
              </w:rPr>
            </w:pPr>
            <w:bookmarkStart w:id="90" w:name="_Hlk109982403"/>
            <w:r w:rsidRPr="007B38C6">
              <w:rPr>
                <w:b/>
                <w:bCs/>
                <w:sz w:val="22"/>
                <w:szCs w:val="22"/>
              </w:rPr>
              <w:t>Systematic literature search</w:t>
            </w:r>
          </w:p>
        </w:tc>
        <w:tc>
          <w:tcPr>
            <w:tcW w:w="3544" w:type="dxa"/>
            <w:tcMar>
              <w:top w:w="0" w:type="dxa"/>
              <w:left w:w="108" w:type="dxa"/>
              <w:bottom w:w="0" w:type="dxa"/>
              <w:right w:w="108" w:type="dxa"/>
            </w:tcMar>
            <w:hideMark/>
          </w:tcPr>
          <w:p w14:paraId="0116D29D" w14:textId="77777777" w:rsidR="00E84416" w:rsidRPr="007B38C6" w:rsidRDefault="00E84416" w:rsidP="00E8503F">
            <w:pPr>
              <w:rPr>
                <w:sz w:val="22"/>
                <w:szCs w:val="22"/>
              </w:rPr>
            </w:pPr>
            <w:r w:rsidRPr="007B38C6">
              <w:rPr>
                <w:sz w:val="22"/>
                <w:szCs w:val="22"/>
              </w:rPr>
              <w:t>A systematic literature search on the substance; with the search strategy and results with justification for inclusion/exclusion of data</w:t>
            </w:r>
          </w:p>
        </w:tc>
        <w:tc>
          <w:tcPr>
            <w:tcW w:w="1417" w:type="dxa"/>
            <w:tcMar>
              <w:top w:w="0" w:type="dxa"/>
              <w:left w:w="108" w:type="dxa"/>
              <w:bottom w:w="0" w:type="dxa"/>
              <w:right w:w="108" w:type="dxa"/>
            </w:tcMar>
            <w:vAlign w:val="center"/>
            <w:hideMark/>
          </w:tcPr>
          <w:p w14:paraId="639A723A" w14:textId="77777777" w:rsidR="00E84416" w:rsidRPr="00E308CF" w:rsidRDefault="00E84416" w:rsidP="00E8503F">
            <w:pPr>
              <w:jc w:val="center"/>
              <w:rPr>
                <w:b/>
                <w:bCs/>
                <w:color w:val="00B050"/>
              </w:rPr>
            </w:pPr>
            <w:r w:rsidRPr="00B91627">
              <w:rPr>
                <w:b/>
                <w:bCs/>
                <w:color w:val="00B050"/>
              </w:rPr>
              <w:sym w:font="Wingdings" w:char="F0FC"/>
            </w:r>
          </w:p>
        </w:tc>
        <w:tc>
          <w:tcPr>
            <w:tcW w:w="1701" w:type="dxa"/>
            <w:vAlign w:val="center"/>
            <w:hideMark/>
          </w:tcPr>
          <w:p w14:paraId="371D06D2" w14:textId="77777777" w:rsidR="00E84416" w:rsidRPr="00E308CF" w:rsidRDefault="00E84416" w:rsidP="00E8503F">
            <w:pPr>
              <w:jc w:val="center"/>
              <w:rPr>
                <w:b/>
                <w:bCs/>
                <w:color w:val="00B050"/>
              </w:rPr>
            </w:pPr>
            <w:r w:rsidRPr="00B91627">
              <w:rPr>
                <w:b/>
                <w:bCs/>
                <w:color w:val="00B050"/>
              </w:rPr>
              <w:sym w:font="Wingdings" w:char="F0FC"/>
            </w:r>
          </w:p>
        </w:tc>
      </w:tr>
      <w:bookmarkEnd w:id="89"/>
      <w:tr w:rsidR="00E84416" w:rsidRPr="00E308CF" w14:paraId="3FB1E388" w14:textId="77777777" w:rsidTr="00E8503F">
        <w:trPr>
          <w:trHeight w:val="787"/>
        </w:trPr>
        <w:tc>
          <w:tcPr>
            <w:tcW w:w="2402" w:type="dxa"/>
            <w:gridSpan w:val="2"/>
            <w:tcMar>
              <w:top w:w="0" w:type="dxa"/>
              <w:left w:w="108" w:type="dxa"/>
              <w:bottom w:w="0" w:type="dxa"/>
              <w:right w:w="108" w:type="dxa"/>
            </w:tcMar>
            <w:hideMark/>
          </w:tcPr>
          <w:p w14:paraId="38AC84E6" w14:textId="77777777" w:rsidR="00E84416" w:rsidRPr="007B38C6" w:rsidRDefault="00E84416" w:rsidP="00E8503F">
            <w:pPr>
              <w:rPr>
                <w:b/>
                <w:bCs/>
                <w:sz w:val="22"/>
                <w:szCs w:val="22"/>
              </w:rPr>
            </w:pPr>
            <w:r w:rsidRPr="007B38C6">
              <w:rPr>
                <w:b/>
                <w:bCs/>
                <w:sz w:val="22"/>
                <w:szCs w:val="22"/>
              </w:rPr>
              <w:t>History and pattern of human use</w:t>
            </w:r>
          </w:p>
        </w:tc>
        <w:tc>
          <w:tcPr>
            <w:tcW w:w="3544" w:type="dxa"/>
            <w:tcMar>
              <w:top w:w="0" w:type="dxa"/>
              <w:left w:w="108" w:type="dxa"/>
              <w:bottom w:w="0" w:type="dxa"/>
              <w:right w:w="108" w:type="dxa"/>
            </w:tcMar>
            <w:hideMark/>
          </w:tcPr>
          <w:p w14:paraId="4D7335F5" w14:textId="77777777" w:rsidR="00E84416" w:rsidRPr="007B38C6" w:rsidRDefault="00E84416" w:rsidP="00E8503F">
            <w:pPr>
              <w:rPr>
                <w:sz w:val="22"/>
                <w:szCs w:val="22"/>
              </w:rPr>
            </w:pPr>
            <w:r w:rsidRPr="007B38C6">
              <w:rPr>
                <w:sz w:val="22"/>
                <w:szCs w:val="22"/>
              </w:rPr>
              <w:t>Information on:</w:t>
            </w:r>
          </w:p>
          <w:p w14:paraId="57E9E001" w14:textId="77777777" w:rsidR="00E84416" w:rsidRPr="007B38C6" w:rsidRDefault="00E84416" w:rsidP="00E8503F">
            <w:pPr>
              <w:pStyle w:val="ListParagraph"/>
              <w:numPr>
                <w:ilvl w:val="0"/>
                <w:numId w:val="12"/>
              </w:numPr>
              <w:spacing w:after="0" w:line="240" w:lineRule="auto"/>
              <w:ind w:left="357" w:hanging="357"/>
              <w:rPr>
                <w:sz w:val="22"/>
                <w:szCs w:val="22"/>
              </w:rPr>
            </w:pPr>
            <w:r w:rsidRPr="007B38C6">
              <w:rPr>
                <w:sz w:val="22"/>
                <w:szCs w:val="22"/>
              </w:rPr>
              <w:t>Use in therapeutic goods (Australian and International)</w:t>
            </w:r>
          </w:p>
          <w:p w14:paraId="424364B3" w14:textId="77777777" w:rsidR="00E84416" w:rsidRPr="007B38C6" w:rsidRDefault="00E84416" w:rsidP="00E8503F">
            <w:pPr>
              <w:pStyle w:val="ListParagraph"/>
              <w:numPr>
                <w:ilvl w:val="0"/>
                <w:numId w:val="12"/>
              </w:numPr>
              <w:spacing w:after="0" w:line="240" w:lineRule="auto"/>
              <w:ind w:left="357" w:hanging="357"/>
              <w:rPr>
                <w:sz w:val="22"/>
                <w:szCs w:val="22"/>
              </w:rPr>
            </w:pPr>
            <w:r w:rsidRPr="007B38C6">
              <w:rPr>
                <w:sz w:val="22"/>
                <w:szCs w:val="22"/>
              </w:rPr>
              <w:t>Use in food</w:t>
            </w:r>
          </w:p>
          <w:p w14:paraId="2E7AF4CE" w14:textId="77777777" w:rsidR="00E84416" w:rsidRPr="007B38C6" w:rsidRDefault="00E84416" w:rsidP="00E8503F">
            <w:pPr>
              <w:pStyle w:val="ListParagraph"/>
              <w:numPr>
                <w:ilvl w:val="0"/>
                <w:numId w:val="12"/>
              </w:numPr>
              <w:spacing w:after="0" w:line="240" w:lineRule="auto"/>
              <w:ind w:left="357" w:hanging="357"/>
              <w:rPr>
                <w:sz w:val="22"/>
                <w:szCs w:val="22"/>
              </w:rPr>
            </w:pPr>
            <w:r w:rsidRPr="007B38C6">
              <w:rPr>
                <w:sz w:val="22"/>
                <w:szCs w:val="22"/>
              </w:rPr>
              <w:t>Traditional use</w:t>
            </w:r>
          </w:p>
          <w:p w14:paraId="3E0E4B24" w14:textId="77777777" w:rsidR="00E84416" w:rsidRPr="007B38C6" w:rsidRDefault="00E84416" w:rsidP="00E8503F">
            <w:pPr>
              <w:pStyle w:val="ListParagraph"/>
              <w:numPr>
                <w:ilvl w:val="0"/>
                <w:numId w:val="12"/>
              </w:numPr>
              <w:spacing w:after="0" w:line="240" w:lineRule="auto"/>
              <w:ind w:left="357" w:hanging="357"/>
              <w:rPr>
                <w:sz w:val="22"/>
                <w:szCs w:val="22"/>
              </w:rPr>
            </w:pPr>
            <w:r w:rsidRPr="007B38C6">
              <w:rPr>
                <w:sz w:val="22"/>
                <w:szCs w:val="22"/>
              </w:rPr>
              <w:t>History of safe use</w:t>
            </w:r>
            <w:r w:rsidRPr="007B38C6">
              <w:rPr>
                <w:sz w:val="22"/>
                <w:szCs w:val="22"/>
              </w:rPr>
              <w:br/>
              <w:t>- Summary</w:t>
            </w:r>
            <w:r w:rsidRPr="007B38C6">
              <w:rPr>
                <w:rFonts w:eastAsia="Times New Roman"/>
                <w:sz w:val="22"/>
                <w:szCs w:val="22"/>
              </w:rPr>
              <w:t xml:space="preserve"> of overall </w:t>
            </w:r>
            <w:r w:rsidRPr="007B38C6">
              <w:rPr>
                <w:sz w:val="22"/>
                <w:szCs w:val="22"/>
              </w:rPr>
              <w:t>human</w:t>
            </w:r>
            <w:r w:rsidRPr="007B38C6">
              <w:rPr>
                <w:rFonts w:eastAsia="Times New Roman"/>
                <w:sz w:val="22"/>
                <w:szCs w:val="22"/>
              </w:rPr>
              <w:t xml:space="preserve"> exposure from all sources</w:t>
            </w:r>
          </w:p>
        </w:tc>
        <w:tc>
          <w:tcPr>
            <w:tcW w:w="1417" w:type="dxa"/>
            <w:tcMar>
              <w:top w:w="0" w:type="dxa"/>
              <w:left w:w="108" w:type="dxa"/>
              <w:bottom w:w="0" w:type="dxa"/>
              <w:right w:w="108" w:type="dxa"/>
            </w:tcMar>
            <w:vAlign w:val="center"/>
            <w:hideMark/>
          </w:tcPr>
          <w:p w14:paraId="456588C8" w14:textId="77777777" w:rsidR="00E84416" w:rsidRPr="00E308CF" w:rsidRDefault="00E84416" w:rsidP="00E8503F">
            <w:pPr>
              <w:jc w:val="center"/>
              <w:rPr>
                <w:b/>
                <w:bCs/>
                <w:color w:val="00B050"/>
              </w:rPr>
            </w:pPr>
            <w:r w:rsidRPr="00EF0D72">
              <w:rPr>
                <w:b/>
                <w:bCs/>
                <w:color w:val="00B050"/>
              </w:rPr>
              <w:sym w:font="Wingdings" w:char="F0FC"/>
            </w:r>
          </w:p>
        </w:tc>
        <w:tc>
          <w:tcPr>
            <w:tcW w:w="1701" w:type="dxa"/>
            <w:vAlign w:val="center"/>
            <w:hideMark/>
          </w:tcPr>
          <w:p w14:paraId="633D3F4A" w14:textId="77777777" w:rsidR="00E84416" w:rsidRPr="00E308CF" w:rsidRDefault="00E84416" w:rsidP="00E8503F">
            <w:pPr>
              <w:jc w:val="center"/>
              <w:rPr>
                <w:b/>
                <w:bCs/>
                <w:color w:val="00B050"/>
              </w:rPr>
            </w:pPr>
            <w:r w:rsidRPr="00EF0D72">
              <w:rPr>
                <w:b/>
                <w:bCs/>
                <w:color w:val="00B050"/>
              </w:rPr>
              <w:sym w:font="Wingdings" w:char="F0FC"/>
            </w:r>
          </w:p>
        </w:tc>
      </w:tr>
      <w:tr w:rsidR="00E84416" w:rsidRPr="00E308CF" w14:paraId="4F48295B" w14:textId="77777777" w:rsidTr="00E8503F">
        <w:trPr>
          <w:trHeight w:val="795"/>
        </w:trPr>
        <w:tc>
          <w:tcPr>
            <w:tcW w:w="1268" w:type="dxa"/>
            <w:vMerge w:val="restart"/>
            <w:tcMar>
              <w:top w:w="0" w:type="dxa"/>
              <w:left w:w="108" w:type="dxa"/>
              <w:bottom w:w="0" w:type="dxa"/>
              <w:right w:w="108" w:type="dxa"/>
            </w:tcMar>
            <w:hideMark/>
          </w:tcPr>
          <w:p w14:paraId="2672B698" w14:textId="77777777" w:rsidR="00E84416" w:rsidRPr="007B38C6" w:rsidRDefault="00E84416" w:rsidP="00E8503F">
            <w:pPr>
              <w:rPr>
                <w:b/>
                <w:bCs/>
                <w:sz w:val="22"/>
                <w:szCs w:val="22"/>
              </w:rPr>
            </w:pPr>
            <w:r w:rsidRPr="007B38C6">
              <w:rPr>
                <w:b/>
                <w:bCs/>
                <w:sz w:val="22"/>
                <w:szCs w:val="22"/>
              </w:rPr>
              <w:lastRenderedPageBreak/>
              <w:t>Biological activity</w:t>
            </w:r>
          </w:p>
        </w:tc>
        <w:tc>
          <w:tcPr>
            <w:tcW w:w="1134" w:type="dxa"/>
            <w:vMerge w:val="restart"/>
            <w:tcMar>
              <w:top w:w="0" w:type="dxa"/>
              <w:left w:w="108" w:type="dxa"/>
              <w:bottom w:w="0" w:type="dxa"/>
              <w:right w:w="108" w:type="dxa"/>
            </w:tcMar>
            <w:hideMark/>
          </w:tcPr>
          <w:p w14:paraId="19D3A50F" w14:textId="77777777" w:rsidR="00E84416" w:rsidRPr="007B38C6" w:rsidRDefault="00E84416" w:rsidP="00E8503F">
            <w:pPr>
              <w:rPr>
                <w:b/>
                <w:bCs/>
                <w:sz w:val="22"/>
                <w:szCs w:val="22"/>
              </w:rPr>
            </w:pPr>
            <w:r w:rsidRPr="007B38C6">
              <w:rPr>
                <w:b/>
                <w:bCs/>
                <w:sz w:val="22"/>
                <w:szCs w:val="22"/>
              </w:rPr>
              <w:t>Pharmacokinetics</w:t>
            </w:r>
          </w:p>
        </w:tc>
        <w:tc>
          <w:tcPr>
            <w:tcW w:w="3544" w:type="dxa"/>
            <w:tcMar>
              <w:top w:w="0" w:type="dxa"/>
              <w:left w:w="108" w:type="dxa"/>
              <w:bottom w:w="0" w:type="dxa"/>
              <w:right w:w="108" w:type="dxa"/>
            </w:tcMar>
            <w:hideMark/>
          </w:tcPr>
          <w:p w14:paraId="677000FF" w14:textId="77777777" w:rsidR="00E84416" w:rsidRPr="007B38C6" w:rsidRDefault="00E84416" w:rsidP="00E8503F">
            <w:pPr>
              <w:rPr>
                <w:sz w:val="22"/>
                <w:szCs w:val="22"/>
              </w:rPr>
            </w:pPr>
            <w:r w:rsidRPr="007B38C6">
              <w:rPr>
                <w:sz w:val="22"/>
                <w:szCs w:val="22"/>
              </w:rPr>
              <w:t>Pharmacokinetic studies addressing:</w:t>
            </w:r>
          </w:p>
          <w:p w14:paraId="4EE31A97" w14:textId="77777777" w:rsidR="00E84416" w:rsidRPr="007B38C6" w:rsidRDefault="00E84416" w:rsidP="00E8503F">
            <w:pPr>
              <w:pStyle w:val="ListParagraph"/>
              <w:numPr>
                <w:ilvl w:val="0"/>
                <w:numId w:val="12"/>
              </w:numPr>
              <w:spacing w:after="0" w:line="240" w:lineRule="auto"/>
              <w:ind w:left="357" w:hanging="357"/>
              <w:rPr>
                <w:rFonts w:eastAsia="Times New Roman"/>
                <w:sz w:val="22"/>
                <w:szCs w:val="22"/>
              </w:rPr>
            </w:pPr>
            <w:r w:rsidRPr="007B38C6">
              <w:rPr>
                <w:sz w:val="22"/>
                <w:szCs w:val="22"/>
              </w:rPr>
              <w:t>Absorption</w:t>
            </w:r>
          </w:p>
        </w:tc>
        <w:tc>
          <w:tcPr>
            <w:tcW w:w="1417" w:type="dxa"/>
            <w:tcMar>
              <w:top w:w="0" w:type="dxa"/>
              <w:left w:w="108" w:type="dxa"/>
              <w:bottom w:w="0" w:type="dxa"/>
              <w:right w:w="108" w:type="dxa"/>
            </w:tcMar>
            <w:vAlign w:val="center"/>
            <w:hideMark/>
          </w:tcPr>
          <w:p w14:paraId="797FF888" w14:textId="77777777" w:rsidR="00E84416" w:rsidRPr="00E308CF" w:rsidRDefault="00E84416" w:rsidP="00E8503F">
            <w:pPr>
              <w:jc w:val="center"/>
              <w:rPr>
                <w:b/>
                <w:bCs/>
                <w:color w:val="00B050"/>
              </w:rPr>
            </w:pPr>
            <w:r w:rsidRPr="00A60432">
              <w:rPr>
                <w:b/>
                <w:bCs/>
                <w:color w:val="00B050"/>
              </w:rPr>
              <w:sym w:font="Wingdings" w:char="F0FC"/>
            </w:r>
          </w:p>
        </w:tc>
        <w:tc>
          <w:tcPr>
            <w:tcW w:w="1701" w:type="dxa"/>
            <w:vAlign w:val="center"/>
            <w:hideMark/>
          </w:tcPr>
          <w:p w14:paraId="3D6E65E7" w14:textId="77777777" w:rsidR="00E84416" w:rsidRPr="00E308CF" w:rsidRDefault="00E84416" w:rsidP="00E8503F">
            <w:pPr>
              <w:jc w:val="center"/>
              <w:rPr>
                <w:b/>
                <w:bCs/>
                <w:color w:val="00B050"/>
              </w:rPr>
            </w:pPr>
            <w:r w:rsidRPr="00A60432">
              <w:rPr>
                <w:b/>
                <w:bCs/>
                <w:color w:val="00B050"/>
              </w:rPr>
              <w:sym w:font="Wingdings" w:char="F0FC"/>
            </w:r>
          </w:p>
        </w:tc>
      </w:tr>
      <w:tr w:rsidR="00E84416" w:rsidRPr="00E308CF" w14:paraId="1C4826FF" w14:textId="77777777" w:rsidTr="00E8503F">
        <w:trPr>
          <w:trHeight w:val="929"/>
        </w:trPr>
        <w:tc>
          <w:tcPr>
            <w:tcW w:w="1268" w:type="dxa"/>
            <w:vMerge/>
            <w:vAlign w:val="center"/>
            <w:hideMark/>
          </w:tcPr>
          <w:p w14:paraId="1E676B1E" w14:textId="77777777" w:rsidR="00E84416" w:rsidRPr="007B38C6" w:rsidRDefault="00E84416" w:rsidP="00E8503F">
            <w:pPr>
              <w:rPr>
                <w:b/>
                <w:bCs/>
                <w:sz w:val="22"/>
                <w:szCs w:val="22"/>
              </w:rPr>
            </w:pPr>
          </w:p>
        </w:tc>
        <w:tc>
          <w:tcPr>
            <w:tcW w:w="1134" w:type="dxa"/>
            <w:vMerge/>
            <w:vAlign w:val="center"/>
            <w:hideMark/>
          </w:tcPr>
          <w:p w14:paraId="00851653" w14:textId="77777777" w:rsidR="00E84416" w:rsidRPr="007B38C6" w:rsidRDefault="00E84416" w:rsidP="00E8503F">
            <w:pPr>
              <w:rPr>
                <w:b/>
                <w:bCs/>
                <w:sz w:val="22"/>
                <w:szCs w:val="22"/>
              </w:rPr>
            </w:pPr>
          </w:p>
        </w:tc>
        <w:tc>
          <w:tcPr>
            <w:tcW w:w="3544" w:type="dxa"/>
            <w:tcMar>
              <w:top w:w="0" w:type="dxa"/>
              <w:left w:w="108" w:type="dxa"/>
              <w:bottom w:w="0" w:type="dxa"/>
              <w:right w:w="108" w:type="dxa"/>
            </w:tcMar>
            <w:hideMark/>
          </w:tcPr>
          <w:p w14:paraId="0CB61904" w14:textId="77777777" w:rsidR="00E84416" w:rsidRPr="007B38C6" w:rsidRDefault="00E84416" w:rsidP="00E8503F">
            <w:pPr>
              <w:pStyle w:val="ListParagraph"/>
              <w:numPr>
                <w:ilvl w:val="0"/>
                <w:numId w:val="12"/>
              </w:numPr>
              <w:spacing w:after="0" w:line="240" w:lineRule="auto"/>
              <w:ind w:left="357" w:hanging="357"/>
              <w:rPr>
                <w:rFonts w:eastAsia="Times New Roman"/>
                <w:sz w:val="22"/>
                <w:szCs w:val="22"/>
              </w:rPr>
            </w:pPr>
            <w:r w:rsidRPr="007B38C6">
              <w:rPr>
                <w:sz w:val="22"/>
                <w:szCs w:val="22"/>
              </w:rPr>
              <w:t>Tissue</w:t>
            </w:r>
            <w:r w:rsidRPr="007B38C6">
              <w:rPr>
                <w:rFonts w:eastAsia="Times New Roman"/>
                <w:sz w:val="22"/>
                <w:szCs w:val="22"/>
              </w:rPr>
              <w:t xml:space="preserve"> distribution and storage</w:t>
            </w:r>
          </w:p>
          <w:p w14:paraId="40EA5E09" w14:textId="77777777" w:rsidR="00E84416" w:rsidRPr="007B38C6" w:rsidRDefault="00E84416" w:rsidP="00E8503F">
            <w:pPr>
              <w:pStyle w:val="ListParagraph"/>
              <w:numPr>
                <w:ilvl w:val="0"/>
                <w:numId w:val="12"/>
              </w:numPr>
              <w:spacing w:after="0" w:line="240" w:lineRule="auto"/>
              <w:ind w:left="357" w:hanging="357"/>
              <w:rPr>
                <w:rFonts w:eastAsia="Times New Roman"/>
                <w:sz w:val="22"/>
                <w:szCs w:val="22"/>
              </w:rPr>
            </w:pPr>
            <w:r w:rsidRPr="007B38C6">
              <w:rPr>
                <w:sz w:val="22"/>
                <w:szCs w:val="22"/>
              </w:rPr>
              <w:t>Metabolism</w:t>
            </w:r>
          </w:p>
          <w:p w14:paraId="7A264B5B" w14:textId="77777777" w:rsidR="00E84416" w:rsidRPr="007B38C6" w:rsidRDefault="00E84416" w:rsidP="00E8503F">
            <w:pPr>
              <w:pStyle w:val="ListParagraph"/>
              <w:widowControl w:val="0"/>
              <w:numPr>
                <w:ilvl w:val="0"/>
                <w:numId w:val="12"/>
              </w:numPr>
              <w:autoSpaceDE w:val="0"/>
              <w:autoSpaceDN w:val="0"/>
              <w:spacing w:after="0" w:line="240" w:lineRule="auto"/>
              <w:ind w:left="357" w:hanging="357"/>
              <w:rPr>
                <w:rFonts w:eastAsia="Times New Roman"/>
                <w:sz w:val="22"/>
                <w:szCs w:val="22"/>
              </w:rPr>
            </w:pPr>
            <w:r w:rsidRPr="007B38C6">
              <w:rPr>
                <w:rFonts w:eastAsia="Times New Roman"/>
                <w:sz w:val="22"/>
                <w:szCs w:val="22"/>
              </w:rPr>
              <w:t xml:space="preserve">Mode and </w:t>
            </w:r>
            <w:r w:rsidRPr="007B38C6">
              <w:rPr>
                <w:sz w:val="22"/>
                <w:szCs w:val="22"/>
              </w:rPr>
              <w:t>extent</w:t>
            </w:r>
            <w:r w:rsidRPr="007B38C6">
              <w:rPr>
                <w:rFonts w:eastAsia="Times New Roman"/>
                <w:sz w:val="22"/>
                <w:szCs w:val="22"/>
              </w:rPr>
              <w:t xml:space="preserve"> of excretion or elimination</w:t>
            </w:r>
          </w:p>
        </w:tc>
        <w:tc>
          <w:tcPr>
            <w:tcW w:w="1417" w:type="dxa"/>
            <w:tcMar>
              <w:top w:w="0" w:type="dxa"/>
              <w:left w:w="108" w:type="dxa"/>
              <w:bottom w:w="0" w:type="dxa"/>
              <w:right w:w="108" w:type="dxa"/>
            </w:tcMar>
            <w:vAlign w:val="center"/>
            <w:hideMark/>
          </w:tcPr>
          <w:p w14:paraId="2A25E08A" w14:textId="77777777" w:rsidR="00E84416" w:rsidRPr="00E308CF" w:rsidRDefault="00E84416" w:rsidP="00E8503F">
            <w:pPr>
              <w:jc w:val="center"/>
              <w:rPr>
                <w:b/>
                <w:bCs/>
                <w:color w:val="FF6600"/>
                <w:vertAlign w:val="superscript"/>
              </w:rPr>
            </w:pPr>
            <w:r>
              <w:rPr>
                <w:rFonts w:ascii="Wingdings 3" w:hAnsi="Wingdings 3"/>
                <w:b/>
                <w:bCs/>
                <w:color w:val="4472C4"/>
              </w:rPr>
              <w:t>r</w:t>
            </w:r>
            <w:r w:rsidRPr="00B94B79">
              <w:rPr>
                <w:rStyle w:val="FootnoteReference"/>
                <w:b/>
                <w:bCs/>
                <w:color w:val="4472C4"/>
              </w:rPr>
              <w:footnoteReference w:id="9"/>
            </w:r>
          </w:p>
        </w:tc>
        <w:tc>
          <w:tcPr>
            <w:tcW w:w="1701" w:type="dxa"/>
            <w:vAlign w:val="center"/>
            <w:hideMark/>
          </w:tcPr>
          <w:p w14:paraId="0A23D8FD" w14:textId="77777777" w:rsidR="00E84416" w:rsidRPr="00E308CF" w:rsidRDefault="00E84416" w:rsidP="00E8503F">
            <w:pPr>
              <w:jc w:val="center"/>
              <w:rPr>
                <w:b/>
                <w:bCs/>
                <w:color w:val="FF6600"/>
                <w:vertAlign w:val="superscript"/>
              </w:rPr>
            </w:pPr>
            <w:r>
              <w:rPr>
                <w:rFonts w:ascii="Wingdings 3" w:hAnsi="Wingdings 3"/>
                <w:b/>
                <w:bCs/>
                <w:color w:val="4472C4"/>
              </w:rPr>
              <w:t>r</w:t>
            </w:r>
            <w:r>
              <w:rPr>
                <w:b/>
                <w:bCs/>
                <w:color w:val="4472C4"/>
                <w:vertAlign w:val="superscript"/>
              </w:rPr>
              <w:t>10</w:t>
            </w:r>
          </w:p>
        </w:tc>
      </w:tr>
      <w:tr w:rsidR="00E84416" w:rsidRPr="00E308CF" w14:paraId="748CEE0F" w14:textId="77777777" w:rsidTr="00E8503F">
        <w:trPr>
          <w:trHeight w:val="3310"/>
        </w:trPr>
        <w:tc>
          <w:tcPr>
            <w:tcW w:w="1268" w:type="dxa"/>
            <w:vMerge/>
            <w:vAlign w:val="center"/>
            <w:hideMark/>
          </w:tcPr>
          <w:p w14:paraId="170CCA3F" w14:textId="77777777" w:rsidR="00E84416" w:rsidRPr="007B38C6" w:rsidRDefault="00E84416" w:rsidP="00E8503F">
            <w:pPr>
              <w:rPr>
                <w:b/>
                <w:bCs/>
                <w:sz w:val="22"/>
                <w:szCs w:val="22"/>
              </w:rPr>
            </w:pPr>
          </w:p>
        </w:tc>
        <w:tc>
          <w:tcPr>
            <w:tcW w:w="1134" w:type="dxa"/>
            <w:tcMar>
              <w:top w:w="0" w:type="dxa"/>
              <w:left w:w="108" w:type="dxa"/>
              <w:bottom w:w="0" w:type="dxa"/>
              <w:right w:w="108" w:type="dxa"/>
            </w:tcMar>
            <w:hideMark/>
          </w:tcPr>
          <w:p w14:paraId="60B7A2E9" w14:textId="77777777" w:rsidR="00E84416" w:rsidRPr="007B38C6" w:rsidRDefault="00E84416" w:rsidP="00E8503F">
            <w:pPr>
              <w:rPr>
                <w:b/>
                <w:bCs/>
                <w:sz w:val="22"/>
                <w:szCs w:val="22"/>
              </w:rPr>
            </w:pPr>
            <w:r w:rsidRPr="007B38C6">
              <w:rPr>
                <w:b/>
                <w:bCs/>
                <w:sz w:val="22"/>
                <w:szCs w:val="22"/>
              </w:rPr>
              <w:t>Pharmacodynamics</w:t>
            </w:r>
          </w:p>
        </w:tc>
        <w:tc>
          <w:tcPr>
            <w:tcW w:w="3544" w:type="dxa"/>
            <w:tcMar>
              <w:top w:w="0" w:type="dxa"/>
              <w:left w:w="108" w:type="dxa"/>
              <w:bottom w:w="0" w:type="dxa"/>
              <w:right w:w="108" w:type="dxa"/>
            </w:tcMar>
            <w:hideMark/>
          </w:tcPr>
          <w:p w14:paraId="7FF19E2E" w14:textId="77777777" w:rsidR="00E84416" w:rsidRPr="007B38C6" w:rsidRDefault="00E84416" w:rsidP="00E8503F">
            <w:pPr>
              <w:rPr>
                <w:sz w:val="22"/>
                <w:szCs w:val="22"/>
              </w:rPr>
            </w:pPr>
            <w:r w:rsidRPr="007B38C6">
              <w:rPr>
                <w:sz w:val="22"/>
                <w:szCs w:val="22"/>
              </w:rPr>
              <w:t>For substances that are systemically absorbed (or cannot be excluded), pharmacology information addressing:</w:t>
            </w:r>
          </w:p>
          <w:p w14:paraId="734E4D3C" w14:textId="77777777" w:rsidR="00E84416" w:rsidRPr="007B38C6" w:rsidRDefault="00E84416" w:rsidP="00E8503F">
            <w:pPr>
              <w:pStyle w:val="ListParagraph"/>
              <w:numPr>
                <w:ilvl w:val="0"/>
                <w:numId w:val="12"/>
              </w:numPr>
              <w:spacing w:after="0" w:line="240" w:lineRule="auto"/>
              <w:ind w:left="357" w:hanging="357"/>
              <w:rPr>
                <w:rFonts w:eastAsia="Times New Roman"/>
                <w:sz w:val="22"/>
                <w:szCs w:val="22"/>
              </w:rPr>
            </w:pPr>
            <w:r w:rsidRPr="007B38C6">
              <w:rPr>
                <w:rFonts w:eastAsia="Times New Roman"/>
                <w:sz w:val="22"/>
                <w:szCs w:val="22"/>
              </w:rPr>
              <w:t xml:space="preserve">Primary </w:t>
            </w:r>
            <w:r w:rsidRPr="007B38C6">
              <w:rPr>
                <w:sz w:val="22"/>
                <w:szCs w:val="22"/>
              </w:rPr>
              <w:t>pharmacodynamics</w:t>
            </w:r>
          </w:p>
          <w:p w14:paraId="1DF5E0D3" w14:textId="77777777" w:rsidR="00E84416" w:rsidRPr="007B38C6" w:rsidRDefault="00E84416" w:rsidP="00E8503F">
            <w:pPr>
              <w:pStyle w:val="ListParagraph"/>
              <w:numPr>
                <w:ilvl w:val="0"/>
                <w:numId w:val="12"/>
              </w:numPr>
              <w:spacing w:after="0" w:line="240" w:lineRule="auto"/>
              <w:ind w:left="357" w:hanging="357"/>
              <w:rPr>
                <w:rFonts w:eastAsia="Times New Roman"/>
                <w:sz w:val="22"/>
                <w:szCs w:val="22"/>
              </w:rPr>
            </w:pPr>
            <w:r w:rsidRPr="007B38C6">
              <w:rPr>
                <w:rFonts w:eastAsia="Times New Roman"/>
                <w:sz w:val="22"/>
                <w:szCs w:val="22"/>
              </w:rPr>
              <w:t xml:space="preserve">Safety pharmacology to study the effects of the substance </w:t>
            </w:r>
            <w:r w:rsidRPr="007B38C6">
              <w:rPr>
                <w:sz w:val="22"/>
                <w:szCs w:val="22"/>
              </w:rPr>
              <w:t>on</w:t>
            </w:r>
            <w:r w:rsidRPr="007B38C6">
              <w:rPr>
                <w:rFonts w:eastAsia="Times New Roman"/>
                <w:sz w:val="22"/>
                <w:szCs w:val="22"/>
              </w:rPr>
              <w:t xml:space="preserve"> the following vital functions:</w:t>
            </w:r>
          </w:p>
          <w:p w14:paraId="7CBEB306" w14:textId="77777777" w:rsidR="00E84416" w:rsidRPr="007B38C6" w:rsidRDefault="00E84416" w:rsidP="00E8503F">
            <w:pPr>
              <w:pStyle w:val="ListParagraph"/>
              <w:numPr>
                <w:ilvl w:val="1"/>
                <w:numId w:val="13"/>
              </w:numPr>
              <w:spacing w:before="120" w:after="180" w:line="240" w:lineRule="auto"/>
              <w:ind w:left="666"/>
              <w:rPr>
                <w:sz w:val="22"/>
                <w:szCs w:val="22"/>
              </w:rPr>
            </w:pPr>
            <w:r w:rsidRPr="007B38C6">
              <w:rPr>
                <w:sz w:val="22"/>
                <w:szCs w:val="22"/>
              </w:rPr>
              <w:t>Central nervous system</w:t>
            </w:r>
          </w:p>
          <w:p w14:paraId="3AE6EC1C" w14:textId="77777777" w:rsidR="00E84416" w:rsidRPr="007B38C6" w:rsidRDefault="00E84416" w:rsidP="00E8503F">
            <w:pPr>
              <w:pStyle w:val="ListParagraph"/>
              <w:numPr>
                <w:ilvl w:val="1"/>
                <w:numId w:val="13"/>
              </w:numPr>
              <w:spacing w:before="120" w:after="180" w:line="240" w:lineRule="auto"/>
              <w:ind w:left="666"/>
              <w:rPr>
                <w:sz w:val="22"/>
                <w:szCs w:val="22"/>
              </w:rPr>
            </w:pPr>
            <w:r w:rsidRPr="007B38C6">
              <w:rPr>
                <w:sz w:val="22"/>
                <w:szCs w:val="22"/>
              </w:rPr>
              <w:t>Cardiovascular system</w:t>
            </w:r>
          </w:p>
          <w:p w14:paraId="47FCBC9F" w14:textId="77777777" w:rsidR="00E84416" w:rsidRPr="007B38C6" w:rsidRDefault="00E84416" w:rsidP="00E8503F">
            <w:pPr>
              <w:pStyle w:val="ListParagraph"/>
              <w:numPr>
                <w:ilvl w:val="1"/>
                <w:numId w:val="13"/>
              </w:numPr>
              <w:spacing w:before="120" w:after="180" w:line="240" w:lineRule="auto"/>
              <w:ind w:left="666"/>
              <w:rPr>
                <w:sz w:val="22"/>
                <w:szCs w:val="22"/>
              </w:rPr>
            </w:pPr>
            <w:r w:rsidRPr="007B38C6">
              <w:rPr>
                <w:sz w:val="22"/>
                <w:szCs w:val="22"/>
              </w:rPr>
              <w:t>Respiratory system</w:t>
            </w:r>
          </w:p>
          <w:p w14:paraId="45DD006B" w14:textId="77777777" w:rsidR="00E84416" w:rsidRPr="007B38C6" w:rsidRDefault="00E84416" w:rsidP="00E8503F">
            <w:pPr>
              <w:pStyle w:val="ListParagraph"/>
              <w:widowControl w:val="0"/>
              <w:numPr>
                <w:ilvl w:val="0"/>
                <w:numId w:val="12"/>
              </w:numPr>
              <w:autoSpaceDE w:val="0"/>
              <w:autoSpaceDN w:val="0"/>
              <w:spacing w:after="0" w:line="240" w:lineRule="auto"/>
              <w:ind w:left="357" w:hanging="357"/>
              <w:rPr>
                <w:rFonts w:eastAsia="Times New Roman"/>
                <w:sz w:val="22"/>
                <w:szCs w:val="22"/>
              </w:rPr>
            </w:pPr>
            <w:r w:rsidRPr="007B38C6">
              <w:rPr>
                <w:rFonts w:eastAsia="Times New Roman"/>
                <w:sz w:val="22"/>
                <w:szCs w:val="22"/>
              </w:rPr>
              <w:t xml:space="preserve">Known </w:t>
            </w:r>
            <w:r w:rsidRPr="007B38C6">
              <w:rPr>
                <w:sz w:val="22"/>
                <w:szCs w:val="22"/>
              </w:rPr>
              <w:t>pharmacodynamic</w:t>
            </w:r>
            <w:r w:rsidRPr="007B38C6">
              <w:rPr>
                <w:rFonts w:eastAsia="Times New Roman"/>
                <w:sz w:val="22"/>
                <w:szCs w:val="22"/>
              </w:rPr>
              <w:t xml:space="preserve"> drug interactions</w:t>
            </w:r>
          </w:p>
        </w:tc>
        <w:tc>
          <w:tcPr>
            <w:tcW w:w="1417" w:type="dxa"/>
            <w:tcMar>
              <w:top w:w="0" w:type="dxa"/>
              <w:left w:w="108" w:type="dxa"/>
              <w:bottom w:w="0" w:type="dxa"/>
              <w:right w:w="108" w:type="dxa"/>
            </w:tcMar>
            <w:vAlign w:val="center"/>
            <w:hideMark/>
          </w:tcPr>
          <w:p w14:paraId="4A65EED9" w14:textId="77777777" w:rsidR="00E84416" w:rsidRPr="00E308CF" w:rsidRDefault="00E84416" w:rsidP="00E8503F">
            <w:pPr>
              <w:jc w:val="center"/>
              <w:rPr>
                <w:b/>
                <w:bCs/>
                <w:color w:val="FF0000"/>
              </w:rPr>
            </w:pPr>
            <w:r>
              <w:rPr>
                <w:rFonts w:ascii="Wingdings 3" w:hAnsi="Wingdings 3"/>
                <w:b/>
                <w:bCs/>
                <w:color w:val="4472C4"/>
              </w:rPr>
              <w:t>r</w:t>
            </w:r>
            <w:r w:rsidRPr="00B94B79">
              <w:rPr>
                <w:rStyle w:val="FootnoteReference"/>
                <w:b/>
                <w:bCs/>
                <w:color w:val="4472C4"/>
              </w:rPr>
              <w:footnoteReference w:id="10"/>
            </w:r>
          </w:p>
        </w:tc>
        <w:tc>
          <w:tcPr>
            <w:tcW w:w="1701" w:type="dxa"/>
            <w:vAlign w:val="center"/>
            <w:hideMark/>
          </w:tcPr>
          <w:p w14:paraId="4388DCD7" w14:textId="77777777" w:rsidR="00E84416" w:rsidRPr="00E308CF" w:rsidRDefault="00E84416" w:rsidP="00E8503F">
            <w:pPr>
              <w:jc w:val="center"/>
              <w:rPr>
                <w:b/>
                <w:bCs/>
                <w:color w:val="FF0000"/>
                <w:highlight w:val="yellow"/>
                <w:vertAlign w:val="superscript"/>
              </w:rPr>
            </w:pPr>
            <w:r>
              <w:rPr>
                <w:rFonts w:ascii="Wingdings 3" w:hAnsi="Wingdings 3"/>
                <w:b/>
                <w:bCs/>
                <w:color w:val="4472C4"/>
              </w:rPr>
              <w:t>r</w:t>
            </w:r>
            <w:r>
              <w:rPr>
                <w:b/>
                <w:bCs/>
                <w:color w:val="4472C4"/>
                <w:vertAlign w:val="superscript"/>
              </w:rPr>
              <w:t>11</w:t>
            </w:r>
          </w:p>
        </w:tc>
      </w:tr>
      <w:tr w:rsidR="00E84416" w:rsidRPr="00E308CF" w14:paraId="226672D2" w14:textId="77777777" w:rsidTr="00E8503F">
        <w:trPr>
          <w:trHeight w:val="4374"/>
        </w:trPr>
        <w:tc>
          <w:tcPr>
            <w:tcW w:w="2402" w:type="dxa"/>
            <w:gridSpan w:val="2"/>
            <w:vMerge w:val="restart"/>
            <w:tcMar>
              <w:top w:w="0" w:type="dxa"/>
              <w:left w:w="108" w:type="dxa"/>
              <w:bottom w:w="0" w:type="dxa"/>
              <w:right w:w="108" w:type="dxa"/>
            </w:tcMar>
          </w:tcPr>
          <w:p w14:paraId="5D959A00" w14:textId="77777777" w:rsidR="00E84416" w:rsidRPr="007B38C6" w:rsidRDefault="00E84416" w:rsidP="00E8503F">
            <w:pPr>
              <w:rPr>
                <w:b/>
                <w:bCs/>
                <w:sz w:val="22"/>
                <w:szCs w:val="22"/>
              </w:rPr>
            </w:pPr>
            <w:r w:rsidRPr="007B38C6">
              <w:rPr>
                <w:b/>
                <w:bCs/>
                <w:sz w:val="22"/>
                <w:szCs w:val="22"/>
              </w:rPr>
              <w:t>Toxicological data</w:t>
            </w:r>
          </w:p>
          <w:p w14:paraId="4F41E936" w14:textId="77777777" w:rsidR="00E84416" w:rsidRPr="007B38C6" w:rsidRDefault="00E84416" w:rsidP="00E8503F">
            <w:pPr>
              <w:rPr>
                <w:b/>
                <w:bCs/>
                <w:sz w:val="22"/>
                <w:szCs w:val="22"/>
              </w:rPr>
            </w:pPr>
          </w:p>
        </w:tc>
        <w:tc>
          <w:tcPr>
            <w:tcW w:w="3544" w:type="dxa"/>
            <w:tcMar>
              <w:top w:w="0" w:type="dxa"/>
              <w:left w:w="108" w:type="dxa"/>
              <w:bottom w:w="0" w:type="dxa"/>
              <w:right w:w="108" w:type="dxa"/>
            </w:tcMar>
            <w:hideMark/>
          </w:tcPr>
          <w:p w14:paraId="2E9C9615" w14:textId="77777777" w:rsidR="00E84416" w:rsidRPr="007B38C6" w:rsidRDefault="00E84416" w:rsidP="00E8503F">
            <w:pPr>
              <w:keepNext/>
              <w:rPr>
                <w:sz w:val="22"/>
                <w:szCs w:val="22"/>
              </w:rPr>
            </w:pPr>
            <w:r w:rsidRPr="007B38C6">
              <w:rPr>
                <w:sz w:val="22"/>
                <w:szCs w:val="22"/>
              </w:rPr>
              <w:t xml:space="preserve">Information from </w:t>
            </w:r>
            <w:r w:rsidRPr="007B38C6">
              <w:rPr>
                <w:i/>
                <w:iCs/>
                <w:sz w:val="22"/>
                <w:szCs w:val="22"/>
              </w:rPr>
              <w:t>in vitro</w:t>
            </w:r>
            <w:r w:rsidRPr="007B38C6">
              <w:rPr>
                <w:sz w:val="22"/>
                <w:szCs w:val="22"/>
              </w:rPr>
              <w:t xml:space="preserve"> studies, animal studies, human clinical studies or other information (or a combination) addressing:</w:t>
            </w:r>
          </w:p>
          <w:p w14:paraId="483678D2" w14:textId="77777777" w:rsidR="00E84416" w:rsidRPr="007B38C6" w:rsidRDefault="00E84416" w:rsidP="00E8503F">
            <w:pPr>
              <w:pStyle w:val="ListParagraph"/>
              <w:numPr>
                <w:ilvl w:val="0"/>
                <w:numId w:val="12"/>
              </w:numPr>
              <w:spacing w:after="0" w:line="240" w:lineRule="auto"/>
              <w:ind w:left="357" w:hanging="357"/>
              <w:rPr>
                <w:rFonts w:eastAsia="Times New Roman"/>
                <w:sz w:val="22"/>
                <w:szCs w:val="22"/>
                <w:u w:val="single"/>
              </w:rPr>
            </w:pPr>
            <w:r w:rsidRPr="007B38C6">
              <w:rPr>
                <w:rFonts w:eastAsia="Times New Roman"/>
                <w:sz w:val="22"/>
                <w:szCs w:val="22"/>
              </w:rPr>
              <w:t xml:space="preserve">Maximum </w:t>
            </w:r>
            <w:r w:rsidRPr="007B38C6">
              <w:rPr>
                <w:sz w:val="22"/>
                <w:szCs w:val="22"/>
              </w:rPr>
              <w:t>daily</w:t>
            </w:r>
            <w:r w:rsidRPr="007B38C6">
              <w:rPr>
                <w:rFonts w:eastAsia="Times New Roman"/>
                <w:sz w:val="22"/>
                <w:szCs w:val="22"/>
              </w:rPr>
              <w:t xml:space="preserve"> dosage</w:t>
            </w:r>
          </w:p>
          <w:p w14:paraId="6CC5FE48" w14:textId="77777777" w:rsidR="00E84416" w:rsidRPr="007B38C6" w:rsidRDefault="00E84416" w:rsidP="00E8503F">
            <w:pPr>
              <w:pStyle w:val="ListParagraph"/>
              <w:numPr>
                <w:ilvl w:val="0"/>
                <w:numId w:val="12"/>
              </w:numPr>
              <w:spacing w:after="0" w:line="240" w:lineRule="auto"/>
              <w:ind w:left="357" w:hanging="357"/>
              <w:rPr>
                <w:rFonts w:eastAsia="Times New Roman"/>
                <w:sz w:val="22"/>
                <w:szCs w:val="22"/>
              </w:rPr>
            </w:pPr>
            <w:r w:rsidRPr="007B38C6">
              <w:rPr>
                <w:sz w:val="22"/>
                <w:szCs w:val="22"/>
              </w:rPr>
              <w:t>Duration</w:t>
            </w:r>
            <w:r w:rsidRPr="007B38C6">
              <w:rPr>
                <w:rStyle w:val="Hyperlink"/>
                <w:rFonts w:eastAsia="Times New Roman"/>
                <w:color w:val="auto"/>
                <w:sz w:val="22"/>
                <w:szCs w:val="22"/>
              </w:rPr>
              <w:t xml:space="preserve"> of use </w:t>
            </w:r>
          </w:p>
          <w:p w14:paraId="02B902E0" w14:textId="77777777" w:rsidR="00E84416" w:rsidRPr="007B38C6" w:rsidRDefault="00E84416" w:rsidP="00E8503F">
            <w:pPr>
              <w:pStyle w:val="ListParagraph"/>
              <w:numPr>
                <w:ilvl w:val="0"/>
                <w:numId w:val="12"/>
              </w:numPr>
              <w:spacing w:after="0" w:line="240" w:lineRule="auto"/>
              <w:ind w:left="357" w:hanging="357"/>
              <w:rPr>
                <w:rFonts w:eastAsia="Times New Roman"/>
                <w:sz w:val="22"/>
                <w:szCs w:val="22"/>
              </w:rPr>
            </w:pPr>
            <w:r w:rsidRPr="007B38C6">
              <w:rPr>
                <w:rFonts w:eastAsia="Times New Roman"/>
                <w:sz w:val="22"/>
                <w:szCs w:val="22"/>
              </w:rPr>
              <w:t>Genotoxicity</w:t>
            </w:r>
          </w:p>
          <w:p w14:paraId="0EB00273" w14:textId="77777777" w:rsidR="00E84416" w:rsidRPr="007B38C6" w:rsidRDefault="00E84416" w:rsidP="00E8503F">
            <w:pPr>
              <w:pStyle w:val="ListParagraph"/>
              <w:numPr>
                <w:ilvl w:val="0"/>
                <w:numId w:val="12"/>
              </w:numPr>
              <w:spacing w:after="0" w:line="240" w:lineRule="auto"/>
              <w:ind w:left="357" w:hanging="357"/>
              <w:rPr>
                <w:rFonts w:eastAsia="Times New Roman"/>
                <w:sz w:val="22"/>
                <w:szCs w:val="22"/>
                <w:u w:val="single"/>
              </w:rPr>
            </w:pPr>
            <w:r w:rsidRPr="007B38C6">
              <w:rPr>
                <w:rFonts w:eastAsia="Times New Roman"/>
                <w:sz w:val="22"/>
                <w:szCs w:val="22"/>
              </w:rPr>
              <w:t xml:space="preserve">Carcinogenicity (if continuous use of at least 6 months intended) </w:t>
            </w:r>
          </w:p>
          <w:p w14:paraId="115ABCAA" w14:textId="77777777" w:rsidR="00E84416" w:rsidRPr="007B38C6" w:rsidRDefault="00E84416" w:rsidP="00E8503F">
            <w:pPr>
              <w:pStyle w:val="ListParagraph"/>
              <w:widowControl w:val="0"/>
              <w:numPr>
                <w:ilvl w:val="0"/>
                <w:numId w:val="12"/>
              </w:numPr>
              <w:autoSpaceDE w:val="0"/>
              <w:autoSpaceDN w:val="0"/>
              <w:spacing w:after="0" w:line="240" w:lineRule="auto"/>
              <w:ind w:left="357" w:hanging="357"/>
              <w:rPr>
                <w:rFonts w:eastAsia="Times New Roman"/>
                <w:sz w:val="22"/>
                <w:szCs w:val="22"/>
                <w:u w:val="single"/>
              </w:rPr>
            </w:pPr>
            <w:r w:rsidRPr="007B38C6">
              <w:rPr>
                <w:rFonts w:eastAsia="Times New Roman"/>
                <w:sz w:val="22"/>
                <w:szCs w:val="22"/>
              </w:rPr>
              <w:t xml:space="preserve">Reproductive and developmental toxicity (if there are no restrictions proposed in the application that limit use of the substance for use in pregnant or lactating females, or in a paediatric population &lt; 18 </w:t>
            </w:r>
            <w:r w:rsidRPr="007B38C6">
              <w:rPr>
                <w:rFonts w:eastAsia="Times New Roman"/>
                <w:sz w:val="22"/>
                <w:szCs w:val="22"/>
              </w:rPr>
              <w:lastRenderedPageBreak/>
              <w:t>years)</w:t>
            </w:r>
          </w:p>
        </w:tc>
        <w:tc>
          <w:tcPr>
            <w:tcW w:w="1417" w:type="dxa"/>
            <w:tcMar>
              <w:top w:w="0" w:type="dxa"/>
              <w:left w:w="108" w:type="dxa"/>
              <w:bottom w:w="0" w:type="dxa"/>
              <w:right w:w="108" w:type="dxa"/>
            </w:tcMar>
            <w:vAlign w:val="center"/>
            <w:hideMark/>
          </w:tcPr>
          <w:p w14:paraId="610489CA" w14:textId="77777777" w:rsidR="00E84416" w:rsidRPr="00E308CF" w:rsidRDefault="00E84416" w:rsidP="00E8503F">
            <w:pPr>
              <w:jc w:val="center"/>
              <w:rPr>
                <w:b/>
                <w:bCs/>
                <w:color w:val="FF0000"/>
              </w:rPr>
            </w:pPr>
            <w:r>
              <w:rPr>
                <w:rFonts w:ascii="Wingdings 3" w:hAnsi="Wingdings 3"/>
                <w:b/>
                <w:bCs/>
                <w:color w:val="4472C4"/>
              </w:rPr>
              <w:lastRenderedPageBreak/>
              <w:t>r</w:t>
            </w:r>
            <w:r w:rsidRPr="00B94B79">
              <w:rPr>
                <w:rStyle w:val="FootnoteReference"/>
                <w:b/>
                <w:bCs/>
                <w:color w:val="4472C4"/>
              </w:rPr>
              <w:footnoteReference w:id="11"/>
            </w:r>
          </w:p>
        </w:tc>
        <w:tc>
          <w:tcPr>
            <w:tcW w:w="1701" w:type="dxa"/>
            <w:vAlign w:val="center"/>
            <w:hideMark/>
          </w:tcPr>
          <w:p w14:paraId="062707E4" w14:textId="77777777" w:rsidR="00E84416" w:rsidRPr="00E308CF" w:rsidRDefault="00E84416" w:rsidP="00E8503F">
            <w:pPr>
              <w:jc w:val="center"/>
              <w:rPr>
                <w:b/>
                <w:bCs/>
                <w:color w:val="FF0000"/>
                <w:vertAlign w:val="superscript"/>
              </w:rPr>
            </w:pPr>
            <w:r>
              <w:rPr>
                <w:rFonts w:ascii="Wingdings 3" w:hAnsi="Wingdings 3"/>
                <w:b/>
                <w:bCs/>
                <w:color w:val="4472C4"/>
              </w:rPr>
              <w:t>r</w:t>
            </w:r>
            <w:r>
              <w:rPr>
                <w:b/>
                <w:bCs/>
                <w:color w:val="4472C4"/>
                <w:vertAlign w:val="superscript"/>
              </w:rPr>
              <w:t>12</w:t>
            </w:r>
          </w:p>
        </w:tc>
      </w:tr>
      <w:tr w:rsidR="00E84416" w:rsidRPr="00E308CF" w14:paraId="373FEB56" w14:textId="77777777" w:rsidTr="00E8503F">
        <w:trPr>
          <w:trHeight w:val="362"/>
        </w:trPr>
        <w:tc>
          <w:tcPr>
            <w:tcW w:w="2402" w:type="dxa"/>
            <w:gridSpan w:val="2"/>
            <w:vMerge/>
            <w:vAlign w:val="center"/>
            <w:hideMark/>
          </w:tcPr>
          <w:p w14:paraId="4F4FB695" w14:textId="77777777" w:rsidR="00E84416" w:rsidRPr="007B38C6" w:rsidRDefault="00E84416" w:rsidP="00E8503F">
            <w:pPr>
              <w:rPr>
                <w:b/>
                <w:bCs/>
                <w:sz w:val="22"/>
                <w:szCs w:val="22"/>
              </w:rPr>
            </w:pPr>
          </w:p>
        </w:tc>
        <w:tc>
          <w:tcPr>
            <w:tcW w:w="3544" w:type="dxa"/>
            <w:tcMar>
              <w:top w:w="0" w:type="dxa"/>
              <w:left w:w="108" w:type="dxa"/>
              <w:bottom w:w="0" w:type="dxa"/>
              <w:right w:w="108" w:type="dxa"/>
            </w:tcMar>
            <w:hideMark/>
          </w:tcPr>
          <w:p w14:paraId="401C593B" w14:textId="77777777" w:rsidR="00E84416" w:rsidRPr="007B38C6" w:rsidRDefault="00E84416" w:rsidP="00E8503F">
            <w:pPr>
              <w:pStyle w:val="ListParagraph"/>
              <w:numPr>
                <w:ilvl w:val="0"/>
                <w:numId w:val="12"/>
              </w:numPr>
              <w:spacing w:after="0" w:line="240" w:lineRule="auto"/>
              <w:ind w:left="357" w:hanging="357"/>
              <w:rPr>
                <w:rFonts w:eastAsia="Times New Roman"/>
                <w:sz w:val="22"/>
                <w:szCs w:val="22"/>
              </w:rPr>
            </w:pPr>
            <w:r w:rsidRPr="007B38C6">
              <w:rPr>
                <w:rFonts w:eastAsia="Times New Roman"/>
                <w:sz w:val="22"/>
                <w:szCs w:val="22"/>
              </w:rPr>
              <w:t>Local tolerance</w:t>
            </w:r>
          </w:p>
        </w:tc>
        <w:tc>
          <w:tcPr>
            <w:tcW w:w="1417" w:type="dxa"/>
            <w:vAlign w:val="center"/>
            <w:hideMark/>
          </w:tcPr>
          <w:p w14:paraId="1A9803E1" w14:textId="77777777" w:rsidR="00E84416" w:rsidRPr="00E308CF" w:rsidRDefault="00E84416" w:rsidP="00E8503F">
            <w:pPr>
              <w:jc w:val="center"/>
              <w:rPr>
                <w:b/>
                <w:bCs/>
                <w:color w:val="00B050"/>
              </w:rPr>
            </w:pPr>
            <w:r w:rsidRPr="00BF6B3C">
              <w:rPr>
                <w:b/>
                <w:bCs/>
                <w:color w:val="00B050"/>
              </w:rPr>
              <w:sym w:font="Wingdings" w:char="F0FC"/>
            </w:r>
          </w:p>
        </w:tc>
        <w:tc>
          <w:tcPr>
            <w:tcW w:w="1701" w:type="dxa"/>
            <w:vAlign w:val="center"/>
            <w:hideMark/>
          </w:tcPr>
          <w:p w14:paraId="54D9813D" w14:textId="77777777" w:rsidR="00E84416" w:rsidRPr="00E308CF" w:rsidRDefault="00E84416" w:rsidP="00E8503F">
            <w:pPr>
              <w:jc w:val="center"/>
              <w:rPr>
                <w:b/>
                <w:bCs/>
                <w:color w:val="00B050"/>
              </w:rPr>
            </w:pPr>
            <w:r w:rsidRPr="00BF6B3C">
              <w:rPr>
                <w:b/>
                <w:bCs/>
                <w:color w:val="00B050"/>
              </w:rPr>
              <w:sym w:font="Wingdings" w:char="F0FC"/>
            </w:r>
          </w:p>
        </w:tc>
      </w:tr>
      <w:tr w:rsidR="00E84416" w:rsidRPr="00E308CF" w14:paraId="6962AD9B" w14:textId="77777777" w:rsidTr="00E8503F">
        <w:trPr>
          <w:trHeight w:val="343"/>
        </w:trPr>
        <w:tc>
          <w:tcPr>
            <w:tcW w:w="2402" w:type="dxa"/>
            <w:gridSpan w:val="2"/>
            <w:vMerge/>
            <w:vAlign w:val="center"/>
            <w:hideMark/>
          </w:tcPr>
          <w:p w14:paraId="2A34047B" w14:textId="77777777" w:rsidR="00E84416" w:rsidRPr="007B38C6" w:rsidRDefault="00E84416" w:rsidP="00E8503F">
            <w:pPr>
              <w:rPr>
                <w:b/>
                <w:bCs/>
                <w:sz w:val="22"/>
                <w:szCs w:val="22"/>
              </w:rPr>
            </w:pPr>
          </w:p>
        </w:tc>
        <w:tc>
          <w:tcPr>
            <w:tcW w:w="3544" w:type="dxa"/>
            <w:tcMar>
              <w:top w:w="0" w:type="dxa"/>
              <w:left w:w="108" w:type="dxa"/>
              <w:bottom w:w="0" w:type="dxa"/>
              <w:right w:w="108" w:type="dxa"/>
            </w:tcMar>
            <w:hideMark/>
          </w:tcPr>
          <w:p w14:paraId="289CAC0A" w14:textId="77777777" w:rsidR="00E84416" w:rsidRPr="007B38C6" w:rsidRDefault="00E84416" w:rsidP="00E8503F">
            <w:pPr>
              <w:pStyle w:val="ListParagraph"/>
              <w:numPr>
                <w:ilvl w:val="0"/>
                <w:numId w:val="12"/>
              </w:numPr>
              <w:spacing w:after="0" w:line="240" w:lineRule="auto"/>
              <w:ind w:left="357" w:hanging="357"/>
              <w:rPr>
                <w:rFonts w:eastAsia="Times New Roman"/>
                <w:sz w:val="22"/>
                <w:szCs w:val="22"/>
              </w:rPr>
            </w:pPr>
            <w:r w:rsidRPr="007B38C6">
              <w:rPr>
                <w:rFonts w:eastAsia="Times New Roman"/>
                <w:i/>
                <w:iCs/>
                <w:sz w:val="22"/>
                <w:szCs w:val="22"/>
              </w:rPr>
              <w:t>In silico</w:t>
            </w:r>
            <w:r w:rsidRPr="007B38C6">
              <w:rPr>
                <w:rFonts w:eastAsia="Times New Roman"/>
                <w:sz w:val="22"/>
                <w:szCs w:val="22"/>
              </w:rPr>
              <w:t xml:space="preserve"> analysis for mutagenicity if potential exposure to other tissues (e.g. oral exposure if substance applied on face). </w:t>
            </w:r>
          </w:p>
        </w:tc>
        <w:tc>
          <w:tcPr>
            <w:tcW w:w="1417" w:type="dxa"/>
            <w:vAlign w:val="center"/>
            <w:hideMark/>
          </w:tcPr>
          <w:p w14:paraId="1D80CECE" w14:textId="77777777" w:rsidR="00E84416" w:rsidRPr="00E308CF" w:rsidRDefault="00E84416" w:rsidP="00E8503F">
            <w:pPr>
              <w:jc w:val="center"/>
            </w:pPr>
            <w:r>
              <w:rPr>
                <w:rFonts w:ascii="Wingdings 3" w:hAnsi="Wingdings 3"/>
                <w:b/>
                <w:bCs/>
                <w:color w:val="4472C4"/>
              </w:rPr>
              <w:t>r</w:t>
            </w:r>
            <w:r w:rsidRPr="00B94B79">
              <w:rPr>
                <w:rStyle w:val="FootnoteReference"/>
                <w:b/>
                <w:bCs/>
                <w:color w:val="4472C4"/>
              </w:rPr>
              <w:footnoteReference w:id="12"/>
            </w:r>
          </w:p>
        </w:tc>
        <w:tc>
          <w:tcPr>
            <w:tcW w:w="1701" w:type="dxa"/>
            <w:vAlign w:val="center"/>
            <w:hideMark/>
          </w:tcPr>
          <w:p w14:paraId="718A8023" w14:textId="22C5475F" w:rsidR="00E84416" w:rsidRPr="00E308CF" w:rsidRDefault="00E84416" w:rsidP="00E8503F">
            <w:pPr>
              <w:jc w:val="center"/>
              <w:rPr>
                <w:b/>
                <w:bCs/>
                <w:color w:val="FF6600"/>
                <w:vertAlign w:val="superscript"/>
              </w:rPr>
            </w:pPr>
            <w:r>
              <w:rPr>
                <w:rFonts w:ascii="Wingdings 3" w:hAnsi="Wingdings 3"/>
                <w:b/>
                <w:bCs/>
                <w:color w:val="4472C4"/>
              </w:rPr>
              <w:t>r</w:t>
            </w:r>
            <w:r>
              <w:rPr>
                <w:b/>
                <w:bCs/>
                <w:color w:val="4472C4"/>
                <w:vertAlign w:val="superscript"/>
              </w:rPr>
              <w:t>1</w:t>
            </w:r>
            <w:r w:rsidR="00A7294A">
              <w:rPr>
                <w:b/>
                <w:bCs/>
                <w:color w:val="4472C4"/>
                <w:vertAlign w:val="superscript"/>
              </w:rPr>
              <w:t>2</w:t>
            </w:r>
          </w:p>
        </w:tc>
      </w:tr>
      <w:tr w:rsidR="00E84416" w:rsidRPr="00E308CF" w14:paraId="0C6F0042" w14:textId="77777777" w:rsidTr="00E8503F">
        <w:trPr>
          <w:trHeight w:val="343"/>
        </w:trPr>
        <w:tc>
          <w:tcPr>
            <w:tcW w:w="2402" w:type="dxa"/>
            <w:gridSpan w:val="2"/>
            <w:vAlign w:val="center"/>
            <w:hideMark/>
          </w:tcPr>
          <w:p w14:paraId="09AB0CEC" w14:textId="77777777" w:rsidR="00E84416" w:rsidRPr="007B38C6" w:rsidRDefault="00E84416" w:rsidP="00E8503F">
            <w:pPr>
              <w:rPr>
                <w:b/>
                <w:bCs/>
                <w:sz w:val="22"/>
                <w:szCs w:val="22"/>
              </w:rPr>
            </w:pPr>
            <w:r w:rsidRPr="007B38C6">
              <w:rPr>
                <w:b/>
                <w:bCs/>
                <w:sz w:val="22"/>
                <w:szCs w:val="22"/>
              </w:rPr>
              <w:t>Adverse reactions</w:t>
            </w:r>
          </w:p>
        </w:tc>
        <w:tc>
          <w:tcPr>
            <w:tcW w:w="3544" w:type="dxa"/>
            <w:tcMar>
              <w:top w:w="0" w:type="dxa"/>
              <w:left w:w="108" w:type="dxa"/>
              <w:bottom w:w="0" w:type="dxa"/>
              <w:right w:w="108" w:type="dxa"/>
            </w:tcMar>
            <w:hideMark/>
          </w:tcPr>
          <w:p w14:paraId="021B65A5" w14:textId="77777777" w:rsidR="00E84416" w:rsidRPr="007B38C6" w:rsidRDefault="00E84416" w:rsidP="00E8503F">
            <w:pPr>
              <w:rPr>
                <w:i/>
                <w:iCs/>
                <w:sz w:val="22"/>
                <w:szCs w:val="22"/>
              </w:rPr>
            </w:pPr>
            <w:r w:rsidRPr="007B38C6">
              <w:rPr>
                <w:sz w:val="22"/>
                <w:szCs w:val="22"/>
              </w:rPr>
              <w:t>A list of the nature, severity and frequency of adverse reactions from adverse event databases, clinical trials, or case reports of human poisoning</w:t>
            </w:r>
          </w:p>
        </w:tc>
        <w:tc>
          <w:tcPr>
            <w:tcW w:w="1417" w:type="dxa"/>
            <w:vAlign w:val="center"/>
            <w:hideMark/>
          </w:tcPr>
          <w:p w14:paraId="70172F59" w14:textId="77777777" w:rsidR="00E84416" w:rsidRPr="00E308CF" w:rsidRDefault="00E84416" w:rsidP="00E8503F">
            <w:pPr>
              <w:jc w:val="center"/>
              <w:rPr>
                <w:b/>
                <w:bCs/>
                <w:color w:val="00B050"/>
              </w:rPr>
            </w:pPr>
            <w:r w:rsidRPr="00101626">
              <w:rPr>
                <w:b/>
                <w:bCs/>
                <w:color w:val="00B050"/>
              </w:rPr>
              <w:sym w:font="Wingdings" w:char="F0FC"/>
            </w:r>
          </w:p>
        </w:tc>
        <w:tc>
          <w:tcPr>
            <w:tcW w:w="1701" w:type="dxa"/>
            <w:vAlign w:val="center"/>
            <w:hideMark/>
          </w:tcPr>
          <w:p w14:paraId="44806351" w14:textId="77777777" w:rsidR="00E84416" w:rsidRPr="00E308CF" w:rsidRDefault="00E84416" w:rsidP="00E8503F">
            <w:pPr>
              <w:jc w:val="center"/>
              <w:rPr>
                <w:b/>
                <w:bCs/>
                <w:color w:val="00B050"/>
              </w:rPr>
            </w:pPr>
            <w:r w:rsidRPr="00101626">
              <w:rPr>
                <w:b/>
                <w:bCs/>
                <w:color w:val="00B050"/>
              </w:rPr>
              <w:sym w:font="Wingdings" w:char="F0FC"/>
            </w:r>
          </w:p>
        </w:tc>
      </w:tr>
      <w:tr w:rsidR="00E84416" w:rsidRPr="00E308CF" w14:paraId="6597EFFD" w14:textId="77777777" w:rsidTr="00E8503F">
        <w:trPr>
          <w:trHeight w:val="343"/>
        </w:trPr>
        <w:tc>
          <w:tcPr>
            <w:tcW w:w="2402" w:type="dxa"/>
            <w:gridSpan w:val="2"/>
            <w:vAlign w:val="center"/>
            <w:hideMark/>
          </w:tcPr>
          <w:p w14:paraId="196991AF" w14:textId="77777777" w:rsidR="00E84416" w:rsidRPr="007B38C6" w:rsidRDefault="00E84416" w:rsidP="00E8503F">
            <w:pPr>
              <w:rPr>
                <w:b/>
                <w:bCs/>
                <w:sz w:val="22"/>
                <w:szCs w:val="22"/>
              </w:rPr>
            </w:pPr>
            <w:r w:rsidRPr="007B38C6">
              <w:rPr>
                <w:b/>
                <w:bCs/>
                <w:sz w:val="22"/>
                <w:szCs w:val="22"/>
              </w:rPr>
              <w:t>Substances of human or animal origin</w:t>
            </w:r>
          </w:p>
        </w:tc>
        <w:tc>
          <w:tcPr>
            <w:tcW w:w="3544" w:type="dxa"/>
            <w:tcMar>
              <w:top w:w="0" w:type="dxa"/>
              <w:left w:w="108" w:type="dxa"/>
              <w:bottom w:w="0" w:type="dxa"/>
              <w:right w:w="108" w:type="dxa"/>
            </w:tcMar>
            <w:hideMark/>
          </w:tcPr>
          <w:p w14:paraId="0206B8C6" w14:textId="77777777" w:rsidR="00E84416" w:rsidRPr="007B38C6" w:rsidRDefault="00E84416" w:rsidP="00E8503F">
            <w:pPr>
              <w:rPr>
                <w:sz w:val="22"/>
                <w:szCs w:val="22"/>
              </w:rPr>
            </w:pPr>
            <w:r w:rsidRPr="007B38C6">
              <w:rPr>
                <w:sz w:val="22"/>
                <w:szCs w:val="22"/>
              </w:rPr>
              <w:t>Information on clearance of risk for transmissible spongiform encephalopathy (TSE) if substances of human or animal origin were used during manufacture</w:t>
            </w:r>
          </w:p>
        </w:tc>
        <w:tc>
          <w:tcPr>
            <w:tcW w:w="1417" w:type="dxa"/>
            <w:vAlign w:val="center"/>
            <w:hideMark/>
          </w:tcPr>
          <w:p w14:paraId="56EB415F" w14:textId="77777777" w:rsidR="00E84416" w:rsidRPr="00E308CF" w:rsidRDefault="00E84416" w:rsidP="00E8503F">
            <w:pPr>
              <w:jc w:val="center"/>
              <w:rPr>
                <w:b/>
                <w:bCs/>
                <w:color w:val="00B050"/>
              </w:rPr>
            </w:pPr>
            <w:r w:rsidRPr="00101626">
              <w:rPr>
                <w:b/>
                <w:bCs/>
                <w:color w:val="00B050"/>
              </w:rPr>
              <w:sym w:font="Wingdings" w:char="F0FC"/>
            </w:r>
          </w:p>
        </w:tc>
        <w:tc>
          <w:tcPr>
            <w:tcW w:w="1701" w:type="dxa"/>
            <w:vAlign w:val="center"/>
            <w:hideMark/>
          </w:tcPr>
          <w:p w14:paraId="1A37B142" w14:textId="77777777" w:rsidR="00E84416" w:rsidRPr="00E308CF" w:rsidRDefault="00E84416" w:rsidP="00E8503F">
            <w:pPr>
              <w:jc w:val="center"/>
              <w:rPr>
                <w:b/>
                <w:bCs/>
                <w:color w:val="00B050"/>
              </w:rPr>
            </w:pPr>
            <w:r w:rsidRPr="00101626">
              <w:rPr>
                <w:b/>
                <w:bCs/>
                <w:color w:val="00B050"/>
              </w:rPr>
              <w:sym w:font="Wingdings" w:char="F0FC"/>
            </w:r>
          </w:p>
        </w:tc>
      </w:tr>
    </w:tbl>
    <w:bookmarkEnd w:id="90"/>
    <w:p w14:paraId="22839885" w14:textId="77777777" w:rsidR="00E84416" w:rsidRPr="008423C9" w:rsidRDefault="00E84416" w:rsidP="00E84416">
      <w:pPr>
        <w:pStyle w:val="Footer"/>
        <w:rPr>
          <w:sz w:val="18"/>
          <w:szCs w:val="18"/>
        </w:rPr>
      </w:pPr>
      <w:r w:rsidRPr="008423C9">
        <w:rPr>
          <w:rFonts w:ascii="Wingdings" w:hAnsi="Wingdings"/>
          <w:color w:val="00B050"/>
          <w:sz w:val="18"/>
          <w:szCs w:val="18"/>
        </w:rPr>
        <w:t>ü</w:t>
      </w:r>
      <w:r w:rsidRPr="008423C9">
        <w:rPr>
          <w:sz w:val="18"/>
          <w:szCs w:val="18"/>
        </w:rPr>
        <w:t>: required</w:t>
      </w:r>
    </w:p>
    <w:p w14:paraId="2D7ED898" w14:textId="77777777" w:rsidR="00E84416" w:rsidRPr="008423C9" w:rsidRDefault="00E84416" w:rsidP="00E84416">
      <w:pPr>
        <w:pStyle w:val="Footer"/>
        <w:rPr>
          <w:sz w:val="18"/>
          <w:szCs w:val="18"/>
        </w:rPr>
      </w:pPr>
      <w:r w:rsidRPr="008423C9">
        <w:rPr>
          <w:rFonts w:ascii="Wingdings" w:hAnsi="Wingdings"/>
          <w:color w:val="FF0000"/>
          <w:sz w:val="18"/>
          <w:szCs w:val="18"/>
          <w:lang w:eastAsia="en-AU"/>
        </w:rPr>
        <w:t>û</w:t>
      </w:r>
      <w:r w:rsidRPr="008423C9">
        <w:rPr>
          <w:sz w:val="18"/>
          <w:szCs w:val="18"/>
        </w:rPr>
        <w:t>: not required</w:t>
      </w:r>
    </w:p>
    <w:p w14:paraId="7648147C" w14:textId="77777777" w:rsidR="00E84416" w:rsidRPr="008423C9" w:rsidRDefault="00E84416" w:rsidP="00E84416">
      <w:pPr>
        <w:pStyle w:val="Footer"/>
        <w:rPr>
          <w:sz w:val="18"/>
          <w:szCs w:val="18"/>
        </w:rPr>
      </w:pPr>
      <w:r w:rsidRPr="008423C9">
        <w:rPr>
          <w:rFonts w:ascii="Wingdings 3" w:hAnsi="Wingdings 3"/>
          <w:color w:val="4472C4"/>
          <w:sz w:val="18"/>
          <w:szCs w:val="18"/>
        </w:rPr>
        <w:t>r</w:t>
      </w:r>
      <w:r w:rsidRPr="008423C9">
        <w:rPr>
          <w:sz w:val="18"/>
          <w:szCs w:val="18"/>
        </w:rPr>
        <w:t>: situational, see corresponding footnote</w:t>
      </w:r>
      <w:bookmarkStart w:id="91" w:name="Safety_data_requirements_for_new_excipie"/>
      <w:bookmarkEnd w:id="91"/>
      <w:r w:rsidRPr="008423C9">
        <w:rPr>
          <w:sz w:val="18"/>
          <w:szCs w:val="18"/>
        </w:rPr>
        <w:t>.</w:t>
      </w:r>
    </w:p>
    <w:p w14:paraId="4CFD44FA" w14:textId="77777777" w:rsidR="00045107" w:rsidRDefault="00045107" w:rsidP="00B822B5"/>
    <w:p w14:paraId="4B17C4B8" w14:textId="4957EBC8" w:rsidR="007F380B" w:rsidRPr="001A0529" w:rsidRDefault="007F380B" w:rsidP="007F380B">
      <w:pPr>
        <w:pStyle w:val="Heading6"/>
      </w:pPr>
      <w:r>
        <w:t>Demonstrating the substance is not carcinogenic</w:t>
      </w:r>
    </w:p>
    <w:p w14:paraId="69E29391" w14:textId="77777777" w:rsidR="007F380B" w:rsidRPr="007B38C6" w:rsidRDefault="007F380B" w:rsidP="007F380B">
      <w:r w:rsidRPr="007B38C6">
        <w:t xml:space="preserve">Sunscreens could be used long term (for at least 6 months) and are often encouraged for use (with other sun protection measures such as clothing and seeking shade) throughout most of the year and are not limited to just the summer months in Australia. </w:t>
      </w:r>
    </w:p>
    <w:p w14:paraId="344421E1" w14:textId="77777777" w:rsidR="007F380B" w:rsidRPr="007B38C6" w:rsidRDefault="007F380B" w:rsidP="007F380B">
      <w:pPr>
        <w:rPr>
          <w:rFonts w:eastAsia="Times New Roman"/>
        </w:rPr>
      </w:pPr>
      <w:r w:rsidRPr="007B38C6">
        <w:lastRenderedPageBreak/>
        <w:t xml:space="preserve">If the substance has demonstrated to not be absorbed beyond the </w:t>
      </w:r>
      <w:r w:rsidRPr="007B38C6">
        <w:rPr>
          <w:i/>
          <w:iCs/>
        </w:rPr>
        <w:t>stratum corneum</w:t>
      </w:r>
      <w:r w:rsidRPr="007B38C6">
        <w:t xml:space="preserve"> or scientific justification has been provided to address that the substance is highly unlikely to be absorbed, provide an </w:t>
      </w:r>
      <w:proofErr w:type="gramStart"/>
      <w:r w:rsidRPr="007B38C6">
        <w:rPr>
          <w:rFonts w:eastAsia="Times New Roman"/>
          <w:i/>
          <w:iCs/>
        </w:rPr>
        <w:t>in silico</w:t>
      </w:r>
      <w:proofErr w:type="gramEnd"/>
      <w:r w:rsidRPr="007B38C6">
        <w:rPr>
          <w:rFonts w:eastAsia="Times New Roman"/>
        </w:rPr>
        <w:t xml:space="preserve"> analysis for mutagenicity or genotoxicity studies (if available) to address its mutagenic potential. If these studies have not raised concerns, then the substance is not likely to have carcinogenic potential. </w:t>
      </w:r>
      <w:r w:rsidRPr="007B38C6">
        <w:t xml:space="preserve">If the </w:t>
      </w:r>
      <w:proofErr w:type="gramStart"/>
      <w:r w:rsidRPr="007B38C6">
        <w:rPr>
          <w:i/>
          <w:iCs/>
        </w:rPr>
        <w:t>in silico</w:t>
      </w:r>
      <w:proofErr w:type="gramEnd"/>
      <w:r w:rsidRPr="007B38C6">
        <w:t xml:space="preserve"> analysis for mutagenicity is positive for the substance, then the information required will be </w:t>
      </w:r>
      <w:proofErr w:type="gramStart"/>
      <w:r w:rsidRPr="007B38C6">
        <w:t>similar to</w:t>
      </w:r>
      <w:proofErr w:type="gramEnd"/>
      <w:r w:rsidRPr="007B38C6">
        <w:t xml:space="preserve"> other substances that are systemically absorbed.</w:t>
      </w:r>
      <w:r w:rsidRPr="007B38C6">
        <w:rPr>
          <w:rFonts w:eastAsia="Times New Roman"/>
        </w:rPr>
        <w:t xml:space="preserve"> </w:t>
      </w:r>
    </w:p>
    <w:p w14:paraId="34D48669" w14:textId="205D9F0E" w:rsidR="007F380B" w:rsidRPr="007B38C6" w:rsidRDefault="007F380B" w:rsidP="007F380B">
      <w:r w:rsidRPr="007B38C6">
        <w:t xml:space="preserve">If the substance is absorbed </w:t>
      </w:r>
      <w:r w:rsidRPr="007B38C6">
        <w:rPr>
          <w:szCs w:val="22"/>
        </w:rPr>
        <w:t xml:space="preserve">beyond the </w:t>
      </w:r>
      <w:r w:rsidRPr="007B38C6">
        <w:rPr>
          <w:i/>
          <w:iCs/>
          <w:szCs w:val="22"/>
        </w:rPr>
        <w:t>stratum corneum</w:t>
      </w:r>
      <w:r w:rsidRPr="007B38C6" w:rsidDel="00B94D09">
        <w:t xml:space="preserve"> </w:t>
      </w:r>
      <w:r w:rsidRPr="007B38C6">
        <w:t xml:space="preserve">(or cannot be excluded), then carcinogenicity studies </w:t>
      </w:r>
      <w:r w:rsidRPr="007B38C6">
        <w:rPr>
          <w:szCs w:val="22"/>
        </w:rPr>
        <w:t xml:space="preserve">are generally required for substances intended to be used long-term (continuous use for at least 6 months). However, </w:t>
      </w:r>
      <w:r w:rsidRPr="007B38C6">
        <w:t>the TGA will not generally consider an application for a new substance ineffective simply because a carcinogenicity study was not provided. If carcinogenicity studies are not provided, applicants need to demonstrate that the substance does not pose a risk of carcinogenicity with a justification. This could</w:t>
      </w:r>
      <w:r w:rsidRPr="007B38C6">
        <w:rPr>
          <w:spacing w:val="-2"/>
        </w:rPr>
        <w:t xml:space="preserve"> </w:t>
      </w:r>
      <w:r w:rsidRPr="007B38C6">
        <w:t>be</w:t>
      </w:r>
      <w:r w:rsidRPr="007B38C6">
        <w:rPr>
          <w:spacing w:val="-1"/>
        </w:rPr>
        <w:t xml:space="preserve"> </w:t>
      </w:r>
      <w:r w:rsidRPr="007B38C6">
        <w:t>based</w:t>
      </w:r>
      <w:r w:rsidRPr="007B38C6">
        <w:rPr>
          <w:spacing w:val="-1"/>
        </w:rPr>
        <w:t xml:space="preserve"> </w:t>
      </w:r>
      <w:r w:rsidRPr="007B38C6">
        <w:t>on the following points. Note: not all the points are required, but these are possible examples that are considered during evaluation</w:t>
      </w:r>
      <w:r w:rsidR="003E049D" w:rsidRPr="007B38C6">
        <w:t>:</w:t>
      </w:r>
    </w:p>
    <w:p w14:paraId="58354388" w14:textId="77777777" w:rsidR="007F380B" w:rsidRPr="0012436A" w:rsidRDefault="007F380B" w:rsidP="0073748E">
      <w:pPr>
        <w:pStyle w:val="ListBullet"/>
        <w:numPr>
          <w:ilvl w:val="0"/>
          <w:numId w:val="12"/>
        </w:numPr>
      </w:pPr>
      <w:r w:rsidRPr="0012436A">
        <w:t>the</w:t>
      </w:r>
      <w:r w:rsidRPr="0012436A">
        <w:rPr>
          <w:spacing w:val="-2"/>
        </w:rPr>
        <w:t xml:space="preserve"> </w:t>
      </w:r>
      <w:r w:rsidRPr="0012436A">
        <w:t>expected</w:t>
      </w:r>
      <w:r w:rsidRPr="0012436A">
        <w:rPr>
          <w:spacing w:val="-1"/>
        </w:rPr>
        <w:t xml:space="preserve"> </w:t>
      </w:r>
      <w:r w:rsidRPr="0012436A">
        <w:t>pattern</w:t>
      </w:r>
      <w:r w:rsidRPr="0012436A">
        <w:rPr>
          <w:spacing w:val="-3"/>
        </w:rPr>
        <w:t xml:space="preserve"> </w:t>
      </w:r>
      <w:r w:rsidRPr="0012436A">
        <w:t>of</w:t>
      </w:r>
      <w:r w:rsidRPr="0012436A">
        <w:rPr>
          <w:spacing w:val="-3"/>
        </w:rPr>
        <w:t xml:space="preserve"> </w:t>
      </w:r>
      <w:r w:rsidRPr="0012436A">
        <w:t>use</w:t>
      </w:r>
    </w:p>
    <w:p w14:paraId="0E6CACFF" w14:textId="77777777" w:rsidR="007F380B" w:rsidRPr="0012436A" w:rsidRDefault="007F380B" w:rsidP="0073748E">
      <w:pPr>
        <w:pStyle w:val="ListBullet"/>
        <w:numPr>
          <w:ilvl w:val="0"/>
          <w:numId w:val="12"/>
        </w:numPr>
      </w:pPr>
      <w:r w:rsidRPr="0012436A">
        <w:t>results</w:t>
      </w:r>
      <w:r w:rsidRPr="0012436A">
        <w:rPr>
          <w:spacing w:val="-1"/>
        </w:rPr>
        <w:t xml:space="preserve"> </w:t>
      </w:r>
      <w:r w:rsidRPr="0012436A">
        <w:t>of</w:t>
      </w:r>
      <w:r w:rsidRPr="0012436A">
        <w:rPr>
          <w:spacing w:val="-2"/>
        </w:rPr>
        <w:t xml:space="preserve"> </w:t>
      </w:r>
      <w:r w:rsidRPr="0012436A">
        <w:rPr>
          <w:i/>
        </w:rPr>
        <w:t>in</w:t>
      </w:r>
      <w:r w:rsidRPr="0012436A">
        <w:rPr>
          <w:i/>
          <w:spacing w:val="-3"/>
        </w:rPr>
        <w:t xml:space="preserve"> </w:t>
      </w:r>
      <w:r w:rsidRPr="0012436A">
        <w:rPr>
          <w:i/>
        </w:rPr>
        <w:t>vitro</w:t>
      </w:r>
      <w:r w:rsidRPr="0012436A">
        <w:rPr>
          <w:i/>
          <w:spacing w:val="-1"/>
        </w:rPr>
        <w:t xml:space="preserve"> </w:t>
      </w:r>
      <w:r w:rsidRPr="0012436A">
        <w:t>and</w:t>
      </w:r>
      <w:r w:rsidRPr="0012436A">
        <w:rPr>
          <w:spacing w:val="-2"/>
        </w:rPr>
        <w:t xml:space="preserve"> </w:t>
      </w:r>
      <w:r w:rsidRPr="0012436A">
        <w:rPr>
          <w:i/>
        </w:rPr>
        <w:t>in</w:t>
      </w:r>
      <w:r w:rsidRPr="0012436A">
        <w:rPr>
          <w:i/>
          <w:spacing w:val="-3"/>
        </w:rPr>
        <w:t xml:space="preserve"> </w:t>
      </w:r>
      <w:r w:rsidRPr="0012436A">
        <w:rPr>
          <w:i/>
        </w:rPr>
        <w:t>vivo</w:t>
      </w:r>
      <w:r w:rsidRPr="0012436A">
        <w:rPr>
          <w:i/>
          <w:spacing w:val="-1"/>
        </w:rPr>
        <w:t xml:space="preserve"> </w:t>
      </w:r>
      <w:r w:rsidRPr="0012436A">
        <w:t>genotoxicity</w:t>
      </w:r>
      <w:r w:rsidRPr="0012436A">
        <w:rPr>
          <w:spacing w:val="-3"/>
        </w:rPr>
        <w:t xml:space="preserve"> </w:t>
      </w:r>
      <w:r w:rsidRPr="0012436A">
        <w:t>assays</w:t>
      </w:r>
    </w:p>
    <w:p w14:paraId="7A357E63" w14:textId="77777777" w:rsidR="007F380B" w:rsidRPr="0012436A" w:rsidRDefault="007F380B" w:rsidP="0073748E">
      <w:pPr>
        <w:pStyle w:val="ListBullet"/>
        <w:numPr>
          <w:ilvl w:val="0"/>
          <w:numId w:val="12"/>
        </w:numPr>
      </w:pPr>
      <w:r w:rsidRPr="0012436A">
        <w:t>lack</w:t>
      </w:r>
      <w:r w:rsidRPr="0012436A">
        <w:rPr>
          <w:spacing w:val="-3"/>
        </w:rPr>
        <w:t xml:space="preserve"> </w:t>
      </w:r>
      <w:r w:rsidRPr="0012436A">
        <w:t>of</w:t>
      </w:r>
      <w:r w:rsidRPr="0012436A">
        <w:rPr>
          <w:spacing w:val="-4"/>
        </w:rPr>
        <w:t xml:space="preserve"> </w:t>
      </w:r>
      <w:r w:rsidRPr="0012436A">
        <w:t>similarity</w:t>
      </w:r>
      <w:r w:rsidRPr="0012436A">
        <w:rPr>
          <w:spacing w:val="-2"/>
        </w:rPr>
        <w:t xml:space="preserve"> </w:t>
      </w:r>
      <w:r w:rsidRPr="0012436A">
        <w:t>to</w:t>
      </w:r>
      <w:r w:rsidRPr="0012436A">
        <w:rPr>
          <w:spacing w:val="-4"/>
        </w:rPr>
        <w:t xml:space="preserve"> </w:t>
      </w:r>
      <w:r w:rsidRPr="0012436A">
        <w:t>other</w:t>
      </w:r>
      <w:r w:rsidRPr="0012436A">
        <w:rPr>
          <w:spacing w:val="-4"/>
        </w:rPr>
        <w:t xml:space="preserve"> </w:t>
      </w:r>
      <w:r w:rsidRPr="0012436A">
        <w:t>molecules with</w:t>
      </w:r>
      <w:r w:rsidRPr="0012436A">
        <w:rPr>
          <w:spacing w:val="-1"/>
        </w:rPr>
        <w:t xml:space="preserve"> </w:t>
      </w:r>
      <w:r w:rsidRPr="0012436A">
        <w:t>known</w:t>
      </w:r>
      <w:r w:rsidRPr="0012436A">
        <w:rPr>
          <w:spacing w:val="-3"/>
        </w:rPr>
        <w:t xml:space="preserve"> </w:t>
      </w:r>
      <w:r w:rsidRPr="0012436A">
        <w:t>carcinogenic activity</w:t>
      </w:r>
    </w:p>
    <w:p w14:paraId="713E8E4E" w14:textId="77777777" w:rsidR="007F380B" w:rsidRPr="0012436A" w:rsidRDefault="007F380B" w:rsidP="0073748E">
      <w:pPr>
        <w:pStyle w:val="ListBullet"/>
        <w:numPr>
          <w:ilvl w:val="0"/>
          <w:numId w:val="12"/>
        </w:numPr>
      </w:pPr>
      <w:r w:rsidRPr="0012436A">
        <w:t>low</w:t>
      </w:r>
      <w:r w:rsidRPr="0012436A">
        <w:rPr>
          <w:spacing w:val="-3"/>
        </w:rPr>
        <w:t xml:space="preserve"> </w:t>
      </w:r>
      <w:r w:rsidRPr="0012436A">
        <w:t>persistence</w:t>
      </w:r>
      <w:r w:rsidRPr="0012436A">
        <w:rPr>
          <w:spacing w:val="-3"/>
        </w:rPr>
        <w:t xml:space="preserve"> </w:t>
      </w:r>
      <w:r w:rsidRPr="0012436A">
        <w:t>in</w:t>
      </w:r>
      <w:r w:rsidRPr="0012436A">
        <w:rPr>
          <w:spacing w:val="-2"/>
        </w:rPr>
        <w:t xml:space="preserve"> </w:t>
      </w:r>
      <w:r w:rsidRPr="0012436A">
        <w:t>the</w:t>
      </w:r>
      <w:r w:rsidRPr="0012436A">
        <w:rPr>
          <w:spacing w:val="-1"/>
        </w:rPr>
        <w:t xml:space="preserve"> </w:t>
      </w:r>
      <w:r w:rsidRPr="0012436A">
        <w:t>skin</w:t>
      </w:r>
    </w:p>
    <w:p w14:paraId="07E6275F" w14:textId="77777777" w:rsidR="007F380B" w:rsidRPr="0012436A" w:rsidRDefault="007F380B" w:rsidP="0073748E">
      <w:pPr>
        <w:pStyle w:val="ListBullet"/>
        <w:numPr>
          <w:ilvl w:val="0"/>
          <w:numId w:val="12"/>
        </w:numPr>
      </w:pPr>
      <w:r w:rsidRPr="0012436A">
        <w:t>lack</w:t>
      </w:r>
      <w:r w:rsidRPr="0012436A">
        <w:rPr>
          <w:spacing w:val="-4"/>
        </w:rPr>
        <w:t xml:space="preserve"> </w:t>
      </w:r>
      <w:r w:rsidRPr="0012436A">
        <w:t>of</w:t>
      </w:r>
      <w:r w:rsidRPr="0012436A">
        <w:rPr>
          <w:spacing w:val="-2"/>
        </w:rPr>
        <w:t xml:space="preserve"> </w:t>
      </w:r>
      <w:r w:rsidRPr="0012436A">
        <w:t>photosensitisation</w:t>
      </w:r>
      <w:r w:rsidRPr="0012436A">
        <w:rPr>
          <w:spacing w:val="-5"/>
        </w:rPr>
        <w:t xml:space="preserve"> </w:t>
      </w:r>
      <w:r w:rsidRPr="0012436A">
        <w:t>or</w:t>
      </w:r>
      <w:r w:rsidRPr="0012436A">
        <w:rPr>
          <w:spacing w:val="-2"/>
        </w:rPr>
        <w:t xml:space="preserve"> </w:t>
      </w:r>
      <w:r w:rsidRPr="0012436A">
        <w:t>phototoxic</w:t>
      </w:r>
      <w:r w:rsidRPr="0012436A">
        <w:rPr>
          <w:spacing w:val="-1"/>
        </w:rPr>
        <w:t xml:space="preserve"> </w:t>
      </w:r>
      <w:r w:rsidRPr="0012436A">
        <w:t>potential</w:t>
      </w:r>
    </w:p>
    <w:p w14:paraId="238123AE" w14:textId="77777777" w:rsidR="007F380B" w:rsidRPr="0012436A" w:rsidRDefault="007F380B" w:rsidP="0073748E">
      <w:pPr>
        <w:pStyle w:val="ListBullet"/>
        <w:numPr>
          <w:ilvl w:val="0"/>
          <w:numId w:val="12"/>
        </w:numPr>
      </w:pPr>
      <w:r w:rsidRPr="0012436A">
        <w:t>proven</w:t>
      </w:r>
      <w:r w:rsidRPr="0012436A">
        <w:rPr>
          <w:spacing w:val="-4"/>
        </w:rPr>
        <w:t xml:space="preserve"> </w:t>
      </w:r>
      <w:r w:rsidRPr="0012436A">
        <w:t>photostability</w:t>
      </w:r>
    </w:p>
    <w:p w14:paraId="16876F4C" w14:textId="77777777" w:rsidR="00880150" w:rsidRDefault="007F380B" w:rsidP="0073748E">
      <w:pPr>
        <w:pStyle w:val="ListBullet"/>
        <w:numPr>
          <w:ilvl w:val="0"/>
          <w:numId w:val="12"/>
        </w:numPr>
      </w:pPr>
      <w:r w:rsidRPr="0012436A">
        <w:t>lack</w:t>
      </w:r>
      <w:r w:rsidRPr="0012436A">
        <w:rPr>
          <w:spacing w:val="-4"/>
        </w:rPr>
        <w:t xml:space="preserve"> </w:t>
      </w:r>
      <w:r w:rsidRPr="0012436A">
        <w:t>of</w:t>
      </w:r>
      <w:r w:rsidRPr="0012436A">
        <w:rPr>
          <w:spacing w:val="-2"/>
        </w:rPr>
        <w:t xml:space="preserve"> </w:t>
      </w:r>
      <w:r w:rsidRPr="0012436A">
        <w:t>possible</w:t>
      </w:r>
      <w:r w:rsidRPr="0012436A">
        <w:rPr>
          <w:spacing w:val="-2"/>
        </w:rPr>
        <w:t xml:space="preserve"> </w:t>
      </w:r>
      <w:r w:rsidRPr="0012436A">
        <w:t>adverse</w:t>
      </w:r>
      <w:r w:rsidRPr="0012436A">
        <w:rPr>
          <w:spacing w:val="-2"/>
        </w:rPr>
        <w:t xml:space="preserve"> </w:t>
      </w:r>
      <w:r w:rsidRPr="0012436A">
        <w:t>effects</w:t>
      </w:r>
      <w:r w:rsidRPr="0012436A">
        <w:rPr>
          <w:spacing w:val="-2"/>
        </w:rPr>
        <w:t xml:space="preserve"> </w:t>
      </w:r>
      <w:r w:rsidRPr="0012436A">
        <w:t>on</w:t>
      </w:r>
      <w:r w:rsidRPr="0012436A">
        <w:rPr>
          <w:spacing w:val="-3"/>
        </w:rPr>
        <w:t xml:space="preserve"> </w:t>
      </w:r>
      <w:r w:rsidRPr="0012436A">
        <w:t>the</w:t>
      </w:r>
      <w:r w:rsidRPr="0012436A">
        <w:rPr>
          <w:spacing w:val="-4"/>
        </w:rPr>
        <w:t xml:space="preserve"> </w:t>
      </w:r>
      <w:r w:rsidRPr="0012436A">
        <w:t>skin</w:t>
      </w:r>
      <w:r w:rsidRPr="0012436A">
        <w:rPr>
          <w:spacing w:val="-3"/>
        </w:rPr>
        <w:t xml:space="preserve"> </w:t>
      </w:r>
      <w:r w:rsidRPr="0012436A">
        <w:t>(change</w:t>
      </w:r>
      <w:r w:rsidRPr="0012436A">
        <w:rPr>
          <w:spacing w:val="-2"/>
        </w:rPr>
        <w:t xml:space="preserve"> </w:t>
      </w:r>
      <w:r w:rsidRPr="0012436A">
        <w:t>to</w:t>
      </w:r>
      <w:r w:rsidRPr="0012436A">
        <w:rPr>
          <w:spacing w:val="-2"/>
        </w:rPr>
        <w:t xml:space="preserve"> </w:t>
      </w:r>
      <w:r w:rsidRPr="0012436A">
        <w:t>epidermis/dermis)</w:t>
      </w:r>
    </w:p>
    <w:p w14:paraId="5CE9760E" w14:textId="77777777" w:rsidR="00880150" w:rsidRDefault="007F380B" w:rsidP="0073748E">
      <w:pPr>
        <w:pStyle w:val="ListBullet"/>
        <w:numPr>
          <w:ilvl w:val="0"/>
          <w:numId w:val="12"/>
        </w:numPr>
      </w:pPr>
      <w:r w:rsidRPr="0012436A">
        <w:t>length</w:t>
      </w:r>
      <w:r w:rsidRPr="00880150">
        <w:rPr>
          <w:spacing w:val="-3"/>
        </w:rPr>
        <w:t xml:space="preserve"> </w:t>
      </w:r>
      <w:r w:rsidRPr="0012436A">
        <w:t>of</w:t>
      </w:r>
      <w:r w:rsidRPr="00880150">
        <w:rPr>
          <w:spacing w:val="-2"/>
        </w:rPr>
        <w:t xml:space="preserve"> </w:t>
      </w:r>
      <w:r w:rsidRPr="0012436A">
        <w:t>submitted</w:t>
      </w:r>
      <w:r w:rsidRPr="00880150">
        <w:rPr>
          <w:spacing w:val="-3"/>
        </w:rPr>
        <w:t xml:space="preserve"> </w:t>
      </w:r>
      <w:r w:rsidRPr="00880150">
        <w:rPr>
          <w:i/>
        </w:rPr>
        <w:t>in</w:t>
      </w:r>
      <w:r w:rsidRPr="00880150">
        <w:rPr>
          <w:i/>
          <w:spacing w:val="-3"/>
        </w:rPr>
        <w:t xml:space="preserve"> </w:t>
      </w:r>
      <w:r w:rsidRPr="00880150">
        <w:rPr>
          <w:i/>
        </w:rPr>
        <w:t>vivo</w:t>
      </w:r>
      <w:r w:rsidRPr="00880150">
        <w:rPr>
          <w:i/>
          <w:spacing w:val="-1"/>
        </w:rPr>
        <w:t xml:space="preserve"> </w:t>
      </w:r>
      <w:r w:rsidRPr="0012436A">
        <w:t>repeat</w:t>
      </w:r>
      <w:r w:rsidRPr="00880150">
        <w:rPr>
          <w:spacing w:val="-3"/>
        </w:rPr>
        <w:t xml:space="preserve"> </w:t>
      </w:r>
      <w:r w:rsidRPr="0012436A">
        <w:t>dose</w:t>
      </w:r>
      <w:r w:rsidRPr="00880150">
        <w:rPr>
          <w:spacing w:val="-2"/>
        </w:rPr>
        <w:t xml:space="preserve"> </w:t>
      </w:r>
      <w:r w:rsidRPr="0012436A">
        <w:t>toxicity</w:t>
      </w:r>
      <w:r w:rsidRPr="00880150">
        <w:rPr>
          <w:spacing w:val="-3"/>
        </w:rPr>
        <w:t xml:space="preserve"> </w:t>
      </w:r>
      <w:r w:rsidRPr="0012436A">
        <w:t>studies</w:t>
      </w:r>
      <w:r>
        <w:t xml:space="preserve"> and the lack of pre-neoplastic changes </w:t>
      </w:r>
    </w:p>
    <w:p w14:paraId="7DE3C20F" w14:textId="4A55E971" w:rsidR="007F380B" w:rsidRPr="00880150" w:rsidRDefault="007F380B" w:rsidP="0073748E">
      <w:pPr>
        <w:pStyle w:val="ListBullet"/>
        <w:numPr>
          <w:ilvl w:val="0"/>
          <w:numId w:val="12"/>
        </w:numPr>
      </w:pPr>
      <w:r w:rsidRPr="009B21B2">
        <w:t>lack of evidence for hormonal perturbation</w:t>
      </w:r>
    </w:p>
    <w:p w14:paraId="2598B90E" w14:textId="77777777" w:rsidR="007F380B" w:rsidRPr="0012436A" w:rsidRDefault="007F380B" w:rsidP="0073748E">
      <w:pPr>
        <w:pStyle w:val="ListBullet"/>
        <w:numPr>
          <w:ilvl w:val="0"/>
          <w:numId w:val="12"/>
        </w:numPr>
      </w:pPr>
      <w:r w:rsidRPr="0012436A">
        <w:t>lack</w:t>
      </w:r>
      <w:r w:rsidRPr="0012436A">
        <w:rPr>
          <w:spacing w:val="-3"/>
        </w:rPr>
        <w:t xml:space="preserve"> </w:t>
      </w:r>
      <w:r w:rsidRPr="0012436A">
        <w:t>of</w:t>
      </w:r>
      <w:r w:rsidRPr="0012436A">
        <w:rPr>
          <w:spacing w:val="-2"/>
        </w:rPr>
        <w:t xml:space="preserve"> </w:t>
      </w:r>
      <w:r w:rsidRPr="0012436A">
        <w:t>adverse</w:t>
      </w:r>
      <w:r w:rsidRPr="0012436A">
        <w:rPr>
          <w:spacing w:val="-2"/>
        </w:rPr>
        <w:t xml:space="preserve"> </w:t>
      </w:r>
      <w:r w:rsidRPr="0012436A">
        <w:t>activity</w:t>
      </w:r>
      <w:r w:rsidRPr="0012436A">
        <w:rPr>
          <w:spacing w:val="-2"/>
        </w:rPr>
        <w:t xml:space="preserve"> </w:t>
      </w:r>
      <w:r w:rsidRPr="0012436A">
        <w:t>in</w:t>
      </w:r>
      <w:r w:rsidRPr="0012436A">
        <w:rPr>
          <w:spacing w:val="-5"/>
        </w:rPr>
        <w:t xml:space="preserve"> </w:t>
      </w:r>
      <w:r w:rsidRPr="0012436A">
        <w:t>local</w:t>
      </w:r>
      <w:r w:rsidRPr="0012436A">
        <w:rPr>
          <w:spacing w:val="-2"/>
        </w:rPr>
        <w:t xml:space="preserve"> </w:t>
      </w:r>
      <w:r w:rsidRPr="0012436A">
        <w:t>tolerance</w:t>
      </w:r>
      <w:r w:rsidRPr="0012436A">
        <w:rPr>
          <w:spacing w:val="-1"/>
        </w:rPr>
        <w:t xml:space="preserve"> </w:t>
      </w:r>
      <w:r w:rsidRPr="0012436A">
        <w:t>studies</w:t>
      </w:r>
      <w:r w:rsidRPr="0012436A">
        <w:rPr>
          <w:spacing w:val="-1"/>
        </w:rPr>
        <w:t xml:space="preserve"> </w:t>
      </w:r>
      <w:r w:rsidRPr="0012436A">
        <w:t>(skin</w:t>
      </w:r>
      <w:r w:rsidRPr="0012436A">
        <w:rPr>
          <w:spacing w:val="-3"/>
        </w:rPr>
        <w:t xml:space="preserve"> </w:t>
      </w:r>
      <w:r w:rsidRPr="0012436A">
        <w:t>irritation</w:t>
      </w:r>
      <w:r w:rsidRPr="0012436A">
        <w:rPr>
          <w:spacing w:val="-2"/>
        </w:rPr>
        <w:t xml:space="preserve"> </w:t>
      </w:r>
      <w:r w:rsidRPr="0012436A">
        <w:t>and</w:t>
      </w:r>
      <w:r w:rsidRPr="0012436A">
        <w:rPr>
          <w:spacing w:val="-4"/>
        </w:rPr>
        <w:t xml:space="preserve"> </w:t>
      </w:r>
      <w:r w:rsidRPr="0012436A">
        <w:t>skin</w:t>
      </w:r>
      <w:r w:rsidRPr="0012436A">
        <w:rPr>
          <w:spacing w:val="-3"/>
        </w:rPr>
        <w:t xml:space="preserve"> </w:t>
      </w:r>
      <w:r w:rsidRPr="0012436A">
        <w:t>sensitisation).</w:t>
      </w:r>
    </w:p>
    <w:p w14:paraId="6F000E72" w14:textId="77777777" w:rsidR="007F380B" w:rsidRPr="00E308CF" w:rsidRDefault="007F380B" w:rsidP="00E171A4">
      <w:r>
        <w:t>T</w:t>
      </w:r>
      <w:r w:rsidRPr="00E308CF">
        <w:t>he following studies and referenced websites may</w:t>
      </w:r>
      <w:r>
        <w:t xml:space="preserve"> also</w:t>
      </w:r>
      <w:r w:rsidRPr="00E308CF">
        <w:t xml:space="preserve"> be useful in providing</w:t>
      </w:r>
      <w:r w:rsidRPr="00E171A4">
        <w:rPr>
          <w:spacing w:val="1"/>
        </w:rPr>
        <w:t xml:space="preserve"> </w:t>
      </w:r>
      <w:r w:rsidRPr="00E308CF">
        <w:t>information</w:t>
      </w:r>
      <w:r w:rsidRPr="00E171A4">
        <w:rPr>
          <w:spacing w:val="-2"/>
        </w:rPr>
        <w:t xml:space="preserve"> </w:t>
      </w:r>
      <w:r w:rsidRPr="00E308CF">
        <w:t>on</w:t>
      </w:r>
      <w:r w:rsidRPr="00E171A4">
        <w:rPr>
          <w:spacing w:val="-2"/>
        </w:rPr>
        <w:t xml:space="preserve"> </w:t>
      </w:r>
      <w:r w:rsidRPr="00E308CF">
        <w:t>the</w:t>
      </w:r>
      <w:r w:rsidRPr="00E171A4">
        <w:rPr>
          <w:spacing w:val="-1"/>
        </w:rPr>
        <w:t xml:space="preserve"> </w:t>
      </w:r>
      <w:r w:rsidRPr="00E308CF">
        <w:t>potential</w:t>
      </w:r>
      <w:r w:rsidRPr="00E171A4">
        <w:rPr>
          <w:spacing w:val="-1"/>
        </w:rPr>
        <w:t xml:space="preserve"> </w:t>
      </w:r>
      <w:r w:rsidRPr="00E308CF">
        <w:t>of</w:t>
      </w:r>
      <w:r w:rsidRPr="00E171A4">
        <w:rPr>
          <w:spacing w:val="-1"/>
        </w:rPr>
        <w:t xml:space="preserve"> </w:t>
      </w:r>
      <w:r w:rsidRPr="00E308CF">
        <w:t>a</w:t>
      </w:r>
      <w:r w:rsidRPr="00E171A4">
        <w:rPr>
          <w:spacing w:val="-3"/>
        </w:rPr>
        <w:t xml:space="preserve"> </w:t>
      </w:r>
      <w:r w:rsidRPr="00E308CF">
        <w:t>substance</w:t>
      </w:r>
      <w:r w:rsidRPr="00E171A4">
        <w:rPr>
          <w:spacing w:val="-1"/>
        </w:rPr>
        <w:t xml:space="preserve"> </w:t>
      </w:r>
      <w:r w:rsidRPr="00E308CF">
        <w:t>to cause</w:t>
      </w:r>
      <w:r w:rsidRPr="00E171A4">
        <w:rPr>
          <w:spacing w:val="-3"/>
        </w:rPr>
        <w:t xml:space="preserve"> </w:t>
      </w:r>
      <w:r w:rsidRPr="00E308CF">
        <w:t>tumours</w:t>
      </w:r>
      <w:r w:rsidRPr="00E171A4">
        <w:rPr>
          <w:spacing w:val="-2"/>
        </w:rPr>
        <w:t xml:space="preserve"> </w:t>
      </w:r>
      <w:r w:rsidRPr="00E308CF">
        <w:t>in</w:t>
      </w:r>
      <w:r w:rsidRPr="00E171A4">
        <w:rPr>
          <w:spacing w:val="-2"/>
        </w:rPr>
        <w:t xml:space="preserve"> </w:t>
      </w:r>
      <w:r w:rsidRPr="00E308CF">
        <w:t>humans:</w:t>
      </w:r>
    </w:p>
    <w:p w14:paraId="70372CBD" w14:textId="77777777" w:rsidR="007F380B" w:rsidRPr="0012436A" w:rsidRDefault="007F380B" w:rsidP="0073748E">
      <w:pPr>
        <w:pStyle w:val="ListBullet"/>
        <w:numPr>
          <w:ilvl w:val="0"/>
          <w:numId w:val="12"/>
        </w:numPr>
      </w:pPr>
      <w:r w:rsidRPr="0012436A">
        <w:rPr>
          <w:i/>
        </w:rPr>
        <w:t>in</w:t>
      </w:r>
      <w:r w:rsidRPr="0012436A">
        <w:rPr>
          <w:i/>
          <w:spacing w:val="-3"/>
        </w:rPr>
        <w:t xml:space="preserve"> </w:t>
      </w:r>
      <w:r w:rsidRPr="0012436A">
        <w:rPr>
          <w:i/>
        </w:rPr>
        <w:t>vitro</w:t>
      </w:r>
      <w:r w:rsidRPr="0012436A">
        <w:rPr>
          <w:i/>
          <w:spacing w:val="-1"/>
        </w:rPr>
        <w:t xml:space="preserve"> </w:t>
      </w:r>
      <w:r w:rsidRPr="0012436A">
        <w:t>human</w:t>
      </w:r>
      <w:r w:rsidRPr="0012436A">
        <w:rPr>
          <w:spacing w:val="-3"/>
        </w:rPr>
        <w:t xml:space="preserve"> </w:t>
      </w:r>
      <w:r w:rsidRPr="0012436A">
        <w:t>dermal</w:t>
      </w:r>
      <w:r w:rsidRPr="0012436A">
        <w:rPr>
          <w:spacing w:val="-4"/>
        </w:rPr>
        <w:t xml:space="preserve"> </w:t>
      </w:r>
      <w:r w:rsidRPr="0012436A">
        <w:t>cell</w:t>
      </w:r>
      <w:r w:rsidRPr="0012436A">
        <w:rPr>
          <w:spacing w:val="-2"/>
        </w:rPr>
        <w:t xml:space="preserve"> </w:t>
      </w:r>
      <w:r w:rsidRPr="0012436A">
        <w:t>cultures</w:t>
      </w:r>
      <w:r w:rsidRPr="0012436A">
        <w:rPr>
          <w:spacing w:val="-1"/>
        </w:rPr>
        <w:t xml:space="preserve"> </w:t>
      </w:r>
      <w:r w:rsidRPr="0012436A">
        <w:t>exposed</w:t>
      </w:r>
      <w:r w:rsidRPr="0012436A">
        <w:rPr>
          <w:spacing w:val="-1"/>
        </w:rPr>
        <w:t xml:space="preserve"> </w:t>
      </w:r>
      <w:r w:rsidRPr="0012436A">
        <w:t>to</w:t>
      </w:r>
      <w:r w:rsidRPr="0012436A">
        <w:rPr>
          <w:spacing w:val="-1"/>
        </w:rPr>
        <w:t xml:space="preserve"> </w:t>
      </w:r>
      <w:r w:rsidRPr="0012436A">
        <w:t>the</w:t>
      </w:r>
      <w:r w:rsidRPr="0012436A">
        <w:rPr>
          <w:spacing w:val="-4"/>
        </w:rPr>
        <w:t xml:space="preserve"> </w:t>
      </w:r>
      <w:r w:rsidRPr="0012436A">
        <w:t>substance</w:t>
      </w:r>
    </w:p>
    <w:p w14:paraId="36BD4811" w14:textId="2FC909BE" w:rsidR="00D8784B" w:rsidRDefault="007F380B" w:rsidP="0073748E">
      <w:pPr>
        <w:pStyle w:val="ListBullet"/>
        <w:numPr>
          <w:ilvl w:val="0"/>
          <w:numId w:val="12"/>
        </w:numPr>
      </w:pPr>
      <w:r w:rsidRPr="0012436A">
        <w:rPr>
          <w:i/>
        </w:rPr>
        <w:t>in</w:t>
      </w:r>
      <w:r w:rsidRPr="0012436A">
        <w:rPr>
          <w:i/>
          <w:spacing w:val="-3"/>
        </w:rPr>
        <w:t xml:space="preserve"> </w:t>
      </w:r>
      <w:r w:rsidRPr="0012436A">
        <w:rPr>
          <w:i/>
        </w:rPr>
        <w:t>vitro</w:t>
      </w:r>
      <w:r w:rsidRPr="0012436A">
        <w:rPr>
          <w:i/>
          <w:spacing w:val="-1"/>
        </w:rPr>
        <w:t xml:space="preserve"> </w:t>
      </w:r>
      <w:r w:rsidRPr="0012436A">
        <w:t>human</w:t>
      </w:r>
      <w:r w:rsidRPr="0012436A">
        <w:rPr>
          <w:spacing w:val="-3"/>
        </w:rPr>
        <w:t xml:space="preserve"> </w:t>
      </w:r>
      <w:r w:rsidRPr="0012436A">
        <w:t>dermal</w:t>
      </w:r>
      <w:r w:rsidRPr="0012436A">
        <w:rPr>
          <w:spacing w:val="-2"/>
        </w:rPr>
        <w:t xml:space="preserve"> </w:t>
      </w:r>
      <w:r w:rsidRPr="0012436A">
        <w:t>tumour</w:t>
      </w:r>
      <w:r w:rsidRPr="0012436A">
        <w:rPr>
          <w:spacing w:val="-2"/>
        </w:rPr>
        <w:t xml:space="preserve"> </w:t>
      </w:r>
      <w:r w:rsidRPr="0012436A">
        <w:t>cell</w:t>
      </w:r>
      <w:r w:rsidRPr="0012436A">
        <w:rPr>
          <w:spacing w:val="-4"/>
        </w:rPr>
        <w:t xml:space="preserve"> </w:t>
      </w:r>
      <w:r w:rsidRPr="0012436A">
        <w:t>cultures</w:t>
      </w:r>
      <w:r w:rsidRPr="0012436A">
        <w:rPr>
          <w:spacing w:val="-1"/>
        </w:rPr>
        <w:t xml:space="preserve"> </w:t>
      </w:r>
      <w:r w:rsidRPr="0012436A">
        <w:t>exposed</w:t>
      </w:r>
      <w:r w:rsidRPr="0012436A">
        <w:rPr>
          <w:spacing w:val="-2"/>
        </w:rPr>
        <w:t xml:space="preserve"> </w:t>
      </w:r>
      <w:r w:rsidRPr="0012436A">
        <w:t>to</w:t>
      </w:r>
      <w:r w:rsidRPr="0012436A">
        <w:rPr>
          <w:spacing w:val="-1"/>
        </w:rPr>
        <w:t xml:space="preserve"> </w:t>
      </w:r>
      <w:r w:rsidRPr="0012436A">
        <w:t>the</w:t>
      </w:r>
      <w:r w:rsidRPr="0012436A">
        <w:rPr>
          <w:spacing w:val="-2"/>
        </w:rPr>
        <w:t xml:space="preserve"> </w:t>
      </w:r>
      <w:r w:rsidRPr="0012436A">
        <w:t>substance.</w:t>
      </w:r>
    </w:p>
    <w:p w14:paraId="17F1A3F5" w14:textId="77777777" w:rsidR="003443A4" w:rsidRPr="00E308CF" w:rsidRDefault="003443A4" w:rsidP="003443A4">
      <w:pPr>
        <w:pStyle w:val="Heading4"/>
        <w:rPr>
          <w:color w:val="001523"/>
        </w:rPr>
      </w:pPr>
      <w:bookmarkStart w:id="92" w:name="_Toc181273057"/>
      <w:bookmarkStart w:id="93" w:name="_Toc204751326"/>
      <w:r w:rsidRPr="00E308CF">
        <w:t xml:space="preserve">Other safety requirements specific for </w:t>
      </w:r>
      <w:r>
        <w:t xml:space="preserve">new </w:t>
      </w:r>
      <w:r w:rsidRPr="00E308CF">
        <w:t>substances for use</w:t>
      </w:r>
      <w:r>
        <w:t xml:space="preserve"> in</w:t>
      </w:r>
      <w:r w:rsidRPr="00E308CF">
        <w:t xml:space="preserve"> listed therapeutic sunscreens</w:t>
      </w:r>
      <w:bookmarkEnd w:id="92"/>
      <w:bookmarkEnd w:id="93"/>
    </w:p>
    <w:p w14:paraId="2C2BBBC8" w14:textId="77777777" w:rsidR="003443A4" w:rsidRPr="00BD3492" w:rsidRDefault="003443A4" w:rsidP="003443A4">
      <w:pPr>
        <w:rPr>
          <w:u w:val="single"/>
        </w:rPr>
      </w:pPr>
      <w:r w:rsidRPr="00BD3492">
        <w:rPr>
          <w:u w:val="single"/>
        </w:rPr>
        <w:t xml:space="preserve">For all new </w:t>
      </w:r>
      <w:r>
        <w:rPr>
          <w:u w:val="single"/>
        </w:rPr>
        <w:t xml:space="preserve">applications for </w:t>
      </w:r>
      <w:r w:rsidRPr="00BD3492">
        <w:rPr>
          <w:u w:val="single"/>
        </w:rPr>
        <w:t>sunscreen ingredients</w:t>
      </w:r>
    </w:p>
    <w:p w14:paraId="24CFAFF7" w14:textId="77777777" w:rsidR="003443A4" w:rsidRPr="007B38C6" w:rsidRDefault="003443A4" w:rsidP="003443A4">
      <w:r w:rsidRPr="007B38C6">
        <w:lastRenderedPageBreak/>
        <w:t xml:space="preserve">Applicants should provide assurance that a new substance does not appear in Annex II to the </w:t>
      </w:r>
      <w:hyperlink r:id="rId78">
        <w:r w:rsidRPr="007B38C6">
          <w:t xml:space="preserve">Regulation (EC) No. 1223/2009 </w:t>
        </w:r>
      </w:hyperlink>
      <w:r w:rsidRPr="007B38C6">
        <w:t>list of substances that must not form part of the composition of cosmetic products.</w:t>
      </w:r>
    </w:p>
    <w:p w14:paraId="4E9E5512" w14:textId="77777777" w:rsidR="003443A4" w:rsidRPr="00BD3492" w:rsidRDefault="003443A4" w:rsidP="003443A4">
      <w:pPr>
        <w:rPr>
          <w:u w:val="single"/>
        </w:rPr>
      </w:pPr>
      <w:r w:rsidRPr="00BD3492">
        <w:rPr>
          <w:u w:val="single"/>
        </w:rPr>
        <w:t xml:space="preserve">For new </w:t>
      </w:r>
      <w:r>
        <w:rPr>
          <w:u w:val="single"/>
        </w:rPr>
        <w:t xml:space="preserve">applications for </w:t>
      </w:r>
      <w:r w:rsidRPr="00BD3492">
        <w:rPr>
          <w:u w:val="single"/>
        </w:rPr>
        <w:t>sunscreen active ingredients</w:t>
      </w:r>
    </w:p>
    <w:p w14:paraId="2B32722D" w14:textId="77777777" w:rsidR="003443A4" w:rsidRPr="007B38C6" w:rsidRDefault="003443A4" w:rsidP="003443A4">
      <w:r w:rsidRPr="007B38C6">
        <w:t>Since sunscreen formulations usually contain more than one active ingredient, data addressing the potential for physical interaction of the new substance with other commonly used sunscreen actives identified in the literature search should be provided.</w:t>
      </w:r>
    </w:p>
    <w:p w14:paraId="789B25ED" w14:textId="77777777" w:rsidR="00DB02CA" w:rsidRPr="001A0529" w:rsidRDefault="00DB02CA" w:rsidP="00DB02CA">
      <w:pPr>
        <w:pStyle w:val="Heading4"/>
      </w:pPr>
      <w:bookmarkStart w:id="94" w:name="_Toc181273058"/>
      <w:bookmarkStart w:id="95" w:name="_Toc204751327"/>
      <w:r w:rsidRPr="001A0529">
        <w:t>Related studies that may be used to support the safety of new ingredients for use in listed therapeutic sunscreens</w:t>
      </w:r>
      <w:bookmarkEnd w:id="94"/>
      <w:bookmarkEnd w:id="95"/>
    </w:p>
    <w:p w14:paraId="730AEC88" w14:textId="77777777" w:rsidR="00DB02CA" w:rsidRPr="007B38C6" w:rsidRDefault="00DB02CA" w:rsidP="00DB02CA">
      <w:r w:rsidRPr="007B38C6">
        <w:t>Other studies that are not currently referenced in EU guidelines may be useful in supporting</w:t>
      </w:r>
      <w:r w:rsidRPr="007B38C6">
        <w:rPr>
          <w:spacing w:val="1"/>
        </w:rPr>
        <w:t xml:space="preserve"> </w:t>
      </w:r>
      <w:r w:rsidRPr="007B38C6">
        <w:t>applications. For example, the following references may be useful when investigating the use of ingredients with</w:t>
      </w:r>
      <w:r w:rsidRPr="007B38C6">
        <w:rPr>
          <w:spacing w:val="-1"/>
        </w:rPr>
        <w:t xml:space="preserve"> </w:t>
      </w:r>
      <w:r w:rsidRPr="007B38C6">
        <w:t>a</w:t>
      </w:r>
      <w:r w:rsidRPr="007B38C6">
        <w:rPr>
          <w:spacing w:val="-1"/>
        </w:rPr>
        <w:t xml:space="preserve"> </w:t>
      </w:r>
      <w:r w:rsidRPr="007B38C6">
        <w:t>potential</w:t>
      </w:r>
      <w:r w:rsidRPr="007B38C6">
        <w:rPr>
          <w:spacing w:val="-1"/>
        </w:rPr>
        <w:t xml:space="preserve"> </w:t>
      </w:r>
      <w:r w:rsidRPr="007B38C6">
        <w:t>for</w:t>
      </w:r>
      <w:r w:rsidRPr="007B38C6">
        <w:rPr>
          <w:spacing w:val="-1"/>
        </w:rPr>
        <w:t xml:space="preserve"> </w:t>
      </w:r>
      <w:r w:rsidRPr="007B38C6">
        <w:t>skin</w:t>
      </w:r>
      <w:r w:rsidRPr="007B38C6">
        <w:rPr>
          <w:spacing w:val="-4"/>
        </w:rPr>
        <w:t xml:space="preserve"> </w:t>
      </w:r>
      <w:r w:rsidRPr="007B38C6">
        <w:t>corrosion/irritation:</w:t>
      </w:r>
    </w:p>
    <w:p w14:paraId="05210BEE" w14:textId="77777777" w:rsidR="00DB02CA" w:rsidRPr="007B38C6" w:rsidRDefault="00DB02CA" w:rsidP="007B38C6">
      <w:pPr>
        <w:pStyle w:val="ListBullet"/>
      </w:pPr>
      <w:r w:rsidRPr="007B38C6">
        <w:t>Non-animal testing strategies for assessment of the skin corrosion and skin irritation potential of ingredients and finished products; M K Robinson et al; Food and Chemical Toxicology, 40(5), pp 573–592, 2002.</w:t>
      </w:r>
    </w:p>
    <w:p w14:paraId="5FD359F0" w14:textId="77777777" w:rsidR="00DB02CA" w:rsidRPr="0035217B" w:rsidRDefault="00DB02CA" w:rsidP="007B38C6">
      <w:pPr>
        <w:pStyle w:val="ListBullet"/>
      </w:pPr>
      <w:r w:rsidRPr="007B38C6">
        <w:t xml:space="preserve">OECD test number </w:t>
      </w:r>
      <w:hyperlink r:id="rId79" w:history="1">
        <w:r w:rsidRPr="00055996">
          <w:rPr>
            <w:rStyle w:val="Hyperlink"/>
          </w:rPr>
          <w:t>431</w:t>
        </w:r>
      </w:hyperlink>
      <w:r>
        <w:t>:</w:t>
      </w:r>
      <w:r w:rsidRPr="0035217B">
        <w:t xml:space="preserve"> </w:t>
      </w:r>
      <w:r w:rsidRPr="007B38C6">
        <w:rPr>
          <w:i/>
          <w:iCs/>
        </w:rPr>
        <w:t>in vitro</w:t>
      </w:r>
      <w:r w:rsidRPr="007B38C6">
        <w:t xml:space="preserve"> skin corrosion: reconstructed human epidermis (RHE) test method.</w:t>
      </w:r>
    </w:p>
    <w:p w14:paraId="329D0AFC" w14:textId="77777777" w:rsidR="00463011" w:rsidRPr="001A0529" w:rsidRDefault="00463011" w:rsidP="00463011">
      <w:pPr>
        <w:pStyle w:val="Heading4"/>
      </w:pPr>
      <w:bookmarkStart w:id="96" w:name="_Toc181273059"/>
      <w:bookmarkStart w:id="97" w:name="_Toc204751328"/>
      <w:r w:rsidRPr="001A0529">
        <w:t>Alternative test methods accepted by the TGA for new ingredients for use in listed therapeutic sunscreens</w:t>
      </w:r>
      <w:bookmarkEnd w:id="96"/>
      <w:bookmarkEnd w:id="97"/>
    </w:p>
    <w:p w14:paraId="4DBB4621" w14:textId="4BD2A391" w:rsidR="00463011" w:rsidRPr="00E308CF" w:rsidRDefault="00463011" w:rsidP="00463011">
      <w:r w:rsidRPr="007B38C6">
        <w:t>Major advances in alternative testing methods and new validated methods have been</w:t>
      </w:r>
      <w:r w:rsidRPr="007B38C6">
        <w:rPr>
          <w:spacing w:val="1"/>
        </w:rPr>
        <w:t xml:space="preserve"> </w:t>
      </w:r>
      <w:r w:rsidRPr="007B38C6">
        <w:t>implemented following the introduction of animal testing bans for cosmetic ingredients in</w:t>
      </w:r>
      <w:r w:rsidRPr="007B38C6">
        <w:rPr>
          <w:spacing w:val="1"/>
        </w:rPr>
        <w:t xml:space="preserve"> </w:t>
      </w:r>
      <w:r w:rsidRPr="007B38C6">
        <w:t xml:space="preserve">Europe and Australia (see the </w:t>
      </w:r>
      <w:hyperlink r:id="rId80" w:history="1">
        <w:r w:rsidRPr="00B822B5">
          <w:rPr>
            <w:rStyle w:val="Hyperlink"/>
            <w:i/>
            <w:iCs/>
          </w:rPr>
          <w:t>Industrial Chemicals Act 2019)</w:t>
        </w:r>
      </w:hyperlink>
      <w:r w:rsidRPr="00E308CF">
        <w:t>.</w:t>
      </w:r>
      <w:r w:rsidRPr="007B38C6">
        <w:t>The TGA follows the EMA</w:t>
      </w:r>
      <w:r w:rsidRPr="007B38C6">
        <w:rPr>
          <w:spacing w:val="1"/>
        </w:rPr>
        <w:t xml:space="preserve"> </w:t>
      </w:r>
      <w:hyperlink r:id="rId81" w:history="1">
        <w:r w:rsidRPr="004721F9">
          <w:rPr>
            <w:rStyle w:val="Hyperlink"/>
          </w:rPr>
          <w:t xml:space="preserve">Guideline on the principles of regulatory acceptance of 3Rs (replacement, reduction, refinement) </w:t>
        </w:r>
        <w:r w:rsidRPr="004721F9">
          <w:rPr>
            <w:rStyle w:val="Hyperlink"/>
            <w:spacing w:val="-46"/>
          </w:rPr>
          <w:t xml:space="preserve"> </w:t>
        </w:r>
        <w:r w:rsidRPr="004721F9">
          <w:rPr>
            <w:rStyle w:val="Hyperlink"/>
          </w:rPr>
          <w:t>testing approaches</w:t>
        </w:r>
      </w:hyperlink>
      <w:r w:rsidRPr="00E308CF">
        <w:t xml:space="preserve">, </w:t>
      </w:r>
      <w:r w:rsidRPr="007B38C6">
        <w:t>which describes the criteria for regulatory acceptance of an alternative</w:t>
      </w:r>
      <w:r w:rsidRPr="007B38C6">
        <w:rPr>
          <w:spacing w:val="1"/>
        </w:rPr>
        <w:t xml:space="preserve"> </w:t>
      </w:r>
      <w:r w:rsidRPr="007B38C6">
        <w:t>testing approach. In addition, the TGA will accept validated test methods that are alternatives to</w:t>
      </w:r>
      <w:r w:rsidRPr="007B38C6">
        <w:rPr>
          <w:spacing w:val="1"/>
        </w:rPr>
        <w:t xml:space="preserve"> </w:t>
      </w:r>
      <w:r w:rsidRPr="007B38C6">
        <w:t>animal</w:t>
      </w:r>
      <w:r w:rsidRPr="007B38C6">
        <w:rPr>
          <w:spacing w:val="-2"/>
        </w:rPr>
        <w:t xml:space="preserve"> </w:t>
      </w:r>
      <w:r w:rsidRPr="007B38C6">
        <w:t>testing</w:t>
      </w:r>
      <w:r w:rsidRPr="007B38C6">
        <w:rPr>
          <w:spacing w:val="-2"/>
        </w:rPr>
        <w:t xml:space="preserve"> </w:t>
      </w:r>
      <w:r w:rsidRPr="007B38C6">
        <w:t>methods from the</w:t>
      </w:r>
      <w:r w:rsidRPr="007B38C6">
        <w:rPr>
          <w:spacing w:val="-1"/>
        </w:rPr>
        <w:t xml:space="preserve"> </w:t>
      </w:r>
      <w:r w:rsidRPr="007B38C6">
        <w:t>following</w:t>
      </w:r>
      <w:r w:rsidRPr="007B38C6">
        <w:rPr>
          <w:spacing w:val="-2"/>
        </w:rPr>
        <w:t xml:space="preserve"> </w:t>
      </w:r>
      <w:r w:rsidRPr="007B38C6">
        <w:t>sources:</w:t>
      </w:r>
    </w:p>
    <w:p w14:paraId="247E3F00" w14:textId="77777777" w:rsidR="00463011" w:rsidRPr="00E308CF" w:rsidRDefault="00463011" w:rsidP="007B38C6">
      <w:pPr>
        <w:pStyle w:val="ListBullet"/>
      </w:pPr>
      <w:hyperlink r:id="rId82">
        <w:r w:rsidRPr="00C47EC5">
          <w:rPr>
            <w:rStyle w:val="Hyperlink"/>
          </w:rPr>
          <w:t>OECD Test guidelines for the Chemicals</w:t>
        </w:r>
      </w:hyperlink>
      <w:r w:rsidRPr="00B822B5">
        <w:rPr>
          <w:color w:val="0000FF"/>
          <w:u w:color="0000FF"/>
        </w:rPr>
        <w:t xml:space="preserve"> </w:t>
      </w:r>
      <w:r w:rsidRPr="007B38C6">
        <w:t>(e.g.</w:t>
      </w:r>
      <w:r w:rsidRPr="007B38C6">
        <w:rPr>
          <w:u w:color="0000FF"/>
        </w:rPr>
        <w:t xml:space="preserve"> </w:t>
      </w:r>
      <w:r w:rsidRPr="007B38C6">
        <w:t>studies using appropriate and validated transgenic animal models to test exposure to the</w:t>
      </w:r>
      <w:r w:rsidRPr="007B38C6">
        <w:rPr>
          <w:spacing w:val="1"/>
        </w:rPr>
        <w:t xml:space="preserve"> </w:t>
      </w:r>
      <w:r w:rsidRPr="007B38C6">
        <w:t>substance)</w:t>
      </w:r>
    </w:p>
    <w:p w14:paraId="1A43A2C4" w14:textId="0071582A" w:rsidR="00463011" w:rsidRPr="00E308CF" w:rsidRDefault="00463011" w:rsidP="007B38C6">
      <w:pPr>
        <w:pStyle w:val="ListBullet"/>
      </w:pPr>
      <w:r w:rsidRPr="0012436A">
        <w:t xml:space="preserve">The European Commission’s </w:t>
      </w:r>
      <w:hyperlink r:id="rId83">
        <w:r w:rsidRPr="00C47EC5">
          <w:rPr>
            <w:rStyle w:val="Hyperlink"/>
          </w:rPr>
          <w:t>Tracking System for Alternative methods towards Regulatory</w:t>
        </w:r>
      </w:hyperlink>
      <w:r w:rsidRPr="00C47EC5">
        <w:rPr>
          <w:rStyle w:val="Hyperlink"/>
        </w:rPr>
        <w:t xml:space="preserve"> </w:t>
      </w:r>
      <w:hyperlink r:id="rId84">
        <w:r w:rsidRPr="00C47EC5">
          <w:rPr>
            <w:rStyle w:val="Hyperlink"/>
          </w:rPr>
          <w:t>acceptance (TSAR)</w:t>
        </w:r>
      </w:hyperlink>
    </w:p>
    <w:p w14:paraId="2FC802C9" w14:textId="77777777" w:rsidR="00463011" w:rsidRPr="002C60C5" w:rsidRDefault="00463011" w:rsidP="007B38C6">
      <w:pPr>
        <w:pStyle w:val="ListBullet"/>
      </w:pPr>
      <w:r w:rsidRPr="007B38C6">
        <w:t>The</w:t>
      </w:r>
      <w:r w:rsidRPr="00E308CF">
        <w:rPr>
          <w:color w:val="0000FF"/>
          <w:spacing w:val="-3"/>
        </w:rPr>
        <w:t xml:space="preserve"> </w:t>
      </w:r>
      <w:hyperlink r:id="rId85">
        <w:r w:rsidRPr="00C47EC5">
          <w:rPr>
            <w:rStyle w:val="Hyperlink"/>
          </w:rPr>
          <w:t>European Commission’s science and knowledge service</w:t>
        </w:r>
      </w:hyperlink>
      <w:r w:rsidRPr="002C60C5">
        <w:t xml:space="preserve"> </w:t>
      </w:r>
    </w:p>
    <w:p w14:paraId="7D8169FD" w14:textId="20D87CFD" w:rsidR="005C025F" w:rsidRDefault="00463011" w:rsidP="007B38C6">
      <w:pPr>
        <w:pStyle w:val="ListBullet"/>
      </w:pPr>
      <w:hyperlink r:id="rId86" w:history="1">
        <w:r w:rsidRPr="00C47EC5">
          <w:rPr>
            <w:rStyle w:val="Hyperlink"/>
          </w:rPr>
          <w:t>EU Reference Laboratory for alternatives to animal testing</w:t>
        </w:r>
      </w:hyperlink>
      <w:r w:rsidRPr="0012436A">
        <w:rPr>
          <w:spacing w:val="-1"/>
        </w:rPr>
        <w:t xml:space="preserve"> </w:t>
      </w:r>
      <w:r w:rsidRPr="007B38C6">
        <w:t>(EURL ECVAM)</w:t>
      </w:r>
    </w:p>
    <w:p w14:paraId="05BCC277" w14:textId="77777777" w:rsidR="002A54EB" w:rsidRPr="00E308CF" w:rsidRDefault="002A54EB" w:rsidP="002A54EB">
      <w:pPr>
        <w:pStyle w:val="Heading3"/>
      </w:pPr>
      <w:bookmarkStart w:id="98" w:name="_Toc120260222"/>
      <w:bookmarkStart w:id="99" w:name="_Toc181273060"/>
      <w:bookmarkStart w:id="100" w:name="_Toc198297290"/>
      <w:bookmarkStart w:id="101" w:name="_Toc204751329"/>
      <w:r w:rsidRPr="00E308CF">
        <w:t>Manufacture</w:t>
      </w:r>
      <w:r w:rsidRPr="00E308CF">
        <w:rPr>
          <w:spacing w:val="-3"/>
        </w:rPr>
        <w:t xml:space="preserve"> </w:t>
      </w:r>
      <w:r w:rsidRPr="00E308CF">
        <w:t>and</w:t>
      </w:r>
      <w:r w:rsidRPr="00E308CF">
        <w:rPr>
          <w:spacing w:val="-2"/>
        </w:rPr>
        <w:t xml:space="preserve"> </w:t>
      </w:r>
      <w:r w:rsidRPr="00E308CF">
        <w:t>quality</w:t>
      </w:r>
      <w:r w:rsidRPr="00E308CF">
        <w:rPr>
          <w:spacing w:val="-7"/>
        </w:rPr>
        <w:t xml:space="preserve"> </w:t>
      </w:r>
      <w:r w:rsidRPr="00E308CF">
        <w:t>control</w:t>
      </w:r>
      <w:r w:rsidRPr="00E308CF">
        <w:rPr>
          <w:spacing w:val="-3"/>
        </w:rPr>
        <w:t xml:space="preserve"> </w:t>
      </w:r>
      <w:r w:rsidRPr="00E308CF">
        <w:t>of</w:t>
      </w:r>
      <w:r w:rsidRPr="00E308CF">
        <w:rPr>
          <w:spacing w:val="-2"/>
        </w:rPr>
        <w:t xml:space="preserve"> </w:t>
      </w:r>
      <w:r w:rsidRPr="00E308CF">
        <w:t>listed</w:t>
      </w:r>
      <w:r w:rsidRPr="00E308CF">
        <w:rPr>
          <w:spacing w:val="-2"/>
        </w:rPr>
        <w:t xml:space="preserve"> </w:t>
      </w:r>
      <w:r w:rsidRPr="00E308CF">
        <w:t>therapeutic</w:t>
      </w:r>
      <w:r w:rsidRPr="00E308CF">
        <w:rPr>
          <w:spacing w:val="-2"/>
        </w:rPr>
        <w:t xml:space="preserve"> </w:t>
      </w:r>
      <w:r w:rsidRPr="00E308CF">
        <w:t>sunscreens</w:t>
      </w:r>
      <w:bookmarkEnd w:id="98"/>
      <w:bookmarkEnd w:id="99"/>
      <w:bookmarkEnd w:id="100"/>
      <w:bookmarkEnd w:id="101"/>
    </w:p>
    <w:p w14:paraId="357D0BEC" w14:textId="6A113DBE" w:rsidR="002A54EB" w:rsidRPr="007B38C6" w:rsidRDefault="002A54EB" w:rsidP="002A54EB">
      <w:bookmarkStart w:id="102" w:name="Manufacture_of_listed_therapeutic_sunscr"/>
      <w:bookmarkEnd w:id="102"/>
      <w:r w:rsidRPr="007B38C6">
        <w:t>In accordance with Part 3-3 of the Act and Part 4 of the Regulations, manufacturers of ‘listed’ or</w:t>
      </w:r>
      <w:r w:rsidRPr="007B38C6">
        <w:rPr>
          <w:spacing w:val="1"/>
        </w:rPr>
        <w:t xml:space="preserve"> </w:t>
      </w:r>
      <w:r w:rsidRPr="007B38C6">
        <w:t xml:space="preserve">‘registered’ therapeutic goods destined for the Australian market or for export from Australia to an overseas market must be licensed or approved by the </w:t>
      </w:r>
      <w:r w:rsidRPr="007B38C6">
        <w:lastRenderedPageBreak/>
        <w:t>TGA. These goods must also comply</w:t>
      </w:r>
      <w:r w:rsidRPr="007B38C6">
        <w:rPr>
          <w:spacing w:val="1"/>
        </w:rPr>
        <w:t xml:space="preserve"> </w:t>
      </w:r>
      <w:r w:rsidRPr="007B38C6">
        <w:t>with manufacturing principles as determined by the Minister. These manufacturing principles</w:t>
      </w:r>
      <w:r w:rsidRPr="007B38C6">
        <w:rPr>
          <w:spacing w:val="1"/>
        </w:rPr>
        <w:t xml:space="preserve"> </w:t>
      </w:r>
      <w:r w:rsidRPr="007B38C6">
        <w:t xml:space="preserve">are set out in the TGA’s requirements for </w:t>
      </w:r>
      <w:hyperlink r:id="rId87">
        <w:r w:rsidRPr="00C47EC5">
          <w:rPr>
            <w:rStyle w:val="Hyperlink"/>
          </w:rPr>
          <w:t>Good Manufacturing Practice (GMP)</w:t>
        </w:r>
        <w:r w:rsidRPr="00E308CF">
          <w:t xml:space="preserve">. </w:t>
        </w:r>
      </w:hyperlink>
      <w:r w:rsidRPr="007B38C6" w:rsidDel="005D64AA">
        <w:t>All sunscreen products released on the Australian market must be manufactured according to</w:t>
      </w:r>
      <w:r w:rsidRPr="007B38C6" w:rsidDel="005D64AA">
        <w:rPr>
          <w:spacing w:val="1"/>
        </w:rPr>
        <w:t xml:space="preserve"> </w:t>
      </w:r>
      <w:r w:rsidRPr="007B38C6" w:rsidDel="005D64AA">
        <w:t>the principles of GMP</w:t>
      </w:r>
      <w:r w:rsidRPr="007B38C6">
        <w:t>.</w:t>
      </w:r>
      <w:r w:rsidRPr="007B38C6" w:rsidDel="005D64AA">
        <w:t xml:space="preserve"> </w:t>
      </w:r>
      <w:r w:rsidRPr="007B38C6">
        <w:t>Guidance specific</w:t>
      </w:r>
      <w:r w:rsidRPr="007B38C6">
        <w:rPr>
          <w:spacing w:val="1"/>
        </w:rPr>
        <w:t xml:space="preserve"> </w:t>
      </w:r>
      <w:r w:rsidRPr="007B38C6">
        <w:t xml:space="preserve">to sunscreen manufacturing can be found in the </w:t>
      </w:r>
      <w:hyperlink r:id="rId88">
        <w:r w:rsidRPr="00C47EC5">
          <w:rPr>
            <w:rStyle w:val="Hyperlink"/>
          </w:rPr>
          <w:t>Sunscreen manufacturing: Demonstrating</w:t>
        </w:r>
      </w:hyperlink>
      <w:r w:rsidR="00F439EE" w:rsidRPr="00C47EC5">
        <w:rPr>
          <w:rStyle w:val="Hyperlink"/>
        </w:rPr>
        <w:t xml:space="preserve"> </w:t>
      </w:r>
      <w:hyperlink r:id="rId89">
        <w:r w:rsidRPr="00C47EC5">
          <w:rPr>
            <w:rStyle w:val="Hyperlink"/>
          </w:rPr>
          <w:t>compliance with the PIC/S guide to GMP, PE0009-13.</w:t>
        </w:r>
      </w:hyperlink>
      <w:r w:rsidRPr="002E00AA" w:rsidDel="005D64AA">
        <w:t xml:space="preserve"> </w:t>
      </w:r>
      <w:r w:rsidRPr="007B38C6" w:rsidDel="005D64AA">
        <w:t>This document states that all sunscreen products</w:t>
      </w:r>
      <w:r w:rsidRPr="007B38C6" w:rsidDel="005D64AA">
        <w:rPr>
          <w:spacing w:val="1"/>
        </w:rPr>
        <w:t xml:space="preserve"> </w:t>
      </w:r>
      <w:r w:rsidRPr="007B38C6" w:rsidDel="005D64AA">
        <w:t>released on the Australian market must be manufactured by pre-approved manufacturers who</w:t>
      </w:r>
      <w:r w:rsidRPr="007B38C6" w:rsidDel="005D64AA">
        <w:rPr>
          <w:spacing w:val="1"/>
        </w:rPr>
        <w:t xml:space="preserve"> </w:t>
      </w:r>
      <w:r w:rsidRPr="007B38C6" w:rsidDel="005D64AA">
        <w:t>are responsible for meeting the necessary requirements associated with the raw materials,</w:t>
      </w:r>
      <w:r w:rsidRPr="007B38C6" w:rsidDel="005D64AA">
        <w:rPr>
          <w:spacing w:val="1"/>
        </w:rPr>
        <w:t xml:space="preserve"> </w:t>
      </w:r>
      <w:r w:rsidRPr="007B38C6" w:rsidDel="005D64AA">
        <w:t>ingredients</w:t>
      </w:r>
      <w:r w:rsidRPr="007B38C6" w:rsidDel="005D64AA">
        <w:rPr>
          <w:spacing w:val="-1"/>
        </w:rPr>
        <w:t xml:space="preserve"> </w:t>
      </w:r>
      <w:r w:rsidRPr="007B38C6" w:rsidDel="005D64AA">
        <w:t>and</w:t>
      </w:r>
      <w:r w:rsidRPr="007B38C6" w:rsidDel="005D64AA">
        <w:rPr>
          <w:spacing w:val="-1"/>
        </w:rPr>
        <w:t xml:space="preserve"> </w:t>
      </w:r>
      <w:r w:rsidRPr="007B38C6" w:rsidDel="005D64AA">
        <w:t>manufacturing</w:t>
      </w:r>
      <w:r w:rsidRPr="007B38C6" w:rsidDel="005D64AA">
        <w:rPr>
          <w:spacing w:val="-2"/>
        </w:rPr>
        <w:t xml:space="preserve"> </w:t>
      </w:r>
      <w:r w:rsidRPr="007B38C6" w:rsidDel="005D64AA">
        <w:t>process.</w:t>
      </w:r>
    </w:p>
    <w:p w14:paraId="193F3B85" w14:textId="77777777" w:rsidR="002A54EB" w:rsidRPr="00E308CF" w:rsidRDefault="002A54EB" w:rsidP="002A54EB">
      <w:r w:rsidRPr="007B38C6">
        <w:t>Where an Australian manufacturer is nominated in an application to list or register a</w:t>
      </w:r>
      <w:r w:rsidRPr="007B38C6">
        <w:rPr>
          <w:spacing w:val="1"/>
        </w:rPr>
        <w:t xml:space="preserve"> </w:t>
      </w:r>
      <w:r w:rsidRPr="007B38C6">
        <w:t>sunscreen, that manufacturer must be “licensed” by the TGA to manufacture such products</w:t>
      </w:r>
      <w:r w:rsidRPr="007B38C6">
        <w:rPr>
          <w:spacing w:val="-46"/>
        </w:rPr>
        <w:t xml:space="preserve"> </w:t>
      </w:r>
      <w:r w:rsidRPr="007B38C6">
        <w:t>and</w:t>
      </w:r>
      <w:r w:rsidRPr="007B38C6">
        <w:rPr>
          <w:spacing w:val="-2"/>
        </w:rPr>
        <w:t xml:space="preserve"> </w:t>
      </w:r>
      <w:r w:rsidRPr="007B38C6">
        <w:t>must</w:t>
      </w:r>
      <w:r w:rsidRPr="007B38C6">
        <w:rPr>
          <w:spacing w:val="-1"/>
        </w:rPr>
        <w:t xml:space="preserve"> </w:t>
      </w:r>
      <w:r w:rsidRPr="007B38C6">
        <w:t>comply</w:t>
      </w:r>
      <w:r w:rsidRPr="007B38C6">
        <w:rPr>
          <w:spacing w:val="-2"/>
        </w:rPr>
        <w:t xml:space="preserve"> </w:t>
      </w:r>
      <w:r w:rsidRPr="007B38C6">
        <w:t>with the</w:t>
      </w:r>
      <w:r w:rsidRPr="007B38C6">
        <w:rPr>
          <w:spacing w:val="-3"/>
        </w:rPr>
        <w:t xml:space="preserve"> </w:t>
      </w:r>
      <w:r w:rsidRPr="007B38C6">
        <w:t>TGA’s</w:t>
      </w:r>
      <w:r w:rsidRPr="007B38C6">
        <w:rPr>
          <w:spacing w:val="-1"/>
        </w:rPr>
        <w:t xml:space="preserve"> </w:t>
      </w:r>
      <w:r w:rsidRPr="007B38C6">
        <w:t>GMP</w:t>
      </w:r>
      <w:r w:rsidRPr="007B38C6">
        <w:rPr>
          <w:spacing w:val="-2"/>
        </w:rPr>
        <w:t xml:space="preserve"> </w:t>
      </w:r>
      <w:r w:rsidRPr="007B38C6">
        <w:t>requirements</w:t>
      </w:r>
      <w:r w:rsidRPr="007B38C6">
        <w:rPr>
          <w:spacing w:val="-2"/>
        </w:rPr>
        <w:t xml:space="preserve"> </w:t>
      </w:r>
      <w:r w:rsidRPr="007B38C6">
        <w:t>as relevant</w:t>
      </w:r>
      <w:r w:rsidRPr="007B38C6">
        <w:rPr>
          <w:spacing w:val="-1"/>
        </w:rPr>
        <w:t xml:space="preserve"> </w:t>
      </w:r>
      <w:r w:rsidRPr="007B38C6">
        <w:t>to</w:t>
      </w:r>
      <w:r w:rsidRPr="007B38C6">
        <w:rPr>
          <w:spacing w:val="-4"/>
        </w:rPr>
        <w:t xml:space="preserve"> </w:t>
      </w:r>
      <w:r w:rsidRPr="007B38C6">
        <w:t>sunscreens. Where the product is imported, each nominated overseas manufacturer is expected to</w:t>
      </w:r>
      <w:r w:rsidRPr="007B38C6">
        <w:rPr>
          <w:spacing w:val="1"/>
        </w:rPr>
        <w:t xml:space="preserve"> </w:t>
      </w:r>
      <w:r w:rsidRPr="007B38C6">
        <w:t>comply with a code of GMP equivalent to that applying to Australian manufacturers and the</w:t>
      </w:r>
      <w:r w:rsidRPr="007B38C6">
        <w:rPr>
          <w:spacing w:val="-46"/>
        </w:rPr>
        <w:t xml:space="preserve"> </w:t>
      </w:r>
      <w:r w:rsidRPr="007B38C6">
        <w:t>TGA</w:t>
      </w:r>
      <w:r w:rsidRPr="007B38C6">
        <w:rPr>
          <w:spacing w:val="-3"/>
        </w:rPr>
        <w:t xml:space="preserve"> </w:t>
      </w:r>
      <w:r w:rsidRPr="007B38C6">
        <w:t>must</w:t>
      </w:r>
      <w:r w:rsidRPr="007B38C6">
        <w:rPr>
          <w:spacing w:val="-1"/>
        </w:rPr>
        <w:t xml:space="preserve"> </w:t>
      </w:r>
      <w:r w:rsidRPr="007B38C6">
        <w:t>have</w:t>
      </w:r>
      <w:r w:rsidRPr="007B38C6">
        <w:rPr>
          <w:spacing w:val="-1"/>
        </w:rPr>
        <w:t xml:space="preserve"> </w:t>
      </w:r>
      <w:r w:rsidRPr="007B38C6">
        <w:t>issued</w:t>
      </w:r>
      <w:r w:rsidRPr="007B38C6">
        <w:rPr>
          <w:spacing w:val="-1"/>
        </w:rPr>
        <w:t xml:space="preserve"> </w:t>
      </w:r>
      <w:r w:rsidRPr="007B38C6">
        <w:t>a</w:t>
      </w:r>
      <w:r w:rsidRPr="007B38C6">
        <w:rPr>
          <w:spacing w:val="-1"/>
        </w:rPr>
        <w:t xml:space="preserve"> </w:t>
      </w:r>
      <w:r w:rsidRPr="00C47EC5">
        <w:rPr>
          <w:rStyle w:val="Hyperlink"/>
        </w:rPr>
        <w:t>“</w:t>
      </w:r>
      <w:hyperlink r:id="rId90">
        <w:r w:rsidRPr="00C47EC5">
          <w:rPr>
            <w:rStyle w:val="Hyperlink"/>
          </w:rPr>
          <w:t xml:space="preserve">GMP clearance” </w:t>
        </w:r>
      </w:hyperlink>
      <w:r w:rsidRPr="007B38C6">
        <w:t>for</w:t>
      </w:r>
      <w:r w:rsidRPr="007B38C6">
        <w:rPr>
          <w:spacing w:val="-1"/>
        </w:rPr>
        <w:t xml:space="preserve"> </w:t>
      </w:r>
      <w:r w:rsidRPr="007B38C6">
        <w:t>that</w:t>
      </w:r>
      <w:r w:rsidRPr="007B38C6">
        <w:rPr>
          <w:spacing w:val="-4"/>
        </w:rPr>
        <w:t xml:space="preserve"> </w:t>
      </w:r>
      <w:r w:rsidRPr="007B38C6">
        <w:t>manufacturer. Further</w:t>
      </w:r>
      <w:r w:rsidRPr="007B38C6">
        <w:rPr>
          <w:spacing w:val="-2"/>
        </w:rPr>
        <w:t xml:space="preserve"> </w:t>
      </w:r>
      <w:r w:rsidRPr="007B38C6">
        <w:t>information</w:t>
      </w:r>
      <w:r w:rsidRPr="007B38C6">
        <w:rPr>
          <w:spacing w:val="-3"/>
        </w:rPr>
        <w:t xml:space="preserve"> </w:t>
      </w:r>
      <w:r w:rsidRPr="007B38C6">
        <w:t>on</w:t>
      </w:r>
      <w:r w:rsidRPr="007B38C6">
        <w:rPr>
          <w:spacing w:val="-3"/>
        </w:rPr>
        <w:t xml:space="preserve"> </w:t>
      </w:r>
      <w:r w:rsidRPr="007B38C6">
        <w:t>licensing</w:t>
      </w:r>
      <w:r w:rsidRPr="007B38C6">
        <w:rPr>
          <w:spacing w:val="-2"/>
        </w:rPr>
        <w:t xml:space="preserve"> </w:t>
      </w:r>
      <w:r w:rsidRPr="007B38C6">
        <w:t>or</w:t>
      </w:r>
      <w:r w:rsidRPr="007B38C6">
        <w:rPr>
          <w:spacing w:val="-2"/>
        </w:rPr>
        <w:t xml:space="preserve"> </w:t>
      </w:r>
      <w:r w:rsidRPr="007B38C6">
        <w:t>approval</w:t>
      </w:r>
      <w:r w:rsidRPr="007B38C6">
        <w:rPr>
          <w:spacing w:val="-2"/>
        </w:rPr>
        <w:t xml:space="preserve"> </w:t>
      </w:r>
      <w:r w:rsidRPr="007B38C6">
        <w:t>of</w:t>
      </w:r>
      <w:r w:rsidRPr="007B38C6">
        <w:rPr>
          <w:spacing w:val="-4"/>
        </w:rPr>
        <w:t xml:space="preserve"> </w:t>
      </w:r>
      <w:r w:rsidRPr="007B38C6">
        <w:t>manufacturers</w:t>
      </w:r>
      <w:r w:rsidRPr="007B38C6">
        <w:rPr>
          <w:spacing w:val="-1"/>
        </w:rPr>
        <w:t xml:space="preserve"> </w:t>
      </w:r>
      <w:r w:rsidRPr="007B38C6">
        <w:t>is available</w:t>
      </w:r>
      <w:r w:rsidRPr="007B38C6">
        <w:rPr>
          <w:spacing w:val="-2"/>
        </w:rPr>
        <w:t xml:space="preserve"> </w:t>
      </w:r>
      <w:r w:rsidRPr="007B38C6">
        <w:t>on</w:t>
      </w:r>
      <w:r w:rsidRPr="007B38C6">
        <w:rPr>
          <w:spacing w:val="-5"/>
        </w:rPr>
        <w:t xml:space="preserve"> </w:t>
      </w:r>
      <w:r w:rsidRPr="007B38C6">
        <w:t>the</w:t>
      </w:r>
      <w:r w:rsidRPr="007B38C6">
        <w:rPr>
          <w:spacing w:val="-2"/>
        </w:rPr>
        <w:t xml:space="preserve"> </w:t>
      </w:r>
      <w:hyperlink r:id="rId91" w:history="1">
        <w:r w:rsidRPr="00E308CF">
          <w:rPr>
            <w:rStyle w:val="Hyperlink"/>
          </w:rPr>
          <w:t>TGA</w:t>
        </w:r>
        <w:r w:rsidRPr="00E308CF">
          <w:rPr>
            <w:rStyle w:val="Hyperlink"/>
            <w:spacing w:val="-2"/>
          </w:rPr>
          <w:t xml:space="preserve"> </w:t>
        </w:r>
        <w:r w:rsidRPr="00E308CF">
          <w:rPr>
            <w:rStyle w:val="Hyperlink"/>
          </w:rPr>
          <w:t>website</w:t>
        </w:r>
      </w:hyperlink>
      <w:r w:rsidRPr="00E308CF">
        <w:t>.</w:t>
      </w:r>
    </w:p>
    <w:p w14:paraId="29DB2E8A" w14:textId="77777777" w:rsidR="002A54EB" w:rsidRPr="00E308CF" w:rsidRDefault="002A54EB" w:rsidP="002A54EB">
      <w:pPr>
        <w:rPr>
          <w:sz w:val="20"/>
        </w:rPr>
      </w:pPr>
      <w:r w:rsidRPr="007B38C6">
        <w:t>In addition, subparagraph 40(4)(a)(</w:t>
      </w:r>
      <w:proofErr w:type="spellStart"/>
      <w:r w:rsidRPr="007B38C6">
        <w:t>i</w:t>
      </w:r>
      <w:proofErr w:type="spellEnd"/>
      <w:r w:rsidRPr="007B38C6">
        <w:t>) of the Act requires the manufacturer to ensure that the</w:t>
      </w:r>
      <w:r w:rsidRPr="007B38C6">
        <w:rPr>
          <w:spacing w:val="-46"/>
        </w:rPr>
        <w:t xml:space="preserve"> </w:t>
      </w:r>
      <w:r w:rsidRPr="007B38C6">
        <w:t>product complies with any standard applicable to the product. It is the responsibility of the</w:t>
      </w:r>
      <w:r w:rsidRPr="007B38C6">
        <w:rPr>
          <w:spacing w:val="1"/>
        </w:rPr>
        <w:t xml:space="preserve"> </w:t>
      </w:r>
      <w:r w:rsidRPr="007B38C6">
        <w:t>finished medicinal product manufacturer to hold evidence that ingredients (active and</w:t>
      </w:r>
      <w:r w:rsidRPr="007B38C6">
        <w:rPr>
          <w:spacing w:val="1"/>
        </w:rPr>
        <w:t xml:space="preserve"> </w:t>
      </w:r>
      <w:r w:rsidRPr="007B38C6">
        <w:t>excipient) used in a product meet the requirements of a default standard, or the established</w:t>
      </w:r>
      <w:r w:rsidRPr="007B38C6">
        <w:rPr>
          <w:spacing w:val="1"/>
        </w:rPr>
        <w:t xml:space="preserve"> </w:t>
      </w:r>
      <w:r w:rsidRPr="007B38C6">
        <w:t>specification</w:t>
      </w:r>
      <w:r w:rsidRPr="007B38C6">
        <w:rPr>
          <w:spacing w:val="-3"/>
        </w:rPr>
        <w:t xml:space="preserve"> </w:t>
      </w:r>
      <w:r w:rsidRPr="007B38C6">
        <w:t>as stated</w:t>
      </w:r>
      <w:r w:rsidRPr="007B38C6">
        <w:rPr>
          <w:spacing w:val="-2"/>
        </w:rPr>
        <w:t xml:space="preserve"> </w:t>
      </w:r>
      <w:r w:rsidRPr="007B38C6">
        <w:t>in</w:t>
      </w:r>
      <w:r w:rsidRPr="007B38C6">
        <w:rPr>
          <w:spacing w:val="-2"/>
        </w:rPr>
        <w:t xml:space="preserve"> </w:t>
      </w:r>
      <w:r w:rsidRPr="007B38C6">
        <w:t>the</w:t>
      </w:r>
      <w:r w:rsidRPr="007B38C6">
        <w:rPr>
          <w:spacing w:val="-1"/>
        </w:rPr>
        <w:t xml:space="preserve"> </w:t>
      </w:r>
      <w:hyperlink r:id="rId92">
        <w:r w:rsidRPr="00C47EC5">
          <w:rPr>
            <w:rStyle w:val="Hyperlink"/>
          </w:rPr>
          <w:t>Release for supply of medicines</w:t>
        </w:r>
        <w:r w:rsidRPr="00E308CF">
          <w:rPr>
            <w:color w:val="0000FF"/>
          </w:rPr>
          <w:t xml:space="preserve"> </w:t>
        </w:r>
      </w:hyperlink>
      <w:r w:rsidRPr="007B38C6">
        <w:t>guidance</w:t>
      </w:r>
      <w:r w:rsidRPr="007B38C6">
        <w:rPr>
          <w:spacing w:val="-2"/>
        </w:rPr>
        <w:t xml:space="preserve"> </w:t>
      </w:r>
      <w:r w:rsidRPr="007B38C6">
        <w:t>document.</w:t>
      </w:r>
    </w:p>
    <w:p w14:paraId="65BD6B06" w14:textId="77777777" w:rsidR="009E2A87" w:rsidRPr="006D79C0" w:rsidRDefault="009E2A87" w:rsidP="009E2A87">
      <w:pPr>
        <w:pStyle w:val="Heading4"/>
      </w:pPr>
      <w:bookmarkStart w:id="103" w:name="_Toc181273061"/>
      <w:bookmarkStart w:id="104" w:name="_Toc204751330"/>
      <w:r w:rsidRPr="006D79C0">
        <w:t>Default standards for listed therapeutic sunscreens</w:t>
      </w:r>
      <w:bookmarkEnd w:id="103"/>
      <w:bookmarkEnd w:id="104"/>
    </w:p>
    <w:p w14:paraId="2EBFA431" w14:textId="77777777" w:rsidR="009E2A87" w:rsidRPr="00EF0D72" w:rsidRDefault="009E2A87" w:rsidP="009E2A87">
      <w:pPr>
        <w:pStyle w:val="Heading5"/>
      </w:pPr>
      <w:r w:rsidRPr="00EF0D72">
        <w:t>Pharmacopeial</w:t>
      </w:r>
      <w:r w:rsidRPr="00EF0D72">
        <w:rPr>
          <w:spacing w:val="-3"/>
        </w:rPr>
        <w:t xml:space="preserve"> </w:t>
      </w:r>
      <w:r w:rsidRPr="00EF0D72">
        <w:t>Standards</w:t>
      </w:r>
    </w:p>
    <w:p w14:paraId="090AAB92" w14:textId="77777777" w:rsidR="009E2A87" w:rsidRPr="007B38C6" w:rsidRDefault="009E2A87" w:rsidP="009E2A87">
      <w:r w:rsidRPr="007B38C6">
        <w:t>In accordance with the definitions in section 3 of the Act, the default standards applying to</w:t>
      </w:r>
      <w:r w:rsidRPr="007B38C6">
        <w:rPr>
          <w:spacing w:val="-46"/>
        </w:rPr>
        <w:t xml:space="preserve"> </w:t>
      </w:r>
      <w:r w:rsidRPr="007B38C6">
        <w:t>therapeutic</w:t>
      </w:r>
      <w:r w:rsidRPr="007B38C6">
        <w:rPr>
          <w:spacing w:val="-1"/>
        </w:rPr>
        <w:t xml:space="preserve"> </w:t>
      </w:r>
      <w:r w:rsidRPr="007B38C6">
        <w:t>goods registered</w:t>
      </w:r>
      <w:r w:rsidRPr="007B38C6">
        <w:rPr>
          <w:spacing w:val="-1"/>
        </w:rPr>
        <w:t xml:space="preserve"> </w:t>
      </w:r>
      <w:r w:rsidRPr="007B38C6">
        <w:t>or</w:t>
      </w:r>
      <w:r w:rsidRPr="007B38C6">
        <w:rPr>
          <w:spacing w:val="-1"/>
        </w:rPr>
        <w:t xml:space="preserve"> </w:t>
      </w:r>
      <w:r w:rsidRPr="007B38C6">
        <w:t>listed</w:t>
      </w:r>
      <w:r w:rsidRPr="007B38C6">
        <w:rPr>
          <w:spacing w:val="-3"/>
        </w:rPr>
        <w:t xml:space="preserve"> </w:t>
      </w:r>
      <w:r w:rsidRPr="007B38C6">
        <w:t>in</w:t>
      </w:r>
      <w:r w:rsidRPr="007B38C6">
        <w:rPr>
          <w:spacing w:val="-3"/>
        </w:rPr>
        <w:t xml:space="preserve"> </w:t>
      </w:r>
      <w:r w:rsidRPr="007B38C6">
        <w:t>the</w:t>
      </w:r>
      <w:r w:rsidRPr="007B38C6">
        <w:rPr>
          <w:spacing w:val="-1"/>
        </w:rPr>
        <w:t xml:space="preserve"> </w:t>
      </w:r>
      <w:r w:rsidRPr="007B38C6">
        <w:t>ARTG</w:t>
      </w:r>
      <w:r w:rsidRPr="007B38C6">
        <w:rPr>
          <w:spacing w:val="-3"/>
        </w:rPr>
        <w:t xml:space="preserve"> </w:t>
      </w:r>
      <w:r w:rsidRPr="007B38C6">
        <w:t>include</w:t>
      </w:r>
      <w:r w:rsidRPr="007B38C6">
        <w:rPr>
          <w:spacing w:val="-1"/>
        </w:rPr>
        <w:t xml:space="preserve"> </w:t>
      </w:r>
      <w:r w:rsidRPr="007B38C6">
        <w:t>the:</w:t>
      </w:r>
    </w:p>
    <w:p w14:paraId="7964A341" w14:textId="77777777" w:rsidR="009E2A87" w:rsidRPr="007B38C6" w:rsidRDefault="009E2A87" w:rsidP="007B38C6">
      <w:pPr>
        <w:pStyle w:val="ListBullet"/>
      </w:pPr>
      <w:r w:rsidRPr="007B38C6">
        <w:t>British</w:t>
      </w:r>
      <w:r w:rsidRPr="007B38C6">
        <w:rPr>
          <w:spacing w:val="-3"/>
        </w:rPr>
        <w:t xml:space="preserve"> </w:t>
      </w:r>
      <w:r w:rsidRPr="007B38C6">
        <w:t>Pharmacopoeia</w:t>
      </w:r>
      <w:r w:rsidRPr="007B38C6">
        <w:rPr>
          <w:spacing w:val="-4"/>
        </w:rPr>
        <w:t xml:space="preserve"> </w:t>
      </w:r>
      <w:r w:rsidRPr="007B38C6">
        <w:t>(BP)</w:t>
      </w:r>
    </w:p>
    <w:p w14:paraId="24D7DCB1" w14:textId="77777777" w:rsidR="009E2A87" w:rsidRPr="007B38C6" w:rsidRDefault="009E2A87" w:rsidP="007B38C6">
      <w:pPr>
        <w:pStyle w:val="ListBullet"/>
      </w:pPr>
      <w:r w:rsidRPr="007B38C6">
        <w:t>European</w:t>
      </w:r>
      <w:r w:rsidRPr="007B38C6">
        <w:rPr>
          <w:spacing w:val="-3"/>
        </w:rPr>
        <w:t xml:space="preserve"> </w:t>
      </w:r>
      <w:r w:rsidRPr="007B38C6">
        <w:t>Pharmacopoeia</w:t>
      </w:r>
      <w:r w:rsidRPr="007B38C6">
        <w:rPr>
          <w:spacing w:val="-4"/>
        </w:rPr>
        <w:t xml:space="preserve"> </w:t>
      </w:r>
      <w:r w:rsidRPr="007B38C6">
        <w:t>(Ph</w:t>
      </w:r>
      <w:r w:rsidRPr="007B38C6">
        <w:rPr>
          <w:spacing w:val="-2"/>
        </w:rPr>
        <w:t xml:space="preserve"> </w:t>
      </w:r>
      <w:proofErr w:type="spellStart"/>
      <w:r w:rsidRPr="007B38C6">
        <w:t>Eur</w:t>
      </w:r>
      <w:proofErr w:type="spellEnd"/>
      <w:r w:rsidRPr="007B38C6">
        <w:t>)</w:t>
      </w:r>
    </w:p>
    <w:p w14:paraId="083A3152" w14:textId="77777777" w:rsidR="009E2A87" w:rsidRPr="007B38C6" w:rsidRDefault="009E2A87" w:rsidP="007B38C6">
      <w:pPr>
        <w:pStyle w:val="ListBullet"/>
      </w:pPr>
      <w:r w:rsidRPr="007B38C6">
        <w:t>United</w:t>
      </w:r>
      <w:r w:rsidRPr="007B38C6">
        <w:rPr>
          <w:spacing w:val="-6"/>
        </w:rPr>
        <w:t xml:space="preserve"> </w:t>
      </w:r>
      <w:r w:rsidRPr="007B38C6">
        <w:t>States</w:t>
      </w:r>
      <w:r w:rsidRPr="007B38C6">
        <w:rPr>
          <w:spacing w:val="-3"/>
        </w:rPr>
        <w:t xml:space="preserve"> </w:t>
      </w:r>
      <w:r w:rsidRPr="007B38C6">
        <w:t>Pharmacopeia-National</w:t>
      </w:r>
      <w:r w:rsidRPr="007B38C6">
        <w:rPr>
          <w:spacing w:val="-3"/>
        </w:rPr>
        <w:t xml:space="preserve"> </w:t>
      </w:r>
      <w:r w:rsidRPr="007B38C6">
        <w:t>Formulary</w:t>
      </w:r>
      <w:r w:rsidRPr="007B38C6">
        <w:rPr>
          <w:spacing w:val="-4"/>
        </w:rPr>
        <w:t xml:space="preserve"> </w:t>
      </w:r>
      <w:r w:rsidRPr="007B38C6">
        <w:t>(USP-NF).</w:t>
      </w:r>
    </w:p>
    <w:p w14:paraId="3B82C10D" w14:textId="77777777" w:rsidR="009E2A87" w:rsidRPr="00C11A6D" w:rsidRDefault="009E2A87" w:rsidP="009E2A87">
      <w:pPr>
        <w:pStyle w:val="Heading5"/>
      </w:pPr>
      <w:r w:rsidRPr="00C11A6D">
        <w:t>Non-pharmacopeial Standards</w:t>
      </w:r>
    </w:p>
    <w:p w14:paraId="2234D449" w14:textId="77777777" w:rsidR="009E2A87" w:rsidRPr="007B38C6" w:rsidRDefault="009E2A87" w:rsidP="009E2A87">
      <w:r w:rsidRPr="007B38C6">
        <w:t xml:space="preserve">Other standards that apply to sunscreens include relevant </w:t>
      </w:r>
      <w:hyperlink r:id="rId93">
        <w:r w:rsidRPr="00C47EC5">
          <w:rPr>
            <w:rStyle w:val="Hyperlink"/>
          </w:rPr>
          <w:t>Therapeutic Goods Orders</w:t>
        </w:r>
        <w:r w:rsidRPr="00E308CF">
          <w:rPr>
            <w:color w:val="0000FF"/>
          </w:rPr>
          <w:t xml:space="preserve"> </w:t>
        </w:r>
      </w:hyperlink>
      <w:r w:rsidRPr="007B38C6">
        <w:t>made</w:t>
      </w:r>
      <w:r w:rsidRPr="007B38C6">
        <w:rPr>
          <w:spacing w:val="-46"/>
        </w:rPr>
        <w:t xml:space="preserve"> </w:t>
      </w:r>
      <w:r w:rsidRPr="007B38C6">
        <w:t>under</w:t>
      </w:r>
      <w:r w:rsidRPr="007B38C6">
        <w:rPr>
          <w:spacing w:val="-2"/>
        </w:rPr>
        <w:t xml:space="preserve"> </w:t>
      </w:r>
      <w:r w:rsidRPr="007B38C6">
        <w:t>section</w:t>
      </w:r>
      <w:r w:rsidRPr="007B38C6">
        <w:rPr>
          <w:spacing w:val="-2"/>
        </w:rPr>
        <w:t xml:space="preserve"> </w:t>
      </w:r>
      <w:r w:rsidRPr="007B38C6">
        <w:t>10</w:t>
      </w:r>
      <w:r w:rsidRPr="007B38C6">
        <w:rPr>
          <w:spacing w:val="-1"/>
        </w:rPr>
        <w:t xml:space="preserve"> </w:t>
      </w:r>
      <w:r w:rsidRPr="007B38C6">
        <w:t>of</w:t>
      </w:r>
      <w:r w:rsidRPr="007B38C6">
        <w:rPr>
          <w:spacing w:val="-1"/>
        </w:rPr>
        <w:t xml:space="preserve"> </w:t>
      </w:r>
      <w:r w:rsidRPr="007B38C6">
        <w:t>the</w:t>
      </w:r>
      <w:r w:rsidRPr="007B38C6">
        <w:rPr>
          <w:spacing w:val="-1"/>
        </w:rPr>
        <w:t xml:space="preserve"> </w:t>
      </w:r>
      <w:r w:rsidRPr="007B38C6">
        <w:t>Act</w:t>
      </w:r>
      <w:r w:rsidRPr="007B38C6">
        <w:rPr>
          <w:spacing w:val="-1"/>
        </w:rPr>
        <w:t xml:space="preserve"> </w:t>
      </w:r>
      <w:r w:rsidRPr="007B38C6">
        <w:t>such as the</w:t>
      </w:r>
      <w:r w:rsidRPr="007B38C6">
        <w:rPr>
          <w:spacing w:val="-1"/>
        </w:rPr>
        <w:t xml:space="preserve"> </w:t>
      </w:r>
      <w:r w:rsidRPr="007B38C6">
        <w:t>most</w:t>
      </w:r>
      <w:r w:rsidRPr="007B38C6">
        <w:rPr>
          <w:spacing w:val="-3"/>
        </w:rPr>
        <w:t xml:space="preserve"> </w:t>
      </w:r>
      <w:r w:rsidRPr="007B38C6">
        <w:t>current:</w:t>
      </w:r>
    </w:p>
    <w:p w14:paraId="5FC0AFB6" w14:textId="77777777" w:rsidR="009E2A87" w:rsidRPr="007B38C6" w:rsidRDefault="009E2A87" w:rsidP="0073748E">
      <w:pPr>
        <w:pStyle w:val="ListBullet"/>
        <w:numPr>
          <w:ilvl w:val="0"/>
          <w:numId w:val="24"/>
        </w:numPr>
      </w:pPr>
      <w:r w:rsidRPr="007B38C6">
        <w:t>Labelling</w:t>
      </w:r>
      <w:r w:rsidRPr="007B38C6">
        <w:rPr>
          <w:spacing w:val="-2"/>
        </w:rPr>
        <w:t xml:space="preserve"> </w:t>
      </w:r>
      <w:r w:rsidRPr="007B38C6">
        <w:t>Order</w:t>
      </w:r>
    </w:p>
    <w:p w14:paraId="7E21C5FC" w14:textId="77777777" w:rsidR="009E2A87" w:rsidRPr="007B38C6" w:rsidRDefault="009E2A87" w:rsidP="0073748E">
      <w:pPr>
        <w:pStyle w:val="ListBullet"/>
        <w:numPr>
          <w:ilvl w:val="0"/>
          <w:numId w:val="24"/>
        </w:numPr>
      </w:pPr>
      <w:r w:rsidRPr="007B38C6">
        <w:t>Order</w:t>
      </w:r>
      <w:r w:rsidRPr="007B38C6">
        <w:rPr>
          <w:spacing w:val="-3"/>
        </w:rPr>
        <w:t xml:space="preserve"> </w:t>
      </w:r>
      <w:r w:rsidRPr="007B38C6">
        <w:t>for</w:t>
      </w:r>
      <w:r w:rsidRPr="007B38C6">
        <w:rPr>
          <w:spacing w:val="-2"/>
        </w:rPr>
        <w:t xml:space="preserve"> </w:t>
      </w:r>
      <w:r w:rsidRPr="007B38C6">
        <w:t>Microbiological</w:t>
      </w:r>
      <w:r w:rsidRPr="007B38C6">
        <w:rPr>
          <w:spacing w:val="-4"/>
        </w:rPr>
        <w:t xml:space="preserve"> </w:t>
      </w:r>
      <w:r w:rsidRPr="007B38C6">
        <w:t>Standards</w:t>
      </w:r>
      <w:r w:rsidRPr="007B38C6">
        <w:rPr>
          <w:spacing w:val="-1"/>
        </w:rPr>
        <w:t xml:space="preserve"> </w:t>
      </w:r>
      <w:r w:rsidRPr="007B38C6">
        <w:t>for</w:t>
      </w:r>
      <w:r w:rsidRPr="007B38C6">
        <w:rPr>
          <w:spacing w:val="-4"/>
        </w:rPr>
        <w:t xml:space="preserve"> </w:t>
      </w:r>
      <w:r w:rsidRPr="007B38C6">
        <w:t>medicines</w:t>
      </w:r>
    </w:p>
    <w:p w14:paraId="2036E39D" w14:textId="77777777" w:rsidR="00BA4006" w:rsidRPr="006D79C0" w:rsidRDefault="00BA4006" w:rsidP="00BA4006">
      <w:pPr>
        <w:pStyle w:val="Heading4"/>
      </w:pPr>
      <w:bookmarkStart w:id="105" w:name="_Toc181273062"/>
      <w:bookmarkStart w:id="106" w:name="_Toc204751331"/>
      <w:r w:rsidRPr="006D79C0">
        <w:t>Ingredients specifications for listed therapeutic sunscreens</w:t>
      </w:r>
      <w:bookmarkEnd w:id="105"/>
      <w:bookmarkEnd w:id="106"/>
    </w:p>
    <w:p w14:paraId="74C6CA9C" w14:textId="77777777" w:rsidR="00BA4006" w:rsidRPr="005423E2" w:rsidRDefault="00BA4006" w:rsidP="00BA4006">
      <w:pPr>
        <w:pStyle w:val="Heading5"/>
      </w:pPr>
      <w:r w:rsidRPr="005423E2">
        <w:t>Pharmacopeial</w:t>
      </w:r>
      <w:r w:rsidRPr="005423E2">
        <w:rPr>
          <w:spacing w:val="-2"/>
        </w:rPr>
        <w:t xml:space="preserve"> </w:t>
      </w:r>
      <w:r w:rsidRPr="005423E2">
        <w:t>standards</w:t>
      </w:r>
    </w:p>
    <w:p w14:paraId="0957B4F1" w14:textId="271BE52A" w:rsidR="00BA4006" w:rsidRPr="007B38C6" w:rsidRDefault="00BA4006" w:rsidP="00BA4006">
      <w:r w:rsidRPr="007B38C6">
        <w:t>Subsection 13(5) of the Act requires that when a finished product is not the subject of a</w:t>
      </w:r>
      <w:r w:rsidRPr="007B38C6">
        <w:rPr>
          <w:spacing w:val="1"/>
        </w:rPr>
        <w:t xml:space="preserve"> </w:t>
      </w:r>
      <w:r w:rsidRPr="007B38C6">
        <w:t>monograph in a default standard, but any of its ingredient</w:t>
      </w:r>
      <w:r w:rsidR="00ED11E3" w:rsidRPr="007B38C6">
        <w:t>(</w:t>
      </w:r>
      <w:r w:rsidRPr="007B38C6">
        <w:t>s</w:t>
      </w:r>
      <w:r w:rsidR="00ED11E3" w:rsidRPr="007B38C6">
        <w:t>)</w:t>
      </w:r>
      <w:r w:rsidRPr="007B38C6">
        <w:t xml:space="preserve"> is, that ingredient </w:t>
      </w:r>
      <w:r w:rsidRPr="007B38C6">
        <w:lastRenderedPageBreak/>
        <w:t>must comply with</w:t>
      </w:r>
      <w:r w:rsidRPr="007B38C6">
        <w:rPr>
          <w:spacing w:val="-46"/>
        </w:rPr>
        <w:t xml:space="preserve"> </w:t>
      </w:r>
      <w:r w:rsidRPr="007B38C6">
        <w:t>at least one of the monographs concerned, unless the Minister has issued an order determining</w:t>
      </w:r>
      <w:r w:rsidRPr="007B38C6">
        <w:rPr>
          <w:spacing w:val="1"/>
        </w:rPr>
        <w:t xml:space="preserve"> </w:t>
      </w:r>
      <w:r w:rsidRPr="007B38C6">
        <w:t>that this requirement does not apply to the goods concerned. Note that as at the date th</w:t>
      </w:r>
      <w:r w:rsidR="00ED11E3" w:rsidRPr="007B38C6">
        <w:t>is</w:t>
      </w:r>
      <w:r w:rsidRPr="007B38C6">
        <w:rPr>
          <w:spacing w:val="1"/>
        </w:rPr>
        <w:t xml:space="preserve"> </w:t>
      </w:r>
      <w:r w:rsidRPr="007B38C6">
        <w:t>Guid</w:t>
      </w:r>
      <w:r w:rsidR="00ED11E3" w:rsidRPr="007B38C6">
        <w:t>ance</w:t>
      </w:r>
      <w:r w:rsidRPr="007B38C6">
        <w:t xml:space="preserve"> w</w:t>
      </w:r>
      <w:r w:rsidR="00ED11E3" w:rsidRPr="007B38C6">
        <w:t>as</w:t>
      </w:r>
      <w:r w:rsidRPr="007B38C6">
        <w:t xml:space="preserve"> published, no such order exempting sunscreens had been issued by the</w:t>
      </w:r>
      <w:r w:rsidRPr="007B38C6">
        <w:rPr>
          <w:spacing w:val="1"/>
        </w:rPr>
        <w:t xml:space="preserve"> </w:t>
      </w:r>
      <w:r w:rsidRPr="007B38C6">
        <w:t>Minister.</w:t>
      </w:r>
    </w:p>
    <w:p w14:paraId="04C5352E" w14:textId="77777777" w:rsidR="00BA4006" w:rsidRPr="007B38C6" w:rsidRDefault="00BA4006" w:rsidP="007B38C6">
      <w:pPr>
        <w:pStyle w:val="ListBullet"/>
        <w:rPr>
          <w:sz w:val="16"/>
        </w:rPr>
      </w:pPr>
      <w:r w:rsidRPr="007B38C6">
        <w:t>Many of the organic chemicals used as active ingredients in sunscreens are the subjects of monographs in the USP-NF [generally under their International Non-proprietary Names</w:t>
      </w:r>
      <w:r w:rsidRPr="007B38C6">
        <w:rPr>
          <w:spacing w:val="1"/>
        </w:rPr>
        <w:t xml:space="preserve"> </w:t>
      </w:r>
      <w:r w:rsidRPr="007B38C6">
        <w:t>(INNs)], while the inorganic substances titanium dioxide and zinc oxide are the subject of</w:t>
      </w:r>
      <w:r w:rsidRPr="007B38C6">
        <w:rPr>
          <w:spacing w:val="1"/>
        </w:rPr>
        <w:t xml:space="preserve"> </w:t>
      </w:r>
      <w:r w:rsidRPr="007B38C6">
        <w:t>monographs</w:t>
      </w:r>
      <w:r w:rsidRPr="007B38C6">
        <w:rPr>
          <w:spacing w:val="-3"/>
        </w:rPr>
        <w:t xml:space="preserve"> </w:t>
      </w:r>
      <w:r w:rsidRPr="007B38C6">
        <w:t>in</w:t>
      </w:r>
      <w:r w:rsidRPr="007B38C6">
        <w:rPr>
          <w:spacing w:val="-2"/>
        </w:rPr>
        <w:t xml:space="preserve"> </w:t>
      </w:r>
      <w:r w:rsidRPr="007B38C6">
        <w:t>each of</w:t>
      </w:r>
      <w:r w:rsidRPr="007B38C6">
        <w:rPr>
          <w:spacing w:val="-1"/>
        </w:rPr>
        <w:t xml:space="preserve"> </w:t>
      </w:r>
      <w:r w:rsidRPr="007B38C6">
        <w:t>the</w:t>
      </w:r>
      <w:r w:rsidRPr="007B38C6">
        <w:rPr>
          <w:spacing w:val="-1"/>
        </w:rPr>
        <w:t xml:space="preserve"> </w:t>
      </w:r>
      <w:r w:rsidRPr="007B38C6">
        <w:t>BP,</w:t>
      </w:r>
      <w:r w:rsidRPr="007B38C6">
        <w:rPr>
          <w:spacing w:val="-1"/>
        </w:rPr>
        <w:t xml:space="preserve"> </w:t>
      </w:r>
      <w:r w:rsidRPr="007B38C6">
        <w:t xml:space="preserve">Ph </w:t>
      </w:r>
      <w:proofErr w:type="spellStart"/>
      <w:r w:rsidRPr="007B38C6">
        <w:t>Eur</w:t>
      </w:r>
      <w:proofErr w:type="spellEnd"/>
      <w:r w:rsidRPr="007B38C6">
        <w:rPr>
          <w:spacing w:val="-1"/>
        </w:rPr>
        <w:t xml:space="preserve"> </w:t>
      </w:r>
      <w:r w:rsidRPr="007B38C6">
        <w:t>and</w:t>
      </w:r>
      <w:r w:rsidRPr="007B38C6">
        <w:rPr>
          <w:spacing w:val="-1"/>
        </w:rPr>
        <w:t xml:space="preserve"> </w:t>
      </w:r>
      <w:r w:rsidRPr="007B38C6">
        <w:t>USP-NF.</w:t>
      </w:r>
    </w:p>
    <w:p w14:paraId="1C95DEF5" w14:textId="77777777" w:rsidR="00BA4006" w:rsidRPr="007B38C6" w:rsidRDefault="00BA4006" w:rsidP="007B38C6">
      <w:pPr>
        <w:pStyle w:val="ListBullet"/>
      </w:pPr>
      <w:r w:rsidRPr="007B38C6">
        <w:t>Many of the excipients (including solvents) used in sunscreen products are the subjects of monographs</w:t>
      </w:r>
      <w:r w:rsidRPr="007B38C6">
        <w:rPr>
          <w:spacing w:val="-3"/>
        </w:rPr>
        <w:t xml:space="preserve"> </w:t>
      </w:r>
      <w:r w:rsidRPr="007B38C6">
        <w:t>in</w:t>
      </w:r>
      <w:r w:rsidRPr="007B38C6">
        <w:rPr>
          <w:spacing w:val="-2"/>
        </w:rPr>
        <w:t xml:space="preserve"> </w:t>
      </w:r>
      <w:r w:rsidRPr="007B38C6">
        <w:t>one</w:t>
      </w:r>
      <w:r w:rsidRPr="007B38C6">
        <w:rPr>
          <w:spacing w:val="-1"/>
        </w:rPr>
        <w:t xml:space="preserve"> </w:t>
      </w:r>
      <w:r w:rsidRPr="007B38C6">
        <w:t>or</w:t>
      </w:r>
      <w:r w:rsidRPr="007B38C6">
        <w:rPr>
          <w:spacing w:val="-3"/>
        </w:rPr>
        <w:t xml:space="preserve"> </w:t>
      </w:r>
      <w:r w:rsidRPr="007B38C6">
        <w:t>more</w:t>
      </w:r>
      <w:r w:rsidRPr="007B38C6">
        <w:rPr>
          <w:spacing w:val="-1"/>
        </w:rPr>
        <w:t xml:space="preserve"> </w:t>
      </w:r>
      <w:r w:rsidRPr="007B38C6">
        <w:t>of</w:t>
      </w:r>
      <w:r w:rsidRPr="007B38C6">
        <w:rPr>
          <w:spacing w:val="-1"/>
        </w:rPr>
        <w:t xml:space="preserve"> </w:t>
      </w:r>
      <w:r w:rsidRPr="007B38C6">
        <w:t>the</w:t>
      </w:r>
      <w:r w:rsidRPr="007B38C6">
        <w:rPr>
          <w:spacing w:val="-1"/>
        </w:rPr>
        <w:t xml:space="preserve"> </w:t>
      </w:r>
      <w:r w:rsidRPr="007B38C6">
        <w:t>BP,</w:t>
      </w:r>
      <w:r w:rsidRPr="007B38C6">
        <w:rPr>
          <w:spacing w:val="-1"/>
        </w:rPr>
        <w:t xml:space="preserve"> </w:t>
      </w:r>
      <w:r w:rsidRPr="007B38C6">
        <w:t xml:space="preserve">Ph </w:t>
      </w:r>
      <w:proofErr w:type="spellStart"/>
      <w:r w:rsidRPr="007B38C6">
        <w:t>Eur</w:t>
      </w:r>
      <w:proofErr w:type="spellEnd"/>
      <w:r w:rsidRPr="007B38C6">
        <w:rPr>
          <w:spacing w:val="-1"/>
        </w:rPr>
        <w:t xml:space="preserve"> </w:t>
      </w:r>
      <w:r w:rsidRPr="007B38C6">
        <w:t>and</w:t>
      </w:r>
      <w:r w:rsidRPr="007B38C6">
        <w:rPr>
          <w:spacing w:val="-1"/>
        </w:rPr>
        <w:t xml:space="preserve"> </w:t>
      </w:r>
      <w:r w:rsidRPr="007B38C6">
        <w:t>USP-NF.</w:t>
      </w:r>
    </w:p>
    <w:p w14:paraId="3C972E27" w14:textId="77777777" w:rsidR="00BA4006" w:rsidRPr="007B38C6" w:rsidRDefault="00BA4006" w:rsidP="007B38C6">
      <w:pPr>
        <w:pStyle w:val="ListBullet"/>
      </w:pPr>
      <w:r w:rsidRPr="007B38C6">
        <w:t xml:space="preserve">Ingredients that are not the subject of a monograph in the BP, Ph </w:t>
      </w:r>
      <w:proofErr w:type="spellStart"/>
      <w:r w:rsidRPr="007B38C6">
        <w:t>Eur</w:t>
      </w:r>
      <w:proofErr w:type="spellEnd"/>
      <w:r w:rsidRPr="007B38C6">
        <w:t xml:space="preserve"> or USP-NF must be controlled by appropriate quality control specifications that control and ensure their</w:t>
      </w:r>
      <w:r w:rsidRPr="007B38C6">
        <w:rPr>
          <w:spacing w:val="1"/>
        </w:rPr>
        <w:t xml:space="preserve"> </w:t>
      </w:r>
      <w:r w:rsidRPr="007B38C6">
        <w:t>identity, relevant physical and chemical properties, and purity. Test methods must be</w:t>
      </w:r>
      <w:r w:rsidRPr="007B38C6">
        <w:rPr>
          <w:spacing w:val="1"/>
        </w:rPr>
        <w:t xml:space="preserve"> </w:t>
      </w:r>
      <w:r w:rsidRPr="007B38C6">
        <w:t>validated,</w:t>
      </w:r>
      <w:r w:rsidRPr="007B38C6">
        <w:rPr>
          <w:spacing w:val="-2"/>
        </w:rPr>
        <w:t xml:space="preserve"> </w:t>
      </w:r>
      <w:r w:rsidRPr="007B38C6">
        <w:t>as appropriate.</w:t>
      </w:r>
    </w:p>
    <w:p w14:paraId="0ADC62D4" w14:textId="77777777" w:rsidR="005576C9" w:rsidRPr="006D79C0" w:rsidRDefault="005576C9" w:rsidP="005576C9">
      <w:pPr>
        <w:pStyle w:val="Heading4"/>
      </w:pPr>
      <w:bookmarkStart w:id="107" w:name="_Toc181273063"/>
      <w:bookmarkStart w:id="108" w:name="_Toc204751332"/>
      <w:r w:rsidRPr="006D79C0">
        <w:t>Finished products specifications for listed therapeutic sunscreens</w:t>
      </w:r>
      <w:bookmarkEnd w:id="107"/>
      <w:bookmarkEnd w:id="108"/>
    </w:p>
    <w:p w14:paraId="43C80AC6" w14:textId="77777777" w:rsidR="005576C9" w:rsidRPr="005423E2" w:rsidRDefault="005576C9" w:rsidP="005576C9">
      <w:pPr>
        <w:pStyle w:val="Heading5"/>
      </w:pPr>
      <w:r w:rsidRPr="005423E2">
        <w:t>Pharmacopeial standards</w:t>
      </w:r>
    </w:p>
    <w:p w14:paraId="6C522AC3" w14:textId="77777777" w:rsidR="005576C9" w:rsidRPr="007B38C6" w:rsidRDefault="005576C9" w:rsidP="005576C9">
      <w:r w:rsidRPr="007B38C6">
        <w:t xml:space="preserve">If there is a monograph for a finished product in one (or more) of the BP, Ph </w:t>
      </w:r>
      <w:proofErr w:type="spellStart"/>
      <w:r w:rsidRPr="007B38C6">
        <w:t>Eur</w:t>
      </w:r>
      <w:proofErr w:type="spellEnd"/>
      <w:r w:rsidRPr="007B38C6">
        <w:t xml:space="preserve"> or USP-NF, the</w:t>
      </w:r>
      <w:r w:rsidRPr="007B38C6">
        <w:rPr>
          <w:spacing w:val="1"/>
        </w:rPr>
        <w:t xml:space="preserve"> </w:t>
      </w:r>
      <w:r w:rsidRPr="007B38C6">
        <w:t>sponsor must ensure that the product will comply with the specifications in that monograph (or</w:t>
      </w:r>
      <w:r w:rsidRPr="007B38C6">
        <w:rPr>
          <w:spacing w:val="-1"/>
        </w:rPr>
        <w:t xml:space="preserve"> </w:t>
      </w:r>
      <w:r w:rsidRPr="007B38C6">
        <w:t>at</w:t>
      </w:r>
      <w:r w:rsidRPr="007B38C6">
        <w:rPr>
          <w:spacing w:val="-1"/>
        </w:rPr>
        <w:t xml:space="preserve"> </w:t>
      </w:r>
      <w:r w:rsidRPr="007B38C6">
        <w:t>least</w:t>
      </w:r>
      <w:r w:rsidRPr="007B38C6">
        <w:rPr>
          <w:spacing w:val="-2"/>
        </w:rPr>
        <w:t xml:space="preserve"> </w:t>
      </w:r>
      <w:r w:rsidRPr="007B38C6">
        <w:t>one</w:t>
      </w:r>
      <w:r w:rsidRPr="007B38C6">
        <w:rPr>
          <w:spacing w:val="-1"/>
        </w:rPr>
        <w:t xml:space="preserve"> </w:t>
      </w:r>
      <w:r w:rsidRPr="007B38C6">
        <w:t>of</w:t>
      </w:r>
      <w:r w:rsidRPr="007B38C6">
        <w:rPr>
          <w:spacing w:val="-1"/>
        </w:rPr>
        <w:t xml:space="preserve"> </w:t>
      </w:r>
      <w:r w:rsidRPr="007B38C6">
        <w:t>those</w:t>
      </w:r>
      <w:r w:rsidRPr="007B38C6">
        <w:rPr>
          <w:spacing w:val="-3"/>
        </w:rPr>
        <w:t xml:space="preserve"> </w:t>
      </w:r>
      <w:r w:rsidRPr="007B38C6">
        <w:t>monographs).</w:t>
      </w:r>
    </w:p>
    <w:p w14:paraId="273F7D11" w14:textId="77777777" w:rsidR="005576C9" w:rsidRPr="007B38C6" w:rsidRDefault="005576C9" w:rsidP="005576C9">
      <w:r w:rsidRPr="007B38C6">
        <w:t xml:space="preserve">Finished sunscreen products that are not the subject of a monograph in the BP, Ph </w:t>
      </w:r>
      <w:proofErr w:type="spellStart"/>
      <w:r w:rsidRPr="007B38C6">
        <w:t>Eur</w:t>
      </w:r>
      <w:proofErr w:type="spellEnd"/>
      <w:r w:rsidRPr="007B38C6">
        <w:t xml:space="preserve"> or USP-</w:t>
      </w:r>
      <w:r w:rsidRPr="007B38C6">
        <w:rPr>
          <w:spacing w:val="-46"/>
        </w:rPr>
        <w:t xml:space="preserve"> </w:t>
      </w:r>
      <w:r w:rsidRPr="007B38C6">
        <w:t>NF must be controlled by appropriate ‘in-house’ quality control specifications that control and</w:t>
      </w:r>
      <w:r w:rsidRPr="007B38C6">
        <w:rPr>
          <w:spacing w:val="-46"/>
        </w:rPr>
        <w:t xml:space="preserve"> </w:t>
      </w:r>
      <w:r w:rsidRPr="007B38C6">
        <w:t>ensure their identity and relevant physical, chemical and microbiological properties. Test</w:t>
      </w:r>
      <w:r w:rsidRPr="007B38C6">
        <w:rPr>
          <w:spacing w:val="1"/>
        </w:rPr>
        <w:t xml:space="preserve"> </w:t>
      </w:r>
      <w:r w:rsidRPr="007B38C6">
        <w:t>methods</w:t>
      </w:r>
      <w:r w:rsidRPr="007B38C6">
        <w:rPr>
          <w:spacing w:val="-1"/>
        </w:rPr>
        <w:t xml:space="preserve"> </w:t>
      </w:r>
      <w:r w:rsidRPr="007B38C6">
        <w:t>must</w:t>
      </w:r>
      <w:r w:rsidRPr="007B38C6">
        <w:rPr>
          <w:spacing w:val="-1"/>
        </w:rPr>
        <w:t xml:space="preserve"> </w:t>
      </w:r>
      <w:r w:rsidRPr="007B38C6">
        <w:t>be</w:t>
      </w:r>
      <w:r w:rsidRPr="007B38C6">
        <w:rPr>
          <w:spacing w:val="-1"/>
        </w:rPr>
        <w:t xml:space="preserve"> </w:t>
      </w:r>
      <w:r w:rsidRPr="007B38C6">
        <w:t>validated,</w:t>
      </w:r>
      <w:r w:rsidRPr="007B38C6">
        <w:rPr>
          <w:spacing w:val="-1"/>
        </w:rPr>
        <w:t xml:space="preserve"> </w:t>
      </w:r>
      <w:r w:rsidRPr="007B38C6">
        <w:t>as appropriate.</w:t>
      </w:r>
    </w:p>
    <w:p w14:paraId="49ADC353" w14:textId="77777777" w:rsidR="005576C9" w:rsidRPr="005423E2" w:rsidRDefault="005576C9" w:rsidP="005576C9">
      <w:pPr>
        <w:pStyle w:val="Heading5"/>
      </w:pPr>
      <w:bookmarkStart w:id="109" w:name="Non-pharmacopoeial_standards"/>
      <w:bookmarkEnd w:id="109"/>
      <w:r w:rsidRPr="005423E2">
        <w:t>Non-pharmacopeial standards</w:t>
      </w:r>
    </w:p>
    <w:p w14:paraId="2A2B324D" w14:textId="52B3A1A0" w:rsidR="005576C9" w:rsidRPr="007B38C6" w:rsidRDefault="005576C9" w:rsidP="005576C9">
      <w:r w:rsidRPr="007B38C6">
        <w:t>Therapeutic sunscreen products in all categories are required to comply with the most current</w:t>
      </w:r>
      <w:r w:rsidRPr="007B38C6">
        <w:rPr>
          <w:spacing w:val="-46"/>
        </w:rPr>
        <w:t xml:space="preserve"> </w:t>
      </w:r>
      <w:r w:rsidRPr="007B38C6">
        <w:t xml:space="preserve">order describing Microbiological Standards for medicines, particularly </w:t>
      </w:r>
      <w:proofErr w:type="gramStart"/>
      <w:r w:rsidRPr="007B38C6">
        <w:t>with regard to</w:t>
      </w:r>
      <w:proofErr w:type="gramEnd"/>
      <w:r w:rsidRPr="007B38C6">
        <w:t xml:space="preserve"> the</w:t>
      </w:r>
      <w:r w:rsidRPr="007B38C6">
        <w:rPr>
          <w:spacing w:val="1"/>
        </w:rPr>
        <w:t xml:space="preserve"> </w:t>
      </w:r>
      <w:r w:rsidRPr="007B38C6">
        <w:t>sections regarding the efficacy of antimicrobial preservation of a multidose medicine and</w:t>
      </w:r>
      <w:r w:rsidRPr="007B38C6">
        <w:rPr>
          <w:spacing w:val="1"/>
        </w:rPr>
        <w:t xml:space="preserve"> </w:t>
      </w:r>
      <w:r w:rsidRPr="007B38C6">
        <w:t>microbiological</w:t>
      </w:r>
      <w:r w:rsidRPr="007B38C6">
        <w:rPr>
          <w:spacing w:val="-2"/>
        </w:rPr>
        <w:t xml:space="preserve"> </w:t>
      </w:r>
      <w:r w:rsidRPr="007B38C6">
        <w:t>attributes</w:t>
      </w:r>
      <w:r w:rsidRPr="007B38C6">
        <w:rPr>
          <w:spacing w:val="-2"/>
        </w:rPr>
        <w:t xml:space="preserve"> </w:t>
      </w:r>
      <w:r w:rsidRPr="007B38C6">
        <w:t>of</w:t>
      </w:r>
      <w:r w:rsidRPr="007B38C6">
        <w:rPr>
          <w:spacing w:val="-1"/>
        </w:rPr>
        <w:t xml:space="preserve"> </w:t>
      </w:r>
      <w:r w:rsidRPr="007B38C6">
        <w:t>a</w:t>
      </w:r>
      <w:r w:rsidRPr="007B38C6">
        <w:rPr>
          <w:spacing w:val="-1"/>
        </w:rPr>
        <w:t xml:space="preserve"> </w:t>
      </w:r>
      <w:r w:rsidRPr="007B38C6">
        <w:t>non-sterile</w:t>
      </w:r>
      <w:r w:rsidRPr="007B38C6">
        <w:rPr>
          <w:spacing w:val="-1"/>
        </w:rPr>
        <w:t xml:space="preserve"> </w:t>
      </w:r>
      <w:r w:rsidRPr="007B38C6">
        <w:t>medicine.</w:t>
      </w:r>
    </w:p>
    <w:p w14:paraId="56358412" w14:textId="77777777" w:rsidR="005576C9" w:rsidRPr="007B38C6" w:rsidRDefault="005576C9" w:rsidP="005576C9">
      <w:r w:rsidRPr="007B38C6">
        <w:t>Sunscreen manufacturers are also responsible for ensuring that batches of product released to the</w:t>
      </w:r>
      <w:r w:rsidRPr="007B38C6">
        <w:rPr>
          <w:spacing w:val="-2"/>
        </w:rPr>
        <w:t xml:space="preserve"> </w:t>
      </w:r>
      <w:r w:rsidRPr="007B38C6">
        <w:t>market</w:t>
      </w:r>
      <w:r w:rsidRPr="007B38C6">
        <w:rPr>
          <w:spacing w:val="-1"/>
        </w:rPr>
        <w:t xml:space="preserve"> </w:t>
      </w:r>
      <w:r w:rsidRPr="007B38C6">
        <w:t>comply</w:t>
      </w:r>
      <w:r w:rsidRPr="007B38C6">
        <w:rPr>
          <w:spacing w:val="-2"/>
        </w:rPr>
        <w:t xml:space="preserve"> </w:t>
      </w:r>
      <w:r w:rsidRPr="007B38C6">
        <w:t>with their</w:t>
      </w:r>
      <w:r w:rsidRPr="007B38C6">
        <w:rPr>
          <w:spacing w:val="-4"/>
        </w:rPr>
        <w:t xml:space="preserve"> </w:t>
      </w:r>
      <w:r w:rsidRPr="007B38C6">
        <w:t>specifications.</w:t>
      </w:r>
    </w:p>
    <w:p w14:paraId="2FF9425E" w14:textId="77777777" w:rsidR="003C6E6A" w:rsidRPr="00C11A6D" w:rsidRDefault="003C6E6A" w:rsidP="003C6E6A">
      <w:pPr>
        <w:pStyle w:val="Heading4"/>
      </w:pPr>
      <w:bookmarkStart w:id="110" w:name="_Toc181273064"/>
      <w:bookmarkStart w:id="111" w:name="_Toc204751333"/>
      <w:r w:rsidRPr="00C11A6D">
        <w:t>SPF</w:t>
      </w:r>
      <w:r w:rsidRPr="00C11A6D">
        <w:rPr>
          <w:spacing w:val="-2"/>
        </w:rPr>
        <w:t xml:space="preserve"> </w:t>
      </w:r>
      <w:r w:rsidRPr="00C11A6D">
        <w:t>test</w:t>
      </w:r>
      <w:r w:rsidRPr="00C11A6D">
        <w:rPr>
          <w:spacing w:val="-2"/>
        </w:rPr>
        <w:t xml:space="preserve"> </w:t>
      </w:r>
      <w:r w:rsidRPr="00C11A6D">
        <w:t>results</w:t>
      </w:r>
      <w:r w:rsidRPr="00C11A6D">
        <w:rPr>
          <w:spacing w:val="-2"/>
        </w:rPr>
        <w:t xml:space="preserve"> </w:t>
      </w:r>
      <w:r w:rsidRPr="00C11A6D">
        <w:t>for</w:t>
      </w:r>
      <w:r w:rsidRPr="00C11A6D">
        <w:rPr>
          <w:spacing w:val="-2"/>
        </w:rPr>
        <w:t xml:space="preserve"> </w:t>
      </w:r>
      <w:r w:rsidRPr="00C11A6D">
        <w:t>listed</w:t>
      </w:r>
      <w:r w:rsidRPr="00C11A6D">
        <w:rPr>
          <w:spacing w:val="-2"/>
        </w:rPr>
        <w:t xml:space="preserve"> </w:t>
      </w:r>
      <w:r w:rsidRPr="00C11A6D">
        <w:t>therapeutic</w:t>
      </w:r>
      <w:r w:rsidRPr="00C11A6D">
        <w:rPr>
          <w:spacing w:val="-3"/>
        </w:rPr>
        <w:t xml:space="preserve"> </w:t>
      </w:r>
      <w:r w:rsidRPr="00C11A6D">
        <w:t>sunscreens</w:t>
      </w:r>
      <w:bookmarkEnd w:id="110"/>
      <w:bookmarkEnd w:id="111"/>
    </w:p>
    <w:p w14:paraId="0873EC17" w14:textId="77777777" w:rsidR="003C6E6A" w:rsidRPr="007B38C6" w:rsidRDefault="003C6E6A" w:rsidP="003C6E6A">
      <w:r w:rsidRPr="007B38C6">
        <w:t>The SPF informs consumers of the efficacy of sunscreen against sunburn and helps to select a product appropriate to their skin sensitivity and exposure to the sun.</w:t>
      </w:r>
    </w:p>
    <w:p w14:paraId="6234DCF6" w14:textId="1F8976D5" w:rsidR="003C6E6A" w:rsidRPr="007B38C6" w:rsidRDefault="003C6E6A" w:rsidP="003C6E6A">
      <w:r w:rsidRPr="007B38C6">
        <w:t>The SPF of therapeutic sunscreens must be determined by testing on human skin in accordance</w:t>
      </w:r>
      <w:r w:rsidRPr="007B38C6">
        <w:rPr>
          <w:spacing w:val="1"/>
        </w:rPr>
        <w:t xml:space="preserve"> </w:t>
      </w:r>
      <w:r w:rsidRPr="007B38C6">
        <w:t>with the AS/NZS standard for sunscreens</w:t>
      </w:r>
      <w:r w:rsidRPr="007B38C6">
        <w:rPr>
          <w:i/>
        </w:rPr>
        <w:t xml:space="preserve">, </w:t>
      </w:r>
      <w:r w:rsidRPr="007B38C6">
        <w:t>which references the International Organisation for</w:t>
      </w:r>
      <w:r w:rsidRPr="007B38C6">
        <w:rPr>
          <w:spacing w:val="1"/>
        </w:rPr>
        <w:t xml:space="preserve"> </w:t>
      </w:r>
      <w:r w:rsidRPr="007B38C6">
        <w:t xml:space="preserve">Standardisation </w:t>
      </w:r>
      <w:r w:rsidR="00ED11E3" w:rsidRPr="007B38C6">
        <w:t xml:space="preserve">(ISO) </w:t>
      </w:r>
      <w:r w:rsidRPr="007B38C6">
        <w:t>procedure:</w:t>
      </w:r>
    </w:p>
    <w:p w14:paraId="210DA276" w14:textId="77777777" w:rsidR="003C6E6A" w:rsidRPr="007B38C6" w:rsidRDefault="003C6E6A" w:rsidP="007B38C6">
      <w:pPr>
        <w:pStyle w:val="ListBullet"/>
      </w:pPr>
      <w:r w:rsidRPr="007B38C6">
        <w:t>ISO 24443 Determination of sunscreen UVA photoprotection in vitro</w:t>
      </w:r>
    </w:p>
    <w:p w14:paraId="231E3B39" w14:textId="77777777" w:rsidR="003C6E6A" w:rsidRPr="007B38C6" w:rsidRDefault="003C6E6A" w:rsidP="007B38C6">
      <w:pPr>
        <w:pStyle w:val="ListBullet"/>
      </w:pPr>
      <w:r w:rsidRPr="007B38C6">
        <w:t>ISO 24444 Cosmetic—Sun protection test methods—in vivo determination of the SPF</w:t>
      </w:r>
    </w:p>
    <w:p w14:paraId="59D2AF94" w14:textId="77777777" w:rsidR="003C6E6A" w:rsidRPr="007B38C6" w:rsidRDefault="003C6E6A" w:rsidP="007B38C6">
      <w:pPr>
        <w:pStyle w:val="ListBullet"/>
      </w:pPr>
      <w:r w:rsidRPr="007B38C6">
        <w:lastRenderedPageBreak/>
        <w:t>ISO 16217 Cosmetics—Sun protection test methods—Water immersion procedure for determining water resistance</w:t>
      </w:r>
    </w:p>
    <w:p w14:paraId="77CEBBCD" w14:textId="77777777" w:rsidR="00BA5656" w:rsidRPr="00C11A6D" w:rsidRDefault="00BA5656" w:rsidP="00BA5656">
      <w:pPr>
        <w:pStyle w:val="Heading5"/>
      </w:pPr>
      <w:r w:rsidRPr="00C11A6D">
        <w:t>Retesting listed therapeutic sunscreens</w:t>
      </w:r>
    </w:p>
    <w:p w14:paraId="51079BFC" w14:textId="7C8810E2" w:rsidR="00BA5656" w:rsidRPr="007B38C6" w:rsidRDefault="00BA5656" w:rsidP="00BA5656">
      <w:r w:rsidRPr="007B38C6">
        <w:t>Subsequent retesting of a sunscreen is likely to yield a mean SPF anywhere within the 95%</w:t>
      </w:r>
      <w:r w:rsidR="00C47EC5">
        <w:t xml:space="preserve"> </w:t>
      </w:r>
      <w:r w:rsidRPr="007B38C6">
        <w:t xml:space="preserve">CI </w:t>
      </w:r>
      <w:r w:rsidRPr="007B38C6">
        <w:rPr>
          <w:spacing w:val="-46"/>
        </w:rPr>
        <w:t xml:space="preserve">  </w:t>
      </w:r>
      <w:r w:rsidRPr="007B38C6">
        <w:t>from the original testing of the product or even a few SPF units beyond either end of that 95</w:t>
      </w:r>
      <w:proofErr w:type="gramStart"/>
      <w:r w:rsidRPr="007B38C6">
        <w:t>%</w:t>
      </w:r>
      <w:r w:rsidRPr="007B38C6">
        <w:rPr>
          <w:spacing w:val="-46"/>
        </w:rPr>
        <w:t xml:space="preserve"> </w:t>
      </w:r>
      <w:r w:rsidR="00C47EC5">
        <w:rPr>
          <w:spacing w:val="-46"/>
        </w:rPr>
        <w:t xml:space="preserve"> </w:t>
      </w:r>
      <w:r w:rsidRPr="007B38C6">
        <w:t>CI</w:t>
      </w:r>
      <w:proofErr w:type="gramEnd"/>
      <w:r w:rsidRPr="007B38C6">
        <w:t>.</w:t>
      </w:r>
    </w:p>
    <w:p w14:paraId="2BF7FDC5" w14:textId="1E33BACD" w:rsidR="00BA5656" w:rsidRPr="007B38C6" w:rsidRDefault="00BA5656" w:rsidP="007B38C6">
      <w:pPr>
        <w:pStyle w:val="ListBullet"/>
      </w:pPr>
      <w:r w:rsidRPr="007B38C6">
        <w:t>If the original test result is close to the lower limit for a particular SPF claim allowed by the AS/NZS standard for sunscreens, the retest result could be lower than that lower limit and</w:t>
      </w:r>
      <w:r w:rsidRPr="007B38C6">
        <w:rPr>
          <w:spacing w:val="1"/>
        </w:rPr>
        <w:t xml:space="preserve"> </w:t>
      </w:r>
      <w:r w:rsidRPr="007B38C6">
        <w:t>appear</w:t>
      </w:r>
      <w:r w:rsidRPr="007B38C6">
        <w:rPr>
          <w:spacing w:val="-2"/>
        </w:rPr>
        <w:t xml:space="preserve"> </w:t>
      </w:r>
      <w:r w:rsidRPr="007B38C6">
        <w:t>to</w:t>
      </w:r>
      <w:r w:rsidRPr="007B38C6">
        <w:rPr>
          <w:spacing w:val="-1"/>
        </w:rPr>
        <w:t xml:space="preserve"> </w:t>
      </w:r>
      <w:r w:rsidRPr="007B38C6">
        <w:t>cast</w:t>
      </w:r>
      <w:r w:rsidRPr="007B38C6">
        <w:rPr>
          <w:spacing w:val="-1"/>
        </w:rPr>
        <w:t xml:space="preserve"> </w:t>
      </w:r>
      <w:r w:rsidRPr="007B38C6">
        <w:t>doubt</w:t>
      </w:r>
      <w:r w:rsidRPr="007B38C6">
        <w:rPr>
          <w:spacing w:val="-1"/>
        </w:rPr>
        <w:t xml:space="preserve"> </w:t>
      </w:r>
      <w:r w:rsidRPr="007B38C6">
        <w:t>on</w:t>
      </w:r>
      <w:r w:rsidRPr="007B38C6">
        <w:rPr>
          <w:spacing w:val="-2"/>
        </w:rPr>
        <w:t xml:space="preserve"> </w:t>
      </w:r>
      <w:r w:rsidRPr="007B38C6">
        <w:t>the</w:t>
      </w:r>
      <w:r w:rsidRPr="007B38C6">
        <w:rPr>
          <w:spacing w:val="-1"/>
        </w:rPr>
        <w:t xml:space="preserve"> </w:t>
      </w:r>
      <w:r w:rsidRPr="007B38C6">
        <w:t>validity</w:t>
      </w:r>
      <w:r w:rsidRPr="007B38C6">
        <w:rPr>
          <w:spacing w:val="-2"/>
        </w:rPr>
        <w:t xml:space="preserve"> </w:t>
      </w:r>
      <w:r w:rsidRPr="007B38C6">
        <w:t>of</w:t>
      </w:r>
      <w:r w:rsidRPr="007B38C6">
        <w:rPr>
          <w:spacing w:val="-1"/>
        </w:rPr>
        <w:t xml:space="preserve"> </w:t>
      </w:r>
      <w:r w:rsidRPr="007B38C6">
        <w:t>the</w:t>
      </w:r>
      <w:r w:rsidRPr="007B38C6">
        <w:rPr>
          <w:spacing w:val="-1"/>
        </w:rPr>
        <w:t xml:space="preserve"> </w:t>
      </w:r>
      <w:r w:rsidRPr="007B38C6">
        <w:t>labelled</w:t>
      </w:r>
      <w:r w:rsidRPr="007B38C6">
        <w:rPr>
          <w:spacing w:val="-1"/>
        </w:rPr>
        <w:t xml:space="preserve"> </w:t>
      </w:r>
      <w:r w:rsidRPr="007B38C6">
        <w:t>SPF</w:t>
      </w:r>
      <w:r w:rsidRPr="007B38C6">
        <w:rPr>
          <w:spacing w:val="-2"/>
        </w:rPr>
        <w:t xml:space="preserve"> </w:t>
      </w:r>
      <w:r w:rsidRPr="007B38C6">
        <w:t>claim.</w:t>
      </w:r>
    </w:p>
    <w:p w14:paraId="63CF45A2" w14:textId="77777777" w:rsidR="00BA5656" w:rsidRPr="007B38C6" w:rsidRDefault="00BA5656" w:rsidP="007B38C6">
      <w:pPr>
        <w:pStyle w:val="ListBullet"/>
      </w:pPr>
      <w:r w:rsidRPr="007B38C6">
        <w:t>However, it would be necessary to retest the product several times and obtain consistently</w:t>
      </w:r>
      <w:r w:rsidRPr="007B38C6">
        <w:rPr>
          <w:spacing w:val="-46"/>
        </w:rPr>
        <w:t xml:space="preserve"> </w:t>
      </w:r>
      <w:r w:rsidRPr="007B38C6">
        <w:t>low mean results before any conclusion could be drawn about the labelled SPF being</w:t>
      </w:r>
      <w:r w:rsidRPr="007B38C6">
        <w:rPr>
          <w:spacing w:val="1"/>
        </w:rPr>
        <w:t xml:space="preserve"> </w:t>
      </w:r>
      <w:r w:rsidRPr="007B38C6">
        <w:t>unjustified.</w:t>
      </w:r>
    </w:p>
    <w:p w14:paraId="0DA5744F" w14:textId="77777777" w:rsidR="00895D17" w:rsidRPr="00E308CF" w:rsidRDefault="00895D17" w:rsidP="00895D17">
      <w:pPr>
        <w:pStyle w:val="Heading4"/>
      </w:pPr>
      <w:bookmarkStart w:id="112" w:name="_Toc120260225"/>
      <w:bookmarkStart w:id="113" w:name="_Toc181273065"/>
      <w:bookmarkStart w:id="114" w:name="_Toc204751334"/>
      <w:r w:rsidRPr="00E308CF">
        <w:t>Stability testing of listed therapeutic sunscreens</w:t>
      </w:r>
      <w:bookmarkEnd w:id="112"/>
      <w:bookmarkEnd w:id="113"/>
      <w:bookmarkEnd w:id="114"/>
    </w:p>
    <w:p w14:paraId="1F6BA76F" w14:textId="77777777" w:rsidR="00895D17" w:rsidRPr="007B38C6" w:rsidRDefault="00895D17" w:rsidP="00895D17">
      <w:pPr>
        <w:rPr>
          <w:b/>
          <w:bCs/>
        </w:rPr>
      </w:pPr>
      <w:r w:rsidRPr="007B38C6">
        <w:t>Stability testing for sunscreens is mandatory. All responsibilities related to ongoing stability testing should be defined in a GMP agreement (unless the sponsor, manufacturer and authorised person conducting release for supply are all from the same entity).</w:t>
      </w:r>
    </w:p>
    <w:p w14:paraId="060E010E" w14:textId="77777777" w:rsidR="00A71E6A" w:rsidRPr="00C11A6D" w:rsidRDefault="00A71E6A" w:rsidP="00A71E6A">
      <w:pPr>
        <w:pStyle w:val="Heading5"/>
      </w:pPr>
      <w:r w:rsidRPr="00C11A6D">
        <w:t>Stability test requirements for listed therapeutic sunscreens</w:t>
      </w:r>
    </w:p>
    <w:p w14:paraId="624B3759" w14:textId="77777777" w:rsidR="00A71E6A" w:rsidRPr="007B38C6" w:rsidRDefault="00A71E6A" w:rsidP="00A71E6A">
      <w:r w:rsidRPr="007B38C6">
        <w:t>Therapeutic sunscreens marketed in Australia must be labelled with an ‘</w:t>
      </w:r>
      <w:r w:rsidRPr="007B38C6">
        <w:rPr>
          <w:b/>
          <w:i/>
        </w:rPr>
        <w:t>expiry</w:t>
      </w:r>
      <w:r w:rsidRPr="007B38C6">
        <w:t>’ or ‘</w:t>
      </w:r>
      <w:r w:rsidRPr="007B38C6">
        <w:rPr>
          <w:b/>
          <w:i/>
        </w:rPr>
        <w:t>use-by</w:t>
      </w:r>
      <w:r w:rsidRPr="007B38C6">
        <w:t>’ date.</w:t>
      </w:r>
      <w:r w:rsidRPr="007B38C6">
        <w:rPr>
          <w:spacing w:val="-46"/>
        </w:rPr>
        <w:t xml:space="preserve"> </w:t>
      </w:r>
      <w:r w:rsidRPr="007B38C6">
        <w:t>This</w:t>
      </w:r>
      <w:r w:rsidRPr="007B38C6">
        <w:rPr>
          <w:spacing w:val="-3"/>
        </w:rPr>
        <w:t xml:space="preserve"> </w:t>
      </w:r>
      <w:r w:rsidRPr="007B38C6">
        <w:t>must</w:t>
      </w:r>
      <w:r w:rsidRPr="007B38C6">
        <w:rPr>
          <w:spacing w:val="-1"/>
        </w:rPr>
        <w:t xml:space="preserve"> </w:t>
      </w:r>
      <w:r w:rsidRPr="007B38C6">
        <w:t>be</w:t>
      </w:r>
      <w:r w:rsidRPr="007B38C6">
        <w:rPr>
          <w:spacing w:val="-1"/>
        </w:rPr>
        <w:t xml:space="preserve"> </w:t>
      </w:r>
      <w:r w:rsidRPr="007B38C6">
        <w:t>supported</w:t>
      </w:r>
      <w:r w:rsidRPr="007B38C6">
        <w:rPr>
          <w:spacing w:val="-1"/>
        </w:rPr>
        <w:t xml:space="preserve"> </w:t>
      </w:r>
      <w:r w:rsidRPr="007B38C6">
        <w:t>by:</w:t>
      </w:r>
    </w:p>
    <w:p w14:paraId="7A97332F" w14:textId="77777777" w:rsidR="00A71E6A" w:rsidRPr="007B38C6" w:rsidRDefault="00A71E6A" w:rsidP="007B38C6">
      <w:pPr>
        <w:pStyle w:val="ListBullet"/>
      </w:pPr>
      <w:r w:rsidRPr="007B38C6">
        <w:t>experimental data supporting the shelf life of the sunscreen product in the container</w:t>
      </w:r>
      <w:r w:rsidRPr="007B38C6">
        <w:rPr>
          <w:spacing w:val="1"/>
        </w:rPr>
        <w:t xml:space="preserve"> </w:t>
      </w:r>
      <w:r w:rsidRPr="007B38C6">
        <w:t>intended for marketing (or at least a container made of the same materials and with similar</w:t>
      </w:r>
      <w:r w:rsidRPr="007B38C6">
        <w:rPr>
          <w:spacing w:val="-46"/>
        </w:rPr>
        <w:t xml:space="preserve"> </w:t>
      </w:r>
      <w:r w:rsidRPr="007B38C6">
        <w:t>shape, size and wall thickness to that of the market container) under the recommended</w:t>
      </w:r>
      <w:r w:rsidRPr="007B38C6">
        <w:rPr>
          <w:spacing w:val="1"/>
        </w:rPr>
        <w:t xml:space="preserve"> </w:t>
      </w:r>
      <w:r w:rsidRPr="007B38C6">
        <w:t>storage</w:t>
      </w:r>
      <w:r w:rsidRPr="007B38C6">
        <w:rPr>
          <w:spacing w:val="-3"/>
        </w:rPr>
        <w:t xml:space="preserve"> </w:t>
      </w:r>
      <w:r w:rsidRPr="007B38C6">
        <w:t>conditions:</w:t>
      </w:r>
    </w:p>
    <w:p w14:paraId="15939AD2" w14:textId="77777777" w:rsidR="00A71E6A" w:rsidRPr="007B38C6" w:rsidRDefault="00A71E6A" w:rsidP="0073748E">
      <w:pPr>
        <w:pStyle w:val="ListBullet2"/>
        <w:numPr>
          <w:ilvl w:val="1"/>
          <w:numId w:val="7"/>
        </w:numPr>
        <w:rPr>
          <w:color w:val="auto"/>
        </w:rPr>
      </w:pPr>
      <w:r w:rsidRPr="002D1B32">
        <w:t>‘</w:t>
      </w:r>
      <w:r w:rsidRPr="007B38C6">
        <w:rPr>
          <w:b/>
          <w:i/>
          <w:color w:val="auto"/>
        </w:rPr>
        <w:t>Store</w:t>
      </w:r>
      <w:r w:rsidRPr="007B38C6">
        <w:rPr>
          <w:b/>
          <w:i/>
          <w:color w:val="auto"/>
          <w:spacing w:val="-2"/>
        </w:rPr>
        <w:t xml:space="preserve"> </w:t>
      </w:r>
      <w:r w:rsidRPr="007B38C6">
        <w:rPr>
          <w:b/>
          <w:i/>
          <w:color w:val="auto"/>
        </w:rPr>
        <w:t>below</w:t>
      </w:r>
      <w:r w:rsidRPr="007B38C6">
        <w:rPr>
          <w:b/>
          <w:i/>
          <w:color w:val="auto"/>
          <w:spacing w:val="-2"/>
        </w:rPr>
        <w:t xml:space="preserve"> </w:t>
      </w:r>
      <w:r w:rsidRPr="007B38C6">
        <w:rPr>
          <w:b/>
          <w:i/>
          <w:color w:val="auto"/>
        </w:rPr>
        <w:t>25°C</w:t>
      </w:r>
      <w:r w:rsidRPr="007B38C6">
        <w:rPr>
          <w:color w:val="auto"/>
        </w:rPr>
        <w:t>’</w:t>
      </w:r>
      <w:r w:rsidRPr="007B38C6">
        <w:rPr>
          <w:color w:val="auto"/>
          <w:spacing w:val="-3"/>
        </w:rPr>
        <w:t xml:space="preserve"> </w:t>
      </w:r>
      <w:r w:rsidRPr="007B38C6">
        <w:rPr>
          <w:color w:val="auto"/>
        </w:rPr>
        <w:t>for</w:t>
      </w:r>
      <w:r w:rsidRPr="007B38C6">
        <w:rPr>
          <w:color w:val="auto"/>
          <w:spacing w:val="-2"/>
        </w:rPr>
        <w:t xml:space="preserve"> </w:t>
      </w:r>
      <w:r w:rsidRPr="007B38C6">
        <w:rPr>
          <w:color w:val="auto"/>
        </w:rPr>
        <w:t>products</w:t>
      </w:r>
      <w:r w:rsidRPr="007B38C6">
        <w:rPr>
          <w:color w:val="auto"/>
          <w:spacing w:val="-1"/>
        </w:rPr>
        <w:t xml:space="preserve"> </w:t>
      </w:r>
      <w:r w:rsidRPr="007B38C6">
        <w:rPr>
          <w:color w:val="auto"/>
        </w:rPr>
        <w:t>to</w:t>
      </w:r>
      <w:r w:rsidRPr="007B38C6">
        <w:rPr>
          <w:color w:val="auto"/>
          <w:spacing w:val="-2"/>
        </w:rPr>
        <w:t xml:space="preserve"> </w:t>
      </w:r>
      <w:r w:rsidRPr="007B38C6">
        <w:rPr>
          <w:color w:val="auto"/>
        </w:rPr>
        <w:t>be</w:t>
      </w:r>
      <w:r w:rsidRPr="007B38C6">
        <w:rPr>
          <w:color w:val="auto"/>
          <w:spacing w:val="-4"/>
        </w:rPr>
        <w:t xml:space="preserve"> </w:t>
      </w:r>
      <w:r w:rsidRPr="007B38C6">
        <w:rPr>
          <w:color w:val="auto"/>
        </w:rPr>
        <w:t>stored</w:t>
      </w:r>
      <w:r w:rsidRPr="007B38C6">
        <w:rPr>
          <w:color w:val="auto"/>
          <w:spacing w:val="-4"/>
        </w:rPr>
        <w:t xml:space="preserve"> </w:t>
      </w:r>
      <w:r w:rsidRPr="007B38C6">
        <w:rPr>
          <w:color w:val="auto"/>
        </w:rPr>
        <w:t>in</w:t>
      </w:r>
      <w:r w:rsidRPr="007B38C6">
        <w:rPr>
          <w:color w:val="auto"/>
          <w:spacing w:val="-3"/>
        </w:rPr>
        <w:t xml:space="preserve"> </w:t>
      </w:r>
      <w:r w:rsidRPr="007B38C6">
        <w:rPr>
          <w:color w:val="auto"/>
        </w:rPr>
        <w:t>air-conditioned</w:t>
      </w:r>
      <w:r w:rsidRPr="007B38C6">
        <w:rPr>
          <w:color w:val="auto"/>
          <w:spacing w:val="-1"/>
        </w:rPr>
        <w:t xml:space="preserve"> </w:t>
      </w:r>
      <w:r w:rsidRPr="007B38C6">
        <w:rPr>
          <w:color w:val="auto"/>
        </w:rPr>
        <w:t>premise</w:t>
      </w:r>
    </w:p>
    <w:p w14:paraId="5AA730CC" w14:textId="77777777" w:rsidR="00A71E6A" w:rsidRPr="007B38C6" w:rsidRDefault="00A71E6A" w:rsidP="0073748E">
      <w:pPr>
        <w:pStyle w:val="ListBullet2"/>
        <w:numPr>
          <w:ilvl w:val="1"/>
          <w:numId w:val="7"/>
        </w:numPr>
        <w:rPr>
          <w:color w:val="auto"/>
        </w:rPr>
      </w:pPr>
      <w:r w:rsidRPr="007B38C6">
        <w:rPr>
          <w:color w:val="auto"/>
        </w:rPr>
        <w:t>‘</w:t>
      </w:r>
      <w:r w:rsidRPr="007B38C6">
        <w:rPr>
          <w:b/>
          <w:i/>
          <w:color w:val="auto"/>
        </w:rPr>
        <w:t>Store</w:t>
      </w:r>
      <w:r w:rsidRPr="007B38C6">
        <w:rPr>
          <w:b/>
          <w:i/>
          <w:color w:val="auto"/>
          <w:spacing w:val="-3"/>
        </w:rPr>
        <w:t xml:space="preserve"> </w:t>
      </w:r>
      <w:r w:rsidRPr="007B38C6">
        <w:rPr>
          <w:b/>
          <w:i/>
          <w:color w:val="auto"/>
        </w:rPr>
        <w:t>below</w:t>
      </w:r>
      <w:r w:rsidRPr="007B38C6">
        <w:rPr>
          <w:b/>
          <w:i/>
          <w:color w:val="auto"/>
          <w:spacing w:val="-2"/>
        </w:rPr>
        <w:t xml:space="preserve"> </w:t>
      </w:r>
      <w:r w:rsidRPr="007B38C6">
        <w:rPr>
          <w:b/>
          <w:i/>
          <w:color w:val="auto"/>
        </w:rPr>
        <w:t>30°C</w:t>
      </w:r>
      <w:r w:rsidRPr="007B38C6">
        <w:rPr>
          <w:color w:val="auto"/>
        </w:rPr>
        <w:t>’</w:t>
      </w:r>
      <w:r w:rsidRPr="007B38C6">
        <w:rPr>
          <w:color w:val="auto"/>
          <w:spacing w:val="-3"/>
        </w:rPr>
        <w:t xml:space="preserve"> </w:t>
      </w:r>
      <w:r w:rsidRPr="007B38C6">
        <w:rPr>
          <w:color w:val="auto"/>
        </w:rPr>
        <w:t>for</w:t>
      </w:r>
      <w:r w:rsidRPr="007B38C6">
        <w:rPr>
          <w:color w:val="auto"/>
          <w:spacing w:val="-2"/>
        </w:rPr>
        <w:t xml:space="preserve"> </w:t>
      </w:r>
      <w:r w:rsidRPr="007B38C6">
        <w:rPr>
          <w:color w:val="auto"/>
        </w:rPr>
        <w:t>products</w:t>
      </w:r>
      <w:r w:rsidRPr="007B38C6">
        <w:rPr>
          <w:color w:val="auto"/>
          <w:spacing w:val="-1"/>
        </w:rPr>
        <w:t xml:space="preserve"> </w:t>
      </w:r>
      <w:r w:rsidRPr="007B38C6">
        <w:rPr>
          <w:color w:val="auto"/>
        </w:rPr>
        <w:t>to</w:t>
      </w:r>
      <w:r w:rsidRPr="007B38C6">
        <w:rPr>
          <w:color w:val="auto"/>
          <w:spacing w:val="-2"/>
        </w:rPr>
        <w:t xml:space="preserve"> </w:t>
      </w:r>
      <w:r w:rsidRPr="007B38C6">
        <w:rPr>
          <w:color w:val="auto"/>
        </w:rPr>
        <w:t>be</w:t>
      </w:r>
      <w:r w:rsidRPr="007B38C6">
        <w:rPr>
          <w:color w:val="auto"/>
          <w:spacing w:val="-4"/>
        </w:rPr>
        <w:t xml:space="preserve"> </w:t>
      </w:r>
      <w:r w:rsidRPr="007B38C6">
        <w:rPr>
          <w:color w:val="auto"/>
        </w:rPr>
        <w:t>stored</w:t>
      </w:r>
      <w:r w:rsidRPr="007B38C6">
        <w:rPr>
          <w:color w:val="auto"/>
          <w:spacing w:val="-3"/>
        </w:rPr>
        <w:t xml:space="preserve"> </w:t>
      </w:r>
      <w:r w:rsidRPr="007B38C6">
        <w:rPr>
          <w:color w:val="auto"/>
        </w:rPr>
        <w:t>at</w:t>
      </w:r>
      <w:r w:rsidRPr="007B38C6">
        <w:rPr>
          <w:color w:val="auto"/>
          <w:spacing w:val="-2"/>
        </w:rPr>
        <w:t xml:space="preserve"> </w:t>
      </w:r>
      <w:r w:rsidRPr="007B38C6">
        <w:rPr>
          <w:color w:val="auto"/>
        </w:rPr>
        <w:t>room</w:t>
      </w:r>
      <w:r w:rsidRPr="007B38C6">
        <w:rPr>
          <w:color w:val="auto"/>
          <w:spacing w:val="-1"/>
        </w:rPr>
        <w:t xml:space="preserve"> </w:t>
      </w:r>
      <w:r w:rsidRPr="007B38C6">
        <w:rPr>
          <w:color w:val="auto"/>
        </w:rPr>
        <w:t>temperature.</w:t>
      </w:r>
    </w:p>
    <w:p w14:paraId="5B07D906" w14:textId="77777777" w:rsidR="00A71E6A" w:rsidRPr="007B38C6" w:rsidRDefault="00A71E6A" w:rsidP="00A71E6A">
      <w:pPr>
        <w:tabs>
          <w:tab w:val="left" w:pos="516"/>
          <w:tab w:val="left" w:pos="517"/>
        </w:tabs>
        <w:spacing w:before="164"/>
        <w:ind w:right="-2"/>
      </w:pPr>
      <w:r w:rsidRPr="007B38C6">
        <w:t>The data must substantiate the physical, chemical and microbiological stability of the</w:t>
      </w:r>
      <w:r w:rsidRPr="007B38C6">
        <w:rPr>
          <w:spacing w:val="-46"/>
        </w:rPr>
        <w:t xml:space="preserve"> </w:t>
      </w:r>
      <w:r w:rsidRPr="007B38C6">
        <w:t>product</w:t>
      </w:r>
      <w:r w:rsidRPr="007B38C6">
        <w:rPr>
          <w:spacing w:val="-2"/>
        </w:rPr>
        <w:t xml:space="preserve"> </w:t>
      </w:r>
      <w:r w:rsidRPr="007B38C6">
        <w:t>for</w:t>
      </w:r>
      <w:r w:rsidRPr="007B38C6">
        <w:rPr>
          <w:spacing w:val="-1"/>
        </w:rPr>
        <w:t xml:space="preserve"> </w:t>
      </w:r>
      <w:r w:rsidRPr="007B38C6">
        <w:t>at</w:t>
      </w:r>
      <w:r w:rsidRPr="007B38C6">
        <w:rPr>
          <w:spacing w:val="-1"/>
        </w:rPr>
        <w:t xml:space="preserve"> </w:t>
      </w:r>
      <w:r w:rsidRPr="007B38C6">
        <w:t>least</w:t>
      </w:r>
      <w:r w:rsidRPr="007B38C6">
        <w:rPr>
          <w:spacing w:val="-1"/>
        </w:rPr>
        <w:t xml:space="preserve"> </w:t>
      </w:r>
      <w:r w:rsidRPr="007B38C6">
        <w:t>the</w:t>
      </w:r>
      <w:r w:rsidRPr="007B38C6">
        <w:rPr>
          <w:spacing w:val="-1"/>
        </w:rPr>
        <w:t xml:space="preserve"> </w:t>
      </w:r>
      <w:r w:rsidRPr="007B38C6">
        <w:t>claimed</w:t>
      </w:r>
      <w:r w:rsidRPr="007B38C6">
        <w:rPr>
          <w:spacing w:val="-1"/>
        </w:rPr>
        <w:t xml:space="preserve"> </w:t>
      </w:r>
      <w:r w:rsidRPr="007B38C6">
        <w:t>shelf</w:t>
      </w:r>
      <w:r w:rsidRPr="007B38C6">
        <w:rPr>
          <w:spacing w:val="-1"/>
        </w:rPr>
        <w:t xml:space="preserve"> </w:t>
      </w:r>
      <w:r w:rsidRPr="007B38C6">
        <w:t>life.</w:t>
      </w:r>
    </w:p>
    <w:p w14:paraId="571DAFFE" w14:textId="6F1EFE66" w:rsidR="00A71E6A" w:rsidRPr="007B38C6" w:rsidRDefault="00A71E6A" w:rsidP="00A71E6A">
      <w:pPr>
        <w:pStyle w:val="BodyText"/>
        <w:spacing w:before="180"/>
        <w:ind w:right="-2"/>
        <w:rPr>
          <w:rFonts w:cs="Arial"/>
          <w:color w:val="auto"/>
          <w:sz w:val="24"/>
          <w:szCs w:val="24"/>
        </w:rPr>
      </w:pPr>
      <w:r w:rsidRPr="007B38C6">
        <w:rPr>
          <w:rFonts w:cs="Arial"/>
          <w:color w:val="auto"/>
          <w:sz w:val="24"/>
          <w:szCs w:val="24"/>
        </w:rPr>
        <w:t>Sponsors of all therapeutic sunscreen products are expected to have performed stability testing</w:t>
      </w:r>
      <w:r w:rsidRPr="007B38C6">
        <w:rPr>
          <w:rFonts w:cs="Arial"/>
          <w:color w:val="auto"/>
          <w:spacing w:val="-46"/>
          <w:sz w:val="24"/>
          <w:szCs w:val="24"/>
        </w:rPr>
        <w:t xml:space="preserve"> </w:t>
      </w:r>
      <w:r w:rsidRPr="007B38C6">
        <w:rPr>
          <w:rFonts w:cs="Arial"/>
          <w:color w:val="auto"/>
          <w:sz w:val="24"/>
          <w:szCs w:val="24"/>
        </w:rPr>
        <w:t>on</w:t>
      </w:r>
      <w:r w:rsidRPr="007B38C6">
        <w:rPr>
          <w:rFonts w:cs="Arial"/>
          <w:color w:val="auto"/>
          <w:spacing w:val="-3"/>
          <w:sz w:val="24"/>
          <w:szCs w:val="24"/>
        </w:rPr>
        <w:t xml:space="preserve"> </w:t>
      </w:r>
      <w:r w:rsidRPr="007B38C6">
        <w:rPr>
          <w:rFonts w:cs="Arial"/>
          <w:color w:val="auto"/>
          <w:sz w:val="24"/>
          <w:szCs w:val="24"/>
        </w:rPr>
        <w:t>each product</w:t>
      </w:r>
      <w:r w:rsidRPr="007B38C6">
        <w:rPr>
          <w:rFonts w:cs="Arial"/>
          <w:color w:val="auto"/>
          <w:spacing w:val="-1"/>
          <w:sz w:val="24"/>
          <w:szCs w:val="24"/>
        </w:rPr>
        <w:t xml:space="preserve"> </w:t>
      </w:r>
      <w:r w:rsidRPr="007B38C6">
        <w:rPr>
          <w:rFonts w:cs="Arial"/>
          <w:color w:val="auto"/>
          <w:sz w:val="24"/>
          <w:szCs w:val="24"/>
        </w:rPr>
        <w:t>to</w:t>
      </w:r>
      <w:r w:rsidRPr="007B38C6">
        <w:rPr>
          <w:rFonts w:cs="Arial"/>
          <w:color w:val="auto"/>
          <w:spacing w:val="-1"/>
          <w:sz w:val="24"/>
          <w:szCs w:val="24"/>
        </w:rPr>
        <w:t xml:space="preserve"> </w:t>
      </w:r>
      <w:r w:rsidRPr="007B38C6">
        <w:rPr>
          <w:rFonts w:cs="Arial"/>
          <w:color w:val="auto"/>
          <w:sz w:val="24"/>
          <w:szCs w:val="24"/>
        </w:rPr>
        <w:t>at</w:t>
      </w:r>
      <w:r w:rsidRPr="007B38C6">
        <w:rPr>
          <w:rFonts w:cs="Arial"/>
          <w:color w:val="auto"/>
          <w:spacing w:val="-1"/>
          <w:sz w:val="24"/>
          <w:szCs w:val="24"/>
        </w:rPr>
        <w:t xml:space="preserve"> </w:t>
      </w:r>
      <w:r w:rsidRPr="007B38C6">
        <w:rPr>
          <w:rFonts w:cs="Arial"/>
          <w:color w:val="auto"/>
          <w:sz w:val="24"/>
          <w:szCs w:val="24"/>
        </w:rPr>
        <w:t>least</w:t>
      </w:r>
      <w:r w:rsidRPr="007B38C6">
        <w:rPr>
          <w:rFonts w:cs="Arial"/>
          <w:color w:val="auto"/>
          <w:spacing w:val="-1"/>
          <w:sz w:val="24"/>
          <w:szCs w:val="24"/>
        </w:rPr>
        <w:t xml:space="preserve"> </w:t>
      </w:r>
      <w:r w:rsidRPr="007B38C6">
        <w:rPr>
          <w:rFonts w:cs="Arial"/>
          <w:color w:val="auto"/>
          <w:sz w:val="24"/>
          <w:szCs w:val="24"/>
        </w:rPr>
        <w:t>the</w:t>
      </w:r>
      <w:r w:rsidRPr="007B38C6">
        <w:rPr>
          <w:rFonts w:cs="Arial"/>
          <w:color w:val="auto"/>
          <w:spacing w:val="-1"/>
          <w:sz w:val="24"/>
          <w:szCs w:val="24"/>
        </w:rPr>
        <w:t xml:space="preserve"> </w:t>
      </w:r>
      <w:r w:rsidRPr="007B38C6">
        <w:rPr>
          <w:rFonts w:cs="Arial"/>
          <w:color w:val="auto"/>
          <w:sz w:val="24"/>
          <w:szCs w:val="24"/>
        </w:rPr>
        <w:t>standard</w:t>
      </w:r>
      <w:r w:rsidRPr="007B38C6">
        <w:rPr>
          <w:rFonts w:cs="Arial"/>
          <w:color w:val="auto"/>
          <w:spacing w:val="-1"/>
          <w:sz w:val="24"/>
          <w:szCs w:val="24"/>
        </w:rPr>
        <w:t xml:space="preserve"> </w:t>
      </w:r>
      <w:r w:rsidRPr="007B38C6">
        <w:rPr>
          <w:rFonts w:cs="Arial"/>
          <w:color w:val="auto"/>
          <w:sz w:val="24"/>
          <w:szCs w:val="24"/>
        </w:rPr>
        <w:t>set</w:t>
      </w:r>
      <w:r w:rsidRPr="007B38C6">
        <w:rPr>
          <w:rFonts w:cs="Arial"/>
          <w:color w:val="auto"/>
          <w:spacing w:val="-1"/>
          <w:sz w:val="24"/>
          <w:szCs w:val="24"/>
        </w:rPr>
        <w:t xml:space="preserve"> </w:t>
      </w:r>
      <w:r w:rsidRPr="007B38C6">
        <w:rPr>
          <w:rFonts w:cs="Arial"/>
          <w:color w:val="auto"/>
          <w:sz w:val="24"/>
          <w:szCs w:val="24"/>
        </w:rPr>
        <w:t>out</w:t>
      </w:r>
      <w:r w:rsidRPr="007B38C6">
        <w:rPr>
          <w:rFonts w:cs="Arial"/>
          <w:color w:val="auto"/>
          <w:spacing w:val="-2"/>
          <w:sz w:val="24"/>
          <w:szCs w:val="24"/>
        </w:rPr>
        <w:t xml:space="preserve"> </w:t>
      </w:r>
      <w:r w:rsidRPr="007B38C6">
        <w:rPr>
          <w:rFonts w:cs="Arial"/>
          <w:color w:val="auto"/>
          <w:sz w:val="24"/>
          <w:szCs w:val="24"/>
        </w:rPr>
        <w:t>in</w:t>
      </w:r>
      <w:r w:rsidRPr="007B38C6">
        <w:rPr>
          <w:rFonts w:cs="Arial"/>
          <w:color w:val="auto"/>
          <w:spacing w:val="-2"/>
          <w:sz w:val="24"/>
          <w:szCs w:val="24"/>
        </w:rPr>
        <w:t xml:space="preserve"> </w:t>
      </w:r>
      <w:r w:rsidRPr="007B38C6">
        <w:rPr>
          <w:rFonts w:cs="Arial"/>
          <w:color w:val="auto"/>
          <w:sz w:val="24"/>
          <w:szCs w:val="24"/>
        </w:rPr>
        <w:t>th</w:t>
      </w:r>
      <w:r w:rsidR="00ED11E3" w:rsidRPr="007B38C6">
        <w:rPr>
          <w:rFonts w:cs="Arial"/>
          <w:color w:val="auto"/>
          <w:sz w:val="24"/>
          <w:szCs w:val="24"/>
        </w:rPr>
        <w:t>is</w:t>
      </w:r>
      <w:r w:rsidRPr="007B38C6">
        <w:rPr>
          <w:rFonts w:cs="Arial"/>
          <w:color w:val="auto"/>
          <w:spacing w:val="-1"/>
          <w:sz w:val="24"/>
          <w:szCs w:val="24"/>
        </w:rPr>
        <w:t xml:space="preserve"> </w:t>
      </w:r>
      <w:r w:rsidRPr="007B38C6">
        <w:rPr>
          <w:rFonts w:cs="Arial"/>
          <w:color w:val="auto"/>
          <w:sz w:val="24"/>
          <w:szCs w:val="24"/>
        </w:rPr>
        <w:t>Guid</w:t>
      </w:r>
      <w:r w:rsidR="00ED11E3" w:rsidRPr="007B38C6">
        <w:rPr>
          <w:rFonts w:cs="Arial"/>
          <w:color w:val="auto"/>
          <w:sz w:val="24"/>
          <w:szCs w:val="24"/>
        </w:rPr>
        <w:t>ance</w:t>
      </w:r>
      <w:r w:rsidRPr="007B38C6">
        <w:rPr>
          <w:rFonts w:cs="Arial"/>
          <w:color w:val="auto"/>
          <w:sz w:val="24"/>
          <w:szCs w:val="24"/>
        </w:rPr>
        <w:t>.</w:t>
      </w:r>
    </w:p>
    <w:p w14:paraId="0C5F5A53" w14:textId="77777777" w:rsidR="00B102B1" w:rsidRPr="007B38C6" w:rsidRDefault="00A71E6A" w:rsidP="007B38C6">
      <w:pPr>
        <w:pStyle w:val="ListBullet"/>
      </w:pPr>
      <w:r w:rsidRPr="007B38C6">
        <w:t>The claimed shelf life and storage conditions for each product should be derived from the</w:t>
      </w:r>
      <w:r w:rsidRPr="007B38C6">
        <w:rPr>
          <w:spacing w:val="-46"/>
        </w:rPr>
        <w:t xml:space="preserve"> </w:t>
      </w:r>
      <w:r w:rsidRPr="007B38C6">
        <w:t>results</w:t>
      </w:r>
      <w:r w:rsidRPr="007B38C6">
        <w:rPr>
          <w:spacing w:val="-1"/>
        </w:rPr>
        <w:t xml:space="preserve"> </w:t>
      </w:r>
      <w:r w:rsidRPr="007B38C6">
        <w:t>of</w:t>
      </w:r>
      <w:r w:rsidRPr="007B38C6">
        <w:rPr>
          <w:spacing w:val="-1"/>
        </w:rPr>
        <w:t xml:space="preserve"> </w:t>
      </w:r>
      <w:r w:rsidRPr="007B38C6">
        <w:t>the</w:t>
      </w:r>
      <w:r w:rsidRPr="007B38C6">
        <w:rPr>
          <w:spacing w:val="-1"/>
        </w:rPr>
        <w:t xml:space="preserve"> </w:t>
      </w:r>
      <w:r w:rsidRPr="007B38C6">
        <w:t>stability</w:t>
      </w:r>
      <w:r w:rsidRPr="007B38C6">
        <w:rPr>
          <w:spacing w:val="-2"/>
        </w:rPr>
        <w:t xml:space="preserve"> </w:t>
      </w:r>
      <w:r w:rsidRPr="007B38C6">
        <w:t>testing</w:t>
      </w:r>
      <w:r w:rsidRPr="007B38C6">
        <w:rPr>
          <w:spacing w:val="-2"/>
        </w:rPr>
        <w:t xml:space="preserve"> </w:t>
      </w:r>
      <w:r w:rsidRPr="007B38C6">
        <w:t>on</w:t>
      </w:r>
      <w:r w:rsidRPr="007B38C6">
        <w:rPr>
          <w:spacing w:val="-2"/>
        </w:rPr>
        <w:t xml:space="preserve"> </w:t>
      </w:r>
      <w:r w:rsidRPr="007B38C6">
        <w:t>that</w:t>
      </w:r>
      <w:r w:rsidRPr="007B38C6">
        <w:rPr>
          <w:spacing w:val="-1"/>
        </w:rPr>
        <w:t xml:space="preserve"> </w:t>
      </w:r>
      <w:r w:rsidRPr="007B38C6">
        <w:t>product.</w:t>
      </w:r>
    </w:p>
    <w:p w14:paraId="798EC4B5" w14:textId="48C4985D" w:rsidR="005C025F" w:rsidRPr="007B38C6" w:rsidRDefault="00A71E6A" w:rsidP="007B38C6">
      <w:pPr>
        <w:pStyle w:val="ListBullet"/>
      </w:pPr>
      <w:r w:rsidRPr="007B38C6">
        <w:t>Generation of adequate stability data to support the assigned shelf life for a therapeutic</w:t>
      </w:r>
      <w:r w:rsidRPr="007B38C6">
        <w:rPr>
          <w:spacing w:val="-46"/>
        </w:rPr>
        <w:t xml:space="preserve"> </w:t>
      </w:r>
      <w:r w:rsidRPr="007B38C6">
        <w:t>sunscreen</w:t>
      </w:r>
      <w:r w:rsidRPr="007B38C6">
        <w:rPr>
          <w:spacing w:val="-3"/>
        </w:rPr>
        <w:t xml:space="preserve"> </w:t>
      </w:r>
      <w:r w:rsidRPr="007B38C6">
        <w:t>is the</w:t>
      </w:r>
      <w:r w:rsidRPr="007B38C6">
        <w:rPr>
          <w:spacing w:val="-1"/>
        </w:rPr>
        <w:t xml:space="preserve"> </w:t>
      </w:r>
      <w:r w:rsidRPr="007B38C6">
        <w:t>responsibility</w:t>
      </w:r>
      <w:r w:rsidRPr="007B38C6">
        <w:rPr>
          <w:spacing w:val="-2"/>
        </w:rPr>
        <w:t xml:space="preserve"> </w:t>
      </w:r>
      <w:r w:rsidRPr="007B38C6">
        <w:t>of</w:t>
      </w:r>
      <w:r w:rsidRPr="007B38C6">
        <w:rPr>
          <w:spacing w:val="-1"/>
        </w:rPr>
        <w:t xml:space="preserve"> </w:t>
      </w:r>
      <w:r w:rsidRPr="007B38C6">
        <w:t>the</w:t>
      </w:r>
      <w:r w:rsidRPr="007B38C6">
        <w:rPr>
          <w:spacing w:val="-1"/>
        </w:rPr>
        <w:t xml:space="preserve"> </w:t>
      </w:r>
      <w:r w:rsidRPr="007B38C6">
        <w:t>sponsor.</w:t>
      </w:r>
    </w:p>
    <w:p w14:paraId="18E465E5" w14:textId="0D25CDB9" w:rsidR="00C31794" w:rsidRDefault="00C31794" w:rsidP="006266F4">
      <w:pPr>
        <w:pStyle w:val="Calloutforkeyinformation"/>
      </w:pPr>
      <w:r w:rsidRPr="00C31794">
        <w:rPr>
          <w:b/>
          <w:bCs w:val="0"/>
        </w:rPr>
        <w:t>Note</w:t>
      </w:r>
    </w:p>
    <w:p w14:paraId="757CF8A1" w14:textId="620FF2D9" w:rsidR="006266F4" w:rsidRPr="007B38C6" w:rsidRDefault="006266F4" w:rsidP="006266F4">
      <w:pPr>
        <w:pStyle w:val="Calloutforkeyinformation"/>
      </w:pPr>
      <w:r w:rsidRPr="007B38C6">
        <w:t>The stability data supporting the shelf life of a sunscreen product are</w:t>
      </w:r>
      <w:r w:rsidRPr="007B38C6">
        <w:rPr>
          <w:spacing w:val="1"/>
        </w:rPr>
        <w:t xml:space="preserve"> </w:t>
      </w:r>
      <w:r w:rsidRPr="007B38C6">
        <w:t>not required to be submitted to the TGA at the time of listing. However,</w:t>
      </w:r>
      <w:r w:rsidRPr="007B38C6">
        <w:rPr>
          <w:spacing w:val="-47"/>
        </w:rPr>
        <w:t xml:space="preserve"> </w:t>
      </w:r>
      <w:r w:rsidRPr="007B38C6">
        <w:t>the</w:t>
      </w:r>
      <w:r w:rsidRPr="007B38C6">
        <w:rPr>
          <w:spacing w:val="-1"/>
        </w:rPr>
        <w:t xml:space="preserve"> </w:t>
      </w:r>
      <w:r w:rsidRPr="007B38C6">
        <w:t>data</w:t>
      </w:r>
      <w:r w:rsidRPr="007B38C6">
        <w:rPr>
          <w:spacing w:val="-3"/>
        </w:rPr>
        <w:t xml:space="preserve"> </w:t>
      </w:r>
      <w:r w:rsidRPr="007B38C6">
        <w:t>may</w:t>
      </w:r>
      <w:r w:rsidRPr="007B38C6">
        <w:rPr>
          <w:spacing w:val="-2"/>
        </w:rPr>
        <w:t xml:space="preserve"> </w:t>
      </w:r>
      <w:r w:rsidRPr="007B38C6">
        <w:t>be</w:t>
      </w:r>
      <w:r w:rsidRPr="007B38C6">
        <w:rPr>
          <w:spacing w:val="-1"/>
        </w:rPr>
        <w:t xml:space="preserve"> </w:t>
      </w:r>
      <w:r w:rsidRPr="007B38C6">
        <w:t>requested</w:t>
      </w:r>
      <w:r w:rsidRPr="007B38C6">
        <w:rPr>
          <w:spacing w:val="-1"/>
        </w:rPr>
        <w:t xml:space="preserve"> </w:t>
      </w:r>
      <w:r w:rsidRPr="007B38C6">
        <w:t>for</w:t>
      </w:r>
      <w:r w:rsidRPr="007B38C6">
        <w:rPr>
          <w:spacing w:val="-1"/>
        </w:rPr>
        <w:t xml:space="preserve"> </w:t>
      </w:r>
      <w:r w:rsidRPr="007B38C6">
        <w:t>review by</w:t>
      </w:r>
      <w:r w:rsidRPr="007B38C6">
        <w:rPr>
          <w:spacing w:val="-2"/>
        </w:rPr>
        <w:t xml:space="preserve"> </w:t>
      </w:r>
      <w:r w:rsidRPr="007B38C6">
        <w:t>the</w:t>
      </w:r>
      <w:r w:rsidRPr="007B38C6">
        <w:rPr>
          <w:spacing w:val="-3"/>
        </w:rPr>
        <w:t xml:space="preserve"> </w:t>
      </w:r>
      <w:r w:rsidRPr="007B38C6">
        <w:t>TGA</w:t>
      </w:r>
      <w:r w:rsidRPr="007B38C6">
        <w:rPr>
          <w:spacing w:val="-2"/>
        </w:rPr>
        <w:t xml:space="preserve"> </w:t>
      </w:r>
      <w:r w:rsidRPr="007B38C6">
        <w:t>at</w:t>
      </w:r>
      <w:r w:rsidRPr="007B38C6">
        <w:rPr>
          <w:spacing w:val="-4"/>
        </w:rPr>
        <w:t xml:space="preserve"> </w:t>
      </w:r>
      <w:r w:rsidRPr="007B38C6">
        <w:t>any</w:t>
      </w:r>
      <w:r w:rsidRPr="007B38C6">
        <w:rPr>
          <w:spacing w:val="-2"/>
        </w:rPr>
        <w:t xml:space="preserve"> </w:t>
      </w:r>
      <w:r w:rsidRPr="007B38C6">
        <w:t>time.</w:t>
      </w:r>
    </w:p>
    <w:p w14:paraId="3AEEC80A" w14:textId="21EDF8D8" w:rsidR="006266F4" w:rsidRPr="007B38C6" w:rsidRDefault="006266F4" w:rsidP="006266F4">
      <w:pPr>
        <w:pStyle w:val="Calloutforkeyinformation"/>
      </w:pPr>
      <w:r w:rsidRPr="007B38C6">
        <w:lastRenderedPageBreak/>
        <w:t>Sponsors</w:t>
      </w:r>
      <w:r w:rsidRPr="007B38C6">
        <w:rPr>
          <w:spacing w:val="-3"/>
        </w:rPr>
        <w:t xml:space="preserve"> </w:t>
      </w:r>
      <w:r w:rsidRPr="007B38C6">
        <w:t>should,</w:t>
      </w:r>
      <w:r w:rsidRPr="007B38C6">
        <w:rPr>
          <w:spacing w:val="-2"/>
        </w:rPr>
        <w:t xml:space="preserve"> </w:t>
      </w:r>
      <w:r w:rsidRPr="007B38C6">
        <w:t>therefore,</w:t>
      </w:r>
      <w:r w:rsidRPr="007B38C6">
        <w:rPr>
          <w:spacing w:val="-2"/>
        </w:rPr>
        <w:t xml:space="preserve"> </w:t>
      </w:r>
      <w:r w:rsidRPr="007B38C6">
        <w:t>ensure</w:t>
      </w:r>
      <w:r w:rsidRPr="007B38C6">
        <w:rPr>
          <w:spacing w:val="-2"/>
        </w:rPr>
        <w:t xml:space="preserve"> </w:t>
      </w:r>
      <w:r w:rsidRPr="007B38C6">
        <w:t>that</w:t>
      </w:r>
      <w:r w:rsidRPr="007B38C6">
        <w:rPr>
          <w:spacing w:val="-2"/>
        </w:rPr>
        <w:t xml:space="preserve"> </w:t>
      </w:r>
      <w:r w:rsidRPr="007B38C6">
        <w:t>the</w:t>
      </w:r>
      <w:r w:rsidRPr="007B38C6">
        <w:rPr>
          <w:spacing w:val="-2"/>
        </w:rPr>
        <w:t xml:space="preserve"> </w:t>
      </w:r>
      <w:r w:rsidRPr="007B38C6">
        <w:t>data</w:t>
      </w:r>
      <w:r w:rsidRPr="007B38C6">
        <w:rPr>
          <w:spacing w:val="-2"/>
        </w:rPr>
        <w:t xml:space="preserve"> </w:t>
      </w:r>
      <w:r w:rsidRPr="007B38C6">
        <w:t>are</w:t>
      </w:r>
      <w:r w:rsidRPr="007B38C6">
        <w:rPr>
          <w:spacing w:val="-4"/>
        </w:rPr>
        <w:t xml:space="preserve"> </w:t>
      </w:r>
      <w:r w:rsidRPr="007B38C6">
        <w:t>available</w:t>
      </w:r>
      <w:r w:rsidRPr="007B38C6">
        <w:rPr>
          <w:spacing w:val="-4"/>
        </w:rPr>
        <w:t xml:space="preserve"> </w:t>
      </w:r>
      <w:r w:rsidRPr="007B38C6">
        <w:t>in</w:t>
      </w:r>
      <w:r w:rsidRPr="007B38C6">
        <w:rPr>
          <w:spacing w:val="-3"/>
        </w:rPr>
        <w:t xml:space="preserve"> </w:t>
      </w:r>
      <w:r w:rsidRPr="007B38C6">
        <w:t>a</w:t>
      </w:r>
      <w:r w:rsidRPr="007B38C6">
        <w:rPr>
          <w:spacing w:val="-2"/>
        </w:rPr>
        <w:t xml:space="preserve"> </w:t>
      </w:r>
      <w:r w:rsidRPr="007B38C6">
        <w:t>form</w:t>
      </w:r>
      <w:r w:rsidRPr="007B38C6">
        <w:rPr>
          <w:spacing w:val="-45"/>
        </w:rPr>
        <w:t xml:space="preserve"> </w:t>
      </w:r>
      <w:r w:rsidRPr="007B38C6">
        <w:t>suitable</w:t>
      </w:r>
      <w:r w:rsidRPr="007B38C6">
        <w:rPr>
          <w:spacing w:val="-1"/>
        </w:rPr>
        <w:t xml:space="preserve"> </w:t>
      </w:r>
      <w:r w:rsidRPr="007B38C6">
        <w:t>for</w:t>
      </w:r>
      <w:r w:rsidRPr="007B38C6">
        <w:rPr>
          <w:spacing w:val="-3"/>
        </w:rPr>
        <w:t xml:space="preserve"> </w:t>
      </w:r>
      <w:r w:rsidRPr="007B38C6">
        <w:t>submission</w:t>
      </w:r>
      <w:r w:rsidRPr="007B38C6">
        <w:rPr>
          <w:spacing w:val="-2"/>
        </w:rPr>
        <w:t xml:space="preserve"> </w:t>
      </w:r>
      <w:r w:rsidRPr="007B38C6">
        <w:t>to</w:t>
      </w:r>
      <w:r w:rsidRPr="007B38C6">
        <w:rPr>
          <w:spacing w:val="-3"/>
        </w:rPr>
        <w:t xml:space="preserve"> </w:t>
      </w:r>
      <w:r w:rsidRPr="007B38C6">
        <w:t>the</w:t>
      </w:r>
      <w:r w:rsidRPr="007B38C6">
        <w:rPr>
          <w:spacing w:val="-1"/>
        </w:rPr>
        <w:t xml:space="preserve"> </w:t>
      </w:r>
      <w:r w:rsidRPr="007B38C6">
        <w:t>TGA</w:t>
      </w:r>
      <w:r w:rsidRPr="007B38C6">
        <w:rPr>
          <w:spacing w:val="-2"/>
        </w:rPr>
        <w:t xml:space="preserve"> </w:t>
      </w:r>
      <w:r w:rsidRPr="007B38C6">
        <w:t>if,</w:t>
      </w:r>
      <w:r w:rsidRPr="007B38C6">
        <w:rPr>
          <w:spacing w:val="-1"/>
        </w:rPr>
        <w:t xml:space="preserve"> </w:t>
      </w:r>
      <w:r w:rsidRPr="007B38C6">
        <w:t>and</w:t>
      </w:r>
      <w:r w:rsidRPr="007B38C6">
        <w:rPr>
          <w:spacing w:val="-1"/>
        </w:rPr>
        <w:t xml:space="preserve"> </w:t>
      </w:r>
      <w:r w:rsidRPr="007B38C6">
        <w:t>when</w:t>
      </w:r>
      <w:r w:rsidRPr="007B38C6">
        <w:rPr>
          <w:spacing w:val="-2"/>
        </w:rPr>
        <w:t xml:space="preserve"> </w:t>
      </w:r>
      <w:r w:rsidRPr="007B38C6">
        <w:t>requested.</w:t>
      </w:r>
    </w:p>
    <w:p w14:paraId="51A481E4" w14:textId="232C5FFF" w:rsidR="003D12BF" w:rsidRPr="007B38C6" w:rsidRDefault="003D12BF" w:rsidP="003D12BF">
      <w:r w:rsidRPr="007B38C6">
        <w:t>The TGA follows the EMA</w:t>
      </w:r>
      <w:r w:rsidR="00905CF6" w:rsidRPr="007B38C6">
        <w:t xml:space="preserve"> </w:t>
      </w:r>
      <w:r w:rsidRPr="007B38C6">
        <w:t>/ CPMP/ ICH guidelines, which provides direction on the design and</w:t>
      </w:r>
      <w:r w:rsidRPr="007B38C6">
        <w:rPr>
          <w:spacing w:val="-46"/>
        </w:rPr>
        <w:t xml:space="preserve"> </w:t>
      </w:r>
      <w:r w:rsidRPr="007B38C6">
        <w:t>conducting</w:t>
      </w:r>
      <w:r w:rsidRPr="007B38C6">
        <w:rPr>
          <w:spacing w:val="-2"/>
        </w:rPr>
        <w:t xml:space="preserve"> </w:t>
      </w:r>
      <w:r w:rsidRPr="007B38C6">
        <w:t>of</w:t>
      </w:r>
      <w:r w:rsidRPr="007B38C6">
        <w:rPr>
          <w:spacing w:val="-3"/>
        </w:rPr>
        <w:t xml:space="preserve"> </w:t>
      </w:r>
      <w:r w:rsidRPr="007B38C6">
        <w:t>stability</w:t>
      </w:r>
      <w:r w:rsidRPr="007B38C6">
        <w:rPr>
          <w:spacing w:val="-2"/>
        </w:rPr>
        <w:t xml:space="preserve"> </w:t>
      </w:r>
      <w:r w:rsidRPr="007B38C6">
        <w:t>studies:</w:t>
      </w:r>
    </w:p>
    <w:p w14:paraId="2F17DF7F" w14:textId="77777777" w:rsidR="003D12BF" w:rsidRPr="007B38C6" w:rsidRDefault="003D12BF" w:rsidP="007B38C6">
      <w:pPr>
        <w:pStyle w:val="ListBullet"/>
      </w:pPr>
      <w:r w:rsidRPr="007B38C6">
        <w:t>ICH Q1A (R2) Stability Testing Guidelines: Stability Testing of New Drug substances and</w:t>
      </w:r>
      <w:r w:rsidRPr="007B38C6">
        <w:rPr>
          <w:spacing w:val="-46"/>
        </w:rPr>
        <w:t xml:space="preserve"> </w:t>
      </w:r>
      <w:r w:rsidRPr="007B38C6">
        <w:t>Products</w:t>
      </w:r>
      <w:r w:rsidRPr="007B38C6">
        <w:rPr>
          <w:spacing w:val="-1"/>
        </w:rPr>
        <w:t xml:space="preserve"> </w:t>
      </w:r>
      <w:r w:rsidRPr="007B38C6">
        <w:t>(CPMP/ICH/2736/99)</w:t>
      </w:r>
    </w:p>
    <w:p w14:paraId="41E5D28B" w14:textId="77777777" w:rsidR="003D12BF" w:rsidRPr="007B38C6" w:rsidRDefault="003D12BF" w:rsidP="007B38C6">
      <w:pPr>
        <w:pStyle w:val="ListBullet"/>
      </w:pPr>
      <w:r w:rsidRPr="007B38C6">
        <w:t>Guideline on Stability Testing: Stability Testing of Existing Active substances and Related</w:t>
      </w:r>
      <w:r w:rsidRPr="007B38C6">
        <w:rPr>
          <w:spacing w:val="-46"/>
        </w:rPr>
        <w:t xml:space="preserve"> </w:t>
      </w:r>
      <w:r w:rsidRPr="007B38C6">
        <w:t>Finished</w:t>
      </w:r>
      <w:r w:rsidRPr="007B38C6">
        <w:rPr>
          <w:spacing w:val="-2"/>
        </w:rPr>
        <w:t xml:space="preserve"> </w:t>
      </w:r>
      <w:r w:rsidRPr="007B38C6">
        <w:t>Products (CPMP/QWP/122/02</w:t>
      </w:r>
      <w:r w:rsidRPr="007B38C6">
        <w:rPr>
          <w:spacing w:val="-1"/>
        </w:rPr>
        <w:t xml:space="preserve"> </w:t>
      </w:r>
      <w:r w:rsidRPr="007B38C6">
        <w:t>Rev</w:t>
      </w:r>
      <w:r w:rsidRPr="007B38C6">
        <w:rPr>
          <w:spacing w:val="-2"/>
        </w:rPr>
        <w:t xml:space="preserve"> </w:t>
      </w:r>
      <w:r w:rsidRPr="007B38C6">
        <w:t>1)</w:t>
      </w:r>
    </w:p>
    <w:p w14:paraId="28CAFC4F" w14:textId="77777777" w:rsidR="003D12BF" w:rsidRPr="007B38C6" w:rsidRDefault="003D12BF" w:rsidP="007B38C6">
      <w:pPr>
        <w:pStyle w:val="ListBullet"/>
      </w:pPr>
      <w:r w:rsidRPr="007B38C6">
        <w:t>ICH</w:t>
      </w:r>
      <w:r w:rsidRPr="007B38C6">
        <w:rPr>
          <w:spacing w:val="-3"/>
        </w:rPr>
        <w:t xml:space="preserve"> </w:t>
      </w:r>
      <w:r w:rsidRPr="007B38C6">
        <w:t>Q1E</w:t>
      </w:r>
      <w:r w:rsidRPr="007B38C6">
        <w:rPr>
          <w:spacing w:val="-3"/>
        </w:rPr>
        <w:t xml:space="preserve"> </w:t>
      </w:r>
      <w:r w:rsidRPr="007B38C6">
        <w:t>Note</w:t>
      </w:r>
      <w:r w:rsidRPr="007B38C6">
        <w:rPr>
          <w:spacing w:val="-2"/>
        </w:rPr>
        <w:t xml:space="preserve"> </w:t>
      </w:r>
      <w:r w:rsidRPr="007B38C6">
        <w:t>for</w:t>
      </w:r>
      <w:r w:rsidRPr="007B38C6">
        <w:rPr>
          <w:spacing w:val="-3"/>
        </w:rPr>
        <w:t xml:space="preserve"> </w:t>
      </w:r>
      <w:r w:rsidRPr="007B38C6">
        <w:t>Guidance</w:t>
      </w:r>
      <w:r w:rsidRPr="007B38C6">
        <w:rPr>
          <w:spacing w:val="-2"/>
        </w:rPr>
        <w:t xml:space="preserve"> </w:t>
      </w:r>
      <w:r w:rsidRPr="007B38C6">
        <w:t>on</w:t>
      </w:r>
      <w:r w:rsidRPr="007B38C6">
        <w:rPr>
          <w:spacing w:val="-3"/>
        </w:rPr>
        <w:t xml:space="preserve"> </w:t>
      </w:r>
      <w:r w:rsidRPr="007B38C6">
        <w:t>Evaluation</w:t>
      </w:r>
      <w:r w:rsidRPr="007B38C6">
        <w:rPr>
          <w:spacing w:val="-2"/>
        </w:rPr>
        <w:t xml:space="preserve"> </w:t>
      </w:r>
      <w:r w:rsidRPr="007B38C6">
        <w:t>of</w:t>
      </w:r>
      <w:r w:rsidRPr="007B38C6">
        <w:rPr>
          <w:spacing w:val="-4"/>
        </w:rPr>
        <w:t xml:space="preserve"> </w:t>
      </w:r>
      <w:r w:rsidRPr="007B38C6">
        <w:t>Stability</w:t>
      </w:r>
      <w:r w:rsidRPr="007B38C6">
        <w:rPr>
          <w:spacing w:val="-3"/>
        </w:rPr>
        <w:t xml:space="preserve"> </w:t>
      </w:r>
      <w:r w:rsidRPr="007B38C6">
        <w:t>Data</w:t>
      </w:r>
      <w:r w:rsidRPr="007B38C6">
        <w:rPr>
          <w:spacing w:val="-2"/>
        </w:rPr>
        <w:t xml:space="preserve"> </w:t>
      </w:r>
      <w:r w:rsidRPr="007B38C6">
        <w:t>(CPMP/ICH/420/02)</w:t>
      </w:r>
    </w:p>
    <w:p w14:paraId="0E3E2610" w14:textId="77777777" w:rsidR="003D12BF" w:rsidRPr="007B38C6" w:rsidRDefault="003D12BF" w:rsidP="007B38C6">
      <w:pPr>
        <w:pStyle w:val="ListBullet"/>
      </w:pPr>
      <w:r w:rsidRPr="007B38C6">
        <w:t>ICH Q1B Photostability Testing of New Drug substances and Medicinal Products</w:t>
      </w:r>
      <w:r w:rsidRPr="007B38C6">
        <w:rPr>
          <w:spacing w:val="-46"/>
        </w:rPr>
        <w:t xml:space="preserve"> </w:t>
      </w:r>
      <w:r w:rsidRPr="007B38C6">
        <w:t>(CPMP/ICH/279/95).</w:t>
      </w:r>
    </w:p>
    <w:p w14:paraId="748473A5" w14:textId="77777777" w:rsidR="00443222" w:rsidRPr="00C11A6D" w:rsidRDefault="00443222" w:rsidP="00443222">
      <w:pPr>
        <w:pStyle w:val="Heading5"/>
      </w:pPr>
      <w:r w:rsidRPr="00C11A6D">
        <w:t>Establishing stability before market approval for listed therapeutic sunscreens</w:t>
      </w:r>
    </w:p>
    <w:p w14:paraId="18557E73" w14:textId="3A9547DD" w:rsidR="00443222" w:rsidRPr="007B38C6" w:rsidRDefault="00443222" w:rsidP="00443222">
      <w:r w:rsidRPr="007B38C6">
        <w:t>The shelf life of a sunscreen product must be established with real-time testing for the whole of the required shelf life or with adequate certainty before it can receive market approval and be included in the ARTG. This can be achieved by:</w:t>
      </w:r>
    </w:p>
    <w:p w14:paraId="22E0BED9" w14:textId="77777777" w:rsidR="00443222" w:rsidRPr="007B38C6" w:rsidRDefault="00443222" w:rsidP="007B38C6">
      <w:pPr>
        <w:pStyle w:val="ListBullet"/>
      </w:pPr>
      <w:r w:rsidRPr="007B38C6">
        <w:t>accelerated testing for 6-9 months at 10°C or 15°C above the stated maximum storage temperature (see Table 6)</w:t>
      </w:r>
    </w:p>
    <w:p w14:paraId="23063FBC" w14:textId="77777777" w:rsidR="00443222" w:rsidRPr="007B38C6" w:rsidRDefault="00443222" w:rsidP="007B38C6">
      <w:pPr>
        <w:pStyle w:val="ListBullet"/>
      </w:pPr>
      <w:r w:rsidRPr="007B38C6">
        <w:t>providing a justification based on supporting stability data generated for a closely related</w:t>
      </w:r>
      <w:r w:rsidRPr="007B38C6">
        <w:rPr>
          <w:spacing w:val="-46"/>
        </w:rPr>
        <w:t xml:space="preserve"> </w:t>
      </w:r>
      <w:r w:rsidRPr="007B38C6">
        <w:t>formulation.</w:t>
      </w:r>
    </w:p>
    <w:p w14:paraId="41C7CBEA" w14:textId="77777777" w:rsidR="00443222" w:rsidRPr="007B38C6" w:rsidRDefault="00443222" w:rsidP="00E171A4">
      <w:pPr>
        <w:pStyle w:val="ListBullet"/>
        <w:numPr>
          <w:ilvl w:val="0"/>
          <w:numId w:val="0"/>
        </w:numPr>
      </w:pPr>
      <w:r w:rsidRPr="007B38C6">
        <w:t>Table 6 shows the shelf-life prediction of a sunscreen product from short-term testing.</w:t>
      </w:r>
    </w:p>
    <w:p w14:paraId="28E6A7D3" w14:textId="77777777" w:rsidR="00443222" w:rsidRPr="00AF1909" w:rsidRDefault="00443222" w:rsidP="00443222">
      <w:pPr>
        <w:pStyle w:val="Tabletitle"/>
      </w:pPr>
      <w:r w:rsidRPr="006A6DF6">
        <w:t xml:space="preserve">Table </w:t>
      </w:r>
      <w:r>
        <w:t>6</w:t>
      </w:r>
      <w:r w:rsidRPr="006A6DF6">
        <w:t xml:space="preserve">. Shelf-life </w:t>
      </w:r>
      <w:r>
        <w:t>p</w:t>
      </w:r>
      <w:r w:rsidRPr="006A6DF6">
        <w:t>rediction from short-term testing</w:t>
      </w:r>
      <w:r w:rsidRPr="00463CAB">
        <w:t xml:space="preserve"> of listed therapeutic sunscreens</w:t>
      </w:r>
      <w:r w:rsidRPr="006A6DF6">
        <w:t xml:space="preserve"> at elevated temperatures</w:t>
      </w:r>
    </w:p>
    <w:tbl>
      <w:tblPr>
        <w:tblStyle w:val="TableTGA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548"/>
        <w:gridCol w:w="3097"/>
        <w:gridCol w:w="2105"/>
      </w:tblGrid>
      <w:tr w:rsidR="007C42CA" w:rsidRPr="007C42CA" w14:paraId="1F8562AC" w14:textId="77777777" w:rsidTr="00F564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shd w:val="clear" w:color="auto" w:fill="E7E6E6" w:themeFill="background2"/>
          </w:tcPr>
          <w:p w14:paraId="2C45916B" w14:textId="77777777" w:rsidR="007060EF" w:rsidRPr="007C42CA" w:rsidRDefault="007060EF" w:rsidP="00420179">
            <w:pPr>
              <w:rPr>
                <w:color w:val="auto"/>
              </w:rPr>
            </w:pPr>
            <w:r w:rsidRPr="007C42CA">
              <w:rPr>
                <w:color w:val="auto"/>
              </w:rPr>
              <w:t>Temperature above labelled storage conditions</w:t>
            </w:r>
          </w:p>
        </w:tc>
        <w:tc>
          <w:tcPr>
            <w:tcW w:w="1548" w:type="dxa"/>
            <w:shd w:val="clear" w:color="auto" w:fill="E7E6E6" w:themeFill="background2"/>
          </w:tcPr>
          <w:p w14:paraId="03E892DC" w14:textId="77777777" w:rsidR="007060EF" w:rsidRPr="007C42CA" w:rsidRDefault="007060EF" w:rsidP="00420179">
            <w:pPr>
              <w:cnfStyle w:val="100000000000" w:firstRow="1" w:lastRow="0" w:firstColumn="0" w:lastColumn="0" w:oddVBand="0" w:evenVBand="0" w:oddHBand="0" w:evenHBand="0" w:firstRowFirstColumn="0" w:firstRowLastColumn="0" w:lastRowFirstColumn="0" w:lastRowLastColumn="0"/>
              <w:rPr>
                <w:color w:val="auto"/>
              </w:rPr>
            </w:pPr>
            <w:r w:rsidRPr="007C42CA">
              <w:rPr>
                <w:color w:val="auto"/>
              </w:rPr>
              <w:t>Time period</w:t>
            </w:r>
          </w:p>
        </w:tc>
        <w:tc>
          <w:tcPr>
            <w:tcW w:w="3097" w:type="dxa"/>
            <w:shd w:val="clear" w:color="auto" w:fill="E7E6E6" w:themeFill="background2"/>
          </w:tcPr>
          <w:p w14:paraId="0C56C55C" w14:textId="77777777" w:rsidR="007060EF" w:rsidRPr="007C42CA" w:rsidRDefault="007060EF" w:rsidP="00420179">
            <w:pPr>
              <w:cnfStyle w:val="100000000000" w:firstRow="1" w:lastRow="0" w:firstColumn="0" w:lastColumn="0" w:oddVBand="0" w:evenVBand="0" w:oddHBand="0" w:evenHBand="0" w:firstRowFirstColumn="0" w:firstRowLastColumn="0" w:lastRowFirstColumn="0" w:lastRowLastColumn="0"/>
              <w:rPr>
                <w:color w:val="auto"/>
              </w:rPr>
            </w:pPr>
            <w:r w:rsidRPr="007C42CA">
              <w:rPr>
                <w:color w:val="auto"/>
              </w:rPr>
              <w:t>Test time points (months)</w:t>
            </w:r>
          </w:p>
        </w:tc>
        <w:tc>
          <w:tcPr>
            <w:tcW w:w="2105" w:type="dxa"/>
            <w:shd w:val="clear" w:color="auto" w:fill="E7E6E6" w:themeFill="background2"/>
          </w:tcPr>
          <w:p w14:paraId="77DE202D" w14:textId="1AF8C069" w:rsidR="007060EF" w:rsidRPr="007C42CA" w:rsidRDefault="007060EF" w:rsidP="00420179">
            <w:pPr>
              <w:cnfStyle w:val="100000000000" w:firstRow="1" w:lastRow="0" w:firstColumn="0" w:lastColumn="0" w:oddVBand="0" w:evenVBand="0" w:oddHBand="0" w:evenHBand="0" w:firstRowFirstColumn="0" w:firstRowLastColumn="0" w:lastRowFirstColumn="0" w:lastRowLastColumn="0"/>
              <w:rPr>
                <w:color w:val="auto"/>
              </w:rPr>
            </w:pPr>
            <w:r w:rsidRPr="007C42CA">
              <w:rPr>
                <w:color w:val="auto"/>
              </w:rPr>
              <w:t xml:space="preserve">Possible </w:t>
            </w:r>
            <w:r w:rsidR="00540848" w:rsidRPr="007C42CA">
              <w:rPr>
                <w:color w:val="auto"/>
              </w:rPr>
              <w:t>shelf-life</w:t>
            </w:r>
            <w:r w:rsidRPr="007C42CA">
              <w:rPr>
                <w:color w:val="auto"/>
              </w:rPr>
              <w:t xml:space="preserve"> prediction </w:t>
            </w:r>
          </w:p>
        </w:tc>
      </w:tr>
      <w:tr w:rsidR="007060EF" w14:paraId="29541822" w14:textId="77777777" w:rsidTr="00F5642D">
        <w:tc>
          <w:tcPr>
            <w:cnfStyle w:val="001000000000" w:firstRow="0" w:lastRow="0" w:firstColumn="1" w:lastColumn="0" w:oddVBand="0" w:evenVBand="0" w:oddHBand="0" w:evenHBand="0" w:firstRowFirstColumn="0" w:firstRowLastColumn="0" w:lastRowFirstColumn="0" w:lastRowLastColumn="0"/>
            <w:tcW w:w="2256" w:type="dxa"/>
          </w:tcPr>
          <w:p w14:paraId="5B2731EE" w14:textId="77777777" w:rsidR="007060EF" w:rsidRPr="007B38C6" w:rsidRDefault="007060EF" w:rsidP="00420179">
            <w:pPr>
              <w:rPr>
                <w:color w:val="auto"/>
              </w:rPr>
            </w:pPr>
            <w:r w:rsidRPr="007B38C6">
              <w:rPr>
                <w:color w:val="auto"/>
              </w:rPr>
              <w:t>+10°C</w:t>
            </w:r>
          </w:p>
        </w:tc>
        <w:tc>
          <w:tcPr>
            <w:tcW w:w="1548" w:type="dxa"/>
          </w:tcPr>
          <w:p w14:paraId="09B36250" w14:textId="77777777" w:rsidR="007060EF" w:rsidRPr="007B38C6" w:rsidRDefault="007060EF" w:rsidP="00420179">
            <w:pPr>
              <w:cnfStyle w:val="000000000000" w:firstRow="0" w:lastRow="0" w:firstColumn="0" w:lastColumn="0" w:oddVBand="0" w:evenVBand="0" w:oddHBand="0" w:evenHBand="0" w:firstRowFirstColumn="0" w:firstRowLastColumn="0" w:lastRowFirstColumn="0" w:lastRowLastColumn="0"/>
              <w:rPr>
                <w:color w:val="auto"/>
              </w:rPr>
            </w:pPr>
            <w:r w:rsidRPr="007B38C6">
              <w:rPr>
                <w:color w:val="auto"/>
              </w:rPr>
              <w:t>6 months</w:t>
            </w:r>
          </w:p>
        </w:tc>
        <w:tc>
          <w:tcPr>
            <w:tcW w:w="3097" w:type="dxa"/>
          </w:tcPr>
          <w:p w14:paraId="41CF4B4A" w14:textId="77777777" w:rsidR="007060EF" w:rsidRPr="007B38C6" w:rsidRDefault="007060EF" w:rsidP="00420179">
            <w:pPr>
              <w:cnfStyle w:val="000000000000" w:firstRow="0" w:lastRow="0" w:firstColumn="0" w:lastColumn="0" w:oddVBand="0" w:evenVBand="0" w:oddHBand="0" w:evenHBand="0" w:firstRowFirstColumn="0" w:firstRowLastColumn="0" w:lastRowFirstColumn="0" w:lastRowLastColumn="0"/>
              <w:rPr>
                <w:color w:val="auto"/>
              </w:rPr>
            </w:pPr>
            <w:r w:rsidRPr="007B38C6">
              <w:rPr>
                <w:color w:val="auto"/>
              </w:rPr>
              <w:t xml:space="preserve">0, (1 or 2), (3 or 4), 6 </w:t>
            </w:r>
          </w:p>
        </w:tc>
        <w:tc>
          <w:tcPr>
            <w:tcW w:w="2105" w:type="dxa"/>
          </w:tcPr>
          <w:p w14:paraId="48882083" w14:textId="77777777" w:rsidR="007060EF" w:rsidRPr="007B38C6" w:rsidRDefault="007060EF" w:rsidP="00420179">
            <w:pPr>
              <w:cnfStyle w:val="000000000000" w:firstRow="0" w:lastRow="0" w:firstColumn="0" w:lastColumn="0" w:oddVBand="0" w:evenVBand="0" w:oddHBand="0" w:evenHBand="0" w:firstRowFirstColumn="0" w:firstRowLastColumn="0" w:lastRowFirstColumn="0" w:lastRowLastColumn="0"/>
              <w:rPr>
                <w:color w:val="auto"/>
              </w:rPr>
            </w:pPr>
            <w:r w:rsidRPr="007B38C6">
              <w:rPr>
                <w:color w:val="auto"/>
              </w:rPr>
              <w:t>2 years</w:t>
            </w:r>
          </w:p>
        </w:tc>
      </w:tr>
      <w:tr w:rsidR="007060EF" w14:paraId="058EA1F6" w14:textId="77777777" w:rsidTr="00F5642D">
        <w:tc>
          <w:tcPr>
            <w:cnfStyle w:val="001000000000" w:firstRow="0" w:lastRow="0" w:firstColumn="1" w:lastColumn="0" w:oddVBand="0" w:evenVBand="0" w:oddHBand="0" w:evenHBand="0" w:firstRowFirstColumn="0" w:firstRowLastColumn="0" w:lastRowFirstColumn="0" w:lastRowLastColumn="0"/>
            <w:tcW w:w="2256" w:type="dxa"/>
          </w:tcPr>
          <w:p w14:paraId="1A2EA253" w14:textId="77777777" w:rsidR="007060EF" w:rsidRPr="007B38C6" w:rsidRDefault="007060EF" w:rsidP="00420179">
            <w:pPr>
              <w:rPr>
                <w:color w:val="auto"/>
              </w:rPr>
            </w:pPr>
            <w:r w:rsidRPr="007B38C6">
              <w:rPr>
                <w:color w:val="auto"/>
              </w:rPr>
              <w:t>+10°C</w:t>
            </w:r>
          </w:p>
        </w:tc>
        <w:tc>
          <w:tcPr>
            <w:tcW w:w="1548" w:type="dxa"/>
          </w:tcPr>
          <w:p w14:paraId="0A16190E" w14:textId="77777777" w:rsidR="007060EF" w:rsidRPr="007B38C6" w:rsidRDefault="007060EF" w:rsidP="00420179">
            <w:pPr>
              <w:cnfStyle w:val="000000000000" w:firstRow="0" w:lastRow="0" w:firstColumn="0" w:lastColumn="0" w:oddVBand="0" w:evenVBand="0" w:oddHBand="0" w:evenHBand="0" w:firstRowFirstColumn="0" w:firstRowLastColumn="0" w:lastRowFirstColumn="0" w:lastRowLastColumn="0"/>
              <w:rPr>
                <w:color w:val="auto"/>
              </w:rPr>
            </w:pPr>
            <w:r w:rsidRPr="007B38C6">
              <w:rPr>
                <w:color w:val="auto"/>
              </w:rPr>
              <w:t>9 months</w:t>
            </w:r>
          </w:p>
        </w:tc>
        <w:tc>
          <w:tcPr>
            <w:tcW w:w="3097" w:type="dxa"/>
          </w:tcPr>
          <w:p w14:paraId="0CCBEBD5" w14:textId="77777777" w:rsidR="007060EF" w:rsidRPr="007B38C6" w:rsidRDefault="007060EF" w:rsidP="00420179">
            <w:pPr>
              <w:cnfStyle w:val="000000000000" w:firstRow="0" w:lastRow="0" w:firstColumn="0" w:lastColumn="0" w:oddVBand="0" w:evenVBand="0" w:oddHBand="0" w:evenHBand="0" w:firstRowFirstColumn="0" w:firstRowLastColumn="0" w:lastRowFirstColumn="0" w:lastRowLastColumn="0"/>
              <w:rPr>
                <w:color w:val="auto"/>
              </w:rPr>
            </w:pPr>
            <w:r w:rsidRPr="007B38C6">
              <w:rPr>
                <w:color w:val="auto"/>
              </w:rPr>
              <w:t xml:space="preserve">0, (1 or 2), (3 or 4), (5 or 6), 9 </w:t>
            </w:r>
          </w:p>
        </w:tc>
        <w:tc>
          <w:tcPr>
            <w:tcW w:w="2105" w:type="dxa"/>
          </w:tcPr>
          <w:p w14:paraId="0622F145" w14:textId="77777777" w:rsidR="007060EF" w:rsidRPr="007B38C6" w:rsidRDefault="007060EF" w:rsidP="00420179">
            <w:pPr>
              <w:cnfStyle w:val="000000000000" w:firstRow="0" w:lastRow="0" w:firstColumn="0" w:lastColumn="0" w:oddVBand="0" w:evenVBand="0" w:oddHBand="0" w:evenHBand="0" w:firstRowFirstColumn="0" w:firstRowLastColumn="0" w:lastRowFirstColumn="0" w:lastRowLastColumn="0"/>
              <w:rPr>
                <w:color w:val="auto"/>
              </w:rPr>
            </w:pPr>
            <w:r w:rsidRPr="007B38C6">
              <w:rPr>
                <w:color w:val="auto"/>
              </w:rPr>
              <w:t>3 years</w:t>
            </w:r>
          </w:p>
        </w:tc>
      </w:tr>
      <w:tr w:rsidR="007060EF" w14:paraId="54A8A8AF" w14:textId="77777777" w:rsidTr="00F5642D">
        <w:tc>
          <w:tcPr>
            <w:cnfStyle w:val="001000000000" w:firstRow="0" w:lastRow="0" w:firstColumn="1" w:lastColumn="0" w:oddVBand="0" w:evenVBand="0" w:oddHBand="0" w:evenHBand="0" w:firstRowFirstColumn="0" w:firstRowLastColumn="0" w:lastRowFirstColumn="0" w:lastRowLastColumn="0"/>
            <w:tcW w:w="2256" w:type="dxa"/>
          </w:tcPr>
          <w:p w14:paraId="4BE80F31" w14:textId="77777777" w:rsidR="007060EF" w:rsidRPr="007B38C6" w:rsidRDefault="007060EF" w:rsidP="00420179">
            <w:pPr>
              <w:rPr>
                <w:color w:val="auto"/>
              </w:rPr>
            </w:pPr>
            <w:r w:rsidRPr="007B38C6">
              <w:rPr>
                <w:color w:val="auto"/>
              </w:rPr>
              <w:t>+15°C</w:t>
            </w:r>
          </w:p>
        </w:tc>
        <w:tc>
          <w:tcPr>
            <w:tcW w:w="1548" w:type="dxa"/>
          </w:tcPr>
          <w:p w14:paraId="209BA6D1" w14:textId="77777777" w:rsidR="007060EF" w:rsidRPr="007B38C6" w:rsidRDefault="007060EF" w:rsidP="00420179">
            <w:pPr>
              <w:cnfStyle w:val="000000000000" w:firstRow="0" w:lastRow="0" w:firstColumn="0" w:lastColumn="0" w:oddVBand="0" w:evenVBand="0" w:oddHBand="0" w:evenHBand="0" w:firstRowFirstColumn="0" w:firstRowLastColumn="0" w:lastRowFirstColumn="0" w:lastRowLastColumn="0"/>
              <w:rPr>
                <w:color w:val="auto"/>
              </w:rPr>
            </w:pPr>
            <w:r w:rsidRPr="007B38C6">
              <w:rPr>
                <w:color w:val="auto"/>
              </w:rPr>
              <w:t>6 months</w:t>
            </w:r>
          </w:p>
        </w:tc>
        <w:tc>
          <w:tcPr>
            <w:tcW w:w="3097" w:type="dxa"/>
          </w:tcPr>
          <w:p w14:paraId="0E5B5581" w14:textId="77777777" w:rsidR="007060EF" w:rsidRPr="007B38C6" w:rsidRDefault="007060EF" w:rsidP="00420179">
            <w:pPr>
              <w:cnfStyle w:val="000000000000" w:firstRow="0" w:lastRow="0" w:firstColumn="0" w:lastColumn="0" w:oddVBand="0" w:evenVBand="0" w:oddHBand="0" w:evenHBand="0" w:firstRowFirstColumn="0" w:firstRowLastColumn="0" w:lastRowFirstColumn="0" w:lastRowLastColumn="0"/>
              <w:rPr>
                <w:color w:val="auto"/>
              </w:rPr>
            </w:pPr>
            <w:r w:rsidRPr="007B38C6">
              <w:rPr>
                <w:color w:val="auto"/>
              </w:rPr>
              <w:t xml:space="preserve">0, (1 or 2), (3 or 4), 6 </w:t>
            </w:r>
          </w:p>
        </w:tc>
        <w:tc>
          <w:tcPr>
            <w:tcW w:w="2105" w:type="dxa"/>
          </w:tcPr>
          <w:p w14:paraId="60EBE478" w14:textId="77777777" w:rsidR="007060EF" w:rsidRPr="007B38C6" w:rsidRDefault="007060EF" w:rsidP="00420179">
            <w:pPr>
              <w:cnfStyle w:val="000000000000" w:firstRow="0" w:lastRow="0" w:firstColumn="0" w:lastColumn="0" w:oddVBand="0" w:evenVBand="0" w:oddHBand="0" w:evenHBand="0" w:firstRowFirstColumn="0" w:firstRowLastColumn="0" w:lastRowFirstColumn="0" w:lastRowLastColumn="0"/>
              <w:rPr>
                <w:color w:val="auto"/>
              </w:rPr>
            </w:pPr>
            <w:r w:rsidRPr="007B38C6">
              <w:rPr>
                <w:color w:val="auto"/>
              </w:rPr>
              <w:t>3 years</w:t>
            </w:r>
          </w:p>
        </w:tc>
      </w:tr>
    </w:tbl>
    <w:p w14:paraId="67CD3793" w14:textId="77777777" w:rsidR="009F117C" w:rsidRPr="007B38C6" w:rsidRDefault="009F117C" w:rsidP="00E171A4">
      <w:pPr>
        <w:pStyle w:val="ListBullet"/>
        <w:numPr>
          <w:ilvl w:val="0"/>
          <w:numId w:val="0"/>
        </w:numPr>
      </w:pPr>
      <w:r w:rsidRPr="007B38C6">
        <w:t>Stability testing should be carried out using at least two batches of the formulation intended for marketing that have been manufactured in a manner that closely mirrors the production-scale manufacturing process.</w:t>
      </w:r>
    </w:p>
    <w:p w14:paraId="46DA02D4" w14:textId="77777777" w:rsidR="009F117C" w:rsidRPr="007B38C6" w:rsidRDefault="009F117C" w:rsidP="0073748E">
      <w:pPr>
        <w:pStyle w:val="ListBullet"/>
        <w:numPr>
          <w:ilvl w:val="0"/>
          <w:numId w:val="14"/>
        </w:numPr>
      </w:pPr>
      <w:r w:rsidRPr="007B38C6">
        <w:t xml:space="preserve">The batches tested in stability studies may be </w:t>
      </w:r>
      <w:proofErr w:type="gramStart"/>
      <w:r w:rsidRPr="007B38C6">
        <w:t>pilot-scale</w:t>
      </w:r>
      <w:proofErr w:type="gramEnd"/>
      <w:r w:rsidRPr="007B38C6">
        <w:t xml:space="preserve">. </w:t>
      </w:r>
    </w:p>
    <w:p w14:paraId="3906834C" w14:textId="2BD1702E" w:rsidR="006266F4" w:rsidRPr="007B38C6" w:rsidRDefault="009F117C" w:rsidP="0073748E">
      <w:pPr>
        <w:pStyle w:val="ListBullet"/>
        <w:numPr>
          <w:ilvl w:val="0"/>
          <w:numId w:val="14"/>
        </w:numPr>
      </w:pPr>
      <w:r w:rsidRPr="007B38C6">
        <w:t xml:space="preserve">Pilot-scale batches should be manufactured in a manner sufficiently </w:t>
      </w:r>
      <w:proofErr w:type="gramStart"/>
      <w:r w:rsidRPr="007B38C6">
        <w:t>similar to</w:t>
      </w:r>
      <w:proofErr w:type="gramEnd"/>
      <w:r w:rsidRPr="007B38C6">
        <w:t xml:space="preserve"> that of commercial production-scale batches to ensure that they adequately reflect the properties of the product intended for the market.</w:t>
      </w:r>
    </w:p>
    <w:p w14:paraId="276F360A" w14:textId="3229FCC4" w:rsidR="00C31794" w:rsidRDefault="00C31794" w:rsidP="006A22F8">
      <w:pPr>
        <w:pStyle w:val="Calloutforkeyinformation"/>
        <w:tabs>
          <w:tab w:val="left" w:pos="1421"/>
        </w:tabs>
      </w:pPr>
      <w:r w:rsidRPr="00C31794">
        <w:rPr>
          <w:b/>
          <w:bCs w:val="0"/>
        </w:rPr>
        <w:t>Note</w:t>
      </w:r>
      <w:r w:rsidR="006A22F8">
        <w:rPr>
          <w:b/>
          <w:bCs w:val="0"/>
        </w:rPr>
        <w:tab/>
      </w:r>
    </w:p>
    <w:p w14:paraId="0756BEB2" w14:textId="7E51E947" w:rsidR="00A0020B" w:rsidRPr="007B38C6" w:rsidRDefault="00A0020B" w:rsidP="00A0020B">
      <w:pPr>
        <w:pStyle w:val="Calloutforkeyinformation"/>
      </w:pPr>
      <w:r w:rsidRPr="007B38C6">
        <w:t>A formulation that is very similar, but not identical, to that intended for</w:t>
      </w:r>
      <w:r w:rsidRPr="007B38C6">
        <w:rPr>
          <w:spacing w:val="-46"/>
        </w:rPr>
        <w:t xml:space="preserve"> </w:t>
      </w:r>
      <w:r w:rsidRPr="007B38C6">
        <w:t>marketing</w:t>
      </w:r>
      <w:r w:rsidRPr="007B38C6">
        <w:rPr>
          <w:spacing w:val="-3"/>
        </w:rPr>
        <w:t xml:space="preserve"> </w:t>
      </w:r>
      <w:r w:rsidRPr="007B38C6">
        <w:t>may</w:t>
      </w:r>
      <w:r w:rsidRPr="007B38C6">
        <w:rPr>
          <w:spacing w:val="-2"/>
        </w:rPr>
        <w:t xml:space="preserve"> </w:t>
      </w:r>
      <w:r w:rsidRPr="007B38C6">
        <w:t>be</w:t>
      </w:r>
      <w:r w:rsidRPr="007B38C6">
        <w:rPr>
          <w:spacing w:val="-2"/>
        </w:rPr>
        <w:t xml:space="preserve"> </w:t>
      </w:r>
      <w:r w:rsidRPr="007B38C6">
        <w:t>used</w:t>
      </w:r>
      <w:r w:rsidRPr="007B38C6">
        <w:rPr>
          <w:spacing w:val="-1"/>
        </w:rPr>
        <w:t xml:space="preserve"> </w:t>
      </w:r>
      <w:r w:rsidRPr="007B38C6">
        <w:t>provided</w:t>
      </w:r>
      <w:r w:rsidRPr="007B38C6">
        <w:rPr>
          <w:spacing w:val="-1"/>
        </w:rPr>
        <w:t xml:space="preserve"> </w:t>
      </w:r>
      <w:r w:rsidRPr="007B38C6">
        <w:t>any</w:t>
      </w:r>
      <w:r w:rsidRPr="007B38C6">
        <w:rPr>
          <w:spacing w:val="-2"/>
        </w:rPr>
        <w:t xml:space="preserve"> </w:t>
      </w:r>
      <w:r w:rsidRPr="007B38C6">
        <w:t>differences</w:t>
      </w:r>
      <w:r w:rsidRPr="007B38C6">
        <w:rPr>
          <w:spacing w:val="1"/>
        </w:rPr>
        <w:t xml:space="preserve"> </w:t>
      </w:r>
      <w:r w:rsidRPr="007B38C6">
        <w:t>are:</w:t>
      </w:r>
    </w:p>
    <w:p w14:paraId="25DE7894" w14:textId="77777777" w:rsidR="00A0020B" w:rsidRPr="007B38C6" w:rsidRDefault="00A0020B" w:rsidP="0073748E">
      <w:pPr>
        <w:pStyle w:val="Calloutforkeyinformation"/>
        <w:numPr>
          <w:ilvl w:val="0"/>
          <w:numId w:val="22"/>
        </w:numPr>
      </w:pPr>
      <w:r w:rsidRPr="007B38C6">
        <w:lastRenderedPageBreak/>
        <w:t>very</w:t>
      </w:r>
      <w:r w:rsidRPr="007B38C6">
        <w:rPr>
          <w:spacing w:val="-1"/>
        </w:rPr>
        <w:t xml:space="preserve"> </w:t>
      </w:r>
      <w:r w:rsidRPr="007B38C6">
        <w:t>minor</w:t>
      </w:r>
    </w:p>
    <w:p w14:paraId="11E23308" w14:textId="77777777" w:rsidR="00A0020B" w:rsidRPr="007B38C6" w:rsidRDefault="00A0020B" w:rsidP="0073748E">
      <w:pPr>
        <w:pStyle w:val="Calloutforkeyinformation"/>
        <w:numPr>
          <w:ilvl w:val="0"/>
          <w:numId w:val="22"/>
        </w:numPr>
      </w:pPr>
      <w:r w:rsidRPr="007B38C6">
        <w:t>unlikely to affect the physical, chemical or microbiological stability of the</w:t>
      </w:r>
      <w:r w:rsidRPr="007B38C6">
        <w:rPr>
          <w:spacing w:val="-46"/>
        </w:rPr>
        <w:t xml:space="preserve"> </w:t>
      </w:r>
      <w:r w:rsidRPr="007B38C6">
        <w:t>product, and</w:t>
      </w:r>
    </w:p>
    <w:p w14:paraId="49B2FBB2" w14:textId="45C4B511" w:rsidR="007060EF" w:rsidRPr="007B38C6" w:rsidRDefault="00A0020B" w:rsidP="0073748E">
      <w:pPr>
        <w:pStyle w:val="Calloutforkeyinformation"/>
        <w:numPr>
          <w:ilvl w:val="0"/>
          <w:numId w:val="22"/>
        </w:numPr>
      </w:pPr>
      <w:r w:rsidRPr="007B38C6">
        <w:t>unlikely</w:t>
      </w:r>
      <w:r w:rsidRPr="007B38C6">
        <w:rPr>
          <w:spacing w:val="-4"/>
        </w:rPr>
        <w:t xml:space="preserve"> </w:t>
      </w:r>
      <w:r w:rsidRPr="007B38C6">
        <w:t>to</w:t>
      </w:r>
      <w:r w:rsidRPr="007B38C6">
        <w:rPr>
          <w:spacing w:val="-2"/>
        </w:rPr>
        <w:t xml:space="preserve"> </w:t>
      </w:r>
      <w:r w:rsidRPr="007B38C6">
        <w:t>affect</w:t>
      </w:r>
      <w:r w:rsidRPr="007B38C6">
        <w:rPr>
          <w:spacing w:val="-2"/>
        </w:rPr>
        <w:t xml:space="preserve"> </w:t>
      </w:r>
      <w:r w:rsidRPr="007B38C6">
        <w:t>the</w:t>
      </w:r>
      <w:r w:rsidRPr="007B38C6">
        <w:rPr>
          <w:spacing w:val="-2"/>
        </w:rPr>
        <w:t xml:space="preserve"> </w:t>
      </w:r>
      <w:r w:rsidRPr="007B38C6">
        <w:t>in-use</w:t>
      </w:r>
      <w:r w:rsidRPr="007B38C6">
        <w:rPr>
          <w:spacing w:val="-2"/>
        </w:rPr>
        <w:t xml:space="preserve"> </w:t>
      </w:r>
      <w:r w:rsidRPr="007B38C6">
        <w:t>performance</w:t>
      </w:r>
      <w:r w:rsidRPr="007B38C6">
        <w:rPr>
          <w:spacing w:val="-3"/>
        </w:rPr>
        <w:t xml:space="preserve"> </w:t>
      </w:r>
      <w:r w:rsidRPr="007B38C6">
        <w:t>of</w:t>
      </w:r>
      <w:r w:rsidRPr="007B38C6">
        <w:rPr>
          <w:spacing w:val="-2"/>
        </w:rPr>
        <w:t xml:space="preserve"> </w:t>
      </w:r>
      <w:r w:rsidRPr="007B38C6">
        <w:t>the</w:t>
      </w:r>
      <w:r w:rsidRPr="007B38C6">
        <w:rPr>
          <w:spacing w:val="-2"/>
        </w:rPr>
        <w:t xml:space="preserve"> </w:t>
      </w:r>
      <w:r w:rsidRPr="007B38C6">
        <w:t>product.</w:t>
      </w:r>
    </w:p>
    <w:p w14:paraId="54C8FEC1" w14:textId="77777777" w:rsidR="00974178" w:rsidRPr="00C11A6D" w:rsidRDefault="00974178" w:rsidP="00974178">
      <w:pPr>
        <w:pStyle w:val="Heading6"/>
      </w:pPr>
      <w:r w:rsidRPr="00C11A6D">
        <w:t>Confirming</w:t>
      </w:r>
      <w:r w:rsidRPr="00C11A6D">
        <w:rPr>
          <w:spacing w:val="-5"/>
        </w:rPr>
        <w:t xml:space="preserve"> </w:t>
      </w:r>
      <w:r w:rsidRPr="00C11A6D">
        <w:t>stability</w:t>
      </w:r>
      <w:r w:rsidRPr="00C11A6D">
        <w:rPr>
          <w:spacing w:val="-5"/>
        </w:rPr>
        <w:t xml:space="preserve"> </w:t>
      </w:r>
      <w:r w:rsidRPr="00C11A6D">
        <w:t>and</w:t>
      </w:r>
      <w:r w:rsidRPr="00C11A6D">
        <w:rPr>
          <w:spacing w:val="-4"/>
        </w:rPr>
        <w:t xml:space="preserve"> </w:t>
      </w:r>
      <w:r w:rsidRPr="00C11A6D">
        <w:t>shelf</w:t>
      </w:r>
      <w:r w:rsidRPr="00C11A6D">
        <w:rPr>
          <w:spacing w:val="-5"/>
        </w:rPr>
        <w:t xml:space="preserve"> </w:t>
      </w:r>
      <w:r w:rsidRPr="00C11A6D">
        <w:t>life</w:t>
      </w:r>
      <w:r w:rsidRPr="00C11A6D">
        <w:rPr>
          <w:spacing w:val="-4"/>
        </w:rPr>
        <w:t xml:space="preserve"> </w:t>
      </w:r>
      <w:r w:rsidRPr="00C11A6D">
        <w:t>for</w:t>
      </w:r>
      <w:r w:rsidRPr="00C11A6D">
        <w:rPr>
          <w:spacing w:val="-4"/>
        </w:rPr>
        <w:t xml:space="preserve"> </w:t>
      </w:r>
      <w:r w:rsidRPr="00C11A6D">
        <w:t>listed</w:t>
      </w:r>
      <w:r w:rsidRPr="00C11A6D">
        <w:rPr>
          <w:spacing w:val="-3"/>
        </w:rPr>
        <w:t xml:space="preserve"> </w:t>
      </w:r>
      <w:r w:rsidRPr="00C11A6D">
        <w:t>therapeutic</w:t>
      </w:r>
      <w:r w:rsidRPr="00C11A6D">
        <w:rPr>
          <w:spacing w:val="-3"/>
        </w:rPr>
        <w:t xml:space="preserve"> </w:t>
      </w:r>
      <w:r w:rsidRPr="00C11A6D">
        <w:t>sunscreens</w:t>
      </w:r>
    </w:p>
    <w:p w14:paraId="3DE206EF" w14:textId="77777777" w:rsidR="00974178" w:rsidRPr="007B38C6" w:rsidRDefault="00974178" w:rsidP="00974178">
      <w:r w:rsidRPr="007B38C6">
        <w:t>If the shelf life assigned at the time of listing in the ARTG is based on data generated using pilot-</w:t>
      </w:r>
      <w:r w:rsidRPr="007B38C6">
        <w:rPr>
          <w:spacing w:val="-46"/>
        </w:rPr>
        <w:t xml:space="preserve"> </w:t>
      </w:r>
      <w:r w:rsidRPr="007B38C6">
        <w:t>scale</w:t>
      </w:r>
      <w:r w:rsidRPr="007B38C6">
        <w:rPr>
          <w:spacing w:val="-2"/>
        </w:rPr>
        <w:t xml:space="preserve"> </w:t>
      </w:r>
      <w:r w:rsidRPr="007B38C6">
        <w:t>batches and</w:t>
      </w:r>
      <w:r w:rsidRPr="007B38C6">
        <w:rPr>
          <w:spacing w:val="-1"/>
        </w:rPr>
        <w:t xml:space="preserve"> </w:t>
      </w:r>
      <w:r w:rsidRPr="007B38C6">
        <w:t>accelerated</w:t>
      </w:r>
      <w:r w:rsidRPr="007B38C6">
        <w:rPr>
          <w:spacing w:val="-1"/>
        </w:rPr>
        <w:t xml:space="preserve"> </w:t>
      </w:r>
      <w:r w:rsidRPr="007B38C6">
        <w:t>studies, the</w:t>
      </w:r>
      <w:r w:rsidRPr="007B38C6">
        <w:rPr>
          <w:spacing w:val="-1"/>
        </w:rPr>
        <w:t xml:space="preserve"> </w:t>
      </w:r>
      <w:r w:rsidRPr="007B38C6">
        <w:t>sponsor</w:t>
      </w:r>
      <w:r w:rsidRPr="007B38C6">
        <w:rPr>
          <w:spacing w:val="-3"/>
        </w:rPr>
        <w:t xml:space="preserve"> </w:t>
      </w:r>
      <w:r w:rsidRPr="007B38C6">
        <w:t>will</w:t>
      </w:r>
      <w:r w:rsidRPr="007B38C6">
        <w:rPr>
          <w:spacing w:val="-1"/>
        </w:rPr>
        <w:t xml:space="preserve"> </w:t>
      </w:r>
      <w:r w:rsidRPr="007B38C6">
        <w:t>need</w:t>
      </w:r>
      <w:r w:rsidRPr="007B38C6">
        <w:rPr>
          <w:spacing w:val="-2"/>
        </w:rPr>
        <w:t xml:space="preserve"> </w:t>
      </w:r>
      <w:r w:rsidRPr="007B38C6">
        <w:t>to:</w:t>
      </w:r>
    </w:p>
    <w:p w14:paraId="2330C9FB" w14:textId="232B34AB" w:rsidR="00974178" w:rsidRPr="007B38C6" w:rsidRDefault="00974178" w:rsidP="007B38C6">
      <w:pPr>
        <w:pStyle w:val="ListBullet"/>
      </w:pPr>
      <w:r w:rsidRPr="007B38C6">
        <w:t>confirm the shelf life using real-time studies that encompass the whole of that shelf life using at least two production-scale batches stored at the maximum recommended storage</w:t>
      </w:r>
      <w:r w:rsidRPr="007B38C6">
        <w:rPr>
          <w:spacing w:val="1"/>
        </w:rPr>
        <w:t xml:space="preserve"> </w:t>
      </w:r>
      <w:r w:rsidRPr="007B38C6">
        <w:t>temperature</w:t>
      </w:r>
    </w:p>
    <w:p w14:paraId="21C15CC8" w14:textId="3B54115F" w:rsidR="00974178" w:rsidRPr="007B38C6" w:rsidRDefault="00974178" w:rsidP="007B38C6">
      <w:pPr>
        <w:pStyle w:val="ListBullet"/>
      </w:pPr>
      <w:r w:rsidRPr="007B38C6">
        <w:t>test the production-scale batches initially at manufacture and then annually until the end of</w:t>
      </w:r>
      <w:r w:rsidRPr="007B38C6">
        <w:rPr>
          <w:spacing w:val="-46"/>
        </w:rPr>
        <w:t xml:space="preserve"> </w:t>
      </w:r>
      <w:r w:rsidRPr="007B38C6">
        <w:t>the</w:t>
      </w:r>
      <w:r w:rsidRPr="007B38C6">
        <w:rPr>
          <w:spacing w:val="-1"/>
        </w:rPr>
        <w:t xml:space="preserve"> </w:t>
      </w:r>
      <w:r w:rsidRPr="007B38C6">
        <w:t>shelf</w:t>
      </w:r>
      <w:r w:rsidRPr="007B38C6">
        <w:rPr>
          <w:spacing w:val="-2"/>
        </w:rPr>
        <w:t xml:space="preserve"> </w:t>
      </w:r>
      <w:r w:rsidRPr="007B38C6">
        <w:t>life.</w:t>
      </w:r>
    </w:p>
    <w:p w14:paraId="4A472DD9" w14:textId="77777777" w:rsidR="001F115E" w:rsidRPr="00C11A6D" w:rsidRDefault="001F115E" w:rsidP="001F115E">
      <w:pPr>
        <w:pStyle w:val="Heading6"/>
      </w:pPr>
      <w:r w:rsidRPr="00C11A6D">
        <w:t>Stability</w:t>
      </w:r>
      <w:r w:rsidRPr="00C11A6D">
        <w:rPr>
          <w:spacing w:val="-7"/>
        </w:rPr>
        <w:t xml:space="preserve"> </w:t>
      </w:r>
      <w:r w:rsidRPr="00C11A6D">
        <w:t>protocol</w:t>
      </w:r>
      <w:r w:rsidRPr="00C11A6D">
        <w:rPr>
          <w:spacing w:val="-6"/>
        </w:rPr>
        <w:t xml:space="preserve"> </w:t>
      </w:r>
      <w:r w:rsidRPr="00C11A6D">
        <w:t>requirements</w:t>
      </w:r>
      <w:r w:rsidRPr="00C11A6D">
        <w:rPr>
          <w:spacing w:val="-4"/>
        </w:rPr>
        <w:t xml:space="preserve"> </w:t>
      </w:r>
      <w:r w:rsidRPr="00C11A6D">
        <w:t>for</w:t>
      </w:r>
      <w:r w:rsidRPr="00C11A6D">
        <w:rPr>
          <w:spacing w:val="-6"/>
        </w:rPr>
        <w:t xml:space="preserve"> </w:t>
      </w:r>
      <w:r w:rsidRPr="00C11A6D">
        <w:t>listed</w:t>
      </w:r>
      <w:r w:rsidRPr="00C11A6D">
        <w:rPr>
          <w:spacing w:val="-6"/>
        </w:rPr>
        <w:t xml:space="preserve"> </w:t>
      </w:r>
      <w:r w:rsidRPr="00C11A6D">
        <w:t>therapeutic</w:t>
      </w:r>
      <w:r w:rsidRPr="00C11A6D">
        <w:rPr>
          <w:spacing w:val="-4"/>
        </w:rPr>
        <w:t xml:space="preserve"> </w:t>
      </w:r>
      <w:r w:rsidRPr="00C11A6D">
        <w:t>sunscreens</w:t>
      </w:r>
    </w:p>
    <w:p w14:paraId="27B6BFFD" w14:textId="5CFB5AD0" w:rsidR="001F115E" w:rsidRPr="007B38C6" w:rsidRDefault="001F115E" w:rsidP="001F115E">
      <w:r w:rsidRPr="007B38C6">
        <w:t>The storage temperature used in stability studies should be controlled, monitored and logged to ensure</w:t>
      </w:r>
      <w:r w:rsidRPr="007B38C6">
        <w:rPr>
          <w:spacing w:val="-2"/>
        </w:rPr>
        <w:t xml:space="preserve"> </w:t>
      </w:r>
      <w:r w:rsidRPr="007B38C6">
        <w:t>the</w:t>
      </w:r>
      <w:r w:rsidRPr="007B38C6">
        <w:rPr>
          <w:spacing w:val="-1"/>
        </w:rPr>
        <w:t xml:space="preserve"> </w:t>
      </w:r>
      <w:r w:rsidRPr="007B38C6">
        <w:t>integrity</w:t>
      </w:r>
      <w:r w:rsidRPr="007B38C6">
        <w:rPr>
          <w:spacing w:val="-2"/>
        </w:rPr>
        <w:t xml:space="preserve"> </w:t>
      </w:r>
      <w:r w:rsidRPr="007B38C6">
        <w:t>of</w:t>
      </w:r>
      <w:r w:rsidRPr="007B38C6">
        <w:rPr>
          <w:spacing w:val="-1"/>
        </w:rPr>
        <w:t xml:space="preserve"> </w:t>
      </w:r>
      <w:r w:rsidRPr="007B38C6">
        <w:t>the</w:t>
      </w:r>
      <w:r w:rsidRPr="007B38C6">
        <w:rPr>
          <w:spacing w:val="-4"/>
        </w:rPr>
        <w:t xml:space="preserve"> </w:t>
      </w:r>
      <w:r w:rsidRPr="007B38C6">
        <w:t>results.</w:t>
      </w:r>
      <w:r w:rsidRPr="007B38C6">
        <w:rPr>
          <w:spacing w:val="-1"/>
        </w:rPr>
        <w:t xml:space="preserve"> Stability testing should be conducted on all those parameters that are likely to influence the quality and performance of the sunscreen. Some of the </w:t>
      </w:r>
      <w:r w:rsidRPr="007B38C6">
        <w:t>parameters are</w:t>
      </w:r>
      <w:r w:rsidRPr="007B38C6">
        <w:rPr>
          <w:spacing w:val="-2"/>
        </w:rPr>
        <w:t xml:space="preserve"> </w:t>
      </w:r>
      <w:r w:rsidRPr="007B38C6">
        <w:t>described</w:t>
      </w:r>
      <w:r w:rsidRPr="007B38C6">
        <w:rPr>
          <w:spacing w:val="-1"/>
        </w:rPr>
        <w:t xml:space="preserve"> </w:t>
      </w:r>
      <w:r w:rsidRPr="007B38C6">
        <w:t>below.</w:t>
      </w:r>
    </w:p>
    <w:p w14:paraId="7FDB3C91" w14:textId="77777777" w:rsidR="00E40910" w:rsidRPr="00C11A6D" w:rsidRDefault="00E40910" w:rsidP="00E40910">
      <w:pPr>
        <w:pStyle w:val="Heading7"/>
      </w:pPr>
      <w:r w:rsidRPr="00C11A6D">
        <w:t>Physical</w:t>
      </w:r>
      <w:r w:rsidRPr="00C11A6D">
        <w:rPr>
          <w:spacing w:val="-4"/>
        </w:rPr>
        <w:t xml:space="preserve"> </w:t>
      </w:r>
      <w:r w:rsidRPr="00C11A6D">
        <w:t>testing</w:t>
      </w:r>
      <w:r w:rsidRPr="00C11A6D">
        <w:rPr>
          <w:spacing w:val="-3"/>
        </w:rPr>
        <w:t xml:space="preserve"> </w:t>
      </w:r>
      <w:r w:rsidRPr="00C11A6D">
        <w:t>of</w:t>
      </w:r>
      <w:r w:rsidRPr="00C11A6D">
        <w:rPr>
          <w:spacing w:val="-4"/>
        </w:rPr>
        <w:t xml:space="preserve"> </w:t>
      </w:r>
      <w:r w:rsidRPr="00C11A6D">
        <w:t>listed</w:t>
      </w:r>
      <w:r w:rsidRPr="00C11A6D">
        <w:rPr>
          <w:spacing w:val="-6"/>
        </w:rPr>
        <w:t xml:space="preserve"> </w:t>
      </w:r>
      <w:r w:rsidRPr="00C11A6D">
        <w:t>therapeutic</w:t>
      </w:r>
      <w:r w:rsidRPr="00C11A6D">
        <w:rPr>
          <w:spacing w:val="-2"/>
        </w:rPr>
        <w:t xml:space="preserve"> </w:t>
      </w:r>
      <w:r w:rsidRPr="00C11A6D">
        <w:t>sunscreens</w:t>
      </w:r>
    </w:p>
    <w:p w14:paraId="18AF9006" w14:textId="77777777" w:rsidR="00E40910" w:rsidRPr="007B38C6" w:rsidRDefault="00E40910" w:rsidP="00E40910">
      <w:r w:rsidRPr="007B38C6">
        <w:t>Physical</w:t>
      </w:r>
      <w:r w:rsidRPr="007B38C6">
        <w:rPr>
          <w:spacing w:val="-2"/>
        </w:rPr>
        <w:t xml:space="preserve"> </w:t>
      </w:r>
      <w:r w:rsidRPr="007B38C6">
        <w:t>testing</w:t>
      </w:r>
      <w:r w:rsidRPr="007B38C6">
        <w:rPr>
          <w:spacing w:val="-3"/>
        </w:rPr>
        <w:t xml:space="preserve"> </w:t>
      </w:r>
      <w:r w:rsidRPr="007B38C6">
        <w:t>should</w:t>
      </w:r>
      <w:r w:rsidRPr="007B38C6">
        <w:rPr>
          <w:spacing w:val="-1"/>
        </w:rPr>
        <w:t xml:space="preserve"> </w:t>
      </w:r>
      <w:r w:rsidRPr="007B38C6">
        <w:t>include</w:t>
      </w:r>
      <w:r w:rsidRPr="007B38C6">
        <w:rPr>
          <w:spacing w:val="-4"/>
        </w:rPr>
        <w:t xml:space="preserve"> </w:t>
      </w:r>
      <w:r w:rsidRPr="007B38C6">
        <w:t>at</w:t>
      </w:r>
      <w:r w:rsidRPr="007B38C6">
        <w:rPr>
          <w:spacing w:val="-2"/>
        </w:rPr>
        <w:t xml:space="preserve"> </w:t>
      </w:r>
      <w:r w:rsidRPr="007B38C6">
        <w:t>least</w:t>
      </w:r>
      <w:r w:rsidRPr="007B38C6">
        <w:rPr>
          <w:spacing w:val="-1"/>
        </w:rPr>
        <w:t xml:space="preserve"> </w:t>
      </w:r>
      <w:r w:rsidRPr="007B38C6">
        <w:t>the</w:t>
      </w:r>
      <w:r w:rsidRPr="007B38C6">
        <w:rPr>
          <w:spacing w:val="-2"/>
        </w:rPr>
        <w:t xml:space="preserve"> </w:t>
      </w:r>
      <w:r w:rsidRPr="007B38C6">
        <w:t>following</w:t>
      </w:r>
      <w:r w:rsidRPr="007B38C6">
        <w:rPr>
          <w:spacing w:val="-3"/>
        </w:rPr>
        <w:t xml:space="preserve"> </w:t>
      </w:r>
      <w:r w:rsidRPr="007B38C6">
        <w:t>quality</w:t>
      </w:r>
      <w:r w:rsidRPr="007B38C6">
        <w:rPr>
          <w:spacing w:val="-2"/>
        </w:rPr>
        <w:t xml:space="preserve"> </w:t>
      </w:r>
      <w:r w:rsidRPr="007B38C6">
        <w:t>parameters:</w:t>
      </w:r>
    </w:p>
    <w:p w14:paraId="2234E7B6" w14:textId="77777777" w:rsidR="00E40910" w:rsidRPr="007B38C6" w:rsidRDefault="00E40910" w:rsidP="007B38C6">
      <w:pPr>
        <w:pStyle w:val="ListBullet"/>
      </w:pPr>
      <w:r w:rsidRPr="007B38C6">
        <w:t>appearance</w:t>
      </w:r>
    </w:p>
    <w:p w14:paraId="62A9E710" w14:textId="77777777" w:rsidR="00E40910" w:rsidRPr="007B38C6" w:rsidRDefault="00E40910" w:rsidP="007B38C6">
      <w:pPr>
        <w:pStyle w:val="ListBullet"/>
      </w:pPr>
      <w:r w:rsidRPr="007B38C6">
        <w:t>emulsion</w:t>
      </w:r>
      <w:r w:rsidRPr="007B38C6">
        <w:rPr>
          <w:spacing w:val="-3"/>
        </w:rPr>
        <w:t xml:space="preserve"> </w:t>
      </w:r>
      <w:r w:rsidRPr="007B38C6">
        <w:t xml:space="preserve">stability </w:t>
      </w:r>
    </w:p>
    <w:p w14:paraId="2B1248A0" w14:textId="77777777" w:rsidR="00E40910" w:rsidRPr="007B38C6" w:rsidRDefault="00E40910" w:rsidP="007B38C6">
      <w:pPr>
        <w:pStyle w:val="ListBullet"/>
      </w:pPr>
      <w:r w:rsidRPr="007B38C6">
        <w:t>absence</w:t>
      </w:r>
      <w:r w:rsidRPr="007B38C6">
        <w:rPr>
          <w:spacing w:val="-3"/>
        </w:rPr>
        <w:t xml:space="preserve"> </w:t>
      </w:r>
      <w:r w:rsidRPr="007B38C6">
        <w:t>of</w:t>
      </w:r>
      <w:r w:rsidRPr="007B38C6">
        <w:rPr>
          <w:spacing w:val="-3"/>
        </w:rPr>
        <w:t xml:space="preserve"> </w:t>
      </w:r>
      <w:r w:rsidRPr="007B38C6">
        <w:t>crystallisation</w:t>
      </w:r>
    </w:p>
    <w:p w14:paraId="7778E69B" w14:textId="77777777" w:rsidR="00E40910" w:rsidRPr="007B38C6" w:rsidRDefault="00E40910" w:rsidP="007B38C6">
      <w:pPr>
        <w:pStyle w:val="ListBullet"/>
      </w:pPr>
      <w:r w:rsidRPr="007B38C6">
        <w:t>odour</w:t>
      </w:r>
    </w:p>
    <w:p w14:paraId="7433C942" w14:textId="77777777" w:rsidR="00E40910" w:rsidRPr="007B38C6" w:rsidRDefault="00E40910" w:rsidP="007B38C6">
      <w:pPr>
        <w:pStyle w:val="ListBullet"/>
      </w:pPr>
      <w:r w:rsidRPr="007B38C6">
        <w:t>viscosity</w:t>
      </w:r>
    </w:p>
    <w:p w14:paraId="01BCDA0C" w14:textId="77777777" w:rsidR="00E40910" w:rsidRPr="007B38C6" w:rsidRDefault="00E40910" w:rsidP="007B38C6">
      <w:pPr>
        <w:pStyle w:val="ListBullet"/>
      </w:pPr>
      <w:r w:rsidRPr="007B38C6">
        <w:t>compatibility</w:t>
      </w:r>
      <w:r w:rsidRPr="007B38C6">
        <w:rPr>
          <w:spacing w:val="-3"/>
        </w:rPr>
        <w:t xml:space="preserve"> </w:t>
      </w:r>
      <w:r w:rsidRPr="007B38C6">
        <w:t>with the</w:t>
      </w:r>
      <w:r w:rsidRPr="007B38C6">
        <w:rPr>
          <w:spacing w:val="-3"/>
        </w:rPr>
        <w:t xml:space="preserve"> </w:t>
      </w:r>
      <w:r w:rsidRPr="007B38C6">
        <w:t>immediate</w:t>
      </w:r>
      <w:r w:rsidRPr="007B38C6">
        <w:rPr>
          <w:spacing w:val="-4"/>
        </w:rPr>
        <w:t xml:space="preserve"> </w:t>
      </w:r>
      <w:r w:rsidRPr="007B38C6">
        <w:t>container</w:t>
      </w:r>
    </w:p>
    <w:p w14:paraId="1CDF7FE8" w14:textId="5EABBC1B" w:rsidR="007060EF" w:rsidRPr="007B38C6" w:rsidRDefault="00E40910" w:rsidP="007B38C6">
      <w:pPr>
        <w:pStyle w:val="ListBullet"/>
      </w:pPr>
      <w:r w:rsidRPr="007B38C6">
        <w:t>the</w:t>
      </w:r>
      <w:r w:rsidRPr="007B38C6">
        <w:rPr>
          <w:spacing w:val="-2"/>
        </w:rPr>
        <w:t xml:space="preserve"> </w:t>
      </w:r>
      <w:r w:rsidRPr="007B38C6">
        <w:t>condition</w:t>
      </w:r>
      <w:r w:rsidRPr="007B38C6">
        <w:rPr>
          <w:spacing w:val="-3"/>
        </w:rPr>
        <w:t xml:space="preserve"> </w:t>
      </w:r>
      <w:r w:rsidRPr="007B38C6">
        <w:t>of</w:t>
      </w:r>
      <w:r w:rsidRPr="007B38C6">
        <w:rPr>
          <w:spacing w:val="-2"/>
        </w:rPr>
        <w:t xml:space="preserve"> </w:t>
      </w:r>
      <w:r w:rsidRPr="007B38C6">
        <w:t>the</w:t>
      </w:r>
      <w:r w:rsidRPr="007B38C6">
        <w:rPr>
          <w:spacing w:val="-2"/>
        </w:rPr>
        <w:t xml:space="preserve"> </w:t>
      </w:r>
      <w:r w:rsidRPr="007B38C6">
        <w:t>inside</w:t>
      </w:r>
      <w:r w:rsidRPr="007B38C6">
        <w:rPr>
          <w:spacing w:val="-3"/>
        </w:rPr>
        <w:t xml:space="preserve"> </w:t>
      </w:r>
      <w:r w:rsidRPr="007B38C6">
        <w:t>surface</w:t>
      </w:r>
      <w:r w:rsidRPr="007B38C6">
        <w:rPr>
          <w:spacing w:val="-2"/>
        </w:rPr>
        <w:t xml:space="preserve"> </w:t>
      </w:r>
      <w:r w:rsidRPr="007B38C6">
        <w:t>of</w:t>
      </w:r>
      <w:r w:rsidRPr="007B38C6">
        <w:rPr>
          <w:spacing w:val="-2"/>
        </w:rPr>
        <w:t xml:space="preserve"> </w:t>
      </w:r>
      <w:r w:rsidRPr="007B38C6">
        <w:t>the</w:t>
      </w:r>
      <w:r w:rsidRPr="007B38C6">
        <w:rPr>
          <w:spacing w:val="-4"/>
        </w:rPr>
        <w:t xml:space="preserve"> </w:t>
      </w:r>
      <w:r w:rsidRPr="007B38C6">
        <w:t>container</w:t>
      </w:r>
      <w:r w:rsidRPr="007B38C6">
        <w:rPr>
          <w:spacing w:val="-2"/>
        </w:rPr>
        <w:t xml:space="preserve"> </w:t>
      </w:r>
      <w:r w:rsidRPr="007B38C6">
        <w:t>in</w:t>
      </w:r>
      <w:r w:rsidRPr="007B38C6">
        <w:rPr>
          <w:spacing w:val="-2"/>
        </w:rPr>
        <w:t xml:space="preserve"> </w:t>
      </w:r>
      <w:r w:rsidRPr="007B38C6">
        <w:t>contact</w:t>
      </w:r>
      <w:r w:rsidRPr="007B38C6">
        <w:rPr>
          <w:spacing w:val="-2"/>
        </w:rPr>
        <w:t xml:space="preserve"> </w:t>
      </w:r>
      <w:r w:rsidRPr="007B38C6">
        <w:t>with</w:t>
      </w:r>
      <w:r w:rsidRPr="007B38C6">
        <w:rPr>
          <w:spacing w:val="-1"/>
        </w:rPr>
        <w:t xml:space="preserve"> </w:t>
      </w:r>
      <w:r w:rsidRPr="007B38C6">
        <w:t>the</w:t>
      </w:r>
      <w:r w:rsidRPr="007B38C6">
        <w:rPr>
          <w:spacing w:val="-2"/>
        </w:rPr>
        <w:t xml:space="preserve"> </w:t>
      </w:r>
      <w:r w:rsidRPr="007B38C6">
        <w:t>product.</w:t>
      </w:r>
    </w:p>
    <w:p w14:paraId="112A7F23" w14:textId="77777777" w:rsidR="00121456" w:rsidRPr="00C11A6D" w:rsidRDefault="00121456" w:rsidP="00121456">
      <w:pPr>
        <w:pStyle w:val="Heading7"/>
      </w:pPr>
      <w:r w:rsidRPr="00C11A6D">
        <w:t>Chemical</w:t>
      </w:r>
      <w:r w:rsidRPr="00C11A6D">
        <w:rPr>
          <w:spacing w:val="-5"/>
        </w:rPr>
        <w:t xml:space="preserve"> </w:t>
      </w:r>
      <w:r w:rsidRPr="00C11A6D">
        <w:t>testing</w:t>
      </w:r>
      <w:r w:rsidRPr="00C11A6D">
        <w:rPr>
          <w:spacing w:val="-5"/>
        </w:rPr>
        <w:t xml:space="preserve"> </w:t>
      </w:r>
      <w:r w:rsidRPr="00C11A6D">
        <w:t>of</w:t>
      </w:r>
      <w:r w:rsidRPr="00C11A6D">
        <w:rPr>
          <w:spacing w:val="-5"/>
        </w:rPr>
        <w:t xml:space="preserve"> </w:t>
      </w:r>
      <w:r w:rsidRPr="00C11A6D">
        <w:t>listed</w:t>
      </w:r>
      <w:r w:rsidRPr="00C11A6D">
        <w:rPr>
          <w:spacing w:val="-4"/>
        </w:rPr>
        <w:t xml:space="preserve"> </w:t>
      </w:r>
      <w:r w:rsidRPr="00C11A6D">
        <w:t>therapeutic</w:t>
      </w:r>
      <w:r w:rsidRPr="00C11A6D">
        <w:rPr>
          <w:spacing w:val="-3"/>
        </w:rPr>
        <w:t xml:space="preserve"> </w:t>
      </w:r>
      <w:r w:rsidRPr="00C11A6D">
        <w:t>sunscreens</w:t>
      </w:r>
    </w:p>
    <w:p w14:paraId="265C0FB9" w14:textId="77777777" w:rsidR="00121456" w:rsidRPr="007B38C6" w:rsidRDefault="00121456" w:rsidP="00121456">
      <w:r w:rsidRPr="007B38C6">
        <w:t>Chemical</w:t>
      </w:r>
      <w:r w:rsidRPr="007B38C6">
        <w:rPr>
          <w:spacing w:val="-4"/>
        </w:rPr>
        <w:t xml:space="preserve"> </w:t>
      </w:r>
      <w:r w:rsidRPr="007B38C6">
        <w:t>stability</w:t>
      </w:r>
      <w:r w:rsidRPr="007B38C6">
        <w:rPr>
          <w:spacing w:val="-2"/>
        </w:rPr>
        <w:t xml:space="preserve"> </w:t>
      </w:r>
      <w:r w:rsidRPr="007B38C6">
        <w:t>testing</w:t>
      </w:r>
      <w:r w:rsidRPr="007B38C6">
        <w:rPr>
          <w:spacing w:val="-2"/>
        </w:rPr>
        <w:t xml:space="preserve"> </w:t>
      </w:r>
      <w:r w:rsidRPr="007B38C6">
        <w:t>should</w:t>
      </w:r>
      <w:r w:rsidRPr="007B38C6">
        <w:rPr>
          <w:spacing w:val="-2"/>
        </w:rPr>
        <w:t xml:space="preserve"> </w:t>
      </w:r>
      <w:r w:rsidRPr="007B38C6">
        <w:t>include:</w:t>
      </w:r>
    </w:p>
    <w:p w14:paraId="34D3F3EA" w14:textId="77777777" w:rsidR="00121456" w:rsidRPr="007B38C6" w:rsidRDefault="00121456" w:rsidP="007B38C6">
      <w:pPr>
        <w:pStyle w:val="ListBullet"/>
      </w:pPr>
      <w:r w:rsidRPr="007B38C6">
        <w:t>pH</w:t>
      </w:r>
      <w:r w:rsidRPr="007B38C6">
        <w:rPr>
          <w:spacing w:val="-2"/>
        </w:rPr>
        <w:t xml:space="preserve"> </w:t>
      </w:r>
      <w:r w:rsidRPr="007B38C6">
        <w:t>(if</w:t>
      </w:r>
      <w:r w:rsidRPr="007B38C6">
        <w:rPr>
          <w:spacing w:val="-2"/>
        </w:rPr>
        <w:t xml:space="preserve"> </w:t>
      </w:r>
      <w:r w:rsidRPr="007B38C6">
        <w:t>water</w:t>
      </w:r>
      <w:r w:rsidRPr="007B38C6">
        <w:rPr>
          <w:spacing w:val="-2"/>
        </w:rPr>
        <w:t xml:space="preserve"> </w:t>
      </w:r>
      <w:r w:rsidRPr="007B38C6">
        <w:t>is</w:t>
      </w:r>
      <w:r w:rsidRPr="007B38C6">
        <w:rPr>
          <w:spacing w:val="-1"/>
        </w:rPr>
        <w:t xml:space="preserve"> </w:t>
      </w:r>
      <w:r w:rsidRPr="007B38C6">
        <w:t>the</w:t>
      </w:r>
      <w:r w:rsidRPr="007B38C6">
        <w:rPr>
          <w:spacing w:val="-2"/>
        </w:rPr>
        <w:t xml:space="preserve"> </w:t>
      </w:r>
      <w:r w:rsidRPr="007B38C6">
        <w:t>continuous</w:t>
      </w:r>
      <w:r w:rsidRPr="007B38C6">
        <w:rPr>
          <w:spacing w:val="-1"/>
        </w:rPr>
        <w:t xml:space="preserve"> </w:t>
      </w:r>
      <w:r w:rsidRPr="007B38C6">
        <w:t>phase)</w:t>
      </w:r>
    </w:p>
    <w:p w14:paraId="42412B54" w14:textId="77777777" w:rsidR="00121456" w:rsidRPr="007B38C6" w:rsidRDefault="00121456" w:rsidP="007B38C6">
      <w:pPr>
        <w:pStyle w:val="ListBullet"/>
      </w:pPr>
      <w:r w:rsidRPr="007B38C6">
        <w:t>the content of each of the active ingredients assayed using a validated, stability-indicating</w:t>
      </w:r>
      <w:r w:rsidRPr="007B38C6">
        <w:rPr>
          <w:spacing w:val="-46"/>
        </w:rPr>
        <w:t xml:space="preserve"> </w:t>
      </w:r>
      <w:r w:rsidRPr="007B38C6">
        <w:t>analytical</w:t>
      </w:r>
      <w:r w:rsidRPr="007B38C6">
        <w:rPr>
          <w:spacing w:val="-2"/>
        </w:rPr>
        <w:t xml:space="preserve"> </w:t>
      </w:r>
      <w:r w:rsidRPr="007B38C6">
        <w:t>procedure</w:t>
      </w:r>
      <w:r w:rsidRPr="007B38C6">
        <w:rPr>
          <w:spacing w:val="-1"/>
        </w:rPr>
        <w:t xml:space="preserve"> </w:t>
      </w:r>
      <w:r w:rsidRPr="007B38C6">
        <w:t>(e.g.</w:t>
      </w:r>
      <w:r w:rsidRPr="007B38C6">
        <w:rPr>
          <w:spacing w:val="-3"/>
        </w:rPr>
        <w:t xml:space="preserve"> </w:t>
      </w:r>
      <w:r w:rsidRPr="007B38C6">
        <w:t>HPLC).</w:t>
      </w:r>
    </w:p>
    <w:p w14:paraId="59280EC1" w14:textId="77777777" w:rsidR="00121456" w:rsidRPr="007B38C6" w:rsidRDefault="00121456" w:rsidP="0073748E">
      <w:pPr>
        <w:pStyle w:val="ListBullet2"/>
        <w:numPr>
          <w:ilvl w:val="1"/>
          <w:numId w:val="7"/>
        </w:numPr>
        <w:rPr>
          <w:color w:val="auto"/>
        </w:rPr>
      </w:pPr>
      <w:r w:rsidRPr="007B38C6">
        <w:rPr>
          <w:color w:val="auto"/>
        </w:rPr>
        <w:t>Active</w:t>
      </w:r>
      <w:r w:rsidRPr="007B38C6">
        <w:rPr>
          <w:color w:val="auto"/>
          <w:spacing w:val="-3"/>
        </w:rPr>
        <w:t xml:space="preserve"> </w:t>
      </w:r>
      <w:r w:rsidRPr="007B38C6">
        <w:rPr>
          <w:color w:val="auto"/>
        </w:rPr>
        <w:t>ingredients</w:t>
      </w:r>
      <w:r w:rsidRPr="007B38C6">
        <w:rPr>
          <w:color w:val="auto"/>
          <w:spacing w:val="-1"/>
        </w:rPr>
        <w:t xml:space="preserve"> </w:t>
      </w:r>
      <w:r w:rsidRPr="007B38C6">
        <w:rPr>
          <w:color w:val="auto"/>
        </w:rPr>
        <w:t>should</w:t>
      </w:r>
      <w:r w:rsidRPr="007B38C6">
        <w:rPr>
          <w:color w:val="auto"/>
          <w:spacing w:val="-2"/>
        </w:rPr>
        <w:t xml:space="preserve"> </w:t>
      </w:r>
      <w:r w:rsidRPr="007B38C6">
        <w:rPr>
          <w:color w:val="auto"/>
        </w:rPr>
        <w:t>remain</w:t>
      </w:r>
      <w:r w:rsidRPr="007B38C6">
        <w:rPr>
          <w:color w:val="auto"/>
          <w:spacing w:val="-3"/>
        </w:rPr>
        <w:t xml:space="preserve"> </w:t>
      </w:r>
      <w:r w:rsidRPr="007B38C6">
        <w:rPr>
          <w:color w:val="auto"/>
        </w:rPr>
        <w:t>within</w:t>
      </w:r>
      <w:r w:rsidRPr="007B38C6">
        <w:rPr>
          <w:color w:val="auto"/>
          <w:spacing w:val="-3"/>
        </w:rPr>
        <w:t xml:space="preserve"> </w:t>
      </w:r>
      <w:r w:rsidRPr="007B38C6">
        <w:rPr>
          <w:color w:val="auto"/>
        </w:rPr>
        <w:t>the</w:t>
      </w:r>
      <w:r w:rsidRPr="007B38C6">
        <w:rPr>
          <w:color w:val="auto"/>
          <w:spacing w:val="-2"/>
        </w:rPr>
        <w:t xml:space="preserve"> </w:t>
      </w:r>
      <w:r w:rsidRPr="007B38C6">
        <w:rPr>
          <w:color w:val="auto"/>
        </w:rPr>
        <w:t>limits</w:t>
      </w:r>
      <w:r w:rsidRPr="007B38C6">
        <w:rPr>
          <w:color w:val="auto"/>
          <w:spacing w:val="-1"/>
        </w:rPr>
        <w:t xml:space="preserve"> </w:t>
      </w:r>
      <w:r w:rsidRPr="007B38C6">
        <w:rPr>
          <w:color w:val="auto"/>
        </w:rPr>
        <w:t>90%</w:t>
      </w:r>
      <w:r w:rsidRPr="007B38C6">
        <w:rPr>
          <w:color w:val="auto"/>
          <w:spacing w:val="-2"/>
        </w:rPr>
        <w:t xml:space="preserve"> </w:t>
      </w:r>
      <w:r w:rsidRPr="007B38C6">
        <w:rPr>
          <w:color w:val="auto"/>
        </w:rPr>
        <w:t>to</w:t>
      </w:r>
      <w:r w:rsidRPr="007B38C6">
        <w:rPr>
          <w:color w:val="auto"/>
          <w:spacing w:val="-2"/>
        </w:rPr>
        <w:t xml:space="preserve"> </w:t>
      </w:r>
      <w:r w:rsidRPr="007B38C6">
        <w:rPr>
          <w:color w:val="auto"/>
        </w:rPr>
        <w:t>120%</w:t>
      </w:r>
      <w:r w:rsidRPr="007B38C6">
        <w:rPr>
          <w:color w:val="auto"/>
          <w:spacing w:val="-2"/>
        </w:rPr>
        <w:t xml:space="preserve"> </w:t>
      </w:r>
      <w:r w:rsidRPr="007B38C6">
        <w:rPr>
          <w:color w:val="auto"/>
        </w:rPr>
        <w:t>of</w:t>
      </w:r>
      <w:r w:rsidRPr="007B38C6">
        <w:rPr>
          <w:color w:val="auto"/>
          <w:spacing w:val="-2"/>
        </w:rPr>
        <w:t xml:space="preserve"> </w:t>
      </w:r>
      <w:r w:rsidRPr="007B38C6">
        <w:rPr>
          <w:color w:val="auto"/>
        </w:rPr>
        <w:t>label</w:t>
      </w:r>
      <w:r w:rsidRPr="007B38C6">
        <w:rPr>
          <w:color w:val="auto"/>
          <w:spacing w:val="-2"/>
        </w:rPr>
        <w:t xml:space="preserve"> </w:t>
      </w:r>
      <w:r w:rsidRPr="007B38C6">
        <w:rPr>
          <w:color w:val="auto"/>
        </w:rPr>
        <w:t>claim.</w:t>
      </w:r>
    </w:p>
    <w:p w14:paraId="70CAE8C3" w14:textId="0AFCB307" w:rsidR="00121456" w:rsidRPr="007C7CED" w:rsidRDefault="00121456" w:rsidP="0073748E">
      <w:pPr>
        <w:pStyle w:val="ListBullet2"/>
        <w:numPr>
          <w:ilvl w:val="1"/>
          <w:numId w:val="7"/>
        </w:numPr>
        <w:rPr>
          <w:color w:val="auto"/>
        </w:rPr>
      </w:pPr>
      <w:r w:rsidRPr="007B38C6">
        <w:rPr>
          <w:color w:val="auto"/>
        </w:rPr>
        <w:t>Overages of active ingredients in the formulation are acceptable provided they do not</w:t>
      </w:r>
      <w:r w:rsidRPr="007B38C6">
        <w:rPr>
          <w:color w:val="auto"/>
          <w:spacing w:val="-46"/>
        </w:rPr>
        <w:t xml:space="preserve"> </w:t>
      </w:r>
      <w:r w:rsidRPr="007B38C6">
        <w:rPr>
          <w:color w:val="auto"/>
        </w:rPr>
        <w:t xml:space="preserve">result in concentrations exceeding the limits provided in the </w:t>
      </w:r>
      <w:hyperlink r:id="rId94" w:anchor="permissible-ingredients">
        <w:r w:rsidR="00671E8E" w:rsidRPr="00C47EC5">
          <w:rPr>
            <w:rStyle w:val="Hyperlink"/>
          </w:rPr>
          <w:t>Permissible</w:t>
        </w:r>
      </w:hyperlink>
      <w:r w:rsidR="00671E8E" w:rsidRPr="00C47EC5">
        <w:rPr>
          <w:rStyle w:val="Hyperlink"/>
        </w:rPr>
        <w:t xml:space="preserve"> </w:t>
      </w:r>
      <w:hyperlink r:id="rId95" w:anchor="pi">
        <w:r w:rsidR="00671E8E" w:rsidRPr="00C47EC5">
          <w:rPr>
            <w:rStyle w:val="Hyperlink"/>
          </w:rPr>
          <w:t>Ingredients Determination</w:t>
        </w:r>
      </w:hyperlink>
      <w:r w:rsidR="00C47EC5" w:rsidRPr="00C47EC5">
        <w:rPr>
          <w:rStyle w:val="Hyperlink"/>
          <w:color w:val="auto"/>
          <w:u w:val="none"/>
        </w:rPr>
        <w:t>.</w:t>
      </w:r>
    </w:p>
    <w:p w14:paraId="6327C1C8" w14:textId="77777777" w:rsidR="00C311D6" w:rsidRPr="00C11A6D" w:rsidRDefault="00C311D6" w:rsidP="00C311D6">
      <w:pPr>
        <w:pStyle w:val="Heading7"/>
      </w:pPr>
      <w:r w:rsidRPr="00C11A6D">
        <w:lastRenderedPageBreak/>
        <w:t>Microbiological</w:t>
      </w:r>
      <w:r w:rsidRPr="00C11A6D">
        <w:rPr>
          <w:spacing w:val="-6"/>
        </w:rPr>
        <w:t xml:space="preserve"> </w:t>
      </w:r>
      <w:r w:rsidRPr="00C11A6D">
        <w:t>stability</w:t>
      </w:r>
      <w:r w:rsidRPr="00C11A6D">
        <w:rPr>
          <w:spacing w:val="-5"/>
        </w:rPr>
        <w:t xml:space="preserve"> </w:t>
      </w:r>
      <w:r w:rsidRPr="00C11A6D">
        <w:t>testing</w:t>
      </w:r>
      <w:r w:rsidRPr="00C11A6D">
        <w:rPr>
          <w:spacing w:val="-5"/>
        </w:rPr>
        <w:t xml:space="preserve"> </w:t>
      </w:r>
      <w:r w:rsidRPr="00C11A6D">
        <w:t>of</w:t>
      </w:r>
      <w:r w:rsidRPr="00C11A6D">
        <w:rPr>
          <w:spacing w:val="-5"/>
        </w:rPr>
        <w:t xml:space="preserve"> </w:t>
      </w:r>
      <w:r w:rsidRPr="00C11A6D">
        <w:t>listed</w:t>
      </w:r>
      <w:r w:rsidRPr="00C11A6D">
        <w:rPr>
          <w:spacing w:val="-6"/>
        </w:rPr>
        <w:t xml:space="preserve"> </w:t>
      </w:r>
      <w:r w:rsidRPr="00C11A6D">
        <w:t>therapeutic</w:t>
      </w:r>
      <w:r w:rsidRPr="00C11A6D">
        <w:rPr>
          <w:spacing w:val="-4"/>
        </w:rPr>
        <w:t xml:space="preserve"> </w:t>
      </w:r>
      <w:r w:rsidRPr="00C11A6D">
        <w:t>sunscreens</w:t>
      </w:r>
    </w:p>
    <w:p w14:paraId="07421257" w14:textId="3EC2B047" w:rsidR="00C311D6" w:rsidRPr="007B38C6" w:rsidRDefault="00C311D6" w:rsidP="00C311D6">
      <w:r w:rsidRPr="007B38C6">
        <w:t>For water-containing sunscreens, microbiological stability should be confirmed by means of</w:t>
      </w:r>
      <w:r w:rsidRPr="007B38C6">
        <w:rPr>
          <w:spacing w:val="1"/>
        </w:rPr>
        <w:t xml:space="preserve"> </w:t>
      </w:r>
      <w:r w:rsidRPr="007B38C6">
        <w:t>preservative efficacy testing at the start and end of accelerated stability testing and at the end of</w:t>
      </w:r>
      <w:r w:rsidRPr="007B38C6">
        <w:rPr>
          <w:spacing w:val="-46"/>
        </w:rPr>
        <w:t xml:space="preserve"> </w:t>
      </w:r>
      <w:r w:rsidRPr="007B38C6">
        <w:t>the shelf life during the subsequent real-time stability testing. It may be useful to monitor</w:t>
      </w:r>
      <w:r w:rsidRPr="007B38C6">
        <w:rPr>
          <w:spacing w:val="1"/>
        </w:rPr>
        <w:t xml:space="preserve"> </w:t>
      </w:r>
      <w:r w:rsidRPr="007B38C6">
        <w:t>chemical</w:t>
      </w:r>
      <w:r w:rsidRPr="007B38C6">
        <w:rPr>
          <w:spacing w:val="-4"/>
        </w:rPr>
        <w:t xml:space="preserve"> </w:t>
      </w:r>
      <w:r w:rsidRPr="007B38C6">
        <w:t>stability</w:t>
      </w:r>
      <w:r w:rsidRPr="007B38C6">
        <w:rPr>
          <w:spacing w:val="-3"/>
        </w:rPr>
        <w:t xml:space="preserve"> </w:t>
      </w:r>
      <w:r w:rsidRPr="007B38C6">
        <w:t>of</w:t>
      </w:r>
      <w:r w:rsidRPr="007B38C6">
        <w:rPr>
          <w:spacing w:val="-2"/>
        </w:rPr>
        <w:t xml:space="preserve"> </w:t>
      </w:r>
      <w:r w:rsidRPr="007B38C6">
        <w:t>preservatives</w:t>
      </w:r>
      <w:r w:rsidRPr="007B38C6">
        <w:rPr>
          <w:spacing w:val="-1"/>
        </w:rPr>
        <w:t xml:space="preserve"> </w:t>
      </w:r>
      <w:r w:rsidRPr="007B38C6">
        <w:t>during</w:t>
      </w:r>
      <w:r w:rsidRPr="007B38C6">
        <w:rPr>
          <w:spacing w:val="-3"/>
        </w:rPr>
        <w:t xml:space="preserve"> </w:t>
      </w:r>
      <w:r w:rsidRPr="007B38C6">
        <w:t>stability</w:t>
      </w:r>
      <w:r w:rsidRPr="007B38C6">
        <w:rPr>
          <w:spacing w:val="-3"/>
        </w:rPr>
        <w:t xml:space="preserve"> </w:t>
      </w:r>
      <w:r w:rsidRPr="007B38C6">
        <w:t>using</w:t>
      </w:r>
      <w:r w:rsidRPr="007B38C6">
        <w:rPr>
          <w:spacing w:val="-3"/>
        </w:rPr>
        <w:t xml:space="preserve"> </w:t>
      </w:r>
      <w:r w:rsidRPr="007B38C6">
        <w:t>a</w:t>
      </w:r>
      <w:r w:rsidRPr="007B38C6">
        <w:rPr>
          <w:spacing w:val="-2"/>
        </w:rPr>
        <w:t xml:space="preserve"> </w:t>
      </w:r>
      <w:r w:rsidRPr="007B38C6">
        <w:t>stability-indicating</w:t>
      </w:r>
      <w:r w:rsidRPr="007B38C6">
        <w:rPr>
          <w:spacing w:val="-3"/>
        </w:rPr>
        <w:t xml:space="preserve"> </w:t>
      </w:r>
      <w:r w:rsidRPr="007B38C6">
        <w:t>validated</w:t>
      </w:r>
      <w:r w:rsidRPr="007B38C6">
        <w:rPr>
          <w:spacing w:val="-5"/>
        </w:rPr>
        <w:t xml:space="preserve"> </w:t>
      </w:r>
      <w:r w:rsidRPr="007B38C6">
        <w:t>method.</w:t>
      </w:r>
    </w:p>
    <w:p w14:paraId="38EC40BA" w14:textId="77777777" w:rsidR="00F93DD4" w:rsidRPr="00C11A6D" w:rsidRDefault="00F93DD4" w:rsidP="00F93DD4">
      <w:pPr>
        <w:pStyle w:val="Heading7"/>
      </w:pPr>
      <w:r w:rsidRPr="00C11A6D">
        <w:t>Accelerated</w:t>
      </w:r>
      <w:r w:rsidRPr="00C11A6D">
        <w:rPr>
          <w:spacing w:val="-6"/>
        </w:rPr>
        <w:t xml:space="preserve"> </w:t>
      </w:r>
      <w:r w:rsidRPr="00C11A6D">
        <w:t>studies</w:t>
      </w:r>
      <w:r w:rsidRPr="00C11A6D">
        <w:rPr>
          <w:spacing w:val="-3"/>
        </w:rPr>
        <w:t xml:space="preserve"> </w:t>
      </w:r>
      <w:r w:rsidRPr="00C11A6D">
        <w:t>of</w:t>
      </w:r>
      <w:r w:rsidRPr="00C11A6D">
        <w:rPr>
          <w:spacing w:val="-5"/>
        </w:rPr>
        <w:t xml:space="preserve"> </w:t>
      </w:r>
      <w:r w:rsidRPr="00C11A6D">
        <w:t>listed</w:t>
      </w:r>
      <w:r w:rsidRPr="00C11A6D">
        <w:rPr>
          <w:spacing w:val="-5"/>
        </w:rPr>
        <w:t xml:space="preserve"> </w:t>
      </w:r>
      <w:r w:rsidRPr="00C11A6D">
        <w:t>therapeutic</w:t>
      </w:r>
      <w:r w:rsidRPr="00C11A6D">
        <w:rPr>
          <w:spacing w:val="-3"/>
        </w:rPr>
        <w:t xml:space="preserve"> </w:t>
      </w:r>
      <w:r w:rsidRPr="00C11A6D">
        <w:t>sunscreens</w:t>
      </w:r>
    </w:p>
    <w:p w14:paraId="5A7C0206" w14:textId="77777777" w:rsidR="00F93DD4" w:rsidRPr="007B38C6" w:rsidRDefault="00F93DD4" w:rsidP="00F93DD4">
      <w:r w:rsidRPr="007B38C6">
        <w:t>The frequency of testing for accelerated studies should be adequate to allow regression and</w:t>
      </w:r>
      <w:r w:rsidRPr="007B38C6">
        <w:rPr>
          <w:spacing w:val="-46"/>
        </w:rPr>
        <w:t xml:space="preserve"> </w:t>
      </w:r>
      <w:r w:rsidRPr="007B38C6">
        <w:t>statistical</w:t>
      </w:r>
      <w:r w:rsidRPr="007B38C6">
        <w:rPr>
          <w:spacing w:val="-2"/>
        </w:rPr>
        <w:t xml:space="preserve"> </w:t>
      </w:r>
      <w:r w:rsidRPr="007B38C6">
        <w:t>analysis</w:t>
      </w:r>
      <w:r w:rsidRPr="007B38C6">
        <w:rPr>
          <w:spacing w:val="-1"/>
        </w:rPr>
        <w:t xml:space="preserve"> </w:t>
      </w:r>
      <w:r w:rsidRPr="007B38C6">
        <w:t>to</w:t>
      </w:r>
      <w:r w:rsidRPr="007B38C6">
        <w:rPr>
          <w:spacing w:val="-4"/>
        </w:rPr>
        <w:t xml:space="preserve"> </w:t>
      </w:r>
      <w:r w:rsidRPr="007B38C6">
        <w:t>support</w:t>
      </w:r>
      <w:r w:rsidRPr="007B38C6">
        <w:rPr>
          <w:spacing w:val="-2"/>
        </w:rPr>
        <w:t xml:space="preserve"> </w:t>
      </w:r>
      <w:r w:rsidRPr="007B38C6">
        <w:t>extrapolation</w:t>
      </w:r>
      <w:r w:rsidRPr="007B38C6">
        <w:rPr>
          <w:spacing w:val="-3"/>
        </w:rPr>
        <w:t xml:space="preserve"> </w:t>
      </w:r>
      <w:r w:rsidRPr="007B38C6">
        <w:t>of</w:t>
      </w:r>
      <w:r w:rsidRPr="007B38C6">
        <w:rPr>
          <w:spacing w:val="-2"/>
        </w:rPr>
        <w:t xml:space="preserve"> </w:t>
      </w:r>
      <w:r w:rsidRPr="007B38C6">
        <w:t>the</w:t>
      </w:r>
      <w:r w:rsidRPr="007B38C6">
        <w:rPr>
          <w:spacing w:val="-4"/>
        </w:rPr>
        <w:t xml:space="preserve"> </w:t>
      </w:r>
      <w:r w:rsidRPr="007B38C6">
        <w:t>data</w:t>
      </w:r>
      <w:r w:rsidRPr="007B38C6">
        <w:rPr>
          <w:spacing w:val="-2"/>
        </w:rPr>
        <w:t xml:space="preserve"> </w:t>
      </w:r>
      <w:r w:rsidRPr="007B38C6">
        <w:t>using</w:t>
      </w:r>
      <w:r w:rsidRPr="007B38C6">
        <w:rPr>
          <w:spacing w:val="-3"/>
        </w:rPr>
        <w:t xml:space="preserve"> </w:t>
      </w:r>
      <w:r w:rsidRPr="007B38C6">
        <w:t>a</w:t>
      </w:r>
      <w:r w:rsidRPr="007B38C6">
        <w:rPr>
          <w:spacing w:val="-2"/>
        </w:rPr>
        <w:t xml:space="preserve"> </w:t>
      </w:r>
      <w:r w:rsidRPr="007B38C6">
        <w:t>minimum</w:t>
      </w:r>
      <w:r w:rsidRPr="007B38C6">
        <w:rPr>
          <w:spacing w:val="-1"/>
        </w:rPr>
        <w:t xml:space="preserve"> </w:t>
      </w:r>
      <w:r w:rsidRPr="007B38C6">
        <w:t>of</w:t>
      </w:r>
      <w:r w:rsidRPr="007B38C6">
        <w:rPr>
          <w:spacing w:val="-2"/>
        </w:rPr>
        <w:t xml:space="preserve"> </w:t>
      </w:r>
      <w:r w:rsidRPr="007B38C6">
        <w:t>four</w:t>
      </w:r>
      <w:r w:rsidRPr="007B38C6">
        <w:rPr>
          <w:spacing w:val="-2"/>
        </w:rPr>
        <w:t xml:space="preserve"> </w:t>
      </w:r>
      <w:r w:rsidRPr="007B38C6">
        <w:t>data</w:t>
      </w:r>
      <w:r w:rsidRPr="007B38C6">
        <w:rPr>
          <w:spacing w:val="-2"/>
        </w:rPr>
        <w:t xml:space="preserve"> </w:t>
      </w:r>
      <w:r w:rsidRPr="007B38C6">
        <w:t>points</w:t>
      </w:r>
    </w:p>
    <w:p w14:paraId="626693F1" w14:textId="3B582090" w:rsidR="00F93DD4" w:rsidRPr="007B38C6" w:rsidRDefault="00F93DD4" w:rsidP="007B38C6">
      <w:pPr>
        <w:pStyle w:val="ListBullet"/>
      </w:pPr>
      <w:r w:rsidRPr="007B38C6">
        <w:t>Appropriate testing time points are typically 0, (1 or 2), (3 or 4), (5 or 6), 9 and 12 months.</w:t>
      </w:r>
      <w:r w:rsidRPr="007B38C6">
        <w:rPr>
          <w:spacing w:val="1"/>
        </w:rPr>
        <w:t xml:space="preserve"> </w:t>
      </w:r>
      <w:r w:rsidRPr="007B38C6">
        <w:t xml:space="preserve">This can be followed by further testing at 24 and 30 months, depending on the length of </w:t>
      </w:r>
      <w:proofErr w:type="gramStart"/>
      <w:r w:rsidRPr="007B38C6">
        <w:t>the</w:t>
      </w:r>
      <w:r w:rsidRPr="007B38C6">
        <w:rPr>
          <w:spacing w:val="-46"/>
        </w:rPr>
        <w:t xml:space="preserve"> </w:t>
      </w:r>
      <w:r w:rsidR="00905CF6" w:rsidRPr="007B38C6">
        <w:rPr>
          <w:spacing w:val="-46"/>
        </w:rPr>
        <w:t xml:space="preserve"> </w:t>
      </w:r>
      <w:r w:rsidRPr="007B38C6">
        <w:t>shelf</w:t>
      </w:r>
      <w:proofErr w:type="gramEnd"/>
      <w:r w:rsidRPr="007B38C6">
        <w:rPr>
          <w:spacing w:val="-2"/>
        </w:rPr>
        <w:t xml:space="preserve"> </w:t>
      </w:r>
      <w:r w:rsidRPr="007B38C6">
        <w:t>life</w:t>
      </w:r>
      <w:r w:rsidRPr="007B38C6">
        <w:rPr>
          <w:spacing w:val="-1"/>
        </w:rPr>
        <w:t xml:space="preserve"> </w:t>
      </w:r>
      <w:r w:rsidRPr="007B38C6">
        <w:t>that</w:t>
      </w:r>
      <w:r w:rsidRPr="007B38C6">
        <w:rPr>
          <w:spacing w:val="-1"/>
        </w:rPr>
        <w:t xml:space="preserve"> </w:t>
      </w:r>
      <w:r w:rsidRPr="007B38C6">
        <w:t>needs to</w:t>
      </w:r>
      <w:r w:rsidRPr="007B38C6">
        <w:rPr>
          <w:spacing w:val="-1"/>
        </w:rPr>
        <w:t xml:space="preserve"> </w:t>
      </w:r>
      <w:r w:rsidRPr="007B38C6">
        <w:t>be</w:t>
      </w:r>
      <w:r w:rsidRPr="007B38C6">
        <w:rPr>
          <w:spacing w:val="-1"/>
        </w:rPr>
        <w:t xml:space="preserve"> </w:t>
      </w:r>
      <w:r w:rsidRPr="007B38C6">
        <w:t>justified.</w:t>
      </w:r>
    </w:p>
    <w:p w14:paraId="144676BF" w14:textId="4AA0A01A" w:rsidR="00F93DD4" w:rsidRPr="007B38C6" w:rsidRDefault="00F93DD4" w:rsidP="00E171A4">
      <w:pPr>
        <w:pStyle w:val="ListBullet"/>
        <w:numPr>
          <w:ilvl w:val="0"/>
          <w:numId w:val="0"/>
        </w:numPr>
      </w:pPr>
      <w:r w:rsidRPr="007B38C6">
        <w:t xml:space="preserve">The accelerated stability data should only be extrapolated as described in the </w:t>
      </w:r>
      <w:r w:rsidR="00C47EC5" w:rsidRPr="007B38C6">
        <w:t>shelf-life</w:t>
      </w:r>
      <w:r w:rsidR="00AD3502" w:rsidRPr="007B38C6">
        <w:t xml:space="preserve"> determination for listed therapeutic sunscreens</w:t>
      </w:r>
      <w:r w:rsidRPr="007B38C6">
        <w:t xml:space="preserve"> subsection if their accuracy, reproducibility and fit around a straight </w:t>
      </w:r>
      <w:r w:rsidR="00C47EC5" w:rsidRPr="007B38C6">
        <w:t>timeline</w:t>
      </w:r>
      <w:r w:rsidRPr="007B38C6">
        <w:t xml:space="preserve"> are adequate</w:t>
      </w:r>
      <w:r w:rsidRPr="00C47EC5">
        <w:rPr>
          <w:rStyle w:val="Hyperlink"/>
          <w:color w:val="auto"/>
          <w:u w:val="none"/>
        </w:rPr>
        <w:t>.</w:t>
      </w:r>
      <w:r w:rsidRPr="007B38C6">
        <w:t xml:space="preserve"> </w:t>
      </w:r>
    </w:p>
    <w:p w14:paraId="5E8EA8C8" w14:textId="0A64934D" w:rsidR="006266F4" w:rsidRPr="007B38C6" w:rsidRDefault="00F93DD4" w:rsidP="007B38C6">
      <w:pPr>
        <w:pStyle w:val="ListBullet"/>
      </w:pPr>
      <w:r w:rsidRPr="007B38C6">
        <w:t xml:space="preserve">A minimum of 4 time-points with a reasonably even spread over the </w:t>
      </w:r>
      <w:proofErr w:type="gramStart"/>
      <w:r w:rsidRPr="007B38C6">
        <w:t>time period</w:t>
      </w:r>
      <w:proofErr w:type="gramEnd"/>
      <w:r w:rsidRPr="007B38C6">
        <w:t xml:space="preserve"> concerned are</w:t>
      </w:r>
      <w:r w:rsidRPr="007B38C6">
        <w:rPr>
          <w:spacing w:val="-2"/>
        </w:rPr>
        <w:t xml:space="preserve"> </w:t>
      </w:r>
      <w:r w:rsidRPr="007B38C6">
        <w:t>needed</w:t>
      </w:r>
      <w:r w:rsidRPr="007B38C6">
        <w:rPr>
          <w:spacing w:val="-1"/>
        </w:rPr>
        <w:t xml:space="preserve"> </w:t>
      </w:r>
      <w:r w:rsidRPr="007B38C6">
        <w:t>for</w:t>
      </w:r>
      <w:r w:rsidRPr="007B38C6">
        <w:rPr>
          <w:spacing w:val="-1"/>
        </w:rPr>
        <w:t xml:space="preserve"> </w:t>
      </w:r>
      <w:r w:rsidRPr="007B38C6">
        <w:t>meaningful</w:t>
      </w:r>
      <w:r w:rsidRPr="007B38C6">
        <w:rPr>
          <w:spacing w:val="-1"/>
        </w:rPr>
        <w:t xml:space="preserve"> </w:t>
      </w:r>
      <w:r w:rsidRPr="007B38C6">
        <w:t>line-fitting</w:t>
      </w:r>
      <w:r w:rsidRPr="007B38C6">
        <w:rPr>
          <w:spacing w:val="-2"/>
        </w:rPr>
        <w:t xml:space="preserve"> </w:t>
      </w:r>
      <w:r w:rsidRPr="007B38C6">
        <w:t>and</w:t>
      </w:r>
      <w:r w:rsidRPr="007B38C6">
        <w:rPr>
          <w:spacing w:val="-1"/>
        </w:rPr>
        <w:t xml:space="preserve"> </w:t>
      </w:r>
      <w:r w:rsidRPr="007B38C6">
        <w:t>95%</w:t>
      </w:r>
      <w:r w:rsidRPr="007B38C6">
        <w:rPr>
          <w:spacing w:val="-1"/>
        </w:rPr>
        <w:t xml:space="preserve"> </w:t>
      </w:r>
      <w:r w:rsidRPr="007B38C6">
        <w:t>CI</w:t>
      </w:r>
      <w:r w:rsidRPr="007B38C6">
        <w:rPr>
          <w:spacing w:val="-2"/>
        </w:rPr>
        <w:t xml:space="preserve"> </w:t>
      </w:r>
      <w:r w:rsidRPr="007B38C6">
        <w:t>calculations.</w:t>
      </w:r>
    </w:p>
    <w:p w14:paraId="012CD32E" w14:textId="7C101061" w:rsidR="00F61A16" w:rsidRPr="00C11A6D" w:rsidRDefault="00C47EC5" w:rsidP="00F61A16">
      <w:pPr>
        <w:pStyle w:val="Heading6"/>
      </w:pPr>
      <w:r w:rsidRPr="00C11A6D">
        <w:t>Shelf</w:t>
      </w:r>
      <w:r w:rsidRPr="00C11A6D">
        <w:rPr>
          <w:spacing w:val="-3"/>
        </w:rPr>
        <w:t>-life</w:t>
      </w:r>
      <w:r w:rsidR="00F61A16" w:rsidRPr="00C11A6D">
        <w:rPr>
          <w:spacing w:val="-5"/>
        </w:rPr>
        <w:t xml:space="preserve"> </w:t>
      </w:r>
      <w:r w:rsidR="00F61A16" w:rsidRPr="00C11A6D">
        <w:t>determination</w:t>
      </w:r>
      <w:r w:rsidR="00F61A16" w:rsidRPr="00C11A6D">
        <w:rPr>
          <w:spacing w:val="-5"/>
        </w:rPr>
        <w:t xml:space="preserve"> </w:t>
      </w:r>
      <w:r w:rsidR="00F61A16" w:rsidRPr="00C11A6D">
        <w:t>for</w:t>
      </w:r>
      <w:r w:rsidR="00F61A16" w:rsidRPr="00C11A6D">
        <w:rPr>
          <w:spacing w:val="-5"/>
        </w:rPr>
        <w:t xml:space="preserve"> </w:t>
      </w:r>
      <w:r w:rsidR="00F61A16" w:rsidRPr="00C11A6D">
        <w:t>listed</w:t>
      </w:r>
      <w:r w:rsidR="00F61A16" w:rsidRPr="00C11A6D">
        <w:rPr>
          <w:spacing w:val="-5"/>
        </w:rPr>
        <w:t xml:space="preserve"> </w:t>
      </w:r>
      <w:r w:rsidR="00F61A16" w:rsidRPr="00C11A6D">
        <w:t>therapeutic</w:t>
      </w:r>
      <w:r w:rsidR="00F61A16" w:rsidRPr="00C11A6D">
        <w:rPr>
          <w:spacing w:val="-3"/>
        </w:rPr>
        <w:t xml:space="preserve"> </w:t>
      </w:r>
      <w:r w:rsidR="00F61A16" w:rsidRPr="00C11A6D">
        <w:t>sunscreens</w:t>
      </w:r>
    </w:p>
    <w:p w14:paraId="2FAE2A0F" w14:textId="77777777" w:rsidR="00F61A16" w:rsidRPr="007B38C6" w:rsidRDefault="00F61A16" w:rsidP="00F61A16">
      <w:r w:rsidRPr="007B38C6">
        <w:t xml:space="preserve">Generally, the maximum shelf life permitted for any therapeutic good is 5 years. </w:t>
      </w:r>
    </w:p>
    <w:p w14:paraId="00B60114" w14:textId="77777777" w:rsidR="007007B1" w:rsidRPr="007B38C6" w:rsidRDefault="00F61A16" w:rsidP="007007B1">
      <w:r w:rsidRPr="007B38C6">
        <w:t>The stability data that is required to support the shelf life of a product with no discernible changes or trends is dependent on the labelled storage conditions.</w:t>
      </w:r>
    </w:p>
    <w:p w14:paraId="0589FFE6" w14:textId="6E3BA1AB" w:rsidR="00F61A16" w:rsidRPr="007B38C6" w:rsidRDefault="00F61A16" w:rsidP="007B38C6">
      <w:pPr>
        <w:pStyle w:val="ListBullet"/>
      </w:pPr>
      <w:r w:rsidRPr="007B38C6">
        <w:t xml:space="preserve">Products labelled with storage conditions </w:t>
      </w:r>
      <w:r w:rsidRPr="007B38C6">
        <w:rPr>
          <w:b/>
          <w:i/>
        </w:rPr>
        <w:t>‘store below 30°C</w:t>
      </w:r>
      <w:r w:rsidRPr="007B38C6">
        <w:rPr>
          <w:b/>
          <w:bCs/>
          <w:i/>
          <w:iCs/>
        </w:rPr>
        <w:t xml:space="preserve">’ </w:t>
      </w:r>
      <w:r w:rsidRPr="007B38C6">
        <w:t>(i.e. storage at room temperature in Australia) require stability data covering:</w:t>
      </w:r>
    </w:p>
    <w:p w14:paraId="1A2ADA8C" w14:textId="77777777" w:rsidR="00F61A16" w:rsidRPr="007B38C6" w:rsidRDefault="00F61A16" w:rsidP="0073748E">
      <w:pPr>
        <w:pStyle w:val="ListBullet2"/>
        <w:numPr>
          <w:ilvl w:val="0"/>
          <w:numId w:val="15"/>
        </w:numPr>
        <w:ind w:left="851" w:hanging="425"/>
        <w:rPr>
          <w:color w:val="auto"/>
        </w:rPr>
      </w:pPr>
      <w:r w:rsidRPr="007B38C6">
        <w:rPr>
          <w:color w:val="auto"/>
        </w:rPr>
        <w:t xml:space="preserve">6 months storage at 40°C to support a 2-year shelf life </w:t>
      </w:r>
    </w:p>
    <w:p w14:paraId="790EE4FA" w14:textId="77777777" w:rsidR="00F61A16" w:rsidRPr="007B38C6" w:rsidRDefault="00F61A16" w:rsidP="0073748E">
      <w:pPr>
        <w:pStyle w:val="ListBullet2"/>
        <w:numPr>
          <w:ilvl w:val="0"/>
          <w:numId w:val="15"/>
        </w:numPr>
        <w:ind w:left="851" w:hanging="425"/>
        <w:rPr>
          <w:color w:val="auto"/>
        </w:rPr>
      </w:pPr>
      <w:r w:rsidRPr="007B38C6">
        <w:rPr>
          <w:color w:val="auto"/>
        </w:rPr>
        <w:t xml:space="preserve">either 9 months at 40°C </w:t>
      </w:r>
      <w:r w:rsidRPr="007B38C6">
        <w:rPr>
          <w:i/>
          <w:color w:val="auto"/>
        </w:rPr>
        <w:t>or</w:t>
      </w:r>
      <w:r w:rsidRPr="007B38C6">
        <w:rPr>
          <w:color w:val="auto"/>
        </w:rPr>
        <w:t xml:space="preserve"> 6 months at 45°C to support a 3-year shelf life</w:t>
      </w:r>
    </w:p>
    <w:p w14:paraId="4B734CE5" w14:textId="77777777" w:rsidR="00F61A16" w:rsidRPr="007B38C6" w:rsidRDefault="00F61A16" w:rsidP="0073748E">
      <w:pPr>
        <w:pStyle w:val="ListBullet2"/>
        <w:numPr>
          <w:ilvl w:val="0"/>
          <w:numId w:val="15"/>
        </w:numPr>
        <w:ind w:left="851" w:hanging="425"/>
        <w:rPr>
          <w:color w:val="auto"/>
        </w:rPr>
      </w:pPr>
      <w:r w:rsidRPr="007B38C6">
        <w:rPr>
          <w:color w:val="auto"/>
        </w:rPr>
        <w:t>data from storage at 40°C covering at least half of the shelf life to support a shelf life greater than 3 years (e.g. 2.5 years accelerated data would be required to support a 5-year shelf life).</w:t>
      </w:r>
    </w:p>
    <w:p w14:paraId="2159D39F" w14:textId="77777777" w:rsidR="00F61A16" w:rsidRPr="007B38C6" w:rsidRDefault="00F61A16" w:rsidP="0073748E">
      <w:pPr>
        <w:pStyle w:val="ListBullet2"/>
        <w:numPr>
          <w:ilvl w:val="0"/>
          <w:numId w:val="14"/>
        </w:numPr>
        <w:ind w:left="426" w:hanging="426"/>
        <w:rPr>
          <w:color w:val="auto"/>
        </w:rPr>
      </w:pPr>
      <w:r w:rsidRPr="007B38C6">
        <w:rPr>
          <w:color w:val="auto"/>
        </w:rPr>
        <w:t xml:space="preserve">Products labelled with storage conditions </w:t>
      </w:r>
      <w:r w:rsidRPr="007B38C6">
        <w:rPr>
          <w:b/>
          <w:bCs/>
          <w:i/>
          <w:iCs/>
          <w:color w:val="auto"/>
        </w:rPr>
        <w:t>‘store below 25°C’</w:t>
      </w:r>
      <w:r w:rsidRPr="007B38C6">
        <w:rPr>
          <w:color w:val="auto"/>
        </w:rPr>
        <w:t xml:space="preserve"> (i.e. the product should be stored in air-conditioned premises) require stability data covering:</w:t>
      </w:r>
    </w:p>
    <w:p w14:paraId="0E1839DB" w14:textId="77777777" w:rsidR="00F61A16" w:rsidRPr="007B38C6" w:rsidRDefault="00F61A16" w:rsidP="0073748E">
      <w:pPr>
        <w:pStyle w:val="ListBullet2"/>
        <w:numPr>
          <w:ilvl w:val="0"/>
          <w:numId w:val="16"/>
        </w:numPr>
        <w:ind w:left="851" w:hanging="425"/>
        <w:rPr>
          <w:color w:val="auto"/>
        </w:rPr>
      </w:pPr>
      <w:r w:rsidRPr="007B38C6">
        <w:rPr>
          <w:color w:val="auto"/>
        </w:rPr>
        <w:t xml:space="preserve">6 months storage at 35°C to support a 2-year shelf life </w:t>
      </w:r>
    </w:p>
    <w:p w14:paraId="527037C9" w14:textId="77777777" w:rsidR="00F61A16" w:rsidRPr="007B38C6" w:rsidRDefault="00F61A16" w:rsidP="0073748E">
      <w:pPr>
        <w:pStyle w:val="ListBullet2"/>
        <w:numPr>
          <w:ilvl w:val="0"/>
          <w:numId w:val="16"/>
        </w:numPr>
        <w:ind w:left="851" w:hanging="425"/>
        <w:rPr>
          <w:color w:val="auto"/>
        </w:rPr>
      </w:pPr>
      <w:r w:rsidRPr="007B38C6">
        <w:rPr>
          <w:color w:val="auto"/>
        </w:rPr>
        <w:t>either 9 months at 35°C or 6 months at 40°C to support a 3-year shelf life</w:t>
      </w:r>
    </w:p>
    <w:p w14:paraId="41D7B719" w14:textId="4026AB59" w:rsidR="00F93DD4" w:rsidRPr="007B38C6" w:rsidRDefault="00F61A16" w:rsidP="0073748E">
      <w:pPr>
        <w:pStyle w:val="ListBullet2"/>
        <w:numPr>
          <w:ilvl w:val="0"/>
          <w:numId w:val="16"/>
        </w:numPr>
        <w:ind w:left="851" w:hanging="425"/>
        <w:rPr>
          <w:color w:val="auto"/>
        </w:rPr>
      </w:pPr>
      <w:r w:rsidRPr="007B38C6">
        <w:rPr>
          <w:color w:val="auto"/>
        </w:rPr>
        <w:t>data from storage at 35°C covering at least half of the shelf life to support a shelf life greater than 3 years.</w:t>
      </w:r>
    </w:p>
    <w:p w14:paraId="0968061B" w14:textId="77777777" w:rsidR="009113FA" w:rsidRPr="00E308CF" w:rsidRDefault="009113FA" w:rsidP="00241222">
      <w:pPr>
        <w:pStyle w:val="Heading2"/>
      </w:pPr>
      <w:bookmarkStart w:id="115" w:name="_Toc120260226"/>
      <w:bookmarkStart w:id="116" w:name="_Toc181273066"/>
      <w:bookmarkStart w:id="117" w:name="_Toc198297291"/>
      <w:bookmarkStart w:id="118" w:name="_Toc204751335"/>
      <w:r w:rsidRPr="00E308CF">
        <w:lastRenderedPageBreak/>
        <w:t>Changing the ARTG entry of listed therapeutic sunscreens</w:t>
      </w:r>
      <w:bookmarkEnd w:id="115"/>
      <w:bookmarkEnd w:id="116"/>
      <w:bookmarkEnd w:id="117"/>
      <w:bookmarkEnd w:id="118"/>
    </w:p>
    <w:p w14:paraId="76BEEF01" w14:textId="174FF636" w:rsidR="009113FA" w:rsidRPr="007B38C6" w:rsidRDefault="009113FA" w:rsidP="009113FA">
      <w:r w:rsidRPr="007B38C6">
        <w:t>Details of the requirements and procedures for making changes to the ARTG record of listed</w:t>
      </w:r>
      <w:r w:rsidRPr="007B38C6">
        <w:rPr>
          <w:spacing w:val="1"/>
        </w:rPr>
        <w:t xml:space="preserve"> </w:t>
      </w:r>
      <w:r w:rsidRPr="007B38C6">
        <w:t xml:space="preserve">therapeutic goods, including sunscreens, are provided in </w:t>
      </w:r>
      <w:hyperlink r:id="rId96">
        <w:r w:rsidRPr="00C47EC5">
          <w:rPr>
            <w:rStyle w:val="Hyperlink"/>
          </w:rPr>
          <w:t>Changing a listed or assessed listed</w:t>
        </w:r>
      </w:hyperlink>
      <w:r w:rsidRPr="00C47EC5">
        <w:rPr>
          <w:rStyle w:val="Hyperlink"/>
        </w:rPr>
        <w:t xml:space="preserve"> </w:t>
      </w:r>
      <w:hyperlink r:id="rId97">
        <w:r w:rsidRPr="00C47EC5">
          <w:rPr>
            <w:rStyle w:val="Hyperlink"/>
          </w:rPr>
          <w:t>medicine</w:t>
        </w:r>
        <w:r w:rsidR="00CC7000" w:rsidRPr="00C47EC5">
          <w:rPr>
            <w:rStyle w:val="Hyperlink"/>
          </w:rPr>
          <w:t xml:space="preserve"> in the Australian Register of Therapeutic Goods (ARTG)</w:t>
        </w:r>
      </w:hyperlink>
      <w:r w:rsidRPr="00E308CF">
        <w:t xml:space="preserve">. </w:t>
      </w:r>
      <w:r w:rsidRPr="007B38C6">
        <w:t>Note that some changes may be made</w:t>
      </w:r>
      <w:r w:rsidRPr="007B38C6">
        <w:rPr>
          <w:spacing w:val="1"/>
        </w:rPr>
        <w:t xml:space="preserve"> </w:t>
      </w:r>
      <w:r w:rsidRPr="007B38C6">
        <w:t>through</w:t>
      </w:r>
      <w:r w:rsidRPr="007B38C6">
        <w:rPr>
          <w:spacing w:val="-1"/>
        </w:rPr>
        <w:t xml:space="preserve"> </w:t>
      </w:r>
      <w:r w:rsidRPr="007B38C6">
        <w:t>a</w:t>
      </w:r>
      <w:r w:rsidRPr="007B38C6">
        <w:rPr>
          <w:spacing w:val="-1"/>
        </w:rPr>
        <w:t xml:space="preserve"> </w:t>
      </w:r>
      <w:r w:rsidRPr="007B38C6">
        <w:t>grouping</w:t>
      </w:r>
      <w:r w:rsidRPr="007B38C6">
        <w:rPr>
          <w:spacing w:val="-3"/>
        </w:rPr>
        <w:t xml:space="preserve"> </w:t>
      </w:r>
      <w:r w:rsidRPr="007B38C6">
        <w:t>application,</w:t>
      </w:r>
      <w:r w:rsidRPr="007B38C6">
        <w:rPr>
          <w:spacing w:val="-1"/>
        </w:rPr>
        <w:t xml:space="preserve"> </w:t>
      </w:r>
      <w:r w:rsidRPr="007B38C6">
        <w:t>which</w:t>
      </w:r>
      <w:r w:rsidRPr="007B38C6">
        <w:rPr>
          <w:spacing w:val="-1"/>
        </w:rPr>
        <w:t xml:space="preserve"> </w:t>
      </w:r>
      <w:r w:rsidRPr="007B38C6">
        <w:t>will</w:t>
      </w:r>
      <w:r w:rsidRPr="007B38C6">
        <w:rPr>
          <w:spacing w:val="-1"/>
        </w:rPr>
        <w:t xml:space="preserve"> </w:t>
      </w:r>
      <w:r w:rsidRPr="007B38C6">
        <w:t>not</w:t>
      </w:r>
      <w:r w:rsidRPr="007B38C6">
        <w:rPr>
          <w:spacing w:val="-2"/>
        </w:rPr>
        <w:t xml:space="preserve"> </w:t>
      </w:r>
      <w:r w:rsidRPr="007B38C6">
        <w:t>require</w:t>
      </w:r>
      <w:r w:rsidRPr="007B38C6">
        <w:rPr>
          <w:spacing w:val="-1"/>
        </w:rPr>
        <w:t xml:space="preserve"> </w:t>
      </w:r>
      <w:r w:rsidRPr="007B38C6">
        <w:t>a</w:t>
      </w:r>
      <w:r w:rsidRPr="007B38C6">
        <w:rPr>
          <w:spacing w:val="-2"/>
        </w:rPr>
        <w:t xml:space="preserve"> </w:t>
      </w:r>
      <w:r w:rsidRPr="007B38C6">
        <w:t>change</w:t>
      </w:r>
      <w:r w:rsidRPr="007B38C6">
        <w:rPr>
          <w:spacing w:val="-1"/>
        </w:rPr>
        <w:t xml:space="preserve"> </w:t>
      </w:r>
      <w:r w:rsidRPr="007B38C6">
        <w:t>to</w:t>
      </w:r>
      <w:r w:rsidRPr="007B38C6">
        <w:rPr>
          <w:spacing w:val="-2"/>
        </w:rPr>
        <w:t xml:space="preserve"> </w:t>
      </w:r>
      <w:r w:rsidRPr="007B38C6">
        <w:t>the</w:t>
      </w:r>
      <w:r w:rsidRPr="007B38C6">
        <w:rPr>
          <w:spacing w:val="-1"/>
        </w:rPr>
        <w:t xml:space="preserve"> </w:t>
      </w:r>
      <w:r w:rsidRPr="007B38C6">
        <w:t>AUST</w:t>
      </w:r>
      <w:r w:rsidRPr="007B38C6">
        <w:rPr>
          <w:spacing w:val="-1"/>
        </w:rPr>
        <w:t xml:space="preserve"> </w:t>
      </w:r>
      <w:r w:rsidRPr="007B38C6">
        <w:t>L</w:t>
      </w:r>
      <w:r w:rsidRPr="007B38C6">
        <w:rPr>
          <w:spacing w:val="-2"/>
        </w:rPr>
        <w:t xml:space="preserve"> </w:t>
      </w:r>
      <w:r w:rsidRPr="007B38C6">
        <w:t xml:space="preserve">number. </w:t>
      </w:r>
    </w:p>
    <w:p w14:paraId="730E3828" w14:textId="77777777" w:rsidR="005E384D" w:rsidRPr="00E308CF" w:rsidRDefault="005E384D" w:rsidP="00241222">
      <w:pPr>
        <w:pStyle w:val="Heading3"/>
      </w:pPr>
      <w:bookmarkStart w:id="119" w:name="_Toc120260227"/>
      <w:bookmarkStart w:id="120" w:name="_Toc181273067"/>
      <w:bookmarkStart w:id="121" w:name="_Toc198297292"/>
      <w:bookmarkStart w:id="122" w:name="_Toc204751336"/>
      <w:r w:rsidRPr="00E308CF">
        <w:t>Changes</w:t>
      </w:r>
      <w:r w:rsidRPr="00E308CF">
        <w:rPr>
          <w:spacing w:val="-3"/>
        </w:rPr>
        <w:t xml:space="preserve"> </w:t>
      </w:r>
      <w:r w:rsidRPr="00E308CF">
        <w:t>to</w:t>
      </w:r>
      <w:r w:rsidRPr="00E308CF">
        <w:rPr>
          <w:spacing w:val="-3"/>
        </w:rPr>
        <w:t xml:space="preserve"> </w:t>
      </w:r>
      <w:r w:rsidRPr="00E308CF">
        <w:t>active</w:t>
      </w:r>
      <w:r w:rsidRPr="00E308CF">
        <w:rPr>
          <w:spacing w:val="-3"/>
        </w:rPr>
        <w:t xml:space="preserve"> </w:t>
      </w:r>
      <w:r w:rsidRPr="00E308CF">
        <w:t>ingredients</w:t>
      </w:r>
      <w:r w:rsidRPr="00E308CF">
        <w:rPr>
          <w:spacing w:val="-3"/>
        </w:rPr>
        <w:t xml:space="preserve"> </w:t>
      </w:r>
      <w:r w:rsidRPr="00E308CF">
        <w:t>in</w:t>
      </w:r>
      <w:r w:rsidRPr="00E308CF">
        <w:rPr>
          <w:spacing w:val="-2"/>
        </w:rPr>
        <w:t xml:space="preserve"> </w:t>
      </w:r>
      <w:r w:rsidRPr="00E308CF">
        <w:t>listed therapeutic</w:t>
      </w:r>
      <w:r w:rsidRPr="00E308CF">
        <w:rPr>
          <w:spacing w:val="-3"/>
        </w:rPr>
        <w:t xml:space="preserve"> </w:t>
      </w:r>
      <w:r w:rsidRPr="00E308CF">
        <w:t>sunscreens</w:t>
      </w:r>
      <w:bookmarkEnd w:id="119"/>
      <w:bookmarkEnd w:id="120"/>
      <w:bookmarkEnd w:id="121"/>
      <w:bookmarkEnd w:id="122"/>
    </w:p>
    <w:p w14:paraId="03D6F63F" w14:textId="756500F7" w:rsidR="00F61A16" w:rsidRPr="007B38C6" w:rsidRDefault="005E384D" w:rsidP="00AD3502">
      <w:pPr>
        <w:pStyle w:val="BodyText"/>
        <w:spacing w:before="126"/>
        <w:rPr>
          <w:rFonts w:cs="Arial"/>
          <w:color w:val="auto"/>
          <w:sz w:val="24"/>
          <w:szCs w:val="24"/>
        </w:rPr>
      </w:pPr>
      <w:r w:rsidRPr="007B38C6">
        <w:rPr>
          <w:color w:val="auto"/>
          <w:sz w:val="24"/>
          <w:szCs w:val="24"/>
        </w:rPr>
        <w:t xml:space="preserve">The addition to or deletion of an active ingredient to a product, or a change to the quantity of such an ingredient, creates a new therapeutic good. Such changes require the sponsor to </w:t>
      </w:r>
      <w:proofErr w:type="gramStart"/>
      <w:r w:rsidRPr="007B38C6">
        <w:rPr>
          <w:color w:val="auto"/>
          <w:sz w:val="24"/>
          <w:szCs w:val="24"/>
        </w:rPr>
        <w:t>submit an application</w:t>
      </w:r>
      <w:proofErr w:type="gramEnd"/>
      <w:r w:rsidRPr="007B38C6">
        <w:rPr>
          <w:color w:val="auto"/>
          <w:sz w:val="24"/>
          <w:szCs w:val="24"/>
        </w:rPr>
        <w:t xml:space="preserve"> for a new entry in the ARTG. Please refer to subsection 16(1A) of the Act and regulation 11 of the Regulations. If the application is successful, a new AUST L number will be assigned to the new product</w:t>
      </w:r>
      <w:r w:rsidRPr="007B38C6">
        <w:rPr>
          <w:rFonts w:cs="Arial"/>
          <w:color w:val="auto"/>
          <w:sz w:val="24"/>
          <w:szCs w:val="24"/>
        </w:rPr>
        <w:t>.</w:t>
      </w:r>
    </w:p>
    <w:p w14:paraId="39756D25" w14:textId="77777777" w:rsidR="006C1EC5" w:rsidRPr="00E308CF" w:rsidRDefault="006C1EC5" w:rsidP="00241222">
      <w:pPr>
        <w:pStyle w:val="Heading3"/>
      </w:pPr>
      <w:bookmarkStart w:id="123" w:name="_Toc120260228"/>
      <w:bookmarkStart w:id="124" w:name="_Toc181273068"/>
      <w:bookmarkStart w:id="125" w:name="_Toc198297293"/>
      <w:bookmarkStart w:id="126" w:name="_Toc204751337"/>
      <w:r w:rsidRPr="00E308CF">
        <w:t>Changes</w:t>
      </w:r>
      <w:r w:rsidRPr="00E308CF">
        <w:rPr>
          <w:spacing w:val="-3"/>
        </w:rPr>
        <w:t xml:space="preserve"> </w:t>
      </w:r>
      <w:r w:rsidRPr="00E308CF">
        <w:t>to</w:t>
      </w:r>
      <w:r w:rsidRPr="00E308CF">
        <w:rPr>
          <w:spacing w:val="-3"/>
        </w:rPr>
        <w:t xml:space="preserve"> </w:t>
      </w:r>
      <w:r w:rsidRPr="00E308CF">
        <w:t>excipient</w:t>
      </w:r>
      <w:r w:rsidRPr="00E308CF">
        <w:rPr>
          <w:spacing w:val="-3"/>
        </w:rPr>
        <w:t xml:space="preserve"> </w:t>
      </w:r>
      <w:r w:rsidRPr="00E308CF">
        <w:t>ingredients</w:t>
      </w:r>
      <w:r w:rsidRPr="00E308CF">
        <w:rPr>
          <w:spacing w:val="-3"/>
        </w:rPr>
        <w:t xml:space="preserve"> </w:t>
      </w:r>
      <w:r w:rsidRPr="00E308CF">
        <w:t>in</w:t>
      </w:r>
      <w:r w:rsidRPr="00E308CF">
        <w:rPr>
          <w:spacing w:val="-3"/>
        </w:rPr>
        <w:t xml:space="preserve"> </w:t>
      </w:r>
      <w:r w:rsidRPr="00E308CF">
        <w:t>listed</w:t>
      </w:r>
      <w:r w:rsidRPr="00E308CF">
        <w:rPr>
          <w:spacing w:val="-3"/>
        </w:rPr>
        <w:t xml:space="preserve"> </w:t>
      </w:r>
      <w:r w:rsidRPr="00E308CF">
        <w:t>therapeutic</w:t>
      </w:r>
      <w:r w:rsidRPr="00E308CF">
        <w:rPr>
          <w:spacing w:val="-3"/>
        </w:rPr>
        <w:t xml:space="preserve"> </w:t>
      </w:r>
      <w:r w:rsidRPr="00E308CF">
        <w:t>sunscreens</w:t>
      </w:r>
      <w:bookmarkEnd w:id="123"/>
      <w:bookmarkEnd w:id="124"/>
      <w:bookmarkEnd w:id="125"/>
      <w:bookmarkEnd w:id="126"/>
    </w:p>
    <w:p w14:paraId="68E8FB48" w14:textId="77777777" w:rsidR="006C1EC5" w:rsidRPr="007B38C6" w:rsidRDefault="006C1EC5" w:rsidP="006C1EC5">
      <w:r w:rsidRPr="007B38C6">
        <w:t>The identities of excipient ingredients in a sunscreen product and the quantities of ‘restricted</w:t>
      </w:r>
      <w:r w:rsidRPr="007B38C6">
        <w:rPr>
          <w:spacing w:val="-46"/>
        </w:rPr>
        <w:t xml:space="preserve"> </w:t>
      </w:r>
      <w:r w:rsidRPr="007B38C6">
        <w:t>ingredients’</w:t>
      </w:r>
      <w:r w:rsidRPr="007B38C6">
        <w:rPr>
          <w:spacing w:val="-3"/>
        </w:rPr>
        <w:t xml:space="preserve"> </w:t>
      </w:r>
      <w:r w:rsidRPr="007B38C6">
        <w:t>are</w:t>
      </w:r>
      <w:r w:rsidRPr="007B38C6">
        <w:rPr>
          <w:spacing w:val="-1"/>
        </w:rPr>
        <w:t xml:space="preserve"> </w:t>
      </w:r>
      <w:r w:rsidRPr="007B38C6">
        <w:t>required</w:t>
      </w:r>
      <w:r w:rsidRPr="007B38C6">
        <w:rPr>
          <w:spacing w:val="-3"/>
        </w:rPr>
        <w:t xml:space="preserve"> </w:t>
      </w:r>
      <w:r w:rsidRPr="007B38C6">
        <w:t>to</w:t>
      </w:r>
      <w:r w:rsidRPr="007B38C6">
        <w:rPr>
          <w:spacing w:val="-1"/>
        </w:rPr>
        <w:t xml:space="preserve"> </w:t>
      </w:r>
      <w:r w:rsidRPr="007B38C6">
        <w:t>be</w:t>
      </w:r>
      <w:r w:rsidRPr="007B38C6">
        <w:rPr>
          <w:spacing w:val="-1"/>
        </w:rPr>
        <w:t xml:space="preserve"> </w:t>
      </w:r>
      <w:r w:rsidRPr="007B38C6">
        <w:t>included</w:t>
      </w:r>
      <w:r w:rsidRPr="007B38C6">
        <w:rPr>
          <w:spacing w:val="-2"/>
        </w:rPr>
        <w:t xml:space="preserve"> </w:t>
      </w:r>
      <w:r w:rsidRPr="007B38C6">
        <w:t>in</w:t>
      </w:r>
      <w:r w:rsidRPr="007B38C6">
        <w:rPr>
          <w:spacing w:val="-2"/>
        </w:rPr>
        <w:t xml:space="preserve"> </w:t>
      </w:r>
      <w:r w:rsidRPr="007B38C6">
        <w:t>the</w:t>
      </w:r>
      <w:r w:rsidRPr="007B38C6">
        <w:rPr>
          <w:spacing w:val="-1"/>
        </w:rPr>
        <w:t xml:space="preserve"> </w:t>
      </w:r>
      <w:r w:rsidRPr="007B38C6">
        <w:t>ARTG</w:t>
      </w:r>
      <w:r w:rsidRPr="007B38C6">
        <w:rPr>
          <w:spacing w:val="-1"/>
        </w:rPr>
        <w:t xml:space="preserve"> </w:t>
      </w:r>
      <w:r w:rsidRPr="007B38C6">
        <w:t>record</w:t>
      </w:r>
      <w:r w:rsidRPr="007B38C6">
        <w:rPr>
          <w:spacing w:val="-1"/>
        </w:rPr>
        <w:t xml:space="preserve"> </w:t>
      </w:r>
      <w:r w:rsidRPr="007B38C6">
        <w:t>for</w:t>
      </w:r>
      <w:r w:rsidRPr="007B38C6">
        <w:rPr>
          <w:spacing w:val="-2"/>
        </w:rPr>
        <w:t xml:space="preserve"> </w:t>
      </w:r>
      <w:r w:rsidRPr="007B38C6">
        <w:t>the</w:t>
      </w:r>
      <w:r w:rsidRPr="007B38C6">
        <w:rPr>
          <w:spacing w:val="-1"/>
        </w:rPr>
        <w:t xml:space="preserve"> </w:t>
      </w:r>
      <w:r w:rsidRPr="007B38C6">
        <w:t>product.</w:t>
      </w:r>
    </w:p>
    <w:p w14:paraId="4CFCE700" w14:textId="77777777" w:rsidR="006C1EC5" w:rsidRPr="007B38C6" w:rsidRDefault="006C1EC5" w:rsidP="006C1EC5">
      <w:r w:rsidRPr="007B38C6">
        <w:t>Quantities of excipients other than restricted excipients are not required to be included in the</w:t>
      </w:r>
      <w:r w:rsidRPr="007B38C6">
        <w:rPr>
          <w:spacing w:val="-46"/>
        </w:rPr>
        <w:t xml:space="preserve"> </w:t>
      </w:r>
      <w:r w:rsidRPr="007B38C6">
        <w:t>ARTG</w:t>
      </w:r>
      <w:r w:rsidRPr="007B38C6">
        <w:rPr>
          <w:spacing w:val="-2"/>
        </w:rPr>
        <w:t xml:space="preserve"> </w:t>
      </w:r>
      <w:r w:rsidRPr="007B38C6">
        <w:t>record</w:t>
      </w:r>
      <w:r w:rsidRPr="007B38C6">
        <w:rPr>
          <w:spacing w:val="-1"/>
        </w:rPr>
        <w:t xml:space="preserve"> </w:t>
      </w:r>
      <w:r w:rsidRPr="007B38C6">
        <w:t>for</w:t>
      </w:r>
      <w:r w:rsidRPr="007B38C6">
        <w:rPr>
          <w:spacing w:val="-1"/>
        </w:rPr>
        <w:t xml:space="preserve"> </w:t>
      </w:r>
      <w:r w:rsidRPr="007B38C6">
        <w:t>listed</w:t>
      </w:r>
      <w:r w:rsidRPr="007B38C6">
        <w:rPr>
          <w:spacing w:val="-1"/>
        </w:rPr>
        <w:t xml:space="preserve"> </w:t>
      </w:r>
      <w:r w:rsidRPr="007B38C6">
        <w:t>sunscreens.</w:t>
      </w:r>
    </w:p>
    <w:p w14:paraId="1D36CFC8" w14:textId="6DCB3496" w:rsidR="006C1EC5" w:rsidRPr="007B38C6" w:rsidRDefault="006C1EC5" w:rsidP="006C1EC5">
      <w:r w:rsidRPr="007B38C6">
        <w:t>Where a change is to be made to the quantity of a restricted excipient and grouping applies in</w:t>
      </w:r>
      <w:r w:rsidRPr="007B38C6">
        <w:rPr>
          <w:spacing w:val="1"/>
        </w:rPr>
        <w:t xml:space="preserve"> </w:t>
      </w:r>
      <w:r w:rsidRPr="007B38C6">
        <w:t>accordance with the Grouping Order subsection 5.1(a)(</w:t>
      </w:r>
      <w:proofErr w:type="spellStart"/>
      <w:r w:rsidRPr="007B38C6">
        <w:t>i</w:t>
      </w:r>
      <w:proofErr w:type="spellEnd"/>
      <w:r w:rsidRPr="007B38C6">
        <w:t>) and (ii) and (b), an electronic</w:t>
      </w:r>
      <w:r w:rsidRPr="007B38C6">
        <w:rPr>
          <w:spacing w:val="1"/>
        </w:rPr>
        <w:t xml:space="preserve"> </w:t>
      </w:r>
      <w:r w:rsidRPr="007B38C6">
        <w:t>application must be lodged to change the formulation details recorded in the ARTG. When</w:t>
      </w:r>
      <w:r w:rsidRPr="007B38C6">
        <w:rPr>
          <w:spacing w:val="1"/>
        </w:rPr>
        <w:t xml:space="preserve"> </w:t>
      </w:r>
      <w:r w:rsidRPr="007B38C6">
        <w:t xml:space="preserve">grouping does not apply, such a change will require a new product </w:t>
      </w:r>
      <w:r w:rsidR="00C47EC5" w:rsidRPr="007B38C6">
        <w:t>application,</w:t>
      </w:r>
      <w:r w:rsidRPr="007B38C6">
        <w:t xml:space="preserve"> and a new AUST L</w:t>
      </w:r>
      <w:r w:rsidRPr="007B38C6">
        <w:rPr>
          <w:spacing w:val="-46"/>
        </w:rPr>
        <w:t xml:space="preserve"> </w:t>
      </w:r>
      <w:r w:rsidRPr="007B38C6">
        <w:t>number</w:t>
      </w:r>
      <w:r w:rsidRPr="007B38C6">
        <w:rPr>
          <w:spacing w:val="-1"/>
        </w:rPr>
        <w:t xml:space="preserve"> </w:t>
      </w:r>
      <w:r w:rsidRPr="007B38C6">
        <w:t>will</w:t>
      </w:r>
      <w:r w:rsidRPr="007B38C6">
        <w:rPr>
          <w:spacing w:val="-1"/>
        </w:rPr>
        <w:t xml:space="preserve"> </w:t>
      </w:r>
      <w:r w:rsidRPr="007B38C6">
        <w:t>be</w:t>
      </w:r>
      <w:r w:rsidRPr="007B38C6">
        <w:rPr>
          <w:spacing w:val="-3"/>
        </w:rPr>
        <w:t xml:space="preserve"> </w:t>
      </w:r>
      <w:r w:rsidRPr="007B38C6">
        <w:t>issued.</w:t>
      </w:r>
    </w:p>
    <w:p w14:paraId="2F14A652" w14:textId="77777777" w:rsidR="00D4329F" w:rsidRPr="00424DC2" w:rsidRDefault="00D4329F" w:rsidP="00D4329F">
      <w:pPr>
        <w:pStyle w:val="Heading5"/>
        <w:rPr>
          <w:rFonts w:cs="Arial"/>
        </w:rPr>
      </w:pPr>
      <w:bookmarkStart w:id="127" w:name="_Toc120260229"/>
      <w:r w:rsidRPr="00424DC2">
        <w:rPr>
          <w:rFonts w:cs="Arial"/>
        </w:rPr>
        <w:t>Deletion or addition of excipient ingredients for listed therapeutic</w:t>
      </w:r>
      <w:r w:rsidRPr="00424DC2">
        <w:rPr>
          <w:rFonts w:cs="Arial"/>
          <w:spacing w:val="-55"/>
        </w:rPr>
        <w:t xml:space="preserve"> </w:t>
      </w:r>
      <w:r w:rsidRPr="00424DC2">
        <w:rPr>
          <w:rFonts w:cs="Arial"/>
        </w:rPr>
        <w:t>sunscreens</w:t>
      </w:r>
      <w:bookmarkEnd w:id="127"/>
    </w:p>
    <w:p w14:paraId="463D717A" w14:textId="77777777" w:rsidR="00D4329F" w:rsidRPr="007B38C6" w:rsidRDefault="00D4329F" w:rsidP="00D4329F">
      <w:r w:rsidRPr="007B38C6">
        <w:t>Deletion or addition of excipients in a therapeutic sunscreen (other than the permanent removal</w:t>
      </w:r>
      <w:r w:rsidRPr="007B38C6">
        <w:rPr>
          <w:spacing w:val="-46"/>
        </w:rPr>
        <w:t xml:space="preserve"> </w:t>
      </w:r>
      <w:r w:rsidRPr="007B38C6">
        <w:t>or addition of a fragrance or colouring agent) creates a new therapeutic good. Such changes</w:t>
      </w:r>
      <w:r w:rsidRPr="007B38C6">
        <w:rPr>
          <w:spacing w:val="1"/>
        </w:rPr>
        <w:t xml:space="preserve"> </w:t>
      </w:r>
      <w:r w:rsidRPr="007B38C6">
        <w:t xml:space="preserve">require the sponsor to </w:t>
      </w:r>
      <w:proofErr w:type="gramStart"/>
      <w:r w:rsidRPr="007B38C6">
        <w:t>submit an application</w:t>
      </w:r>
      <w:proofErr w:type="gramEnd"/>
      <w:r w:rsidRPr="007B38C6">
        <w:t xml:space="preserve"> for a new entry in the ARTG. If the application is</w:t>
      </w:r>
      <w:r w:rsidRPr="007B38C6">
        <w:rPr>
          <w:spacing w:val="1"/>
        </w:rPr>
        <w:t xml:space="preserve"> </w:t>
      </w:r>
      <w:r w:rsidRPr="007B38C6">
        <w:t>successful,</w:t>
      </w:r>
      <w:r w:rsidRPr="007B38C6">
        <w:rPr>
          <w:spacing w:val="-2"/>
        </w:rPr>
        <w:t xml:space="preserve"> </w:t>
      </w:r>
      <w:r w:rsidRPr="007B38C6">
        <w:t>a</w:t>
      </w:r>
      <w:r w:rsidRPr="007B38C6">
        <w:rPr>
          <w:spacing w:val="-1"/>
        </w:rPr>
        <w:t xml:space="preserve"> </w:t>
      </w:r>
      <w:r w:rsidRPr="007B38C6">
        <w:t>new</w:t>
      </w:r>
      <w:r w:rsidRPr="007B38C6">
        <w:rPr>
          <w:spacing w:val="-2"/>
        </w:rPr>
        <w:t xml:space="preserve"> </w:t>
      </w:r>
      <w:r w:rsidRPr="007B38C6">
        <w:t>AUST L</w:t>
      </w:r>
      <w:r w:rsidRPr="007B38C6">
        <w:rPr>
          <w:spacing w:val="-2"/>
        </w:rPr>
        <w:t xml:space="preserve"> </w:t>
      </w:r>
      <w:r w:rsidRPr="007B38C6">
        <w:t>number</w:t>
      </w:r>
      <w:r w:rsidRPr="007B38C6">
        <w:rPr>
          <w:spacing w:val="-1"/>
        </w:rPr>
        <w:t xml:space="preserve"> </w:t>
      </w:r>
      <w:r w:rsidRPr="007B38C6">
        <w:t>will</w:t>
      </w:r>
      <w:r w:rsidRPr="007B38C6">
        <w:rPr>
          <w:spacing w:val="-2"/>
        </w:rPr>
        <w:t xml:space="preserve"> </w:t>
      </w:r>
      <w:r w:rsidRPr="007B38C6">
        <w:t>be</w:t>
      </w:r>
      <w:r w:rsidRPr="007B38C6">
        <w:rPr>
          <w:spacing w:val="-3"/>
        </w:rPr>
        <w:t xml:space="preserve"> </w:t>
      </w:r>
      <w:r w:rsidRPr="007B38C6">
        <w:t>assigned</w:t>
      </w:r>
      <w:r w:rsidRPr="007B38C6">
        <w:rPr>
          <w:spacing w:val="-1"/>
        </w:rPr>
        <w:t xml:space="preserve"> </w:t>
      </w:r>
      <w:r w:rsidRPr="007B38C6">
        <w:t>to</w:t>
      </w:r>
      <w:r w:rsidRPr="007B38C6">
        <w:rPr>
          <w:spacing w:val="-1"/>
        </w:rPr>
        <w:t xml:space="preserve"> </w:t>
      </w:r>
      <w:r w:rsidRPr="007B38C6">
        <w:t>the</w:t>
      </w:r>
      <w:r w:rsidRPr="007B38C6">
        <w:rPr>
          <w:spacing w:val="-1"/>
        </w:rPr>
        <w:t xml:space="preserve"> </w:t>
      </w:r>
      <w:r w:rsidRPr="007B38C6">
        <w:t>new</w:t>
      </w:r>
      <w:r w:rsidRPr="007B38C6">
        <w:rPr>
          <w:spacing w:val="-2"/>
        </w:rPr>
        <w:t xml:space="preserve"> </w:t>
      </w:r>
      <w:r w:rsidRPr="007B38C6">
        <w:t>product.</w:t>
      </w:r>
    </w:p>
    <w:p w14:paraId="67FD710A" w14:textId="77777777" w:rsidR="00FB2C2D" w:rsidRPr="00424DC2" w:rsidRDefault="00FB2C2D" w:rsidP="00FB2C2D">
      <w:pPr>
        <w:pStyle w:val="Heading5"/>
      </w:pPr>
      <w:r w:rsidRPr="00424DC2">
        <w:t>Deletion</w:t>
      </w:r>
      <w:r w:rsidRPr="00424DC2">
        <w:rPr>
          <w:spacing w:val="-3"/>
        </w:rPr>
        <w:t xml:space="preserve"> </w:t>
      </w:r>
      <w:r w:rsidRPr="00424DC2">
        <w:t>or</w:t>
      </w:r>
      <w:r w:rsidRPr="00424DC2">
        <w:rPr>
          <w:spacing w:val="-5"/>
        </w:rPr>
        <w:t xml:space="preserve"> </w:t>
      </w:r>
      <w:r w:rsidRPr="00424DC2">
        <w:t>addition</w:t>
      </w:r>
      <w:r w:rsidRPr="00424DC2">
        <w:rPr>
          <w:spacing w:val="-3"/>
        </w:rPr>
        <w:t xml:space="preserve"> </w:t>
      </w:r>
      <w:r w:rsidRPr="00424DC2">
        <w:t>of</w:t>
      </w:r>
      <w:r w:rsidRPr="00424DC2">
        <w:rPr>
          <w:spacing w:val="-5"/>
        </w:rPr>
        <w:t xml:space="preserve"> </w:t>
      </w:r>
      <w:r w:rsidRPr="00424DC2">
        <w:t>fragrance</w:t>
      </w:r>
      <w:r w:rsidRPr="00424DC2">
        <w:rPr>
          <w:spacing w:val="-4"/>
        </w:rPr>
        <w:t xml:space="preserve"> </w:t>
      </w:r>
      <w:r w:rsidRPr="00424DC2">
        <w:t>or</w:t>
      </w:r>
      <w:r w:rsidRPr="00424DC2">
        <w:rPr>
          <w:spacing w:val="-4"/>
        </w:rPr>
        <w:t xml:space="preserve"> </w:t>
      </w:r>
      <w:r w:rsidRPr="00424DC2">
        <w:t>colour</w:t>
      </w:r>
      <w:r w:rsidRPr="00424DC2">
        <w:rPr>
          <w:spacing w:val="-5"/>
        </w:rPr>
        <w:t xml:space="preserve"> </w:t>
      </w:r>
      <w:r w:rsidRPr="00424DC2">
        <w:t>for</w:t>
      </w:r>
      <w:r w:rsidRPr="00424DC2">
        <w:rPr>
          <w:spacing w:val="-4"/>
        </w:rPr>
        <w:t xml:space="preserve"> </w:t>
      </w:r>
      <w:r w:rsidRPr="00424DC2">
        <w:t>listed</w:t>
      </w:r>
      <w:r w:rsidRPr="00424DC2">
        <w:rPr>
          <w:spacing w:val="-4"/>
        </w:rPr>
        <w:t xml:space="preserve"> </w:t>
      </w:r>
      <w:r w:rsidRPr="00424DC2">
        <w:t>therapeutic</w:t>
      </w:r>
      <w:r w:rsidRPr="00424DC2">
        <w:rPr>
          <w:spacing w:val="-4"/>
        </w:rPr>
        <w:t xml:space="preserve"> </w:t>
      </w:r>
      <w:r w:rsidRPr="00424DC2">
        <w:t>sunscreens</w:t>
      </w:r>
    </w:p>
    <w:p w14:paraId="00E676CF" w14:textId="77777777" w:rsidR="00FB2C2D" w:rsidRPr="007B38C6" w:rsidRDefault="00FB2C2D" w:rsidP="00FB2C2D">
      <w:pPr>
        <w:rPr>
          <w:iCs/>
          <w:szCs w:val="22"/>
        </w:rPr>
      </w:pPr>
      <w:r w:rsidRPr="007B38C6">
        <w:rPr>
          <w:iCs/>
          <w:szCs w:val="22"/>
        </w:rPr>
        <w:t xml:space="preserve">If the excipient to be added or removed is a fragrance or colouring agent then, notwithstanding that a new therapeutic good is created, the new product can retain the same AUST L number under the </w:t>
      </w:r>
      <w:hyperlink r:id="rId98">
        <w:r w:rsidRPr="00C47EC5">
          <w:rPr>
            <w:rStyle w:val="Hyperlink"/>
          </w:rPr>
          <w:t xml:space="preserve">Therapeutic Goods (Groups) Order No. 1 of 2001 </w:t>
        </w:r>
      </w:hyperlink>
      <w:r w:rsidRPr="007B38C6">
        <w:rPr>
          <w:iCs/>
          <w:szCs w:val="22"/>
        </w:rPr>
        <w:t>(the Grouping Order) provided the new formulation is intended to replace the existing formulation. However, an electronic application must be submitted to change the formulation recorded in the ARTG.</w:t>
      </w:r>
    </w:p>
    <w:p w14:paraId="7F702629" w14:textId="77777777" w:rsidR="00FB6344" w:rsidRPr="00C11A6D" w:rsidRDefault="00FB6344" w:rsidP="00FB6344">
      <w:pPr>
        <w:pStyle w:val="Heading5"/>
      </w:pPr>
      <w:r w:rsidRPr="00C11A6D">
        <w:lastRenderedPageBreak/>
        <w:t>Changes</w:t>
      </w:r>
      <w:r w:rsidRPr="00C11A6D">
        <w:rPr>
          <w:spacing w:val="-4"/>
        </w:rPr>
        <w:t xml:space="preserve"> </w:t>
      </w:r>
      <w:r w:rsidRPr="00C11A6D">
        <w:t>that</w:t>
      </w:r>
      <w:r w:rsidRPr="00C11A6D">
        <w:rPr>
          <w:spacing w:val="-3"/>
        </w:rPr>
        <w:t xml:space="preserve"> </w:t>
      </w:r>
      <w:r w:rsidRPr="00C11A6D">
        <w:t>may</w:t>
      </w:r>
      <w:r w:rsidRPr="00C11A6D">
        <w:rPr>
          <w:spacing w:val="-5"/>
        </w:rPr>
        <w:t xml:space="preserve"> </w:t>
      </w:r>
      <w:r w:rsidRPr="00C11A6D">
        <w:t>affect</w:t>
      </w:r>
      <w:r w:rsidRPr="00C11A6D">
        <w:rPr>
          <w:spacing w:val="-3"/>
        </w:rPr>
        <w:t xml:space="preserve"> </w:t>
      </w:r>
      <w:r w:rsidRPr="00C11A6D">
        <w:t>SPF</w:t>
      </w:r>
      <w:r w:rsidRPr="00C11A6D">
        <w:rPr>
          <w:spacing w:val="-3"/>
        </w:rPr>
        <w:t xml:space="preserve"> </w:t>
      </w:r>
      <w:r w:rsidRPr="00C11A6D">
        <w:t>properties</w:t>
      </w:r>
      <w:r w:rsidRPr="00C11A6D">
        <w:rPr>
          <w:spacing w:val="-1"/>
        </w:rPr>
        <w:t xml:space="preserve"> </w:t>
      </w:r>
      <w:r w:rsidRPr="00C11A6D">
        <w:t>of</w:t>
      </w:r>
      <w:r w:rsidRPr="00C11A6D">
        <w:rPr>
          <w:spacing w:val="-5"/>
        </w:rPr>
        <w:t xml:space="preserve"> </w:t>
      </w:r>
      <w:r w:rsidRPr="00C11A6D">
        <w:t>listed</w:t>
      </w:r>
      <w:r w:rsidRPr="00C11A6D">
        <w:rPr>
          <w:spacing w:val="-5"/>
        </w:rPr>
        <w:t xml:space="preserve"> </w:t>
      </w:r>
      <w:r w:rsidRPr="00C11A6D">
        <w:t>therapeutic</w:t>
      </w:r>
      <w:r w:rsidRPr="00C11A6D">
        <w:rPr>
          <w:spacing w:val="-1"/>
        </w:rPr>
        <w:t xml:space="preserve"> </w:t>
      </w:r>
      <w:r w:rsidRPr="00C11A6D">
        <w:t>sunscreens</w:t>
      </w:r>
    </w:p>
    <w:p w14:paraId="0C74E4B7" w14:textId="46AC99E9" w:rsidR="00FB6344" w:rsidRPr="007B38C6" w:rsidRDefault="00FB6344" w:rsidP="00FB6344">
      <w:r w:rsidRPr="007B38C6">
        <w:t>Sponsors should recognise that the SPF and other physical properties of a sunscreen are affected</w:t>
      </w:r>
      <w:r w:rsidRPr="007B38C6">
        <w:rPr>
          <w:spacing w:val="-46"/>
        </w:rPr>
        <w:t xml:space="preserve"> </w:t>
      </w:r>
      <w:r w:rsidRPr="007B38C6">
        <w:t>not only by the active ingredients, but also by the base. Therefore, qualitative or quantitative</w:t>
      </w:r>
      <w:r w:rsidRPr="007B38C6">
        <w:rPr>
          <w:spacing w:val="1"/>
        </w:rPr>
        <w:t xml:space="preserve"> </w:t>
      </w:r>
      <w:r w:rsidRPr="007B38C6">
        <w:t>changes in the excipients may adversely affect the SPF. Testing of a changed formulation to</w:t>
      </w:r>
      <w:r w:rsidRPr="007B38C6">
        <w:rPr>
          <w:spacing w:val="1"/>
        </w:rPr>
        <w:t xml:space="preserve"> </w:t>
      </w:r>
      <w:r w:rsidRPr="007B38C6">
        <w:t>confirm its SPF or stability may be required if the changes are likely to affect the emulsion</w:t>
      </w:r>
      <w:r w:rsidRPr="007B38C6">
        <w:rPr>
          <w:spacing w:val="1"/>
        </w:rPr>
        <w:t xml:space="preserve"> </w:t>
      </w:r>
      <w:r w:rsidRPr="007B38C6">
        <w:t>properties or the adhesion of the product to the skin in a way that could alter its sun protection</w:t>
      </w:r>
      <w:r w:rsidRPr="007B38C6">
        <w:rPr>
          <w:spacing w:val="1"/>
        </w:rPr>
        <w:t xml:space="preserve"> </w:t>
      </w:r>
      <w:r w:rsidRPr="007B38C6">
        <w:t>properties.</w:t>
      </w:r>
    </w:p>
    <w:p w14:paraId="2123E07C" w14:textId="77777777" w:rsidR="0078662D" w:rsidRPr="00E308CF" w:rsidRDefault="0078662D" w:rsidP="00241222">
      <w:pPr>
        <w:pStyle w:val="Heading3"/>
      </w:pPr>
      <w:bookmarkStart w:id="128" w:name="_Toc120260230"/>
      <w:bookmarkStart w:id="129" w:name="_Toc181273069"/>
      <w:bookmarkStart w:id="130" w:name="_Toc198297294"/>
      <w:bookmarkStart w:id="131" w:name="_Toc204751338"/>
      <w:r w:rsidRPr="00E308CF">
        <w:t>Other</w:t>
      </w:r>
      <w:r w:rsidRPr="00E308CF">
        <w:rPr>
          <w:spacing w:val="-3"/>
        </w:rPr>
        <w:t xml:space="preserve"> </w:t>
      </w:r>
      <w:r w:rsidRPr="00E308CF">
        <w:t>changes</w:t>
      </w:r>
      <w:r w:rsidRPr="00E308CF">
        <w:rPr>
          <w:spacing w:val="-2"/>
        </w:rPr>
        <w:t xml:space="preserve"> </w:t>
      </w:r>
      <w:r w:rsidRPr="00E308CF">
        <w:t>to</w:t>
      </w:r>
      <w:r w:rsidRPr="00E308CF">
        <w:rPr>
          <w:spacing w:val="-3"/>
        </w:rPr>
        <w:t xml:space="preserve"> </w:t>
      </w:r>
      <w:r w:rsidRPr="00E308CF">
        <w:t>listed</w:t>
      </w:r>
      <w:r w:rsidRPr="00E308CF">
        <w:rPr>
          <w:spacing w:val="-2"/>
        </w:rPr>
        <w:t xml:space="preserve"> </w:t>
      </w:r>
      <w:r w:rsidRPr="00E308CF">
        <w:t>therapeutic</w:t>
      </w:r>
      <w:r w:rsidRPr="00E308CF">
        <w:rPr>
          <w:spacing w:val="-3"/>
        </w:rPr>
        <w:t xml:space="preserve"> </w:t>
      </w:r>
      <w:r w:rsidRPr="00E308CF">
        <w:t>sunscreens</w:t>
      </w:r>
      <w:bookmarkEnd w:id="128"/>
      <w:bookmarkEnd w:id="129"/>
      <w:bookmarkEnd w:id="130"/>
      <w:bookmarkEnd w:id="131"/>
    </w:p>
    <w:p w14:paraId="7867C9A3" w14:textId="187BF210" w:rsidR="0078662D" w:rsidRPr="007B38C6" w:rsidRDefault="0078662D" w:rsidP="0078662D">
      <w:r w:rsidRPr="007B38C6">
        <w:t>Changes to the ARTG details of a sunscreen product must be approved by or notified to the TGA (using the ELF system in the case of a listed sunscreen). Whether or not grouping applies, a</w:t>
      </w:r>
      <w:r w:rsidRPr="007B38C6">
        <w:rPr>
          <w:spacing w:val="1"/>
        </w:rPr>
        <w:t xml:space="preserve"> </w:t>
      </w:r>
      <w:r w:rsidRPr="007B38C6">
        <w:t>change</w:t>
      </w:r>
      <w:r w:rsidRPr="007B38C6">
        <w:rPr>
          <w:spacing w:val="-2"/>
        </w:rPr>
        <w:t xml:space="preserve"> </w:t>
      </w:r>
      <w:r w:rsidRPr="007B38C6">
        <w:t>to</w:t>
      </w:r>
      <w:r w:rsidRPr="007B38C6">
        <w:rPr>
          <w:spacing w:val="-1"/>
        </w:rPr>
        <w:t xml:space="preserve"> </w:t>
      </w:r>
      <w:r w:rsidRPr="007B38C6">
        <w:t>the</w:t>
      </w:r>
      <w:r w:rsidRPr="007B38C6">
        <w:rPr>
          <w:spacing w:val="-1"/>
        </w:rPr>
        <w:t xml:space="preserve"> </w:t>
      </w:r>
      <w:r w:rsidRPr="007B38C6">
        <w:t>product</w:t>
      </w:r>
      <w:r w:rsidRPr="007B38C6">
        <w:rPr>
          <w:spacing w:val="-1"/>
        </w:rPr>
        <w:t xml:space="preserve"> </w:t>
      </w:r>
      <w:r w:rsidRPr="007B38C6">
        <w:t>name</w:t>
      </w:r>
      <w:r w:rsidRPr="007B38C6">
        <w:rPr>
          <w:spacing w:val="-1"/>
        </w:rPr>
        <w:t xml:space="preserve"> </w:t>
      </w:r>
      <w:r w:rsidRPr="007B38C6">
        <w:t>requires approval.</w:t>
      </w:r>
    </w:p>
    <w:p w14:paraId="79F14F20" w14:textId="77777777" w:rsidR="006C1EC5" w:rsidRDefault="006C1EC5" w:rsidP="007B38C6">
      <w:pPr>
        <w:pStyle w:val="ListBullet"/>
        <w:numPr>
          <w:ilvl w:val="0"/>
          <w:numId w:val="0"/>
        </w:numPr>
      </w:pPr>
    </w:p>
    <w:p w14:paraId="44E4A181" w14:textId="77777777" w:rsidR="00C70679" w:rsidRDefault="00C70679">
      <w:pPr>
        <w:rPr>
          <w:b/>
          <w:bCs/>
          <w:color w:val="001871"/>
          <w:sz w:val="38"/>
          <w:szCs w:val="32"/>
        </w:rPr>
      </w:pPr>
      <w:bookmarkStart w:id="132" w:name="_Toc181273071"/>
      <w:bookmarkStart w:id="133" w:name="_Toc198297295"/>
      <w:r>
        <w:br w:type="page"/>
      </w:r>
    </w:p>
    <w:p w14:paraId="74C72A0F" w14:textId="756BD559" w:rsidR="00B07873" w:rsidRPr="00E308CF" w:rsidRDefault="00B07873" w:rsidP="00B07873">
      <w:pPr>
        <w:pStyle w:val="Heading2"/>
      </w:pPr>
      <w:bookmarkStart w:id="134" w:name="_Toc204751339"/>
      <w:r w:rsidRPr="00E308CF">
        <w:lastRenderedPageBreak/>
        <w:t>Appendix 1: Indications permitted for use in listed therapeutic sunscreens</w:t>
      </w:r>
      <w:bookmarkEnd w:id="132"/>
      <w:bookmarkEnd w:id="133"/>
      <w:bookmarkEnd w:id="134"/>
    </w:p>
    <w:p w14:paraId="17A5790A" w14:textId="1BD6530A" w:rsidR="00B07873" w:rsidRPr="007B38C6" w:rsidRDefault="00B07873" w:rsidP="00B07873">
      <w:r w:rsidRPr="007B38C6">
        <w:t>Indications permitted for use in listed therapeutic sunscreens at the time of publication of th</w:t>
      </w:r>
      <w:r w:rsidR="00887DFF" w:rsidRPr="007B38C6">
        <w:t>is</w:t>
      </w:r>
      <w:r w:rsidRPr="007B38C6">
        <w:t xml:space="preserve"> Guid</w:t>
      </w:r>
      <w:r w:rsidR="00887DFF" w:rsidRPr="007B38C6">
        <w:t>ance</w:t>
      </w:r>
      <w:r w:rsidRPr="007B38C6">
        <w:t xml:space="preserve"> are listed</w:t>
      </w:r>
      <w:r w:rsidRPr="007B38C6">
        <w:rPr>
          <w:spacing w:val="-1"/>
        </w:rPr>
        <w:t xml:space="preserve"> </w:t>
      </w:r>
      <w:r w:rsidRPr="007B38C6">
        <w:t>in</w:t>
      </w:r>
      <w:r w:rsidRPr="007B38C6">
        <w:rPr>
          <w:spacing w:val="-2"/>
        </w:rPr>
        <w:t xml:space="preserve"> </w:t>
      </w:r>
      <w:r w:rsidRPr="007B38C6">
        <w:t>Table</w:t>
      </w:r>
      <w:r w:rsidRPr="007B38C6">
        <w:rPr>
          <w:spacing w:val="-1"/>
        </w:rPr>
        <w:t xml:space="preserve"> </w:t>
      </w:r>
      <w:r w:rsidRPr="007B38C6">
        <w:t>7.</w:t>
      </w:r>
    </w:p>
    <w:p w14:paraId="44AF7136" w14:textId="199707C0" w:rsidR="00C31794" w:rsidRDefault="00C31794" w:rsidP="0074463D">
      <w:pPr>
        <w:pStyle w:val="Calloutforkeyinformation"/>
        <w:rPr>
          <w:b/>
          <w:i/>
        </w:rPr>
      </w:pPr>
      <w:r w:rsidRPr="00C31794">
        <w:rPr>
          <w:b/>
          <w:bCs w:val="0"/>
        </w:rPr>
        <w:t>Note</w:t>
      </w:r>
    </w:p>
    <w:p w14:paraId="6C2AEAE4" w14:textId="7A11DBF8" w:rsidR="00957F4D" w:rsidRPr="007B38C6" w:rsidRDefault="0074463D" w:rsidP="0074463D">
      <w:pPr>
        <w:pStyle w:val="Calloutforkeyinformation"/>
      </w:pPr>
      <w:r w:rsidRPr="007B38C6">
        <w:t>Table 7 includes only those indications that were included in the</w:t>
      </w:r>
      <w:r w:rsidRPr="007B38C6">
        <w:rPr>
          <w:spacing w:val="-46"/>
        </w:rPr>
        <w:t xml:space="preserve"> </w:t>
      </w:r>
      <w:r w:rsidRPr="007B38C6">
        <w:t>Therapeutic</w:t>
      </w:r>
      <w:r w:rsidRPr="007B38C6">
        <w:rPr>
          <w:spacing w:val="-2"/>
        </w:rPr>
        <w:t xml:space="preserve"> </w:t>
      </w:r>
      <w:r w:rsidRPr="007B38C6">
        <w:t>Goods</w:t>
      </w:r>
      <w:r w:rsidRPr="007B38C6">
        <w:rPr>
          <w:spacing w:val="-2"/>
        </w:rPr>
        <w:t xml:space="preserve"> </w:t>
      </w:r>
      <w:r w:rsidRPr="007B38C6">
        <w:t>(Permissible</w:t>
      </w:r>
      <w:r w:rsidRPr="007B38C6">
        <w:rPr>
          <w:spacing w:val="-5"/>
        </w:rPr>
        <w:t xml:space="preserve"> </w:t>
      </w:r>
      <w:r w:rsidRPr="007B38C6">
        <w:t>Indications)</w:t>
      </w:r>
      <w:r w:rsidRPr="007B38C6">
        <w:rPr>
          <w:spacing w:val="-3"/>
        </w:rPr>
        <w:t xml:space="preserve"> </w:t>
      </w:r>
      <w:r w:rsidRPr="007B38C6">
        <w:t>Determination</w:t>
      </w:r>
      <w:r w:rsidRPr="007B38C6">
        <w:rPr>
          <w:spacing w:val="-3"/>
        </w:rPr>
        <w:t xml:space="preserve"> </w:t>
      </w:r>
      <w:r w:rsidRPr="007B38C6">
        <w:t>at the time of publication.</w:t>
      </w:r>
      <w:r w:rsidRPr="007B38C6">
        <w:rPr>
          <w:spacing w:val="-3"/>
        </w:rPr>
        <w:t xml:space="preserve"> </w:t>
      </w:r>
      <w:r w:rsidRPr="007B38C6">
        <w:t>It</w:t>
      </w:r>
      <w:r w:rsidRPr="007B38C6">
        <w:rPr>
          <w:spacing w:val="-2"/>
        </w:rPr>
        <w:t xml:space="preserve"> </w:t>
      </w:r>
      <w:r w:rsidRPr="007B38C6">
        <w:t xml:space="preserve">is the sponsor’s responsibility to check the current </w:t>
      </w:r>
      <w:hyperlink r:id="rId99" w:anchor="permissible-indications">
        <w:r w:rsidRPr="00C47EC5">
          <w:rPr>
            <w:rStyle w:val="Hyperlink"/>
          </w:rPr>
          <w:t>Permissible Indications</w:t>
        </w:r>
      </w:hyperlink>
      <w:r w:rsidRPr="00C47EC5">
        <w:rPr>
          <w:rStyle w:val="Hyperlink"/>
        </w:rPr>
        <w:t xml:space="preserve"> </w:t>
      </w:r>
      <w:hyperlink r:id="rId100" w:anchor="pi">
        <w:r w:rsidRPr="00C47EC5">
          <w:rPr>
            <w:rStyle w:val="Hyperlink"/>
          </w:rPr>
          <w:t xml:space="preserve">Determination </w:t>
        </w:r>
      </w:hyperlink>
      <w:r w:rsidRPr="007B38C6">
        <w:t>to</w:t>
      </w:r>
      <w:r w:rsidRPr="007B38C6">
        <w:rPr>
          <w:spacing w:val="-1"/>
        </w:rPr>
        <w:t xml:space="preserve"> </w:t>
      </w:r>
      <w:r w:rsidRPr="007B38C6">
        <w:t>ensure</w:t>
      </w:r>
      <w:r w:rsidRPr="007B38C6">
        <w:rPr>
          <w:spacing w:val="-1"/>
        </w:rPr>
        <w:t xml:space="preserve"> </w:t>
      </w:r>
      <w:r w:rsidRPr="007B38C6">
        <w:t>that</w:t>
      </w:r>
      <w:r w:rsidRPr="007B38C6">
        <w:rPr>
          <w:spacing w:val="-2"/>
        </w:rPr>
        <w:t xml:space="preserve"> </w:t>
      </w:r>
      <w:r w:rsidRPr="007B38C6">
        <w:t>indication</w:t>
      </w:r>
      <w:r w:rsidRPr="007B38C6">
        <w:rPr>
          <w:spacing w:val="-1"/>
        </w:rPr>
        <w:t xml:space="preserve"> </w:t>
      </w:r>
      <w:r w:rsidRPr="007B38C6">
        <w:t>information</w:t>
      </w:r>
      <w:r w:rsidRPr="007B38C6">
        <w:rPr>
          <w:spacing w:val="-2"/>
        </w:rPr>
        <w:t xml:space="preserve"> </w:t>
      </w:r>
      <w:r w:rsidRPr="007B38C6">
        <w:t>is</w:t>
      </w:r>
      <w:r w:rsidRPr="007B38C6">
        <w:rPr>
          <w:spacing w:val="-1"/>
        </w:rPr>
        <w:t xml:space="preserve"> </w:t>
      </w:r>
      <w:r w:rsidRPr="007B38C6">
        <w:t>correct.</w:t>
      </w:r>
    </w:p>
    <w:p w14:paraId="2B9AB83D" w14:textId="77777777" w:rsidR="00A31588" w:rsidRPr="00E308CF" w:rsidRDefault="00A31588" w:rsidP="00A31588">
      <w:pPr>
        <w:pStyle w:val="Tabletitle"/>
      </w:pPr>
      <w:r w:rsidRPr="00E308CF">
        <w:t xml:space="preserve">Table </w:t>
      </w:r>
      <w:r>
        <w:t>7</w:t>
      </w:r>
      <w:r w:rsidRPr="00E308CF">
        <w:t xml:space="preserve">. Indications permitted for use in listed therapeutic sunscreens </w:t>
      </w:r>
    </w:p>
    <w:tbl>
      <w:tblPr>
        <w:tblW w:w="9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26"/>
        <w:gridCol w:w="4524"/>
      </w:tblGrid>
      <w:tr w:rsidR="00A3230F" w:rsidRPr="00E308CF" w14:paraId="4A7CE20A" w14:textId="77777777" w:rsidTr="00F5642D">
        <w:trPr>
          <w:trHeight w:val="558"/>
          <w:tblHeader/>
        </w:trPr>
        <w:tc>
          <w:tcPr>
            <w:tcW w:w="4526" w:type="dxa"/>
            <w:shd w:val="clear" w:color="auto" w:fill="E7E6E6" w:themeFill="background2"/>
          </w:tcPr>
          <w:p w14:paraId="3156B46B" w14:textId="77777777" w:rsidR="00A3230F" w:rsidRPr="00E600B9" w:rsidRDefault="00A3230F" w:rsidP="00420179">
            <w:pPr>
              <w:pStyle w:val="TableParagraph"/>
              <w:rPr>
                <w:rFonts w:ascii="Arial" w:hAnsi="Arial" w:cs="Arial"/>
                <w:b/>
                <w:color w:val="000000" w:themeColor="text1"/>
              </w:rPr>
            </w:pPr>
            <w:r w:rsidRPr="00E600B9">
              <w:rPr>
                <w:rFonts w:ascii="Arial" w:hAnsi="Arial" w:cs="Arial"/>
                <w:b/>
                <w:color w:val="000000" w:themeColor="text1"/>
              </w:rPr>
              <w:t>Indication</w:t>
            </w:r>
          </w:p>
        </w:tc>
        <w:tc>
          <w:tcPr>
            <w:tcW w:w="4524" w:type="dxa"/>
            <w:shd w:val="clear" w:color="auto" w:fill="E7E6E6" w:themeFill="background2"/>
          </w:tcPr>
          <w:p w14:paraId="665448E2" w14:textId="77777777" w:rsidR="00A3230F" w:rsidRPr="00E600B9" w:rsidRDefault="00A3230F" w:rsidP="00420179">
            <w:pPr>
              <w:pStyle w:val="TableParagraph"/>
              <w:rPr>
                <w:rFonts w:ascii="Arial" w:hAnsi="Arial" w:cs="Arial"/>
                <w:b/>
                <w:color w:val="000000" w:themeColor="text1"/>
              </w:rPr>
            </w:pPr>
            <w:r w:rsidRPr="00E600B9">
              <w:rPr>
                <w:rFonts w:ascii="Arial" w:hAnsi="Arial" w:cs="Arial"/>
                <w:b/>
                <w:color w:val="000000" w:themeColor="text1"/>
              </w:rPr>
              <w:t>Requirement</w:t>
            </w:r>
          </w:p>
        </w:tc>
      </w:tr>
      <w:tr w:rsidR="00A3230F" w:rsidRPr="00E308CF" w14:paraId="158DA8FD" w14:textId="77777777" w:rsidTr="00F5642D">
        <w:trPr>
          <w:trHeight w:val="624"/>
        </w:trPr>
        <w:tc>
          <w:tcPr>
            <w:tcW w:w="4526" w:type="dxa"/>
          </w:tcPr>
          <w:p w14:paraId="33F86E9A" w14:textId="77777777" w:rsidR="00A3230F" w:rsidRPr="007B38C6" w:rsidRDefault="00A3230F" w:rsidP="00420179">
            <w:pPr>
              <w:pStyle w:val="TableParagraph"/>
              <w:ind w:right="289"/>
              <w:rPr>
                <w:rFonts w:ascii="Arial" w:hAnsi="Arial" w:cs="Arial"/>
              </w:rPr>
            </w:pPr>
            <w:r w:rsidRPr="007B38C6">
              <w:rPr>
                <w:rFonts w:ascii="Arial" w:hAnsi="Arial" w:cs="Arial"/>
              </w:rPr>
              <w:t>Can aid in the prevention of premature skin</w:t>
            </w:r>
            <w:r w:rsidRPr="007B38C6">
              <w:rPr>
                <w:rFonts w:ascii="Arial" w:hAnsi="Arial" w:cs="Arial"/>
                <w:spacing w:val="-46"/>
              </w:rPr>
              <w:t xml:space="preserve"> </w:t>
            </w:r>
            <w:r w:rsidRPr="007B38C6">
              <w:rPr>
                <w:rFonts w:ascii="Arial" w:hAnsi="Arial" w:cs="Arial"/>
              </w:rPr>
              <w:t>ageing</w:t>
            </w:r>
            <w:r w:rsidRPr="007B38C6">
              <w:rPr>
                <w:rFonts w:ascii="Arial" w:hAnsi="Arial" w:cs="Arial"/>
                <w:spacing w:val="-3"/>
              </w:rPr>
              <w:t xml:space="preserve"> </w:t>
            </w:r>
            <w:r w:rsidRPr="007B38C6">
              <w:rPr>
                <w:rFonts w:ascii="Arial" w:hAnsi="Arial" w:cs="Arial"/>
              </w:rPr>
              <w:t>(sunscreen)</w:t>
            </w:r>
          </w:p>
        </w:tc>
        <w:tc>
          <w:tcPr>
            <w:tcW w:w="4524" w:type="dxa"/>
          </w:tcPr>
          <w:p w14:paraId="5CB7E309" w14:textId="77777777" w:rsidR="00A3230F" w:rsidRPr="007B38C6" w:rsidRDefault="00A3230F" w:rsidP="00420179">
            <w:pPr>
              <w:pStyle w:val="TableParagraph"/>
              <w:rPr>
                <w:rFonts w:ascii="Arial" w:hAnsi="Arial" w:cs="Arial"/>
              </w:rPr>
            </w:pPr>
            <w:r w:rsidRPr="007B38C6">
              <w:rPr>
                <w:rFonts w:ascii="Arial" w:hAnsi="Arial" w:cs="Arial"/>
              </w:rPr>
              <w:t>Indication</w:t>
            </w:r>
            <w:r w:rsidRPr="007B38C6">
              <w:rPr>
                <w:rFonts w:ascii="Arial" w:hAnsi="Arial" w:cs="Arial"/>
                <w:spacing w:val="-3"/>
              </w:rPr>
              <w:t xml:space="preserve"> </w:t>
            </w:r>
            <w:r w:rsidRPr="007B38C6">
              <w:rPr>
                <w:rFonts w:ascii="Arial" w:hAnsi="Arial" w:cs="Arial"/>
              </w:rPr>
              <w:t>for</w:t>
            </w:r>
            <w:r w:rsidRPr="007B38C6">
              <w:rPr>
                <w:rFonts w:ascii="Arial" w:hAnsi="Arial" w:cs="Arial"/>
                <w:spacing w:val="-2"/>
              </w:rPr>
              <w:t xml:space="preserve"> </w:t>
            </w:r>
            <w:r w:rsidRPr="007B38C6">
              <w:rPr>
                <w:rFonts w:ascii="Arial" w:hAnsi="Arial" w:cs="Arial"/>
              </w:rPr>
              <w:t>use</w:t>
            </w:r>
            <w:r w:rsidRPr="007B38C6">
              <w:rPr>
                <w:rFonts w:ascii="Arial" w:hAnsi="Arial" w:cs="Arial"/>
                <w:spacing w:val="-2"/>
              </w:rPr>
              <w:t xml:space="preserve"> </w:t>
            </w:r>
            <w:r w:rsidRPr="007B38C6">
              <w:rPr>
                <w:rFonts w:ascii="Arial" w:hAnsi="Arial" w:cs="Arial"/>
              </w:rPr>
              <w:t>in</w:t>
            </w:r>
            <w:r w:rsidRPr="007B38C6">
              <w:rPr>
                <w:rFonts w:ascii="Arial" w:hAnsi="Arial" w:cs="Arial"/>
                <w:spacing w:val="-3"/>
              </w:rPr>
              <w:t xml:space="preserve"> </w:t>
            </w:r>
            <w:r w:rsidRPr="007B38C6">
              <w:rPr>
                <w:rFonts w:ascii="Arial" w:hAnsi="Arial" w:cs="Arial"/>
              </w:rPr>
              <w:t>sunscreen</w:t>
            </w:r>
            <w:r w:rsidRPr="007B38C6">
              <w:rPr>
                <w:rFonts w:ascii="Arial" w:hAnsi="Arial" w:cs="Arial"/>
                <w:spacing w:val="-3"/>
              </w:rPr>
              <w:t xml:space="preserve"> </w:t>
            </w:r>
            <w:r w:rsidRPr="007B38C6">
              <w:rPr>
                <w:rFonts w:ascii="Arial" w:hAnsi="Arial" w:cs="Arial"/>
              </w:rPr>
              <w:t>products</w:t>
            </w:r>
            <w:r w:rsidRPr="007B38C6">
              <w:rPr>
                <w:rFonts w:ascii="Arial" w:hAnsi="Arial" w:cs="Arial"/>
                <w:spacing w:val="-1"/>
              </w:rPr>
              <w:t xml:space="preserve"> </w:t>
            </w:r>
            <w:r w:rsidRPr="007B38C6">
              <w:rPr>
                <w:rFonts w:ascii="Arial" w:hAnsi="Arial" w:cs="Arial"/>
              </w:rPr>
              <w:t>only.</w:t>
            </w:r>
          </w:p>
        </w:tc>
      </w:tr>
      <w:tr w:rsidR="00A3230F" w:rsidRPr="00E308CF" w14:paraId="4272BB41" w14:textId="77777777" w:rsidTr="00F5642D">
        <w:trPr>
          <w:trHeight w:val="624"/>
        </w:trPr>
        <w:tc>
          <w:tcPr>
            <w:tcW w:w="4526" w:type="dxa"/>
          </w:tcPr>
          <w:p w14:paraId="7698A7C8" w14:textId="77777777" w:rsidR="00A3230F" w:rsidRPr="007B38C6" w:rsidRDefault="00A3230F" w:rsidP="00420179">
            <w:pPr>
              <w:pStyle w:val="TableParagraph"/>
              <w:ind w:right="356"/>
              <w:rPr>
                <w:rFonts w:ascii="Arial" w:hAnsi="Arial" w:cs="Arial"/>
              </w:rPr>
            </w:pPr>
            <w:r w:rsidRPr="007B38C6">
              <w:rPr>
                <w:rFonts w:ascii="Arial" w:hAnsi="Arial" w:cs="Arial"/>
              </w:rPr>
              <w:t>Can aid in the prevention of solar keratosis</w:t>
            </w:r>
            <w:r w:rsidRPr="007B38C6">
              <w:rPr>
                <w:rFonts w:ascii="Arial" w:hAnsi="Arial" w:cs="Arial"/>
                <w:spacing w:val="-46"/>
              </w:rPr>
              <w:t xml:space="preserve"> </w:t>
            </w:r>
            <w:r w:rsidRPr="007B38C6">
              <w:rPr>
                <w:rFonts w:ascii="Arial" w:hAnsi="Arial" w:cs="Arial"/>
              </w:rPr>
              <w:t>(sunscreen)</w:t>
            </w:r>
          </w:p>
        </w:tc>
        <w:tc>
          <w:tcPr>
            <w:tcW w:w="4524" w:type="dxa"/>
          </w:tcPr>
          <w:p w14:paraId="5969947F" w14:textId="77777777" w:rsidR="00A3230F" w:rsidRPr="007B38C6" w:rsidRDefault="00A3230F" w:rsidP="00420179">
            <w:pPr>
              <w:pStyle w:val="TableParagraph"/>
              <w:ind w:right="297"/>
              <w:rPr>
                <w:rFonts w:ascii="Arial" w:hAnsi="Arial" w:cs="Arial"/>
              </w:rPr>
            </w:pPr>
            <w:r w:rsidRPr="007B38C6">
              <w:rPr>
                <w:rFonts w:ascii="Arial" w:hAnsi="Arial" w:cs="Arial"/>
              </w:rPr>
              <w:t>Indication can only be used for sunscreen</w:t>
            </w:r>
            <w:r w:rsidRPr="007B38C6">
              <w:rPr>
                <w:rFonts w:ascii="Arial" w:hAnsi="Arial" w:cs="Arial"/>
                <w:spacing w:val="1"/>
              </w:rPr>
              <w:t xml:space="preserve"> </w:t>
            </w:r>
            <w:r w:rsidRPr="007B38C6">
              <w:rPr>
                <w:rFonts w:ascii="Arial" w:hAnsi="Arial" w:cs="Arial"/>
              </w:rPr>
              <w:t>products</w:t>
            </w:r>
            <w:r w:rsidRPr="007B38C6">
              <w:rPr>
                <w:rFonts w:ascii="Arial" w:hAnsi="Arial" w:cs="Arial"/>
                <w:spacing w:val="-1"/>
              </w:rPr>
              <w:t xml:space="preserve"> </w:t>
            </w:r>
            <w:r w:rsidRPr="007B38C6">
              <w:rPr>
                <w:rFonts w:ascii="Arial" w:hAnsi="Arial" w:cs="Arial"/>
              </w:rPr>
              <w:t>with</w:t>
            </w:r>
            <w:r w:rsidRPr="007B38C6">
              <w:rPr>
                <w:rFonts w:ascii="Arial" w:hAnsi="Arial" w:cs="Arial"/>
                <w:spacing w:val="-1"/>
              </w:rPr>
              <w:t xml:space="preserve"> </w:t>
            </w:r>
            <w:r w:rsidRPr="007B38C6">
              <w:rPr>
                <w:rFonts w:ascii="Arial" w:hAnsi="Arial" w:cs="Arial"/>
              </w:rPr>
              <w:t>an</w:t>
            </w:r>
            <w:r w:rsidRPr="007B38C6">
              <w:rPr>
                <w:rFonts w:ascii="Arial" w:hAnsi="Arial" w:cs="Arial"/>
                <w:spacing w:val="-2"/>
              </w:rPr>
              <w:t xml:space="preserve"> </w:t>
            </w:r>
            <w:r w:rsidRPr="007B38C6">
              <w:rPr>
                <w:rFonts w:ascii="Arial" w:hAnsi="Arial" w:cs="Arial"/>
              </w:rPr>
              <w:t>SPF</w:t>
            </w:r>
            <w:r w:rsidRPr="007B38C6">
              <w:rPr>
                <w:rFonts w:ascii="Arial" w:hAnsi="Arial" w:cs="Arial"/>
                <w:spacing w:val="-3"/>
              </w:rPr>
              <w:t xml:space="preserve"> </w:t>
            </w:r>
            <w:r w:rsidRPr="007B38C6">
              <w:rPr>
                <w:rFonts w:ascii="Arial" w:hAnsi="Arial" w:cs="Arial"/>
              </w:rPr>
              <w:t>rating</w:t>
            </w:r>
            <w:r w:rsidRPr="007B38C6">
              <w:rPr>
                <w:rFonts w:ascii="Arial" w:hAnsi="Arial" w:cs="Arial"/>
                <w:spacing w:val="-2"/>
              </w:rPr>
              <w:t xml:space="preserve"> </w:t>
            </w:r>
            <w:r w:rsidRPr="007B38C6">
              <w:rPr>
                <w:rFonts w:ascii="Arial" w:hAnsi="Arial" w:cs="Arial"/>
              </w:rPr>
              <w:t>of</w:t>
            </w:r>
            <w:r w:rsidRPr="007B38C6">
              <w:rPr>
                <w:rFonts w:ascii="Arial" w:hAnsi="Arial" w:cs="Arial"/>
                <w:spacing w:val="-2"/>
              </w:rPr>
              <w:t xml:space="preserve"> </w:t>
            </w:r>
            <w:r w:rsidRPr="007B38C6">
              <w:rPr>
                <w:rFonts w:ascii="Arial" w:hAnsi="Arial" w:cs="Arial"/>
              </w:rPr>
              <w:t>30</w:t>
            </w:r>
            <w:r w:rsidRPr="007B38C6">
              <w:rPr>
                <w:rFonts w:ascii="Arial" w:hAnsi="Arial" w:cs="Arial"/>
                <w:spacing w:val="-1"/>
              </w:rPr>
              <w:t xml:space="preserve"> </w:t>
            </w:r>
            <w:r w:rsidRPr="007B38C6">
              <w:rPr>
                <w:rFonts w:ascii="Arial" w:hAnsi="Arial" w:cs="Arial"/>
              </w:rPr>
              <w:t>or</w:t>
            </w:r>
            <w:r w:rsidRPr="007B38C6">
              <w:rPr>
                <w:rFonts w:ascii="Arial" w:hAnsi="Arial" w:cs="Arial"/>
                <w:spacing w:val="-2"/>
              </w:rPr>
              <w:t xml:space="preserve"> </w:t>
            </w:r>
            <w:r w:rsidRPr="007B38C6">
              <w:rPr>
                <w:rFonts w:ascii="Arial" w:hAnsi="Arial" w:cs="Arial"/>
              </w:rPr>
              <w:t>higher.</w:t>
            </w:r>
          </w:p>
        </w:tc>
      </w:tr>
      <w:tr w:rsidR="00A3230F" w:rsidRPr="00E308CF" w14:paraId="61CCC311" w14:textId="77777777" w:rsidTr="00F5642D">
        <w:trPr>
          <w:trHeight w:val="624"/>
        </w:trPr>
        <w:tc>
          <w:tcPr>
            <w:tcW w:w="4526" w:type="dxa"/>
          </w:tcPr>
          <w:p w14:paraId="468694C3" w14:textId="77777777" w:rsidR="00A3230F" w:rsidRPr="007B38C6" w:rsidRDefault="00A3230F" w:rsidP="00420179">
            <w:pPr>
              <w:pStyle w:val="TableParagraph"/>
              <w:spacing w:before="121"/>
              <w:ind w:right="895"/>
              <w:rPr>
                <w:rFonts w:ascii="Arial" w:hAnsi="Arial" w:cs="Arial"/>
              </w:rPr>
            </w:pPr>
            <w:r w:rsidRPr="007B38C6">
              <w:rPr>
                <w:rFonts w:ascii="Arial" w:hAnsi="Arial" w:cs="Arial"/>
              </w:rPr>
              <w:t>Can aid in the prevention of sunspots</w:t>
            </w:r>
            <w:r w:rsidRPr="007B38C6">
              <w:rPr>
                <w:rFonts w:ascii="Arial" w:hAnsi="Arial" w:cs="Arial"/>
                <w:spacing w:val="-46"/>
              </w:rPr>
              <w:t xml:space="preserve"> </w:t>
            </w:r>
            <w:r w:rsidRPr="007B38C6">
              <w:rPr>
                <w:rFonts w:ascii="Arial" w:hAnsi="Arial" w:cs="Arial"/>
              </w:rPr>
              <w:t>(sunscreen)</w:t>
            </w:r>
          </w:p>
        </w:tc>
        <w:tc>
          <w:tcPr>
            <w:tcW w:w="4524" w:type="dxa"/>
          </w:tcPr>
          <w:p w14:paraId="3405E91D" w14:textId="77777777" w:rsidR="00A3230F" w:rsidRPr="007B38C6" w:rsidRDefault="00A3230F" w:rsidP="00420179">
            <w:pPr>
              <w:pStyle w:val="TableParagraph"/>
              <w:spacing w:before="121"/>
              <w:ind w:right="297"/>
              <w:rPr>
                <w:rFonts w:ascii="Arial" w:hAnsi="Arial" w:cs="Arial"/>
              </w:rPr>
            </w:pPr>
            <w:r w:rsidRPr="007B38C6">
              <w:rPr>
                <w:rFonts w:ascii="Arial" w:hAnsi="Arial" w:cs="Arial"/>
              </w:rPr>
              <w:t>Indication can only be used for sunscreen</w:t>
            </w:r>
            <w:r w:rsidRPr="007B38C6">
              <w:rPr>
                <w:rFonts w:ascii="Arial" w:hAnsi="Arial" w:cs="Arial"/>
                <w:spacing w:val="1"/>
              </w:rPr>
              <w:t xml:space="preserve"> </w:t>
            </w:r>
            <w:r w:rsidRPr="007B38C6">
              <w:rPr>
                <w:rFonts w:ascii="Arial" w:hAnsi="Arial" w:cs="Arial"/>
              </w:rPr>
              <w:t>products</w:t>
            </w:r>
            <w:r w:rsidRPr="007B38C6">
              <w:rPr>
                <w:rFonts w:ascii="Arial" w:hAnsi="Arial" w:cs="Arial"/>
                <w:spacing w:val="-1"/>
              </w:rPr>
              <w:t xml:space="preserve"> </w:t>
            </w:r>
            <w:r w:rsidRPr="007B38C6">
              <w:rPr>
                <w:rFonts w:ascii="Arial" w:hAnsi="Arial" w:cs="Arial"/>
              </w:rPr>
              <w:t>with</w:t>
            </w:r>
            <w:r w:rsidRPr="007B38C6">
              <w:rPr>
                <w:rFonts w:ascii="Arial" w:hAnsi="Arial" w:cs="Arial"/>
                <w:spacing w:val="-1"/>
              </w:rPr>
              <w:t xml:space="preserve"> </w:t>
            </w:r>
            <w:r w:rsidRPr="007B38C6">
              <w:rPr>
                <w:rFonts w:ascii="Arial" w:hAnsi="Arial" w:cs="Arial"/>
              </w:rPr>
              <w:t>an</w:t>
            </w:r>
            <w:r w:rsidRPr="007B38C6">
              <w:rPr>
                <w:rFonts w:ascii="Arial" w:hAnsi="Arial" w:cs="Arial"/>
                <w:spacing w:val="-2"/>
              </w:rPr>
              <w:t xml:space="preserve"> </w:t>
            </w:r>
            <w:r w:rsidRPr="007B38C6">
              <w:rPr>
                <w:rFonts w:ascii="Arial" w:hAnsi="Arial" w:cs="Arial"/>
              </w:rPr>
              <w:t>SPF</w:t>
            </w:r>
            <w:r w:rsidRPr="007B38C6">
              <w:rPr>
                <w:rFonts w:ascii="Arial" w:hAnsi="Arial" w:cs="Arial"/>
                <w:spacing w:val="-3"/>
              </w:rPr>
              <w:t xml:space="preserve"> </w:t>
            </w:r>
            <w:r w:rsidRPr="007B38C6">
              <w:rPr>
                <w:rFonts w:ascii="Arial" w:hAnsi="Arial" w:cs="Arial"/>
              </w:rPr>
              <w:t>rating</w:t>
            </w:r>
            <w:r w:rsidRPr="007B38C6">
              <w:rPr>
                <w:rFonts w:ascii="Arial" w:hAnsi="Arial" w:cs="Arial"/>
                <w:spacing w:val="-2"/>
              </w:rPr>
              <w:t xml:space="preserve"> </w:t>
            </w:r>
            <w:r w:rsidRPr="007B38C6">
              <w:rPr>
                <w:rFonts w:ascii="Arial" w:hAnsi="Arial" w:cs="Arial"/>
              </w:rPr>
              <w:t>of</w:t>
            </w:r>
            <w:r w:rsidRPr="007B38C6">
              <w:rPr>
                <w:rFonts w:ascii="Arial" w:hAnsi="Arial" w:cs="Arial"/>
                <w:spacing w:val="-2"/>
              </w:rPr>
              <w:t xml:space="preserve"> </w:t>
            </w:r>
            <w:r w:rsidRPr="007B38C6">
              <w:rPr>
                <w:rFonts w:ascii="Arial" w:hAnsi="Arial" w:cs="Arial"/>
              </w:rPr>
              <w:t>30</w:t>
            </w:r>
            <w:r w:rsidRPr="007B38C6">
              <w:rPr>
                <w:rFonts w:ascii="Arial" w:hAnsi="Arial" w:cs="Arial"/>
                <w:spacing w:val="-1"/>
              </w:rPr>
              <w:t xml:space="preserve"> </w:t>
            </w:r>
            <w:r w:rsidRPr="007B38C6">
              <w:rPr>
                <w:rFonts w:ascii="Arial" w:hAnsi="Arial" w:cs="Arial"/>
              </w:rPr>
              <w:t>or</w:t>
            </w:r>
            <w:r w:rsidRPr="007B38C6">
              <w:rPr>
                <w:rFonts w:ascii="Arial" w:hAnsi="Arial" w:cs="Arial"/>
                <w:spacing w:val="-2"/>
              </w:rPr>
              <w:t xml:space="preserve"> </w:t>
            </w:r>
            <w:r w:rsidRPr="007B38C6">
              <w:rPr>
                <w:rFonts w:ascii="Arial" w:hAnsi="Arial" w:cs="Arial"/>
              </w:rPr>
              <w:t>higher.</w:t>
            </w:r>
          </w:p>
        </w:tc>
      </w:tr>
      <w:tr w:rsidR="00A3230F" w:rsidRPr="00E308CF" w14:paraId="4DC78986" w14:textId="77777777" w:rsidTr="00F5642D">
        <w:trPr>
          <w:trHeight w:val="624"/>
        </w:trPr>
        <w:tc>
          <w:tcPr>
            <w:tcW w:w="4526" w:type="dxa"/>
          </w:tcPr>
          <w:p w14:paraId="07645299" w14:textId="77777777" w:rsidR="00A3230F" w:rsidRPr="007B38C6" w:rsidRDefault="00A3230F" w:rsidP="00420179">
            <w:pPr>
              <w:pStyle w:val="TableParagraph"/>
              <w:ind w:right="338"/>
              <w:rPr>
                <w:rFonts w:ascii="Arial" w:hAnsi="Arial" w:cs="Arial"/>
              </w:rPr>
            </w:pPr>
            <w:r w:rsidRPr="007B38C6">
              <w:rPr>
                <w:rFonts w:ascii="Arial" w:hAnsi="Arial" w:cs="Arial"/>
              </w:rPr>
              <w:t>May assist in preventing some skin cancers</w:t>
            </w:r>
            <w:r w:rsidRPr="007B38C6">
              <w:rPr>
                <w:rFonts w:ascii="Arial" w:hAnsi="Arial" w:cs="Arial"/>
                <w:spacing w:val="-46"/>
              </w:rPr>
              <w:t xml:space="preserve"> </w:t>
            </w:r>
            <w:r w:rsidRPr="007B38C6">
              <w:rPr>
                <w:rFonts w:ascii="Arial" w:hAnsi="Arial" w:cs="Arial"/>
              </w:rPr>
              <w:t>(sunscreen)</w:t>
            </w:r>
          </w:p>
        </w:tc>
        <w:tc>
          <w:tcPr>
            <w:tcW w:w="4524" w:type="dxa"/>
          </w:tcPr>
          <w:p w14:paraId="2EC16EE1" w14:textId="77777777" w:rsidR="00A3230F" w:rsidRPr="007B38C6" w:rsidRDefault="00A3230F" w:rsidP="00420179">
            <w:pPr>
              <w:pStyle w:val="TableParagraph"/>
              <w:ind w:right="297"/>
              <w:rPr>
                <w:rFonts w:ascii="Arial" w:hAnsi="Arial" w:cs="Arial"/>
              </w:rPr>
            </w:pPr>
            <w:r w:rsidRPr="007B38C6">
              <w:rPr>
                <w:rFonts w:ascii="Arial" w:hAnsi="Arial" w:cs="Arial"/>
              </w:rPr>
              <w:t>Indication can only be used for sunscreen</w:t>
            </w:r>
            <w:r w:rsidRPr="007B38C6">
              <w:rPr>
                <w:rFonts w:ascii="Arial" w:hAnsi="Arial" w:cs="Arial"/>
                <w:spacing w:val="1"/>
              </w:rPr>
              <w:t xml:space="preserve"> </w:t>
            </w:r>
            <w:r w:rsidRPr="007B38C6">
              <w:rPr>
                <w:rFonts w:ascii="Arial" w:hAnsi="Arial" w:cs="Arial"/>
              </w:rPr>
              <w:t>products</w:t>
            </w:r>
            <w:r w:rsidRPr="007B38C6">
              <w:rPr>
                <w:rFonts w:ascii="Arial" w:hAnsi="Arial" w:cs="Arial"/>
                <w:spacing w:val="-1"/>
              </w:rPr>
              <w:t xml:space="preserve"> </w:t>
            </w:r>
            <w:r w:rsidRPr="007B38C6">
              <w:rPr>
                <w:rFonts w:ascii="Arial" w:hAnsi="Arial" w:cs="Arial"/>
              </w:rPr>
              <w:t>with</w:t>
            </w:r>
            <w:r w:rsidRPr="007B38C6">
              <w:rPr>
                <w:rFonts w:ascii="Arial" w:hAnsi="Arial" w:cs="Arial"/>
                <w:spacing w:val="-1"/>
              </w:rPr>
              <w:t xml:space="preserve"> </w:t>
            </w:r>
            <w:r w:rsidRPr="007B38C6">
              <w:rPr>
                <w:rFonts w:ascii="Arial" w:hAnsi="Arial" w:cs="Arial"/>
              </w:rPr>
              <w:t>an</w:t>
            </w:r>
            <w:r w:rsidRPr="007B38C6">
              <w:rPr>
                <w:rFonts w:ascii="Arial" w:hAnsi="Arial" w:cs="Arial"/>
                <w:spacing w:val="-2"/>
              </w:rPr>
              <w:t xml:space="preserve"> </w:t>
            </w:r>
            <w:r w:rsidRPr="007B38C6">
              <w:rPr>
                <w:rFonts w:ascii="Arial" w:hAnsi="Arial" w:cs="Arial"/>
              </w:rPr>
              <w:t>SPF</w:t>
            </w:r>
            <w:r w:rsidRPr="007B38C6">
              <w:rPr>
                <w:rFonts w:ascii="Arial" w:hAnsi="Arial" w:cs="Arial"/>
                <w:spacing w:val="-3"/>
              </w:rPr>
              <w:t xml:space="preserve"> </w:t>
            </w:r>
            <w:r w:rsidRPr="007B38C6">
              <w:rPr>
                <w:rFonts w:ascii="Arial" w:hAnsi="Arial" w:cs="Arial"/>
              </w:rPr>
              <w:t>rating</w:t>
            </w:r>
            <w:r w:rsidRPr="007B38C6">
              <w:rPr>
                <w:rFonts w:ascii="Arial" w:hAnsi="Arial" w:cs="Arial"/>
                <w:spacing w:val="-2"/>
              </w:rPr>
              <w:t xml:space="preserve"> </w:t>
            </w:r>
            <w:r w:rsidRPr="007B38C6">
              <w:rPr>
                <w:rFonts w:ascii="Arial" w:hAnsi="Arial" w:cs="Arial"/>
              </w:rPr>
              <w:t>of</w:t>
            </w:r>
            <w:r w:rsidRPr="007B38C6">
              <w:rPr>
                <w:rFonts w:ascii="Arial" w:hAnsi="Arial" w:cs="Arial"/>
                <w:spacing w:val="-2"/>
              </w:rPr>
              <w:t xml:space="preserve"> </w:t>
            </w:r>
            <w:r w:rsidRPr="007B38C6">
              <w:rPr>
                <w:rFonts w:ascii="Arial" w:hAnsi="Arial" w:cs="Arial"/>
              </w:rPr>
              <w:t>30</w:t>
            </w:r>
            <w:r w:rsidRPr="007B38C6">
              <w:rPr>
                <w:rFonts w:ascii="Arial" w:hAnsi="Arial" w:cs="Arial"/>
                <w:spacing w:val="-1"/>
              </w:rPr>
              <w:t xml:space="preserve"> </w:t>
            </w:r>
            <w:r w:rsidRPr="007B38C6">
              <w:rPr>
                <w:rFonts w:ascii="Arial" w:hAnsi="Arial" w:cs="Arial"/>
              </w:rPr>
              <w:t>or</w:t>
            </w:r>
            <w:r w:rsidRPr="007B38C6">
              <w:rPr>
                <w:rFonts w:ascii="Arial" w:hAnsi="Arial" w:cs="Arial"/>
                <w:spacing w:val="-2"/>
              </w:rPr>
              <w:t xml:space="preserve"> </w:t>
            </w:r>
            <w:r w:rsidRPr="007B38C6">
              <w:rPr>
                <w:rFonts w:ascii="Arial" w:hAnsi="Arial" w:cs="Arial"/>
              </w:rPr>
              <w:t>higher.</w:t>
            </w:r>
          </w:p>
        </w:tc>
      </w:tr>
      <w:tr w:rsidR="00A3230F" w:rsidRPr="00E308CF" w14:paraId="41BAA6D6" w14:textId="77777777" w:rsidTr="00F5642D">
        <w:trPr>
          <w:trHeight w:val="624"/>
        </w:trPr>
        <w:tc>
          <w:tcPr>
            <w:tcW w:w="4526" w:type="dxa"/>
          </w:tcPr>
          <w:p w14:paraId="7AF3C712" w14:textId="77777777" w:rsidR="00A3230F" w:rsidRPr="007B38C6" w:rsidRDefault="00A3230F" w:rsidP="00420179">
            <w:pPr>
              <w:pStyle w:val="TableParagraph"/>
              <w:ind w:right="535"/>
              <w:rPr>
                <w:rFonts w:ascii="Arial" w:hAnsi="Arial" w:cs="Arial"/>
              </w:rPr>
            </w:pPr>
            <w:r w:rsidRPr="007B38C6">
              <w:rPr>
                <w:rFonts w:ascii="Arial" w:hAnsi="Arial" w:cs="Arial"/>
              </w:rPr>
              <w:t>May reduce the risk of some skin cancers</w:t>
            </w:r>
            <w:r w:rsidRPr="007B38C6">
              <w:rPr>
                <w:rFonts w:ascii="Arial" w:hAnsi="Arial" w:cs="Arial"/>
                <w:spacing w:val="-46"/>
              </w:rPr>
              <w:t xml:space="preserve"> </w:t>
            </w:r>
            <w:r w:rsidRPr="007B38C6">
              <w:rPr>
                <w:rFonts w:ascii="Arial" w:hAnsi="Arial" w:cs="Arial"/>
              </w:rPr>
              <w:t>(sunscreen)</w:t>
            </w:r>
          </w:p>
        </w:tc>
        <w:tc>
          <w:tcPr>
            <w:tcW w:w="4524" w:type="dxa"/>
          </w:tcPr>
          <w:p w14:paraId="7529053B" w14:textId="77777777" w:rsidR="00A3230F" w:rsidRPr="007B38C6" w:rsidRDefault="00A3230F" w:rsidP="00420179">
            <w:pPr>
              <w:pStyle w:val="TableParagraph"/>
              <w:ind w:right="297"/>
              <w:rPr>
                <w:rFonts w:ascii="Arial" w:hAnsi="Arial" w:cs="Arial"/>
              </w:rPr>
            </w:pPr>
            <w:r w:rsidRPr="007B38C6">
              <w:rPr>
                <w:rFonts w:ascii="Arial" w:hAnsi="Arial" w:cs="Arial"/>
              </w:rPr>
              <w:t>Indication can only be used for sunscreen</w:t>
            </w:r>
            <w:r w:rsidRPr="007B38C6">
              <w:rPr>
                <w:rFonts w:ascii="Arial" w:hAnsi="Arial" w:cs="Arial"/>
                <w:spacing w:val="1"/>
              </w:rPr>
              <w:t xml:space="preserve"> </w:t>
            </w:r>
            <w:r w:rsidRPr="007B38C6">
              <w:rPr>
                <w:rFonts w:ascii="Arial" w:hAnsi="Arial" w:cs="Arial"/>
              </w:rPr>
              <w:t>products</w:t>
            </w:r>
            <w:r w:rsidRPr="007B38C6">
              <w:rPr>
                <w:rFonts w:ascii="Arial" w:hAnsi="Arial" w:cs="Arial"/>
                <w:spacing w:val="-1"/>
              </w:rPr>
              <w:t xml:space="preserve"> </w:t>
            </w:r>
            <w:r w:rsidRPr="007B38C6">
              <w:rPr>
                <w:rFonts w:ascii="Arial" w:hAnsi="Arial" w:cs="Arial"/>
              </w:rPr>
              <w:t>with</w:t>
            </w:r>
            <w:r w:rsidRPr="007B38C6">
              <w:rPr>
                <w:rFonts w:ascii="Arial" w:hAnsi="Arial" w:cs="Arial"/>
                <w:spacing w:val="-1"/>
              </w:rPr>
              <w:t xml:space="preserve"> </w:t>
            </w:r>
            <w:r w:rsidRPr="007B38C6">
              <w:rPr>
                <w:rFonts w:ascii="Arial" w:hAnsi="Arial" w:cs="Arial"/>
              </w:rPr>
              <w:t>an</w:t>
            </w:r>
            <w:r w:rsidRPr="007B38C6">
              <w:rPr>
                <w:rFonts w:ascii="Arial" w:hAnsi="Arial" w:cs="Arial"/>
                <w:spacing w:val="-2"/>
              </w:rPr>
              <w:t xml:space="preserve"> </w:t>
            </w:r>
            <w:r w:rsidRPr="007B38C6">
              <w:rPr>
                <w:rFonts w:ascii="Arial" w:hAnsi="Arial" w:cs="Arial"/>
              </w:rPr>
              <w:t>SPF</w:t>
            </w:r>
            <w:r w:rsidRPr="007B38C6">
              <w:rPr>
                <w:rFonts w:ascii="Arial" w:hAnsi="Arial" w:cs="Arial"/>
                <w:spacing w:val="-3"/>
              </w:rPr>
              <w:t xml:space="preserve"> </w:t>
            </w:r>
            <w:r w:rsidRPr="007B38C6">
              <w:rPr>
                <w:rFonts w:ascii="Arial" w:hAnsi="Arial" w:cs="Arial"/>
              </w:rPr>
              <w:t>rating</w:t>
            </w:r>
            <w:r w:rsidRPr="007B38C6">
              <w:rPr>
                <w:rFonts w:ascii="Arial" w:hAnsi="Arial" w:cs="Arial"/>
                <w:spacing w:val="-2"/>
              </w:rPr>
              <w:t xml:space="preserve"> </w:t>
            </w:r>
            <w:r w:rsidRPr="007B38C6">
              <w:rPr>
                <w:rFonts w:ascii="Arial" w:hAnsi="Arial" w:cs="Arial"/>
              </w:rPr>
              <w:t>of</w:t>
            </w:r>
            <w:r w:rsidRPr="007B38C6">
              <w:rPr>
                <w:rFonts w:ascii="Arial" w:hAnsi="Arial" w:cs="Arial"/>
                <w:spacing w:val="-2"/>
              </w:rPr>
              <w:t xml:space="preserve"> </w:t>
            </w:r>
            <w:r w:rsidRPr="007B38C6">
              <w:rPr>
                <w:rFonts w:ascii="Arial" w:hAnsi="Arial" w:cs="Arial"/>
              </w:rPr>
              <w:t>30</w:t>
            </w:r>
            <w:r w:rsidRPr="007B38C6">
              <w:rPr>
                <w:rFonts w:ascii="Arial" w:hAnsi="Arial" w:cs="Arial"/>
                <w:spacing w:val="-1"/>
              </w:rPr>
              <w:t xml:space="preserve"> </w:t>
            </w:r>
            <w:r w:rsidRPr="007B38C6">
              <w:rPr>
                <w:rFonts w:ascii="Arial" w:hAnsi="Arial" w:cs="Arial"/>
              </w:rPr>
              <w:t>or</w:t>
            </w:r>
            <w:r w:rsidRPr="007B38C6">
              <w:rPr>
                <w:rFonts w:ascii="Arial" w:hAnsi="Arial" w:cs="Arial"/>
                <w:spacing w:val="-2"/>
              </w:rPr>
              <w:t xml:space="preserve"> </w:t>
            </w:r>
            <w:r w:rsidRPr="007B38C6">
              <w:rPr>
                <w:rFonts w:ascii="Arial" w:hAnsi="Arial" w:cs="Arial"/>
              </w:rPr>
              <w:t>higher.</w:t>
            </w:r>
          </w:p>
        </w:tc>
      </w:tr>
      <w:tr w:rsidR="00A3230F" w:rsidRPr="00E308CF" w14:paraId="3409C3CF" w14:textId="77777777" w:rsidTr="00F5642D">
        <w:trPr>
          <w:trHeight w:val="624"/>
        </w:trPr>
        <w:tc>
          <w:tcPr>
            <w:tcW w:w="4526" w:type="dxa"/>
          </w:tcPr>
          <w:p w14:paraId="309F4A11" w14:textId="77777777" w:rsidR="00A3230F" w:rsidRPr="007B38C6" w:rsidRDefault="00A3230F" w:rsidP="00420179">
            <w:pPr>
              <w:pStyle w:val="TableParagraph"/>
              <w:spacing w:before="121"/>
              <w:ind w:right="869"/>
              <w:rPr>
                <w:rFonts w:ascii="Arial" w:hAnsi="Arial" w:cs="Arial"/>
              </w:rPr>
            </w:pPr>
            <w:r w:rsidRPr="007B38C6">
              <w:rPr>
                <w:rFonts w:ascii="Arial" w:hAnsi="Arial" w:cs="Arial"/>
              </w:rPr>
              <w:t>SPF 4 Broad spectrum low protection</w:t>
            </w:r>
            <w:r w:rsidRPr="007B38C6">
              <w:rPr>
                <w:rFonts w:ascii="Arial" w:hAnsi="Arial" w:cs="Arial"/>
                <w:spacing w:val="-46"/>
              </w:rPr>
              <w:t xml:space="preserve"> </w:t>
            </w:r>
            <w:r w:rsidRPr="007B38C6">
              <w:rPr>
                <w:rFonts w:ascii="Arial" w:hAnsi="Arial" w:cs="Arial"/>
              </w:rPr>
              <w:t>sunscreen</w:t>
            </w:r>
          </w:p>
        </w:tc>
        <w:tc>
          <w:tcPr>
            <w:tcW w:w="4524" w:type="dxa"/>
          </w:tcPr>
          <w:p w14:paraId="69E93E59" w14:textId="77777777" w:rsidR="00A3230F" w:rsidRPr="007B38C6" w:rsidRDefault="00A3230F" w:rsidP="00420179">
            <w:pPr>
              <w:pStyle w:val="TableParagraph"/>
              <w:spacing w:before="121"/>
              <w:rPr>
                <w:rFonts w:ascii="Arial" w:hAnsi="Arial" w:cs="Arial"/>
              </w:rPr>
            </w:pPr>
            <w:r w:rsidRPr="007B38C6">
              <w:rPr>
                <w:rFonts w:ascii="Arial" w:hAnsi="Arial" w:cs="Arial"/>
              </w:rPr>
              <w:t>Indication</w:t>
            </w:r>
            <w:r w:rsidRPr="007B38C6">
              <w:rPr>
                <w:rFonts w:ascii="Arial" w:hAnsi="Arial" w:cs="Arial"/>
                <w:spacing w:val="-3"/>
              </w:rPr>
              <w:t xml:space="preserve"> </w:t>
            </w:r>
            <w:r w:rsidRPr="007B38C6">
              <w:rPr>
                <w:rFonts w:ascii="Arial" w:hAnsi="Arial" w:cs="Arial"/>
              </w:rPr>
              <w:t>for</w:t>
            </w:r>
            <w:r w:rsidRPr="007B38C6">
              <w:rPr>
                <w:rFonts w:ascii="Arial" w:hAnsi="Arial" w:cs="Arial"/>
                <w:spacing w:val="-2"/>
              </w:rPr>
              <w:t xml:space="preserve"> </w:t>
            </w:r>
            <w:r w:rsidRPr="007B38C6">
              <w:rPr>
                <w:rFonts w:ascii="Arial" w:hAnsi="Arial" w:cs="Arial"/>
              </w:rPr>
              <w:t>use</w:t>
            </w:r>
            <w:r w:rsidRPr="007B38C6">
              <w:rPr>
                <w:rFonts w:ascii="Arial" w:hAnsi="Arial" w:cs="Arial"/>
                <w:spacing w:val="-2"/>
              </w:rPr>
              <w:t xml:space="preserve"> </w:t>
            </w:r>
            <w:r w:rsidRPr="007B38C6">
              <w:rPr>
                <w:rFonts w:ascii="Arial" w:hAnsi="Arial" w:cs="Arial"/>
              </w:rPr>
              <w:t>in</w:t>
            </w:r>
            <w:r w:rsidRPr="007B38C6">
              <w:rPr>
                <w:rFonts w:ascii="Arial" w:hAnsi="Arial" w:cs="Arial"/>
                <w:spacing w:val="-3"/>
              </w:rPr>
              <w:t xml:space="preserve"> </w:t>
            </w:r>
            <w:r w:rsidRPr="007B38C6">
              <w:rPr>
                <w:rFonts w:ascii="Arial" w:hAnsi="Arial" w:cs="Arial"/>
              </w:rPr>
              <w:t>sunscreen</w:t>
            </w:r>
            <w:r w:rsidRPr="007B38C6">
              <w:rPr>
                <w:rFonts w:ascii="Arial" w:hAnsi="Arial" w:cs="Arial"/>
                <w:spacing w:val="-3"/>
              </w:rPr>
              <w:t xml:space="preserve"> </w:t>
            </w:r>
            <w:r w:rsidRPr="007B38C6">
              <w:rPr>
                <w:rFonts w:ascii="Arial" w:hAnsi="Arial" w:cs="Arial"/>
              </w:rPr>
              <w:t>products</w:t>
            </w:r>
            <w:r w:rsidRPr="007B38C6">
              <w:rPr>
                <w:rFonts w:ascii="Arial" w:hAnsi="Arial" w:cs="Arial"/>
                <w:spacing w:val="-1"/>
              </w:rPr>
              <w:t xml:space="preserve"> </w:t>
            </w:r>
            <w:r w:rsidRPr="007B38C6">
              <w:rPr>
                <w:rFonts w:ascii="Arial" w:hAnsi="Arial" w:cs="Arial"/>
              </w:rPr>
              <w:t>only.</w:t>
            </w:r>
          </w:p>
        </w:tc>
      </w:tr>
      <w:tr w:rsidR="00A3230F" w:rsidRPr="00E308CF" w14:paraId="7F352F6F" w14:textId="77777777" w:rsidTr="00F5642D">
        <w:trPr>
          <w:trHeight w:val="624"/>
        </w:trPr>
        <w:tc>
          <w:tcPr>
            <w:tcW w:w="4526" w:type="dxa"/>
          </w:tcPr>
          <w:p w14:paraId="75A9B01E" w14:textId="77777777" w:rsidR="00A3230F" w:rsidRPr="007B38C6" w:rsidRDefault="00A3230F" w:rsidP="00420179">
            <w:pPr>
              <w:pStyle w:val="TableParagraph"/>
              <w:spacing w:before="121"/>
              <w:ind w:right="869"/>
              <w:rPr>
                <w:rFonts w:ascii="Arial" w:hAnsi="Arial" w:cs="Arial"/>
              </w:rPr>
            </w:pPr>
            <w:r w:rsidRPr="007B38C6">
              <w:rPr>
                <w:rFonts w:ascii="Arial" w:hAnsi="Arial" w:cs="Arial"/>
              </w:rPr>
              <w:t>SPF 6 Broad spectrum low protection</w:t>
            </w:r>
            <w:r w:rsidRPr="007B38C6">
              <w:rPr>
                <w:rFonts w:ascii="Arial" w:hAnsi="Arial" w:cs="Arial"/>
                <w:spacing w:val="-46"/>
              </w:rPr>
              <w:t xml:space="preserve"> </w:t>
            </w:r>
            <w:r w:rsidRPr="007B38C6">
              <w:rPr>
                <w:rFonts w:ascii="Arial" w:hAnsi="Arial" w:cs="Arial"/>
              </w:rPr>
              <w:t>sunscreen</w:t>
            </w:r>
          </w:p>
        </w:tc>
        <w:tc>
          <w:tcPr>
            <w:tcW w:w="4524" w:type="dxa"/>
          </w:tcPr>
          <w:p w14:paraId="09D65986" w14:textId="77777777" w:rsidR="00A3230F" w:rsidRPr="007B38C6" w:rsidRDefault="00A3230F" w:rsidP="00420179">
            <w:pPr>
              <w:pStyle w:val="TableParagraph"/>
              <w:spacing w:before="121"/>
              <w:rPr>
                <w:rFonts w:ascii="Arial" w:hAnsi="Arial" w:cs="Arial"/>
              </w:rPr>
            </w:pPr>
            <w:r w:rsidRPr="007B38C6">
              <w:rPr>
                <w:rFonts w:ascii="Arial" w:hAnsi="Arial" w:cs="Arial"/>
              </w:rPr>
              <w:t>Indication</w:t>
            </w:r>
            <w:r w:rsidRPr="007B38C6">
              <w:rPr>
                <w:rFonts w:ascii="Arial" w:hAnsi="Arial" w:cs="Arial"/>
                <w:spacing w:val="-3"/>
              </w:rPr>
              <w:t xml:space="preserve"> </w:t>
            </w:r>
            <w:r w:rsidRPr="007B38C6">
              <w:rPr>
                <w:rFonts w:ascii="Arial" w:hAnsi="Arial" w:cs="Arial"/>
              </w:rPr>
              <w:t>for</w:t>
            </w:r>
            <w:r w:rsidRPr="007B38C6">
              <w:rPr>
                <w:rFonts w:ascii="Arial" w:hAnsi="Arial" w:cs="Arial"/>
                <w:spacing w:val="-2"/>
              </w:rPr>
              <w:t xml:space="preserve"> </w:t>
            </w:r>
            <w:r w:rsidRPr="007B38C6">
              <w:rPr>
                <w:rFonts w:ascii="Arial" w:hAnsi="Arial" w:cs="Arial"/>
              </w:rPr>
              <w:t>use</w:t>
            </w:r>
            <w:r w:rsidRPr="007B38C6">
              <w:rPr>
                <w:rFonts w:ascii="Arial" w:hAnsi="Arial" w:cs="Arial"/>
                <w:spacing w:val="-2"/>
              </w:rPr>
              <w:t xml:space="preserve"> </w:t>
            </w:r>
            <w:r w:rsidRPr="007B38C6">
              <w:rPr>
                <w:rFonts w:ascii="Arial" w:hAnsi="Arial" w:cs="Arial"/>
              </w:rPr>
              <w:t>in</w:t>
            </w:r>
            <w:r w:rsidRPr="007B38C6">
              <w:rPr>
                <w:rFonts w:ascii="Arial" w:hAnsi="Arial" w:cs="Arial"/>
                <w:spacing w:val="-2"/>
              </w:rPr>
              <w:t xml:space="preserve"> </w:t>
            </w:r>
            <w:r w:rsidRPr="007B38C6">
              <w:rPr>
                <w:rFonts w:ascii="Arial" w:hAnsi="Arial" w:cs="Arial"/>
              </w:rPr>
              <w:t>sunscreen</w:t>
            </w:r>
            <w:r w:rsidRPr="007B38C6">
              <w:rPr>
                <w:rFonts w:ascii="Arial" w:hAnsi="Arial" w:cs="Arial"/>
                <w:spacing w:val="-3"/>
              </w:rPr>
              <w:t xml:space="preserve"> </w:t>
            </w:r>
            <w:r w:rsidRPr="007B38C6">
              <w:rPr>
                <w:rFonts w:ascii="Arial" w:hAnsi="Arial" w:cs="Arial"/>
              </w:rPr>
              <w:t>products</w:t>
            </w:r>
            <w:r w:rsidRPr="007B38C6">
              <w:rPr>
                <w:rFonts w:ascii="Arial" w:hAnsi="Arial" w:cs="Arial"/>
                <w:spacing w:val="-1"/>
              </w:rPr>
              <w:t xml:space="preserve"> </w:t>
            </w:r>
            <w:r w:rsidRPr="007B38C6">
              <w:rPr>
                <w:rFonts w:ascii="Arial" w:hAnsi="Arial" w:cs="Arial"/>
              </w:rPr>
              <w:t>only.</w:t>
            </w:r>
          </w:p>
        </w:tc>
      </w:tr>
      <w:tr w:rsidR="00A3230F" w:rsidRPr="00E308CF" w14:paraId="5DB83E99" w14:textId="77777777" w:rsidTr="00F5642D">
        <w:trPr>
          <w:trHeight w:val="624"/>
        </w:trPr>
        <w:tc>
          <w:tcPr>
            <w:tcW w:w="4526" w:type="dxa"/>
          </w:tcPr>
          <w:p w14:paraId="3669B9A6" w14:textId="77777777" w:rsidR="00A3230F" w:rsidRPr="007B38C6" w:rsidRDefault="00A3230F" w:rsidP="00420179">
            <w:pPr>
              <w:pStyle w:val="TableParagraph"/>
              <w:ind w:right="869"/>
              <w:rPr>
                <w:rFonts w:ascii="Arial" w:hAnsi="Arial" w:cs="Arial"/>
              </w:rPr>
            </w:pPr>
            <w:r w:rsidRPr="007B38C6">
              <w:rPr>
                <w:rFonts w:ascii="Arial" w:hAnsi="Arial" w:cs="Arial"/>
              </w:rPr>
              <w:t>SPF 8 Broad spectrum low protection</w:t>
            </w:r>
            <w:r w:rsidRPr="007B38C6">
              <w:rPr>
                <w:rFonts w:ascii="Arial" w:hAnsi="Arial" w:cs="Arial"/>
                <w:spacing w:val="-46"/>
              </w:rPr>
              <w:t xml:space="preserve"> </w:t>
            </w:r>
            <w:r w:rsidRPr="007B38C6">
              <w:rPr>
                <w:rFonts w:ascii="Arial" w:hAnsi="Arial" w:cs="Arial"/>
              </w:rPr>
              <w:t>sunscreen</w:t>
            </w:r>
          </w:p>
        </w:tc>
        <w:tc>
          <w:tcPr>
            <w:tcW w:w="4524" w:type="dxa"/>
          </w:tcPr>
          <w:p w14:paraId="1103E6C1" w14:textId="77777777" w:rsidR="00A3230F" w:rsidRPr="007B38C6" w:rsidRDefault="00A3230F" w:rsidP="00420179">
            <w:pPr>
              <w:pStyle w:val="TableParagraph"/>
              <w:rPr>
                <w:rFonts w:ascii="Arial" w:hAnsi="Arial" w:cs="Arial"/>
              </w:rPr>
            </w:pPr>
            <w:r w:rsidRPr="007B38C6">
              <w:rPr>
                <w:rFonts w:ascii="Arial" w:hAnsi="Arial" w:cs="Arial"/>
              </w:rPr>
              <w:t>Indication</w:t>
            </w:r>
            <w:r w:rsidRPr="007B38C6">
              <w:rPr>
                <w:rFonts w:ascii="Arial" w:hAnsi="Arial" w:cs="Arial"/>
                <w:spacing w:val="-3"/>
              </w:rPr>
              <w:t xml:space="preserve"> </w:t>
            </w:r>
            <w:r w:rsidRPr="007B38C6">
              <w:rPr>
                <w:rFonts w:ascii="Arial" w:hAnsi="Arial" w:cs="Arial"/>
              </w:rPr>
              <w:t>for</w:t>
            </w:r>
            <w:r w:rsidRPr="007B38C6">
              <w:rPr>
                <w:rFonts w:ascii="Arial" w:hAnsi="Arial" w:cs="Arial"/>
                <w:spacing w:val="-2"/>
              </w:rPr>
              <w:t xml:space="preserve"> </w:t>
            </w:r>
            <w:r w:rsidRPr="007B38C6">
              <w:rPr>
                <w:rFonts w:ascii="Arial" w:hAnsi="Arial" w:cs="Arial"/>
              </w:rPr>
              <w:t>use</w:t>
            </w:r>
            <w:r w:rsidRPr="007B38C6">
              <w:rPr>
                <w:rFonts w:ascii="Arial" w:hAnsi="Arial" w:cs="Arial"/>
                <w:spacing w:val="-2"/>
              </w:rPr>
              <w:t xml:space="preserve"> </w:t>
            </w:r>
            <w:r w:rsidRPr="007B38C6">
              <w:rPr>
                <w:rFonts w:ascii="Arial" w:hAnsi="Arial" w:cs="Arial"/>
              </w:rPr>
              <w:t>in</w:t>
            </w:r>
            <w:r w:rsidRPr="007B38C6">
              <w:rPr>
                <w:rFonts w:ascii="Arial" w:hAnsi="Arial" w:cs="Arial"/>
                <w:spacing w:val="-3"/>
              </w:rPr>
              <w:t xml:space="preserve"> </w:t>
            </w:r>
            <w:r w:rsidRPr="007B38C6">
              <w:rPr>
                <w:rFonts w:ascii="Arial" w:hAnsi="Arial" w:cs="Arial"/>
              </w:rPr>
              <w:t>sunscreen</w:t>
            </w:r>
            <w:r w:rsidRPr="007B38C6">
              <w:rPr>
                <w:rFonts w:ascii="Arial" w:hAnsi="Arial" w:cs="Arial"/>
                <w:spacing w:val="-3"/>
              </w:rPr>
              <w:t xml:space="preserve"> </w:t>
            </w:r>
            <w:r w:rsidRPr="007B38C6">
              <w:rPr>
                <w:rFonts w:ascii="Arial" w:hAnsi="Arial" w:cs="Arial"/>
              </w:rPr>
              <w:t>products</w:t>
            </w:r>
            <w:r w:rsidRPr="007B38C6">
              <w:rPr>
                <w:rFonts w:ascii="Arial" w:hAnsi="Arial" w:cs="Arial"/>
                <w:spacing w:val="-1"/>
              </w:rPr>
              <w:t xml:space="preserve"> </w:t>
            </w:r>
            <w:r w:rsidRPr="007B38C6">
              <w:rPr>
                <w:rFonts w:ascii="Arial" w:hAnsi="Arial" w:cs="Arial"/>
              </w:rPr>
              <w:t>only.</w:t>
            </w:r>
          </w:p>
        </w:tc>
      </w:tr>
      <w:tr w:rsidR="00A3230F" w:rsidRPr="00E308CF" w14:paraId="22843595" w14:textId="77777777" w:rsidTr="00F5642D">
        <w:trPr>
          <w:trHeight w:val="624"/>
        </w:trPr>
        <w:tc>
          <w:tcPr>
            <w:tcW w:w="4526" w:type="dxa"/>
          </w:tcPr>
          <w:p w14:paraId="00464E2D" w14:textId="77777777" w:rsidR="00A3230F" w:rsidRPr="007B38C6" w:rsidRDefault="00A3230F" w:rsidP="00420179">
            <w:pPr>
              <w:pStyle w:val="TableParagraph"/>
              <w:ind w:right="747"/>
              <w:rPr>
                <w:rFonts w:ascii="Arial" w:hAnsi="Arial" w:cs="Arial"/>
              </w:rPr>
            </w:pPr>
            <w:r w:rsidRPr="007B38C6">
              <w:rPr>
                <w:rFonts w:ascii="Arial" w:hAnsi="Arial" w:cs="Arial"/>
              </w:rPr>
              <w:t>SPF 10 Broad spectrum low protection</w:t>
            </w:r>
            <w:r w:rsidRPr="007B38C6">
              <w:rPr>
                <w:rFonts w:ascii="Arial" w:hAnsi="Arial" w:cs="Arial"/>
                <w:spacing w:val="-46"/>
              </w:rPr>
              <w:t xml:space="preserve"> </w:t>
            </w:r>
            <w:r w:rsidRPr="007B38C6">
              <w:rPr>
                <w:rFonts w:ascii="Arial" w:hAnsi="Arial" w:cs="Arial"/>
              </w:rPr>
              <w:t>sunscreen</w:t>
            </w:r>
          </w:p>
        </w:tc>
        <w:tc>
          <w:tcPr>
            <w:tcW w:w="4524" w:type="dxa"/>
          </w:tcPr>
          <w:p w14:paraId="2431B89D" w14:textId="77777777" w:rsidR="00A3230F" w:rsidRPr="007B38C6" w:rsidRDefault="00A3230F" w:rsidP="00420179">
            <w:pPr>
              <w:pStyle w:val="TableParagraph"/>
              <w:rPr>
                <w:rFonts w:ascii="Arial" w:hAnsi="Arial" w:cs="Arial"/>
              </w:rPr>
            </w:pPr>
            <w:r w:rsidRPr="007B38C6">
              <w:rPr>
                <w:rFonts w:ascii="Arial" w:hAnsi="Arial" w:cs="Arial"/>
              </w:rPr>
              <w:t>Indication</w:t>
            </w:r>
            <w:r w:rsidRPr="007B38C6">
              <w:rPr>
                <w:rFonts w:ascii="Arial" w:hAnsi="Arial" w:cs="Arial"/>
                <w:spacing w:val="-3"/>
              </w:rPr>
              <w:t xml:space="preserve"> </w:t>
            </w:r>
            <w:r w:rsidRPr="007B38C6">
              <w:rPr>
                <w:rFonts w:ascii="Arial" w:hAnsi="Arial" w:cs="Arial"/>
              </w:rPr>
              <w:t>for</w:t>
            </w:r>
            <w:r w:rsidRPr="007B38C6">
              <w:rPr>
                <w:rFonts w:ascii="Arial" w:hAnsi="Arial" w:cs="Arial"/>
                <w:spacing w:val="-2"/>
              </w:rPr>
              <w:t xml:space="preserve"> </w:t>
            </w:r>
            <w:r w:rsidRPr="007B38C6">
              <w:rPr>
                <w:rFonts w:ascii="Arial" w:hAnsi="Arial" w:cs="Arial"/>
              </w:rPr>
              <w:t>use</w:t>
            </w:r>
            <w:r w:rsidRPr="007B38C6">
              <w:rPr>
                <w:rFonts w:ascii="Arial" w:hAnsi="Arial" w:cs="Arial"/>
                <w:spacing w:val="-2"/>
              </w:rPr>
              <w:t xml:space="preserve"> </w:t>
            </w:r>
            <w:r w:rsidRPr="007B38C6">
              <w:rPr>
                <w:rFonts w:ascii="Arial" w:hAnsi="Arial" w:cs="Arial"/>
              </w:rPr>
              <w:t>in</w:t>
            </w:r>
            <w:r w:rsidRPr="007B38C6">
              <w:rPr>
                <w:rFonts w:ascii="Arial" w:hAnsi="Arial" w:cs="Arial"/>
                <w:spacing w:val="-3"/>
              </w:rPr>
              <w:t xml:space="preserve"> </w:t>
            </w:r>
            <w:r w:rsidRPr="007B38C6">
              <w:rPr>
                <w:rFonts w:ascii="Arial" w:hAnsi="Arial" w:cs="Arial"/>
              </w:rPr>
              <w:t>sunscreen</w:t>
            </w:r>
            <w:r w:rsidRPr="007B38C6">
              <w:rPr>
                <w:rFonts w:ascii="Arial" w:hAnsi="Arial" w:cs="Arial"/>
                <w:spacing w:val="-3"/>
              </w:rPr>
              <w:t xml:space="preserve"> </w:t>
            </w:r>
            <w:r w:rsidRPr="007B38C6">
              <w:rPr>
                <w:rFonts w:ascii="Arial" w:hAnsi="Arial" w:cs="Arial"/>
              </w:rPr>
              <w:t>products</w:t>
            </w:r>
            <w:r w:rsidRPr="007B38C6">
              <w:rPr>
                <w:rFonts w:ascii="Arial" w:hAnsi="Arial" w:cs="Arial"/>
                <w:spacing w:val="-1"/>
              </w:rPr>
              <w:t xml:space="preserve"> </w:t>
            </w:r>
            <w:r w:rsidRPr="007B38C6">
              <w:rPr>
                <w:rFonts w:ascii="Arial" w:hAnsi="Arial" w:cs="Arial"/>
              </w:rPr>
              <w:t>only.</w:t>
            </w:r>
          </w:p>
        </w:tc>
      </w:tr>
      <w:tr w:rsidR="00A3230F" w:rsidRPr="00E308CF" w14:paraId="5382FA0F" w14:textId="77777777" w:rsidTr="00F5642D">
        <w:trPr>
          <w:trHeight w:val="624"/>
        </w:trPr>
        <w:tc>
          <w:tcPr>
            <w:tcW w:w="4526" w:type="dxa"/>
          </w:tcPr>
          <w:p w14:paraId="45084F20" w14:textId="77777777" w:rsidR="00A3230F" w:rsidRPr="007B38C6" w:rsidRDefault="00A3230F" w:rsidP="00420179">
            <w:pPr>
              <w:pStyle w:val="TableParagraph"/>
              <w:spacing w:before="121"/>
              <w:ind w:right="331"/>
              <w:rPr>
                <w:rFonts w:ascii="Arial" w:hAnsi="Arial" w:cs="Arial"/>
              </w:rPr>
            </w:pPr>
            <w:r w:rsidRPr="007B38C6">
              <w:rPr>
                <w:rFonts w:ascii="Arial" w:hAnsi="Arial" w:cs="Arial"/>
              </w:rPr>
              <w:t>SPF 15 Broad spectrum medium/moderate</w:t>
            </w:r>
            <w:r w:rsidRPr="007B38C6">
              <w:rPr>
                <w:rFonts w:ascii="Arial" w:hAnsi="Arial" w:cs="Arial"/>
                <w:spacing w:val="-46"/>
              </w:rPr>
              <w:t xml:space="preserve"> </w:t>
            </w:r>
            <w:r w:rsidRPr="007B38C6">
              <w:rPr>
                <w:rFonts w:ascii="Arial" w:hAnsi="Arial" w:cs="Arial"/>
              </w:rPr>
              <w:t>protection</w:t>
            </w:r>
            <w:r w:rsidRPr="007B38C6">
              <w:rPr>
                <w:rFonts w:ascii="Arial" w:hAnsi="Arial" w:cs="Arial"/>
                <w:spacing w:val="-3"/>
              </w:rPr>
              <w:t xml:space="preserve"> </w:t>
            </w:r>
            <w:r w:rsidRPr="007B38C6">
              <w:rPr>
                <w:rFonts w:ascii="Arial" w:hAnsi="Arial" w:cs="Arial"/>
              </w:rPr>
              <w:t>sunscreen</w:t>
            </w:r>
          </w:p>
        </w:tc>
        <w:tc>
          <w:tcPr>
            <w:tcW w:w="4524" w:type="dxa"/>
          </w:tcPr>
          <w:p w14:paraId="6AD048BA" w14:textId="77777777" w:rsidR="00A3230F" w:rsidRPr="007B38C6" w:rsidRDefault="00A3230F" w:rsidP="00420179">
            <w:pPr>
              <w:pStyle w:val="TableParagraph"/>
              <w:spacing w:before="121"/>
              <w:rPr>
                <w:rFonts w:ascii="Arial" w:hAnsi="Arial" w:cs="Arial"/>
              </w:rPr>
            </w:pPr>
            <w:r w:rsidRPr="007B38C6">
              <w:rPr>
                <w:rFonts w:ascii="Arial" w:hAnsi="Arial" w:cs="Arial"/>
              </w:rPr>
              <w:t>Indication</w:t>
            </w:r>
            <w:r w:rsidRPr="007B38C6">
              <w:rPr>
                <w:rFonts w:ascii="Arial" w:hAnsi="Arial" w:cs="Arial"/>
                <w:spacing w:val="-3"/>
              </w:rPr>
              <w:t xml:space="preserve"> </w:t>
            </w:r>
            <w:r w:rsidRPr="007B38C6">
              <w:rPr>
                <w:rFonts w:ascii="Arial" w:hAnsi="Arial" w:cs="Arial"/>
              </w:rPr>
              <w:t>for</w:t>
            </w:r>
            <w:r w:rsidRPr="007B38C6">
              <w:rPr>
                <w:rFonts w:ascii="Arial" w:hAnsi="Arial" w:cs="Arial"/>
                <w:spacing w:val="-2"/>
              </w:rPr>
              <w:t xml:space="preserve"> </w:t>
            </w:r>
            <w:r w:rsidRPr="007B38C6">
              <w:rPr>
                <w:rFonts w:ascii="Arial" w:hAnsi="Arial" w:cs="Arial"/>
              </w:rPr>
              <w:t>use</w:t>
            </w:r>
            <w:r w:rsidRPr="007B38C6">
              <w:rPr>
                <w:rFonts w:ascii="Arial" w:hAnsi="Arial" w:cs="Arial"/>
                <w:spacing w:val="-2"/>
              </w:rPr>
              <w:t xml:space="preserve"> </w:t>
            </w:r>
            <w:r w:rsidRPr="007B38C6">
              <w:rPr>
                <w:rFonts w:ascii="Arial" w:hAnsi="Arial" w:cs="Arial"/>
              </w:rPr>
              <w:t>in</w:t>
            </w:r>
            <w:r w:rsidRPr="007B38C6">
              <w:rPr>
                <w:rFonts w:ascii="Arial" w:hAnsi="Arial" w:cs="Arial"/>
                <w:spacing w:val="-3"/>
              </w:rPr>
              <w:t xml:space="preserve"> </w:t>
            </w:r>
            <w:r w:rsidRPr="007B38C6">
              <w:rPr>
                <w:rFonts w:ascii="Arial" w:hAnsi="Arial" w:cs="Arial"/>
              </w:rPr>
              <w:t>sunscreen</w:t>
            </w:r>
            <w:r w:rsidRPr="007B38C6">
              <w:rPr>
                <w:rFonts w:ascii="Arial" w:hAnsi="Arial" w:cs="Arial"/>
                <w:spacing w:val="-3"/>
              </w:rPr>
              <w:t xml:space="preserve"> </w:t>
            </w:r>
            <w:r w:rsidRPr="007B38C6">
              <w:rPr>
                <w:rFonts w:ascii="Arial" w:hAnsi="Arial" w:cs="Arial"/>
              </w:rPr>
              <w:t>products</w:t>
            </w:r>
            <w:r w:rsidRPr="007B38C6">
              <w:rPr>
                <w:rFonts w:ascii="Arial" w:hAnsi="Arial" w:cs="Arial"/>
                <w:spacing w:val="-1"/>
              </w:rPr>
              <w:t xml:space="preserve"> </w:t>
            </w:r>
            <w:r w:rsidRPr="007B38C6">
              <w:rPr>
                <w:rFonts w:ascii="Arial" w:hAnsi="Arial" w:cs="Arial"/>
              </w:rPr>
              <w:t>only.</w:t>
            </w:r>
          </w:p>
        </w:tc>
      </w:tr>
      <w:tr w:rsidR="00A3230F" w:rsidRPr="00E308CF" w14:paraId="2A73BD5D" w14:textId="77777777" w:rsidTr="00F5642D">
        <w:trPr>
          <w:trHeight w:val="624"/>
        </w:trPr>
        <w:tc>
          <w:tcPr>
            <w:tcW w:w="4526" w:type="dxa"/>
          </w:tcPr>
          <w:p w14:paraId="62C00044" w14:textId="77777777" w:rsidR="00A3230F" w:rsidRPr="007B38C6" w:rsidRDefault="00A3230F" w:rsidP="00420179">
            <w:pPr>
              <w:pStyle w:val="TableParagraph"/>
              <w:ind w:right="331"/>
              <w:rPr>
                <w:rFonts w:ascii="Arial" w:hAnsi="Arial" w:cs="Arial"/>
              </w:rPr>
            </w:pPr>
            <w:r w:rsidRPr="007B38C6">
              <w:rPr>
                <w:rFonts w:ascii="Arial" w:hAnsi="Arial" w:cs="Arial"/>
              </w:rPr>
              <w:t>SPF 20 Broad spectrum medium/moderate</w:t>
            </w:r>
            <w:r w:rsidRPr="007B38C6">
              <w:rPr>
                <w:rFonts w:ascii="Arial" w:hAnsi="Arial" w:cs="Arial"/>
                <w:spacing w:val="-46"/>
              </w:rPr>
              <w:t xml:space="preserve"> </w:t>
            </w:r>
            <w:r w:rsidRPr="007B38C6">
              <w:rPr>
                <w:rFonts w:ascii="Arial" w:hAnsi="Arial" w:cs="Arial"/>
              </w:rPr>
              <w:t>protection</w:t>
            </w:r>
            <w:r w:rsidRPr="007B38C6">
              <w:rPr>
                <w:rFonts w:ascii="Arial" w:hAnsi="Arial" w:cs="Arial"/>
                <w:spacing w:val="-3"/>
              </w:rPr>
              <w:t xml:space="preserve"> </w:t>
            </w:r>
            <w:r w:rsidRPr="007B38C6">
              <w:rPr>
                <w:rFonts w:ascii="Arial" w:hAnsi="Arial" w:cs="Arial"/>
              </w:rPr>
              <w:t>sunscreen</w:t>
            </w:r>
          </w:p>
        </w:tc>
        <w:tc>
          <w:tcPr>
            <w:tcW w:w="4524" w:type="dxa"/>
          </w:tcPr>
          <w:p w14:paraId="7AD72357" w14:textId="77777777" w:rsidR="00A3230F" w:rsidRPr="007B38C6" w:rsidRDefault="00A3230F" w:rsidP="00420179">
            <w:pPr>
              <w:pStyle w:val="TableParagraph"/>
              <w:rPr>
                <w:rFonts w:ascii="Arial" w:hAnsi="Arial" w:cs="Arial"/>
              </w:rPr>
            </w:pPr>
            <w:r w:rsidRPr="007B38C6">
              <w:rPr>
                <w:rFonts w:ascii="Arial" w:hAnsi="Arial" w:cs="Arial"/>
              </w:rPr>
              <w:t>Indication</w:t>
            </w:r>
            <w:r w:rsidRPr="007B38C6">
              <w:rPr>
                <w:rFonts w:ascii="Arial" w:hAnsi="Arial" w:cs="Arial"/>
                <w:spacing w:val="-3"/>
              </w:rPr>
              <w:t xml:space="preserve"> </w:t>
            </w:r>
            <w:r w:rsidRPr="007B38C6">
              <w:rPr>
                <w:rFonts w:ascii="Arial" w:hAnsi="Arial" w:cs="Arial"/>
              </w:rPr>
              <w:t>for</w:t>
            </w:r>
            <w:r w:rsidRPr="007B38C6">
              <w:rPr>
                <w:rFonts w:ascii="Arial" w:hAnsi="Arial" w:cs="Arial"/>
                <w:spacing w:val="-2"/>
              </w:rPr>
              <w:t xml:space="preserve"> </w:t>
            </w:r>
            <w:r w:rsidRPr="007B38C6">
              <w:rPr>
                <w:rFonts w:ascii="Arial" w:hAnsi="Arial" w:cs="Arial"/>
              </w:rPr>
              <w:t>use</w:t>
            </w:r>
            <w:r w:rsidRPr="007B38C6">
              <w:rPr>
                <w:rFonts w:ascii="Arial" w:hAnsi="Arial" w:cs="Arial"/>
                <w:spacing w:val="-2"/>
              </w:rPr>
              <w:t xml:space="preserve"> </w:t>
            </w:r>
            <w:r w:rsidRPr="007B38C6">
              <w:rPr>
                <w:rFonts w:ascii="Arial" w:hAnsi="Arial" w:cs="Arial"/>
              </w:rPr>
              <w:t>in</w:t>
            </w:r>
            <w:r w:rsidRPr="007B38C6">
              <w:rPr>
                <w:rFonts w:ascii="Arial" w:hAnsi="Arial" w:cs="Arial"/>
                <w:spacing w:val="-3"/>
              </w:rPr>
              <w:t xml:space="preserve"> </w:t>
            </w:r>
            <w:r w:rsidRPr="007B38C6">
              <w:rPr>
                <w:rFonts w:ascii="Arial" w:hAnsi="Arial" w:cs="Arial"/>
              </w:rPr>
              <w:t>sunscreen</w:t>
            </w:r>
            <w:r w:rsidRPr="007B38C6">
              <w:rPr>
                <w:rFonts w:ascii="Arial" w:hAnsi="Arial" w:cs="Arial"/>
                <w:spacing w:val="-3"/>
              </w:rPr>
              <w:t xml:space="preserve"> </w:t>
            </w:r>
            <w:r w:rsidRPr="007B38C6">
              <w:rPr>
                <w:rFonts w:ascii="Arial" w:hAnsi="Arial" w:cs="Arial"/>
              </w:rPr>
              <w:t>products</w:t>
            </w:r>
            <w:r w:rsidRPr="007B38C6">
              <w:rPr>
                <w:rFonts w:ascii="Arial" w:hAnsi="Arial" w:cs="Arial"/>
                <w:spacing w:val="-1"/>
              </w:rPr>
              <w:t xml:space="preserve"> </w:t>
            </w:r>
            <w:r w:rsidRPr="007B38C6">
              <w:rPr>
                <w:rFonts w:ascii="Arial" w:hAnsi="Arial" w:cs="Arial"/>
              </w:rPr>
              <w:t>only.</w:t>
            </w:r>
          </w:p>
        </w:tc>
      </w:tr>
      <w:tr w:rsidR="00A3230F" w:rsidRPr="00E308CF" w14:paraId="0E3EB836" w14:textId="77777777" w:rsidTr="00F5642D">
        <w:trPr>
          <w:trHeight w:val="624"/>
        </w:trPr>
        <w:tc>
          <w:tcPr>
            <w:tcW w:w="4526" w:type="dxa"/>
          </w:tcPr>
          <w:p w14:paraId="35345CE5" w14:textId="77777777" w:rsidR="00A3230F" w:rsidRPr="007B38C6" w:rsidRDefault="00A3230F" w:rsidP="00420179">
            <w:pPr>
              <w:pStyle w:val="TableParagraph"/>
              <w:ind w:right="331"/>
              <w:rPr>
                <w:rFonts w:ascii="Arial" w:hAnsi="Arial" w:cs="Arial"/>
              </w:rPr>
            </w:pPr>
            <w:r w:rsidRPr="007B38C6">
              <w:rPr>
                <w:rFonts w:ascii="Arial" w:hAnsi="Arial" w:cs="Arial"/>
              </w:rPr>
              <w:t>SPF 25 Broad spectrum medium/moderate protection sunscreen</w:t>
            </w:r>
          </w:p>
        </w:tc>
        <w:tc>
          <w:tcPr>
            <w:tcW w:w="4524" w:type="dxa"/>
          </w:tcPr>
          <w:p w14:paraId="34DC9B4D" w14:textId="77777777" w:rsidR="00A3230F" w:rsidRPr="007B38C6" w:rsidRDefault="00A3230F" w:rsidP="00420179">
            <w:pPr>
              <w:pStyle w:val="TableParagraph"/>
              <w:rPr>
                <w:rFonts w:ascii="Arial" w:hAnsi="Arial" w:cs="Arial"/>
              </w:rPr>
            </w:pPr>
            <w:r w:rsidRPr="007B38C6">
              <w:rPr>
                <w:rFonts w:ascii="Arial" w:hAnsi="Arial" w:cs="Arial"/>
              </w:rPr>
              <w:t>Indication for use in sunscreen products only.</w:t>
            </w:r>
          </w:p>
        </w:tc>
      </w:tr>
      <w:tr w:rsidR="00A3230F" w:rsidRPr="00E308CF" w14:paraId="27FFC843" w14:textId="77777777" w:rsidTr="00F5642D">
        <w:trPr>
          <w:trHeight w:val="624"/>
        </w:trPr>
        <w:tc>
          <w:tcPr>
            <w:tcW w:w="4526" w:type="dxa"/>
          </w:tcPr>
          <w:p w14:paraId="172D9DED" w14:textId="77777777" w:rsidR="00A3230F" w:rsidRPr="007B38C6" w:rsidRDefault="00A3230F" w:rsidP="00420179">
            <w:pPr>
              <w:pStyle w:val="TableParagraph"/>
              <w:ind w:right="331"/>
              <w:rPr>
                <w:rFonts w:ascii="Arial" w:hAnsi="Arial" w:cs="Arial"/>
              </w:rPr>
            </w:pPr>
            <w:r w:rsidRPr="007B38C6">
              <w:rPr>
                <w:rFonts w:ascii="Arial" w:hAnsi="Arial" w:cs="Arial"/>
              </w:rPr>
              <w:lastRenderedPageBreak/>
              <w:t>SPF 30 Broad spectrum high protection sunscreen</w:t>
            </w:r>
          </w:p>
        </w:tc>
        <w:tc>
          <w:tcPr>
            <w:tcW w:w="4524" w:type="dxa"/>
          </w:tcPr>
          <w:p w14:paraId="4C104A50" w14:textId="77777777" w:rsidR="00A3230F" w:rsidRPr="007B38C6" w:rsidRDefault="00A3230F" w:rsidP="00420179">
            <w:pPr>
              <w:pStyle w:val="TableParagraph"/>
              <w:rPr>
                <w:rFonts w:ascii="Arial" w:hAnsi="Arial" w:cs="Arial"/>
              </w:rPr>
            </w:pPr>
            <w:r w:rsidRPr="007B38C6">
              <w:rPr>
                <w:rFonts w:ascii="Arial" w:hAnsi="Arial" w:cs="Arial"/>
              </w:rPr>
              <w:t>Indication for use in sunscreen products only.</w:t>
            </w:r>
          </w:p>
        </w:tc>
      </w:tr>
      <w:tr w:rsidR="00A3230F" w:rsidRPr="00E308CF" w14:paraId="452189AE" w14:textId="77777777" w:rsidTr="00F5642D">
        <w:trPr>
          <w:trHeight w:val="624"/>
        </w:trPr>
        <w:tc>
          <w:tcPr>
            <w:tcW w:w="4526" w:type="dxa"/>
          </w:tcPr>
          <w:p w14:paraId="1AB28D15" w14:textId="77777777" w:rsidR="00A3230F" w:rsidRPr="007B38C6" w:rsidRDefault="00A3230F" w:rsidP="00420179">
            <w:pPr>
              <w:pStyle w:val="TableParagraph"/>
              <w:ind w:right="331"/>
              <w:rPr>
                <w:rFonts w:ascii="Arial" w:hAnsi="Arial" w:cs="Arial"/>
              </w:rPr>
            </w:pPr>
            <w:r w:rsidRPr="007B38C6">
              <w:rPr>
                <w:rFonts w:ascii="Arial" w:hAnsi="Arial" w:cs="Arial"/>
              </w:rPr>
              <w:t>SPF 40 Broad spectrum high protection sunscreen</w:t>
            </w:r>
          </w:p>
        </w:tc>
        <w:tc>
          <w:tcPr>
            <w:tcW w:w="4524" w:type="dxa"/>
          </w:tcPr>
          <w:p w14:paraId="4EDB10D5" w14:textId="77777777" w:rsidR="00A3230F" w:rsidRPr="007B38C6" w:rsidRDefault="00A3230F" w:rsidP="00420179">
            <w:pPr>
              <w:pStyle w:val="TableParagraph"/>
              <w:rPr>
                <w:rFonts w:ascii="Arial" w:hAnsi="Arial" w:cs="Arial"/>
              </w:rPr>
            </w:pPr>
            <w:r w:rsidRPr="007B38C6">
              <w:rPr>
                <w:rFonts w:ascii="Arial" w:hAnsi="Arial" w:cs="Arial"/>
              </w:rPr>
              <w:t>Indication for use in sunscreen products only.</w:t>
            </w:r>
          </w:p>
        </w:tc>
      </w:tr>
      <w:tr w:rsidR="00A3230F" w:rsidRPr="00E308CF" w14:paraId="0DA8A679" w14:textId="77777777" w:rsidTr="00F5642D">
        <w:trPr>
          <w:trHeight w:val="624"/>
        </w:trPr>
        <w:tc>
          <w:tcPr>
            <w:tcW w:w="4526" w:type="dxa"/>
          </w:tcPr>
          <w:p w14:paraId="32ABAAEF" w14:textId="77777777" w:rsidR="00A3230F" w:rsidRPr="007B38C6" w:rsidRDefault="00A3230F" w:rsidP="00420179">
            <w:pPr>
              <w:pStyle w:val="TableParagraph"/>
              <w:ind w:right="331"/>
              <w:rPr>
                <w:rFonts w:ascii="Arial" w:hAnsi="Arial" w:cs="Arial"/>
              </w:rPr>
            </w:pPr>
            <w:r w:rsidRPr="007B38C6">
              <w:rPr>
                <w:rFonts w:ascii="Arial" w:hAnsi="Arial" w:cs="Arial"/>
              </w:rPr>
              <w:t>SPF 50 Broad spectrum high protection sunscreen</w:t>
            </w:r>
          </w:p>
        </w:tc>
        <w:tc>
          <w:tcPr>
            <w:tcW w:w="4524" w:type="dxa"/>
          </w:tcPr>
          <w:p w14:paraId="7EC95AAD" w14:textId="77777777" w:rsidR="00A3230F" w:rsidRPr="007B38C6" w:rsidRDefault="00A3230F" w:rsidP="00420179">
            <w:pPr>
              <w:pStyle w:val="TableParagraph"/>
              <w:rPr>
                <w:rFonts w:ascii="Arial" w:hAnsi="Arial" w:cs="Arial"/>
              </w:rPr>
            </w:pPr>
            <w:r w:rsidRPr="007B38C6">
              <w:rPr>
                <w:rFonts w:ascii="Arial" w:hAnsi="Arial" w:cs="Arial"/>
              </w:rPr>
              <w:t>Indication for use in sunscreen products only.</w:t>
            </w:r>
          </w:p>
        </w:tc>
      </w:tr>
      <w:tr w:rsidR="00A3230F" w:rsidRPr="00E308CF" w14:paraId="2D8156B6" w14:textId="77777777" w:rsidTr="00F5642D">
        <w:trPr>
          <w:trHeight w:val="624"/>
        </w:trPr>
        <w:tc>
          <w:tcPr>
            <w:tcW w:w="4526" w:type="dxa"/>
          </w:tcPr>
          <w:p w14:paraId="1A071ABE" w14:textId="77777777" w:rsidR="00A3230F" w:rsidRPr="007B38C6" w:rsidRDefault="00A3230F" w:rsidP="00420179">
            <w:pPr>
              <w:pStyle w:val="TableParagraph"/>
              <w:ind w:right="331"/>
              <w:rPr>
                <w:rFonts w:ascii="Arial" w:hAnsi="Arial" w:cs="Arial"/>
              </w:rPr>
            </w:pPr>
            <w:r w:rsidRPr="007B38C6">
              <w:rPr>
                <w:rFonts w:ascii="Arial" w:hAnsi="Arial" w:cs="Arial"/>
              </w:rPr>
              <w:t>SPF 50 PLUS Broad spectrum very high protection sunscreen</w:t>
            </w:r>
          </w:p>
        </w:tc>
        <w:tc>
          <w:tcPr>
            <w:tcW w:w="4524" w:type="dxa"/>
          </w:tcPr>
          <w:p w14:paraId="1D99BA00" w14:textId="77777777" w:rsidR="00A3230F" w:rsidRPr="007B38C6" w:rsidRDefault="00A3230F" w:rsidP="00420179">
            <w:pPr>
              <w:pStyle w:val="TableParagraph"/>
              <w:rPr>
                <w:rFonts w:ascii="Arial" w:hAnsi="Arial" w:cs="Arial"/>
              </w:rPr>
            </w:pPr>
            <w:r w:rsidRPr="007B38C6">
              <w:rPr>
                <w:rFonts w:ascii="Arial" w:hAnsi="Arial" w:cs="Arial"/>
              </w:rPr>
              <w:t>Indication for use in sunscreen products only.</w:t>
            </w:r>
          </w:p>
        </w:tc>
      </w:tr>
    </w:tbl>
    <w:p w14:paraId="7A3F79D8" w14:textId="77777777" w:rsidR="00F61A16" w:rsidRDefault="00F61A16" w:rsidP="007B38C6">
      <w:pPr>
        <w:pStyle w:val="ListBullet"/>
        <w:numPr>
          <w:ilvl w:val="0"/>
          <w:numId w:val="0"/>
        </w:numPr>
      </w:pPr>
    </w:p>
    <w:p w14:paraId="11EAAB69" w14:textId="77777777" w:rsidR="00C70679" w:rsidRDefault="00C70679">
      <w:pPr>
        <w:rPr>
          <w:b/>
          <w:bCs/>
          <w:color w:val="001871"/>
          <w:sz w:val="38"/>
          <w:szCs w:val="32"/>
        </w:rPr>
      </w:pPr>
      <w:bookmarkStart w:id="135" w:name="_Toc181273072"/>
      <w:bookmarkStart w:id="136" w:name="_Toc198297296"/>
      <w:bookmarkStart w:id="137" w:name="_Hlk183012660"/>
      <w:r>
        <w:br w:type="page"/>
      </w:r>
    </w:p>
    <w:p w14:paraId="648C4E4E" w14:textId="3006DA1F" w:rsidR="00AB4B95" w:rsidRDefault="00AB4B95" w:rsidP="00AB4B95">
      <w:pPr>
        <w:pStyle w:val="Heading2"/>
      </w:pPr>
      <w:bookmarkStart w:id="138" w:name="_Toc204751340"/>
      <w:r w:rsidRPr="00E308CF">
        <w:lastRenderedPageBreak/>
        <w:t xml:space="preserve">Appendix 2: </w:t>
      </w:r>
      <w:r>
        <w:t>How risk assessments are conducted for ingredients that are systemically absorbed</w:t>
      </w:r>
      <w:bookmarkEnd w:id="135"/>
      <w:bookmarkEnd w:id="136"/>
      <w:bookmarkEnd w:id="138"/>
      <w:r>
        <w:t xml:space="preserve"> </w:t>
      </w:r>
      <w:bookmarkEnd w:id="137"/>
    </w:p>
    <w:p w14:paraId="741C11F2" w14:textId="77777777" w:rsidR="0005249A" w:rsidRPr="007B38C6" w:rsidRDefault="0005249A" w:rsidP="0005249A">
      <w:pPr>
        <w:rPr>
          <w:rFonts w:eastAsia="Times New Roman"/>
          <w:iCs/>
          <w:snapToGrid w:val="0"/>
          <w:kern w:val="16"/>
          <w:szCs w:val="22"/>
        </w:rPr>
      </w:pPr>
      <w:r w:rsidRPr="007B38C6">
        <w:rPr>
          <w:rFonts w:eastAsia="Times New Roman"/>
          <w:iCs/>
          <w:snapToGrid w:val="0"/>
          <w:kern w:val="16"/>
          <w:szCs w:val="22"/>
        </w:rPr>
        <w:t xml:space="preserve">When considering the risks to human health and safety from the use of substances in therapeutic goods, including sunscreens, it is essential to consider their use in the context of hazard and exposure. </w:t>
      </w:r>
    </w:p>
    <w:p w14:paraId="73E96D84" w14:textId="77777777" w:rsidR="0005249A" w:rsidRPr="007B38C6" w:rsidRDefault="0005249A" w:rsidP="0005249A">
      <w:pPr>
        <w:rPr>
          <w:rFonts w:eastAsia="Times New Roman"/>
          <w:iCs/>
          <w:snapToGrid w:val="0"/>
          <w:kern w:val="16"/>
          <w:szCs w:val="22"/>
        </w:rPr>
      </w:pPr>
      <w:r w:rsidRPr="007B38C6">
        <w:rPr>
          <w:rFonts w:eastAsia="Times New Roman"/>
          <w:iCs/>
          <w:snapToGrid w:val="0"/>
          <w:kern w:val="16"/>
          <w:szCs w:val="22"/>
        </w:rPr>
        <w:t>The hazard of a substance is defined by its intrinsic toxicity, characterised by the dosage and its short-term or long-term adverse effects on biological systems, with a critical factor being the identification of a toxicological threshold known as the 'No Observed Adverse Effect Level' (NOAEL) where no adverse effects are observed.</w:t>
      </w:r>
    </w:p>
    <w:p w14:paraId="5D1B63DA" w14:textId="77777777" w:rsidR="0005249A" w:rsidRPr="007B38C6" w:rsidRDefault="0005249A" w:rsidP="0005249A">
      <w:pPr>
        <w:rPr>
          <w:rFonts w:eastAsia="Times New Roman"/>
          <w:iCs/>
          <w:snapToGrid w:val="0"/>
          <w:kern w:val="16"/>
          <w:szCs w:val="22"/>
        </w:rPr>
      </w:pPr>
      <w:r w:rsidRPr="007B38C6">
        <w:rPr>
          <w:rFonts w:eastAsia="Times New Roman"/>
          <w:iCs/>
          <w:snapToGrid w:val="0"/>
          <w:kern w:val="16"/>
          <w:szCs w:val="22"/>
        </w:rPr>
        <w:t xml:space="preserve">Exposure is the identification and characterisation of the contact between a product or substance and the host, in this case humans. For dermally applied products, the exposure can be either local or both local and systemic. </w:t>
      </w:r>
    </w:p>
    <w:p w14:paraId="7ED2889E" w14:textId="77777777" w:rsidR="0005249A" w:rsidRPr="007B38C6" w:rsidRDefault="0005249A" w:rsidP="0005249A">
      <w:pPr>
        <w:rPr>
          <w:rFonts w:eastAsia="Times New Roman"/>
          <w:iCs/>
          <w:snapToGrid w:val="0"/>
          <w:kern w:val="16"/>
          <w:szCs w:val="22"/>
        </w:rPr>
      </w:pPr>
      <w:r w:rsidRPr="007B38C6">
        <w:rPr>
          <w:rFonts w:eastAsia="Times New Roman"/>
          <w:iCs/>
          <w:snapToGrid w:val="0"/>
          <w:kern w:val="16"/>
          <w:szCs w:val="22"/>
        </w:rPr>
        <w:t xml:space="preserve">There are 2 broad areas of risk associated with dermally applied products, including sunscreens: </w:t>
      </w:r>
    </w:p>
    <w:p w14:paraId="6DD02136" w14:textId="77777777" w:rsidR="0005249A" w:rsidRPr="007B38C6" w:rsidRDefault="0005249A" w:rsidP="0073748E">
      <w:pPr>
        <w:numPr>
          <w:ilvl w:val="0"/>
          <w:numId w:val="20"/>
        </w:numPr>
        <w:spacing w:before="120" w:after="180" w:line="240" w:lineRule="atLeast"/>
        <w:rPr>
          <w:rFonts w:eastAsia="Times New Roman"/>
          <w:iCs/>
          <w:snapToGrid w:val="0"/>
          <w:kern w:val="16"/>
          <w:szCs w:val="22"/>
        </w:rPr>
      </w:pPr>
      <w:r w:rsidRPr="007B38C6">
        <w:rPr>
          <w:rFonts w:eastAsia="Times New Roman"/>
          <w:iCs/>
          <w:snapToGrid w:val="0"/>
          <w:kern w:val="16"/>
          <w:szCs w:val="22"/>
        </w:rPr>
        <w:t>adverse effects at or around the site of application/administration e.g. irritation and inflammation.</w:t>
      </w:r>
    </w:p>
    <w:p w14:paraId="649712B8" w14:textId="77777777" w:rsidR="0005249A" w:rsidRPr="007B38C6" w:rsidRDefault="0005249A" w:rsidP="0073748E">
      <w:pPr>
        <w:numPr>
          <w:ilvl w:val="0"/>
          <w:numId w:val="20"/>
        </w:numPr>
        <w:spacing w:before="120" w:after="180" w:line="240" w:lineRule="atLeast"/>
        <w:rPr>
          <w:rFonts w:eastAsia="Times New Roman"/>
          <w:iCs/>
          <w:snapToGrid w:val="0"/>
          <w:kern w:val="16"/>
          <w:szCs w:val="22"/>
        </w:rPr>
      </w:pPr>
      <w:r w:rsidRPr="007B38C6">
        <w:rPr>
          <w:rFonts w:eastAsia="Times New Roman"/>
          <w:iCs/>
          <w:snapToGrid w:val="0"/>
          <w:kern w:val="16"/>
          <w:szCs w:val="22"/>
        </w:rPr>
        <w:t>adverse effects related to systemic effects following distribution of substances internally via ingestion, inhalation, or penetration/absorption though the skin, eyes, and other areas of the body.</w:t>
      </w:r>
    </w:p>
    <w:p w14:paraId="12B611A9" w14:textId="77777777" w:rsidR="0005249A" w:rsidRPr="007B38C6" w:rsidRDefault="0005249A" w:rsidP="0005249A">
      <w:pPr>
        <w:rPr>
          <w:rFonts w:eastAsia="Times New Roman"/>
          <w:iCs/>
          <w:snapToGrid w:val="0"/>
          <w:kern w:val="16"/>
          <w:szCs w:val="22"/>
        </w:rPr>
      </w:pPr>
      <w:r w:rsidRPr="007B38C6">
        <w:rPr>
          <w:rFonts w:eastAsia="Times New Roman"/>
          <w:iCs/>
          <w:snapToGrid w:val="0"/>
          <w:kern w:val="16"/>
          <w:szCs w:val="22"/>
        </w:rPr>
        <w:t xml:space="preserve">Local intolerance of a dermally applied product may be thought as time-limited and self-identifiable, i.e. a product can be removed (washed) off the skin or flushed from the eyes, (skin surface removal/sloughing) and a person could readily identify irritation to the eyes, skin, and mucosal surfaces. </w:t>
      </w:r>
    </w:p>
    <w:p w14:paraId="6DD03AB0" w14:textId="77777777" w:rsidR="0005249A" w:rsidRPr="007B38C6" w:rsidRDefault="0005249A" w:rsidP="0005249A">
      <w:pPr>
        <w:rPr>
          <w:rFonts w:eastAsia="Times New Roman"/>
          <w:iCs/>
          <w:snapToGrid w:val="0"/>
          <w:kern w:val="16"/>
        </w:rPr>
      </w:pPr>
      <w:r w:rsidRPr="007B38C6">
        <w:rPr>
          <w:rFonts w:eastAsia="Times New Roman"/>
          <w:iCs/>
          <w:snapToGrid w:val="0"/>
          <w:kern w:val="16"/>
        </w:rPr>
        <w:t>On the other hand, the adverse effects of the product on the human body when distributed internally to other tissues and organs and for varying periods of time may not be immediately obvious or not become apparent for many months or years after exposure. The TGA considers the systemic exposure as a critical determinant when considering the inherent risks from contact with dermally applied products, including sunscreens. The risk is assessed using a Margin of Safety (MoS) calculation described below.</w:t>
      </w:r>
    </w:p>
    <w:p w14:paraId="3C22A32E" w14:textId="77777777" w:rsidR="001D7DD4" w:rsidRPr="001E75BA" w:rsidRDefault="001D7DD4" w:rsidP="001D7DD4">
      <w:pPr>
        <w:pStyle w:val="Heading4"/>
        <w:rPr>
          <w:rFonts w:cs="Arial"/>
        </w:rPr>
      </w:pPr>
      <w:bookmarkStart w:id="139" w:name="_Toc178023980"/>
      <w:bookmarkStart w:id="140" w:name="_Toc181273073"/>
      <w:bookmarkStart w:id="141" w:name="_Toc204751341"/>
      <w:r w:rsidRPr="001E75BA">
        <w:rPr>
          <w:rFonts w:cs="Arial"/>
        </w:rPr>
        <w:t>Margin of Safety (MoS)</w:t>
      </w:r>
      <w:bookmarkEnd w:id="139"/>
      <w:bookmarkEnd w:id="140"/>
      <w:bookmarkEnd w:id="141"/>
    </w:p>
    <w:p w14:paraId="52EACA2C" w14:textId="1218D7F8" w:rsidR="003C4485" w:rsidRPr="007B38C6" w:rsidRDefault="003C4485" w:rsidP="003C4485">
      <w:pPr>
        <w:spacing w:after="120"/>
        <w:rPr>
          <w:rFonts w:eastAsia="Times New Roman"/>
          <w:iCs/>
          <w:snapToGrid w:val="0"/>
          <w:kern w:val="16"/>
        </w:rPr>
      </w:pPr>
      <w:r w:rsidRPr="007B38C6">
        <w:rPr>
          <w:rFonts w:eastAsia="Times New Roman"/>
          <w:iCs/>
          <w:snapToGrid w:val="0"/>
          <w:kern w:val="16"/>
        </w:rPr>
        <w:t xml:space="preserve">A MoS approach is used to consider the risks to human health and safety of substances. The MoS compares the expected </w:t>
      </w:r>
      <w:hyperlink w:anchor="_Systemic_Exposure_Dose" w:history="1">
        <w:r w:rsidRPr="007B38C6">
          <w:rPr>
            <w:rFonts w:eastAsia="Times New Roman"/>
            <w:iCs/>
            <w:snapToGrid w:val="0"/>
            <w:kern w:val="16"/>
          </w:rPr>
          <w:t>systemic exposure dose</w:t>
        </w:r>
      </w:hyperlink>
      <w:r w:rsidRPr="007B38C6">
        <w:rPr>
          <w:rFonts w:eastAsia="Times New Roman"/>
          <w:iCs/>
          <w:snapToGrid w:val="0"/>
          <w:kern w:val="16"/>
        </w:rPr>
        <w:t xml:space="preserve"> (SED) of a substance within the human population to a toxicological threshold, known as the 'No Observed Adverse Effect Level' (NOAEL). The NOAEL is the level at which no specific adverse effects were observed in humans or animals, adjusted for body weight. Typically, the NOAEL is derived from long-term, repeat-dose toxicity studies in animals. As such, the MoS value indicates the likelihood of an adverse health effect occurring under specific exposure conditions.</w:t>
      </w:r>
    </w:p>
    <w:p w14:paraId="145AC8E3" w14:textId="77777777" w:rsidR="003C4485" w:rsidRPr="007B38C6" w:rsidRDefault="003C4485" w:rsidP="003C4485">
      <w:pPr>
        <w:spacing w:after="120"/>
        <w:rPr>
          <w:rFonts w:eastAsia="Times New Roman"/>
          <w:iCs/>
          <w:snapToGrid w:val="0"/>
          <w:kern w:val="16"/>
        </w:rPr>
      </w:pPr>
      <w:r w:rsidRPr="007B38C6">
        <w:rPr>
          <w:rFonts w:eastAsia="Times New Roman"/>
          <w:iCs/>
          <w:snapToGrid w:val="0"/>
          <w:kern w:val="16"/>
        </w:rPr>
        <w:lastRenderedPageBreak/>
        <w:t>To correct for the uncertainty in the data, the internationally accepted methodology utilises a correction factor of 10 to account for interspecies differences between animals and humans, and a further correction factor of 10 for intraspecies differences to account for variations in the human population. These factors are multiplied together to arrive at a value of 100. Margins of Safety below 100 are generally considered unacceptable. Moreover, as the MoS increases, the potential risk decreases.</w:t>
      </w:r>
    </w:p>
    <w:p w14:paraId="39E7B7B5" w14:textId="77777777" w:rsidR="001E75BA" w:rsidRPr="007B38C6" w:rsidRDefault="001E75BA" w:rsidP="001E75BA">
      <w:pPr>
        <w:spacing w:after="120"/>
        <w:rPr>
          <w:rFonts w:eastAsia="Times New Roman"/>
          <w:iCs/>
          <w:snapToGrid w:val="0"/>
          <w:kern w:val="16"/>
          <w:szCs w:val="22"/>
        </w:rPr>
      </w:pPr>
      <w:r w:rsidRPr="007B38C6">
        <w:rPr>
          <w:rFonts w:eastAsia="Times New Roman"/>
          <w:iCs/>
          <w:snapToGrid w:val="0"/>
          <w:kern w:val="16"/>
        </w:rPr>
        <w:t>Determining the adequacy of the MoS requires expert judgment, which is typically exercised on a case-by-case basis. This judgment should account for uncertainties in the risk assessment process, such as data completeness and quality, the nature and severity of the adverse effects, and intra/inter species variability.</w:t>
      </w:r>
      <w:r w:rsidRPr="007B38C6">
        <w:rPr>
          <w:rFonts w:eastAsia="Times New Roman"/>
          <w:iCs/>
          <w:snapToGrid w:val="0"/>
          <w:kern w:val="16"/>
          <w:sz w:val="28"/>
        </w:rPr>
        <w:t xml:space="preserve"> </w:t>
      </w:r>
      <w:r w:rsidRPr="007B38C6">
        <w:rPr>
          <w:rFonts w:eastAsia="Times New Roman"/>
          <w:iCs/>
          <w:snapToGrid w:val="0"/>
          <w:kern w:val="16"/>
          <w:szCs w:val="22"/>
        </w:rPr>
        <w:t xml:space="preserve">For instance: </w:t>
      </w:r>
    </w:p>
    <w:p w14:paraId="097F7AE4" w14:textId="77777777" w:rsidR="001E75BA" w:rsidRPr="007B38C6" w:rsidRDefault="001E75BA" w:rsidP="007B38C6">
      <w:pPr>
        <w:pStyle w:val="ListBullet"/>
        <w:rPr>
          <w:snapToGrid w:val="0"/>
          <w:szCs w:val="24"/>
        </w:rPr>
      </w:pPr>
      <w:r w:rsidRPr="007B38C6">
        <w:rPr>
          <w:snapToGrid w:val="0"/>
          <w:szCs w:val="24"/>
        </w:rPr>
        <w:t xml:space="preserve">acceptance of lower MoS values may be deemed appropriate when the NOAEL is based upon human toxicological data. </w:t>
      </w:r>
    </w:p>
    <w:p w14:paraId="7A9A3206" w14:textId="77777777" w:rsidR="001E75BA" w:rsidRPr="007B38C6" w:rsidRDefault="001E75BA" w:rsidP="007B38C6">
      <w:pPr>
        <w:pStyle w:val="ListBullet"/>
        <w:rPr>
          <w:snapToGrid w:val="0"/>
          <w:szCs w:val="24"/>
        </w:rPr>
      </w:pPr>
      <w:r w:rsidRPr="007B38C6">
        <w:rPr>
          <w:snapToGrid w:val="0"/>
          <w:szCs w:val="24"/>
        </w:rPr>
        <w:t>conversely, a requirement for higher MoS values may arise such as, in situations where the duration of the toxicological study does not adequately reflect the intended duration of exposure, or when MoS is based on a LOAEL in the absence of a NOAEL.</w:t>
      </w:r>
      <w:r w:rsidRPr="007B38C6">
        <w:rPr>
          <w:rStyle w:val="FootnoteReference"/>
          <w:rFonts w:eastAsia="Times New Roman"/>
          <w:iCs/>
          <w:snapToGrid w:val="0"/>
          <w:kern w:val="16"/>
          <w:szCs w:val="24"/>
        </w:rPr>
        <w:footnoteReference w:id="13"/>
      </w:r>
      <w:r w:rsidRPr="007B38C6">
        <w:rPr>
          <w:snapToGrid w:val="0"/>
          <w:szCs w:val="24"/>
        </w:rPr>
        <w:t xml:space="preserve">   </w:t>
      </w:r>
    </w:p>
    <w:p w14:paraId="087E0F09" w14:textId="77777777" w:rsidR="001E75BA" w:rsidRDefault="001E75BA" w:rsidP="001E75BA">
      <w:pPr>
        <w:pStyle w:val="Standard"/>
        <w:rPr>
          <w:rFonts w:ascii="Arial" w:hAnsi="Arial" w:cs="Arial"/>
          <w:iCs/>
          <w:sz w:val="24"/>
        </w:rPr>
      </w:pPr>
      <w:r w:rsidRPr="007B38C6">
        <w:rPr>
          <w:rFonts w:ascii="Arial" w:hAnsi="Arial" w:cs="Arial"/>
          <w:iCs/>
          <w:sz w:val="24"/>
        </w:rPr>
        <w:t xml:space="preserve">The following formula is used to calculate the MoS:  </w:t>
      </w:r>
    </w:p>
    <w:p w14:paraId="258B0E4C" w14:textId="42777A22" w:rsidR="00C22A4C" w:rsidRPr="007B38C6" w:rsidRDefault="00C22A4C" w:rsidP="001E75BA">
      <w:pPr>
        <w:pStyle w:val="Standard"/>
        <w:rPr>
          <w:rFonts w:ascii="Arial" w:hAnsi="Arial" w:cs="Arial"/>
          <w:iCs/>
          <w:sz w:val="24"/>
        </w:rPr>
      </w:pPr>
      <w:r>
        <w:rPr>
          <w:noProof/>
        </w:rPr>
        <w:drawing>
          <wp:inline distT="0" distB="0" distL="0" distR="0" wp14:anchorId="7C953CFE" wp14:editId="6822DF52">
            <wp:extent cx="5731510" cy="511175"/>
            <wp:effectExtent l="0" t="0" r="2540" b="3175"/>
            <wp:docPr id="427518896" name="Picture 1" descr="Mathematical formula for Margin of Safety (MoS): MoS equals NOAEL divided by SED, where NOAEL stands for No Observed Adverse Effect Level in milligrams per kilogram body weight per day, and SED stands for Systemic Exposure Dose in the same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18896" name="Picture 1" descr="Mathematical formula for Margin of Safety (MoS): MoS equals NOAEL divided by SED, where NOAEL stands for No Observed Adverse Effect Level in milligrams per kilogram body weight per day, and SED stands for Systemic Exposure Dose in the same units."/>
                    <pic:cNvPicPr/>
                  </pic:nvPicPr>
                  <pic:blipFill>
                    <a:blip r:embed="rId101"/>
                    <a:stretch>
                      <a:fillRect/>
                    </a:stretch>
                  </pic:blipFill>
                  <pic:spPr>
                    <a:xfrm>
                      <a:off x="0" y="0"/>
                      <a:ext cx="5731510" cy="511175"/>
                    </a:xfrm>
                    <a:prstGeom prst="rect">
                      <a:avLst/>
                    </a:prstGeom>
                  </pic:spPr>
                </pic:pic>
              </a:graphicData>
            </a:graphic>
          </wp:inline>
        </w:drawing>
      </w:r>
    </w:p>
    <w:p w14:paraId="4A102FB3" w14:textId="2AA6FC7F" w:rsidR="00B5067E" w:rsidRPr="007B38C6" w:rsidRDefault="001E75BA" w:rsidP="00E171A4">
      <w:pPr>
        <w:pStyle w:val="ListBullet"/>
        <w:numPr>
          <w:ilvl w:val="0"/>
          <w:numId w:val="0"/>
        </w:numPr>
        <w:rPr>
          <w:rFonts w:eastAsiaTheme="majorEastAsia"/>
          <w:b/>
          <w:iCs/>
          <w:kern w:val="2"/>
          <w:sz w:val="28"/>
          <w:szCs w:val="24"/>
          <w14:ligatures w14:val="standardContextual"/>
        </w:rPr>
      </w:pPr>
      <w:r w:rsidRPr="007B38C6">
        <w:rPr>
          <w:snapToGrid w:val="0"/>
          <w:sz w:val="22"/>
        </w:rPr>
        <w:t>NOAEL may be adjusted for</w:t>
      </w:r>
      <w:r w:rsidRPr="007B38C6">
        <w:rPr>
          <w:snapToGrid w:val="0"/>
        </w:rPr>
        <w:t xml:space="preserve"> bioavailability to reflect a systemic value, particularly when evaluating dermal exposure risks using a NOAEL derived from an oral study.   </w:t>
      </w:r>
      <w:r w:rsidRPr="007B38C6">
        <w:rPr>
          <w:rFonts w:eastAsiaTheme="majorEastAsia"/>
          <w:b/>
          <w:iCs/>
          <w:kern w:val="2"/>
          <w:sz w:val="28"/>
          <w:szCs w:val="24"/>
          <w14:ligatures w14:val="standardContextual"/>
        </w:rPr>
        <w:t xml:space="preserve"> </w:t>
      </w:r>
    </w:p>
    <w:p w14:paraId="20A15F8F" w14:textId="2AA6FC7F" w:rsidR="00A35F02" w:rsidRPr="00A35F02" w:rsidRDefault="00A35F02" w:rsidP="00A35F02">
      <w:pPr>
        <w:pStyle w:val="Heading4"/>
        <w:rPr>
          <w:rFonts w:cs="Arial"/>
        </w:rPr>
      </w:pPr>
      <w:bookmarkStart w:id="142" w:name="_Toc169601154"/>
      <w:bookmarkStart w:id="143" w:name="_Toc170477245"/>
      <w:bookmarkStart w:id="144" w:name="_Toc181273074"/>
      <w:bookmarkStart w:id="145" w:name="_Toc204751342"/>
      <w:r w:rsidRPr="00A35F02">
        <w:rPr>
          <w:rFonts w:cs="Arial"/>
        </w:rPr>
        <w:t>Systemic Exposure Dose</w:t>
      </w:r>
      <w:bookmarkEnd w:id="142"/>
      <w:bookmarkEnd w:id="143"/>
      <w:bookmarkEnd w:id="144"/>
      <w:bookmarkEnd w:id="145"/>
    </w:p>
    <w:p w14:paraId="69DBC5B1" w14:textId="77777777" w:rsidR="00A35F02" w:rsidRPr="007B38C6" w:rsidRDefault="00A35F02" w:rsidP="00A35F02">
      <w:pPr>
        <w:pStyle w:val="Standard"/>
        <w:rPr>
          <w:rFonts w:ascii="Arial" w:hAnsi="Arial" w:cs="Arial"/>
          <w:sz w:val="24"/>
        </w:rPr>
      </w:pPr>
      <w:r w:rsidRPr="007B38C6">
        <w:rPr>
          <w:rFonts w:ascii="Arial" w:hAnsi="Arial" w:cs="Arial"/>
          <w:sz w:val="24"/>
        </w:rPr>
        <w:t>SED is the internal exposure dose, which is the amount of an ingredient absorbed through the skin into the systemic circulation. It is the amount expected to enter the blood stream (and therefore be systemically available) per kg body weight and per day. It is expressed in mg/kg body weight (</w:t>
      </w:r>
      <w:proofErr w:type="spellStart"/>
      <w:r w:rsidRPr="007B38C6">
        <w:rPr>
          <w:rFonts w:ascii="Arial" w:hAnsi="Arial" w:cs="Arial"/>
          <w:sz w:val="24"/>
        </w:rPr>
        <w:t>bw</w:t>
      </w:r>
      <w:proofErr w:type="spellEnd"/>
      <w:r w:rsidRPr="007B38C6">
        <w:rPr>
          <w:rFonts w:ascii="Arial" w:hAnsi="Arial" w:cs="Arial"/>
          <w:sz w:val="24"/>
        </w:rPr>
        <w:t xml:space="preserve">)/day, </w:t>
      </w:r>
      <w:proofErr w:type="gramStart"/>
      <w:r w:rsidRPr="007B38C6">
        <w:rPr>
          <w:rFonts w:ascii="Arial" w:hAnsi="Arial" w:cs="Arial"/>
          <w:sz w:val="24"/>
        </w:rPr>
        <w:t>similar to</w:t>
      </w:r>
      <w:proofErr w:type="gramEnd"/>
      <w:r w:rsidRPr="007B38C6">
        <w:rPr>
          <w:rFonts w:ascii="Arial" w:hAnsi="Arial" w:cs="Arial"/>
          <w:sz w:val="24"/>
        </w:rPr>
        <w:t xml:space="preserve"> NOAEL. </w:t>
      </w:r>
    </w:p>
    <w:p w14:paraId="2F3C01DA" w14:textId="77777777" w:rsidR="00A35F02" w:rsidRPr="007B38C6" w:rsidRDefault="00A35F02" w:rsidP="00A35F02">
      <w:pPr>
        <w:pStyle w:val="Standard"/>
        <w:rPr>
          <w:rFonts w:ascii="Arial" w:hAnsi="Arial" w:cs="Arial"/>
          <w:sz w:val="24"/>
        </w:rPr>
      </w:pPr>
      <w:r w:rsidRPr="007B38C6">
        <w:rPr>
          <w:rFonts w:ascii="Arial" w:hAnsi="Arial" w:cs="Arial"/>
          <w:sz w:val="24"/>
        </w:rPr>
        <w:t xml:space="preserve">Determining the SED is based on how much sunscreen is applied to the skin </w:t>
      </w:r>
      <w:proofErr w:type="gramStart"/>
      <w:r w:rsidRPr="007B38C6">
        <w:rPr>
          <w:rFonts w:ascii="Arial" w:hAnsi="Arial" w:cs="Arial"/>
          <w:sz w:val="24"/>
        </w:rPr>
        <w:t>on a daily basis</w:t>
      </w:r>
      <w:proofErr w:type="gramEnd"/>
      <w:r w:rsidRPr="007B38C6">
        <w:rPr>
          <w:rFonts w:ascii="Arial" w:hAnsi="Arial" w:cs="Arial"/>
          <w:sz w:val="24"/>
        </w:rPr>
        <w:t xml:space="preserve"> (i.e. the external exposure dose). Applicants can also provide available pharmacokinetic data that will be considered in determining the SED as part of the risk assessment. For instance, dermal absorption factors may be refined further when robust scientific data (i.e. data demonstrating plasma values after dermal application) can be provided.  </w:t>
      </w:r>
    </w:p>
    <w:p w14:paraId="2C1FC6E9" w14:textId="77777777" w:rsidR="00A35F02" w:rsidRPr="007B38C6" w:rsidRDefault="00A35F02" w:rsidP="00A35F02">
      <w:pPr>
        <w:pStyle w:val="Standard"/>
        <w:rPr>
          <w:rFonts w:ascii="Arial" w:hAnsi="Arial" w:cs="Arial"/>
          <w:sz w:val="24"/>
        </w:rPr>
      </w:pPr>
      <w:r w:rsidRPr="007B38C6">
        <w:rPr>
          <w:rFonts w:ascii="Arial" w:hAnsi="Arial" w:cs="Arial"/>
          <w:sz w:val="24"/>
        </w:rPr>
        <w:t xml:space="preserve">The TGA has drawn upon the same risk assessment method developed by the SCCS for cosmetic ingredients to calculate the SED and </w:t>
      </w:r>
      <w:proofErr w:type="spellStart"/>
      <w:r w:rsidRPr="007B38C6">
        <w:rPr>
          <w:rFonts w:ascii="Arial" w:hAnsi="Arial" w:cs="Arial"/>
          <w:sz w:val="24"/>
        </w:rPr>
        <w:t>MoS.</w:t>
      </w:r>
      <w:proofErr w:type="spellEnd"/>
      <w:r w:rsidRPr="007B38C6">
        <w:rPr>
          <w:rFonts w:ascii="Arial" w:hAnsi="Arial" w:cs="Arial"/>
          <w:sz w:val="24"/>
        </w:rPr>
        <w:t xml:space="preserve"> However, the Australian Sunscreen Exposure Model (ASEM) utilises a different estimated average daily sunscreen exposure (external exposure) for therapeutic sunscreens than is </w:t>
      </w:r>
      <w:r w:rsidRPr="007B38C6">
        <w:rPr>
          <w:rFonts w:ascii="Arial" w:hAnsi="Arial" w:cs="Arial"/>
          <w:sz w:val="24"/>
        </w:rPr>
        <w:lastRenderedPageBreak/>
        <w:t>used by the SCCS to calculate the SED and MoS for cosmetics including sunscreens.</w:t>
      </w:r>
    </w:p>
    <w:p w14:paraId="10F499C5" w14:textId="77777777" w:rsidR="008736BF" w:rsidRPr="005C34DE" w:rsidRDefault="008736BF" w:rsidP="005C34DE">
      <w:pPr>
        <w:pStyle w:val="Heading4"/>
      </w:pPr>
      <w:bookmarkStart w:id="146" w:name="_Toc178023981"/>
      <w:bookmarkStart w:id="147" w:name="_Toc181273075"/>
      <w:bookmarkStart w:id="148" w:name="_Toc204751343"/>
      <w:r w:rsidRPr="005C34DE">
        <w:t xml:space="preserve">How the ASEM </w:t>
      </w:r>
      <w:bookmarkEnd w:id="146"/>
      <w:r w:rsidRPr="005C34DE">
        <w:t>was used to calculate sunscreen exposure</w:t>
      </w:r>
      <w:bookmarkEnd w:id="147"/>
      <w:bookmarkEnd w:id="148"/>
      <w:r w:rsidRPr="005C34DE">
        <w:t xml:space="preserve"> </w:t>
      </w:r>
    </w:p>
    <w:p w14:paraId="2960DA22" w14:textId="77777777" w:rsidR="00762683" w:rsidRPr="007B38C6" w:rsidRDefault="00762683" w:rsidP="00762683">
      <w:pPr>
        <w:pStyle w:val="Standard"/>
        <w:rPr>
          <w:rFonts w:ascii="Arial" w:hAnsi="Arial" w:cs="Arial"/>
          <w:sz w:val="24"/>
        </w:rPr>
      </w:pPr>
      <w:r w:rsidRPr="007B38C6">
        <w:rPr>
          <w:rFonts w:ascii="Arial" w:hAnsi="Arial" w:cs="Arial"/>
          <w:sz w:val="24"/>
        </w:rPr>
        <w:t xml:space="preserve">The ASEM is a model that calculates the estimated average daily sunscreen exposure using a formula, and the input into that formula is based on Australian expected sunscreen use scenarios. </w:t>
      </w:r>
    </w:p>
    <w:p w14:paraId="47E9FFDF" w14:textId="77777777" w:rsidR="00DC5D74" w:rsidRPr="007B38C6" w:rsidRDefault="00762683" w:rsidP="00762683">
      <w:pPr>
        <w:autoSpaceDE w:val="0"/>
        <w:autoSpaceDN w:val="0"/>
        <w:adjustRightInd w:val="0"/>
        <w:spacing w:after="0" w:line="240" w:lineRule="auto"/>
      </w:pPr>
      <w:r w:rsidRPr="007B38C6">
        <w:t xml:space="preserve">The ASEM </w:t>
      </w:r>
      <w:r w:rsidRPr="007B38C6">
        <w:rPr>
          <w:rFonts w:eastAsia="Times New Roman"/>
          <w:snapToGrid w:val="0"/>
          <w:kern w:val="16"/>
        </w:rPr>
        <w:t xml:space="preserve">is based on data for skin surface area, age, and body weight for the Australian population. The formula calculates the daily sunscreen exposure by considering how many times it is applied a day, number of days of the year it is applied, and the skin surface area of each body part it is applied to. </w:t>
      </w:r>
      <w:r w:rsidRPr="007B38C6">
        <w:t xml:space="preserve">All these variables can change based on how the sunscreen is used and who it is used by.  </w:t>
      </w:r>
    </w:p>
    <w:p w14:paraId="7688C4BD" w14:textId="77777777" w:rsidR="00DC5D74" w:rsidRDefault="00DC5D74" w:rsidP="00762683">
      <w:pPr>
        <w:autoSpaceDE w:val="0"/>
        <w:autoSpaceDN w:val="0"/>
        <w:adjustRightInd w:val="0"/>
        <w:spacing w:after="0" w:line="240" w:lineRule="auto"/>
      </w:pPr>
    </w:p>
    <w:p w14:paraId="6F617951" w14:textId="2B3E28A1" w:rsidR="00066EF7" w:rsidRPr="007B38C6" w:rsidRDefault="00762683" w:rsidP="00762683">
      <w:pPr>
        <w:autoSpaceDE w:val="0"/>
        <w:autoSpaceDN w:val="0"/>
        <w:adjustRightInd w:val="0"/>
        <w:spacing w:after="0" w:line="240" w:lineRule="auto"/>
      </w:pPr>
      <w:r w:rsidRPr="007B38C6">
        <w:rPr>
          <w:b/>
          <w:bCs/>
        </w:rPr>
        <w:t>For general therapeutic sunscreens</w:t>
      </w:r>
      <w:r w:rsidRPr="007B38C6">
        <w:t xml:space="preserve"> meant to be used by the whole population, a highest estimated average daily sunscreen exposure amount was calculated based on the highest use scenarios in the most vulnerable population (toddlers aged 1-2 years). These values, and how to calculate the SED are reproduced in the table below depending on how data is reported from the dermal absorption studies. The respective input values for these variables were described in the public consultation on adopting the A</w:t>
      </w:r>
      <w:r w:rsidR="00887DFF" w:rsidRPr="007B38C6">
        <w:t>SEM</w:t>
      </w:r>
      <w:r w:rsidRPr="007B38C6">
        <w:t>.</w:t>
      </w:r>
      <w:r w:rsidRPr="007B38C6">
        <w:rPr>
          <w:rStyle w:val="FootnoteReference"/>
        </w:rPr>
        <w:footnoteReference w:id="14"/>
      </w:r>
    </w:p>
    <w:p w14:paraId="4918667B" w14:textId="77777777" w:rsidR="00066EF7" w:rsidRPr="007B38C6" w:rsidRDefault="00066EF7" w:rsidP="00762683">
      <w:pPr>
        <w:autoSpaceDE w:val="0"/>
        <w:autoSpaceDN w:val="0"/>
        <w:adjustRightInd w:val="0"/>
        <w:spacing w:after="0" w:line="240" w:lineRule="auto"/>
      </w:pPr>
    </w:p>
    <w:p w14:paraId="6373149F" w14:textId="0FC992DA" w:rsidR="00066EF7" w:rsidRPr="007B38C6" w:rsidRDefault="00066EF7" w:rsidP="00066EF7">
      <w:pPr>
        <w:autoSpaceDE w:val="0"/>
        <w:autoSpaceDN w:val="0"/>
        <w:adjustRightInd w:val="0"/>
        <w:spacing w:after="0" w:line="240" w:lineRule="auto"/>
      </w:pPr>
      <w:r w:rsidRPr="007B38C6">
        <w:t xml:space="preserve">For all the calculations for the estimated daily sunscreen exposure for each age group and scenario, and the combinations of the ASEM scenarios (including how Australian skin surface area and body weight data have been used) please refer to Attachment 2 of the ASEM.  </w:t>
      </w:r>
    </w:p>
    <w:p w14:paraId="039D02DA" w14:textId="0C81ECAE" w:rsidR="00762683" w:rsidRPr="00B841A8" w:rsidRDefault="00762683" w:rsidP="00762683">
      <w:pPr>
        <w:autoSpaceDE w:val="0"/>
        <w:autoSpaceDN w:val="0"/>
        <w:adjustRightInd w:val="0"/>
        <w:spacing w:after="0" w:line="240" w:lineRule="auto"/>
        <w:rPr>
          <w:color w:val="000000"/>
        </w:rPr>
      </w:pPr>
      <w:r w:rsidRPr="00B841A8">
        <w:t xml:space="preserve"> </w:t>
      </w:r>
    </w:p>
    <w:p w14:paraId="1E10FB57" w14:textId="77777777" w:rsidR="00261D99" w:rsidRPr="00420179" w:rsidRDefault="00261D99" w:rsidP="00261D99">
      <w:pPr>
        <w:pStyle w:val="Tabletitle"/>
        <w:rPr>
          <w:rFonts w:asciiTheme="majorHAnsi" w:hAnsiTheme="majorHAnsi" w:cstheme="majorHAnsi"/>
          <w:color w:val="000000"/>
          <w:szCs w:val="22"/>
        </w:rPr>
      </w:pPr>
      <w:r>
        <w:t>Table 8: SED calculation</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6"/>
        <w:gridCol w:w="2693"/>
        <w:gridCol w:w="3827"/>
      </w:tblGrid>
      <w:tr w:rsidR="008D4679" w:rsidRPr="002E6AD0" w14:paraId="4A86906D" w14:textId="77777777" w:rsidTr="00F5642D">
        <w:trPr>
          <w:trHeight w:val="878"/>
          <w:tblHeader/>
        </w:trPr>
        <w:tc>
          <w:tcPr>
            <w:tcW w:w="2686" w:type="dxa"/>
            <w:shd w:val="clear" w:color="auto" w:fill="E7E6E6" w:themeFill="background2"/>
            <w:tcMar>
              <w:top w:w="0" w:type="dxa"/>
              <w:left w:w="108" w:type="dxa"/>
              <w:bottom w:w="0" w:type="dxa"/>
              <w:right w:w="108" w:type="dxa"/>
            </w:tcMar>
          </w:tcPr>
          <w:p w14:paraId="585EA64D" w14:textId="77777777" w:rsidR="008D4679" w:rsidRPr="002E6AD0" w:rsidRDefault="008D4679" w:rsidP="00420179">
            <w:pPr>
              <w:rPr>
                <w:b/>
                <w:bCs/>
              </w:rPr>
            </w:pPr>
            <w:r w:rsidRPr="002E6AD0">
              <w:rPr>
                <w:b/>
                <w:bCs/>
              </w:rPr>
              <w:t>How dermal absorption data is reported</w:t>
            </w:r>
          </w:p>
        </w:tc>
        <w:tc>
          <w:tcPr>
            <w:tcW w:w="2693" w:type="dxa"/>
            <w:shd w:val="clear" w:color="auto" w:fill="E7E6E6" w:themeFill="background2"/>
          </w:tcPr>
          <w:p w14:paraId="421EBBED" w14:textId="77777777" w:rsidR="008D4679" w:rsidRPr="002E6AD0" w:rsidRDefault="008D4679" w:rsidP="00420179">
            <w:pPr>
              <w:rPr>
                <w:b/>
                <w:bCs/>
              </w:rPr>
            </w:pPr>
            <w:r w:rsidRPr="002E6AD0">
              <w:rPr>
                <w:b/>
                <w:bCs/>
              </w:rPr>
              <w:t>Highest estimated daily sunscreen exposure</w:t>
            </w:r>
          </w:p>
        </w:tc>
        <w:tc>
          <w:tcPr>
            <w:tcW w:w="3827" w:type="dxa"/>
            <w:shd w:val="clear" w:color="auto" w:fill="E7E6E6" w:themeFill="background2"/>
            <w:tcMar>
              <w:top w:w="0" w:type="dxa"/>
              <w:left w:w="108" w:type="dxa"/>
              <w:bottom w:w="0" w:type="dxa"/>
              <w:right w:w="108" w:type="dxa"/>
            </w:tcMar>
          </w:tcPr>
          <w:p w14:paraId="301C58C7" w14:textId="77777777" w:rsidR="008D4679" w:rsidRPr="002E6AD0" w:rsidRDefault="008D4679" w:rsidP="00420179">
            <w:pPr>
              <w:rPr>
                <w:b/>
                <w:bCs/>
              </w:rPr>
            </w:pPr>
            <w:r w:rsidRPr="002E6AD0">
              <w:rPr>
                <w:b/>
                <w:bCs/>
              </w:rPr>
              <w:t>How to calculate the SED</w:t>
            </w:r>
          </w:p>
        </w:tc>
      </w:tr>
      <w:tr w:rsidR="008D4679" w:rsidRPr="002E6AD0" w14:paraId="1A4CBA6A" w14:textId="77777777" w:rsidTr="00F5642D">
        <w:trPr>
          <w:cantSplit/>
          <w:trHeight w:val="510"/>
        </w:trPr>
        <w:tc>
          <w:tcPr>
            <w:tcW w:w="2686" w:type="dxa"/>
            <w:tcMar>
              <w:top w:w="0" w:type="dxa"/>
              <w:left w:w="108" w:type="dxa"/>
              <w:bottom w:w="0" w:type="dxa"/>
              <w:right w:w="108" w:type="dxa"/>
            </w:tcMar>
          </w:tcPr>
          <w:p w14:paraId="275F800A" w14:textId="77777777" w:rsidR="008D4679" w:rsidRPr="007B38C6" w:rsidRDefault="008D4679" w:rsidP="00420179">
            <w:pPr>
              <w:rPr>
                <w:b/>
                <w:bCs/>
                <w:sz w:val="22"/>
                <w:szCs w:val="22"/>
              </w:rPr>
            </w:pPr>
            <w:r w:rsidRPr="007B38C6">
              <w:rPr>
                <w:sz w:val="22"/>
                <w:szCs w:val="22"/>
              </w:rPr>
              <w:t xml:space="preserve"> Method 1 (%)</w:t>
            </w:r>
          </w:p>
        </w:tc>
        <w:tc>
          <w:tcPr>
            <w:tcW w:w="2693" w:type="dxa"/>
            <w:tcMar>
              <w:top w:w="0" w:type="dxa"/>
              <w:left w:w="108" w:type="dxa"/>
              <w:bottom w:w="0" w:type="dxa"/>
              <w:right w:w="108" w:type="dxa"/>
            </w:tcMar>
          </w:tcPr>
          <w:p w14:paraId="15BFBC54" w14:textId="77777777" w:rsidR="008D4679" w:rsidRPr="007B38C6" w:rsidRDefault="008D4679" w:rsidP="00420179">
            <w:pPr>
              <w:rPr>
                <w:sz w:val="22"/>
                <w:szCs w:val="22"/>
              </w:rPr>
            </w:pPr>
            <w:r w:rsidRPr="007B38C6">
              <w:rPr>
                <w:sz w:val="22"/>
                <w:szCs w:val="22"/>
              </w:rPr>
              <w:t xml:space="preserve">673 mg/kg </w:t>
            </w:r>
            <w:proofErr w:type="spellStart"/>
            <w:r w:rsidRPr="007B38C6">
              <w:rPr>
                <w:sz w:val="22"/>
                <w:szCs w:val="22"/>
              </w:rPr>
              <w:t>bw</w:t>
            </w:r>
            <w:proofErr w:type="spellEnd"/>
            <w:r w:rsidRPr="007B38C6">
              <w:rPr>
                <w:sz w:val="22"/>
                <w:szCs w:val="22"/>
              </w:rPr>
              <w:t>/day</w:t>
            </w:r>
          </w:p>
        </w:tc>
        <w:tc>
          <w:tcPr>
            <w:tcW w:w="3827" w:type="dxa"/>
            <w:tcMar>
              <w:top w:w="0" w:type="dxa"/>
              <w:left w:w="108" w:type="dxa"/>
              <w:bottom w:w="0" w:type="dxa"/>
              <w:right w:w="108" w:type="dxa"/>
            </w:tcMar>
          </w:tcPr>
          <w:p w14:paraId="77A89AEF" w14:textId="77777777" w:rsidR="008D4679" w:rsidRPr="007B38C6" w:rsidRDefault="008D4679" w:rsidP="00420179">
            <w:pPr>
              <w:jc w:val="center"/>
              <w:rPr>
                <w:b/>
                <w:bCs/>
                <w:sz w:val="22"/>
                <w:szCs w:val="22"/>
              </w:rPr>
            </w:pPr>
            <w:r w:rsidRPr="007B38C6">
              <w:rPr>
                <w:sz w:val="22"/>
                <w:szCs w:val="22"/>
              </w:rPr>
              <w:t xml:space="preserve">SED = 673 mg/kg </w:t>
            </w:r>
            <w:proofErr w:type="spellStart"/>
            <w:r w:rsidRPr="007B38C6">
              <w:rPr>
                <w:sz w:val="22"/>
                <w:szCs w:val="22"/>
              </w:rPr>
              <w:t>bw</w:t>
            </w:r>
            <w:proofErr w:type="spellEnd"/>
            <w:r w:rsidRPr="007B38C6">
              <w:rPr>
                <w:sz w:val="22"/>
                <w:szCs w:val="22"/>
              </w:rPr>
              <w:t xml:space="preserve">/day x </w:t>
            </w:r>
            <w:proofErr w:type="spellStart"/>
            <w:r w:rsidRPr="007B38C6">
              <w:rPr>
                <w:sz w:val="22"/>
                <w:szCs w:val="22"/>
              </w:rPr>
              <w:t>DA</w:t>
            </w:r>
            <w:r w:rsidRPr="007B38C6">
              <w:rPr>
                <w:sz w:val="22"/>
                <w:szCs w:val="22"/>
                <w:vertAlign w:val="subscript"/>
              </w:rPr>
              <w:t>p</w:t>
            </w:r>
            <w:proofErr w:type="spellEnd"/>
            <w:r w:rsidRPr="007B38C6">
              <w:rPr>
                <w:sz w:val="22"/>
                <w:szCs w:val="22"/>
              </w:rPr>
              <w:t xml:space="preserve"> x C</w:t>
            </w:r>
          </w:p>
        </w:tc>
      </w:tr>
      <w:tr w:rsidR="008D4679" w:rsidRPr="002E6AD0" w14:paraId="0D9698FB" w14:textId="77777777" w:rsidTr="00F5642D">
        <w:trPr>
          <w:cantSplit/>
          <w:trHeight w:val="504"/>
        </w:trPr>
        <w:tc>
          <w:tcPr>
            <w:tcW w:w="2686" w:type="dxa"/>
            <w:tcMar>
              <w:top w:w="0" w:type="dxa"/>
              <w:left w:w="108" w:type="dxa"/>
              <w:bottom w:w="0" w:type="dxa"/>
              <w:right w:w="108" w:type="dxa"/>
            </w:tcMar>
          </w:tcPr>
          <w:p w14:paraId="0C982417" w14:textId="77777777" w:rsidR="008D4679" w:rsidRPr="007B38C6" w:rsidRDefault="008D4679" w:rsidP="00420179">
            <w:pPr>
              <w:rPr>
                <w:b/>
                <w:bCs/>
                <w:sz w:val="22"/>
                <w:szCs w:val="22"/>
              </w:rPr>
            </w:pPr>
            <w:r w:rsidRPr="007B38C6">
              <w:rPr>
                <w:sz w:val="22"/>
                <w:szCs w:val="22"/>
              </w:rPr>
              <w:t>Method 2 (µg/cm</w:t>
            </w:r>
            <w:r w:rsidRPr="007B38C6">
              <w:rPr>
                <w:sz w:val="22"/>
                <w:szCs w:val="22"/>
                <w:vertAlign w:val="superscript"/>
              </w:rPr>
              <w:t>2</w:t>
            </w:r>
            <w:r w:rsidRPr="007B38C6">
              <w:rPr>
                <w:sz w:val="22"/>
                <w:szCs w:val="22"/>
              </w:rPr>
              <w:t>)</w:t>
            </w:r>
          </w:p>
        </w:tc>
        <w:tc>
          <w:tcPr>
            <w:tcW w:w="2693" w:type="dxa"/>
            <w:tcMar>
              <w:top w:w="0" w:type="dxa"/>
              <w:left w:w="108" w:type="dxa"/>
              <w:bottom w:w="0" w:type="dxa"/>
              <w:right w:w="108" w:type="dxa"/>
            </w:tcMar>
          </w:tcPr>
          <w:p w14:paraId="43AD46F2" w14:textId="77777777" w:rsidR="008D4679" w:rsidRPr="007B38C6" w:rsidRDefault="008D4679" w:rsidP="00420179">
            <w:pPr>
              <w:rPr>
                <w:sz w:val="22"/>
                <w:szCs w:val="22"/>
              </w:rPr>
            </w:pPr>
            <w:r w:rsidRPr="007B38C6">
              <w:rPr>
                <w:sz w:val="22"/>
                <w:szCs w:val="22"/>
              </w:rPr>
              <w:t>336 cm</w:t>
            </w:r>
            <w:r w:rsidRPr="007B38C6">
              <w:rPr>
                <w:sz w:val="22"/>
                <w:szCs w:val="22"/>
                <w:vertAlign w:val="superscript"/>
              </w:rPr>
              <w:t>2</w:t>
            </w:r>
            <w:r w:rsidRPr="007B38C6">
              <w:rPr>
                <w:sz w:val="22"/>
                <w:szCs w:val="22"/>
              </w:rPr>
              <w:t xml:space="preserve">/kg </w:t>
            </w:r>
            <w:proofErr w:type="spellStart"/>
            <w:r w:rsidRPr="007B38C6">
              <w:rPr>
                <w:sz w:val="22"/>
                <w:szCs w:val="22"/>
              </w:rPr>
              <w:t>bw</w:t>
            </w:r>
            <w:proofErr w:type="spellEnd"/>
            <w:r w:rsidRPr="007B38C6">
              <w:rPr>
                <w:sz w:val="22"/>
                <w:szCs w:val="22"/>
              </w:rPr>
              <w:t>/day</w:t>
            </w:r>
          </w:p>
        </w:tc>
        <w:tc>
          <w:tcPr>
            <w:tcW w:w="3827" w:type="dxa"/>
            <w:tcMar>
              <w:top w:w="0" w:type="dxa"/>
              <w:left w:w="108" w:type="dxa"/>
              <w:bottom w:w="0" w:type="dxa"/>
              <w:right w:w="108" w:type="dxa"/>
            </w:tcMar>
          </w:tcPr>
          <w:p w14:paraId="69877B6B" w14:textId="77777777" w:rsidR="008D4679" w:rsidRPr="007B38C6" w:rsidRDefault="008D4679" w:rsidP="00420179">
            <w:pPr>
              <w:jc w:val="center"/>
              <w:rPr>
                <w:b/>
                <w:bCs/>
                <w:sz w:val="22"/>
                <w:szCs w:val="22"/>
              </w:rPr>
            </w:pPr>
            <w:r w:rsidRPr="007B38C6">
              <w:rPr>
                <w:sz w:val="22"/>
                <w:szCs w:val="22"/>
              </w:rPr>
              <w:t>SED = 336 cm</w:t>
            </w:r>
            <w:r w:rsidRPr="007B38C6">
              <w:rPr>
                <w:sz w:val="22"/>
                <w:szCs w:val="22"/>
                <w:vertAlign w:val="superscript"/>
              </w:rPr>
              <w:t>2</w:t>
            </w:r>
            <w:r w:rsidRPr="007B38C6">
              <w:rPr>
                <w:sz w:val="22"/>
                <w:szCs w:val="22"/>
              </w:rPr>
              <w:t xml:space="preserve">/kg </w:t>
            </w:r>
            <w:proofErr w:type="spellStart"/>
            <w:r w:rsidRPr="007B38C6">
              <w:rPr>
                <w:sz w:val="22"/>
                <w:szCs w:val="22"/>
              </w:rPr>
              <w:t>bw</w:t>
            </w:r>
            <w:proofErr w:type="spellEnd"/>
            <w:r w:rsidRPr="007B38C6">
              <w:rPr>
                <w:sz w:val="22"/>
                <w:szCs w:val="22"/>
              </w:rPr>
              <w:t xml:space="preserve">/day x </w:t>
            </w:r>
            <w:proofErr w:type="spellStart"/>
            <w:r w:rsidRPr="007B38C6">
              <w:rPr>
                <w:sz w:val="22"/>
                <w:szCs w:val="22"/>
              </w:rPr>
              <w:t>DA</w:t>
            </w:r>
            <w:r w:rsidRPr="007B38C6">
              <w:rPr>
                <w:sz w:val="22"/>
                <w:szCs w:val="22"/>
                <w:vertAlign w:val="subscript"/>
              </w:rPr>
              <w:t>a</w:t>
            </w:r>
            <w:proofErr w:type="spellEnd"/>
            <w:r w:rsidRPr="007B38C6">
              <w:rPr>
                <w:sz w:val="22"/>
                <w:szCs w:val="22"/>
                <w:vertAlign w:val="subscript"/>
              </w:rPr>
              <w:t xml:space="preserve"> </w:t>
            </w:r>
          </w:p>
        </w:tc>
      </w:tr>
    </w:tbl>
    <w:p w14:paraId="49208323" w14:textId="77777777" w:rsidR="00A03FF6" w:rsidRDefault="00A03FF6" w:rsidP="00A03FF6">
      <w:pPr>
        <w:pStyle w:val="Standard"/>
        <w:rPr>
          <w:rFonts w:asciiTheme="majorHAnsi" w:hAnsiTheme="majorHAnsi" w:cstheme="majorHAnsi"/>
          <w:b/>
          <w:bCs/>
          <w:color w:val="000000"/>
          <w:szCs w:val="22"/>
        </w:rPr>
      </w:pPr>
    </w:p>
    <w:p w14:paraId="7C6DA8DE" w14:textId="38B9C0A6" w:rsidR="00A03FF6" w:rsidRPr="007B38C6" w:rsidRDefault="00A03FF6" w:rsidP="00A03FF6">
      <w:pPr>
        <w:pStyle w:val="Standard"/>
        <w:rPr>
          <w:rFonts w:ascii="Arial" w:hAnsi="Arial" w:cs="Arial"/>
          <w:sz w:val="24"/>
        </w:rPr>
      </w:pPr>
      <w:r w:rsidRPr="007B38C6">
        <w:rPr>
          <w:rFonts w:ascii="Arial" w:hAnsi="Arial" w:cs="Arial"/>
          <w:b/>
          <w:bCs/>
          <w:sz w:val="24"/>
        </w:rPr>
        <w:t>For specific sunscreen use scenarios</w:t>
      </w:r>
      <w:r w:rsidRPr="007B38C6">
        <w:rPr>
          <w:rFonts w:ascii="Arial" w:hAnsi="Arial" w:cs="Arial"/>
          <w:sz w:val="24"/>
        </w:rPr>
        <w:t xml:space="preserve"> (such as those with restricted application to the face only), the ASEM can be used as a tool to consider usage scenarios. The TGA will </w:t>
      </w:r>
      <w:proofErr w:type="gramStart"/>
      <w:r w:rsidRPr="007B38C6">
        <w:rPr>
          <w:rFonts w:ascii="Arial" w:hAnsi="Arial" w:cs="Arial"/>
          <w:sz w:val="24"/>
        </w:rPr>
        <w:t>give consideration to</w:t>
      </w:r>
      <w:proofErr w:type="gramEnd"/>
      <w:r w:rsidRPr="007B38C6">
        <w:rPr>
          <w:rFonts w:ascii="Arial" w:hAnsi="Arial" w:cs="Arial"/>
          <w:sz w:val="24"/>
        </w:rPr>
        <w:t xml:space="preserve"> establishing standardised exposure assumptions for such scenarios and this may be to be included in future guidance.  </w:t>
      </w:r>
    </w:p>
    <w:p w14:paraId="0A89C33C" w14:textId="77777777" w:rsidR="00B841A8" w:rsidRPr="00B841A8" w:rsidRDefault="00B841A8" w:rsidP="00B841A8">
      <w:pPr>
        <w:pStyle w:val="Heading5sub"/>
        <w:rPr>
          <w:rFonts w:eastAsia="Cambria" w:cs="Arial"/>
          <w:snapToGrid w:val="0"/>
        </w:rPr>
      </w:pPr>
      <w:r w:rsidRPr="00B841A8">
        <w:rPr>
          <w:rFonts w:cs="Arial"/>
          <w:snapToGrid w:val="0"/>
        </w:rPr>
        <w:lastRenderedPageBreak/>
        <w:t xml:space="preserve">When to use </w:t>
      </w:r>
      <w:r w:rsidRPr="00061F01">
        <w:rPr>
          <w:rFonts w:eastAsia="Cambria" w:cs="Arial"/>
          <w:snapToGrid w:val="0"/>
          <w:szCs w:val="28"/>
        </w:rPr>
        <w:t>Method 1 vs Method 2</w:t>
      </w:r>
    </w:p>
    <w:p w14:paraId="6213941C" w14:textId="77777777" w:rsidR="00B841A8" w:rsidRPr="007B38C6" w:rsidRDefault="00B841A8" w:rsidP="00BC3449">
      <w:pPr>
        <w:rPr>
          <w:snapToGrid w:val="0"/>
        </w:rPr>
      </w:pPr>
      <w:r w:rsidRPr="007B38C6">
        <w:rPr>
          <w:snapToGrid w:val="0"/>
        </w:rPr>
        <w:t xml:space="preserve">The choice of dermal absorption factor and method of calculation (i.e. Method 1 vs Method 2) depends on the type and quality of the data available for establishing the dermal absorption potential of the ingredient under consideration. In general, there is no preference for use of Method 1 or Method 2 as the ASEM approach results in the same risk quantification (i.e. same MoS values) irrespective of whether dermal absorption is quantified in </w:t>
      </w:r>
      <w:proofErr w:type="spellStart"/>
      <w:r w:rsidRPr="007B38C6">
        <w:rPr>
          <w:snapToGrid w:val="0"/>
        </w:rPr>
        <w:t>μg</w:t>
      </w:r>
      <w:proofErr w:type="spellEnd"/>
      <w:r w:rsidRPr="007B38C6">
        <w:rPr>
          <w:snapToGrid w:val="0"/>
        </w:rPr>
        <w:t>/cm² (Method 2) or as a percentage (Method 1) when the test formulation is applied at a thickness of 2 mg/cm</w:t>
      </w:r>
      <w:r w:rsidRPr="007B38C6">
        <w:rPr>
          <w:snapToGrid w:val="0"/>
          <w:vertAlign w:val="superscript"/>
        </w:rPr>
        <w:t>2</w:t>
      </w:r>
      <w:r w:rsidRPr="007B38C6">
        <w:rPr>
          <w:snapToGrid w:val="0"/>
        </w:rPr>
        <w:t xml:space="preserve"> in the dermal absorption study (compliant with OECD 428 – Guideline for Skin Absorption: in vitro method).</w:t>
      </w:r>
    </w:p>
    <w:p w14:paraId="5C75948F" w14:textId="77777777" w:rsidR="00B841A8" w:rsidRPr="007B38C6" w:rsidRDefault="00B841A8" w:rsidP="00BC3449">
      <w:pPr>
        <w:rPr>
          <w:snapToGrid w:val="0"/>
        </w:rPr>
      </w:pPr>
      <w:r w:rsidRPr="007B38C6">
        <w:rPr>
          <w:snapToGrid w:val="0"/>
        </w:rPr>
        <w:t>Dermal absorption studies (compliant with OECD 428) typically express results as both an absolute amount (i.e. µg/cm²) and a relative amount (percentage) and stipulate an application rate of 1-5 mg/cm² to mimic realistic human exposure. While 2 mg/cm² is the thickness of applied sunscreen needed to achieve the labelled SPF rating, studies often apply the test formulation at 3, 4, or 5 mg/cm² instead. The SCCS notes for guidance for testing of cosmetic ingredients (12</w:t>
      </w:r>
      <w:r w:rsidRPr="007B38C6">
        <w:rPr>
          <w:snapToGrid w:val="0"/>
          <w:vertAlign w:val="superscript"/>
        </w:rPr>
        <w:t>th</w:t>
      </w:r>
      <w:r w:rsidRPr="007B38C6">
        <w:rPr>
          <w:snapToGrid w:val="0"/>
        </w:rPr>
        <w:t xml:space="preserve"> Rev) also state that </w:t>
      </w:r>
      <w:r w:rsidRPr="007B38C6">
        <w:rPr>
          <w:i/>
          <w:iCs/>
          <w:snapToGrid w:val="0"/>
        </w:rPr>
        <w:t>in vitro</w:t>
      </w:r>
      <w:r w:rsidRPr="007B38C6">
        <w:rPr>
          <w:snapToGrid w:val="0"/>
        </w:rPr>
        <w:t xml:space="preserve"> measurements using less than 2 mg/cm² are not technically feasible. The SCCS guidance on basic criteria for the in vitro assessment of dermal absorption recommends a 2-5 mg/cm</w:t>
      </w:r>
      <w:r w:rsidRPr="007B38C6">
        <w:rPr>
          <w:snapToGrid w:val="0"/>
          <w:vertAlign w:val="superscript"/>
        </w:rPr>
        <w:t>2</w:t>
      </w:r>
      <w:r w:rsidRPr="007B38C6">
        <w:rPr>
          <w:snapToGrid w:val="0"/>
        </w:rPr>
        <w:t xml:space="preserve"> dose of test formulation. This can cause variability in the risk quantification (i.e. MoS calculation) between Method 1 and 2 since the reported absolute amount absorbed will be a different percent of 3, 4, or 5 mg/cm² application rate versus that of a 2 mg/cm² application.</w:t>
      </w:r>
      <w:r w:rsidRPr="007B38C6">
        <w:rPr>
          <w:rStyle w:val="FootnoteReference"/>
          <w:rFonts w:eastAsia="Times New Roman"/>
          <w:snapToGrid w:val="0"/>
          <w:kern w:val="16"/>
          <w:szCs w:val="22"/>
        </w:rPr>
        <w:footnoteReference w:id="15"/>
      </w:r>
      <w:r w:rsidRPr="007B38C6">
        <w:rPr>
          <w:snapToGrid w:val="0"/>
        </w:rPr>
        <w:t xml:space="preserve"> </w:t>
      </w:r>
    </w:p>
    <w:p w14:paraId="3FF4A4F8" w14:textId="78C9CBAA" w:rsidR="005C34DE" w:rsidRPr="007B38C6" w:rsidRDefault="00B841A8" w:rsidP="00BC3449">
      <w:pPr>
        <w:rPr>
          <w:snapToGrid w:val="0"/>
        </w:rPr>
      </w:pPr>
      <w:r w:rsidRPr="007B38C6">
        <w:rPr>
          <w:snapToGrid w:val="0"/>
        </w:rPr>
        <w:t>Where an application rate greater than 2 mg/cm</w:t>
      </w:r>
      <w:r w:rsidRPr="007B38C6">
        <w:rPr>
          <w:snapToGrid w:val="0"/>
          <w:vertAlign w:val="superscript"/>
        </w:rPr>
        <w:t>2</w:t>
      </w:r>
      <w:r w:rsidRPr="007B38C6">
        <w:rPr>
          <w:snapToGrid w:val="0"/>
        </w:rPr>
        <w:t xml:space="preserve"> is used in the dermal absorption study, the absolute amount (µg/cm²) may be used when calculating the systemic exposure for risk assessments to minimise this variability. This is particularly important since it is known that the efficiency of absorption may remain the same or change as the concentration on the skin increases for some chemicals. For chemicals that penetrate the skin rapidly, the total amount of chemical absorbed increases as the dosage increases. Conversely, for chemicals that penetrate very slowly, the rate of penetration and the surface area exposed will have a greater influence on the systemic absorption dose than the extent of dermal deposition. </w:t>
      </w:r>
    </w:p>
    <w:p w14:paraId="1635D108" w14:textId="77777777" w:rsidR="00B841A8" w:rsidRPr="007B38C6" w:rsidRDefault="00B841A8" w:rsidP="00BC3449">
      <w:pPr>
        <w:rPr>
          <w:snapToGrid w:val="0"/>
        </w:rPr>
      </w:pPr>
      <w:r w:rsidRPr="007B38C6">
        <w:rPr>
          <w:snapToGrid w:val="0"/>
        </w:rPr>
        <w:t>Since the efficacy of sunscreen ingredients relies predominantly on their ability to persist on the skin (including the top layers of the skin), they are likely to penetrate very slowly (or ideally not penetrate). Suggesting that the total amount of chemical systemically absorbed may not be proportional to the dermal dose/deposition. Hence using the dermal absorption factor expressed as a proportion (i.e. %) may not be appropriate for some sunscreen ingredients.</w:t>
      </w:r>
    </w:p>
    <w:p w14:paraId="129CA178" w14:textId="77777777" w:rsidR="00F02CD8" w:rsidRPr="00E308CF" w:rsidRDefault="00F02CD8" w:rsidP="00F02CD8">
      <w:pPr>
        <w:pStyle w:val="Heading2"/>
      </w:pPr>
      <w:bookmarkStart w:id="149" w:name="_Toc181273076"/>
      <w:bookmarkStart w:id="150" w:name="_Toc198297297"/>
      <w:bookmarkStart w:id="151" w:name="_Toc204751344"/>
      <w:r w:rsidRPr="00E308CF">
        <w:lastRenderedPageBreak/>
        <w:t xml:space="preserve">Appendix </w:t>
      </w:r>
      <w:r>
        <w:t>3</w:t>
      </w:r>
      <w:r w:rsidRPr="00E308CF">
        <w:t>: Active ingredients restricted to use in therapeutic sunscreens</w:t>
      </w:r>
      <w:bookmarkEnd w:id="149"/>
      <w:bookmarkEnd w:id="150"/>
      <w:bookmarkEnd w:id="151"/>
    </w:p>
    <w:p w14:paraId="633F85B2" w14:textId="77777777" w:rsidR="00E07DD0" w:rsidRPr="00E308CF" w:rsidRDefault="00E07DD0" w:rsidP="00E07DD0">
      <w:pPr>
        <w:pStyle w:val="Heading3"/>
      </w:pPr>
      <w:bookmarkStart w:id="152" w:name="_Toc120260234"/>
      <w:bookmarkStart w:id="153" w:name="_Toc181273077"/>
      <w:bookmarkStart w:id="154" w:name="_Toc198297298"/>
      <w:bookmarkStart w:id="155" w:name="_Toc204751345"/>
      <w:r w:rsidRPr="00E308CF">
        <w:t>A. Searching the TGA ingredient database</w:t>
      </w:r>
      <w:bookmarkEnd w:id="152"/>
      <w:bookmarkEnd w:id="153"/>
      <w:bookmarkEnd w:id="154"/>
      <w:bookmarkEnd w:id="155"/>
    </w:p>
    <w:p w14:paraId="16F8E165" w14:textId="43136958" w:rsidR="00E07DD0" w:rsidRPr="007B38C6" w:rsidRDefault="00E07DD0" w:rsidP="00E07DD0">
      <w:pPr>
        <w:pStyle w:val="BodyText"/>
        <w:spacing w:before="124"/>
        <w:ind w:right="-1"/>
        <w:rPr>
          <w:color w:val="auto"/>
          <w:sz w:val="24"/>
          <w:szCs w:val="22"/>
        </w:rPr>
      </w:pPr>
      <w:r w:rsidRPr="007B38C6">
        <w:rPr>
          <w:rFonts w:cs="Arial"/>
          <w:color w:val="auto"/>
          <w:sz w:val="24"/>
          <w:szCs w:val="22"/>
        </w:rPr>
        <w:t>Active ingredients restricted for use in therapeutic sunscreens can be found by searching the</w:t>
      </w:r>
      <w:r w:rsidRPr="007B38C6">
        <w:rPr>
          <w:rFonts w:cs="Arial"/>
          <w:color w:val="auto"/>
          <w:spacing w:val="1"/>
          <w:sz w:val="24"/>
          <w:szCs w:val="22"/>
        </w:rPr>
        <w:t xml:space="preserve"> </w:t>
      </w:r>
      <w:hyperlink r:id="rId102">
        <w:r w:rsidRPr="007B38C6">
          <w:rPr>
            <w:color w:val="auto"/>
            <w:sz w:val="24"/>
            <w:szCs w:val="22"/>
          </w:rPr>
          <w:t xml:space="preserve">TGA ingredient database. </w:t>
        </w:r>
      </w:hyperlink>
      <w:r w:rsidRPr="007B38C6">
        <w:rPr>
          <w:color w:val="auto"/>
          <w:sz w:val="24"/>
          <w:szCs w:val="22"/>
        </w:rPr>
        <w:t xml:space="preserve">This ingredient database is an electronic repository of approved ingredient names for therapeutic substances, and includes the requirements specified for each ingredient in the </w:t>
      </w:r>
      <w:hyperlink r:id="rId103" w:anchor="pi">
        <w:hyperlink r:id="rId104" w:anchor="permissible-ingredients">
          <w:r w:rsidR="00671E8E" w:rsidRPr="00C47EC5">
            <w:rPr>
              <w:rStyle w:val="Hyperlink"/>
              <w:sz w:val="24"/>
              <w:szCs w:val="24"/>
            </w:rPr>
            <w:t>Permissible</w:t>
          </w:r>
        </w:hyperlink>
        <w:r w:rsidR="00671E8E" w:rsidRPr="00C47EC5">
          <w:rPr>
            <w:rStyle w:val="Hyperlink"/>
            <w:sz w:val="24"/>
            <w:szCs w:val="24"/>
          </w:rPr>
          <w:t xml:space="preserve"> </w:t>
        </w:r>
        <w:hyperlink r:id="rId105" w:anchor="pi">
          <w:r w:rsidR="00671E8E" w:rsidRPr="00C47EC5">
            <w:rPr>
              <w:rStyle w:val="Hyperlink"/>
              <w:sz w:val="24"/>
              <w:szCs w:val="24"/>
            </w:rPr>
            <w:t>Ingredients Determination</w:t>
          </w:r>
        </w:hyperlink>
        <w:r w:rsidRPr="00C47EC5">
          <w:rPr>
            <w:color w:val="auto"/>
            <w:sz w:val="24"/>
            <w:szCs w:val="24"/>
          </w:rPr>
          <w:t xml:space="preserve">. </w:t>
        </w:r>
      </w:hyperlink>
      <w:r w:rsidRPr="007B38C6">
        <w:rPr>
          <w:color w:val="auto"/>
          <w:sz w:val="24"/>
          <w:szCs w:val="22"/>
        </w:rPr>
        <w:t>The ingredient database also provides additional information for ingredients that is not in the Permissible Ingredients Determination, and allows for searching using:</w:t>
      </w:r>
    </w:p>
    <w:p w14:paraId="64EBB076" w14:textId="77777777" w:rsidR="00E07DD0" w:rsidRPr="007B38C6" w:rsidRDefault="00E07DD0" w:rsidP="007B38C6">
      <w:pPr>
        <w:pStyle w:val="ListBullet"/>
      </w:pPr>
      <w:r w:rsidRPr="007B38C6">
        <w:t>CAS</w:t>
      </w:r>
      <w:r w:rsidRPr="007B38C6">
        <w:rPr>
          <w:spacing w:val="-2"/>
        </w:rPr>
        <w:t xml:space="preserve"> </w:t>
      </w:r>
      <w:r w:rsidRPr="007B38C6">
        <w:t>numbers</w:t>
      </w:r>
      <w:r w:rsidRPr="007B38C6">
        <w:rPr>
          <w:spacing w:val="-1"/>
        </w:rPr>
        <w:t xml:space="preserve"> </w:t>
      </w:r>
      <w:r w:rsidRPr="007B38C6">
        <w:t>(where</w:t>
      </w:r>
      <w:r w:rsidRPr="007B38C6">
        <w:rPr>
          <w:spacing w:val="-2"/>
        </w:rPr>
        <w:t xml:space="preserve"> </w:t>
      </w:r>
      <w:r w:rsidRPr="007B38C6">
        <w:t>available);</w:t>
      </w:r>
      <w:r w:rsidRPr="007B38C6">
        <w:rPr>
          <w:spacing w:val="-4"/>
        </w:rPr>
        <w:t xml:space="preserve"> </w:t>
      </w:r>
      <w:r w:rsidRPr="007B38C6">
        <w:t>and</w:t>
      </w:r>
    </w:p>
    <w:p w14:paraId="40DD97BA" w14:textId="77777777" w:rsidR="00E07DD0" w:rsidRPr="007B38C6" w:rsidRDefault="00E07DD0" w:rsidP="007B38C6">
      <w:pPr>
        <w:pStyle w:val="ListBullet"/>
      </w:pPr>
      <w:r w:rsidRPr="007B38C6">
        <w:t>ingredients that are in the Permissible Ingredients Determination, by entering the term</w:t>
      </w:r>
      <w:r w:rsidRPr="007B38C6">
        <w:rPr>
          <w:spacing w:val="-46"/>
        </w:rPr>
        <w:t xml:space="preserve"> </w:t>
      </w:r>
      <w:r w:rsidRPr="007B38C6">
        <w:t>‘Listed’</w:t>
      </w:r>
      <w:r w:rsidRPr="007B38C6">
        <w:rPr>
          <w:spacing w:val="-3"/>
        </w:rPr>
        <w:t xml:space="preserve"> </w:t>
      </w:r>
      <w:r w:rsidRPr="007B38C6">
        <w:t>and</w:t>
      </w:r>
      <w:r w:rsidRPr="007B38C6">
        <w:rPr>
          <w:spacing w:val="-1"/>
        </w:rPr>
        <w:t xml:space="preserve"> </w:t>
      </w:r>
      <w:r w:rsidRPr="007B38C6">
        <w:t>selecting</w:t>
      </w:r>
      <w:r w:rsidRPr="007B38C6">
        <w:rPr>
          <w:spacing w:val="-2"/>
        </w:rPr>
        <w:t xml:space="preserve"> </w:t>
      </w:r>
      <w:r w:rsidRPr="007B38C6">
        <w:t>the</w:t>
      </w:r>
      <w:r w:rsidRPr="007B38C6">
        <w:rPr>
          <w:spacing w:val="-1"/>
        </w:rPr>
        <w:t xml:space="preserve"> </w:t>
      </w:r>
      <w:r w:rsidRPr="007B38C6">
        <w:t>field</w:t>
      </w:r>
      <w:r w:rsidRPr="007B38C6">
        <w:rPr>
          <w:spacing w:val="-1"/>
        </w:rPr>
        <w:t xml:space="preserve"> </w:t>
      </w:r>
      <w:r w:rsidRPr="007B38C6">
        <w:t>‘Listed’</w:t>
      </w:r>
      <w:r w:rsidRPr="007B38C6">
        <w:rPr>
          <w:spacing w:val="-2"/>
        </w:rPr>
        <w:t xml:space="preserve"> </w:t>
      </w:r>
      <w:r w:rsidRPr="007B38C6">
        <w:t>(see</w:t>
      </w:r>
      <w:r w:rsidRPr="007B38C6">
        <w:rPr>
          <w:spacing w:val="-1"/>
        </w:rPr>
        <w:t xml:space="preserve"> </w:t>
      </w:r>
      <w:r w:rsidRPr="007B38C6">
        <w:t>Figure</w:t>
      </w:r>
      <w:r w:rsidRPr="007B38C6">
        <w:rPr>
          <w:spacing w:val="-1"/>
        </w:rPr>
        <w:t xml:space="preserve"> </w:t>
      </w:r>
      <w:r w:rsidRPr="007B38C6">
        <w:t>1).</w:t>
      </w:r>
    </w:p>
    <w:p w14:paraId="734BE760" w14:textId="44A7EFD1" w:rsidR="007871C1" w:rsidRDefault="000A0DA6" w:rsidP="00E171A4">
      <w:r w:rsidRPr="007B38C6">
        <w:rPr>
          <w:b/>
          <w:bCs/>
        </w:rPr>
        <w:t>Figure 1</w:t>
      </w:r>
      <w:r w:rsidRPr="007B38C6">
        <w:t xml:space="preserve"> - The TGA ingredients database is a public tool to search for ingredients available for selection in therapeutic goods applications. Searches may be performed on CAS Number, or whether they are available for listed medicines (by typing "Listed" and selecting Listed in the dropdown).</w:t>
      </w:r>
    </w:p>
    <w:p w14:paraId="7A29578E" w14:textId="3427E15D" w:rsidR="00CE2E87" w:rsidRPr="007871C1" w:rsidRDefault="00AA7B7D" w:rsidP="00E171A4">
      <w:r w:rsidRPr="00202853">
        <w:rPr>
          <w:noProof/>
        </w:rPr>
        <w:drawing>
          <wp:inline distT="0" distB="0" distL="0" distR="0" wp14:anchorId="78FD6CC6" wp14:editId="32F1E385">
            <wp:extent cx="5731510" cy="2267884"/>
            <wp:effectExtent l="0" t="0" r="2540" b="0"/>
            <wp:docPr id="1033656989" name="Picture 1" descr="Image of how to access the TGA Ingredients Table.&#10;Extended description:&#10;• Left hand column has expandable topics&#10;– Expand ‘Public TGA Information’ and select Ingredients.&#10;– Enter search criteria in the first box labelled ‘Search for:’&#10;– From the second box select ‘Listed’ from the dropdown op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56989" name="Picture 1" descr="Image of how to access the TGA Ingredients Table.&#10;Extended description:&#10;• Left hand column has expandable topics&#10;– Expand ‘Public TGA Information’ and select Ingredients.&#10;– Enter search criteria in the first box labelled ‘Search for:’&#10;– From the second box select ‘Listed’ from the dropdown options.&#10;"/>
                    <pic:cNvPicPr/>
                  </pic:nvPicPr>
                  <pic:blipFill>
                    <a:blip r:embed="rId106"/>
                    <a:stretch>
                      <a:fillRect/>
                    </a:stretch>
                  </pic:blipFill>
                  <pic:spPr>
                    <a:xfrm>
                      <a:off x="0" y="0"/>
                      <a:ext cx="5731510" cy="2267884"/>
                    </a:xfrm>
                    <a:prstGeom prst="rect">
                      <a:avLst/>
                    </a:prstGeom>
                  </pic:spPr>
                </pic:pic>
              </a:graphicData>
            </a:graphic>
          </wp:inline>
        </w:drawing>
      </w:r>
    </w:p>
    <w:p w14:paraId="41F83CB2" w14:textId="77777777" w:rsidR="007871C1" w:rsidRPr="007B38C6" w:rsidRDefault="007871C1" w:rsidP="007871C1">
      <w:r w:rsidRPr="007B38C6">
        <w:t>From here, the list of ingredients can be exported in excel, xml and HTML formats. At present,</w:t>
      </w:r>
      <w:r w:rsidRPr="007B38C6">
        <w:rPr>
          <w:spacing w:val="1"/>
        </w:rPr>
        <w:t xml:space="preserve"> </w:t>
      </w:r>
      <w:r w:rsidRPr="007B38C6">
        <w:t>restrictions are not visible in the search results table or exported results; however, they can</w:t>
      </w:r>
      <w:r w:rsidRPr="007B38C6">
        <w:rPr>
          <w:spacing w:val="1"/>
        </w:rPr>
        <w:t xml:space="preserve"> </w:t>
      </w:r>
      <w:r w:rsidRPr="007B38C6">
        <w:t>instead be viewed by clicking on the ingredient summary hyperlink in the ingredients database</w:t>
      </w:r>
      <w:r w:rsidRPr="007B38C6">
        <w:rPr>
          <w:spacing w:val="-46"/>
        </w:rPr>
        <w:t xml:space="preserve"> </w:t>
      </w:r>
      <w:r w:rsidRPr="007B38C6">
        <w:t>search</w:t>
      </w:r>
      <w:r w:rsidRPr="007B38C6">
        <w:rPr>
          <w:spacing w:val="-1"/>
        </w:rPr>
        <w:t xml:space="preserve"> </w:t>
      </w:r>
      <w:r w:rsidRPr="007B38C6">
        <w:t>results (see</w:t>
      </w:r>
      <w:r w:rsidRPr="007B38C6">
        <w:rPr>
          <w:spacing w:val="-1"/>
        </w:rPr>
        <w:t xml:space="preserve"> </w:t>
      </w:r>
      <w:r w:rsidRPr="007B38C6">
        <w:t>Figure</w:t>
      </w:r>
      <w:r w:rsidRPr="007B38C6">
        <w:rPr>
          <w:spacing w:val="-3"/>
        </w:rPr>
        <w:t xml:space="preserve"> </w:t>
      </w:r>
      <w:r w:rsidRPr="007B38C6">
        <w:t>2).</w:t>
      </w:r>
    </w:p>
    <w:p w14:paraId="430F204D" w14:textId="77777777" w:rsidR="009B7355" w:rsidRDefault="009B7355" w:rsidP="009B7355">
      <w:pPr>
        <w:pStyle w:val="Figuretitle"/>
        <w:rPr>
          <w:noProof/>
          <w:color w:val="auto"/>
          <w:sz w:val="24"/>
          <w:szCs w:val="24"/>
        </w:rPr>
      </w:pPr>
      <w:r w:rsidRPr="007B38C6">
        <w:rPr>
          <w:color w:val="auto"/>
          <w:sz w:val="24"/>
          <w:szCs w:val="24"/>
        </w:rPr>
        <w:t>Figure 2 –</w:t>
      </w:r>
      <w:r w:rsidRPr="007B38C6">
        <w:rPr>
          <w:b w:val="0"/>
          <w:bCs/>
          <w:color w:val="auto"/>
          <w:sz w:val="24"/>
          <w:szCs w:val="24"/>
        </w:rPr>
        <w:t xml:space="preserve"> Click on hyperlinks to view restrictions for individual ingredients in the TGA</w:t>
      </w:r>
      <w:r w:rsidRPr="007B38C6">
        <w:rPr>
          <w:b w:val="0"/>
          <w:bCs/>
          <w:color w:val="auto"/>
          <w:spacing w:val="-46"/>
          <w:sz w:val="24"/>
          <w:szCs w:val="24"/>
        </w:rPr>
        <w:t xml:space="preserve"> </w:t>
      </w:r>
      <w:r w:rsidRPr="007B38C6">
        <w:rPr>
          <w:b w:val="0"/>
          <w:bCs/>
          <w:color w:val="auto"/>
          <w:sz w:val="24"/>
          <w:szCs w:val="24"/>
        </w:rPr>
        <w:t>ingredients</w:t>
      </w:r>
      <w:r w:rsidRPr="007B38C6">
        <w:rPr>
          <w:b w:val="0"/>
          <w:bCs/>
          <w:color w:val="auto"/>
          <w:spacing w:val="-1"/>
          <w:sz w:val="24"/>
          <w:szCs w:val="24"/>
        </w:rPr>
        <w:t xml:space="preserve"> </w:t>
      </w:r>
      <w:r w:rsidRPr="007B38C6">
        <w:rPr>
          <w:b w:val="0"/>
          <w:bCs/>
          <w:color w:val="auto"/>
          <w:sz w:val="24"/>
          <w:szCs w:val="24"/>
        </w:rPr>
        <w:t>database.</w:t>
      </w:r>
      <w:r w:rsidRPr="007B38C6">
        <w:rPr>
          <w:noProof/>
          <w:color w:val="auto"/>
          <w:sz w:val="24"/>
          <w:szCs w:val="24"/>
        </w:rPr>
        <w:t xml:space="preserve"> </w:t>
      </w:r>
    </w:p>
    <w:p w14:paraId="1D4A94E3" w14:textId="513E8455" w:rsidR="00484C12" w:rsidRPr="00484C12" w:rsidRDefault="00484C12" w:rsidP="00484C12">
      <w:r w:rsidRPr="00202853">
        <w:rPr>
          <w:noProof/>
        </w:rPr>
        <w:lastRenderedPageBreak/>
        <w:drawing>
          <wp:inline distT="0" distB="0" distL="0" distR="0" wp14:anchorId="66678FBC" wp14:editId="7588E220">
            <wp:extent cx="5731510" cy="2855900"/>
            <wp:effectExtent l="0" t="0" r="2540" b="1905"/>
            <wp:docPr id="420932350" name="Picture 1" descr="A full list of ingredients is populated which can be exported in Excel, XML and HTML formats.&#10;&#10;• At the top right of the screen there are buttons to export, print or refresh the page. Including further buttons to click on different pages.&#10;• An alphabetical list of ingredients is displayed in column 1 that provided hyperlinks to the ingredients’ summary, to view restrictions for individual ingredients.&#10;• The second column states synonyms.&#10;• The third column displays the ingredient identifier.&#10;• The fourth column displays the ingredient category, for example, if it is an AAN.&#10;• The fifth column displays information about the reference source for the ingredient, for example, CHEMID plus (National Library of Medicine).&#10;• The sixth column displays the ingredient CAS No.&#10;• The seventh column displays listable status of the ingredi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32350" name="Picture 1" descr="A full list of ingredients is populated which can be exported in Excel, XML and HTML formats.&#10;&#10;• At the top right of the screen there are buttons to export, print or refresh the page. Including further buttons to click on different pages.&#10;• An alphabetical list of ingredients is displayed in column 1 that provided hyperlinks to the ingredients’ summary, to view restrictions for individual ingredients.&#10;• The second column states synonyms.&#10;• The third column displays the ingredient identifier.&#10;• The fourth column displays the ingredient category, for example, if it is an AAN.&#10;• The fifth column displays information about the reference source for the ingredient, for example, CHEMID plus (National Library of Medicine).&#10;• The sixth column displays the ingredient CAS No.&#10;• The seventh column displays listable status of the ingredient. &#10;"/>
                    <pic:cNvPicPr/>
                  </pic:nvPicPr>
                  <pic:blipFill>
                    <a:blip r:embed="rId107"/>
                    <a:stretch>
                      <a:fillRect/>
                    </a:stretch>
                  </pic:blipFill>
                  <pic:spPr>
                    <a:xfrm>
                      <a:off x="0" y="0"/>
                      <a:ext cx="5731510" cy="2855900"/>
                    </a:xfrm>
                    <a:prstGeom prst="rect">
                      <a:avLst/>
                    </a:prstGeom>
                  </pic:spPr>
                </pic:pic>
              </a:graphicData>
            </a:graphic>
          </wp:inline>
        </w:drawing>
      </w:r>
    </w:p>
    <w:p w14:paraId="15776942" w14:textId="77777777" w:rsidR="00EB2CAD" w:rsidRDefault="00EB2CAD" w:rsidP="007B38C6">
      <w:pPr>
        <w:pStyle w:val="ListBullet"/>
        <w:numPr>
          <w:ilvl w:val="0"/>
          <w:numId w:val="0"/>
        </w:numPr>
      </w:pPr>
    </w:p>
    <w:p w14:paraId="0EADDD6C" w14:textId="77777777" w:rsidR="003E4E24" w:rsidRPr="00E308CF" w:rsidRDefault="003E4E24" w:rsidP="003E4E24">
      <w:pPr>
        <w:pStyle w:val="Heading3"/>
      </w:pPr>
      <w:bookmarkStart w:id="156" w:name="_Toc120260235"/>
      <w:bookmarkStart w:id="157" w:name="_Toc181273078"/>
      <w:bookmarkStart w:id="158" w:name="_Toc198297299"/>
      <w:bookmarkStart w:id="159" w:name="_Toc204751346"/>
      <w:r w:rsidRPr="00E308CF">
        <w:t xml:space="preserve">B. </w:t>
      </w:r>
      <w:r w:rsidRPr="00FF778F">
        <w:t>Active ingredients currently restricted for use in therapeutic sunscreens</w:t>
      </w:r>
      <w:bookmarkEnd w:id="156"/>
      <w:bookmarkEnd w:id="157"/>
      <w:bookmarkEnd w:id="158"/>
      <w:bookmarkEnd w:id="159"/>
    </w:p>
    <w:p w14:paraId="3F143CA5" w14:textId="77777777" w:rsidR="003E4E24" w:rsidRPr="007B38C6" w:rsidRDefault="003E4E24" w:rsidP="003E4E24">
      <w:r w:rsidRPr="007B38C6">
        <w:t>Active ingredients currently restricted for use in therapeutic sunscreens at the time of</w:t>
      </w:r>
      <w:r w:rsidRPr="007B38C6">
        <w:rPr>
          <w:spacing w:val="-46"/>
        </w:rPr>
        <w:t xml:space="preserve"> </w:t>
      </w:r>
      <w:r w:rsidRPr="007B38C6">
        <w:t>publication</w:t>
      </w:r>
      <w:r w:rsidRPr="007B38C6">
        <w:rPr>
          <w:spacing w:val="-2"/>
        </w:rPr>
        <w:t xml:space="preserve"> </w:t>
      </w:r>
      <w:r w:rsidRPr="007B38C6">
        <w:t>are</w:t>
      </w:r>
      <w:r w:rsidRPr="007B38C6">
        <w:rPr>
          <w:spacing w:val="-2"/>
        </w:rPr>
        <w:t xml:space="preserve"> </w:t>
      </w:r>
      <w:r w:rsidRPr="007B38C6">
        <w:t>listed</w:t>
      </w:r>
      <w:r w:rsidRPr="007B38C6">
        <w:rPr>
          <w:spacing w:val="-3"/>
        </w:rPr>
        <w:t xml:space="preserve"> </w:t>
      </w:r>
      <w:r w:rsidRPr="007B38C6">
        <w:t>in</w:t>
      </w:r>
      <w:r w:rsidRPr="007B38C6">
        <w:rPr>
          <w:spacing w:val="-2"/>
        </w:rPr>
        <w:t xml:space="preserve"> </w:t>
      </w:r>
      <w:r w:rsidRPr="007B38C6">
        <w:t>Table</w:t>
      </w:r>
      <w:r w:rsidRPr="007B38C6">
        <w:rPr>
          <w:spacing w:val="-1"/>
        </w:rPr>
        <w:t xml:space="preserve"> </w:t>
      </w:r>
      <w:r w:rsidRPr="007B38C6">
        <w:t>9.</w:t>
      </w:r>
    </w:p>
    <w:p w14:paraId="2B11DBB9" w14:textId="77777777" w:rsidR="00C31794" w:rsidRDefault="00C31794" w:rsidP="00027B0A">
      <w:pPr>
        <w:pStyle w:val="Calloutforkeyinformation"/>
      </w:pPr>
      <w:r w:rsidRPr="00C31794">
        <w:rPr>
          <w:b/>
          <w:bCs w:val="0"/>
        </w:rPr>
        <w:t>Note</w:t>
      </w:r>
      <w:r w:rsidRPr="007B38C6">
        <w:t xml:space="preserve"> </w:t>
      </w:r>
    </w:p>
    <w:p w14:paraId="27009FF2" w14:textId="7C0370F8" w:rsidR="00EB2CAD" w:rsidRPr="007B38C6" w:rsidRDefault="00027B0A" w:rsidP="00027B0A">
      <w:pPr>
        <w:pStyle w:val="Calloutforkeyinformation"/>
      </w:pPr>
      <w:r w:rsidRPr="007B38C6">
        <w:t>Table 9 includes only those active ingredients that were included in the Therapeutic Goods (Permissible Ingredients) Determination at the time of publication. This Determination is updated regularly; therefore, it is the sponsor’s</w:t>
      </w:r>
      <w:r w:rsidRPr="007B38C6">
        <w:rPr>
          <w:spacing w:val="1"/>
        </w:rPr>
        <w:t xml:space="preserve"> </w:t>
      </w:r>
      <w:r w:rsidRPr="007B38C6">
        <w:t xml:space="preserve">responsibility to check the current </w:t>
      </w:r>
      <w:hyperlink r:id="rId108" w:anchor="permissible-ingredients">
        <w:r w:rsidRPr="00C47EC5">
          <w:rPr>
            <w:rStyle w:val="Hyperlink"/>
          </w:rPr>
          <w:t>Permissible Ingredients Determination</w:t>
        </w:r>
        <w:r w:rsidRPr="00E308CF">
          <w:rPr>
            <w:color w:val="0000FF"/>
          </w:rPr>
          <w:t xml:space="preserve"> </w:t>
        </w:r>
      </w:hyperlink>
      <w:r w:rsidRPr="007B38C6">
        <w:t>to</w:t>
      </w:r>
      <w:r w:rsidRPr="007B38C6">
        <w:rPr>
          <w:spacing w:val="1"/>
        </w:rPr>
        <w:t xml:space="preserve"> </w:t>
      </w:r>
      <w:r w:rsidRPr="007B38C6">
        <w:t>ensure</w:t>
      </w:r>
      <w:r w:rsidRPr="007B38C6">
        <w:rPr>
          <w:spacing w:val="-2"/>
        </w:rPr>
        <w:t xml:space="preserve"> </w:t>
      </w:r>
      <w:r w:rsidRPr="007B38C6">
        <w:t>that</w:t>
      </w:r>
      <w:r w:rsidRPr="007B38C6">
        <w:rPr>
          <w:spacing w:val="-1"/>
        </w:rPr>
        <w:t xml:space="preserve"> </w:t>
      </w:r>
      <w:r w:rsidRPr="007B38C6">
        <w:t>ingredient</w:t>
      </w:r>
      <w:r w:rsidRPr="007B38C6">
        <w:rPr>
          <w:spacing w:val="-1"/>
        </w:rPr>
        <w:t xml:space="preserve"> </w:t>
      </w:r>
      <w:r w:rsidRPr="007B38C6">
        <w:t>information</w:t>
      </w:r>
      <w:r w:rsidRPr="007B38C6">
        <w:rPr>
          <w:spacing w:val="-2"/>
        </w:rPr>
        <w:t xml:space="preserve"> </w:t>
      </w:r>
      <w:r w:rsidRPr="007B38C6">
        <w:t>is correct.</w:t>
      </w:r>
    </w:p>
    <w:p w14:paraId="7C94A6B7" w14:textId="77777777" w:rsidR="009D397C" w:rsidRPr="00E308CF" w:rsidRDefault="009D397C" w:rsidP="009D397C">
      <w:pPr>
        <w:pStyle w:val="Tabletitle"/>
      </w:pPr>
      <w:r w:rsidRPr="00E308CF">
        <w:t xml:space="preserve">Table </w:t>
      </w:r>
      <w:r>
        <w:t>9.</w:t>
      </w:r>
      <w:r w:rsidRPr="00E308CF">
        <w:t xml:space="preserve"> Active ingredients restricted for use in therapeutic sunscreens (at time of publication)</w:t>
      </w:r>
    </w:p>
    <w:tbl>
      <w:tblPr>
        <w:tblW w:w="91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3"/>
        <w:gridCol w:w="1418"/>
        <w:gridCol w:w="3260"/>
        <w:gridCol w:w="1739"/>
      </w:tblGrid>
      <w:tr w:rsidR="003C4010" w:rsidRPr="00E600B9" w14:paraId="1F134AD8" w14:textId="77777777" w:rsidTr="00F5642D">
        <w:trPr>
          <w:trHeight w:val="815"/>
          <w:tblHeader/>
        </w:trPr>
        <w:tc>
          <w:tcPr>
            <w:tcW w:w="2693" w:type="dxa"/>
            <w:shd w:val="clear" w:color="auto" w:fill="E7E6E6" w:themeFill="background2"/>
          </w:tcPr>
          <w:p w14:paraId="215B9F19" w14:textId="77777777" w:rsidR="003C4010" w:rsidRPr="00E600B9" w:rsidRDefault="003C4010" w:rsidP="00420179">
            <w:pPr>
              <w:pStyle w:val="TableParagraph"/>
              <w:ind w:right="295"/>
              <w:rPr>
                <w:rFonts w:ascii="Arial" w:hAnsi="Arial" w:cs="Arial"/>
                <w:b/>
                <w:color w:val="000000" w:themeColor="text1"/>
              </w:rPr>
            </w:pPr>
            <w:r w:rsidRPr="00E600B9">
              <w:rPr>
                <w:rFonts w:ascii="Arial" w:hAnsi="Arial" w:cs="Arial"/>
                <w:b/>
                <w:color w:val="000000" w:themeColor="text1"/>
              </w:rPr>
              <w:t>Australian Approved</w:t>
            </w:r>
            <w:r w:rsidRPr="00E600B9">
              <w:rPr>
                <w:rFonts w:ascii="Arial" w:hAnsi="Arial" w:cs="Arial"/>
                <w:b/>
                <w:color w:val="000000" w:themeColor="text1"/>
                <w:spacing w:val="-46"/>
              </w:rPr>
              <w:t xml:space="preserve"> </w:t>
            </w:r>
            <w:r w:rsidRPr="00E600B9">
              <w:rPr>
                <w:rFonts w:ascii="Arial" w:hAnsi="Arial" w:cs="Arial"/>
                <w:b/>
                <w:color w:val="000000" w:themeColor="text1"/>
              </w:rPr>
              <w:t>Name</w:t>
            </w:r>
            <w:r w:rsidRPr="00E600B9">
              <w:rPr>
                <w:rFonts w:ascii="Arial" w:hAnsi="Arial" w:cs="Arial"/>
                <w:b/>
                <w:color w:val="000000" w:themeColor="text1"/>
                <w:spacing w:val="-2"/>
              </w:rPr>
              <w:t xml:space="preserve"> </w:t>
            </w:r>
            <w:r w:rsidRPr="00E600B9">
              <w:rPr>
                <w:rFonts w:ascii="Arial" w:hAnsi="Arial" w:cs="Arial"/>
                <w:b/>
                <w:color w:val="000000" w:themeColor="text1"/>
              </w:rPr>
              <w:t>(AAN)</w:t>
            </w:r>
          </w:p>
        </w:tc>
        <w:tc>
          <w:tcPr>
            <w:tcW w:w="1418" w:type="dxa"/>
            <w:shd w:val="clear" w:color="auto" w:fill="E7E6E6" w:themeFill="background2"/>
          </w:tcPr>
          <w:p w14:paraId="52F35759" w14:textId="77777777" w:rsidR="003C4010" w:rsidRPr="00E600B9" w:rsidRDefault="003C4010" w:rsidP="00420179">
            <w:pPr>
              <w:pStyle w:val="TableParagraph"/>
              <w:ind w:left="117"/>
              <w:rPr>
                <w:rFonts w:ascii="Arial" w:hAnsi="Arial" w:cs="Arial"/>
                <w:b/>
                <w:color w:val="000000" w:themeColor="text1"/>
              </w:rPr>
            </w:pPr>
            <w:r w:rsidRPr="00E600B9">
              <w:rPr>
                <w:rFonts w:ascii="Arial" w:hAnsi="Arial" w:cs="Arial"/>
                <w:b/>
                <w:color w:val="000000" w:themeColor="text1"/>
              </w:rPr>
              <w:t>CAS</w:t>
            </w:r>
            <w:r w:rsidRPr="00E600B9">
              <w:rPr>
                <w:rFonts w:ascii="Arial" w:hAnsi="Arial" w:cs="Arial"/>
                <w:b/>
                <w:color w:val="000000" w:themeColor="text1"/>
                <w:spacing w:val="-2"/>
              </w:rPr>
              <w:t xml:space="preserve"> </w:t>
            </w:r>
            <w:r w:rsidRPr="00E600B9">
              <w:rPr>
                <w:rFonts w:ascii="Arial" w:hAnsi="Arial" w:cs="Arial"/>
                <w:b/>
                <w:color w:val="000000" w:themeColor="text1"/>
              </w:rPr>
              <w:t>Number</w:t>
            </w:r>
          </w:p>
        </w:tc>
        <w:tc>
          <w:tcPr>
            <w:tcW w:w="3260" w:type="dxa"/>
            <w:shd w:val="clear" w:color="auto" w:fill="E7E6E6" w:themeFill="background2"/>
          </w:tcPr>
          <w:p w14:paraId="5C6AE64B" w14:textId="77777777" w:rsidR="003C4010" w:rsidRPr="00E600B9" w:rsidRDefault="003C4010" w:rsidP="00420179">
            <w:pPr>
              <w:pStyle w:val="TableParagraph"/>
              <w:ind w:left="116"/>
              <w:rPr>
                <w:rFonts w:ascii="Arial" w:hAnsi="Arial" w:cs="Arial"/>
                <w:b/>
                <w:color w:val="000000" w:themeColor="text1"/>
              </w:rPr>
            </w:pPr>
            <w:r w:rsidRPr="00E600B9">
              <w:rPr>
                <w:rFonts w:ascii="Arial" w:hAnsi="Arial" w:cs="Arial"/>
                <w:b/>
                <w:color w:val="000000" w:themeColor="text1"/>
              </w:rPr>
              <w:t>Synonyms</w:t>
            </w:r>
          </w:p>
        </w:tc>
        <w:tc>
          <w:tcPr>
            <w:tcW w:w="1739" w:type="dxa"/>
            <w:shd w:val="clear" w:color="auto" w:fill="E7E6E6" w:themeFill="background2"/>
          </w:tcPr>
          <w:p w14:paraId="0C11B9D8" w14:textId="77777777" w:rsidR="003C4010" w:rsidRPr="00E600B9" w:rsidRDefault="003C4010" w:rsidP="00420179">
            <w:pPr>
              <w:pStyle w:val="TableParagraph"/>
              <w:ind w:left="106" w:right="80"/>
              <w:rPr>
                <w:rFonts w:ascii="Arial" w:hAnsi="Arial" w:cs="Arial"/>
                <w:b/>
                <w:color w:val="000000" w:themeColor="text1"/>
              </w:rPr>
            </w:pPr>
            <w:r w:rsidRPr="00E600B9">
              <w:rPr>
                <w:rFonts w:ascii="Arial" w:hAnsi="Arial" w:cs="Arial"/>
                <w:b/>
                <w:color w:val="000000" w:themeColor="text1"/>
              </w:rPr>
              <w:t>Maximum</w:t>
            </w:r>
            <w:r w:rsidRPr="00E600B9">
              <w:rPr>
                <w:rFonts w:ascii="Arial" w:hAnsi="Arial" w:cs="Arial"/>
                <w:b/>
                <w:color w:val="000000" w:themeColor="text1"/>
                <w:spacing w:val="1"/>
              </w:rPr>
              <w:t xml:space="preserve"> </w:t>
            </w:r>
            <w:r w:rsidRPr="00E600B9">
              <w:rPr>
                <w:rFonts w:ascii="Arial" w:hAnsi="Arial" w:cs="Arial"/>
                <w:b/>
                <w:color w:val="000000" w:themeColor="text1"/>
              </w:rPr>
              <w:t>concentration</w:t>
            </w:r>
          </w:p>
        </w:tc>
      </w:tr>
      <w:tr w:rsidR="003C4010" w:rsidRPr="00F57B6F" w14:paraId="298FF241" w14:textId="77777777" w:rsidTr="00F5642D">
        <w:trPr>
          <w:trHeight w:val="556"/>
        </w:trPr>
        <w:tc>
          <w:tcPr>
            <w:tcW w:w="2693" w:type="dxa"/>
            <w:shd w:val="clear" w:color="auto" w:fill="E7E6E6"/>
          </w:tcPr>
          <w:p w14:paraId="422AFCDC" w14:textId="77777777" w:rsidR="003C4010" w:rsidRPr="007B38C6" w:rsidRDefault="003C4010" w:rsidP="00420179">
            <w:pPr>
              <w:pStyle w:val="TableParagraph"/>
              <w:rPr>
                <w:rFonts w:ascii="Arial" w:hAnsi="Arial" w:cs="Arial"/>
              </w:rPr>
            </w:pPr>
            <w:proofErr w:type="spellStart"/>
            <w:r w:rsidRPr="007B38C6">
              <w:rPr>
                <w:rFonts w:ascii="Arial" w:hAnsi="Arial" w:cs="Arial"/>
              </w:rPr>
              <w:t>bemotrizinol</w:t>
            </w:r>
            <w:proofErr w:type="spellEnd"/>
          </w:p>
        </w:tc>
        <w:tc>
          <w:tcPr>
            <w:tcW w:w="1418" w:type="dxa"/>
          </w:tcPr>
          <w:p w14:paraId="06336D33" w14:textId="77777777" w:rsidR="003C4010" w:rsidRPr="007B38C6" w:rsidRDefault="003C4010" w:rsidP="00420179">
            <w:pPr>
              <w:pStyle w:val="TableParagraph"/>
              <w:rPr>
                <w:rFonts w:ascii="Arial" w:hAnsi="Arial" w:cs="Arial"/>
              </w:rPr>
            </w:pPr>
            <w:r w:rsidRPr="007B38C6">
              <w:rPr>
                <w:rFonts w:ascii="Arial" w:hAnsi="Arial" w:cs="Arial"/>
              </w:rPr>
              <w:t>187393-00-6</w:t>
            </w:r>
          </w:p>
        </w:tc>
        <w:tc>
          <w:tcPr>
            <w:tcW w:w="3260" w:type="dxa"/>
          </w:tcPr>
          <w:p w14:paraId="7DF0F8DE" w14:textId="77777777" w:rsidR="003C4010" w:rsidRPr="007B38C6" w:rsidRDefault="003C4010" w:rsidP="00420179">
            <w:pPr>
              <w:pStyle w:val="TableParagraph"/>
              <w:ind w:left="106"/>
              <w:rPr>
                <w:rFonts w:ascii="Arial" w:hAnsi="Arial" w:cs="Arial"/>
              </w:rPr>
            </w:pPr>
            <w:proofErr w:type="spellStart"/>
            <w:r w:rsidRPr="007B38C6">
              <w:rPr>
                <w:rFonts w:ascii="Arial" w:hAnsi="Arial" w:cs="Arial"/>
              </w:rPr>
              <w:t>bemotrizinolum</w:t>
            </w:r>
            <w:proofErr w:type="spellEnd"/>
          </w:p>
        </w:tc>
        <w:tc>
          <w:tcPr>
            <w:tcW w:w="1739" w:type="dxa"/>
            <w:shd w:val="clear" w:color="auto" w:fill="auto"/>
          </w:tcPr>
          <w:p w14:paraId="20885775" w14:textId="77777777" w:rsidR="003C4010" w:rsidRPr="007B38C6" w:rsidRDefault="003C4010" w:rsidP="00420179">
            <w:pPr>
              <w:pStyle w:val="TableParagraph"/>
              <w:ind w:left="105"/>
              <w:rPr>
                <w:rFonts w:ascii="Arial" w:hAnsi="Arial" w:cs="Arial"/>
              </w:rPr>
            </w:pPr>
            <w:r w:rsidRPr="007B38C6">
              <w:rPr>
                <w:rFonts w:ascii="Arial" w:hAnsi="Arial" w:cs="Arial"/>
              </w:rPr>
              <w:t>10%</w:t>
            </w:r>
          </w:p>
        </w:tc>
      </w:tr>
      <w:tr w:rsidR="003C4010" w:rsidRPr="00F57B6F" w14:paraId="44677152" w14:textId="77777777" w:rsidTr="00F5642D">
        <w:trPr>
          <w:trHeight w:val="1074"/>
        </w:trPr>
        <w:tc>
          <w:tcPr>
            <w:tcW w:w="2693" w:type="dxa"/>
            <w:shd w:val="clear" w:color="auto" w:fill="E7E6E6"/>
          </w:tcPr>
          <w:p w14:paraId="124D7DC9" w14:textId="77777777" w:rsidR="003C4010" w:rsidRPr="007B38C6" w:rsidRDefault="003C4010" w:rsidP="00420179">
            <w:pPr>
              <w:pStyle w:val="TableParagraph"/>
              <w:spacing w:before="121"/>
              <w:ind w:right="365"/>
              <w:rPr>
                <w:rFonts w:ascii="Arial" w:hAnsi="Arial" w:cs="Arial"/>
              </w:rPr>
            </w:pPr>
            <w:r w:rsidRPr="007B38C6">
              <w:rPr>
                <w:rFonts w:ascii="Arial" w:hAnsi="Arial" w:cs="Arial"/>
              </w:rPr>
              <w:t>benzylidene camphor</w:t>
            </w:r>
            <w:r w:rsidRPr="007B38C6">
              <w:rPr>
                <w:rFonts w:ascii="Arial" w:hAnsi="Arial" w:cs="Arial"/>
                <w:spacing w:val="-46"/>
              </w:rPr>
              <w:t xml:space="preserve"> </w:t>
            </w:r>
            <w:r w:rsidRPr="007B38C6">
              <w:rPr>
                <w:rFonts w:ascii="Arial" w:hAnsi="Arial" w:cs="Arial"/>
              </w:rPr>
              <w:t>sulfonic</w:t>
            </w:r>
            <w:r w:rsidRPr="007B38C6">
              <w:rPr>
                <w:rFonts w:ascii="Arial" w:hAnsi="Arial" w:cs="Arial"/>
                <w:spacing w:val="-1"/>
              </w:rPr>
              <w:t xml:space="preserve"> </w:t>
            </w:r>
            <w:r w:rsidRPr="007B38C6">
              <w:rPr>
                <w:rFonts w:ascii="Arial" w:hAnsi="Arial" w:cs="Arial"/>
              </w:rPr>
              <w:t>acid</w:t>
            </w:r>
          </w:p>
        </w:tc>
        <w:tc>
          <w:tcPr>
            <w:tcW w:w="1418" w:type="dxa"/>
          </w:tcPr>
          <w:p w14:paraId="41DF3726" w14:textId="77777777" w:rsidR="003C4010" w:rsidRPr="007B38C6" w:rsidRDefault="003C4010" w:rsidP="00420179">
            <w:pPr>
              <w:pStyle w:val="TableParagraph"/>
              <w:spacing w:before="121"/>
              <w:rPr>
                <w:rFonts w:ascii="Arial" w:hAnsi="Arial" w:cs="Arial"/>
              </w:rPr>
            </w:pPr>
            <w:r w:rsidRPr="007B38C6">
              <w:rPr>
                <w:rFonts w:ascii="Arial" w:hAnsi="Arial" w:cs="Arial"/>
              </w:rPr>
              <w:t>56039-58-8</w:t>
            </w:r>
          </w:p>
        </w:tc>
        <w:tc>
          <w:tcPr>
            <w:tcW w:w="3260" w:type="dxa"/>
          </w:tcPr>
          <w:p w14:paraId="2B539050" w14:textId="77777777" w:rsidR="003C4010" w:rsidRPr="007B38C6" w:rsidRDefault="003C4010" w:rsidP="00420179">
            <w:pPr>
              <w:pStyle w:val="TableParagraph"/>
              <w:spacing w:before="121"/>
              <w:ind w:left="106" w:right="512"/>
              <w:rPr>
                <w:rFonts w:ascii="Arial" w:hAnsi="Arial" w:cs="Arial"/>
              </w:rPr>
            </w:pPr>
            <w:r w:rsidRPr="007B38C6">
              <w:rPr>
                <w:rFonts w:ascii="Arial" w:hAnsi="Arial" w:cs="Arial"/>
              </w:rPr>
              <w:t>alpha-(2-oxoborn-3-</w:t>
            </w:r>
            <w:r w:rsidRPr="007B38C6">
              <w:rPr>
                <w:rFonts w:ascii="Arial" w:hAnsi="Arial" w:cs="Arial"/>
                <w:spacing w:val="1"/>
              </w:rPr>
              <w:t xml:space="preserve"> </w:t>
            </w:r>
            <w:proofErr w:type="spellStart"/>
            <w:proofErr w:type="gramStart"/>
            <w:r w:rsidRPr="007B38C6">
              <w:rPr>
                <w:rFonts w:ascii="Arial" w:hAnsi="Arial" w:cs="Arial"/>
              </w:rPr>
              <w:t>ylidene</w:t>
            </w:r>
            <w:proofErr w:type="spellEnd"/>
            <w:r w:rsidRPr="007B38C6">
              <w:rPr>
                <w:rFonts w:ascii="Arial" w:hAnsi="Arial" w:cs="Arial"/>
              </w:rPr>
              <w:t>)toluene</w:t>
            </w:r>
            <w:proofErr w:type="gramEnd"/>
            <w:r w:rsidRPr="007B38C6">
              <w:rPr>
                <w:rFonts w:ascii="Arial" w:hAnsi="Arial" w:cs="Arial"/>
              </w:rPr>
              <w:t>-4-sulphonic</w:t>
            </w:r>
            <w:r w:rsidRPr="007B38C6">
              <w:rPr>
                <w:rFonts w:ascii="Arial" w:hAnsi="Arial" w:cs="Arial"/>
                <w:spacing w:val="-46"/>
              </w:rPr>
              <w:t xml:space="preserve"> </w:t>
            </w:r>
            <w:r w:rsidRPr="007B38C6">
              <w:rPr>
                <w:rFonts w:ascii="Arial" w:hAnsi="Arial" w:cs="Arial"/>
              </w:rPr>
              <w:t>acid</w:t>
            </w:r>
          </w:p>
        </w:tc>
        <w:tc>
          <w:tcPr>
            <w:tcW w:w="1739" w:type="dxa"/>
            <w:shd w:val="clear" w:color="auto" w:fill="auto"/>
          </w:tcPr>
          <w:p w14:paraId="3FD408EE" w14:textId="77777777" w:rsidR="003C4010" w:rsidRPr="007B38C6" w:rsidRDefault="003C4010" w:rsidP="00420179">
            <w:pPr>
              <w:pStyle w:val="TableParagraph"/>
              <w:spacing w:before="121"/>
              <w:ind w:left="106"/>
              <w:rPr>
                <w:rFonts w:ascii="Arial" w:hAnsi="Arial" w:cs="Arial"/>
              </w:rPr>
            </w:pPr>
            <w:r w:rsidRPr="007B38C6">
              <w:rPr>
                <w:rFonts w:ascii="Arial" w:hAnsi="Arial" w:cs="Arial"/>
              </w:rPr>
              <w:t>6%</w:t>
            </w:r>
            <w:r w:rsidRPr="007B38C6">
              <w:rPr>
                <w:rFonts w:ascii="Arial" w:hAnsi="Arial" w:cs="Arial"/>
                <w:spacing w:val="-2"/>
              </w:rPr>
              <w:t xml:space="preserve"> </w:t>
            </w:r>
            <w:r w:rsidRPr="007B38C6">
              <w:rPr>
                <w:rFonts w:ascii="Arial" w:hAnsi="Arial" w:cs="Arial"/>
              </w:rPr>
              <w:t>(as</w:t>
            </w:r>
            <w:r w:rsidRPr="007B38C6">
              <w:rPr>
                <w:rFonts w:ascii="Arial" w:hAnsi="Arial" w:cs="Arial"/>
                <w:spacing w:val="-1"/>
              </w:rPr>
              <w:t xml:space="preserve"> </w:t>
            </w:r>
            <w:r w:rsidRPr="007B38C6">
              <w:rPr>
                <w:rFonts w:ascii="Arial" w:hAnsi="Arial" w:cs="Arial"/>
              </w:rPr>
              <w:t>acid)</w:t>
            </w:r>
          </w:p>
        </w:tc>
      </w:tr>
      <w:tr w:rsidR="003C4010" w:rsidRPr="00F57B6F" w14:paraId="385A761D" w14:textId="77777777" w:rsidTr="00F5642D">
        <w:trPr>
          <w:trHeight w:val="1331"/>
        </w:trPr>
        <w:tc>
          <w:tcPr>
            <w:tcW w:w="2693" w:type="dxa"/>
            <w:shd w:val="clear" w:color="auto" w:fill="E7E6E6"/>
          </w:tcPr>
          <w:p w14:paraId="4F732EFB" w14:textId="77777777" w:rsidR="003C4010" w:rsidRPr="007B38C6" w:rsidRDefault="003C4010" w:rsidP="00420179">
            <w:pPr>
              <w:pStyle w:val="TableParagraph"/>
              <w:ind w:right="167"/>
              <w:rPr>
                <w:rFonts w:ascii="Arial" w:hAnsi="Arial" w:cs="Arial"/>
              </w:rPr>
            </w:pPr>
            <w:r w:rsidRPr="007B38C6">
              <w:rPr>
                <w:rFonts w:ascii="Arial" w:hAnsi="Arial" w:cs="Arial"/>
              </w:rPr>
              <w:t>butyl</w:t>
            </w:r>
            <w:r w:rsidRPr="007B38C6">
              <w:rPr>
                <w:rFonts w:ascii="Arial" w:hAnsi="Arial" w:cs="Arial"/>
                <w:spacing w:val="1"/>
              </w:rPr>
              <w:t xml:space="preserve"> </w:t>
            </w:r>
            <w:proofErr w:type="spellStart"/>
            <w:r w:rsidRPr="007B38C6">
              <w:rPr>
                <w:rFonts w:ascii="Arial" w:hAnsi="Arial" w:cs="Arial"/>
              </w:rPr>
              <w:t>methoxydibenzoylmeth</w:t>
            </w:r>
            <w:proofErr w:type="spellEnd"/>
            <w:r w:rsidRPr="007B38C6">
              <w:rPr>
                <w:rFonts w:ascii="Arial" w:hAnsi="Arial" w:cs="Arial"/>
                <w:spacing w:val="-46"/>
              </w:rPr>
              <w:t xml:space="preserve"> </w:t>
            </w:r>
            <w:proofErr w:type="spellStart"/>
            <w:r w:rsidRPr="007B38C6">
              <w:rPr>
                <w:rFonts w:ascii="Arial" w:hAnsi="Arial" w:cs="Arial"/>
              </w:rPr>
              <w:t>ane</w:t>
            </w:r>
            <w:proofErr w:type="spellEnd"/>
          </w:p>
        </w:tc>
        <w:tc>
          <w:tcPr>
            <w:tcW w:w="1418" w:type="dxa"/>
          </w:tcPr>
          <w:p w14:paraId="10DE2502" w14:textId="77777777" w:rsidR="003C4010" w:rsidRPr="007B38C6" w:rsidRDefault="003C4010" w:rsidP="00420179">
            <w:pPr>
              <w:pStyle w:val="TableParagraph"/>
              <w:rPr>
                <w:rFonts w:ascii="Arial" w:hAnsi="Arial" w:cs="Arial"/>
              </w:rPr>
            </w:pPr>
            <w:r w:rsidRPr="007B38C6">
              <w:rPr>
                <w:rFonts w:ascii="Arial" w:hAnsi="Arial" w:cs="Arial"/>
              </w:rPr>
              <w:t>70356-09-1</w:t>
            </w:r>
          </w:p>
        </w:tc>
        <w:tc>
          <w:tcPr>
            <w:tcW w:w="3260" w:type="dxa"/>
          </w:tcPr>
          <w:p w14:paraId="353E7EB1" w14:textId="77777777" w:rsidR="003C4010" w:rsidRPr="007B38C6" w:rsidRDefault="003C4010" w:rsidP="00420179">
            <w:pPr>
              <w:pStyle w:val="TableParagraph"/>
              <w:ind w:left="106"/>
              <w:rPr>
                <w:rFonts w:ascii="Arial" w:hAnsi="Arial" w:cs="Arial"/>
              </w:rPr>
            </w:pPr>
            <w:r w:rsidRPr="007B38C6">
              <w:rPr>
                <w:rFonts w:ascii="Arial" w:hAnsi="Arial" w:cs="Arial"/>
              </w:rPr>
              <w:t>BMDM</w:t>
            </w:r>
          </w:p>
          <w:p w14:paraId="398F1249" w14:textId="77777777" w:rsidR="003C4010" w:rsidRPr="007B38C6" w:rsidRDefault="003C4010" w:rsidP="00420179">
            <w:pPr>
              <w:pStyle w:val="TableParagraph"/>
              <w:spacing w:before="1"/>
              <w:ind w:left="106" w:right="930"/>
              <w:rPr>
                <w:rFonts w:ascii="Arial" w:hAnsi="Arial" w:cs="Arial"/>
              </w:rPr>
            </w:pPr>
            <w:r w:rsidRPr="007B38C6">
              <w:rPr>
                <w:rFonts w:ascii="Arial" w:hAnsi="Arial" w:cs="Arial"/>
              </w:rPr>
              <w:t>4-tert-butyl-4’-methoxy</w:t>
            </w:r>
            <w:r w:rsidRPr="007B38C6">
              <w:rPr>
                <w:rFonts w:ascii="Arial" w:hAnsi="Arial" w:cs="Arial"/>
                <w:spacing w:val="-46"/>
              </w:rPr>
              <w:t xml:space="preserve"> </w:t>
            </w:r>
            <w:proofErr w:type="spellStart"/>
            <w:r w:rsidRPr="007B38C6">
              <w:rPr>
                <w:rFonts w:ascii="Arial" w:hAnsi="Arial" w:cs="Arial"/>
              </w:rPr>
              <w:t>dibenzoylmethane</w:t>
            </w:r>
            <w:proofErr w:type="spellEnd"/>
            <w:r w:rsidRPr="007B38C6">
              <w:rPr>
                <w:rFonts w:ascii="Arial" w:hAnsi="Arial" w:cs="Arial"/>
                <w:spacing w:val="1"/>
              </w:rPr>
              <w:t xml:space="preserve"> </w:t>
            </w:r>
            <w:r w:rsidRPr="007B38C6">
              <w:rPr>
                <w:rFonts w:ascii="Arial" w:hAnsi="Arial" w:cs="Arial"/>
              </w:rPr>
              <w:t>avobenzone</w:t>
            </w:r>
          </w:p>
        </w:tc>
        <w:tc>
          <w:tcPr>
            <w:tcW w:w="1739" w:type="dxa"/>
            <w:shd w:val="clear" w:color="auto" w:fill="auto"/>
          </w:tcPr>
          <w:p w14:paraId="40BD4706" w14:textId="77777777" w:rsidR="003C4010" w:rsidRPr="007B38C6" w:rsidRDefault="003C4010" w:rsidP="00420179">
            <w:pPr>
              <w:pStyle w:val="TableParagraph"/>
              <w:ind w:left="106"/>
              <w:rPr>
                <w:rFonts w:ascii="Arial" w:hAnsi="Arial" w:cs="Arial"/>
              </w:rPr>
            </w:pPr>
            <w:r w:rsidRPr="007B38C6">
              <w:rPr>
                <w:rFonts w:ascii="Arial" w:hAnsi="Arial" w:cs="Arial"/>
              </w:rPr>
              <w:t>5%</w:t>
            </w:r>
          </w:p>
        </w:tc>
      </w:tr>
      <w:tr w:rsidR="003C4010" w:rsidRPr="00F57B6F" w14:paraId="6ED14EEB" w14:textId="77777777" w:rsidTr="00F5642D">
        <w:trPr>
          <w:trHeight w:val="1331"/>
        </w:trPr>
        <w:tc>
          <w:tcPr>
            <w:tcW w:w="2693" w:type="dxa"/>
            <w:shd w:val="clear" w:color="auto" w:fill="E7E6E6"/>
          </w:tcPr>
          <w:p w14:paraId="01721493" w14:textId="77777777" w:rsidR="003C4010" w:rsidRPr="007B38C6" w:rsidRDefault="003C4010" w:rsidP="00420179">
            <w:pPr>
              <w:pStyle w:val="TableParagraph"/>
              <w:spacing w:before="121"/>
              <w:ind w:right="178"/>
              <w:rPr>
                <w:rFonts w:ascii="Arial" w:hAnsi="Arial" w:cs="Arial"/>
              </w:rPr>
            </w:pPr>
            <w:r w:rsidRPr="007B38C6">
              <w:rPr>
                <w:rFonts w:ascii="Arial" w:hAnsi="Arial" w:cs="Arial"/>
              </w:rPr>
              <w:lastRenderedPageBreak/>
              <w:t>camphor</w:t>
            </w:r>
            <w:r w:rsidRPr="007B38C6">
              <w:rPr>
                <w:rFonts w:ascii="Arial" w:hAnsi="Arial" w:cs="Arial"/>
                <w:spacing w:val="-9"/>
              </w:rPr>
              <w:t xml:space="preserve"> </w:t>
            </w:r>
            <w:r w:rsidRPr="007B38C6">
              <w:rPr>
                <w:rFonts w:ascii="Arial" w:hAnsi="Arial" w:cs="Arial"/>
              </w:rPr>
              <w:t>benzalkonium</w:t>
            </w:r>
            <w:r w:rsidRPr="007B38C6">
              <w:rPr>
                <w:rFonts w:ascii="Arial" w:hAnsi="Arial" w:cs="Arial"/>
                <w:spacing w:val="-45"/>
              </w:rPr>
              <w:t xml:space="preserve"> </w:t>
            </w:r>
            <w:r w:rsidRPr="007B38C6">
              <w:rPr>
                <w:rFonts w:ascii="Arial" w:hAnsi="Arial" w:cs="Arial"/>
              </w:rPr>
              <w:t>methosulfate</w:t>
            </w:r>
          </w:p>
        </w:tc>
        <w:tc>
          <w:tcPr>
            <w:tcW w:w="1418" w:type="dxa"/>
          </w:tcPr>
          <w:p w14:paraId="108BFD4F" w14:textId="77777777" w:rsidR="003C4010" w:rsidRPr="007B38C6" w:rsidRDefault="003C4010" w:rsidP="00420179">
            <w:pPr>
              <w:pStyle w:val="TableParagraph"/>
              <w:spacing w:before="121"/>
              <w:rPr>
                <w:rFonts w:ascii="Arial" w:hAnsi="Arial" w:cs="Arial"/>
              </w:rPr>
            </w:pPr>
            <w:r w:rsidRPr="007B38C6">
              <w:rPr>
                <w:rFonts w:ascii="Arial" w:hAnsi="Arial" w:cs="Arial"/>
              </w:rPr>
              <w:t>52793-97-2</w:t>
            </w:r>
          </w:p>
        </w:tc>
        <w:tc>
          <w:tcPr>
            <w:tcW w:w="3260" w:type="dxa"/>
          </w:tcPr>
          <w:p w14:paraId="65817220" w14:textId="77777777" w:rsidR="003C4010" w:rsidRPr="007B38C6" w:rsidRDefault="003C4010" w:rsidP="00420179">
            <w:pPr>
              <w:pStyle w:val="TableParagraph"/>
              <w:spacing w:before="121"/>
              <w:ind w:left="106" w:right="131"/>
              <w:rPr>
                <w:rFonts w:ascii="Arial" w:hAnsi="Arial" w:cs="Arial"/>
              </w:rPr>
            </w:pPr>
            <w:proofErr w:type="gramStart"/>
            <w:r w:rsidRPr="007B38C6">
              <w:rPr>
                <w:rFonts w:ascii="Arial" w:hAnsi="Arial" w:cs="Arial"/>
              </w:rPr>
              <w:t>N,N</w:t>
            </w:r>
            <w:proofErr w:type="gramEnd"/>
            <w:r w:rsidRPr="007B38C6">
              <w:rPr>
                <w:rFonts w:ascii="Arial" w:hAnsi="Arial" w:cs="Arial"/>
              </w:rPr>
              <w:t>,N-Trimethyl-4-(oxoborn-3-</w:t>
            </w:r>
            <w:r w:rsidRPr="007B38C6">
              <w:rPr>
                <w:rFonts w:ascii="Arial" w:hAnsi="Arial" w:cs="Arial"/>
                <w:spacing w:val="1"/>
              </w:rPr>
              <w:t xml:space="preserve"> </w:t>
            </w:r>
            <w:proofErr w:type="spellStart"/>
            <w:proofErr w:type="gramStart"/>
            <w:r w:rsidRPr="007B38C6">
              <w:rPr>
                <w:rFonts w:ascii="Arial" w:hAnsi="Arial" w:cs="Arial"/>
              </w:rPr>
              <w:t>ylidenemethyl</w:t>
            </w:r>
            <w:proofErr w:type="spellEnd"/>
            <w:r w:rsidRPr="007B38C6">
              <w:rPr>
                <w:rFonts w:ascii="Arial" w:hAnsi="Arial" w:cs="Arial"/>
              </w:rPr>
              <w:t>)</w:t>
            </w:r>
            <w:proofErr w:type="spellStart"/>
            <w:r w:rsidRPr="007B38C6">
              <w:rPr>
                <w:rFonts w:ascii="Arial" w:hAnsi="Arial" w:cs="Arial"/>
              </w:rPr>
              <w:t>anilinium</w:t>
            </w:r>
            <w:proofErr w:type="spellEnd"/>
            <w:proofErr w:type="gramEnd"/>
            <w:r w:rsidRPr="007B38C6">
              <w:rPr>
                <w:rFonts w:ascii="Arial" w:hAnsi="Arial" w:cs="Arial"/>
              </w:rPr>
              <w:t xml:space="preserve"> methyl</w:t>
            </w:r>
            <w:r w:rsidRPr="007B38C6">
              <w:rPr>
                <w:rFonts w:ascii="Arial" w:hAnsi="Arial" w:cs="Arial"/>
                <w:spacing w:val="-46"/>
              </w:rPr>
              <w:t xml:space="preserve"> </w:t>
            </w:r>
            <w:proofErr w:type="spellStart"/>
            <w:r w:rsidRPr="007B38C6">
              <w:rPr>
                <w:rFonts w:ascii="Arial" w:hAnsi="Arial" w:cs="Arial"/>
              </w:rPr>
              <w:t>sulfate</w:t>
            </w:r>
            <w:proofErr w:type="spellEnd"/>
          </w:p>
          <w:p w14:paraId="32042455" w14:textId="77777777" w:rsidR="003C4010" w:rsidRPr="007B38C6" w:rsidRDefault="003C4010" w:rsidP="00420179">
            <w:pPr>
              <w:pStyle w:val="TableParagraph"/>
              <w:spacing w:before="0" w:line="257" w:lineRule="exact"/>
              <w:ind w:left="106"/>
              <w:rPr>
                <w:rFonts w:ascii="Arial" w:hAnsi="Arial" w:cs="Arial"/>
              </w:rPr>
            </w:pPr>
            <w:r w:rsidRPr="007B38C6">
              <w:rPr>
                <w:rFonts w:ascii="Arial" w:hAnsi="Arial" w:cs="Arial"/>
              </w:rPr>
              <w:t>camphor</w:t>
            </w:r>
            <w:r w:rsidRPr="007B38C6">
              <w:rPr>
                <w:rFonts w:ascii="Arial" w:hAnsi="Arial" w:cs="Arial"/>
                <w:spacing w:val="-3"/>
              </w:rPr>
              <w:t xml:space="preserve"> </w:t>
            </w:r>
            <w:r w:rsidRPr="007B38C6">
              <w:rPr>
                <w:rFonts w:ascii="Arial" w:hAnsi="Arial" w:cs="Arial"/>
              </w:rPr>
              <w:t>benzalkonium</w:t>
            </w:r>
            <w:r w:rsidRPr="007B38C6">
              <w:rPr>
                <w:rFonts w:ascii="Arial" w:hAnsi="Arial" w:cs="Arial"/>
                <w:spacing w:val="-1"/>
              </w:rPr>
              <w:t xml:space="preserve"> </w:t>
            </w:r>
            <w:proofErr w:type="spellStart"/>
            <w:r w:rsidRPr="007B38C6">
              <w:rPr>
                <w:rFonts w:ascii="Arial" w:hAnsi="Arial" w:cs="Arial"/>
              </w:rPr>
              <w:t>sulfate</w:t>
            </w:r>
            <w:proofErr w:type="spellEnd"/>
          </w:p>
        </w:tc>
        <w:tc>
          <w:tcPr>
            <w:tcW w:w="1739" w:type="dxa"/>
            <w:shd w:val="clear" w:color="auto" w:fill="auto"/>
          </w:tcPr>
          <w:p w14:paraId="63F2A5D9" w14:textId="77777777" w:rsidR="003C4010" w:rsidRPr="007B38C6" w:rsidRDefault="003C4010" w:rsidP="00420179">
            <w:pPr>
              <w:pStyle w:val="TableParagraph"/>
              <w:spacing w:before="121"/>
              <w:ind w:left="106"/>
              <w:rPr>
                <w:rFonts w:ascii="Arial" w:hAnsi="Arial" w:cs="Arial"/>
              </w:rPr>
            </w:pPr>
            <w:r w:rsidRPr="007B38C6">
              <w:rPr>
                <w:rFonts w:ascii="Arial" w:hAnsi="Arial" w:cs="Arial"/>
              </w:rPr>
              <w:t>6%</w:t>
            </w:r>
          </w:p>
        </w:tc>
      </w:tr>
      <w:tr w:rsidR="003C4010" w:rsidRPr="00F57B6F" w14:paraId="18D4D411" w14:textId="77777777" w:rsidTr="00F5642D">
        <w:trPr>
          <w:trHeight w:val="1074"/>
        </w:trPr>
        <w:tc>
          <w:tcPr>
            <w:tcW w:w="2693" w:type="dxa"/>
            <w:shd w:val="clear" w:color="auto" w:fill="E7E6E6"/>
          </w:tcPr>
          <w:p w14:paraId="6ECD8C72" w14:textId="77777777" w:rsidR="003C4010" w:rsidRPr="007B38C6" w:rsidRDefault="003C4010" w:rsidP="00420179">
            <w:pPr>
              <w:pStyle w:val="TableParagraph"/>
              <w:spacing w:before="121"/>
              <w:rPr>
                <w:rFonts w:ascii="Arial" w:hAnsi="Arial" w:cs="Arial"/>
              </w:rPr>
            </w:pPr>
            <w:r w:rsidRPr="007B38C6">
              <w:rPr>
                <w:rFonts w:ascii="Arial" w:hAnsi="Arial" w:cs="Arial"/>
              </w:rPr>
              <w:t>cinoxate</w:t>
            </w:r>
          </w:p>
        </w:tc>
        <w:tc>
          <w:tcPr>
            <w:tcW w:w="1418" w:type="dxa"/>
          </w:tcPr>
          <w:p w14:paraId="5E91F403" w14:textId="77777777" w:rsidR="003C4010" w:rsidRPr="007B38C6" w:rsidRDefault="003C4010" w:rsidP="00420179">
            <w:pPr>
              <w:pStyle w:val="TableParagraph"/>
              <w:spacing w:before="121"/>
              <w:rPr>
                <w:rFonts w:ascii="Arial" w:hAnsi="Arial" w:cs="Arial"/>
              </w:rPr>
            </w:pPr>
            <w:r w:rsidRPr="007B38C6">
              <w:rPr>
                <w:rFonts w:ascii="Arial" w:hAnsi="Arial" w:cs="Arial"/>
              </w:rPr>
              <w:t>104-28-9</w:t>
            </w:r>
          </w:p>
        </w:tc>
        <w:tc>
          <w:tcPr>
            <w:tcW w:w="3260" w:type="dxa"/>
          </w:tcPr>
          <w:p w14:paraId="204B0802" w14:textId="04D3C5B7" w:rsidR="003C4010" w:rsidRPr="007B38C6" w:rsidRDefault="003C4010" w:rsidP="00C47EC5">
            <w:pPr>
              <w:pStyle w:val="TableParagraph"/>
              <w:ind w:left="106" w:right="95"/>
              <w:rPr>
                <w:rFonts w:ascii="Arial" w:hAnsi="Arial" w:cs="Arial"/>
              </w:rPr>
            </w:pPr>
            <w:r w:rsidRPr="007B38C6">
              <w:rPr>
                <w:rFonts w:ascii="Arial" w:hAnsi="Arial" w:cs="Arial"/>
              </w:rPr>
              <w:t>2-ethoxyethyl para-</w:t>
            </w:r>
            <w:r w:rsidRPr="00C47EC5">
              <w:rPr>
                <w:rFonts w:ascii="Arial" w:hAnsi="Arial" w:cs="Arial"/>
              </w:rPr>
              <w:t xml:space="preserve"> </w:t>
            </w:r>
            <w:r w:rsidRPr="007B38C6">
              <w:rPr>
                <w:rFonts w:ascii="Arial" w:hAnsi="Arial" w:cs="Arial"/>
              </w:rPr>
              <w:t>methoxycinnama</w:t>
            </w:r>
            <w:r w:rsidR="00C47EC5">
              <w:rPr>
                <w:rFonts w:ascii="Arial" w:hAnsi="Arial" w:cs="Arial"/>
              </w:rPr>
              <w:t>t</w:t>
            </w:r>
            <w:r w:rsidRPr="007B38C6">
              <w:rPr>
                <w:rFonts w:ascii="Arial" w:hAnsi="Arial" w:cs="Arial"/>
              </w:rPr>
              <w:t>e</w:t>
            </w:r>
            <w:r w:rsidRPr="00C47EC5">
              <w:rPr>
                <w:rFonts w:ascii="Arial" w:hAnsi="Arial" w:cs="Arial"/>
              </w:rPr>
              <w:t xml:space="preserve"> </w:t>
            </w:r>
            <w:r w:rsidRPr="007B38C6">
              <w:rPr>
                <w:rFonts w:ascii="Arial" w:hAnsi="Arial" w:cs="Arial"/>
              </w:rPr>
              <w:t>cinoxate</w:t>
            </w:r>
            <w:r w:rsidRPr="00C47EC5">
              <w:rPr>
                <w:rFonts w:ascii="Arial" w:hAnsi="Arial" w:cs="Arial"/>
              </w:rPr>
              <w:t xml:space="preserve"> </w:t>
            </w:r>
            <w:r w:rsidRPr="007B38C6">
              <w:rPr>
                <w:rFonts w:ascii="Arial" w:hAnsi="Arial" w:cs="Arial"/>
              </w:rPr>
              <w:t>anhydrous</w:t>
            </w:r>
          </w:p>
        </w:tc>
        <w:tc>
          <w:tcPr>
            <w:tcW w:w="1739" w:type="dxa"/>
            <w:shd w:val="clear" w:color="auto" w:fill="auto"/>
          </w:tcPr>
          <w:p w14:paraId="797F044C" w14:textId="77777777" w:rsidR="003C4010" w:rsidRPr="007B38C6" w:rsidRDefault="003C4010" w:rsidP="00420179">
            <w:pPr>
              <w:pStyle w:val="TableParagraph"/>
              <w:spacing w:before="121"/>
              <w:ind w:left="105"/>
              <w:rPr>
                <w:rFonts w:ascii="Arial" w:hAnsi="Arial" w:cs="Arial"/>
              </w:rPr>
            </w:pPr>
            <w:r w:rsidRPr="007B38C6">
              <w:rPr>
                <w:rFonts w:ascii="Arial" w:hAnsi="Arial" w:cs="Arial"/>
              </w:rPr>
              <w:t>6%</w:t>
            </w:r>
          </w:p>
        </w:tc>
      </w:tr>
      <w:tr w:rsidR="003C4010" w:rsidRPr="00F57B6F" w14:paraId="0AEC5D9C" w14:textId="77777777" w:rsidTr="00F5642D">
        <w:trPr>
          <w:trHeight w:val="1074"/>
        </w:trPr>
        <w:tc>
          <w:tcPr>
            <w:tcW w:w="2693" w:type="dxa"/>
            <w:shd w:val="clear" w:color="auto" w:fill="E7E6E6"/>
          </w:tcPr>
          <w:p w14:paraId="37D85EC7" w14:textId="77777777" w:rsidR="003C4010" w:rsidRPr="007B38C6" w:rsidRDefault="003C4010" w:rsidP="00420179">
            <w:pPr>
              <w:pStyle w:val="TableParagraph"/>
              <w:spacing w:before="121"/>
              <w:ind w:right="323"/>
              <w:rPr>
                <w:rFonts w:ascii="Arial" w:hAnsi="Arial" w:cs="Arial"/>
              </w:rPr>
            </w:pPr>
            <w:r w:rsidRPr="007B38C6">
              <w:rPr>
                <w:rFonts w:ascii="Arial" w:hAnsi="Arial" w:cs="Arial"/>
              </w:rPr>
              <w:t>diethylamino</w:t>
            </w:r>
            <w:r w:rsidRPr="007B38C6">
              <w:rPr>
                <w:rFonts w:ascii="Arial" w:hAnsi="Arial" w:cs="Arial"/>
                <w:spacing w:val="1"/>
              </w:rPr>
              <w:t xml:space="preserve"> </w:t>
            </w:r>
            <w:proofErr w:type="spellStart"/>
            <w:r w:rsidRPr="007B38C6">
              <w:rPr>
                <w:rFonts w:ascii="Arial" w:hAnsi="Arial" w:cs="Arial"/>
              </w:rPr>
              <w:t>hydroxybenzoyl</w:t>
            </w:r>
            <w:proofErr w:type="spellEnd"/>
            <w:r w:rsidRPr="007B38C6">
              <w:rPr>
                <w:rFonts w:ascii="Arial" w:hAnsi="Arial" w:cs="Arial"/>
              </w:rPr>
              <w:t xml:space="preserve"> hexyl</w:t>
            </w:r>
            <w:r w:rsidRPr="007B38C6">
              <w:rPr>
                <w:rFonts w:ascii="Arial" w:hAnsi="Arial" w:cs="Arial"/>
                <w:spacing w:val="-46"/>
              </w:rPr>
              <w:t xml:space="preserve"> </w:t>
            </w:r>
            <w:r w:rsidRPr="007B38C6">
              <w:rPr>
                <w:rFonts w:ascii="Arial" w:hAnsi="Arial" w:cs="Arial"/>
              </w:rPr>
              <w:t>benzoate</w:t>
            </w:r>
          </w:p>
        </w:tc>
        <w:tc>
          <w:tcPr>
            <w:tcW w:w="1418" w:type="dxa"/>
          </w:tcPr>
          <w:p w14:paraId="02B8C087" w14:textId="77777777" w:rsidR="003C4010" w:rsidRPr="007B38C6" w:rsidRDefault="003C4010" w:rsidP="00420179">
            <w:pPr>
              <w:pStyle w:val="TableParagraph"/>
              <w:spacing w:before="121"/>
              <w:rPr>
                <w:rFonts w:ascii="Arial" w:hAnsi="Arial" w:cs="Arial"/>
              </w:rPr>
            </w:pPr>
            <w:r w:rsidRPr="007B38C6">
              <w:rPr>
                <w:rFonts w:ascii="Arial" w:hAnsi="Arial" w:cs="Arial"/>
              </w:rPr>
              <w:t>302776-68-7</w:t>
            </w:r>
          </w:p>
        </w:tc>
        <w:tc>
          <w:tcPr>
            <w:tcW w:w="3260" w:type="dxa"/>
          </w:tcPr>
          <w:p w14:paraId="04BEB26B" w14:textId="77777777" w:rsidR="003C4010" w:rsidRPr="007B38C6" w:rsidRDefault="003C4010" w:rsidP="00420179">
            <w:pPr>
              <w:pStyle w:val="TableParagraph"/>
              <w:spacing w:before="0"/>
              <w:ind w:left="0"/>
              <w:rPr>
                <w:rFonts w:ascii="Arial" w:hAnsi="Arial" w:cs="Arial"/>
              </w:rPr>
            </w:pPr>
          </w:p>
        </w:tc>
        <w:tc>
          <w:tcPr>
            <w:tcW w:w="1739" w:type="dxa"/>
            <w:shd w:val="clear" w:color="auto" w:fill="auto"/>
          </w:tcPr>
          <w:p w14:paraId="22CF6F45" w14:textId="77777777" w:rsidR="003C4010" w:rsidRPr="007B38C6" w:rsidRDefault="003C4010" w:rsidP="00420179">
            <w:pPr>
              <w:pStyle w:val="TableParagraph"/>
              <w:spacing w:before="121"/>
              <w:ind w:left="106"/>
              <w:rPr>
                <w:rFonts w:ascii="Arial" w:hAnsi="Arial" w:cs="Arial"/>
              </w:rPr>
            </w:pPr>
            <w:r w:rsidRPr="007B38C6">
              <w:rPr>
                <w:rFonts w:ascii="Arial" w:hAnsi="Arial" w:cs="Arial"/>
              </w:rPr>
              <w:t>10%</w:t>
            </w:r>
          </w:p>
        </w:tc>
      </w:tr>
      <w:tr w:rsidR="003C4010" w:rsidRPr="00F57B6F" w14:paraId="6E86C837" w14:textId="77777777" w:rsidTr="00F5642D">
        <w:trPr>
          <w:trHeight w:val="558"/>
        </w:trPr>
        <w:tc>
          <w:tcPr>
            <w:tcW w:w="2693" w:type="dxa"/>
            <w:shd w:val="clear" w:color="auto" w:fill="E7E6E6"/>
          </w:tcPr>
          <w:p w14:paraId="28CFF311" w14:textId="77777777" w:rsidR="003C4010" w:rsidRPr="007B38C6" w:rsidRDefault="003C4010" w:rsidP="00420179">
            <w:pPr>
              <w:pStyle w:val="TableParagraph"/>
              <w:rPr>
                <w:rFonts w:ascii="Arial" w:hAnsi="Arial" w:cs="Arial"/>
              </w:rPr>
            </w:pPr>
            <w:proofErr w:type="spellStart"/>
            <w:r w:rsidRPr="007B38C6">
              <w:rPr>
                <w:rFonts w:ascii="Arial" w:hAnsi="Arial" w:cs="Arial"/>
              </w:rPr>
              <w:t>dioxybenzone</w:t>
            </w:r>
            <w:proofErr w:type="spellEnd"/>
          </w:p>
        </w:tc>
        <w:tc>
          <w:tcPr>
            <w:tcW w:w="1418" w:type="dxa"/>
          </w:tcPr>
          <w:p w14:paraId="4CAC96A6" w14:textId="77777777" w:rsidR="003C4010" w:rsidRPr="007B38C6" w:rsidRDefault="003C4010" w:rsidP="00420179">
            <w:pPr>
              <w:pStyle w:val="TableParagraph"/>
              <w:rPr>
                <w:rFonts w:ascii="Arial" w:hAnsi="Arial" w:cs="Arial"/>
              </w:rPr>
            </w:pPr>
            <w:r w:rsidRPr="007B38C6">
              <w:rPr>
                <w:rFonts w:ascii="Arial" w:hAnsi="Arial" w:cs="Arial"/>
              </w:rPr>
              <w:t>131-53-3</w:t>
            </w:r>
          </w:p>
        </w:tc>
        <w:tc>
          <w:tcPr>
            <w:tcW w:w="3260" w:type="dxa"/>
          </w:tcPr>
          <w:p w14:paraId="141C3ABB" w14:textId="77777777" w:rsidR="003C4010" w:rsidRPr="007B38C6" w:rsidRDefault="003C4010" w:rsidP="00420179">
            <w:pPr>
              <w:pStyle w:val="TableParagraph"/>
              <w:ind w:left="106"/>
              <w:rPr>
                <w:rFonts w:ascii="Arial" w:hAnsi="Arial" w:cs="Arial"/>
              </w:rPr>
            </w:pPr>
            <w:r w:rsidRPr="007B38C6">
              <w:rPr>
                <w:rFonts w:ascii="Arial" w:hAnsi="Arial" w:cs="Arial"/>
              </w:rPr>
              <w:t>benzophenone</w:t>
            </w:r>
            <w:r w:rsidRPr="007B38C6">
              <w:rPr>
                <w:rFonts w:ascii="Arial" w:hAnsi="Arial" w:cs="Arial"/>
                <w:spacing w:val="-2"/>
              </w:rPr>
              <w:t xml:space="preserve"> </w:t>
            </w:r>
            <w:r w:rsidRPr="007B38C6">
              <w:rPr>
                <w:rFonts w:ascii="Arial" w:hAnsi="Arial" w:cs="Arial"/>
              </w:rPr>
              <w:t>8</w:t>
            </w:r>
          </w:p>
        </w:tc>
        <w:tc>
          <w:tcPr>
            <w:tcW w:w="1739" w:type="dxa"/>
            <w:shd w:val="clear" w:color="auto" w:fill="auto"/>
          </w:tcPr>
          <w:p w14:paraId="1A05E09E" w14:textId="77777777" w:rsidR="003C4010" w:rsidRPr="007B38C6" w:rsidRDefault="003C4010" w:rsidP="00420179">
            <w:pPr>
              <w:pStyle w:val="TableParagraph"/>
              <w:ind w:left="106"/>
              <w:rPr>
                <w:rFonts w:ascii="Arial" w:hAnsi="Arial" w:cs="Arial"/>
              </w:rPr>
            </w:pPr>
            <w:r w:rsidRPr="007B38C6">
              <w:rPr>
                <w:rFonts w:ascii="Arial" w:hAnsi="Arial" w:cs="Arial"/>
              </w:rPr>
              <w:t>3%</w:t>
            </w:r>
            <w:r w:rsidRPr="007B38C6">
              <w:rPr>
                <w:rFonts w:ascii="Arial" w:hAnsi="Arial" w:cs="Arial"/>
              </w:rPr>
              <w:tab/>
            </w:r>
          </w:p>
        </w:tc>
      </w:tr>
      <w:tr w:rsidR="003C4010" w:rsidRPr="00F57B6F" w14:paraId="4430F7A4" w14:textId="77777777" w:rsidTr="00F5642D">
        <w:trPr>
          <w:trHeight w:val="1331"/>
        </w:trPr>
        <w:tc>
          <w:tcPr>
            <w:tcW w:w="2693" w:type="dxa"/>
            <w:shd w:val="clear" w:color="auto" w:fill="E7E6E6"/>
          </w:tcPr>
          <w:p w14:paraId="43BBD65F" w14:textId="77777777" w:rsidR="003C4010" w:rsidRPr="007B38C6" w:rsidRDefault="003C4010" w:rsidP="00420179">
            <w:pPr>
              <w:pStyle w:val="TableParagraph"/>
              <w:ind w:right="835"/>
              <w:jc w:val="both"/>
              <w:rPr>
                <w:rFonts w:ascii="Arial" w:hAnsi="Arial" w:cs="Arial"/>
              </w:rPr>
            </w:pPr>
            <w:r w:rsidRPr="007B38C6">
              <w:rPr>
                <w:rFonts w:ascii="Arial" w:hAnsi="Arial" w:cs="Arial"/>
              </w:rPr>
              <w:t>disodium phenyl</w:t>
            </w:r>
            <w:r w:rsidRPr="007B38C6">
              <w:rPr>
                <w:rFonts w:ascii="Arial" w:hAnsi="Arial" w:cs="Arial"/>
                <w:spacing w:val="-46"/>
              </w:rPr>
              <w:t xml:space="preserve"> </w:t>
            </w:r>
            <w:r w:rsidRPr="007B38C6">
              <w:rPr>
                <w:rFonts w:ascii="Arial" w:hAnsi="Arial" w:cs="Arial"/>
              </w:rPr>
              <w:t>dibenzimidazole</w:t>
            </w:r>
            <w:r w:rsidRPr="007B38C6">
              <w:rPr>
                <w:rFonts w:ascii="Arial" w:hAnsi="Arial" w:cs="Arial"/>
                <w:spacing w:val="-47"/>
              </w:rPr>
              <w:t xml:space="preserve"> </w:t>
            </w:r>
            <w:proofErr w:type="spellStart"/>
            <w:r w:rsidRPr="007B38C6">
              <w:rPr>
                <w:rFonts w:ascii="Arial" w:hAnsi="Arial" w:cs="Arial"/>
              </w:rPr>
              <w:t>tetrasulfonate</w:t>
            </w:r>
            <w:proofErr w:type="spellEnd"/>
          </w:p>
        </w:tc>
        <w:tc>
          <w:tcPr>
            <w:tcW w:w="1418" w:type="dxa"/>
          </w:tcPr>
          <w:p w14:paraId="181BE609" w14:textId="77777777" w:rsidR="003C4010" w:rsidRPr="007B38C6" w:rsidRDefault="003C4010" w:rsidP="00420179">
            <w:pPr>
              <w:pStyle w:val="TableParagraph"/>
              <w:rPr>
                <w:rFonts w:ascii="Arial" w:hAnsi="Arial" w:cs="Arial"/>
              </w:rPr>
            </w:pPr>
            <w:r w:rsidRPr="007B38C6">
              <w:rPr>
                <w:rFonts w:ascii="Arial" w:hAnsi="Arial" w:cs="Arial"/>
              </w:rPr>
              <w:t>180898-37-7</w:t>
            </w:r>
          </w:p>
        </w:tc>
        <w:tc>
          <w:tcPr>
            <w:tcW w:w="3260" w:type="dxa"/>
            <w:shd w:val="clear" w:color="auto" w:fill="auto"/>
          </w:tcPr>
          <w:p w14:paraId="0154B3DA" w14:textId="77777777" w:rsidR="003C4010" w:rsidRPr="007B38C6" w:rsidRDefault="003C4010" w:rsidP="00420179">
            <w:pPr>
              <w:pStyle w:val="TableParagraph"/>
              <w:ind w:left="106" w:right="95"/>
              <w:rPr>
                <w:rFonts w:ascii="Arial" w:hAnsi="Arial" w:cs="Arial"/>
              </w:rPr>
            </w:pPr>
            <w:r w:rsidRPr="007B38C6">
              <w:rPr>
                <w:rFonts w:ascii="Arial" w:hAnsi="Arial" w:cs="Arial"/>
              </w:rPr>
              <w:t>1H-benzimidazole-4,6-disulfonic</w:t>
            </w:r>
            <w:r w:rsidRPr="007B38C6">
              <w:rPr>
                <w:rFonts w:ascii="Arial" w:hAnsi="Arial" w:cs="Arial"/>
                <w:spacing w:val="-46"/>
              </w:rPr>
              <w:t xml:space="preserve"> </w:t>
            </w:r>
            <w:r w:rsidRPr="007B38C6">
              <w:rPr>
                <w:rFonts w:ascii="Arial" w:hAnsi="Arial" w:cs="Arial"/>
              </w:rPr>
              <w:t>acid, 2,2’-(1,4-</w:t>
            </w:r>
            <w:proofErr w:type="gramStart"/>
            <w:r w:rsidRPr="007B38C6">
              <w:rPr>
                <w:rFonts w:ascii="Arial" w:hAnsi="Arial" w:cs="Arial"/>
              </w:rPr>
              <w:t>phenylene)bis</w:t>
            </w:r>
            <w:proofErr w:type="gramEnd"/>
            <w:r w:rsidRPr="007B38C6">
              <w:rPr>
                <w:rFonts w:ascii="Arial" w:hAnsi="Arial" w:cs="Arial"/>
              </w:rPr>
              <w:t>-,</w:t>
            </w:r>
            <w:r w:rsidRPr="007B38C6">
              <w:rPr>
                <w:rFonts w:ascii="Arial" w:hAnsi="Arial" w:cs="Arial"/>
                <w:spacing w:val="1"/>
              </w:rPr>
              <w:t xml:space="preserve"> </w:t>
            </w:r>
            <w:r w:rsidRPr="007B38C6">
              <w:rPr>
                <w:rFonts w:ascii="Arial" w:hAnsi="Arial" w:cs="Arial"/>
              </w:rPr>
              <w:t>disodium</w:t>
            </w:r>
            <w:r w:rsidRPr="007B38C6">
              <w:rPr>
                <w:rFonts w:ascii="Arial" w:hAnsi="Arial" w:cs="Arial"/>
                <w:spacing w:val="-2"/>
              </w:rPr>
              <w:t xml:space="preserve"> </w:t>
            </w:r>
            <w:r w:rsidRPr="007B38C6">
              <w:rPr>
                <w:rFonts w:ascii="Arial" w:hAnsi="Arial" w:cs="Arial"/>
              </w:rPr>
              <w:t>salt</w:t>
            </w:r>
          </w:p>
          <w:p w14:paraId="298457BC" w14:textId="77777777" w:rsidR="003C4010" w:rsidRPr="007B38C6" w:rsidRDefault="003C4010" w:rsidP="00420179">
            <w:pPr>
              <w:pStyle w:val="TableParagraph"/>
              <w:spacing w:before="0" w:line="257" w:lineRule="exact"/>
              <w:ind w:left="106"/>
              <w:rPr>
                <w:rFonts w:ascii="Arial" w:hAnsi="Arial" w:cs="Arial"/>
              </w:rPr>
            </w:pPr>
            <w:proofErr w:type="spellStart"/>
            <w:r w:rsidRPr="007B38C6">
              <w:rPr>
                <w:rFonts w:ascii="Arial" w:hAnsi="Arial" w:cs="Arial"/>
              </w:rPr>
              <w:t>bisimidazylate</w:t>
            </w:r>
            <w:proofErr w:type="spellEnd"/>
          </w:p>
        </w:tc>
        <w:tc>
          <w:tcPr>
            <w:tcW w:w="1739" w:type="dxa"/>
            <w:shd w:val="clear" w:color="auto" w:fill="auto"/>
          </w:tcPr>
          <w:p w14:paraId="5526A136" w14:textId="77777777" w:rsidR="003C4010" w:rsidRPr="007B38C6" w:rsidRDefault="003C4010" w:rsidP="00420179">
            <w:pPr>
              <w:pStyle w:val="TableParagraph"/>
              <w:ind w:left="105"/>
              <w:rPr>
                <w:rFonts w:ascii="Arial" w:hAnsi="Arial" w:cs="Arial"/>
              </w:rPr>
            </w:pPr>
            <w:r w:rsidRPr="007B38C6">
              <w:rPr>
                <w:rFonts w:ascii="Arial" w:hAnsi="Arial" w:cs="Arial"/>
              </w:rPr>
              <w:t>10%</w:t>
            </w:r>
          </w:p>
          <w:p w14:paraId="460378C2" w14:textId="77777777" w:rsidR="003C4010" w:rsidRPr="007B38C6" w:rsidRDefault="003C4010" w:rsidP="00420179">
            <w:pPr>
              <w:pStyle w:val="TableParagraph"/>
              <w:ind w:left="105"/>
              <w:rPr>
                <w:rFonts w:ascii="Arial" w:hAnsi="Arial" w:cs="Arial"/>
              </w:rPr>
            </w:pPr>
          </w:p>
          <w:p w14:paraId="0E3C8E6F" w14:textId="77777777" w:rsidR="003C4010" w:rsidRPr="007B38C6" w:rsidRDefault="003C4010" w:rsidP="00420179">
            <w:pPr>
              <w:pStyle w:val="TableParagraph"/>
              <w:ind w:left="105"/>
              <w:rPr>
                <w:rFonts w:ascii="Arial" w:hAnsi="Arial" w:cs="Arial"/>
              </w:rPr>
            </w:pPr>
          </w:p>
        </w:tc>
      </w:tr>
      <w:tr w:rsidR="003C4010" w:rsidRPr="00F57B6F" w14:paraId="6D49D8BF" w14:textId="77777777" w:rsidTr="00F5642D">
        <w:trPr>
          <w:trHeight w:val="558"/>
        </w:trPr>
        <w:tc>
          <w:tcPr>
            <w:tcW w:w="2693" w:type="dxa"/>
            <w:shd w:val="clear" w:color="auto" w:fill="E7E6E6"/>
          </w:tcPr>
          <w:p w14:paraId="259914B7" w14:textId="77777777" w:rsidR="003C4010" w:rsidRPr="007B38C6" w:rsidRDefault="003C4010" w:rsidP="00420179">
            <w:pPr>
              <w:pStyle w:val="TableParagraph"/>
              <w:rPr>
                <w:rFonts w:ascii="Arial" w:hAnsi="Arial" w:cs="Arial"/>
              </w:rPr>
            </w:pPr>
            <w:r w:rsidRPr="007B38C6">
              <w:rPr>
                <w:rFonts w:ascii="Arial" w:hAnsi="Arial" w:cs="Arial"/>
              </w:rPr>
              <w:t>drometrizole</w:t>
            </w:r>
            <w:r w:rsidRPr="007B38C6">
              <w:rPr>
                <w:rFonts w:ascii="Arial" w:hAnsi="Arial" w:cs="Arial"/>
                <w:spacing w:val="-4"/>
              </w:rPr>
              <w:t xml:space="preserve"> </w:t>
            </w:r>
            <w:proofErr w:type="spellStart"/>
            <w:r w:rsidRPr="007B38C6">
              <w:rPr>
                <w:rFonts w:ascii="Arial" w:hAnsi="Arial" w:cs="Arial"/>
              </w:rPr>
              <w:t>trisiloxane</w:t>
            </w:r>
            <w:proofErr w:type="spellEnd"/>
          </w:p>
        </w:tc>
        <w:tc>
          <w:tcPr>
            <w:tcW w:w="1418" w:type="dxa"/>
          </w:tcPr>
          <w:p w14:paraId="7CBC648D" w14:textId="77777777" w:rsidR="003C4010" w:rsidRPr="007B38C6" w:rsidRDefault="003C4010" w:rsidP="00420179">
            <w:pPr>
              <w:pStyle w:val="TableParagraph"/>
              <w:rPr>
                <w:rFonts w:ascii="Arial" w:hAnsi="Arial" w:cs="Arial"/>
              </w:rPr>
            </w:pPr>
            <w:r w:rsidRPr="007B38C6">
              <w:rPr>
                <w:rFonts w:ascii="Arial" w:hAnsi="Arial" w:cs="Arial"/>
              </w:rPr>
              <w:t>155633-54-8</w:t>
            </w:r>
          </w:p>
        </w:tc>
        <w:tc>
          <w:tcPr>
            <w:tcW w:w="3260" w:type="dxa"/>
            <w:shd w:val="clear" w:color="auto" w:fill="auto"/>
          </w:tcPr>
          <w:p w14:paraId="626A7EA4" w14:textId="77777777" w:rsidR="003C4010" w:rsidRPr="007B38C6" w:rsidRDefault="003C4010" w:rsidP="00420179">
            <w:pPr>
              <w:pStyle w:val="TableParagraph"/>
              <w:spacing w:before="0"/>
              <w:ind w:left="0"/>
              <w:rPr>
                <w:rFonts w:ascii="Arial" w:hAnsi="Arial" w:cs="Arial"/>
              </w:rPr>
            </w:pPr>
          </w:p>
        </w:tc>
        <w:tc>
          <w:tcPr>
            <w:tcW w:w="1739" w:type="dxa"/>
            <w:shd w:val="clear" w:color="auto" w:fill="auto"/>
          </w:tcPr>
          <w:p w14:paraId="2A893884" w14:textId="77777777" w:rsidR="003C4010" w:rsidRPr="007B38C6" w:rsidRDefault="003C4010" w:rsidP="00420179">
            <w:pPr>
              <w:pStyle w:val="TableParagraph"/>
              <w:ind w:left="106"/>
              <w:rPr>
                <w:rFonts w:ascii="Arial" w:hAnsi="Arial" w:cs="Arial"/>
              </w:rPr>
            </w:pPr>
            <w:r w:rsidRPr="007B38C6">
              <w:rPr>
                <w:rFonts w:ascii="Arial" w:hAnsi="Arial" w:cs="Arial"/>
              </w:rPr>
              <w:t>10%</w:t>
            </w:r>
          </w:p>
        </w:tc>
      </w:tr>
      <w:tr w:rsidR="003C4010" w:rsidRPr="00F57B6F" w14:paraId="7C665879" w14:textId="77777777" w:rsidTr="00F5642D">
        <w:trPr>
          <w:trHeight w:val="815"/>
        </w:trPr>
        <w:tc>
          <w:tcPr>
            <w:tcW w:w="2693" w:type="dxa"/>
            <w:shd w:val="clear" w:color="auto" w:fill="E7E6E6"/>
          </w:tcPr>
          <w:p w14:paraId="450D0B73" w14:textId="77777777" w:rsidR="003C4010" w:rsidRPr="007B38C6" w:rsidRDefault="003C4010" w:rsidP="00420179">
            <w:pPr>
              <w:pStyle w:val="TableParagraph"/>
              <w:rPr>
                <w:rFonts w:ascii="Arial" w:hAnsi="Arial" w:cs="Arial"/>
              </w:rPr>
            </w:pPr>
            <w:proofErr w:type="spellStart"/>
            <w:r w:rsidRPr="007B38C6">
              <w:rPr>
                <w:rFonts w:ascii="Arial" w:hAnsi="Arial" w:cs="Arial"/>
              </w:rPr>
              <w:t>ecamsule</w:t>
            </w:r>
            <w:proofErr w:type="spellEnd"/>
          </w:p>
        </w:tc>
        <w:tc>
          <w:tcPr>
            <w:tcW w:w="1418" w:type="dxa"/>
          </w:tcPr>
          <w:p w14:paraId="207D228E" w14:textId="77777777" w:rsidR="003C4010" w:rsidRPr="007B38C6" w:rsidRDefault="003C4010" w:rsidP="00420179">
            <w:pPr>
              <w:pStyle w:val="TableParagraph"/>
              <w:rPr>
                <w:rFonts w:ascii="Arial" w:hAnsi="Arial" w:cs="Arial"/>
              </w:rPr>
            </w:pPr>
            <w:r w:rsidRPr="007B38C6">
              <w:rPr>
                <w:rFonts w:ascii="Arial" w:hAnsi="Arial" w:cs="Arial"/>
              </w:rPr>
              <w:t>90457-82-2</w:t>
            </w:r>
          </w:p>
        </w:tc>
        <w:tc>
          <w:tcPr>
            <w:tcW w:w="3260" w:type="dxa"/>
            <w:shd w:val="clear" w:color="auto" w:fill="auto"/>
          </w:tcPr>
          <w:p w14:paraId="7BA36B03" w14:textId="77777777" w:rsidR="003C4010" w:rsidRPr="007B38C6" w:rsidRDefault="003C4010" w:rsidP="00420179">
            <w:pPr>
              <w:pStyle w:val="TableParagraph"/>
              <w:ind w:left="106" w:right="420"/>
              <w:rPr>
                <w:rFonts w:ascii="Arial" w:hAnsi="Arial" w:cs="Arial"/>
              </w:rPr>
            </w:pPr>
            <w:proofErr w:type="spellStart"/>
            <w:r w:rsidRPr="007B38C6">
              <w:rPr>
                <w:rFonts w:ascii="Arial" w:hAnsi="Arial" w:cs="Arial"/>
              </w:rPr>
              <w:t>terephthalylidene</w:t>
            </w:r>
            <w:proofErr w:type="spellEnd"/>
            <w:r w:rsidRPr="007B38C6">
              <w:rPr>
                <w:rFonts w:ascii="Arial" w:hAnsi="Arial" w:cs="Arial"/>
              </w:rPr>
              <w:t xml:space="preserve"> </w:t>
            </w:r>
            <w:proofErr w:type="spellStart"/>
            <w:r w:rsidRPr="007B38C6">
              <w:rPr>
                <w:rFonts w:ascii="Arial" w:hAnsi="Arial" w:cs="Arial"/>
              </w:rPr>
              <w:t>dicamphor</w:t>
            </w:r>
            <w:proofErr w:type="spellEnd"/>
            <w:r w:rsidRPr="007B38C6">
              <w:rPr>
                <w:rFonts w:ascii="Arial" w:hAnsi="Arial" w:cs="Arial"/>
                <w:spacing w:val="-46"/>
              </w:rPr>
              <w:t xml:space="preserve"> </w:t>
            </w:r>
            <w:r w:rsidRPr="007B38C6">
              <w:rPr>
                <w:rFonts w:ascii="Arial" w:hAnsi="Arial" w:cs="Arial"/>
              </w:rPr>
              <w:t>sulfonic</w:t>
            </w:r>
            <w:r w:rsidRPr="007B38C6">
              <w:rPr>
                <w:rFonts w:ascii="Arial" w:hAnsi="Arial" w:cs="Arial"/>
                <w:spacing w:val="-1"/>
              </w:rPr>
              <w:t xml:space="preserve"> </w:t>
            </w:r>
            <w:r w:rsidRPr="007B38C6">
              <w:rPr>
                <w:rFonts w:ascii="Arial" w:hAnsi="Arial" w:cs="Arial"/>
              </w:rPr>
              <w:t>acid</w:t>
            </w:r>
          </w:p>
        </w:tc>
        <w:tc>
          <w:tcPr>
            <w:tcW w:w="1739" w:type="dxa"/>
            <w:shd w:val="clear" w:color="auto" w:fill="auto"/>
          </w:tcPr>
          <w:p w14:paraId="474D5297" w14:textId="77777777" w:rsidR="003C4010" w:rsidRPr="007B38C6" w:rsidRDefault="003C4010" w:rsidP="00420179">
            <w:pPr>
              <w:pStyle w:val="TableParagraph"/>
              <w:ind w:left="106"/>
              <w:rPr>
                <w:rFonts w:ascii="Arial" w:hAnsi="Arial" w:cs="Arial"/>
              </w:rPr>
            </w:pPr>
            <w:r w:rsidRPr="007B38C6">
              <w:rPr>
                <w:rFonts w:ascii="Arial" w:hAnsi="Arial" w:cs="Arial"/>
              </w:rPr>
              <w:t>10%</w:t>
            </w:r>
          </w:p>
        </w:tc>
      </w:tr>
      <w:tr w:rsidR="003C4010" w:rsidRPr="00F57B6F" w14:paraId="23CF2F43" w14:textId="77777777" w:rsidTr="00F5642D">
        <w:trPr>
          <w:trHeight w:val="558"/>
        </w:trPr>
        <w:tc>
          <w:tcPr>
            <w:tcW w:w="2693" w:type="dxa"/>
            <w:shd w:val="clear" w:color="auto" w:fill="E7E6E6"/>
          </w:tcPr>
          <w:p w14:paraId="7D5D1031" w14:textId="77777777" w:rsidR="003C4010" w:rsidRPr="007B38C6" w:rsidRDefault="003C4010" w:rsidP="00420179">
            <w:pPr>
              <w:pStyle w:val="TableParagraph"/>
              <w:rPr>
                <w:rFonts w:ascii="Arial" w:hAnsi="Arial" w:cs="Arial"/>
              </w:rPr>
            </w:pPr>
            <w:proofErr w:type="spellStart"/>
            <w:r w:rsidRPr="007B38C6">
              <w:rPr>
                <w:rFonts w:ascii="Arial" w:hAnsi="Arial" w:cs="Arial"/>
              </w:rPr>
              <w:t>ethylhexyl</w:t>
            </w:r>
            <w:proofErr w:type="spellEnd"/>
            <w:r w:rsidRPr="007B38C6">
              <w:rPr>
                <w:rFonts w:ascii="Arial" w:hAnsi="Arial" w:cs="Arial"/>
                <w:spacing w:val="-3"/>
              </w:rPr>
              <w:t xml:space="preserve"> </w:t>
            </w:r>
            <w:proofErr w:type="spellStart"/>
            <w:r w:rsidRPr="007B38C6">
              <w:rPr>
                <w:rFonts w:ascii="Arial" w:hAnsi="Arial" w:cs="Arial"/>
              </w:rPr>
              <w:t>triazone</w:t>
            </w:r>
            <w:proofErr w:type="spellEnd"/>
          </w:p>
        </w:tc>
        <w:tc>
          <w:tcPr>
            <w:tcW w:w="1418" w:type="dxa"/>
          </w:tcPr>
          <w:p w14:paraId="764319EA" w14:textId="77777777" w:rsidR="003C4010" w:rsidRPr="007B38C6" w:rsidRDefault="003C4010" w:rsidP="00420179">
            <w:pPr>
              <w:pStyle w:val="TableParagraph"/>
              <w:rPr>
                <w:rFonts w:ascii="Arial" w:hAnsi="Arial" w:cs="Arial"/>
              </w:rPr>
            </w:pPr>
            <w:r w:rsidRPr="007B38C6">
              <w:rPr>
                <w:rFonts w:ascii="Arial" w:hAnsi="Arial" w:cs="Arial"/>
              </w:rPr>
              <w:t>88122-99-0</w:t>
            </w:r>
          </w:p>
        </w:tc>
        <w:tc>
          <w:tcPr>
            <w:tcW w:w="3260" w:type="dxa"/>
            <w:shd w:val="clear" w:color="auto" w:fill="auto"/>
          </w:tcPr>
          <w:p w14:paraId="0746186D" w14:textId="77777777" w:rsidR="003C4010" w:rsidRPr="007B38C6" w:rsidRDefault="003C4010" w:rsidP="00420179">
            <w:pPr>
              <w:pStyle w:val="TableParagraph"/>
              <w:ind w:left="106"/>
              <w:rPr>
                <w:rFonts w:ascii="Arial" w:hAnsi="Arial" w:cs="Arial"/>
              </w:rPr>
            </w:pPr>
            <w:r w:rsidRPr="007B38C6">
              <w:rPr>
                <w:rFonts w:ascii="Arial" w:hAnsi="Arial" w:cs="Arial"/>
              </w:rPr>
              <w:t>octyl</w:t>
            </w:r>
            <w:r w:rsidRPr="007B38C6">
              <w:rPr>
                <w:rFonts w:ascii="Arial" w:hAnsi="Arial" w:cs="Arial"/>
                <w:spacing w:val="-2"/>
              </w:rPr>
              <w:t xml:space="preserve"> </w:t>
            </w:r>
            <w:proofErr w:type="spellStart"/>
            <w:r w:rsidRPr="007B38C6">
              <w:rPr>
                <w:rFonts w:ascii="Arial" w:hAnsi="Arial" w:cs="Arial"/>
              </w:rPr>
              <w:t>triazone</w:t>
            </w:r>
            <w:proofErr w:type="spellEnd"/>
          </w:p>
        </w:tc>
        <w:tc>
          <w:tcPr>
            <w:tcW w:w="1739" w:type="dxa"/>
            <w:shd w:val="clear" w:color="auto" w:fill="auto"/>
          </w:tcPr>
          <w:p w14:paraId="2723CF29" w14:textId="77777777" w:rsidR="003C4010" w:rsidRPr="007B38C6" w:rsidRDefault="003C4010" w:rsidP="00420179">
            <w:pPr>
              <w:pStyle w:val="TableParagraph"/>
              <w:ind w:left="106"/>
              <w:rPr>
                <w:rFonts w:ascii="Arial" w:hAnsi="Arial" w:cs="Arial"/>
              </w:rPr>
            </w:pPr>
            <w:r w:rsidRPr="007B38C6">
              <w:rPr>
                <w:rFonts w:ascii="Arial" w:hAnsi="Arial" w:cs="Arial"/>
              </w:rPr>
              <w:t>5%</w:t>
            </w:r>
          </w:p>
        </w:tc>
      </w:tr>
      <w:tr w:rsidR="003C4010" w:rsidRPr="00F57B6F" w14:paraId="614F5002" w14:textId="77777777" w:rsidTr="00F5642D">
        <w:trPr>
          <w:trHeight w:val="558"/>
        </w:trPr>
        <w:tc>
          <w:tcPr>
            <w:tcW w:w="2693" w:type="dxa"/>
            <w:shd w:val="clear" w:color="auto" w:fill="E7E6E6"/>
          </w:tcPr>
          <w:p w14:paraId="5E54EF3C" w14:textId="77777777" w:rsidR="003C4010" w:rsidRPr="007B38C6" w:rsidRDefault="003C4010" w:rsidP="00420179">
            <w:pPr>
              <w:pStyle w:val="TableParagraph"/>
              <w:rPr>
                <w:rFonts w:ascii="Arial" w:hAnsi="Arial" w:cs="Arial"/>
              </w:rPr>
            </w:pPr>
            <w:proofErr w:type="spellStart"/>
            <w:r w:rsidRPr="007B38C6">
              <w:rPr>
                <w:rFonts w:ascii="Arial" w:hAnsi="Arial" w:cs="Arial"/>
              </w:rPr>
              <w:t>homosalate</w:t>
            </w:r>
            <w:proofErr w:type="spellEnd"/>
          </w:p>
        </w:tc>
        <w:tc>
          <w:tcPr>
            <w:tcW w:w="1418" w:type="dxa"/>
          </w:tcPr>
          <w:p w14:paraId="7B6ABF17" w14:textId="77777777" w:rsidR="003C4010" w:rsidRPr="007B38C6" w:rsidRDefault="003C4010" w:rsidP="00420179">
            <w:pPr>
              <w:pStyle w:val="TableParagraph"/>
              <w:rPr>
                <w:rFonts w:ascii="Arial" w:hAnsi="Arial" w:cs="Arial"/>
              </w:rPr>
            </w:pPr>
            <w:r w:rsidRPr="007B38C6">
              <w:rPr>
                <w:rFonts w:ascii="Arial" w:hAnsi="Arial" w:cs="Arial"/>
              </w:rPr>
              <w:t>118-56-9</w:t>
            </w:r>
          </w:p>
        </w:tc>
        <w:tc>
          <w:tcPr>
            <w:tcW w:w="3260" w:type="dxa"/>
            <w:shd w:val="clear" w:color="auto" w:fill="auto"/>
          </w:tcPr>
          <w:p w14:paraId="4931BD95" w14:textId="77777777" w:rsidR="003C4010" w:rsidRPr="007B38C6" w:rsidRDefault="003C4010" w:rsidP="00420179">
            <w:pPr>
              <w:pStyle w:val="TableParagraph"/>
              <w:ind w:left="106"/>
              <w:rPr>
                <w:rFonts w:ascii="Arial" w:hAnsi="Arial" w:cs="Arial"/>
              </w:rPr>
            </w:pPr>
            <w:proofErr w:type="spellStart"/>
            <w:r w:rsidRPr="007B38C6">
              <w:rPr>
                <w:rFonts w:ascii="Arial" w:hAnsi="Arial" w:cs="Arial"/>
              </w:rPr>
              <w:t>homomethyl</w:t>
            </w:r>
            <w:proofErr w:type="spellEnd"/>
            <w:r w:rsidRPr="007B38C6">
              <w:rPr>
                <w:rFonts w:ascii="Arial" w:hAnsi="Arial" w:cs="Arial"/>
                <w:spacing w:val="-3"/>
              </w:rPr>
              <w:t xml:space="preserve"> </w:t>
            </w:r>
            <w:r w:rsidRPr="007B38C6">
              <w:rPr>
                <w:rFonts w:ascii="Arial" w:hAnsi="Arial" w:cs="Arial"/>
              </w:rPr>
              <w:t>salicylate</w:t>
            </w:r>
          </w:p>
        </w:tc>
        <w:tc>
          <w:tcPr>
            <w:tcW w:w="1739" w:type="dxa"/>
            <w:shd w:val="clear" w:color="auto" w:fill="auto"/>
          </w:tcPr>
          <w:p w14:paraId="1442CA15" w14:textId="77777777" w:rsidR="003C4010" w:rsidRPr="007B38C6" w:rsidRDefault="003C4010" w:rsidP="00420179">
            <w:pPr>
              <w:pStyle w:val="TableParagraph"/>
              <w:ind w:left="106"/>
              <w:rPr>
                <w:rFonts w:ascii="Arial" w:hAnsi="Arial" w:cs="Arial"/>
              </w:rPr>
            </w:pPr>
            <w:r w:rsidRPr="007B38C6">
              <w:rPr>
                <w:rFonts w:ascii="Arial" w:hAnsi="Arial" w:cs="Arial"/>
              </w:rPr>
              <w:t>15%</w:t>
            </w:r>
          </w:p>
        </w:tc>
      </w:tr>
      <w:tr w:rsidR="003C4010" w:rsidRPr="00F57B6F" w14:paraId="11EA6BE7" w14:textId="77777777" w:rsidTr="00F5642D">
        <w:trPr>
          <w:trHeight w:val="1071"/>
        </w:trPr>
        <w:tc>
          <w:tcPr>
            <w:tcW w:w="2693" w:type="dxa"/>
            <w:shd w:val="clear" w:color="auto" w:fill="E7E6E6"/>
          </w:tcPr>
          <w:p w14:paraId="3ABD4866" w14:textId="77777777" w:rsidR="003C4010" w:rsidRPr="007B38C6" w:rsidRDefault="003C4010" w:rsidP="00420179">
            <w:pPr>
              <w:pStyle w:val="TableParagraph"/>
              <w:ind w:right="591"/>
              <w:rPr>
                <w:rFonts w:ascii="Arial" w:hAnsi="Arial" w:cs="Arial"/>
              </w:rPr>
            </w:pPr>
            <w:r w:rsidRPr="007B38C6">
              <w:rPr>
                <w:rFonts w:ascii="Arial" w:hAnsi="Arial" w:cs="Arial"/>
              </w:rPr>
              <w:t>isoamyl</w:t>
            </w:r>
            <w:r w:rsidRPr="007B38C6">
              <w:rPr>
                <w:rFonts w:ascii="Arial" w:hAnsi="Arial" w:cs="Arial"/>
                <w:spacing w:val="1"/>
              </w:rPr>
              <w:t xml:space="preserve"> </w:t>
            </w:r>
            <w:r w:rsidRPr="007B38C6">
              <w:rPr>
                <w:rFonts w:ascii="Arial" w:hAnsi="Arial" w:cs="Arial"/>
              </w:rPr>
              <w:t>methoxycinnamate</w:t>
            </w:r>
          </w:p>
        </w:tc>
        <w:tc>
          <w:tcPr>
            <w:tcW w:w="1418" w:type="dxa"/>
          </w:tcPr>
          <w:p w14:paraId="0A8F4B92" w14:textId="77777777" w:rsidR="003C4010" w:rsidRPr="007B38C6" w:rsidRDefault="003C4010" w:rsidP="00420179">
            <w:pPr>
              <w:pStyle w:val="TableParagraph"/>
              <w:rPr>
                <w:rFonts w:ascii="Arial" w:hAnsi="Arial" w:cs="Arial"/>
              </w:rPr>
            </w:pPr>
            <w:r w:rsidRPr="007B38C6">
              <w:rPr>
                <w:rFonts w:ascii="Arial" w:hAnsi="Arial" w:cs="Arial"/>
              </w:rPr>
              <w:t>71617-10-2</w:t>
            </w:r>
          </w:p>
        </w:tc>
        <w:tc>
          <w:tcPr>
            <w:tcW w:w="3260" w:type="dxa"/>
            <w:shd w:val="clear" w:color="auto" w:fill="auto"/>
          </w:tcPr>
          <w:p w14:paraId="3652E3B3" w14:textId="26D0A23B" w:rsidR="003C4010" w:rsidRPr="007B38C6" w:rsidRDefault="003C4010" w:rsidP="00C47EC5">
            <w:pPr>
              <w:pStyle w:val="TableParagraph"/>
              <w:ind w:left="106" w:right="420"/>
              <w:rPr>
                <w:rFonts w:ascii="Arial" w:hAnsi="Arial" w:cs="Arial"/>
              </w:rPr>
            </w:pPr>
            <w:proofErr w:type="spellStart"/>
            <w:r w:rsidRPr="007B38C6">
              <w:rPr>
                <w:rFonts w:ascii="Arial" w:hAnsi="Arial" w:cs="Arial"/>
              </w:rPr>
              <w:t>amiloxate</w:t>
            </w:r>
            <w:proofErr w:type="spellEnd"/>
            <w:r w:rsidRPr="00C47EC5">
              <w:rPr>
                <w:rFonts w:ascii="Arial" w:hAnsi="Arial" w:cs="Arial"/>
              </w:rPr>
              <w:t xml:space="preserve"> </w:t>
            </w:r>
            <w:r w:rsidRPr="007B38C6">
              <w:rPr>
                <w:rFonts w:ascii="Arial" w:hAnsi="Arial" w:cs="Arial"/>
              </w:rPr>
              <w:t>isopentenyl-4-</w:t>
            </w:r>
            <w:r w:rsidRPr="00C47EC5">
              <w:rPr>
                <w:rFonts w:ascii="Arial" w:hAnsi="Arial" w:cs="Arial"/>
              </w:rPr>
              <w:t xml:space="preserve"> </w:t>
            </w:r>
            <w:r w:rsidRPr="007B38C6">
              <w:rPr>
                <w:rFonts w:ascii="Arial" w:hAnsi="Arial" w:cs="Arial"/>
              </w:rPr>
              <w:t>methoxycinnama</w:t>
            </w:r>
            <w:r w:rsidR="00C47EC5">
              <w:rPr>
                <w:rFonts w:ascii="Arial" w:hAnsi="Arial" w:cs="Arial"/>
              </w:rPr>
              <w:t>t</w:t>
            </w:r>
            <w:r w:rsidRPr="007B38C6">
              <w:rPr>
                <w:rFonts w:ascii="Arial" w:hAnsi="Arial" w:cs="Arial"/>
              </w:rPr>
              <w:t>e</w:t>
            </w:r>
          </w:p>
        </w:tc>
        <w:tc>
          <w:tcPr>
            <w:tcW w:w="1739" w:type="dxa"/>
            <w:shd w:val="clear" w:color="auto" w:fill="auto"/>
          </w:tcPr>
          <w:p w14:paraId="24F624B1" w14:textId="77777777" w:rsidR="003C4010" w:rsidRPr="007B38C6" w:rsidRDefault="003C4010" w:rsidP="00420179">
            <w:pPr>
              <w:pStyle w:val="TableParagraph"/>
              <w:ind w:left="106"/>
              <w:rPr>
                <w:rFonts w:ascii="Arial" w:hAnsi="Arial" w:cs="Arial"/>
              </w:rPr>
            </w:pPr>
            <w:r w:rsidRPr="007B38C6">
              <w:rPr>
                <w:rFonts w:ascii="Arial" w:hAnsi="Arial" w:cs="Arial"/>
              </w:rPr>
              <w:t>10%</w:t>
            </w:r>
          </w:p>
        </w:tc>
      </w:tr>
      <w:tr w:rsidR="003C4010" w:rsidRPr="00F57B6F" w14:paraId="677513C5" w14:textId="77777777" w:rsidTr="00F5642D">
        <w:trPr>
          <w:trHeight w:val="2879"/>
        </w:trPr>
        <w:tc>
          <w:tcPr>
            <w:tcW w:w="2693" w:type="dxa"/>
            <w:shd w:val="clear" w:color="auto" w:fill="E7E6E6"/>
          </w:tcPr>
          <w:p w14:paraId="693A28F9" w14:textId="77777777" w:rsidR="003C4010" w:rsidRPr="007B38C6" w:rsidRDefault="003C4010" w:rsidP="00420179">
            <w:pPr>
              <w:pStyle w:val="TableParagraph"/>
              <w:spacing w:before="121"/>
              <w:rPr>
                <w:rFonts w:ascii="Arial" w:hAnsi="Arial" w:cs="Arial"/>
              </w:rPr>
            </w:pPr>
            <w:proofErr w:type="spellStart"/>
            <w:r w:rsidRPr="007B38C6">
              <w:rPr>
                <w:rFonts w:ascii="Arial" w:hAnsi="Arial" w:cs="Arial"/>
              </w:rPr>
              <w:t>menthyl</w:t>
            </w:r>
            <w:proofErr w:type="spellEnd"/>
            <w:r w:rsidRPr="007B38C6">
              <w:rPr>
                <w:rFonts w:ascii="Arial" w:hAnsi="Arial" w:cs="Arial"/>
                <w:spacing w:val="-4"/>
              </w:rPr>
              <w:t xml:space="preserve"> </w:t>
            </w:r>
            <w:r w:rsidRPr="007B38C6">
              <w:rPr>
                <w:rFonts w:ascii="Arial" w:hAnsi="Arial" w:cs="Arial"/>
              </w:rPr>
              <w:t>anthranilate</w:t>
            </w:r>
          </w:p>
        </w:tc>
        <w:tc>
          <w:tcPr>
            <w:tcW w:w="1418" w:type="dxa"/>
          </w:tcPr>
          <w:p w14:paraId="7742D12A" w14:textId="77777777" w:rsidR="003C4010" w:rsidRPr="007B38C6" w:rsidRDefault="003C4010" w:rsidP="00420179">
            <w:pPr>
              <w:pStyle w:val="TableParagraph"/>
              <w:spacing w:before="121"/>
              <w:rPr>
                <w:rFonts w:ascii="Arial" w:hAnsi="Arial" w:cs="Arial"/>
              </w:rPr>
            </w:pPr>
            <w:r w:rsidRPr="007B38C6">
              <w:rPr>
                <w:rFonts w:ascii="Arial" w:hAnsi="Arial" w:cs="Arial"/>
              </w:rPr>
              <w:t>134-09-8</w:t>
            </w:r>
          </w:p>
        </w:tc>
        <w:tc>
          <w:tcPr>
            <w:tcW w:w="3260" w:type="dxa"/>
            <w:shd w:val="clear" w:color="auto" w:fill="auto"/>
          </w:tcPr>
          <w:p w14:paraId="595F29FF" w14:textId="77777777" w:rsidR="003C4010" w:rsidRPr="007B38C6" w:rsidRDefault="003C4010" w:rsidP="00420179">
            <w:pPr>
              <w:pStyle w:val="TableParagraph"/>
              <w:spacing w:before="121"/>
              <w:ind w:left="106" w:right="572"/>
              <w:rPr>
                <w:rFonts w:ascii="Arial" w:hAnsi="Arial" w:cs="Arial"/>
              </w:rPr>
            </w:pPr>
            <w:proofErr w:type="spellStart"/>
            <w:r w:rsidRPr="007B38C6">
              <w:rPr>
                <w:rFonts w:ascii="Arial" w:hAnsi="Arial" w:cs="Arial"/>
              </w:rPr>
              <w:t>menthyl</w:t>
            </w:r>
            <w:proofErr w:type="spellEnd"/>
            <w:r w:rsidRPr="007B38C6">
              <w:rPr>
                <w:rFonts w:ascii="Arial" w:hAnsi="Arial" w:cs="Arial"/>
              </w:rPr>
              <w:t xml:space="preserve"> 2-aminobenzoate</w:t>
            </w:r>
            <w:r w:rsidRPr="007B38C6">
              <w:rPr>
                <w:rFonts w:ascii="Arial" w:hAnsi="Arial" w:cs="Arial"/>
                <w:spacing w:val="1"/>
              </w:rPr>
              <w:t xml:space="preserve"> </w:t>
            </w:r>
            <w:r w:rsidRPr="007B38C6">
              <w:rPr>
                <w:rFonts w:ascii="Arial" w:hAnsi="Arial" w:cs="Arial"/>
              </w:rPr>
              <w:t>5-methyl-2-(1-methylethyl)</w:t>
            </w:r>
          </w:p>
          <w:p w14:paraId="32DB11A6" w14:textId="77777777" w:rsidR="003C4010" w:rsidRPr="007B38C6" w:rsidRDefault="003C4010" w:rsidP="00420179">
            <w:pPr>
              <w:pStyle w:val="TableParagraph"/>
              <w:spacing w:before="1"/>
              <w:ind w:left="105" w:right="231"/>
              <w:rPr>
                <w:rFonts w:ascii="Arial" w:hAnsi="Arial" w:cs="Arial"/>
              </w:rPr>
            </w:pPr>
            <w:r w:rsidRPr="007B38C6">
              <w:rPr>
                <w:rFonts w:ascii="Arial" w:hAnsi="Arial" w:cs="Arial"/>
              </w:rPr>
              <w:t>cyclohexanol-2-aminobenzoate</w:t>
            </w:r>
            <w:r w:rsidRPr="007B38C6">
              <w:rPr>
                <w:rFonts w:ascii="Arial" w:hAnsi="Arial" w:cs="Arial"/>
                <w:spacing w:val="-46"/>
              </w:rPr>
              <w:t xml:space="preserve"> </w:t>
            </w:r>
            <w:proofErr w:type="spellStart"/>
            <w:r w:rsidRPr="007B38C6">
              <w:rPr>
                <w:rFonts w:ascii="Arial" w:hAnsi="Arial" w:cs="Arial"/>
              </w:rPr>
              <w:t>meradimate</w:t>
            </w:r>
            <w:proofErr w:type="spellEnd"/>
          </w:p>
          <w:p w14:paraId="1940EA5E" w14:textId="68CB9346" w:rsidR="003C4010" w:rsidRPr="007B38C6" w:rsidRDefault="003C4010" w:rsidP="00420179">
            <w:pPr>
              <w:pStyle w:val="TableParagraph"/>
              <w:spacing w:before="0"/>
              <w:ind w:left="105" w:right="371"/>
              <w:rPr>
                <w:rFonts w:ascii="Arial" w:hAnsi="Arial" w:cs="Arial"/>
              </w:rPr>
            </w:pPr>
            <w:r w:rsidRPr="007B38C6">
              <w:rPr>
                <w:rFonts w:ascii="Arial" w:hAnsi="Arial" w:cs="Arial"/>
              </w:rPr>
              <w:t>anthranilic acid, p-menth-3-</w:t>
            </w:r>
            <w:proofErr w:type="gramStart"/>
            <w:r w:rsidRPr="007B38C6">
              <w:rPr>
                <w:rFonts w:ascii="Arial" w:hAnsi="Arial" w:cs="Arial"/>
              </w:rPr>
              <w:t>yl</w:t>
            </w:r>
            <w:r w:rsidR="00C47EC5">
              <w:rPr>
                <w:rFonts w:ascii="Arial" w:hAnsi="Arial" w:cs="Arial"/>
              </w:rPr>
              <w:t xml:space="preserve"> </w:t>
            </w:r>
            <w:r w:rsidRPr="007B38C6">
              <w:rPr>
                <w:rFonts w:ascii="Arial" w:hAnsi="Arial" w:cs="Arial"/>
                <w:spacing w:val="-46"/>
              </w:rPr>
              <w:t xml:space="preserve"> </w:t>
            </w:r>
            <w:r w:rsidRPr="007B38C6">
              <w:rPr>
                <w:rFonts w:ascii="Arial" w:hAnsi="Arial" w:cs="Arial"/>
              </w:rPr>
              <w:t>Ester</w:t>
            </w:r>
            <w:proofErr w:type="gramEnd"/>
          </w:p>
          <w:p w14:paraId="6A6BE28D" w14:textId="77777777" w:rsidR="003C4010" w:rsidRPr="007B38C6" w:rsidRDefault="003C4010" w:rsidP="00420179">
            <w:pPr>
              <w:pStyle w:val="TableParagraph"/>
              <w:spacing w:before="0"/>
              <w:ind w:left="105" w:right="183"/>
              <w:rPr>
                <w:rFonts w:ascii="Arial" w:hAnsi="Arial" w:cs="Arial"/>
              </w:rPr>
            </w:pPr>
            <w:r w:rsidRPr="007B38C6">
              <w:rPr>
                <w:rFonts w:ascii="Arial" w:hAnsi="Arial" w:cs="Arial"/>
              </w:rPr>
              <w:t>cyclohexanol, 5-Methyl-2-(1-</w:t>
            </w:r>
            <w:r w:rsidRPr="007B38C6">
              <w:rPr>
                <w:rFonts w:ascii="Arial" w:hAnsi="Arial" w:cs="Arial"/>
                <w:spacing w:val="1"/>
              </w:rPr>
              <w:t xml:space="preserve"> </w:t>
            </w:r>
            <w:proofErr w:type="spellStart"/>
            <w:r w:rsidRPr="007B38C6">
              <w:rPr>
                <w:rFonts w:ascii="Arial" w:hAnsi="Arial" w:cs="Arial"/>
              </w:rPr>
              <w:t>Methylethyl</w:t>
            </w:r>
            <w:proofErr w:type="spellEnd"/>
            <w:r w:rsidRPr="007B38C6">
              <w:rPr>
                <w:rFonts w:ascii="Arial" w:hAnsi="Arial" w:cs="Arial"/>
              </w:rPr>
              <w:t>)-,2-Aminobenzoate</w:t>
            </w:r>
            <w:r w:rsidRPr="007B38C6">
              <w:rPr>
                <w:rFonts w:ascii="Arial" w:hAnsi="Arial" w:cs="Arial"/>
                <w:spacing w:val="-46"/>
              </w:rPr>
              <w:t xml:space="preserve"> </w:t>
            </w:r>
            <w:r w:rsidRPr="007B38C6">
              <w:rPr>
                <w:rFonts w:ascii="Arial" w:hAnsi="Arial" w:cs="Arial"/>
              </w:rPr>
              <w:t>menthol</w:t>
            </w:r>
            <w:r w:rsidRPr="007B38C6">
              <w:rPr>
                <w:rFonts w:ascii="Arial" w:hAnsi="Arial" w:cs="Arial"/>
                <w:spacing w:val="-2"/>
              </w:rPr>
              <w:t xml:space="preserve"> </w:t>
            </w:r>
            <w:r w:rsidRPr="007B38C6">
              <w:rPr>
                <w:rFonts w:ascii="Arial" w:hAnsi="Arial" w:cs="Arial"/>
              </w:rPr>
              <w:t>anthranilate</w:t>
            </w:r>
          </w:p>
          <w:p w14:paraId="47DF2339" w14:textId="77777777" w:rsidR="003C4010" w:rsidRPr="007B38C6" w:rsidRDefault="003C4010" w:rsidP="00420179">
            <w:pPr>
              <w:pStyle w:val="TableParagraph"/>
              <w:tabs>
                <w:tab w:val="left" w:pos="2881"/>
              </w:tabs>
              <w:spacing w:before="0"/>
              <w:ind w:left="105"/>
              <w:rPr>
                <w:rFonts w:ascii="Arial" w:hAnsi="Arial" w:cs="Arial"/>
              </w:rPr>
            </w:pPr>
            <w:proofErr w:type="spellStart"/>
            <w:r w:rsidRPr="007B38C6">
              <w:rPr>
                <w:rFonts w:ascii="Arial" w:hAnsi="Arial" w:cs="Arial"/>
              </w:rPr>
              <w:t>menthyl</w:t>
            </w:r>
            <w:proofErr w:type="spellEnd"/>
            <w:r w:rsidRPr="007B38C6">
              <w:rPr>
                <w:rFonts w:ascii="Arial" w:hAnsi="Arial" w:cs="Arial"/>
                <w:spacing w:val="-3"/>
              </w:rPr>
              <w:t xml:space="preserve"> </w:t>
            </w:r>
            <w:r w:rsidRPr="007B38C6">
              <w:rPr>
                <w:rFonts w:ascii="Arial" w:hAnsi="Arial" w:cs="Arial"/>
              </w:rPr>
              <w:t>o-aminobenzoate</w:t>
            </w:r>
          </w:p>
        </w:tc>
        <w:tc>
          <w:tcPr>
            <w:tcW w:w="1739" w:type="dxa"/>
            <w:shd w:val="clear" w:color="auto" w:fill="auto"/>
          </w:tcPr>
          <w:p w14:paraId="5657200A" w14:textId="77777777" w:rsidR="003C4010" w:rsidRPr="007B38C6" w:rsidRDefault="003C4010" w:rsidP="00420179">
            <w:pPr>
              <w:pStyle w:val="TableParagraph"/>
              <w:spacing w:before="121"/>
              <w:ind w:left="105"/>
              <w:rPr>
                <w:rFonts w:ascii="Arial" w:hAnsi="Arial" w:cs="Arial"/>
              </w:rPr>
            </w:pPr>
            <w:r w:rsidRPr="007B38C6">
              <w:rPr>
                <w:rFonts w:ascii="Arial" w:hAnsi="Arial" w:cs="Arial"/>
              </w:rPr>
              <w:t>5%</w:t>
            </w:r>
          </w:p>
        </w:tc>
      </w:tr>
      <w:tr w:rsidR="0060727A" w:rsidRPr="00F57B6F" w14:paraId="2CBACB33" w14:textId="77777777" w:rsidTr="00F5642D">
        <w:trPr>
          <w:trHeight w:val="2879"/>
        </w:trPr>
        <w:tc>
          <w:tcPr>
            <w:tcW w:w="2693" w:type="dxa"/>
            <w:shd w:val="clear" w:color="auto" w:fill="E7E6E6"/>
          </w:tcPr>
          <w:p w14:paraId="2BC71272" w14:textId="7399DC1D" w:rsidR="0060727A" w:rsidRPr="007B38C6" w:rsidRDefault="0060727A" w:rsidP="00420179">
            <w:pPr>
              <w:pStyle w:val="TableParagraph"/>
              <w:spacing w:before="121"/>
              <w:rPr>
                <w:rFonts w:ascii="Arial" w:hAnsi="Arial" w:cs="Arial"/>
              </w:rPr>
            </w:pPr>
            <w:proofErr w:type="spellStart"/>
            <w:r w:rsidRPr="0060727A">
              <w:rPr>
                <w:rFonts w:ascii="Arial" w:hAnsi="Arial" w:cs="Arial"/>
              </w:rPr>
              <w:lastRenderedPageBreak/>
              <w:t>methoxypropylamino</w:t>
            </w:r>
            <w:proofErr w:type="spellEnd"/>
            <w:r w:rsidRPr="0060727A">
              <w:rPr>
                <w:rFonts w:ascii="Arial" w:hAnsi="Arial" w:cs="Arial"/>
              </w:rPr>
              <w:t xml:space="preserve"> </w:t>
            </w:r>
            <w:proofErr w:type="spellStart"/>
            <w:r w:rsidRPr="0060727A">
              <w:rPr>
                <w:rFonts w:ascii="Arial" w:hAnsi="Arial" w:cs="Arial"/>
              </w:rPr>
              <w:t>cyclohexenylidene</w:t>
            </w:r>
            <w:proofErr w:type="spellEnd"/>
            <w:r w:rsidRPr="0060727A">
              <w:rPr>
                <w:rFonts w:ascii="Arial" w:hAnsi="Arial" w:cs="Arial"/>
              </w:rPr>
              <w:t xml:space="preserve"> </w:t>
            </w:r>
            <w:proofErr w:type="spellStart"/>
            <w:r w:rsidRPr="0060727A">
              <w:rPr>
                <w:rFonts w:ascii="Arial" w:hAnsi="Arial" w:cs="Arial"/>
              </w:rPr>
              <w:t>ethoxyethylcyanoacetate</w:t>
            </w:r>
            <w:proofErr w:type="spellEnd"/>
          </w:p>
        </w:tc>
        <w:tc>
          <w:tcPr>
            <w:tcW w:w="1418" w:type="dxa"/>
          </w:tcPr>
          <w:p w14:paraId="0F1B7CB4" w14:textId="22817D87" w:rsidR="0060727A" w:rsidRPr="007B38C6" w:rsidRDefault="0060727A" w:rsidP="00420179">
            <w:pPr>
              <w:pStyle w:val="TableParagraph"/>
              <w:spacing w:before="121"/>
              <w:rPr>
                <w:rFonts w:ascii="Arial" w:hAnsi="Arial" w:cs="Arial"/>
              </w:rPr>
            </w:pPr>
            <w:r w:rsidRPr="0060727A">
              <w:rPr>
                <w:rFonts w:ascii="Arial" w:hAnsi="Arial" w:cs="Arial"/>
              </w:rPr>
              <w:t>1419401-88-9</w:t>
            </w:r>
          </w:p>
        </w:tc>
        <w:tc>
          <w:tcPr>
            <w:tcW w:w="3260" w:type="dxa"/>
            <w:shd w:val="clear" w:color="auto" w:fill="auto"/>
          </w:tcPr>
          <w:p w14:paraId="2C8BBE56" w14:textId="60DDECED" w:rsidR="0060727A" w:rsidRPr="007B38C6" w:rsidRDefault="0060727A" w:rsidP="00420179">
            <w:pPr>
              <w:pStyle w:val="TableParagraph"/>
              <w:spacing w:before="121"/>
              <w:ind w:left="106" w:right="572"/>
              <w:rPr>
                <w:rFonts w:ascii="Arial" w:hAnsi="Arial" w:cs="Arial"/>
              </w:rPr>
            </w:pPr>
            <w:r w:rsidRPr="0060727A">
              <w:rPr>
                <w:rFonts w:ascii="Arial" w:hAnsi="Arial" w:cs="Arial"/>
              </w:rPr>
              <w:t>2-ethoxyethyl (2Z)-2-cyano-2-[3-(3-methoxypropylamino) cyclohex-2-en-1-</w:t>
            </w:r>
            <w:proofErr w:type="gramStart"/>
            <w:r w:rsidRPr="0060727A">
              <w:rPr>
                <w:rFonts w:ascii="Arial" w:hAnsi="Arial" w:cs="Arial"/>
              </w:rPr>
              <w:t>ylidene]acetate</w:t>
            </w:r>
            <w:proofErr w:type="gramEnd"/>
          </w:p>
        </w:tc>
        <w:tc>
          <w:tcPr>
            <w:tcW w:w="1739" w:type="dxa"/>
            <w:shd w:val="clear" w:color="auto" w:fill="auto"/>
          </w:tcPr>
          <w:p w14:paraId="0811C4E2" w14:textId="19149332" w:rsidR="0060727A" w:rsidRPr="007B38C6" w:rsidRDefault="0060727A" w:rsidP="00420179">
            <w:pPr>
              <w:pStyle w:val="TableParagraph"/>
              <w:spacing w:before="121"/>
              <w:ind w:left="105"/>
              <w:rPr>
                <w:rFonts w:ascii="Arial" w:hAnsi="Arial" w:cs="Arial"/>
              </w:rPr>
            </w:pPr>
            <w:r>
              <w:rPr>
                <w:rFonts w:ascii="Arial" w:hAnsi="Arial" w:cs="Arial"/>
              </w:rPr>
              <w:t>3%</w:t>
            </w:r>
          </w:p>
        </w:tc>
      </w:tr>
      <w:tr w:rsidR="003C4010" w:rsidRPr="00F57B6F" w14:paraId="7C4310B4" w14:textId="77777777" w:rsidTr="00F5642D">
        <w:trPr>
          <w:trHeight w:val="2363"/>
        </w:trPr>
        <w:tc>
          <w:tcPr>
            <w:tcW w:w="2693" w:type="dxa"/>
            <w:shd w:val="clear" w:color="auto" w:fill="E7E6E6"/>
          </w:tcPr>
          <w:p w14:paraId="11845B3D" w14:textId="77777777" w:rsidR="003C4010" w:rsidRPr="007B38C6" w:rsidRDefault="003C4010" w:rsidP="00420179">
            <w:pPr>
              <w:pStyle w:val="TableParagraph"/>
              <w:spacing w:before="121"/>
              <w:ind w:right="401"/>
              <w:rPr>
                <w:rFonts w:ascii="Arial" w:hAnsi="Arial" w:cs="Arial"/>
              </w:rPr>
            </w:pPr>
            <w:r w:rsidRPr="007B38C6">
              <w:rPr>
                <w:rFonts w:ascii="Arial" w:hAnsi="Arial" w:cs="Arial"/>
              </w:rPr>
              <w:t>4-methylbenzylidene</w:t>
            </w:r>
            <w:r w:rsidRPr="007B38C6">
              <w:rPr>
                <w:rFonts w:ascii="Arial" w:hAnsi="Arial" w:cs="Arial"/>
                <w:spacing w:val="-46"/>
              </w:rPr>
              <w:t xml:space="preserve"> </w:t>
            </w:r>
            <w:r w:rsidRPr="007B38C6">
              <w:rPr>
                <w:rFonts w:ascii="Arial" w:hAnsi="Arial" w:cs="Arial"/>
              </w:rPr>
              <w:t>camphor</w:t>
            </w:r>
          </w:p>
        </w:tc>
        <w:tc>
          <w:tcPr>
            <w:tcW w:w="1418" w:type="dxa"/>
          </w:tcPr>
          <w:p w14:paraId="1DACF181" w14:textId="77777777" w:rsidR="003C4010" w:rsidRPr="007B38C6" w:rsidRDefault="003C4010" w:rsidP="00420179">
            <w:pPr>
              <w:pStyle w:val="TableParagraph"/>
              <w:spacing w:before="121"/>
              <w:rPr>
                <w:rFonts w:ascii="Arial" w:hAnsi="Arial" w:cs="Arial"/>
              </w:rPr>
            </w:pPr>
            <w:r w:rsidRPr="007B38C6">
              <w:rPr>
                <w:rFonts w:ascii="Arial" w:hAnsi="Arial" w:cs="Arial"/>
              </w:rPr>
              <w:t>36861-47-9</w:t>
            </w:r>
          </w:p>
        </w:tc>
        <w:tc>
          <w:tcPr>
            <w:tcW w:w="3260" w:type="dxa"/>
            <w:shd w:val="clear" w:color="auto" w:fill="auto"/>
          </w:tcPr>
          <w:p w14:paraId="0EB99A23" w14:textId="77777777" w:rsidR="003C4010" w:rsidRPr="007B38C6" w:rsidRDefault="003C4010" w:rsidP="00420179">
            <w:pPr>
              <w:pStyle w:val="TableParagraph"/>
              <w:spacing w:before="121"/>
              <w:ind w:left="106"/>
              <w:rPr>
                <w:rFonts w:ascii="Arial" w:hAnsi="Arial" w:cs="Arial"/>
              </w:rPr>
            </w:pPr>
            <w:r w:rsidRPr="007B38C6">
              <w:rPr>
                <w:rFonts w:ascii="Arial" w:hAnsi="Arial" w:cs="Arial"/>
                <w:spacing w:val="-1"/>
              </w:rPr>
              <w:t>3-(4-methylbenzylidene)-di-</w:t>
            </w:r>
            <w:r w:rsidRPr="007B38C6">
              <w:rPr>
                <w:rFonts w:ascii="Arial" w:hAnsi="Arial" w:cs="Arial"/>
                <w:spacing w:val="-46"/>
              </w:rPr>
              <w:t xml:space="preserve"> </w:t>
            </w:r>
            <w:r w:rsidRPr="007B38C6">
              <w:rPr>
                <w:rFonts w:ascii="Arial" w:hAnsi="Arial" w:cs="Arial"/>
              </w:rPr>
              <w:t>camphor</w:t>
            </w:r>
          </w:p>
          <w:p w14:paraId="015AF401" w14:textId="77777777" w:rsidR="003C4010" w:rsidRPr="007B38C6" w:rsidRDefault="003C4010" w:rsidP="00420179">
            <w:pPr>
              <w:pStyle w:val="TableParagraph"/>
              <w:spacing w:before="1"/>
              <w:ind w:left="106"/>
              <w:rPr>
                <w:rFonts w:ascii="Arial" w:hAnsi="Arial" w:cs="Arial"/>
                <w:spacing w:val="1"/>
              </w:rPr>
            </w:pPr>
            <w:proofErr w:type="spellStart"/>
            <w:r w:rsidRPr="007B38C6">
              <w:rPr>
                <w:rFonts w:ascii="Arial" w:hAnsi="Arial" w:cs="Arial"/>
              </w:rPr>
              <w:t>Enzacamene</w:t>
            </w:r>
            <w:proofErr w:type="spellEnd"/>
          </w:p>
          <w:p w14:paraId="194F8230" w14:textId="77777777" w:rsidR="003C4010" w:rsidRPr="007B38C6" w:rsidRDefault="003C4010" w:rsidP="00420179">
            <w:pPr>
              <w:pStyle w:val="TableParagraph"/>
              <w:spacing w:before="1"/>
              <w:ind w:left="106"/>
              <w:rPr>
                <w:rFonts w:ascii="Arial" w:hAnsi="Arial" w:cs="Arial"/>
              </w:rPr>
            </w:pPr>
            <w:r w:rsidRPr="007B38C6">
              <w:rPr>
                <w:rFonts w:ascii="Arial" w:hAnsi="Arial" w:cs="Arial"/>
              </w:rPr>
              <w:t>neo</w:t>
            </w:r>
            <w:r w:rsidRPr="007B38C6">
              <w:rPr>
                <w:rFonts w:ascii="Arial" w:hAnsi="Arial" w:cs="Arial"/>
                <w:spacing w:val="-10"/>
              </w:rPr>
              <w:t xml:space="preserve"> </w:t>
            </w:r>
            <w:proofErr w:type="spellStart"/>
            <w:r w:rsidRPr="007B38C6">
              <w:rPr>
                <w:rFonts w:ascii="Arial" w:hAnsi="Arial" w:cs="Arial"/>
              </w:rPr>
              <w:t>heliopan</w:t>
            </w:r>
            <w:proofErr w:type="spellEnd"/>
          </w:p>
          <w:p w14:paraId="1A422B48" w14:textId="77777777" w:rsidR="003C4010" w:rsidRPr="007B38C6" w:rsidRDefault="003C4010" w:rsidP="00420179">
            <w:pPr>
              <w:pStyle w:val="TableParagraph"/>
              <w:spacing w:before="0"/>
              <w:ind w:left="106"/>
              <w:rPr>
                <w:rFonts w:ascii="Arial" w:hAnsi="Arial" w:cs="Arial"/>
              </w:rPr>
            </w:pPr>
            <w:r w:rsidRPr="007B38C6">
              <w:rPr>
                <w:rFonts w:ascii="Arial" w:hAnsi="Arial" w:cs="Arial"/>
              </w:rPr>
              <w:t>1,7,7-trimethyl-3</w:t>
            </w:r>
            <w:proofErr w:type="gramStart"/>
            <w:r w:rsidRPr="007B38C6">
              <w:rPr>
                <w:rFonts w:ascii="Arial" w:hAnsi="Arial" w:cs="Arial"/>
              </w:rPr>
              <w:t>-[</w:t>
            </w:r>
            <w:proofErr w:type="gramEnd"/>
            <w:r w:rsidRPr="007B38C6">
              <w:rPr>
                <w:rFonts w:ascii="Arial" w:hAnsi="Arial" w:cs="Arial"/>
              </w:rPr>
              <w:t>(4-</w:t>
            </w:r>
            <w:r w:rsidRPr="007B38C6">
              <w:rPr>
                <w:rFonts w:ascii="Arial" w:hAnsi="Arial" w:cs="Arial"/>
                <w:spacing w:val="1"/>
              </w:rPr>
              <w:t xml:space="preserve"> </w:t>
            </w:r>
            <w:r w:rsidRPr="007B38C6">
              <w:rPr>
                <w:rFonts w:ascii="Arial" w:hAnsi="Arial" w:cs="Arial"/>
              </w:rPr>
              <w:t>methylphenyl)-</w:t>
            </w:r>
            <w:r w:rsidRPr="007B38C6">
              <w:rPr>
                <w:rFonts w:ascii="Arial" w:hAnsi="Arial" w:cs="Arial"/>
                <w:spacing w:val="1"/>
              </w:rPr>
              <w:t xml:space="preserve"> </w:t>
            </w:r>
            <w:proofErr w:type="gramStart"/>
            <w:r w:rsidRPr="007B38C6">
              <w:rPr>
                <w:rFonts w:ascii="Arial" w:hAnsi="Arial" w:cs="Arial"/>
              </w:rPr>
              <w:t>methylene]</w:t>
            </w:r>
            <w:proofErr w:type="spellStart"/>
            <w:r w:rsidRPr="007B38C6">
              <w:rPr>
                <w:rFonts w:ascii="Arial" w:hAnsi="Arial" w:cs="Arial"/>
              </w:rPr>
              <w:t>bicyclo</w:t>
            </w:r>
            <w:proofErr w:type="spellEnd"/>
            <w:proofErr w:type="gramEnd"/>
            <w:r w:rsidRPr="007B38C6">
              <w:rPr>
                <w:rFonts w:ascii="Arial" w:hAnsi="Arial" w:cs="Arial"/>
              </w:rPr>
              <w:t>[</w:t>
            </w:r>
            <w:proofErr w:type="gramStart"/>
            <w:r w:rsidRPr="007B38C6">
              <w:rPr>
                <w:rFonts w:ascii="Arial" w:hAnsi="Arial" w:cs="Arial"/>
              </w:rPr>
              <w:t>2.2.1]</w:t>
            </w:r>
            <w:proofErr w:type="spellStart"/>
            <w:r w:rsidRPr="007B38C6">
              <w:rPr>
                <w:rFonts w:ascii="Arial" w:hAnsi="Arial" w:cs="Arial"/>
              </w:rPr>
              <w:t>heptan</w:t>
            </w:r>
            <w:proofErr w:type="spellEnd"/>
            <w:proofErr w:type="gramEnd"/>
            <w:r w:rsidRPr="007B38C6">
              <w:rPr>
                <w:rFonts w:ascii="Arial" w:hAnsi="Arial" w:cs="Arial"/>
              </w:rPr>
              <w:t>-</w:t>
            </w:r>
            <w:r w:rsidRPr="007B38C6">
              <w:rPr>
                <w:rFonts w:ascii="Arial" w:hAnsi="Arial" w:cs="Arial"/>
                <w:spacing w:val="-46"/>
              </w:rPr>
              <w:t xml:space="preserve"> </w:t>
            </w:r>
            <w:r w:rsidRPr="007B38C6">
              <w:rPr>
                <w:rFonts w:ascii="Arial" w:hAnsi="Arial" w:cs="Arial"/>
              </w:rPr>
              <w:t>2-one</w:t>
            </w:r>
          </w:p>
        </w:tc>
        <w:tc>
          <w:tcPr>
            <w:tcW w:w="1739" w:type="dxa"/>
            <w:shd w:val="clear" w:color="auto" w:fill="auto"/>
          </w:tcPr>
          <w:p w14:paraId="77831ED7" w14:textId="77777777" w:rsidR="003C4010" w:rsidRPr="007B38C6" w:rsidRDefault="003C4010" w:rsidP="00420179">
            <w:pPr>
              <w:pStyle w:val="TableParagraph"/>
              <w:spacing w:before="121"/>
              <w:ind w:left="106"/>
              <w:rPr>
                <w:rFonts w:ascii="Arial" w:hAnsi="Arial" w:cs="Arial"/>
              </w:rPr>
            </w:pPr>
            <w:r w:rsidRPr="007B38C6">
              <w:rPr>
                <w:rFonts w:ascii="Arial" w:hAnsi="Arial" w:cs="Arial"/>
              </w:rPr>
              <w:t>4%</w:t>
            </w:r>
          </w:p>
        </w:tc>
      </w:tr>
      <w:tr w:rsidR="003C4010" w:rsidRPr="00F57B6F" w14:paraId="4E36D588" w14:textId="77777777" w:rsidTr="00F5642D">
        <w:trPr>
          <w:trHeight w:val="1074"/>
        </w:trPr>
        <w:tc>
          <w:tcPr>
            <w:tcW w:w="2693" w:type="dxa"/>
            <w:shd w:val="clear" w:color="auto" w:fill="E7E6E6"/>
          </w:tcPr>
          <w:p w14:paraId="33E4D5E2" w14:textId="77777777" w:rsidR="003C4010" w:rsidRPr="007B38C6" w:rsidRDefault="003C4010" w:rsidP="00420179">
            <w:pPr>
              <w:pStyle w:val="TableParagraph"/>
              <w:spacing w:before="121"/>
              <w:ind w:right="146"/>
              <w:rPr>
                <w:rFonts w:ascii="Arial" w:hAnsi="Arial" w:cs="Arial"/>
              </w:rPr>
            </w:pPr>
            <w:r w:rsidRPr="007B38C6">
              <w:rPr>
                <w:rFonts w:ascii="Arial" w:hAnsi="Arial" w:cs="Arial"/>
              </w:rPr>
              <w:t>methylene bis-</w:t>
            </w:r>
            <w:r w:rsidRPr="007B38C6">
              <w:rPr>
                <w:rFonts w:ascii="Arial" w:hAnsi="Arial" w:cs="Arial"/>
                <w:spacing w:val="1"/>
              </w:rPr>
              <w:t xml:space="preserve"> </w:t>
            </w:r>
            <w:proofErr w:type="spellStart"/>
            <w:r w:rsidRPr="007B38C6">
              <w:rPr>
                <w:rFonts w:ascii="Arial" w:hAnsi="Arial" w:cs="Arial"/>
              </w:rPr>
              <w:t>benzotriazolyl</w:t>
            </w:r>
            <w:proofErr w:type="spellEnd"/>
            <w:r w:rsidRPr="007B38C6">
              <w:rPr>
                <w:rFonts w:ascii="Arial" w:hAnsi="Arial" w:cs="Arial"/>
                <w:spacing w:val="1"/>
              </w:rPr>
              <w:t xml:space="preserve"> </w:t>
            </w:r>
            <w:proofErr w:type="spellStart"/>
            <w:r w:rsidRPr="007B38C6">
              <w:rPr>
                <w:rFonts w:ascii="Arial" w:hAnsi="Arial" w:cs="Arial"/>
              </w:rPr>
              <w:t>tetramethylbutylphenol</w:t>
            </w:r>
            <w:proofErr w:type="spellEnd"/>
          </w:p>
        </w:tc>
        <w:tc>
          <w:tcPr>
            <w:tcW w:w="1418" w:type="dxa"/>
          </w:tcPr>
          <w:p w14:paraId="6CEE08C1" w14:textId="77777777" w:rsidR="003C4010" w:rsidRPr="007B38C6" w:rsidRDefault="003C4010" w:rsidP="00420179">
            <w:pPr>
              <w:pStyle w:val="TableParagraph"/>
              <w:spacing w:before="121"/>
              <w:rPr>
                <w:rFonts w:ascii="Arial" w:hAnsi="Arial" w:cs="Arial"/>
              </w:rPr>
            </w:pPr>
            <w:r w:rsidRPr="007B38C6">
              <w:rPr>
                <w:rFonts w:ascii="Arial" w:hAnsi="Arial" w:cs="Arial"/>
              </w:rPr>
              <w:t>103597-45-1</w:t>
            </w:r>
          </w:p>
        </w:tc>
        <w:tc>
          <w:tcPr>
            <w:tcW w:w="3260" w:type="dxa"/>
            <w:shd w:val="clear" w:color="auto" w:fill="auto"/>
          </w:tcPr>
          <w:p w14:paraId="02D2C329" w14:textId="77777777" w:rsidR="003C4010" w:rsidRPr="007B38C6" w:rsidRDefault="003C4010" w:rsidP="00420179">
            <w:pPr>
              <w:pStyle w:val="TableParagraph"/>
              <w:spacing w:before="0"/>
              <w:ind w:left="0"/>
              <w:rPr>
                <w:rFonts w:ascii="Arial" w:hAnsi="Arial" w:cs="Arial"/>
              </w:rPr>
            </w:pPr>
          </w:p>
        </w:tc>
        <w:tc>
          <w:tcPr>
            <w:tcW w:w="1739" w:type="dxa"/>
            <w:shd w:val="clear" w:color="auto" w:fill="auto"/>
          </w:tcPr>
          <w:p w14:paraId="6A95B6DC" w14:textId="77777777" w:rsidR="003C4010" w:rsidRPr="007B38C6" w:rsidRDefault="003C4010" w:rsidP="00420179">
            <w:pPr>
              <w:pStyle w:val="TableParagraph"/>
              <w:spacing w:before="121"/>
              <w:ind w:left="106"/>
              <w:rPr>
                <w:rFonts w:ascii="Arial" w:hAnsi="Arial" w:cs="Arial"/>
              </w:rPr>
            </w:pPr>
            <w:r w:rsidRPr="007B38C6">
              <w:rPr>
                <w:rFonts w:ascii="Arial" w:hAnsi="Arial" w:cs="Arial"/>
              </w:rPr>
              <w:t>10%</w:t>
            </w:r>
          </w:p>
          <w:p w14:paraId="0C951442" w14:textId="77777777" w:rsidR="003C4010" w:rsidRPr="007B38C6" w:rsidRDefault="003C4010" w:rsidP="00420179">
            <w:pPr>
              <w:pStyle w:val="TableParagraph"/>
              <w:spacing w:before="121"/>
              <w:ind w:left="106"/>
              <w:rPr>
                <w:rFonts w:ascii="Arial" w:hAnsi="Arial" w:cs="Arial"/>
              </w:rPr>
            </w:pPr>
          </w:p>
        </w:tc>
      </w:tr>
      <w:tr w:rsidR="003C4010" w:rsidRPr="00F57B6F" w14:paraId="5497A9C9" w14:textId="77777777" w:rsidTr="00F5642D">
        <w:trPr>
          <w:trHeight w:val="815"/>
        </w:trPr>
        <w:tc>
          <w:tcPr>
            <w:tcW w:w="2693" w:type="dxa"/>
            <w:shd w:val="clear" w:color="auto" w:fill="E7E6E6"/>
          </w:tcPr>
          <w:p w14:paraId="28AAAD08" w14:textId="77777777" w:rsidR="003C4010" w:rsidRPr="007B38C6" w:rsidRDefault="003C4010" w:rsidP="00420179">
            <w:pPr>
              <w:pStyle w:val="TableParagraph"/>
              <w:rPr>
                <w:rFonts w:ascii="Arial" w:hAnsi="Arial" w:cs="Arial"/>
              </w:rPr>
            </w:pPr>
            <w:r w:rsidRPr="007B38C6">
              <w:rPr>
                <w:rFonts w:ascii="Arial" w:hAnsi="Arial" w:cs="Arial"/>
              </w:rPr>
              <w:t>octyl</w:t>
            </w:r>
            <w:r w:rsidRPr="007B38C6">
              <w:rPr>
                <w:rFonts w:ascii="Arial" w:hAnsi="Arial" w:cs="Arial"/>
                <w:spacing w:val="-3"/>
              </w:rPr>
              <w:t xml:space="preserve"> </w:t>
            </w:r>
            <w:r w:rsidRPr="007B38C6">
              <w:rPr>
                <w:rFonts w:ascii="Arial" w:hAnsi="Arial" w:cs="Arial"/>
              </w:rPr>
              <w:t>methoxycinnamate</w:t>
            </w:r>
          </w:p>
        </w:tc>
        <w:tc>
          <w:tcPr>
            <w:tcW w:w="1418" w:type="dxa"/>
          </w:tcPr>
          <w:p w14:paraId="36BCD197" w14:textId="77777777" w:rsidR="003C4010" w:rsidRPr="007B38C6" w:rsidRDefault="003C4010" w:rsidP="00420179">
            <w:pPr>
              <w:pStyle w:val="TableParagraph"/>
              <w:rPr>
                <w:rFonts w:ascii="Arial" w:hAnsi="Arial" w:cs="Arial"/>
              </w:rPr>
            </w:pPr>
            <w:r w:rsidRPr="007B38C6">
              <w:rPr>
                <w:rFonts w:ascii="Arial" w:hAnsi="Arial" w:cs="Arial"/>
              </w:rPr>
              <w:t>5466-77-3</w:t>
            </w:r>
          </w:p>
        </w:tc>
        <w:tc>
          <w:tcPr>
            <w:tcW w:w="3260" w:type="dxa"/>
            <w:shd w:val="clear" w:color="auto" w:fill="auto"/>
          </w:tcPr>
          <w:p w14:paraId="04C164DA" w14:textId="77777777" w:rsidR="003C4010" w:rsidRPr="007B38C6" w:rsidRDefault="003C4010" w:rsidP="00420179">
            <w:pPr>
              <w:pStyle w:val="TableParagraph"/>
              <w:ind w:left="106" w:right="337"/>
              <w:rPr>
                <w:rFonts w:ascii="Arial" w:hAnsi="Arial" w:cs="Arial"/>
              </w:rPr>
            </w:pPr>
            <w:proofErr w:type="spellStart"/>
            <w:r w:rsidRPr="007B38C6">
              <w:rPr>
                <w:rFonts w:ascii="Arial" w:hAnsi="Arial" w:cs="Arial"/>
              </w:rPr>
              <w:t>ethylhexyl</w:t>
            </w:r>
            <w:proofErr w:type="spellEnd"/>
            <w:r w:rsidRPr="007B38C6">
              <w:rPr>
                <w:rFonts w:ascii="Arial" w:hAnsi="Arial" w:cs="Arial"/>
              </w:rPr>
              <w:t xml:space="preserve"> methoxycinnamate</w:t>
            </w:r>
            <w:r w:rsidRPr="007B38C6">
              <w:rPr>
                <w:rFonts w:ascii="Arial" w:hAnsi="Arial" w:cs="Arial"/>
                <w:spacing w:val="-46"/>
              </w:rPr>
              <w:t xml:space="preserve"> </w:t>
            </w:r>
            <w:proofErr w:type="spellStart"/>
            <w:r w:rsidRPr="007B38C6">
              <w:rPr>
                <w:rFonts w:ascii="Arial" w:hAnsi="Arial" w:cs="Arial"/>
              </w:rPr>
              <w:t>octinoxate</w:t>
            </w:r>
            <w:proofErr w:type="spellEnd"/>
          </w:p>
        </w:tc>
        <w:tc>
          <w:tcPr>
            <w:tcW w:w="1739" w:type="dxa"/>
            <w:shd w:val="clear" w:color="auto" w:fill="auto"/>
          </w:tcPr>
          <w:p w14:paraId="0A46AE41" w14:textId="77777777" w:rsidR="003C4010" w:rsidRPr="007B38C6" w:rsidRDefault="003C4010" w:rsidP="00420179">
            <w:pPr>
              <w:pStyle w:val="TableParagraph"/>
              <w:ind w:left="106"/>
              <w:rPr>
                <w:rFonts w:ascii="Arial" w:hAnsi="Arial" w:cs="Arial"/>
              </w:rPr>
            </w:pPr>
            <w:r w:rsidRPr="007B38C6">
              <w:rPr>
                <w:rFonts w:ascii="Arial" w:hAnsi="Arial" w:cs="Arial"/>
              </w:rPr>
              <w:t>10%</w:t>
            </w:r>
          </w:p>
        </w:tc>
      </w:tr>
      <w:tr w:rsidR="003C4010" w:rsidRPr="00F57B6F" w14:paraId="18430F0E" w14:textId="77777777" w:rsidTr="00F5642D">
        <w:trPr>
          <w:trHeight w:val="1074"/>
        </w:trPr>
        <w:tc>
          <w:tcPr>
            <w:tcW w:w="2693" w:type="dxa"/>
            <w:shd w:val="clear" w:color="auto" w:fill="E7E6E6"/>
          </w:tcPr>
          <w:p w14:paraId="59596A5F" w14:textId="77777777" w:rsidR="003C4010" w:rsidRPr="007B38C6" w:rsidRDefault="003C4010" w:rsidP="00420179">
            <w:pPr>
              <w:pStyle w:val="TableParagraph"/>
              <w:spacing w:before="121"/>
              <w:rPr>
                <w:rFonts w:ascii="Arial" w:hAnsi="Arial" w:cs="Arial"/>
              </w:rPr>
            </w:pPr>
            <w:r w:rsidRPr="007B38C6">
              <w:rPr>
                <w:rFonts w:ascii="Arial" w:hAnsi="Arial" w:cs="Arial"/>
              </w:rPr>
              <w:t>octyl</w:t>
            </w:r>
            <w:r w:rsidRPr="007B38C6">
              <w:rPr>
                <w:rFonts w:ascii="Arial" w:hAnsi="Arial" w:cs="Arial"/>
                <w:spacing w:val="-2"/>
              </w:rPr>
              <w:t xml:space="preserve"> </w:t>
            </w:r>
            <w:r w:rsidRPr="007B38C6">
              <w:rPr>
                <w:rFonts w:ascii="Arial" w:hAnsi="Arial" w:cs="Arial"/>
              </w:rPr>
              <w:t>salicylate</w:t>
            </w:r>
          </w:p>
        </w:tc>
        <w:tc>
          <w:tcPr>
            <w:tcW w:w="1418" w:type="dxa"/>
          </w:tcPr>
          <w:p w14:paraId="56529CFF" w14:textId="77777777" w:rsidR="003C4010" w:rsidRPr="007B38C6" w:rsidRDefault="003C4010" w:rsidP="00420179">
            <w:pPr>
              <w:pStyle w:val="TableParagraph"/>
              <w:spacing w:before="121"/>
              <w:rPr>
                <w:rFonts w:ascii="Arial" w:hAnsi="Arial" w:cs="Arial"/>
              </w:rPr>
            </w:pPr>
            <w:r w:rsidRPr="007B38C6">
              <w:rPr>
                <w:rFonts w:ascii="Arial" w:hAnsi="Arial" w:cs="Arial"/>
              </w:rPr>
              <w:t>118-60-5</w:t>
            </w:r>
          </w:p>
        </w:tc>
        <w:tc>
          <w:tcPr>
            <w:tcW w:w="3260" w:type="dxa"/>
            <w:shd w:val="clear" w:color="auto" w:fill="auto"/>
          </w:tcPr>
          <w:p w14:paraId="3A5DBE5A" w14:textId="77777777" w:rsidR="003C4010" w:rsidRPr="007B38C6" w:rsidRDefault="003C4010" w:rsidP="00420179">
            <w:pPr>
              <w:pStyle w:val="TableParagraph"/>
              <w:spacing w:before="121" w:line="257" w:lineRule="exact"/>
              <w:ind w:left="106"/>
              <w:rPr>
                <w:rFonts w:ascii="Arial" w:hAnsi="Arial" w:cs="Arial"/>
              </w:rPr>
            </w:pPr>
            <w:proofErr w:type="spellStart"/>
            <w:r w:rsidRPr="007B38C6">
              <w:rPr>
                <w:rFonts w:ascii="Arial" w:hAnsi="Arial" w:cs="Arial"/>
              </w:rPr>
              <w:t>ethylhexyl</w:t>
            </w:r>
            <w:proofErr w:type="spellEnd"/>
            <w:r w:rsidRPr="007B38C6">
              <w:rPr>
                <w:rFonts w:ascii="Arial" w:hAnsi="Arial" w:cs="Arial"/>
                <w:spacing w:val="-3"/>
              </w:rPr>
              <w:t xml:space="preserve"> </w:t>
            </w:r>
            <w:r w:rsidRPr="007B38C6">
              <w:rPr>
                <w:rFonts w:ascii="Arial" w:hAnsi="Arial" w:cs="Arial"/>
              </w:rPr>
              <w:t>salicylate</w:t>
            </w:r>
          </w:p>
          <w:p w14:paraId="395C42C2" w14:textId="77777777" w:rsidR="003C4010" w:rsidRPr="007B38C6" w:rsidRDefault="003C4010" w:rsidP="00420179">
            <w:pPr>
              <w:pStyle w:val="TableParagraph"/>
              <w:spacing w:before="0"/>
              <w:ind w:left="106" w:right="1066"/>
              <w:rPr>
                <w:rFonts w:ascii="Arial" w:hAnsi="Arial" w:cs="Arial"/>
              </w:rPr>
            </w:pPr>
            <w:r w:rsidRPr="007B38C6">
              <w:rPr>
                <w:rFonts w:ascii="Arial" w:hAnsi="Arial" w:cs="Arial"/>
              </w:rPr>
              <w:t>2-ethylhexyl salicylate</w:t>
            </w:r>
            <w:r w:rsidRPr="007B38C6">
              <w:rPr>
                <w:rFonts w:ascii="Arial" w:hAnsi="Arial" w:cs="Arial"/>
                <w:spacing w:val="-46"/>
              </w:rPr>
              <w:t xml:space="preserve"> </w:t>
            </w:r>
            <w:proofErr w:type="spellStart"/>
            <w:r w:rsidRPr="007B38C6">
              <w:rPr>
                <w:rFonts w:ascii="Arial" w:hAnsi="Arial" w:cs="Arial"/>
              </w:rPr>
              <w:t>octisalate</w:t>
            </w:r>
            <w:proofErr w:type="spellEnd"/>
          </w:p>
        </w:tc>
        <w:tc>
          <w:tcPr>
            <w:tcW w:w="1739" w:type="dxa"/>
            <w:shd w:val="clear" w:color="auto" w:fill="auto"/>
          </w:tcPr>
          <w:p w14:paraId="2379F1EE" w14:textId="77777777" w:rsidR="003C4010" w:rsidRPr="007B38C6" w:rsidRDefault="003C4010" w:rsidP="00420179">
            <w:pPr>
              <w:pStyle w:val="TableParagraph"/>
              <w:spacing w:before="121"/>
              <w:ind w:left="105"/>
              <w:rPr>
                <w:rFonts w:ascii="Arial" w:hAnsi="Arial" w:cs="Arial"/>
              </w:rPr>
            </w:pPr>
            <w:r w:rsidRPr="007B38C6">
              <w:rPr>
                <w:rFonts w:ascii="Arial" w:hAnsi="Arial" w:cs="Arial"/>
              </w:rPr>
              <w:t>5%</w:t>
            </w:r>
          </w:p>
        </w:tc>
      </w:tr>
      <w:tr w:rsidR="003C4010" w:rsidRPr="00F57B6F" w14:paraId="6781AE18" w14:textId="77777777" w:rsidTr="00F5642D">
        <w:trPr>
          <w:trHeight w:val="815"/>
        </w:trPr>
        <w:tc>
          <w:tcPr>
            <w:tcW w:w="2693" w:type="dxa"/>
            <w:shd w:val="clear" w:color="auto" w:fill="E7E6E6"/>
          </w:tcPr>
          <w:p w14:paraId="5FA54C86" w14:textId="77777777" w:rsidR="003C4010" w:rsidRPr="007B38C6" w:rsidRDefault="003C4010" w:rsidP="00420179">
            <w:pPr>
              <w:pStyle w:val="TableParagraph"/>
              <w:rPr>
                <w:rFonts w:ascii="Arial" w:hAnsi="Arial" w:cs="Arial"/>
              </w:rPr>
            </w:pPr>
            <w:r w:rsidRPr="007B38C6">
              <w:rPr>
                <w:rFonts w:ascii="Arial" w:hAnsi="Arial" w:cs="Arial"/>
              </w:rPr>
              <w:t>octocrylene</w:t>
            </w:r>
          </w:p>
        </w:tc>
        <w:tc>
          <w:tcPr>
            <w:tcW w:w="1418" w:type="dxa"/>
          </w:tcPr>
          <w:p w14:paraId="6375929C" w14:textId="77777777" w:rsidR="003C4010" w:rsidRPr="007B38C6" w:rsidRDefault="003C4010" w:rsidP="00420179">
            <w:pPr>
              <w:pStyle w:val="TableParagraph"/>
              <w:rPr>
                <w:rFonts w:ascii="Arial" w:hAnsi="Arial" w:cs="Arial"/>
              </w:rPr>
            </w:pPr>
            <w:r w:rsidRPr="007B38C6">
              <w:rPr>
                <w:rFonts w:ascii="Arial" w:hAnsi="Arial" w:cs="Arial"/>
              </w:rPr>
              <w:t>6197-30-4</w:t>
            </w:r>
          </w:p>
        </w:tc>
        <w:tc>
          <w:tcPr>
            <w:tcW w:w="3260" w:type="dxa"/>
          </w:tcPr>
          <w:p w14:paraId="30865406" w14:textId="77777777" w:rsidR="003C4010" w:rsidRPr="007B38C6" w:rsidRDefault="003C4010" w:rsidP="00420179">
            <w:pPr>
              <w:pStyle w:val="TableParagraph"/>
              <w:ind w:left="106" w:right="810"/>
              <w:rPr>
                <w:rFonts w:ascii="Arial" w:hAnsi="Arial" w:cs="Arial"/>
              </w:rPr>
            </w:pPr>
            <w:r w:rsidRPr="007B38C6">
              <w:rPr>
                <w:rFonts w:ascii="Arial" w:hAnsi="Arial" w:cs="Arial"/>
              </w:rPr>
              <w:t>2-ethylhexyl-2-cyano-3,3</w:t>
            </w:r>
            <w:r w:rsidRPr="007B38C6">
              <w:rPr>
                <w:rFonts w:ascii="Arial" w:hAnsi="Arial" w:cs="Arial"/>
                <w:spacing w:val="-46"/>
              </w:rPr>
              <w:t xml:space="preserve"> </w:t>
            </w:r>
            <w:proofErr w:type="spellStart"/>
            <w:r w:rsidRPr="007B38C6">
              <w:rPr>
                <w:rFonts w:ascii="Arial" w:hAnsi="Arial" w:cs="Arial"/>
              </w:rPr>
              <w:t>diphenylacrylate</w:t>
            </w:r>
            <w:proofErr w:type="spellEnd"/>
          </w:p>
        </w:tc>
        <w:tc>
          <w:tcPr>
            <w:tcW w:w="1739" w:type="dxa"/>
            <w:shd w:val="clear" w:color="auto" w:fill="auto"/>
          </w:tcPr>
          <w:p w14:paraId="2C522C7E" w14:textId="77777777" w:rsidR="003C4010" w:rsidRPr="007B38C6" w:rsidRDefault="003C4010" w:rsidP="00420179">
            <w:pPr>
              <w:pStyle w:val="TableParagraph"/>
              <w:ind w:left="106"/>
              <w:rPr>
                <w:rFonts w:ascii="Arial" w:hAnsi="Arial" w:cs="Arial"/>
              </w:rPr>
            </w:pPr>
            <w:r w:rsidRPr="007B38C6">
              <w:rPr>
                <w:rFonts w:ascii="Arial" w:hAnsi="Arial" w:cs="Arial"/>
              </w:rPr>
              <w:t>10%</w:t>
            </w:r>
          </w:p>
        </w:tc>
      </w:tr>
      <w:tr w:rsidR="003C4010" w:rsidRPr="00F57B6F" w14:paraId="0ED1E005" w14:textId="77777777" w:rsidTr="00F5642D">
        <w:trPr>
          <w:trHeight w:val="558"/>
        </w:trPr>
        <w:tc>
          <w:tcPr>
            <w:tcW w:w="2693" w:type="dxa"/>
            <w:shd w:val="clear" w:color="auto" w:fill="E7E6E6"/>
          </w:tcPr>
          <w:p w14:paraId="7500C421" w14:textId="77777777" w:rsidR="003C4010" w:rsidRPr="007B38C6" w:rsidRDefault="003C4010" w:rsidP="00420179">
            <w:pPr>
              <w:pStyle w:val="TableParagraph"/>
              <w:rPr>
                <w:rFonts w:ascii="Arial" w:hAnsi="Arial" w:cs="Arial"/>
              </w:rPr>
            </w:pPr>
            <w:r w:rsidRPr="007B38C6">
              <w:rPr>
                <w:rFonts w:ascii="Arial" w:hAnsi="Arial" w:cs="Arial"/>
              </w:rPr>
              <w:t>oxybenzone</w:t>
            </w:r>
          </w:p>
        </w:tc>
        <w:tc>
          <w:tcPr>
            <w:tcW w:w="1418" w:type="dxa"/>
          </w:tcPr>
          <w:p w14:paraId="39711808" w14:textId="77777777" w:rsidR="003C4010" w:rsidRPr="007B38C6" w:rsidRDefault="003C4010" w:rsidP="00420179">
            <w:pPr>
              <w:pStyle w:val="TableParagraph"/>
              <w:rPr>
                <w:rFonts w:ascii="Arial" w:hAnsi="Arial" w:cs="Arial"/>
              </w:rPr>
            </w:pPr>
            <w:r w:rsidRPr="007B38C6">
              <w:rPr>
                <w:rFonts w:ascii="Arial" w:hAnsi="Arial" w:cs="Arial"/>
              </w:rPr>
              <w:t>131-57-7</w:t>
            </w:r>
          </w:p>
        </w:tc>
        <w:tc>
          <w:tcPr>
            <w:tcW w:w="3260" w:type="dxa"/>
          </w:tcPr>
          <w:p w14:paraId="42B3B011" w14:textId="77777777" w:rsidR="003C4010" w:rsidRPr="007B38C6" w:rsidRDefault="003C4010" w:rsidP="00420179">
            <w:pPr>
              <w:pStyle w:val="TableParagraph"/>
              <w:ind w:left="106"/>
              <w:rPr>
                <w:rFonts w:ascii="Arial" w:hAnsi="Arial" w:cs="Arial"/>
              </w:rPr>
            </w:pPr>
            <w:r w:rsidRPr="007B38C6">
              <w:rPr>
                <w:rFonts w:ascii="Arial" w:hAnsi="Arial" w:cs="Arial"/>
              </w:rPr>
              <w:t>benzophenone</w:t>
            </w:r>
            <w:r w:rsidRPr="007B38C6">
              <w:rPr>
                <w:rFonts w:ascii="Arial" w:hAnsi="Arial" w:cs="Arial"/>
                <w:spacing w:val="-2"/>
              </w:rPr>
              <w:t xml:space="preserve"> </w:t>
            </w:r>
            <w:r w:rsidRPr="007B38C6">
              <w:rPr>
                <w:rFonts w:ascii="Arial" w:hAnsi="Arial" w:cs="Arial"/>
              </w:rPr>
              <w:t>3</w:t>
            </w:r>
          </w:p>
        </w:tc>
        <w:tc>
          <w:tcPr>
            <w:tcW w:w="1739" w:type="dxa"/>
            <w:shd w:val="clear" w:color="auto" w:fill="auto"/>
          </w:tcPr>
          <w:p w14:paraId="027648C2" w14:textId="77777777" w:rsidR="003C4010" w:rsidRPr="007B38C6" w:rsidRDefault="003C4010" w:rsidP="00420179">
            <w:pPr>
              <w:pStyle w:val="TableParagraph"/>
              <w:ind w:left="106"/>
              <w:rPr>
                <w:rFonts w:ascii="Arial" w:hAnsi="Arial" w:cs="Arial"/>
              </w:rPr>
            </w:pPr>
            <w:r w:rsidRPr="007B38C6">
              <w:rPr>
                <w:rFonts w:ascii="Arial" w:hAnsi="Arial" w:cs="Arial"/>
              </w:rPr>
              <w:t>10%</w:t>
            </w:r>
          </w:p>
        </w:tc>
      </w:tr>
      <w:tr w:rsidR="003C4010" w:rsidRPr="00F57B6F" w14:paraId="453C2EA0" w14:textId="77777777" w:rsidTr="00F5642D">
        <w:trPr>
          <w:trHeight w:val="1074"/>
        </w:trPr>
        <w:tc>
          <w:tcPr>
            <w:tcW w:w="2693" w:type="dxa"/>
            <w:shd w:val="clear" w:color="auto" w:fill="E7E6E6"/>
          </w:tcPr>
          <w:p w14:paraId="248BD35F" w14:textId="77777777" w:rsidR="003C4010" w:rsidRPr="007B38C6" w:rsidRDefault="003C4010" w:rsidP="00420179">
            <w:pPr>
              <w:pStyle w:val="TableParagraph"/>
              <w:rPr>
                <w:rFonts w:ascii="Arial" w:hAnsi="Arial" w:cs="Arial"/>
              </w:rPr>
            </w:pPr>
            <w:r w:rsidRPr="007B38C6">
              <w:rPr>
                <w:rFonts w:ascii="Arial" w:hAnsi="Arial" w:cs="Arial"/>
              </w:rPr>
              <w:t>padimate</w:t>
            </w:r>
            <w:r w:rsidRPr="007B38C6">
              <w:rPr>
                <w:rFonts w:ascii="Arial" w:hAnsi="Arial" w:cs="Arial"/>
                <w:spacing w:val="-2"/>
              </w:rPr>
              <w:t xml:space="preserve"> </w:t>
            </w:r>
            <w:r w:rsidRPr="007B38C6">
              <w:rPr>
                <w:rFonts w:ascii="Arial" w:hAnsi="Arial" w:cs="Arial"/>
              </w:rPr>
              <w:t>O</w:t>
            </w:r>
          </w:p>
        </w:tc>
        <w:tc>
          <w:tcPr>
            <w:tcW w:w="1418" w:type="dxa"/>
          </w:tcPr>
          <w:p w14:paraId="2338ACCB" w14:textId="77777777" w:rsidR="003C4010" w:rsidRPr="007B38C6" w:rsidRDefault="003C4010" w:rsidP="00420179">
            <w:pPr>
              <w:pStyle w:val="TableParagraph"/>
              <w:rPr>
                <w:rFonts w:ascii="Arial" w:hAnsi="Arial" w:cs="Arial"/>
              </w:rPr>
            </w:pPr>
            <w:r w:rsidRPr="007B38C6">
              <w:rPr>
                <w:rFonts w:ascii="Arial" w:hAnsi="Arial" w:cs="Arial"/>
              </w:rPr>
              <w:t>21245-02-3</w:t>
            </w:r>
          </w:p>
        </w:tc>
        <w:tc>
          <w:tcPr>
            <w:tcW w:w="3260" w:type="dxa"/>
          </w:tcPr>
          <w:p w14:paraId="5049B3F3" w14:textId="77777777" w:rsidR="003C4010" w:rsidRPr="007B38C6" w:rsidRDefault="003C4010" w:rsidP="00420179">
            <w:pPr>
              <w:pStyle w:val="TableParagraph"/>
              <w:ind w:left="106"/>
              <w:rPr>
                <w:rFonts w:ascii="Arial" w:hAnsi="Arial" w:cs="Arial"/>
              </w:rPr>
            </w:pPr>
            <w:proofErr w:type="spellStart"/>
            <w:r w:rsidRPr="007B38C6">
              <w:rPr>
                <w:rFonts w:ascii="Arial" w:hAnsi="Arial" w:cs="Arial"/>
              </w:rPr>
              <w:t>ethylhexyl</w:t>
            </w:r>
            <w:proofErr w:type="spellEnd"/>
            <w:r w:rsidRPr="007B38C6">
              <w:rPr>
                <w:rFonts w:ascii="Arial" w:hAnsi="Arial" w:cs="Arial"/>
                <w:spacing w:val="-3"/>
              </w:rPr>
              <w:t xml:space="preserve"> </w:t>
            </w:r>
            <w:r w:rsidRPr="007B38C6">
              <w:rPr>
                <w:rFonts w:ascii="Arial" w:hAnsi="Arial" w:cs="Arial"/>
              </w:rPr>
              <w:t>dimethyl</w:t>
            </w:r>
            <w:r w:rsidRPr="007B38C6">
              <w:rPr>
                <w:rFonts w:ascii="Arial" w:hAnsi="Arial" w:cs="Arial"/>
                <w:spacing w:val="-3"/>
              </w:rPr>
              <w:t xml:space="preserve"> </w:t>
            </w:r>
            <w:r w:rsidRPr="007B38C6">
              <w:rPr>
                <w:rFonts w:ascii="Arial" w:hAnsi="Arial" w:cs="Arial"/>
              </w:rPr>
              <w:t>PABA</w:t>
            </w:r>
          </w:p>
          <w:p w14:paraId="368940B4" w14:textId="77777777" w:rsidR="003C4010" w:rsidRPr="007B38C6" w:rsidRDefault="003C4010" w:rsidP="00420179">
            <w:pPr>
              <w:pStyle w:val="TableParagraph"/>
              <w:spacing w:before="1"/>
              <w:ind w:left="106" w:right="228"/>
              <w:rPr>
                <w:rFonts w:ascii="Arial" w:hAnsi="Arial" w:cs="Arial"/>
              </w:rPr>
            </w:pPr>
            <w:r w:rsidRPr="007B38C6">
              <w:rPr>
                <w:rFonts w:ascii="Arial" w:hAnsi="Arial" w:cs="Arial"/>
              </w:rPr>
              <w:t>4-(</w:t>
            </w:r>
            <w:proofErr w:type="spellStart"/>
            <w:proofErr w:type="gramStart"/>
            <w:r w:rsidRPr="007B38C6">
              <w:rPr>
                <w:rFonts w:ascii="Arial" w:hAnsi="Arial" w:cs="Arial"/>
              </w:rPr>
              <w:t>dimethylamino</w:t>
            </w:r>
            <w:proofErr w:type="spellEnd"/>
            <w:r w:rsidRPr="007B38C6">
              <w:rPr>
                <w:rFonts w:ascii="Arial" w:hAnsi="Arial" w:cs="Arial"/>
              </w:rPr>
              <w:t>)benzoic</w:t>
            </w:r>
            <w:proofErr w:type="gramEnd"/>
            <w:r w:rsidRPr="007B38C6">
              <w:rPr>
                <w:rFonts w:ascii="Arial" w:hAnsi="Arial" w:cs="Arial"/>
              </w:rPr>
              <w:t xml:space="preserve"> acid</w:t>
            </w:r>
            <w:r w:rsidRPr="007B38C6">
              <w:rPr>
                <w:rFonts w:ascii="Arial" w:hAnsi="Arial" w:cs="Arial"/>
                <w:spacing w:val="-46"/>
              </w:rPr>
              <w:t xml:space="preserve"> </w:t>
            </w:r>
            <w:r w:rsidRPr="007B38C6">
              <w:rPr>
                <w:rFonts w:ascii="Arial" w:hAnsi="Arial" w:cs="Arial"/>
              </w:rPr>
              <w:t>2-ethylhexyl</w:t>
            </w:r>
            <w:r w:rsidRPr="007B38C6">
              <w:rPr>
                <w:rFonts w:ascii="Arial" w:hAnsi="Arial" w:cs="Arial"/>
                <w:spacing w:val="-2"/>
              </w:rPr>
              <w:t xml:space="preserve"> </w:t>
            </w:r>
            <w:r w:rsidRPr="007B38C6">
              <w:rPr>
                <w:rFonts w:ascii="Arial" w:hAnsi="Arial" w:cs="Arial"/>
              </w:rPr>
              <w:t>ester</w:t>
            </w:r>
          </w:p>
        </w:tc>
        <w:tc>
          <w:tcPr>
            <w:tcW w:w="1739" w:type="dxa"/>
            <w:shd w:val="clear" w:color="auto" w:fill="auto"/>
          </w:tcPr>
          <w:p w14:paraId="4A84018C" w14:textId="77777777" w:rsidR="003C4010" w:rsidRPr="007B38C6" w:rsidRDefault="003C4010" w:rsidP="00420179">
            <w:pPr>
              <w:pStyle w:val="TableParagraph"/>
              <w:ind w:left="106"/>
              <w:rPr>
                <w:rFonts w:ascii="Arial" w:hAnsi="Arial" w:cs="Arial"/>
              </w:rPr>
            </w:pPr>
            <w:r w:rsidRPr="007B38C6">
              <w:rPr>
                <w:rFonts w:ascii="Arial" w:hAnsi="Arial" w:cs="Arial"/>
              </w:rPr>
              <w:t>8%</w:t>
            </w:r>
          </w:p>
        </w:tc>
      </w:tr>
      <w:tr w:rsidR="003C4010" w:rsidRPr="00F57B6F" w14:paraId="4CDEB48E" w14:textId="77777777" w:rsidTr="00F5642D">
        <w:trPr>
          <w:trHeight w:val="815"/>
        </w:trPr>
        <w:tc>
          <w:tcPr>
            <w:tcW w:w="2693" w:type="dxa"/>
            <w:shd w:val="clear" w:color="auto" w:fill="E7E6E6"/>
          </w:tcPr>
          <w:p w14:paraId="30D59701" w14:textId="77777777" w:rsidR="003C4010" w:rsidRPr="007B38C6" w:rsidRDefault="003C4010" w:rsidP="00420179">
            <w:pPr>
              <w:pStyle w:val="TableParagraph"/>
              <w:rPr>
                <w:rFonts w:ascii="Arial" w:hAnsi="Arial" w:cs="Arial"/>
              </w:rPr>
            </w:pPr>
            <w:r w:rsidRPr="007B38C6">
              <w:rPr>
                <w:rFonts w:ascii="Arial" w:hAnsi="Arial" w:cs="Arial"/>
              </w:rPr>
              <w:t>PEG-25</w:t>
            </w:r>
            <w:r w:rsidRPr="007B38C6">
              <w:rPr>
                <w:rFonts w:ascii="Arial" w:hAnsi="Arial" w:cs="Arial"/>
                <w:spacing w:val="-1"/>
              </w:rPr>
              <w:t xml:space="preserve"> </w:t>
            </w:r>
            <w:r w:rsidRPr="007B38C6">
              <w:rPr>
                <w:rFonts w:ascii="Arial" w:hAnsi="Arial" w:cs="Arial"/>
              </w:rPr>
              <w:t>PABA</w:t>
            </w:r>
          </w:p>
        </w:tc>
        <w:tc>
          <w:tcPr>
            <w:tcW w:w="1418" w:type="dxa"/>
          </w:tcPr>
          <w:p w14:paraId="0D0EC3E7" w14:textId="77777777" w:rsidR="003C4010" w:rsidRPr="007B38C6" w:rsidRDefault="003C4010" w:rsidP="00420179">
            <w:pPr>
              <w:pStyle w:val="TableParagraph"/>
              <w:rPr>
                <w:rFonts w:ascii="Arial" w:hAnsi="Arial" w:cs="Arial"/>
              </w:rPr>
            </w:pPr>
            <w:r w:rsidRPr="007B38C6">
              <w:rPr>
                <w:rFonts w:ascii="Arial" w:hAnsi="Arial" w:cs="Arial"/>
              </w:rPr>
              <w:t>113010-52-9</w:t>
            </w:r>
          </w:p>
        </w:tc>
        <w:tc>
          <w:tcPr>
            <w:tcW w:w="3260" w:type="dxa"/>
          </w:tcPr>
          <w:p w14:paraId="0A7E33C9" w14:textId="77777777" w:rsidR="003C4010" w:rsidRPr="007B38C6" w:rsidRDefault="003C4010" w:rsidP="00420179">
            <w:pPr>
              <w:pStyle w:val="TableParagraph"/>
              <w:ind w:left="106" w:right="1295"/>
              <w:rPr>
                <w:rFonts w:ascii="Arial" w:hAnsi="Arial" w:cs="Arial"/>
              </w:rPr>
            </w:pPr>
            <w:r w:rsidRPr="007B38C6">
              <w:rPr>
                <w:rFonts w:ascii="Arial" w:hAnsi="Arial" w:cs="Arial"/>
              </w:rPr>
              <w:t>ethoxylated ethyl 4-</w:t>
            </w:r>
            <w:r w:rsidRPr="007B38C6">
              <w:rPr>
                <w:rFonts w:ascii="Arial" w:hAnsi="Arial" w:cs="Arial"/>
                <w:spacing w:val="-46"/>
              </w:rPr>
              <w:t xml:space="preserve"> </w:t>
            </w:r>
            <w:r w:rsidRPr="007B38C6">
              <w:rPr>
                <w:rFonts w:ascii="Arial" w:hAnsi="Arial" w:cs="Arial"/>
              </w:rPr>
              <w:t>aminobenzoate</w:t>
            </w:r>
          </w:p>
        </w:tc>
        <w:tc>
          <w:tcPr>
            <w:tcW w:w="1739" w:type="dxa"/>
          </w:tcPr>
          <w:p w14:paraId="269568B5" w14:textId="77777777" w:rsidR="003C4010" w:rsidRPr="007B38C6" w:rsidRDefault="003C4010" w:rsidP="00420179">
            <w:pPr>
              <w:pStyle w:val="TableParagraph"/>
              <w:ind w:left="106"/>
              <w:rPr>
                <w:rFonts w:ascii="Arial" w:hAnsi="Arial" w:cs="Arial"/>
              </w:rPr>
            </w:pPr>
            <w:r w:rsidRPr="007B38C6">
              <w:rPr>
                <w:rFonts w:ascii="Arial" w:hAnsi="Arial" w:cs="Arial"/>
              </w:rPr>
              <w:t>10%</w:t>
            </w:r>
          </w:p>
        </w:tc>
      </w:tr>
      <w:tr w:rsidR="003C4010" w:rsidRPr="00F57B6F" w14:paraId="36BCD537" w14:textId="77777777" w:rsidTr="00F5642D">
        <w:trPr>
          <w:trHeight w:val="1331"/>
        </w:trPr>
        <w:tc>
          <w:tcPr>
            <w:tcW w:w="2693" w:type="dxa"/>
            <w:shd w:val="clear" w:color="auto" w:fill="E7E6E6"/>
          </w:tcPr>
          <w:p w14:paraId="16C18C65" w14:textId="77777777" w:rsidR="003C4010" w:rsidRPr="007B38C6" w:rsidRDefault="003C4010" w:rsidP="00420179">
            <w:pPr>
              <w:pStyle w:val="TableParagraph"/>
              <w:ind w:right="381"/>
              <w:rPr>
                <w:rFonts w:ascii="Arial" w:hAnsi="Arial" w:cs="Arial"/>
              </w:rPr>
            </w:pPr>
            <w:proofErr w:type="spellStart"/>
            <w:r w:rsidRPr="007B38C6">
              <w:rPr>
                <w:rFonts w:ascii="Arial" w:hAnsi="Arial" w:cs="Arial"/>
              </w:rPr>
              <w:t>phenylbenzimidazole</w:t>
            </w:r>
            <w:proofErr w:type="spellEnd"/>
            <w:r w:rsidRPr="007B38C6">
              <w:rPr>
                <w:rFonts w:ascii="Arial" w:hAnsi="Arial" w:cs="Arial"/>
                <w:spacing w:val="-46"/>
              </w:rPr>
              <w:t xml:space="preserve"> </w:t>
            </w:r>
            <w:r w:rsidRPr="007B38C6">
              <w:rPr>
                <w:rFonts w:ascii="Arial" w:hAnsi="Arial" w:cs="Arial"/>
              </w:rPr>
              <w:t>sulfonic</w:t>
            </w:r>
            <w:r w:rsidRPr="007B38C6">
              <w:rPr>
                <w:rFonts w:ascii="Arial" w:hAnsi="Arial" w:cs="Arial"/>
                <w:spacing w:val="-1"/>
              </w:rPr>
              <w:t xml:space="preserve"> </w:t>
            </w:r>
            <w:r w:rsidRPr="007B38C6">
              <w:rPr>
                <w:rFonts w:ascii="Arial" w:hAnsi="Arial" w:cs="Arial"/>
              </w:rPr>
              <w:t>acid</w:t>
            </w:r>
          </w:p>
        </w:tc>
        <w:tc>
          <w:tcPr>
            <w:tcW w:w="1418" w:type="dxa"/>
          </w:tcPr>
          <w:p w14:paraId="1A33CC3F" w14:textId="77777777" w:rsidR="003C4010" w:rsidRPr="007B38C6" w:rsidRDefault="003C4010" w:rsidP="00420179">
            <w:pPr>
              <w:pStyle w:val="TableParagraph"/>
              <w:rPr>
                <w:rFonts w:ascii="Arial" w:hAnsi="Arial" w:cs="Arial"/>
              </w:rPr>
            </w:pPr>
            <w:r w:rsidRPr="007B38C6">
              <w:rPr>
                <w:rFonts w:ascii="Arial" w:hAnsi="Arial" w:cs="Arial"/>
              </w:rPr>
              <w:t>27503-81-7</w:t>
            </w:r>
          </w:p>
        </w:tc>
        <w:tc>
          <w:tcPr>
            <w:tcW w:w="3260" w:type="dxa"/>
          </w:tcPr>
          <w:p w14:paraId="502F4049" w14:textId="77777777" w:rsidR="003C4010" w:rsidRPr="007B38C6" w:rsidRDefault="003C4010" w:rsidP="00420179">
            <w:pPr>
              <w:pStyle w:val="TableParagraph"/>
              <w:ind w:left="106" w:right="512"/>
              <w:rPr>
                <w:rFonts w:ascii="Arial" w:hAnsi="Arial" w:cs="Arial"/>
              </w:rPr>
            </w:pPr>
            <w:r w:rsidRPr="007B38C6">
              <w:rPr>
                <w:rFonts w:ascii="Arial" w:hAnsi="Arial" w:cs="Arial"/>
                <w:spacing w:val="-1"/>
              </w:rPr>
              <w:t>2-phenylbenzimidazole-5-</w:t>
            </w:r>
            <w:r w:rsidRPr="007B38C6">
              <w:rPr>
                <w:rFonts w:ascii="Arial" w:hAnsi="Arial" w:cs="Arial"/>
                <w:spacing w:val="-46"/>
              </w:rPr>
              <w:t xml:space="preserve"> </w:t>
            </w:r>
            <w:r w:rsidRPr="007B38C6">
              <w:rPr>
                <w:rFonts w:ascii="Arial" w:hAnsi="Arial" w:cs="Arial"/>
              </w:rPr>
              <w:t>sulfonic</w:t>
            </w:r>
            <w:r w:rsidRPr="007B38C6">
              <w:rPr>
                <w:rFonts w:ascii="Arial" w:hAnsi="Arial" w:cs="Arial"/>
                <w:spacing w:val="-1"/>
              </w:rPr>
              <w:t xml:space="preserve"> </w:t>
            </w:r>
            <w:r w:rsidRPr="007B38C6">
              <w:rPr>
                <w:rFonts w:ascii="Arial" w:hAnsi="Arial" w:cs="Arial"/>
              </w:rPr>
              <w:t>acid</w:t>
            </w:r>
          </w:p>
          <w:p w14:paraId="3FC22196" w14:textId="77777777" w:rsidR="003C4010" w:rsidRPr="007B38C6" w:rsidRDefault="003C4010" w:rsidP="00420179">
            <w:pPr>
              <w:pStyle w:val="TableParagraph"/>
              <w:spacing w:before="0"/>
              <w:ind w:left="106" w:right="233"/>
              <w:rPr>
                <w:rFonts w:ascii="Arial" w:hAnsi="Arial" w:cs="Arial"/>
              </w:rPr>
            </w:pPr>
            <w:r w:rsidRPr="007B38C6">
              <w:rPr>
                <w:rFonts w:ascii="Arial" w:hAnsi="Arial" w:cs="Arial"/>
              </w:rPr>
              <w:t>2-phenyl-5-sulfobenzimidazole</w:t>
            </w:r>
            <w:r w:rsidRPr="007B38C6">
              <w:rPr>
                <w:rFonts w:ascii="Arial" w:hAnsi="Arial" w:cs="Arial"/>
                <w:spacing w:val="-46"/>
              </w:rPr>
              <w:t xml:space="preserve"> </w:t>
            </w:r>
            <w:proofErr w:type="spellStart"/>
            <w:r w:rsidRPr="007B38C6">
              <w:rPr>
                <w:rFonts w:ascii="Arial" w:hAnsi="Arial" w:cs="Arial"/>
              </w:rPr>
              <w:t>ensulizole</w:t>
            </w:r>
            <w:proofErr w:type="spellEnd"/>
          </w:p>
        </w:tc>
        <w:tc>
          <w:tcPr>
            <w:tcW w:w="1739" w:type="dxa"/>
            <w:shd w:val="clear" w:color="auto" w:fill="auto"/>
          </w:tcPr>
          <w:p w14:paraId="158F5501" w14:textId="77777777" w:rsidR="003C4010" w:rsidRPr="007B38C6" w:rsidRDefault="003C4010" w:rsidP="00420179">
            <w:pPr>
              <w:pStyle w:val="TableParagraph"/>
              <w:ind w:left="106"/>
              <w:rPr>
                <w:rFonts w:ascii="Arial" w:hAnsi="Arial" w:cs="Arial"/>
              </w:rPr>
            </w:pPr>
            <w:r w:rsidRPr="007B38C6">
              <w:rPr>
                <w:rFonts w:ascii="Arial" w:hAnsi="Arial" w:cs="Arial"/>
              </w:rPr>
              <w:t>4%</w:t>
            </w:r>
          </w:p>
        </w:tc>
      </w:tr>
      <w:tr w:rsidR="003C4010" w:rsidRPr="00F57B6F" w14:paraId="4508D131" w14:textId="77777777" w:rsidTr="00F5642D">
        <w:trPr>
          <w:trHeight w:val="1590"/>
        </w:trPr>
        <w:tc>
          <w:tcPr>
            <w:tcW w:w="2693" w:type="dxa"/>
            <w:shd w:val="clear" w:color="auto" w:fill="E7E6E6"/>
          </w:tcPr>
          <w:p w14:paraId="054C6E42" w14:textId="77777777" w:rsidR="003C4010" w:rsidRPr="007B38C6" w:rsidRDefault="003C4010" w:rsidP="00420179">
            <w:pPr>
              <w:pStyle w:val="TableParagraph"/>
              <w:rPr>
                <w:rFonts w:ascii="Arial" w:hAnsi="Arial" w:cs="Arial"/>
              </w:rPr>
            </w:pPr>
            <w:r w:rsidRPr="007B38C6">
              <w:rPr>
                <w:rFonts w:ascii="Arial" w:hAnsi="Arial" w:cs="Arial"/>
              </w:rPr>
              <w:lastRenderedPageBreak/>
              <w:t>polysilicone-15</w:t>
            </w:r>
          </w:p>
        </w:tc>
        <w:tc>
          <w:tcPr>
            <w:tcW w:w="1418" w:type="dxa"/>
          </w:tcPr>
          <w:p w14:paraId="602E9432" w14:textId="77777777" w:rsidR="003C4010" w:rsidRPr="007B38C6" w:rsidRDefault="003C4010" w:rsidP="00420179">
            <w:pPr>
              <w:pStyle w:val="TableParagraph"/>
              <w:rPr>
                <w:rFonts w:ascii="Arial" w:hAnsi="Arial" w:cs="Arial"/>
              </w:rPr>
            </w:pPr>
            <w:r w:rsidRPr="007B38C6">
              <w:rPr>
                <w:rFonts w:ascii="Arial" w:hAnsi="Arial" w:cs="Arial"/>
              </w:rPr>
              <w:t>207574-74-1</w:t>
            </w:r>
          </w:p>
        </w:tc>
        <w:tc>
          <w:tcPr>
            <w:tcW w:w="3260" w:type="dxa"/>
          </w:tcPr>
          <w:p w14:paraId="75F8212C" w14:textId="77777777" w:rsidR="003C4010" w:rsidRPr="007B38C6" w:rsidRDefault="003C4010" w:rsidP="00420179">
            <w:pPr>
              <w:pStyle w:val="TableParagraph"/>
              <w:ind w:left="106" w:right="71"/>
              <w:rPr>
                <w:rFonts w:ascii="Arial" w:hAnsi="Arial" w:cs="Arial"/>
              </w:rPr>
            </w:pPr>
            <w:proofErr w:type="spellStart"/>
            <w:r w:rsidRPr="007B38C6">
              <w:rPr>
                <w:rFonts w:ascii="Arial" w:hAnsi="Arial" w:cs="Arial"/>
              </w:rPr>
              <w:t>diethylmalonylbenzylidene</w:t>
            </w:r>
            <w:proofErr w:type="spellEnd"/>
            <w:r w:rsidRPr="007B38C6">
              <w:rPr>
                <w:rFonts w:ascii="Arial" w:hAnsi="Arial" w:cs="Arial"/>
                <w:spacing w:val="1"/>
              </w:rPr>
              <w:t xml:space="preserve"> </w:t>
            </w:r>
            <w:proofErr w:type="spellStart"/>
            <w:r w:rsidRPr="007B38C6">
              <w:rPr>
                <w:rFonts w:ascii="Arial" w:hAnsi="Arial" w:cs="Arial"/>
              </w:rPr>
              <w:t>oxypropene</w:t>
            </w:r>
            <w:proofErr w:type="spellEnd"/>
            <w:r w:rsidRPr="007B38C6">
              <w:rPr>
                <w:rFonts w:ascii="Arial" w:hAnsi="Arial" w:cs="Arial"/>
              </w:rPr>
              <w:t xml:space="preserve"> dimethicone</w:t>
            </w:r>
            <w:r w:rsidRPr="007B38C6">
              <w:rPr>
                <w:rFonts w:ascii="Arial" w:hAnsi="Arial" w:cs="Arial"/>
                <w:spacing w:val="1"/>
              </w:rPr>
              <w:t xml:space="preserve"> </w:t>
            </w:r>
            <w:proofErr w:type="spellStart"/>
            <w:r w:rsidRPr="007B38C6">
              <w:rPr>
                <w:rFonts w:ascii="Arial" w:hAnsi="Arial" w:cs="Arial"/>
              </w:rPr>
              <w:t>dimethicodiethylbenzalmalonate</w:t>
            </w:r>
            <w:proofErr w:type="spellEnd"/>
            <w:r w:rsidRPr="007B38C6">
              <w:rPr>
                <w:rFonts w:ascii="Arial" w:hAnsi="Arial" w:cs="Arial"/>
                <w:spacing w:val="-46"/>
              </w:rPr>
              <w:t xml:space="preserve"> </w:t>
            </w:r>
            <w:proofErr w:type="spellStart"/>
            <w:r w:rsidRPr="007B38C6">
              <w:rPr>
                <w:rFonts w:ascii="Arial" w:hAnsi="Arial" w:cs="Arial"/>
              </w:rPr>
              <w:t>diethylbezylidene</w:t>
            </w:r>
            <w:proofErr w:type="spellEnd"/>
            <w:r w:rsidRPr="007B38C6">
              <w:rPr>
                <w:rFonts w:ascii="Arial" w:hAnsi="Arial" w:cs="Arial"/>
              </w:rPr>
              <w:t xml:space="preserve"> malonate</w:t>
            </w:r>
            <w:r w:rsidRPr="007B38C6">
              <w:rPr>
                <w:rFonts w:ascii="Arial" w:hAnsi="Arial" w:cs="Arial"/>
                <w:spacing w:val="1"/>
              </w:rPr>
              <w:t xml:space="preserve"> </w:t>
            </w:r>
            <w:r w:rsidRPr="007B38C6">
              <w:rPr>
                <w:rFonts w:ascii="Arial" w:hAnsi="Arial" w:cs="Arial"/>
              </w:rPr>
              <w:t>dimethicone</w:t>
            </w:r>
          </w:p>
        </w:tc>
        <w:tc>
          <w:tcPr>
            <w:tcW w:w="1739" w:type="dxa"/>
            <w:shd w:val="clear" w:color="auto" w:fill="auto"/>
          </w:tcPr>
          <w:p w14:paraId="4B1D7B1C" w14:textId="77777777" w:rsidR="003C4010" w:rsidRPr="007B38C6" w:rsidRDefault="003C4010" w:rsidP="00420179">
            <w:pPr>
              <w:pStyle w:val="TableParagraph"/>
              <w:ind w:left="106"/>
              <w:rPr>
                <w:rFonts w:ascii="Arial" w:hAnsi="Arial" w:cs="Arial"/>
              </w:rPr>
            </w:pPr>
            <w:r w:rsidRPr="007B38C6">
              <w:rPr>
                <w:rFonts w:ascii="Arial" w:hAnsi="Arial" w:cs="Arial"/>
              </w:rPr>
              <w:t>10%</w:t>
            </w:r>
          </w:p>
        </w:tc>
      </w:tr>
      <w:tr w:rsidR="003C4010" w:rsidRPr="00F57B6F" w14:paraId="335510FB" w14:textId="77777777" w:rsidTr="00F5642D">
        <w:trPr>
          <w:trHeight w:val="555"/>
        </w:trPr>
        <w:tc>
          <w:tcPr>
            <w:tcW w:w="2693" w:type="dxa"/>
            <w:shd w:val="clear" w:color="auto" w:fill="E7E6E6"/>
          </w:tcPr>
          <w:p w14:paraId="7E4E0D7A" w14:textId="77777777" w:rsidR="003C4010" w:rsidRPr="007B38C6" w:rsidRDefault="003C4010" w:rsidP="00420179">
            <w:pPr>
              <w:pStyle w:val="TableParagraph"/>
              <w:rPr>
                <w:rFonts w:ascii="Arial" w:hAnsi="Arial" w:cs="Arial"/>
              </w:rPr>
            </w:pPr>
            <w:proofErr w:type="spellStart"/>
            <w:r w:rsidRPr="007B38C6">
              <w:rPr>
                <w:rFonts w:ascii="Arial" w:hAnsi="Arial" w:cs="Arial"/>
              </w:rPr>
              <w:t>sulisobenzone</w:t>
            </w:r>
            <w:proofErr w:type="spellEnd"/>
          </w:p>
        </w:tc>
        <w:tc>
          <w:tcPr>
            <w:tcW w:w="1418" w:type="dxa"/>
          </w:tcPr>
          <w:p w14:paraId="136808DE" w14:textId="77777777" w:rsidR="003C4010" w:rsidRPr="007B38C6" w:rsidRDefault="003C4010" w:rsidP="00420179">
            <w:pPr>
              <w:pStyle w:val="TableParagraph"/>
              <w:rPr>
                <w:rFonts w:ascii="Arial" w:hAnsi="Arial" w:cs="Arial"/>
              </w:rPr>
            </w:pPr>
            <w:r w:rsidRPr="007B38C6">
              <w:rPr>
                <w:rFonts w:ascii="Arial" w:hAnsi="Arial" w:cs="Arial"/>
              </w:rPr>
              <w:t>4065-45-6</w:t>
            </w:r>
          </w:p>
        </w:tc>
        <w:tc>
          <w:tcPr>
            <w:tcW w:w="3260" w:type="dxa"/>
          </w:tcPr>
          <w:p w14:paraId="1928F6C1" w14:textId="77777777" w:rsidR="003C4010" w:rsidRPr="007B38C6" w:rsidRDefault="003C4010" w:rsidP="00420179">
            <w:pPr>
              <w:pStyle w:val="TableParagraph"/>
              <w:ind w:left="106"/>
              <w:rPr>
                <w:rFonts w:ascii="Arial" w:hAnsi="Arial" w:cs="Arial"/>
              </w:rPr>
            </w:pPr>
            <w:r w:rsidRPr="007B38C6">
              <w:rPr>
                <w:rFonts w:ascii="Arial" w:hAnsi="Arial" w:cs="Arial"/>
              </w:rPr>
              <w:t>benzophenone</w:t>
            </w:r>
            <w:r w:rsidRPr="007B38C6">
              <w:rPr>
                <w:rFonts w:ascii="Arial" w:hAnsi="Arial" w:cs="Arial"/>
                <w:spacing w:val="-2"/>
              </w:rPr>
              <w:t xml:space="preserve"> </w:t>
            </w:r>
            <w:r w:rsidRPr="007B38C6">
              <w:rPr>
                <w:rFonts w:ascii="Arial" w:hAnsi="Arial" w:cs="Arial"/>
              </w:rPr>
              <w:t>4</w:t>
            </w:r>
          </w:p>
        </w:tc>
        <w:tc>
          <w:tcPr>
            <w:tcW w:w="1739" w:type="dxa"/>
            <w:shd w:val="clear" w:color="auto" w:fill="auto"/>
          </w:tcPr>
          <w:p w14:paraId="538F163D" w14:textId="77777777" w:rsidR="003C4010" w:rsidRPr="007B38C6" w:rsidRDefault="003C4010" w:rsidP="00420179">
            <w:pPr>
              <w:pStyle w:val="TableParagraph"/>
              <w:ind w:left="106"/>
              <w:rPr>
                <w:rFonts w:ascii="Arial" w:hAnsi="Arial" w:cs="Arial"/>
              </w:rPr>
            </w:pPr>
            <w:r w:rsidRPr="007B38C6">
              <w:rPr>
                <w:rFonts w:ascii="Arial" w:hAnsi="Arial" w:cs="Arial"/>
              </w:rPr>
              <w:t>10%</w:t>
            </w:r>
          </w:p>
        </w:tc>
      </w:tr>
      <w:tr w:rsidR="003C4010" w:rsidRPr="00F57B6F" w14:paraId="43F285CD" w14:textId="77777777" w:rsidTr="00F5642D">
        <w:trPr>
          <w:trHeight w:val="558"/>
        </w:trPr>
        <w:tc>
          <w:tcPr>
            <w:tcW w:w="2693" w:type="dxa"/>
            <w:shd w:val="clear" w:color="auto" w:fill="E7E6E6"/>
          </w:tcPr>
          <w:p w14:paraId="61793975" w14:textId="77777777" w:rsidR="003C4010" w:rsidRPr="007B38C6" w:rsidRDefault="003C4010" w:rsidP="00420179">
            <w:pPr>
              <w:pStyle w:val="TableParagraph"/>
              <w:spacing w:before="121"/>
              <w:rPr>
                <w:rFonts w:ascii="Arial" w:hAnsi="Arial" w:cs="Arial"/>
              </w:rPr>
            </w:pPr>
            <w:proofErr w:type="spellStart"/>
            <w:r w:rsidRPr="007B38C6">
              <w:rPr>
                <w:rFonts w:ascii="Arial" w:hAnsi="Arial" w:cs="Arial"/>
              </w:rPr>
              <w:t>sulisobenzone</w:t>
            </w:r>
            <w:proofErr w:type="spellEnd"/>
            <w:r w:rsidRPr="007B38C6">
              <w:rPr>
                <w:rFonts w:ascii="Arial" w:hAnsi="Arial" w:cs="Arial"/>
                <w:spacing w:val="-4"/>
              </w:rPr>
              <w:t xml:space="preserve"> </w:t>
            </w:r>
            <w:r w:rsidRPr="007B38C6">
              <w:rPr>
                <w:rFonts w:ascii="Arial" w:hAnsi="Arial" w:cs="Arial"/>
              </w:rPr>
              <w:t>sodium</w:t>
            </w:r>
          </w:p>
        </w:tc>
        <w:tc>
          <w:tcPr>
            <w:tcW w:w="1418" w:type="dxa"/>
          </w:tcPr>
          <w:p w14:paraId="029E3A43" w14:textId="77777777" w:rsidR="003C4010" w:rsidRPr="007B38C6" w:rsidRDefault="003C4010" w:rsidP="00420179">
            <w:pPr>
              <w:pStyle w:val="TableParagraph"/>
              <w:spacing w:before="121"/>
              <w:rPr>
                <w:rFonts w:ascii="Arial" w:hAnsi="Arial" w:cs="Arial"/>
              </w:rPr>
            </w:pPr>
            <w:r w:rsidRPr="007B38C6">
              <w:rPr>
                <w:rFonts w:ascii="Arial" w:hAnsi="Arial" w:cs="Arial"/>
              </w:rPr>
              <w:t>6628-37-1</w:t>
            </w:r>
          </w:p>
        </w:tc>
        <w:tc>
          <w:tcPr>
            <w:tcW w:w="3260" w:type="dxa"/>
          </w:tcPr>
          <w:p w14:paraId="0B2DE061" w14:textId="77777777" w:rsidR="003C4010" w:rsidRPr="007B38C6" w:rsidRDefault="003C4010" w:rsidP="00420179">
            <w:pPr>
              <w:pStyle w:val="TableParagraph"/>
              <w:spacing w:before="121"/>
              <w:ind w:left="106"/>
              <w:rPr>
                <w:rFonts w:ascii="Arial" w:hAnsi="Arial" w:cs="Arial"/>
              </w:rPr>
            </w:pPr>
            <w:r w:rsidRPr="007B38C6">
              <w:rPr>
                <w:rFonts w:ascii="Arial" w:hAnsi="Arial" w:cs="Arial"/>
              </w:rPr>
              <w:t>benzophenone</w:t>
            </w:r>
            <w:r w:rsidRPr="007B38C6">
              <w:rPr>
                <w:rFonts w:ascii="Arial" w:hAnsi="Arial" w:cs="Arial"/>
                <w:spacing w:val="-2"/>
              </w:rPr>
              <w:t xml:space="preserve"> </w:t>
            </w:r>
            <w:r w:rsidRPr="007B38C6">
              <w:rPr>
                <w:rFonts w:ascii="Arial" w:hAnsi="Arial" w:cs="Arial"/>
              </w:rPr>
              <w:t>5</w:t>
            </w:r>
          </w:p>
        </w:tc>
        <w:tc>
          <w:tcPr>
            <w:tcW w:w="1739" w:type="dxa"/>
            <w:shd w:val="clear" w:color="auto" w:fill="auto"/>
          </w:tcPr>
          <w:p w14:paraId="7A059A04" w14:textId="77777777" w:rsidR="003C4010" w:rsidRPr="007B38C6" w:rsidRDefault="003C4010" w:rsidP="00420179">
            <w:pPr>
              <w:pStyle w:val="TableParagraph"/>
              <w:spacing w:before="121"/>
              <w:ind w:left="106"/>
              <w:rPr>
                <w:rFonts w:ascii="Arial" w:hAnsi="Arial" w:cs="Arial"/>
              </w:rPr>
            </w:pPr>
            <w:r w:rsidRPr="007B38C6">
              <w:rPr>
                <w:rFonts w:ascii="Arial" w:hAnsi="Arial" w:cs="Arial"/>
              </w:rPr>
              <w:t>10%</w:t>
            </w:r>
          </w:p>
        </w:tc>
      </w:tr>
      <w:tr w:rsidR="003C4010" w:rsidRPr="00F57B6F" w14:paraId="4BCDF167" w14:textId="77777777" w:rsidTr="00F5642D">
        <w:trPr>
          <w:trHeight w:val="997"/>
        </w:trPr>
        <w:tc>
          <w:tcPr>
            <w:tcW w:w="2693" w:type="dxa"/>
            <w:shd w:val="clear" w:color="auto" w:fill="E7E6E6"/>
          </w:tcPr>
          <w:p w14:paraId="4A03EBDA" w14:textId="77777777" w:rsidR="003C4010" w:rsidRPr="007B38C6" w:rsidRDefault="003C4010" w:rsidP="00420179">
            <w:pPr>
              <w:pStyle w:val="TableParagraph"/>
              <w:spacing w:before="121"/>
              <w:rPr>
                <w:rFonts w:ascii="Arial" w:hAnsi="Arial" w:cs="Arial"/>
              </w:rPr>
            </w:pPr>
            <w:r w:rsidRPr="007B38C6">
              <w:rPr>
                <w:rFonts w:ascii="Arial" w:hAnsi="Arial" w:cs="Arial"/>
              </w:rPr>
              <w:t>titanium</w:t>
            </w:r>
            <w:r w:rsidRPr="007B38C6">
              <w:rPr>
                <w:rFonts w:ascii="Arial" w:hAnsi="Arial" w:cs="Arial"/>
                <w:spacing w:val="-2"/>
              </w:rPr>
              <w:t xml:space="preserve"> </w:t>
            </w:r>
            <w:r w:rsidRPr="007B38C6">
              <w:rPr>
                <w:rFonts w:ascii="Arial" w:hAnsi="Arial" w:cs="Arial"/>
              </w:rPr>
              <w:t>dioxide</w:t>
            </w:r>
          </w:p>
        </w:tc>
        <w:tc>
          <w:tcPr>
            <w:tcW w:w="1418" w:type="dxa"/>
          </w:tcPr>
          <w:p w14:paraId="137BF6FF" w14:textId="77777777" w:rsidR="003C4010" w:rsidRPr="007B38C6" w:rsidRDefault="003C4010" w:rsidP="00420179">
            <w:pPr>
              <w:pStyle w:val="TableParagraph"/>
              <w:spacing w:before="121"/>
              <w:rPr>
                <w:rFonts w:ascii="Arial" w:hAnsi="Arial" w:cs="Arial"/>
              </w:rPr>
            </w:pPr>
            <w:r w:rsidRPr="007B38C6">
              <w:rPr>
                <w:rFonts w:ascii="Arial" w:hAnsi="Arial" w:cs="Arial"/>
              </w:rPr>
              <w:t>13463-67-7</w:t>
            </w:r>
          </w:p>
        </w:tc>
        <w:tc>
          <w:tcPr>
            <w:tcW w:w="3260" w:type="dxa"/>
          </w:tcPr>
          <w:p w14:paraId="15BF3E3A" w14:textId="77777777" w:rsidR="003C4010" w:rsidRPr="007B38C6" w:rsidRDefault="003C4010" w:rsidP="00420179">
            <w:pPr>
              <w:pStyle w:val="TableParagraph"/>
              <w:spacing w:before="121" w:line="257" w:lineRule="exact"/>
              <w:ind w:left="106"/>
              <w:rPr>
                <w:rFonts w:ascii="Arial" w:hAnsi="Arial" w:cs="Arial"/>
              </w:rPr>
            </w:pPr>
            <w:r w:rsidRPr="007B38C6">
              <w:rPr>
                <w:rFonts w:ascii="Arial" w:hAnsi="Arial" w:cs="Arial"/>
              </w:rPr>
              <w:t>E171</w:t>
            </w:r>
          </w:p>
          <w:p w14:paraId="64C2E347" w14:textId="77777777" w:rsidR="003C4010" w:rsidRPr="007B38C6" w:rsidRDefault="003C4010" w:rsidP="00420179">
            <w:pPr>
              <w:pStyle w:val="TableParagraph"/>
              <w:spacing w:before="0" w:line="257" w:lineRule="exact"/>
              <w:ind w:left="106"/>
              <w:rPr>
                <w:rFonts w:ascii="Arial" w:hAnsi="Arial" w:cs="Arial"/>
              </w:rPr>
            </w:pPr>
            <w:r w:rsidRPr="007B38C6">
              <w:rPr>
                <w:rFonts w:ascii="Arial" w:hAnsi="Arial" w:cs="Arial"/>
              </w:rPr>
              <w:t>titanium</w:t>
            </w:r>
            <w:r w:rsidRPr="007B38C6">
              <w:rPr>
                <w:rFonts w:ascii="Arial" w:hAnsi="Arial" w:cs="Arial"/>
                <w:spacing w:val="-2"/>
              </w:rPr>
              <w:t xml:space="preserve"> </w:t>
            </w:r>
            <w:r w:rsidRPr="007B38C6">
              <w:rPr>
                <w:rFonts w:ascii="Arial" w:hAnsi="Arial" w:cs="Arial"/>
              </w:rPr>
              <w:t>dioxide</w:t>
            </w:r>
            <w:r w:rsidRPr="007B38C6">
              <w:rPr>
                <w:rFonts w:ascii="Arial" w:hAnsi="Arial" w:cs="Arial"/>
                <w:spacing w:val="-3"/>
              </w:rPr>
              <w:t xml:space="preserve"> </w:t>
            </w:r>
            <w:r w:rsidRPr="007B38C6">
              <w:rPr>
                <w:rFonts w:ascii="Arial" w:hAnsi="Arial" w:cs="Arial"/>
              </w:rPr>
              <w:t>anhydrous</w:t>
            </w:r>
          </w:p>
        </w:tc>
        <w:tc>
          <w:tcPr>
            <w:tcW w:w="1739" w:type="dxa"/>
            <w:shd w:val="clear" w:color="auto" w:fill="auto"/>
          </w:tcPr>
          <w:p w14:paraId="2395FB14" w14:textId="77777777" w:rsidR="003C4010" w:rsidRPr="007B38C6" w:rsidRDefault="003C4010" w:rsidP="00420179">
            <w:pPr>
              <w:pStyle w:val="TableParagraph"/>
              <w:spacing w:before="121"/>
              <w:ind w:left="106"/>
              <w:rPr>
                <w:rFonts w:ascii="Arial" w:hAnsi="Arial" w:cs="Arial"/>
              </w:rPr>
            </w:pPr>
            <w:r w:rsidRPr="007B38C6">
              <w:rPr>
                <w:rFonts w:ascii="Arial" w:hAnsi="Arial" w:cs="Arial"/>
              </w:rPr>
              <w:t>25%</w:t>
            </w:r>
          </w:p>
        </w:tc>
      </w:tr>
      <w:tr w:rsidR="003C4010" w:rsidRPr="00F57B6F" w14:paraId="055E195A" w14:textId="77777777" w:rsidTr="00F5642D">
        <w:trPr>
          <w:trHeight w:val="556"/>
        </w:trPr>
        <w:tc>
          <w:tcPr>
            <w:tcW w:w="2693" w:type="dxa"/>
            <w:shd w:val="clear" w:color="auto" w:fill="E7E6E6"/>
          </w:tcPr>
          <w:p w14:paraId="36B2CCAB" w14:textId="77777777" w:rsidR="003C4010" w:rsidRPr="007B38C6" w:rsidRDefault="003C4010" w:rsidP="00420179">
            <w:pPr>
              <w:pStyle w:val="TableParagraph"/>
              <w:rPr>
                <w:rFonts w:ascii="Arial" w:hAnsi="Arial" w:cs="Arial"/>
              </w:rPr>
            </w:pPr>
            <w:r w:rsidRPr="007B38C6">
              <w:rPr>
                <w:rFonts w:ascii="Arial" w:hAnsi="Arial" w:cs="Arial"/>
              </w:rPr>
              <w:t>tris-biphenyl</w:t>
            </w:r>
            <w:r w:rsidRPr="007B38C6">
              <w:rPr>
                <w:rFonts w:ascii="Arial" w:hAnsi="Arial" w:cs="Arial"/>
                <w:spacing w:val="-4"/>
              </w:rPr>
              <w:t xml:space="preserve"> </w:t>
            </w:r>
            <w:r w:rsidRPr="007B38C6">
              <w:rPr>
                <w:rFonts w:ascii="Arial" w:hAnsi="Arial" w:cs="Arial"/>
              </w:rPr>
              <w:t>triazine</w:t>
            </w:r>
          </w:p>
        </w:tc>
        <w:tc>
          <w:tcPr>
            <w:tcW w:w="1418" w:type="dxa"/>
          </w:tcPr>
          <w:p w14:paraId="04628435" w14:textId="77777777" w:rsidR="003C4010" w:rsidRPr="007B38C6" w:rsidRDefault="003C4010" w:rsidP="00420179">
            <w:pPr>
              <w:pStyle w:val="TableParagraph"/>
              <w:rPr>
                <w:rFonts w:ascii="Arial" w:hAnsi="Arial" w:cs="Arial"/>
              </w:rPr>
            </w:pPr>
            <w:r w:rsidRPr="007B38C6">
              <w:rPr>
                <w:rFonts w:ascii="Arial" w:hAnsi="Arial" w:cs="Arial"/>
              </w:rPr>
              <w:t>31274-51-8</w:t>
            </w:r>
          </w:p>
        </w:tc>
        <w:tc>
          <w:tcPr>
            <w:tcW w:w="3260" w:type="dxa"/>
          </w:tcPr>
          <w:p w14:paraId="52768EB0" w14:textId="77777777" w:rsidR="003C4010" w:rsidRPr="007B38C6" w:rsidRDefault="003C4010" w:rsidP="00420179">
            <w:pPr>
              <w:pStyle w:val="TableParagraph"/>
              <w:spacing w:before="0"/>
              <w:ind w:left="0"/>
              <w:rPr>
                <w:rFonts w:ascii="Arial" w:hAnsi="Arial" w:cs="Arial"/>
              </w:rPr>
            </w:pPr>
          </w:p>
        </w:tc>
        <w:tc>
          <w:tcPr>
            <w:tcW w:w="1739" w:type="dxa"/>
            <w:shd w:val="clear" w:color="auto" w:fill="auto"/>
          </w:tcPr>
          <w:p w14:paraId="294CE0F0" w14:textId="77777777" w:rsidR="003C4010" w:rsidRPr="007B38C6" w:rsidRDefault="003C4010" w:rsidP="00420179">
            <w:pPr>
              <w:pStyle w:val="TableParagraph"/>
              <w:ind w:left="106"/>
              <w:rPr>
                <w:rFonts w:ascii="Arial" w:hAnsi="Arial" w:cs="Arial"/>
              </w:rPr>
            </w:pPr>
            <w:r w:rsidRPr="007B38C6">
              <w:rPr>
                <w:rFonts w:ascii="Arial" w:hAnsi="Arial" w:cs="Arial"/>
              </w:rPr>
              <w:t>10%</w:t>
            </w:r>
          </w:p>
        </w:tc>
      </w:tr>
      <w:tr w:rsidR="003C4010" w:rsidRPr="00F57B6F" w14:paraId="3D17E60D" w14:textId="77777777" w:rsidTr="00F5642D">
        <w:trPr>
          <w:trHeight w:val="817"/>
        </w:trPr>
        <w:tc>
          <w:tcPr>
            <w:tcW w:w="2693" w:type="dxa"/>
            <w:shd w:val="clear" w:color="auto" w:fill="E7E6E6"/>
          </w:tcPr>
          <w:p w14:paraId="05FF5416" w14:textId="77777777" w:rsidR="003C4010" w:rsidRPr="007B38C6" w:rsidRDefault="003C4010" w:rsidP="00420179">
            <w:pPr>
              <w:pStyle w:val="TableParagraph"/>
              <w:spacing w:before="121"/>
              <w:rPr>
                <w:rFonts w:ascii="Arial" w:hAnsi="Arial" w:cs="Arial"/>
              </w:rPr>
            </w:pPr>
            <w:r w:rsidRPr="007B38C6">
              <w:rPr>
                <w:rFonts w:ascii="Arial" w:hAnsi="Arial" w:cs="Arial"/>
              </w:rPr>
              <w:t>trolamine</w:t>
            </w:r>
            <w:r w:rsidRPr="007B38C6">
              <w:rPr>
                <w:rFonts w:ascii="Arial" w:hAnsi="Arial" w:cs="Arial"/>
                <w:spacing w:val="-3"/>
              </w:rPr>
              <w:t xml:space="preserve"> </w:t>
            </w:r>
            <w:r w:rsidRPr="007B38C6">
              <w:rPr>
                <w:rFonts w:ascii="Arial" w:hAnsi="Arial" w:cs="Arial"/>
              </w:rPr>
              <w:t>salicylate</w:t>
            </w:r>
          </w:p>
        </w:tc>
        <w:tc>
          <w:tcPr>
            <w:tcW w:w="1418" w:type="dxa"/>
          </w:tcPr>
          <w:p w14:paraId="2F4980EC" w14:textId="77777777" w:rsidR="003C4010" w:rsidRPr="007B38C6" w:rsidRDefault="003C4010" w:rsidP="00420179">
            <w:pPr>
              <w:pStyle w:val="TableParagraph"/>
              <w:spacing w:before="121"/>
              <w:rPr>
                <w:rFonts w:ascii="Arial" w:hAnsi="Arial" w:cs="Arial"/>
              </w:rPr>
            </w:pPr>
            <w:r w:rsidRPr="007B38C6">
              <w:rPr>
                <w:rFonts w:ascii="Arial" w:hAnsi="Arial" w:cs="Arial"/>
              </w:rPr>
              <w:t>2174-16-5</w:t>
            </w:r>
          </w:p>
        </w:tc>
        <w:tc>
          <w:tcPr>
            <w:tcW w:w="3260" w:type="dxa"/>
          </w:tcPr>
          <w:p w14:paraId="31E3A8AA" w14:textId="77777777" w:rsidR="003C4010" w:rsidRPr="007B38C6" w:rsidRDefault="003C4010" w:rsidP="00420179">
            <w:pPr>
              <w:pStyle w:val="TableParagraph"/>
              <w:spacing w:before="121"/>
              <w:ind w:left="106" w:right="738"/>
              <w:rPr>
                <w:rFonts w:ascii="Arial" w:hAnsi="Arial" w:cs="Arial"/>
              </w:rPr>
            </w:pPr>
            <w:r w:rsidRPr="007B38C6">
              <w:rPr>
                <w:rFonts w:ascii="Arial" w:hAnsi="Arial" w:cs="Arial"/>
              </w:rPr>
              <w:t>triethanolamine salicylate</w:t>
            </w:r>
            <w:r w:rsidRPr="007B38C6">
              <w:rPr>
                <w:rFonts w:ascii="Arial" w:hAnsi="Arial" w:cs="Arial"/>
                <w:spacing w:val="-46"/>
              </w:rPr>
              <w:t xml:space="preserve"> </w:t>
            </w:r>
            <w:r w:rsidRPr="007B38C6">
              <w:rPr>
                <w:rFonts w:ascii="Arial" w:hAnsi="Arial" w:cs="Arial"/>
              </w:rPr>
              <w:t>TEA-salicylate</w:t>
            </w:r>
          </w:p>
        </w:tc>
        <w:tc>
          <w:tcPr>
            <w:tcW w:w="1739" w:type="dxa"/>
            <w:shd w:val="clear" w:color="auto" w:fill="auto"/>
          </w:tcPr>
          <w:p w14:paraId="05CA4DD0" w14:textId="77777777" w:rsidR="003C4010" w:rsidRPr="007B38C6" w:rsidRDefault="003C4010" w:rsidP="00420179">
            <w:pPr>
              <w:pStyle w:val="TableParagraph"/>
              <w:spacing w:before="121"/>
              <w:ind w:left="106"/>
              <w:rPr>
                <w:rFonts w:ascii="Arial" w:hAnsi="Arial" w:cs="Arial"/>
              </w:rPr>
            </w:pPr>
            <w:r w:rsidRPr="007B38C6">
              <w:rPr>
                <w:rFonts w:ascii="Arial" w:hAnsi="Arial" w:cs="Arial"/>
              </w:rPr>
              <w:t>12%</w:t>
            </w:r>
          </w:p>
        </w:tc>
      </w:tr>
      <w:tr w:rsidR="003C4010" w:rsidRPr="00F57B6F" w14:paraId="32952DC5" w14:textId="77777777" w:rsidTr="00F5642D">
        <w:trPr>
          <w:trHeight w:val="558"/>
        </w:trPr>
        <w:tc>
          <w:tcPr>
            <w:tcW w:w="2693" w:type="dxa"/>
            <w:shd w:val="clear" w:color="auto" w:fill="E7E6E6"/>
          </w:tcPr>
          <w:p w14:paraId="58E1511F" w14:textId="77777777" w:rsidR="003C4010" w:rsidRPr="007B38C6" w:rsidRDefault="003C4010" w:rsidP="00420179">
            <w:pPr>
              <w:pStyle w:val="TableParagraph"/>
              <w:rPr>
                <w:rFonts w:ascii="Arial" w:hAnsi="Arial" w:cs="Arial"/>
              </w:rPr>
            </w:pPr>
            <w:r w:rsidRPr="007B38C6">
              <w:rPr>
                <w:rFonts w:ascii="Arial" w:hAnsi="Arial" w:cs="Arial"/>
              </w:rPr>
              <w:t>zinc</w:t>
            </w:r>
            <w:r w:rsidRPr="007B38C6">
              <w:rPr>
                <w:rFonts w:ascii="Arial" w:hAnsi="Arial" w:cs="Arial"/>
                <w:spacing w:val="-1"/>
              </w:rPr>
              <w:t xml:space="preserve"> </w:t>
            </w:r>
            <w:r w:rsidRPr="007B38C6">
              <w:rPr>
                <w:rFonts w:ascii="Arial" w:hAnsi="Arial" w:cs="Arial"/>
              </w:rPr>
              <w:t>oxide</w:t>
            </w:r>
          </w:p>
        </w:tc>
        <w:tc>
          <w:tcPr>
            <w:tcW w:w="1418" w:type="dxa"/>
          </w:tcPr>
          <w:p w14:paraId="56F1E847" w14:textId="77777777" w:rsidR="003C4010" w:rsidRPr="007B38C6" w:rsidRDefault="003C4010" w:rsidP="00420179">
            <w:pPr>
              <w:pStyle w:val="TableParagraph"/>
              <w:rPr>
                <w:rFonts w:ascii="Arial" w:hAnsi="Arial" w:cs="Arial"/>
              </w:rPr>
            </w:pPr>
            <w:r w:rsidRPr="007B38C6">
              <w:rPr>
                <w:rFonts w:ascii="Arial" w:hAnsi="Arial" w:cs="Arial"/>
              </w:rPr>
              <w:t>1314-13-2</w:t>
            </w:r>
          </w:p>
        </w:tc>
        <w:tc>
          <w:tcPr>
            <w:tcW w:w="3260" w:type="dxa"/>
          </w:tcPr>
          <w:p w14:paraId="1968D9B7" w14:textId="77777777" w:rsidR="003C4010" w:rsidRPr="007B38C6" w:rsidRDefault="003C4010" w:rsidP="00420179">
            <w:pPr>
              <w:pStyle w:val="TableParagraph"/>
              <w:ind w:left="106"/>
              <w:rPr>
                <w:rFonts w:ascii="Arial" w:hAnsi="Arial" w:cs="Arial"/>
              </w:rPr>
            </w:pPr>
            <w:r w:rsidRPr="007B38C6">
              <w:rPr>
                <w:rFonts w:ascii="Arial" w:hAnsi="Arial" w:cs="Arial"/>
              </w:rPr>
              <w:t>pigment</w:t>
            </w:r>
            <w:r w:rsidRPr="007B38C6">
              <w:rPr>
                <w:rFonts w:ascii="Arial" w:hAnsi="Arial" w:cs="Arial"/>
                <w:spacing w:val="-1"/>
              </w:rPr>
              <w:t xml:space="preserve"> </w:t>
            </w:r>
            <w:r w:rsidRPr="007B38C6">
              <w:rPr>
                <w:rFonts w:ascii="Arial" w:hAnsi="Arial" w:cs="Arial"/>
              </w:rPr>
              <w:t>white</w:t>
            </w:r>
            <w:r w:rsidRPr="007B38C6">
              <w:rPr>
                <w:rFonts w:ascii="Arial" w:hAnsi="Arial" w:cs="Arial"/>
                <w:spacing w:val="-1"/>
              </w:rPr>
              <w:t xml:space="preserve"> </w:t>
            </w:r>
            <w:r w:rsidRPr="007B38C6">
              <w:rPr>
                <w:rFonts w:ascii="Arial" w:hAnsi="Arial" w:cs="Arial"/>
              </w:rPr>
              <w:t>4</w:t>
            </w:r>
          </w:p>
        </w:tc>
        <w:tc>
          <w:tcPr>
            <w:tcW w:w="1739" w:type="dxa"/>
            <w:shd w:val="clear" w:color="auto" w:fill="auto"/>
          </w:tcPr>
          <w:p w14:paraId="667506DD" w14:textId="77777777" w:rsidR="003C4010" w:rsidRPr="007B38C6" w:rsidRDefault="003C4010" w:rsidP="00420179">
            <w:pPr>
              <w:pStyle w:val="TableParagraph"/>
              <w:ind w:left="106"/>
              <w:rPr>
                <w:rFonts w:ascii="Arial" w:hAnsi="Arial" w:cs="Arial"/>
              </w:rPr>
            </w:pPr>
            <w:r w:rsidRPr="007B38C6">
              <w:rPr>
                <w:rFonts w:ascii="Arial" w:hAnsi="Arial" w:cs="Arial"/>
              </w:rPr>
              <w:t>N/A</w:t>
            </w:r>
          </w:p>
        </w:tc>
      </w:tr>
    </w:tbl>
    <w:p w14:paraId="02FC40B9" w14:textId="77777777" w:rsidR="00027B0A" w:rsidRPr="002C4A3E" w:rsidRDefault="00027B0A" w:rsidP="00E171A4">
      <w:pPr>
        <w:pStyle w:val="ListBullet"/>
        <w:numPr>
          <w:ilvl w:val="0"/>
          <w:numId w:val="0"/>
        </w:numPr>
        <w:ind w:left="360"/>
      </w:pPr>
    </w:p>
    <w:p w14:paraId="33D13BC1" w14:textId="77777777" w:rsidR="00C70679" w:rsidRDefault="00C70679">
      <w:pPr>
        <w:rPr>
          <w:b/>
          <w:bCs/>
          <w:color w:val="001871"/>
          <w:sz w:val="38"/>
          <w:szCs w:val="32"/>
        </w:rPr>
      </w:pPr>
      <w:bookmarkStart w:id="160" w:name="_Toc198297300"/>
      <w:r>
        <w:br w:type="page"/>
      </w:r>
    </w:p>
    <w:p w14:paraId="2398797A" w14:textId="02779035" w:rsidR="5E5F89CC" w:rsidRDefault="44A1128E" w:rsidP="002A7941">
      <w:pPr>
        <w:pStyle w:val="Heading2"/>
      </w:pPr>
      <w:bookmarkStart w:id="161" w:name="_Toc198297301"/>
      <w:bookmarkStart w:id="162" w:name="_Toc204751347"/>
      <w:bookmarkEnd w:id="160"/>
      <w:r w:rsidRPr="3B6C239D">
        <w:lastRenderedPageBreak/>
        <w:t>Glossary</w:t>
      </w:r>
      <w:bookmarkEnd w:id="161"/>
      <w:bookmarkEnd w:id="162"/>
      <w:r w:rsidRPr="3B6C239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00"/>
      </w:tblGrid>
      <w:tr w:rsidR="00375FAA" w:rsidRPr="009F0ACF" w14:paraId="08D2B73E" w14:textId="77777777" w:rsidTr="00375FAA">
        <w:trPr>
          <w:tblHeader/>
        </w:trPr>
        <w:tc>
          <w:tcPr>
            <w:tcW w:w="1795" w:type="dxa"/>
            <w:shd w:val="clear" w:color="auto" w:fill="F2F2F2" w:themeFill="background1" w:themeFillShade="F2"/>
          </w:tcPr>
          <w:p w14:paraId="6786AB57" w14:textId="5302E0C9" w:rsidR="00375FAA" w:rsidRPr="009F0ACF" w:rsidRDefault="00375FAA" w:rsidP="00DE2BCE">
            <w:pPr>
              <w:rPr>
                <w:b/>
                <w:bCs/>
              </w:rPr>
            </w:pPr>
            <w:r>
              <w:rPr>
                <w:b/>
                <w:bCs/>
              </w:rPr>
              <w:t>Term</w:t>
            </w:r>
          </w:p>
        </w:tc>
        <w:tc>
          <w:tcPr>
            <w:tcW w:w="7200" w:type="dxa"/>
            <w:shd w:val="clear" w:color="auto" w:fill="F2F2F2" w:themeFill="background1" w:themeFillShade="F2"/>
          </w:tcPr>
          <w:p w14:paraId="34681D45" w14:textId="78F24269" w:rsidR="00375FAA" w:rsidRPr="009F0ACF" w:rsidRDefault="00375FAA" w:rsidP="00DE2BCE">
            <w:pPr>
              <w:rPr>
                <w:b/>
                <w:bCs/>
              </w:rPr>
            </w:pPr>
            <w:r>
              <w:rPr>
                <w:b/>
                <w:bCs/>
              </w:rPr>
              <w:t>Definition</w:t>
            </w:r>
          </w:p>
        </w:tc>
      </w:tr>
      <w:tr w:rsidR="00375FAA" w:rsidRPr="00F425E2" w14:paraId="08369CAE" w14:textId="77777777" w:rsidTr="00375FAA">
        <w:tc>
          <w:tcPr>
            <w:tcW w:w="1795" w:type="dxa"/>
          </w:tcPr>
          <w:p w14:paraId="16CC806B" w14:textId="78B420A9" w:rsidR="00375FAA" w:rsidRPr="00F425E2" w:rsidRDefault="00E02752" w:rsidP="00DE2BCE">
            <w:r w:rsidRPr="00E308CF">
              <w:rPr>
                <w:b/>
              </w:rPr>
              <w:t>Active ingredient</w:t>
            </w:r>
          </w:p>
        </w:tc>
        <w:tc>
          <w:tcPr>
            <w:tcW w:w="7200" w:type="dxa"/>
          </w:tcPr>
          <w:p w14:paraId="3E6759DE" w14:textId="3C0E7D76" w:rsidR="00375FAA" w:rsidRPr="00F425E2" w:rsidRDefault="00A91514" w:rsidP="00DE2BCE">
            <w:r w:rsidRPr="00E308CF">
              <w:t>(in relation to a sunscreen) means an active substance included in a</w:t>
            </w:r>
            <w:r w:rsidRPr="00E308CF">
              <w:rPr>
                <w:spacing w:val="1"/>
              </w:rPr>
              <w:t xml:space="preserve"> </w:t>
            </w:r>
            <w:r w:rsidRPr="00E308CF">
              <w:t>sunscreen to protect the skin from ultraviolet (UV) radiation. It is an ingredient in a therapeutic</w:t>
            </w:r>
            <w:r w:rsidRPr="00E308CF">
              <w:rPr>
                <w:spacing w:val="-46"/>
              </w:rPr>
              <w:t xml:space="preserve"> </w:t>
            </w:r>
            <w:r w:rsidRPr="00E308CF">
              <w:t>good’s formulation that is responsible for its physiological or pharmacological action (see</w:t>
            </w:r>
            <w:r w:rsidRPr="00E308CF">
              <w:rPr>
                <w:spacing w:val="1"/>
              </w:rPr>
              <w:t xml:space="preserve"> </w:t>
            </w:r>
            <w:r w:rsidRPr="00E308CF">
              <w:t>regulation</w:t>
            </w:r>
            <w:r w:rsidRPr="00E308CF">
              <w:rPr>
                <w:spacing w:val="-3"/>
              </w:rPr>
              <w:t xml:space="preserve"> </w:t>
            </w:r>
            <w:r w:rsidRPr="00E308CF">
              <w:t>2</w:t>
            </w:r>
            <w:r w:rsidRPr="00E308CF">
              <w:rPr>
                <w:spacing w:val="-1"/>
              </w:rPr>
              <w:t xml:space="preserve"> </w:t>
            </w:r>
            <w:r w:rsidRPr="00E308CF">
              <w:t>of</w:t>
            </w:r>
            <w:r w:rsidRPr="00E308CF">
              <w:rPr>
                <w:spacing w:val="-1"/>
              </w:rPr>
              <w:t xml:space="preserve"> </w:t>
            </w:r>
            <w:r w:rsidRPr="00E308CF">
              <w:t>the</w:t>
            </w:r>
            <w:r w:rsidRPr="00E308CF">
              <w:rPr>
                <w:spacing w:val="-1"/>
              </w:rPr>
              <w:t xml:space="preserve"> </w:t>
            </w:r>
            <w:r w:rsidRPr="00E308CF">
              <w:t>Regulations).</w:t>
            </w:r>
          </w:p>
        </w:tc>
      </w:tr>
      <w:tr w:rsidR="00D33C07" w:rsidRPr="00F425E2" w14:paraId="344CA9D3" w14:textId="77777777" w:rsidTr="00375FAA">
        <w:tc>
          <w:tcPr>
            <w:tcW w:w="1795" w:type="dxa"/>
          </w:tcPr>
          <w:p w14:paraId="2ADC9EC7" w14:textId="095F28AC" w:rsidR="00D33C07" w:rsidRPr="79C33B0F" w:rsidRDefault="0031108C" w:rsidP="00DE2BCE">
            <w:r w:rsidRPr="00E308CF">
              <w:rPr>
                <w:b/>
              </w:rPr>
              <w:t>AICIS</w:t>
            </w:r>
          </w:p>
        </w:tc>
        <w:tc>
          <w:tcPr>
            <w:tcW w:w="7200" w:type="dxa"/>
          </w:tcPr>
          <w:p w14:paraId="6CC3F2F6" w14:textId="065C6767" w:rsidR="00D33C07" w:rsidRDefault="003640A7" w:rsidP="00DE2BCE">
            <w:r w:rsidRPr="00E308CF">
              <w:t>means</w:t>
            </w:r>
            <w:r w:rsidRPr="00E308CF">
              <w:rPr>
                <w:spacing w:val="-1"/>
              </w:rPr>
              <w:t xml:space="preserve"> </w:t>
            </w:r>
            <w:r w:rsidRPr="00E308CF">
              <w:t>the</w:t>
            </w:r>
            <w:r w:rsidRPr="00E308CF">
              <w:rPr>
                <w:spacing w:val="-3"/>
              </w:rPr>
              <w:t xml:space="preserve"> </w:t>
            </w:r>
            <w:r w:rsidRPr="00E308CF">
              <w:t>Australian</w:t>
            </w:r>
            <w:r w:rsidRPr="00E308CF">
              <w:rPr>
                <w:spacing w:val="-3"/>
              </w:rPr>
              <w:t xml:space="preserve"> </w:t>
            </w:r>
            <w:r w:rsidRPr="00E308CF">
              <w:t>Industrial</w:t>
            </w:r>
            <w:r w:rsidRPr="00E308CF">
              <w:rPr>
                <w:spacing w:val="-3"/>
              </w:rPr>
              <w:t xml:space="preserve"> </w:t>
            </w:r>
            <w:r w:rsidRPr="00E308CF">
              <w:t>Chemicals</w:t>
            </w:r>
            <w:r w:rsidRPr="00E308CF">
              <w:rPr>
                <w:spacing w:val="-1"/>
              </w:rPr>
              <w:t xml:space="preserve"> </w:t>
            </w:r>
            <w:r w:rsidRPr="00E308CF">
              <w:t>Introduction</w:t>
            </w:r>
            <w:r w:rsidRPr="00E308CF">
              <w:rPr>
                <w:spacing w:val="-6"/>
              </w:rPr>
              <w:t xml:space="preserve"> </w:t>
            </w:r>
            <w:r w:rsidRPr="00E308CF">
              <w:t>Scheme</w:t>
            </w:r>
            <w:r>
              <w:t>.</w:t>
            </w:r>
          </w:p>
        </w:tc>
      </w:tr>
      <w:tr w:rsidR="003640A7" w:rsidRPr="00F425E2" w14:paraId="0F649AEC" w14:textId="77777777" w:rsidTr="00375FAA">
        <w:tc>
          <w:tcPr>
            <w:tcW w:w="1795" w:type="dxa"/>
          </w:tcPr>
          <w:p w14:paraId="3F4332E5" w14:textId="272AC64F" w:rsidR="003640A7" w:rsidRPr="00E308CF" w:rsidRDefault="005C0AF9" w:rsidP="00DE2BCE">
            <w:pPr>
              <w:rPr>
                <w:b/>
              </w:rPr>
            </w:pPr>
            <w:r>
              <w:rPr>
                <w:b/>
              </w:rPr>
              <w:t>URNS</w:t>
            </w:r>
          </w:p>
        </w:tc>
        <w:tc>
          <w:tcPr>
            <w:tcW w:w="7200" w:type="dxa"/>
          </w:tcPr>
          <w:p w14:paraId="100448AC" w14:textId="4F04A0D6" w:rsidR="003640A7" w:rsidRPr="00180135" w:rsidRDefault="00180135" w:rsidP="00DE2BCE">
            <w:pPr>
              <w:rPr>
                <w:bCs/>
              </w:rPr>
            </w:pPr>
            <w:r>
              <w:rPr>
                <w:bCs/>
              </w:rPr>
              <w:t xml:space="preserve">means the guidance titled </w:t>
            </w:r>
            <w:hyperlink r:id="rId109" w:history="1">
              <w:r w:rsidR="00DD6DCA">
                <w:rPr>
                  <w:rStyle w:val="Hyperlink"/>
                  <w:bCs/>
                </w:rPr>
                <w:t>U</w:t>
              </w:r>
              <w:r w:rsidR="00DD6DCA">
                <w:rPr>
                  <w:rStyle w:val="Hyperlink"/>
                </w:rPr>
                <w:t>nderstanding the a</w:t>
              </w:r>
              <w:r w:rsidRPr="00540C0C">
                <w:rPr>
                  <w:rStyle w:val="Hyperlink"/>
                  <w:bCs/>
                </w:rPr>
                <w:t>pplication requirements for new substances in listed medicines</w:t>
              </w:r>
            </w:hyperlink>
            <w:r>
              <w:rPr>
                <w:bCs/>
              </w:rPr>
              <w:t xml:space="preserve"> </w:t>
            </w:r>
            <w:r w:rsidR="00DD6DCA">
              <w:rPr>
                <w:bCs/>
              </w:rPr>
              <w:t>(formerly, Application requirements for new substances in listed medicines).</w:t>
            </w:r>
          </w:p>
        </w:tc>
      </w:tr>
      <w:tr w:rsidR="003640A7" w:rsidRPr="00F425E2" w14:paraId="11692259" w14:textId="77777777" w:rsidTr="00375FAA">
        <w:tc>
          <w:tcPr>
            <w:tcW w:w="1795" w:type="dxa"/>
          </w:tcPr>
          <w:p w14:paraId="2197F833" w14:textId="67A6265A" w:rsidR="003640A7" w:rsidRPr="00E308CF" w:rsidRDefault="00400791" w:rsidP="00DE2BCE">
            <w:pPr>
              <w:rPr>
                <w:b/>
              </w:rPr>
            </w:pPr>
            <w:r w:rsidRPr="00E308CF">
              <w:rPr>
                <w:b/>
              </w:rPr>
              <w:t>ARTG</w:t>
            </w:r>
          </w:p>
        </w:tc>
        <w:tc>
          <w:tcPr>
            <w:tcW w:w="7200" w:type="dxa"/>
          </w:tcPr>
          <w:p w14:paraId="5E19734C" w14:textId="64B6CC79" w:rsidR="003640A7" w:rsidRPr="00E308CF" w:rsidRDefault="00583BB8" w:rsidP="00DE2BCE">
            <w:r w:rsidRPr="00E308CF">
              <w:t>means</w:t>
            </w:r>
            <w:r w:rsidRPr="00E308CF">
              <w:rPr>
                <w:spacing w:val="-1"/>
              </w:rPr>
              <w:t xml:space="preserve"> </w:t>
            </w:r>
            <w:r w:rsidRPr="00E308CF">
              <w:t>the</w:t>
            </w:r>
            <w:r w:rsidRPr="00E308CF">
              <w:rPr>
                <w:spacing w:val="-2"/>
              </w:rPr>
              <w:t xml:space="preserve"> </w:t>
            </w:r>
            <w:r w:rsidRPr="00E308CF">
              <w:t>Australian</w:t>
            </w:r>
            <w:r w:rsidRPr="00E308CF">
              <w:rPr>
                <w:spacing w:val="-3"/>
              </w:rPr>
              <w:t xml:space="preserve"> </w:t>
            </w:r>
            <w:r w:rsidRPr="00E308CF">
              <w:t>Register</w:t>
            </w:r>
            <w:r w:rsidRPr="00E308CF">
              <w:rPr>
                <w:spacing w:val="-4"/>
              </w:rPr>
              <w:t xml:space="preserve"> </w:t>
            </w:r>
            <w:r w:rsidRPr="00E308CF">
              <w:t>of</w:t>
            </w:r>
            <w:r w:rsidRPr="00E308CF">
              <w:rPr>
                <w:spacing w:val="-2"/>
              </w:rPr>
              <w:t xml:space="preserve"> </w:t>
            </w:r>
            <w:r w:rsidRPr="00E308CF">
              <w:t>Therapeutic</w:t>
            </w:r>
            <w:r w:rsidRPr="00E308CF">
              <w:rPr>
                <w:spacing w:val="-1"/>
              </w:rPr>
              <w:t xml:space="preserve"> </w:t>
            </w:r>
            <w:r w:rsidRPr="00E308CF">
              <w:t>Goods</w:t>
            </w:r>
            <w:r>
              <w:t>.</w:t>
            </w:r>
          </w:p>
        </w:tc>
      </w:tr>
      <w:tr w:rsidR="003640A7" w:rsidRPr="00F425E2" w14:paraId="2B68AF16" w14:textId="77777777" w:rsidTr="00375FAA">
        <w:tc>
          <w:tcPr>
            <w:tcW w:w="1795" w:type="dxa"/>
          </w:tcPr>
          <w:p w14:paraId="6B6E2ABF" w14:textId="7B3D49ED" w:rsidR="003640A7" w:rsidRPr="00E308CF" w:rsidRDefault="00EE4A3B" w:rsidP="00DE2BCE">
            <w:pPr>
              <w:rPr>
                <w:b/>
              </w:rPr>
            </w:pPr>
            <w:r w:rsidRPr="00E308CF">
              <w:rPr>
                <w:b/>
              </w:rPr>
              <w:t>Australian Approved Name (AAN)</w:t>
            </w:r>
          </w:p>
        </w:tc>
        <w:tc>
          <w:tcPr>
            <w:tcW w:w="7200" w:type="dxa"/>
          </w:tcPr>
          <w:p w14:paraId="7C6AE1E3" w14:textId="7EC2942F" w:rsidR="003640A7" w:rsidRPr="00E308CF" w:rsidRDefault="007529D8" w:rsidP="00DE2BCE">
            <w:r w:rsidRPr="00E308CF">
              <w:t>means the approved name applied to a therapeutic</w:t>
            </w:r>
            <w:r w:rsidRPr="00E308CF">
              <w:rPr>
                <w:spacing w:val="1"/>
              </w:rPr>
              <w:t xml:space="preserve"> </w:t>
            </w:r>
            <w:r w:rsidRPr="00E308CF">
              <w:t xml:space="preserve">substance, as outlined in the </w:t>
            </w:r>
            <w:hyperlink r:id="rId110">
              <w:r w:rsidRPr="00C47EC5">
                <w:rPr>
                  <w:rStyle w:val="Hyperlink"/>
                </w:rPr>
                <w:t>TGA approved terminology for therapeutic goods</w:t>
              </w:r>
              <w:r w:rsidRPr="00E308CF">
                <w:t xml:space="preserve">, </w:t>
              </w:r>
            </w:hyperlink>
            <w:r w:rsidRPr="00E308CF">
              <w:t>which includes:</w:t>
            </w:r>
            <w:r w:rsidRPr="00E308CF">
              <w:rPr>
                <w:spacing w:val="-46"/>
              </w:rPr>
              <w:t xml:space="preserve"> </w:t>
            </w:r>
            <w:r w:rsidRPr="00E308CF">
              <w:t>Approved biological names (ABNs); Approved cell and tissue names (ACNs); Approved names</w:t>
            </w:r>
            <w:r w:rsidRPr="00E308CF">
              <w:rPr>
                <w:spacing w:val="1"/>
              </w:rPr>
              <w:t xml:space="preserve"> </w:t>
            </w:r>
            <w:r w:rsidRPr="00E308CF">
              <w:t>for</w:t>
            </w:r>
            <w:r w:rsidRPr="00E308CF">
              <w:rPr>
                <w:spacing w:val="-2"/>
              </w:rPr>
              <w:t xml:space="preserve"> </w:t>
            </w:r>
            <w:r w:rsidRPr="00E308CF">
              <w:t>herbal</w:t>
            </w:r>
            <w:r w:rsidRPr="00E308CF">
              <w:rPr>
                <w:spacing w:val="-3"/>
              </w:rPr>
              <w:t xml:space="preserve"> </w:t>
            </w:r>
            <w:r w:rsidRPr="00E308CF">
              <w:t>ingredients</w:t>
            </w:r>
            <w:r w:rsidRPr="00E308CF">
              <w:rPr>
                <w:spacing w:val="-1"/>
              </w:rPr>
              <w:t xml:space="preserve"> </w:t>
            </w:r>
            <w:r w:rsidRPr="00E308CF">
              <w:t>(AHNs);</w:t>
            </w:r>
            <w:r w:rsidRPr="00E308CF">
              <w:rPr>
                <w:spacing w:val="-2"/>
              </w:rPr>
              <w:t xml:space="preserve"> </w:t>
            </w:r>
            <w:r w:rsidRPr="00E308CF">
              <w:t>and</w:t>
            </w:r>
            <w:r w:rsidRPr="00E308CF">
              <w:rPr>
                <w:spacing w:val="-2"/>
              </w:rPr>
              <w:t xml:space="preserve"> </w:t>
            </w:r>
            <w:r w:rsidRPr="00E308CF">
              <w:t>Approved</w:t>
            </w:r>
            <w:r w:rsidRPr="00E308CF">
              <w:rPr>
                <w:spacing w:val="-1"/>
              </w:rPr>
              <w:t xml:space="preserve"> </w:t>
            </w:r>
            <w:r w:rsidRPr="00E308CF">
              <w:t>herbal</w:t>
            </w:r>
            <w:r w:rsidRPr="00E308CF">
              <w:rPr>
                <w:spacing w:val="-2"/>
              </w:rPr>
              <w:t xml:space="preserve"> </w:t>
            </w:r>
            <w:r w:rsidRPr="00E308CF">
              <w:t>substance</w:t>
            </w:r>
            <w:r w:rsidRPr="00E308CF">
              <w:rPr>
                <w:spacing w:val="-1"/>
              </w:rPr>
              <w:t xml:space="preserve"> </w:t>
            </w:r>
            <w:r w:rsidRPr="00E308CF">
              <w:t>names</w:t>
            </w:r>
            <w:r w:rsidRPr="00E308CF">
              <w:rPr>
                <w:spacing w:val="-1"/>
              </w:rPr>
              <w:t xml:space="preserve"> </w:t>
            </w:r>
            <w:r w:rsidRPr="00E308CF">
              <w:t>(AHSs).</w:t>
            </w:r>
          </w:p>
        </w:tc>
      </w:tr>
      <w:tr w:rsidR="003640A7" w:rsidRPr="00F425E2" w14:paraId="66D0538B" w14:textId="77777777" w:rsidTr="00375FAA">
        <w:tc>
          <w:tcPr>
            <w:tcW w:w="1795" w:type="dxa"/>
          </w:tcPr>
          <w:p w14:paraId="6A11AEF0" w14:textId="26AA5785" w:rsidR="003640A7" w:rsidRPr="00E308CF" w:rsidRDefault="002C5892" w:rsidP="00DE2BCE">
            <w:pPr>
              <w:rPr>
                <w:b/>
              </w:rPr>
            </w:pPr>
            <w:r>
              <w:rPr>
                <w:b/>
              </w:rPr>
              <w:t>AS/NZS standard for sunscreens</w:t>
            </w:r>
          </w:p>
        </w:tc>
        <w:tc>
          <w:tcPr>
            <w:tcW w:w="7200" w:type="dxa"/>
          </w:tcPr>
          <w:p w14:paraId="4371261F" w14:textId="3D7157C7" w:rsidR="003640A7" w:rsidRPr="00E308CF" w:rsidRDefault="004F37DD" w:rsidP="00DE2BCE">
            <w:r w:rsidRPr="00E308CF">
              <w:t>means The Australian/New Zealand Sunscreen Standard</w:t>
            </w:r>
            <w:r w:rsidRPr="00E308CF">
              <w:rPr>
                <w:spacing w:val="-46"/>
              </w:rPr>
              <w:t xml:space="preserve"> </w:t>
            </w:r>
            <w:r w:rsidRPr="00E308CF">
              <w:t>(AS/NZS) 2604 Sunscreen products —Evaluation and classification [as referenced in the</w:t>
            </w:r>
            <w:r w:rsidRPr="00E308CF">
              <w:rPr>
                <w:spacing w:val="1"/>
              </w:rPr>
              <w:t xml:space="preserve"> </w:t>
            </w:r>
            <w:r w:rsidRPr="00E308CF">
              <w:rPr>
                <w:i/>
              </w:rPr>
              <w:t xml:space="preserve">Therapeutic Goods Regulations 1990 </w:t>
            </w:r>
            <w:r w:rsidRPr="00E308CF">
              <w:t>and in the Therapeutic Goods (Excluded Goods)</w:t>
            </w:r>
            <w:r w:rsidRPr="00E308CF">
              <w:rPr>
                <w:spacing w:val="1"/>
              </w:rPr>
              <w:t xml:space="preserve"> </w:t>
            </w:r>
            <w:r w:rsidRPr="00E308CF">
              <w:t>Determination</w:t>
            </w:r>
            <w:r w:rsidRPr="00E308CF">
              <w:rPr>
                <w:spacing w:val="-2"/>
              </w:rPr>
              <w:t xml:space="preserve"> </w:t>
            </w:r>
            <w:r w:rsidRPr="00E308CF">
              <w:t>2018]</w:t>
            </w:r>
            <w:r>
              <w:t>.</w:t>
            </w:r>
          </w:p>
        </w:tc>
      </w:tr>
      <w:tr w:rsidR="003640A7" w:rsidRPr="00F425E2" w14:paraId="58DEA7D8" w14:textId="77777777" w:rsidTr="00375FAA">
        <w:tc>
          <w:tcPr>
            <w:tcW w:w="1795" w:type="dxa"/>
          </w:tcPr>
          <w:p w14:paraId="748BFE8B" w14:textId="715DBC28" w:rsidR="003640A7" w:rsidRPr="00E308CF" w:rsidRDefault="002104AA" w:rsidP="00DE2BCE">
            <w:pPr>
              <w:rPr>
                <w:b/>
              </w:rPr>
            </w:pPr>
            <w:r w:rsidRPr="00E308CF">
              <w:rPr>
                <w:b/>
              </w:rPr>
              <w:t>Broad spectrum product</w:t>
            </w:r>
          </w:p>
        </w:tc>
        <w:tc>
          <w:tcPr>
            <w:tcW w:w="7200" w:type="dxa"/>
          </w:tcPr>
          <w:p w14:paraId="39B110CF" w14:textId="0925CF37" w:rsidR="003640A7" w:rsidRPr="00E308CF" w:rsidRDefault="00860881" w:rsidP="00DE2BCE">
            <w:r w:rsidRPr="00E308CF">
              <w:t xml:space="preserve">means a sunscreen product which has been shown, using the </w:t>
            </w:r>
            <w:r w:rsidRPr="00E308CF">
              <w:rPr>
                <w:i/>
              </w:rPr>
              <w:t>in vitro</w:t>
            </w:r>
            <w:r w:rsidRPr="00E308CF">
              <w:rPr>
                <w:i/>
                <w:spacing w:val="-46"/>
              </w:rPr>
              <w:t xml:space="preserve"> </w:t>
            </w:r>
            <w:r w:rsidRPr="00E308CF">
              <w:t>test method defined in the Australian Sunscreen Standard to provide protection from the sun’s</w:t>
            </w:r>
            <w:r w:rsidRPr="00E308CF">
              <w:rPr>
                <w:spacing w:val="1"/>
              </w:rPr>
              <w:t xml:space="preserve"> </w:t>
            </w:r>
            <w:r w:rsidRPr="00E308CF">
              <w:t>terrestrial</w:t>
            </w:r>
            <w:r w:rsidRPr="00E308CF">
              <w:rPr>
                <w:spacing w:val="-3"/>
              </w:rPr>
              <w:t xml:space="preserve"> </w:t>
            </w:r>
            <w:r w:rsidRPr="00E308CF">
              <w:t>UVA</w:t>
            </w:r>
            <w:r w:rsidRPr="00E308CF">
              <w:rPr>
                <w:spacing w:val="-2"/>
              </w:rPr>
              <w:t xml:space="preserve"> </w:t>
            </w:r>
            <w:r w:rsidRPr="00E308CF">
              <w:t>and</w:t>
            </w:r>
            <w:r w:rsidRPr="00E308CF">
              <w:rPr>
                <w:spacing w:val="-3"/>
              </w:rPr>
              <w:t xml:space="preserve"> </w:t>
            </w:r>
            <w:r w:rsidRPr="00E308CF">
              <w:t>UVB</w:t>
            </w:r>
            <w:r w:rsidRPr="00E308CF">
              <w:rPr>
                <w:spacing w:val="-2"/>
              </w:rPr>
              <w:t xml:space="preserve"> </w:t>
            </w:r>
            <w:r w:rsidRPr="00E308CF">
              <w:t>rays.</w:t>
            </w:r>
          </w:p>
        </w:tc>
      </w:tr>
      <w:tr w:rsidR="003640A7" w:rsidRPr="00F425E2" w14:paraId="0BE66369" w14:textId="77777777" w:rsidTr="00375FAA">
        <w:tc>
          <w:tcPr>
            <w:tcW w:w="1795" w:type="dxa"/>
          </w:tcPr>
          <w:p w14:paraId="70D9F0B8" w14:textId="7A9493B3" w:rsidR="003640A7" w:rsidRPr="00E308CF" w:rsidRDefault="00B03B54" w:rsidP="00DE2BCE">
            <w:pPr>
              <w:rPr>
                <w:b/>
              </w:rPr>
            </w:pPr>
            <w:r w:rsidRPr="00E308CF">
              <w:rPr>
                <w:b/>
              </w:rPr>
              <w:t>Category description</w:t>
            </w:r>
          </w:p>
        </w:tc>
        <w:tc>
          <w:tcPr>
            <w:tcW w:w="7200" w:type="dxa"/>
          </w:tcPr>
          <w:p w14:paraId="73F4A838" w14:textId="2DD292ED" w:rsidR="003640A7" w:rsidRPr="00E308CF" w:rsidRDefault="005C6477" w:rsidP="00DE2BCE">
            <w:r w:rsidRPr="00E308CF">
              <w:t>means the designation of the level of protection given by a grouping of</w:t>
            </w:r>
            <w:r w:rsidRPr="00E308CF">
              <w:rPr>
                <w:spacing w:val="-46"/>
              </w:rPr>
              <w:t xml:space="preserve"> </w:t>
            </w:r>
            <w:r w:rsidRPr="00E308CF">
              <w:t>label</w:t>
            </w:r>
            <w:r w:rsidRPr="00E308CF">
              <w:rPr>
                <w:spacing w:val="-2"/>
              </w:rPr>
              <w:t xml:space="preserve"> </w:t>
            </w:r>
            <w:r w:rsidRPr="00E308CF">
              <w:t>sun</w:t>
            </w:r>
            <w:r w:rsidRPr="00E308CF">
              <w:rPr>
                <w:spacing w:val="-2"/>
              </w:rPr>
              <w:t xml:space="preserve"> </w:t>
            </w:r>
            <w:r w:rsidRPr="00E308CF">
              <w:t>protection</w:t>
            </w:r>
            <w:r w:rsidRPr="00E308CF">
              <w:rPr>
                <w:spacing w:val="-2"/>
              </w:rPr>
              <w:t xml:space="preserve"> </w:t>
            </w:r>
            <w:r w:rsidRPr="00E308CF">
              <w:t>factors (see</w:t>
            </w:r>
            <w:r w:rsidRPr="00E308CF">
              <w:rPr>
                <w:spacing w:val="-2"/>
              </w:rPr>
              <w:t xml:space="preserve"> </w:t>
            </w:r>
            <w:r w:rsidRPr="00E308CF">
              <w:t xml:space="preserve">the </w:t>
            </w:r>
            <w:r>
              <w:t>AS/NZS standard for sunscreens</w:t>
            </w:r>
            <w:r w:rsidRPr="00E308CF">
              <w:t>).</w:t>
            </w:r>
          </w:p>
        </w:tc>
      </w:tr>
      <w:tr w:rsidR="005C6477" w:rsidRPr="00F425E2" w14:paraId="078D060A" w14:textId="77777777" w:rsidTr="00375FAA">
        <w:tc>
          <w:tcPr>
            <w:tcW w:w="1795" w:type="dxa"/>
          </w:tcPr>
          <w:p w14:paraId="5403185A" w14:textId="30F00EE3" w:rsidR="005C6477" w:rsidRPr="00E308CF" w:rsidRDefault="00870B8D" w:rsidP="00DE2BCE">
            <w:pPr>
              <w:rPr>
                <w:b/>
              </w:rPr>
            </w:pPr>
            <w:r w:rsidRPr="00D75692">
              <w:rPr>
                <w:b/>
                <w:bCs/>
              </w:rPr>
              <w:t xml:space="preserve">Comparable Overseas Body </w:t>
            </w:r>
            <w:r>
              <w:rPr>
                <w:b/>
                <w:bCs/>
              </w:rPr>
              <w:t>(or COB)</w:t>
            </w:r>
          </w:p>
        </w:tc>
        <w:tc>
          <w:tcPr>
            <w:tcW w:w="7200" w:type="dxa"/>
          </w:tcPr>
          <w:p w14:paraId="15CA28D4" w14:textId="1FE07E38" w:rsidR="005C6477" w:rsidRPr="00E308CF" w:rsidRDefault="007703A7" w:rsidP="00DE2BCE">
            <w:r>
              <w:t xml:space="preserve">means </w:t>
            </w:r>
            <w:r w:rsidRPr="007A32F1">
              <w:t>a competent regulatory authority of a foreign country or a foreign jurisdiction</w:t>
            </w:r>
            <w:r>
              <w:t xml:space="preserve"> </w:t>
            </w:r>
            <w:r w:rsidRPr="007A32F1">
              <w:t>determined by the Secretary for the purposes of regulation 16GJ of the Regulations.</w:t>
            </w:r>
          </w:p>
        </w:tc>
      </w:tr>
      <w:tr w:rsidR="005C6477" w:rsidRPr="00F425E2" w14:paraId="6839DD10" w14:textId="77777777" w:rsidTr="00375FAA">
        <w:tc>
          <w:tcPr>
            <w:tcW w:w="1795" w:type="dxa"/>
          </w:tcPr>
          <w:p w14:paraId="482D69E0" w14:textId="6A6CF435" w:rsidR="005C6477" w:rsidRPr="00E308CF" w:rsidRDefault="0016428A" w:rsidP="00DE2BCE">
            <w:pPr>
              <w:rPr>
                <w:b/>
              </w:rPr>
            </w:pPr>
            <w:r w:rsidRPr="00E308CF">
              <w:rPr>
                <w:b/>
              </w:rPr>
              <w:t>Container</w:t>
            </w:r>
          </w:p>
        </w:tc>
        <w:tc>
          <w:tcPr>
            <w:tcW w:w="7200" w:type="dxa"/>
          </w:tcPr>
          <w:p w14:paraId="114391B7" w14:textId="1AAE382F" w:rsidR="005C6477" w:rsidRPr="00E308CF" w:rsidRDefault="009A2150" w:rsidP="00DE2BCE">
            <w:r w:rsidRPr="00E308CF">
              <w:t>(in relation to therapeutic goods) means the vessel, bottle, tube, ampoule, syringe,</w:t>
            </w:r>
            <w:r w:rsidRPr="00E308CF">
              <w:rPr>
                <w:spacing w:val="1"/>
              </w:rPr>
              <w:t xml:space="preserve"> </w:t>
            </w:r>
            <w:r w:rsidRPr="00E308CF">
              <w:t>vial, sachet, strip pack, blister pack, wrapper, cover or other similar article that immediately</w:t>
            </w:r>
            <w:r w:rsidRPr="00E308CF">
              <w:rPr>
                <w:spacing w:val="1"/>
              </w:rPr>
              <w:t xml:space="preserve"> </w:t>
            </w:r>
            <w:r w:rsidRPr="00E308CF">
              <w:t xml:space="preserve">covers the </w:t>
            </w:r>
            <w:proofErr w:type="gramStart"/>
            <w:r w:rsidRPr="00E308CF">
              <w:t>goods, but</w:t>
            </w:r>
            <w:proofErr w:type="gramEnd"/>
            <w:r w:rsidRPr="00E308CF">
              <w:t xml:space="preserve"> does not include an article intended for ingestion (see subsection 3(1) of</w:t>
            </w:r>
            <w:r w:rsidRPr="00E308CF">
              <w:rPr>
                <w:spacing w:val="-46"/>
              </w:rPr>
              <w:t xml:space="preserve"> </w:t>
            </w:r>
            <w:r w:rsidRPr="00E308CF">
              <w:t>the Act).</w:t>
            </w:r>
          </w:p>
        </w:tc>
      </w:tr>
      <w:tr w:rsidR="005C6477" w:rsidRPr="00F425E2" w14:paraId="3673FFFB" w14:textId="77777777" w:rsidTr="00375FAA">
        <w:tc>
          <w:tcPr>
            <w:tcW w:w="1795" w:type="dxa"/>
          </w:tcPr>
          <w:p w14:paraId="0EE2A8E0" w14:textId="25857781" w:rsidR="005C6477" w:rsidRPr="00E308CF" w:rsidRDefault="00E243F7" w:rsidP="00DE2BCE">
            <w:pPr>
              <w:rPr>
                <w:b/>
              </w:rPr>
            </w:pPr>
            <w:r w:rsidRPr="008D131F">
              <w:rPr>
                <w:b/>
                <w:bCs/>
              </w:rPr>
              <w:lastRenderedPageBreak/>
              <w:t>Cosmetic</w:t>
            </w:r>
          </w:p>
        </w:tc>
        <w:tc>
          <w:tcPr>
            <w:tcW w:w="7200" w:type="dxa"/>
          </w:tcPr>
          <w:p w14:paraId="25B22E91" w14:textId="77777777" w:rsidR="00F42330" w:rsidRPr="00E308CF" w:rsidRDefault="00F42330" w:rsidP="00F42330">
            <w:r w:rsidRPr="00E308CF">
              <w:t>means:</w:t>
            </w:r>
          </w:p>
          <w:p w14:paraId="3FB1420C" w14:textId="77777777" w:rsidR="00F42330" w:rsidRPr="006060C5" w:rsidRDefault="00F42330" w:rsidP="0073748E">
            <w:pPr>
              <w:pStyle w:val="ListBullet"/>
              <w:numPr>
                <w:ilvl w:val="0"/>
                <w:numId w:val="18"/>
              </w:numPr>
            </w:pPr>
            <w:r w:rsidRPr="006060C5">
              <w:t>a substance or preparation intended for placement in contact with any external part of</w:t>
            </w:r>
            <w:r w:rsidRPr="006060C5">
              <w:rPr>
                <w:spacing w:val="-46"/>
              </w:rPr>
              <w:t xml:space="preserve"> </w:t>
            </w:r>
            <w:r w:rsidRPr="006060C5">
              <w:t>the human body, including the mucous membranes of the oral cavity and the teeth,</w:t>
            </w:r>
            <w:r w:rsidRPr="006060C5">
              <w:rPr>
                <w:spacing w:val="1"/>
              </w:rPr>
              <w:t xml:space="preserve"> </w:t>
            </w:r>
            <w:r w:rsidRPr="006060C5">
              <w:t xml:space="preserve">with a view </w:t>
            </w:r>
            <w:proofErr w:type="gramStart"/>
            <w:r w:rsidRPr="006060C5">
              <w:t>to:</w:t>
            </w:r>
            <w:proofErr w:type="gramEnd"/>
            <w:r w:rsidRPr="006060C5">
              <w:t xml:space="preserve"> altering the odours of the body; changing its appearance; cleansing it;</w:t>
            </w:r>
            <w:r w:rsidRPr="006060C5">
              <w:rPr>
                <w:spacing w:val="1"/>
              </w:rPr>
              <w:t xml:space="preserve"> </w:t>
            </w:r>
            <w:r w:rsidRPr="006060C5">
              <w:t>maintaining</w:t>
            </w:r>
            <w:r w:rsidRPr="006060C5">
              <w:rPr>
                <w:spacing w:val="-2"/>
              </w:rPr>
              <w:t xml:space="preserve"> </w:t>
            </w:r>
            <w:r w:rsidRPr="006060C5">
              <w:t>it</w:t>
            </w:r>
            <w:r w:rsidRPr="006060C5">
              <w:rPr>
                <w:spacing w:val="-4"/>
              </w:rPr>
              <w:t xml:space="preserve"> </w:t>
            </w:r>
            <w:r w:rsidRPr="006060C5">
              <w:t>in</w:t>
            </w:r>
            <w:r w:rsidRPr="006060C5">
              <w:rPr>
                <w:spacing w:val="-2"/>
              </w:rPr>
              <w:t xml:space="preserve"> </w:t>
            </w:r>
            <w:r w:rsidRPr="006060C5">
              <w:t>good</w:t>
            </w:r>
            <w:r w:rsidRPr="006060C5">
              <w:rPr>
                <w:spacing w:val="-1"/>
              </w:rPr>
              <w:t xml:space="preserve"> </w:t>
            </w:r>
            <w:r w:rsidRPr="006060C5">
              <w:t>condition;</w:t>
            </w:r>
            <w:r w:rsidRPr="006060C5">
              <w:rPr>
                <w:spacing w:val="-2"/>
              </w:rPr>
              <w:t xml:space="preserve"> </w:t>
            </w:r>
            <w:r w:rsidRPr="006060C5">
              <w:t>perfuming</w:t>
            </w:r>
            <w:r w:rsidRPr="006060C5">
              <w:rPr>
                <w:spacing w:val="-2"/>
              </w:rPr>
              <w:t xml:space="preserve"> </w:t>
            </w:r>
            <w:r w:rsidRPr="006060C5">
              <w:t>it;</w:t>
            </w:r>
            <w:r w:rsidRPr="006060C5">
              <w:rPr>
                <w:spacing w:val="-2"/>
              </w:rPr>
              <w:t xml:space="preserve"> </w:t>
            </w:r>
            <w:r w:rsidRPr="006060C5">
              <w:t>or</w:t>
            </w:r>
            <w:r w:rsidRPr="006060C5">
              <w:rPr>
                <w:spacing w:val="-1"/>
              </w:rPr>
              <w:t xml:space="preserve"> </w:t>
            </w:r>
            <w:r w:rsidRPr="006060C5">
              <w:t>protecting</w:t>
            </w:r>
            <w:r w:rsidRPr="006060C5">
              <w:rPr>
                <w:spacing w:val="-2"/>
              </w:rPr>
              <w:t xml:space="preserve"> </w:t>
            </w:r>
            <w:r w:rsidRPr="006060C5">
              <w:t>it.</w:t>
            </w:r>
          </w:p>
          <w:p w14:paraId="0E3FAA3E" w14:textId="77777777" w:rsidR="00F42330" w:rsidRPr="006060C5" w:rsidRDefault="00F42330" w:rsidP="0073748E">
            <w:pPr>
              <w:pStyle w:val="ListBullet"/>
              <w:numPr>
                <w:ilvl w:val="0"/>
                <w:numId w:val="18"/>
              </w:numPr>
            </w:pPr>
            <w:r w:rsidRPr="006060C5">
              <w:t>A substance or preparation prescribed by the rules for the purposes of this paragraph,</w:t>
            </w:r>
            <w:r w:rsidRPr="006060C5">
              <w:rPr>
                <w:spacing w:val="-46"/>
              </w:rPr>
              <w:t xml:space="preserve"> </w:t>
            </w:r>
            <w:r w:rsidRPr="006060C5">
              <w:t>but</w:t>
            </w:r>
            <w:r w:rsidRPr="006060C5">
              <w:rPr>
                <w:spacing w:val="-1"/>
              </w:rPr>
              <w:t xml:space="preserve"> </w:t>
            </w:r>
            <w:r w:rsidRPr="006060C5">
              <w:t>does not</w:t>
            </w:r>
            <w:r w:rsidRPr="006060C5">
              <w:rPr>
                <w:spacing w:val="-4"/>
              </w:rPr>
              <w:t xml:space="preserve"> </w:t>
            </w:r>
            <w:r w:rsidRPr="006060C5">
              <w:t>include:</w:t>
            </w:r>
          </w:p>
          <w:p w14:paraId="3B72C4DF" w14:textId="77777777" w:rsidR="00F42330" w:rsidRPr="00344758" w:rsidRDefault="00F42330" w:rsidP="0073748E">
            <w:pPr>
              <w:pStyle w:val="ListBullet2"/>
              <w:numPr>
                <w:ilvl w:val="1"/>
                <w:numId w:val="17"/>
              </w:numPr>
              <w:rPr>
                <w:color w:val="auto"/>
              </w:rPr>
            </w:pPr>
            <w:r w:rsidRPr="00344758">
              <w:rPr>
                <w:color w:val="auto"/>
              </w:rPr>
              <w:t>a</w:t>
            </w:r>
            <w:r w:rsidRPr="00344758">
              <w:rPr>
                <w:color w:val="auto"/>
                <w:spacing w:val="-2"/>
              </w:rPr>
              <w:t xml:space="preserve"> </w:t>
            </w:r>
            <w:r w:rsidRPr="00344758">
              <w:rPr>
                <w:color w:val="auto"/>
              </w:rPr>
              <w:t>therapeutic</w:t>
            </w:r>
            <w:r w:rsidRPr="00344758">
              <w:rPr>
                <w:color w:val="auto"/>
                <w:spacing w:val="-1"/>
              </w:rPr>
              <w:t xml:space="preserve"> </w:t>
            </w:r>
            <w:r w:rsidRPr="00344758">
              <w:rPr>
                <w:color w:val="auto"/>
              </w:rPr>
              <w:t>good</w:t>
            </w:r>
            <w:r w:rsidRPr="00344758">
              <w:rPr>
                <w:color w:val="auto"/>
                <w:spacing w:val="-2"/>
              </w:rPr>
              <w:t xml:space="preserve"> </w:t>
            </w:r>
            <w:r w:rsidRPr="00344758">
              <w:rPr>
                <w:color w:val="auto"/>
              </w:rPr>
              <w:t>within</w:t>
            </w:r>
            <w:r w:rsidRPr="00344758">
              <w:rPr>
                <w:color w:val="auto"/>
                <w:spacing w:val="-4"/>
              </w:rPr>
              <w:t xml:space="preserve"> </w:t>
            </w:r>
            <w:r w:rsidRPr="00344758">
              <w:rPr>
                <w:color w:val="auto"/>
              </w:rPr>
              <w:t>the</w:t>
            </w:r>
            <w:r w:rsidRPr="00344758">
              <w:rPr>
                <w:color w:val="auto"/>
                <w:spacing w:val="-2"/>
              </w:rPr>
              <w:t xml:space="preserve"> </w:t>
            </w:r>
            <w:r w:rsidRPr="00344758">
              <w:rPr>
                <w:color w:val="auto"/>
              </w:rPr>
              <w:t>meaning</w:t>
            </w:r>
            <w:r w:rsidRPr="00344758">
              <w:rPr>
                <w:color w:val="auto"/>
                <w:spacing w:val="-3"/>
              </w:rPr>
              <w:t xml:space="preserve"> </w:t>
            </w:r>
            <w:r w:rsidRPr="00344758">
              <w:rPr>
                <w:color w:val="auto"/>
              </w:rPr>
              <w:t>of</w:t>
            </w:r>
            <w:r w:rsidRPr="00344758">
              <w:rPr>
                <w:color w:val="auto"/>
                <w:spacing w:val="-2"/>
              </w:rPr>
              <w:t xml:space="preserve"> </w:t>
            </w:r>
            <w:r w:rsidRPr="00344758">
              <w:rPr>
                <w:color w:val="auto"/>
              </w:rPr>
              <w:t>the</w:t>
            </w:r>
            <w:r w:rsidRPr="00344758">
              <w:rPr>
                <w:color w:val="auto"/>
                <w:spacing w:val="-2"/>
              </w:rPr>
              <w:t xml:space="preserve"> </w:t>
            </w:r>
            <w:r w:rsidRPr="00344758">
              <w:rPr>
                <w:i/>
                <w:color w:val="auto"/>
              </w:rPr>
              <w:t>Therapeutic</w:t>
            </w:r>
            <w:r w:rsidRPr="00344758">
              <w:rPr>
                <w:i/>
                <w:color w:val="auto"/>
                <w:spacing w:val="-2"/>
              </w:rPr>
              <w:t xml:space="preserve"> </w:t>
            </w:r>
            <w:r w:rsidRPr="00344758">
              <w:rPr>
                <w:i/>
                <w:color w:val="auto"/>
              </w:rPr>
              <w:t>Goods</w:t>
            </w:r>
            <w:r w:rsidRPr="00344758">
              <w:rPr>
                <w:i/>
                <w:color w:val="auto"/>
                <w:spacing w:val="-2"/>
              </w:rPr>
              <w:t xml:space="preserve"> </w:t>
            </w:r>
            <w:r w:rsidRPr="00344758">
              <w:rPr>
                <w:i/>
                <w:color w:val="auto"/>
              </w:rPr>
              <w:t>Act</w:t>
            </w:r>
            <w:r w:rsidRPr="00344758">
              <w:rPr>
                <w:i/>
                <w:color w:val="auto"/>
                <w:spacing w:val="-4"/>
              </w:rPr>
              <w:t xml:space="preserve"> </w:t>
            </w:r>
            <w:r w:rsidRPr="00344758">
              <w:rPr>
                <w:i/>
                <w:color w:val="auto"/>
              </w:rPr>
              <w:t>1989</w:t>
            </w:r>
            <w:r w:rsidRPr="00344758">
              <w:rPr>
                <w:color w:val="auto"/>
              </w:rPr>
              <w:t>;</w:t>
            </w:r>
            <w:r w:rsidRPr="00344758">
              <w:rPr>
                <w:color w:val="auto"/>
                <w:spacing w:val="-2"/>
              </w:rPr>
              <w:t xml:space="preserve"> </w:t>
            </w:r>
            <w:r w:rsidRPr="00344758">
              <w:rPr>
                <w:color w:val="auto"/>
              </w:rPr>
              <w:t>or</w:t>
            </w:r>
          </w:p>
          <w:p w14:paraId="3CF76944" w14:textId="77777777" w:rsidR="00F42330" w:rsidRPr="00344758" w:rsidRDefault="00F42330" w:rsidP="0073748E">
            <w:pPr>
              <w:pStyle w:val="ListBullet2"/>
              <w:numPr>
                <w:ilvl w:val="1"/>
                <w:numId w:val="17"/>
              </w:numPr>
              <w:rPr>
                <w:color w:val="auto"/>
              </w:rPr>
            </w:pPr>
            <w:r w:rsidRPr="00344758">
              <w:rPr>
                <w:color w:val="auto"/>
              </w:rPr>
              <w:t>A substance of preparation prescribed by the rules for the purposes of this</w:t>
            </w:r>
            <w:r w:rsidRPr="00344758">
              <w:rPr>
                <w:color w:val="auto"/>
                <w:spacing w:val="-46"/>
              </w:rPr>
              <w:t xml:space="preserve"> </w:t>
            </w:r>
            <w:r w:rsidRPr="00344758">
              <w:rPr>
                <w:color w:val="auto"/>
              </w:rPr>
              <w:t>paragraph.</w:t>
            </w:r>
          </w:p>
          <w:p w14:paraId="287548BB" w14:textId="1B5D8690" w:rsidR="005C6477" w:rsidRPr="00F42330" w:rsidRDefault="00F42330" w:rsidP="00F42330">
            <w:pPr>
              <w:pStyle w:val="BodyText"/>
              <w:spacing w:before="180"/>
              <w:ind w:left="877" w:right="765"/>
              <w:rPr>
                <w:rFonts w:cs="Arial"/>
              </w:rPr>
            </w:pPr>
            <w:r w:rsidRPr="00344758">
              <w:rPr>
                <w:rFonts w:cs="Arial"/>
                <w:color w:val="auto"/>
              </w:rPr>
              <w:t>Noting that an ingredient or component of a cosmetic could be an industrial chemical</w:t>
            </w:r>
            <w:r w:rsidRPr="00344758">
              <w:rPr>
                <w:rFonts w:cs="Arial"/>
                <w:color w:val="auto"/>
                <w:spacing w:val="-46"/>
              </w:rPr>
              <w:t xml:space="preserve"> </w:t>
            </w:r>
            <w:r w:rsidRPr="00344758">
              <w:rPr>
                <w:rFonts w:cs="Arial"/>
                <w:color w:val="auto"/>
              </w:rPr>
              <w:t xml:space="preserve">(see section 9 of the </w:t>
            </w:r>
            <w:r w:rsidRPr="00344758">
              <w:rPr>
                <w:rFonts w:cs="Arial"/>
                <w:i/>
                <w:color w:val="auto"/>
              </w:rPr>
              <w:t>Industrial Chemicals Act 2019</w:t>
            </w:r>
            <w:r w:rsidRPr="00344758">
              <w:rPr>
                <w:rFonts w:cs="Arial"/>
                <w:color w:val="auto"/>
              </w:rPr>
              <w:t>; definition accessed 26 February</w:t>
            </w:r>
            <w:r w:rsidRPr="00344758">
              <w:rPr>
                <w:rFonts w:cs="Arial"/>
                <w:color w:val="auto"/>
                <w:spacing w:val="1"/>
              </w:rPr>
              <w:t xml:space="preserve"> </w:t>
            </w:r>
            <w:r w:rsidRPr="00344758">
              <w:rPr>
                <w:rFonts w:cs="Arial"/>
                <w:color w:val="auto"/>
              </w:rPr>
              <w:t>2021).</w:t>
            </w:r>
          </w:p>
        </w:tc>
      </w:tr>
      <w:tr w:rsidR="005C6477" w:rsidRPr="00F425E2" w14:paraId="65B57D61" w14:textId="77777777" w:rsidTr="00375FAA">
        <w:tc>
          <w:tcPr>
            <w:tcW w:w="1795" w:type="dxa"/>
          </w:tcPr>
          <w:p w14:paraId="1B30160E" w14:textId="2373E44D" w:rsidR="005C6477" w:rsidRPr="00E308CF" w:rsidRDefault="00964C4B" w:rsidP="00DE2BCE">
            <w:pPr>
              <w:rPr>
                <w:b/>
              </w:rPr>
            </w:pPr>
            <w:r w:rsidRPr="008D131F">
              <w:rPr>
                <w:b/>
              </w:rPr>
              <w:t>Dermal substances</w:t>
            </w:r>
          </w:p>
        </w:tc>
        <w:tc>
          <w:tcPr>
            <w:tcW w:w="7200" w:type="dxa"/>
          </w:tcPr>
          <w:p w14:paraId="1ECAD0B5" w14:textId="56FEA2BA" w:rsidR="005C6477" w:rsidRPr="00E308CF" w:rsidRDefault="00641564" w:rsidP="00DE2BCE">
            <w:r>
              <w:rPr>
                <w:bCs/>
              </w:rPr>
              <w:t xml:space="preserve">means substances that are to be applied topically </w:t>
            </w:r>
            <w:r w:rsidRPr="00D37777">
              <w:rPr>
                <w:bCs/>
              </w:rPr>
              <w:t>for use in listed therapeutic sunscreens</w:t>
            </w:r>
            <w:r>
              <w:rPr>
                <w:bCs/>
              </w:rPr>
              <w:t>.</w:t>
            </w:r>
          </w:p>
        </w:tc>
      </w:tr>
      <w:tr w:rsidR="005C6477" w:rsidRPr="00F425E2" w14:paraId="14E89AAC" w14:textId="77777777" w:rsidTr="00375FAA">
        <w:tc>
          <w:tcPr>
            <w:tcW w:w="1795" w:type="dxa"/>
          </w:tcPr>
          <w:p w14:paraId="7E97D2F8" w14:textId="7E9D9A84" w:rsidR="005C6477" w:rsidRPr="00E308CF" w:rsidRDefault="00743F45" w:rsidP="00DE2BCE">
            <w:pPr>
              <w:rPr>
                <w:b/>
              </w:rPr>
            </w:pPr>
            <w:r w:rsidRPr="00E308CF">
              <w:rPr>
                <w:b/>
              </w:rPr>
              <w:t>ELF</w:t>
            </w:r>
          </w:p>
        </w:tc>
        <w:tc>
          <w:tcPr>
            <w:tcW w:w="7200" w:type="dxa"/>
          </w:tcPr>
          <w:p w14:paraId="2185610B" w14:textId="305FA7EA" w:rsidR="005C6477" w:rsidRPr="00E308CF" w:rsidRDefault="00861412" w:rsidP="00DE2BCE">
            <w:r w:rsidRPr="00E308CF">
              <w:t>means</w:t>
            </w:r>
            <w:r w:rsidRPr="00E308CF">
              <w:rPr>
                <w:spacing w:val="-1"/>
              </w:rPr>
              <w:t xml:space="preserve"> </w:t>
            </w:r>
            <w:r w:rsidRPr="00E308CF">
              <w:t>Electronic</w:t>
            </w:r>
            <w:r w:rsidRPr="00E308CF">
              <w:rPr>
                <w:spacing w:val="-1"/>
              </w:rPr>
              <w:t xml:space="preserve"> </w:t>
            </w:r>
            <w:r w:rsidRPr="00E308CF">
              <w:t>Listing</w:t>
            </w:r>
            <w:r w:rsidRPr="00E308CF">
              <w:rPr>
                <w:spacing w:val="-3"/>
              </w:rPr>
              <w:t xml:space="preserve"> </w:t>
            </w:r>
            <w:r w:rsidRPr="00E308CF">
              <w:t>Facility.</w:t>
            </w:r>
          </w:p>
        </w:tc>
      </w:tr>
      <w:tr w:rsidR="005C6477" w:rsidRPr="00F425E2" w14:paraId="5EB33F51" w14:textId="77777777" w:rsidTr="00375FAA">
        <w:tc>
          <w:tcPr>
            <w:tcW w:w="1795" w:type="dxa"/>
          </w:tcPr>
          <w:p w14:paraId="3A826A63" w14:textId="29B0E9A9" w:rsidR="005C6477" w:rsidRPr="00E308CF" w:rsidRDefault="00A9009D" w:rsidP="00DE2BCE">
            <w:pPr>
              <w:rPr>
                <w:b/>
              </w:rPr>
            </w:pPr>
            <w:r w:rsidRPr="00E308CF">
              <w:rPr>
                <w:b/>
              </w:rPr>
              <w:t>Excipient ingredient</w:t>
            </w:r>
          </w:p>
        </w:tc>
        <w:tc>
          <w:tcPr>
            <w:tcW w:w="7200" w:type="dxa"/>
          </w:tcPr>
          <w:p w14:paraId="383830C1" w14:textId="7CD60E5B" w:rsidR="005C6477" w:rsidRPr="00E308CF" w:rsidRDefault="0044118B" w:rsidP="00DE2BCE">
            <w:r w:rsidRPr="00E308CF">
              <w:t>(in relation to a sunscreen) means an ingredient of a sunscreen other than</w:t>
            </w:r>
            <w:r w:rsidRPr="00E308CF">
              <w:rPr>
                <w:spacing w:val="-46"/>
              </w:rPr>
              <w:t xml:space="preserve"> </w:t>
            </w:r>
            <w:r w:rsidRPr="00E308CF">
              <w:t>an active ingredient. Excipient ingredients may have multiple uses such as fragrance,</w:t>
            </w:r>
            <w:r w:rsidRPr="00E308CF">
              <w:rPr>
                <w:spacing w:val="1"/>
              </w:rPr>
              <w:t xml:space="preserve"> </w:t>
            </w:r>
            <w:r w:rsidRPr="00E308CF">
              <w:t>preservative</w:t>
            </w:r>
            <w:r w:rsidRPr="00E308CF">
              <w:rPr>
                <w:spacing w:val="-2"/>
              </w:rPr>
              <w:t xml:space="preserve"> </w:t>
            </w:r>
            <w:r w:rsidRPr="00E308CF">
              <w:t>and/or</w:t>
            </w:r>
            <w:r w:rsidRPr="00E308CF">
              <w:rPr>
                <w:spacing w:val="-1"/>
              </w:rPr>
              <w:t xml:space="preserve"> </w:t>
            </w:r>
            <w:r w:rsidRPr="00E308CF">
              <w:t>solvent.</w:t>
            </w:r>
          </w:p>
        </w:tc>
      </w:tr>
      <w:tr w:rsidR="005C6477" w:rsidRPr="00F425E2" w14:paraId="363312B6" w14:textId="77777777" w:rsidTr="00375FAA">
        <w:tc>
          <w:tcPr>
            <w:tcW w:w="1795" w:type="dxa"/>
          </w:tcPr>
          <w:p w14:paraId="1D90F326" w14:textId="523B1FD2" w:rsidR="005C6477" w:rsidRPr="00E308CF" w:rsidRDefault="00E85ACE" w:rsidP="00DE2BCE">
            <w:pPr>
              <w:rPr>
                <w:b/>
              </w:rPr>
            </w:pPr>
            <w:r w:rsidRPr="00E308CF">
              <w:rPr>
                <w:b/>
              </w:rPr>
              <w:t>Excluded sunscreen</w:t>
            </w:r>
          </w:p>
        </w:tc>
        <w:tc>
          <w:tcPr>
            <w:tcW w:w="7200" w:type="dxa"/>
          </w:tcPr>
          <w:p w14:paraId="5CCCC1C9" w14:textId="5BF3BC7A" w:rsidR="005C6477" w:rsidRPr="00E308CF" w:rsidRDefault="00A4685D" w:rsidP="00DE2BCE">
            <w:r w:rsidRPr="00E308CF">
              <w:t>means a sunscreen product that is excluded from regulation under the</w:t>
            </w:r>
            <w:r w:rsidRPr="00E308CF">
              <w:rPr>
                <w:spacing w:val="1"/>
              </w:rPr>
              <w:t xml:space="preserve"> </w:t>
            </w:r>
            <w:r w:rsidRPr="00E308CF">
              <w:rPr>
                <w:i/>
              </w:rPr>
              <w:t xml:space="preserve">Therapeutic Goods Act 1989 </w:t>
            </w:r>
            <w:r w:rsidRPr="00E308CF">
              <w:t>by virtue of the Therapeutic Goods (Excluded Goods) Determination</w:t>
            </w:r>
            <w:r w:rsidRPr="00E308CF">
              <w:rPr>
                <w:spacing w:val="-46"/>
              </w:rPr>
              <w:t xml:space="preserve"> </w:t>
            </w:r>
            <w:r w:rsidRPr="00E308CF">
              <w:t>2018.</w:t>
            </w:r>
          </w:p>
        </w:tc>
      </w:tr>
      <w:tr w:rsidR="00A4685D" w:rsidRPr="00F425E2" w14:paraId="75C942B1" w14:textId="77777777" w:rsidTr="00375FAA">
        <w:tc>
          <w:tcPr>
            <w:tcW w:w="1795" w:type="dxa"/>
          </w:tcPr>
          <w:p w14:paraId="26C339E0" w14:textId="60D0FABC" w:rsidR="00A4685D" w:rsidRPr="00E308CF" w:rsidRDefault="00B401E2" w:rsidP="00DE2BCE">
            <w:pPr>
              <w:rPr>
                <w:b/>
              </w:rPr>
            </w:pPr>
            <w:r w:rsidRPr="00E308CF">
              <w:rPr>
                <w:b/>
              </w:rPr>
              <w:t>Fragrance (or perfume)</w:t>
            </w:r>
          </w:p>
        </w:tc>
        <w:tc>
          <w:tcPr>
            <w:tcW w:w="7200" w:type="dxa"/>
          </w:tcPr>
          <w:p w14:paraId="2A901D85" w14:textId="3A13F4AB" w:rsidR="00A4685D" w:rsidRPr="00E308CF" w:rsidRDefault="00E65694" w:rsidP="00DE2BCE">
            <w:r w:rsidRPr="00E308CF">
              <w:t>means a substance with a primary purpose to alter the smell of a</w:t>
            </w:r>
            <w:r w:rsidRPr="00E308CF">
              <w:rPr>
                <w:spacing w:val="-46"/>
              </w:rPr>
              <w:t xml:space="preserve"> </w:t>
            </w:r>
            <w:r w:rsidRPr="00E308CF">
              <w:t>therapeutic</w:t>
            </w:r>
            <w:r w:rsidRPr="00E308CF">
              <w:rPr>
                <w:spacing w:val="-1"/>
              </w:rPr>
              <w:t xml:space="preserve"> </w:t>
            </w:r>
            <w:r w:rsidRPr="00E308CF">
              <w:t>good.</w:t>
            </w:r>
          </w:p>
        </w:tc>
      </w:tr>
      <w:tr w:rsidR="00A4685D" w:rsidRPr="00F425E2" w14:paraId="31F57A1F" w14:textId="77777777" w:rsidTr="00375FAA">
        <w:tc>
          <w:tcPr>
            <w:tcW w:w="1795" w:type="dxa"/>
          </w:tcPr>
          <w:p w14:paraId="4510762A" w14:textId="1102C11C" w:rsidR="00A4685D" w:rsidRPr="00E308CF" w:rsidRDefault="00000EB2" w:rsidP="00DE2BCE">
            <w:pPr>
              <w:rPr>
                <w:b/>
              </w:rPr>
            </w:pPr>
            <w:r w:rsidRPr="00E308CF">
              <w:rPr>
                <w:b/>
              </w:rPr>
              <w:t>GMP</w:t>
            </w:r>
          </w:p>
        </w:tc>
        <w:tc>
          <w:tcPr>
            <w:tcW w:w="7200" w:type="dxa"/>
          </w:tcPr>
          <w:p w14:paraId="2391F876" w14:textId="4A1852F8" w:rsidR="00A4685D" w:rsidRPr="00E308CF" w:rsidRDefault="00C56B2B" w:rsidP="00DE2BCE">
            <w:r w:rsidRPr="00E308CF">
              <w:t>means</w:t>
            </w:r>
            <w:r w:rsidRPr="00E308CF">
              <w:rPr>
                <w:spacing w:val="-1"/>
              </w:rPr>
              <w:t xml:space="preserve"> </w:t>
            </w:r>
            <w:proofErr w:type="gramStart"/>
            <w:r w:rsidRPr="00E308CF">
              <w:t>Good</w:t>
            </w:r>
            <w:proofErr w:type="gramEnd"/>
            <w:r w:rsidRPr="00E308CF">
              <w:rPr>
                <w:spacing w:val="-3"/>
              </w:rPr>
              <w:t xml:space="preserve"> </w:t>
            </w:r>
            <w:r w:rsidRPr="00E308CF">
              <w:t>manufacturing</w:t>
            </w:r>
            <w:r w:rsidRPr="00E308CF">
              <w:rPr>
                <w:spacing w:val="-3"/>
              </w:rPr>
              <w:t xml:space="preserve"> </w:t>
            </w:r>
            <w:r w:rsidRPr="00E308CF">
              <w:t>practice.</w:t>
            </w:r>
          </w:p>
        </w:tc>
      </w:tr>
      <w:tr w:rsidR="00A4685D" w:rsidRPr="00F425E2" w14:paraId="04306EB7" w14:textId="77777777" w:rsidTr="00375FAA">
        <w:tc>
          <w:tcPr>
            <w:tcW w:w="1795" w:type="dxa"/>
          </w:tcPr>
          <w:p w14:paraId="315AB408" w14:textId="7795CB73" w:rsidR="00A4685D" w:rsidRPr="00E308CF" w:rsidRDefault="00C675D3" w:rsidP="00DE2BCE">
            <w:pPr>
              <w:rPr>
                <w:b/>
              </w:rPr>
            </w:pPr>
            <w:r w:rsidRPr="00E308CF">
              <w:rPr>
                <w:b/>
              </w:rPr>
              <w:t>Ingredients of human or animal origin</w:t>
            </w:r>
          </w:p>
        </w:tc>
        <w:tc>
          <w:tcPr>
            <w:tcW w:w="7200" w:type="dxa"/>
          </w:tcPr>
          <w:p w14:paraId="7FB9564B" w14:textId="1DEA8F7B" w:rsidR="00A4685D" w:rsidRPr="00E308CF" w:rsidRDefault="00E2384E" w:rsidP="00DE2BCE">
            <w:r w:rsidRPr="00E308CF">
              <w:t>are those derived directly from a human or animal</w:t>
            </w:r>
            <w:r w:rsidRPr="00E308CF">
              <w:rPr>
                <w:spacing w:val="-46"/>
              </w:rPr>
              <w:t xml:space="preserve"> </w:t>
            </w:r>
            <w:r w:rsidRPr="00E308CF">
              <w:t>source.</w:t>
            </w:r>
            <w:r w:rsidRPr="00E308CF">
              <w:rPr>
                <w:spacing w:val="-4"/>
              </w:rPr>
              <w:t xml:space="preserve"> </w:t>
            </w:r>
            <w:r w:rsidRPr="00E308CF">
              <w:t>These are</w:t>
            </w:r>
            <w:r w:rsidRPr="00E308CF">
              <w:rPr>
                <w:spacing w:val="-1"/>
              </w:rPr>
              <w:t xml:space="preserve"> </w:t>
            </w:r>
            <w:r w:rsidRPr="00E308CF">
              <w:t>also</w:t>
            </w:r>
            <w:r w:rsidRPr="00E308CF">
              <w:rPr>
                <w:spacing w:val="-1"/>
              </w:rPr>
              <w:t xml:space="preserve"> </w:t>
            </w:r>
            <w:r w:rsidRPr="00E308CF">
              <w:t>listed</w:t>
            </w:r>
            <w:r w:rsidRPr="00E308CF">
              <w:rPr>
                <w:spacing w:val="-1"/>
              </w:rPr>
              <w:t xml:space="preserve"> </w:t>
            </w:r>
            <w:r w:rsidRPr="00E308CF">
              <w:t>in</w:t>
            </w:r>
            <w:r w:rsidRPr="00E308CF">
              <w:rPr>
                <w:spacing w:val="-1"/>
              </w:rPr>
              <w:t xml:space="preserve"> </w:t>
            </w:r>
            <w:r w:rsidRPr="00E308CF">
              <w:t>Item 8,</w:t>
            </w:r>
            <w:r w:rsidRPr="00E308CF">
              <w:rPr>
                <w:spacing w:val="-2"/>
              </w:rPr>
              <w:t xml:space="preserve"> </w:t>
            </w:r>
            <w:r w:rsidRPr="00E308CF">
              <w:t>Schedule</w:t>
            </w:r>
            <w:r w:rsidRPr="00E308CF">
              <w:rPr>
                <w:spacing w:val="-3"/>
              </w:rPr>
              <w:t xml:space="preserve"> </w:t>
            </w:r>
            <w:r w:rsidRPr="00E308CF">
              <w:t>5</w:t>
            </w:r>
            <w:r w:rsidRPr="00E308CF">
              <w:rPr>
                <w:spacing w:val="-1"/>
              </w:rPr>
              <w:t xml:space="preserve"> </w:t>
            </w:r>
            <w:r w:rsidRPr="00E308CF">
              <w:t>of the</w:t>
            </w:r>
            <w:r w:rsidRPr="00E308CF">
              <w:rPr>
                <w:spacing w:val="-1"/>
              </w:rPr>
              <w:t xml:space="preserve"> </w:t>
            </w:r>
            <w:r w:rsidRPr="00E308CF">
              <w:t>Regulations.</w:t>
            </w:r>
          </w:p>
        </w:tc>
      </w:tr>
      <w:tr w:rsidR="00A4685D" w:rsidRPr="00F425E2" w14:paraId="2CF3A445" w14:textId="77777777" w:rsidTr="00375FAA">
        <w:tc>
          <w:tcPr>
            <w:tcW w:w="1795" w:type="dxa"/>
          </w:tcPr>
          <w:p w14:paraId="51141282" w14:textId="7BFD4C00" w:rsidR="00A4685D" w:rsidRPr="00E308CF" w:rsidRDefault="004E3885" w:rsidP="00DE2BCE">
            <w:pPr>
              <w:rPr>
                <w:b/>
              </w:rPr>
            </w:pPr>
            <w:r w:rsidRPr="00E308CF">
              <w:rPr>
                <w:b/>
              </w:rPr>
              <w:t>INN</w:t>
            </w:r>
          </w:p>
        </w:tc>
        <w:tc>
          <w:tcPr>
            <w:tcW w:w="7200" w:type="dxa"/>
          </w:tcPr>
          <w:p w14:paraId="0A16EFA1" w14:textId="1FF2F2FE" w:rsidR="00A4685D" w:rsidRPr="00E308CF" w:rsidRDefault="008F6A41" w:rsidP="00DE2BCE">
            <w:r w:rsidRPr="00E308CF">
              <w:t>means</w:t>
            </w:r>
            <w:r w:rsidRPr="00E308CF">
              <w:rPr>
                <w:spacing w:val="-2"/>
              </w:rPr>
              <w:t xml:space="preserve"> </w:t>
            </w:r>
            <w:r w:rsidRPr="00E308CF">
              <w:t>International</w:t>
            </w:r>
            <w:r w:rsidRPr="00E308CF">
              <w:rPr>
                <w:spacing w:val="-4"/>
              </w:rPr>
              <w:t xml:space="preserve"> </w:t>
            </w:r>
            <w:r w:rsidRPr="00E308CF">
              <w:t>Non-proprietary</w:t>
            </w:r>
            <w:r w:rsidRPr="00E308CF">
              <w:rPr>
                <w:spacing w:val="-4"/>
              </w:rPr>
              <w:t xml:space="preserve"> </w:t>
            </w:r>
            <w:r w:rsidRPr="00E308CF">
              <w:t>Name.</w:t>
            </w:r>
          </w:p>
        </w:tc>
      </w:tr>
      <w:tr w:rsidR="00A4685D" w:rsidRPr="00F425E2" w14:paraId="4C3A2F20" w14:textId="77777777" w:rsidTr="00375FAA">
        <w:tc>
          <w:tcPr>
            <w:tcW w:w="1795" w:type="dxa"/>
          </w:tcPr>
          <w:p w14:paraId="19F1A810" w14:textId="46CBF472" w:rsidR="00A4685D" w:rsidRPr="00E308CF" w:rsidRDefault="00E701F5" w:rsidP="00DE2BCE">
            <w:pPr>
              <w:rPr>
                <w:b/>
              </w:rPr>
            </w:pPr>
            <w:r w:rsidRPr="00E308CF">
              <w:rPr>
                <w:b/>
              </w:rPr>
              <w:t>Label</w:t>
            </w:r>
          </w:p>
        </w:tc>
        <w:tc>
          <w:tcPr>
            <w:tcW w:w="7200" w:type="dxa"/>
          </w:tcPr>
          <w:p w14:paraId="66C91BBE" w14:textId="76869B3F" w:rsidR="00A4685D" w:rsidRPr="00E308CF" w:rsidRDefault="00ED27D2" w:rsidP="00DE2BCE">
            <w:r w:rsidRPr="00E308CF">
              <w:t>means a display of printed information upon, or securely affixed to, the container, any</w:t>
            </w:r>
            <w:r w:rsidRPr="00E308CF">
              <w:rPr>
                <w:spacing w:val="1"/>
              </w:rPr>
              <w:t xml:space="preserve"> </w:t>
            </w:r>
            <w:r w:rsidRPr="00E308CF">
              <w:t>intermediate packaging and any primary pack containing the medicine (see section 6 of the TGO</w:t>
            </w:r>
            <w:r w:rsidRPr="00E308CF">
              <w:rPr>
                <w:spacing w:val="-46"/>
              </w:rPr>
              <w:t xml:space="preserve"> </w:t>
            </w:r>
            <w:r w:rsidRPr="00E308CF">
              <w:t>92).</w:t>
            </w:r>
          </w:p>
        </w:tc>
      </w:tr>
      <w:tr w:rsidR="00A4685D" w:rsidRPr="00F425E2" w14:paraId="4AAF00F5" w14:textId="77777777" w:rsidTr="00375FAA">
        <w:tc>
          <w:tcPr>
            <w:tcW w:w="1795" w:type="dxa"/>
          </w:tcPr>
          <w:p w14:paraId="6F2EB610" w14:textId="1C228310" w:rsidR="00A4685D" w:rsidRPr="00E308CF" w:rsidRDefault="002013A4" w:rsidP="00DE2BCE">
            <w:pPr>
              <w:rPr>
                <w:b/>
              </w:rPr>
            </w:pPr>
            <w:r w:rsidRPr="00E308CF">
              <w:rPr>
                <w:b/>
              </w:rPr>
              <w:lastRenderedPageBreak/>
              <w:t>Label</w:t>
            </w:r>
            <w:r w:rsidRPr="00E308CF">
              <w:rPr>
                <w:b/>
                <w:spacing w:val="-3"/>
              </w:rPr>
              <w:t xml:space="preserve"> </w:t>
            </w:r>
            <w:r w:rsidRPr="00E308CF">
              <w:rPr>
                <w:b/>
              </w:rPr>
              <w:t>Sun</w:t>
            </w:r>
            <w:r w:rsidRPr="00E308CF">
              <w:rPr>
                <w:b/>
                <w:spacing w:val="-1"/>
              </w:rPr>
              <w:t xml:space="preserve"> </w:t>
            </w:r>
            <w:r w:rsidRPr="00E308CF">
              <w:rPr>
                <w:b/>
              </w:rPr>
              <w:t>Protection Factor</w:t>
            </w:r>
            <w:r w:rsidRPr="00E308CF">
              <w:rPr>
                <w:b/>
                <w:spacing w:val="-3"/>
              </w:rPr>
              <w:t xml:space="preserve"> </w:t>
            </w:r>
            <w:r w:rsidRPr="00E308CF">
              <w:rPr>
                <w:b/>
              </w:rPr>
              <w:t>(SPF)</w:t>
            </w:r>
          </w:p>
        </w:tc>
        <w:tc>
          <w:tcPr>
            <w:tcW w:w="7200" w:type="dxa"/>
          </w:tcPr>
          <w:p w14:paraId="6E0B830A" w14:textId="074BB897" w:rsidR="00A4685D" w:rsidRPr="00E308CF" w:rsidRDefault="00B0591C" w:rsidP="00DE2BCE">
            <w:r w:rsidRPr="00E308CF">
              <w:t>means the</w:t>
            </w:r>
            <w:r w:rsidRPr="00E308CF">
              <w:rPr>
                <w:spacing w:val="-2"/>
              </w:rPr>
              <w:t xml:space="preserve"> </w:t>
            </w:r>
            <w:r w:rsidRPr="00E308CF">
              <w:t>SPF</w:t>
            </w:r>
            <w:r w:rsidRPr="00E308CF">
              <w:rPr>
                <w:spacing w:val="-4"/>
              </w:rPr>
              <w:t xml:space="preserve"> </w:t>
            </w:r>
            <w:r w:rsidRPr="00E308CF">
              <w:t>indicated</w:t>
            </w:r>
            <w:r w:rsidRPr="00E308CF">
              <w:rPr>
                <w:spacing w:val="-2"/>
              </w:rPr>
              <w:t xml:space="preserve"> </w:t>
            </w:r>
            <w:r w:rsidRPr="00E308CF">
              <w:t>on</w:t>
            </w:r>
            <w:r w:rsidRPr="00E308CF">
              <w:rPr>
                <w:spacing w:val="-3"/>
              </w:rPr>
              <w:t xml:space="preserve"> </w:t>
            </w:r>
            <w:r w:rsidRPr="00E308CF">
              <w:t>the</w:t>
            </w:r>
            <w:r w:rsidRPr="00E308CF">
              <w:rPr>
                <w:spacing w:val="-1"/>
              </w:rPr>
              <w:t xml:space="preserve"> </w:t>
            </w:r>
            <w:r w:rsidRPr="00E308CF">
              <w:t>label.</w:t>
            </w:r>
          </w:p>
        </w:tc>
      </w:tr>
      <w:tr w:rsidR="00A4685D" w:rsidRPr="00F425E2" w14:paraId="1B0CCC77" w14:textId="77777777" w:rsidTr="00375FAA">
        <w:tc>
          <w:tcPr>
            <w:tcW w:w="1795" w:type="dxa"/>
          </w:tcPr>
          <w:p w14:paraId="36C48741" w14:textId="5ADE9A91" w:rsidR="00A4685D" w:rsidRPr="00E308CF" w:rsidRDefault="00EF75E0" w:rsidP="00DE2BCE">
            <w:pPr>
              <w:rPr>
                <w:b/>
              </w:rPr>
            </w:pPr>
            <w:r w:rsidRPr="00E308CF">
              <w:rPr>
                <w:b/>
              </w:rPr>
              <w:t>Listing number</w:t>
            </w:r>
          </w:p>
        </w:tc>
        <w:tc>
          <w:tcPr>
            <w:tcW w:w="7200" w:type="dxa"/>
          </w:tcPr>
          <w:p w14:paraId="2C8590B2" w14:textId="13A3527B" w:rsidR="00A4685D" w:rsidRPr="00E308CF" w:rsidRDefault="000A5C6F" w:rsidP="00DE2BCE">
            <w:r w:rsidRPr="00E308CF">
              <w:t>means the combination of numbers and letters that are required to be included</w:t>
            </w:r>
            <w:r w:rsidRPr="00E308CF">
              <w:rPr>
                <w:spacing w:val="-46"/>
              </w:rPr>
              <w:t xml:space="preserve"> </w:t>
            </w:r>
            <w:r w:rsidRPr="00E308CF">
              <w:t>on the label of therapeutic goods in a manner described in regulation 15 of the Regulations (see</w:t>
            </w:r>
            <w:r w:rsidRPr="00E308CF">
              <w:rPr>
                <w:spacing w:val="1"/>
              </w:rPr>
              <w:t xml:space="preserve"> </w:t>
            </w:r>
            <w:r w:rsidRPr="00E308CF">
              <w:t>section</w:t>
            </w:r>
            <w:r w:rsidRPr="00E308CF">
              <w:rPr>
                <w:spacing w:val="-2"/>
              </w:rPr>
              <w:t xml:space="preserve"> </w:t>
            </w:r>
            <w:r w:rsidRPr="00E308CF">
              <w:t>6</w:t>
            </w:r>
            <w:r w:rsidRPr="00E308CF">
              <w:rPr>
                <w:spacing w:val="-1"/>
              </w:rPr>
              <w:t xml:space="preserve"> </w:t>
            </w:r>
            <w:r w:rsidRPr="00E308CF">
              <w:t>of</w:t>
            </w:r>
            <w:r w:rsidRPr="00E308CF">
              <w:rPr>
                <w:spacing w:val="-1"/>
              </w:rPr>
              <w:t xml:space="preserve"> </w:t>
            </w:r>
            <w:r w:rsidRPr="00E308CF">
              <w:t>the</w:t>
            </w:r>
            <w:r w:rsidRPr="00E308CF">
              <w:rPr>
                <w:spacing w:val="-3"/>
              </w:rPr>
              <w:t xml:space="preserve"> </w:t>
            </w:r>
            <w:r w:rsidRPr="00E308CF">
              <w:t>TGO</w:t>
            </w:r>
            <w:r w:rsidRPr="00E308CF">
              <w:rPr>
                <w:spacing w:val="-1"/>
              </w:rPr>
              <w:t xml:space="preserve"> </w:t>
            </w:r>
            <w:r w:rsidRPr="00E308CF">
              <w:t>92)</w:t>
            </w:r>
            <w:r>
              <w:t>.</w:t>
            </w:r>
          </w:p>
        </w:tc>
      </w:tr>
      <w:tr w:rsidR="00A4685D" w:rsidRPr="00F425E2" w14:paraId="036338F4" w14:textId="77777777" w:rsidTr="00375FAA">
        <w:tc>
          <w:tcPr>
            <w:tcW w:w="1795" w:type="dxa"/>
          </w:tcPr>
          <w:p w14:paraId="550CB5DD" w14:textId="6E6E52EE" w:rsidR="00A4685D" w:rsidRPr="00E308CF" w:rsidRDefault="00BC7703" w:rsidP="00DE2BCE">
            <w:pPr>
              <w:rPr>
                <w:b/>
              </w:rPr>
            </w:pPr>
            <w:r w:rsidRPr="00616B3F">
              <w:rPr>
                <w:b/>
                <w:bCs/>
              </w:rPr>
              <w:t>Main labe</w:t>
            </w:r>
            <w:r w:rsidRPr="002F4B74">
              <w:rPr>
                <w:b/>
                <w:bCs/>
              </w:rPr>
              <w:t>l</w:t>
            </w:r>
          </w:p>
        </w:tc>
        <w:tc>
          <w:tcPr>
            <w:tcW w:w="7200" w:type="dxa"/>
          </w:tcPr>
          <w:p w14:paraId="668FE3BB" w14:textId="77777777" w:rsidR="002F4B74" w:rsidRPr="00E308CF" w:rsidRDefault="002F4B74" w:rsidP="002F4B74">
            <w:r w:rsidRPr="00E308CF">
              <w:t>means:</w:t>
            </w:r>
          </w:p>
          <w:p w14:paraId="39206EAD" w14:textId="77777777" w:rsidR="002F4B74" w:rsidRPr="004A6EA0" w:rsidRDefault="002F4B74" w:rsidP="0073748E">
            <w:pPr>
              <w:pStyle w:val="ListBullet"/>
              <w:numPr>
                <w:ilvl w:val="0"/>
                <w:numId w:val="19"/>
              </w:numPr>
            </w:pPr>
            <w:r w:rsidRPr="004A6EA0">
              <w:t>where there are two or more labels or two or more portions of a single label — that</w:t>
            </w:r>
            <w:r w:rsidRPr="004A6EA0">
              <w:rPr>
                <w:spacing w:val="-46"/>
              </w:rPr>
              <w:t xml:space="preserve"> </w:t>
            </w:r>
            <w:r w:rsidRPr="004A6EA0">
              <w:t>label or portion of the label where the name of the medicine is more or most</w:t>
            </w:r>
            <w:r w:rsidRPr="004A6EA0">
              <w:rPr>
                <w:spacing w:val="1"/>
              </w:rPr>
              <w:t xml:space="preserve"> </w:t>
            </w:r>
            <w:r w:rsidRPr="004A6EA0">
              <w:t>conspicuously</w:t>
            </w:r>
            <w:r w:rsidRPr="004A6EA0">
              <w:rPr>
                <w:spacing w:val="-4"/>
              </w:rPr>
              <w:t xml:space="preserve"> </w:t>
            </w:r>
            <w:r w:rsidRPr="004A6EA0">
              <w:t>shown;</w:t>
            </w:r>
            <w:r w:rsidRPr="004A6EA0">
              <w:rPr>
                <w:spacing w:val="-2"/>
              </w:rPr>
              <w:t xml:space="preserve"> </w:t>
            </w:r>
            <w:r w:rsidRPr="004A6EA0">
              <w:t>or</w:t>
            </w:r>
          </w:p>
          <w:p w14:paraId="63A9C7CF" w14:textId="0BA7F1E0" w:rsidR="00A4685D" w:rsidRPr="00E308CF" w:rsidRDefault="002F4B74" w:rsidP="0073748E">
            <w:pPr>
              <w:pStyle w:val="ListBullet"/>
              <w:numPr>
                <w:ilvl w:val="0"/>
                <w:numId w:val="19"/>
              </w:numPr>
            </w:pPr>
            <w:r w:rsidRPr="004A6EA0">
              <w:t>where the name of the medicine is equally conspicuous on two or more labels or</w:t>
            </w:r>
            <w:r w:rsidRPr="004A6EA0">
              <w:rPr>
                <w:spacing w:val="-46"/>
              </w:rPr>
              <w:t xml:space="preserve"> </w:t>
            </w:r>
            <w:r w:rsidRPr="004A6EA0">
              <w:t>portions</w:t>
            </w:r>
            <w:r w:rsidRPr="004A6EA0">
              <w:rPr>
                <w:spacing w:val="-1"/>
              </w:rPr>
              <w:t xml:space="preserve"> </w:t>
            </w:r>
            <w:r w:rsidRPr="004A6EA0">
              <w:t>of</w:t>
            </w:r>
            <w:r w:rsidRPr="004A6EA0">
              <w:rPr>
                <w:spacing w:val="-1"/>
              </w:rPr>
              <w:t xml:space="preserve"> </w:t>
            </w:r>
            <w:r w:rsidRPr="004A6EA0">
              <w:t>a</w:t>
            </w:r>
            <w:r w:rsidRPr="004A6EA0">
              <w:rPr>
                <w:spacing w:val="-1"/>
              </w:rPr>
              <w:t xml:space="preserve"> </w:t>
            </w:r>
            <w:r w:rsidRPr="004A6EA0">
              <w:t>label</w:t>
            </w:r>
            <w:r w:rsidRPr="004A6EA0">
              <w:rPr>
                <w:spacing w:val="-1"/>
              </w:rPr>
              <w:t xml:space="preserve"> </w:t>
            </w:r>
            <w:r w:rsidRPr="004A6EA0">
              <w:t>—</w:t>
            </w:r>
            <w:r w:rsidRPr="004A6EA0">
              <w:rPr>
                <w:spacing w:val="-1"/>
              </w:rPr>
              <w:t xml:space="preserve"> </w:t>
            </w:r>
            <w:r w:rsidRPr="004A6EA0">
              <w:t>each</w:t>
            </w:r>
            <w:r w:rsidRPr="004A6EA0">
              <w:rPr>
                <w:spacing w:val="-3"/>
              </w:rPr>
              <w:t xml:space="preserve"> </w:t>
            </w:r>
            <w:r w:rsidRPr="004A6EA0">
              <w:t>label</w:t>
            </w:r>
            <w:r w:rsidRPr="004A6EA0">
              <w:rPr>
                <w:spacing w:val="-2"/>
              </w:rPr>
              <w:t xml:space="preserve"> </w:t>
            </w:r>
            <w:r w:rsidRPr="004A6EA0">
              <w:t>or</w:t>
            </w:r>
            <w:r w:rsidRPr="004A6EA0">
              <w:rPr>
                <w:spacing w:val="-1"/>
              </w:rPr>
              <w:t xml:space="preserve"> </w:t>
            </w:r>
            <w:r w:rsidRPr="004A6EA0">
              <w:t>portion</w:t>
            </w:r>
            <w:r w:rsidRPr="004A6EA0">
              <w:rPr>
                <w:spacing w:val="-2"/>
              </w:rPr>
              <w:t xml:space="preserve"> </w:t>
            </w:r>
            <w:r w:rsidRPr="004A6EA0">
              <w:t>(see</w:t>
            </w:r>
            <w:r w:rsidRPr="004A6EA0">
              <w:rPr>
                <w:spacing w:val="-1"/>
              </w:rPr>
              <w:t xml:space="preserve"> </w:t>
            </w:r>
            <w:r w:rsidRPr="004A6EA0">
              <w:t>section</w:t>
            </w:r>
            <w:r w:rsidRPr="004A6EA0">
              <w:rPr>
                <w:spacing w:val="-2"/>
              </w:rPr>
              <w:t xml:space="preserve"> </w:t>
            </w:r>
            <w:r w:rsidRPr="004A6EA0">
              <w:t>6</w:t>
            </w:r>
            <w:r w:rsidRPr="004A6EA0">
              <w:rPr>
                <w:spacing w:val="-1"/>
              </w:rPr>
              <w:t xml:space="preserve"> </w:t>
            </w:r>
            <w:r w:rsidRPr="004A6EA0">
              <w:t>of</w:t>
            </w:r>
            <w:r w:rsidRPr="004A6EA0">
              <w:rPr>
                <w:spacing w:val="-2"/>
              </w:rPr>
              <w:t xml:space="preserve"> </w:t>
            </w:r>
            <w:r w:rsidRPr="004A6EA0">
              <w:t>the</w:t>
            </w:r>
            <w:r w:rsidRPr="004A6EA0">
              <w:rPr>
                <w:spacing w:val="-3"/>
              </w:rPr>
              <w:t xml:space="preserve"> </w:t>
            </w:r>
            <w:r w:rsidRPr="004A6EA0">
              <w:t>TGO</w:t>
            </w:r>
            <w:r w:rsidRPr="004A6EA0">
              <w:rPr>
                <w:spacing w:val="-1"/>
              </w:rPr>
              <w:t xml:space="preserve"> </w:t>
            </w:r>
            <w:r w:rsidRPr="004A6EA0">
              <w:t>92).</w:t>
            </w:r>
          </w:p>
        </w:tc>
      </w:tr>
      <w:tr w:rsidR="00A4685D" w:rsidRPr="00F425E2" w14:paraId="0E853626" w14:textId="77777777" w:rsidTr="00375FAA">
        <w:tc>
          <w:tcPr>
            <w:tcW w:w="1795" w:type="dxa"/>
          </w:tcPr>
          <w:p w14:paraId="108C9992" w14:textId="0BFCEBFB" w:rsidR="00A4685D" w:rsidRPr="00E308CF" w:rsidRDefault="00722D00" w:rsidP="00DE2BCE">
            <w:pPr>
              <w:rPr>
                <w:b/>
              </w:rPr>
            </w:pPr>
            <w:r w:rsidRPr="004A6EA0">
              <w:rPr>
                <w:b/>
              </w:rPr>
              <w:t>Medicine</w:t>
            </w:r>
          </w:p>
        </w:tc>
        <w:tc>
          <w:tcPr>
            <w:tcW w:w="7200" w:type="dxa"/>
          </w:tcPr>
          <w:p w14:paraId="7CEC40F7" w14:textId="5DC97F0D" w:rsidR="00A4685D" w:rsidRPr="00E308CF" w:rsidRDefault="00BB34F3" w:rsidP="00DE2BCE">
            <w:r w:rsidRPr="004A6EA0">
              <w:t>means therapeutic goods (other than biologicals) that are represented to achieve, or</w:t>
            </w:r>
            <w:r w:rsidRPr="004A6EA0">
              <w:rPr>
                <w:spacing w:val="1"/>
              </w:rPr>
              <w:t xml:space="preserve"> </w:t>
            </w:r>
            <w:r w:rsidRPr="004A6EA0">
              <w:t>are likely to achieve, their principal intended action by pharmacological, chemical,</w:t>
            </w:r>
            <w:r w:rsidRPr="004A6EA0">
              <w:rPr>
                <w:spacing w:val="1"/>
              </w:rPr>
              <w:t xml:space="preserve"> </w:t>
            </w:r>
            <w:r w:rsidRPr="004A6EA0">
              <w:t>immunological</w:t>
            </w:r>
            <w:r w:rsidRPr="004A6EA0">
              <w:rPr>
                <w:spacing w:val="-2"/>
              </w:rPr>
              <w:t xml:space="preserve"> </w:t>
            </w:r>
            <w:r w:rsidRPr="004A6EA0">
              <w:t>or</w:t>
            </w:r>
            <w:r w:rsidRPr="004A6EA0">
              <w:rPr>
                <w:spacing w:val="-4"/>
              </w:rPr>
              <w:t xml:space="preserve"> </w:t>
            </w:r>
            <w:r w:rsidRPr="004A6EA0">
              <w:t>metabolic</w:t>
            </w:r>
            <w:r w:rsidRPr="004A6EA0">
              <w:rPr>
                <w:spacing w:val="-3"/>
              </w:rPr>
              <w:t xml:space="preserve"> </w:t>
            </w:r>
            <w:r w:rsidRPr="004A6EA0">
              <w:t>means in</w:t>
            </w:r>
            <w:r w:rsidRPr="004A6EA0">
              <w:rPr>
                <w:spacing w:val="-2"/>
              </w:rPr>
              <w:t xml:space="preserve"> </w:t>
            </w:r>
            <w:r w:rsidRPr="004A6EA0">
              <w:t>or</w:t>
            </w:r>
            <w:r w:rsidRPr="004A6EA0">
              <w:rPr>
                <w:spacing w:val="-2"/>
              </w:rPr>
              <w:t xml:space="preserve"> </w:t>
            </w:r>
            <w:r w:rsidRPr="004A6EA0">
              <w:t>on</w:t>
            </w:r>
            <w:r w:rsidRPr="004A6EA0">
              <w:rPr>
                <w:spacing w:val="-2"/>
              </w:rPr>
              <w:t xml:space="preserve"> </w:t>
            </w:r>
            <w:r w:rsidRPr="004A6EA0">
              <w:t>the</w:t>
            </w:r>
            <w:r w:rsidRPr="004A6EA0">
              <w:rPr>
                <w:spacing w:val="-2"/>
              </w:rPr>
              <w:t xml:space="preserve"> </w:t>
            </w:r>
            <w:r w:rsidRPr="004A6EA0">
              <w:t>body</w:t>
            </w:r>
            <w:r w:rsidRPr="004A6EA0">
              <w:rPr>
                <w:spacing w:val="-2"/>
              </w:rPr>
              <w:t xml:space="preserve"> </w:t>
            </w:r>
            <w:r w:rsidRPr="004A6EA0">
              <w:t>of</w:t>
            </w:r>
            <w:r w:rsidRPr="004A6EA0">
              <w:rPr>
                <w:spacing w:val="-1"/>
              </w:rPr>
              <w:t xml:space="preserve"> </w:t>
            </w:r>
            <w:r w:rsidRPr="004A6EA0">
              <w:t>a</w:t>
            </w:r>
            <w:r w:rsidRPr="004A6EA0">
              <w:rPr>
                <w:spacing w:val="-2"/>
              </w:rPr>
              <w:t xml:space="preserve"> </w:t>
            </w:r>
            <w:r w:rsidRPr="004A6EA0">
              <w:t>human</w:t>
            </w:r>
            <w:r w:rsidRPr="004A6EA0">
              <w:rPr>
                <w:spacing w:val="-2"/>
              </w:rPr>
              <w:t xml:space="preserve"> </w:t>
            </w:r>
            <w:r w:rsidRPr="004A6EA0">
              <w:t>(see</w:t>
            </w:r>
            <w:r w:rsidRPr="004A6EA0">
              <w:rPr>
                <w:spacing w:val="-2"/>
              </w:rPr>
              <w:t xml:space="preserve"> </w:t>
            </w:r>
            <w:r w:rsidRPr="004A6EA0">
              <w:t>subsection</w:t>
            </w:r>
            <w:r w:rsidRPr="004A6EA0">
              <w:rPr>
                <w:spacing w:val="-2"/>
              </w:rPr>
              <w:t xml:space="preserve"> </w:t>
            </w:r>
            <w:r w:rsidRPr="004A6EA0">
              <w:t>3(1)</w:t>
            </w:r>
            <w:r w:rsidRPr="004A6EA0">
              <w:rPr>
                <w:spacing w:val="-1"/>
              </w:rPr>
              <w:t xml:space="preserve"> </w:t>
            </w:r>
            <w:r w:rsidRPr="004A6EA0">
              <w:t>of</w:t>
            </w:r>
            <w:r w:rsidRPr="004A6EA0">
              <w:rPr>
                <w:spacing w:val="-2"/>
              </w:rPr>
              <w:t xml:space="preserve"> </w:t>
            </w:r>
            <w:r w:rsidRPr="004A6EA0">
              <w:t>the</w:t>
            </w:r>
            <w:r w:rsidRPr="004A6EA0">
              <w:rPr>
                <w:spacing w:val="-1"/>
              </w:rPr>
              <w:t xml:space="preserve"> </w:t>
            </w:r>
            <w:r w:rsidRPr="004A6EA0">
              <w:t>Act).</w:t>
            </w:r>
          </w:p>
        </w:tc>
      </w:tr>
      <w:tr w:rsidR="00A4685D" w:rsidRPr="00F425E2" w14:paraId="7D440BD9" w14:textId="77777777" w:rsidTr="00375FAA">
        <w:tc>
          <w:tcPr>
            <w:tcW w:w="1795" w:type="dxa"/>
          </w:tcPr>
          <w:p w14:paraId="277B115E" w14:textId="103A702A" w:rsidR="00A4685D" w:rsidRPr="00E308CF" w:rsidRDefault="00986E20" w:rsidP="00DE2BCE">
            <w:pPr>
              <w:rPr>
                <w:b/>
              </w:rPr>
            </w:pPr>
            <w:r w:rsidRPr="004A6EA0">
              <w:rPr>
                <w:b/>
              </w:rPr>
              <w:t>Minimal Erythemal Dose (MED)</w:t>
            </w:r>
          </w:p>
        </w:tc>
        <w:tc>
          <w:tcPr>
            <w:tcW w:w="7200" w:type="dxa"/>
          </w:tcPr>
          <w:p w14:paraId="37561A84" w14:textId="13F218AB" w:rsidR="00A4685D" w:rsidRPr="00E308CF" w:rsidRDefault="007D4301" w:rsidP="00DE2BCE">
            <w:r w:rsidRPr="004A6EA0">
              <w:t>means the lowest dose of ultraviolet radiation that produces</w:t>
            </w:r>
            <w:r w:rsidRPr="004A6EA0">
              <w:rPr>
                <w:spacing w:val="-46"/>
              </w:rPr>
              <w:t xml:space="preserve"> </w:t>
            </w:r>
            <w:r w:rsidRPr="004A6EA0">
              <w:t>the first perceivable unambiguous erythema with defined borders appearing over most of the</w:t>
            </w:r>
            <w:r w:rsidRPr="004A6EA0">
              <w:rPr>
                <w:spacing w:val="1"/>
              </w:rPr>
              <w:t xml:space="preserve"> </w:t>
            </w:r>
            <w:r w:rsidRPr="004A6EA0">
              <w:t>field</w:t>
            </w:r>
            <w:r w:rsidRPr="004A6EA0">
              <w:rPr>
                <w:spacing w:val="-2"/>
              </w:rPr>
              <w:t xml:space="preserve"> </w:t>
            </w:r>
            <w:r w:rsidRPr="004A6EA0">
              <w:t>of</w:t>
            </w:r>
            <w:r w:rsidRPr="004A6EA0">
              <w:rPr>
                <w:spacing w:val="-2"/>
              </w:rPr>
              <w:t xml:space="preserve"> </w:t>
            </w:r>
            <w:r w:rsidRPr="004A6EA0">
              <w:t>UV</w:t>
            </w:r>
            <w:r w:rsidRPr="004A6EA0">
              <w:rPr>
                <w:spacing w:val="-1"/>
              </w:rPr>
              <w:t xml:space="preserve"> </w:t>
            </w:r>
            <w:r w:rsidRPr="004A6EA0">
              <w:t>exposure</w:t>
            </w:r>
            <w:r w:rsidRPr="004A6EA0">
              <w:rPr>
                <w:spacing w:val="-2"/>
              </w:rPr>
              <w:t xml:space="preserve"> </w:t>
            </w:r>
            <w:r w:rsidRPr="004A6EA0">
              <w:t>16-24</w:t>
            </w:r>
            <w:r w:rsidRPr="004A6EA0">
              <w:rPr>
                <w:spacing w:val="-1"/>
              </w:rPr>
              <w:t xml:space="preserve"> </w:t>
            </w:r>
            <w:r w:rsidRPr="004A6EA0">
              <w:t>hours</w:t>
            </w:r>
            <w:r w:rsidRPr="004A6EA0">
              <w:rPr>
                <w:spacing w:val="-1"/>
              </w:rPr>
              <w:t xml:space="preserve"> </w:t>
            </w:r>
            <w:r w:rsidRPr="004A6EA0">
              <w:t>after</w:t>
            </w:r>
            <w:r w:rsidRPr="004A6EA0">
              <w:rPr>
                <w:spacing w:val="-2"/>
              </w:rPr>
              <w:t xml:space="preserve"> </w:t>
            </w:r>
            <w:r w:rsidRPr="004A6EA0">
              <w:t>UV</w:t>
            </w:r>
            <w:r w:rsidRPr="004A6EA0">
              <w:rPr>
                <w:spacing w:val="-1"/>
              </w:rPr>
              <w:t xml:space="preserve"> </w:t>
            </w:r>
            <w:r w:rsidRPr="004A6EA0">
              <w:t>exposure</w:t>
            </w:r>
            <w:r w:rsidRPr="004A6EA0">
              <w:rPr>
                <w:spacing w:val="-3"/>
              </w:rPr>
              <w:t xml:space="preserve"> </w:t>
            </w:r>
            <w:r w:rsidRPr="004A6EA0">
              <w:t>(the</w:t>
            </w:r>
            <w:r w:rsidRPr="004A6EA0">
              <w:rPr>
                <w:spacing w:val="-1"/>
              </w:rPr>
              <w:t xml:space="preserve"> </w:t>
            </w:r>
            <w:r>
              <w:t>AS/NZS standard for sunscreens</w:t>
            </w:r>
            <w:r w:rsidRPr="004A6EA0">
              <w:t>).</w:t>
            </w:r>
          </w:p>
        </w:tc>
      </w:tr>
      <w:tr w:rsidR="00A4685D" w:rsidRPr="00F425E2" w14:paraId="6EB00112" w14:textId="77777777" w:rsidTr="00375FAA">
        <w:tc>
          <w:tcPr>
            <w:tcW w:w="1795" w:type="dxa"/>
          </w:tcPr>
          <w:p w14:paraId="36877221" w14:textId="4E452425" w:rsidR="00A4685D" w:rsidRPr="00E308CF" w:rsidRDefault="00E57366" w:rsidP="00DE2BCE">
            <w:pPr>
              <w:rPr>
                <w:b/>
              </w:rPr>
            </w:pPr>
            <w:r w:rsidRPr="004A6EA0">
              <w:rPr>
                <w:b/>
              </w:rPr>
              <w:t>New substance</w:t>
            </w:r>
          </w:p>
        </w:tc>
        <w:tc>
          <w:tcPr>
            <w:tcW w:w="7200" w:type="dxa"/>
          </w:tcPr>
          <w:p w14:paraId="05321DDB" w14:textId="31B4F188" w:rsidR="00A4685D" w:rsidRPr="00E308CF" w:rsidRDefault="00C8416C" w:rsidP="00DE2BCE">
            <w:r w:rsidRPr="004A6EA0">
              <w:t>is an ingredient (chemical, herbal or biological) that is currently not used in a</w:t>
            </w:r>
            <w:r>
              <w:t xml:space="preserve"> </w:t>
            </w:r>
            <w:r w:rsidRPr="004A6EA0">
              <w:t xml:space="preserve">medicine for supply in </w:t>
            </w:r>
            <w:proofErr w:type="gramStart"/>
            <w:r w:rsidRPr="004A6EA0">
              <w:t>Australia</w:t>
            </w:r>
            <w:r>
              <w:t>,</w:t>
            </w:r>
            <w:r w:rsidRPr="004A6EA0">
              <w:t xml:space="preserve"> or</w:t>
            </w:r>
            <w:proofErr w:type="gramEnd"/>
            <w:r w:rsidRPr="004A6EA0">
              <w:t xml:space="preserve"> is proposed for a new route of administration to the</w:t>
            </w:r>
            <w:r w:rsidRPr="004A6EA0">
              <w:rPr>
                <w:spacing w:val="1"/>
              </w:rPr>
              <w:t xml:space="preserve"> </w:t>
            </w:r>
            <w:r w:rsidRPr="004A6EA0">
              <w:t>previous use of the ingredient. This ingredient may or may not have an Australian Approved</w:t>
            </w:r>
            <w:r w:rsidRPr="004A6EA0">
              <w:rPr>
                <w:spacing w:val="1"/>
              </w:rPr>
              <w:t xml:space="preserve"> </w:t>
            </w:r>
            <w:r w:rsidRPr="004A6EA0">
              <w:t>Name.</w:t>
            </w:r>
          </w:p>
        </w:tc>
      </w:tr>
      <w:tr w:rsidR="00A4685D" w:rsidRPr="00F425E2" w14:paraId="4D7036A4" w14:textId="77777777" w:rsidTr="00375FAA">
        <w:tc>
          <w:tcPr>
            <w:tcW w:w="1795" w:type="dxa"/>
          </w:tcPr>
          <w:p w14:paraId="7125F750" w14:textId="2D8C9523" w:rsidR="00A4685D" w:rsidRPr="00E308CF" w:rsidRDefault="0083664C" w:rsidP="00DE2BCE">
            <w:pPr>
              <w:rPr>
                <w:b/>
              </w:rPr>
            </w:pPr>
            <w:r w:rsidRPr="004A6EA0">
              <w:rPr>
                <w:b/>
              </w:rPr>
              <w:t>Primary pack</w:t>
            </w:r>
          </w:p>
        </w:tc>
        <w:tc>
          <w:tcPr>
            <w:tcW w:w="7200" w:type="dxa"/>
          </w:tcPr>
          <w:p w14:paraId="588DA7EE" w14:textId="2ABFB715" w:rsidR="00A4685D" w:rsidRPr="00E308CF" w:rsidRDefault="00CC2A6E" w:rsidP="00DE2BCE">
            <w:r w:rsidRPr="004A6EA0">
              <w:t>in relation to therapeutic goods, means the complete pack in which the goods, or</w:t>
            </w:r>
            <w:r w:rsidRPr="004A6EA0">
              <w:rPr>
                <w:spacing w:val="-46"/>
              </w:rPr>
              <w:t xml:space="preserve"> </w:t>
            </w:r>
            <w:r w:rsidRPr="004A6EA0">
              <w:t>the</w:t>
            </w:r>
            <w:r w:rsidRPr="004A6EA0">
              <w:rPr>
                <w:spacing w:val="-2"/>
              </w:rPr>
              <w:t xml:space="preserve"> </w:t>
            </w:r>
            <w:r w:rsidRPr="004A6EA0">
              <w:t>goods</w:t>
            </w:r>
            <w:r w:rsidRPr="004A6EA0">
              <w:rPr>
                <w:spacing w:val="-1"/>
              </w:rPr>
              <w:t xml:space="preserve"> </w:t>
            </w:r>
            <w:r w:rsidRPr="004A6EA0">
              <w:t>and</w:t>
            </w:r>
            <w:r w:rsidRPr="004A6EA0">
              <w:rPr>
                <w:spacing w:val="-2"/>
              </w:rPr>
              <w:t xml:space="preserve"> </w:t>
            </w:r>
            <w:r w:rsidRPr="004A6EA0">
              <w:t>their</w:t>
            </w:r>
            <w:r w:rsidRPr="004A6EA0">
              <w:rPr>
                <w:spacing w:val="-2"/>
              </w:rPr>
              <w:t xml:space="preserve"> </w:t>
            </w:r>
            <w:r w:rsidRPr="004A6EA0">
              <w:t>container,</w:t>
            </w:r>
            <w:r w:rsidRPr="004A6EA0">
              <w:rPr>
                <w:spacing w:val="-2"/>
              </w:rPr>
              <w:t xml:space="preserve"> </w:t>
            </w:r>
            <w:r w:rsidRPr="004A6EA0">
              <w:t>are</w:t>
            </w:r>
            <w:r w:rsidRPr="004A6EA0">
              <w:rPr>
                <w:spacing w:val="-1"/>
              </w:rPr>
              <w:t xml:space="preserve"> </w:t>
            </w:r>
            <w:r w:rsidRPr="004A6EA0">
              <w:t>to</w:t>
            </w:r>
            <w:r w:rsidRPr="004A6EA0">
              <w:rPr>
                <w:spacing w:val="-2"/>
              </w:rPr>
              <w:t xml:space="preserve"> </w:t>
            </w:r>
            <w:r w:rsidRPr="004A6EA0">
              <w:t>be</w:t>
            </w:r>
            <w:r w:rsidRPr="004A6EA0">
              <w:rPr>
                <w:spacing w:val="-2"/>
              </w:rPr>
              <w:t xml:space="preserve"> </w:t>
            </w:r>
            <w:r w:rsidRPr="004A6EA0">
              <w:t>supplied</w:t>
            </w:r>
            <w:r w:rsidRPr="004A6EA0">
              <w:rPr>
                <w:spacing w:val="-2"/>
              </w:rPr>
              <w:t xml:space="preserve"> </w:t>
            </w:r>
            <w:r w:rsidRPr="004A6EA0">
              <w:t>to</w:t>
            </w:r>
            <w:r w:rsidRPr="004A6EA0">
              <w:rPr>
                <w:spacing w:val="-4"/>
              </w:rPr>
              <w:t xml:space="preserve"> </w:t>
            </w:r>
            <w:r w:rsidRPr="004A6EA0">
              <w:t>consumers (see</w:t>
            </w:r>
            <w:r w:rsidRPr="004A6EA0">
              <w:rPr>
                <w:spacing w:val="-4"/>
              </w:rPr>
              <w:t xml:space="preserve"> </w:t>
            </w:r>
            <w:r w:rsidRPr="004A6EA0">
              <w:t>subsection</w:t>
            </w:r>
            <w:r w:rsidRPr="004A6EA0">
              <w:rPr>
                <w:spacing w:val="-3"/>
              </w:rPr>
              <w:t xml:space="preserve"> </w:t>
            </w:r>
            <w:r w:rsidRPr="004A6EA0">
              <w:t>3(1)</w:t>
            </w:r>
            <w:r w:rsidRPr="004A6EA0">
              <w:rPr>
                <w:spacing w:val="-2"/>
              </w:rPr>
              <w:t xml:space="preserve"> </w:t>
            </w:r>
            <w:r w:rsidRPr="004A6EA0">
              <w:t>of</w:t>
            </w:r>
            <w:r w:rsidRPr="004A6EA0">
              <w:rPr>
                <w:spacing w:val="-2"/>
              </w:rPr>
              <w:t xml:space="preserve"> </w:t>
            </w:r>
            <w:r w:rsidRPr="004A6EA0">
              <w:t>the</w:t>
            </w:r>
            <w:r w:rsidRPr="004A6EA0">
              <w:rPr>
                <w:spacing w:val="-1"/>
              </w:rPr>
              <w:t xml:space="preserve"> </w:t>
            </w:r>
            <w:r w:rsidRPr="004A6EA0">
              <w:t>Act).</w:t>
            </w:r>
          </w:p>
        </w:tc>
      </w:tr>
      <w:tr w:rsidR="00CC2A6E" w:rsidRPr="00F425E2" w14:paraId="62D5D09C" w14:textId="77777777" w:rsidTr="00375FAA">
        <w:tc>
          <w:tcPr>
            <w:tcW w:w="1795" w:type="dxa"/>
          </w:tcPr>
          <w:p w14:paraId="7285429B" w14:textId="05AA6831" w:rsidR="00CC2A6E" w:rsidRPr="004A6EA0" w:rsidRDefault="009A64FA" w:rsidP="00DE2BCE">
            <w:pPr>
              <w:rPr>
                <w:b/>
              </w:rPr>
            </w:pPr>
            <w:r w:rsidRPr="004A6EA0">
              <w:rPr>
                <w:b/>
              </w:rPr>
              <w:t>Primary sunscreen product</w:t>
            </w:r>
          </w:p>
        </w:tc>
        <w:tc>
          <w:tcPr>
            <w:tcW w:w="7200" w:type="dxa"/>
          </w:tcPr>
          <w:p w14:paraId="7D593867" w14:textId="5029BE2C" w:rsidR="00CC2A6E" w:rsidRPr="004A6EA0" w:rsidRDefault="00327106" w:rsidP="00DE2BCE">
            <w:r w:rsidRPr="004A6EA0">
              <w:t>means a product which is represented as being primarily to</w:t>
            </w:r>
            <w:r w:rsidRPr="004A6EA0">
              <w:rPr>
                <w:spacing w:val="-46"/>
              </w:rPr>
              <w:t xml:space="preserve"> </w:t>
            </w:r>
            <w:r w:rsidRPr="004A6EA0">
              <w:t>protect</w:t>
            </w:r>
            <w:r w:rsidRPr="004A6EA0">
              <w:rPr>
                <w:spacing w:val="-2"/>
              </w:rPr>
              <w:t xml:space="preserve"> </w:t>
            </w:r>
            <w:r w:rsidRPr="004A6EA0">
              <w:t>the</w:t>
            </w:r>
            <w:r w:rsidRPr="004A6EA0">
              <w:rPr>
                <w:spacing w:val="-1"/>
              </w:rPr>
              <w:t xml:space="preserve"> </w:t>
            </w:r>
            <w:r w:rsidRPr="004A6EA0">
              <w:t>skin</w:t>
            </w:r>
            <w:r w:rsidRPr="004A6EA0">
              <w:rPr>
                <w:spacing w:val="-3"/>
              </w:rPr>
              <w:t xml:space="preserve"> </w:t>
            </w:r>
            <w:r w:rsidRPr="004A6EA0">
              <w:t>from ultraviolet</w:t>
            </w:r>
            <w:r w:rsidRPr="004A6EA0">
              <w:rPr>
                <w:spacing w:val="-2"/>
              </w:rPr>
              <w:t xml:space="preserve"> </w:t>
            </w:r>
            <w:r w:rsidRPr="004A6EA0">
              <w:t>radiation</w:t>
            </w:r>
            <w:r w:rsidRPr="004A6EA0">
              <w:rPr>
                <w:spacing w:val="-2"/>
              </w:rPr>
              <w:t xml:space="preserve"> </w:t>
            </w:r>
            <w:r w:rsidRPr="004A6EA0">
              <w:t>(the</w:t>
            </w:r>
            <w:r w:rsidRPr="004A6EA0">
              <w:rPr>
                <w:spacing w:val="-2"/>
              </w:rPr>
              <w:t xml:space="preserve"> </w:t>
            </w:r>
            <w:r>
              <w:t>AS/NZS standard for sunscreens</w:t>
            </w:r>
            <w:r w:rsidRPr="004A6EA0">
              <w:t>).</w:t>
            </w:r>
          </w:p>
        </w:tc>
      </w:tr>
      <w:tr w:rsidR="00CC2A6E" w:rsidRPr="00F425E2" w14:paraId="3E675BEE" w14:textId="77777777" w:rsidTr="00375FAA">
        <w:tc>
          <w:tcPr>
            <w:tcW w:w="1795" w:type="dxa"/>
          </w:tcPr>
          <w:p w14:paraId="3FB0E0FD" w14:textId="01E47DA8" w:rsidR="00CC2A6E" w:rsidRPr="004A6EA0" w:rsidRDefault="00277478" w:rsidP="00DE2BCE">
            <w:pPr>
              <w:rPr>
                <w:b/>
              </w:rPr>
            </w:pPr>
            <w:r w:rsidRPr="004A6EA0">
              <w:rPr>
                <w:b/>
              </w:rPr>
              <w:t>Registration number</w:t>
            </w:r>
          </w:p>
        </w:tc>
        <w:tc>
          <w:tcPr>
            <w:tcW w:w="7200" w:type="dxa"/>
          </w:tcPr>
          <w:p w14:paraId="7025E8A8" w14:textId="3C399D60" w:rsidR="00506636" w:rsidRPr="004A6EA0" w:rsidRDefault="00506636" w:rsidP="00506636">
            <w:r w:rsidRPr="004A6EA0">
              <w:t>means the combination of numbers and letters that is required to be</w:t>
            </w:r>
            <w:r w:rsidRPr="004A6EA0">
              <w:rPr>
                <w:spacing w:val="1"/>
              </w:rPr>
              <w:t xml:space="preserve"> </w:t>
            </w:r>
            <w:r w:rsidRPr="004A6EA0">
              <w:t>included on the label of medicines in a manner described in regulation 15 of the Regulations (see</w:t>
            </w:r>
            <w:r w:rsidRPr="004A6EA0">
              <w:rPr>
                <w:spacing w:val="-46"/>
              </w:rPr>
              <w:t xml:space="preserve"> </w:t>
            </w:r>
            <w:r w:rsidRPr="004A6EA0">
              <w:t>section</w:t>
            </w:r>
            <w:r w:rsidRPr="004A6EA0">
              <w:rPr>
                <w:spacing w:val="-2"/>
              </w:rPr>
              <w:t xml:space="preserve"> </w:t>
            </w:r>
            <w:r w:rsidRPr="004A6EA0">
              <w:t>6</w:t>
            </w:r>
            <w:r w:rsidRPr="004A6EA0">
              <w:rPr>
                <w:spacing w:val="-1"/>
              </w:rPr>
              <w:t xml:space="preserve"> </w:t>
            </w:r>
            <w:r w:rsidRPr="004A6EA0">
              <w:t>of</w:t>
            </w:r>
            <w:r w:rsidRPr="004A6EA0">
              <w:rPr>
                <w:spacing w:val="-1"/>
              </w:rPr>
              <w:t xml:space="preserve"> </w:t>
            </w:r>
            <w:r w:rsidRPr="004A6EA0">
              <w:t>the</w:t>
            </w:r>
            <w:r w:rsidRPr="004A6EA0">
              <w:rPr>
                <w:spacing w:val="-3"/>
              </w:rPr>
              <w:t xml:space="preserve"> </w:t>
            </w:r>
            <w:r w:rsidRPr="004A6EA0">
              <w:t>TGO</w:t>
            </w:r>
            <w:r w:rsidRPr="004A6EA0">
              <w:rPr>
                <w:spacing w:val="-1"/>
              </w:rPr>
              <w:t xml:space="preserve"> </w:t>
            </w:r>
            <w:r w:rsidRPr="004A6EA0">
              <w:t>92).</w:t>
            </w:r>
            <w:r w:rsidRPr="004A6EA0">
              <w:rPr>
                <w:b/>
              </w:rPr>
              <w:t xml:space="preserve"> Secondary sunscreen product </w:t>
            </w:r>
            <w:r w:rsidRPr="004A6EA0">
              <w:t xml:space="preserve">means a product that is </w:t>
            </w:r>
            <w:r w:rsidRPr="004A6EA0">
              <w:lastRenderedPageBreak/>
              <w:t>represented as having a primary</w:t>
            </w:r>
            <w:r w:rsidRPr="004A6EA0">
              <w:rPr>
                <w:spacing w:val="1"/>
              </w:rPr>
              <w:t xml:space="preserve"> </w:t>
            </w:r>
            <w:r w:rsidRPr="004A6EA0">
              <w:t>purpose other than sun protection whilst providing some protection of the skin from ultraviolet</w:t>
            </w:r>
            <w:r w:rsidRPr="004A6EA0">
              <w:rPr>
                <w:spacing w:val="-46"/>
              </w:rPr>
              <w:t xml:space="preserve"> </w:t>
            </w:r>
            <w:r w:rsidRPr="004A6EA0">
              <w:t>radiation</w:t>
            </w:r>
            <w:r w:rsidRPr="004A6EA0">
              <w:rPr>
                <w:spacing w:val="-3"/>
              </w:rPr>
              <w:t xml:space="preserve"> </w:t>
            </w:r>
            <w:r w:rsidRPr="004A6EA0">
              <w:rPr>
                <w:i/>
              </w:rPr>
              <w:t>(the</w:t>
            </w:r>
            <w:r w:rsidRPr="004A6EA0">
              <w:rPr>
                <w:i/>
                <w:spacing w:val="-1"/>
              </w:rPr>
              <w:t xml:space="preserve"> </w:t>
            </w:r>
            <w:r>
              <w:t>AS/NZS standard for sunscreens</w:t>
            </w:r>
            <w:r w:rsidRPr="004A6EA0">
              <w:t>).</w:t>
            </w:r>
          </w:p>
          <w:p w14:paraId="7FB42E76" w14:textId="77777777" w:rsidR="00CC2A6E" w:rsidRPr="004A6EA0" w:rsidRDefault="00CC2A6E" w:rsidP="00DE2BCE"/>
        </w:tc>
      </w:tr>
      <w:tr w:rsidR="00CC2A6E" w:rsidRPr="00F425E2" w14:paraId="56E6761B" w14:textId="77777777" w:rsidTr="00375FAA">
        <w:tc>
          <w:tcPr>
            <w:tcW w:w="1795" w:type="dxa"/>
          </w:tcPr>
          <w:p w14:paraId="1E3E8511" w14:textId="4A07D9E6" w:rsidR="00CC2A6E" w:rsidRPr="004A6EA0" w:rsidRDefault="001522F8" w:rsidP="00DE2BCE">
            <w:pPr>
              <w:rPr>
                <w:b/>
              </w:rPr>
            </w:pPr>
            <w:r w:rsidRPr="004A6EA0">
              <w:rPr>
                <w:b/>
              </w:rPr>
              <w:lastRenderedPageBreak/>
              <w:t>Sun Protection Factor (SPF)</w:t>
            </w:r>
          </w:p>
        </w:tc>
        <w:tc>
          <w:tcPr>
            <w:tcW w:w="7200" w:type="dxa"/>
          </w:tcPr>
          <w:p w14:paraId="5F839B37" w14:textId="29DFB6E5" w:rsidR="00CC2A6E" w:rsidRPr="004A6EA0" w:rsidRDefault="00D41BC8" w:rsidP="00DE2BCE">
            <w:r w:rsidRPr="004A6EA0">
              <w:t>means the arithmetic mean of all valid individual SPF values</w:t>
            </w:r>
            <w:r w:rsidRPr="004A6EA0">
              <w:rPr>
                <w:spacing w:val="1"/>
              </w:rPr>
              <w:t xml:space="preserve"> </w:t>
            </w:r>
            <w:r w:rsidRPr="004A6EA0">
              <w:t xml:space="preserve">obtained from all subjects in the test (the </w:t>
            </w:r>
            <w:r>
              <w:t>AS/NZS standard for sunscreens</w:t>
            </w:r>
            <w:r w:rsidRPr="004A6EA0">
              <w:t>). See also, Minimal</w:t>
            </w:r>
            <w:r w:rsidRPr="004A6EA0">
              <w:rPr>
                <w:spacing w:val="-46"/>
              </w:rPr>
              <w:t xml:space="preserve"> </w:t>
            </w:r>
            <w:r w:rsidRPr="004A6EA0">
              <w:t>Erythemal</w:t>
            </w:r>
            <w:r w:rsidRPr="004A6EA0">
              <w:rPr>
                <w:spacing w:val="-2"/>
              </w:rPr>
              <w:t xml:space="preserve"> </w:t>
            </w:r>
            <w:r w:rsidRPr="004A6EA0">
              <w:t>Dose</w:t>
            </w:r>
            <w:r w:rsidRPr="004A6EA0">
              <w:rPr>
                <w:spacing w:val="-1"/>
              </w:rPr>
              <w:t xml:space="preserve"> </w:t>
            </w:r>
            <w:r w:rsidRPr="004A6EA0">
              <w:t>(MED).</w:t>
            </w:r>
          </w:p>
        </w:tc>
      </w:tr>
      <w:tr w:rsidR="00CC2A6E" w:rsidRPr="00F425E2" w14:paraId="40E73711" w14:textId="77777777" w:rsidTr="00375FAA">
        <w:tc>
          <w:tcPr>
            <w:tcW w:w="1795" w:type="dxa"/>
          </w:tcPr>
          <w:p w14:paraId="624DBD94" w14:textId="57C004FC" w:rsidR="00CC2A6E" w:rsidRPr="004A6EA0" w:rsidRDefault="004E6BB2" w:rsidP="00DE2BCE">
            <w:pPr>
              <w:rPr>
                <w:b/>
              </w:rPr>
            </w:pPr>
            <w:r w:rsidRPr="004A6EA0">
              <w:rPr>
                <w:b/>
              </w:rPr>
              <w:t>TGO 92</w:t>
            </w:r>
          </w:p>
        </w:tc>
        <w:tc>
          <w:tcPr>
            <w:tcW w:w="7200" w:type="dxa"/>
          </w:tcPr>
          <w:p w14:paraId="5B6EB373" w14:textId="2BCA7079" w:rsidR="00CC2A6E" w:rsidRPr="004A6EA0" w:rsidRDefault="005D08D4" w:rsidP="00DE2BCE">
            <w:r w:rsidRPr="004A6EA0">
              <w:t>means the Therapeutic Goods Order No. 92 – Standard for labels of non-</w:t>
            </w:r>
            <w:proofErr w:type="gramStart"/>
            <w:r w:rsidRPr="004A6EA0">
              <w:t>prescription</w:t>
            </w:r>
            <w:r w:rsidR="00C47EC5">
              <w:t xml:space="preserve"> </w:t>
            </w:r>
            <w:r w:rsidRPr="004A6EA0">
              <w:rPr>
                <w:spacing w:val="-46"/>
              </w:rPr>
              <w:t xml:space="preserve"> </w:t>
            </w:r>
            <w:r w:rsidRPr="004A6EA0">
              <w:t>medicines</w:t>
            </w:r>
            <w:proofErr w:type="gramEnd"/>
            <w:r w:rsidRPr="004A6EA0">
              <w:t>.</w:t>
            </w:r>
          </w:p>
        </w:tc>
      </w:tr>
      <w:tr w:rsidR="00CC2A6E" w:rsidRPr="00F425E2" w14:paraId="3380D244" w14:textId="77777777" w:rsidTr="00375FAA">
        <w:tc>
          <w:tcPr>
            <w:tcW w:w="1795" w:type="dxa"/>
          </w:tcPr>
          <w:p w14:paraId="01385D6C" w14:textId="58CCF558" w:rsidR="00CC2A6E" w:rsidRPr="004A6EA0" w:rsidRDefault="009F7F27" w:rsidP="00DE2BCE">
            <w:pPr>
              <w:rPr>
                <w:b/>
              </w:rPr>
            </w:pPr>
            <w:r w:rsidRPr="004A6EA0">
              <w:rPr>
                <w:b/>
              </w:rPr>
              <w:t>The</w:t>
            </w:r>
            <w:r w:rsidRPr="004A6EA0">
              <w:rPr>
                <w:b/>
                <w:spacing w:val="-2"/>
              </w:rPr>
              <w:t xml:space="preserve"> </w:t>
            </w:r>
            <w:r w:rsidRPr="004A6EA0">
              <w:rPr>
                <w:b/>
              </w:rPr>
              <w:t>Act</w:t>
            </w:r>
          </w:p>
        </w:tc>
        <w:tc>
          <w:tcPr>
            <w:tcW w:w="7200" w:type="dxa"/>
          </w:tcPr>
          <w:p w14:paraId="6A64AE55" w14:textId="6494FBC0" w:rsidR="00CC2A6E" w:rsidRPr="004A6EA0" w:rsidRDefault="00CD76D4" w:rsidP="00DE2BCE">
            <w:r w:rsidRPr="004A6EA0">
              <w:t>means</w:t>
            </w:r>
            <w:r w:rsidRPr="004A6EA0">
              <w:rPr>
                <w:spacing w:val="-1"/>
              </w:rPr>
              <w:t xml:space="preserve"> </w:t>
            </w:r>
            <w:r w:rsidRPr="004A6EA0">
              <w:t>the</w:t>
            </w:r>
            <w:r w:rsidRPr="004A6EA0">
              <w:rPr>
                <w:spacing w:val="-3"/>
              </w:rPr>
              <w:t xml:space="preserve"> </w:t>
            </w:r>
            <w:r w:rsidRPr="004A6EA0">
              <w:rPr>
                <w:i/>
              </w:rPr>
              <w:t>Therapeutic</w:t>
            </w:r>
            <w:r w:rsidRPr="004A6EA0">
              <w:rPr>
                <w:i/>
                <w:spacing w:val="-2"/>
              </w:rPr>
              <w:t xml:space="preserve"> </w:t>
            </w:r>
            <w:r w:rsidRPr="004A6EA0">
              <w:rPr>
                <w:i/>
              </w:rPr>
              <w:t>Goods</w:t>
            </w:r>
            <w:r w:rsidRPr="004A6EA0">
              <w:rPr>
                <w:i/>
                <w:spacing w:val="-3"/>
              </w:rPr>
              <w:t xml:space="preserve"> </w:t>
            </w:r>
            <w:r w:rsidRPr="004A6EA0">
              <w:rPr>
                <w:i/>
              </w:rPr>
              <w:t>Act</w:t>
            </w:r>
            <w:r w:rsidRPr="004A6EA0">
              <w:rPr>
                <w:i/>
                <w:spacing w:val="-4"/>
              </w:rPr>
              <w:t xml:space="preserve"> </w:t>
            </w:r>
            <w:r w:rsidRPr="004A6EA0">
              <w:rPr>
                <w:i/>
              </w:rPr>
              <w:t>1989</w:t>
            </w:r>
            <w:r w:rsidRPr="004A6EA0">
              <w:t>.</w:t>
            </w:r>
          </w:p>
        </w:tc>
      </w:tr>
      <w:tr w:rsidR="00CC2A6E" w:rsidRPr="00F425E2" w14:paraId="62B0A9E1" w14:textId="77777777" w:rsidTr="00375FAA">
        <w:tc>
          <w:tcPr>
            <w:tcW w:w="1795" w:type="dxa"/>
          </w:tcPr>
          <w:p w14:paraId="2F6D7379" w14:textId="5C699124" w:rsidR="00CC2A6E" w:rsidRPr="004A6EA0" w:rsidRDefault="001A3635" w:rsidP="00DE2BCE">
            <w:pPr>
              <w:rPr>
                <w:b/>
              </w:rPr>
            </w:pPr>
            <w:r w:rsidRPr="004A6EA0">
              <w:rPr>
                <w:b/>
              </w:rPr>
              <w:t>The</w:t>
            </w:r>
            <w:r w:rsidRPr="004A6EA0">
              <w:rPr>
                <w:b/>
                <w:spacing w:val="-2"/>
              </w:rPr>
              <w:t xml:space="preserve"> </w:t>
            </w:r>
            <w:r w:rsidRPr="004A6EA0">
              <w:rPr>
                <w:b/>
              </w:rPr>
              <w:t>Advertising</w:t>
            </w:r>
            <w:r w:rsidRPr="004A6EA0">
              <w:rPr>
                <w:b/>
                <w:spacing w:val="-2"/>
              </w:rPr>
              <w:t xml:space="preserve"> </w:t>
            </w:r>
            <w:r w:rsidRPr="004A6EA0">
              <w:rPr>
                <w:b/>
              </w:rPr>
              <w:t>Code</w:t>
            </w:r>
          </w:p>
        </w:tc>
        <w:tc>
          <w:tcPr>
            <w:tcW w:w="7200" w:type="dxa"/>
          </w:tcPr>
          <w:p w14:paraId="14F3A940" w14:textId="7F14FBDB" w:rsidR="00CC2A6E" w:rsidRPr="004A6EA0" w:rsidRDefault="00BE18B7" w:rsidP="00DE2BCE">
            <w:r w:rsidRPr="004A6EA0">
              <w:t>means</w:t>
            </w:r>
            <w:r w:rsidRPr="004A6EA0">
              <w:rPr>
                <w:spacing w:val="-1"/>
              </w:rPr>
              <w:t xml:space="preserve"> </w:t>
            </w:r>
            <w:r w:rsidRPr="004A6EA0">
              <w:t>the</w:t>
            </w:r>
            <w:r w:rsidRPr="004A6EA0">
              <w:rPr>
                <w:spacing w:val="-4"/>
              </w:rPr>
              <w:t xml:space="preserve"> </w:t>
            </w:r>
            <w:r w:rsidRPr="004A6EA0">
              <w:t>most</w:t>
            </w:r>
            <w:r w:rsidRPr="004A6EA0">
              <w:rPr>
                <w:spacing w:val="-3"/>
              </w:rPr>
              <w:t xml:space="preserve"> </w:t>
            </w:r>
            <w:r w:rsidRPr="004A6EA0">
              <w:t>current</w:t>
            </w:r>
            <w:r w:rsidRPr="004A6EA0">
              <w:rPr>
                <w:spacing w:val="-2"/>
              </w:rPr>
              <w:t xml:space="preserve"> </w:t>
            </w:r>
            <w:r w:rsidRPr="004A6EA0">
              <w:t>Therapeutic</w:t>
            </w:r>
            <w:r w:rsidRPr="004A6EA0">
              <w:rPr>
                <w:spacing w:val="-2"/>
              </w:rPr>
              <w:t xml:space="preserve"> </w:t>
            </w:r>
            <w:r w:rsidRPr="004A6EA0">
              <w:t>Goods</w:t>
            </w:r>
            <w:r w:rsidRPr="004A6EA0">
              <w:rPr>
                <w:spacing w:val="-1"/>
              </w:rPr>
              <w:t xml:space="preserve"> </w:t>
            </w:r>
            <w:r w:rsidRPr="004A6EA0">
              <w:t>Advertising</w:t>
            </w:r>
            <w:r w:rsidRPr="004A6EA0">
              <w:rPr>
                <w:spacing w:val="-3"/>
              </w:rPr>
              <w:t xml:space="preserve"> </w:t>
            </w:r>
            <w:r w:rsidRPr="004A6EA0">
              <w:t>Code</w:t>
            </w:r>
            <w:r>
              <w:t>.</w:t>
            </w:r>
          </w:p>
        </w:tc>
      </w:tr>
      <w:tr w:rsidR="00CC2A6E" w:rsidRPr="00F425E2" w14:paraId="59F78A6A" w14:textId="77777777" w:rsidTr="00375FAA">
        <w:tc>
          <w:tcPr>
            <w:tcW w:w="1795" w:type="dxa"/>
          </w:tcPr>
          <w:p w14:paraId="2E720E55" w14:textId="05B461D9" w:rsidR="00CC2A6E" w:rsidRPr="004A6EA0" w:rsidRDefault="00C02A75" w:rsidP="00DE2BCE">
            <w:pPr>
              <w:rPr>
                <w:b/>
              </w:rPr>
            </w:pPr>
            <w:r w:rsidRPr="004A6EA0">
              <w:rPr>
                <w:b/>
              </w:rPr>
              <w:t>The Labelling Order</w:t>
            </w:r>
          </w:p>
        </w:tc>
        <w:tc>
          <w:tcPr>
            <w:tcW w:w="7200" w:type="dxa"/>
          </w:tcPr>
          <w:p w14:paraId="689C9470" w14:textId="2CAA21F5" w:rsidR="00CC2A6E" w:rsidRPr="004A6EA0" w:rsidRDefault="007A2F47" w:rsidP="007A2F47">
            <w:r w:rsidRPr="004A6EA0">
              <w:t>means the most current Therapeutic Goods Order No. 92 - Standard for</w:t>
            </w:r>
            <w:r w:rsidRPr="004A6EA0">
              <w:rPr>
                <w:spacing w:val="-46"/>
              </w:rPr>
              <w:t xml:space="preserve"> </w:t>
            </w:r>
            <w:r w:rsidRPr="004A6EA0">
              <w:t>labels</w:t>
            </w:r>
            <w:r w:rsidRPr="004A6EA0">
              <w:rPr>
                <w:spacing w:val="-1"/>
              </w:rPr>
              <w:t xml:space="preserve"> </w:t>
            </w:r>
            <w:r w:rsidRPr="004A6EA0">
              <w:t>of</w:t>
            </w:r>
            <w:r w:rsidRPr="004A6EA0">
              <w:rPr>
                <w:spacing w:val="-1"/>
              </w:rPr>
              <w:t xml:space="preserve"> </w:t>
            </w:r>
            <w:r w:rsidRPr="004A6EA0">
              <w:t>non-prescription</w:t>
            </w:r>
            <w:r w:rsidRPr="004A6EA0">
              <w:rPr>
                <w:spacing w:val="-4"/>
              </w:rPr>
              <w:t xml:space="preserve"> </w:t>
            </w:r>
            <w:r w:rsidRPr="004A6EA0">
              <w:t>medicines</w:t>
            </w:r>
            <w:r>
              <w:t>.</w:t>
            </w:r>
          </w:p>
        </w:tc>
      </w:tr>
      <w:tr w:rsidR="00CC2A6E" w:rsidRPr="00F425E2" w14:paraId="612AC55C" w14:textId="77777777" w:rsidTr="00375FAA">
        <w:tc>
          <w:tcPr>
            <w:tcW w:w="1795" w:type="dxa"/>
          </w:tcPr>
          <w:p w14:paraId="0885FCC5" w14:textId="0152C2B3" w:rsidR="00CC2A6E" w:rsidRPr="004A6EA0" w:rsidRDefault="00DE410E" w:rsidP="00DE2BCE">
            <w:pPr>
              <w:rPr>
                <w:b/>
              </w:rPr>
            </w:pPr>
            <w:r w:rsidRPr="004A6EA0">
              <w:rPr>
                <w:b/>
              </w:rPr>
              <w:t>The</w:t>
            </w:r>
            <w:r w:rsidRPr="004A6EA0">
              <w:rPr>
                <w:b/>
                <w:spacing w:val="-2"/>
              </w:rPr>
              <w:t xml:space="preserve"> </w:t>
            </w:r>
            <w:r w:rsidRPr="004A6EA0">
              <w:rPr>
                <w:b/>
              </w:rPr>
              <w:t>Regulations</w:t>
            </w:r>
          </w:p>
        </w:tc>
        <w:tc>
          <w:tcPr>
            <w:tcW w:w="7200" w:type="dxa"/>
          </w:tcPr>
          <w:p w14:paraId="173ED980" w14:textId="25140757" w:rsidR="00CC2A6E" w:rsidRPr="004A6EA0" w:rsidRDefault="000A4E57" w:rsidP="00DE2BCE">
            <w:r w:rsidRPr="004A6EA0">
              <w:t>means</w:t>
            </w:r>
            <w:r w:rsidRPr="004A6EA0">
              <w:rPr>
                <w:spacing w:val="-1"/>
              </w:rPr>
              <w:t xml:space="preserve"> </w:t>
            </w:r>
            <w:r w:rsidRPr="004A6EA0">
              <w:t>the</w:t>
            </w:r>
            <w:r w:rsidRPr="004A6EA0">
              <w:rPr>
                <w:spacing w:val="-3"/>
              </w:rPr>
              <w:t xml:space="preserve"> </w:t>
            </w:r>
            <w:r w:rsidRPr="004A6EA0">
              <w:rPr>
                <w:i/>
              </w:rPr>
              <w:t>Therapeutic</w:t>
            </w:r>
            <w:r w:rsidRPr="004A6EA0">
              <w:rPr>
                <w:i/>
                <w:spacing w:val="-5"/>
              </w:rPr>
              <w:t xml:space="preserve"> </w:t>
            </w:r>
            <w:r w:rsidRPr="004A6EA0">
              <w:rPr>
                <w:i/>
              </w:rPr>
              <w:t>Goods</w:t>
            </w:r>
            <w:r w:rsidRPr="004A6EA0">
              <w:rPr>
                <w:i/>
                <w:spacing w:val="-2"/>
              </w:rPr>
              <w:t xml:space="preserve"> </w:t>
            </w:r>
            <w:r w:rsidRPr="004A6EA0">
              <w:rPr>
                <w:i/>
              </w:rPr>
              <w:t>Regulations</w:t>
            </w:r>
            <w:r w:rsidRPr="004A6EA0">
              <w:rPr>
                <w:i/>
                <w:spacing w:val="-6"/>
              </w:rPr>
              <w:t xml:space="preserve"> </w:t>
            </w:r>
            <w:r w:rsidRPr="004A6EA0">
              <w:rPr>
                <w:i/>
              </w:rPr>
              <w:t>1990</w:t>
            </w:r>
            <w:r w:rsidRPr="004A6EA0">
              <w:t>.</w:t>
            </w:r>
          </w:p>
        </w:tc>
      </w:tr>
      <w:tr w:rsidR="00CC2A6E" w:rsidRPr="00F425E2" w14:paraId="1C40456B" w14:textId="77777777" w:rsidTr="00375FAA">
        <w:tc>
          <w:tcPr>
            <w:tcW w:w="1795" w:type="dxa"/>
          </w:tcPr>
          <w:p w14:paraId="40E24DA9" w14:textId="6BCCA8DA" w:rsidR="00CC2A6E" w:rsidRPr="004A6EA0" w:rsidRDefault="00E30F23" w:rsidP="00DE2BCE">
            <w:pPr>
              <w:rPr>
                <w:b/>
              </w:rPr>
            </w:pPr>
            <w:r w:rsidRPr="004A6EA0">
              <w:rPr>
                <w:b/>
              </w:rPr>
              <w:t>Therapeutic goods</w:t>
            </w:r>
          </w:p>
        </w:tc>
        <w:tc>
          <w:tcPr>
            <w:tcW w:w="7200" w:type="dxa"/>
          </w:tcPr>
          <w:p w14:paraId="44CA342C" w14:textId="016451B9" w:rsidR="00CC2A6E" w:rsidRPr="004A6EA0" w:rsidRDefault="00C76E1E" w:rsidP="00DE2BCE">
            <w:r w:rsidRPr="004A6EA0">
              <w:t>means goods that are represented in any way to be, or that are, whether</w:t>
            </w:r>
            <w:r w:rsidRPr="004A6EA0">
              <w:rPr>
                <w:spacing w:val="1"/>
              </w:rPr>
              <w:t xml:space="preserve"> </w:t>
            </w:r>
            <w:r w:rsidRPr="004A6EA0">
              <w:t>because of the way in which the goods are presented or for any other reason, likely to be taken</w:t>
            </w:r>
            <w:r w:rsidRPr="004A6EA0">
              <w:rPr>
                <w:spacing w:val="-46"/>
              </w:rPr>
              <w:t xml:space="preserve"> </w:t>
            </w:r>
            <w:r w:rsidRPr="004A6EA0">
              <w:t>to be for therapeutic use or for use as an ingredient or component in the manufacture of</w:t>
            </w:r>
            <w:r w:rsidRPr="004A6EA0">
              <w:rPr>
                <w:spacing w:val="1"/>
              </w:rPr>
              <w:t xml:space="preserve"> </w:t>
            </w:r>
            <w:r w:rsidRPr="004A6EA0">
              <w:t>therapeutic</w:t>
            </w:r>
            <w:r w:rsidRPr="004A6EA0">
              <w:rPr>
                <w:spacing w:val="-1"/>
              </w:rPr>
              <w:t xml:space="preserve"> </w:t>
            </w:r>
            <w:r w:rsidRPr="004A6EA0">
              <w:t>goods (see</w:t>
            </w:r>
            <w:r w:rsidRPr="004A6EA0">
              <w:rPr>
                <w:spacing w:val="-1"/>
              </w:rPr>
              <w:t xml:space="preserve"> </w:t>
            </w:r>
            <w:r w:rsidRPr="004A6EA0">
              <w:t>subsection</w:t>
            </w:r>
            <w:r w:rsidRPr="004A6EA0">
              <w:rPr>
                <w:spacing w:val="-2"/>
              </w:rPr>
              <w:t xml:space="preserve"> </w:t>
            </w:r>
            <w:r w:rsidRPr="004A6EA0">
              <w:t>3(1)</w:t>
            </w:r>
            <w:r w:rsidRPr="004A6EA0">
              <w:rPr>
                <w:spacing w:val="-1"/>
              </w:rPr>
              <w:t xml:space="preserve"> </w:t>
            </w:r>
            <w:r w:rsidRPr="004A6EA0">
              <w:t>of</w:t>
            </w:r>
            <w:r w:rsidRPr="004A6EA0">
              <w:rPr>
                <w:spacing w:val="-1"/>
              </w:rPr>
              <w:t xml:space="preserve"> </w:t>
            </w:r>
            <w:r w:rsidRPr="004A6EA0">
              <w:t>the</w:t>
            </w:r>
            <w:r w:rsidRPr="004A6EA0">
              <w:rPr>
                <w:spacing w:val="-1"/>
              </w:rPr>
              <w:t xml:space="preserve"> </w:t>
            </w:r>
            <w:r w:rsidRPr="004A6EA0">
              <w:t>Act).</w:t>
            </w:r>
          </w:p>
        </w:tc>
      </w:tr>
      <w:tr w:rsidR="00CC2A6E" w:rsidRPr="00F425E2" w14:paraId="751C2450" w14:textId="77777777" w:rsidTr="00375FAA">
        <w:tc>
          <w:tcPr>
            <w:tcW w:w="1795" w:type="dxa"/>
          </w:tcPr>
          <w:p w14:paraId="68B3CDA5" w14:textId="68B9A136" w:rsidR="00CC2A6E" w:rsidRPr="004A6EA0" w:rsidRDefault="00B25E46" w:rsidP="00DE2BCE">
            <w:pPr>
              <w:rPr>
                <w:b/>
              </w:rPr>
            </w:pPr>
            <w:r w:rsidRPr="004A6EA0">
              <w:rPr>
                <w:b/>
              </w:rPr>
              <w:t>Therapeutic sunscreen</w:t>
            </w:r>
          </w:p>
        </w:tc>
        <w:tc>
          <w:tcPr>
            <w:tcW w:w="7200" w:type="dxa"/>
          </w:tcPr>
          <w:p w14:paraId="54E5207C" w14:textId="06F1D144" w:rsidR="00CC2A6E" w:rsidRPr="004A6EA0" w:rsidRDefault="00DF6F4F" w:rsidP="00DE2BCE">
            <w:r w:rsidRPr="004A6EA0">
              <w:t>means a primary or secondary sunscreen product that meets the</w:t>
            </w:r>
            <w:r w:rsidRPr="004A6EA0">
              <w:rPr>
                <w:spacing w:val="-46"/>
              </w:rPr>
              <w:t xml:space="preserve"> </w:t>
            </w:r>
            <w:r w:rsidRPr="004A6EA0">
              <w:t>definition</w:t>
            </w:r>
            <w:r w:rsidRPr="004A6EA0">
              <w:rPr>
                <w:spacing w:val="-3"/>
              </w:rPr>
              <w:t xml:space="preserve"> </w:t>
            </w:r>
            <w:r w:rsidRPr="004A6EA0">
              <w:t>of</w:t>
            </w:r>
            <w:r w:rsidRPr="004A6EA0">
              <w:rPr>
                <w:spacing w:val="-1"/>
              </w:rPr>
              <w:t xml:space="preserve"> </w:t>
            </w:r>
            <w:r w:rsidRPr="004A6EA0">
              <w:t>a</w:t>
            </w:r>
            <w:r w:rsidRPr="004A6EA0">
              <w:rPr>
                <w:spacing w:val="-1"/>
              </w:rPr>
              <w:t xml:space="preserve"> </w:t>
            </w:r>
            <w:r w:rsidRPr="004A6EA0">
              <w:t>therapeutic</w:t>
            </w:r>
            <w:r w:rsidRPr="004A6EA0">
              <w:rPr>
                <w:spacing w:val="-2"/>
              </w:rPr>
              <w:t xml:space="preserve"> </w:t>
            </w:r>
            <w:r w:rsidRPr="004A6EA0">
              <w:t>good</w:t>
            </w:r>
            <w:r w:rsidRPr="004A6EA0">
              <w:rPr>
                <w:spacing w:val="-1"/>
              </w:rPr>
              <w:t xml:space="preserve"> </w:t>
            </w:r>
            <w:r w:rsidRPr="004A6EA0">
              <w:t>rather</w:t>
            </w:r>
            <w:r w:rsidRPr="004A6EA0">
              <w:rPr>
                <w:spacing w:val="-1"/>
              </w:rPr>
              <w:t xml:space="preserve"> </w:t>
            </w:r>
            <w:r w:rsidRPr="004A6EA0">
              <w:t>than</w:t>
            </w:r>
            <w:r w:rsidRPr="004A6EA0">
              <w:rPr>
                <w:spacing w:val="-3"/>
              </w:rPr>
              <w:t xml:space="preserve"> </w:t>
            </w:r>
            <w:r w:rsidRPr="004A6EA0">
              <w:t>the</w:t>
            </w:r>
            <w:r w:rsidRPr="004A6EA0">
              <w:rPr>
                <w:spacing w:val="-1"/>
              </w:rPr>
              <w:t xml:space="preserve"> </w:t>
            </w:r>
            <w:r w:rsidRPr="004A6EA0">
              <w:t>definition</w:t>
            </w:r>
            <w:r w:rsidRPr="004A6EA0">
              <w:rPr>
                <w:spacing w:val="-2"/>
              </w:rPr>
              <w:t xml:space="preserve"> </w:t>
            </w:r>
            <w:r w:rsidRPr="004A6EA0">
              <w:t>of</w:t>
            </w:r>
            <w:r w:rsidRPr="004A6EA0">
              <w:rPr>
                <w:spacing w:val="-3"/>
              </w:rPr>
              <w:t xml:space="preserve"> </w:t>
            </w:r>
            <w:r w:rsidRPr="004A6EA0">
              <w:t>a</w:t>
            </w:r>
            <w:r w:rsidRPr="004A6EA0">
              <w:rPr>
                <w:spacing w:val="-1"/>
              </w:rPr>
              <w:t xml:space="preserve"> </w:t>
            </w:r>
            <w:r w:rsidRPr="004A6EA0">
              <w:t>cosmetic.</w:t>
            </w:r>
          </w:p>
        </w:tc>
      </w:tr>
      <w:tr w:rsidR="00DF6F4F" w:rsidRPr="00F425E2" w14:paraId="3B3A14C2" w14:textId="77777777" w:rsidTr="00375FAA">
        <w:tc>
          <w:tcPr>
            <w:tcW w:w="1795" w:type="dxa"/>
          </w:tcPr>
          <w:p w14:paraId="18C419CA" w14:textId="50D7FDE4" w:rsidR="00DF6F4F" w:rsidRPr="004A6EA0" w:rsidRDefault="007D724D" w:rsidP="00DE2BCE">
            <w:pPr>
              <w:rPr>
                <w:b/>
              </w:rPr>
            </w:pPr>
            <w:r w:rsidRPr="004A6EA0">
              <w:rPr>
                <w:b/>
              </w:rPr>
              <w:t>Therapeutic use</w:t>
            </w:r>
          </w:p>
        </w:tc>
        <w:tc>
          <w:tcPr>
            <w:tcW w:w="7200" w:type="dxa"/>
          </w:tcPr>
          <w:p w14:paraId="361E15E0" w14:textId="04C9B13C" w:rsidR="00DF6F4F" w:rsidRPr="004A6EA0" w:rsidRDefault="00605509" w:rsidP="00DE2BCE">
            <w:r w:rsidRPr="004A6EA0">
              <w:t>means use in or in connection with preventing, diagnosing, curing or</w:t>
            </w:r>
            <w:r w:rsidRPr="004A6EA0">
              <w:rPr>
                <w:spacing w:val="1"/>
              </w:rPr>
              <w:t xml:space="preserve"> </w:t>
            </w:r>
            <w:r w:rsidRPr="004A6EA0">
              <w:t>alleviating a disease, ailment, defect or injury in persons; or influencing, inhibiting or modifying</w:t>
            </w:r>
            <w:r w:rsidRPr="004A6EA0">
              <w:rPr>
                <w:spacing w:val="-46"/>
              </w:rPr>
              <w:t xml:space="preserve"> </w:t>
            </w:r>
            <w:r w:rsidRPr="004A6EA0">
              <w:t>a</w:t>
            </w:r>
            <w:r w:rsidRPr="004A6EA0">
              <w:rPr>
                <w:spacing w:val="-2"/>
              </w:rPr>
              <w:t xml:space="preserve"> </w:t>
            </w:r>
            <w:r w:rsidRPr="004A6EA0">
              <w:t>physiological</w:t>
            </w:r>
            <w:r w:rsidRPr="004A6EA0">
              <w:rPr>
                <w:spacing w:val="-1"/>
              </w:rPr>
              <w:t xml:space="preserve"> </w:t>
            </w:r>
            <w:r w:rsidRPr="004A6EA0">
              <w:t>process in</w:t>
            </w:r>
            <w:r w:rsidRPr="004A6EA0">
              <w:rPr>
                <w:spacing w:val="-4"/>
              </w:rPr>
              <w:t xml:space="preserve"> </w:t>
            </w:r>
            <w:r w:rsidRPr="004A6EA0">
              <w:t>persons</w:t>
            </w:r>
            <w:r w:rsidRPr="004A6EA0">
              <w:rPr>
                <w:spacing w:val="-1"/>
              </w:rPr>
              <w:t xml:space="preserve"> </w:t>
            </w:r>
            <w:r w:rsidRPr="004A6EA0">
              <w:t>(see</w:t>
            </w:r>
            <w:r w:rsidRPr="004A6EA0">
              <w:rPr>
                <w:spacing w:val="-1"/>
              </w:rPr>
              <w:t xml:space="preserve"> </w:t>
            </w:r>
            <w:r w:rsidRPr="004A6EA0">
              <w:t>subsection</w:t>
            </w:r>
            <w:r w:rsidRPr="004A6EA0">
              <w:rPr>
                <w:spacing w:val="-2"/>
              </w:rPr>
              <w:t xml:space="preserve"> </w:t>
            </w:r>
            <w:r w:rsidRPr="004A6EA0">
              <w:t>3(1)</w:t>
            </w:r>
            <w:r w:rsidRPr="004A6EA0">
              <w:rPr>
                <w:spacing w:val="-1"/>
              </w:rPr>
              <w:t xml:space="preserve"> </w:t>
            </w:r>
            <w:r w:rsidRPr="004A6EA0">
              <w:t>of</w:t>
            </w:r>
            <w:r w:rsidRPr="004A6EA0">
              <w:rPr>
                <w:spacing w:val="-2"/>
              </w:rPr>
              <w:t xml:space="preserve"> </w:t>
            </w:r>
            <w:r w:rsidRPr="004A6EA0">
              <w:t>the</w:t>
            </w:r>
            <w:r w:rsidRPr="004A6EA0">
              <w:rPr>
                <w:spacing w:val="-1"/>
              </w:rPr>
              <w:t xml:space="preserve"> </w:t>
            </w:r>
            <w:r w:rsidRPr="004A6EA0">
              <w:t>Act).</w:t>
            </w:r>
          </w:p>
        </w:tc>
      </w:tr>
      <w:tr w:rsidR="00DF6F4F" w:rsidRPr="00F425E2" w14:paraId="752B27C9" w14:textId="77777777" w:rsidTr="00375FAA">
        <w:tc>
          <w:tcPr>
            <w:tcW w:w="1795" w:type="dxa"/>
          </w:tcPr>
          <w:p w14:paraId="3E3B1CE9" w14:textId="1DCC970E" w:rsidR="00DF6F4F" w:rsidRPr="004A6EA0" w:rsidRDefault="00766DCD" w:rsidP="00DE2BCE">
            <w:pPr>
              <w:rPr>
                <w:b/>
              </w:rPr>
            </w:pPr>
            <w:r w:rsidRPr="00BB0076">
              <w:rPr>
                <w:b/>
              </w:rPr>
              <w:t>Topical</w:t>
            </w:r>
          </w:p>
        </w:tc>
        <w:tc>
          <w:tcPr>
            <w:tcW w:w="7200" w:type="dxa"/>
          </w:tcPr>
          <w:p w14:paraId="7CD0E697" w14:textId="4134D118" w:rsidR="00DF6F4F" w:rsidRPr="004A6EA0" w:rsidRDefault="00044023" w:rsidP="00DE2BCE">
            <w:r w:rsidRPr="004A6EA0">
              <w:t>(for</w:t>
            </w:r>
            <w:r w:rsidRPr="004A6EA0">
              <w:rPr>
                <w:spacing w:val="-1"/>
              </w:rPr>
              <w:t xml:space="preserve"> </w:t>
            </w:r>
            <w:r w:rsidRPr="004A6EA0">
              <w:t>sunscreen</w:t>
            </w:r>
            <w:r w:rsidRPr="004A6EA0">
              <w:rPr>
                <w:spacing w:val="-3"/>
              </w:rPr>
              <w:t xml:space="preserve"> </w:t>
            </w:r>
            <w:r w:rsidRPr="004A6EA0">
              <w:t>use)</w:t>
            </w:r>
            <w:r w:rsidRPr="004A6EA0">
              <w:rPr>
                <w:spacing w:val="-1"/>
              </w:rPr>
              <w:t xml:space="preserve"> </w:t>
            </w:r>
            <w:r w:rsidRPr="004A6EA0">
              <w:t>means</w:t>
            </w:r>
            <w:r w:rsidRPr="004A6EA0">
              <w:rPr>
                <w:spacing w:val="-1"/>
              </w:rPr>
              <w:t xml:space="preserve"> </w:t>
            </w:r>
            <w:r w:rsidRPr="004A6EA0">
              <w:t>applied</w:t>
            </w:r>
            <w:r w:rsidRPr="004A6EA0">
              <w:rPr>
                <w:spacing w:val="-1"/>
              </w:rPr>
              <w:t xml:space="preserve"> </w:t>
            </w:r>
            <w:r w:rsidRPr="004A6EA0">
              <w:t>to</w:t>
            </w:r>
            <w:r w:rsidRPr="004A6EA0">
              <w:rPr>
                <w:spacing w:val="-2"/>
              </w:rPr>
              <w:t xml:space="preserve"> </w:t>
            </w:r>
            <w:r w:rsidRPr="004A6EA0">
              <w:t>a</w:t>
            </w:r>
            <w:r w:rsidRPr="004A6EA0">
              <w:rPr>
                <w:spacing w:val="-3"/>
              </w:rPr>
              <w:t xml:space="preserve"> </w:t>
            </w:r>
            <w:r w:rsidRPr="004A6EA0">
              <w:t>certain</w:t>
            </w:r>
            <w:r w:rsidRPr="004A6EA0">
              <w:rPr>
                <w:spacing w:val="-2"/>
              </w:rPr>
              <w:t xml:space="preserve"> </w:t>
            </w:r>
            <w:r w:rsidRPr="004A6EA0">
              <w:t>area</w:t>
            </w:r>
            <w:r w:rsidRPr="004A6EA0">
              <w:rPr>
                <w:spacing w:val="-2"/>
              </w:rPr>
              <w:t xml:space="preserve"> </w:t>
            </w:r>
            <w:r w:rsidRPr="004A6EA0">
              <w:t>of</w:t>
            </w:r>
            <w:r w:rsidRPr="004A6EA0">
              <w:rPr>
                <w:spacing w:val="-1"/>
              </w:rPr>
              <w:t xml:space="preserve"> </w:t>
            </w:r>
            <w:r w:rsidRPr="004A6EA0">
              <w:t>the</w:t>
            </w:r>
            <w:r w:rsidRPr="004A6EA0">
              <w:rPr>
                <w:spacing w:val="-4"/>
              </w:rPr>
              <w:t xml:space="preserve"> </w:t>
            </w:r>
            <w:r w:rsidRPr="004A6EA0">
              <w:t>skin</w:t>
            </w:r>
            <w:r w:rsidRPr="004A6EA0">
              <w:rPr>
                <w:spacing w:val="-2"/>
              </w:rPr>
              <w:t xml:space="preserve"> </w:t>
            </w:r>
            <w:r w:rsidRPr="004A6EA0">
              <w:t>for</w:t>
            </w:r>
            <w:r w:rsidRPr="004A6EA0">
              <w:rPr>
                <w:spacing w:val="-1"/>
              </w:rPr>
              <w:t xml:space="preserve"> </w:t>
            </w:r>
            <w:r w:rsidRPr="004A6EA0">
              <w:t>a</w:t>
            </w:r>
            <w:r w:rsidRPr="004A6EA0">
              <w:rPr>
                <w:spacing w:val="-2"/>
              </w:rPr>
              <w:t xml:space="preserve"> </w:t>
            </w:r>
            <w:r w:rsidRPr="004A6EA0">
              <w:t>localised</w:t>
            </w:r>
            <w:r w:rsidRPr="004A6EA0">
              <w:rPr>
                <w:spacing w:val="-1"/>
              </w:rPr>
              <w:t xml:space="preserve"> </w:t>
            </w:r>
            <w:r w:rsidRPr="004A6EA0">
              <w:t>effect.</w:t>
            </w:r>
          </w:p>
        </w:tc>
      </w:tr>
      <w:tr w:rsidR="00DF6F4F" w:rsidRPr="00F425E2" w14:paraId="76CB2EE0" w14:textId="77777777" w:rsidTr="00375FAA">
        <w:tc>
          <w:tcPr>
            <w:tcW w:w="1795" w:type="dxa"/>
          </w:tcPr>
          <w:p w14:paraId="13A250D2" w14:textId="354837E3" w:rsidR="00DF6F4F" w:rsidRPr="004A6EA0" w:rsidRDefault="003D4776" w:rsidP="00DE2BCE">
            <w:pPr>
              <w:rPr>
                <w:b/>
              </w:rPr>
            </w:pPr>
            <w:r w:rsidRPr="00E308CF">
              <w:rPr>
                <w:b/>
              </w:rPr>
              <w:t>Ultraviolet radiation (UV)</w:t>
            </w:r>
          </w:p>
        </w:tc>
        <w:tc>
          <w:tcPr>
            <w:tcW w:w="7200" w:type="dxa"/>
          </w:tcPr>
          <w:p w14:paraId="55033312" w14:textId="24A4ACCE" w:rsidR="00DF6F4F" w:rsidRPr="004A6EA0" w:rsidRDefault="00941DF2" w:rsidP="00DE2BCE">
            <w:r w:rsidRPr="00E308CF">
              <w:t>means the terrestrial solar ultraviolet radiation in the range 290–</w:t>
            </w:r>
            <w:r w:rsidRPr="00E308CF">
              <w:rPr>
                <w:spacing w:val="1"/>
              </w:rPr>
              <w:t xml:space="preserve"> </w:t>
            </w:r>
            <w:r w:rsidRPr="00E308CF">
              <w:t>400 nm. Ultraviolet radiation A (UVA) is the terrestrial solar ultraviolet radiation in the range</w:t>
            </w:r>
            <w:r w:rsidRPr="00E308CF">
              <w:rPr>
                <w:spacing w:val="1"/>
              </w:rPr>
              <w:t xml:space="preserve"> </w:t>
            </w:r>
            <w:r w:rsidRPr="00E308CF">
              <w:t>320–400 nm and ultraviolet radiation B (UVB) is the terrestrial solar ultraviolet radiation in the</w:t>
            </w:r>
            <w:r w:rsidRPr="00E308CF">
              <w:rPr>
                <w:spacing w:val="-46"/>
              </w:rPr>
              <w:t xml:space="preserve"> </w:t>
            </w:r>
            <w:r w:rsidRPr="00E308CF">
              <w:t>range</w:t>
            </w:r>
            <w:r w:rsidRPr="00E308CF">
              <w:rPr>
                <w:spacing w:val="-1"/>
              </w:rPr>
              <w:t xml:space="preserve"> </w:t>
            </w:r>
            <w:r w:rsidRPr="00E308CF">
              <w:t>290–320</w:t>
            </w:r>
            <w:r w:rsidRPr="00E308CF">
              <w:rPr>
                <w:spacing w:val="-1"/>
              </w:rPr>
              <w:t xml:space="preserve"> </w:t>
            </w:r>
            <w:r w:rsidRPr="00E308CF">
              <w:t>nm.</w:t>
            </w:r>
          </w:p>
        </w:tc>
      </w:tr>
      <w:tr w:rsidR="00DF6F4F" w:rsidRPr="00F425E2" w14:paraId="0EA53EDC" w14:textId="77777777" w:rsidTr="008C0A6A">
        <w:tc>
          <w:tcPr>
            <w:tcW w:w="1795" w:type="dxa"/>
          </w:tcPr>
          <w:p w14:paraId="6BD23272" w14:textId="2C55395D" w:rsidR="00DF6F4F" w:rsidRPr="004A6EA0" w:rsidRDefault="00BF0C0B" w:rsidP="00DE2BCE">
            <w:pPr>
              <w:rPr>
                <w:b/>
              </w:rPr>
            </w:pPr>
            <w:r w:rsidRPr="00E308CF">
              <w:rPr>
                <w:b/>
              </w:rPr>
              <w:lastRenderedPageBreak/>
              <w:t>UV filter</w:t>
            </w:r>
          </w:p>
        </w:tc>
        <w:tc>
          <w:tcPr>
            <w:tcW w:w="7200" w:type="dxa"/>
          </w:tcPr>
          <w:p w14:paraId="79E62EFB" w14:textId="292670F0" w:rsidR="00DF6F4F" w:rsidRPr="004A6EA0" w:rsidRDefault="00D02A31" w:rsidP="00DE2BCE">
            <w:r w:rsidRPr="00E308CF">
              <w:t>for the purposes of th</w:t>
            </w:r>
            <w:r w:rsidR="00C8703D">
              <w:t>is</w:t>
            </w:r>
            <w:r w:rsidRPr="00E308CF">
              <w:t xml:space="preserve"> Guid</w:t>
            </w:r>
            <w:r w:rsidR="00C8703D">
              <w:t>ance</w:t>
            </w:r>
            <w:r w:rsidRPr="00E308CF">
              <w:t>, means a substance that is exclusively or mainly</w:t>
            </w:r>
            <w:r w:rsidRPr="00E308CF">
              <w:rPr>
                <w:spacing w:val="1"/>
              </w:rPr>
              <w:t xml:space="preserve"> </w:t>
            </w:r>
            <w:r w:rsidRPr="00E308CF">
              <w:t>intended to protect the skin against certain UV radiation by absorption, reflection or scattering</w:t>
            </w:r>
            <w:r w:rsidRPr="00E308CF">
              <w:rPr>
                <w:spacing w:val="-46"/>
              </w:rPr>
              <w:t xml:space="preserve"> </w:t>
            </w:r>
            <w:r w:rsidRPr="00E308CF">
              <w:t>of</w:t>
            </w:r>
            <w:r w:rsidRPr="00E308CF">
              <w:rPr>
                <w:spacing w:val="-2"/>
              </w:rPr>
              <w:t xml:space="preserve"> </w:t>
            </w:r>
            <w:r w:rsidRPr="00E308CF">
              <w:t>UV radiation.</w:t>
            </w:r>
          </w:p>
        </w:tc>
      </w:tr>
      <w:tr w:rsidR="00DF6F4F" w:rsidRPr="00F425E2" w14:paraId="0DBEC6DF" w14:textId="77777777" w:rsidTr="008C0A6A">
        <w:tc>
          <w:tcPr>
            <w:tcW w:w="1795" w:type="dxa"/>
          </w:tcPr>
          <w:p w14:paraId="74693225" w14:textId="1EB1A314" w:rsidR="00DF6F4F" w:rsidRPr="004A6EA0" w:rsidRDefault="00A32D89" w:rsidP="00DE2BCE">
            <w:pPr>
              <w:rPr>
                <w:b/>
              </w:rPr>
            </w:pPr>
            <w:r w:rsidRPr="00E308CF">
              <w:rPr>
                <w:b/>
              </w:rPr>
              <w:t>Water resistant</w:t>
            </w:r>
          </w:p>
        </w:tc>
        <w:tc>
          <w:tcPr>
            <w:tcW w:w="7200" w:type="dxa"/>
          </w:tcPr>
          <w:p w14:paraId="02B5A670" w14:textId="79718970" w:rsidR="00DF6F4F" w:rsidRPr="004A6EA0" w:rsidRDefault="00957F4D" w:rsidP="00DE2BCE">
            <w:r w:rsidRPr="00E308CF">
              <w:t>for the purposes of th</w:t>
            </w:r>
            <w:r w:rsidR="00C8703D">
              <w:t>is</w:t>
            </w:r>
            <w:r w:rsidRPr="00E308CF">
              <w:t xml:space="preserve"> Guid</w:t>
            </w:r>
            <w:r w:rsidR="00C8703D">
              <w:t>ance</w:t>
            </w:r>
            <w:r w:rsidRPr="00E308CF">
              <w:t>, means a sunscreen product which has</w:t>
            </w:r>
            <w:r w:rsidRPr="00E308CF">
              <w:rPr>
                <w:spacing w:val="1"/>
              </w:rPr>
              <w:t xml:space="preserve"> </w:t>
            </w:r>
            <w:r w:rsidRPr="00E308CF">
              <w:t>been shown after designated periods of water immersion, using in vivo Sun Protection Factor</w:t>
            </w:r>
            <w:r w:rsidRPr="00E308CF">
              <w:rPr>
                <w:spacing w:val="-46"/>
              </w:rPr>
              <w:t xml:space="preserve"> </w:t>
            </w:r>
            <w:r w:rsidRPr="00E308CF">
              <w:t xml:space="preserve">test methods to provide protection against certain of the sun’s UV rays (the </w:t>
            </w:r>
            <w:r>
              <w:t>AS/NZS standard for sunscreens</w:t>
            </w:r>
            <w:r w:rsidRPr="00E308CF">
              <w:t>)</w:t>
            </w:r>
            <w:r>
              <w:t>.</w:t>
            </w:r>
          </w:p>
        </w:tc>
      </w:tr>
    </w:tbl>
    <w:p w14:paraId="694F9BE8" w14:textId="77777777" w:rsidR="00375FAA" w:rsidRDefault="00375FAA" w:rsidP="00EF232E"/>
    <w:p w14:paraId="0EC1E26B" w14:textId="5891A603" w:rsidR="00A92A31" w:rsidRDefault="00A92A31">
      <w:pPr>
        <w:rPr>
          <w:b/>
          <w:bCs/>
          <w:color w:val="001871"/>
          <w:sz w:val="38"/>
          <w:szCs w:val="32"/>
        </w:rPr>
      </w:pPr>
      <w:bookmarkStart w:id="163" w:name="_Toc198297302"/>
      <w:r>
        <w:br w:type="page"/>
      </w:r>
    </w:p>
    <w:p w14:paraId="7992CC08" w14:textId="5152119C" w:rsidR="00314167" w:rsidRPr="009C6D70" w:rsidRDefault="009637C4" w:rsidP="00655441">
      <w:pPr>
        <w:pStyle w:val="Heading2"/>
        <w:rPr>
          <w:color w:val="FF0000"/>
        </w:rPr>
      </w:pPr>
      <w:bookmarkStart w:id="164" w:name="_Toc204751348"/>
      <w:r>
        <w:lastRenderedPageBreak/>
        <w:t>Revision</w:t>
      </w:r>
      <w:r w:rsidR="58F652FC" w:rsidRPr="3B6C239D">
        <w:t xml:space="preserve"> </w:t>
      </w:r>
      <w:r w:rsidR="0ED361E2" w:rsidRPr="3B6C239D">
        <w:t xml:space="preserve">history </w:t>
      </w:r>
      <w:bookmarkEnd w:id="163"/>
      <w:bookmarkEnd w:id="164"/>
    </w:p>
    <w:p w14:paraId="26260619" w14:textId="76EE0B63" w:rsidR="00C31794" w:rsidRPr="00A561D7" w:rsidRDefault="00C31794" w:rsidP="00A561D7">
      <w:pPr>
        <w:pStyle w:val="Calloutforkeyinformation"/>
      </w:pPr>
      <w:r w:rsidRPr="00A015F4">
        <w:rPr>
          <w:b/>
          <w:bCs w:val="0"/>
        </w:rPr>
        <w:t>Note:</w:t>
      </w:r>
      <w:r>
        <w:t xml:space="preserve"> t</w:t>
      </w:r>
      <w:r w:rsidRPr="00C31794">
        <w:t xml:space="preserve">his section is the same as page history on the TGA website. </w:t>
      </w:r>
    </w:p>
    <w:p w14:paraId="3DFD5328" w14:textId="672704F9" w:rsidR="00C32219" w:rsidRPr="00C70679" w:rsidRDefault="009F6125" w:rsidP="00C70679">
      <w:pPr>
        <w:rPr>
          <w:b/>
          <w:bCs/>
        </w:rPr>
      </w:pPr>
      <w:r>
        <w:rPr>
          <w:b/>
          <w:bCs/>
        </w:rPr>
        <w:t>August</w:t>
      </w:r>
      <w:r w:rsidR="00CB6BFA" w:rsidRPr="00C70679">
        <w:rPr>
          <w:b/>
          <w:bCs/>
        </w:rPr>
        <w:t xml:space="preserve"> </w:t>
      </w:r>
      <w:r w:rsidR="000F1FAD" w:rsidRPr="00C70679">
        <w:rPr>
          <w:b/>
          <w:bCs/>
        </w:rPr>
        <w:t>2025</w:t>
      </w:r>
    </w:p>
    <w:p w14:paraId="626A27A5" w14:textId="77777777" w:rsidR="00F9278E" w:rsidRPr="002C6136" w:rsidRDefault="00F9278E" w:rsidP="00F9278E">
      <w:pPr>
        <w:pStyle w:val="ListBullet"/>
      </w:pPr>
      <w:r w:rsidRPr="002C6136">
        <w:t>Document name changes:</w:t>
      </w:r>
    </w:p>
    <w:p w14:paraId="1D7FCD9E" w14:textId="77777777" w:rsidR="00F9278E" w:rsidRPr="002C6136" w:rsidRDefault="00F9278E" w:rsidP="00F9278E">
      <w:pPr>
        <w:pStyle w:val="ListBullet2"/>
        <w:rPr>
          <w:color w:val="auto"/>
        </w:rPr>
      </w:pPr>
      <w:r w:rsidRPr="002C6136">
        <w:rPr>
          <w:color w:val="auto"/>
        </w:rPr>
        <w:t>Australian Regulatory Guidelines for Sunscreens to Understanding the regulation of therapeutic sunscreens.</w:t>
      </w:r>
    </w:p>
    <w:p w14:paraId="3BBD5F13" w14:textId="4BE38A49" w:rsidR="00F9278E" w:rsidRPr="00F9278E" w:rsidRDefault="00F9278E" w:rsidP="00F9278E">
      <w:pPr>
        <w:pStyle w:val="ListBullet2"/>
        <w:rPr>
          <w:color w:val="auto"/>
        </w:rPr>
      </w:pPr>
      <w:r w:rsidRPr="002C6136">
        <w:rPr>
          <w:color w:val="auto"/>
        </w:rPr>
        <w:t>Application requirements for new substances in listed medicines to Understanding the application requirements for a new substance in listed medicines.</w:t>
      </w:r>
    </w:p>
    <w:p w14:paraId="24D1270F" w14:textId="790E7C24" w:rsidR="00833B5D" w:rsidRDefault="00833B5D" w:rsidP="007B38C6">
      <w:pPr>
        <w:pStyle w:val="ListBullet"/>
      </w:pPr>
      <w:r>
        <w:t>Included information on how requesting for pre-submission meetings prior to lodging an application for registered therapeutic sunscreens.</w:t>
      </w:r>
    </w:p>
    <w:p w14:paraId="327C8D85" w14:textId="32DB5ED0" w:rsidR="002C6136" w:rsidRDefault="002C6136" w:rsidP="007B38C6">
      <w:pPr>
        <w:pStyle w:val="ListBullet"/>
      </w:pPr>
      <w:r w:rsidRPr="002C6136">
        <w:t>Included information about how to determine the safe concentration of substances that may be absorbed using the Australian Sunscreen Exposure Model, including further information in Appendix 2.</w:t>
      </w:r>
    </w:p>
    <w:p w14:paraId="21F6F9B5" w14:textId="77777777" w:rsidR="00F774B4" w:rsidRPr="008C53D5" w:rsidRDefault="00F774B4" w:rsidP="007B38C6">
      <w:pPr>
        <w:pStyle w:val="ListBullet"/>
      </w:pPr>
      <w:r w:rsidRPr="008C53D5">
        <w:t>Update to section Safety data requirements for new ingredients for use in listed therapeutic sunscreens:</w:t>
      </w:r>
    </w:p>
    <w:p w14:paraId="1AD65D5D" w14:textId="77777777" w:rsidR="00F774B4" w:rsidRPr="008C53D5" w:rsidRDefault="00F774B4" w:rsidP="00F774B4">
      <w:pPr>
        <w:pStyle w:val="ListBullet2"/>
        <w:rPr>
          <w:color w:val="auto"/>
        </w:rPr>
      </w:pPr>
      <w:r w:rsidRPr="008C53D5">
        <w:rPr>
          <w:color w:val="auto"/>
        </w:rPr>
        <w:t>Added additional information that should be considered for safety assessment including importance of clearly stating concentration sought and consideration of both short- and long-term effects.</w:t>
      </w:r>
    </w:p>
    <w:p w14:paraId="2CC86CA3" w14:textId="77777777" w:rsidR="00F774B4" w:rsidRPr="008C53D5" w:rsidRDefault="00F774B4" w:rsidP="00F774B4">
      <w:pPr>
        <w:pStyle w:val="ListBullet2"/>
        <w:rPr>
          <w:color w:val="auto"/>
        </w:rPr>
      </w:pPr>
      <w:r w:rsidRPr="008C53D5">
        <w:rPr>
          <w:color w:val="auto"/>
        </w:rPr>
        <w:t>Added clarification that justifications may be acceptable in lieu of some core information categories.</w:t>
      </w:r>
    </w:p>
    <w:p w14:paraId="4D3B2E63" w14:textId="63DA2291" w:rsidR="002C6136" w:rsidRPr="002C6136" w:rsidRDefault="002C6136" w:rsidP="007B38C6">
      <w:pPr>
        <w:pStyle w:val="ListBullet"/>
      </w:pPr>
      <w:r w:rsidRPr="002C6136">
        <w:t>Removed references to exempt sunscreens.</w:t>
      </w:r>
    </w:p>
    <w:p w14:paraId="7DBB028E" w14:textId="69F51D1C" w:rsidR="002C6136" w:rsidRDefault="002C6136" w:rsidP="007B38C6">
      <w:pPr>
        <w:pStyle w:val="ListBullet"/>
      </w:pPr>
      <w:r w:rsidRPr="002C6136">
        <w:t>Updated reference to the Australian Sunscreen Standard to AS/NZ</w:t>
      </w:r>
      <w:r w:rsidR="00A74BFB">
        <w:t>S</w:t>
      </w:r>
      <w:r w:rsidRPr="002C6136">
        <w:t xml:space="preserve"> standard for sunscreens.</w:t>
      </w:r>
    </w:p>
    <w:p w14:paraId="5B6B0814" w14:textId="5C99C98F" w:rsidR="008531ED" w:rsidRPr="002C6136" w:rsidRDefault="008531ED" w:rsidP="007B38C6">
      <w:pPr>
        <w:pStyle w:val="ListBullet"/>
      </w:pPr>
      <w:r>
        <w:t xml:space="preserve">Updated Table 9 to include </w:t>
      </w:r>
      <w:proofErr w:type="spellStart"/>
      <w:r w:rsidRPr="0060727A">
        <w:t>methoxypropylamino</w:t>
      </w:r>
      <w:proofErr w:type="spellEnd"/>
      <w:r w:rsidRPr="0060727A">
        <w:t xml:space="preserve"> </w:t>
      </w:r>
      <w:proofErr w:type="spellStart"/>
      <w:r w:rsidRPr="0060727A">
        <w:t>cyclohexenylidene</w:t>
      </w:r>
      <w:proofErr w:type="spellEnd"/>
      <w:r w:rsidRPr="0060727A">
        <w:t xml:space="preserve"> </w:t>
      </w:r>
      <w:proofErr w:type="spellStart"/>
      <w:r w:rsidRPr="0060727A">
        <w:t>ethoxyethylcyanoacetate</w:t>
      </w:r>
      <w:proofErr w:type="spellEnd"/>
      <w:r w:rsidR="00FC6C79">
        <w:t>, which is</w:t>
      </w:r>
      <w:r>
        <w:t xml:space="preserve"> </w:t>
      </w:r>
      <w:r w:rsidR="00FC6C79">
        <w:t xml:space="preserve">a new ingredient listed in </w:t>
      </w:r>
      <w:r>
        <w:t>the Permissible Ingredients Determination.</w:t>
      </w:r>
    </w:p>
    <w:p w14:paraId="257A33E0" w14:textId="5B90EAE4" w:rsidR="002C6136" w:rsidRDefault="002C6136" w:rsidP="007B38C6">
      <w:pPr>
        <w:pStyle w:val="ListBullet"/>
      </w:pPr>
      <w:r>
        <w:t>Minor formatting changes including table titles.</w:t>
      </w:r>
    </w:p>
    <w:p w14:paraId="6F95C62F" w14:textId="5BB65F8D" w:rsidR="002C6136" w:rsidRPr="00C70679" w:rsidRDefault="002C6136" w:rsidP="00C70679">
      <w:pPr>
        <w:rPr>
          <w:b/>
          <w:bCs/>
        </w:rPr>
      </w:pPr>
      <w:r w:rsidRPr="00C70679">
        <w:rPr>
          <w:b/>
          <w:bCs/>
        </w:rPr>
        <w:t>Ma</w:t>
      </w:r>
      <w:r w:rsidR="00844052" w:rsidRPr="00C70679">
        <w:rPr>
          <w:b/>
          <w:bCs/>
        </w:rPr>
        <w:t>y 2023</w:t>
      </w:r>
    </w:p>
    <w:p w14:paraId="1283B586" w14:textId="781D60FF" w:rsidR="002C6136" w:rsidRDefault="002C6136" w:rsidP="007B38C6">
      <w:pPr>
        <w:pStyle w:val="ListBullet"/>
      </w:pPr>
      <w:r>
        <w:t>Updated to a new template</w:t>
      </w:r>
      <w:r w:rsidR="00844052">
        <w:t>.</w:t>
      </w:r>
    </w:p>
    <w:p w14:paraId="61D78602" w14:textId="77777777" w:rsidR="002C6136" w:rsidRDefault="002C6136" w:rsidP="007B38C6">
      <w:pPr>
        <w:pStyle w:val="ListBullet"/>
      </w:pPr>
      <w:r>
        <w:t>Major change to the sections:</w:t>
      </w:r>
    </w:p>
    <w:p w14:paraId="243CDAA3" w14:textId="77777777" w:rsidR="002C6136" w:rsidRDefault="002C6136" w:rsidP="002C6136">
      <w:pPr>
        <w:pStyle w:val="ListBullet2"/>
      </w:pPr>
      <w:r>
        <w:t>Ingredients permitted for use in listed therapeutic sunscreen and Applying for a new ingredient to be used in listed therapeutic sunscreens</w:t>
      </w:r>
    </w:p>
    <w:p w14:paraId="4D9C65DF" w14:textId="77777777" w:rsidR="002C6136" w:rsidRPr="002C6136" w:rsidRDefault="002C6136" w:rsidP="0073748E">
      <w:pPr>
        <w:pStyle w:val="ListBullet2"/>
        <w:numPr>
          <w:ilvl w:val="2"/>
          <w:numId w:val="3"/>
        </w:numPr>
        <w:rPr>
          <w:color w:val="auto"/>
        </w:rPr>
      </w:pPr>
      <w:r w:rsidRPr="002C6136">
        <w:rPr>
          <w:color w:val="auto"/>
        </w:rPr>
        <w:t xml:space="preserve">updated links to reference to updated guidance documents ‘Application requirements for new substances in listed medicines’ and ‘Guidance on using Comparable Overseas Body </w:t>
      </w:r>
      <w:proofErr w:type="gramStart"/>
      <w:r w:rsidRPr="002C6136">
        <w:rPr>
          <w:color w:val="auto"/>
        </w:rPr>
        <w:t>reports’</w:t>
      </w:r>
      <w:proofErr w:type="gramEnd"/>
      <w:r w:rsidRPr="002C6136">
        <w:rPr>
          <w:color w:val="auto"/>
        </w:rPr>
        <w:t>.</w:t>
      </w:r>
    </w:p>
    <w:p w14:paraId="03FD00DF" w14:textId="77777777" w:rsidR="002C6136" w:rsidRPr="002C6136" w:rsidRDefault="002C6136" w:rsidP="0073748E">
      <w:pPr>
        <w:pStyle w:val="ListBullet2"/>
        <w:numPr>
          <w:ilvl w:val="2"/>
          <w:numId w:val="3"/>
        </w:numPr>
        <w:rPr>
          <w:color w:val="auto"/>
        </w:rPr>
      </w:pPr>
      <w:r w:rsidRPr="002C6136">
        <w:rPr>
          <w:color w:val="auto"/>
        </w:rPr>
        <w:lastRenderedPageBreak/>
        <w:t xml:space="preserve">included option for eligible new ingredients to receive a 2-year exclusivity period. </w:t>
      </w:r>
    </w:p>
    <w:p w14:paraId="1C170ADC" w14:textId="77777777" w:rsidR="002C6136" w:rsidRPr="002C6136" w:rsidRDefault="002C6136" w:rsidP="0073748E">
      <w:pPr>
        <w:pStyle w:val="ListBullet2"/>
        <w:numPr>
          <w:ilvl w:val="2"/>
          <w:numId w:val="3"/>
        </w:numPr>
        <w:rPr>
          <w:color w:val="auto"/>
        </w:rPr>
      </w:pPr>
      <w:r w:rsidRPr="002C6136">
        <w:rPr>
          <w:color w:val="auto"/>
        </w:rPr>
        <w:t>updated quality and safety data requirements to refer to ‘Application requirements for new substances in listed medicines’ to align the data requirements for all listed medicines ingredients.</w:t>
      </w:r>
    </w:p>
    <w:p w14:paraId="3B0854F7" w14:textId="77777777" w:rsidR="002C6136" w:rsidRPr="002C6136" w:rsidRDefault="002C6136" w:rsidP="0073748E">
      <w:pPr>
        <w:pStyle w:val="ListBullet2"/>
        <w:numPr>
          <w:ilvl w:val="2"/>
          <w:numId w:val="3"/>
        </w:numPr>
        <w:rPr>
          <w:color w:val="auto"/>
        </w:rPr>
      </w:pPr>
      <w:r w:rsidRPr="002C6136">
        <w:rPr>
          <w:color w:val="auto"/>
        </w:rPr>
        <w:t>added Tables 3 and 4 to specify respective quality and safety core information requirements for a new ingredient to be used in listed therapeutic sunscreens. Rearranged and updated information for consistency.</w:t>
      </w:r>
    </w:p>
    <w:p w14:paraId="49B066AA" w14:textId="77777777" w:rsidR="002C6136" w:rsidRPr="002C6136" w:rsidRDefault="002C6136" w:rsidP="0073748E">
      <w:pPr>
        <w:pStyle w:val="ListBullet2"/>
        <w:numPr>
          <w:ilvl w:val="2"/>
          <w:numId w:val="3"/>
        </w:numPr>
        <w:rPr>
          <w:color w:val="auto"/>
        </w:rPr>
      </w:pPr>
      <w:r w:rsidRPr="002C6136">
        <w:rPr>
          <w:color w:val="auto"/>
        </w:rPr>
        <w:t>included the provision of using the COBs-based process.</w:t>
      </w:r>
    </w:p>
    <w:p w14:paraId="3B5A9321" w14:textId="77777777" w:rsidR="002C6136" w:rsidRPr="002C6136" w:rsidRDefault="002C6136" w:rsidP="002C6136">
      <w:pPr>
        <w:pStyle w:val="ListBullet2"/>
        <w:rPr>
          <w:color w:val="auto"/>
        </w:rPr>
      </w:pPr>
      <w:r w:rsidRPr="002C6136">
        <w:rPr>
          <w:color w:val="auto"/>
        </w:rPr>
        <w:t xml:space="preserve">SPF test results for listed therapeutic sunscreens: </w:t>
      </w:r>
    </w:p>
    <w:p w14:paraId="0F5F66EC" w14:textId="1A90AD71" w:rsidR="002C6136" w:rsidRPr="002C6136" w:rsidRDefault="002C6136" w:rsidP="0073748E">
      <w:pPr>
        <w:pStyle w:val="ListBullet2"/>
        <w:numPr>
          <w:ilvl w:val="2"/>
          <w:numId w:val="3"/>
        </w:numPr>
        <w:rPr>
          <w:color w:val="auto"/>
        </w:rPr>
      </w:pPr>
      <w:r w:rsidRPr="002C6136">
        <w:rPr>
          <w:color w:val="auto"/>
        </w:rPr>
        <w:t>Removed details of SPF testing and updated to follow the ISO testing methods.</w:t>
      </w:r>
    </w:p>
    <w:p w14:paraId="59FC1312" w14:textId="77777777" w:rsidR="002C6136" w:rsidRDefault="002C6136" w:rsidP="007B38C6">
      <w:pPr>
        <w:pStyle w:val="ListBullet"/>
      </w:pPr>
      <w:r>
        <w:t>Editorial and minor changes to overall text to remove repetitive information.</w:t>
      </w:r>
    </w:p>
    <w:p w14:paraId="3674813E" w14:textId="77777777" w:rsidR="002C6136" w:rsidRDefault="002C6136" w:rsidP="007B38C6">
      <w:pPr>
        <w:pStyle w:val="ListBullet"/>
      </w:pPr>
      <w:r>
        <w:t>Updated links to current documents.</w:t>
      </w:r>
    </w:p>
    <w:p w14:paraId="2E8EE9FC" w14:textId="77777777" w:rsidR="002C6136" w:rsidRDefault="002C6136" w:rsidP="007B38C6">
      <w:pPr>
        <w:pStyle w:val="ListBullet"/>
      </w:pPr>
      <w:r>
        <w:t>Images in Appendix 2 replaced with higher resolution examples.</w:t>
      </w:r>
    </w:p>
    <w:p w14:paraId="3BB346CF" w14:textId="63095561" w:rsidR="002C6136" w:rsidRDefault="002C6136" w:rsidP="007B38C6">
      <w:pPr>
        <w:pStyle w:val="ListBullet"/>
      </w:pPr>
      <w:r>
        <w:t xml:space="preserve">New terms added to the ‘Glossary of terms and </w:t>
      </w:r>
      <w:proofErr w:type="gramStart"/>
      <w:r>
        <w:t>abbreviations’</w:t>
      </w:r>
      <w:proofErr w:type="gramEnd"/>
      <w:r w:rsidR="00844052">
        <w:t>.</w:t>
      </w:r>
    </w:p>
    <w:p w14:paraId="67B03A01" w14:textId="77777777" w:rsidR="002C6136" w:rsidRDefault="002C6136" w:rsidP="007B38C6">
      <w:pPr>
        <w:pStyle w:val="ListBullet"/>
      </w:pPr>
      <w:r>
        <w:t>Updates to Table 7: List of active sunscreen ingredients</w:t>
      </w:r>
    </w:p>
    <w:p w14:paraId="6EAE2B27" w14:textId="77777777" w:rsidR="002C6136" w:rsidRPr="002C6136" w:rsidRDefault="002C6136" w:rsidP="002C6136">
      <w:pPr>
        <w:pStyle w:val="ListBullet2"/>
        <w:rPr>
          <w:color w:val="auto"/>
        </w:rPr>
      </w:pPr>
      <w:r w:rsidRPr="002C6136">
        <w:rPr>
          <w:color w:val="auto"/>
        </w:rPr>
        <w:t>Removed aminobenzoic acid (PABA) to align with removal of ingredient from the Permissible Ingredients Determination.</w:t>
      </w:r>
    </w:p>
    <w:p w14:paraId="2ABA5B80" w14:textId="77777777" w:rsidR="002C6136" w:rsidRPr="002C6136" w:rsidRDefault="002C6136" w:rsidP="002C6136">
      <w:pPr>
        <w:pStyle w:val="ListBullet2"/>
        <w:rPr>
          <w:color w:val="auto"/>
        </w:rPr>
      </w:pPr>
      <w:r w:rsidRPr="002C6136">
        <w:rPr>
          <w:color w:val="auto"/>
        </w:rPr>
        <w:t>Amended a typographical error for the maximum level of use for PEG-25 PABA to 10%.</w:t>
      </w:r>
    </w:p>
    <w:p w14:paraId="5E984AE1" w14:textId="53C36DEC" w:rsidR="002C6136" w:rsidRPr="00C70679" w:rsidRDefault="00844052" w:rsidP="00C70679">
      <w:pPr>
        <w:rPr>
          <w:b/>
          <w:bCs/>
        </w:rPr>
      </w:pPr>
      <w:r w:rsidRPr="00C70679">
        <w:rPr>
          <w:b/>
          <w:bCs/>
        </w:rPr>
        <w:t>July 2021</w:t>
      </w:r>
    </w:p>
    <w:p w14:paraId="22B0B8AB" w14:textId="77777777" w:rsidR="00844052" w:rsidRPr="00844052" w:rsidRDefault="00844052" w:rsidP="007B38C6">
      <w:pPr>
        <w:pStyle w:val="ListBullet"/>
      </w:pPr>
      <w:r w:rsidRPr="00844052">
        <w:t>Restructured into Parts A and Part B.</w:t>
      </w:r>
    </w:p>
    <w:p w14:paraId="70A946B8" w14:textId="77777777" w:rsidR="00844052" w:rsidRPr="00844052" w:rsidRDefault="00844052" w:rsidP="007B38C6">
      <w:pPr>
        <w:pStyle w:val="ListBullet"/>
      </w:pPr>
      <w:r w:rsidRPr="00844052">
        <w:t>Removed Australian Sunscreen Standard specific reference and outdated information.</w:t>
      </w:r>
    </w:p>
    <w:p w14:paraId="290AEF71" w14:textId="77777777" w:rsidR="00844052" w:rsidRPr="00844052" w:rsidRDefault="00844052" w:rsidP="007B38C6">
      <w:pPr>
        <w:pStyle w:val="ListBullet"/>
      </w:pPr>
      <w:r w:rsidRPr="00844052">
        <w:t>New table with Sunscreen SPF categories. Clarification of sunscreen regulatory categories. New information on indications permitted for use in listed medicines.</w:t>
      </w:r>
    </w:p>
    <w:p w14:paraId="56372878" w14:textId="77777777" w:rsidR="00844052" w:rsidRDefault="00844052" w:rsidP="007B38C6">
      <w:pPr>
        <w:pStyle w:val="ListBullet"/>
      </w:pPr>
      <w:r w:rsidRPr="00844052">
        <w:t xml:space="preserve">New subsection on adverse reactions. </w:t>
      </w:r>
    </w:p>
    <w:p w14:paraId="2390796D" w14:textId="1F4286B9" w:rsidR="00844052" w:rsidRPr="00844052" w:rsidRDefault="00844052" w:rsidP="007B38C6">
      <w:pPr>
        <w:pStyle w:val="ListBullet"/>
      </w:pPr>
      <w:r w:rsidRPr="00844052">
        <w:t>Removed Bibliography and instead provided hyperlinks in document.</w:t>
      </w:r>
    </w:p>
    <w:p w14:paraId="788F06FD" w14:textId="77777777" w:rsidR="00844052" w:rsidRPr="00844052" w:rsidRDefault="00844052" w:rsidP="007B38C6">
      <w:pPr>
        <w:pStyle w:val="ListBullet"/>
      </w:pPr>
      <w:r w:rsidRPr="00844052">
        <w:t>Updated Glossary.</w:t>
      </w:r>
    </w:p>
    <w:p w14:paraId="4DB20B45" w14:textId="77777777" w:rsidR="00844052" w:rsidRDefault="00844052" w:rsidP="007B38C6">
      <w:pPr>
        <w:pStyle w:val="ListBullet"/>
      </w:pPr>
      <w:r w:rsidRPr="00844052">
        <w:t xml:space="preserve">New information on EMA guidelines. </w:t>
      </w:r>
    </w:p>
    <w:p w14:paraId="220C0130" w14:textId="1D1870F4" w:rsidR="00844052" w:rsidRPr="00844052" w:rsidRDefault="00844052" w:rsidP="007B38C6">
      <w:pPr>
        <w:pStyle w:val="ListBullet"/>
      </w:pPr>
      <w:r w:rsidRPr="00844052">
        <w:t>Changed NICNAS to AICIS.</w:t>
      </w:r>
    </w:p>
    <w:p w14:paraId="0B272EA6" w14:textId="77777777" w:rsidR="00844052" w:rsidRDefault="00844052" w:rsidP="007B38C6">
      <w:pPr>
        <w:pStyle w:val="ListBullet"/>
      </w:pPr>
      <w:r w:rsidRPr="00844052">
        <w:t xml:space="preserve">New subsection on alternative test methods. </w:t>
      </w:r>
    </w:p>
    <w:p w14:paraId="419649DB" w14:textId="42672C9C" w:rsidR="00844052" w:rsidRPr="00844052" w:rsidRDefault="00844052" w:rsidP="007B38C6">
      <w:pPr>
        <w:pStyle w:val="ListBullet"/>
      </w:pPr>
      <w:r w:rsidRPr="00844052">
        <w:lastRenderedPageBreak/>
        <w:t>Removed reference to RASML.</w:t>
      </w:r>
    </w:p>
    <w:p w14:paraId="3D9C31F9" w14:textId="77777777" w:rsidR="00844052" w:rsidRPr="00844052" w:rsidRDefault="00844052" w:rsidP="007B38C6">
      <w:pPr>
        <w:pStyle w:val="ListBullet"/>
      </w:pPr>
      <w:r w:rsidRPr="00844052">
        <w:t>New information on searching the ingredient database.</w:t>
      </w:r>
    </w:p>
    <w:p w14:paraId="0AB8A237" w14:textId="77777777" w:rsidR="00844052" w:rsidRDefault="00844052" w:rsidP="007B38C6">
      <w:pPr>
        <w:pStyle w:val="ListBullet"/>
      </w:pPr>
      <w:r w:rsidRPr="00844052">
        <w:t xml:space="preserve">Reinstated the table of active ingredients. </w:t>
      </w:r>
    </w:p>
    <w:p w14:paraId="5DCB7784" w14:textId="77777777" w:rsidR="00844052" w:rsidRDefault="00844052" w:rsidP="007B38C6">
      <w:pPr>
        <w:pStyle w:val="ListBullet"/>
      </w:pPr>
      <w:r w:rsidRPr="00844052">
        <w:t xml:space="preserve">Updated links to legislation and guidelines: e.g. Therapeutic Goods Orders; Advertising Code; Excluded Goods Determination, ELF user guide. </w:t>
      </w:r>
    </w:p>
    <w:p w14:paraId="2C35E803" w14:textId="4E4C3CF6" w:rsidR="00844052" w:rsidRPr="00844052" w:rsidRDefault="00844052" w:rsidP="007B38C6">
      <w:pPr>
        <w:pStyle w:val="ListBullet"/>
      </w:pPr>
      <w:r w:rsidRPr="00844052">
        <w:t>Removed reference to the Cosmetics Standards and the NICNAS Cosmetic Guidelines.</w:t>
      </w:r>
    </w:p>
    <w:p w14:paraId="015E71DB" w14:textId="518DF84B" w:rsidR="00844052" w:rsidRDefault="00844052" w:rsidP="007B38C6">
      <w:pPr>
        <w:pStyle w:val="ListBullet"/>
      </w:pPr>
      <w:r w:rsidRPr="00844052">
        <w:t xml:space="preserve">Included links to the </w:t>
      </w:r>
      <w:r w:rsidRPr="00844052">
        <w:rPr>
          <w:i/>
          <w:iCs/>
        </w:rPr>
        <w:t>Industrial Chemicals Act 2019</w:t>
      </w:r>
      <w:r w:rsidRPr="00844052">
        <w:t xml:space="preserve"> and the Consumer Goods (Cosmetics)</w:t>
      </w:r>
      <w:r>
        <w:t xml:space="preserve"> </w:t>
      </w:r>
      <w:r w:rsidRPr="00844052">
        <w:t>Information Standard 2020.</w:t>
      </w:r>
    </w:p>
    <w:p w14:paraId="69D52D9D" w14:textId="04D2C27C" w:rsidR="00844052" w:rsidRPr="00C70679" w:rsidRDefault="00844052" w:rsidP="00C70679">
      <w:pPr>
        <w:rPr>
          <w:b/>
          <w:bCs/>
        </w:rPr>
      </w:pPr>
      <w:r w:rsidRPr="00C70679">
        <w:rPr>
          <w:b/>
          <w:bCs/>
        </w:rPr>
        <w:t>August 2019</w:t>
      </w:r>
    </w:p>
    <w:p w14:paraId="3B0A9E8B" w14:textId="2BAB3B29" w:rsidR="00844052" w:rsidRDefault="00844052" w:rsidP="007B38C6">
      <w:pPr>
        <w:pStyle w:val="ListBullet"/>
      </w:pPr>
      <w:r>
        <w:t xml:space="preserve">Updated </w:t>
      </w:r>
      <w:r w:rsidRPr="00E308CF">
        <w:t>to remove Table 3 – Permitted active</w:t>
      </w:r>
      <w:r w:rsidRPr="00E308CF">
        <w:rPr>
          <w:spacing w:val="-46"/>
        </w:rPr>
        <w:t xml:space="preserve"> </w:t>
      </w:r>
      <w:r w:rsidRPr="00E308CF">
        <w:t>ingredients for therapeutic sunscreens and</w:t>
      </w:r>
      <w:r w:rsidRPr="00E308CF">
        <w:rPr>
          <w:spacing w:val="1"/>
        </w:rPr>
        <w:t xml:space="preserve"> </w:t>
      </w:r>
      <w:r w:rsidRPr="00E308CF">
        <w:t>replace with links to the Therapeutic Goods</w:t>
      </w:r>
      <w:r w:rsidRPr="00E308CF">
        <w:rPr>
          <w:spacing w:val="1"/>
        </w:rPr>
        <w:t xml:space="preserve"> </w:t>
      </w:r>
      <w:r w:rsidRPr="00E308CF">
        <w:t>(Permissible</w:t>
      </w:r>
      <w:r w:rsidRPr="00E308CF">
        <w:rPr>
          <w:spacing w:val="-2"/>
        </w:rPr>
        <w:t xml:space="preserve"> </w:t>
      </w:r>
      <w:r w:rsidRPr="00E308CF">
        <w:t>Ingredients)</w:t>
      </w:r>
      <w:r w:rsidRPr="00E308CF">
        <w:rPr>
          <w:spacing w:val="-4"/>
        </w:rPr>
        <w:t xml:space="preserve"> </w:t>
      </w:r>
      <w:r w:rsidRPr="00E308CF">
        <w:t>Determination</w:t>
      </w:r>
      <w:r>
        <w:t>,</w:t>
      </w:r>
    </w:p>
    <w:p w14:paraId="021A3AD8" w14:textId="2BE408CD" w:rsidR="00844052" w:rsidRPr="00C70679" w:rsidRDefault="00844052" w:rsidP="00C70679">
      <w:pPr>
        <w:rPr>
          <w:b/>
          <w:bCs/>
        </w:rPr>
      </w:pPr>
      <w:r w:rsidRPr="00C70679">
        <w:rPr>
          <w:b/>
          <w:bCs/>
        </w:rPr>
        <w:t>January 2016</w:t>
      </w:r>
    </w:p>
    <w:p w14:paraId="1701538F" w14:textId="77777777" w:rsidR="00844052" w:rsidRDefault="00844052" w:rsidP="007B38C6">
      <w:pPr>
        <w:pStyle w:val="ListBullet"/>
      </w:pPr>
      <w:r>
        <w:t>Updated to reflect the changes to the Therapeutic Goods Regulations 1990 by removing references to sunscreens with a claimed SPF of &lt;4 that contain certain human or animal derived ingredients.</w:t>
      </w:r>
    </w:p>
    <w:p w14:paraId="28EF6234" w14:textId="77777777" w:rsidR="00844052" w:rsidRDefault="00844052" w:rsidP="007B38C6">
      <w:pPr>
        <w:pStyle w:val="ListBullet"/>
      </w:pPr>
      <w:r>
        <w:t>Updated the relevant sections by including reference to the recently made Therapeutic Goods (Permissible Ingredients) Determination No.1 of 2015.</w:t>
      </w:r>
    </w:p>
    <w:p w14:paraId="362707CB" w14:textId="1545A3D7" w:rsidR="00844052" w:rsidRDefault="00844052" w:rsidP="007B38C6">
      <w:pPr>
        <w:pStyle w:val="ListBullet"/>
      </w:pPr>
      <w:r>
        <w:t>Updated the table listing the permitted active ingredients by adding the newly approved sunscreen active Tris-biphenyl triazine.</w:t>
      </w:r>
    </w:p>
    <w:p w14:paraId="4B0359AC" w14:textId="353F2007" w:rsidR="00844052" w:rsidRPr="00C70679" w:rsidRDefault="00844052" w:rsidP="00C70679">
      <w:pPr>
        <w:rPr>
          <w:b/>
          <w:bCs/>
        </w:rPr>
      </w:pPr>
      <w:r w:rsidRPr="00C70679">
        <w:rPr>
          <w:b/>
          <w:bCs/>
        </w:rPr>
        <w:t>October 2012</w:t>
      </w:r>
    </w:p>
    <w:p w14:paraId="77111C34" w14:textId="4795CDEA" w:rsidR="1E875990" w:rsidRDefault="00844052" w:rsidP="0073748E">
      <w:pPr>
        <w:pStyle w:val="ListBullet"/>
      </w:pPr>
      <w:r>
        <w:t>Original publication.</w:t>
      </w:r>
    </w:p>
    <w:p w14:paraId="59FA0229" w14:textId="77777777" w:rsidR="00A92A31" w:rsidRDefault="00A92A31" w:rsidP="00A92A31">
      <w:pPr>
        <w:pStyle w:val="ListBullet"/>
        <w:numPr>
          <w:ilvl w:val="0"/>
          <w:numId w:val="0"/>
        </w:numPr>
        <w:ind w:left="360" w:hanging="360"/>
      </w:pPr>
    </w:p>
    <w:p w14:paraId="6FD9FF38" w14:textId="77777777" w:rsidR="00A92A31" w:rsidRDefault="00A92A31" w:rsidP="00A92A31">
      <w:pPr>
        <w:pStyle w:val="Heading2"/>
      </w:pPr>
      <w:bookmarkStart w:id="165" w:name="_Toc204751349"/>
      <w:r>
        <w:t>Related</w:t>
      </w:r>
      <w:r w:rsidRPr="3B6C239D">
        <w:t xml:space="preserve"> </w:t>
      </w:r>
      <w:r>
        <w:t>links</w:t>
      </w:r>
      <w:bookmarkEnd w:id="165"/>
    </w:p>
    <w:p w14:paraId="1920FC29" w14:textId="77777777" w:rsidR="00A92A31" w:rsidRDefault="00A92A31" w:rsidP="00A92A31">
      <w:pPr>
        <w:pStyle w:val="ListParagraph"/>
        <w:numPr>
          <w:ilvl w:val="0"/>
          <w:numId w:val="1"/>
        </w:numPr>
      </w:pPr>
      <w:hyperlink r:id="rId111" w:history="1">
        <w:r w:rsidRPr="00F66CDF">
          <w:rPr>
            <w:rStyle w:val="Hyperlink"/>
          </w:rPr>
          <w:t>How sunscreens are regulated in Australia to be effective and safe | Therapeutic Goods Administration (TGA)</w:t>
        </w:r>
      </w:hyperlink>
    </w:p>
    <w:p w14:paraId="21766B44" w14:textId="77777777" w:rsidR="00A92A31" w:rsidRDefault="00A92A31" w:rsidP="00A92A31">
      <w:pPr>
        <w:pStyle w:val="ListParagraph"/>
        <w:numPr>
          <w:ilvl w:val="0"/>
          <w:numId w:val="1"/>
        </w:numPr>
      </w:pPr>
      <w:hyperlink r:id="rId112" w:history="1">
        <w:r w:rsidRPr="00CD221A">
          <w:rPr>
            <w:rStyle w:val="Hyperlink"/>
          </w:rPr>
          <w:t>Dossier requirements for non-prescription medicines | Therapeutic Goods Administration (TGA)</w:t>
        </w:r>
      </w:hyperlink>
    </w:p>
    <w:p w14:paraId="56FDD649" w14:textId="77777777" w:rsidR="00A92A31" w:rsidRDefault="00A92A31" w:rsidP="00A92A31">
      <w:pPr>
        <w:pStyle w:val="ListParagraph"/>
        <w:numPr>
          <w:ilvl w:val="0"/>
          <w:numId w:val="1"/>
        </w:numPr>
      </w:pPr>
      <w:hyperlink r:id="rId113" w:history="1">
        <w:r w:rsidRPr="00CD221A">
          <w:rPr>
            <w:rStyle w:val="Hyperlink"/>
          </w:rPr>
          <w:t>Understand the non-prescription medicine pathways | Therapeutic Goods Administration (TGA)</w:t>
        </w:r>
      </w:hyperlink>
    </w:p>
    <w:p w14:paraId="63128C67" w14:textId="77777777" w:rsidR="00A92A31" w:rsidRDefault="00A92A31" w:rsidP="00A92A31">
      <w:pPr>
        <w:pStyle w:val="ListParagraph"/>
        <w:numPr>
          <w:ilvl w:val="0"/>
          <w:numId w:val="1"/>
        </w:numPr>
      </w:pPr>
      <w:hyperlink r:id="rId114" w:history="1">
        <w:r w:rsidRPr="00CD221A">
          <w:rPr>
            <w:rStyle w:val="Hyperlink"/>
          </w:rPr>
          <w:t>Sunscreens - ensuring products are effective and safe for the 2021-22 summer | Therapeutic Goods Administration (TGA)</w:t>
        </w:r>
      </w:hyperlink>
    </w:p>
    <w:p w14:paraId="59A13C1C" w14:textId="77777777" w:rsidR="00A92A31" w:rsidRDefault="00A92A31" w:rsidP="00A92A31">
      <w:pPr>
        <w:pStyle w:val="ListParagraph"/>
        <w:numPr>
          <w:ilvl w:val="0"/>
          <w:numId w:val="1"/>
        </w:numPr>
      </w:pPr>
      <w:hyperlink r:id="rId115" w:history="1">
        <w:r w:rsidRPr="00CD221A">
          <w:rPr>
            <w:rStyle w:val="Hyperlink"/>
          </w:rPr>
          <w:t>What do I require to have a listed medicine in the ARTG? | Therapeutic Goods Administration (TGA)</w:t>
        </w:r>
      </w:hyperlink>
    </w:p>
    <w:p w14:paraId="198BDF35" w14:textId="77777777" w:rsidR="00A92A31" w:rsidRDefault="00A92A31" w:rsidP="00A92A31">
      <w:pPr>
        <w:pStyle w:val="ListParagraph"/>
        <w:numPr>
          <w:ilvl w:val="0"/>
          <w:numId w:val="1"/>
        </w:numPr>
      </w:pPr>
      <w:hyperlink r:id="rId116" w:history="1">
        <w:r w:rsidRPr="00CD221A">
          <w:rPr>
            <w:rStyle w:val="Hyperlink"/>
          </w:rPr>
          <w:t>TGA publishes updated guidelines for sunscreens | Therapeutic Goods Administration (TGA)</w:t>
        </w:r>
      </w:hyperlink>
    </w:p>
    <w:p w14:paraId="25FEB059" w14:textId="77777777" w:rsidR="00A92A31" w:rsidRDefault="00A92A31" w:rsidP="00A92A31"/>
    <w:p w14:paraId="22C2FE1B" w14:textId="77777777" w:rsidR="004C24C3" w:rsidRDefault="004C24C3" w:rsidP="004C24C3">
      <w:pPr>
        <w:rPr>
          <w:rFonts w:eastAsia="Cambria"/>
          <w:kern w:val="0"/>
          <w:szCs w:val="20"/>
          <w14:ligatures w14:val="none"/>
        </w:rPr>
        <w:sectPr w:rsidR="004C24C3" w:rsidSect="007E7638">
          <w:headerReference w:type="default" r:id="rId117"/>
          <w:footerReference w:type="default" r:id="rId118"/>
          <w:headerReference w:type="first" r:id="rId119"/>
          <w:footerReference w:type="first" r:id="rId120"/>
          <w:pgSz w:w="11906" w:h="16838"/>
          <w:pgMar w:top="1440" w:right="1440" w:bottom="1440" w:left="1440" w:header="708" w:footer="708" w:gutter="0"/>
          <w:cols w:space="708"/>
          <w:titlePg/>
          <w:docGrid w:linePitch="360"/>
        </w:sectPr>
      </w:pPr>
    </w:p>
    <w:p w14:paraId="4399CABC" w14:textId="1ED31F80" w:rsidR="008711DC" w:rsidRDefault="008711DC" w:rsidP="004C24C3">
      <w:pPr>
        <w:rPr>
          <w:rFonts w:eastAsia="Cambria"/>
          <w:kern w:val="0"/>
          <w:szCs w:val="20"/>
          <w14:ligatures w14:val="none"/>
        </w:rPr>
        <w:sectPr w:rsidR="008711DC" w:rsidSect="004C24C3">
          <w:headerReference w:type="default" r:id="rId121"/>
          <w:footerReference w:type="default" r:id="rId122"/>
          <w:type w:val="continuous"/>
          <w:pgSz w:w="11906" w:h="16838"/>
          <w:pgMar w:top="1440" w:right="1440" w:bottom="1440" w:left="1440" w:header="708" w:footer="708" w:gutter="0"/>
          <w:cols w:space="708"/>
          <w:titlePg/>
          <w:docGrid w:linePitch="360"/>
        </w:sectPr>
      </w:pPr>
      <w:r>
        <w:rPr>
          <w:rFonts w:eastAsia="Cambria"/>
          <w:kern w:val="0"/>
          <w:szCs w:val="20"/>
          <w14:ligatures w14:val="none"/>
        </w:rPr>
        <w:br w:type="page"/>
      </w:r>
    </w:p>
    <w:p w14:paraId="05FD9746" w14:textId="77777777" w:rsidR="00A92A31" w:rsidRPr="004C24C3" w:rsidRDefault="00A92A31" w:rsidP="003A5F7E">
      <w:pPr>
        <w:rPr>
          <w:rFonts w:eastAsia="Cambria"/>
          <w:kern w:val="0"/>
          <w:szCs w:val="20"/>
          <w14:ligatures w14:val="none"/>
        </w:rPr>
      </w:pPr>
    </w:p>
    <w:sectPr w:rsidR="00A92A31" w:rsidRPr="004C24C3" w:rsidSect="008711DC">
      <w:headerReference w:type="first" r:id="rId123"/>
      <w:footerReference w:type="first" r:id="rId1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085D6" w14:textId="77777777" w:rsidR="00A22236" w:rsidRDefault="00A22236" w:rsidP="00655441">
      <w:r>
        <w:separator/>
      </w:r>
    </w:p>
  </w:endnote>
  <w:endnote w:type="continuationSeparator" w:id="0">
    <w:p w14:paraId="5FB35874" w14:textId="77777777" w:rsidR="00A22236" w:rsidRDefault="00A22236" w:rsidP="0065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E51ED4" w:rsidRPr="00B24112" w14:paraId="3E0308B0" w14:textId="77777777" w:rsidTr="00393D30">
      <w:trPr>
        <w:trHeight w:val="423"/>
      </w:trPr>
      <w:tc>
        <w:tcPr>
          <w:tcW w:w="7338" w:type="dxa"/>
          <w:tcBorders>
            <w:top w:val="single" w:sz="4" w:space="0" w:color="auto"/>
          </w:tcBorders>
        </w:tcPr>
        <w:p w14:paraId="5A120A6B" w14:textId="5732B186" w:rsidR="00E51ED4" w:rsidRPr="00983F7C" w:rsidRDefault="00E51ED4" w:rsidP="00E51ED4">
          <w:pPr>
            <w:pStyle w:val="Footer"/>
            <w:rPr>
              <w:sz w:val="20"/>
              <w:szCs w:val="20"/>
            </w:rPr>
          </w:pPr>
          <w:r w:rsidRPr="00983F7C">
            <w:rPr>
              <w:sz w:val="20"/>
              <w:szCs w:val="20"/>
            </w:rPr>
            <w:t xml:space="preserve">Understanding the </w:t>
          </w:r>
          <w:r w:rsidR="00A72D03">
            <w:rPr>
              <w:sz w:val="20"/>
              <w:szCs w:val="20"/>
            </w:rPr>
            <w:t>r</w:t>
          </w:r>
          <w:r w:rsidRPr="00983F7C">
            <w:rPr>
              <w:sz w:val="20"/>
              <w:szCs w:val="20"/>
            </w:rPr>
            <w:t xml:space="preserve">egulation of </w:t>
          </w:r>
          <w:r w:rsidR="00A72D03">
            <w:rPr>
              <w:sz w:val="20"/>
              <w:szCs w:val="20"/>
            </w:rPr>
            <w:t>t</w:t>
          </w:r>
          <w:r w:rsidRPr="00983F7C">
            <w:rPr>
              <w:sz w:val="20"/>
              <w:szCs w:val="20"/>
            </w:rPr>
            <w:t xml:space="preserve">herapeutic </w:t>
          </w:r>
          <w:r w:rsidR="00A72D03">
            <w:rPr>
              <w:sz w:val="20"/>
              <w:szCs w:val="20"/>
            </w:rPr>
            <w:t>s</w:t>
          </w:r>
          <w:r w:rsidRPr="00983F7C">
            <w:rPr>
              <w:sz w:val="20"/>
              <w:szCs w:val="20"/>
            </w:rPr>
            <w:t>unscreens</w:t>
          </w:r>
          <w:r w:rsidR="00983F7C">
            <w:rPr>
              <w:sz w:val="20"/>
              <w:szCs w:val="20"/>
            </w:rPr>
            <w:t xml:space="preserve"> </w:t>
          </w:r>
          <w:r w:rsidR="00F9278E">
            <w:rPr>
              <w:sz w:val="20"/>
              <w:szCs w:val="20"/>
            </w:rPr>
            <w:br/>
          </w:r>
          <w:r w:rsidR="005217B3">
            <w:rPr>
              <w:sz w:val="20"/>
              <w:szCs w:val="20"/>
            </w:rPr>
            <w:t>Version 4.</w:t>
          </w:r>
          <w:r w:rsidR="00C47EC5">
            <w:rPr>
              <w:sz w:val="20"/>
              <w:szCs w:val="20"/>
            </w:rPr>
            <w:t>0,</w:t>
          </w:r>
          <w:r w:rsidR="005217B3">
            <w:rPr>
              <w:sz w:val="20"/>
              <w:szCs w:val="20"/>
            </w:rPr>
            <w:t xml:space="preserve"> </w:t>
          </w:r>
          <w:r w:rsidR="00F9278E">
            <w:rPr>
              <w:sz w:val="20"/>
              <w:szCs w:val="20"/>
            </w:rPr>
            <w:t>Au</w:t>
          </w:r>
          <w:r w:rsidR="009F6125" w:rsidRPr="00983F7C">
            <w:rPr>
              <w:sz w:val="20"/>
              <w:szCs w:val="20"/>
            </w:rPr>
            <w:t>gust</w:t>
          </w:r>
          <w:r w:rsidRPr="00983F7C">
            <w:rPr>
              <w:sz w:val="20"/>
              <w:szCs w:val="20"/>
            </w:rPr>
            <w:t xml:space="preserve"> 2025</w:t>
          </w:r>
        </w:p>
      </w:tc>
      <w:tc>
        <w:tcPr>
          <w:tcW w:w="1734" w:type="dxa"/>
          <w:tcBorders>
            <w:top w:val="single" w:sz="4" w:space="0" w:color="auto"/>
          </w:tcBorders>
        </w:tcPr>
        <w:sdt>
          <w:sdtPr>
            <w:rPr>
              <w:sz w:val="22"/>
              <w:szCs w:val="22"/>
            </w:rPr>
            <w:id w:val="11571659"/>
            <w:docPartObj>
              <w:docPartGallery w:val="Page Numbers (Top of Page)"/>
              <w:docPartUnique/>
            </w:docPartObj>
          </w:sdtPr>
          <w:sdtEndPr/>
          <w:sdtContent>
            <w:p w14:paraId="01268683" w14:textId="77777777" w:rsidR="00E51ED4" w:rsidRPr="00B24112" w:rsidRDefault="00E51ED4" w:rsidP="00E51ED4">
              <w:pPr>
                <w:pStyle w:val="Footer"/>
                <w:jc w:val="right"/>
                <w:rPr>
                  <w:sz w:val="22"/>
                  <w:szCs w:val="22"/>
                </w:rPr>
              </w:pPr>
              <w:r w:rsidRPr="00B24112">
                <w:rPr>
                  <w:sz w:val="22"/>
                  <w:szCs w:val="22"/>
                </w:rPr>
                <w:t xml:space="preserve">Page </w:t>
              </w:r>
              <w:r w:rsidRPr="00B24112">
                <w:rPr>
                  <w:sz w:val="22"/>
                  <w:szCs w:val="22"/>
                </w:rPr>
                <w:fldChar w:fldCharType="begin"/>
              </w:r>
              <w:r w:rsidRPr="00B24112">
                <w:rPr>
                  <w:sz w:val="22"/>
                  <w:szCs w:val="22"/>
                </w:rPr>
                <w:instrText xml:space="preserve"> PAGE </w:instrText>
              </w:r>
              <w:r w:rsidRPr="00B24112">
                <w:rPr>
                  <w:sz w:val="22"/>
                  <w:szCs w:val="22"/>
                </w:rPr>
                <w:fldChar w:fldCharType="separate"/>
              </w:r>
              <w:r w:rsidRPr="00B24112">
                <w:rPr>
                  <w:sz w:val="22"/>
                  <w:szCs w:val="22"/>
                </w:rPr>
                <w:t>32</w:t>
              </w:r>
              <w:r w:rsidRPr="00B24112">
                <w:rPr>
                  <w:noProof/>
                  <w:sz w:val="22"/>
                  <w:szCs w:val="22"/>
                </w:rPr>
                <w:fldChar w:fldCharType="end"/>
              </w:r>
              <w:r w:rsidRPr="00B24112">
                <w:rPr>
                  <w:sz w:val="22"/>
                  <w:szCs w:val="22"/>
                </w:rPr>
                <w:t xml:space="preserve"> of </w:t>
              </w:r>
              <w:r w:rsidRPr="00B24112">
                <w:rPr>
                  <w:sz w:val="22"/>
                  <w:szCs w:val="22"/>
                </w:rPr>
                <w:fldChar w:fldCharType="begin"/>
              </w:r>
              <w:r w:rsidRPr="00B24112">
                <w:rPr>
                  <w:sz w:val="22"/>
                  <w:szCs w:val="22"/>
                </w:rPr>
                <w:instrText xml:space="preserve"> NUMPAGES  </w:instrText>
              </w:r>
              <w:r w:rsidRPr="00B24112">
                <w:rPr>
                  <w:sz w:val="22"/>
                  <w:szCs w:val="22"/>
                </w:rPr>
                <w:fldChar w:fldCharType="separate"/>
              </w:r>
              <w:r w:rsidRPr="00B24112">
                <w:rPr>
                  <w:sz w:val="22"/>
                  <w:szCs w:val="22"/>
                </w:rPr>
                <w:t>49</w:t>
              </w:r>
              <w:r w:rsidRPr="00B24112">
                <w:rPr>
                  <w:noProof/>
                  <w:sz w:val="22"/>
                  <w:szCs w:val="22"/>
                </w:rPr>
                <w:fldChar w:fldCharType="end"/>
              </w:r>
            </w:p>
          </w:sdtContent>
        </w:sdt>
      </w:tc>
    </w:tr>
  </w:tbl>
  <w:p w14:paraId="4B589027" w14:textId="07386C6F" w:rsidR="3B6C239D" w:rsidRDefault="3B6C239D" w:rsidP="00A72D03">
    <w:pPr>
      <w:pStyle w:val="Footer"/>
      <w:tabs>
        <w:tab w:val="clear" w:pos="4680"/>
        <w:tab w:val="clear" w:pos="9360"/>
        <w:tab w:val="left" w:pos="507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9002" w14:textId="611EE57E" w:rsidR="00070D51" w:rsidRDefault="003417D1">
    <w:pPr>
      <w:pStyle w:val="Footer"/>
    </w:pPr>
    <w:r>
      <w:rPr>
        <w:rFonts w:eastAsiaTheme="minorHAnsi" w:cstheme="minorBidi"/>
        <w:noProof/>
        <w:sz w:val="20"/>
      </w:rPr>
      <w:drawing>
        <wp:anchor distT="0" distB="0" distL="114300" distR="114300" simplePos="0" relativeHeight="251638272" behindDoc="1" locked="0" layoutInCell="1" allowOverlap="1" wp14:anchorId="79570F4D" wp14:editId="2961BD63">
          <wp:simplePos x="0" y="0"/>
          <wp:positionH relativeFrom="page">
            <wp:align>left</wp:align>
          </wp:positionH>
          <wp:positionV relativeFrom="paragraph">
            <wp:posOffset>-3952875</wp:posOffset>
          </wp:positionV>
          <wp:extent cx="7567200" cy="5076000"/>
          <wp:effectExtent l="0" t="0" r="0" b="0"/>
          <wp:wrapNone/>
          <wp:docPr id="1668793029" name="Picture 16687930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507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tblLayout w:type="fixed"/>
      <w:tblLook w:val="06A0" w:firstRow="1" w:lastRow="0" w:firstColumn="1" w:lastColumn="0" w:noHBand="1" w:noVBand="1"/>
    </w:tblPr>
    <w:tblGrid>
      <w:gridCol w:w="3005"/>
      <w:gridCol w:w="3005"/>
      <w:gridCol w:w="3005"/>
      <w:gridCol w:w="130"/>
    </w:tblGrid>
    <w:tr w:rsidR="008711DC" w14:paraId="73656304" w14:textId="77777777" w:rsidTr="008711DC">
      <w:trPr>
        <w:gridAfter w:val="1"/>
        <w:wAfter w:w="130" w:type="dxa"/>
        <w:trHeight w:val="300"/>
      </w:trPr>
      <w:tc>
        <w:tcPr>
          <w:tcW w:w="3005" w:type="dxa"/>
        </w:tcPr>
        <w:p w14:paraId="744295B6" w14:textId="77777777" w:rsidR="008711DC" w:rsidRDefault="008711DC" w:rsidP="00655441">
          <w:pPr>
            <w:pStyle w:val="Header"/>
          </w:pPr>
        </w:p>
      </w:tc>
      <w:tc>
        <w:tcPr>
          <w:tcW w:w="3005" w:type="dxa"/>
        </w:tcPr>
        <w:p w14:paraId="39764B4C" w14:textId="77777777" w:rsidR="008711DC" w:rsidRDefault="008711DC" w:rsidP="00655441">
          <w:pPr>
            <w:pStyle w:val="Header"/>
          </w:pPr>
        </w:p>
      </w:tc>
      <w:tc>
        <w:tcPr>
          <w:tcW w:w="3005" w:type="dxa"/>
        </w:tcPr>
        <w:p w14:paraId="0A3376E8" w14:textId="77777777" w:rsidR="008711DC" w:rsidRDefault="008711DC" w:rsidP="00655441">
          <w:pPr>
            <w:pStyle w:val="Header"/>
          </w:pPr>
        </w:p>
      </w:tc>
    </w:tr>
    <w:tr w:rsidR="008711DC" w:rsidRPr="008711DC" w14:paraId="0CD14334" w14:textId="77777777" w:rsidTr="008711DC">
      <w:tblPrEx>
        <w:jc w:val="center"/>
        <w:tblCellMar>
          <w:left w:w="0" w:type="dxa"/>
          <w:right w:w="0" w:type="dxa"/>
        </w:tblCellMar>
        <w:tblLook w:val="04A0" w:firstRow="1" w:lastRow="0" w:firstColumn="1" w:lastColumn="0" w:noHBand="0" w:noVBand="1"/>
      </w:tblPrEx>
      <w:trPr>
        <w:trHeight w:hRule="exact" w:val="565"/>
        <w:jc w:val="center"/>
      </w:trPr>
      <w:tc>
        <w:tcPr>
          <w:tcW w:w="9145" w:type="dxa"/>
          <w:gridSpan w:val="4"/>
        </w:tcPr>
        <w:p w14:paraId="6A7104C7" w14:textId="77777777" w:rsidR="008711DC" w:rsidRPr="008711DC" w:rsidRDefault="008711DC" w:rsidP="008711DC">
          <w:pPr>
            <w:spacing w:before="120" w:after="360" w:line="240" w:lineRule="atLeast"/>
            <w:jc w:val="center"/>
            <w:rPr>
              <w:rFonts w:eastAsia="Cambria" w:cs="Times New Roman"/>
              <w:b/>
              <w:color w:val="333F48"/>
              <w:kern w:val="0"/>
              <w:sz w:val="28"/>
              <w:szCs w:val="20"/>
              <w14:ligatures w14:val="none"/>
            </w:rPr>
          </w:pPr>
          <w:bookmarkStart w:id="166" w:name="_Hlk204696080"/>
          <w:bookmarkStart w:id="167" w:name="_Hlk204696081"/>
          <w:bookmarkStart w:id="168" w:name="_Hlk204696082"/>
          <w:bookmarkStart w:id="169" w:name="_Hlk204696083"/>
          <w:r w:rsidRPr="008711DC">
            <w:rPr>
              <w:rFonts w:eastAsia="Cambria" w:cs="Times New Roman"/>
              <w:b/>
              <w:color w:val="333F48"/>
              <w:kern w:val="0"/>
              <w:sz w:val="28"/>
              <w:szCs w:val="20"/>
              <w14:ligatures w14:val="none"/>
            </w:rPr>
            <w:t>Therapeutic Goods Administration</w:t>
          </w:r>
        </w:p>
      </w:tc>
    </w:tr>
    <w:tr w:rsidR="008711DC" w:rsidRPr="008711DC" w14:paraId="1E46F126" w14:textId="77777777" w:rsidTr="008711DC">
      <w:tblPrEx>
        <w:jc w:val="center"/>
        <w:tblCellMar>
          <w:left w:w="0" w:type="dxa"/>
          <w:right w:w="0" w:type="dxa"/>
        </w:tblCellMar>
        <w:tblLook w:val="04A0" w:firstRow="1" w:lastRow="0" w:firstColumn="1" w:lastColumn="0" w:noHBand="0" w:noVBand="1"/>
      </w:tblPrEx>
      <w:trPr>
        <w:trHeight w:val="963"/>
        <w:jc w:val="center"/>
      </w:trPr>
      <w:tc>
        <w:tcPr>
          <w:tcW w:w="9145" w:type="dxa"/>
          <w:gridSpan w:val="4"/>
          <w:tcMar>
            <w:top w:w="28" w:type="dxa"/>
          </w:tcMar>
        </w:tcPr>
        <w:p w14:paraId="530BCD80" w14:textId="77777777" w:rsidR="008711DC" w:rsidRPr="008711DC" w:rsidRDefault="008711DC" w:rsidP="008711DC">
          <w:pPr>
            <w:spacing w:after="0" w:line="240" w:lineRule="auto"/>
            <w:jc w:val="center"/>
            <w:rPr>
              <w:rFonts w:eastAsia="Cambria" w:cs="Times New Roman"/>
              <w:color w:val="333F48"/>
              <w:kern w:val="0"/>
              <w:sz w:val="21"/>
              <w:szCs w:val="20"/>
              <w14:ligatures w14:val="none"/>
            </w:rPr>
          </w:pPr>
          <w:r w:rsidRPr="008711DC">
            <w:rPr>
              <w:rFonts w:eastAsia="Cambria" w:cs="Times New Roman"/>
              <w:color w:val="333F48"/>
              <w:kern w:val="0"/>
              <w:sz w:val="21"/>
              <w:szCs w:val="20"/>
              <w14:ligatures w14:val="none"/>
            </w:rPr>
            <w:t>PO Box 100 Woden ACT 2606 Australia</w:t>
          </w:r>
        </w:p>
        <w:p w14:paraId="06D77667" w14:textId="77777777" w:rsidR="008711DC" w:rsidRPr="008711DC" w:rsidRDefault="008711DC" w:rsidP="008711DC">
          <w:pPr>
            <w:spacing w:after="0" w:line="240" w:lineRule="auto"/>
            <w:jc w:val="center"/>
            <w:rPr>
              <w:rFonts w:eastAsia="Cambria" w:cs="Times New Roman"/>
              <w:color w:val="333F48"/>
              <w:kern w:val="0"/>
              <w:sz w:val="21"/>
              <w:szCs w:val="20"/>
              <w14:ligatures w14:val="none"/>
            </w:rPr>
          </w:pPr>
          <w:r w:rsidRPr="008711DC">
            <w:rPr>
              <w:rFonts w:eastAsia="Cambria" w:cs="Times New Roman"/>
              <w:color w:val="333F48"/>
              <w:kern w:val="0"/>
              <w:sz w:val="21"/>
              <w:szCs w:val="20"/>
              <w14:ligatures w14:val="none"/>
            </w:rPr>
            <w:t xml:space="preserve">Email: </w:t>
          </w:r>
          <w:hyperlink r:id="rId1" w:history="1">
            <w:r w:rsidRPr="008711DC">
              <w:rPr>
                <w:rFonts w:eastAsia="Cambria" w:cs="Times New Roman"/>
                <w:color w:val="0000FF"/>
                <w:kern w:val="0"/>
                <w:sz w:val="21"/>
                <w:szCs w:val="20"/>
                <w:u w:val="single"/>
                <w14:ligatures w14:val="none"/>
              </w:rPr>
              <w:t>info@tga.gov.au</w:t>
            </w:r>
          </w:hyperlink>
          <w:r w:rsidRPr="008711DC">
            <w:rPr>
              <w:rFonts w:eastAsia="Cambria" w:cs="Times New Roman"/>
              <w:color w:val="333F48"/>
              <w:kern w:val="0"/>
              <w:sz w:val="21"/>
              <w:szCs w:val="20"/>
              <w14:ligatures w14:val="none"/>
            </w:rPr>
            <w:t xml:space="preserve">  Phone: 1800 020 653 Fax: 02 6203 1605</w:t>
          </w:r>
        </w:p>
        <w:p w14:paraId="12E60B29" w14:textId="77777777" w:rsidR="008711DC" w:rsidRPr="008711DC" w:rsidRDefault="008711DC" w:rsidP="008711DC">
          <w:pPr>
            <w:spacing w:after="0" w:line="240" w:lineRule="auto"/>
            <w:jc w:val="center"/>
            <w:rPr>
              <w:rFonts w:eastAsia="Cambria" w:cs="Times New Roman"/>
              <w:color w:val="0000FF"/>
              <w:kern w:val="0"/>
              <w:sz w:val="22"/>
              <w:szCs w:val="22"/>
              <w:u w:val="single"/>
              <w14:ligatures w14:val="none"/>
            </w:rPr>
          </w:pPr>
          <w:r w:rsidRPr="008711DC">
            <w:rPr>
              <w:rFonts w:eastAsia="Cambria" w:cs="Times New Roman"/>
              <w:color w:val="333F48"/>
              <w:kern w:val="0"/>
              <w:sz w:val="22"/>
              <w:szCs w:val="22"/>
              <w14:ligatures w14:val="none"/>
            </w:rPr>
            <w:t xml:space="preserve">Web: </w:t>
          </w:r>
          <w:hyperlink r:id="rId2" w:history="1">
            <w:r w:rsidRPr="008711DC">
              <w:rPr>
                <w:rFonts w:eastAsia="Cambria" w:cs="Times New Roman"/>
                <w:color w:val="0000FF"/>
                <w:kern w:val="0"/>
                <w:sz w:val="21"/>
                <w:szCs w:val="20"/>
                <w:u w:val="single"/>
                <w14:ligatures w14:val="none"/>
              </w:rPr>
              <w:t>tga.gov.au</w:t>
            </w:r>
          </w:hyperlink>
        </w:p>
      </w:tc>
    </w:tr>
    <w:tr w:rsidR="008711DC" w:rsidRPr="008711DC" w14:paraId="21F413DB" w14:textId="77777777" w:rsidTr="008711DC">
      <w:tblPrEx>
        <w:jc w:val="center"/>
        <w:tblCellMar>
          <w:left w:w="0" w:type="dxa"/>
          <w:right w:w="0" w:type="dxa"/>
        </w:tblCellMar>
        <w:tblLook w:val="04A0" w:firstRow="1" w:lastRow="0" w:firstColumn="1" w:lastColumn="0" w:noHBand="0" w:noVBand="1"/>
      </w:tblPrEx>
      <w:trPr>
        <w:trHeight w:val="264"/>
        <w:jc w:val="center"/>
      </w:trPr>
      <w:tc>
        <w:tcPr>
          <w:tcW w:w="9145" w:type="dxa"/>
          <w:gridSpan w:val="4"/>
          <w:tcMar>
            <w:top w:w="28" w:type="dxa"/>
          </w:tcMar>
        </w:tcPr>
        <w:p w14:paraId="229DFCB3" w14:textId="4C68F64B" w:rsidR="008711DC" w:rsidRPr="008711DC" w:rsidRDefault="008711DC" w:rsidP="008711DC">
          <w:pPr>
            <w:spacing w:after="0" w:line="240" w:lineRule="auto"/>
            <w:jc w:val="center"/>
            <w:rPr>
              <w:rFonts w:eastAsia="Cambria" w:cs="Times New Roman"/>
              <w:color w:val="333F48"/>
              <w:kern w:val="0"/>
              <w:sz w:val="21"/>
              <w:szCs w:val="20"/>
              <w14:ligatures w14:val="none"/>
            </w:rPr>
          </w:pPr>
          <w:r w:rsidRPr="008711DC">
            <w:rPr>
              <w:rFonts w:eastAsia="Cambria" w:cs="Times New Roman"/>
              <w:color w:val="333F48"/>
              <w:kern w:val="0"/>
              <w:sz w:val="21"/>
              <w:szCs w:val="20"/>
              <w14:ligatures w14:val="none"/>
            </w:rPr>
            <w:t>Reference/Publication</w:t>
          </w:r>
          <w:r w:rsidRPr="008711DC">
            <w:rPr>
              <w:rFonts w:eastAsia="Cambria" w:cs="Times New Roman"/>
              <w:color w:val="333F48"/>
              <w:kern w:val="0"/>
              <w:sz w:val="21"/>
              <w:szCs w:val="21"/>
              <w14:ligatures w14:val="none"/>
            </w:rPr>
            <w:t xml:space="preserve"> </w:t>
          </w:r>
          <w:hyperlink r:id="rId3" w:history="1">
            <w:r w:rsidRPr="008711DC">
              <w:rPr>
                <w:color w:val="0000FF"/>
                <w:sz w:val="21"/>
                <w:szCs w:val="21"/>
                <w:u w:val="single"/>
              </w:rPr>
              <w:t>D25-2087458</w:t>
            </w:r>
          </w:hyperlink>
        </w:p>
      </w:tc>
    </w:tr>
    <w:bookmarkEnd w:id="166"/>
    <w:bookmarkEnd w:id="167"/>
    <w:bookmarkEnd w:id="168"/>
    <w:bookmarkEnd w:id="169"/>
  </w:tbl>
  <w:p w14:paraId="684BB248" w14:textId="77777777" w:rsidR="008711DC" w:rsidRPr="00826007" w:rsidRDefault="008711DC" w:rsidP="008711DC">
    <w:pPr>
      <w:pStyle w:val="Footer"/>
      <w:tabs>
        <w:tab w:val="left" w:pos="7620"/>
        <w:tab w:val="right" w:pos="8504"/>
      </w:tabs>
    </w:pPr>
  </w:p>
  <w:p w14:paraId="3B036440" w14:textId="77777777" w:rsidR="008711DC" w:rsidRDefault="008711DC" w:rsidP="00A72D03">
    <w:pPr>
      <w:pStyle w:val="Footer"/>
      <w:tabs>
        <w:tab w:val="clear" w:pos="4680"/>
        <w:tab w:val="clear" w:pos="9360"/>
        <w:tab w:val="left" w:pos="5077"/>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3A5F7E" w:rsidRPr="00215D48" w14:paraId="26B909D6" w14:textId="77777777" w:rsidTr="007C3E7B">
      <w:trPr>
        <w:trHeight w:hRule="exact" w:val="565"/>
        <w:jc w:val="center"/>
      </w:trPr>
      <w:tc>
        <w:tcPr>
          <w:tcW w:w="9145" w:type="dxa"/>
        </w:tcPr>
        <w:p w14:paraId="0BB7D6D3" w14:textId="77777777" w:rsidR="003A5F7E" w:rsidRPr="00215D48" w:rsidRDefault="003A5F7E" w:rsidP="003A5F7E">
          <w:pPr>
            <w:pStyle w:val="TGASignoff"/>
          </w:pPr>
          <w:r w:rsidRPr="00215D48">
            <w:t>Therapeutic Goods Administration</w:t>
          </w:r>
        </w:p>
      </w:tc>
    </w:tr>
    <w:tr w:rsidR="003A5F7E" w:rsidRPr="00B528AB" w14:paraId="32C115A5" w14:textId="77777777" w:rsidTr="007C3E7B">
      <w:trPr>
        <w:trHeight w:val="963"/>
        <w:jc w:val="center"/>
      </w:trPr>
      <w:tc>
        <w:tcPr>
          <w:tcW w:w="9145" w:type="dxa"/>
          <w:tcMar>
            <w:top w:w="28" w:type="dxa"/>
          </w:tcMar>
        </w:tcPr>
        <w:p w14:paraId="23BB1E87" w14:textId="77777777" w:rsidR="003A5F7E" w:rsidRPr="00215D48" w:rsidRDefault="003A5F7E" w:rsidP="003A5F7E">
          <w:pPr>
            <w:pStyle w:val="Address"/>
            <w:jc w:val="center"/>
          </w:pPr>
          <w:r w:rsidRPr="00215D48">
            <w:t>PO Box 100 Woden ACT 2606 Australia</w:t>
          </w:r>
        </w:p>
        <w:p w14:paraId="5C8ED4F8" w14:textId="77777777" w:rsidR="003A5F7E" w:rsidRDefault="003A5F7E" w:rsidP="003A5F7E">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6E8D0336" w14:textId="77777777" w:rsidR="003A5F7E" w:rsidRPr="00B528AB" w:rsidRDefault="003A5F7E" w:rsidP="003A5F7E">
          <w:pPr>
            <w:pStyle w:val="Address"/>
            <w:jc w:val="center"/>
            <w:rPr>
              <w:rStyle w:val="Hyperlink"/>
              <w:sz w:val="22"/>
              <w:szCs w:val="22"/>
            </w:rPr>
          </w:pPr>
          <w:r>
            <w:rPr>
              <w:sz w:val="22"/>
              <w:szCs w:val="22"/>
            </w:rPr>
            <w:t xml:space="preserve">Web: </w:t>
          </w:r>
          <w:hyperlink r:id="rId2" w:history="1">
            <w:r w:rsidRPr="00B528AB">
              <w:rPr>
                <w:rStyle w:val="Hyperlink"/>
              </w:rPr>
              <w:t>tga.gov.au</w:t>
            </w:r>
          </w:hyperlink>
        </w:p>
      </w:tc>
    </w:tr>
    <w:tr w:rsidR="003A5F7E" w:rsidRPr="00215D48" w14:paraId="1B593E5E" w14:textId="77777777" w:rsidTr="007C3E7B">
      <w:trPr>
        <w:trHeight w:val="264"/>
        <w:jc w:val="center"/>
      </w:trPr>
      <w:tc>
        <w:tcPr>
          <w:tcW w:w="9145" w:type="dxa"/>
          <w:tcMar>
            <w:top w:w="28" w:type="dxa"/>
          </w:tcMar>
        </w:tcPr>
        <w:p w14:paraId="34682B7E" w14:textId="2AA6E2F6" w:rsidR="003A5F7E" w:rsidRPr="00215D48" w:rsidRDefault="003A5F7E" w:rsidP="003A5F7E">
          <w:pPr>
            <w:pStyle w:val="Address"/>
            <w:jc w:val="center"/>
          </w:pPr>
          <w:r w:rsidRPr="00215D48">
            <w:t xml:space="preserve">Reference/Publication </w:t>
          </w:r>
          <w:hyperlink r:id="rId3" w:history="1">
            <w:r w:rsidRPr="003A5F7E">
              <w:rPr>
                <w:rStyle w:val="Hyperlink"/>
              </w:rPr>
              <w:t>D25-2087458</w:t>
            </w:r>
          </w:hyperlink>
        </w:p>
      </w:tc>
    </w:tr>
  </w:tbl>
  <w:p w14:paraId="1B682D7A" w14:textId="4E39E021" w:rsidR="008711DC" w:rsidRPr="008711DC" w:rsidRDefault="008711DC" w:rsidP="003A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954D" w14:textId="77777777" w:rsidR="00A22236" w:rsidRDefault="00A22236" w:rsidP="00655441">
      <w:r>
        <w:separator/>
      </w:r>
    </w:p>
  </w:footnote>
  <w:footnote w:type="continuationSeparator" w:id="0">
    <w:p w14:paraId="608F4E76" w14:textId="77777777" w:rsidR="00A22236" w:rsidRDefault="00A22236" w:rsidP="00655441">
      <w:r>
        <w:continuationSeparator/>
      </w:r>
    </w:p>
  </w:footnote>
  <w:footnote w:id="1">
    <w:p w14:paraId="79ACF99E" w14:textId="77777777" w:rsidR="001A0EE8" w:rsidRPr="004871C2" w:rsidRDefault="001A0EE8" w:rsidP="001A0EE8">
      <w:pPr>
        <w:pStyle w:val="FootnoteText"/>
      </w:pPr>
      <w:r w:rsidRPr="004871C2">
        <w:rPr>
          <w:rStyle w:val="FootnoteReference"/>
        </w:rPr>
        <w:footnoteRef/>
      </w:r>
      <w:r w:rsidRPr="004871C2">
        <w:t xml:space="preserve"> </w:t>
      </w:r>
      <w:r w:rsidRPr="004871C2">
        <w:rPr>
          <w:sz w:val="18"/>
        </w:rPr>
        <w:t>Paragraph 30(b)(</w:t>
      </w:r>
      <w:proofErr w:type="spellStart"/>
      <w:r w:rsidRPr="004871C2">
        <w:rPr>
          <w:sz w:val="18"/>
        </w:rPr>
        <w:t>i</w:t>
      </w:r>
      <w:proofErr w:type="spellEnd"/>
      <w:r w:rsidRPr="004871C2">
        <w:rPr>
          <w:sz w:val="18"/>
        </w:rPr>
        <w:t>) of the Advertising Code defines representations that regard the treatment, cure, prevention, diagnosis</w:t>
      </w:r>
      <w:r w:rsidRPr="004871C2">
        <w:rPr>
          <w:spacing w:val="-38"/>
          <w:sz w:val="18"/>
        </w:rPr>
        <w:t xml:space="preserve"> </w:t>
      </w:r>
      <w:r w:rsidRPr="004871C2">
        <w:rPr>
          <w:sz w:val="18"/>
        </w:rPr>
        <w:t>(including screening), monitoring or susceptibility of, or pre-disposition to, neoplastic disease as a prohibited</w:t>
      </w:r>
      <w:r w:rsidRPr="004871C2">
        <w:rPr>
          <w:spacing w:val="1"/>
          <w:sz w:val="18"/>
        </w:rPr>
        <w:t xml:space="preserve"> </w:t>
      </w:r>
      <w:r w:rsidRPr="004871C2">
        <w:rPr>
          <w:sz w:val="18"/>
        </w:rPr>
        <w:t>representation.</w:t>
      </w:r>
    </w:p>
  </w:footnote>
  <w:footnote w:id="2">
    <w:p w14:paraId="2756E602" w14:textId="77777777" w:rsidR="00E84416" w:rsidRPr="000979A5" w:rsidRDefault="00E84416" w:rsidP="00E84416">
      <w:pPr>
        <w:pStyle w:val="Footer"/>
        <w:rPr>
          <w:sz w:val="20"/>
          <w:szCs w:val="20"/>
        </w:rPr>
      </w:pPr>
      <w:r w:rsidRPr="00874CD4">
        <w:rPr>
          <w:rStyle w:val="FootnoteReference"/>
          <w:sz w:val="18"/>
          <w:szCs w:val="18"/>
        </w:rPr>
        <w:footnoteRef/>
      </w:r>
      <w:r w:rsidRPr="00874CD4">
        <w:t xml:space="preserve"> </w:t>
      </w:r>
      <w:r w:rsidRPr="000979A5">
        <w:rPr>
          <w:sz w:val="20"/>
          <w:szCs w:val="20"/>
        </w:rPr>
        <w:t>Refers to substances that are applied topically for use in listed therapeutic sunscreens.</w:t>
      </w:r>
    </w:p>
  </w:footnote>
  <w:footnote w:id="3">
    <w:p w14:paraId="4BC293BF" w14:textId="77777777" w:rsidR="00E84416" w:rsidRPr="000979A5" w:rsidRDefault="00E84416" w:rsidP="00E84416">
      <w:pPr>
        <w:pStyle w:val="Footer"/>
        <w:rPr>
          <w:sz w:val="20"/>
          <w:szCs w:val="20"/>
        </w:rPr>
      </w:pPr>
      <w:r w:rsidRPr="000979A5">
        <w:rPr>
          <w:rStyle w:val="FootnoteReference"/>
          <w:sz w:val="20"/>
          <w:szCs w:val="20"/>
        </w:rPr>
        <w:footnoteRef/>
      </w:r>
      <w:r w:rsidRPr="000979A5">
        <w:rPr>
          <w:sz w:val="20"/>
          <w:szCs w:val="20"/>
        </w:rPr>
        <w:t xml:space="preserve"> For chemically derived excipients for dermal use only, only a brief description of manufacturing process required.</w:t>
      </w:r>
    </w:p>
  </w:footnote>
  <w:footnote w:id="4">
    <w:p w14:paraId="02AAE8FF" w14:textId="77777777" w:rsidR="00E84416" w:rsidRPr="000979A5" w:rsidRDefault="00E84416" w:rsidP="00E84416">
      <w:pPr>
        <w:pStyle w:val="Footer"/>
        <w:rPr>
          <w:color w:val="FF6600"/>
          <w:sz w:val="20"/>
          <w:szCs w:val="20"/>
        </w:rPr>
      </w:pPr>
      <w:r w:rsidRPr="000979A5">
        <w:rPr>
          <w:rStyle w:val="FootnoteReference"/>
          <w:sz w:val="20"/>
          <w:szCs w:val="20"/>
        </w:rPr>
        <w:footnoteRef/>
      </w:r>
      <w:r w:rsidRPr="000979A5">
        <w:rPr>
          <w:sz w:val="20"/>
          <w:szCs w:val="20"/>
          <w:vertAlign w:val="superscript"/>
        </w:rPr>
        <w:t xml:space="preserve">  </w:t>
      </w:r>
      <w:r w:rsidRPr="000979A5">
        <w:rPr>
          <w:sz w:val="20"/>
          <w:szCs w:val="20"/>
        </w:rPr>
        <w:t xml:space="preserve">An assay test is not a requirement if the excipient is only for use in a formulation for its physical properties (e.g. emulsifier, thickener etc.). </w:t>
      </w:r>
    </w:p>
  </w:footnote>
  <w:footnote w:id="5">
    <w:p w14:paraId="71B9339C" w14:textId="77777777" w:rsidR="00E84416" w:rsidRPr="000979A5" w:rsidRDefault="00E84416" w:rsidP="00E84416">
      <w:pPr>
        <w:pStyle w:val="Footer"/>
        <w:rPr>
          <w:sz w:val="20"/>
          <w:szCs w:val="20"/>
        </w:rPr>
      </w:pPr>
      <w:r w:rsidRPr="000979A5">
        <w:rPr>
          <w:rStyle w:val="FootnoteReference"/>
          <w:sz w:val="20"/>
          <w:szCs w:val="20"/>
        </w:rPr>
        <w:footnoteRef/>
      </w:r>
      <w:r w:rsidRPr="000979A5">
        <w:rPr>
          <w:sz w:val="20"/>
          <w:szCs w:val="20"/>
        </w:rPr>
        <w:t xml:space="preserve"> A reference standard is not a requirement for chemically derived excipients for dermal use only.</w:t>
      </w:r>
    </w:p>
  </w:footnote>
  <w:footnote w:id="6">
    <w:p w14:paraId="68FDD19F" w14:textId="77777777" w:rsidR="00E84416" w:rsidRPr="00F95081" w:rsidRDefault="00E84416" w:rsidP="00E84416">
      <w:pPr>
        <w:pStyle w:val="Footer"/>
        <w:rPr>
          <w:sz w:val="20"/>
          <w:szCs w:val="20"/>
        </w:rPr>
      </w:pPr>
      <w:r w:rsidRPr="00F95081">
        <w:rPr>
          <w:rStyle w:val="FootnoteReference"/>
          <w:sz w:val="20"/>
          <w:szCs w:val="20"/>
        </w:rPr>
        <w:footnoteRef/>
      </w:r>
      <w:r w:rsidRPr="00F95081">
        <w:rPr>
          <w:sz w:val="20"/>
          <w:szCs w:val="20"/>
        </w:rPr>
        <w:t xml:space="preserve"> Stability testing is not required if stress testing data can be provided that demonstrates the absence of degradants.</w:t>
      </w:r>
    </w:p>
  </w:footnote>
  <w:footnote w:id="7">
    <w:p w14:paraId="6C360837" w14:textId="77777777" w:rsidR="00F42558" w:rsidRPr="00493F8D" w:rsidRDefault="00F42558" w:rsidP="00F42558">
      <w:pPr>
        <w:pStyle w:val="FootnoteText"/>
        <w:rPr>
          <w:sz w:val="18"/>
          <w:szCs w:val="18"/>
        </w:rPr>
      </w:pPr>
      <w:r w:rsidRPr="00493F8D">
        <w:rPr>
          <w:rStyle w:val="FootnoteReference"/>
          <w:sz w:val="18"/>
          <w:szCs w:val="18"/>
        </w:rPr>
        <w:footnoteRef/>
      </w:r>
      <w:r w:rsidRPr="00493F8D">
        <w:rPr>
          <w:sz w:val="18"/>
          <w:szCs w:val="18"/>
        </w:rPr>
        <w:t xml:space="preserve"> Local tolerance studies may be used to demonstrate the substance does not react with the skin. </w:t>
      </w:r>
    </w:p>
  </w:footnote>
  <w:footnote w:id="8">
    <w:p w14:paraId="10DEB3E6" w14:textId="77777777" w:rsidR="00E84416" w:rsidRPr="00874CD4" w:rsidRDefault="00E84416" w:rsidP="00E84416">
      <w:pPr>
        <w:pStyle w:val="FootnoteText"/>
        <w:rPr>
          <w:sz w:val="18"/>
          <w:szCs w:val="18"/>
        </w:rPr>
      </w:pPr>
      <w:r w:rsidRPr="00874CD4">
        <w:rPr>
          <w:rStyle w:val="FootnoteReference"/>
          <w:sz w:val="18"/>
          <w:szCs w:val="18"/>
        </w:rPr>
        <w:footnoteRef/>
      </w:r>
      <w:r w:rsidRPr="00874CD4">
        <w:rPr>
          <w:sz w:val="18"/>
          <w:szCs w:val="18"/>
        </w:rPr>
        <w:t xml:space="preserve"> </w:t>
      </w:r>
      <w:r>
        <w:rPr>
          <w:sz w:val="18"/>
          <w:szCs w:val="18"/>
        </w:rPr>
        <w:t xml:space="preserve">Refers to substances </w:t>
      </w:r>
      <w:r w:rsidRPr="0055026B">
        <w:rPr>
          <w:sz w:val="18"/>
          <w:szCs w:val="18"/>
        </w:rPr>
        <w:t xml:space="preserve">that are applied topically </w:t>
      </w:r>
      <w:r>
        <w:rPr>
          <w:sz w:val="18"/>
          <w:szCs w:val="18"/>
        </w:rPr>
        <w:t>for use in listed therapeutic</w:t>
      </w:r>
      <w:r w:rsidRPr="00874CD4">
        <w:rPr>
          <w:sz w:val="18"/>
          <w:szCs w:val="18"/>
        </w:rPr>
        <w:t xml:space="preserve"> sunscreens.</w:t>
      </w:r>
    </w:p>
  </w:footnote>
  <w:footnote w:id="9">
    <w:p w14:paraId="4AA8431D" w14:textId="77777777" w:rsidR="00E84416" w:rsidRDefault="00E84416" w:rsidP="00E84416">
      <w:pPr>
        <w:pStyle w:val="FootnoteText"/>
      </w:pPr>
      <w:r w:rsidRPr="00874CD4">
        <w:rPr>
          <w:rStyle w:val="FootnoteReference"/>
          <w:sz w:val="18"/>
          <w:szCs w:val="18"/>
        </w:rPr>
        <w:footnoteRef/>
      </w:r>
      <w:r w:rsidRPr="00874CD4">
        <w:rPr>
          <w:sz w:val="18"/>
          <w:szCs w:val="18"/>
        </w:rPr>
        <w:t xml:space="preserve"> This information is not required if the substance is for use on unbroken skin </w:t>
      </w:r>
      <w:proofErr w:type="gramStart"/>
      <w:r w:rsidRPr="00874CD4">
        <w:rPr>
          <w:sz w:val="18"/>
          <w:szCs w:val="18"/>
        </w:rPr>
        <w:t>only, and</w:t>
      </w:r>
      <w:proofErr w:type="gramEnd"/>
      <w:r w:rsidRPr="00874CD4">
        <w:rPr>
          <w:sz w:val="18"/>
          <w:szCs w:val="18"/>
        </w:rPr>
        <w:t xml:space="preserve"> is demonstrated to not be absorbed beyond the </w:t>
      </w:r>
      <w:r w:rsidRPr="00874CD4">
        <w:rPr>
          <w:i/>
          <w:iCs/>
          <w:sz w:val="18"/>
          <w:szCs w:val="18"/>
        </w:rPr>
        <w:t>stratum corneum</w:t>
      </w:r>
      <w:r w:rsidRPr="00874CD4">
        <w:rPr>
          <w:sz w:val="18"/>
          <w:szCs w:val="18"/>
        </w:rPr>
        <w:t>.</w:t>
      </w:r>
    </w:p>
  </w:footnote>
  <w:footnote w:id="10">
    <w:p w14:paraId="34239118" w14:textId="3206A801" w:rsidR="00E84416" w:rsidRPr="00874CD4" w:rsidRDefault="00E84416" w:rsidP="00E84416">
      <w:pPr>
        <w:pStyle w:val="FootnoteText"/>
        <w:rPr>
          <w:sz w:val="18"/>
          <w:szCs w:val="18"/>
        </w:rPr>
      </w:pPr>
      <w:r w:rsidRPr="00874CD4">
        <w:rPr>
          <w:rStyle w:val="FootnoteReference"/>
          <w:sz w:val="18"/>
          <w:szCs w:val="18"/>
        </w:rPr>
        <w:footnoteRef/>
      </w:r>
      <w:r w:rsidRPr="00874CD4">
        <w:rPr>
          <w:sz w:val="18"/>
          <w:szCs w:val="18"/>
        </w:rPr>
        <w:t xml:space="preserve"> This information is not required if the substance is for use on unbroken skin only, is demonstrated to not be absorbed beyond the </w:t>
      </w:r>
      <w:r w:rsidRPr="00874CD4">
        <w:rPr>
          <w:i/>
          <w:iCs/>
          <w:sz w:val="18"/>
          <w:szCs w:val="18"/>
        </w:rPr>
        <w:t xml:space="preserve">stratum </w:t>
      </w:r>
      <w:proofErr w:type="spellStart"/>
      <w:proofErr w:type="gramStart"/>
      <w:r w:rsidRPr="00874CD4">
        <w:rPr>
          <w:i/>
          <w:iCs/>
          <w:sz w:val="18"/>
          <w:szCs w:val="18"/>
        </w:rPr>
        <w:t>corneum,</w:t>
      </w:r>
      <w:r w:rsidRPr="00874CD4">
        <w:rPr>
          <w:sz w:val="18"/>
          <w:szCs w:val="18"/>
        </w:rPr>
        <w:t>and</w:t>
      </w:r>
      <w:proofErr w:type="spellEnd"/>
      <w:proofErr w:type="gramEnd"/>
      <w:r w:rsidRPr="00874CD4">
        <w:rPr>
          <w:sz w:val="18"/>
          <w:szCs w:val="18"/>
        </w:rPr>
        <w:t xml:space="preserve"> does not react with the skin.</w:t>
      </w:r>
    </w:p>
  </w:footnote>
  <w:footnote w:id="11">
    <w:p w14:paraId="53820C3A" w14:textId="77777777" w:rsidR="00E84416" w:rsidRDefault="00E84416" w:rsidP="00E84416">
      <w:pPr>
        <w:pStyle w:val="FootnoteText"/>
      </w:pPr>
      <w:r w:rsidRPr="00874CD4">
        <w:rPr>
          <w:rStyle w:val="FootnoteReference"/>
          <w:sz w:val="18"/>
          <w:szCs w:val="18"/>
        </w:rPr>
        <w:footnoteRef/>
      </w:r>
      <w:r w:rsidRPr="00874CD4">
        <w:rPr>
          <w:sz w:val="18"/>
          <w:szCs w:val="18"/>
        </w:rPr>
        <w:t xml:space="preserve"> This information is not required if the substance is for use on unbroken skin only, is demonstrated to not be absorbed beyond the </w:t>
      </w:r>
      <w:r w:rsidRPr="00874CD4">
        <w:rPr>
          <w:i/>
          <w:iCs/>
          <w:sz w:val="18"/>
          <w:szCs w:val="18"/>
        </w:rPr>
        <w:t xml:space="preserve">stratum </w:t>
      </w:r>
      <w:proofErr w:type="gramStart"/>
      <w:r w:rsidRPr="00874CD4">
        <w:rPr>
          <w:i/>
          <w:iCs/>
          <w:sz w:val="18"/>
          <w:szCs w:val="18"/>
        </w:rPr>
        <w:t xml:space="preserve">corneum, </w:t>
      </w:r>
      <w:r w:rsidRPr="00874CD4">
        <w:rPr>
          <w:sz w:val="18"/>
          <w:szCs w:val="18"/>
        </w:rPr>
        <w:t>and</w:t>
      </w:r>
      <w:proofErr w:type="gramEnd"/>
      <w:r w:rsidRPr="00874CD4">
        <w:rPr>
          <w:sz w:val="18"/>
          <w:szCs w:val="18"/>
        </w:rPr>
        <w:t xml:space="preserve"> does not react with the skin.</w:t>
      </w:r>
    </w:p>
  </w:footnote>
  <w:footnote w:id="12">
    <w:p w14:paraId="3F1BE3FD" w14:textId="77777777" w:rsidR="00E84416" w:rsidRDefault="00E84416" w:rsidP="00E84416">
      <w:pPr>
        <w:pStyle w:val="FootnoteText"/>
      </w:pPr>
      <w:r w:rsidRPr="00874CD4">
        <w:rPr>
          <w:rStyle w:val="FootnoteReference"/>
          <w:sz w:val="18"/>
          <w:szCs w:val="18"/>
        </w:rPr>
        <w:footnoteRef/>
      </w:r>
      <w:r w:rsidRPr="00874CD4">
        <w:rPr>
          <w:sz w:val="18"/>
          <w:szCs w:val="18"/>
        </w:rPr>
        <w:t xml:space="preserve"> This information is only required if genotoxicity data has not been provided.</w:t>
      </w:r>
    </w:p>
  </w:footnote>
  <w:footnote w:id="13">
    <w:p w14:paraId="491EE3C1" w14:textId="77777777" w:rsidR="001E75BA" w:rsidRDefault="001E75BA" w:rsidP="001E75BA">
      <w:pPr>
        <w:pStyle w:val="FootnoteText"/>
      </w:pPr>
      <w:r>
        <w:rPr>
          <w:rStyle w:val="FootnoteReference"/>
        </w:rPr>
        <w:footnoteRef/>
      </w:r>
      <w:r>
        <w:t xml:space="preserve"> An additional assessment factor of 3 is included in the MoS calculation in these situations, as per the SCCS Notes for guidance for safety evaluation of cosmetics (12</w:t>
      </w:r>
      <w:r w:rsidRPr="00420179">
        <w:rPr>
          <w:vertAlign w:val="superscript"/>
        </w:rPr>
        <w:t>th</w:t>
      </w:r>
      <w:r>
        <w:t xml:space="preserve"> Revision).  </w:t>
      </w:r>
    </w:p>
  </w:footnote>
  <w:footnote w:id="14">
    <w:p w14:paraId="39831706" w14:textId="77777777" w:rsidR="00762683" w:rsidRDefault="00762683" w:rsidP="00762683">
      <w:pPr>
        <w:pStyle w:val="FootnoteText"/>
      </w:pPr>
      <w:r w:rsidRPr="00B35001">
        <w:rPr>
          <w:rStyle w:val="FootnoteReference"/>
          <w:sz w:val="18"/>
          <w:szCs w:val="18"/>
        </w:rPr>
        <w:footnoteRef/>
      </w:r>
      <w:r w:rsidRPr="00B35001">
        <w:rPr>
          <w:sz w:val="18"/>
          <w:szCs w:val="18"/>
        </w:rPr>
        <w:t xml:space="preserve"> Australian Government, Department of Health and Aged Care, Therapeutic Goods Administration (2024). </w:t>
      </w:r>
      <w:hyperlink r:id="rId1" w:history="1">
        <w:r w:rsidRPr="00B35001">
          <w:rPr>
            <w:rStyle w:val="Hyperlink"/>
            <w:sz w:val="18"/>
            <w:szCs w:val="18"/>
          </w:rPr>
          <w:t>Australian Sunscreen Exposure Model. Consultation on an exposure model for assessing the safety of sunscreen ingredients in Australia</w:t>
        </w:r>
      </w:hyperlink>
      <w:r w:rsidRPr="00B35001">
        <w:rPr>
          <w:sz w:val="18"/>
          <w:szCs w:val="18"/>
        </w:rPr>
        <w:t>. Version 1.0, July 2024.</w:t>
      </w:r>
      <w:r>
        <w:rPr>
          <w:sz w:val="18"/>
          <w:szCs w:val="18"/>
        </w:rPr>
        <w:t xml:space="preserve"> </w:t>
      </w:r>
    </w:p>
  </w:footnote>
  <w:footnote w:id="15">
    <w:p w14:paraId="29A0CF7D" w14:textId="77777777" w:rsidR="00B841A8" w:rsidRDefault="00B841A8" w:rsidP="00B841A8">
      <w:pPr>
        <w:pStyle w:val="FootnoteText"/>
      </w:pPr>
      <w:r>
        <w:rPr>
          <w:rStyle w:val="FootnoteReference"/>
        </w:rPr>
        <w:footnoteRef/>
      </w:r>
      <w:r>
        <w:t xml:space="preserve"> </w:t>
      </w:r>
      <w:r>
        <w:rPr>
          <w:sz w:val="18"/>
          <w:szCs w:val="18"/>
        </w:rPr>
        <w:t>See demonstration in</w:t>
      </w:r>
      <w:r w:rsidRPr="00420179">
        <w:rPr>
          <w:sz w:val="18"/>
          <w:szCs w:val="18"/>
        </w:rPr>
        <w:t xml:space="preserve"> Attachment 3 in the</w:t>
      </w:r>
      <w:r>
        <w:t xml:space="preserve"> </w:t>
      </w:r>
      <w:hyperlink r:id="rId2" w:history="1">
        <w:r w:rsidRPr="00B35001">
          <w:rPr>
            <w:rStyle w:val="Hyperlink"/>
            <w:sz w:val="18"/>
            <w:szCs w:val="18"/>
          </w:rPr>
          <w:t>Australian Sunscreen Exposure Model. Consultation on an exposure model for assessing the safety of sunscreen ingredients in Australia</w:t>
        </w:r>
      </w:hyperlink>
      <w:r w:rsidRPr="00B35001">
        <w:rPr>
          <w:sz w:val="18"/>
          <w:szCs w:val="18"/>
        </w:rPr>
        <w:t>. Version 1.0, July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6B49" w14:textId="77777777" w:rsidR="00A50F9F" w:rsidRPr="00A50F9F" w:rsidRDefault="00A50F9F" w:rsidP="00A50F9F">
    <w:pPr>
      <w:pBdr>
        <w:bottom w:val="single" w:sz="4" w:space="3" w:color="auto"/>
      </w:pBdr>
      <w:tabs>
        <w:tab w:val="center" w:pos="4513"/>
        <w:tab w:val="left" w:pos="8115"/>
        <w:tab w:val="right" w:pos="9026"/>
      </w:tabs>
      <w:spacing w:after="0" w:line="240" w:lineRule="auto"/>
      <w:jc w:val="right"/>
      <w:rPr>
        <w:rFonts w:eastAsia="Cambria" w:cs="Times New Roman"/>
        <w:color w:val="333F4A"/>
        <w:kern w:val="0"/>
        <w:sz w:val="17"/>
        <w:szCs w:val="20"/>
        <w14:ligatures w14:val="none"/>
      </w:rPr>
    </w:pPr>
    <w:r w:rsidRPr="00A50F9F">
      <w:rPr>
        <w:rFonts w:eastAsia="Cambria" w:cs="Times New Roman"/>
        <w:color w:val="333F4A"/>
        <w:kern w:val="0"/>
        <w:sz w:val="17"/>
        <w:szCs w:val="20"/>
        <w14:ligatures w14:val="none"/>
      </w:rPr>
      <w:t>Therapeutic Goods Administration</w:t>
    </w:r>
  </w:p>
  <w:p w14:paraId="77871DE8" w14:textId="77777777" w:rsidR="00A50F9F" w:rsidRPr="00A50F9F" w:rsidRDefault="00A50F9F" w:rsidP="00A50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6736" w14:textId="35263006" w:rsidR="0055283E" w:rsidRDefault="0055283E">
    <w:pPr>
      <w:pStyle w:val="Header"/>
    </w:pPr>
    <w:r>
      <w:rPr>
        <w:noProof/>
      </w:rPr>
      <w:drawing>
        <wp:inline distT="0" distB="0" distL="0" distR="0" wp14:anchorId="150D32DE" wp14:editId="6D3B58CD">
          <wp:extent cx="3343663" cy="694945"/>
          <wp:effectExtent l="0" t="0" r="0" b="0"/>
          <wp:docPr id="1010552411" name="Picture 1" descr="Australian Government, Department of Health, Disability and Ageing,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66811" name="Picture 1" descr="Australian Government, Department of Health, Disability and Ageing, Therapeutic Goods Administration. "/>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3663" cy="6949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6EA1" w14:textId="77777777" w:rsidR="008711DC" w:rsidRPr="00A50F9F" w:rsidRDefault="008711DC" w:rsidP="00A50F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7DE" w14:textId="68C44FE5" w:rsidR="008711DC" w:rsidRDefault="003A5F7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91E"/>
    <w:multiLevelType w:val="hybridMultilevel"/>
    <w:tmpl w:val="89E49B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0202AA"/>
    <w:multiLevelType w:val="hybridMultilevel"/>
    <w:tmpl w:val="D18EA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C30A4"/>
    <w:multiLevelType w:val="hybridMultilevel"/>
    <w:tmpl w:val="E8967788"/>
    <w:lvl w:ilvl="0" w:tplc="380A1F88">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32A668F"/>
    <w:multiLevelType w:val="hybridMultilevel"/>
    <w:tmpl w:val="B6FEA5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9388C"/>
    <w:multiLevelType w:val="multilevel"/>
    <w:tmpl w:val="342AB41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63F187C"/>
    <w:multiLevelType w:val="hybridMultilevel"/>
    <w:tmpl w:val="20409048"/>
    <w:lvl w:ilvl="0" w:tplc="FFFFFFFF">
      <w:start w:val="4"/>
      <w:numFmt w:val="bullet"/>
      <w:pStyle w:val="ListBullet3"/>
      <w:lvlText w:val="▪"/>
      <w:lvlJc w:val="left"/>
      <w:pPr>
        <w:ind w:left="1571" w:hanging="360"/>
      </w:pPr>
      <w:rPr>
        <w:rFonts w:ascii="Arial"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68F13E9"/>
    <w:multiLevelType w:val="multilevel"/>
    <w:tmpl w:val="5BF6624A"/>
    <w:styleLink w:val="ListBullets"/>
    <w:lvl w:ilvl="0">
      <w:start w:val="4"/>
      <w:numFmt w:val="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91D3576"/>
    <w:multiLevelType w:val="hybridMultilevel"/>
    <w:tmpl w:val="AA96B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5ED2C71"/>
    <w:multiLevelType w:val="hybridMultilevel"/>
    <w:tmpl w:val="60EA5314"/>
    <w:lvl w:ilvl="0" w:tplc="08E0F5C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7982514"/>
    <w:multiLevelType w:val="multilevel"/>
    <w:tmpl w:val="724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4213F"/>
    <w:multiLevelType w:val="multilevel"/>
    <w:tmpl w:val="4B36BB3C"/>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41133CC1"/>
    <w:multiLevelType w:val="hybridMultilevel"/>
    <w:tmpl w:val="6DD4BC4C"/>
    <w:lvl w:ilvl="0" w:tplc="0C090001">
      <w:start w:val="1"/>
      <w:numFmt w:val="bullet"/>
      <w:lvlText w:val=""/>
      <w:lvlJc w:val="left"/>
      <w:pPr>
        <w:ind w:left="720" w:hanging="360"/>
      </w:pPr>
      <w:rPr>
        <w:rFonts w:ascii="Symbol" w:hAnsi="Symbol" w:hint="default"/>
      </w:rPr>
    </w:lvl>
    <w:lvl w:ilvl="1" w:tplc="67628A86">
      <w:start w:val="1"/>
      <w:numFmt w:val="bullet"/>
      <w:lvlText w:val="-"/>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183723C"/>
    <w:multiLevelType w:val="multilevel"/>
    <w:tmpl w:val="90AC8F52"/>
    <w:lvl w:ilvl="0">
      <w:start w:val="4"/>
      <w:numFmt w:val="bullet"/>
      <w:lvlText w:val="•"/>
      <w:lvlJc w:val="left"/>
      <w:pPr>
        <w:ind w:left="360" w:hanging="360"/>
      </w:pPr>
      <w:rPr>
        <w:rFonts w:ascii="Cambria" w:eastAsia="Cambria" w:hAnsi="Cambria"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425F6A1E"/>
    <w:multiLevelType w:val="hybridMultilevel"/>
    <w:tmpl w:val="90A44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441A1D"/>
    <w:multiLevelType w:val="hybridMultilevel"/>
    <w:tmpl w:val="2446D78E"/>
    <w:lvl w:ilvl="0" w:tplc="F3BAB6B0">
      <w:numFmt w:val="bullet"/>
      <w:lvlText w:val="•"/>
      <w:lvlJc w:val="left"/>
      <w:pPr>
        <w:ind w:left="464" w:hanging="358"/>
      </w:pPr>
      <w:rPr>
        <w:rFonts w:ascii="Arial" w:eastAsia="Arial" w:hAnsi="Arial" w:cs="Arial" w:hint="default"/>
        <w:b w:val="0"/>
        <w:bCs w:val="0"/>
        <w:i w:val="0"/>
        <w:iCs w:val="0"/>
        <w:color w:val="333F48"/>
        <w:w w:val="100"/>
        <w:sz w:val="22"/>
        <w:szCs w:val="22"/>
        <w:lang w:val="en-AU" w:eastAsia="en-US" w:bidi="ar-SA"/>
      </w:rPr>
    </w:lvl>
    <w:lvl w:ilvl="1" w:tplc="A4248F22">
      <w:numFmt w:val="bullet"/>
      <w:lvlText w:val="•"/>
      <w:lvlJc w:val="left"/>
      <w:pPr>
        <w:ind w:left="950" w:hanging="358"/>
      </w:pPr>
      <w:rPr>
        <w:rFonts w:hint="default"/>
        <w:lang w:val="en-AU" w:eastAsia="en-US" w:bidi="ar-SA"/>
      </w:rPr>
    </w:lvl>
    <w:lvl w:ilvl="2" w:tplc="B22E39FE">
      <w:numFmt w:val="bullet"/>
      <w:lvlText w:val="•"/>
      <w:lvlJc w:val="left"/>
      <w:pPr>
        <w:ind w:left="1441" w:hanging="358"/>
      </w:pPr>
      <w:rPr>
        <w:rFonts w:hint="default"/>
        <w:lang w:val="en-AU" w:eastAsia="en-US" w:bidi="ar-SA"/>
      </w:rPr>
    </w:lvl>
    <w:lvl w:ilvl="3" w:tplc="3BD84388">
      <w:numFmt w:val="bullet"/>
      <w:lvlText w:val="•"/>
      <w:lvlJc w:val="left"/>
      <w:pPr>
        <w:ind w:left="1932" w:hanging="358"/>
      </w:pPr>
      <w:rPr>
        <w:rFonts w:hint="default"/>
        <w:lang w:val="en-AU" w:eastAsia="en-US" w:bidi="ar-SA"/>
      </w:rPr>
    </w:lvl>
    <w:lvl w:ilvl="4" w:tplc="4F38676C">
      <w:numFmt w:val="bullet"/>
      <w:lvlText w:val="•"/>
      <w:lvlJc w:val="left"/>
      <w:pPr>
        <w:ind w:left="2423" w:hanging="358"/>
      </w:pPr>
      <w:rPr>
        <w:rFonts w:hint="default"/>
        <w:lang w:val="en-AU" w:eastAsia="en-US" w:bidi="ar-SA"/>
      </w:rPr>
    </w:lvl>
    <w:lvl w:ilvl="5" w:tplc="04B04D38">
      <w:numFmt w:val="bullet"/>
      <w:lvlText w:val="•"/>
      <w:lvlJc w:val="left"/>
      <w:pPr>
        <w:ind w:left="2914" w:hanging="358"/>
      </w:pPr>
      <w:rPr>
        <w:rFonts w:hint="default"/>
        <w:lang w:val="en-AU" w:eastAsia="en-US" w:bidi="ar-SA"/>
      </w:rPr>
    </w:lvl>
    <w:lvl w:ilvl="6" w:tplc="C9AC82CA">
      <w:numFmt w:val="bullet"/>
      <w:lvlText w:val="•"/>
      <w:lvlJc w:val="left"/>
      <w:pPr>
        <w:ind w:left="3404" w:hanging="358"/>
      </w:pPr>
      <w:rPr>
        <w:rFonts w:hint="default"/>
        <w:lang w:val="en-AU" w:eastAsia="en-US" w:bidi="ar-SA"/>
      </w:rPr>
    </w:lvl>
    <w:lvl w:ilvl="7" w:tplc="FB80E266">
      <w:numFmt w:val="bullet"/>
      <w:lvlText w:val="•"/>
      <w:lvlJc w:val="left"/>
      <w:pPr>
        <w:ind w:left="3895" w:hanging="358"/>
      </w:pPr>
      <w:rPr>
        <w:rFonts w:hint="default"/>
        <w:lang w:val="en-AU" w:eastAsia="en-US" w:bidi="ar-SA"/>
      </w:rPr>
    </w:lvl>
    <w:lvl w:ilvl="8" w:tplc="1388B5DA">
      <w:numFmt w:val="bullet"/>
      <w:lvlText w:val="•"/>
      <w:lvlJc w:val="left"/>
      <w:pPr>
        <w:ind w:left="4386" w:hanging="358"/>
      </w:pPr>
      <w:rPr>
        <w:rFonts w:hint="default"/>
        <w:lang w:val="en-AU" w:eastAsia="en-US" w:bidi="ar-SA"/>
      </w:rPr>
    </w:lvl>
  </w:abstractNum>
  <w:abstractNum w:abstractNumId="17" w15:restartNumberingAfterBreak="0">
    <w:nsid w:val="49F20288"/>
    <w:multiLevelType w:val="hybridMultilevel"/>
    <w:tmpl w:val="649626EE"/>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4E2F28C9"/>
    <w:multiLevelType w:val="hybridMultilevel"/>
    <w:tmpl w:val="D3D403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336B0D"/>
    <w:multiLevelType w:val="hybridMultilevel"/>
    <w:tmpl w:val="2B2EF6BC"/>
    <w:lvl w:ilvl="0" w:tplc="FFFFFFFF">
      <w:start w:val="1"/>
      <w:numFmt w:val="lowerRoman"/>
      <w:pStyle w:val="Numberbullet3"/>
      <w:lvlText w:val="%1."/>
      <w:lvlJc w:val="righ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99689B"/>
    <w:multiLevelType w:val="hybridMultilevel"/>
    <w:tmpl w:val="E87C71AA"/>
    <w:lvl w:ilvl="0" w:tplc="0C090001">
      <w:start w:val="1"/>
      <w:numFmt w:val="bullet"/>
      <w:lvlText w:val=""/>
      <w:lvlJc w:val="left"/>
      <w:pPr>
        <w:ind w:left="360" w:hanging="360"/>
      </w:pPr>
      <w:rPr>
        <w:rFonts w:ascii="Symbol" w:hAnsi="Symbol" w:hint="default"/>
        <w:sz w:val="22"/>
      </w:rPr>
    </w:lvl>
    <w:lvl w:ilvl="1" w:tplc="0C090003">
      <w:start w:val="1"/>
      <w:numFmt w:val="bullet"/>
      <w:lvlText w:val="o"/>
      <w:lvlJc w:val="left"/>
      <w:pPr>
        <w:ind w:left="371" w:hanging="360"/>
      </w:pPr>
      <w:rPr>
        <w:rFonts w:ascii="Courier New" w:hAnsi="Courier New" w:cs="Courier New" w:hint="default"/>
      </w:rPr>
    </w:lvl>
    <w:lvl w:ilvl="2" w:tplc="0C090005">
      <w:start w:val="1"/>
      <w:numFmt w:val="bullet"/>
      <w:lvlText w:val=""/>
      <w:lvlJc w:val="left"/>
      <w:pPr>
        <w:ind w:left="1091" w:hanging="360"/>
      </w:pPr>
      <w:rPr>
        <w:rFonts w:ascii="Wingdings" w:hAnsi="Wingdings" w:hint="default"/>
      </w:rPr>
    </w:lvl>
    <w:lvl w:ilvl="3" w:tplc="0C090001">
      <w:start w:val="1"/>
      <w:numFmt w:val="bullet"/>
      <w:lvlText w:val=""/>
      <w:lvlJc w:val="left"/>
      <w:pPr>
        <w:ind w:left="1811" w:hanging="360"/>
      </w:pPr>
      <w:rPr>
        <w:rFonts w:ascii="Symbol" w:hAnsi="Symbol" w:hint="default"/>
      </w:rPr>
    </w:lvl>
    <w:lvl w:ilvl="4" w:tplc="0C090003">
      <w:start w:val="1"/>
      <w:numFmt w:val="bullet"/>
      <w:lvlText w:val="o"/>
      <w:lvlJc w:val="left"/>
      <w:pPr>
        <w:ind w:left="2531" w:hanging="360"/>
      </w:pPr>
      <w:rPr>
        <w:rFonts w:ascii="Courier New" w:hAnsi="Courier New" w:cs="Courier New" w:hint="default"/>
      </w:rPr>
    </w:lvl>
    <w:lvl w:ilvl="5" w:tplc="0C090005">
      <w:start w:val="1"/>
      <w:numFmt w:val="bullet"/>
      <w:lvlText w:val=""/>
      <w:lvlJc w:val="left"/>
      <w:pPr>
        <w:ind w:left="3251" w:hanging="360"/>
      </w:pPr>
      <w:rPr>
        <w:rFonts w:ascii="Wingdings" w:hAnsi="Wingdings" w:hint="default"/>
      </w:rPr>
    </w:lvl>
    <w:lvl w:ilvl="6" w:tplc="0C090001">
      <w:start w:val="1"/>
      <w:numFmt w:val="bullet"/>
      <w:lvlText w:val=""/>
      <w:lvlJc w:val="left"/>
      <w:pPr>
        <w:ind w:left="3971" w:hanging="360"/>
      </w:pPr>
      <w:rPr>
        <w:rFonts w:ascii="Symbol" w:hAnsi="Symbol" w:hint="default"/>
      </w:rPr>
    </w:lvl>
    <w:lvl w:ilvl="7" w:tplc="0C090003">
      <w:start w:val="1"/>
      <w:numFmt w:val="bullet"/>
      <w:lvlText w:val="o"/>
      <w:lvlJc w:val="left"/>
      <w:pPr>
        <w:ind w:left="4691" w:hanging="360"/>
      </w:pPr>
      <w:rPr>
        <w:rFonts w:ascii="Courier New" w:hAnsi="Courier New" w:cs="Courier New" w:hint="default"/>
      </w:rPr>
    </w:lvl>
    <w:lvl w:ilvl="8" w:tplc="0C090005">
      <w:start w:val="1"/>
      <w:numFmt w:val="bullet"/>
      <w:lvlText w:val=""/>
      <w:lvlJc w:val="left"/>
      <w:pPr>
        <w:ind w:left="5411" w:hanging="360"/>
      </w:pPr>
      <w:rPr>
        <w:rFonts w:ascii="Wingdings" w:hAnsi="Wingdings" w:hint="default"/>
      </w:rPr>
    </w:lvl>
  </w:abstractNum>
  <w:abstractNum w:abstractNumId="21" w15:restartNumberingAfterBreak="0">
    <w:nsid w:val="589EFF15"/>
    <w:multiLevelType w:val="hybridMultilevel"/>
    <w:tmpl w:val="CA42BD18"/>
    <w:lvl w:ilvl="0" w:tplc="FA123D0A">
      <w:start w:val="1"/>
      <w:numFmt w:val="bullet"/>
      <w:lvlText w:val=""/>
      <w:lvlJc w:val="left"/>
      <w:pPr>
        <w:ind w:left="720" w:hanging="360"/>
      </w:pPr>
      <w:rPr>
        <w:rFonts w:ascii="Symbol" w:hAnsi="Symbol" w:hint="default"/>
      </w:rPr>
    </w:lvl>
    <w:lvl w:ilvl="1" w:tplc="F2B80578">
      <w:start w:val="1"/>
      <w:numFmt w:val="bullet"/>
      <w:lvlText w:val="o"/>
      <w:lvlJc w:val="left"/>
      <w:pPr>
        <w:ind w:left="1440" w:hanging="360"/>
      </w:pPr>
      <w:rPr>
        <w:rFonts w:ascii="Courier New" w:hAnsi="Courier New" w:hint="default"/>
      </w:rPr>
    </w:lvl>
    <w:lvl w:ilvl="2" w:tplc="355C5FFC">
      <w:start w:val="1"/>
      <w:numFmt w:val="bullet"/>
      <w:lvlText w:val=""/>
      <w:lvlJc w:val="left"/>
      <w:pPr>
        <w:ind w:left="2160" w:hanging="360"/>
      </w:pPr>
      <w:rPr>
        <w:rFonts w:ascii="Wingdings" w:hAnsi="Wingdings" w:hint="default"/>
      </w:rPr>
    </w:lvl>
    <w:lvl w:ilvl="3" w:tplc="E254300C">
      <w:start w:val="1"/>
      <w:numFmt w:val="bullet"/>
      <w:lvlText w:val=""/>
      <w:lvlJc w:val="left"/>
      <w:pPr>
        <w:ind w:left="2880" w:hanging="360"/>
      </w:pPr>
      <w:rPr>
        <w:rFonts w:ascii="Symbol" w:hAnsi="Symbol" w:hint="default"/>
      </w:rPr>
    </w:lvl>
    <w:lvl w:ilvl="4" w:tplc="BFB4F20A">
      <w:start w:val="1"/>
      <w:numFmt w:val="bullet"/>
      <w:lvlText w:val="o"/>
      <w:lvlJc w:val="left"/>
      <w:pPr>
        <w:ind w:left="3600" w:hanging="360"/>
      </w:pPr>
      <w:rPr>
        <w:rFonts w:ascii="Courier New" w:hAnsi="Courier New" w:hint="default"/>
      </w:rPr>
    </w:lvl>
    <w:lvl w:ilvl="5" w:tplc="F01CE586">
      <w:start w:val="1"/>
      <w:numFmt w:val="bullet"/>
      <w:lvlText w:val=""/>
      <w:lvlJc w:val="left"/>
      <w:pPr>
        <w:ind w:left="4320" w:hanging="360"/>
      </w:pPr>
      <w:rPr>
        <w:rFonts w:ascii="Wingdings" w:hAnsi="Wingdings" w:hint="default"/>
      </w:rPr>
    </w:lvl>
    <w:lvl w:ilvl="6" w:tplc="CF0EC340">
      <w:start w:val="1"/>
      <w:numFmt w:val="bullet"/>
      <w:lvlText w:val=""/>
      <w:lvlJc w:val="left"/>
      <w:pPr>
        <w:ind w:left="5040" w:hanging="360"/>
      </w:pPr>
      <w:rPr>
        <w:rFonts w:ascii="Symbol" w:hAnsi="Symbol" w:hint="default"/>
      </w:rPr>
    </w:lvl>
    <w:lvl w:ilvl="7" w:tplc="F23EDF5A">
      <w:start w:val="1"/>
      <w:numFmt w:val="bullet"/>
      <w:lvlText w:val="o"/>
      <w:lvlJc w:val="left"/>
      <w:pPr>
        <w:ind w:left="5760" w:hanging="360"/>
      </w:pPr>
      <w:rPr>
        <w:rFonts w:ascii="Courier New" w:hAnsi="Courier New" w:hint="default"/>
      </w:rPr>
    </w:lvl>
    <w:lvl w:ilvl="8" w:tplc="10FC13BE">
      <w:start w:val="1"/>
      <w:numFmt w:val="bullet"/>
      <w:lvlText w:val=""/>
      <w:lvlJc w:val="left"/>
      <w:pPr>
        <w:ind w:left="6480" w:hanging="360"/>
      </w:pPr>
      <w:rPr>
        <w:rFonts w:ascii="Wingdings" w:hAnsi="Wingdings" w:hint="default"/>
      </w:rPr>
    </w:lvl>
  </w:abstractNum>
  <w:abstractNum w:abstractNumId="22" w15:restartNumberingAfterBreak="0">
    <w:nsid w:val="5DBA7ACA"/>
    <w:multiLevelType w:val="hybridMultilevel"/>
    <w:tmpl w:val="233AAC1E"/>
    <w:lvl w:ilvl="0" w:tplc="88D2752E">
      <w:numFmt w:val="bullet"/>
      <w:lvlText w:val="•"/>
      <w:lvlJc w:val="left"/>
      <w:pPr>
        <w:ind w:left="466" w:hanging="358"/>
      </w:pPr>
      <w:rPr>
        <w:rFonts w:ascii="Arial" w:eastAsia="Arial" w:hAnsi="Arial" w:cs="Arial" w:hint="default"/>
        <w:b w:val="0"/>
        <w:bCs w:val="0"/>
        <w:i w:val="0"/>
        <w:iCs w:val="0"/>
        <w:color w:val="333F48"/>
        <w:w w:val="100"/>
        <w:sz w:val="22"/>
        <w:szCs w:val="22"/>
        <w:lang w:val="en-AU" w:eastAsia="en-US" w:bidi="ar-SA"/>
      </w:rPr>
    </w:lvl>
    <w:lvl w:ilvl="1" w:tplc="24344D66">
      <w:numFmt w:val="bullet"/>
      <w:lvlText w:val="•"/>
      <w:lvlJc w:val="left"/>
      <w:pPr>
        <w:ind w:left="950" w:hanging="358"/>
      </w:pPr>
      <w:rPr>
        <w:rFonts w:hint="default"/>
        <w:lang w:val="en-AU" w:eastAsia="en-US" w:bidi="ar-SA"/>
      </w:rPr>
    </w:lvl>
    <w:lvl w:ilvl="2" w:tplc="A0264D1A">
      <w:numFmt w:val="bullet"/>
      <w:lvlText w:val="•"/>
      <w:lvlJc w:val="left"/>
      <w:pPr>
        <w:ind w:left="1441" w:hanging="358"/>
      </w:pPr>
      <w:rPr>
        <w:rFonts w:hint="default"/>
        <w:lang w:val="en-AU" w:eastAsia="en-US" w:bidi="ar-SA"/>
      </w:rPr>
    </w:lvl>
    <w:lvl w:ilvl="3" w:tplc="49303296">
      <w:numFmt w:val="bullet"/>
      <w:lvlText w:val="•"/>
      <w:lvlJc w:val="left"/>
      <w:pPr>
        <w:ind w:left="1931" w:hanging="358"/>
      </w:pPr>
      <w:rPr>
        <w:rFonts w:hint="default"/>
        <w:lang w:val="en-AU" w:eastAsia="en-US" w:bidi="ar-SA"/>
      </w:rPr>
    </w:lvl>
    <w:lvl w:ilvl="4" w:tplc="29A88FE0">
      <w:numFmt w:val="bullet"/>
      <w:lvlText w:val="•"/>
      <w:lvlJc w:val="left"/>
      <w:pPr>
        <w:ind w:left="2422" w:hanging="358"/>
      </w:pPr>
      <w:rPr>
        <w:rFonts w:hint="default"/>
        <w:lang w:val="en-AU" w:eastAsia="en-US" w:bidi="ar-SA"/>
      </w:rPr>
    </w:lvl>
    <w:lvl w:ilvl="5" w:tplc="27E6FC0A">
      <w:numFmt w:val="bullet"/>
      <w:lvlText w:val="•"/>
      <w:lvlJc w:val="left"/>
      <w:pPr>
        <w:ind w:left="2912" w:hanging="358"/>
      </w:pPr>
      <w:rPr>
        <w:rFonts w:hint="default"/>
        <w:lang w:val="en-AU" w:eastAsia="en-US" w:bidi="ar-SA"/>
      </w:rPr>
    </w:lvl>
    <w:lvl w:ilvl="6" w:tplc="CA024F6C">
      <w:numFmt w:val="bullet"/>
      <w:lvlText w:val="•"/>
      <w:lvlJc w:val="left"/>
      <w:pPr>
        <w:ind w:left="3403" w:hanging="358"/>
      </w:pPr>
      <w:rPr>
        <w:rFonts w:hint="default"/>
        <w:lang w:val="en-AU" w:eastAsia="en-US" w:bidi="ar-SA"/>
      </w:rPr>
    </w:lvl>
    <w:lvl w:ilvl="7" w:tplc="4C6C24B4">
      <w:numFmt w:val="bullet"/>
      <w:lvlText w:val="•"/>
      <w:lvlJc w:val="left"/>
      <w:pPr>
        <w:ind w:left="3893" w:hanging="358"/>
      </w:pPr>
      <w:rPr>
        <w:rFonts w:hint="default"/>
        <w:lang w:val="en-AU" w:eastAsia="en-US" w:bidi="ar-SA"/>
      </w:rPr>
    </w:lvl>
    <w:lvl w:ilvl="8" w:tplc="7B9A4748">
      <w:numFmt w:val="bullet"/>
      <w:lvlText w:val="•"/>
      <w:lvlJc w:val="left"/>
      <w:pPr>
        <w:ind w:left="4384" w:hanging="358"/>
      </w:pPr>
      <w:rPr>
        <w:rFonts w:hint="default"/>
        <w:lang w:val="en-AU" w:eastAsia="en-US" w:bidi="ar-SA"/>
      </w:rPr>
    </w:lvl>
  </w:abstractNum>
  <w:abstractNum w:abstractNumId="23" w15:restartNumberingAfterBreak="0">
    <w:nsid w:val="5F1D13B9"/>
    <w:multiLevelType w:val="hybridMultilevel"/>
    <w:tmpl w:val="A438A254"/>
    <w:lvl w:ilvl="0" w:tplc="0166163E">
      <w:start w:val="1"/>
      <w:numFmt w:val="lowerLetter"/>
      <w:lvlText w:val="(%1)"/>
      <w:lvlJc w:val="left"/>
      <w:pPr>
        <w:ind w:left="496" w:hanging="293"/>
      </w:pPr>
      <w:rPr>
        <w:rFonts w:ascii="Arial" w:eastAsia="Arial" w:hAnsi="Arial" w:cs="Arial" w:hint="default"/>
        <w:b w:val="0"/>
        <w:bCs w:val="0"/>
        <w:i w:val="0"/>
        <w:iCs w:val="0"/>
        <w:spacing w:val="-1"/>
        <w:w w:val="99"/>
        <w:sz w:val="20"/>
        <w:szCs w:val="20"/>
        <w:lang w:val="en-US" w:eastAsia="en-US" w:bidi="ar-SA"/>
      </w:rPr>
    </w:lvl>
    <w:lvl w:ilvl="1" w:tplc="911432BA">
      <w:numFmt w:val="bullet"/>
      <w:lvlText w:val="•"/>
      <w:lvlJc w:val="left"/>
      <w:pPr>
        <w:ind w:left="1225" w:hanging="293"/>
      </w:pPr>
      <w:rPr>
        <w:rFonts w:hint="default"/>
        <w:lang w:val="en-US" w:eastAsia="en-US" w:bidi="ar-SA"/>
      </w:rPr>
    </w:lvl>
    <w:lvl w:ilvl="2" w:tplc="7CF8D27C">
      <w:numFmt w:val="bullet"/>
      <w:lvlText w:val="•"/>
      <w:lvlJc w:val="left"/>
      <w:pPr>
        <w:ind w:left="1950" w:hanging="293"/>
      </w:pPr>
      <w:rPr>
        <w:rFonts w:hint="default"/>
        <w:lang w:val="en-US" w:eastAsia="en-US" w:bidi="ar-SA"/>
      </w:rPr>
    </w:lvl>
    <w:lvl w:ilvl="3" w:tplc="77267F16">
      <w:numFmt w:val="bullet"/>
      <w:lvlText w:val="•"/>
      <w:lvlJc w:val="left"/>
      <w:pPr>
        <w:ind w:left="2675" w:hanging="293"/>
      </w:pPr>
      <w:rPr>
        <w:rFonts w:hint="default"/>
        <w:lang w:val="en-US" w:eastAsia="en-US" w:bidi="ar-SA"/>
      </w:rPr>
    </w:lvl>
    <w:lvl w:ilvl="4" w:tplc="CDAAA9D8">
      <w:numFmt w:val="bullet"/>
      <w:lvlText w:val="•"/>
      <w:lvlJc w:val="left"/>
      <w:pPr>
        <w:ind w:left="3400" w:hanging="293"/>
      </w:pPr>
      <w:rPr>
        <w:rFonts w:hint="default"/>
        <w:lang w:val="en-US" w:eastAsia="en-US" w:bidi="ar-SA"/>
      </w:rPr>
    </w:lvl>
    <w:lvl w:ilvl="5" w:tplc="58E4A864">
      <w:numFmt w:val="bullet"/>
      <w:lvlText w:val="•"/>
      <w:lvlJc w:val="left"/>
      <w:pPr>
        <w:ind w:left="4126" w:hanging="293"/>
      </w:pPr>
      <w:rPr>
        <w:rFonts w:hint="default"/>
        <w:lang w:val="en-US" w:eastAsia="en-US" w:bidi="ar-SA"/>
      </w:rPr>
    </w:lvl>
    <w:lvl w:ilvl="6" w:tplc="A0926E20">
      <w:numFmt w:val="bullet"/>
      <w:lvlText w:val="•"/>
      <w:lvlJc w:val="left"/>
      <w:pPr>
        <w:ind w:left="4851" w:hanging="293"/>
      </w:pPr>
      <w:rPr>
        <w:rFonts w:hint="default"/>
        <w:lang w:val="en-US" w:eastAsia="en-US" w:bidi="ar-SA"/>
      </w:rPr>
    </w:lvl>
    <w:lvl w:ilvl="7" w:tplc="3806B65C">
      <w:numFmt w:val="bullet"/>
      <w:lvlText w:val="•"/>
      <w:lvlJc w:val="left"/>
      <w:pPr>
        <w:ind w:left="5576" w:hanging="293"/>
      </w:pPr>
      <w:rPr>
        <w:rFonts w:hint="default"/>
        <w:lang w:val="en-US" w:eastAsia="en-US" w:bidi="ar-SA"/>
      </w:rPr>
    </w:lvl>
    <w:lvl w:ilvl="8" w:tplc="6ED45608">
      <w:numFmt w:val="bullet"/>
      <w:lvlText w:val="•"/>
      <w:lvlJc w:val="left"/>
      <w:pPr>
        <w:ind w:left="6301" w:hanging="293"/>
      </w:pPr>
      <w:rPr>
        <w:rFonts w:hint="default"/>
        <w:lang w:val="en-US" w:eastAsia="en-US" w:bidi="ar-SA"/>
      </w:rPr>
    </w:lvl>
  </w:abstractNum>
  <w:abstractNum w:abstractNumId="24" w15:restartNumberingAfterBreak="0">
    <w:nsid w:val="664D76EA"/>
    <w:multiLevelType w:val="hybridMultilevel"/>
    <w:tmpl w:val="DD20BC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154A22"/>
    <w:multiLevelType w:val="hybridMultilevel"/>
    <w:tmpl w:val="8786C8D0"/>
    <w:lvl w:ilvl="0" w:tplc="6C72EDFA">
      <w:start w:val="1"/>
      <w:numFmt w:val="bullet"/>
      <w:lvlText w:val=""/>
      <w:lvlJc w:val="left"/>
      <w:pPr>
        <w:ind w:left="1080" w:hanging="360"/>
      </w:pPr>
      <w:rPr>
        <w:rFonts w:ascii="Symbol" w:hAnsi="Symbol"/>
      </w:rPr>
    </w:lvl>
    <w:lvl w:ilvl="1" w:tplc="0EA8B65A">
      <w:start w:val="1"/>
      <w:numFmt w:val="bullet"/>
      <w:lvlText w:val=""/>
      <w:lvlJc w:val="left"/>
      <w:pPr>
        <w:ind w:left="1080" w:hanging="360"/>
      </w:pPr>
      <w:rPr>
        <w:rFonts w:ascii="Symbol" w:hAnsi="Symbol"/>
      </w:rPr>
    </w:lvl>
    <w:lvl w:ilvl="2" w:tplc="24BE026C">
      <w:start w:val="1"/>
      <w:numFmt w:val="bullet"/>
      <w:lvlText w:val=""/>
      <w:lvlJc w:val="left"/>
      <w:pPr>
        <w:ind w:left="1080" w:hanging="360"/>
      </w:pPr>
      <w:rPr>
        <w:rFonts w:ascii="Symbol" w:hAnsi="Symbol"/>
      </w:rPr>
    </w:lvl>
    <w:lvl w:ilvl="3" w:tplc="6B9CA654">
      <w:start w:val="1"/>
      <w:numFmt w:val="bullet"/>
      <w:lvlText w:val=""/>
      <w:lvlJc w:val="left"/>
      <w:pPr>
        <w:ind w:left="1080" w:hanging="360"/>
      </w:pPr>
      <w:rPr>
        <w:rFonts w:ascii="Symbol" w:hAnsi="Symbol"/>
      </w:rPr>
    </w:lvl>
    <w:lvl w:ilvl="4" w:tplc="6794379E">
      <w:start w:val="1"/>
      <w:numFmt w:val="bullet"/>
      <w:lvlText w:val=""/>
      <w:lvlJc w:val="left"/>
      <w:pPr>
        <w:ind w:left="1080" w:hanging="360"/>
      </w:pPr>
      <w:rPr>
        <w:rFonts w:ascii="Symbol" w:hAnsi="Symbol"/>
      </w:rPr>
    </w:lvl>
    <w:lvl w:ilvl="5" w:tplc="0310C7A2">
      <w:start w:val="1"/>
      <w:numFmt w:val="bullet"/>
      <w:lvlText w:val=""/>
      <w:lvlJc w:val="left"/>
      <w:pPr>
        <w:ind w:left="1080" w:hanging="360"/>
      </w:pPr>
      <w:rPr>
        <w:rFonts w:ascii="Symbol" w:hAnsi="Symbol"/>
      </w:rPr>
    </w:lvl>
    <w:lvl w:ilvl="6" w:tplc="26FAA218">
      <w:start w:val="1"/>
      <w:numFmt w:val="bullet"/>
      <w:lvlText w:val=""/>
      <w:lvlJc w:val="left"/>
      <w:pPr>
        <w:ind w:left="1080" w:hanging="360"/>
      </w:pPr>
      <w:rPr>
        <w:rFonts w:ascii="Symbol" w:hAnsi="Symbol"/>
      </w:rPr>
    </w:lvl>
    <w:lvl w:ilvl="7" w:tplc="F52C55B2">
      <w:start w:val="1"/>
      <w:numFmt w:val="bullet"/>
      <w:lvlText w:val=""/>
      <w:lvlJc w:val="left"/>
      <w:pPr>
        <w:ind w:left="1080" w:hanging="360"/>
      </w:pPr>
      <w:rPr>
        <w:rFonts w:ascii="Symbol" w:hAnsi="Symbol"/>
      </w:rPr>
    </w:lvl>
    <w:lvl w:ilvl="8" w:tplc="14E4D5F0">
      <w:start w:val="1"/>
      <w:numFmt w:val="bullet"/>
      <w:lvlText w:val=""/>
      <w:lvlJc w:val="left"/>
      <w:pPr>
        <w:ind w:left="1080" w:hanging="360"/>
      </w:pPr>
      <w:rPr>
        <w:rFonts w:ascii="Symbol" w:hAnsi="Symbol"/>
      </w:rPr>
    </w:lvl>
  </w:abstractNum>
  <w:abstractNum w:abstractNumId="26" w15:restartNumberingAfterBreak="0">
    <w:nsid w:val="7DC6660A"/>
    <w:multiLevelType w:val="hybridMultilevel"/>
    <w:tmpl w:val="3D52DCF6"/>
    <w:lvl w:ilvl="0" w:tplc="8864D5CC">
      <w:numFmt w:val="bullet"/>
      <w:lvlText w:val="•"/>
      <w:lvlJc w:val="left"/>
      <w:pPr>
        <w:ind w:left="466" w:hanging="358"/>
      </w:pPr>
      <w:rPr>
        <w:rFonts w:ascii="Arial" w:eastAsia="Arial" w:hAnsi="Arial" w:cs="Arial" w:hint="default"/>
        <w:b w:val="0"/>
        <w:bCs w:val="0"/>
        <w:i w:val="0"/>
        <w:iCs w:val="0"/>
        <w:color w:val="333F48"/>
        <w:w w:val="100"/>
        <w:sz w:val="22"/>
        <w:szCs w:val="22"/>
        <w:lang w:val="en-AU" w:eastAsia="en-US" w:bidi="ar-SA"/>
      </w:rPr>
    </w:lvl>
    <w:lvl w:ilvl="1" w:tplc="09429CC8">
      <w:numFmt w:val="bullet"/>
      <w:lvlText w:val="•"/>
      <w:lvlJc w:val="left"/>
      <w:pPr>
        <w:ind w:left="950" w:hanging="358"/>
      </w:pPr>
      <w:rPr>
        <w:rFonts w:hint="default"/>
        <w:lang w:val="en-AU" w:eastAsia="en-US" w:bidi="ar-SA"/>
      </w:rPr>
    </w:lvl>
    <w:lvl w:ilvl="2" w:tplc="110EBDCE">
      <w:numFmt w:val="bullet"/>
      <w:lvlText w:val="•"/>
      <w:lvlJc w:val="left"/>
      <w:pPr>
        <w:ind w:left="1441" w:hanging="358"/>
      </w:pPr>
      <w:rPr>
        <w:rFonts w:hint="default"/>
        <w:lang w:val="en-AU" w:eastAsia="en-US" w:bidi="ar-SA"/>
      </w:rPr>
    </w:lvl>
    <w:lvl w:ilvl="3" w:tplc="084CA2BA">
      <w:numFmt w:val="bullet"/>
      <w:lvlText w:val="•"/>
      <w:lvlJc w:val="left"/>
      <w:pPr>
        <w:ind w:left="1931" w:hanging="358"/>
      </w:pPr>
      <w:rPr>
        <w:rFonts w:hint="default"/>
        <w:lang w:val="en-AU" w:eastAsia="en-US" w:bidi="ar-SA"/>
      </w:rPr>
    </w:lvl>
    <w:lvl w:ilvl="4" w:tplc="43CE9548">
      <w:numFmt w:val="bullet"/>
      <w:lvlText w:val="•"/>
      <w:lvlJc w:val="left"/>
      <w:pPr>
        <w:ind w:left="2422" w:hanging="358"/>
      </w:pPr>
      <w:rPr>
        <w:rFonts w:hint="default"/>
        <w:lang w:val="en-AU" w:eastAsia="en-US" w:bidi="ar-SA"/>
      </w:rPr>
    </w:lvl>
    <w:lvl w:ilvl="5" w:tplc="8FAADF3A">
      <w:numFmt w:val="bullet"/>
      <w:lvlText w:val="•"/>
      <w:lvlJc w:val="left"/>
      <w:pPr>
        <w:ind w:left="2912" w:hanging="358"/>
      </w:pPr>
      <w:rPr>
        <w:rFonts w:hint="default"/>
        <w:lang w:val="en-AU" w:eastAsia="en-US" w:bidi="ar-SA"/>
      </w:rPr>
    </w:lvl>
    <w:lvl w:ilvl="6" w:tplc="49387298">
      <w:numFmt w:val="bullet"/>
      <w:lvlText w:val="•"/>
      <w:lvlJc w:val="left"/>
      <w:pPr>
        <w:ind w:left="3403" w:hanging="358"/>
      </w:pPr>
      <w:rPr>
        <w:rFonts w:hint="default"/>
        <w:lang w:val="en-AU" w:eastAsia="en-US" w:bidi="ar-SA"/>
      </w:rPr>
    </w:lvl>
    <w:lvl w:ilvl="7" w:tplc="A36E5B8E">
      <w:numFmt w:val="bullet"/>
      <w:lvlText w:val="•"/>
      <w:lvlJc w:val="left"/>
      <w:pPr>
        <w:ind w:left="3893" w:hanging="358"/>
      </w:pPr>
      <w:rPr>
        <w:rFonts w:hint="default"/>
        <w:lang w:val="en-AU" w:eastAsia="en-US" w:bidi="ar-SA"/>
      </w:rPr>
    </w:lvl>
    <w:lvl w:ilvl="8" w:tplc="CE38DDF0">
      <w:numFmt w:val="bullet"/>
      <w:lvlText w:val="•"/>
      <w:lvlJc w:val="left"/>
      <w:pPr>
        <w:ind w:left="4384" w:hanging="358"/>
      </w:pPr>
      <w:rPr>
        <w:rFonts w:hint="default"/>
        <w:lang w:val="en-AU" w:eastAsia="en-US" w:bidi="ar-SA"/>
      </w:rPr>
    </w:lvl>
  </w:abstractNum>
  <w:num w:numId="1" w16cid:durableId="1533377680">
    <w:abstractNumId w:val="21"/>
  </w:num>
  <w:num w:numId="2" w16cid:durableId="932081984">
    <w:abstractNumId w:val="2"/>
  </w:num>
  <w:num w:numId="3" w16cid:durableId="1244874731">
    <w:abstractNumId w:val="8"/>
  </w:num>
  <w:num w:numId="4" w16cid:durableId="1834369178">
    <w:abstractNumId w:val="4"/>
  </w:num>
  <w:num w:numId="5" w16cid:durableId="1693191331">
    <w:abstractNumId w:val="7"/>
  </w:num>
  <w:num w:numId="6" w16cid:durableId="1860776656">
    <w:abstractNumId w:val="19"/>
  </w:num>
  <w:num w:numId="7" w16cid:durableId="548078816">
    <w:abstractNumId w:val="8"/>
    <w:lvlOverride w:ilvl="0">
      <w:lvl w:ilvl="0">
        <w:start w:val="1"/>
        <w:numFmt w:val="bullet"/>
        <w:lvlText w:val=""/>
        <w:lvlJc w:val="left"/>
        <w:pPr>
          <w:ind w:left="360" w:hanging="360"/>
        </w:pPr>
        <w:rPr>
          <w:rFonts w:ascii="Symbol" w:hAnsi="Symbol" w:hint="default"/>
        </w:rPr>
      </w:lvl>
    </w:lvlOverride>
    <w:lvlOverride w:ilvl="1">
      <w:lvl w:ilvl="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905920301">
    <w:abstractNumId w:val="22"/>
  </w:num>
  <w:num w:numId="9" w16cid:durableId="1011878991">
    <w:abstractNumId w:val="26"/>
  </w:num>
  <w:num w:numId="10" w16cid:durableId="1070494470">
    <w:abstractNumId w:val="16"/>
  </w:num>
  <w:num w:numId="11" w16cid:durableId="852232926">
    <w:abstractNumId w:val="4"/>
    <w:lvlOverride w:ilvl="0">
      <w:startOverride w:val="1"/>
    </w:lvlOverride>
  </w:num>
  <w:num w:numId="12" w16cid:durableId="1355493622">
    <w:abstractNumId w:val="24"/>
  </w:num>
  <w:num w:numId="13" w16cid:durableId="1615670249">
    <w:abstractNumId w:val="13"/>
  </w:num>
  <w:num w:numId="14" w16cid:durableId="1927573958">
    <w:abstractNumId w:val="20"/>
  </w:num>
  <w:num w:numId="15" w16cid:durableId="1050960827">
    <w:abstractNumId w:val="5"/>
  </w:num>
  <w:num w:numId="16" w16cid:durableId="1566836953">
    <w:abstractNumId w:val="17"/>
  </w:num>
  <w:num w:numId="17" w16cid:durableId="1860855356">
    <w:abstractNumId w:val="14"/>
  </w:num>
  <w:num w:numId="18" w16cid:durableId="1789278060">
    <w:abstractNumId w:val="12"/>
  </w:num>
  <w:num w:numId="19" w16cid:durableId="683094867">
    <w:abstractNumId w:val="6"/>
  </w:num>
  <w:num w:numId="20" w16cid:durableId="725954540">
    <w:abstractNumId w:val="10"/>
  </w:num>
  <w:num w:numId="21" w16cid:durableId="1539198200">
    <w:abstractNumId w:val="9"/>
  </w:num>
  <w:num w:numId="22" w16cid:durableId="849756994">
    <w:abstractNumId w:val="0"/>
  </w:num>
  <w:num w:numId="23" w16cid:durableId="1487356221">
    <w:abstractNumId w:val="3"/>
  </w:num>
  <w:num w:numId="24" w16cid:durableId="636379954">
    <w:abstractNumId w:val="18"/>
  </w:num>
  <w:num w:numId="25" w16cid:durableId="1277056357">
    <w:abstractNumId w:val="11"/>
  </w:num>
  <w:num w:numId="26" w16cid:durableId="769162622">
    <w:abstractNumId w:val="3"/>
  </w:num>
  <w:num w:numId="27" w16cid:durableId="804355292">
    <w:abstractNumId w:val="23"/>
  </w:num>
  <w:num w:numId="28" w16cid:durableId="729621980">
    <w:abstractNumId w:val="1"/>
  </w:num>
  <w:num w:numId="29" w16cid:durableId="1612973614">
    <w:abstractNumId w:val="15"/>
  </w:num>
  <w:num w:numId="30" w16cid:durableId="185318323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D7"/>
    <w:rsid w:val="00000EB2"/>
    <w:rsid w:val="00003A77"/>
    <w:rsid w:val="00011177"/>
    <w:rsid w:val="00014C40"/>
    <w:rsid w:val="00020BEE"/>
    <w:rsid w:val="00027B0A"/>
    <w:rsid w:val="0003483A"/>
    <w:rsid w:val="00034EC4"/>
    <w:rsid w:val="00036C3D"/>
    <w:rsid w:val="000377A9"/>
    <w:rsid w:val="00042F5A"/>
    <w:rsid w:val="00044023"/>
    <w:rsid w:val="00045107"/>
    <w:rsid w:val="00045589"/>
    <w:rsid w:val="00050966"/>
    <w:rsid w:val="0005249A"/>
    <w:rsid w:val="00053446"/>
    <w:rsid w:val="0005621D"/>
    <w:rsid w:val="00057832"/>
    <w:rsid w:val="00061F01"/>
    <w:rsid w:val="000668E1"/>
    <w:rsid w:val="00066EF7"/>
    <w:rsid w:val="00070D51"/>
    <w:rsid w:val="00073ED5"/>
    <w:rsid w:val="000740DF"/>
    <w:rsid w:val="000760F6"/>
    <w:rsid w:val="00087D0A"/>
    <w:rsid w:val="000912CC"/>
    <w:rsid w:val="00092A12"/>
    <w:rsid w:val="00093B08"/>
    <w:rsid w:val="000979A5"/>
    <w:rsid w:val="00097EC8"/>
    <w:rsid w:val="000A0177"/>
    <w:rsid w:val="000A0DA6"/>
    <w:rsid w:val="000A4E57"/>
    <w:rsid w:val="000A5C6F"/>
    <w:rsid w:val="000B227C"/>
    <w:rsid w:val="000B3EE4"/>
    <w:rsid w:val="000C047F"/>
    <w:rsid w:val="000C100C"/>
    <w:rsid w:val="000C3447"/>
    <w:rsid w:val="000C796C"/>
    <w:rsid w:val="000D07C6"/>
    <w:rsid w:val="000D569B"/>
    <w:rsid w:val="000F1FAD"/>
    <w:rsid w:val="000F513B"/>
    <w:rsid w:val="000F7142"/>
    <w:rsid w:val="00102A12"/>
    <w:rsid w:val="0010610E"/>
    <w:rsid w:val="00110468"/>
    <w:rsid w:val="00113A83"/>
    <w:rsid w:val="00121456"/>
    <w:rsid w:val="00121C7D"/>
    <w:rsid w:val="001231C8"/>
    <w:rsid w:val="00137753"/>
    <w:rsid w:val="00144461"/>
    <w:rsid w:val="00147763"/>
    <w:rsid w:val="00147BBA"/>
    <w:rsid w:val="001522F8"/>
    <w:rsid w:val="00156E32"/>
    <w:rsid w:val="0015786E"/>
    <w:rsid w:val="00161264"/>
    <w:rsid w:val="00163A7B"/>
    <w:rsid w:val="0016428A"/>
    <w:rsid w:val="00164AFB"/>
    <w:rsid w:val="00165477"/>
    <w:rsid w:val="001664CA"/>
    <w:rsid w:val="001668B0"/>
    <w:rsid w:val="00171B21"/>
    <w:rsid w:val="00171CC0"/>
    <w:rsid w:val="001722EE"/>
    <w:rsid w:val="0017737D"/>
    <w:rsid w:val="00180135"/>
    <w:rsid w:val="00191F5F"/>
    <w:rsid w:val="00196FCE"/>
    <w:rsid w:val="001A0EE8"/>
    <w:rsid w:val="001A297B"/>
    <w:rsid w:val="001A3635"/>
    <w:rsid w:val="001A4337"/>
    <w:rsid w:val="001BE010"/>
    <w:rsid w:val="001C0B32"/>
    <w:rsid w:val="001C1E81"/>
    <w:rsid w:val="001C39CC"/>
    <w:rsid w:val="001C67D9"/>
    <w:rsid w:val="001C7362"/>
    <w:rsid w:val="001D647B"/>
    <w:rsid w:val="001D6488"/>
    <w:rsid w:val="001D7DD4"/>
    <w:rsid w:val="001E2245"/>
    <w:rsid w:val="001E3CC9"/>
    <w:rsid w:val="001E57EB"/>
    <w:rsid w:val="001E60B9"/>
    <w:rsid w:val="001E69B6"/>
    <w:rsid w:val="001E6BBD"/>
    <w:rsid w:val="001E75BA"/>
    <w:rsid w:val="001F115E"/>
    <w:rsid w:val="002013A4"/>
    <w:rsid w:val="00203752"/>
    <w:rsid w:val="002056CA"/>
    <w:rsid w:val="002104AA"/>
    <w:rsid w:val="002104C6"/>
    <w:rsid w:val="002110F9"/>
    <w:rsid w:val="00213CEF"/>
    <w:rsid w:val="00214327"/>
    <w:rsid w:val="00214F7C"/>
    <w:rsid w:val="00214FC6"/>
    <w:rsid w:val="00217ABE"/>
    <w:rsid w:val="002212B1"/>
    <w:rsid w:val="0022206F"/>
    <w:rsid w:val="0022221B"/>
    <w:rsid w:val="00225449"/>
    <w:rsid w:val="00232182"/>
    <w:rsid w:val="002324AD"/>
    <w:rsid w:val="00241222"/>
    <w:rsid w:val="0024247E"/>
    <w:rsid w:val="00251350"/>
    <w:rsid w:val="002516D0"/>
    <w:rsid w:val="00253B2B"/>
    <w:rsid w:val="00255288"/>
    <w:rsid w:val="00256EDF"/>
    <w:rsid w:val="00260E97"/>
    <w:rsid w:val="00261D99"/>
    <w:rsid w:val="00262035"/>
    <w:rsid w:val="0027202D"/>
    <w:rsid w:val="00275E26"/>
    <w:rsid w:val="00277478"/>
    <w:rsid w:val="00280050"/>
    <w:rsid w:val="00281555"/>
    <w:rsid w:val="0029101E"/>
    <w:rsid w:val="00291952"/>
    <w:rsid w:val="00294357"/>
    <w:rsid w:val="002A2136"/>
    <w:rsid w:val="002A54EB"/>
    <w:rsid w:val="002A69C2"/>
    <w:rsid w:val="002A7941"/>
    <w:rsid w:val="002A7AFB"/>
    <w:rsid w:val="002B6FB9"/>
    <w:rsid w:val="002C3D0A"/>
    <w:rsid w:val="002C4A3E"/>
    <w:rsid w:val="002C5892"/>
    <w:rsid w:val="002C6136"/>
    <w:rsid w:val="002D0431"/>
    <w:rsid w:val="002D57C2"/>
    <w:rsid w:val="002D5B2A"/>
    <w:rsid w:val="002E180A"/>
    <w:rsid w:val="002E34B3"/>
    <w:rsid w:val="002E65B2"/>
    <w:rsid w:val="002F1C3F"/>
    <w:rsid w:val="002F2FC6"/>
    <w:rsid w:val="002F4B74"/>
    <w:rsid w:val="002F6AA2"/>
    <w:rsid w:val="00302057"/>
    <w:rsid w:val="00302369"/>
    <w:rsid w:val="00307A8A"/>
    <w:rsid w:val="0031108C"/>
    <w:rsid w:val="00313C3E"/>
    <w:rsid w:val="003140A7"/>
    <w:rsid w:val="00314167"/>
    <w:rsid w:val="00315EEB"/>
    <w:rsid w:val="003164C5"/>
    <w:rsid w:val="0031686D"/>
    <w:rsid w:val="00316B02"/>
    <w:rsid w:val="00327106"/>
    <w:rsid w:val="00327362"/>
    <w:rsid w:val="0033276E"/>
    <w:rsid w:val="003342B1"/>
    <w:rsid w:val="00337581"/>
    <w:rsid w:val="003417D1"/>
    <w:rsid w:val="00341FBB"/>
    <w:rsid w:val="00342505"/>
    <w:rsid w:val="003443A4"/>
    <w:rsid w:val="00344758"/>
    <w:rsid w:val="00352933"/>
    <w:rsid w:val="00352B68"/>
    <w:rsid w:val="00355566"/>
    <w:rsid w:val="00360314"/>
    <w:rsid w:val="00362C07"/>
    <w:rsid w:val="003640A7"/>
    <w:rsid w:val="003667E0"/>
    <w:rsid w:val="00375FAA"/>
    <w:rsid w:val="00377EA8"/>
    <w:rsid w:val="003829ED"/>
    <w:rsid w:val="00393DBC"/>
    <w:rsid w:val="003A4F6E"/>
    <w:rsid w:val="003A5F7E"/>
    <w:rsid w:val="003B171F"/>
    <w:rsid w:val="003B5F3E"/>
    <w:rsid w:val="003C2D8D"/>
    <w:rsid w:val="003C4010"/>
    <w:rsid w:val="003C4485"/>
    <w:rsid w:val="003C5AAB"/>
    <w:rsid w:val="003C6E6A"/>
    <w:rsid w:val="003D0AB4"/>
    <w:rsid w:val="003D0E41"/>
    <w:rsid w:val="003D12BF"/>
    <w:rsid w:val="003D4776"/>
    <w:rsid w:val="003E03E5"/>
    <w:rsid w:val="003E049D"/>
    <w:rsid w:val="003E3D01"/>
    <w:rsid w:val="003E4306"/>
    <w:rsid w:val="003E4958"/>
    <w:rsid w:val="003E4E24"/>
    <w:rsid w:val="003E4F2C"/>
    <w:rsid w:val="003E5C2A"/>
    <w:rsid w:val="003F777E"/>
    <w:rsid w:val="00400791"/>
    <w:rsid w:val="0040133C"/>
    <w:rsid w:val="00415480"/>
    <w:rsid w:val="0042375D"/>
    <w:rsid w:val="00425C45"/>
    <w:rsid w:val="00434FAB"/>
    <w:rsid w:val="004409CC"/>
    <w:rsid w:val="0044118B"/>
    <w:rsid w:val="00441246"/>
    <w:rsid w:val="004414C7"/>
    <w:rsid w:val="00443222"/>
    <w:rsid w:val="0045293D"/>
    <w:rsid w:val="00456305"/>
    <w:rsid w:val="00457542"/>
    <w:rsid w:val="00462B03"/>
    <w:rsid w:val="00463011"/>
    <w:rsid w:val="0046453A"/>
    <w:rsid w:val="0047204D"/>
    <w:rsid w:val="004730CA"/>
    <w:rsid w:val="004748E7"/>
    <w:rsid w:val="004809F9"/>
    <w:rsid w:val="00484C12"/>
    <w:rsid w:val="0049508A"/>
    <w:rsid w:val="004A0A10"/>
    <w:rsid w:val="004A30A9"/>
    <w:rsid w:val="004A477F"/>
    <w:rsid w:val="004B4724"/>
    <w:rsid w:val="004B51B7"/>
    <w:rsid w:val="004B71AB"/>
    <w:rsid w:val="004C24C3"/>
    <w:rsid w:val="004C2AE5"/>
    <w:rsid w:val="004D4D26"/>
    <w:rsid w:val="004D55E1"/>
    <w:rsid w:val="004D6787"/>
    <w:rsid w:val="004E3885"/>
    <w:rsid w:val="004E5E94"/>
    <w:rsid w:val="004E6BB2"/>
    <w:rsid w:val="004E6CF2"/>
    <w:rsid w:val="004E7D23"/>
    <w:rsid w:val="004F1DE8"/>
    <w:rsid w:val="004F37DD"/>
    <w:rsid w:val="004F424C"/>
    <w:rsid w:val="005042CC"/>
    <w:rsid w:val="00506636"/>
    <w:rsid w:val="00507B9F"/>
    <w:rsid w:val="005135B9"/>
    <w:rsid w:val="00517343"/>
    <w:rsid w:val="005217B3"/>
    <w:rsid w:val="00521A10"/>
    <w:rsid w:val="00524004"/>
    <w:rsid w:val="00524101"/>
    <w:rsid w:val="00526FA0"/>
    <w:rsid w:val="00527C43"/>
    <w:rsid w:val="0053310D"/>
    <w:rsid w:val="0053620D"/>
    <w:rsid w:val="00540848"/>
    <w:rsid w:val="00541B9A"/>
    <w:rsid w:val="005443EC"/>
    <w:rsid w:val="0055283E"/>
    <w:rsid w:val="00552F85"/>
    <w:rsid w:val="00556636"/>
    <w:rsid w:val="00556DB7"/>
    <w:rsid w:val="005576C9"/>
    <w:rsid w:val="00561E49"/>
    <w:rsid w:val="00565E64"/>
    <w:rsid w:val="0057208E"/>
    <w:rsid w:val="00572E72"/>
    <w:rsid w:val="0057377A"/>
    <w:rsid w:val="0057473E"/>
    <w:rsid w:val="005811FB"/>
    <w:rsid w:val="0058366F"/>
    <w:rsid w:val="00583BB8"/>
    <w:rsid w:val="00587D34"/>
    <w:rsid w:val="00593212"/>
    <w:rsid w:val="00597E16"/>
    <w:rsid w:val="005A0AA8"/>
    <w:rsid w:val="005A5A5F"/>
    <w:rsid w:val="005B2418"/>
    <w:rsid w:val="005C025F"/>
    <w:rsid w:val="005C0911"/>
    <w:rsid w:val="005C0AF9"/>
    <w:rsid w:val="005C34DE"/>
    <w:rsid w:val="005C5EC1"/>
    <w:rsid w:val="005C6477"/>
    <w:rsid w:val="005C781B"/>
    <w:rsid w:val="005D08D4"/>
    <w:rsid w:val="005D0C9E"/>
    <w:rsid w:val="005D31FD"/>
    <w:rsid w:val="005D7ACE"/>
    <w:rsid w:val="005D7E5C"/>
    <w:rsid w:val="005E0FE2"/>
    <w:rsid w:val="005E1B69"/>
    <w:rsid w:val="005E31AB"/>
    <w:rsid w:val="005E384D"/>
    <w:rsid w:val="005E609D"/>
    <w:rsid w:val="005F1707"/>
    <w:rsid w:val="005F1EB9"/>
    <w:rsid w:val="005F777B"/>
    <w:rsid w:val="00605509"/>
    <w:rsid w:val="0060564C"/>
    <w:rsid w:val="00605B7A"/>
    <w:rsid w:val="00606481"/>
    <w:rsid w:val="0060727A"/>
    <w:rsid w:val="00611849"/>
    <w:rsid w:val="00612396"/>
    <w:rsid w:val="00614F44"/>
    <w:rsid w:val="00622BE1"/>
    <w:rsid w:val="00622C57"/>
    <w:rsid w:val="00625B44"/>
    <w:rsid w:val="006266F4"/>
    <w:rsid w:val="00632909"/>
    <w:rsid w:val="0063369B"/>
    <w:rsid w:val="00634240"/>
    <w:rsid w:val="00636F81"/>
    <w:rsid w:val="00641564"/>
    <w:rsid w:val="00641C95"/>
    <w:rsid w:val="00642A66"/>
    <w:rsid w:val="00643FD7"/>
    <w:rsid w:val="00647751"/>
    <w:rsid w:val="0065029D"/>
    <w:rsid w:val="0065287B"/>
    <w:rsid w:val="00655441"/>
    <w:rsid w:val="00662361"/>
    <w:rsid w:val="00664ED8"/>
    <w:rsid w:val="00671E8E"/>
    <w:rsid w:val="00671F4A"/>
    <w:rsid w:val="0068373B"/>
    <w:rsid w:val="00685035"/>
    <w:rsid w:val="006851B9"/>
    <w:rsid w:val="006903EB"/>
    <w:rsid w:val="00690585"/>
    <w:rsid w:val="00691182"/>
    <w:rsid w:val="006965D8"/>
    <w:rsid w:val="006A22F8"/>
    <w:rsid w:val="006B0084"/>
    <w:rsid w:val="006B1B88"/>
    <w:rsid w:val="006B26E1"/>
    <w:rsid w:val="006B3B75"/>
    <w:rsid w:val="006B3DCD"/>
    <w:rsid w:val="006B5308"/>
    <w:rsid w:val="006B69DB"/>
    <w:rsid w:val="006C14A3"/>
    <w:rsid w:val="006C1EC5"/>
    <w:rsid w:val="006C55E8"/>
    <w:rsid w:val="006C6A37"/>
    <w:rsid w:val="006D4295"/>
    <w:rsid w:val="006D5E7A"/>
    <w:rsid w:val="006E2766"/>
    <w:rsid w:val="006E631F"/>
    <w:rsid w:val="006E6A91"/>
    <w:rsid w:val="00700250"/>
    <w:rsid w:val="007007B1"/>
    <w:rsid w:val="007019FC"/>
    <w:rsid w:val="007060EF"/>
    <w:rsid w:val="007139E0"/>
    <w:rsid w:val="0071450F"/>
    <w:rsid w:val="00722D00"/>
    <w:rsid w:val="00730497"/>
    <w:rsid w:val="007312EA"/>
    <w:rsid w:val="0073748E"/>
    <w:rsid w:val="007413EA"/>
    <w:rsid w:val="00743F45"/>
    <w:rsid w:val="00744416"/>
    <w:rsid w:val="0074463D"/>
    <w:rsid w:val="007459B2"/>
    <w:rsid w:val="00746776"/>
    <w:rsid w:val="00752976"/>
    <w:rsid w:val="007529D8"/>
    <w:rsid w:val="00752DF2"/>
    <w:rsid w:val="0075408B"/>
    <w:rsid w:val="00757D1C"/>
    <w:rsid w:val="00762683"/>
    <w:rsid w:val="007667DA"/>
    <w:rsid w:val="00766DCD"/>
    <w:rsid w:val="00767C7D"/>
    <w:rsid w:val="007703A7"/>
    <w:rsid w:val="00770FEC"/>
    <w:rsid w:val="0077254A"/>
    <w:rsid w:val="00776354"/>
    <w:rsid w:val="00777083"/>
    <w:rsid w:val="0078662D"/>
    <w:rsid w:val="00786F8D"/>
    <w:rsid w:val="007871C1"/>
    <w:rsid w:val="00792E22"/>
    <w:rsid w:val="007938B0"/>
    <w:rsid w:val="00793BFC"/>
    <w:rsid w:val="007963A4"/>
    <w:rsid w:val="007A0844"/>
    <w:rsid w:val="007A2F47"/>
    <w:rsid w:val="007A5EBA"/>
    <w:rsid w:val="007A6280"/>
    <w:rsid w:val="007B06EA"/>
    <w:rsid w:val="007B12AA"/>
    <w:rsid w:val="007B38C6"/>
    <w:rsid w:val="007B57CA"/>
    <w:rsid w:val="007C42CA"/>
    <w:rsid w:val="007C4EE3"/>
    <w:rsid w:val="007C7CED"/>
    <w:rsid w:val="007D0461"/>
    <w:rsid w:val="007D316E"/>
    <w:rsid w:val="007D4301"/>
    <w:rsid w:val="007D6878"/>
    <w:rsid w:val="007D724D"/>
    <w:rsid w:val="007E7638"/>
    <w:rsid w:val="007F380B"/>
    <w:rsid w:val="00805D8B"/>
    <w:rsid w:val="00812B4B"/>
    <w:rsid w:val="00812C65"/>
    <w:rsid w:val="00815CDE"/>
    <w:rsid w:val="00816066"/>
    <w:rsid w:val="008211FC"/>
    <w:rsid w:val="00833B5D"/>
    <w:rsid w:val="0083664C"/>
    <w:rsid w:val="00837B09"/>
    <w:rsid w:val="008423C9"/>
    <w:rsid w:val="00842A37"/>
    <w:rsid w:val="00844052"/>
    <w:rsid w:val="008507AE"/>
    <w:rsid w:val="00852BFD"/>
    <w:rsid w:val="008531ED"/>
    <w:rsid w:val="00853A3D"/>
    <w:rsid w:val="00854AE7"/>
    <w:rsid w:val="008561E6"/>
    <w:rsid w:val="00856887"/>
    <w:rsid w:val="008571FE"/>
    <w:rsid w:val="00860881"/>
    <w:rsid w:val="00861412"/>
    <w:rsid w:val="00861895"/>
    <w:rsid w:val="00864796"/>
    <w:rsid w:val="00867C0D"/>
    <w:rsid w:val="00870B8D"/>
    <w:rsid w:val="008711DC"/>
    <w:rsid w:val="008736BF"/>
    <w:rsid w:val="00873F04"/>
    <w:rsid w:val="00876F66"/>
    <w:rsid w:val="00880150"/>
    <w:rsid w:val="008828EB"/>
    <w:rsid w:val="00887DFF"/>
    <w:rsid w:val="00890380"/>
    <w:rsid w:val="00891563"/>
    <w:rsid w:val="00892193"/>
    <w:rsid w:val="00895D17"/>
    <w:rsid w:val="008963A7"/>
    <w:rsid w:val="008A7541"/>
    <w:rsid w:val="008B36D6"/>
    <w:rsid w:val="008C0A6A"/>
    <w:rsid w:val="008C14DA"/>
    <w:rsid w:val="008C53D5"/>
    <w:rsid w:val="008C7042"/>
    <w:rsid w:val="008D2542"/>
    <w:rsid w:val="008D4679"/>
    <w:rsid w:val="008D4C0F"/>
    <w:rsid w:val="008E3BDC"/>
    <w:rsid w:val="008E50AA"/>
    <w:rsid w:val="008E7A15"/>
    <w:rsid w:val="008F2F39"/>
    <w:rsid w:val="008F6A41"/>
    <w:rsid w:val="008F792D"/>
    <w:rsid w:val="0090047A"/>
    <w:rsid w:val="00902F5E"/>
    <w:rsid w:val="00905CF6"/>
    <w:rsid w:val="009113FA"/>
    <w:rsid w:val="00920240"/>
    <w:rsid w:val="0092377F"/>
    <w:rsid w:val="00940105"/>
    <w:rsid w:val="009410E6"/>
    <w:rsid w:val="00941DF2"/>
    <w:rsid w:val="00942A1B"/>
    <w:rsid w:val="00943C11"/>
    <w:rsid w:val="00944A66"/>
    <w:rsid w:val="00944CE6"/>
    <w:rsid w:val="0094626A"/>
    <w:rsid w:val="009477D0"/>
    <w:rsid w:val="00947A4B"/>
    <w:rsid w:val="00953064"/>
    <w:rsid w:val="00957F4D"/>
    <w:rsid w:val="00961C75"/>
    <w:rsid w:val="009637C4"/>
    <w:rsid w:val="00964C4B"/>
    <w:rsid w:val="00970E43"/>
    <w:rsid w:val="009734CC"/>
    <w:rsid w:val="00974178"/>
    <w:rsid w:val="009763F4"/>
    <w:rsid w:val="00977369"/>
    <w:rsid w:val="00980129"/>
    <w:rsid w:val="009822F0"/>
    <w:rsid w:val="00983F7C"/>
    <w:rsid w:val="00986E20"/>
    <w:rsid w:val="00987044"/>
    <w:rsid w:val="0099554D"/>
    <w:rsid w:val="009A2150"/>
    <w:rsid w:val="009A57F1"/>
    <w:rsid w:val="009A6275"/>
    <w:rsid w:val="009A64FA"/>
    <w:rsid w:val="009A69EF"/>
    <w:rsid w:val="009B4916"/>
    <w:rsid w:val="009B7355"/>
    <w:rsid w:val="009B7CD4"/>
    <w:rsid w:val="009B7DDE"/>
    <w:rsid w:val="009C0065"/>
    <w:rsid w:val="009C6D70"/>
    <w:rsid w:val="009C7B70"/>
    <w:rsid w:val="009D23EE"/>
    <w:rsid w:val="009D3893"/>
    <w:rsid w:val="009D397C"/>
    <w:rsid w:val="009D403A"/>
    <w:rsid w:val="009D67B2"/>
    <w:rsid w:val="009E00B5"/>
    <w:rsid w:val="009E067F"/>
    <w:rsid w:val="009E2A87"/>
    <w:rsid w:val="009E40E3"/>
    <w:rsid w:val="009E673F"/>
    <w:rsid w:val="009F0ACF"/>
    <w:rsid w:val="009F117C"/>
    <w:rsid w:val="009F4F5C"/>
    <w:rsid w:val="009F6125"/>
    <w:rsid w:val="009F73BB"/>
    <w:rsid w:val="009F7F27"/>
    <w:rsid w:val="00A0020B"/>
    <w:rsid w:val="00A012E5"/>
    <w:rsid w:val="00A015F4"/>
    <w:rsid w:val="00A03FF6"/>
    <w:rsid w:val="00A0700C"/>
    <w:rsid w:val="00A16003"/>
    <w:rsid w:val="00A171C1"/>
    <w:rsid w:val="00A22236"/>
    <w:rsid w:val="00A25633"/>
    <w:rsid w:val="00A27775"/>
    <w:rsid w:val="00A31588"/>
    <w:rsid w:val="00A3230F"/>
    <w:rsid w:val="00A32D89"/>
    <w:rsid w:val="00A34B56"/>
    <w:rsid w:val="00A35F02"/>
    <w:rsid w:val="00A36E84"/>
    <w:rsid w:val="00A37C28"/>
    <w:rsid w:val="00A43EEA"/>
    <w:rsid w:val="00A4685D"/>
    <w:rsid w:val="00A50E9A"/>
    <w:rsid w:val="00A50F9F"/>
    <w:rsid w:val="00A561D7"/>
    <w:rsid w:val="00A65BD0"/>
    <w:rsid w:val="00A71E6A"/>
    <w:rsid w:val="00A7294A"/>
    <w:rsid w:val="00A72D03"/>
    <w:rsid w:val="00A74BFB"/>
    <w:rsid w:val="00A82F3F"/>
    <w:rsid w:val="00A848D9"/>
    <w:rsid w:val="00A87BEB"/>
    <w:rsid w:val="00A9009D"/>
    <w:rsid w:val="00A91514"/>
    <w:rsid w:val="00A92A31"/>
    <w:rsid w:val="00A959D6"/>
    <w:rsid w:val="00AA0FB2"/>
    <w:rsid w:val="00AA3B71"/>
    <w:rsid w:val="00AA62DB"/>
    <w:rsid w:val="00AA7B7D"/>
    <w:rsid w:val="00AB4698"/>
    <w:rsid w:val="00AB48C1"/>
    <w:rsid w:val="00AB48F7"/>
    <w:rsid w:val="00AB4B95"/>
    <w:rsid w:val="00AB64F7"/>
    <w:rsid w:val="00AB6592"/>
    <w:rsid w:val="00AC3D86"/>
    <w:rsid w:val="00AC7C63"/>
    <w:rsid w:val="00AD3502"/>
    <w:rsid w:val="00AD5D5B"/>
    <w:rsid w:val="00AE1AFA"/>
    <w:rsid w:val="00AE5521"/>
    <w:rsid w:val="00AF2091"/>
    <w:rsid w:val="00AF29E5"/>
    <w:rsid w:val="00AF609F"/>
    <w:rsid w:val="00AF7A86"/>
    <w:rsid w:val="00B02050"/>
    <w:rsid w:val="00B03B54"/>
    <w:rsid w:val="00B0591C"/>
    <w:rsid w:val="00B07873"/>
    <w:rsid w:val="00B102B1"/>
    <w:rsid w:val="00B116B3"/>
    <w:rsid w:val="00B13323"/>
    <w:rsid w:val="00B15310"/>
    <w:rsid w:val="00B21765"/>
    <w:rsid w:val="00B24112"/>
    <w:rsid w:val="00B25E46"/>
    <w:rsid w:val="00B26751"/>
    <w:rsid w:val="00B26909"/>
    <w:rsid w:val="00B32B83"/>
    <w:rsid w:val="00B35D71"/>
    <w:rsid w:val="00B401E2"/>
    <w:rsid w:val="00B44E21"/>
    <w:rsid w:val="00B451A0"/>
    <w:rsid w:val="00B45244"/>
    <w:rsid w:val="00B5067E"/>
    <w:rsid w:val="00B527C9"/>
    <w:rsid w:val="00B53B9A"/>
    <w:rsid w:val="00B55099"/>
    <w:rsid w:val="00B55A8A"/>
    <w:rsid w:val="00B60CC7"/>
    <w:rsid w:val="00B64795"/>
    <w:rsid w:val="00B662F6"/>
    <w:rsid w:val="00B7088E"/>
    <w:rsid w:val="00B714A7"/>
    <w:rsid w:val="00B71EFB"/>
    <w:rsid w:val="00B739D5"/>
    <w:rsid w:val="00B74B30"/>
    <w:rsid w:val="00B74E36"/>
    <w:rsid w:val="00B754E9"/>
    <w:rsid w:val="00B822B5"/>
    <w:rsid w:val="00B841A8"/>
    <w:rsid w:val="00B852FB"/>
    <w:rsid w:val="00B8683F"/>
    <w:rsid w:val="00B87DD3"/>
    <w:rsid w:val="00B9417A"/>
    <w:rsid w:val="00B952FD"/>
    <w:rsid w:val="00BA4006"/>
    <w:rsid w:val="00BA5656"/>
    <w:rsid w:val="00BB34F3"/>
    <w:rsid w:val="00BC097A"/>
    <w:rsid w:val="00BC1847"/>
    <w:rsid w:val="00BC2741"/>
    <w:rsid w:val="00BC3449"/>
    <w:rsid w:val="00BC6803"/>
    <w:rsid w:val="00BC7460"/>
    <w:rsid w:val="00BC7703"/>
    <w:rsid w:val="00BE18B7"/>
    <w:rsid w:val="00BE3D4B"/>
    <w:rsid w:val="00BF0C0B"/>
    <w:rsid w:val="00C003B2"/>
    <w:rsid w:val="00C021CC"/>
    <w:rsid w:val="00C02A75"/>
    <w:rsid w:val="00C14207"/>
    <w:rsid w:val="00C22A4C"/>
    <w:rsid w:val="00C24F32"/>
    <w:rsid w:val="00C311D6"/>
    <w:rsid w:val="00C31794"/>
    <w:rsid w:val="00C32219"/>
    <w:rsid w:val="00C32EAC"/>
    <w:rsid w:val="00C33814"/>
    <w:rsid w:val="00C37F86"/>
    <w:rsid w:val="00C43F04"/>
    <w:rsid w:val="00C4427D"/>
    <w:rsid w:val="00C47EC5"/>
    <w:rsid w:val="00C50E97"/>
    <w:rsid w:val="00C51794"/>
    <w:rsid w:val="00C567CD"/>
    <w:rsid w:val="00C56B2B"/>
    <w:rsid w:val="00C675D3"/>
    <w:rsid w:val="00C70679"/>
    <w:rsid w:val="00C7164E"/>
    <w:rsid w:val="00C76E1E"/>
    <w:rsid w:val="00C82C82"/>
    <w:rsid w:val="00C83237"/>
    <w:rsid w:val="00C83EAE"/>
    <w:rsid w:val="00C8416C"/>
    <w:rsid w:val="00C8703D"/>
    <w:rsid w:val="00C92500"/>
    <w:rsid w:val="00C95DE8"/>
    <w:rsid w:val="00C95DEE"/>
    <w:rsid w:val="00CB17C7"/>
    <w:rsid w:val="00CB6866"/>
    <w:rsid w:val="00CB6BFA"/>
    <w:rsid w:val="00CB7879"/>
    <w:rsid w:val="00CC0A8B"/>
    <w:rsid w:val="00CC2A6E"/>
    <w:rsid w:val="00CC2F4C"/>
    <w:rsid w:val="00CC4B1D"/>
    <w:rsid w:val="00CC52F9"/>
    <w:rsid w:val="00CC7000"/>
    <w:rsid w:val="00CC7B73"/>
    <w:rsid w:val="00CC7FD9"/>
    <w:rsid w:val="00CD0011"/>
    <w:rsid w:val="00CD221A"/>
    <w:rsid w:val="00CD6A62"/>
    <w:rsid w:val="00CD76D4"/>
    <w:rsid w:val="00CE1E9B"/>
    <w:rsid w:val="00CE2E87"/>
    <w:rsid w:val="00CE3C47"/>
    <w:rsid w:val="00CE7142"/>
    <w:rsid w:val="00CF0A5E"/>
    <w:rsid w:val="00CF2E7E"/>
    <w:rsid w:val="00D02A31"/>
    <w:rsid w:val="00D05F7B"/>
    <w:rsid w:val="00D152F7"/>
    <w:rsid w:val="00D33C07"/>
    <w:rsid w:val="00D41BC8"/>
    <w:rsid w:val="00D4329F"/>
    <w:rsid w:val="00D44F66"/>
    <w:rsid w:val="00D450E4"/>
    <w:rsid w:val="00D4692F"/>
    <w:rsid w:val="00D517C6"/>
    <w:rsid w:val="00D51F60"/>
    <w:rsid w:val="00D55150"/>
    <w:rsid w:val="00D745F9"/>
    <w:rsid w:val="00D7798E"/>
    <w:rsid w:val="00D830C3"/>
    <w:rsid w:val="00D8458B"/>
    <w:rsid w:val="00D84772"/>
    <w:rsid w:val="00D8784B"/>
    <w:rsid w:val="00DA0129"/>
    <w:rsid w:val="00DA2CD1"/>
    <w:rsid w:val="00DB00A7"/>
    <w:rsid w:val="00DB02CA"/>
    <w:rsid w:val="00DB49D1"/>
    <w:rsid w:val="00DC0FA9"/>
    <w:rsid w:val="00DC5D74"/>
    <w:rsid w:val="00DD029F"/>
    <w:rsid w:val="00DD6DCA"/>
    <w:rsid w:val="00DE0F30"/>
    <w:rsid w:val="00DE410E"/>
    <w:rsid w:val="00DF1753"/>
    <w:rsid w:val="00DF6A9A"/>
    <w:rsid w:val="00DF6F4F"/>
    <w:rsid w:val="00E018C7"/>
    <w:rsid w:val="00E01A07"/>
    <w:rsid w:val="00E02752"/>
    <w:rsid w:val="00E038D1"/>
    <w:rsid w:val="00E069AC"/>
    <w:rsid w:val="00E07DD0"/>
    <w:rsid w:val="00E171A4"/>
    <w:rsid w:val="00E22AFC"/>
    <w:rsid w:val="00E2384E"/>
    <w:rsid w:val="00E243F7"/>
    <w:rsid w:val="00E2481E"/>
    <w:rsid w:val="00E249E1"/>
    <w:rsid w:val="00E24A99"/>
    <w:rsid w:val="00E30F23"/>
    <w:rsid w:val="00E31934"/>
    <w:rsid w:val="00E34BDC"/>
    <w:rsid w:val="00E40910"/>
    <w:rsid w:val="00E42856"/>
    <w:rsid w:val="00E4382D"/>
    <w:rsid w:val="00E51ED4"/>
    <w:rsid w:val="00E52C33"/>
    <w:rsid w:val="00E5319D"/>
    <w:rsid w:val="00E57366"/>
    <w:rsid w:val="00E617AB"/>
    <w:rsid w:val="00E65550"/>
    <w:rsid w:val="00E65694"/>
    <w:rsid w:val="00E65F8C"/>
    <w:rsid w:val="00E673EB"/>
    <w:rsid w:val="00E701F5"/>
    <w:rsid w:val="00E713FC"/>
    <w:rsid w:val="00E826BC"/>
    <w:rsid w:val="00E827D8"/>
    <w:rsid w:val="00E84416"/>
    <w:rsid w:val="00E85338"/>
    <w:rsid w:val="00E85ACE"/>
    <w:rsid w:val="00E91FC4"/>
    <w:rsid w:val="00EA03EA"/>
    <w:rsid w:val="00EB2CAD"/>
    <w:rsid w:val="00EB67C3"/>
    <w:rsid w:val="00EB6EC5"/>
    <w:rsid w:val="00EB710C"/>
    <w:rsid w:val="00EC4F56"/>
    <w:rsid w:val="00EC51F7"/>
    <w:rsid w:val="00ED11E3"/>
    <w:rsid w:val="00ED2263"/>
    <w:rsid w:val="00ED27D2"/>
    <w:rsid w:val="00ED5492"/>
    <w:rsid w:val="00EE4A3B"/>
    <w:rsid w:val="00EE741F"/>
    <w:rsid w:val="00EF232E"/>
    <w:rsid w:val="00EF3CC2"/>
    <w:rsid w:val="00EF6F0F"/>
    <w:rsid w:val="00EF75E0"/>
    <w:rsid w:val="00F02CD8"/>
    <w:rsid w:val="00F04FA5"/>
    <w:rsid w:val="00F06137"/>
    <w:rsid w:val="00F07A31"/>
    <w:rsid w:val="00F09BF3"/>
    <w:rsid w:val="00F11E00"/>
    <w:rsid w:val="00F14D6C"/>
    <w:rsid w:val="00F26F6D"/>
    <w:rsid w:val="00F34A00"/>
    <w:rsid w:val="00F4047D"/>
    <w:rsid w:val="00F42330"/>
    <w:rsid w:val="00F42558"/>
    <w:rsid w:val="00F425E2"/>
    <w:rsid w:val="00F42F8A"/>
    <w:rsid w:val="00F439EE"/>
    <w:rsid w:val="00F467E4"/>
    <w:rsid w:val="00F5079E"/>
    <w:rsid w:val="00F557E2"/>
    <w:rsid w:val="00F5611B"/>
    <w:rsid w:val="00F5642D"/>
    <w:rsid w:val="00F56560"/>
    <w:rsid w:val="00F6120F"/>
    <w:rsid w:val="00F61A16"/>
    <w:rsid w:val="00F6237C"/>
    <w:rsid w:val="00F66CDF"/>
    <w:rsid w:val="00F67BA4"/>
    <w:rsid w:val="00F715DD"/>
    <w:rsid w:val="00F726B1"/>
    <w:rsid w:val="00F72DA4"/>
    <w:rsid w:val="00F7511F"/>
    <w:rsid w:val="00F75291"/>
    <w:rsid w:val="00F75CAE"/>
    <w:rsid w:val="00F76AA1"/>
    <w:rsid w:val="00F774B4"/>
    <w:rsid w:val="00F817E2"/>
    <w:rsid w:val="00F8234C"/>
    <w:rsid w:val="00F9278E"/>
    <w:rsid w:val="00F93DD4"/>
    <w:rsid w:val="00F95081"/>
    <w:rsid w:val="00FA3381"/>
    <w:rsid w:val="00FA4DF3"/>
    <w:rsid w:val="00FA5B32"/>
    <w:rsid w:val="00FB10BC"/>
    <w:rsid w:val="00FB15A3"/>
    <w:rsid w:val="00FB18D6"/>
    <w:rsid w:val="00FB2C2D"/>
    <w:rsid w:val="00FB6344"/>
    <w:rsid w:val="00FC6C79"/>
    <w:rsid w:val="00FD34CE"/>
    <w:rsid w:val="00FD5DD3"/>
    <w:rsid w:val="00FD6F05"/>
    <w:rsid w:val="00FE0783"/>
    <w:rsid w:val="00FE27B3"/>
    <w:rsid w:val="00FE345B"/>
    <w:rsid w:val="00FF2ED3"/>
    <w:rsid w:val="01C4A20F"/>
    <w:rsid w:val="028ACB5D"/>
    <w:rsid w:val="033136FC"/>
    <w:rsid w:val="0333C7BA"/>
    <w:rsid w:val="03730650"/>
    <w:rsid w:val="03967653"/>
    <w:rsid w:val="03C49134"/>
    <w:rsid w:val="04039C63"/>
    <w:rsid w:val="040BB343"/>
    <w:rsid w:val="04B2E9B8"/>
    <w:rsid w:val="050069F8"/>
    <w:rsid w:val="05105ABD"/>
    <w:rsid w:val="065D81E1"/>
    <w:rsid w:val="06CBF484"/>
    <w:rsid w:val="073B78C9"/>
    <w:rsid w:val="07C054DD"/>
    <w:rsid w:val="07C1F3D9"/>
    <w:rsid w:val="07EC9C50"/>
    <w:rsid w:val="088E37DD"/>
    <w:rsid w:val="089A7F09"/>
    <w:rsid w:val="08A552F6"/>
    <w:rsid w:val="08BEE310"/>
    <w:rsid w:val="08BF1F58"/>
    <w:rsid w:val="08C796FD"/>
    <w:rsid w:val="08CF48C1"/>
    <w:rsid w:val="08E25B98"/>
    <w:rsid w:val="08FCCF75"/>
    <w:rsid w:val="0909A659"/>
    <w:rsid w:val="0928CC58"/>
    <w:rsid w:val="09695352"/>
    <w:rsid w:val="09BAA243"/>
    <w:rsid w:val="0A177429"/>
    <w:rsid w:val="0A49B2C7"/>
    <w:rsid w:val="0AE5AC28"/>
    <w:rsid w:val="0B14A084"/>
    <w:rsid w:val="0B85875C"/>
    <w:rsid w:val="0CA67218"/>
    <w:rsid w:val="0CF15727"/>
    <w:rsid w:val="0DB558AF"/>
    <w:rsid w:val="0DEA0558"/>
    <w:rsid w:val="0E0B4750"/>
    <w:rsid w:val="0E1F83CA"/>
    <w:rsid w:val="0E538E25"/>
    <w:rsid w:val="0E9983E2"/>
    <w:rsid w:val="0ED13883"/>
    <w:rsid w:val="0ED361E2"/>
    <w:rsid w:val="0EFCC495"/>
    <w:rsid w:val="0FE52DBA"/>
    <w:rsid w:val="10114190"/>
    <w:rsid w:val="10970D05"/>
    <w:rsid w:val="1105954E"/>
    <w:rsid w:val="117EC36D"/>
    <w:rsid w:val="1200D9B3"/>
    <w:rsid w:val="12577C7E"/>
    <w:rsid w:val="136AD3CC"/>
    <w:rsid w:val="13B8B662"/>
    <w:rsid w:val="1416C27D"/>
    <w:rsid w:val="148C57CF"/>
    <w:rsid w:val="14A1E73A"/>
    <w:rsid w:val="14BE1753"/>
    <w:rsid w:val="1554D2D9"/>
    <w:rsid w:val="15C1B6CB"/>
    <w:rsid w:val="15EE1A98"/>
    <w:rsid w:val="17A771BA"/>
    <w:rsid w:val="17C4B64E"/>
    <w:rsid w:val="17D77595"/>
    <w:rsid w:val="17E4F25B"/>
    <w:rsid w:val="18B5ABF9"/>
    <w:rsid w:val="18BCA921"/>
    <w:rsid w:val="191470CD"/>
    <w:rsid w:val="19274AA0"/>
    <w:rsid w:val="193E4BB1"/>
    <w:rsid w:val="198551CB"/>
    <w:rsid w:val="19A099CD"/>
    <w:rsid w:val="19D45E00"/>
    <w:rsid w:val="1A46271D"/>
    <w:rsid w:val="1A4E87B0"/>
    <w:rsid w:val="1A7E1BE1"/>
    <w:rsid w:val="1B8635C8"/>
    <w:rsid w:val="1B95C4DA"/>
    <w:rsid w:val="1BA6B8A5"/>
    <w:rsid w:val="1BAB0B13"/>
    <w:rsid w:val="1BD470BF"/>
    <w:rsid w:val="1BE79B29"/>
    <w:rsid w:val="1CACFCC7"/>
    <w:rsid w:val="1CAEA923"/>
    <w:rsid w:val="1CD48AD3"/>
    <w:rsid w:val="1D5D28F6"/>
    <w:rsid w:val="1D70CF06"/>
    <w:rsid w:val="1DD21967"/>
    <w:rsid w:val="1DE36060"/>
    <w:rsid w:val="1E71AB59"/>
    <w:rsid w:val="1E875990"/>
    <w:rsid w:val="1FD6F984"/>
    <w:rsid w:val="200ECEB2"/>
    <w:rsid w:val="20218515"/>
    <w:rsid w:val="2025D5DB"/>
    <w:rsid w:val="2091CACF"/>
    <w:rsid w:val="2136FF47"/>
    <w:rsid w:val="213BDE37"/>
    <w:rsid w:val="21CF4B53"/>
    <w:rsid w:val="22298246"/>
    <w:rsid w:val="2249096A"/>
    <w:rsid w:val="227C6021"/>
    <w:rsid w:val="2286ABA5"/>
    <w:rsid w:val="22BC8F4E"/>
    <w:rsid w:val="2323D842"/>
    <w:rsid w:val="2376ED62"/>
    <w:rsid w:val="237C53BA"/>
    <w:rsid w:val="23A1D3BC"/>
    <w:rsid w:val="23E02AB8"/>
    <w:rsid w:val="2432945E"/>
    <w:rsid w:val="2482446B"/>
    <w:rsid w:val="24B4D2C7"/>
    <w:rsid w:val="24F896EC"/>
    <w:rsid w:val="25126ED6"/>
    <w:rsid w:val="2558B748"/>
    <w:rsid w:val="25B2CCFC"/>
    <w:rsid w:val="25DADCC4"/>
    <w:rsid w:val="26109C87"/>
    <w:rsid w:val="26D34AF3"/>
    <w:rsid w:val="2733F405"/>
    <w:rsid w:val="27BFF2B0"/>
    <w:rsid w:val="27D14E81"/>
    <w:rsid w:val="27D29E89"/>
    <w:rsid w:val="2829C7BF"/>
    <w:rsid w:val="2830A703"/>
    <w:rsid w:val="28947B20"/>
    <w:rsid w:val="2981FA49"/>
    <w:rsid w:val="29A275A2"/>
    <w:rsid w:val="29A88B57"/>
    <w:rsid w:val="2AD63C89"/>
    <w:rsid w:val="2C19A750"/>
    <w:rsid w:val="2C4E316B"/>
    <w:rsid w:val="2CB25665"/>
    <w:rsid w:val="2CC48408"/>
    <w:rsid w:val="2D086557"/>
    <w:rsid w:val="2D1ADC5D"/>
    <w:rsid w:val="2D1E8EDA"/>
    <w:rsid w:val="2D43CE1B"/>
    <w:rsid w:val="2D518DD6"/>
    <w:rsid w:val="2DD477D8"/>
    <w:rsid w:val="2E03A8E0"/>
    <w:rsid w:val="2E0E57CE"/>
    <w:rsid w:val="2E19128A"/>
    <w:rsid w:val="2E3C2E37"/>
    <w:rsid w:val="2E6DEBD6"/>
    <w:rsid w:val="2EA77CFA"/>
    <w:rsid w:val="2FA3DCDE"/>
    <w:rsid w:val="2FF8115B"/>
    <w:rsid w:val="30E430CA"/>
    <w:rsid w:val="3140CA98"/>
    <w:rsid w:val="315480BE"/>
    <w:rsid w:val="316AE988"/>
    <w:rsid w:val="317169F0"/>
    <w:rsid w:val="31768280"/>
    <w:rsid w:val="32B29619"/>
    <w:rsid w:val="33766517"/>
    <w:rsid w:val="337DFAC2"/>
    <w:rsid w:val="340CBB8C"/>
    <w:rsid w:val="3420B842"/>
    <w:rsid w:val="3447A2D4"/>
    <w:rsid w:val="347B7017"/>
    <w:rsid w:val="350B5AA9"/>
    <w:rsid w:val="352ACB5F"/>
    <w:rsid w:val="35508157"/>
    <w:rsid w:val="35A79C3F"/>
    <w:rsid w:val="35E10084"/>
    <w:rsid w:val="369382A5"/>
    <w:rsid w:val="3700CA3A"/>
    <w:rsid w:val="372EFED8"/>
    <w:rsid w:val="3790CD61"/>
    <w:rsid w:val="37A1F780"/>
    <w:rsid w:val="38AC2126"/>
    <w:rsid w:val="398DC654"/>
    <w:rsid w:val="39AA6CF2"/>
    <w:rsid w:val="39CF8AFB"/>
    <w:rsid w:val="3A9008C1"/>
    <w:rsid w:val="3B08495D"/>
    <w:rsid w:val="3B582F23"/>
    <w:rsid w:val="3B6C239D"/>
    <w:rsid w:val="3C1EF5AE"/>
    <w:rsid w:val="3C8DF2BF"/>
    <w:rsid w:val="3D11F650"/>
    <w:rsid w:val="3D69EA73"/>
    <w:rsid w:val="3E0EDBC4"/>
    <w:rsid w:val="3F20A043"/>
    <w:rsid w:val="3FA4BF68"/>
    <w:rsid w:val="403C8A19"/>
    <w:rsid w:val="40FF456A"/>
    <w:rsid w:val="41112324"/>
    <w:rsid w:val="41122832"/>
    <w:rsid w:val="41E86D5C"/>
    <w:rsid w:val="4232820F"/>
    <w:rsid w:val="427A847D"/>
    <w:rsid w:val="42BF888C"/>
    <w:rsid w:val="42DF266B"/>
    <w:rsid w:val="43485898"/>
    <w:rsid w:val="43DE001F"/>
    <w:rsid w:val="441848C8"/>
    <w:rsid w:val="44231E67"/>
    <w:rsid w:val="44A1128E"/>
    <w:rsid w:val="44C7F77C"/>
    <w:rsid w:val="44CD889D"/>
    <w:rsid w:val="44DFB91C"/>
    <w:rsid w:val="4530619E"/>
    <w:rsid w:val="454193E7"/>
    <w:rsid w:val="4587E7D9"/>
    <w:rsid w:val="45AD0C59"/>
    <w:rsid w:val="46557482"/>
    <w:rsid w:val="4665EE85"/>
    <w:rsid w:val="46B6DDE2"/>
    <w:rsid w:val="46F05A0F"/>
    <w:rsid w:val="46F2F77A"/>
    <w:rsid w:val="4822093F"/>
    <w:rsid w:val="4823B13E"/>
    <w:rsid w:val="485B0118"/>
    <w:rsid w:val="4886FB2C"/>
    <w:rsid w:val="4896A525"/>
    <w:rsid w:val="49C57839"/>
    <w:rsid w:val="4A430697"/>
    <w:rsid w:val="4AA0AE7C"/>
    <w:rsid w:val="4BFB1A2C"/>
    <w:rsid w:val="4C6AB3AA"/>
    <w:rsid w:val="4C7B521A"/>
    <w:rsid w:val="4CBDBBD6"/>
    <w:rsid w:val="4D5F1F13"/>
    <w:rsid w:val="4D74F7B8"/>
    <w:rsid w:val="4DABC4C6"/>
    <w:rsid w:val="4E0724F7"/>
    <w:rsid w:val="4E244BFF"/>
    <w:rsid w:val="4E2B9890"/>
    <w:rsid w:val="4E503ED2"/>
    <w:rsid w:val="4E951653"/>
    <w:rsid w:val="4EA6C533"/>
    <w:rsid w:val="4F504876"/>
    <w:rsid w:val="4FB43CE2"/>
    <w:rsid w:val="500DDC4B"/>
    <w:rsid w:val="505013DC"/>
    <w:rsid w:val="50687415"/>
    <w:rsid w:val="50AB4D92"/>
    <w:rsid w:val="50EFDA7D"/>
    <w:rsid w:val="513F2F68"/>
    <w:rsid w:val="51686788"/>
    <w:rsid w:val="51BE8D4F"/>
    <w:rsid w:val="51F3C2AA"/>
    <w:rsid w:val="51FD6FE8"/>
    <w:rsid w:val="52D1B6C5"/>
    <w:rsid w:val="533DDE6E"/>
    <w:rsid w:val="53B92FC5"/>
    <w:rsid w:val="54A0BCAB"/>
    <w:rsid w:val="551AF403"/>
    <w:rsid w:val="552352B1"/>
    <w:rsid w:val="55787C71"/>
    <w:rsid w:val="557C9118"/>
    <w:rsid w:val="557D9438"/>
    <w:rsid w:val="562CAFB1"/>
    <w:rsid w:val="56AA6E7A"/>
    <w:rsid w:val="571141C4"/>
    <w:rsid w:val="5729C787"/>
    <w:rsid w:val="57BFF59E"/>
    <w:rsid w:val="57E5E28D"/>
    <w:rsid w:val="587B7366"/>
    <w:rsid w:val="588168A7"/>
    <w:rsid w:val="58828917"/>
    <w:rsid w:val="589D4ADF"/>
    <w:rsid w:val="58F652FC"/>
    <w:rsid w:val="593D0C12"/>
    <w:rsid w:val="5949C57B"/>
    <w:rsid w:val="59A34FEC"/>
    <w:rsid w:val="59C05F76"/>
    <w:rsid w:val="59F77791"/>
    <w:rsid w:val="5A44D98C"/>
    <w:rsid w:val="5A5157C6"/>
    <w:rsid w:val="5A86F41D"/>
    <w:rsid w:val="5AA89272"/>
    <w:rsid w:val="5B11E42D"/>
    <w:rsid w:val="5BA56A79"/>
    <w:rsid w:val="5C13435B"/>
    <w:rsid w:val="5C159F1A"/>
    <w:rsid w:val="5C5E0625"/>
    <w:rsid w:val="5CFFB3F2"/>
    <w:rsid w:val="5D6CF42A"/>
    <w:rsid w:val="5E071FFD"/>
    <w:rsid w:val="5E4BD340"/>
    <w:rsid w:val="5E5F89CC"/>
    <w:rsid w:val="5E7134CB"/>
    <w:rsid w:val="5F1B2C28"/>
    <w:rsid w:val="5F546DD1"/>
    <w:rsid w:val="5F87CB77"/>
    <w:rsid w:val="5FFF5FF0"/>
    <w:rsid w:val="60571E33"/>
    <w:rsid w:val="60D4DB11"/>
    <w:rsid w:val="60D99AD2"/>
    <w:rsid w:val="616F3ED5"/>
    <w:rsid w:val="61D6356F"/>
    <w:rsid w:val="62340DAC"/>
    <w:rsid w:val="627DD2BE"/>
    <w:rsid w:val="62E20CC2"/>
    <w:rsid w:val="641CBAC7"/>
    <w:rsid w:val="64665086"/>
    <w:rsid w:val="646B58DD"/>
    <w:rsid w:val="653AF2E6"/>
    <w:rsid w:val="656882E9"/>
    <w:rsid w:val="65974CD5"/>
    <w:rsid w:val="661637E5"/>
    <w:rsid w:val="66C9E9B8"/>
    <w:rsid w:val="66CE22D5"/>
    <w:rsid w:val="672E0D0E"/>
    <w:rsid w:val="67512D48"/>
    <w:rsid w:val="678762EC"/>
    <w:rsid w:val="67A309D9"/>
    <w:rsid w:val="67CD9458"/>
    <w:rsid w:val="6888B029"/>
    <w:rsid w:val="68CCE40A"/>
    <w:rsid w:val="694322DC"/>
    <w:rsid w:val="6966E3AE"/>
    <w:rsid w:val="6979341B"/>
    <w:rsid w:val="69E04BFF"/>
    <w:rsid w:val="6A045FB5"/>
    <w:rsid w:val="6A0B31F5"/>
    <w:rsid w:val="6A1E47EC"/>
    <w:rsid w:val="6A80363C"/>
    <w:rsid w:val="6AB0D484"/>
    <w:rsid w:val="6BD96036"/>
    <w:rsid w:val="6D3BDB30"/>
    <w:rsid w:val="6D6B056C"/>
    <w:rsid w:val="6E6F620A"/>
    <w:rsid w:val="6F728399"/>
    <w:rsid w:val="6F852233"/>
    <w:rsid w:val="6FB95F86"/>
    <w:rsid w:val="6FE8BF14"/>
    <w:rsid w:val="6FEEFCC4"/>
    <w:rsid w:val="6FFFA5E5"/>
    <w:rsid w:val="7030C29C"/>
    <w:rsid w:val="7038A928"/>
    <w:rsid w:val="704E2CD3"/>
    <w:rsid w:val="70982A40"/>
    <w:rsid w:val="709C76E7"/>
    <w:rsid w:val="714EBCB7"/>
    <w:rsid w:val="717DFFDD"/>
    <w:rsid w:val="71DD97F9"/>
    <w:rsid w:val="71DF3000"/>
    <w:rsid w:val="720EAD54"/>
    <w:rsid w:val="7270FB32"/>
    <w:rsid w:val="729E8B19"/>
    <w:rsid w:val="72CF2D4D"/>
    <w:rsid w:val="72F2074B"/>
    <w:rsid w:val="73480835"/>
    <w:rsid w:val="73E294CC"/>
    <w:rsid w:val="747BA03B"/>
    <w:rsid w:val="7532D643"/>
    <w:rsid w:val="75A7DA38"/>
    <w:rsid w:val="75AD2508"/>
    <w:rsid w:val="75BEE6EA"/>
    <w:rsid w:val="764BE989"/>
    <w:rsid w:val="76B36C0F"/>
    <w:rsid w:val="7767DC14"/>
    <w:rsid w:val="77A928DC"/>
    <w:rsid w:val="78537DF2"/>
    <w:rsid w:val="785CDDCC"/>
    <w:rsid w:val="789091F6"/>
    <w:rsid w:val="78F663E8"/>
    <w:rsid w:val="7919EAA1"/>
    <w:rsid w:val="7959CEEF"/>
    <w:rsid w:val="797376E3"/>
    <w:rsid w:val="79C33B0F"/>
    <w:rsid w:val="79C4ED6A"/>
    <w:rsid w:val="79F99FDE"/>
    <w:rsid w:val="7A5E72DB"/>
    <w:rsid w:val="7A980C49"/>
    <w:rsid w:val="7AB834E7"/>
    <w:rsid w:val="7AC2A541"/>
    <w:rsid w:val="7B45DF86"/>
    <w:rsid w:val="7B5CCD55"/>
    <w:rsid w:val="7C1E6BC6"/>
    <w:rsid w:val="7C3633FB"/>
    <w:rsid w:val="7C9CECD2"/>
    <w:rsid w:val="7CF813ED"/>
    <w:rsid w:val="7D029A89"/>
    <w:rsid w:val="7D0487C0"/>
    <w:rsid w:val="7D15753A"/>
    <w:rsid w:val="7D1AE22C"/>
    <w:rsid w:val="7D65C006"/>
    <w:rsid w:val="7DD7B418"/>
    <w:rsid w:val="7DEDC5CB"/>
    <w:rsid w:val="7E4CF16D"/>
    <w:rsid w:val="7E83DF42"/>
    <w:rsid w:val="7EE4F7B8"/>
    <w:rsid w:val="7EF33296"/>
    <w:rsid w:val="7EF75521"/>
    <w:rsid w:val="7F376ED7"/>
    <w:rsid w:val="7F76D5AF"/>
    <w:rsid w:val="7F988D7F"/>
    <w:rsid w:val="7FA2D763"/>
    <w:rsid w:val="7FF5AB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4C4A5"/>
  <w15:chartTrackingRefBased/>
  <w15:docId w15:val="{1F1B9F16-3315-48CF-9481-802267C0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5DD"/>
    <w:rPr>
      <w:rFonts w:ascii="Arial" w:eastAsia="Arial" w:hAnsi="Arial" w:cs="Arial"/>
    </w:rPr>
  </w:style>
  <w:style w:type="paragraph" w:styleId="Heading1">
    <w:name w:val="heading 1"/>
    <w:basedOn w:val="Normal"/>
    <w:next w:val="Normal"/>
    <w:link w:val="Heading1Char"/>
    <w:uiPriority w:val="9"/>
    <w:qFormat/>
    <w:rsid w:val="00655441"/>
    <w:pPr>
      <w:keepNext/>
      <w:keepLines/>
      <w:spacing w:before="240" w:after="0"/>
      <w:outlineLvl w:val="0"/>
    </w:pPr>
    <w:rPr>
      <w:b/>
      <w:bCs/>
      <w:color w:val="2F5496" w:themeColor="accent1" w:themeShade="BF"/>
      <w:sz w:val="48"/>
      <w:szCs w:val="48"/>
    </w:rPr>
  </w:style>
  <w:style w:type="paragraph" w:styleId="Heading2">
    <w:name w:val="heading 2"/>
    <w:basedOn w:val="Normal"/>
    <w:next w:val="Normal"/>
    <w:link w:val="Heading2Char"/>
    <w:uiPriority w:val="9"/>
    <w:unhideWhenUsed/>
    <w:qFormat/>
    <w:rsid w:val="0063369B"/>
    <w:pPr>
      <w:keepNext/>
      <w:keepLines/>
      <w:spacing w:before="40" w:after="120"/>
      <w:outlineLvl w:val="1"/>
    </w:pPr>
    <w:rPr>
      <w:b/>
      <w:bCs/>
      <w:color w:val="001871"/>
      <w:sz w:val="38"/>
      <w:szCs w:val="32"/>
    </w:rPr>
  </w:style>
  <w:style w:type="paragraph" w:styleId="Heading3">
    <w:name w:val="heading 3"/>
    <w:basedOn w:val="Normal"/>
    <w:next w:val="Normal"/>
    <w:link w:val="Heading3Char"/>
    <w:uiPriority w:val="9"/>
    <w:unhideWhenUsed/>
    <w:qFormat/>
    <w:rsid w:val="006D4295"/>
    <w:pPr>
      <w:keepNext/>
      <w:keepLines/>
      <w:spacing w:before="40" w:after="120"/>
      <w:outlineLvl w:val="2"/>
    </w:pPr>
    <w:rPr>
      <w:b/>
      <w:bCs/>
      <w:color w:val="001871"/>
      <w:sz w:val="32"/>
      <w:szCs w:val="22"/>
    </w:rPr>
  </w:style>
  <w:style w:type="paragraph" w:styleId="Heading4">
    <w:name w:val="heading 4"/>
    <w:basedOn w:val="Normal"/>
    <w:next w:val="Normal"/>
    <w:link w:val="Heading4Char"/>
    <w:uiPriority w:val="9"/>
    <w:unhideWhenUsed/>
    <w:qFormat/>
    <w:rsid w:val="00792E22"/>
    <w:pPr>
      <w:keepNext/>
      <w:keepLines/>
      <w:spacing w:before="40" w:after="0"/>
      <w:outlineLvl w:val="3"/>
    </w:pPr>
    <w:rPr>
      <w:rFonts w:eastAsiaTheme="majorEastAsia" w:cstheme="majorBidi"/>
      <w:b/>
      <w:iCs/>
      <w:color w:val="001871"/>
      <w:sz w:val="28"/>
    </w:rPr>
  </w:style>
  <w:style w:type="paragraph" w:styleId="Heading5">
    <w:name w:val="heading 5"/>
    <w:basedOn w:val="Normal"/>
    <w:next w:val="Normal"/>
    <w:link w:val="Heading5Char"/>
    <w:uiPriority w:val="9"/>
    <w:unhideWhenUsed/>
    <w:qFormat/>
    <w:rsid w:val="002F1C3F"/>
    <w:pPr>
      <w:keepNext/>
      <w:keepLines/>
      <w:spacing w:before="40" w:after="0"/>
      <w:outlineLvl w:val="4"/>
    </w:pPr>
    <w:rPr>
      <w:rFonts w:eastAsiaTheme="majorEastAsia" w:cstheme="majorBidi"/>
      <w:color w:val="2F5496" w:themeColor="accent1" w:themeShade="BF"/>
      <w:sz w:val="26"/>
    </w:rPr>
  </w:style>
  <w:style w:type="paragraph" w:styleId="Heading6">
    <w:name w:val="heading 6"/>
    <w:basedOn w:val="Normal"/>
    <w:next w:val="Normal"/>
    <w:link w:val="Heading6Char"/>
    <w:uiPriority w:val="9"/>
    <w:unhideWhenUsed/>
    <w:qFormat/>
    <w:rsid w:val="002F1C3F"/>
    <w:pPr>
      <w:keepNext/>
      <w:keepLines/>
      <w:spacing w:before="40" w:after="0"/>
      <w:outlineLvl w:val="5"/>
    </w:pPr>
    <w:rPr>
      <w:rFonts w:eastAsiaTheme="majorEastAsia" w:cstheme="majorBidi"/>
      <w:i/>
      <w:color w:val="1F3763" w:themeColor="accent1" w:themeShade="7F"/>
    </w:rPr>
  </w:style>
  <w:style w:type="paragraph" w:styleId="Heading7">
    <w:name w:val="heading 7"/>
    <w:basedOn w:val="Normal"/>
    <w:next w:val="Normal"/>
    <w:link w:val="Heading7Char"/>
    <w:uiPriority w:val="9"/>
    <w:semiHidden/>
    <w:unhideWhenUsed/>
    <w:qFormat/>
    <w:rsid w:val="00E4091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441"/>
    <w:rPr>
      <w:rFonts w:ascii="Arial" w:eastAsia="Arial" w:hAnsi="Arial" w:cs="Arial"/>
      <w:b/>
      <w:bCs/>
      <w:color w:val="2F5496" w:themeColor="accent1" w:themeShade="BF"/>
      <w:sz w:val="48"/>
      <w:szCs w:val="48"/>
    </w:rPr>
  </w:style>
  <w:style w:type="character" w:customStyle="1" w:styleId="Heading2Char">
    <w:name w:val="Heading 2 Char"/>
    <w:basedOn w:val="DefaultParagraphFont"/>
    <w:link w:val="Heading2"/>
    <w:uiPriority w:val="9"/>
    <w:rsid w:val="0063369B"/>
    <w:rPr>
      <w:rFonts w:ascii="Arial" w:eastAsia="Arial" w:hAnsi="Arial" w:cs="Arial"/>
      <w:b/>
      <w:bCs/>
      <w:color w:val="001871"/>
      <w:sz w:val="38"/>
      <w:szCs w:val="32"/>
    </w:rPr>
  </w:style>
  <w:style w:type="character" w:customStyle="1" w:styleId="Heading3Char">
    <w:name w:val="Heading 3 Char"/>
    <w:basedOn w:val="DefaultParagraphFont"/>
    <w:link w:val="Heading3"/>
    <w:uiPriority w:val="9"/>
    <w:rsid w:val="006D4295"/>
    <w:rPr>
      <w:rFonts w:ascii="Arial" w:eastAsia="Arial" w:hAnsi="Arial" w:cs="Arial"/>
      <w:b/>
      <w:bCs/>
      <w:color w:val="001871"/>
      <w:sz w:val="32"/>
      <w:szCs w:val="22"/>
    </w:rPr>
  </w:style>
  <w:style w:type="character" w:styleId="Hyperlink">
    <w:name w:val="Hyperlink"/>
    <w:basedOn w:val="DefaultParagraphFont"/>
    <w:uiPriority w:val="99"/>
    <w:unhideWhenUsed/>
    <w:rsid w:val="00643FD7"/>
    <w:rPr>
      <w:color w:val="0563C1" w:themeColor="hyperlink"/>
      <w:u w:val="single"/>
    </w:rPr>
  </w:style>
  <w:style w:type="character" w:styleId="PlaceholderText">
    <w:name w:val="Placeholder Text"/>
    <w:basedOn w:val="DefaultParagraphFont"/>
    <w:uiPriority w:val="99"/>
    <w:semiHidden/>
    <w:rsid w:val="00643FD7"/>
    <w:rPr>
      <w:color w:val="666666"/>
    </w:rPr>
  </w:style>
  <w:style w:type="paragraph" w:styleId="TOCHeading">
    <w:name w:val="TOC Heading"/>
    <w:basedOn w:val="Heading1"/>
    <w:next w:val="Normal"/>
    <w:uiPriority w:val="39"/>
    <w:unhideWhenUsed/>
    <w:qFormat/>
    <w:rsid w:val="00643FD7"/>
    <w:pPr>
      <w:outlineLvl w:val="9"/>
    </w:pPr>
    <w:rPr>
      <w:kern w:val="0"/>
      <w:lang w:val="en-US"/>
      <w14:ligatures w14:val="none"/>
    </w:rPr>
  </w:style>
  <w:style w:type="paragraph" w:styleId="TOC1">
    <w:name w:val="toc 1"/>
    <w:basedOn w:val="Normal"/>
    <w:next w:val="Normal"/>
    <w:autoRedefine/>
    <w:uiPriority w:val="39"/>
    <w:unhideWhenUsed/>
    <w:rsid w:val="003667E0"/>
    <w:pPr>
      <w:spacing w:after="100"/>
    </w:pPr>
    <w:rPr>
      <w:b/>
      <w:bCs/>
      <w:noProof/>
    </w:rPr>
  </w:style>
  <w:style w:type="paragraph" w:styleId="TOC2">
    <w:name w:val="toc 2"/>
    <w:basedOn w:val="Normal"/>
    <w:next w:val="Normal"/>
    <w:autoRedefine/>
    <w:uiPriority w:val="39"/>
    <w:unhideWhenUsed/>
    <w:rsid w:val="00643FD7"/>
    <w:pPr>
      <w:spacing w:after="100"/>
      <w:ind w:left="240"/>
    </w:pPr>
  </w:style>
  <w:style w:type="paragraph" w:styleId="TOC3">
    <w:name w:val="toc 3"/>
    <w:basedOn w:val="Normal"/>
    <w:next w:val="Normal"/>
    <w:autoRedefine/>
    <w:uiPriority w:val="39"/>
    <w:unhideWhenUsed/>
    <w:rsid w:val="00643FD7"/>
    <w:pPr>
      <w:spacing w:after="100"/>
      <w:ind w:left="480"/>
    </w:pPr>
  </w:style>
  <w:style w:type="character" w:customStyle="1" w:styleId="normaltextrun">
    <w:name w:val="normaltextrun"/>
    <w:basedOn w:val="DefaultParagraphFont"/>
    <w:rsid w:val="002D57C2"/>
  </w:style>
  <w:style w:type="character" w:customStyle="1" w:styleId="eop">
    <w:name w:val="eop"/>
    <w:basedOn w:val="DefaultParagraphFont"/>
    <w:rsid w:val="002D57C2"/>
  </w:style>
  <w:style w:type="paragraph" w:customStyle="1" w:styleId="paragraph">
    <w:name w:val="paragraph"/>
    <w:basedOn w:val="Normal"/>
    <w:rsid w:val="00AF2091"/>
    <w:pPr>
      <w:spacing w:before="100" w:beforeAutospacing="1" w:after="100" w:afterAutospacing="1" w:line="240" w:lineRule="auto"/>
    </w:pPr>
    <w:rPr>
      <w:rFonts w:eastAsia="Times New Roman"/>
      <w:kern w:val="0"/>
      <w:lang w:eastAsia="en-AU"/>
      <w14:ligatures w14:val="none"/>
    </w:rPr>
  </w:style>
  <w:style w:type="character" w:customStyle="1" w:styleId="Heading4Char">
    <w:name w:val="Heading 4 Char"/>
    <w:basedOn w:val="DefaultParagraphFont"/>
    <w:link w:val="Heading4"/>
    <w:uiPriority w:val="9"/>
    <w:rsid w:val="00792E22"/>
    <w:rPr>
      <w:rFonts w:ascii="Arial" w:eastAsiaTheme="majorEastAsia" w:hAnsi="Arial" w:cstheme="majorBidi"/>
      <w:b/>
      <w:iCs/>
      <w:color w:val="001871"/>
      <w:sz w:val="28"/>
    </w:rPr>
  </w:style>
  <w:style w:type="character" w:customStyle="1" w:styleId="Heading5Char">
    <w:name w:val="Heading 5 Char"/>
    <w:basedOn w:val="DefaultParagraphFont"/>
    <w:link w:val="Heading5"/>
    <w:uiPriority w:val="9"/>
    <w:rsid w:val="002F1C3F"/>
    <w:rPr>
      <w:rFonts w:ascii="Arial" w:eastAsiaTheme="majorEastAsia" w:hAnsi="Arial" w:cstheme="majorBidi"/>
      <w:color w:val="2F5496" w:themeColor="accent1" w:themeShade="BF"/>
      <w:sz w:val="26"/>
    </w:rPr>
  </w:style>
  <w:style w:type="character" w:customStyle="1" w:styleId="Heading6Char">
    <w:name w:val="Heading 6 Char"/>
    <w:basedOn w:val="DefaultParagraphFont"/>
    <w:link w:val="Heading6"/>
    <w:uiPriority w:val="9"/>
    <w:rsid w:val="002F1C3F"/>
    <w:rPr>
      <w:rFonts w:ascii="Arial" w:eastAsiaTheme="majorEastAsia" w:hAnsi="Arial" w:cstheme="majorBidi"/>
      <w:i/>
      <w:color w:val="1F3763" w:themeColor="accent1" w:themeShade="7F"/>
    </w:rPr>
  </w:style>
  <w:style w:type="paragraph" w:styleId="ListParagraph">
    <w:name w:val="List Paragraph"/>
    <w:basedOn w:val="Normal"/>
    <w:uiPriority w:val="34"/>
    <w:qFormat/>
    <w:rsid w:val="0017737D"/>
    <w:pPr>
      <w:ind w:left="720"/>
      <w:contextualSpacing/>
    </w:pPr>
  </w:style>
  <w:style w:type="character" w:customStyle="1" w:styleId="scxw164277116">
    <w:name w:val="scxw164277116"/>
    <w:basedOn w:val="DefaultParagraphFont"/>
    <w:rsid w:val="009C6D70"/>
  </w:style>
  <w:style w:type="character" w:customStyle="1" w:styleId="wacimagecontainer">
    <w:name w:val="wacimagecontainer"/>
    <w:basedOn w:val="DefaultParagraphFont"/>
    <w:rsid w:val="009C6D70"/>
  </w:style>
  <w:style w:type="character" w:styleId="FootnoteReference">
    <w:name w:val="footnote reference"/>
    <w:basedOn w:val="DefaultParagraphFont"/>
    <w:uiPriority w:val="99"/>
    <w:unhideWhenUsed/>
    <w:rsid w:val="008A7541"/>
    <w:rPr>
      <w:vertAlign w:val="superscript"/>
    </w:rPr>
  </w:style>
  <w:style w:type="paragraph" w:styleId="FootnoteText">
    <w:name w:val="footnote text"/>
    <w:basedOn w:val="Normal"/>
    <w:link w:val="FootnoteTextChar"/>
    <w:uiPriority w:val="99"/>
    <w:rsid w:val="008A7541"/>
    <w:pPr>
      <w:keepLines/>
      <w:spacing w:after="0" w:line="240" w:lineRule="atLeast"/>
    </w:pPr>
    <w:rPr>
      <w:rFonts w:eastAsia="Cambria"/>
      <w:color w:val="333F48"/>
      <w:kern w:val="0"/>
      <w:sz w:val="16"/>
      <w:szCs w:val="20"/>
      <w14:ligatures w14:val="none"/>
    </w:rPr>
  </w:style>
  <w:style w:type="character" w:customStyle="1" w:styleId="FootnoteTextChar">
    <w:name w:val="Footnote Text Char"/>
    <w:basedOn w:val="DefaultParagraphFont"/>
    <w:link w:val="FootnoteText"/>
    <w:uiPriority w:val="99"/>
    <w:rsid w:val="008A7541"/>
    <w:rPr>
      <w:rFonts w:ascii="Arial" w:eastAsia="Cambria" w:hAnsi="Arial"/>
      <w:color w:val="333F48"/>
      <w:kern w:val="0"/>
      <w:sz w:val="16"/>
      <w:szCs w:val="20"/>
      <w14:ligatures w14:val="none"/>
    </w:rPr>
  </w:style>
  <w:style w:type="paragraph" w:styleId="ListBullet">
    <w:name w:val="List Bullet"/>
    <w:basedOn w:val="Normal"/>
    <w:autoRedefine/>
    <w:uiPriority w:val="2"/>
    <w:qFormat/>
    <w:rsid w:val="007B38C6"/>
    <w:pPr>
      <w:numPr>
        <w:numId w:val="23"/>
      </w:numPr>
      <w:spacing w:before="120" w:after="180" w:line="240" w:lineRule="atLeast"/>
    </w:pPr>
    <w:rPr>
      <w:rFonts w:eastAsia="Cambria"/>
      <w:kern w:val="0"/>
      <w:szCs w:val="20"/>
      <w14:ligatures w14:val="none"/>
    </w:rPr>
  </w:style>
  <w:style w:type="paragraph" w:customStyle="1" w:styleId="Numberbullet0">
    <w:name w:val="Number bullet"/>
    <w:basedOn w:val="ListBullet"/>
    <w:uiPriority w:val="3"/>
    <w:qFormat/>
    <w:rsid w:val="008A7541"/>
    <w:pPr>
      <w:numPr>
        <w:numId w:val="4"/>
      </w:numPr>
    </w:pPr>
  </w:style>
  <w:style w:type="paragraph" w:customStyle="1" w:styleId="Calloutforkeyinformation">
    <w:name w:val="Callout for key information"/>
    <w:basedOn w:val="Normal"/>
    <w:qFormat/>
    <w:rsid w:val="00D55150"/>
    <w:pPr>
      <w:pBdr>
        <w:left w:val="single" w:sz="18" w:space="4" w:color="4472C4" w:themeColor="accent1"/>
      </w:pBdr>
      <w:shd w:val="clear" w:color="auto" w:fill="CCECFF"/>
    </w:pPr>
    <w:rPr>
      <w:bCs/>
      <w:lang w:val="en-US"/>
    </w:rPr>
  </w:style>
  <w:style w:type="paragraph" w:customStyle="1" w:styleId="Calloutforquotinglegislation">
    <w:name w:val="Callout for quoting legislation"/>
    <w:basedOn w:val="Normal"/>
    <w:qFormat/>
    <w:rsid w:val="00D55150"/>
    <w:pPr>
      <w:pBdr>
        <w:left w:val="single" w:sz="18" w:space="4" w:color="643253"/>
      </w:pBdr>
      <w:shd w:val="clear" w:color="auto" w:fill="E2C4D8"/>
    </w:pPr>
  </w:style>
  <w:style w:type="paragraph" w:styleId="ListBullet2">
    <w:name w:val="List Bullet 2"/>
    <w:basedOn w:val="Normal"/>
    <w:uiPriority w:val="2"/>
    <w:qFormat/>
    <w:rsid w:val="002F1C3F"/>
    <w:pPr>
      <w:numPr>
        <w:ilvl w:val="1"/>
        <w:numId w:val="3"/>
      </w:numPr>
      <w:spacing w:before="120" w:after="180" w:line="240" w:lineRule="atLeast"/>
    </w:pPr>
    <w:rPr>
      <w:rFonts w:eastAsia="Cambria"/>
      <w:color w:val="333F48"/>
      <w:kern w:val="0"/>
      <w:szCs w:val="20"/>
      <w14:ligatures w14:val="none"/>
    </w:rPr>
  </w:style>
  <w:style w:type="paragraph" w:styleId="ListBullet3">
    <w:name w:val="List Bullet 3"/>
    <w:basedOn w:val="Normal"/>
    <w:uiPriority w:val="2"/>
    <w:qFormat/>
    <w:rsid w:val="002F1C3F"/>
    <w:pPr>
      <w:numPr>
        <w:numId w:val="5"/>
      </w:numPr>
      <w:spacing w:before="120" w:after="180" w:line="240" w:lineRule="atLeast"/>
    </w:pPr>
    <w:rPr>
      <w:rFonts w:eastAsia="Cambria"/>
      <w:color w:val="333F48"/>
      <w:kern w:val="0"/>
      <w:szCs w:val="20"/>
      <w14:ligatures w14:val="none"/>
    </w:rPr>
  </w:style>
  <w:style w:type="numbering" w:customStyle="1" w:styleId="ListBullets">
    <w:name w:val="ListBullets"/>
    <w:uiPriority w:val="99"/>
    <w:locked/>
    <w:rsid w:val="008A7541"/>
    <w:pPr>
      <w:numPr>
        <w:numId w:val="3"/>
      </w:numPr>
    </w:pPr>
  </w:style>
  <w:style w:type="paragraph" w:customStyle="1" w:styleId="Numberbullet2">
    <w:name w:val="Number bullet 2"/>
    <w:basedOn w:val="ListBullet2"/>
    <w:uiPriority w:val="3"/>
    <w:qFormat/>
    <w:rsid w:val="008A7541"/>
    <w:pPr>
      <w:numPr>
        <w:numId w:val="4"/>
      </w:numPr>
    </w:pPr>
  </w:style>
  <w:style w:type="paragraph" w:customStyle="1" w:styleId="Numberbullet3">
    <w:name w:val="Number bullet 3"/>
    <w:basedOn w:val="Normal"/>
    <w:uiPriority w:val="3"/>
    <w:qFormat/>
    <w:rsid w:val="002F1C3F"/>
    <w:pPr>
      <w:numPr>
        <w:numId w:val="6"/>
      </w:numPr>
      <w:spacing w:before="120" w:after="180" w:line="240" w:lineRule="atLeast"/>
    </w:pPr>
    <w:rPr>
      <w:rFonts w:eastAsia="Cambria"/>
      <w:color w:val="333F48"/>
      <w:kern w:val="0"/>
      <w:szCs w:val="20"/>
      <w14:ligatures w14:val="none"/>
    </w:rPr>
  </w:style>
  <w:style w:type="numbering" w:customStyle="1" w:styleId="NumberBullet">
    <w:name w:val="NumberBullet"/>
    <w:uiPriority w:val="99"/>
    <w:locked/>
    <w:rsid w:val="008A7541"/>
    <w:pPr>
      <w:numPr>
        <w:numId w:val="4"/>
      </w:numPr>
    </w:pPr>
  </w:style>
  <w:style w:type="table" w:customStyle="1" w:styleId="TableTGAblue2023">
    <w:name w:val="Table TGA blue 2023"/>
    <w:basedOn w:val="TableNormal"/>
    <w:uiPriority w:val="99"/>
    <w:qFormat/>
    <w:rsid w:val="00565E64"/>
    <w:pPr>
      <w:spacing w:before="80" w:after="40" w:line="264" w:lineRule="auto"/>
      <w:ind w:left="113"/>
    </w:pPr>
    <w:rPr>
      <w:rFonts w:ascii="Arial" w:eastAsia="Cambria" w:hAnsi="Arial"/>
      <w:color w:val="000000"/>
      <w:kern w:val="0"/>
      <w:sz w:val="18"/>
      <w:szCs w:val="21"/>
      <w:lang w:eastAsia="en-AU"/>
      <w14:ligatures w14:val="none"/>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styleId="UnresolvedMention">
    <w:name w:val="Unresolved Mention"/>
    <w:basedOn w:val="DefaultParagraphFont"/>
    <w:uiPriority w:val="99"/>
    <w:semiHidden/>
    <w:unhideWhenUsed/>
    <w:rsid w:val="00B45244"/>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Calloutforexamples">
    <w:name w:val="Callout for examples"/>
    <w:basedOn w:val="Normal"/>
    <w:qFormat/>
    <w:rsid w:val="00D55150"/>
    <w:pPr>
      <w:pBdr>
        <w:left w:val="single" w:sz="18" w:space="4" w:color="643253"/>
      </w:pBdr>
      <w:shd w:val="clear" w:color="auto" w:fill="E7E6E6" w:themeFill="background2"/>
    </w:pPr>
    <w:rPr>
      <w:bCs/>
      <w:lang w:val="en-US"/>
    </w:rPr>
  </w:style>
  <w:style w:type="paragraph" w:customStyle="1" w:styleId="Tabletitle">
    <w:name w:val="Table title"/>
    <w:basedOn w:val="Normal"/>
    <w:next w:val="Normal"/>
    <w:rsid w:val="000C796C"/>
    <w:pPr>
      <w:keepNext/>
      <w:spacing w:before="120" w:after="180" w:line="240" w:lineRule="atLeast"/>
    </w:pPr>
    <w:rPr>
      <w:rFonts w:eastAsia="Cambria" w:cs="Times New Roman"/>
      <w:b/>
      <w:color w:val="333F48"/>
      <w:kern w:val="0"/>
      <w:sz w:val="22"/>
      <w:szCs w:val="20"/>
      <w14:ligatures w14:val="none"/>
    </w:rPr>
  </w:style>
  <w:style w:type="table" w:customStyle="1" w:styleId="TableTGAblue1">
    <w:name w:val="Table TGA blue1"/>
    <w:basedOn w:val="TableNormal"/>
    <w:uiPriority w:val="99"/>
    <w:qFormat/>
    <w:rsid w:val="00671F4A"/>
    <w:pPr>
      <w:spacing w:after="0" w:line="240" w:lineRule="auto"/>
    </w:pPr>
    <w:rPr>
      <w:rFonts w:ascii="Arial" w:eastAsia="Cambria" w:hAnsi="Arial"/>
      <w:color w:val="000000"/>
      <w:kern w:val="0"/>
      <w:sz w:val="22"/>
      <w:szCs w:val="21"/>
      <w:lang w:eastAsia="en-AU"/>
      <w14:ligatures w14:val="none"/>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A5A5A5" w:themeFill="accent3"/>
      </w:tcPr>
    </w:tblStylePr>
    <w:tblStylePr w:type="firstCol">
      <w:pPr>
        <w:keepNext w:val="0"/>
        <w:wordWrap/>
      </w:pPr>
    </w:tblStylePr>
  </w:style>
  <w:style w:type="paragraph" w:customStyle="1" w:styleId="TableParagraph">
    <w:name w:val="Table Paragraph"/>
    <w:basedOn w:val="Normal"/>
    <w:uiPriority w:val="1"/>
    <w:qFormat/>
    <w:rsid w:val="00F06137"/>
    <w:pPr>
      <w:widowControl w:val="0"/>
      <w:autoSpaceDE w:val="0"/>
      <w:autoSpaceDN w:val="0"/>
      <w:spacing w:before="119" w:after="0" w:line="240" w:lineRule="auto"/>
      <w:ind w:left="107"/>
    </w:pPr>
    <w:rPr>
      <w:rFonts w:ascii="Cambria" w:eastAsia="Cambria" w:hAnsi="Cambria" w:cs="Cambria"/>
      <w:kern w:val="0"/>
      <w:sz w:val="22"/>
      <w:szCs w:val="22"/>
      <w14:ligatures w14:val="none"/>
    </w:rPr>
  </w:style>
  <w:style w:type="paragraph" w:customStyle="1" w:styleId="Heading5sub">
    <w:name w:val="Heading 5sub"/>
    <w:basedOn w:val="Heading4"/>
    <w:link w:val="Heading5subChar"/>
    <w:qFormat/>
    <w:rsid w:val="00B662F6"/>
    <w:pPr>
      <w:spacing w:before="360" w:after="120" w:line="240" w:lineRule="atLeast"/>
    </w:pPr>
    <w:rPr>
      <w:bCs/>
      <w:iCs w:val="0"/>
      <w:kern w:val="0"/>
      <w:sz w:val="24"/>
      <w:szCs w:val="26"/>
      <w14:ligatures w14:val="none"/>
    </w:rPr>
  </w:style>
  <w:style w:type="character" w:customStyle="1" w:styleId="Heading5subChar">
    <w:name w:val="Heading 5sub Char"/>
    <w:basedOn w:val="Heading4Char"/>
    <w:link w:val="Heading5sub"/>
    <w:rsid w:val="00B662F6"/>
    <w:rPr>
      <w:rFonts w:ascii="Arial" w:eastAsiaTheme="majorEastAsia" w:hAnsi="Arial" w:cstheme="majorBidi"/>
      <w:b/>
      <w:bCs/>
      <w:iCs w:val="0"/>
      <w:color w:val="001871"/>
      <w:kern w:val="0"/>
      <w:sz w:val="28"/>
      <w:szCs w:val="26"/>
      <w14:ligatures w14:val="none"/>
    </w:rPr>
  </w:style>
  <w:style w:type="paragraph" w:styleId="BodyText">
    <w:name w:val="Body Text"/>
    <w:basedOn w:val="Normal"/>
    <w:link w:val="BodyTextChar"/>
    <w:uiPriority w:val="99"/>
    <w:unhideWhenUsed/>
    <w:rsid w:val="00FE27B3"/>
    <w:pPr>
      <w:spacing w:before="120" w:after="120" w:line="240" w:lineRule="atLeast"/>
    </w:pPr>
    <w:rPr>
      <w:rFonts w:eastAsia="Cambria" w:cs="Times New Roman"/>
      <w:color w:val="333F48"/>
      <w:kern w:val="0"/>
      <w:sz w:val="22"/>
      <w:szCs w:val="20"/>
      <w14:ligatures w14:val="none"/>
    </w:rPr>
  </w:style>
  <w:style w:type="character" w:customStyle="1" w:styleId="BodyTextChar">
    <w:name w:val="Body Text Char"/>
    <w:basedOn w:val="DefaultParagraphFont"/>
    <w:link w:val="BodyText"/>
    <w:uiPriority w:val="99"/>
    <w:rsid w:val="00FE27B3"/>
    <w:rPr>
      <w:rFonts w:ascii="Arial" w:eastAsia="Cambria" w:hAnsi="Arial"/>
      <w:color w:val="333F48"/>
      <w:kern w:val="0"/>
      <w:sz w:val="22"/>
      <w:szCs w:val="20"/>
      <w14:ligatures w14:val="none"/>
    </w:rPr>
  </w:style>
  <w:style w:type="character" w:styleId="CommentReference">
    <w:name w:val="annotation reference"/>
    <w:basedOn w:val="DefaultParagraphFont"/>
    <w:uiPriority w:val="99"/>
    <w:unhideWhenUsed/>
    <w:rsid w:val="00E713FC"/>
    <w:rPr>
      <w:sz w:val="16"/>
      <w:szCs w:val="16"/>
    </w:rPr>
  </w:style>
  <w:style w:type="paragraph" w:styleId="CommentText">
    <w:name w:val="annotation text"/>
    <w:basedOn w:val="Normal"/>
    <w:link w:val="CommentTextChar"/>
    <w:uiPriority w:val="99"/>
    <w:unhideWhenUsed/>
    <w:rsid w:val="00E713FC"/>
    <w:pPr>
      <w:spacing w:before="120" w:after="180" w:line="240" w:lineRule="auto"/>
    </w:pPr>
    <w:rPr>
      <w:rFonts w:eastAsia="Cambria" w:cs="Times New Roman"/>
      <w:color w:val="333F48"/>
      <w:kern w:val="0"/>
      <w:sz w:val="20"/>
      <w:szCs w:val="20"/>
      <w14:ligatures w14:val="none"/>
    </w:rPr>
  </w:style>
  <w:style w:type="character" w:customStyle="1" w:styleId="CommentTextChar">
    <w:name w:val="Comment Text Char"/>
    <w:basedOn w:val="DefaultParagraphFont"/>
    <w:link w:val="CommentText"/>
    <w:uiPriority w:val="99"/>
    <w:rsid w:val="00E713FC"/>
    <w:rPr>
      <w:rFonts w:ascii="Arial" w:eastAsia="Cambria" w:hAnsi="Arial"/>
      <w:color w:val="333F48"/>
      <w:kern w:val="0"/>
      <w:sz w:val="20"/>
      <w:szCs w:val="20"/>
      <w14:ligatures w14:val="none"/>
    </w:rPr>
  </w:style>
  <w:style w:type="character" w:customStyle="1" w:styleId="ui-provider">
    <w:name w:val="ui-provider"/>
    <w:basedOn w:val="DefaultParagraphFont"/>
    <w:rsid w:val="00147BBA"/>
  </w:style>
  <w:style w:type="table" w:customStyle="1" w:styleId="TableTGAblue">
    <w:name w:val="Table TGA blue"/>
    <w:basedOn w:val="TableNormal"/>
    <w:uiPriority w:val="99"/>
    <w:qFormat/>
    <w:rsid w:val="007060EF"/>
    <w:pPr>
      <w:spacing w:after="0" w:line="240" w:lineRule="auto"/>
    </w:pPr>
    <w:rPr>
      <w:rFonts w:ascii="Arial" w:eastAsia="Cambria" w:hAnsi="Arial"/>
      <w:color w:val="000000"/>
      <w:kern w:val="0"/>
      <w:sz w:val="22"/>
      <w:szCs w:val="21"/>
      <w:lang w:eastAsia="en-AU"/>
      <w14:ligatures w14:val="none"/>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A5A5A5" w:themeFill="accent3"/>
      </w:tcPr>
    </w:tblStylePr>
    <w:tblStylePr w:type="firstCol">
      <w:pPr>
        <w:keepNext w:val="0"/>
        <w:wordWrap/>
      </w:pPr>
    </w:tblStylePr>
  </w:style>
  <w:style w:type="character" w:customStyle="1" w:styleId="Heading7Char">
    <w:name w:val="Heading 7 Char"/>
    <w:basedOn w:val="DefaultParagraphFont"/>
    <w:link w:val="Heading7"/>
    <w:uiPriority w:val="9"/>
    <w:semiHidden/>
    <w:rsid w:val="00E40910"/>
    <w:rPr>
      <w:rFonts w:asciiTheme="majorHAnsi" w:eastAsiaTheme="majorEastAsia" w:hAnsiTheme="majorHAnsi" w:cstheme="majorBidi"/>
      <w:i/>
      <w:iCs/>
      <w:color w:val="1F3763" w:themeColor="accent1" w:themeShade="7F"/>
    </w:rPr>
  </w:style>
  <w:style w:type="paragraph" w:customStyle="1" w:styleId="Standard">
    <w:name w:val="Standard"/>
    <w:basedOn w:val="Normal"/>
    <w:link w:val="StandardChar"/>
    <w:qFormat/>
    <w:rsid w:val="001E75BA"/>
    <w:pPr>
      <w:spacing w:after="220" w:line="252" w:lineRule="auto"/>
    </w:pPr>
    <w:rPr>
      <w:rFonts w:ascii="Cambria" w:eastAsia="Times New Roman" w:hAnsi="Cambria" w:cs="Times New Roman"/>
      <w:snapToGrid w:val="0"/>
      <w:kern w:val="16"/>
      <w:sz w:val="23"/>
      <w14:ligatures w14:val="none"/>
    </w:rPr>
  </w:style>
  <w:style w:type="character" w:customStyle="1" w:styleId="StandardChar">
    <w:name w:val="Standard Char"/>
    <w:basedOn w:val="DefaultParagraphFont"/>
    <w:link w:val="Standard"/>
    <w:rsid w:val="001E75BA"/>
    <w:rPr>
      <w:rFonts w:ascii="Cambria" w:eastAsia="Times New Roman" w:hAnsi="Cambria"/>
      <w:snapToGrid w:val="0"/>
      <w:kern w:val="16"/>
      <w:sz w:val="23"/>
      <w14:ligatures w14:val="none"/>
    </w:rPr>
  </w:style>
  <w:style w:type="paragraph" w:customStyle="1" w:styleId="Figuretitle">
    <w:name w:val="Figure title"/>
    <w:basedOn w:val="Normal"/>
    <w:next w:val="Normal"/>
    <w:rsid w:val="009B7355"/>
    <w:pPr>
      <w:spacing w:before="120" w:after="180" w:line="240" w:lineRule="atLeast"/>
    </w:pPr>
    <w:rPr>
      <w:rFonts w:eastAsia="Cambria" w:cs="Times New Roman"/>
      <w:b/>
      <w:color w:val="333F48"/>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4D55E1"/>
    <w:pPr>
      <w:spacing w:before="0" w:after="160"/>
    </w:pPr>
    <w:rPr>
      <w:rFonts w:eastAsia="Arial" w:cs="Arial"/>
      <w:b/>
      <w:bCs/>
      <w:color w:val="auto"/>
      <w:kern w:val="2"/>
      <w14:ligatures w14:val="standardContextual"/>
    </w:rPr>
  </w:style>
  <w:style w:type="character" w:customStyle="1" w:styleId="CommentSubjectChar">
    <w:name w:val="Comment Subject Char"/>
    <w:basedOn w:val="CommentTextChar"/>
    <w:link w:val="CommentSubject"/>
    <w:uiPriority w:val="99"/>
    <w:semiHidden/>
    <w:rsid w:val="004D55E1"/>
    <w:rPr>
      <w:rFonts w:ascii="Arial" w:eastAsia="Arial" w:hAnsi="Arial" w:cs="Arial"/>
      <w:b/>
      <w:bCs/>
      <w:color w:val="333F48"/>
      <w:kern w:val="0"/>
      <w:sz w:val="20"/>
      <w:szCs w:val="20"/>
      <w14:ligatures w14:val="none"/>
    </w:rPr>
  </w:style>
  <w:style w:type="paragraph" w:styleId="Revision">
    <w:name w:val="Revision"/>
    <w:hidden/>
    <w:uiPriority w:val="99"/>
    <w:semiHidden/>
    <w:rsid w:val="00527C43"/>
    <w:pPr>
      <w:spacing w:after="0" w:line="240" w:lineRule="auto"/>
    </w:pPr>
    <w:rPr>
      <w:rFonts w:ascii="Arial" w:eastAsia="Arial" w:hAnsi="Arial" w:cs="Arial"/>
    </w:rPr>
  </w:style>
  <w:style w:type="character" w:styleId="FollowedHyperlink">
    <w:name w:val="FollowedHyperlink"/>
    <w:basedOn w:val="DefaultParagraphFont"/>
    <w:uiPriority w:val="99"/>
    <w:semiHidden/>
    <w:unhideWhenUsed/>
    <w:rsid w:val="00611849"/>
    <w:rPr>
      <w:color w:val="954F72" w:themeColor="followedHyperlink"/>
      <w:u w:val="single"/>
    </w:rPr>
  </w:style>
  <w:style w:type="paragraph" w:customStyle="1" w:styleId="LegalSubheading">
    <w:name w:val="Legal Subheading"/>
    <w:basedOn w:val="Normal"/>
    <w:rsid w:val="00093B08"/>
    <w:pPr>
      <w:spacing w:after="120"/>
      <w:outlineLvl w:val="1"/>
    </w:pPr>
    <w:rPr>
      <w:rFonts w:eastAsiaTheme="minorHAnsi" w:cstheme="minorBidi"/>
      <w:kern w:val="0"/>
      <w:sz w:val="17"/>
      <w:szCs w:val="20"/>
      <w14:ligatures w14:val="none"/>
    </w:rPr>
  </w:style>
  <w:style w:type="paragraph" w:styleId="Date">
    <w:name w:val="Date"/>
    <w:basedOn w:val="Normal"/>
    <w:next w:val="Normal"/>
    <w:link w:val="DateChar"/>
    <w:uiPriority w:val="99"/>
    <w:rsid w:val="00C83237"/>
    <w:pPr>
      <w:spacing w:before="120" w:after="0" w:line="240" w:lineRule="atLeast"/>
    </w:pPr>
    <w:rPr>
      <w:rFonts w:eastAsia="Cambria" w:cs="Times New Roman"/>
      <w:color w:val="333F4A"/>
      <w:kern w:val="0"/>
      <w:sz w:val="28"/>
      <w:szCs w:val="20"/>
      <w14:ligatures w14:val="none"/>
    </w:rPr>
  </w:style>
  <w:style w:type="character" w:customStyle="1" w:styleId="DateChar">
    <w:name w:val="Date Char"/>
    <w:basedOn w:val="DefaultParagraphFont"/>
    <w:link w:val="Date"/>
    <w:uiPriority w:val="99"/>
    <w:rsid w:val="00C83237"/>
    <w:rPr>
      <w:rFonts w:ascii="Arial" w:eastAsia="Cambria" w:hAnsi="Arial"/>
      <w:color w:val="333F4A"/>
      <w:kern w:val="0"/>
      <w:sz w:val="28"/>
      <w:szCs w:val="20"/>
      <w14:ligatures w14:val="none"/>
    </w:rPr>
  </w:style>
  <w:style w:type="paragraph" w:styleId="Subtitle">
    <w:name w:val="Subtitle"/>
    <w:basedOn w:val="Normal"/>
    <w:link w:val="SubtitleChar"/>
    <w:uiPriority w:val="11"/>
    <w:rsid w:val="00C83237"/>
    <w:pPr>
      <w:numPr>
        <w:ilvl w:val="1"/>
      </w:numPr>
      <w:spacing w:after="0" w:line="240" w:lineRule="atLeast"/>
      <w:ind w:left="170"/>
    </w:pPr>
    <w:rPr>
      <w:rFonts w:eastAsia="Times New Roman" w:cs="Times New Roman"/>
      <w:bCs/>
      <w:iCs/>
      <w:color w:val="006BA6"/>
      <w:kern w:val="0"/>
      <w:sz w:val="40"/>
      <w14:ligatures w14:val="none"/>
    </w:rPr>
  </w:style>
  <w:style w:type="character" w:customStyle="1" w:styleId="SubtitleChar">
    <w:name w:val="Subtitle Char"/>
    <w:basedOn w:val="DefaultParagraphFont"/>
    <w:link w:val="Subtitle"/>
    <w:uiPriority w:val="11"/>
    <w:rsid w:val="00C83237"/>
    <w:rPr>
      <w:rFonts w:ascii="Arial" w:eastAsia="Times New Roman" w:hAnsi="Arial"/>
      <w:bCs/>
      <w:iCs/>
      <w:color w:val="006BA6"/>
      <w:kern w:val="0"/>
      <w:sz w:val="40"/>
      <w14:ligatures w14:val="none"/>
    </w:rPr>
  </w:style>
  <w:style w:type="paragraph" w:styleId="Title">
    <w:name w:val="Title"/>
    <w:link w:val="TitleChar"/>
    <w:uiPriority w:val="10"/>
    <w:rsid w:val="00C83237"/>
    <w:pPr>
      <w:spacing w:after="120" w:line="240" w:lineRule="auto"/>
      <w:contextualSpacing/>
      <w:outlineLvl w:val="0"/>
    </w:pPr>
    <w:rPr>
      <w:rFonts w:ascii="Arial" w:eastAsia="Times New Roman" w:hAnsi="Arial"/>
      <w:color w:val="001871"/>
      <w:spacing w:val="5"/>
      <w:kern w:val="28"/>
      <w:sz w:val="52"/>
      <w:szCs w:val="52"/>
      <w14:ligatures w14:val="none"/>
    </w:rPr>
  </w:style>
  <w:style w:type="character" w:customStyle="1" w:styleId="TitleChar">
    <w:name w:val="Title Char"/>
    <w:basedOn w:val="DefaultParagraphFont"/>
    <w:link w:val="Title"/>
    <w:uiPriority w:val="10"/>
    <w:rsid w:val="00C83237"/>
    <w:rPr>
      <w:rFonts w:ascii="Arial" w:eastAsia="Times New Roman" w:hAnsi="Arial"/>
      <w:color w:val="001871"/>
      <w:spacing w:val="5"/>
      <w:kern w:val="28"/>
      <w:sz w:val="52"/>
      <w:szCs w:val="52"/>
      <w14:ligatures w14:val="none"/>
    </w:rPr>
  </w:style>
  <w:style w:type="paragraph" w:customStyle="1" w:styleId="Legislation-list">
    <w:name w:val="Legislation-list"/>
    <w:basedOn w:val="Numberbullet0"/>
    <w:qFormat/>
    <w:rsid w:val="004748E7"/>
    <w:pPr>
      <w:numPr>
        <w:numId w:val="28"/>
      </w:numPr>
      <w:jc w:val="center"/>
    </w:pPr>
    <w:rPr>
      <w:rFonts w:cs="Times New Roman"/>
      <w:i/>
      <w:sz w:val="20"/>
    </w:rPr>
  </w:style>
  <w:style w:type="paragraph" w:customStyle="1" w:styleId="NonTOCheading2">
    <w:name w:val="Non TOC heading 2"/>
    <w:basedOn w:val="Normal"/>
    <w:next w:val="Normal"/>
    <w:rsid w:val="004748E7"/>
    <w:pPr>
      <w:keepNext/>
      <w:keepLines/>
      <w:pageBreakBefore/>
      <w:spacing w:after="180" w:line="240" w:lineRule="atLeast"/>
      <w:outlineLvl w:val="1"/>
    </w:pPr>
    <w:rPr>
      <w:rFonts w:eastAsia="Cambria" w:cs="Times New Roman"/>
      <w:b/>
      <w:color w:val="001871"/>
      <w:kern w:val="0"/>
      <w:sz w:val="38"/>
      <w:szCs w:val="20"/>
      <w14:ligatures w14:val="none"/>
    </w:rPr>
  </w:style>
  <w:style w:type="paragraph" w:customStyle="1" w:styleId="Address">
    <w:name w:val="Address"/>
    <w:basedOn w:val="Normal"/>
    <w:rsid w:val="003A5F7E"/>
    <w:pPr>
      <w:spacing w:after="0" w:line="240" w:lineRule="auto"/>
    </w:pPr>
    <w:rPr>
      <w:rFonts w:eastAsia="Cambria" w:cs="Times New Roman"/>
      <w:color w:val="333F48"/>
      <w:kern w:val="0"/>
      <w:sz w:val="21"/>
      <w:szCs w:val="20"/>
      <w14:ligatures w14:val="none"/>
    </w:rPr>
  </w:style>
  <w:style w:type="paragraph" w:customStyle="1" w:styleId="TGASignoff">
    <w:name w:val="TGA Signoff"/>
    <w:basedOn w:val="Normal"/>
    <w:rsid w:val="003A5F7E"/>
    <w:pPr>
      <w:spacing w:before="120" w:after="360" w:line="240" w:lineRule="atLeast"/>
      <w:jc w:val="center"/>
    </w:pPr>
    <w:rPr>
      <w:rFonts w:eastAsia="Cambria" w:cs="Times New Roman"/>
      <w:b/>
      <w:color w:val="333F48"/>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450">
      <w:bodyDiv w:val="1"/>
      <w:marLeft w:val="0"/>
      <w:marRight w:val="0"/>
      <w:marTop w:val="0"/>
      <w:marBottom w:val="0"/>
      <w:divBdr>
        <w:top w:val="none" w:sz="0" w:space="0" w:color="auto"/>
        <w:left w:val="none" w:sz="0" w:space="0" w:color="auto"/>
        <w:bottom w:val="none" w:sz="0" w:space="0" w:color="auto"/>
        <w:right w:val="none" w:sz="0" w:space="0" w:color="auto"/>
      </w:divBdr>
      <w:divsChild>
        <w:div w:id="1196456647">
          <w:marLeft w:val="0"/>
          <w:marRight w:val="0"/>
          <w:marTop w:val="0"/>
          <w:marBottom w:val="0"/>
          <w:divBdr>
            <w:top w:val="none" w:sz="0" w:space="0" w:color="auto"/>
            <w:left w:val="none" w:sz="0" w:space="0" w:color="auto"/>
            <w:bottom w:val="none" w:sz="0" w:space="0" w:color="auto"/>
            <w:right w:val="none" w:sz="0" w:space="0" w:color="auto"/>
          </w:divBdr>
        </w:div>
        <w:div w:id="1312713005">
          <w:marLeft w:val="0"/>
          <w:marRight w:val="0"/>
          <w:marTop w:val="0"/>
          <w:marBottom w:val="0"/>
          <w:divBdr>
            <w:top w:val="none" w:sz="0" w:space="0" w:color="auto"/>
            <w:left w:val="none" w:sz="0" w:space="0" w:color="auto"/>
            <w:bottom w:val="none" w:sz="0" w:space="0" w:color="auto"/>
            <w:right w:val="none" w:sz="0" w:space="0" w:color="auto"/>
          </w:divBdr>
          <w:divsChild>
            <w:div w:id="1257405166">
              <w:marLeft w:val="0"/>
              <w:marRight w:val="0"/>
              <w:marTop w:val="0"/>
              <w:marBottom w:val="0"/>
              <w:divBdr>
                <w:top w:val="none" w:sz="0" w:space="0" w:color="auto"/>
                <w:left w:val="none" w:sz="0" w:space="0" w:color="auto"/>
                <w:bottom w:val="none" w:sz="0" w:space="0" w:color="auto"/>
                <w:right w:val="none" w:sz="0" w:space="0" w:color="auto"/>
              </w:divBdr>
            </w:div>
            <w:div w:id="612520341">
              <w:marLeft w:val="0"/>
              <w:marRight w:val="0"/>
              <w:marTop w:val="0"/>
              <w:marBottom w:val="0"/>
              <w:divBdr>
                <w:top w:val="none" w:sz="0" w:space="0" w:color="auto"/>
                <w:left w:val="none" w:sz="0" w:space="0" w:color="auto"/>
                <w:bottom w:val="none" w:sz="0" w:space="0" w:color="auto"/>
                <w:right w:val="none" w:sz="0" w:space="0" w:color="auto"/>
              </w:divBdr>
            </w:div>
            <w:div w:id="327443117">
              <w:marLeft w:val="0"/>
              <w:marRight w:val="0"/>
              <w:marTop w:val="0"/>
              <w:marBottom w:val="0"/>
              <w:divBdr>
                <w:top w:val="none" w:sz="0" w:space="0" w:color="auto"/>
                <w:left w:val="none" w:sz="0" w:space="0" w:color="auto"/>
                <w:bottom w:val="none" w:sz="0" w:space="0" w:color="auto"/>
                <w:right w:val="none" w:sz="0" w:space="0" w:color="auto"/>
              </w:divBdr>
            </w:div>
            <w:div w:id="954287450">
              <w:marLeft w:val="0"/>
              <w:marRight w:val="0"/>
              <w:marTop w:val="0"/>
              <w:marBottom w:val="0"/>
              <w:divBdr>
                <w:top w:val="none" w:sz="0" w:space="0" w:color="auto"/>
                <w:left w:val="none" w:sz="0" w:space="0" w:color="auto"/>
                <w:bottom w:val="none" w:sz="0" w:space="0" w:color="auto"/>
                <w:right w:val="none" w:sz="0" w:space="0" w:color="auto"/>
              </w:divBdr>
            </w:div>
            <w:div w:id="1013266479">
              <w:marLeft w:val="0"/>
              <w:marRight w:val="0"/>
              <w:marTop w:val="0"/>
              <w:marBottom w:val="0"/>
              <w:divBdr>
                <w:top w:val="none" w:sz="0" w:space="0" w:color="auto"/>
                <w:left w:val="none" w:sz="0" w:space="0" w:color="auto"/>
                <w:bottom w:val="none" w:sz="0" w:space="0" w:color="auto"/>
                <w:right w:val="none" w:sz="0" w:space="0" w:color="auto"/>
              </w:divBdr>
            </w:div>
            <w:div w:id="18855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39643">
      <w:bodyDiv w:val="1"/>
      <w:marLeft w:val="0"/>
      <w:marRight w:val="0"/>
      <w:marTop w:val="0"/>
      <w:marBottom w:val="0"/>
      <w:divBdr>
        <w:top w:val="none" w:sz="0" w:space="0" w:color="auto"/>
        <w:left w:val="none" w:sz="0" w:space="0" w:color="auto"/>
        <w:bottom w:val="none" w:sz="0" w:space="0" w:color="auto"/>
        <w:right w:val="none" w:sz="0" w:space="0" w:color="auto"/>
      </w:divBdr>
    </w:div>
    <w:div w:id="831724920">
      <w:bodyDiv w:val="1"/>
      <w:marLeft w:val="0"/>
      <w:marRight w:val="0"/>
      <w:marTop w:val="0"/>
      <w:marBottom w:val="0"/>
      <w:divBdr>
        <w:top w:val="none" w:sz="0" w:space="0" w:color="auto"/>
        <w:left w:val="none" w:sz="0" w:space="0" w:color="auto"/>
        <w:bottom w:val="none" w:sz="0" w:space="0" w:color="auto"/>
        <w:right w:val="none" w:sz="0" w:space="0" w:color="auto"/>
      </w:divBdr>
    </w:div>
    <w:div w:id="855775529">
      <w:bodyDiv w:val="1"/>
      <w:marLeft w:val="0"/>
      <w:marRight w:val="0"/>
      <w:marTop w:val="0"/>
      <w:marBottom w:val="0"/>
      <w:divBdr>
        <w:top w:val="none" w:sz="0" w:space="0" w:color="auto"/>
        <w:left w:val="none" w:sz="0" w:space="0" w:color="auto"/>
        <w:bottom w:val="none" w:sz="0" w:space="0" w:color="auto"/>
        <w:right w:val="none" w:sz="0" w:space="0" w:color="auto"/>
      </w:divBdr>
    </w:div>
    <w:div w:id="1078789850">
      <w:bodyDiv w:val="1"/>
      <w:marLeft w:val="0"/>
      <w:marRight w:val="0"/>
      <w:marTop w:val="0"/>
      <w:marBottom w:val="0"/>
      <w:divBdr>
        <w:top w:val="none" w:sz="0" w:space="0" w:color="auto"/>
        <w:left w:val="none" w:sz="0" w:space="0" w:color="auto"/>
        <w:bottom w:val="none" w:sz="0" w:space="0" w:color="auto"/>
        <w:right w:val="none" w:sz="0" w:space="0" w:color="auto"/>
      </w:divBdr>
      <w:divsChild>
        <w:div w:id="571042509">
          <w:marLeft w:val="0"/>
          <w:marRight w:val="0"/>
          <w:marTop w:val="0"/>
          <w:marBottom w:val="0"/>
          <w:divBdr>
            <w:top w:val="none" w:sz="0" w:space="0" w:color="auto"/>
            <w:left w:val="none" w:sz="0" w:space="0" w:color="auto"/>
            <w:bottom w:val="none" w:sz="0" w:space="0" w:color="auto"/>
            <w:right w:val="none" w:sz="0" w:space="0" w:color="auto"/>
          </w:divBdr>
        </w:div>
        <w:div w:id="508909953">
          <w:marLeft w:val="0"/>
          <w:marRight w:val="0"/>
          <w:marTop w:val="0"/>
          <w:marBottom w:val="0"/>
          <w:divBdr>
            <w:top w:val="none" w:sz="0" w:space="0" w:color="auto"/>
            <w:left w:val="none" w:sz="0" w:space="0" w:color="auto"/>
            <w:bottom w:val="none" w:sz="0" w:space="0" w:color="auto"/>
            <w:right w:val="none" w:sz="0" w:space="0" w:color="auto"/>
          </w:divBdr>
        </w:div>
        <w:div w:id="1691879594">
          <w:marLeft w:val="0"/>
          <w:marRight w:val="0"/>
          <w:marTop w:val="0"/>
          <w:marBottom w:val="0"/>
          <w:divBdr>
            <w:top w:val="none" w:sz="0" w:space="0" w:color="auto"/>
            <w:left w:val="none" w:sz="0" w:space="0" w:color="auto"/>
            <w:bottom w:val="none" w:sz="0" w:space="0" w:color="auto"/>
            <w:right w:val="none" w:sz="0" w:space="0" w:color="auto"/>
          </w:divBdr>
          <w:divsChild>
            <w:div w:id="1312367598">
              <w:marLeft w:val="0"/>
              <w:marRight w:val="0"/>
              <w:marTop w:val="0"/>
              <w:marBottom w:val="0"/>
              <w:divBdr>
                <w:top w:val="none" w:sz="0" w:space="0" w:color="auto"/>
                <w:left w:val="none" w:sz="0" w:space="0" w:color="auto"/>
                <w:bottom w:val="none" w:sz="0" w:space="0" w:color="auto"/>
                <w:right w:val="none" w:sz="0" w:space="0" w:color="auto"/>
              </w:divBdr>
            </w:div>
          </w:divsChild>
        </w:div>
        <w:div w:id="679548545">
          <w:marLeft w:val="0"/>
          <w:marRight w:val="0"/>
          <w:marTop w:val="0"/>
          <w:marBottom w:val="0"/>
          <w:divBdr>
            <w:top w:val="none" w:sz="0" w:space="0" w:color="auto"/>
            <w:left w:val="none" w:sz="0" w:space="0" w:color="auto"/>
            <w:bottom w:val="none" w:sz="0" w:space="0" w:color="auto"/>
            <w:right w:val="none" w:sz="0" w:space="0" w:color="auto"/>
          </w:divBdr>
          <w:divsChild>
            <w:div w:id="1452627445">
              <w:marLeft w:val="0"/>
              <w:marRight w:val="0"/>
              <w:marTop w:val="0"/>
              <w:marBottom w:val="0"/>
              <w:divBdr>
                <w:top w:val="none" w:sz="0" w:space="0" w:color="auto"/>
                <w:left w:val="none" w:sz="0" w:space="0" w:color="auto"/>
                <w:bottom w:val="none" w:sz="0" w:space="0" w:color="auto"/>
                <w:right w:val="none" w:sz="0" w:space="0" w:color="auto"/>
              </w:divBdr>
            </w:div>
          </w:divsChild>
        </w:div>
        <w:div w:id="1618753855">
          <w:marLeft w:val="0"/>
          <w:marRight w:val="0"/>
          <w:marTop w:val="0"/>
          <w:marBottom w:val="0"/>
          <w:divBdr>
            <w:top w:val="none" w:sz="0" w:space="0" w:color="auto"/>
            <w:left w:val="none" w:sz="0" w:space="0" w:color="auto"/>
            <w:bottom w:val="none" w:sz="0" w:space="0" w:color="auto"/>
            <w:right w:val="none" w:sz="0" w:space="0" w:color="auto"/>
          </w:divBdr>
        </w:div>
      </w:divsChild>
    </w:div>
    <w:div w:id="1143035800">
      <w:bodyDiv w:val="1"/>
      <w:marLeft w:val="0"/>
      <w:marRight w:val="0"/>
      <w:marTop w:val="0"/>
      <w:marBottom w:val="0"/>
      <w:divBdr>
        <w:top w:val="none" w:sz="0" w:space="0" w:color="auto"/>
        <w:left w:val="none" w:sz="0" w:space="0" w:color="auto"/>
        <w:bottom w:val="none" w:sz="0" w:space="0" w:color="auto"/>
        <w:right w:val="none" w:sz="0" w:space="0" w:color="auto"/>
      </w:divBdr>
    </w:div>
    <w:div w:id="1249969898">
      <w:bodyDiv w:val="1"/>
      <w:marLeft w:val="0"/>
      <w:marRight w:val="0"/>
      <w:marTop w:val="0"/>
      <w:marBottom w:val="0"/>
      <w:divBdr>
        <w:top w:val="none" w:sz="0" w:space="0" w:color="auto"/>
        <w:left w:val="none" w:sz="0" w:space="0" w:color="auto"/>
        <w:bottom w:val="none" w:sz="0" w:space="0" w:color="auto"/>
        <w:right w:val="none" w:sz="0" w:space="0" w:color="auto"/>
      </w:divBdr>
    </w:div>
    <w:div w:id="1446584898">
      <w:bodyDiv w:val="1"/>
      <w:marLeft w:val="0"/>
      <w:marRight w:val="0"/>
      <w:marTop w:val="0"/>
      <w:marBottom w:val="0"/>
      <w:divBdr>
        <w:top w:val="none" w:sz="0" w:space="0" w:color="auto"/>
        <w:left w:val="none" w:sz="0" w:space="0" w:color="auto"/>
        <w:bottom w:val="none" w:sz="0" w:space="0" w:color="auto"/>
        <w:right w:val="none" w:sz="0" w:space="0" w:color="auto"/>
      </w:divBdr>
    </w:div>
    <w:div w:id="1448348643">
      <w:bodyDiv w:val="1"/>
      <w:marLeft w:val="0"/>
      <w:marRight w:val="0"/>
      <w:marTop w:val="0"/>
      <w:marBottom w:val="0"/>
      <w:divBdr>
        <w:top w:val="none" w:sz="0" w:space="0" w:color="auto"/>
        <w:left w:val="none" w:sz="0" w:space="0" w:color="auto"/>
        <w:bottom w:val="none" w:sz="0" w:space="0" w:color="auto"/>
        <w:right w:val="none" w:sz="0" w:space="0" w:color="auto"/>
      </w:divBdr>
      <w:divsChild>
        <w:div w:id="1360274653">
          <w:marLeft w:val="0"/>
          <w:marRight w:val="0"/>
          <w:marTop w:val="0"/>
          <w:marBottom w:val="0"/>
          <w:divBdr>
            <w:top w:val="none" w:sz="0" w:space="0" w:color="auto"/>
            <w:left w:val="none" w:sz="0" w:space="0" w:color="auto"/>
            <w:bottom w:val="none" w:sz="0" w:space="0" w:color="auto"/>
            <w:right w:val="none" w:sz="0" w:space="0" w:color="auto"/>
          </w:divBdr>
        </w:div>
        <w:div w:id="1370452259">
          <w:marLeft w:val="0"/>
          <w:marRight w:val="0"/>
          <w:marTop w:val="0"/>
          <w:marBottom w:val="0"/>
          <w:divBdr>
            <w:top w:val="none" w:sz="0" w:space="0" w:color="auto"/>
            <w:left w:val="none" w:sz="0" w:space="0" w:color="auto"/>
            <w:bottom w:val="none" w:sz="0" w:space="0" w:color="auto"/>
            <w:right w:val="none" w:sz="0" w:space="0" w:color="auto"/>
          </w:divBdr>
        </w:div>
        <w:div w:id="1928347821">
          <w:marLeft w:val="0"/>
          <w:marRight w:val="0"/>
          <w:marTop w:val="0"/>
          <w:marBottom w:val="0"/>
          <w:divBdr>
            <w:top w:val="none" w:sz="0" w:space="0" w:color="auto"/>
            <w:left w:val="none" w:sz="0" w:space="0" w:color="auto"/>
            <w:bottom w:val="none" w:sz="0" w:space="0" w:color="auto"/>
            <w:right w:val="none" w:sz="0" w:space="0" w:color="auto"/>
          </w:divBdr>
        </w:div>
        <w:div w:id="2068645924">
          <w:marLeft w:val="0"/>
          <w:marRight w:val="0"/>
          <w:marTop w:val="0"/>
          <w:marBottom w:val="0"/>
          <w:divBdr>
            <w:top w:val="none" w:sz="0" w:space="0" w:color="auto"/>
            <w:left w:val="none" w:sz="0" w:space="0" w:color="auto"/>
            <w:bottom w:val="none" w:sz="0" w:space="0" w:color="auto"/>
            <w:right w:val="none" w:sz="0" w:space="0" w:color="auto"/>
          </w:divBdr>
        </w:div>
        <w:div w:id="1558004313">
          <w:marLeft w:val="0"/>
          <w:marRight w:val="0"/>
          <w:marTop w:val="0"/>
          <w:marBottom w:val="0"/>
          <w:divBdr>
            <w:top w:val="none" w:sz="0" w:space="0" w:color="auto"/>
            <w:left w:val="none" w:sz="0" w:space="0" w:color="auto"/>
            <w:bottom w:val="none" w:sz="0" w:space="0" w:color="auto"/>
            <w:right w:val="none" w:sz="0" w:space="0" w:color="auto"/>
          </w:divBdr>
        </w:div>
        <w:div w:id="1063454032">
          <w:marLeft w:val="0"/>
          <w:marRight w:val="0"/>
          <w:marTop w:val="0"/>
          <w:marBottom w:val="0"/>
          <w:divBdr>
            <w:top w:val="none" w:sz="0" w:space="0" w:color="auto"/>
            <w:left w:val="none" w:sz="0" w:space="0" w:color="auto"/>
            <w:bottom w:val="none" w:sz="0" w:space="0" w:color="auto"/>
            <w:right w:val="none" w:sz="0" w:space="0" w:color="auto"/>
          </w:divBdr>
        </w:div>
        <w:div w:id="2087220420">
          <w:marLeft w:val="0"/>
          <w:marRight w:val="0"/>
          <w:marTop w:val="0"/>
          <w:marBottom w:val="0"/>
          <w:divBdr>
            <w:top w:val="none" w:sz="0" w:space="0" w:color="auto"/>
            <w:left w:val="none" w:sz="0" w:space="0" w:color="auto"/>
            <w:bottom w:val="none" w:sz="0" w:space="0" w:color="auto"/>
            <w:right w:val="none" w:sz="0" w:space="0" w:color="auto"/>
          </w:divBdr>
        </w:div>
        <w:div w:id="715198938">
          <w:marLeft w:val="0"/>
          <w:marRight w:val="0"/>
          <w:marTop w:val="0"/>
          <w:marBottom w:val="0"/>
          <w:divBdr>
            <w:top w:val="none" w:sz="0" w:space="0" w:color="auto"/>
            <w:left w:val="none" w:sz="0" w:space="0" w:color="auto"/>
            <w:bottom w:val="none" w:sz="0" w:space="0" w:color="auto"/>
            <w:right w:val="none" w:sz="0" w:space="0" w:color="auto"/>
          </w:divBdr>
        </w:div>
      </w:divsChild>
    </w:div>
    <w:div w:id="1589265479">
      <w:bodyDiv w:val="1"/>
      <w:marLeft w:val="0"/>
      <w:marRight w:val="0"/>
      <w:marTop w:val="0"/>
      <w:marBottom w:val="0"/>
      <w:divBdr>
        <w:top w:val="none" w:sz="0" w:space="0" w:color="auto"/>
        <w:left w:val="none" w:sz="0" w:space="0" w:color="auto"/>
        <w:bottom w:val="none" w:sz="0" w:space="0" w:color="auto"/>
        <w:right w:val="none" w:sz="0" w:space="0" w:color="auto"/>
      </w:divBdr>
    </w:div>
    <w:div w:id="1670137478">
      <w:bodyDiv w:val="1"/>
      <w:marLeft w:val="0"/>
      <w:marRight w:val="0"/>
      <w:marTop w:val="0"/>
      <w:marBottom w:val="0"/>
      <w:divBdr>
        <w:top w:val="none" w:sz="0" w:space="0" w:color="auto"/>
        <w:left w:val="none" w:sz="0" w:space="0" w:color="auto"/>
        <w:bottom w:val="none" w:sz="0" w:space="0" w:color="auto"/>
        <w:right w:val="none" w:sz="0" w:space="0" w:color="auto"/>
      </w:divBdr>
    </w:div>
    <w:div w:id="1676953623">
      <w:bodyDiv w:val="1"/>
      <w:marLeft w:val="0"/>
      <w:marRight w:val="0"/>
      <w:marTop w:val="0"/>
      <w:marBottom w:val="0"/>
      <w:divBdr>
        <w:top w:val="none" w:sz="0" w:space="0" w:color="auto"/>
        <w:left w:val="none" w:sz="0" w:space="0" w:color="auto"/>
        <w:bottom w:val="none" w:sz="0" w:space="0" w:color="auto"/>
        <w:right w:val="none" w:sz="0" w:space="0" w:color="auto"/>
      </w:divBdr>
    </w:div>
    <w:div w:id="2112431235">
      <w:bodyDiv w:val="1"/>
      <w:marLeft w:val="0"/>
      <w:marRight w:val="0"/>
      <w:marTop w:val="0"/>
      <w:marBottom w:val="0"/>
      <w:divBdr>
        <w:top w:val="none" w:sz="0" w:space="0" w:color="auto"/>
        <w:left w:val="none" w:sz="0" w:space="0" w:color="auto"/>
        <w:bottom w:val="none" w:sz="0" w:space="0" w:color="auto"/>
        <w:right w:val="none" w:sz="0" w:space="0" w:color="auto"/>
      </w:divBdr>
      <w:divsChild>
        <w:div w:id="583609481">
          <w:marLeft w:val="0"/>
          <w:marRight w:val="0"/>
          <w:marTop w:val="0"/>
          <w:marBottom w:val="0"/>
          <w:divBdr>
            <w:top w:val="none" w:sz="0" w:space="0" w:color="auto"/>
            <w:left w:val="none" w:sz="0" w:space="0" w:color="auto"/>
            <w:bottom w:val="none" w:sz="0" w:space="0" w:color="auto"/>
            <w:right w:val="none" w:sz="0" w:space="0" w:color="auto"/>
          </w:divBdr>
        </w:div>
        <w:div w:id="1616868779">
          <w:marLeft w:val="0"/>
          <w:marRight w:val="0"/>
          <w:marTop w:val="0"/>
          <w:marBottom w:val="0"/>
          <w:divBdr>
            <w:top w:val="none" w:sz="0" w:space="0" w:color="auto"/>
            <w:left w:val="none" w:sz="0" w:space="0" w:color="auto"/>
            <w:bottom w:val="none" w:sz="0" w:space="0" w:color="auto"/>
            <w:right w:val="none" w:sz="0" w:space="0" w:color="auto"/>
          </w:divBdr>
        </w:div>
        <w:div w:id="2059890889">
          <w:marLeft w:val="0"/>
          <w:marRight w:val="0"/>
          <w:marTop w:val="0"/>
          <w:marBottom w:val="0"/>
          <w:divBdr>
            <w:top w:val="none" w:sz="0" w:space="0" w:color="auto"/>
            <w:left w:val="none" w:sz="0" w:space="0" w:color="auto"/>
            <w:bottom w:val="none" w:sz="0" w:space="0" w:color="auto"/>
            <w:right w:val="none" w:sz="0" w:space="0" w:color="auto"/>
          </w:divBdr>
          <w:divsChild>
            <w:div w:id="1995062636">
              <w:marLeft w:val="0"/>
              <w:marRight w:val="0"/>
              <w:marTop w:val="0"/>
              <w:marBottom w:val="0"/>
              <w:divBdr>
                <w:top w:val="none" w:sz="0" w:space="0" w:color="auto"/>
                <w:left w:val="none" w:sz="0" w:space="0" w:color="auto"/>
                <w:bottom w:val="none" w:sz="0" w:space="0" w:color="auto"/>
                <w:right w:val="none" w:sz="0" w:space="0" w:color="auto"/>
              </w:divBdr>
            </w:div>
          </w:divsChild>
        </w:div>
        <w:div w:id="2118287234">
          <w:marLeft w:val="0"/>
          <w:marRight w:val="0"/>
          <w:marTop w:val="0"/>
          <w:marBottom w:val="0"/>
          <w:divBdr>
            <w:top w:val="none" w:sz="0" w:space="0" w:color="auto"/>
            <w:left w:val="none" w:sz="0" w:space="0" w:color="auto"/>
            <w:bottom w:val="none" w:sz="0" w:space="0" w:color="auto"/>
            <w:right w:val="none" w:sz="0" w:space="0" w:color="auto"/>
          </w:divBdr>
          <w:divsChild>
            <w:div w:id="1493327832">
              <w:marLeft w:val="0"/>
              <w:marRight w:val="0"/>
              <w:marTop w:val="0"/>
              <w:marBottom w:val="0"/>
              <w:divBdr>
                <w:top w:val="none" w:sz="0" w:space="0" w:color="auto"/>
                <w:left w:val="none" w:sz="0" w:space="0" w:color="auto"/>
                <w:bottom w:val="none" w:sz="0" w:space="0" w:color="auto"/>
                <w:right w:val="none" w:sz="0" w:space="0" w:color="auto"/>
              </w:divBdr>
            </w:div>
          </w:divsChild>
        </w:div>
        <w:div w:id="146855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ga.gov.au/overview-supplying-therapeutic-goods-australia" TargetMode="External"/><Relationship Id="rId117" Type="http://schemas.openxmlformats.org/officeDocument/2006/relationships/header" Target="header1.xml"/><Relationship Id="rId21" Type="http://schemas.openxmlformats.org/officeDocument/2006/relationships/hyperlink" Target="https://www.legislation.gov.au/F1996B00406/latest/text" TargetMode="External"/><Relationship Id="rId42" Type="http://schemas.openxmlformats.org/officeDocument/2006/relationships/hyperlink" Target="https://www.tga.gov.au/listed-medicine-compliance-reviews" TargetMode="External"/><Relationship Id="rId47" Type="http://schemas.openxmlformats.org/officeDocument/2006/relationships/hyperlink" Target="http://www.tga.gov.au/resources/guidance/understanding-application-requirements-new-substance-listed-medicines" TargetMode="External"/><Relationship Id="rId63" Type="http://schemas.openxmlformats.org/officeDocument/2006/relationships/hyperlink" Target="https://www.tga.gov.au/resources/resource/international-scientific-guidelines" TargetMode="External"/><Relationship Id="rId68" Type="http://schemas.openxmlformats.org/officeDocument/2006/relationships/hyperlink" Target="https://www.tga.gov.au/resources/resource/guidance/application-requirements-new-substances-listed-medicines" TargetMode="External"/><Relationship Id="rId84" Type="http://schemas.openxmlformats.org/officeDocument/2006/relationships/hyperlink" Target="https://tsar.jrc.ec.europa.eu/" TargetMode="External"/><Relationship Id="rId89" Type="http://schemas.openxmlformats.org/officeDocument/2006/relationships/hyperlink" Target="https://www.tga.gov.au/publication/sunscreen-manufacturing" TargetMode="External"/><Relationship Id="rId112" Type="http://schemas.openxmlformats.org/officeDocument/2006/relationships/hyperlink" Target="https://www.tga.gov.au/how-we-regulate/supply-therapeutic-good/supply-non-prescription-medicine/dossier-requirements-non-prescription-medicines" TargetMode="External"/><Relationship Id="rId16" Type="http://schemas.openxmlformats.org/officeDocument/2006/relationships/hyperlink" Target="https://www.industrialchemicals.gov.au/" TargetMode="External"/><Relationship Id="rId107" Type="http://schemas.openxmlformats.org/officeDocument/2006/relationships/image" Target="media/image5.png"/><Relationship Id="rId11" Type="http://schemas.openxmlformats.org/officeDocument/2006/relationships/hyperlink" Target="https://apvma.gov.au/" TargetMode="External"/><Relationship Id="rId32" Type="http://schemas.openxmlformats.org/officeDocument/2006/relationships/hyperlink" Target="https://www.tga.gov.au/publication/therapeutic-goods-advertising-code" TargetMode="External"/><Relationship Id="rId37" Type="http://schemas.openxmlformats.org/officeDocument/2006/relationships/hyperlink" Target="http://www.tga.gov.au/about-tga/legislation/legislation-and-legislative-instruments/therapeutic-goods-determinations" TargetMode="External"/><Relationship Id="rId53" Type="http://schemas.openxmlformats.org/officeDocument/2006/relationships/hyperlink" Target="https://www.tga.gov.au/how-we-regulate/supply-therapeutic-good-0/supply-non-prescription-medicine/compile-and-keep-evidence/safety-and-quality/list-comparable-overseas-bodies-cobs" TargetMode="External"/><Relationship Id="rId58" Type="http://schemas.openxmlformats.org/officeDocument/2006/relationships/hyperlink" Target="https://www.tga.gov.au/resources/guidance/understanding-application-requirements-new-substance-listed-medicines" TargetMode="External"/><Relationship Id="rId74" Type="http://schemas.openxmlformats.org/officeDocument/2006/relationships/hyperlink" Target="https://www.tga.gov.au/resources/resource/guidance/application-requirements-new-substances-listed-medicines" TargetMode="External"/><Relationship Id="rId79" Type="http://schemas.openxmlformats.org/officeDocument/2006/relationships/hyperlink" Target="https://www.oecd-ilibrary.org/environment/test-no-431-in-vitro-skin-corrosion-reconstructed-human-epidermis-rhe-test-method_9789264264618-en" TargetMode="External"/><Relationship Id="rId102" Type="http://schemas.openxmlformats.org/officeDocument/2006/relationships/hyperlink" Target="https://www.ebs.tga.gov.au/ebs/home.nsf/GHPR?OpenAgent&amp;p=SearchIngredient" TargetMode="External"/><Relationship Id="rId123"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https://www.tga.gov.au/resources/resource/guidance/application-requirements-new-substances-listed-medicines" TargetMode="External"/><Relationship Id="rId82" Type="http://schemas.openxmlformats.org/officeDocument/2006/relationships/hyperlink" Target="http://www.oecd.org/chemicalsafety/testing/oecdguidelinesforthetestingofchemicals.htm" TargetMode="External"/><Relationship Id="rId90" Type="http://schemas.openxmlformats.org/officeDocument/2006/relationships/hyperlink" Target="https://www.tga.gov.au/publication/gmp-clearance-guidance" TargetMode="External"/><Relationship Id="rId95" Type="http://schemas.openxmlformats.org/officeDocument/2006/relationships/hyperlink" Target="https://www.tga.gov.au/therapeutic-goods-determinations" TargetMode="External"/><Relationship Id="rId19" Type="http://schemas.openxmlformats.org/officeDocument/2006/relationships/hyperlink" Target="https://www.tga.gov.au/medicines-and-tga-classifications" TargetMode="External"/><Relationship Id="rId14" Type="http://schemas.openxmlformats.org/officeDocument/2006/relationships/hyperlink" Target="https://www.tga.gov.au/how-we-regulate/ingredients-and-scheduling-medicines-and-chemicals/poisons-standard-and-scheduling-medicines-and-chemicals/poisons-standard-susmp" TargetMode="External"/><Relationship Id="rId22" Type="http://schemas.openxmlformats.org/officeDocument/2006/relationships/hyperlink" Target="https://www.tga.gov.au/publication/australian-regulatory-guidelines-otc-medicines-argom-0" TargetMode="External"/><Relationship Id="rId27" Type="http://schemas.openxmlformats.org/officeDocument/2006/relationships/hyperlink" Target="https://www.tga.gov.au/resources/legislation/therapeutic-goods-regulations-1990" TargetMode="External"/><Relationship Id="rId30" Type="http://schemas.openxmlformats.org/officeDocument/2006/relationships/hyperlink" Target="https://www.legislation.gov.au/Series/F2016L01287" TargetMode="External"/><Relationship Id="rId35" Type="http://schemas.openxmlformats.org/officeDocument/2006/relationships/hyperlink" Target="http://www.tga.gov.au/about-tga/legislation/legislation-and-legislative-instruments/therapeutic-goods-determinations" TargetMode="External"/><Relationship Id="rId43" Type="http://schemas.openxmlformats.org/officeDocument/2006/relationships/hyperlink" Target="http://www.tga.gov.au/about-tga/legislation/legislation-and-legislative-instruments/therapeutic-goods-determinations" TargetMode="External"/><Relationship Id="rId48" Type="http://schemas.openxmlformats.org/officeDocument/2006/relationships/hyperlink" Target="https://www.tga.gov.au/resources/publication/publications/literature-review-safety-titanium-dioxide-and-zinc-oxide-nanoparticles-sunscreens" TargetMode="External"/><Relationship Id="rId56" Type="http://schemas.openxmlformats.org/officeDocument/2006/relationships/hyperlink" Target="https://www.tga.gov.au/publication/tga-approved-terminology-therapeutic-goods" TargetMode="External"/><Relationship Id="rId64" Type="http://schemas.openxmlformats.org/officeDocument/2006/relationships/hyperlink" Target="https://www.tga.gov.au/resources/resource/guidance/application-requirements-new-substances-listed-medicines" TargetMode="External"/><Relationship Id="rId69" Type="http://schemas.openxmlformats.org/officeDocument/2006/relationships/hyperlink" Target="https://www.tga.gov.au/resources/resource/guidance/overview-compositional-guidelines-and-templates" TargetMode="External"/><Relationship Id="rId77" Type="http://schemas.openxmlformats.org/officeDocument/2006/relationships/image" Target="media/image2.png"/><Relationship Id="rId100" Type="http://schemas.openxmlformats.org/officeDocument/2006/relationships/hyperlink" Target="https://www.tga.gov.au/therapeutic-goods-determinations" TargetMode="External"/><Relationship Id="rId105" Type="http://schemas.openxmlformats.org/officeDocument/2006/relationships/hyperlink" Target="https://www.tga.gov.au/therapeutic-goods-determinations" TargetMode="External"/><Relationship Id="rId113" Type="http://schemas.openxmlformats.org/officeDocument/2006/relationships/hyperlink" Target="https://www.tga.gov.au/how-we-regulate/supply-therapeutic-good/supply-non-prescription-medicine/understand-non-prescription-medicine-pathways" TargetMode="External"/><Relationship Id="rId118" Type="http://schemas.openxmlformats.org/officeDocument/2006/relationships/footer" Target="footer1.xml"/><Relationship Id="rId12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tga.gov.au/resources/resource/guidance/user-guide-evaluation-substances-use-listed-medicines-and-assessed-listed-medicines" TargetMode="External"/><Relationship Id="rId72" Type="http://schemas.openxmlformats.org/officeDocument/2006/relationships/hyperlink" Target="https://www.tga.gov.au/resources/resource/guidance/application-requirements-new-substances-listed-medicines" TargetMode="External"/><Relationship Id="rId80" Type="http://schemas.openxmlformats.org/officeDocument/2006/relationships/hyperlink" Target="https://www.legislation.gov.au/C2019A00012/latest/versions" TargetMode="External"/><Relationship Id="rId85" Type="http://schemas.openxmlformats.org/officeDocument/2006/relationships/hyperlink" Target="https://ec.europa.eu/jrc/en/eurl/ecvam/alternative-methods-toxicity-testing/validated-test-methods" TargetMode="External"/><Relationship Id="rId93" Type="http://schemas.openxmlformats.org/officeDocument/2006/relationships/hyperlink" Target="https://www.tga.gov.au/therapeutic-goods-orders" TargetMode="External"/><Relationship Id="rId98" Type="http://schemas.openxmlformats.org/officeDocument/2006/relationships/hyperlink" Target="https://www.tga.gov.au/groups-orders" TargetMode="External"/><Relationship Id="rId12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tga.gov.au/resources/legislation/therapeutic-goods-excluded-goods-determination-2018" TargetMode="External"/><Relationship Id="rId17" Type="http://schemas.openxmlformats.org/officeDocument/2006/relationships/hyperlink" Target="https://www.accc.gov.au/" TargetMode="External"/><Relationship Id="rId25" Type="http://schemas.openxmlformats.org/officeDocument/2006/relationships/hyperlink" Target="https://www.tga.gov.au/therapeutic-goods-determinations" TargetMode="External"/><Relationship Id="rId33" Type="http://schemas.openxmlformats.org/officeDocument/2006/relationships/hyperlink" Target="https://www.tga.gov.au/therapeutic-goods-determinations" TargetMode="External"/><Relationship Id="rId38" Type="http://schemas.openxmlformats.org/officeDocument/2006/relationships/hyperlink" Target="https://www.tga.gov.au/therapeutic-goods-determinations" TargetMode="External"/><Relationship Id="rId46" Type="http://schemas.openxmlformats.org/officeDocument/2006/relationships/hyperlink" Target="http://www.tga.gov.au/about-tga/legislation/legislation-and-legislative-instruments/therapeutic-goods-determinations" TargetMode="External"/><Relationship Id="rId59" Type="http://schemas.openxmlformats.org/officeDocument/2006/relationships/hyperlink" Target="https://www.tga.gov.au/resources/resource/guidance/application-requirements-new-substances-listed-medicines" TargetMode="External"/><Relationship Id="rId67" Type="http://schemas.openxmlformats.org/officeDocument/2006/relationships/hyperlink" Target="https://www.tga.gov.au/resources/resource/guidance/application-requirements-new-substances-listed-medicines" TargetMode="External"/><Relationship Id="rId103" Type="http://schemas.openxmlformats.org/officeDocument/2006/relationships/hyperlink" Target="https://www.tga.gov.au/therapeutic-goods-determinations" TargetMode="External"/><Relationship Id="rId108" Type="http://schemas.openxmlformats.org/officeDocument/2006/relationships/hyperlink" Target="http://www.tga.gov.au/about-tga/legislation/legislation-and-legislative-instruments/therapeutic-goods-determinations" TargetMode="External"/><Relationship Id="rId116" Type="http://schemas.openxmlformats.org/officeDocument/2006/relationships/hyperlink" Target="https://www.tga.gov.au/news/news/tga-publishes-updated-guidelines-sunscreens" TargetMode="External"/><Relationship Id="rId124" Type="http://schemas.openxmlformats.org/officeDocument/2006/relationships/footer" Target="footer4.xml"/><Relationship Id="rId20" Type="http://schemas.openxmlformats.org/officeDocument/2006/relationships/hyperlink" Target="https://www.tga.gov.au/resources/legislation/therapeutic-goods-regulations-1990" TargetMode="External"/><Relationship Id="rId41" Type="http://schemas.openxmlformats.org/officeDocument/2006/relationships/hyperlink" Target="http://www.tga.gov.au/about-tga/legislation/legislation-and-legislative-instruments/therapeutic-goods-determinations" TargetMode="External"/><Relationship Id="rId54" Type="http://schemas.openxmlformats.org/officeDocument/2006/relationships/hyperlink" Target="http://www.tga.gov.au/resources/resource/forms/comparable-overseas-bodies-cob-checklists" TargetMode="External"/><Relationship Id="rId62" Type="http://schemas.openxmlformats.org/officeDocument/2006/relationships/hyperlink" Target="https://www.tga.gov.au/resources/resource/guidance/application-requirements-new-substances-listed-medicines" TargetMode="External"/><Relationship Id="rId70" Type="http://schemas.openxmlformats.org/officeDocument/2006/relationships/hyperlink" Target="https://www.tga.gov.au/resources/resource/guidance/application-requirements-new-substances-listed-medicines" TargetMode="External"/><Relationship Id="rId75" Type="http://schemas.openxmlformats.org/officeDocument/2006/relationships/hyperlink" Target="https://www.tga.gov.au/resources/resource/guidance/application-requirements-new-substances-listed-medicines" TargetMode="External"/><Relationship Id="rId83" Type="http://schemas.openxmlformats.org/officeDocument/2006/relationships/hyperlink" Target="https://tsar.jrc.ec.europa.eu/" TargetMode="External"/><Relationship Id="rId88" Type="http://schemas.openxmlformats.org/officeDocument/2006/relationships/hyperlink" Target="https://www.tga.gov.au/publication/sunscreen-manufacturing" TargetMode="External"/><Relationship Id="rId91" Type="http://schemas.openxmlformats.org/officeDocument/2006/relationships/hyperlink" Target="https://www.tga.gov.au/" TargetMode="External"/><Relationship Id="rId96" Type="http://schemas.openxmlformats.org/officeDocument/2006/relationships/hyperlink" Target="https://www.tga.gov.au/resource/changing-listed-or-assessed-listed-medicine-application-levels-and-change-tables" TargetMode="External"/><Relationship Id="rId111" Type="http://schemas.openxmlformats.org/officeDocument/2006/relationships/hyperlink" Target="https://www.tga.gov.au/news/blog/how-sunscreens-are-regulated-australia-be-effective-and-saf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au/Details/C2019A00012" TargetMode="External"/><Relationship Id="rId23" Type="http://schemas.openxmlformats.org/officeDocument/2006/relationships/hyperlink" Target="https://www.tga.gov.au/resources/resource/reference-material/pre-submission-meetings-tga" TargetMode="External"/><Relationship Id="rId28" Type="http://schemas.openxmlformats.org/officeDocument/2006/relationships/hyperlink" Target="https://www.tga.gov.au/resources/legislation/therapeutic-goods-excluded-goods-determination-2018" TargetMode="External"/><Relationship Id="rId36" Type="http://schemas.openxmlformats.org/officeDocument/2006/relationships/hyperlink" Target="https://www.tga.gov.au/therapeutic-goods-determinations" TargetMode="External"/><Relationship Id="rId49" Type="http://schemas.openxmlformats.org/officeDocument/2006/relationships/hyperlink" Target="http://www.tga.gov.au/about-tga/legislation/legislation-and-legislative-instruments/therapeutic-goods-determinations" TargetMode="External"/><Relationship Id="rId57" Type="http://schemas.openxmlformats.org/officeDocument/2006/relationships/hyperlink" Target="https://www.tga.gov.au/schedule-fees-and-charges" TargetMode="External"/><Relationship Id="rId106" Type="http://schemas.openxmlformats.org/officeDocument/2006/relationships/image" Target="media/image4.png"/><Relationship Id="rId114" Type="http://schemas.openxmlformats.org/officeDocument/2006/relationships/hyperlink" Target="https://www.tga.gov.au/news/news/sunscreens-ensuring-products-are-effective-and-safe-2021-22-summer" TargetMode="External"/><Relationship Id="rId119" Type="http://schemas.openxmlformats.org/officeDocument/2006/relationships/header" Target="header2.xml"/><Relationship Id="rId10" Type="http://schemas.openxmlformats.org/officeDocument/2006/relationships/hyperlink" Target="https://www.tga.gov.au/resources/legislation/therapeutic-goods-act-1989" TargetMode="External"/><Relationship Id="rId31" Type="http://schemas.openxmlformats.org/officeDocument/2006/relationships/hyperlink" Target="https://www.tga.gov.au/therapeutic-goods-orders" TargetMode="External"/><Relationship Id="rId44" Type="http://schemas.openxmlformats.org/officeDocument/2006/relationships/hyperlink" Target="https://apvma.gov.au/" TargetMode="External"/><Relationship Id="rId52" Type="http://schemas.openxmlformats.org/officeDocument/2006/relationships/hyperlink" Target="https://www.tga.gov.au/how-we-regulate/supply-therapeutic-good-0/supply-non-prescription-medicine/compile-and-keep-evidence/safety-and-quality/comparable-overseas-bodies-cobs" TargetMode="External"/><Relationship Id="rId60" Type="http://schemas.openxmlformats.org/officeDocument/2006/relationships/hyperlink" Target="https://www.tga.gov.au/resources/resource/guidance/application-requirements-new-substances-listed-medicines" TargetMode="External"/><Relationship Id="rId65" Type="http://schemas.openxmlformats.org/officeDocument/2006/relationships/hyperlink" Target="https://www.tga.gov.au/how-we-regulate/supply-therapeutic-good-0/supply-biological/applicable-standards-biologicals/pharmacopoeias" TargetMode="External"/><Relationship Id="rId73" Type="http://schemas.openxmlformats.org/officeDocument/2006/relationships/hyperlink" Target="https://www.tga.gov.au/resources/resource/guidance/application-requirements-new-substances-listed-medicines" TargetMode="External"/><Relationship Id="rId78" Type="http://schemas.openxmlformats.org/officeDocument/2006/relationships/hyperlink" Target="https://www.legislation.gov.uk/eur/2009/1223/contents" TargetMode="External"/><Relationship Id="rId81" Type="http://schemas.openxmlformats.org/officeDocument/2006/relationships/hyperlink" Target="https://www.ema.europa.eu/en/documents/scientific-guideline/guideline-principles-regulatory-acceptance-3rs-replacement-reduction-refinement-testing-approaches_en.pdf" TargetMode="External"/><Relationship Id="rId86" Type="http://schemas.openxmlformats.org/officeDocument/2006/relationships/hyperlink" Target="https://joint-research-centre.ec.europa.eu/eu-reference-laboratory-alternatives-animal-testing-eurl-ecvam_en" TargetMode="External"/><Relationship Id="rId94" Type="http://schemas.openxmlformats.org/officeDocument/2006/relationships/hyperlink" Target="http://www.tga.gov.au/about-tga/legislation/legislation-and-legislative-instruments/therapeutic-goods-determinations" TargetMode="External"/><Relationship Id="rId99" Type="http://schemas.openxmlformats.org/officeDocument/2006/relationships/hyperlink" Target="http://www.tga.gov.au/about-tga/legislation/legislation-and-legislative-instruments/therapeutic-goods-determinations" TargetMode="External"/><Relationship Id="rId101" Type="http://schemas.openxmlformats.org/officeDocument/2006/relationships/image" Target="media/image3.png"/><Relationship Id="rId12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ga.copyright@tga.gov.au" TargetMode="External"/><Relationship Id="rId13" Type="http://schemas.openxmlformats.org/officeDocument/2006/relationships/hyperlink" Target="https://www.tga.gov.au/resources/legislation/therapeutic-goods-excluded-goods-determination-2018" TargetMode="External"/><Relationship Id="rId18" Type="http://schemas.openxmlformats.org/officeDocument/2006/relationships/hyperlink" Target="https://www.legislation.gov.au/Details/F2020L01469" TargetMode="External"/><Relationship Id="rId39" Type="http://schemas.openxmlformats.org/officeDocument/2006/relationships/hyperlink" Target="https://www.tga.gov.au/sites/default/files/listed-assessed-listed-medicines-application-submission-user-guide.pdf" TargetMode="External"/><Relationship Id="rId109" Type="http://schemas.openxmlformats.org/officeDocument/2006/relationships/hyperlink" Target="https://www.tga.gov.au/resources/resource/guidance/application-requirements-new-substances-listed-medicines" TargetMode="External"/><Relationship Id="rId34" Type="http://schemas.openxmlformats.org/officeDocument/2006/relationships/hyperlink" Target="https://www.legislation.gov.au/Details/F2020L01469" TargetMode="External"/><Relationship Id="rId50" Type="http://schemas.openxmlformats.org/officeDocument/2006/relationships/hyperlink" Target="http://www.tga.gov.au/resources/guidance/understanding-application-requirements-new-substance-listed-medicines" TargetMode="External"/><Relationship Id="rId55" Type="http://schemas.openxmlformats.org/officeDocument/2006/relationships/hyperlink" Target="https://www.tga.gov.au/resources/resource/guidance/guidance-using-evaluation-reports-comparable-overseas-bodies" TargetMode="External"/><Relationship Id="rId76" Type="http://schemas.openxmlformats.org/officeDocument/2006/relationships/hyperlink" Target="https://www.tga.gov.au/resources/publication/publications/australian-sunscreen-exposure-model" TargetMode="External"/><Relationship Id="rId97" Type="http://schemas.openxmlformats.org/officeDocument/2006/relationships/hyperlink" Target="https://www.tga.gov.au/resource/changing-listed-or-assessed-listed-medicine-application-levels-and-change-tables" TargetMode="External"/><Relationship Id="rId104" Type="http://schemas.openxmlformats.org/officeDocument/2006/relationships/hyperlink" Target="http://www.tga.gov.au/about-tga/legislation/legislation-and-legislative-instruments/therapeutic-goods-determinations" TargetMode="External"/><Relationship Id="rId120" Type="http://schemas.openxmlformats.org/officeDocument/2006/relationships/footer" Target="footer2.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tga.gov.au/resources/resource/guidance/overview-compositional-guidelines-and-templates" TargetMode="External"/><Relationship Id="rId92" Type="http://schemas.openxmlformats.org/officeDocument/2006/relationships/hyperlink" Target="https://www.tga.gov.au/publication/release-supply-medicines" TargetMode="External"/><Relationship Id="rId2" Type="http://schemas.openxmlformats.org/officeDocument/2006/relationships/numbering" Target="numbering.xml"/><Relationship Id="rId29" Type="http://schemas.openxmlformats.org/officeDocument/2006/relationships/hyperlink" Target="https://www.tga.gov.au/publication/pharmacovigilance-responsibilities-medicine-sponsors" TargetMode="External"/><Relationship Id="rId24" Type="http://schemas.openxmlformats.org/officeDocument/2006/relationships/hyperlink" Target="http://www.tga.gov.au/about-tga/legislation/legislation-and-legislative-instruments/therapeutic-goods-determinations" TargetMode="External"/><Relationship Id="rId40" Type="http://schemas.openxmlformats.org/officeDocument/2006/relationships/hyperlink" Target="https://www.tga.gov.au/sites/default/files/listed-assessed-listed-medicines-application-submission-user-guide.pdf" TargetMode="External"/><Relationship Id="rId45" Type="http://schemas.openxmlformats.org/officeDocument/2006/relationships/hyperlink" Target="https://www.tga.gov.au/therapeutic-goods-determinations" TargetMode="External"/><Relationship Id="rId66" Type="http://schemas.openxmlformats.org/officeDocument/2006/relationships/hyperlink" Target="https://www.tga.gov.au/resources/resource/guidance/application-requirements-new-substances-listed-medicines" TargetMode="External"/><Relationship Id="rId87" Type="http://schemas.openxmlformats.org/officeDocument/2006/relationships/hyperlink" Target="https://www.tga.gov.au/publication/manufacturing-principles-medicinal-products" TargetMode="External"/><Relationship Id="rId110" Type="http://schemas.openxmlformats.org/officeDocument/2006/relationships/hyperlink" Target="https://www.tga.gov.au/publication/tga-approved-terminology-therapeutic-goods" TargetMode="External"/><Relationship Id="rId115" Type="http://schemas.openxmlformats.org/officeDocument/2006/relationships/hyperlink" Target="https://www.tga.gov.au/resources/what-do-i-require-have-listed-medicine-art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hyperlink" Target="el://D25-2087458?db=A7&amp;edit" TargetMode="External"/><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el://D25-2087458?db=A7&amp;edit" TargetMode="External"/><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onsultations.tga.gov.au/tga/proposed-model-for-assessing-sunscreen-ingredients/user_uploads/australian-sunscreen-exposure-model---tga-public-consultation-paper---2-july-2024.pdf" TargetMode="External"/><Relationship Id="rId1" Type="http://schemas.openxmlformats.org/officeDocument/2006/relationships/hyperlink" Target="https://consultations.tga.gov.au/tga/proposed-model-for-assessing-sunscreen-ingredients/user_uploads/australian-sunscreen-exposure-model---tga-public-consultation-paper---2-july-202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A2EE1-BE50-4763-9676-56ED6744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56</Pages>
  <Words>17664</Words>
  <Characters>100690</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Understanding the regulation of therapeutic sunscreens</vt:lpstr>
    </vt:vector>
  </TitlesOfParts>
  <Company>Department of Health, Disability and Ageing</Company>
  <LinksUpToDate>false</LinksUpToDate>
  <CharactersWithSpaces>118118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regulation of therapeutic sunscreens</dc:title>
  <dc:subject/>
  <dc:creator>Therapeutic Goods Administration</dc:creator>
  <cp:keywords/>
  <dc:description/>
  <cp:lastModifiedBy>LACK, Janet</cp:lastModifiedBy>
  <cp:revision>3</cp:revision>
  <dcterms:created xsi:type="dcterms:W3CDTF">2025-08-26T00:44:00Z</dcterms:created>
  <dcterms:modified xsi:type="dcterms:W3CDTF">2025-08-26T00:57:00Z</dcterms:modified>
</cp:coreProperties>
</file>